
<file path=[Content_Types].xml><?xml version="1.0" encoding="utf-8"?>
<Types xmlns="http://schemas.openxmlformats.org/package/2006/content-types">
  <Default Extension="xml" ContentType="application/xml"/>
  <Default Extension="jpg" ContentType="image/jpeg"/>
  <Default Extension="tiff" ContentType="image/tiff"/>
  <Default Extension="emf" ContentType="image/x-emf"/>
  <Default Extension="jpeg" ContentType="image/jpeg"/>
  <Default Extension="rels" ContentType="application/vnd.openxmlformats-package.relationships+xml"/>
  <Default Extension="tif" ContentType="image/tif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FAA9BB9" w14:textId="77777777" w:rsidR="00D92E30" w:rsidRDefault="00D92E30"/>
    <w:p w14:paraId="0F24E01A" w14:textId="77777777" w:rsidR="000D5935" w:rsidRDefault="000D5935"/>
    <w:p w14:paraId="14B5FB66" w14:textId="77777777" w:rsidR="000D5935" w:rsidRDefault="000D5935"/>
    <w:p w14:paraId="247A2324" w14:textId="77777777" w:rsidR="000D5935" w:rsidRDefault="000D5935"/>
    <w:p w14:paraId="7CA2E08F" w14:textId="5EB1CB5F" w:rsidR="000D5935" w:rsidRPr="00301CBC" w:rsidRDefault="00617264" w:rsidP="00B07212">
      <w:pPr>
        <w:jc w:val="center"/>
        <w:rPr>
          <w:rFonts w:ascii="Times New Roman" w:hAnsi="Times New Roman" w:cs="Times New Roman"/>
          <w:b/>
          <w:sz w:val="40"/>
          <w:szCs w:val="40"/>
        </w:rPr>
      </w:pPr>
      <w:r>
        <w:rPr>
          <w:rFonts w:ascii="Times New Roman" w:hAnsi="Times New Roman" w:cs="Times New Roman"/>
          <w:b/>
          <w:sz w:val="40"/>
          <w:szCs w:val="40"/>
        </w:rPr>
        <w:t>IGF1 Signalling Impairment I</w:t>
      </w:r>
      <w:r w:rsidR="00931C3C" w:rsidRPr="00301CBC">
        <w:rPr>
          <w:rFonts w:ascii="Times New Roman" w:hAnsi="Times New Roman" w:cs="Times New Roman"/>
          <w:b/>
          <w:sz w:val="40"/>
          <w:szCs w:val="40"/>
        </w:rPr>
        <w:t>n</w:t>
      </w:r>
      <w:r>
        <w:rPr>
          <w:rFonts w:ascii="Times New Roman" w:hAnsi="Times New Roman" w:cs="Times New Roman"/>
          <w:b/>
          <w:sz w:val="40"/>
          <w:szCs w:val="40"/>
        </w:rPr>
        <w:t xml:space="preserve"> Human A</w:t>
      </w:r>
      <w:r w:rsidR="000D5935" w:rsidRPr="00301CBC">
        <w:rPr>
          <w:rFonts w:ascii="Times New Roman" w:hAnsi="Times New Roman" w:cs="Times New Roman"/>
          <w:b/>
          <w:sz w:val="40"/>
          <w:szCs w:val="40"/>
        </w:rPr>
        <w:t>strocytes</w:t>
      </w:r>
      <w:r>
        <w:rPr>
          <w:rFonts w:ascii="Times New Roman" w:hAnsi="Times New Roman" w:cs="Times New Roman"/>
          <w:b/>
          <w:sz w:val="40"/>
          <w:szCs w:val="40"/>
        </w:rPr>
        <w:t xml:space="preserve"> and The Impact On Neuronal Support</w:t>
      </w:r>
    </w:p>
    <w:p w14:paraId="0F8DCEE7" w14:textId="77777777" w:rsidR="001A257D" w:rsidRDefault="001A257D">
      <w:pPr>
        <w:rPr>
          <w:rFonts w:ascii="Times New Roman" w:hAnsi="Times New Roman" w:cs="Times New Roman"/>
          <w:b/>
          <w:sz w:val="36"/>
          <w:szCs w:val="36"/>
        </w:rPr>
      </w:pPr>
    </w:p>
    <w:p w14:paraId="4D3653E0" w14:textId="77777777" w:rsidR="00617264" w:rsidRDefault="00617264">
      <w:pPr>
        <w:rPr>
          <w:rFonts w:ascii="Times New Roman" w:hAnsi="Times New Roman" w:cs="Times New Roman"/>
          <w:b/>
          <w:sz w:val="36"/>
          <w:szCs w:val="36"/>
        </w:rPr>
      </w:pPr>
    </w:p>
    <w:p w14:paraId="4E473E9F" w14:textId="2F363259" w:rsidR="001A257D" w:rsidRPr="00617264" w:rsidRDefault="00617264">
      <w:pPr>
        <w:rPr>
          <w:rFonts w:ascii="Times New Roman" w:hAnsi="Times New Roman" w:cs="Times New Roman"/>
          <w:b/>
          <w:sz w:val="32"/>
          <w:szCs w:val="32"/>
        </w:rPr>
      </w:pPr>
      <w:r>
        <w:rPr>
          <w:rFonts w:ascii="Times New Roman" w:hAnsi="Times New Roman" w:cs="Times New Roman"/>
          <w:b/>
          <w:sz w:val="36"/>
          <w:szCs w:val="36"/>
        </w:rPr>
        <w:t xml:space="preserve">                                         </w:t>
      </w:r>
      <w:r>
        <w:rPr>
          <w:rFonts w:ascii="Times New Roman" w:hAnsi="Times New Roman" w:cs="Times New Roman"/>
          <w:b/>
          <w:sz w:val="32"/>
          <w:szCs w:val="32"/>
        </w:rPr>
        <w:t xml:space="preserve">by </w:t>
      </w:r>
    </w:p>
    <w:p w14:paraId="5499DDA8" w14:textId="77777777" w:rsidR="00617264" w:rsidRDefault="00617264">
      <w:pPr>
        <w:rPr>
          <w:rFonts w:ascii="Times New Roman" w:hAnsi="Times New Roman" w:cs="Times New Roman"/>
          <w:b/>
          <w:sz w:val="36"/>
          <w:szCs w:val="36"/>
        </w:rPr>
      </w:pPr>
    </w:p>
    <w:p w14:paraId="7614698C" w14:textId="2868E350" w:rsidR="00617264" w:rsidRDefault="00617264" w:rsidP="00617264">
      <w:pPr>
        <w:rPr>
          <w:rFonts w:ascii="Times New Roman" w:hAnsi="Times New Roman" w:cs="Times New Roman"/>
          <w:b/>
          <w:noProof/>
          <w:sz w:val="36"/>
          <w:szCs w:val="36"/>
        </w:rPr>
      </w:pPr>
      <w:r>
        <w:rPr>
          <w:rFonts w:ascii="Times New Roman" w:hAnsi="Times New Roman" w:cs="Times New Roman"/>
          <w:b/>
          <w:noProof/>
          <w:sz w:val="36"/>
          <w:szCs w:val="36"/>
        </w:rPr>
        <w:t xml:space="preserve">                     </w:t>
      </w:r>
      <w:r>
        <w:rPr>
          <w:rFonts w:ascii="Times New Roman" w:hAnsi="Times New Roman" w:cs="Times New Roman"/>
          <w:b/>
          <w:sz w:val="40"/>
          <w:szCs w:val="40"/>
        </w:rPr>
        <w:t>Laura Elizabeth Ratcliffe</w:t>
      </w:r>
      <w:r>
        <w:rPr>
          <w:rFonts w:ascii="Times New Roman" w:hAnsi="Times New Roman" w:cs="Times New Roman"/>
          <w:b/>
          <w:noProof/>
          <w:sz w:val="36"/>
          <w:szCs w:val="36"/>
        </w:rPr>
        <w:t xml:space="preserve">     </w:t>
      </w:r>
    </w:p>
    <w:p w14:paraId="082212F4" w14:textId="77777777" w:rsidR="00617264" w:rsidRDefault="00617264" w:rsidP="00617264">
      <w:pPr>
        <w:rPr>
          <w:rFonts w:ascii="Times New Roman" w:hAnsi="Times New Roman" w:cs="Times New Roman"/>
          <w:b/>
          <w:noProof/>
          <w:sz w:val="36"/>
          <w:szCs w:val="36"/>
        </w:rPr>
      </w:pPr>
    </w:p>
    <w:p w14:paraId="1E3A3746" w14:textId="5AE53A58" w:rsidR="001A257D" w:rsidRDefault="00617264" w:rsidP="00617264">
      <w:pPr>
        <w:rPr>
          <w:rFonts w:ascii="Times New Roman" w:hAnsi="Times New Roman" w:cs="Times New Roman"/>
          <w:b/>
          <w:noProof/>
          <w:sz w:val="36"/>
          <w:szCs w:val="36"/>
        </w:rPr>
      </w:pPr>
      <w:r>
        <w:rPr>
          <w:rFonts w:ascii="Times New Roman" w:hAnsi="Times New Roman" w:cs="Times New Roman"/>
          <w:b/>
          <w:noProof/>
          <w:sz w:val="36"/>
          <w:szCs w:val="36"/>
        </w:rPr>
        <w:t xml:space="preserve">            </w:t>
      </w:r>
      <w:r w:rsidR="003D4A26">
        <w:rPr>
          <w:rFonts w:ascii="Times New Roman" w:hAnsi="Times New Roman" w:cs="Times New Roman"/>
          <w:b/>
          <w:noProof/>
          <w:sz w:val="36"/>
          <w:szCs w:val="36"/>
        </w:rPr>
        <w:t xml:space="preserve">   </w:t>
      </w:r>
      <w:r>
        <w:rPr>
          <w:rFonts w:ascii="Times New Roman" w:hAnsi="Times New Roman" w:cs="Times New Roman"/>
          <w:b/>
          <w:noProof/>
          <w:sz w:val="36"/>
          <w:szCs w:val="36"/>
        </w:rPr>
        <w:t xml:space="preserve">        </w:t>
      </w:r>
      <w:r>
        <w:rPr>
          <w:rFonts w:ascii="Times New Roman" w:hAnsi="Times New Roman" w:cs="Times New Roman"/>
          <w:b/>
          <w:noProof/>
          <w:sz w:val="36"/>
          <w:szCs w:val="36"/>
        </w:rPr>
        <w:drawing>
          <wp:inline distT="0" distB="0" distL="0" distR="0" wp14:anchorId="449D9AD7" wp14:editId="6AB477E8">
            <wp:extent cx="2359443" cy="2749062"/>
            <wp:effectExtent l="0" t="0" r="3175" b="0"/>
            <wp:docPr id="1073741830" name="Picture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9">
                      <a:extLst>
                        <a:ext uri="{28A0092B-C50C-407E-A947-70E740481C1C}">
                          <a14:useLocalDpi xmlns:a14="http://schemas.microsoft.com/office/drawing/2010/main" val="0"/>
                        </a:ext>
                      </a:extLst>
                    </a:blip>
                    <a:srcRect l="32096" t="22599" r="33744" b="24322"/>
                    <a:stretch/>
                  </pic:blipFill>
                  <pic:spPr bwMode="auto">
                    <a:xfrm>
                      <a:off x="0" y="0"/>
                      <a:ext cx="2362029" cy="2752075"/>
                    </a:xfrm>
                    <a:prstGeom prst="rect">
                      <a:avLst/>
                    </a:prstGeom>
                    <a:ln>
                      <a:noFill/>
                    </a:ln>
                    <a:extLst>
                      <a:ext uri="{53640926-AAD7-44d8-BBD7-CCE9431645EC}">
                        <a14:shadowObscured xmlns:a14="http://schemas.microsoft.com/office/drawing/2010/main"/>
                      </a:ext>
                    </a:extLst>
                  </pic:spPr>
                </pic:pic>
              </a:graphicData>
            </a:graphic>
          </wp:inline>
        </w:drawing>
      </w:r>
    </w:p>
    <w:p w14:paraId="3A674648" w14:textId="77777777" w:rsidR="001A257D" w:rsidRDefault="001A257D" w:rsidP="0052651A">
      <w:pPr>
        <w:jc w:val="both"/>
        <w:rPr>
          <w:rFonts w:ascii="Times New Roman" w:hAnsi="Times New Roman" w:cs="Times New Roman"/>
          <w:b/>
          <w:sz w:val="36"/>
          <w:szCs w:val="36"/>
        </w:rPr>
      </w:pPr>
    </w:p>
    <w:p w14:paraId="66A008E6" w14:textId="310074BC" w:rsidR="00301CBC" w:rsidRPr="003D4A26" w:rsidRDefault="003D4A26" w:rsidP="0052651A">
      <w:pPr>
        <w:jc w:val="both"/>
        <w:rPr>
          <w:rFonts w:ascii="Times New Roman" w:hAnsi="Times New Roman" w:cs="Times New Roman"/>
          <w:b/>
          <w:sz w:val="32"/>
          <w:szCs w:val="32"/>
        </w:rPr>
      </w:pPr>
      <w:r>
        <w:rPr>
          <w:rFonts w:ascii="Times New Roman" w:hAnsi="Times New Roman" w:cs="Times New Roman"/>
          <w:b/>
          <w:sz w:val="32"/>
          <w:szCs w:val="32"/>
        </w:rPr>
        <w:t xml:space="preserve">        </w:t>
      </w:r>
      <w:r w:rsidR="00DA28E0" w:rsidRPr="003D4A26">
        <w:rPr>
          <w:rFonts w:ascii="Times New Roman" w:hAnsi="Times New Roman" w:cs="Times New Roman"/>
          <w:b/>
          <w:sz w:val="32"/>
          <w:szCs w:val="32"/>
        </w:rPr>
        <w:t>Sheffield Institute for Translational Neuroscience</w:t>
      </w:r>
    </w:p>
    <w:p w14:paraId="34BA1A27" w14:textId="6292B396" w:rsidR="00301CBC" w:rsidRPr="003D4A26" w:rsidRDefault="00DA28E0" w:rsidP="0052651A">
      <w:pPr>
        <w:jc w:val="both"/>
        <w:rPr>
          <w:rFonts w:ascii="Times New Roman" w:hAnsi="Times New Roman" w:cs="Times New Roman"/>
          <w:b/>
          <w:sz w:val="32"/>
          <w:szCs w:val="32"/>
        </w:rPr>
      </w:pPr>
      <w:r w:rsidRPr="003D4A26">
        <w:rPr>
          <w:rFonts w:ascii="Times New Roman" w:hAnsi="Times New Roman" w:cs="Times New Roman"/>
          <w:b/>
          <w:sz w:val="32"/>
          <w:szCs w:val="32"/>
        </w:rPr>
        <w:t xml:space="preserve">               </w:t>
      </w:r>
      <w:r w:rsidR="00617264" w:rsidRPr="003D4A26">
        <w:rPr>
          <w:rFonts w:ascii="Times New Roman" w:hAnsi="Times New Roman" w:cs="Times New Roman"/>
          <w:b/>
          <w:sz w:val="32"/>
          <w:szCs w:val="32"/>
        </w:rPr>
        <w:t xml:space="preserve">  </w:t>
      </w:r>
      <w:r w:rsidR="003D4A26">
        <w:rPr>
          <w:rFonts w:ascii="Times New Roman" w:hAnsi="Times New Roman" w:cs="Times New Roman"/>
          <w:b/>
          <w:sz w:val="32"/>
          <w:szCs w:val="32"/>
        </w:rPr>
        <w:t xml:space="preserve">        </w:t>
      </w:r>
      <w:r w:rsidR="00617264" w:rsidRPr="003D4A26">
        <w:rPr>
          <w:rFonts w:ascii="Times New Roman" w:hAnsi="Times New Roman" w:cs="Times New Roman"/>
          <w:b/>
          <w:sz w:val="32"/>
          <w:szCs w:val="32"/>
        </w:rPr>
        <w:t>The University of Sheffield</w:t>
      </w:r>
    </w:p>
    <w:p w14:paraId="798B11B5" w14:textId="77777777" w:rsidR="003D4A26" w:rsidRDefault="00617264" w:rsidP="0052651A">
      <w:pPr>
        <w:jc w:val="both"/>
        <w:rPr>
          <w:rFonts w:ascii="Times New Roman" w:hAnsi="Times New Roman" w:cs="Times New Roman"/>
          <w:b/>
          <w:sz w:val="28"/>
          <w:szCs w:val="28"/>
        </w:rPr>
      </w:pPr>
      <w:r w:rsidRPr="003D4A26">
        <w:rPr>
          <w:rFonts w:ascii="Times New Roman" w:hAnsi="Times New Roman" w:cs="Times New Roman"/>
          <w:b/>
          <w:sz w:val="28"/>
          <w:szCs w:val="28"/>
        </w:rPr>
        <w:t xml:space="preserve">                 </w:t>
      </w:r>
      <w:r w:rsidR="003D4A26">
        <w:rPr>
          <w:rFonts w:ascii="Times New Roman" w:hAnsi="Times New Roman" w:cs="Times New Roman"/>
          <w:b/>
          <w:sz w:val="28"/>
          <w:szCs w:val="28"/>
        </w:rPr>
        <w:t xml:space="preserve"> </w:t>
      </w:r>
    </w:p>
    <w:p w14:paraId="71BB511E" w14:textId="5CC1768A" w:rsidR="00DA28E0" w:rsidRPr="003D4A26" w:rsidRDefault="003D4A26" w:rsidP="00B24B1A">
      <w:pPr>
        <w:rPr>
          <w:rFonts w:ascii="Times New Roman" w:hAnsi="Times New Roman" w:cs="Times New Roman"/>
          <w:b/>
          <w:sz w:val="28"/>
          <w:szCs w:val="28"/>
        </w:rPr>
      </w:pPr>
      <w:r>
        <w:rPr>
          <w:rFonts w:ascii="Times New Roman" w:hAnsi="Times New Roman" w:cs="Times New Roman"/>
          <w:b/>
          <w:sz w:val="28"/>
          <w:szCs w:val="28"/>
        </w:rPr>
        <w:t xml:space="preserve">                             </w:t>
      </w:r>
      <w:r w:rsidR="00C2382D">
        <w:rPr>
          <w:rFonts w:ascii="Times New Roman" w:hAnsi="Times New Roman" w:cs="Times New Roman"/>
          <w:b/>
          <w:sz w:val="28"/>
          <w:szCs w:val="28"/>
        </w:rPr>
        <w:t xml:space="preserve">   </w:t>
      </w:r>
      <w:r w:rsidR="00617264" w:rsidRPr="003D4A26">
        <w:rPr>
          <w:rFonts w:ascii="Times New Roman" w:hAnsi="Times New Roman" w:cs="Times New Roman"/>
          <w:b/>
          <w:sz w:val="28"/>
          <w:szCs w:val="28"/>
        </w:rPr>
        <w:t>Department of Neuroscience</w:t>
      </w:r>
    </w:p>
    <w:p w14:paraId="1A7B442F" w14:textId="77777777" w:rsidR="003D4A26" w:rsidRDefault="003D4A26" w:rsidP="0052651A">
      <w:pPr>
        <w:jc w:val="both"/>
        <w:rPr>
          <w:rFonts w:ascii="Times New Roman" w:hAnsi="Times New Roman" w:cs="Times New Roman"/>
          <w:b/>
          <w:sz w:val="32"/>
          <w:szCs w:val="32"/>
        </w:rPr>
      </w:pPr>
    </w:p>
    <w:p w14:paraId="58DB5F51" w14:textId="26FC2A59" w:rsidR="00B24B1A" w:rsidRPr="00DA28E0" w:rsidRDefault="003D4A26" w:rsidP="0052651A">
      <w:pPr>
        <w:jc w:val="both"/>
        <w:rPr>
          <w:rFonts w:ascii="Times New Roman" w:hAnsi="Times New Roman" w:cs="Times New Roman"/>
          <w:b/>
          <w:sz w:val="32"/>
          <w:szCs w:val="32"/>
        </w:rPr>
      </w:pPr>
      <w:r>
        <w:rPr>
          <w:rFonts w:ascii="Times New Roman" w:hAnsi="Times New Roman" w:cs="Times New Roman"/>
          <w:b/>
          <w:sz w:val="32"/>
          <w:szCs w:val="32"/>
        </w:rPr>
        <w:t xml:space="preserve">   </w:t>
      </w:r>
      <w:r w:rsidR="00DA28E0" w:rsidRPr="00DA28E0">
        <w:rPr>
          <w:rFonts w:ascii="Times New Roman" w:hAnsi="Times New Roman" w:cs="Times New Roman"/>
          <w:b/>
          <w:sz w:val="32"/>
          <w:szCs w:val="32"/>
        </w:rPr>
        <w:t>Submitted for the degree of Doctor of Philosophy (PhD)</w:t>
      </w:r>
    </w:p>
    <w:p w14:paraId="72E48655" w14:textId="77777777" w:rsidR="00B24B1A" w:rsidRDefault="00B24B1A" w:rsidP="00B24B1A"/>
    <w:p w14:paraId="440257E6" w14:textId="77777777" w:rsidR="00B24B1A" w:rsidRDefault="00B24B1A" w:rsidP="00B24B1A"/>
    <w:p w14:paraId="28F2F77C" w14:textId="04ED66A6" w:rsidR="00B24B1A" w:rsidRPr="00C2382D" w:rsidRDefault="00DA28E0" w:rsidP="00B24B1A">
      <w:r w:rsidRPr="00C2382D">
        <w:t xml:space="preserve">                                    </w:t>
      </w:r>
      <w:r w:rsidR="0029577D" w:rsidRPr="00C2382D">
        <w:t xml:space="preserve"> </w:t>
      </w:r>
      <w:r w:rsidR="00967133" w:rsidRPr="00C2382D">
        <w:t xml:space="preserve">   </w:t>
      </w:r>
      <w:r w:rsidR="00C2382D">
        <w:t xml:space="preserve">              </w:t>
      </w:r>
      <w:r w:rsidR="00967133" w:rsidRPr="00C2382D">
        <w:t>Date: August 2016</w:t>
      </w:r>
    </w:p>
    <w:p w14:paraId="0C0D1D3A" w14:textId="77777777" w:rsidR="00B24B1A" w:rsidRDefault="00B24B1A" w:rsidP="00B24B1A"/>
    <w:p w14:paraId="2C9854CF" w14:textId="77777777" w:rsidR="00C65E14" w:rsidRDefault="00C65E14" w:rsidP="00B24B1A"/>
    <w:p w14:paraId="6AFA6176" w14:textId="77777777" w:rsidR="00C65E14" w:rsidRDefault="00C65E14" w:rsidP="00B24B1A"/>
    <w:p w14:paraId="2279EB06" w14:textId="77777777" w:rsidR="00C65E14" w:rsidRDefault="00C65E14" w:rsidP="00B24B1A"/>
    <w:p w14:paraId="0C5C4891" w14:textId="77777777" w:rsidR="00C65E14" w:rsidRDefault="00C65E14" w:rsidP="00C65E14">
      <w:pPr>
        <w:pStyle w:val="Heading1"/>
        <w:rPr>
          <w:sz w:val="24"/>
        </w:rPr>
      </w:pPr>
      <w:bookmarkStart w:id="0" w:name="_Toc328301070"/>
      <w:bookmarkStart w:id="1" w:name="_Toc329593361"/>
    </w:p>
    <w:p w14:paraId="4B589E18" w14:textId="77777777" w:rsidR="00C65E14" w:rsidRDefault="00C65E14" w:rsidP="00C65E14">
      <w:pPr>
        <w:pStyle w:val="Heading1"/>
        <w:rPr>
          <w:sz w:val="24"/>
        </w:rPr>
      </w:pPr>
    </w:p>
    <w:p w14:paraId="21B5DA22" w14:textId="77777777" w:rsidR="00C65E14" w:rsidRDefault="00C65E14" w:rsidP="00C65E14">
      <w:pPr>
        <w:pStyle w:val="Heading1"/>
        <w:rPr>
          <w:sz w:val="24"/>
        </w:rPr>
      </w:pPr>
    </w:p>
    <w:p w14:paraId="587E14E7" w14:textId="77777777" w:rsidR="00C65E14" w:rsidRDefault="00C65E14" w:rsidP="00C65E14">
      <w:pPr>
        <w:pStyle w:val="Heading1"/>
        <w:rPr>
          <w:sz w:val="24"/>
        </w:rPr>
      </w:pPr>
    </w:p>
    <w:p w14:paraId="77F4D7DA" w14:textId="77777777" w:rsidR="00C65E14" w:rsidRDefault="00C65E14" w:rsidP="00C65E14">
      <w:pPr>
        <w:pStyle w:val="Heading1"/>
        <w:rPr>
          <w:sz w:val="24"/>
        </w:rPr>
      </w:pPr>
    </w:p>
    <w:p w14:paraId="0709C2A8" w14:textId="77777777" w:rsidR="00C65E14" w:rsidRDefault="00C65E14" w:rsidP="00C65E14">
      <w:pPr>
        <w:pStyle w:val="Heading1"/>
        <w:rPr>
          <w:sz w:val="24"/>
        </w:rPr>
      </w:pPr>
    </w:p>
    <w:p w14:paraId="1C7D4F45" w14:textId="77777777" w:rsidR="00C65E14" w:rsidRDefault="00C65E14" w:rsidP="00C65E14">
      <w:pPr>
        <w:pStyle w:val="Heading1"/>
        <w:rPr>
          <w:sz w:val="24"/>
        </w:rPr>
      </w:pPr>
    </w:p>
    <w:p w14:paraId="0E55A463" w14:textId="79D535E1" w:rsidR="00C1606D" w:rsidRDefault="00C65E14" w:rsidP="007E7341">
      <w:pPr>
        <w:rPr>
          <w:rFonts w:ascii="Times New Roman" w:hAnsi="Times New Roman" w:cs="Times New Roman"/>
          <w:b/>
          <w:i/>
        </w:rPr>
      </w:pPr>
      <w:r w:rsidRPr="007E7341">
        <w:rPr>
          <w:rFonts w:ascii="Times New Roman" w:hAnsi="Times New Roman" w:cs="Times New Roman"/>
          <w:b/>
        </w:rPr>
        <w:t xml:space="preserve">   </w:t>
      </w:r>
      <w:r w:rsidR="00C1606D" w:rsidRPr="007E7341">
        <w:rPr>
          <w:rFonts w:ascii="Times New Roman" w:hAnsi="Times New Roman" w:cs="Times New Roman"/>
          <w:b/>
        </w:rPr>
        <w:t xml:space="preserve">                           </w:t>
      </w:r>
      <w:r w:rsidR="00827FCE" w:rsidRPr="007E7341">
        <w:rPr>
          <w:rFonts w:ascii="Times New Roman" w:hAnsi="Times New Roman" w:cs="Times New Roman"/>
          <w:b/>
        </w:rPr>
        <w:t xml:space="preserve">  </w:t>
      </w:r>
      <w:bookmarkStart w:id="2" w:name="_Toc331425859"/>
      <w:r w:rsidR="00DA397A" w:rsidRPr="007E7341">
        <w:rPr>
          <w:rFonts w:ascii="Times New Roman" w:hAnsi="Times New Roman" w:cs="Times New Roman"/>
          <w:b/>
          <w:i/>
        </w:rPr>
        <w:t>This is for you</w:t>
      </w:r>
      <w:r w:rsidR="00C1606D" w:rsidRPr="007E7341">
        <w:rPr>
          <w:rFonts w:ascii="Times New Roman" w:hAnsi="Times New Roman" w:cs="Times New Roman"/>
          <w:b/>
          <w:i/>
        </w:rPr>
        <w:t xml:space="preserve"> Robert Joseph Ratcliffe,</w:t>
      </w:r>
      <w:bookmarkEnd w:id="2"/>
    </w:p>
    <w:p w14:paraId="51FAB44B" w14:textId="77777777" w:rsidR="007E7341" w:rsidRPr="007E7341" w:rsidRDefault="007E7341" w:rsidP="007E7341">
      <w:pPr>
        <w:rPr>
          <w:rFonts w:ascii="Times New Roman" w:hAnsi="Times New Roman" w:cs="Times New Roman"/>
          <w:b/>
          <w:i/>
        </w:rPr>
      </w:pPr>
    </w:p>
    <w:p w14:paraId="0E56D24D" w14:textId="6642D904" w:rsidR="00C65E14" w:rsidRPr="007E7341" w:rsidRDefault="00C1606D" w:rsidP="007E7341">
      <w:pPr>
        <w:rPr>
          <w:rFonts w:ascii="Times New Roman" w:hAnsi="Times New Roman" w:cs="Times New Roman"/>
          <w:b/>
          <w:i/>
        </w:rPr>
      </w:pPr>
      <w:r w:rsidRPr="007E7341">
        <w:rPr>
          <w:rFonts w:ascii="Times New Roman" w:hAnsi="Times New Roman" w:cs="Times New Roman"/>
          <w:b/>
          <w:i/>
        </w:rPr>
        <w:t xml:space="preserve">                                                </w:t>
      </w:r>
      <w:r w:rsidR="00827FCE" w:rsidRPr="007E7341">
        <w:rPr>
          <w:rFonts w:ascii="Times New Roman" w:hAnsi="Times New Roman" w:cs="Times New Roman"/>
          <w:b/>
          <w:i/>
        </w:rPr>
        <w:t xml:space="preserve"> </w:t>
      </w:r>
      <w:bookmarkStart w:id="3" w:name="_Toc331425860"/>
      <w:r w:rsidRPr="007E7341">
        <w:rPr>
          <w:rFonts w:ascii="Times New Roman" w:hAnsi="Times New Roman" w:cs="Times New Roman"/>
          <w:b/>
          <w:i/>
        </w:rPr>
        <w:t>“</w:t>
      </w:r>
      <w:r w:rsidR="00827FCE" w:rsidRPr="007E7341">
        <w:rPr>
          <w:rFonts w:ascii="Times New Roman" w:hAnsi="Times New Roman" w:cs="Times New Roman"/>
          <w:b/>
          <w:i/>
        </w:rPr>
        <w:t>Grandad Bob</w:t>
      </w:r>
      <w:r w:rsidRPr="007E7341">
        <w:rPr>
          <w:rFonts w:ascii="Times New Roman" w:hAnsi="Times New Roman" w:cs="Times New Roman"/>
          <w:b/>
          <w:i/>
        </w:rPr>
        <w:t>”</w:t>
      </w:r>
      <w:bookmarkEnd w:id="3"/>
      <w:r w:rsidR="00827FCE" w:rsidRPr="007E7341">
        <w:rPr>
          <w:rFonts w:ascii="Times New Roman" w:hAnsi="Times New Roman" w:cs="Times New Roman"/>
          <w:b/>
          <w:i/>
        </w:rPr>
        <w:t xml:space="preserve"> </w:t>
      </w:r>
    </w:p>
    <w:p w14:paraId="07905489" w14:textId="77777777" w:rsidR="00C1606D" w:rsidRDefault="00827FCE" w:rsidP="00827FCE">
      <w:pPr>
        <w:rPr>
          <w:rFonts w:ascii="Times New Roman" w:hAnsi="Times New Roman" w:cs="Times New Roman"/>
          <w:b/>
          <w:i/>
        </w:rPr>
      </w:pPr>
      <w:r w:rsidRPr="00827FCE">
        <w:rPr>
          <w:rFonts w:ascii="Times New Roman" w:hAnsi="Times New Roman" w:cs="Times New Roman"/>
          <w:b/>
          <w:i/>
        </w:rPr>
        <w:t xml:space="preserve"> </w:t>
      </w:r>
      <w:r w:rsidR="00DA397A">
        <w:rPr>
          <w:rFonts w:ascii="Times New Roman" w:hAnsi="Times New Roman" w:cs="Times New Roman"/>
          <w:b/>
          <w:i/>
        </w:rPr>
        <w:t xml:space="preserve">                           </w:t>
      </w:r>
    </w:p>
    <w:p w14:paraId="0E7A4E7C" w14:textId="77777777" w:rsidR="00C1606D" w:rsidRDefault="00C1606D" w:rsidP="00827FCE">
      <w:pPr>
        <w:rPr>
          <w:rFonts w:ascii="Times New Roman" w:hAnsi="Times New Roman" w:cs="Times New Roman"/>
          <w:b/>
          <w:i/>
        </w:rPr>
      </w:pPr>
    </w:p>
    <w:p w14:paraId="0521ADE3" w14:textId="77777777" w:rsidR="00C1606D" w:rsidRDefault="00C1606D" w:rsidP="00827FCE">
      <w:pPr>
        <w:rPr>
          <w:rFonts w:ascii="Times New Roman" w:hAnsi="Times New Roman" w:cs="Times New Roman"/>
          <w:b/>
          <w:i/>
        </w:rPr>
      </w:pPr>
    </w:p>
    <w:p w14:paraId="781891D6" w14:textId="77777777" w:rsidR="00C1606D" w:rsidRDefault="00C1606D" w:rsidP="00827FCE">
      <w:pPr>
        <w:rPr>
          <w:rFonts w:ascii="Times New Roman" w:hAnsi="Times New Roman" w:cs="Times New Roman"/>
          <w:b/>
          <w:i/>
        </w:rPr>
      </w:pPr>
    </w:p>
    <w:p w14:paraId="619FBDAB" w14:textId="77777777" w:rsidR="00C1606D" w:rsidRDefault="00C1606D" w:rsidP="00827FCE">
      <w:pPr>
        <w:rPr>
          <w:rFonts w:ascii="Times New Roman" w:hAnsi="Times New Roman" w:cs="Times New Roman"/>
          <w:b/>
          <w:i/>
        </w:rPr>
      </w:pPr>
    </w:p>
    <w:p w14:paraId="483C3DEF" w14:textId="77777777" w:rsidR="00C1606D" w:rsidRDefault="00C1606D" w:rsidP="00827FCE">
      <w:pPr>
        <w:rPr>
          <w:rFonts w:ascii="Times New Roman" w:hAnsi="Times New Roman" w:cs="Times New Roman"/>
          <w:b/>
          <w:i/>
        </w:rPr>
      </w:pPr>
    </w:p>
    <w:p w14:paraId="4A20DA7B" w14:textId="77777777" w:rsidR="00C1606D" w:rsidRDefault="00C1606D" w:rsidP="00827FCE">
      <w:pPr>
        <w:rPr>
          <w:rFonts w:ascii="Times New Roman" w:hAnsi="Times New Roman" w:cs="Times New Roman"/>
          <w:b/>
          <w:i/>
        </w:rPr>
      </w:pPr>
    </w:p>
    <w:p w14:paraId="696A86A9" w14:textId="77777777" w:rsidR="00C1606D" w:rsidRDefault="00C1606D" w:rsidP="00827FCE">
      <w:pPr>
        <w:rPr>
          <w:rFonts w:ascii="Times New Roman" w:hAnsi="Times New Roman" w:cs="Times New Roman"/>
          <w:b/>
          <w:i/>
        </w:rPr>
      </w:pPr>
    </w:p>
    <w:p w14:paraId="36BCE367" w14:textId="77777777" w:rsidR="00C1606D" w:rsidRDefault="00C1606D" w:rsidP="00827FCE">
      <w:pPr>
        <w:rPr>
          <w:rFonts w:ascii="Times New Roman" w:hAnsi="Times New Roman" w:cs="Times New Roman"/>
          <w:b/>
          <w:i/>
        </w:rPr>
      </w:pPr>
    </w:p>
    <w:p w14:paraId="076CB060" w14:textId="77777777" w:rsidR="00C1606D" w:rsidRDefault="00C1606D" w:rsidP="00827FCE">
      <w:pPr>
        <w:rPr>
          <w:rFonts w:ascii="Times New Roman" w:hAnsi="Times New Roman" w:cs="Times New Roman"/>
          <w:b/>
          <w:i/>
        </w:rPr>
      </w:pPr>
    </w:p>
    <w:p w14:paraId="6FB71110" w14:textId="77777777" w:rsidR="00C1606D" w:rsidRDefault="00C1606D" w:rsidP="00827FCE">
      <w:pPr>
        <w:rPr>
          <w:rFonts w:ascii="Times New Roman" w:hAnsi="Times New Roman" w:cs="Times New Roman"/>
          <w:b/>
          <w:i/>
        </w:rPr>
      </w:pPr>
    </w:p>
    <w:p w14:paraId="5D1689DF" w14:textId="77777777" w:rsidR="00C1606D" w:rsidRDefault="00C1606D" w:rsidP="00827FCE">
      <w:pPr>
        <w:rPr>
          <w:rFonts w:ascii="Times New Roman" w:hAnsi="Times New Roman" w:cs="Times New Roman"/>
          <w:b/>
          <w:i/>
        </w:rPr>
      </w:pPr>
    </w:p>
    <w:p w14:paraId="44B421FA" w14:textId="77777777" w:rsidR="00C1606D" w:rsidRDefault="00C1606D" w:rsidP="00827FCE">
      <w:pPr>
        <w:rPr>
          <w:rFonts w:ascii="Times New Roman" w:hAnsi="Times New Roman" w:cs="Times New Roman"/>
          <w:b/>
          <w:i/>
        </w:rPr>
      </w:pPr>
    </w:p>
    <w:p w14:paraId="4D885839" w14:textId="77777777" w:rsidR="00C1606D" w:rsidRDefault="00C1606D" w:rsidP="00827FCE">
      <w:pPr>
        <w:rPr>
          <w:rFonts w:ascii="Times New Roman" w:hAnsi="Times New Roman" w:cs="Times New Roman"/>
          <w:b/>
          <w:i/>
        </w:rPr>
      </w:pPr>
    </w:p>
    <w:p w14:paraId="02AD6BD6" w14:textId="77777777" w:rsidR="00C1606D" w:rsidRDefault="00C1606D" w:rsidP="00827FCE">
      <w:pPr>
        <w:rPr>
          <w:rFonts w:ascii="Times New Roman" w:hAnsi="Times New Roman" w:cs="Times New Roman"/>
          <w:b/>
          <w:i/>
        </w:rPr>
      </w:pPr>
    </w:p>
    <w:p w14:paraId="520E9E26" w14:textId="77777777" w:rsidR="00C1606D" w:rsidRDefault="00C1606D" w:rsidP="00827FCE">
      <w:pPr>
        <w:rPr>
          <w:rFonts w:ascii="Times New Roman" w:hAnsi="Times New Roman" w:cs="Times New Roman"/>
          <w:b/>
          <w:i/>
        </w:rPr>
      </w:pPr>
    </w:p>
    <w:p w14:paraId="15D5F47F" w14:textId="77777777" w:rsidR="00C1606D" w:rsidRDefault="00C1606D" w:rsidP="00827FCE">
      <w:pPr>
        <w:rPr>
          <w:rFonts w:ascii="Times New Roman" w:hAnsi="Times New Roman" w:cs="Times New Roman"/>
          <w:b/>
          <w:i/>
        </w:rPr>
      </w:pPr>
    </w:p>
    <w:p w14:paraId="4C116AB4" w14:textId="77777777" w:rsidR="00C1606D" w:rsidRDefault="00C1606D" w:rsidP="00827FCE">
      <w:pPr>
        <w:rPr>
          <w:rFonts w:ascii="Times New Roman" w:hAnsi="Times New Roman" w:cs="Times New Roman"/>
          <w:b/>
          <w:i/>
        </w:rPr>
      </w:pPr>
    </w:p>
    <w:p w14:paraId="53374891" w14:textId="77777777" w:rsidR="00C1606D" w:rsidRDefault="00C1606D" w:rsidP="00827FCE">
      <w:pPr>
        <w:rPr>
          <w:rFonts w:ascii="Times New Roman" w:hAnsi="Times New Roman" w:cs="Times New Roman"/>
          <w:b/>
          <w:i/>
        </w:rPr>
      </w:pPr>
    </w:p>
    <w:p w14:paraId="0AE7BFF7" w14:textId="77777777" w:rsidR="00C1606D" w:rsidRDefault="00C1606D" w:rsidP="00827FCE">
      <w:pPr>
        <w:rPr>
          <w:rFonts w:ascii="Times New Roman" w:hAnsi="Times New Roman" w:cs="Times New Roman"/>
          <w:b/>
          <w:i/>
        </w:rPr>
      </w:pPr>
    </w:p>
    <w:p w14:paraId="77BC1FAC" w14:textId="77777777" w:rsidR="00C1606D" w:rsidRDefault="00C1606D" w:rsidP="00827FCE">
      <w:pPr>
        <w:rPr>
          <w:rFonts w:ascii="Times New Roman" w:hAnsi="Times New Roman" w:cs="Times New Roman"/>
          <w:b/>
          <w:i/>
        </w:rPr>
      </w:pPr>
    </w:p>
    <w:p w14:paraId="17A08265" w14:textId="4707BA13" w:rsidR="00827FCE" w:rsidRPr="00827FCE" w:rsidRDefault="00DA397A" w:rsidP="00827FCE">
      <w:pPr>
        <w:rPr>
          <w:rFonts w:ascii="Times New Roman" w:hAnsi="Times New Roman" w:cs="Times New Roman"/>
          <w:b/>
          <w:i/>
        </w:rPr>
      </w:pPr>
      <w:r>
        <w:rPr>
          <w:rFonts w:ascii="Times New Roman" w:hAnsi="Times New Roman" w:cs="Times New Roman"/>
          <w:b/>
          <w:i/>
        </w:rPr>
        <w:t xml:space="preserve">                        </w:t>
      </w:r>
    </w:p>
    <w:p w14:paraId="5842AA5B" w14:textId="77777777" w:rsidR="007E7341" w:rsidRDefault="007E7341" w:rsidP="00C65E14">
      <w:pPr>
        <w:pStyle w:val="Heading1"/>
        <w:rPr>
          <w:sz w:val="24"/>
        </w:rPr>
      </w:pPr>
      <w:bookmarkStart w:id="4" w:name="_Toc331425861"/>
    </w:p>
    <w:p w14:paraId="108E4FFC" w14:textId="77777777" w:rsidR="007E7341" w:rsidRDefault="007E7341" w:rsidP="007E7341">
      <w:pPr>
        <w:spacing w:line="360" w:lineRule="auto"/>
        <w:rPr>
          <w:rFonts w:ascii="Times New Roman" w:hAnsi="Times New Roman" w:cs="Times New Roman"/>
        </w:rPr>
      </w:pPr>
      <w:bookmarkStart w:id="5" w:name="_Toc331425862"/>
      <w:bookmarkEnd w:id="0"/>
      <w:bookmarkEnd w:id="1"/>
      <w:bookmarkEnd w:id="4"/>
    </w:p>
    <w:p w14:paraId="3E9F31BE" w14:textId="77777777" w:rsidR="007E7341" w:rsidRDefault="007E7341" w:rsidP="007E7341">
      <w:pPr>
        <w:spacing w:line="360" w:lineRule="auto"/>
        <w:rPr>
          <w:rFonts w:ascii="Times New Roman" w:hAnsi="Times New Roman" w:cs="Times New Roman"/>
        </w:rPr>
      </w:pPr>
    </w:p>
    <w:p w14:paraId="7C440C87" w14:textId="77777777" w:rsidR="007E7341" w:rsidRDefault="007E7341" w:rsidP="007E7341">
      <w:pPr>
        <w:spacing w:line="360" w:lineRule="auto"/>
        <w:rPr>
          <w:rFonts w:ascii="Times New Roman" w:hAnsi="Times New Roman" w:cs="Times New Roman"/>
        </w:rPr>
      </w:pPr>
    </w:p>
    <w:p w14:paraId="59A19452" w14:textId="735A75C4" w:rsidR="007E7341" w:rsidRPr="007E7341" w:rsidRDefault="007E7341" w:rsidP="007E7341">
      <w:pPr>
        <w:pStyle w:val="Heading1"/>
        <w:rPr>
          <w:sz w:val="24"/>
        </w:rPr>
      </w:pPr>
      <w:bookmarkStart w:id="6" w:name="_Toc331427049"/>
      <w:bookmarkStart w:id="7" w:name="_Toc331427421"/>
      <w:bookmarkStart w:id="8" w:name="_Toc331427563"/>
      <w:bookmarkStart w:id="9" w:name="_Toc332972567"/>
      <w:bookmarkStart w:id="10" w:name="_Toc333046847"/>
      <w:bookmarkStart w:id="11" w:name="_Toc333477194"/>
      <w:bookmarkStart w:id="12" w:name="_Toc333477964"/>
      <w:bookmarkStart w:id="13" w:name="_Toc333644864"/>
      <w:r w:rsidRPr="007E7341">
        <w:rPr>
          <w:sz w:val="24"/>
        </w:rPr>
        <w:t>Acknowledgements</w:t>
      </w:r>
      <w:bookmarkEnd w:id="6"/>
      <w:bookmarkEnd w:id="7"/>
      <w:bookmarkEnd w:id="8"/>
      <w:bookmarkEnd w:id="9"/>
      <w:bookmarkEnd w:id="10"/>
      <w:bookmarkEnd w:id="11"/>
      <w:bookmarkEnd w:id="12"/>
      <w:bookmarkEnd w:id="13"/>
    </w:p>
    <w:p w14:paraId="26C4029B" w14:textId="77777777" w:rsidR="007E7341" w:rsidRDefault="007E7341" w:rsidP="007E7341">
      <w:pPr>
        <w:spacing w:line="360" w:lineRule="auto"/>
        <w:rPr>
          <w:rFonts w:ascii="Times New Roman" w:hAnsi="Times New Roman" w:cs="Times New Roman"/>
        </w:rPr>
      </w:pPr>
    </w:p>
    <w:p w14:paraId="1C742A9E" w14:textId="2C701C17" w:rsidR="00C65E14" w:rsidRPr="007E7341" w:rsidRDefault="00DA397A" w:rsidP="0052651A">
      <w:pPr>
        <w:spacing w:line="360" w:lineRule="auto"/>
        <w:jc w:val="both"/>
        <w:rPr>
          <w:rFonts w:ascii="Times New Roman" w:hAnsi="Times New Roman" w:cs="Times New Roman"/>
        </w:rPr>
      </w:pPr>
      <w:r w:rsidRPr="007E7341">
        <w:rPr>
          <w:rFonts w:ascii="Times New Roman" w:hAnsi="Times New Roman" w:cs="Times New Roman"/>
        </w:rPr>
        <w:t>Firstly, I would like to thank my academic supervisors</w:t>
      </w:r>
      <w:r w:rsidR="009B7C71" w:rsidRPr="007E7341">
        <w:rPr>
          <w:rFonts w:ascii="Times New Roman" w:hAnsi="Times New Roman" w:cs="Times New Roman"/>
        </w:rPr>
        <w:t>,</w:t>
      </w:r>
      <w:r w:rsidRPr="007E7341">
        <w:rPr>
          <w:rFonts w:ascii="Times New Roman" w:hAnsi="Times New Roman" w:cs="Times New Roman"/>
        </w:rPr>
        <w:t xml:space="preserve"> Professor Stephen Wharton </w:t>
      </w:r>
      <w:r w:rsidR="00C1606D" w:rsidRPr="007E7341">
        <w:rPr>
          <w:rFonts w:ascii="Times New Roman" w:hAnsi="Times New Roman" w:cs="Times New Roman"/>
        </w:rPr>
        <w:t>and Dr Claire Garwood</w:t>
      </w:r>
      <w:r w:rsidR="009B7C71" w:rsidRPr="007E7341">
        <w:rPr>
          <w:rFonts w:ascii="Times New Roman" w:hAnsi="Times New Roman" w:cs="Times New Roman"/>
        </w:rPr>
        <w:t>,</w:t>
      </w:r>
      <w:r w:rsidR="00C1606D" w:rsidRPr="007E7341">
        <w:rPr>
          <w:rFonts w:ascii="Times New Roman" w:hAnsi="Times New Roman" w:cs="Times New Roman"/>
        </w:rPr>
        <w:t xml:space="preserve"> for their support and guidance </w:t>
      </w:r>
      <w:r w:rsidR="009B7C71" w:rsidRPr="007E7341">
        <w:rPr>
          <w:rFonts w:ascii="Times New Roman" w:hAnsi="Times New Roman" w:cs="Times New Roman"/>
        </w:rPr>
        <w:t xml:space="preserve">throughout my PhD and giving me a platform </w:t>
      </w:r>
      <w:r w:rsidR="009674FD" w:rsidRPr="007E7341">
        <w:rPr>
          <w:rFonts w:ascii="Times New Roman" w:hAnsi="Times New Roman" w:cs="Times New Roman"/>
        </w:rPr>
        <w:t>from which to develop as a research scientist</w:t>
      </w:r>
      <w:r w:rsidR="00C1606D" w:rsidRPr="007E7341">
        <w:rPr>
          <w:rFonts w:ascii="Times New Roman" w:hAnsi="Times New Roman" w:cs="Times New Roman"/>
        </w:rPr>
        <w:t>.</w:t>
      </w:r>
      <w:bookmarkEnd w:id="5"/>
    </w:p>
    <w:p w14:paraId="1C0E0E16" w14:textId="77777777" w:rsidR="00800698" w:rsidRPr="00CD560B" w:rsidRDefault="00800698" w:rsidP="0052651A">
      <w:pPr>
        <w:spacing w:line="360" w:lineRule="auto"/>
        <w:jc w:val="both"/>
        <w:rPr>
          <w:rFonts w:ascii="Times New Roman" w:hAnsi="Times New Roman" w:cs="Times New Roman"/>
        </w:rPr>
      </w:pPr>
    </w:p>
    <w:p w14:paraId="623F28F3" w14:textId="11910746" w:rsidR="00800698" w:rsidRPr="00CD560B" w:rsidRDefault="00CD560B" w:rsidP="0052651A">
      <w:pPr>
        <w:spacing w:line="360" w:lineRule="auto"/>
        <w:jc w:val="both"/>
        <w:rPr>
          <w:rFonts w:ascii="Times New Roman" w:hAnsi="Times New Roman" w:cs="Times New Roman"/>
        </w:rPr>
      </w:pPr>
      <w:r>
        <w:rPr>
          <w:rFonts w:ascii="Times New Roman" w:hAnsi="Times New Roman" w:cs="Times New Roman"/>
        </w:rPr>
        <w:t>Claire,</w:t>
      </w:r>
      <w:r w:rsidR="00953510">
        <w:rPr>
          <w:rFonts w:ascii="Times New Roman" w:hAnsi="Times New Roman" w:cs="Times New Roman"/>
        </w:rPr>
        <w:t xml:space="preserve"> </w:t>
      </w:r>
      <w:r w:rsidR="009674FD">
        <w:rPr>
          <w:rFonts w:ascii="Times New Roman" w:hAnsi="Times New Roman" w:cs="Times New Roman"/>
        </w:rPr>
        <w:t>you</w:t>
      </w:r>
      <w:r w:rsidR="00953510">
        <w:rPr>
          <w:rFonts w:ascii="Times New Roman" w:hAnsi="Times New Roman" w:cs="Times New Roman"/>
        </w:rPr>
        <w:t xml:space="preserve"> took me under </w:t>
      </w:r>
      <w:r w:rsidR="009674FD">
        <w:rPr>
          <w:rFonts w:ascii="Times New Roman" w:hAnsi="Times New Roman" w:cs="Times New Roman"/>
        </w:rPr>
        <w:t>your</w:t>
      </w:r>
      <w:r w:rsidR="00953510">
        <w:rPr>
          <w:rFonts w:ascii="Times New Roman" w:hAnsi="Times New Roman" w:cs="Times New Roman"/>
        </w:rPr>
        <w:t xml:space="preserve"> wing from the beginning and constantly encourage</w:t>
      </w:r>
      <w:r w:rsidR="009674FD">
        <w:rPr>
          <w:rFonts w:ascii="Times New Roman" w:hAnsi="Times New Roman" w:cs="Times New Roman"/>
        </w:rPr>
        <w:t>d me</w:t>
      </w:r>
      <w:r w:rsidR="00457463">
        <w:rPr>
          <w:rFonts w:ascii="Times New Roman" w:hAnsi="Times New Roman" w:cs="Times New Roman"/>
        </w:rPr>
        <w:t xml:space="preserve"> in every aspect of my PhD, especially motivating me to pursue opportunities outside the lab. </w:t>
      </w:r>
    </w:p>
    <w:p w14:paraId="07180B7D" w14:textId="77777777" w:rsidR="00C1606D" w:rsidRPr="00CD560B" w:rsidRDefault="00C1606D" w:rsidP="0052651A">
      <w:pPr>
        <w:spacing w:line="360" w:lineRule="auto"/>
        <w:jc w:val="both"/>
        <w:rPr>
          <w:rFonts w:ascii="Times New Roman" w:hAnsi="Times New Roman" w:cs="Times New Roman"/>
        </w:rPr>
      </w:pPr>
    </w:p>
    <w:p w14:paraId="407D7395" w14:textId="7747A917" w:rsidR="00C1606D" w:rsidRDefault="00C1606D" w:rsidP="0052651A">
      <w:pPr>
        <w:spacing w:line="360" w:lineRule="auto"/>
        <w:jc w:val="both"/>
        <w:rPr>
          <w:rFonts w:ascii="Times New Roman" w:hAnsi="Times New Roman" w:cs="Times New Roman"/>
        </w:rPr>
      </w:pPr>
      <w:r w:rsidRPr="00CD560B">
        <w:rPr>
          <w:rFonts w:ascii="Times New Roman" w:hAnsi="Times New Roman" w:cs="Times New Roman"/>
        </w:rPr>
        <w:t xml:space="preserve">I am especially grateful to </w:t>
      </w:r>
      <w:r w:rsidR="00800698" w:rsidRPr="00CD560B">
        <w:rPr>
          <w:rFonts w:ascii="Times New Roman" w:hAnsi="Times New Roman" w:cs="Times New Roman"/>
        </w:rPr>
        <w:t xml:space="preserve">Paul Heath, Heather Mortiboys, Scott Allen, Laura Ferraiuolo and Eric Hill who willingly offered their scientific expertise at points when I felt out of my depth. </w:t>
      </w:r>
      <w:r w:rsidR="00126840" w:rsidRPr="00CD560B">
        <w:rPr>
          <w:rFonts w:ascii="Times New Roman" w:hAnsi="Times New Roman" w:cs="Times New Roman"/>
        </w:rPr>
        <w:t>They not only provided the experimental tools but a forum in which to discuss scientific ideas and</w:t>
      </w:r>
      <w:r w:rsidR="009674FD">
        <w:rPr>
          <w:rFonts w:ascii="Times New Roman" w:hAnsi="Times New Roman" w:cs="Times New Roman"/>
        </w:rPr>
        <w:t xml:space="preserve"> gave me</w:t>
      </w:r>
      <w:r w:rsidR="00126840" w:rsidRPr="00CD560B">
        <w:rPr>
          <w:rFonts w:ascii="Times New Roman" w:hAnsi="Times New Roman" w:cs="Times New Roman"/>
        </w:rPr>
        <w:t xml:space="preserve"> the confidence to pursue them. </w:t>
      </w:r>
    </w:p>
    <w:p w14:paraId="03E2AEAA" w14:textId="77777777" w:rsidR="005874FE" w:rsidRDefault="005874FE" w:rsidP="0052651A">
      <w:pPr>
        <w:spacing w:line="360" w:lineRule="auto"/>
        <w:jc w:val="both"/>
        <w:rPr>
          <w:rFonts w:ascii="Times New Roman" w:hAnsi="Times New Roman" w:cs="Times New Roman"/>
        </w:rPr>
      </w:pPr>
    </w:p>
    <w:p w14:paraId="2A536B2D" w14:textId="7B6F9C9F" w:rsidR="005874FE" w:rsidRDefault="005874FE" w:rsidP="0052651A">
      <w:pPr>
        <w:spacing w:line="360" w:lineRule="auto"/>
        <w:jc w:val="both"/>
        <w:rPr>
          <w:rFonts w:ascii="Times New Roman" w:hAnsi="Times New Roman" w:cs="Times New Roman"/>
        </w:rPr>
      </w:pPr>
      <w:r>
        <w:rPr>
          <w:rFonts w:ascii="Times New Roman" w:hAnsi="Times New Roman" w:cs="Times New Roman"/>
        </w:rPr>
        <w:t>I owe a lot</w:t>
      </w:r>
      <w:r w:rsidR="00783009">
        <w:rPr>
          <w:rFonts w:ascii="Times New Roman" w:hAnsi="Times New Roman" w:cs="Times New Roman"/>
        </w:rPr>
        <w:t xml:space="preserve"> to my friends in SITraN who have really made my PhD experien</w:t>
      </w:r>
      <w:r w:rsidR="00C44398">
        <w:rPr>
          <w:rFonts w:ascii="Times New Roman" w:hAnsi="Times New Roman" w:cs="Times New Roman"/>
        </w:rPr>
        <w:t>ce</w:t>
      </w:r>
      <w:r w:rsidR="009674FD">
        <w:rPr>
          <w:rFonts w:ascii="Times New Roman" w:hAnsi="Times New Roman" w:cs="Times New Roman"/>
        </w:rPr>
        <w:t xml:space="preserve"> unforgettable</w:t>
      </w:r>
      <w:r w:rsidR="00C44398">
        <w:rPr>
          <w:rFonts w:ascii="Times New Roman" w:hAnsi="Times New Roman" w:cs="Times New Roman"/>
        </w:rPr>
        <w:t>. Their support and advice have</w:t>
      </w:r>
      <w:r w:rsidR="00783009">
        <w:rPr>
          <w:rFonts w:ascii="Times New Roman" w:hAnsi="Times New Roman" w:cs="Times New Roman"/>
        </w:rPr>
        <w:t xml:space="preserve"> been </w:t>
      </w:r>
      <w:r w:rsidR="009674FD">
        <w:rPr>
          <w:rFonts w:ascii="Times New Roman" w:hAnsi="Times New Roman" w:cs="Times New Roman"/>
        </w:rPr>
        <w:t>priceless</w:t>
      </w:r>
      <w:r w:rsidR="00783009">
        <w:rPr>
          <w:rFonts w:ascii="Times New Roman" w:hAnsi="Times New Roman" w:cs="Times New Roman"/>
        </w:rPr>
        <w:t xml:space="preserve"> over the years and I</w:t>
      </w:r>
      <w:r w:rsidR="009674FD">
        <w:rPr>
          <w:rFonts w:ascii="Times New Roman" w:hAnsi="Times New Roman" w:cs="Times New Roman"/>
        </w:rPr>
        <w:t xml:space="preserve"> especially</w:t>
      </w:r>
      <w:r w:rsidR="00783009">
        <w:rPr>
          <w:rFonts w:ascii="Times New Roman" w:hAnsi="Times New Roman" w:cs="Times New Roman"/>
        </w:rPr>
        <w:t xml:space="preserve"> want to thank them for all the coffee trips between experiments an</w:t>
      </w:r>
      <w:r w:rsidR="009674FD">
        <w:rPr>
          <w:rFonts w:ascii="Times New Roman" w:hAnsi="Times New Roman" w:cs="Times New Roman"/>
        </w:rPr>
        <w:t>d “Francis Friday” pick-me ups.</w:t>
      </w:r>
    </w:p>
    <w:p w14:paraId="26EB16D3" w14:textId="77777777" w:rsidR="00C44398" w:rsidRDefault="00C44398" w:rsidP="0052651A">
      <w:pPr>
        <w:spacing w:line="360" w:lineRule="auto"/>
        <w:jc w:val="both"/>
        <w:rPr>
          <w:rFonts w:ascii="Times New Roman" w:hAnsi="Times New Roman" w:cs="Times New Roman"/>
        </w:rPr>
      </w:pPr>
    </w:p>
    <w:p w14:paraId="36BA82A9" w14:textId="33F03285" w:rsidR="00216B28" w:rsidRDefault="00B70E2A" w:rsidP="0052651A">
      <w:pPr>
        <w:spacing w:line="360" w:lineRule="auto"/>
        <w:jc w:val="both"/>
        <w:rPr>
          <w:rFonts w:ascii="Times New Roman" w:hAnsi="Times New Roman" w:cs="Times New Roman"/>
        </w:rPr>
      </w:pPr>
      <w:r>
        <w:rPr>
          <w:rFonts w:ascii="Times New Roman" w:hAnsi="Times New Roman" w:cs="Times New Roman"/>
        </w:rPr>
        <w:t>I couldn’t have got to t</w:t>
      </w:r>
      <w:r w:rsidR="009674FD">
        <w:rPr>
          <w:rFonts w:ascii="Times New Roman" w:hAnsi="Times New Roman" w:cs="Times New Roman"/>
        </w:rPr>
        <w:t>his point without my boyfriend, Rob</w:t>
      </w:r>
      <w:r w:rsidR="007A79F0">
        <w:rPr>
          <w:rFonts w:ascii="Times New Roman" w:hAnsi="Times New Roman" w:cs="Times New Roman"/>
        </w:rPr>
        <w:t>. He has offered unwavering support and pick</w:t>
      </w:r>
      <w:r w:rsidR="00216B28">
        <w:rPr>
          <w:rFonts w:ascii="Times New Roman" w:hAnsi="Times New Roman" w:cs="Times New Roman"/>
        </w:rPr>
        <w:t>ed</w:t>
      </w:r>
      <w:r w:rsidR="007A79F0">
        <w:rPr>
          <w:rFonts w:ascii="Times New Roman" w:hAnsi="Times New Roman" w:cs="Times New Roman"/>
        </w:rPr>
        <w:t xml:space="preserve"> me up after </w:t>
      </w:r>
      <w:r w:rsidR="008D6144">
        <w:rPr>
          <w:rFonts w:ascii="Times New Roman" w:hAnsi="Times New Roman" w:cs="Times New Roman"/>
        </w:rPr>
        <w:t xml:space="preserve">many </w:t>
      </w:r>
      <w:r w:rsidR="007A79F0">
        <w:rPr>
          <w:rFonts w:ascii="Times New Roman" w:hAnsi="Times New Roman" w:cs="Times New Roman"/>
        </w:rPr>
        <w:t xml:space="preserve">a tough day in the lab, often literally. </w:t>
      </w:r>
      <w:r w:rsidR="00216B28">
        <w:rPr>
          <w:rFonts w:ascii="Times New Roman" w:hAnsi="Times New Roman" w:cs="Times New Roman"/>
        </w:rPr>
        <w:t xml:space="preserve">He has believed in me when I haven’t and made what seemed impossible possible. </w:t>
      </w:r>
      <w:r w:rsidR="00F504B4">
        <w:rPr>
          <w:rFonts w:ascii="Times New Roman" w:hAnsi="Times New Roman" w:cs="Times New Roman"/>
        </w:rPr>
        <w:t>I want to thank him for being so unde</w:t>
      </w:r>
      <w:r w:rsidR="0018574A">
        <w:rPr>
          <w:rFonts w:ascii="Times New Roman" w:hAnsi="Times New Roman" w:cs="Times New Roman"/>
        </w:rPr>
        <w:t>rstanding</w:t>
      </w:r>
      <w:r w:rsidR="008D6144">
        <w:rPr>
          <w:rFonts w:ascii="Times New Roman" w:hAnsi="Times New Roman" w:cs="Times New Roman"/>
        </w:rPr>
        <w:t>, seeing the best in every situation</w:t>
      </w:r>
      <w:r w:rsidR="0018574A">
        <w:rPr>
          <w:rFonts w:ascii="Times New Roman" w:hAnsi="Times New Roman" w:cs="Times New Roman"/>
        </w:rPr>
        <w:t xml:space="preserve"> and keeping life fun.</w:t>
      </w:r>
    </w:p>
    <w:p w14:paraId="49E147EB" w14:textId="77777777" w:rsidR="00216B28" w:rsidRDefault="00216B28" w:rsidP="0052651A">
      <w:pPr>
        <w:spacing w:line="360" w:lineRule="auto"/>
        <w:jc w:val="both"/>
        <w:rPr>
          <w:rFonts w:ascii="Times New Roman" w:hAnsi="Times New Roman" w:cs="Times New Roman"/>
        </w:rPr>
      </w:pPr>
    </w:p>
    <w:p w14:paraId="08F58E35" w14:textId="7DDF540F" w:rsidR="00684C9E" w:rsidRDefault="00216B28" w:rsidP="0052651A">
      <w:pPr>
        <w:spacing w:line="360" w:lineRule="auto"/>
        <w:jc w:val="both"/>
        <w:rPr>
          <w:rFonts w:ascii="Times New Roman" w:hAnsi="Times New Roman" w:cs="Times New Roman"/>
        </w:rPr>
      </w:pPr>
      <w:r>
        <w:rPr>
          <w:rFonts w:ascii="Times New Roman" w:hAnsi="Times New Roman" w:cs="Times New Roman"/>
        </w:rPr>
        <w:t>Finally, I want to thank my parents</w:t>
      </w:r>
      <w:r w:rsidR="00F464FD">
        <w:rPr>
          <w:rFonts w:ascii="Times New Roman" w:hAnsi="Times New Roman" w:cs="Times New Roman"/>
        </w:rPr>
        <w:t>,</w:t>
      </w:r>
      <w:r w:rsidR="00EA5D05">
        <w:rPr>
          <w:rFonts w:ascii="Times New Roman" w:hAnsi="Times New Roman" w:cs="Times New Roman"/>
        </w:rPr>
        <w:t xml:space="preserve"> as I know I w</w:t>
      </w:r>
      <w:r>
        <w:rPr>
          <w:rFonts w:ascii="Times New Roman" w:hAnsi="Times New Roman" w:cs="Times New Roman"/>
        </w:rPr>
        <w:t xml:space="preserve">ouldn’t have made it </w:t>
      </w:r>
      <w:r w:rsidR="00F504B4">
        <w:rPr>
          <w:rFonts w:ascii="Times New Roman" w:hAnsi="Times New Roman" w:cs="Times New Roman"/>
        </w:rPr>
        <w:t xml:space="preserve">this far </w:t>
      </w:r>
      <w:r>
        <w:rPr>
          <w:rFonts w:ascii="Times New Roman" w:hAnsi="Times New Roman" w:cs="Times New Roman"/>
        </w:rPr>
        <w:t>without them.</w:t>
      </w:r>
      <w:r w:rsidR="009674FD">
        <w:rPr>
          <w:rFonts w:ascii="Times New Roman" w:hAnsi="Times New Roman" w:cs="Times New Roman"/>
        </w:rPr>
        <w:t xml:space="preserve"> </w:t>
      </w:r>
      <w:r w:rsidR="008D6144">
        <w:rPr>
          <w:rFonts w:ascii="Times New Roman" w:hAnsi="Times New Roman" w:cs="Times New Roman"/>
        </w:rPr>
        <w:t>At one point, this</w:t>
      </w:r>
      <w:r w:rsidR="00005F27">
        <w:rPr>
          <w:rFonts w:ascii="Times New Roman" w:hAnsi="Times New Roman" w:cs="Times New Roman"/>
        </w:rPr>
        <w:t xml:space="preserve"> all</w:t>
      </w:r>
      <w:r w:rsidR="008D6144">
        <w:rPr>
          <w:rFonts w:ascii="Times New Roman" w:hAnsi="Times New Roman" w:cs="Times New Roman"/>
        </w:rPr>
        <w:t xml:space="preserve"> felt totally o</w:t>
      </w:r>
      <w:r w:rsidR="00005F27">
        <w:rPr>
          <w:rFonts w:ascii="Times New Roman" w:hAnsi="Times New Roman" w:cs="Times New Roman"/>
        </w:rPr>
        <w:t>ut of my grasp but my parents helped me believe again. I can’t thank them enough for all the times they have coached me on the phone or in person</w:t>
      </w:r>
      <w:r w:rsidR="00474C06">
        <w:rPr>
          <w:rFonts w:ascii="Times New Roman" w:hAnsi="Times New Roman" w:cs="Times New Roman"/>
        </w:rPr>
        <w:t xml:space="preserve">. </w:t>
      </w:r>
      <w:r w:rsidR="00D16F56">
        <w:rPr>
          <w:rFonts w:ascii="Times New Roman" w:hAnsi="Times New Roman" w:cs="Times New Roman"/>
        </w:rPr>
        <w:t>They constantly inspire and motivate me</w:t>
      </w:r>
      <w:r w:rsidR="00EA5D05">
        <w:rPr>
          <w:rFonts w:ascii="Times New Roman" w:hAnsi="Times New Roman" w:cs="Times New Roman"/>
        </w:rPr>
        <w:t xml:space="preserve"> an</w:t>
      </w:r>
      <w:r w:rsidR="006E1916">
        <w:rPr>
          <w:rFonts w:ascii="Times New Roman" w:hAnsi="Times New Roman" w:cs="Times New Roman"/>
        </w:rPr>
        <w:t>d I will be forever grateful.</w:t>
      </w:r>
      <w:r w:rsidR="009674FD">
        <w:rPr>
          <w:rFonts w:ascii="Times New Roman" w:hAnsi="Times New Roman" w:cs="Times New Roman"/>
        </w:rPr>
        <w:t xml:space="preserve"> </w:t>
      </w:r>
    </w:p>
    <w:p w14:paraId="5FDD86B9" w14:textId="77777777" w:rsidR="009674FD" w:rsidRDefault="009674FD" w:rsidP="0052651A">
      <w:pPr>
        <w:spacing w:line="360" w:lineRule="auto"/>
        <w:jc w:val="both"/>
        <w:rPr>
          <w:rFonts w:ascii="Times New Roman" w:hAnsi="Times New Roman" w:cs="Times New Roman"/>
        </w:rPr>
      </w:pPr>
    </w:p>
    <w:p w14:paraId="50865640" w14:textId="175D5670" w:rsidR="009674FD" w:rsidRPr="00CD560B" w:rsidRDefault="009674FD" w:rsidP="0052651A">
      <w:pPr>
        <w:spacing w:line="360" w:lineRule="auto"/>
        <w:jc w:val="both"/>
        <w:rPr>
          <w:rFonts w:ascii="Times New Roman" w:hAnsi="Times New Roman" w:cs="Times New Roman"/>
        </w:rPr>
      </w:pPr>
      <w:r>
        <w:rPr>
          <w:rFonts w:ascii="Times New Roman" w:hAnsi="Times New Roman" w:cs="Times New Roman"/>
        </w:rPr>
        <w:t>Never</w:t>
      </w:r>
      <w:r w:rsidR="0001477D">
        <w:rPr>
          <w:rFonts w:ascii="Times New Roman" w:hAnsi="Times New Roman" w:cs="Times New Roman"/>
        </w:rPr>
        <w:t xml:space="preserve"> Again (Baker</w:t>
      </w:r>
      <w:r w:rsidR="0029577D">
        <w:rPr>
          <w:rFonts w:ascii="Times New Roman" w:hAnsi="Times New Roman" w:cs="Times New Roman"/>
        </w:rPr>
        <w:t>,</w:t>
      </w:r>
      <w:r w:rsidR="0001477D">
        <w:rPr>
          <w:rFonts w:ascii="Times New Roman" w:hAnsi="Times New Roman" w:cs="Times New Roman"/>
        </w:rPr>
        <w:t xml:space="preserve"> 2015</w:t>
      </w:r>
      <w:r>
        <w:rPr>
          <w:rFonts w:ascii="Times New Roman" w:hAnsi="Times New Roman" w:cs="Times New Roman"/>
        </w:rPr>
        <w:t xml:space="preserve">) </w:t>
      </w:r>
    </w:p>
    <w:p w14:paraId="2E51C420" w14:textId="77777777" w:rsidR="00C1606D" w:rsidRPr="00C1606D" w:rsidRDefault="00C1606D" w:rsidP="00C1606D">
      <w:pPr>
        <w:rPr>
          <w:rFonts w:ascii="Times New Roman" w:hAnsi="Times New Roman" w:cs="Times New Roman"/>
        </w:rPr>
      </w:pPr>
    </w:p>
    <w:p w14:paraId="4184D81C" w14:textId="77777777" w:rsidR="00C65E14" w:rsidRPr="004975E3" w:rsidRDefault="00C65E14" w:rsidP="00C65E14">
      <w:pPr>
        <w:pStyle w:val="Heading1"/>
        <w:rPr>
          <w:sz w:val="24"/>
        </w:rPr>
      </w:pPr>
      <w:bookmarkStart w:id="14" w:name="_Toc328301071"/>
      <w:bookmarkStart w:id="15" w:name="_Toc329593362"/>
      <w:bookmarkStart w:id="16" w:name="_Toc331425863"/>
      <w:bookmarkStart w:id="17" w:name="_Toc331427050"/>
      <w:bookmarkStart w:id="18" w:name="_Toc331427422"/>
      <w:bookmarkStart w:id="19" w:name="_Toc331427564"/>
      <w:bookmarkStart w:id="20" w:name="_Toc332972568"/>
      <w:bookmarkStart w:id="21" w:name="_Toc333046848"/>
      <w:bookmarkStart w:id="22" w:name="_Toc333477195"/>
      <w:bookmarkStart w:id="23" w:name="_Toc333477965"/>
      <w:bookmarkStart w:id="24" w:name="_Toc333644865"/>
      <w:r w:rsidRPr="004975E3">
        <w:rPr>
          <w:sz w:val="24"/>
        </w:rPr>
        <w:t>Abstract</w:t>
      </w:r>
      <w:bookmarkEnd w:id="14"/>
      <w:bookmarkEnd w:id="15"/>
      <w:bookmarkEnd w:id="16"/>
      <w:bookmarkEnd w:id="17"/>
      <w:bookmarkEnd w:id="18"/>
      <w:bookmarkEnd w:id="19"/>
      <w:bookmarkEnd w:id="20"/>
      <w:bookmarkEnd w:id="21"/>
      <w:bookmarkEnd w:id="22"/>
      <w:bookmarkEnd w:id="23"/>
      <w:bookmarkEnd w:id="24"/>
    </w:p>
    <w:p w14:paraId="20637B2C" w14:textId="77777777" w:rsidR="00C65E14" w:rsidRPr="004975E3" w:rsidRDefault="00C65E14" w:rsidP="00C65E14"/>
    <w:p w14:paraId="23790806" w14:textId="77777777" w:rsidR="00C65E14" w:rsidRDefault="00C65E14" w:rsidP="00B07212">
      <w:pPr>
        <w:jc w:val="both"/>
      </w:pPr>
    </w:p>
    <w:p w14:paraId="75359B21" w14:textId="6470F80B" w:rsidR="00C65E14" w:rsidRDefault="00C65E14" w:rsidP="00B07212">
      <w:pPr>
        <w:spacing w:line="360" w:lineRule="auto"/>
        <w:jc w:val="both"/>
        <w:rPr>
          <w:rFonts w:ascii="Times New Roman" w:hAnsi="Times New Roman" w:cs="Times New Roman"/>
        </w:rPr>
      </w:pPr>
      <w:bookmarkStart w:id="25" w:name="_GoBack"/>
      <w:r w:rsidRPr="007E7341">
        <w:rPr>
          <w:rFonts w:ascii="Times New Roman" w:hAnsi="Times New Roman" w:cs="Times New Roman"/>
        </w:rPr>
        <w:t>Alzheimer’s disease (AD) is a progressive neurodegenerative disorder that is classically character</w:t>
      </w:r>
      <w:r w:rsidR="00C96B80">
        <w:rPr>
          <w:rFonts w:ascii="Times New Roman" w:hAnsi="Times New Roman" w:cs="Times New Roman"/>
        </w:rPr>
        <w:t>ised by the presence of a</w:t>
      </w:r>
      <w:r w:rsidR="00967133">
        <w:rPr>
          <w:rFonts w:ascii="Times New Roman" w:hAnsi="Times New Roman" w:cs="Times New Roman"/>
        </w:rPr>
        <w:t xml:space="preserve">myloid </w:t>
      </w:r>
      <w:r w:rsidRPr="007E7341">
        <w:rPr>
          <w:rFonts w:ascii="Times New Roman" w:hAnsi="Times New Roman" w:cs="Times New Roman"/>
        </w:rPr>
        <w:t>beta (Aβ) plaques and</w:t>
      </w:r>
      <w:r w:rsidR="002659AE">
        <w:rPr>
          <w:rFonts w:ascii="Times New Roman" w:hAnsi="Times New Roman" w:cs="Times New Roman"/>
        </w:rPr>
        <w:t xml:space="preserve"> neurofibrillary tangles (NFTs) and r</w:t>
      </w:r>
      <w:r w:rsidRPr="007E7341">
        <w:rPr>
          <w:rFonts w:ascii="Times New Roman" w:hAnsi="Times New Roman" w:cs="Times New Roman"/>
        </w:rPr>
        <w:t>esearch</w:t>
      </w:r>
      <w:r w:rsidR="002659AE">
        <w:rPr>
          <w:rFonts w:ascii="Times New Roman" w:hAnsi="Times New Roman" w:cs="Times New Roman"/>
        </w:rPr>
        <w:t xml:space="preserve"> to date</w:t>
      </w:r>
      <w:r w:rsidRPr="007E7341">
        <w:rPr>
          <w:rFonts w:ascii="Times New Roman" w:hAnsi="Times New Roman" w:cs="Times New Roman"/>
        </w:rPr>
        <w:t xml:space="preserve"> has largely focused</w:t>
      </w:r>
      <w:r w:rsidR="002659AE">
        <w:rPr>
          <w:rFonts w:ascii="Times New Roman" w:hAnsi="Times New Roman" w:cs="Times New Roman"/>
        </w:rPr>
        <w:t xml:space="preserve"> on how these plaques and tangles affect neuronal function. </w:t>
      </w:r>
      <w:r w:rsidRPr="007E7341">
        <w:rPr>
          <w:rFonts w:ascii="Times New Roman" w:hAnsi="Times New Roman" w:cs="Times New Roman"/>
        </w:rPr>
        <w:t>However, there is evidence to suggest that the fundamental homeostatic support offered by astrocy</w:t>
      </w:r>
      <w:r w:rsidR="004341A0">
        <w:rPr>
          <w:rFonts w:ascii="Times New Roman" w:hAnsi="Times New Roman" w:cs="Times New Roman"/>
        </w:rPr>
        <w:t>tes may be dysregulated early</w:t>
      </w:r>
      <w:r w:rsidR="002659AE">
        <w:rPr>
          <w:rFonts w:ascii="Times New Roman" w:hAnsi="Times New Roman" w:cs="Times New Roman"/>
        </w:rPr>
        <w:t xml:space="preserve"> on</w:t>
      </w:r>
      <w:r w:rsidRPr="007E7341">
        <w:rPr>
          <w:rFonts w:ascii="Times New Roman" w:hAnsi="Times New Roman" w:cs="Times New Roman"/>
        </w:rPr>
        <w:t xml:space="preserve"> in AD progression. Changes in </w:t>
      </w:r>
      <w:r w:rsidR="004341A0">
        <w:rPr>
          <w:rFonts w:ascii="Times New Roman" w:hAnsi="Times New Roman" w:cs="Times New Roman"/>
        </w:rPr>
        <w:t>cell signalling, particularly impairments in the</w:t>
      </w:r>
      <w:r w:rsidRPr="007E7341">
        <w:rPr>
          <w:rFonts w:ascii="Times New Roman" w:hAnsi="Times New Roman" w:cs="Times New Roman"/>
        </w:rPr>
        <w:t xml:space="preserve"> insulin/insulin-like growth factor 1 (IGF1) </w:t>
      </w:r>
      <w:r w:rsidR="004341A0">
        <w:rPr>
          <w:rFonts w:ascii="Times New Roman" w:hAnsi="Times New Roman" w:cs="Times New Roman"/>
        </w:rPr>
        <w:t>pathway are</w:t>
      </w:r>
      <w:r w:rsidRPr="007E7341">
        <w:rPr>
          <w:rFonts w:ascii="Times New Roman" w:hAnsi="Times New Roman" w:cs="Times New Roman"/>
        </w:rPr>
        <w:t xml:space="preserve"> now widely reported in AD and more recently, alterations to this pathway have been identified in astrocytes. The contribution of impaired insulin/IGF1 signalling in AD is </w:t>
      </w:r>
      <w:r w:rsidR="004341A0">
        <w:rPr>
          <w:rFonts w:ascii="Times New Roman" w:hAnsi="Times New Roman" w:cs="Times New Roman"/>
        </w:rPr>
        <w:t>unclear</w:t>
      </w:r>
      <w:r w:rsidRPr="007E7341">
        <w:rPr>
          <w:rFonts w:ascii="Times New Roman" w:hAnsi="Times New Roman" w:cs="Times New Roman"/>
        </w:rPr>
        <w:t xml:space="preserve"> since there is </w:t>
      </w:r>
      <w:r w:rsidR="004341A0">
        <w:rPr>
          <w:rFonts w:ascii="Times New Roman" w:hAnsi="Times New Roman" w:cs="Times New Roman"/>
        </w:rPr>
        <w:t xml:space="preserve">also </w:t>
      </w:r>
      <w:r w:rsidRPr="007E7341">
        <w:rPr>
          <w:rFonts w:ascii="Times New Roman" w:hAnsi="Times New Roman" w:cs="Times New Roman"/>
        </w:rPr>
        <w:t xml:space="preserve">extensive literature showing an association between dysregulated insulin/IGF1 signalling and longevity. </w:t>
      </w:r>
    </w:p>
    <w:p w14:paraId="3DDD7FEA" w14:textId="77777777" w:rsidR="00967133" w:rsidRPr="007E7341" w:rsidRDefault="00967133" w:rsidP="00C65E14">
      <w:pPr>
        <w:spacing w:line="360" w:lineRule="auto"/>
        <w:rPr>
          <w:rFonts w:ascii="Times New Roman" w:hAnsi="Times New Roman" w:cs="Times New Roman"/>
        </w:rPr>
      </w:pPr>
    </w:p>
    <w:p w14:paraId="248D2FBC" w14:textId="555BBD5F" w:rsidR="00C65E14" w:rsidRDefault="00C65E14" w:rsidP="00B07212">
      <w:pPr>
        <w:spacing w:line="360" w:lineRule="auto"/>
        <w:jc w:val="both"/>
        <w:rPr>
          <w:rFonts w:ascii="Times New Roman" w:hAnsi="Times New Roman" w:cs="Times New Roman"/>
        </w:rPr>
      </w:pPr>
      <w:r w:rsidRPr="007E7341">
        <w:rPr>
          <w:rFonts w:ascii="Times New Roman" w:hAnsi="Times New Roman" w:cs="Times New Roman"/>
        </w:rPr>
        <w:t>The aim of this thesis is to understand how impaired IGF1 signalling affects</w:t>
      </w:r>
      <w:r w:rsidR="002659AE">
        <w:rPr>
          <w:rFonts w:ascii="Times New Roman" w:hAnsi="Times New Roman" w:cs="Times New Roman"/>
        </w:rPr>
        <w:t xml:space="preserve"> the function of human astrocytes</w:t>
      </w:r>
      <w:r w:rsidRPr="007E7341">
        <w:rPr>
          <w:rFonts w:ascii="Times New Roman" w:hAnsi="Times New Roman" w:cs="Times New Roman"/>
        </w:rPr>
        <w:t xml:space="preserve"> and </w:t>
      </w:r>
      <w:r w:rsidR="002659AE">
        <w:rPr>
          <w:rFonts w:ascii="Times New Roman" w:hAnsi="Times New Roman" w:cs="Times New Roman"/>
        </w:rPr>
        <w:t>their support for neuron</w:t>
      </w:r>
      <w:r w:rsidR="007E5A49">
        <w:rPr>
          <w:rFonts w:ascii="Times New Roman" w:hAnsi="Times New Roman" w:cs="Times New Roman"/>
        </w:rPr>
        <w:t xml:space="preserve">s. </w:t>
      </w:r>
      <w:r w:rsidRPr="007E7341">
        <w:rPr>
          <w:rFonts w:ascii="Times New Roman" w:hAnsi="Times New Roman" w:cs="Times New Roman"/>
        </w:rPr>
        <w:t>To achieve this, human astrocytes were treated with a monoclonal antibody</w:t>
      </w:r>
      <w:r w:rsidR="008E3AA4">
        <w:rPr>
          <w:rFonts w:ascii="Times New Roman" w:hAnsi="Times New Roman" w:cs="Times New Roman"/>
        </w:rPr>
        <w:t xml:space="preserve"> (MAB391)</w:t>
      </w:r>
      <w:r w:rsidRPr="007E7341">
        <w:rPr>
          <w:rFonts w:ascii="Times New Roman" w:hAnsi="Times New Roman" w:cs="Times New Roman"/>
        </w:rPr>
        <w:t xml:space="preserve"> that specifically targets</w:t>
      </w:r>
      <w:r w:rsidR="008E3AA4">
        <w:rPr>
          <w:rFonts w:ascii="Times New Roman" w:hAnsi="Times New Roman" w:cs="Times New Roman"/>
        </w:rPr>
        <w:t xml:space="preserve"> insulin-like growth factor 1 receptor</w:t>
      </w:r>
      <w:r w:rsidRPr="007E7341">
        <w:rPr>
          <w:rFonts w:ascii="Times New Roman" w:hAnsi="Times New Roman" w:cs="Times New Roman"/>
        </w:rPr>
        <w:t xml:space="preserve"> </w:t>
      </w:r>
      <w:r w:rsidR="008E3AA4">
        <w:rPr>
          <w:rFonts w:ascii="Times New Roman" w:hAnsi="Times New Roman" w:cs="Times New Roman"/>
        </w:rPr>
        <w:t>(</w:t>
      </w:r>
      <w:r w:rsidRPr="007E7341">
        <w:rPr>
          <w:rFonts w:ascii="Times New Roman" w:hAnsi="Times New Roman" w:cs="Times New Roman"/>
        </w:rPr>
        <w:t>IGF1R</w:t>
      </w:r>
      <w:r w:rsidR="008E3AA4">
        <w:rPr>
          <w:rFonts w:ascii="Times New Roman" w:hAnsi="Times New Roman" w:cs="Times New Roman"/>
        </w:rPr>
        <w:t>)</w:t>
      </w:r>
      <w:r w:rsidR="002659AE">
        <w:rPr>
          <w:rFonts w:ascii="Times New Roman" w:hAnsi="Times New Roman" w:cs="Times New Roman"/>
        </w:rPr>
        <w:t>, causing downregulation of the receptor.</w:t>
      </w:r>
      <w:r w:rsidRPr="007E7341">
        <w:rPr>
          <w:rFonts w:ascii="Times New Roman" w:hAnsi="Times New Roman" w:cs="Times New Roman"/>
        </w:rPr>
        <w:t xml:space="preserve"> A novel human astrocyte-neuron co-culture w</w:t>
      </w:r>
      <w:r w:rsidR="002659AE">
        <w:rPr>
          <w:rFonts w:ascii="Times New Roman" w:hAnsi="Times New Roman" w:cs="Times New Roman"/>
        </w:rPr>
        <w:t>as developed to establish a</w:t>
      </w:r>
      <w:r w:rsidRPr="007E7341">
        <w:rPr>
          <w:rFonts w:ascii="Times New Roman" w:hAnsi="Times New Roman" w:cs="Times New Roman"/>
        </w:rPr>
        <w:t xml:space="preserve"> physiologically relevant environment for the astrocytes</w:t>
      </w:r>
      <w:r w:rsidR="002659AE">
        <w:rPr>
          <w:rFonts w:ascii="Times New Roman" w:hAnsi="Times New Roman" w:cs="Times New Roman"/>
        </w:rPr>
        <w:t xml:space="preserve"> and so that any alterations in astrocyte neuronal support could be observed. IGF1 si</w:t>
      </w:r>
      <w:r w:rsidR="007E5A49">
        <w:rPr>
          <w:rFonts w:ascii="Times New Roman" w:hAnsi="Times New Roman" w:cs="Times New Roman"/>
        </w:rPr>
        <w:t>gnalling impaired astrocytes were</w:t>
      </w:r>
      <w:r w:rsidR="002659AE">
        <w:rPr>
          <w:rFonts w:ascii="Times New Roman" w:hAnsi="Times New Roman" w:cs="Times New Roman"/>
        </w:rPr>
        <w:t xml:space="preserve"> less able to support neurons when challenged with hydrogen peroxide, as revealed in a neurite outgrowth assay.</w:t>
      </w:r>
      <w:r w:rsidRPr="007E7341">
        <w:rPr>
          <w:rFonts w:ascii="Times New Roman" w:hAnsi="Times New Roman" w:cs="Times New Roman"/>
        </w:rPr>
        <w:t xml:space="preserve"> Using FACS sorting, astrocytes were enriched from the co-cultures and the transcriptomic profile of MAB391-treated astrocytes was assessed compared to control. Dysregulation in </w:t>
      </w:r>
      <w:r w:rsidR="004341A0">
        <w:rPr>
          <w:rFonts w:ascii="Times New Roman" w:hAnsi="Times New Roman" w:cs="Times New Roman"/>
        </w:rPr>
        <w:t>cell pathways involved in astrocyte energy metabolism were</w:t>
      </w:r>
      <w:r w:rsidRPr="007E7341">
        <w:rPr>
          <w:rFonts w:ascii="Times New Roman" w:hAnsi="Times New Roman" w:cs="Times New Roman"/>
        </w:rPr>
        <w:t xml:space="preserve"> identified, with particular defects in complex I activity being validated. </w:t>
      </w:r>
    </w:p>
    <w:p w14:paraId="7330E42D" w14:textId="77777777" w:rsidR="00967133" w:rsidRPr="007E7341" w:rsidRDefault="00967133" w:rsidP="00B07212">
      <w:pPr>
        <w:spacing w:line="360" w:lineRule="auto"/>
        <w:jc w:val="both"/>
        <w:rPr>
          <w:rFonts w:ascii="Times New Roman" w:hAnsi="Times New Roman" w:cs="Times New Roman"/>
        </w:rPr>
      </w:pPr>
    </w:p>
    <w:p w14:paraId="576D04C1" w14:textId="577052E9" w:rsidR="00C65E14" w:rsidRPr="007E7341" w:rsidRDefault="00C65E14" w:rsidP="00B07212">
      <w:pPr>
        <w:spacing w:line="360" w:lineRule="auto"/>
        <w:jc w:val="both"/>
        <w:rPr>
          <w:rFonts w:ascii="Times New Roman" w:hAnsi="Times New Roman" w:cs="Times New Roman"/>
        </w:rPr>
      </w:pPr>
      <w:r w:rsidRPr="007E7341">
        <w:rPr>
          <w:rFonts w:ascii="Times New Roman" w:hAnsi="Times New Roman" w:cs="Times New Roman"/>
        </w:rPr>
        <w:t xml:space="preserve">Therefore, loss of IGF1R may impair astrocyte energy metabolism and reduce support for neurons in conditions of </w:t>
      </w:r>
      <w:r w:rsidR="00F459E9" w:rsidRPr="007E7341">
        <w:rPr>
          <w:rFonts w:ascii="Times New Roman" w:hAnsi="Times New Roman" w:cs="Times New Roman"/>
        </w:rPr>
        <w:t>external stress</w:t>
      </w:r>
      <w:r w:rsidRPr="007E7341">
        <w:rPr>
          <w:rFonts w:ascii="Times New Roman" w:hAnsi="Times New Roman" w:cs="Times New Roman"/>
        </w:rPr>
        <w:t>. This could suggest that therapeutically restoring the IGF1 signalling pathway in astrocytes may preserv</w:t>
      </w:r>
      <w:r w:rsidR="004341A0">
        <w:rPr>
          <w:rFonts w:ascii="Times New Roman" w:hAnsi="Times New Roman" w:cs="Times New Roman"/>
        </w:rPr>
        <w:t>e support for neurons during ag</w:t>
      </w:r>
      <w:r w:rsidR="00281391">
        <w:rPr>
          <w:rFonts w:ascii="Times New Roman" w:hAnsi="Times New Roman" w:cs="Times New Roman"/>
        </w:rPr>
        <w:t>e</w:t>
      </w:r>
      <w:r w:rsidR="004341A0">
        <w:rPr>
          <w:rFonts w:ascii="Times New Roman" w:hAnsi="Times New Roman" w:cs="Times New Roman"/>
        </w:rPr>
        <w:t>ing</w:t>
      </w:r>
      <w:r w:rsidRPr="007E7341">
        <w:rPr>
          <w:rFonts w:ascii="Times New Roman" w:hAnsi="Times New Roman" w:cs="Times New Roman"/>
        </w:rPr>
        <w:t xml:space="preserve"> and AD-associated stress.</w:t>
      </w:r>
    </w:p>
    <w:bookmarkEnd w:id="25"/>
    <w:p w14:paraId="3A3A0219" w14:textId="77777777" w:rsidR="00C65E14" w:rsidRDefault="00C65E14" w:rsidP="00B24B1A"/>
    <w:p w14:paraId="5F9BA8C6" w14:textId="3BE7AD02" w:rsidR="00CF45B3" w:rsidRDefault="00CF45B3"/>
    <w:p w14:paraId="41E4FF7E" w14:textId="77777777" w:rsidR="002659AE" w:rsidRDefault="002659AE"/>
    <w:sdt>
      <w:sdtPr>
        <w:rPr>
          <w:rFonts w:ascii="Times New Roman" w:eastAsiaTheme="minorEastAsia" w:hAnsi="Times New Roman" w:cstheme="minorBidi"/>
          <w:b w:val="0"/>
          <w:bCs w:val="0"/>
          <w:color w:val="auto"/>
          <w:sz w:val="24"/>
          <w:u w:val="none"/>
        </w:rPr>
        <w:id w:val="1475793170"/>
        <w:docPartObj>
          <w:docPartGallery w:val="Table of Contents"/>
          <w:docPartUnique/>
        </w:docPartObj>
      </w:sdtPr>
      <w:sdtEndPr>
        <w:rPr>
          <w:rFonts w:cs="Times New Roman"/>
          <w:noProof/>
        </w:rPr>
      </w:sdtEndPr>
      <w:sdtContent>
        <w:p w14:paraId="1A5FFD22" w14:textId="0F28D18B" w:rsidR="0052651A" w:rsidRPr="00F85E8E" w:rsidRDefault="0052651A">
          <w:pPr>
            <w:pStyle w:val="TOCHeading"/>
            <w:rPr>
              <w:rFonts w:ascii="Times New Roman" w:hAnsi="Times New Roman"/>
              <w:color w:val="auto"/>
              <w:szCs w:val="36"/>
            </w:rPr>
          </w:pPr>
          <w:r w:rsidRPr="00F85E8E">
            <w:rPr>
              <w:rFonts w:ascii="Times New Roman" w:hAnsi="Times New Roman"/>
              <w:color w:val="auto"/>
              <w:szCs w:val="36"/>
            </w:rPr>
            <w:t>Table of Contents</w:t>
          </w:r>
        </w:p>
        <w:p w14:paraId="233B05DF" w14:textId="77777777" w:rsidR="009625AD" w:rsidRPr="009625AD" w:rsidRDefault="0052651A">
          <w:pPr>
            <w:pStyle w:val="TOC1"/>
            <w:tabs>
              <w:tab w:val="right" w:leader="dot" w:pos="8488"/>
            </w:tabs>
            <w:rPr>
              <w:rFonts w:ascii="Times New Roman" w:hAnsi="Times New Roman" w:cs="Times New Roman"/>
              <w:b w:val="0"/>
              <w:noProof/>
              <w:lang w:val="en-GB" w:eastAsia="ja-JP"/>
            </w:rPr>
          </w:pPr>
          <w:r w:rsidRPr="009625AD">
            <w:rPr>
              <w:rFonts w:ascii="Times New Roman" w:hAnsi="Times New Roman" w:cs="Times New Roman"/>
              <w:b w:val="0"/>
            </w:rPr>
            <w:fldChar w:fldCharType="begin"/>
          </w:r>
          <w:r w:rsidRPr="009625AD">
            <w:rPr>
              <w:rFonts w:ascii="Times New Roman" w:hAnsi="Times New Roman" w:cs="Times New Roman"/>
            </w:rPr>
            <w:instrText xml:space="preserve"> TOC \o "1-3" \h \z \u </w:instrText>
          </w:r>
          <w:r w:rsidRPr="009625AD">
            <w:rPr>
              <w:rFonts w:ascii="Times New Roman" w:hAnsi="Times New Roman" w:cs="Times New Roman"/>
              <w:b w:val="0"/>
            </w:rPr>
            <w:fldChar w:fldCharType="separate"/>
          </w:r>
          <w:r w:rsidR="009625AD" w:rsidRPr="009625AD">
            <w:rPr>
              <w:rFonts w:ascii="Times New Roman" w:hAnsi="Times New Roman" w:cs="Times New Roman"/>
              <w:noProof/>
            </w:rPr>
            <w:t>Acknowledgements</w:t>
          </w:r>
          <w:r w:rsidR="009625AD" w:rsidRPr="009625AD">
            <w:rPr>
              <w:rFonts w:ascii="Times New Roman" w:hAnsi="Times New Roman" w:cs="Times New Roman"/>
              <w:noProof/>
            </w:rPr>
            <w:tab/>
          </w:r>
          <w:r w:rsidR="009625AD" w:rsidRPr="009625AD">
            <w:rPr>
              <w:rFonts w:ascii="Times New Roman" w:hAnsi="Times New Roman" w:cs="Times New Roman"/>
              <w:noProof/>
            </w:rPr>
            <w:fldChar w:fldCharType="begin"/>
          </w:r>
          <w:r w:rsidR="009625AD" w:rsidRPr="009625AD">
            <w:rPr>
              <w:rFonts w:ascii="Times New Roman" w:hAnsi="Times New Roman" w:cs="Times New Roman"/>
              <w:noProof/>
            </w:rPr>
            <w:instrText xml:space="preserve"> PAGEREF _Toc333644864 \h </w:instrText>
          </w:r>
          <w:r w:rsidR="009625AD" w:rsidRPr="009625AD">
            <w:rPr>
              <w:rFonts w:ascii="Times New Roman" w:hAnsi="Times New Roman" w:cs="Times New Roman"/>
              <w:noProof/>
            </w:rPr>
          </w:r>
          <w:r w:rsidR="009625AD" w:rsidRPr="009625AD">
            <w:rPr>
              <w:rFonts w:ascii="Times New Roman" w:hAnsi="Times New Roman" w:cs="Times New Roman"/>
              <w:noProof/>
            </w:rPr>
            <w:fldChar w:fldCharType="separate"/>
          </w:r>
          <w:r w:rsidR="00C865FA">
            <w:rPr>
              <w:rFonts w:ascii="Times New Roman" w:hAnsi="Times New Roman" w:cs="Times New Roman"/>
              <w:noProof/>
            </w:rPr>
            <w:t>3</w:t>
          </w:r>
          <w:r w:rsidR="009625AD" w:rsidRPr="009625AD">
            <w:rPr>
              <w:rFonts w:ascii="Times New Roman" w:hAnsi="Times New Roman" w:cs="Times New Roman"/>
              <w:noProof/>
            </w:rPr>
            <w:fldChar w:fldCharType="end"/>
          </w:r>
        </w:p>
        <w:p w14:paraId="2A5CFBC7" w14:textId="77777777" w:rsidR="009625AD" w:rsidRPr="009625AD" w:rsidRDefault="009625AD">
          <w:pPr>
            <w:pStyle w:val="TOC1"/>
            <w:tabs>
              <w:tab w:val="right" w:leader="dot" w:pos="8488"/>
            </w:tabs>
            <w:rPr>
              <w:rFonts w:ascii="Times New Roman" w:hAnsi="Times New Roman" w:cs="Times New Roman"/>
              <w:b w:val="0"/>
              <w:noProof/>
              <w:lang w:val="en-GB" w:eastAsia="ja-JP"/>
            </w:rPr>
          </w:pPr>
          <w:r w:rsidRPr="009625AD">
            <w:rPr>
              <w:rFonts w:ascii="Times New Roman" w:hAnsi="Times New Roman" w:cs="Times New Roman"/>
              <w:noProof/>
            </w:rPr>
            <w:t>Abstract</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_Toc333644865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4</w:t>
          </w:r>
          <w:r w:rsidRPr="009625AD">
            <w:rPr>
              <w:rFonts w:ascii="Times New Roman" w:hAnsi="Times New Roman" w:cs="Times New Roman"/>
              <w:noProof/>
            </w:rPr>
            <w:fldChar w:fldCharType="end"/>
          </w:r>
        </w:p>
        <w:p w14:paraId="4C33CADF" w14:textId="77777777" w:rsidR="009625AD" w:rsidRPr="009625AD" w:rsidRDefault="009625AD">
          <w:pPr>
            <w:pStyle w:val="TOC1"/>
            <w:tabs>
              <w:tab w:val="right" w:leader="dot" w:pos="8488"/>
            </w:tabs>
            <w:rPr>
              <w:rFonts w:ascii="Times New Roman" w:hAnsi="Times New Roman" w:cs="Times New Roman"/>
              <w:b w:val="0"/>
              <w:noProof/>
              <w:lang w:val="en-GB" w:eastAsia="ja-JP"/>
            </w:rPr>
          </w:pPr>
          <w:r w:rsidRPr="009625AD">
            <w:rPr>
              <w:rFonts w:ascii="Times New Roman" w:hAnsi="Times New Roman" w:cs="Times New Roman"/>
              <w:noProof/>
            </w:rPr>
            <w:t>Abbreviations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_Toc333644866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15</w:t>
          </w:r>
          <w:r w:rsidRPr="009625AD">
            <w:rPr>
              <w:rFonts w:ascii="Times New Roman" w:hAnsi="Times New Roman" w:cs="Times New Roman"/>
              <w:noProof/>
            </w:rPr>
            <w:fldChar w:fldCharType="end"/>
          </w:r>
        </w:p>
        <w:p w14:paraId="79FAB515" w14:textId="77777777" w:rsidR="009625AD" w:rsidRPr="009625AD" w:rsidRDefault="009625AD">
          <w:pPr>
            <w:pStyle w:val="TOC1"/>
            <w:tabs>
              <w:tab w:val="right" w:leader="dot" w:pos="8488"/>
            </w:tabs>
            <w:rPr>
              <w:rFonts w:ascii="Times New Roman" w:hAnsi="Times New Roman" w:cs="Times New Roman"/>
              <w:b w:val="0"/>
              <w:noProof/>
              <w:lang w:val="en-GB" w:eastAsia="ja-JP"/>
            </w:rPr>
          </w:pPr>
          <w:r w:rsidRPr="009625AD">
            <w:rPr>
              <w:rFonts w:ascii="Times New Roman" w:hAnsi="Times New Roman" w:cs="Times New Roman"/>
              <w:noProof/>
            </w:rPr>
            <w:t>Chapter 1</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_Toc333644867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20</w:t>
          </w:r>
          <w:r w:rsidRPr="009625AD">
            <w:rPr>
              <w:rFonts w:ascii="Times New Roman" w:hAnsi="Times New Roman" w:cs="Times New Roman"/>
              <w:noProof/>
            </w:rPr>
            <w:fldChar w:fldCharType="end"/>
          </w:r>
        </w:p>
        <w:p w14:paraId="2201F24C" w14:textId="77777777" w:rsidR="009625AD" w:rsidRPr="009625AD" w:rsidRDefault="009625AD">
          <w:pPr>
            <w:pStyle w:val="TOC1"/>
            <w:tabs>
              <w:tab w:val="right" w:leader="dot" w:pos="8488"/>
            </w:tabs>
            <w:rPr>
              <w:rFonts w:ascii="Times New Roman" w:hAnsi="Times New Roman" w:cs="Times New Roman"/>
              <w:b w:val="0"/>
              <w:noProof/>
              <w:lang w:val="en-GB" w:eastAsia="ja-JP"/>
            </w:rPr>
          </w:pPr>
          <w:r w:rsidRPr="009625AD">
            <w:rPr>
              <w:rFonts w:ascii="Times New Roman" w:hAnsi="Times New Roman" w:cs="Times New Roman"/>
              <w:noProof/>
            </w:rPr>
            <w:t>Introduction</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_Toc333644868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20</w:t>
          </w:r>
          <w:r w:rsidRPr="009625AD">
            <w:rPr>
              <w:rFonts w:ascii="Times New Roman" w:hAnsi="Times New Roman" w:cs="Times New Roman"/>
              <w:noProof/>
            </w:rPr>
            <w:fldChar w:fldCharType="end"/>
          </w:r>
        </w:p>
        <w:p w14:paraId="3FB91744"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1.1 Alzheimer’s Disease</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_Toc333644869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20</w:t>
          </w:r>
          <w:r w:rsidRPr="009625AD">
            <w:rPr>
              <w:rFonts w:ascii="Times New Roman" w:hAnsi="Times New Roman" w:cs="Times New Roman"/>
              <w:noProof/>
            </w:rPr>
            <w:fldChar w:fldCharType="end"/>
          </w:r>
        </w:p>
        <w:p w14:paraId="3ABE5462" w14:textId="77777777" w:rsidR="009625AD" w:rsidRPr="009625AD" w:rsidRDefault="009625AD">
          <w:pPr>
            <w:pStyle w:val="TOC3"/>
            <w:tabs>
              <w:tab w:val="left" w:pos="1176"/>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1.1.1</w:t>
          </w:r>
          <w:r w:rsidRPr="009625AD">
            <w:rPr>
              <w:rFonts w:ascii="Times New Roman" w:hAnsi="Times New Roman" w:cs="Times New Roman"/>
              <w:noProof/>
              <w:sz w:val="24"/>
              <w:szCs w:val="24"/>
              <w:lang w:val="en-GB" w:eastAsia="ja-JP"/>
            </w:rPr>
            <w:tab/>
          </w:r>
          <w:r w:rsidRPr="009625AD">
            <w:rPr>
              <w:rFonts w:ascii="Times New Roman" w:hAnsi="Times New Roman" w:cs="Times New Roman"/>
              <w:noProof/>
            </w:rPr>
            <w:t>AD pathology</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_Toc333644870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21</w:t>
          </w:r>
          <w:r w:rsidRPr="009625AD">
            <w:rPr>
              <w:rFonts w:ascii="Times New Roman" w:hAnsi="Times New Roman" w:cs="Times New Roman"/>
              <w:noProof/>
            </w:rPr>
            <w:fldChar w:fldCharType="end"/>
          </w:r>
        </w:p>
        <w:p w14:paraId="32B814C9"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1.2 Astrocytes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_Toc333644871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24</w:t>
          </w:r>
          <w:r w:rsidRPr="009625AD">
            <w:rPr>
              <w:rFonts w:ascii="Times New Roman" w:hAnsi="Times New Roman" w:cs="Times New Roman"/>
              <w:noProof/>
            </w:rPr>
            <w:fldChar w:fldCharType="end"/>
          </w:r>
        </w:p>
        <w:p w14:paraId="5B022D0C"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1.2.1 A short history</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_Toc333644872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24</w:t>
          </w:r>
          <w:r w:rsidRPr="009625AD">
            <w:rPr>
              <w:rFonts w:ascii="Times New Roman" w:hAnsi="Times New Roman" w:cs="Times New Roman"/>
              <w:noProof/>
            </w:rPr>
            <w:fldChar w:fldCharType="end"/>
          </w:r>
        </w:p>
        <w:p w14:paraId="7D8710E1"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1.2.2 Astrocyte morphology</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_Toc333644873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26</w:t>
          </w:r>
          <w:r w:rsidRPr="009625AD">
            <w:rPr>
              <w:rFonts w:ascii="Times New Roman" w:hAnsi="Times New Roman" w:cs="Times New Roman"/>
              <w:noProof/>
            </w:rPr>
            <w:fldChar w:fldCharType="end"/>
          </w:r>
        </w:p>
        <w:p w14:paraId="419F7AAE"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1.2.3 Astrocyte diversity</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_Toc333644874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27</w:t>
          </w:r>
          <w:r w:rsidRPr="009625AD">
            <w:rPr>
              <w:rFonts w:ascii="Times New Roman" w:hAnsi="Times New Roman" w:cs="Times New Roman"/>
              <w:noProof/>
            </w:rPr>
            <w:fldChar w:fldCharType="end"/>
          </w:r>
        </w:p>
        <w:p w14:paraId="1E323144"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1.3 The role of astrocytes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_Toc333644875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29</w:t>
          </w:r>
          <w:r w:rsidRPr="009625AD">
            <w:rPr>
              <w:rFonts w:ascii="Times New Roman" w:hAnsi="Times New Roman" w:cs="Times New Roman"/>
              <w:noProof/>
            </w:rPr>
            <w:fldChar w:fldCharType="end"/>
          </w:r>
        </w:p>
        <w:p w14:paraId="0698BF32"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1.3.1 Gliotransmission</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_Toc333644876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29</w:t>
          </w:r>
          <w:r w:rsidRPr="009625AD">
            <w:rPr>
              <w:rFonts w:ascii="Times New Roman" w:hAnsi="Times New Roman" w:cs="Times New Roman"/>
              <w:noProof/>
            </w:rPr>
            <w:fldChar w:fldCharType="end"/>
          </w:r>
        </w:p>
        <w:p w14:paraId="2CEB8B33"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1.3.2 Neurovascular coupling</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_Toc333644877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32</w:t>
          </w:r>
          <w:r w:rsidRPr="009625AD">
            <w:rPr>
              <w:rFonts w:ascii="Times New Roman" w:hAnsi="Times New Roman" w:cs="Times New Roman"/>
              <w:noProof/>
            </w:rPr>
            <w:fldChar w:fldCharType="end"/>
          </w:r>
        </w:p>
        <w:p w14:paraId="6347F98B"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1.3.3 Regulation of neuronal metabolism</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_Toc333644878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34</w:t>
          </w:r>
          <w:r w:rsidRPr="009625AD">
            <w:rPr>
              <w:rFonts w:ascii="Times New Roman" w:hAnsi="Times New Roman" w:cs="Times New Roman"/>
              <w:noProof/>
            </w:rPr>
            <w:fldChar w:fldCharType="end"/>
          </w:r>
        </w:p>
        <w:p w14:paraId="5B3D376A"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1.3.4 Astrocytes and neuroinflammation</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_Toc333644879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36</w:t>
          </w:r>
          <w:r w:rsidRPr="009625AD">
            <w:rPr>
              <w:rFonts w:ascii="Times New Roman" w:hAnsi="Times New Roman" w:cs="Times New Roman"/>
              <w:noProof/>
            </w:rPr>
            <w:fldChar w:fldCharType="end"/>
          </w:r>
        </w:p>
        <w:p w14:paraId="5683C941"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1.3.5 Antioxidant capacity</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_Toc333644880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38</w:t>
          </w:r>
          <w:r w:rsidRPr="009625AD">
            <w:rPr>
              <w:rFonts w:ascii="Times New Roman" w:hAnsi="Times New Roman" w:cs="Times New Roman"/>
              <w:noProof/>
            </w:rPr>
            <w:fldChar w:fldCharType="end"/>
          </w:r>
        </w:p>
        <w:p w14:paraId="18CCA419"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1.4 How astrocytes are involved in neurodegeneration and AD progression</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_Toc333644881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43</w:t>
          </w:r>
          <w:r w:rsidRPr="009625AD">
            <w:rPr>
              <w:rFonts w:ascii="Times New Roman" w:hAnsi="Times New Roman" w:cs="Times New Roman"/>
              <w:noProof/>
            </w:rPr>
            <w:fldChar w:fldCharType="end"/>
          </w:r>
        </w:p>
        <w:p w14:paraId="7DC0129E"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1.4.1 Reactive astrocytes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_Toc333644882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44</w:t>
          </w:r>
          <w:r w:rsidRPr="009625AD">
            <w:rPr>
              <w:rFonts w:ascii="Times New Roman" w:hAnsi="Times New Roman" w:cs="Times New Roman"/>
              <w:noProof/>
            </w:rPr>
            <w:fldChar w:fldCharType="end"/>
          </w:r>
        </w:p>
        <w:p w14:paraId="4C9738CD"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1.4.2 Astrodegeneration and morphological changes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_Toc333644883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46</w:t>
          </w:r>
          <w:r w:rsidRPr="009625AD">
            <w:rPr>
              <w:rFonts w:ascii="Times New Roman" w:hAnsi="Times New Roman" w:cs="Times New Roman"/>
              <w:noProof/>
            </w:rPr>
            <w:fldChar w:fldCharType="end"/>
          </w:r>
        </w:p>
        <w:p w14:paraId="606ADE9F"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1.4.3 Physiological changes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_Toc333644884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47</w:t>
          </w:r>
          <w:r w:rsidRPr="009625AD">
            <w:rPr>
              <w:rFonts w:ascii="Times New Roman" w:hAnsi="Times New Roman" w:cs="Times New Roman"/>
              <w:noProof/>
            </w:rPr>
            <w:fldChar w:fldCharType="end"/>
          </w:r>
        </w:p>
        <w:p w14:paraId="7EEB64E8"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1.4.4 Altered signalling</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_Toc333644885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50</w:t>
          </w:r>
          <w:r w:rsidRPr="009625AD">
            <w:rPr>
              <w:rFonts w:ascii="Times New Roman" w:hAnsi="Times New Roman" w:cs="Times New Roman"/>
              <w:noProof/>
            </w:rPr>
            <w:fldChar w:fldCharType="end"/>
          </w:r>
        </w:p>
        <w:p w14:paraId="278B0EBF"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1.4.5 Other changes in astrocytes observed in neurodegenerative disease</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_Toc333644886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52</w:t>
          </w:r>
          <w:r w:rsidRPr="009625AD">
            <w:rPr>
              <w:rFonts w:ascii="Times New Roman" w:hAnsi="Times New Roman" w:cs="Times New Roman"/>
              <w:noProof/>
            </w:rPr>
            <w:fldChar w:fldCharType="end"/>
          </w:r>
        </w:p>
        <w:p w14:paraId="1CC16F9C"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1.5 Insulin/IGF1 signalling in the brain</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_Toc333644887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54</w:t>
          </w:r>
          <w:r w:rsidRPr="009625AD">
            <w:rPr>
              <w:rFonts w:ascii="Times New Roman" w:hAnsi="Times New Roman" w:cs="Times New Roman"/>
              <w:noProof/>
            </w:rPr>
            <w:fldChar w:fldCharType="end"/>
          </w:r>
        </w:p>
        <w:p w14:paraId="43E36C51"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1.5.1  Overview of the Insulin/IGF1 signalling Pathway</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_Toc333644888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54</w:t>
          </w:r>
          <w:r w:rsidRPr="009625AD">
            <w:rPr>
              <w:rFonts w:ascii="Times New Roman" w:hAnsi="Times New Roman" w:cs="Times New Roman"/>
              <w:noProof/>
            </w:rPr>
            <w:fldChar w:fldCharType="end"/>
          </w:r>
        </w:p>
        <w:p w14:paraId="06BF458F"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1.5.2 Role of Insulin/IGF1 signalling in the brain</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_Toc333644889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58</w:t>
          </w:r>
          <w:r w:rsidRPr="009625AD">
            <w:rPr>
              <w:rFonts w:ascii="Times New Roman" w:hAnsi="Times New Roman" w:cs="Times New Roman"/>
              <w:noProof/>
            </w:rPr>
            <w:fldChar w:fldCharType="end"/>
          </w:r>
        </w:p>
        <w:p w14:paraId="72DC222A"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1.6 Impairments in Insulin/IGF1 promote longevity</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_Toc333644890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59</w:t>
          </w:r>
          <w:r w:rsidRPr="009625AD">
            <w:rPr>
              <w:rFonts w:ascii="Times New Roman" w:hAnsi="Times New Roman" w:cs="Times New Roman"/>
              <w:noProof/>
            </w:rPr>
            <w:fldChar w:fldCharType="end"/>
          </w:r>
        </w:p>
        <w:p w14:paraId="02178D56"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1.7  Insulin/ IGF1 signalling pathway is implicated in AD</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_Toc333644891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61</w:t>
          </w:r>
          <w:r w:rsidRPr="009625AD">
            <w:rPr>
              <w:rFonts w:ascii="Times New Roman" w:hAnsi="Times New Roman" w:cs="Times New Roman"/>
              <w:noProof/>
            </w:rPr>
            <w:fldChar w:fldCharType="end"/>
          </w:r>
        </w:p>
        <w:p w14:paraId="5C95DB41"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1.7.1 Altered expression in insulin/IGF1 signalling at the cell surface/receptor level</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_Toc333644892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62</w:t>
          </w:r>
          <w:r w:rsidRPr="009625AD">
            <w:rPr>
              <w:rFonts w:ascii="Times New Roman" w:hAnsi="Times New Roman" w:cs="Times New Roman"/>
              <w:noProof/>
            </w:rPr>
            <w:fldChar w:fldCharType="end"/>
          </w:r>
        </w:p>
        <w:p w14:paraId="7C094399"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1.7.2 Downstream pathway modifications and AD</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_Toc333644893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65</w:t>
          </w:r>
          <w:r w:rsidRPr="009625AD">
            <w:rPr>
              <w:rFonts w:ascii="Times New Roman" w:hAnsi="Times New Roman" w:cs="Times New Roman"/>
              <w:noProof/>
            </w:rPr>
            <w:fldChar w:fldCharType="end"/>
          </w:r>
        </w:p>
        <w:p w14:paraId="0A734683"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1.8 Therapeutically targeting the Insulin/IGF1 pathway for treatment of neurodegeneration, with a focus on AD</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_Toc333644894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68</w:t>
          </w:r>
          <w:r w:rsidRPr="009625AD">
            <w:rPr>
              <w:rFonts w:ascii="Times New Roman" w:hAnsi="Times New Roman" w:cs="Times New Roman"/>
              <w:noProof/>
            </w:rPr>
            <w:fldChar w:fldCharType="end"/>
          </w:r>
        </w:p>
        <w:p w14:paraId="0364C1DF"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1.9 Role of Insulin/IGF1 signalling in astrocytes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_Toc333644895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71</w:t>
          </w:r>
          <w:r w:rsidRPr="009625AD">
            <w:rPr>
              <w:rFonts w:ascii="Times New Roman" w:hAnsi="Times New Roman" w:cs="Times New Roman"/>
              <w:noProof/>
            </w:rPr>
            <w:fldChar w:fldCharType="end"/>
          </w:r>
        </w:p>
        <w:p w14:paraId="4B6E36EB"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1.10 Overall aims of this thesis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_Toc333644896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74</w:t>
          </w:r>
          <w:r w:rsidRPr="009625AD">
            <w:rPr>
              <w:rFonts w:ascii="Times New Roman" w:hAnsi="Times New Roman" w:cs="Times New Roman"/>
              <w:noProof/>
            </w:rPr>
            <w:fldChar w:fldCharType="end"/>
          </w:r>
        </w:p>
        <w:p w14:paraId="5E3DA3F8" w14:textId="77777777" w:rsidR="009625AD" w:rsidRPr="009625AD" w:rsidRDefault="009625AD">
          <w:pPr>
            <w:pStyle w:val="TOC1"/>
            <w:tabs>
              <w:tab w:val="right" w:leader="dot" w:pos="8488"/>
            </w:tabs>
            <w:rPr>
              <w:rFonts w:ascii="Times New Roman" w:hAnsi="Times New Roman" w:cs="Times New Roman"/>
              <w:b w:val="0"/>
              <w:noProof/>
              <w:lang w:val="en-GB" w:eastAsia="ja-JP"/>
            </w:rPr>
          </w:pPr>
          <w:r w:rsidRPr="009625AD">
            <w:rPr>
              <w:rFonts w:ascii="Times New Roman" w:hAnsi="Times New Roman" w:cs="Times New Roman"/>
              <w:noProof/>
            </w:rPr>
            <w:t>Chapter 2</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_Toc333644897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75</w:t>
          </w:r>
          <w:r w:rsidRPr="009625AD">
            <w:rPr>
              <w:rFonts w:ascii="Times New Roman" w:hAnsi="Times New Roman" w:cs="Times New Roman"/>
              <w:noProof/>
            </w:rPr>
            <w:fldChar w:fldCharType="end"/>
          </w:r>
        </w:p>
        <w:p w14:paraId="7DC84FAF" w14:textId="77777777" w:rsidR="009625AD" w:rsidRPr="009625AD" w:rsidRDefault="009625AD">
          <w:pPr>
            <w:pStyle w:val="TOC1"/>
            <w:tabs>
              <w:tab w:val="right" w:leader="dot" w:pos="8488"/>
            </w:tabs>
            <w:rPr>
              <w:rFonts w:ascii="Times New Roman" w:hAnsi="Times New Roman" w:cs="Times New Roman"/>
              <w:b w:val="0"/>
              <w:noProof/>
              <w:lang w:val="en-GB" w:eastAsia="ja-JP"/>
            </w:rPr>
          </w:pPr>
          <w:r w:rsidRPr="009625AD">
            <w:rPr>
              <w:rFonts w:ascii="Times New Roman" w:hAnsi="Times New Roman" w:cs="Times New Roman"/>
              <w:noProof/>
            </w:rPr>
            <w:t>Materials and Methods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_Toc333644898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75</w:t>
          </w:r>
          <w:r w:rsidRPr="009625AD">
            <w:rPr>
              <w:rFonts w:ascii="Times New Roman" w:hAnsi="Times New Roman" w:cs="Times New Roman"/>
              <w:noProof/>
            </w:rPr>
            <w:fldChar w:fldCharType="end"/>
          </w:r>
        </w:p>
        <w:p w14:paraId="08A5F0AD"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2.1 Materials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_Toc333644899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75</w:t>
          </w:r>
          <w:r w:rsidRPr="009625AD">
            <w:rPr>
              <w:rFonts w:ascii="Times New Roman" w:hAnsi="Times New Roman" w:cs="Times New Roman"/>
              <w:noProof/>
            </w:rPr>
            <w:fldChar w:fldCharType="end"/>
          </w:r>
        </w:p>
        <w:p w14:paraId="610ED950"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2.1.1 Cell culture and treatments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_Toc333644900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75</w:t>
          </w:r>
          <w:r w:rsidRPr="009625AD">
            <w:rPr>
              <w:rFonts w:ascii="Times New Roman" w:hAnsi="Times New Roman" w:cs="Times New Roman"/>
              <w:noProof/>
            </w:rPr>
            <w:fldChar w:fldCharType="end"/>
          </w:r>
        </w:p>
        <w:p w14:paraId="11B3C24F"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2.1.2 Biochemicals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_Toc333644901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78</w:t>
          </w:r>
          <w:r w:rsidRPr="009625AD">
            <w:rPr>
              <w:rFonts w:ascii="Times New Roman" w:hAnsi="Times New Roman" w:cs="Times New Roman"/>
              <w:noProof/>
            </w:rPr>
            <w:fldChar w:fldCharType="end"/>
          </w:r>
        </w:p>
        <w:p w14:paraId="383207EC"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2.1.3 Western Blotting</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_Toc333644902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79</w:t>
          </w:r>
          <w:r w:rsidRPr="009625AD">
            <w:rPr>
              <w:rFonts w:ascii="Times New Roman" w:hAnsi="Times New Roman" w:cs="Times New Roman"/>
              <w:noProof/>
            </w:rPr>
            <w:fldChar w:fldCharType="end"/>
          </w:r>
        </w:p>
        <w:p w14:paraId="7266BD8D"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2.1.4 RNA isolation, cDNA synthesis and qRT-PCR</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_Toc333644903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82</w:t>
          </w:r>
          <w:r w:rsidRPr="009625AD">
            <w:rPr>
              <w:rFonts w:ascii="Times New Roman" w:hAnsi="Times New Roman" w:cs="Times New Roman"/>
              <w:noProof/>
            </w:rPr>
            <w:fldChar w:fldCharType="end"/>
          </w:r>
        </w:p>
        <w:p w14:paraId="6A82BBBD"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2.1.5 CyQUANT assay</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_Toc333644904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85</w:t>
          </w:r>
          <w:r w:rsidRPr="009625AD">
            <w:rPr>
              <w:rFonts w:ascii="Times New Roman" w:hAnsi="Times New Roman" w:cs="Times New Roman"/>
              <w:noProof/>
            </w:rPr>
            <w:fldChar w:fldCharType="end"/>
          </w:r>
        </w:p>
        <w:p w14:paraId="346922B1"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lang w:val="en-GB"/>
            </w:rPr>
            <w:t>2.1.6 MTT assay</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_Toc333644905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85</w:t>
          </w:r>
          <w:r w:rsidRPr="009625AD">
            <w:rPr>
              <w:rFonts w:ascii="Times New Roman" w:hAnsi="Times New Roman" w:cs="Times New Roman"/>
              <w:noProof/>
            </w:rPr>
            <w:fldChar w:fldCharType="end"/>
          </w:r>
        </w:p>
        <w:p w14:paraId="4064C2C2"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2.1.7 Immunocytochemistry  (ICC)</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_Toc333644906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85</w:t>
          </w:r>
          <w:r w:rsidRPr="009625AD">
            <w:rPr>
              <w:rFonts w:ascii="Times New Roman" w:hAnsi="Times New Roman" w:cs="Times New Roman"/>
              <w:noProof/>
            </w:rPr>
            <w:fldChar w:fldCharType="end"/>
          </w:r>
        </w:p>
        <w:p w14:paraId="749059E0"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lang w:val="en-GB"/>
            </w:rPr>
            <w:t>2.1.8 CellRox</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_Toc333644907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87</w:t>
          </w:r>
          <w:r w:rsidRPr="009625AD">
            <w:rPr>
              <w:rFonts w:ascii="Times New Roman" w:hAnsi="Times New Roman" w:cs="Times New Roman"/>
              <w:noProof/>
            </w:rPr>
            <w:fldChar w:fldCharType="end"/>
          </w:r>
        </w:p>
        <w:p w14:paraId="60D4D890"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lang w:val="en-GB"/>
            </w:rPr>
            <w:t>2.1.9 Lactate Assay</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_Toc333644908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87</w:t>
          </w:r>
          <w:r w:rsidRPr="009625AD">
            <w:rPr>
              <w:rFonts w:ascii="Times New Roman" w:hAnsi="Times New Roman" w:cs="Times New Roman"/>
              <w:noProof/>
            </w:rPr>
            <w:fldChar w:fldCharType="end"/>
          </w:r>
        </w:p>
        <w:p w14:paraId="6085059F"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lang w:val="en-GB"/>
            </w:rPr>
            <w:t>2.1.10 Complex I Assay</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_Toc333644909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87</w:t>
          </w:r>
          <w:r w:rsidRPr="009625AD">
            <w:rPr>
              <w:rFonts w:ascii="Times New Roman" w:hAnsi="Times New Roman" w:cs="Times New Roman"/>
              <w:noProof/>
            </w:rPr>
            <w:fldChar w:fldCharType="end"/>
          </w:r>
        </w:p>
        <w:p w14:paraId="6A358185"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lang w:val="en-GB"/>
            </w:rPr>
            <w:t>2.1.11 Lentiviral production</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_Toc333644910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88</w:t>
          </w:r>
          <w:r w:rsidRPr="009625AD">
            <w:rPr>
              <w:rFonts w:ascii="Times New Roman" w:hAnsi="Times New Roman" w:cs="Times New Roman"/>
              <w:noProof/>
            </w:rPr>
            <w:fldChar w:fldCharType="end"/>
          </w:r>
        </w:p>
        <w:p w14:paraId="21B6C693"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lang w:val="en-GB"/>
            </w:rPr>
            <w:t>2.1.12  Glyco-blue™ Co-precipitation</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_Toc333644911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88</w:t>
          </w:r>
          <w:r w:rsidRPr="009625AD">
            <w:rPr>
              <w:rFonts w:ascii="Times New Roman" w:hAnsi="Times New Roman" w:cs="Times New Roman"/>
              <w:noProof/>
            </w:rPr>
            <w:fldChar w:fldCharType="end"/>
          </w:r>
        </w:p>
        <w:p w14:paraId="7BECC785"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lang w:val="en-GB"/>
            </w:rPr>
            <w:t>2.1.13  Materials used for Gene Expression Profiling</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_Toc333644912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89</w:t>
          </w:r>
          <w:r w:rsidRPr="009625AD">
            <w:rPr>
              <w:rFonts w:ascii="Times New Roman" w:hAnsi="Times New Roman" w:cs="Times New Roman"/>
              <w:noProof/>
            </w:rPr>
            <w:fldChar w:fldCharType="end"/>
          </w:r>
        </w:p>
        <w:p w14:paraId="45AF3C84"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lang w:val="en-GB"/>
            </w:rPr>
            <w:t>2.1.14 Pre-amplification and reverse-transcription of low RNA yields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_Toc333644913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90</w:t>
          </w:r>
          <w:r w:rsidRPr="009625AD">
            <w:rPr>
              <w:rFonts w:ascii="Times New Roman" w:hAnsi="Times New Roman" w:cs="Times New Roman"/>
              <w:noProof/>
            </w:rPr>
            <w:fldChar w:fldCharType="end"/>
          </w:r>
        </w:p>
        <w:p w14:paraId="6EB16FE3"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lang w:val="en-GB"/>
            </w:rPr>
            <w:t>2.1.15 Immunohistochemistry</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_Toc333644914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91</w:t>
          </w:r>
          <w:r w:rsidRPr="009625AD">
            <w:rPr>
              <w:rFonts w:ascii="Times New Roman" w:hAnsi="Times New Roman" w:cs="Times New Roman"/>
              <w:noProof/>
            </w:rPr>
            <w:fldChar w:fldCharType="end"/>
          </w:r>
        </w:p>
        <w:p w14:paraId="281E52CC"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2.2 Methods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_Toc333644915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92</w:t>
          </w:r>
          <w:r w:rsidRPr="009625AD">
            <w:rPr>
              <w:rFonts w:ascii="Times New Roman" w:hAnsi="Times New Roman" w:cs="Times New Roman"/>
              <w:noProof/>
            </w:rPr>
            <w:fldChar w:fldCharType="end"/>
          </w:r>
        </w:p>
        <w:p w14:paraId="2E5B355A"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2.2.1 Cell culture</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_Toc333644916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92</w:t>
          </w:r>
          <w:r w:rsidRPr="009625AD">
            <w:rPr>
              <w:rFonts w:ascii="Times New Roman" w:hAnsi="Times New Roman" w:cs="Times New Roman"/>
              <w:noProof/>
            </w:rPr>
            <w:fldChar w:fldCharType="end"/>
          </w:r>
        </w:p>
        <w:p w14:paraId="7C1A7DFB"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2.2.2 Protein Analysis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_Toc333644917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101</w:t>
          </w:r>
          <w:r w:rsidRPr="009625AD">
            <w:rPr>
              <w:rFonts w:ascii="Times New Roman" w:hAnsi="Times New Roman" w:cs="Times New Roman"/>
              <w:noProof/>
            </w:rPr>
            <w:fldChar w:fldCharType="end"/>
          </w:r>
        </w:p>
        <w:p w14:paraId="1F60008B"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2.2.3 RNA analysis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_Toc333644918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103</w:t>
          </w:r>
          <w:r w:rsidRPr="009625AD">
            <w:rPr>
              <w:rFonts w:ascii="Times New Roman" w:hAnsi="Times New Roman" w:cs="Times New Roman"/>
              <w:noProof/>
            </w:rPr>
            <w:fldChar w:fldCharType="end"/>
          </w:r>
        </w:p>
        <w:p w14:paraId="41019FCD"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lang w:val="en-GB"/>
            </w:rPr>
            <w:t>2.2.4 Immunohistochemistry</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_Toc333644919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104</w:t>
          </w:r>
          <w:r w:rsidRPr="009625AD">
            <w:rPr>
              <w:rFonts w:ascii="Times New Roman" w:hAnsi="Times New Roman" w:cs="Times New Roman"/>
              <w:noProof/>
            </w:rPr>
            <w:fldChar w:fldCharType="end"/>
          </w:r>
        </w:p>
        <w:p w14:paraId="765C4400"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lang w:val="en-GB"/>
            </w:rPr>
            <w:t>2.2.5 Gene Expression Profiling Methods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_Toc333644920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106</w:t>
          </w:r>
          <w:r w:rsidRPr="009625AD">
            <w:rPr>
              <w:rFonts w:ascii="Times New Roman" w:hAnsi="Times New Roman" w:cs="Times New Roman"/>
              <w:noProof/>
            </w:rPr>
            <w:fldChar w:fldCharType="end"/>
          </w:r>
        </w:p>
        <w:p w14:paraId="4CA9AD9C"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2.2.6 Bioinformatics Analysis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_Toc333644921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111</w:t>
          </w:r>
          <w:r w:rsidRPr="009625AD">
            <w:rPr>
              <w:rFonts w:ascii="Times New Roman" w:hAnsi="Times New Roman" w:cs="Times New Roman"/>
              <w:noProof/>
            </w:rPr>
            <w:fldChar w:fldCharType="end"/>
          </w:r>
        </w:p>
        <w:p w14:paraId="24760C05"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2.2.7 Statistical analysis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_Toc333644922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112</w:t>
          </w:r>
          <w:r w:rsidRPr="009625AD">
            <w:rPr>
              <w:rFonts w:ascii="Times New Roman" w:hAnsi="Times New Roman" w:cs="Times New Roman"/>
              <w:noProof/>
            </w:rPr>
            <w:fldChar w:fldCharType="end"/>
          </w:r>
        </w:p>
        <w:p w14:paraId="5FB7E731" w14:textId="77777777" w:rsidR="009625AD" w:rsidRPr="009625AD" w:rsidRDefault="009625AD">
          <w:pPr>
            <w:pStyle w:val="TOC1"/>
            <w:tabs>
              <w:tab w:val="right" w:leader="dot" w:pos="8488"/>
            </w:tabs>
            <w:rPr>
              <w:rFonts w:ascii="Times New Roman" w:hAnsi="Times New Roman" w:cs="Times New Roman"/>
              <w:b w:val="0"/>
              <w:noProof/>
              <w:lang w:val="en-GB" w:eastAsia="ja-JP"/>
            </w:rPr>
          </w:pPr>
          <w:r w:rsidRPr="009625AD">
            <w:rPr>
              <w:rFonts w:ascii="Times New Roman" w:hAnsi="Times New Roman" w:cs="Times New Roman"/>
              <w:noProof/>
            </w:rPr>
            <w:t>Chapter 3</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_Toc333644923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113</w:t>
          </w:r>
          <w:r w:rsidRPr="009625AD">
            <w:rPr>
              <w:rFonts w:ascii="Times New Roman" w:hAnsi="Times New Roman" w:cs="Times New Roman"/>
              <w:noProof/>
            </w:rPr>
            <w:fldChar w:fldCharType="end"/>
          </w:r>
        </w:p>
        <w:p w14:paraId="2D2D38AA" w14:textId="77777777" w:rsidR="009625AD" w:rsidRPr="009625AD" w:rsidRDefault="009625AD">
          <w:pPr>
            <w:pStyle w:val="TOC1"/>
            <w:tabs>
              <w:tab w:val="right" w:leader="dot" w:pos="8488"/>
            </w:tabs>
            <w:rPr>
              <w:rFonts w:ascii="Times New Roman" w:hAnsi="Times New Roman" w:cs="Times New Roman"/>
              <w:b w:val="0"/>
              <w:noProof/>
              <w:lang w:val="en-GB" w:eastAsia="ja-JP"/>
            </w:rPr>
          </w:pPr>
          <w:r w:rsidRPr="009625AD">
            <w:rPr>
              <w:rFonts w:ascii="Times New Roman" w:hAnsi="Times New Roman" w:cs="Times New Roman"/>
              <w:noProof/>
            </w:rPr>
            <w:t>Modelling impaired IGF1 signalling in human astrocytes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_Toc333644924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113</w:t>
          </w:r>
          <w:r w:rsidRPr="009625AD">
            <w:rPr>
              <w:rFonts w:ascii="Times New Roman" w:hAnsi="Times New Roman" w:cs="Times New Roman"/>
              <w:noProof/>
            </w:rPr>
            <w:fldChar w:fldCharType="end"/>
          </w:r>
        </w:p>
        <w:p w14:paraId="3AE3A0E2"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3.1 Introduction</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_Toc333644925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113</w:t>
          </w:r>
          <w:r w:rsidRPr="009625AD">
            <w:rPr>
              <w:rFonts w:ascii="Times New Roman" w:hAnsi="Times New Roman" w:cs="Times New Roman"/>
              <w:noProof/>
            </w:rPr>
            <w:fldChar w:fldCharType="end"/>
          </w:r>
        </w:p>
        <w:p w14:paraId="499FD0BF"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3.2 Aims and Objectives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_Toc333644926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115</w:t>
          </w:r>
          <w:r w:rsidRPr="009625AD">
            <w:rPr>
              <w:rFonts w:ascii="Times New Roman" w:hAnsi="Times New Roman" w:cs="Times New Roman"/>
              <w:noProof/>
            </w:rPr>
            <w:fldChar w:fldCharType="end"/>
          </w:r>
        </w:p>
        <w:p w14:paraId="131816A4"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3.3 Methods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_Toc333644927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115</w:t>
          </w:r>
          <w:r w:rsidRPr="009625AD">
            <w:rPr>
              <w:rFonts w:ascii="Times New Roman" w:hAnsi="Times New Roman" w:cs="Times New Roman"/>
              <w:noProof/>
            </w:rPr>
            <w:fldChar w:fldCharType="end"/>
          </w:r>
        </w:p>
        <w:p w14:paraId="1E295098"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3.4 Results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_Toc333644928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116</w:t>
          </w:r>
          <w:r w:rsidRPr="009625AD">
            <w:rPr>
              <w:rFonts w:ascii="Times New Roman" w:hAnsi="Times New Roman" w:cs="Times New Roman"/>
              <w:noProof/>
            </w:rPr>
            <w:fldChar w:fldCharType="end"/>
          </w:r>
        </w:p>
        <w:p w14:paraId="3205A7D8"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3.4.1 IGF1 signalling is present and functional in human astrocytes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_Toc333644929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116</w:t>
          </w:r>
          <w:r w:rsidRPr="009625AD">
            <w:rPr>
              <w:rFonts w:ascii="Times New Roman" w:hAnsi="Times New Roman" w:cs="Times New Roman"/>
              <w:noProof/>
            </w:rPr>
            <w:fldChar w:fldCharType="end"/>
          </w:r>
        </w:p>
        <w:p w14:paraId="1E04CE08"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3.4.2 Inhibiting IGF1 signalling in human astrocytes using an IGF1R monoclonal antibody.</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_Toc333644930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119</w:t>
          </w:r>
          <w:r w:rsidRPr="009625AD">
            <w:rPr>
              <w:rFonts w:ascii="Times New Roman" w:hAnsi="Times New Roman" w:cs="Times New Roman"/>
              <w:noProof/>
            </w:rPr>
            <w:fldChar w:fldCharType="end"/>
          </w:r>
        </w:p>
        <w:p w14:paraId="3960C41A"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3.4.3 Optimisation of model of IGF1R loss in human astrocytes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_Toc333644931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120</w:t>
          </w:r>
          <w:r w:rsidRPr="009625AD">
            <w:rPr>
              <w:rFonts w:ascii="Times New Roman" w:hAnsi="Times New Roman" w:cs="Times New Roman"/>
              <w:noProof/>
            </w:rPr>
            <w:fldChar w:fldCharType="end"/>
          </w:r>
        </w:p>
        <w:p w14:paraId="504FDFF4"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3.4.4 Loss of IGF1R occurs at the protein level</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_Toc333644932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128</w:t>
          </w:r>
          <w:r w:rsidRPr="009625AD">
            <w:rPr>
              <w:rFonts w:ascii="Times New Roman" w:hAnsi="Times New Roman" w:cs="Times New Roman"/>
              <w:noProof/>
            </w:rPr>
            <w:fldChar w:fldCharType="end"/>
          </w:r>
        </w:p>
        <w:p w14:paraId="234F6A8F"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3.4.5 Impaired IGF1 has no impact on cell growth</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_Toc333644933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130</w:t>
          </w:r>
          <w:r w:rsidRPr="009625AD">
            <w:rPr>
              <w:rFonts w:ascii="Times New Roman" w:hAnsi="Times New Roman" w:cs="Times New Roman"/>
              <w:noProof/>
            </w:rPr>
            <w:fldChar w:fldCharType="end"/>
          </w:r>
        </w:p>
        <w:p w14:paraId="38B7BE66"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3.4.6 Impaired IGF1 signalling has no impact on GFAP, γH2AX or ROS levels in astrocytes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_Toc333644934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132</w:t>
          </w:r>
          <w:r w:rsidRPr="009625AD">
            <w:rPr>
              <w:rFonts w:ascii="Times New Roman" w:hAnsi="Times New Roman" w:cs="Times New Roman"/>
              <w:noProof/>
            </w:rPr>
            <w:fldChar w:fldCharType="end"/>
          </w:r>
        </w:p>
        <w:p w14:paraId="7C102FB5"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3.4.7 IGF1R is present in many cell types, including astrocytes, in adult brain tissue</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_Toc333644935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135</w:t>
          </w:r>
          <w:r w:rsidRPr="009625AD">
            <w:rPr>
              <w:rFonts w:ascii="Times New Roman" w:hAnsi="Times New Roman" w:cs="Times New Roman"/>
              <w:noProof/>
            </w:rPr>
            <w:fldChar w:fldCharType="end"/>
          </w:r>
        </w:p>
        <w:p w14:paraId="14033F19"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3.5 Discussion</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_Toc333644936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138</w:t>
          </w:r>
          <w:r w:rsidRPr="009625AD">
            <w:rPr>
              <w:rFonts w:ascii="Times New Roman" w:hAnsi="Times New Roman" w:cs="Times New Roman"/>
              <w:noProof/>
            </w:rPr>
            <w:fldChar w:fldCharType="end"/>
          </w:r>
        </w:p>
        <w:p w14:paraId="5B985DCC"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3.5.1 Human Astrocytes have an intact and functional IGF1 signalling pathway</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_Toc333644937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138</w:t>
          </w:r>
          <w:r w:rsidRPr="009625AD">
            <w:rPr>
              <w:rFonts w:ascii="Times New Roman" w:hAnsi="Times New Roman" w:cs="Times New Roman"/>
              <w:noProof/>
            </w:rPr>
            <w:fldChar w:fldCharType="end"/>
          </w:r>
        </w:p>
        <w:p w14:paraId="7F535264"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3.5.2 Downregulation of the IGF1 signalling pathway in human astrocytes using a monoclonal antibody specific to IGF1R (MAB391)</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_Toc333644938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139</w:t>
          </w:r>
          <w:r w:rsidRPr="009625AD">
            <w:rPr>
              <w:rFonts w:ascii="Times New Roman" w:hAnsi="Times New Roman" w:cs="Times New Roman"/>
              <w:noProof/>
            </w:rPr>
            <w:fldChar w:fldCharType="end"/>
          </w:r>
        </w:p>
        <w:p w14:paraId="3A8CCD20"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3.5.3 Different downstream signalling responses through Akt as a result of IGF1R loss in a panel of human astrocytes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_Toc333644939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141</w:t>
          </w:r>
          <w:r w:rsidRPr="009625AD">
            <w:rPr>
              <w:rFonts w:ascii="Times New Roman" w:hAnsi="Times New Roman" w:cs="Times New Roman"/>
              <w:noProof/>
            </w:rPr>
            <w:fldChar w:fldCharType="end"/>
          </w:r>
        </w:p>
        <w:p w14:paraId="46A615C6"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3.5.4 Impaired IGF1 signalling does not produce an observable phenotype in human astrocytes in monoculture</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_Toc333644940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144</w:t>
          </w:r>
          <w:r w:rsidRPr="009625AD">
            <w:rPr>
              <w:rFonts w:ascii="Times New Roman" w:hAnsi="Times New Roman" w:cs="Times New Roman"/>
              <w:noProof/>
            </w:rPr>
            <w:fldChar w:fldCharType="end"/>
          </w:r>
        </w:p>
        <w:p w14:paraId="6C9E1BE7"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3.5.5 Expression of IGF1R in human tissue</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_Toc333644941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145</w:t>
          </w:r>
          <w:r w:rsidRPr="009625AD">
            <w:rPr>
              <w:rFonts w:ascii="Times New Roman" w:hAnsi="Times New Roman" w:cs="Times New Roman"/>
              <w:noProof/>
            </w:rPr>
            <w:fldChar w:fldCharType="end"/>
          </w:r>
        </w:p>
        <w:p w14:paraId="08A157FF"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3.6 Summary</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_Toc333644942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146</w:t>
          </w:r>
          <w:r w:rsidRPr="009625AD">
            <w:rPr>
              <w:rFonts w:ascii="Times New Roman" w:hAnsi="Times New Roman" w:cs="Times New Roman"/>
              <w:noProof/>
            </w:rPr>
            <w:fldChar w:fldCharType="end"/>
          </w:r>
        </w:p>
        <w:p w14:paraId="30B9747B"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3.7 Main Conclusions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_Toc333644943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146</w:t>
          </w:r>
          <w:r w:rsidRPr="009625AD">
            <w:rPr>
              <w:rFonts w:ascii="Times New Roman" w:hAnsi="Times New Roman" w:cs="Times New Roman"/>
              <w:noProof/>
            </w:rPr>
            <w:fldChar w:fldCharType="end"/>
          </w:r>
        </w:p>
        <w:p w14:paraId="55B657EB" w14:textId="77777777" w:rsidR="009625AD" w:rsidRPr="009625AD" w:rsidRDefault="009625AD">
          <w:pPr>
            <w:pStyle w:val="TOC1"/>
            <w:tabs>
              <w:tab w:val="right" w:leader="dot" w:pos="8488"/>
            </w:tabs>
            <w:rPr>
              <w:rFonts w:ascii="Times New Roman" w:hAnsi="Times New Roman" w:cs="Times New Roman"/>
              <w:b w:val="0"/>
              <w:noProof/>
              <w:lang w:val="en-GB" w:eastAsia="ja-JP"/>
            </w:rPr>
          </w:pPr>
          <w:r w:rsidRPr="009625AD">
            <w:rPr>
              <w:rFonts w:ascii="Times New Roman" w:hAnsi="Times New Roman" w:cs="Times New Roman"/>
              <w:noProof/>
            </w:rPr>
            <w:t>Chapter 4</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_Toc333644944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147</w:t>
          </w:r>
          <w:r w:rsidRPr="009625AD">
            <w:rPr>
              <w:rFonts w:ascii="Times New Roman" w:hAnsi="Times New Roman" w:cs="Times New Roman"/>
              <w:noProof/>
            </w:rPr>
            <w:fldChar w:fldCharType="end"/>
          </w:r>
        </w:p>
        <w:p w14:paraId="4F57A5EA" w14:textId="77777777" w:rsidR="009625AD" w:rsidRPr="009625AD" w:rsidRDefault="009625AD">
          <w:pPr>
            <w:pStyle w:val="TOC1"/>
            <w:tabs>
              <w:tab w:val="right" w:leader="dot" w:pos="8488"/>
            </w:tabs>
            <w:rPr>
              <w:rFonts w:ascii="Times New Roman" w:hAnsi="Times New Roman" w:cs="Times New Roman"/>
              <w:b w:val="0"/>
              <w:noProof/>
              <w:lang w:val="en-GB" w:eastAsia="ja-JP"/>
            </w:rPr>
          </w:pPr>
          <w:r w:rsidRPr="009625AD">
            <w:rPr>
              <w:rFonts w:ascii="Times New Roman" w:hAnsi="Times New Roman" w:cs="Times New Roman"/>
              <w:noProof/>
            </w:rPr>
            <w:t>Establishing a novel human astrocyte-neuron co-culture system and investigating whether impaired IGF1 signalling affects astrocytic support for neurons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_Toc333644945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147</w:t>
          </w:r>
          <w:r w:rsidRPr="009625AD">
            <w:rPr>
              <w:rFonts w:ascii="Times New Roman" w:hAnsi="Times New Roman" w:cs="Times New Roman"/>
              <w:noProof/>
            </w:rPr>
            <w:fldChar w:fldCharType="end"/>
          </w:r>
        </w:p>
        <w:p w14:paraId="7084F026"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4.1 Introduction</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_Toc333644946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147</w:t>
          </w:r>
          <w:r w:rsidRPr="009625AD">
            <w:rPr>
              <w:rFonts w:ascii="Times New Roman" w:hAnsi="Times New Roman" w:cs="Times New Roman"/>
              <w:noProof/>
            </w:rPr>
            <w:fldChar w:fldCharType="end"/>
          </w:r>
        </w:p>
        <w:p w14:paraId="36FDE275"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4.2 Aims and Objectives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_Toc333644947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150</w:t>
          </w:r>
          <w:r w:rsidRPr="009625AD">
            <w:rPr>
              <w:rFonts w:ascii="Times New Roman" w:hAnsi="Times New Roman" w:cs="Times New Roman"/>
              <w:noProof/>
            </w:rPr>
            <w:fldChar w:fldCharType="end"/>
          </w:r>
        </w:p>
        <w:p w14:paraId="44E577B3"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4.3 Methods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_Toc333644948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150</w:t>
          </w:r>
          <w:r w:rsidRPr="009625AD">
            <w:rPr>
              <w:rFonts w:ascii="Times New Roman" w:hAnsi="Times New Roman" w:cs="Times New Roman"/>
              <w:noProof/>
            </w:rPr>
            <w:fldChar w:fldCharType="end"/>
          </w:r>
        </w:p>
        <w:p w14:paraId="322DD5A9"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4.4 Results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_Toc333644949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151</w:t>
          </w:r>
          <w:r w:rsidRPr="009625AD">
            <w:rPr>
              <w:rFonts w:ascii="Times New Roman" w:hAnsi="Times New Roman" w:cs="Times New Roman"/>
              <w:noProof/>
            </w:rPr>
            <w:fldChar w:fldCharType="end"/>
          </w:r>
        </w:p>
        <w:p w14:paraId="236A80C0"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4.4.1 Establishing a human astrocyte-neuronal co-culture system</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_Toc333644950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151</w:t>
          </w:r>
          <w:r w:rsidRPr="009625AD">
            <w:rPr>
              <w:rFonts w:ascii="Times New Roman" w:hAnsi="Times New Roman" w:cs="Times New Roman"/>
              <w:noProof/>
            </w:rPr>
            <w:fldChar w:fldCharType="end"/>
          </w:r>
        </w:p>
        <w:p w14:paraId="47D9FCBF"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4.4.2 Trialling different coating conditions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_Toc333644951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155</w:t>
          </w:r>
          <w:r w:rsidRPr="009625AD">
            <w:rPr>
              <w:rFonts w:ascii="Times New Roman" w:hAnsi="Times New Roman" w:cs="Times New Roman"/>
              <w:noProof/>
            </w:rPr>
            <w:fldChar w:fldCharType="end"/>
          </w:r>
        </w:p>
        <w:p w14:paraId="10C211AB"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4.4.3 Developing a model to measure neurite outgrowth in the astrocyte-neuronal co-culture</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_Toc333644952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157</w:t>
          </w:r>
          <w:r w:rsidRPr="009625AD">
            <w:rPr>
              <w:rFonts w:ascii="Times New Roman" w:hAnsi="Times New Roman" w:cs="Times New Roman"/>
              <w:noProof/>
            </w:rPr>
            <w:fldChar w:fldCharType="end"/>
          </w:r>
        </w:p>
        <w:p w14:paraId="002C7E47"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4.4.4 Generating stably expressing GFP LUHMES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_Toc333644953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161</w:t>
          </w:r>
          <w:r w:rsidRPr="009625AD">
            <w:rPr>
              <w:rFonts w:ascii="Times New Roman" w:hAnsi="Times New Roman" w:cs="Times New Roman"/>
              <w:noProof/>
            </w:rPr>
            <w:fldChar w:fldCharType="end"/>
          </w:r>
        </w:p>
        <w:p w14:paraId="45F52343"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4.4.5 Assessing astrocyte maturity in the co-culture system</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_Toc333644954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164</w:t>
          </w:r>
          <w:r w:rsidRPr="009625AD">
            <w:rPr>
              <w:rFonts w:ascii="Times New Roman" w:hAnsi="Times New Roman" w:cs="Times New Roman"/>
              <w:noProof/>
            </w:rPr>
            <w:fldChar w:fldCharType="end"/>
          </w:r>
        </w:p>
        <w:p w14:paraId="6856A764"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4.4.6 GFAP-positive astrocytes are associated with neurons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_Toc333644955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166</w:t>
          </w:r>
          <w:r w:rsidRPr="009625AD">
            <w:rPr>
              <w:rFonts w:ascii="Times New Roman" w:hAnsi="Times New Roman" w:cs="Times New Roman"/>
              <w:noProof/>
            </w:rPr>
            <w:fldChar w:fldCharType="end"/>
          </w:r>
        </w:p>
        <w:p w14:paraId="5F609EB0"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4.4.7 Astrocytes prolong neuronal survival</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_Toc333644956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168</w:t>
          </w:r>
          <w:r w:rsidRPr="009625AD">
            <w:rPr>
              <w:rFonts w:ascii="Times New Roman" w:hAnsi="Times New Roman" w:cs="Times New Roman"/>
              <w:noProof/>
            </w:rPr>
            <w:fldChar w:fldCharType="end"/>
          </w:r>
        </w:p>
        <w:p w14:paraId="18B4AD57"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4.4.8 Neurite outgrowth is facilitated by direct contact with astrocytes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_Toc333644957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170</w:t>
          </w:r>
          <w:r w:rsidRPr="009625AD">
            <w:rPr>
              <w:rFonts w:ascii="Times New Roman" w:hAnsi="Times New Roman" w:cs="Times New Roman"/>
              <w:noProof/>
            </w:rPr>
            <w:fldChar w:fldCharType="end"/>
          </w:r>
        </w:p>
        <w:p w14:paraId="666AAF8E"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4.4.9 Loss of IGF1R in astrocytes does not affect neuronal bundle formation</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_Toc333644958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173</w:t>
          </w:r>
          <w:r w:rsidRPr="009625AD">
            <w:rPr>
              <w:rFonts w:ascii="Times New Roman" w:hAnsi="Times New Roman" w:cs="Times New Roman"/>
              <w:noProof/>
            </w:rPr>
            <w:fldChar w:fldCharType="end"/>
          </w:r>
        </w:p>
        <w:p w14:paraId="25DDC955"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4.4.10 Loss of IGF1R in astrocytes does not affect neurite outgrowth during neuronal differentiation</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_Toc333644959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174</w:t>
          </w:r>
          <w:r w:rsidRPr="009625AD">
            <w:rPr>
              <w:rFonts w:ascii="Times New Roman" w:hAnsi="Times New Roman" w:cs="Times New Roman"/>
              <w:noProof/>
            </w:rPr>
            <w:fldChar w:fldCharType="end"/>
          </w:r>
        </w:p>
        <w:p w14:paraId="48818730"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4.4.11 Reduced astrocytic pAkt (s473) limits the support for neurite outgrowth during differentiation</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_Toc333644960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177</w:t>
          </w:r>
          <w:r w:rsidRPr="009625AD">
            <w:rPr>
              <w:rFonts w:ascii="Times New Roman" w:hAnsi="Times New Roman" w:cs="Times New Roman"/>
              <w:noProof/>
            </w:rPr>
            <w:fldChar w:fldCharType="end"/>
          </w:r>
        </w:p>
        <w:p w14:paraId="2C2C16F4"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4.4.12 Pre-treatment of astrocytes with hydrogen peroxide does not affect support for neurite outgrowth</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_Toc333644961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183</w:t>
          </w:r>
          <w:r w:rsidRPr="009625AD">
            <w:rPr>
              <w:rFonts w:ascii="Times New Roman" w:hAnsi="Times New Roman" w:cs="Times New Roman"/>
              <w:noProof/>
            </w:rPr>
            <w:fldChar w:fldCharType="end"/>
          </w:r>
        </w:p>
        <w:p w14:paraId="3279524D"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4.4.13 Loss of IGF1R in astrocytes impairs protection of neurons against oxidative stress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_Toc333644962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186</w:t>
          </w:r>
          <w:r w:rsidRPr="009625AD">
            <w:rPr>
              <w:rFonts w:ascii="Times New Roman" w:hAnsi="Times New Roman" w:cs="Times New Roman"/>
              <w:noProof/>
            </w:rPr>
            <w:fldChar w:fldCharType="end"/>
          </w:r>
        </w:p>
        <w:p w14:paraId="73572EA2"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4.5 Discussion</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_Toc333644963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192</w:t>
          </w:r>
          <w:r w:rsidRPr="009625AD">
            <w:rPr>
              <w:rFonts w:ascii="Times New Roman" w:hAnsi="Times New Roman" w:cs="Times New Roman"/>
              <w:noProof/>
            </w:rPr>
            <w:fldChar w:fldCharType="end"/>
          </w:r>
        </w:p>
        <w:p w14:paraId="72A4F4CF"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4.5.1 Development and characterisation of a novel human astrocyte-neuronal co-culture system</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_Toc333644964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192</w:t>
          </w:r>
          <w:r w:rsidRPr="009625AD">
            <w:rPr>
              <w:rFonts w:ascii="Times New Roman" w:hAnsi="Times New Roman" w:cs="Times New Roman"/>
              <w:noProof/>
            </w:rPr>
            <w:fldChar w:fldCharType="end"/>
          </w:r>
        </w:p>
        <w:p w14:paraId="3D50A20F"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4.5.2 Impairments in IGF1 signalling in astrocytes in the co-culture system</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_Toc333644965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195</w:t>
          </w:r>
          <w:r w:rsidRPr="009625AD">
            <w:rPr>
              <w:rFonts w:ascii="Times New Roman" w:hAnsi="Times New Roman" w:cs="Times New Roman"/>
              <w:noProof/>
            </w:rPr>
            <w:fldChar w:fldCharType="end"/>
          </w:r>
        </w:p>
        <w:p w14:paraId="5965F2D6"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4.5.3 Loss of IGF1R impairs ability of astrocytes to support neurons during oxidative stress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_Toc333644966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197</w:t>
          </w:r>
          <w:r w:rsidRPr="009625AD">
            <w:rPr>
              <w:rFonts w:ascii="Times New Roman" w:hAnsi="Times New Roman" w:cs="Times New Roman"/>
              <w:noProof/>
            </w:rPr>
            <w:fldChar w:fldCharType="end"/>
          </w:r>
        </w:p>
        <w:p w14:paraId="3721F055"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4.6 Summary</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_Toc333644967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199</w:t>
          </w:r>
          <w:r w:rsidRPr="009625AD">
            <w:rPr>
              <w:rFonts w:ascii="Times New Roman" w:hAnsi="Times New Roman" w:cs="Times New Roman"/>
              <w:noProof/>
            </w:rPr>
            <w:fldChar w:fldCharType="end"/>
          </w:r>
        </w:p>
        <w:p w14:paraId="2C0DB8A2"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4.7 Main conclusions: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_Toc333644968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200</w:t>
          </w:r>
          <w:r w:rsidRPr="009625AD">
            <w:rPr>
              <w:rFonts w:ascii="Times New Roman" w:hAnsi="Times New Roman" w:cs="Times New Roman"/>
              <w:noProof/>
            </w:rPr>
            <w:fldChar w:fldCharType="end"/>
          </w:r>
        </w:p>
        <w:p w14:paraId="2570EAD5" w14:textId="77777777" w:rsidR="009625AD" w:rsidRPr="009625AD" w:rsidRDefault="009625AD">
          <w:pPr>
            <w:pStyle w:val="TOC1"/>
            <w:tabs>
              <w:tab w:val="right" w:leader="dot" w:pos="8488"/>
            </w:tabs>
            <w:rPr>
              <w:rFonts w:ascii="Times New Roman" w:hAnsi="Times New Roman" w:cs="Times New Roman"/>
              <w:b w:val="0"/>
              <w:noProof/>
              <w:lang w:val="en-GB" w:eastAsia="ja-JP"/>
            </w:rPr>
          </w:pPr>
          <w:r w:rsidRPr="009625AD">
            <w:rPr>
              <w:rFonts w:ascii="Times New Roman" w:hAnsi="Times New Roman" w:cs="Times New Roman"/>
              <w:noProof/>
            </w:rPr>
            <w:t>Chapter 5</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_Toc333644969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201</w:t>
          </w:r>
          <w:r w:rsidRPr="009625AD">
            <w:rPr>
              <w:rFonts w:ascii="Times New Roman" w:hAnsi="Times New Roman" w:cs="Times New Roman"/>
              <w:noProof/>
            </w:rPr>
            <w:fldChar w:fldCharType="end"/>
          </w:r>
        </w:p>
        <w:p w14:paraId="77EDA7E5" w14:textId="77777777" w:rsidR="009625AD" w:rsidRPr="009625AD" w:rsidRDefault="009625AD">
          <w:pPr>
            <w:pStyle w:val="TOC1"/>
            <w:tabs>
              <w:tab w:val="right" w:leader="dot" w:pos="8488"/>
            </w:tabs>
            <w:rPr>
              <w:rFonts w:ascii="Times New Roman" w:hAnsi="Times New Roman" w:cs="Times New Roman"/>
              <w:b w:val="0"/>
              <w:noProof/>
              <w:lang w:val="en-GB" w:eastAsia="ja-JP"/>
            </w:rPr>
          </w:pPr>
          <w:r w:rsidRPr="009625AD">
            <w:rPr>
              <w:rFonts w:ascii="Times New Roman" w:hAnsi="Times New Roman" w:cs="Times New Roman"/>
              <w:noProof/>
            </w:rPr>
            <w:t>Gene expression profiling of IGF1 signalling impaired astrocytes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_Toc333644970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201</w:t>
          </w:r>
          <w:r w:rsidRPr="009625AD">
            <w:rPr>
              <w:rFonts w:ascii="Times New Roman" w:hAnsi="Times New Roman" w:cs="Times New Roman"/>
              <w:noProof/>
            </w:rPr>
            <w:fldChar w:fldCharType="end"/>
          </w:r>
        </w:p>
        <w:p w14:paraId="734EF712"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5.1 Introduction</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_Toc333644971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201</w:t>
          </w:r>
          <w:r w:rsidRPr="009625AD">
            <w:rPr>
              <w:rFonts w:ascii="Times New Roman" w:hAnsi="Times New Roman" w:cs="Times New Roman"/>
              <w:noProof/>
            </w:rPr>
            <w:fldChar w:fldCharType="end"/>
          </w:r>
        </w:p>
        <w:p w14:paraId="3769698C"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5.2 Aims and Objectives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_Toc333644972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202</w:t>
          </w:r>
          <w:r w:rsidRPr="009625AD">
            <w:rPr>
              <w:rFonts w:ascii="Times New Roman" w:hAnsi="Times New Roman" w:cs="Times New Roman"/>
              <w:noProof/>
            </w:rPr>
            <w:fldChar w:fldCharType="end"/>
          </w:r>
        </w:p>
        <w:p w14:paraId="6202EB03"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5.3 Methods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_Toc333644973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202</w:t>
          </w:r>
          <w:r w:rsidRPr="009625AD">
            <w:rPr>
              <w:rFonts w:ascii="Times New Roman" w:hAnsi="Times New Roman" w:cs="Times New Roman"/>
              <w:noProof/>
            </w:rPr>
            <w:fldChar w:fldCharType="end"/>
          </w:r>
        </w:p>
        <w:p w14:paraId="24FEB30D"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5.4 Results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_Toc333644974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204</w:t>
          </w:r>
          <w:r w:rsidRPr="009625AD">
            <w:rPr>
              <w:rFonts w:ascii="Times New Roman" w:hAnsi="Times New Roman" w:cs="Times New Roman"/>
              <w:noProof/>
            </w:rPr>
            <w:fldChar w:fldCharType="end"/>
          </w:r>
        </w:p>
        <w:p w14:paraId="5A27AED8"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5.4.1 Isolating populations of astrocytes and LUHMES from co-cultures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_Toc333644975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204</w:t>
          </w:r>
          <w:r w:rsidRPr="009625AD">
            <w:rPr>
              <w:rFonts w:ascii="Times New Roman" w:hAnsi="Times New Roman" w:cs="Times New Roman"/>
              <w:noProof/>
            </w:rPr>
            <w:fldChar w:fldCharType="end"/>
          </w:r>
        </w:p>
        <w:p w14:paraId="3F6B8C5B"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5.4.2 FACS sorting of co-cultures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_Toc333644976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206</w:t>
          </w:r>
          <w:r w:rsidRPr="009625AD">
            <w:rPr>
              <w:rFonts w:ascii="Times New Roman" w:hAnsi="Times New Roman" w:cs="Times New Roman"/>
              <w:noProof/>
            </w:rPr>
            <w:fldChar w:fldCharType="end"/>
          </w:r>
        </w:p>
        <w:p w14:paraId="1BF44A84"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5.4.3 FACS sort of co-cultures for microarray analysis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_Toc333644977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210</w:t>
          </w:r>
          <w:r w:rsidRPr="009625AD">
            <w:rPr>
              <w:rFonts w:ascii="Times New Roman" w:hAnsi="Times New Roman" w:cs="Times New Roman"/>
              <w:noProof/>
            </w:rPr>
            <w:fldChar w:fldCharType="end"/>
          </w:r>
        </w:p>
        <w:p w14:paraId="05DB5A10"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5.4.4 Testing RNA integrity of sorted astrocytes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_Toc333644978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212</w:t>
          </w:r>
          <w:r w:rsidRPr="009625AD">
            <w:rPr>
              <w:rFonts w:ascii="Times New Roman" w:hAnsi="Times New Roman" w:cs="Times New Roman"/>
              <w:noProof/>
            </w:rPr>
            <w:fldChar w:fldCharType="end"/>
          </w:r>
        </w:p>
        <w:p w14:paraId="4B1ABC74"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5.4.5 RNA precipitation of FACS sorted astrocytes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_Toc333644979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213</w:t>
          </w:r>
          <w:r w:rsidRPr="009625AD">
            <w:rPr>
              <w:rFonts w:ascii="Times New Roman" w:hAnsi="Times New Roman" w:cs="Times New Roman"/>
              <w:noProof/>
            </w:rPr>
            <w:fldChar w:fldCharType="end"/>
          </w:r>
        </w:p>
        <w:p w14:paraId="5BBC8129"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5.4.6 Preparation of RNA for Microarray analysis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_Toc333644980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214</w:t>
          </w:r>
          <w:r w:rsidRPr="009625AD">
            <w:rPr>
              <w:rFonts w:ascii="Times New Roman" w:hAnsi="Times New Roman" w:cs="Times New Roman"/>
              <w:noProof/>
            </w:rPr>
            <w:fldChar w:fldCharType="end"/>
          </w:r>
        </w:p>
        <w:p w14:paraId="69B3E59F"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5.4.7 Affymetrix</w:t>
          </w:r>
          <w:r w:rsidRPr="009625AD">
            <w:rPr>
              <w:rFonts w:ascii="Times New Roman" w:hAnsi="Times New Roman" w:cs="Times New Roman"/>
              <w:noProof/>
              <w:vertAlign w:val="superscript"/>
            </w:rPr>
            <w:t>®</w:t>
          </w:r>
          <w:r w:rsidRPr="009625AD">
            <w:rPr>
              <w:rFonts w:ascii="Times New Roman" w:hAnsi="Times New Roman" w:cs="Times New Roman"/>
              <w:noProof/>
            </w:rPr>
            <w:t xml:space="preserve"> Quality Control Metrics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_Toc333644981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217</w:t>
          </w:r>
          <w:r w:rsidRPr="009625AD">
            <w:rPr>
              <w:rFonts w:ascii="Times New Roman" w:hAnsi="Times New Roman" w:cs="Times New Roman"/>
              <w:noProof/>
            </w:rPr>
            <w:fldChar w:fldCharType="end"/>
          </w:r>
        </w:p>
        <w:p w14:paraId="357CFBE6"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5.4.8 Data Analysis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_Toc333644982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225</w:t>
          </w:r>
          <w:r w:rsidRPr="009625AD">
            <w:rPr>
              <w:rFonts w:ascii="Times New Roman" w:hAnsi="Times New Roman" w:cs="Times New Roman"/>
              <w:noProof/>
            </w:rPr>
            <w:fldChar w:fldCharType="end"/>
          </w:r>
        </w:p>
        <w:p w14:paraId="16D8790E"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5.4.9 Biological Pathways of Interest</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_Toc333644983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234</w:t>
          </w:r>
          <w:r w:rsidRPr="009625AD">
            <w:rPr>
              <w:rFonts w:ascii="Times New Roman" w:hAnsi="Times New Roman" w:cs="Times New Roman"/>
              <w:noProof/>
            </w:rPr>
            <w:fldChar w:fldCharType="end"/>
          </w:r>
        </w:p>
        <w:p w14:paraId="09A8C10A"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5.4.10 Validation of genes selected from the microarray using qRT-PCR</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_Toc333644984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243</w:t>
          </w:r>
          <w:r w:rsidRPr="009625AD">
            <w:rPr>
              <w:rFonts w:ascii="Times New Roman" w:hAnsi="Times New Roman" w:cs="Times New Roman"/>
              <w:noProof/>
            </w:rPr>
            <w:fldChar w:fldCharType="end"/>
          </w:r>
        </w:p>
        <w:p w14:paraId="2A0263E4"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5.4.11 Validation of Gene Expression Profiling Data using Functional Asssays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_Toc333644985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249</w:t>
          </w:r>
          <w:r w:rsidRPr="009625AD">
            <w:rPr>
              <w:rFonts w:ascii="Times New Roman" w:hAnsi="Times New Roman" w:cs="Times New Roman"/>
              <w:noProof/>
            </w:rPr>
            <w:fldChar w:fldCharType="end"/>
          </w:r>
        </w:p>
        <w:p w14:paraId="38BEF1B4"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5.4.12 Comparison of transcriptomic analysis on Astocytes isolated from ageing Alzheimer’s brain with IGF1 signalling impaired astrocytes in culture</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_Toc333644986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251</w:t>
          </w:r>
          <w:r w:rsidRPr="009625AD">
            <w:rPr>
              <w:rFonts w:ascii="Times New Roman" w:hAnsi="Times New Roman" w:cs="Times New Roman"/>
              <w:noProof/>
            </w:rPr>
            <w:fldChar w:fldCharType="end"/>
          </w:r>
        </w:p>
        <w:p w14:paraId="104B51FF"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5.5 Discussion</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_Toc333644987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253</w:t>
          </w:r>
          <w:r w:rsidRPr="009625AD">
            <w:rPr>
              <w:rFonts w:ascii="Times New Roman" w:hAnsi="Times New Roman" w:cs="Times New Roman"/>
              <w:noProof/>
            </w:rPr>
            <w:fldChar w:fldCharType="end"/>
          </w:r>
        </w:p>
        <w:p w14:paraId="349561AE"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5.5.1 Separation of co-cultured cells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_Toc333644988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253</w:t>
          </w:r>
          <w:r w:rsidRPr="009625AD">
            <w:rPr>
              <w:rFonts w:ascii="Times New Roman" w:hAnsi="Times New Roman" w:cs="Times New Roman"/>
              <w:noProof/>
            </w:rPr>
            <w:fldChar w:fldCharType="end"/>
          </w:r>
        </w:p>
        <w:p w14:paraId="61D112F8"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5.5.2 Impaired IGF1 signalling alters the astrocyte transcriptome</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_Toc333644989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254</w:t>
          </w:r>
          <w:r w:rsidRPr="009625AD">
            <w:rPr>
              <w:rFonts w:ascii="Times New Roman" w:hAnsi="Times New Roman" w:cs="Times New Roman"/>
              <w:noProof/>
            </w:rPr>
            <w:fldChar w:fldCharType="end"/>
          </w:r>
        </w:p>
        <w:p w14:paraId="2CD1AE3A"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5.6 Summary</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_Toc333644990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270</w:t>
          </w:r>
          <w:r w:rsidRPr="009625AD">
            <w:rPr>
              <w:rFonts w:ascii="Times New Roman" w:hAnsi="Times New Roman" w:cs="Times New Roman"/>
              <w:noProof/>
            </w:rPr>
            <w:fldChar w:fldCharType="end"/>
          </w:r>
        </w:p>
        <w:p w14:paraId="0315C3C3"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5.7 Main Conclusions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_Toc333644991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272</w:t>
          </w:r>
          <w:r w:rsidRPr="009625AD">
            <w:rPr>
              <w:rFonts w:ascii="Times New Roman" w:hAnsi="Times New Roman" w:cs="Times New Roman"/>
              <w:noProof/>
            </w:rPr>
            <w:fldChar w:fldCharType="end"/>
          </w:r>
        </w:p>
        <w:p w14:paraId="7503B766" w14:textId="77777777" w:rsidR="009625AD" w:rsidRPr="009625AD" w:rsidRDefault="009625AD">
          <w:pPr>
            <w:pStyle w:val="TOC1"/>
            <w:tabs>
              <w:tab w:val="right" w:leader="dot" w:pos="8488"/>
            </w:tabs>
            <w:rPr>
              <w:rFonts w:ascii="Times New Roman" w:hAnsi="Times New Roman" w:cs="Times New Roman"/>
              <w:b w:val="0"/>
              <w:noProof/>
              <w:lang w:val="en-GB" w:eastAsia="ja-JP"/>
            </w:rPr>
          </w:pPr>
          <w:r w:rsidRPr="009625AD">
            <w:rPr>
              <w:rFonts w:ascii="Times New Roman" w:hAnsi="Times New Roman" w:cs="Times New Roman"/>
              <w:noProof/>
            </w:rPr>
            <w:t>Chapter 6</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_Toc333644992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273</w:t>
          </w:r>
          <w:r w:rsidRPr="009625AD">
            <w:rPr>
              <w:rFonts w:ascii="Times New Roman" w:hAnsi="Times New Roman" w:cs="Times New Roman"/>
              <w:noProof/>
            </w:rPr>
            <w:fldChar w:fldCharType="end"/>
          </w:r>
        </w:p>
        <w:p w14:paraId="2A9FC0AA" w14:textId="77777777" w:rsidR="009625AD" w:rsidRPr="009625AD" w:rsidRDefault="009625AD">
          <w:pPr>
            <w:pStyle w:val="TOC1"/>
            <w:tabs>
              <w:tab w:val="right" w:leader="dot" w:pos="8488"/>
            </w:tabs>
            <w:rPr>
              <w:rFonts w:ascii="Times New Roman" w:hAnsi="Times New Roman" w:cs="Times New Roman"/>
              <w:b w:val="0"/>
              <w:noProof/>
              <w:lang w:val="en-GB" w:eastAsia="ja-JP"/>
            </w:rPr>
          </w:pPr>
          <w:r w:rsidRPr="009625AD">
            <w:rPr>
              <w:rFonts w:ascii="Times New Roman" w:hAnsi="Times New Roman" w:cs="Times New Roman"/>
              <w:noProof/>
            </w:rPr>
            <w:t>Discussion</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_Toc333644993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273</w:t>
          </w:r>
          <w:r w:rsidRPr="009625AD">
            <w:rPr>
              <w:rFonts w:ascii="Times New Roman" w:hAnsi="Times New Roman" w:cs="Times New Roman"/>
              <w:noProof/>
            </w:rPr>
            <w:fldChar w:fldCharType="end"/>
          </w:r>
        </w:p>
        <w:p w14:paraId="4DAF06DC"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6.1 Introduction</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_Toc333644994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273</w:t>
          </w:r>
          <w:r w:rsidRPr="009625AD">
            <w:rPr>
              <w:rFonts w:ascii="Times New Roman" w:hAnsi="Times New Roman" w:cs="Times New Roman"/>
              <w:noProof/>
            </w:rPr>
            <w:fldChar w:fldCharType="end"/>
          </w:r>
        </w:p>
        <w:p w14:paraId="4EA6FC3D"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6.2 Summary of main findings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_Toc333644995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273</w:t>
          </w:r>
          <w:r w:rsidRPr="009625AD">
            <w:rPr>
              <w:rFonts w:ascii="Times New Roman" w:hAnsi="Times New Roman" w:cs="Times New Roman"/>
              <w:noProof/>
            </w:rPr>
            <w:fldChar w:fldCharType="end"/>
          </w:r>
        </w:p>
        <w:p w14:paraId="77279396"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6.3 Main findings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_Toc333644996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274</w:t>
          </w:r>
          <w:r w:rsidRPr="009625AD">
            <w:rPr>
              <w:rFonts w:ascii="Times New Roman" w:hAnsi="Times New Roman" w:cs="Times New Roman"/>
              <w:noProof/>
            </w:rPr>
            <w:fldChar w:fldCharType="end"/>
          </w:r>
        </w:p>
        <w:p w14:paraId="4455E31E"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6.3.1 IGF1 signalling in primary human astrocytes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_Toc333644997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274</w:t>
          </w:r>
          <w:r w:rsidRPr="009625AD">
            <w:rPr>
              <w:rFonts w:ascii="Times New Roman" w:hAnsi="Times New Roman" w:cs="Times New Roman"/>
              <w:noProof/>
            </w:rPr>
            <w:fldChar w:fldCharType="end"/>
          </w:r>
        </w:p>
        <w:p w14:paraId="2DF6D908"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6.3.2 A novel human co-culture system</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_Toc333644998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275</w:t>
          </w:r>
          <w:r w:rsidRPr="009625AD">
            <w:rPr>
              <w:rFonts w:ascii="Times New Roman" w:hAnsi="Times New Roman" w:cs="Times New Roman"/>
              <w:noProof/>
            </w:rPr>
            <w:fldChar w:fldCharType="end"/>
          </w:r>
        </w:p>
        <w:p w14:paraId="71F0C74B" w14:textId="77777777" w:rsidR="009625AD" w:rsidRPr="009625AD" w:rsidRDefault="009625AD">
          <w:pPr>
            <w:pStyle w:val="TOC3"/>
            <w:tabs>
              <w:tab w:val="right" w:leader="dot" w:pos="8488"/>
            </w:tabs>
            <w:rPr>
              <w:rFonts w:ascii="Times New Roman" w:hAnsi="Times New Roman" w:cs="Times New Roman"/>
              <w:noProof/>
              <w:sz w:val="24"/>
              <w:szCs w:val="24"/>
              <w:lang w:val="en-GB" w:eastAsia="ja-JP"/>
            </w:rPr>
          </w:pPr>
          <w:r w:rsidRPr="009625AD">
            <w:rPr>
              <w:rFonts w:ascii="Times New Roman" w:hAnsi="Times New Roman" w:cs="Times New Roman"/>
              <w:noProof/>
            </w:rPr>
            <w:t>6.3.3 Impaired IGF1 signalling affects astrocyte function</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_Toc333644999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276</w:t>
          </w:r>
          <w:r w:rsidRPr="009625AD">
            <w:rPr>
              <w:rFonts w:ascii="Times New Roman" w:hAnsi="Times New Roman" w:cs="Times New Roman"/>
              <w:noProof/>
            </w:rPr>
            <w:fldChar w:fldCharType="end"/>
          </w:r>
        </w:p>
        <w:p w14:paraId="3D1A7BB6"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6.4 Further considerations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_Toc333645000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277</w:t>
          </w:r>
          <w:r w:rsidRPr="009625AD">
            <w:rPr>
              <w:rFonts w:ascii="Times New Roman" w:hAnsi="Times New Roman" w:cs="Times New Roman"/>
              <w:noProof/>
            </w:rPr>
            <w:fldChar w:fldCharType="end"/>
          </w:r>
        </w:p>
        <w:p w14:paraId="3C08CB83"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6.5 Future Work</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_Toc333645001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279</w:t>
          </w:r>
          <w:r w:rsidRPr="009625AD">
            <w:rPr>
              <w:rFonts w:ascii="Times New Roman" w:hAnsi="Times New Roman" w:cs="Times New Roman"/>
              <w:noProof/>
            </w:rPr>
            <w:fldChar w:fldCharType="end"/>
          </w:r>
        </w:p>
        <w:p w14:paraId="387424A0" w14:textId="77777777" w:rsidR="009625AD" w:rsidRPr="009625AD" w:rsidRDefault="009625AD">
          <w:pPr>
            <w:pStyle w:val="TOC2"/>
            <w:tabs>
              <w:tab w:val="right" w:leader="dot" w:pos="8488"/>
            </w:tabs>
            <w:rPr>
              <w:rFonts w:ascii="Times New Roman" w:hAnsi="Times New Roman" w:cs="Times New Roman"/>
              <w:b w:val="0"/>
              <w:noProof/>
              <w:sz w:val="24"/>
              <w:szCs w:val="24"/>
              <w:lang w:val="en-GB" w:eastAsia="ja-JP"/>
            </w:rPr>
          </w:pPr>
          <w:r w:rsidRPr="009625AD">
            <w:rPr>
              <w:rFonts w:ascii="Times New Roman" w:hAnsi="Times New Roman" w:cs="Times New Roman"/>
              <w:noProof/>
            </w:rPr>
            <w:t>6.5 Conclusion</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_Toc333645002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285</w:t>
          </w:r>
          <w:r w:rsidRPr="009625AD">
            <w:rPr>
              <w:rFonts w:ascii="Times New Roman" w:hAnsi="Times New Roman" w:cs="Times New Roman"/>
              <w:noProof/>
            </w:rPr>
            <w:fldChar w:fldCharType="end"/>
          </w:r>
        </w:p>
        <w:p w14:paraId="5AADE544" w14:textId="77777777" w:rsidR="009625AD" w:rsidRPr="009625AD" w:rsidRDefault="009625AD">
          <w:pPr>
            <w:pStyle w:val="TOC1"/>
            <w:tabs>
              <w:tab w:val="right" w:leader="dot" w:pos="8488"/>
            </w:tabs>
            <w:rPr>
              <w:rFonts w:ascii="Times New Roman" w:hAnsi="Times New Roman" w:cs="Times New Roman"/>
              <w:b w:val="0"/>
              <w:noProof/>
              <w:lang w:val="en-GB" w:eastAsia="ja-JP"/>
            </w:rPr>
          </w:pPr>
          <w:r w:rsidRPr="009625AD">
            <w:rPr>
              <w:rFonts w:ascii="Times New Roman" w:hAnsi="Times New Roman" w:cs="Times New Roman"/>
              <w:noProof/>
            </w:rPr>
            <w:t>Chapter 7</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_Toc333645003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286</w:t>
          </w:r>
          <w:r w:rsidRPr="009625AD">
            <w:rPr>
              <w:rFonts w:ascii="Times New Roman" w:hAnsi="Times New Roman" w:cs="Times New Roman"/>
              <w:noProof/>
            </w:rPr>
            <w:fldChar w:fldCharType="end"/>
          </w:r>
        </w:p>
        <w:p w14:paraId="5C41450E" w14:textId="77777777" w:rsidR="009625AD" w:rsidRPr="009625AD" w:rsidRDefault="009625AD">
          <w:pPr>
            <w:pStyle w:val="TOC1"/>
            <w:tabs>
              <w:tab w:val="right" w:leader="dot" w:pos="8488"/>
            </w:tabs>
            <w:rPr>
              <w:rFonts w:ascii="Times New Roman" w:hAnsi="Times New Roman" w:cs="Times New Roman"/>
              <w:b w:val="0"/>
              <w:noProof/>
              <w:lang w:val="en-GB" w:eastAsia="ja-JP"/>
            </w:rPr>
          </w:pPr>
          <w:r w:rsidRPr="009625AD">
            <w:rPr>
              <w:rFonts w:ascii="Times New Roman" w:hAnsi="Times New Roman" w:cs="Times New Roman"/>
              <w:noProof/>
            </w:rPr>
            <w:t>Appendix</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_Toc333645004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286</w:t>
          </w:r>
          <w:r w:rsidRPr="009625AD">
            <w:rPr>
              <w:rFonts w:ascii="Times New Roman" w:hAnsi="Times New Roman" w:cs="Times New Roman"/>
              <w:noProof/>
            </w:rPr>
            <w:fldChar w:fldCharType="end"/>
          </w:r>
        </w:p>
        <w:p w14:paraId="4F0324BE" w14:textId="77777777" w:rsidR="009625AD" w:rsidRPr="009625AD" w:rsidRDefault="009625AD">
          <w:pPr>
            <w:pStyle w:val="TOC1"/>
            <w:tabs>
              <w:tab w:val="right" w:leader="dot" w:pos="8488"/>
            </w:tabs>
            <w:rPr>
              <w:rFonts w:ascii="Times New Roman" w:hAnsi="Times New Roman" w:cs="Times New Roman"/>
              <w:b w:val="0"/>
              <w:noProof/>
              <w:lang w:val="en-GB" w:eastAsia="ja-JP"/>
            </w:rPr>
          </w:pPr>
          <w:r w:rsidRPr="009625AD">
            <w:rPr>
              <w:rFonts w:ascii="Times New Roman" w:hAnsi="Times New Roman" w:cs="Times New Roman"/>
              <w:noProof/>
            </w:rPr>
            <w:t>References</w:t>
          </w:r>
          <w:r w:rsidRPr="009625AD">
            <w:rPr>
              <w:rFonts w:ascii="Times New Roman" w:hAnsi="Times New Roman" w:cs="Times New Roman"/>
              <w:noProof/>
            </w:rPr>
            <w:tab/>
          </w:r>
          <w:r w:rsidRPr="009625AD">
            <w:rPr>
              <w:rFonts w:ascii="Times New Roman" w:hAnsi="Times New Roman" w:cs="Times New Roman"/>
              <w:noProof/>
            </w:rPr>
            <w:fldChar w:fldCharType="begin"/>
          </w:r>
          <w:r w:rsidRPr="009625AD">
            <w:rPr>
              <w:rFonts w:ascii="Times New Roman" w:hAnsi="Times New Roman" w:cs="Times New Roman"/>
              <w:noProof/>
            </w:rPr>
            <w:instrText xml:space="preserve"> PAGEREF _Toc333645005 \h </w:instrText>
          </w:r>
          <w:r w:rsidRPr="009625AD">
            <w:rPr>
              <w:rFonts w:ascii="Times New Roman" w:hAnsi="Times New Roman" w:cs="Times New Roman"/>
              <w:noProof/>
            </w:rPr>
          </w:r>
          <w:r w:rsidRPr="009625AD">
            <w:rPr>
              <w:rFonts w:ascii="Times New Roman" w:hAnsi="Times New Roman" w:cs="Times New Roman"/>
              <w:noProof/>
            </w:rPr>
            <w:fldChar w:fldCharType="separate"/>
          </w:r>
          <w:r w:rsidR="00C865FA">
            <w:rPr>
              <w:rFonts w:ascii="Times New Roman" w:hAnsi="Times New Roman" w:cs="Times New Roman"/>
              <w:noProof/>
            </w:rPr>
            <w:t>288</w:t>
          </w:r>
          <w:r w:rsidRPr="009625AD">
            <w:rPr>
              <w:rFonts w:ascii="Times New Roman" w:hAnsi="Times New Roman" w:cs="Times New Roman"/>
              <w:noProof/>
            </w:rPr>
            <w:fldChar w:fldCharType="end"/>
          </w:r>
        </w:p>
        <w:p w14:paraId="6F7EC4A2" w14:textId="3A815864" w:rsidR="0052651A" w:rsidRPr="009625AD" w:rsidRDefault="0052651A">
          <w:pPr>
            <w:rPr>
              <w:rFonts w:ascii="Times New Roman" w:hAnsi="Times New Roman" w:cs="Times New Roman"/>
            </w:rPr>
          </w:pPr>
          <w:r w:rsidRPr="009625AD">
            <w:rPr>
              <w:rFonts w:ascii="Times New Roman" w:hAnsi="Times New Roman" w:cs="Times New Roman"/>
              <w:b/>
              <w:bCs/>
              <w:noProof/>
            </w:rPr>
            <w:fldChar w:fldCharType="end"/>
          </w:r>
        </w:p>
      </w:sdtContent>
    </w:sdt>
    <w:p w14:paraId="1911F7D3" w14:textId="167ED28C" w:rsidR="004A21A3" w:rsidRPr="009625AD" w:rsidRDefault="004A21A3" w:rsidP="0052651A">
      <w:pPr>
        <w:jc w:val="both"/>
        <w:rPr>
          <w:rFonts w:ascii="Times New Roman" w:hAnsi="Times New Roman" w:cs="Times New Roman"/>
        </w:rPr>
      </w:pPr>
    </w:p>
    <w:p w14:paraId="2B7EB57C" w14:textId="7223E45A" w:rsidR="00722323" w:rsidRPr="00F85E8E" w:rsidRDefault="00722323">
      <w:pPr>
        <w:rPr>
          <w:rFonts w:ascii="Times New Roman" w:hAnsi="Times New Roman" w:cs="Times New Roman"/>
        </w:rPr>
      </w:pPr>
    </w:p>
    <w:p w14:paraId="7486313A" w14:textId="10EEABE3" w:rsidR="002659AE" w:rsidRPr="00F85E8E" w:rsidRDefault="002659AE">
      <w:pPr>
        <w:rPr>
          <w:rFonts w:ascii="Times New Roman" w:hAnsi="Times New Roman" w:cs="Times New Roman"/>
        </w:rPr>
      </w:pPr>
    </w:p>
    <w:p w14:paraId="092A4F7B" w14:textId="77777777" w:rsidR="002659AE" w:rsidRPr="00F85E8E" w:rsidRDefault="002659AE">
      <w:pPr>
        <w:rPr>
          <w:rFonts w:ascii="Times New Roman" w:hAnsi="Times New Roman" w:cs="Times New Roman"/>
        </w:rPr>
      </w:pPr>
    </w:p>
    <w:p w14:paraId="7957E9B2" w14:textId="2F94F766" w:rsidR="003B7858" w:rsidRPr="00F85E8E" w:rsidRDefault="003B7858">
      <w:pPr>
        <w:rPr>
          <w:rFonts w:ascii="Times New Roman" w:hAnsi="Times New Roman" w:cs="Times New Roman"/>
        </w:rPr>
      </w:pPr>
    </w:p>
    <w:p w14:paraId="5B6EEB50" w14:textId="0688E974" w:rsidR="00AC7BB4" w:rsidRPr="00F85E8E" w:rsidRDefault="00AC7BB4">
      <w:pPr>
        <w:rPr>
          <w:rFonts w:ascii="Times New Roman" w:hAnsi="Times New Roman" w:cs="Times New Roman"/>
        </w:rPr>
      </w:pPr>
    </w:p>
    <w:p w14:paraId="10275650" w14:textId="54E5458A" w:rsidR="00AC7BB4" w:rsidRPr="00F85E8E" w:rsidRDefault="00AC7BB4">
      <w:pPr>
        <w:rPr>
          <w:rFonts w:ascii="Times New Roman" w:hAnsi="Times New Roman" w:cs="Times New Roman"/>
        </w:rPr>
      </w:pPr>
    </w:p>
    <w:p w14:paraId="2A26A6BD" w14:textId="77777777" w:rsidR="00AC7BB4" w:rsidRPr="00F85E8E" w:rsidRDefault="00AC7BB4">
      <w:pPr>
        <w:rPr>
          <w:rFonts w:ascii="Times New Roman" w:hAnsi="Times New Roman" w:cs="Times New Roman"/>
        </w:rPr>
      </w:pPr>
    </w:p>
    <w:p w14:paraId="4C9BF2D8" w14:textId="538733EB" w:rsidR="005B74D7" w:rsidRPr="00F85E8E" w:rsidRDefault="005B74D7">
      <w:pPr>
        <w:rPr>
          <w:rFonts w:ascii="Times New Roman" w:hAnsi="Times New Roman" w:cs="Times New Roman"/>
        </w:rPr>
      </w:pPr>
    </w:p>
    <w:p w14:paraId="57929401" w14:textId="77777777" w:rsidR="00B24B1A" w:rsidRPr="00F85E8E" w:rsidRDefault="00B24B1A">
      <w:pPr>
        <w:pStyle w:val="TOCHeading"/>
        <w:rPr>
          <w:rFonts w:ascii="Times New Roman" w:hAnsi="Times New Roman"/>
          <w:sz w:val="24"/>
        </w:rPr>
      </w:pPr>
    </w:p>
    <w:p w14:paraId="2700076F" w14:textId="77777777" w:rsidR="001A257D" w:rsidRPr="00F85E8E" w:rsidRDefault="001A257D">
      <w:pPr>
        <w:rPr>
          <w:rFonts w:ascii="Times New Roman" w:hAnsi="Times New Roman" w:cs="Times New Roman"/>
          <w:b/>
        </w:rPr>
      </w:pPr>
    </w:p>
    <w:p w14:paraId="4729E78B" w14:textId="77777777" w:rsidR="001A257D" w:rsidRPr="00F85E8E" w:rsidRDefault="001A257D">
      <w:pPr>
        <w:rPr>
          <w:rFonts w:ascii="Times New Roman" w:hAnsi="Times New Roman" w:cs="Times New Roman"/>
          <w:b/>
        </w:rPr>
      </w:pPr>
    </w:p>
    <w:p w14:paraId="2DA49E82" w14:textId="77777777" w:rsidR="001A257D" w:rsidRPr="00F85E8E" w:rsidRDefault="001A257D">
      <w:pPr>
        <w:rPr>
          <w:rFonts w:ascii="Times New Roman" w:hAnsi="Times New Roman" w:cs="Times New Roman"/>
          <w:b/>
        </w:rPr>
      </w:pPr>
    </w:p>
    <w:p w14:paraId="1F61A0FE" w14:textId="77777777" w:rsidR="001A257D" w:rsidRPr="00F85E8E" w:rsidRDefault="001A257D">
      <w:pPr>
        <w:rPr>
          <w:rFonts w:ascii="Times New Roman" w:hAnsi="Times New Roman" w:cs="Times New Roman"/>
          <w:b/>
        </w:rPr>
      </w:pPr>
    </w:p>
    <w:p w14:paraId="3C53C339" w14:textId="77777777" w:rsidR="003B7858" w:rsidRPr="00F85E8E" w:rsidRDefault="003B7858" w:rsidP="00610704">
      <w:pPr>
        <w:pStyle w:val="Heading1"/>
        <w:rPr>
          <w:sz w:val="24"/>
        </w:rPr>
      </w:pPr>
      <w:bookmarkStart w:id="26" w:name="_Toc331425864"/>
      <w:bookmarkStart w:id="27" w:name="_Toc331427051"/>
      <w:bookmarkStart w:id="28" w:name="_Toc331427423"/>
      <w:bookmarkStart w:id="29" w:name="_Toc262895392"/>
    </w:p>
    <w:p w14:paraId="74753DF1" w14:textId="77777777" w:rsidR="003B7858" w:rsidRPr="00F85E8E" w:rsidRDefault="003B7858" w:rsidP="003B7858">
      <w:pPr>
        <w:rPr>
          <w:rFonts w:ascii="Times New Roman" w:hAnsi="Times New Roman" w:cs="Times New Roman"/>
        </w:rPr>
      </w:pPr>
    </w:p>
    <w:p w14:paraId="50D63764" w14:textId="77777777" w:rsidR="003B7858" w:rsidRPr="00F85E8E" w:rsidRDefault="003B7858" w:rsidP="003B7858">
      <w:pPr>
        <w:rPr>
          <w:rFonts w:ascii="Times New Roman" w:hAnsi="Times New Roman" w:cs="Times New Roman"/>
        </w:rPr>
      </w:pPr>
    </w:p>
    <w:p w14:paraId="4517E672" w14:textId="77777777" w:rsidR="003B7858" w:rsidRDefault="003B7858" w:rsidP="003B7858"/>
    <w:p w14:paraId="40F08B91" w14:textId="77777777" w:rsidR="003B7858" w:rsidRDefault="003B7858" w:rsidP="003B7858"/>
    <w:p w14:paraId="6726FF95" w14:textId="77777777" w:rsidR="003B7858" w:rsidRDefault="003B7858" w:rsidP="003B7858"/>
    <w:p w14:paraId="5E27E306" w14:textId="77777777" w:rsidR="003B7858" w:rsidRDefault="003B7858" w:rsidP="003B7858"/>
    <w:p w14:paraId="3B3D4C99" w14:textId="77777777" w:rsidR="003B7858" w:rsidRDefault="003B7858" w:rsidP="003B7858"/>
    <w:p w14:paraId="39B0673E" w14:textId="77777777" w:rsidR="003B7858" w:rsidRDefault="003B7858" w:rsidP="003B7858"/>
    <w:p w14:paraId="3F759150" w14:textId="77777777" w:rsidR="003B7858" w:rsidRDefault="003B7858" w:rsidP="003B7858"/>
    <w:p w14:paraId="1C547119" w14:textId="77777777" w:rsidR="003B7858" w:rsidRDefault="003B7858" w:rsidP="003B7858"/>
    <w:p w14:paraId="6E83870C" w14:textId="77777777" w:rsidR="003B7858" w:rsidRDefault="003B7858" w:rsidP="003B7858"/>
    <w:p w14:paraId="46E0D5B0" w14:textId="77777777" w:rsidR="003B7858" w:rsidRDefault="003B7858" w:rsidP="003B7858"/>
    <w:p w14:paraId="1BB77F3E" w14:textId="77777777" w:rsidR="009625AD" w:rsidRDefault="009625AD" w:rsidP="003B7858"/>
    <w:p w14:paraId="767876EF" w14:textId="77777777" w:rsidR="009625AD" w:rsidRDefault="009625AD" w:rsidP="003B7858"/>
    <w:p w14:paraId="0677A3F1" w14:textId="77777777" w:rsidR="009625AD" w:rsidRDefault="009625AD" w:rsidP="003B7858"/>
    <w:p w14:paraId="36D9046E" w14:textId="77777777" w:rsidR="009625AD" w:rsidRDefault="009625AD" w:rsidP="003B7858"/>
    <w:p w14:paraId="3E8BCC6C" w14:textId="77777777" w:rsidR="009625AD" w:rsidRDefault="009625AD" w:rsidP="003B7858"/>
    <w:p w14:paraId="142E2A9F" w14:textId="77777777" w:rsidR="009625AD" w:rsidRDefault="009625AD" w:rsidP="003B7858"/>
    <w:p w14:paraId="4A25D201" w14:textId="77777777" w:rsidR="009625AD" w:rsidRDefault="009625AD" w:rsidP="003B7858"/>
    <w:p w14:paraId="27F64BB4" w14:textId="77777777" w:rsidR="009625AD" w:rsidRDefault="009625AD" w:rsidP="003B7858"/>
    <w:p w14:paraId="2EC2FBFA" w14:textId="77777777" w:rsidR="009625AD" w:rsidRDefault="009625AD" w:rsidP="003B7858"/>
    <w:p w14:paraId="09497985" w14:textId="77777777" w:rsidR="009625AD" w:rsidRDefault="009625AD" w:rsidP="003B7858"/>
    <w:p w14:paraId="62C792AB" w14:textId="77777777" w:rsidR="009625AD" w:rsidRDefault="009625AD" w:rsidP="003B7858"/>
    <w:p w14:paraId="1D52A289" w14:textId="77777777" w:rsidR="009625AD" w:rsidRDefault="009625AD" w:rsidP="003B7858"/>
    <w:p w14:paraId="193A3B24" w14:textId="458C21C8" w:rsidR="004F3594" w:rsidRDefault="00303E90" w:rsidP="00303E90">
      <w:pPr>
        <w:rPr>
          <w:rFonts w:ascii="Times New Roman" w:hAnsi="Times New Roman" w:cs="Times New Roman"/>
          <w:b/>
          <w:sz w:val="36"/>
          <w:szCs w:val="36"/>
          <w:u w:val="single"/>
        </w:rPr>
      </w:pPr>
      <w:bookmarkStart w:id="30" w:name="_Toc331427565"/>
      <w:bookmarkStart w:id="31" w:name="_Toc332972569"/>
      <w:bookmarkStart w:id="32" w:name="_Toc333046849"/>
      <w:bookmarkStart w:id="33" w:name="_Toc333477196"/>
      <w:bookmarkStart w:id="34" w:name="_Toc333477966"/>
      <w:r w:rsidRPr="00424166">
        <w:rPr>
          <w:rFonts w:ascii="Times New Roman" w:hAnsi="Times New Roman" w:cs="Times New Roman"/>
          <w:b/>
          <w:sz w:val="36"/>
          <w:szCs w:val="36"/>
          <w:u w:val="single"/>
        </w:rPr>
        <w:t>List of Figures</w:t>
      </w:r>
    </w:p>
    <w:p w14:paraId="47E7912B" w14:textId="77777777" w:rsidR="00F97922" w:rsidRDefault="00F97922" w:rsidP="00303E90">
      <w:pPr>
        <w:rPr>
          <w:rFonts w:ascii="Times New Roman" w:hAnsi="Times New Roman" w:cs="Times New Roman"/>
          <w:b/>
          <w:sz w:val="36"/>
          <w:szCs w:val="36"/>
          <w:u w:val="single"/>
        </w:rPr>
      </w:pPr>
    </w:p>
    <w:p w14:paraId="252A1B87" w14:textId="77777777" w:rsidR="00AE1BBC" w:rsidRDefault="00AE1BBC">
      <w:pPr>
        <w:pStyle w:val="TableofFigures"/>
        <w:tabs>
          <w:tab w:val="right" w:leader="dot" w:pos="8488"/>
        </w:tabs>
        <w:rPr>
          <w:rFonts w:asciiTheme="minorHAnsi" w:hAnsiTheme="minorHAnsi"/>
          <w:i w:val="0"/>
          <w:noProof/>
          <w:szCs w:val="24"/>
          <w:lang w:val="en-GB" w:eastAsia="ja-JP"/>
        </w:rPr>
      </w:pPr>
      <w:r>
        <w:fldChar w:fldCharType="begin"/>
      </w:r>
      <w:r>
        <w:instrText xml:space="preserve"> TOC \t "Caption" \c </w:instrText>
      </w:r>
      <w:r>
        <w:fldChar w:fldCharType="separate"/>
      </w:r>
      <w:r w:rsidRPr="00481141">
        <w:rPr>
          <w:b/>
          <w:noProof/>
        </w:rPr>
        <w:t>Figure 1.1</w:t>
      </w:r>
      <w:r>
        <w:rPr>
          <w:noProof/>
        </w:rPr>
        <w:t>. The amyloidogenic and non-amyloidogenic pathways.</w:t>
      </w:r>
      <w:r>
        <w:rPr>
          <w:noProof/>
        </w:rPr>
        <w:tab/>
      </w:r>
      <w:r>
        <w:rPr>
          <w:noProof/>
        </w:rPr>
        <w:fldChar w:fldCharType="begin"/>
      </w:r>
      <w:r>
        <w:rPr>
          <w:noProof/>
        </w:rPr>
        <w:instrText xml:space="preserve"> PAGEREF _Toc333644751 \h </w:instrText>
      </w:r>
      <w:r>
        <w:rPr>
          <w:noProof/>
        </w:rPr>
      </w:r>
      <w:r>
        <w:rPr>
          <w:noProof/>
        </w:rPr>
        <w:fldChar w:fldCharType="separate"/>
      </w:r>
      <w:r w:rsidR="00667C25">
        <w:rPr>
          <w:noProof/>
        </w:rPr>
        <w:t>22</w:t>
      </w:r>
      <w:r>
        <w:rPr>
          <w:noProof/>
        </w:rPr>
        <w:fldChar w:fldCharType="end"/>
      </w:r>
    </w:p>
    <w:p w14:paraId="5B6EC5D6"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1.2</w:t>
      </w:r>
      <w:r>
        <w:rPr>
          <w:noProof/>
        </w:rPr>
        <w:t>. Glutathione cycle.</w:t>
      </w:r>
      <w:r>
        <w:rPr>
          <w:noProof/>
        </w:rPr>
        <w:tab/>
      </w:r>
      <w:r>
        <w:rPr>
          <w:noProof/>
        </w:rPr>
        <w:fldChar w:fldCharType="begin"/>
      </w:r>
      <w:r>
        <w:rPr>
          <w:noProof/>
        </w:rPr>
        <w:instrText xml:space="preserve"> PAGEREF _Toc333644752 \h </w:instrText>
      </w:r>
      <w:r>
        <w:rPr>
          <w:noProof/>
        </w:rPr>
      </w:r>
      <w:r>
        <w:rPr>
          <w:noProof/>
        </w:rPr>
        <w:fldChar w:fldCharType="separate"/>
      </w:r>
      <w:r w:rsidR="00667C25">
        <w:rPr>
          <w:noProof/>
        </w:rPr>
        <w:t>39</w:t>
      </w:r>
      <w:r>
        <w:rPr>
          <w:noProof/>
        </w:rPr>
        <w:fldChar w:fldCharType="end"/>
      </w:r>
    </w:p>
    <w:p w14:paraId="43A87AA2"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1.3</w:t>
      </w:r>
      <w:r>
        <w:rPr>
          <w:noProof/>
        </w:rPr>
        <w:t>. A schematic diagram displaying the many roles performed by astrocytes.</w:t>
      </w:r>
      <w:r>
        <w:rPr>
          <w:noProof/>
        </w:rPr>
        <w:tab/>
      </w:r>
      <w:r>
        <w:rPr>
          <w:noProof/>
        </w:rPr>
        <w:fldChar w:fldCharType="begin"/>
      </w:r>
      <w:r>
        <w:rPr>
          <w:noProof/>
        </w:rPr>
        <w:instrText xml:space="preserve"> PAGEREF _Toc333644753 \h </w:instrText>
      </w:r>
      <w:r>
        <w:rPr>
          <w:noProof/>
        </w:rPr>
      </w:r>
      <w:r>
        <w:rPr>
          <w:noProof/>
        </w:rPr>
        <w:fldChar w:fldCharType="separate"/>
      </w:r>
      <w:r w:rsidR="00667C25">
        <w:rPr>
          <w:noProof/>
        </w:rPr>
        <w:t>43</w:t>
      </w:r>
      <w:r>
        <w:rPr>
          <w:noProof/>
        </w:rPr>
        <w:fldChar w:fldCharType="end"/>
      </w:r>
    </w:p>
    <w:p w14:paraId="3175752A"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1.4.</w:t>
      </w:r>
      <w:r>
        <w:rPr>
          <w:noProof/>
        </w:rPr>
        <w:t xml:space="preserve"> Summary of molecular defects in astrocytes shown to contribute to AD</w:t>
      </w:r>
      <w:r>
        <w:rPr>
          <w:noProof/>
        </w:rPr>
        <w:tab/>
      </w:r>
      <w:r>
        <w:rPr>
          <w:noProof/>
        </w:rPr>
        <w:fldChar w:fldCharType="begin"/>
      </w:r>
      <w:r>
        <w:rPr>
          <w:noProof/>
        </w:rPr>
        <w:instrText xml:space="preserve"> PAGEREF _Toc333644754 \h </w:instrText>
      </w:r>
      <w:r>
        <w:rPr>
          <w:noProof/>
        </w:rPr>
      </w:r>
      <w:r>
        <w:rPr>
          <w:noProof/>
        </w:rPr>
        <w:fldChar w:fldCharType="separate"/>
      </w:r>
      <w:r w:rsidR="00667C25">
        <w:rPr>
          <w:noProof/>
        </w:rPr>
        <w:t>53</w:t>
      </w:r>
      <w:r>
        <w:rPr>
          <w:noProof/>
        </w:rPr>
        <w:fldChar w:fldCharType="end"/>
      </w:r>
    </w:p>
    <w:p w14:paraId="021C9DB5"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1.5</w:t>
      </w:r>
      <w:r>
        <w:rPr>
          <w:noProof/>
        </w:rPr>
        <w:t>.  A schematic diagram to summarise the key steps in the insulin/ IGF1 signalling pathway.</w:t>
      </w:r>
      <w:r>
        <w:rPr>
          <w:noProof/>
        </w:rPr>
        <w:tab/>
      </w:r>
      <w:r>
        <w:rPr>
          <w:noProof/>
        </w:rPr>
        <w:fldChar w:fldCharType="begin"/>
      </w:r>
      <w:r>
        <w:rPr>
          <w:noProof/>
        </w:rPr>
        <w:instrText xml:space="preserve"> PAGEREF _Toc333644755 \h </w:instrText>
      </w:r>
      <w:r>
        <w:rPr>
          <w:noProof/>
        </w:rPr>
      </w:r>
      <w:r>
        <w:rPr>
          <w:noProof/>
        </w:rPr>
        <w:fldChar w:fldCharType="separate"/>
      </w:r>
      <w:r w:rsidR="00667C25">
        <w:rPr>
          <w:noProof/>
        </w:rPr>
        <w:t>57</w:t>
      </w:r>
      <w:r>
        <w:rPr>
          <w:noProof/>
        </w:rPr>
        <w:fldChar w:fldCharType="end"/>
      </w:r>
    </w:p>
    <w:p w14:paraId="1EDAED3E"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1.6</w:t>
      </w:r>
      <w:r>
        <w:rPr>
          <w:noProof/>
        </w:rPr>
        <w:t>. Impairments in the Insulin/IGF1 signalling pathway identified in AD.</w:t>
      </w:r>
      <w:r>
        <w:rPr>
          <w:noProof/>
        </w:rPr>
        <w:tab/>
      </w:r>
      <w:r>
        <w:rPr>
          <w:noProof/>
        </w:rPr>
        <w:fldChar w:fldCharType="begin"/>
      </w:r>
      <w:r>
        <w:rPr>
          <w:noProof/>
        </w:rPr>
        <w:instrText xml:space="preserve"> PAGEREF _Toc333644756 \h </w:instrText>
      </w:r>
      <w:r>
        <w:rPr>
          <w:noProof/>
        </w:rPr>
      </w:r>
      <w:r>
        <w:rPr>
          <w:noProof/>
        </w:rPr>
        <w:fldChar w:fldCharType="separate"/>
      </w:r>
      <w:r w:rsidR="00667C25">
        <w:rPr>
          <w:noProof/>
        </w:rPr>
        <w:t>68</w:t>
      </w:r>
      <w:r>
        <w:rPr>
          <w:noProof/>
        </w:rPr>
        <w:fldChar w:fldCharType="end"/>
      </w:r>
    </w:p>
    <w:p w14:paraId="4FCC17C0"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1.7</w:t>
      </w:r>
      <w:r>
        <w:rPr>
          <w:noProof/>
        </w:rPr>
        <w:t>. Schematic diagram to summarise the known roles of insulin/IGF1 signalling in rodent astrocytes.</w:t>
      </w:r>
      <w:r>
        <w:rPr>
          <w:noProof/>
        </w:rPr>
        <w:tab/>
      </w:r>
      <w:r>
        <w:rPr>
          <w:noProof/>
        </w:rPr>
        <w:fldChar w:fldCharType="begin"/>
      </w:r>
      <w:r>
        <w:rPr>
          <w:noProof/>
        </w:rPr>
        <w:instrText xml:space="preserve"> PAGEREF _Toc333644757 \h </w:instrText>
      </w:r>
      <w:r>
        <w:rPr>
          <w:noProof/>
        </w:rPr>
      </w:r>
      <w:r>
        <w:rPr>
          <w:noProof/>
        </w:rPr>
        <w:fldChar w:fldCharType="separate"/>
      </w:r>
      <w:r w:rsidR="00667C25">
        <w:rPr>
          <w:noProof/>
        </w:rPr>
        <w:t>73</w:t>
      </w:r>
      <w:r>
        <w:rPr>
          <w:noProof/>
        </w:rPr>
        <w:fldChar w:fldCharType="end"/>
      </w:r>
    </w:p>
    <w:p w14:paraId="63B80261"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lang w:val="en-GB"/>
        </w:rPr>
        <w:t>Figure 2.1</w:t>
      </w:r>
      <w:r w:rsidRPr="005D0995">
        <w:rPr>
          <w:noProof/>
          <w:lang w:val="en-GB"/>
        </w:rPr>
        <w:t>. LUHMES differentiation protocol.</w:t>
      </w:r>
      <w:r>
        <w:rPr>
          <w:noProof/>
        </w:rPr>
        <w:tab/>
      </w:r>
      <w:r>
        <w:rPr>
          <w:noProof/>
        </w:rPr>
        <w:fldChar w:fldCharType="begin"/>
      </w:r>
      <w:r>
        <w:rPr>
          <w:noProof/>
        </w:rPr>
        <w:instrText xml:space="preserve"> PAGEREF _Toc333644758 \h </w:instrText>
      </w:r>
      <w:r>
        <w:rPr>
          <w:noProof/>
        </w:rPr>
      </w:r>
      <w:r>
        <w:rPr>
          <w:noProof/>
        </w:rPr>
        <w:fldChar w:fldCharType="separate"/>
      </w:r>
      <w:r w:rsidR="00667C25">
        <w:rPr>
          <w:noProof/>
        </w:rPr>
        <w:t>93</w:t>
      </w:r>
      <w:r>
        <w:rPr>
          <w:noProof/>
        </w:rPr>
        <w:fldChar w:fldCharType="end"/>
      </w:r>
    </w:p>
    <w:p w14:paraId="25403714"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lang w:val="en-GB"/>
        </w:rPr>
        <w:t>Figure 2.2</w:t>
      </w:r>
      <w:r w:rsidRPr="005D0995">
        <w:rPr>
          <w:noProof/>
          <w:lang w:val="en-GB"/>
        </w:rPr>
        <w:t>. Method of capturing images for neurite outgrowth assay.</w:t>
      </w:r>
      <w:r>
        <w:rPr>
          <w:noProof/>
        </w:rPr>
        <w:tab/>
      </w:r>
      <w:r>
        <w:rPr>
          <w:noProof/>
        </w:rPr>
        <w:fldChar w:fldCharType="begin"/>
      </w:r>
      <w:r>
        <w:rPr>
          <w:noProof/>
        </w:rPr>
        <w:instrText xml:space="preserve"> PAGEREF _Toc333644759 \h </w:instrText>
      </w:r>
      <w:r>
        <w:rPr>
          <w:noProof/>
        </w:rPr>
      </w:r>
      <w:r>
        <w:rPr>
          <w:noProof/>
        </w:rPr>
        <w:fldChar w:fldCharType="separate"/>
      </w:r>
      <w:r w:rsidR="00667C25">
        <w:rPr>
          <w:noProof/>
        </w:rPr>
        <w:t>98</w:t>
      </w:r>
      <w:r>
        <w:rPr>
          <w:noProof/>
        </w:rPr>
        <w:fldChar w:fldCharType="end"/>
      </w:r>
    </w:p>
    <w:p w14:paraId="2B8DCD10"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3.1</w:t>
      </w:r>
      <w:r>
        <w:rPr>
          <w:noProof/>
        </w:rPr>
        <w:t>. Schematic diagram depicting the treatment of primary human astrocytes with a monoclonal antibody against IGF1R (MAB391).</w:t>
      </w:r>
      <w:r>
        <w:rPr>
          <w:noProof/>
        </w:rPr>
        <w:tab/>
      </w:r>
      <w:r>
        <w:rPr>
          <w:noProof/>
        </w:rPr>
        <w:fldChar w:fldCharType="begin"/>
      </w:r>
      <w:r>
        <w:rPr>
          <w:noProof/>
        </w:rPr>
        <w:instrText xml:space="preserve"> PAGEREF _Toc333644760 \h </w:instrText>
      </w:r>
      <w:r>
        <w:rPr>
          <w:noProof/>
        </w:rPr>
      </w:r>
      <w:r>
        <w:rPr>
          <w:noProof/>
        </w:rPr>
        <w:fldChar w:fldCharType="separate"/>
      </w:r>
      <w:r w:rsidR="00667C25">
        <w:rPr>
          <w:noProof/>
        </w:rPr>
        <w:t>116</w:t>
      </w:r>
      <w:r>
        <w:rPr>
          <w:noProof/>
        </w:rPr>
        <w:fldChar w:fldCharType="end"/>
      </w:r>
    </w:p>
    <w:p w14:paraId="7A00ADA2"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3.2.</w:t>
      </w:r>
      <w:r>
        <w:rPr>
          <w:noProof/>
        </w:rPr>
        <w:t xml:space="preserve"> Characterisation of the IGF1 signalling pathway in human primary astrocytes.</w:t>
      </w:r>
      <w:r>
        <w:rPr>
          <w:noProof/>
        </w:rPr>
        <w:tab/>
      </w:r>
      <w:r>
        <w:rPr>
          <w:noProof/>
        </w:rPr>
        <w:fldChar w:fldCharType="begin"/>
      </w:r>
      <w:r>
        <w:rPr>
          <w:noProof/>
        </w:rPr>
        <w:instrText xml:space="preserve"> PAGEREF _Toc333644761 \h </w:instrText>
      </w:r>
      <w:r>
        <w:rPr>
          <w:noProof/>
        </w:rPr>
      </w:r>
      <w:r>
        <w:rPr>
          <w:noProof/>
        </w:rPr>
        <w:fldChar w:fldCharType="separate"/>
      </w:r>
      <w:r w:rsidR="00667C25">
        <w:rPr>
          <w:noProof/>
        </w:rPr>
        <w:t>118</w:t>
      </w:r>
      <w:r>
        <w:rPr>
          <w:noProof/>
        </w:rPr>
        <w:fldChar w:fldCharType="end"/>
      </w:r>
    </w:p>
    <w:p w14:paraId="0712235B"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3.3.</w:t>
      </w:r>
      <w:r>
        <w:rPr>
          <w:noProof/>
        </w:rPr>
        <w:t xml:space="preserve"> Proof of principle experiment to show a monoclonal antibody (MAB391) reduces IGF1 signalling.</w:t>
      </w:r>
      <w:r>
        <w:rPr>
          <w:noProof/>
        </w:rPr>
        <w:tab/>
      </w:r>
      <w:r>
        <w:rPr>
          <w:noProof/>
        </w:rPr>
        <w:fldChar w:fldCharType="begin"/>
      </w:r>
      <w:r>
        <w:rPr>
          <w:noProof/>
        </w:rPr>
        <w:instrText xml:space="preserve"> PAGEREF _Toc333644762 \h </w:instrText>
      </w:r>
      <w:r>
        <w:rPr>
          <w:noProof/>
        </w:rPr>
      </w:r>
      <w:r>
        <w:rPr>
          <w:noProof/>
        </w:rPr>
        <w:fldChar w:fldCharType="separate"/>
      </w:r>
      <w:r w:rsidR="00667C25">
        <w:rPr>
          <w:noProof/>
        </w:rPr>
        <w:t>119</w:t>
      </w:r>
      <w:r>
        <w:rPr>
          <w:noProof/>
        </w:rPr>
        <w:fldChar w:fldCharType="end"/>
      </w:r>
    </w:p>
    <w:p w14:paraId="5DE30524"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3.4</w:t>
      </w:r>
      <w:r>
        <w:rPr>
          <w:noProof/>
        </w:rPr>
        <w:t>. IGF1 signalling impairment in ScienCell (1) astrocytes.</w:t>
      </w:r>
      <w:r>
        <w:rPr>
          <w:noProof/>
        </w:rPr>
        <w:tab/>
      </w:r>
      <w:r>
        <w:rPr>
          <w:noProof/>
        </w:rPr>
        <w:fldChar w:fldCharType="begin"/>
      </w:r>
      <w:r>
        <w:rPr>
          <w:noProof/>
        </w:rPr>
        <w:instrText xml:space="preserve"> PAGEREF _Toc333644763 \h </w:instrText>
      </w:r>
      <w:r>
        <w:rPr>
          <w:noProof/>
        </w:rPr>
      </w:r>
      <w:r>
        <w:rPr>
          <w:noProof/>
        </w:rPr>
        <w:fldChar w:fldCharType="separate"/>
      </w:r>
      <w:r w:rsidR="00667C25">
        <w:rPr>
          <w:noProof/>
        </w:rPr>
        <w:t>122</w:t>
      </w:r>
      <w:r>
        <w:rPr>
          <w:noProof/>
        </w:rPr>
        <w:fldChar w:fldCharType="end"/>
      </w:r>
    </w:p>
    <w:p w14:paraId="694920EC"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3.5</w:t>
      </w:r>
      <w:r>
        <w:rPr>
          <w:noProof/>
        </w:rPr>
        <w:t>. IGF1 signalling impairment in ScienCell (1) astrocytes.</w:t>
      </w:r>
      <w:r>
        <w:rPr>
          <w:noProof/>
        </w:rPr>
        <w:tab/>
      </w:r>
      <w:r>
        <w:rPr>
          <w:noProof/>
        </w:rPr>
        <w:fldChar w:fldCharType="begin"/>
      </w:r>
      <w:r>
        <w:rPr>
          <w:noProof/>
        </w:rPr>
        <w:instrText xml:space="preserve"> PAGEREF _Toc333644764 \h </w:instrText>
      </w:r>
      <w:r>
        <w:rPr>
          <w:noProof/>
        </w:rPr>
      </w:r>
      <w:r>
        <w:rPr>
          <w:noProof/>
        </w:rPr>
        <w:fldChar w:fldCharType="separate"/>
      </w:r>
      <w:r w:rsidR="00667C25">
        <w:rPr>
          <w:noProof/>
        </w:rPr>
        <w:t>124</w:t>
      </w:r>
      <w:r>
        <w:rPr>
          <w:noProof/>
        </w:rPr>
        <w:fldChar w:fldCharType="end"/>
      </w:r>
    </w:p>
    <w:p w14:paraId="3580FEB0"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3.6</w:t>
      </w:r>
      <w:r>
        <w:rPr>
          <w:noProof/>
        </w:rPr>
        <w:t>. IGF1 signalling impairment in astrocytes taken from epileptic temporal lobe resections.</w:t>
      </w:r>
      <w:r>
        <w:rPr>
          <w:noProof/>
        </w:rPr>
        <w:tab/>
      </w:r>
      <w:r>
        <w:rPr>
          <w:noProof/>
        </w:rPr>
        <w:fldChar w:fldCharType="begin"/>
      </w:r>
      <w:r>
        <w:rPr>
          <w:noProof/>
        </w:rPr>
        <w:instrText xml:space="preserve"> PAGEREF _Toc333644765 \h </w:instrText>
      </w:r>
      <w:r>
        <w:rPr>
          <w:noProof/>
        </w:rPr>
      </w:r>
      <w:r>
        <w:rPr>
          <w:noProof/>
        </w:rPr>
        <w:fldChar w:fldCharType="separate"/>
      </w:r>
      <w:r w:rsidR="00667C25">
        <w:rPr>
          <w:noProof/>
        </w:rPr>
        <w:t>126</w:t>
      </w:r>
      <w:r>
        <w:rPr>
          <w:noProof/>
        </w:rPr>
        <w:fldChar w:fldCharType="end"/>
      </w:r>
    </w:p>
    <w:p w14:paraId="30B77091"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3.7.</w:t>
      </w:r>
      <w:r>
        <w:rPr>
          <w:noProof/>
        </w:rPr>
        <w:t xml:space="preserve"> Model of IGF1 signalling impairment in ScienCell (2) astrocytes.</w:t>
      </w:r>
      <w:r>
        <w:rPr>
          <w:noProof/>
        </w:rPr>
        <w:tab/>
      </w:r>
      <w:r>
        <w:rPr>
          <w:noProof/>
        </w:rPr>
        <w:fldChar w:fldCharType="begin"/>
      </w:r>
      <w:r>
        <w:rPr>
          <w:noProof/>
        </w:rPr>
        <w:instrText xml:space="preserve"> PAGEREF _Toc333644766 \h </w:instrText>
      </w:r>
      <w:r>
        <w:rPr>
          <w:noProof/>
        </w:rPr>
      </w:r>
      <w:r>
        <w:rPr>
          <w:noProof/>
        </w:rPr>
        <w:fldChar w:fldCharType="separate"/>
      </w:r>
      <w:r w:rsidR="00667C25">
        <w:rPr>
          <w:noProof/>
        </w:rPr>
        <w:t>127</w:t>
      </w:r>
      <w:r>
        <w:rPr>
          <w:noProof/>
        </w:rPr>
        <w:fldChar w:fldCharType="end"/>
      </w:r>
    </w:p>
    <w:p w14:paraId="08664139"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3.8</w:t>
      </w:r>
      <w:r>
        <w:rPr>
          <w:noProof/>
        </w:rPr>
        <w:t>. Changes in IGF1R localisation following treatment of astrocytes for 24 hours and 72 hours PME with MAB391.</w:t>
      </w:r>
      <w:r>
        <w:rPr>
          <w:noProof/>
        </w:rPr>
        <w:tab/>
      </w:r>
      <w:r>
        <w:rPr>
          <w:noProof/>
        </w:rPr>
        <w:fldChar w:fldCharType="begin"/>
      </w:r>
      <w:r>
        <w:rPr>
          <w:noProof/>
        </w:rPr>
        <w:instrText xml:space="preserve"> PAGEREF _Toc333644767 \h </w:instrText>
      </w:r>
      <w:r>
        <w:rPr>
          <w:noProof/>
        </w:rPr>
      </w:r>
      <w:r>
        <w:rPr>
          <w:noProof/>
        </w:rPr>
        <w:fldChar w:fldCharType="separate"/>
      </w:r>
      <w:r w:rsidR="00667C25">
        <w:rPr>
          <w:noProof/>
        </w:rPr>
        <w:t>130</w:t>
      </w:r>
      <w:r>
        <w:rPr>
          <w:noProof/>
        </w:rPr>
        <w:fldChar w:fldCharType="end"/>
      </w:r>
    </w:p>
    <w:p w14:paraId="55E0D350"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3.9</w:t>
      </w:r>
      <w:r>
        <w:rPr>
          <w:noProof/>
        </w:rPr>
        <w:t>. Loss of IGF1R does not alter cell growth.</w:t>
      </w:r>
      <w:r>
        <w:rPr>
          <w:noProof/>
        </w:rPr>
        <w:tab/>
      </w:r>
      <w:r>
        <w:rPr>
          <w:noProof/>
        </w:rPr>
        <w:fldChar w:fldCharType="begin"/>
      </w:r>
      <w:r>
        <w:rPr>
          <w:noProof/>
        </w:rPr>
        <w:instrText xml:space="preserve"> PAGEREF _Toc333644768 \h </w:instrText>
      </w:r>
      <w:r>
        <w:rPr>
          <w:noProof/>
        </w:rPr>
      </w:r>
      <w:r>
        <w:rPr>
          <w:noProof/>
        </w:rPr>
        <w:fldChar w:fldCharType="separate"/>
      </w:r>
      <w:r w:rsidR="00667C25">
        <w:rPr>
          <w:noProof/>
        </w:rPr>
        <w:t>131</w:t>
      </w:r>
      <w:r>
        <w:rPr>
          <w:noProof/>
        </w:rPr>
        <w:fldChar w:fldCharType="end"/>
      </w:r>
    </w:p>
    <w:p w14:paraId="2D179954"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3.10</w:t>
      </w:r>
      <w:r>
        <w:rPr>
          <w:noProof/>
        </w:rPr>
        <w:t>. Investigating the levels of GFAP/γH2AX following loss of IGF1R.</w:t>
      </w:r>
      <w:r>
        <w:rPr>
          <w:noProof/>
        </w:rPr>
        <w:tab/>
      </w:r>
      <w:r>
        <w:rPr>
          <w:noProof/>
        </w:rPr>
        <w:fldChar w:fldCharType="begin"/>
      </w:r>
      <w:r>
        <w:rPr>
          <w:noProof/>
        </w:rPr>
        <w:instrText xml:space="preserve"> PAGEREF _Toc333644769 \h </w:instrText>
      </w:r>
      <w:r>
        <w:rPr>
          <w:noProof/>
        </w:rPr>
      </w:r>
      <w:r>
        <w:rPr>
          <w:noProof/>
        </w:rPr>
        <w:fldChar w:fldCharType="separate"/>
      </w:r>
      <w:r w:rsidR="00667C25">
        <w:rPr>
          <w:noProof/>
        </w:rPr>
        <w:t>133</w:t>
      </w:r>
      <w:r>
        <w:rPr>
          <w:noProof/>
        </w:rPr>
        <w:fldChar w:fldCharType="end"/>
      </w:r>
    </w:p>
    <w:p w14:paraId="7D61E941"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3.11.</w:t>
      </w:r>
      <w:r>
        <w:rPr>
          <w:noProof/>
        </w:rPr>
        <w:t xml:space="preserve"> Assessing ROS levels in MAB391-treated astrocytes.</w:t>
      </w:r>
      <w:r>
        <w:rPr>
          <w:noProof/>
        </w:rPr>
        <w:tab/>
      </w:r>
      <w:r>
        <w:rPr>
          <w:noProof/>
        </w:rPr>
        <w:fldChar w:fldCharType="begin"/>
      </w:r>
      <w:r>
        <w:rPr>
          <w:noProof/>
        </w:rPr>
        <w:instrText xml:space="preserve"> PAGEREF _Toc333644770 \h </w:instrText>
      </w:r>
      <w:r>
        <w:rPr>
          <w:noProof/>
        </w:rPr>
      </w:r>
      <w:r>
        <w:rPr>
          <w:noProof/>
        </w:rPr>
        <w:fldChar w:fldCharType="separate"/>
      </w:r>
      <w:r w:rsidR="00667C25">
        <w:rPr>
          <w:noProof/>
        </w:rPr>
        <w:t>134</w:t>
      </w:r>
      <w:r>
        <w:rPr>
          <w:noProof/>
        </w:rPr>
        <w:fldChar w:fldCharType="end"/>
      </w:r>
    </w:p>
    <w:p w14:paraId="303E563B"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3.12.</w:t>
      </w:r>
      <w:r>
        <w:rPr>
          <w:noProof/>
        </w:rPr>
        <w:t xml:space="preserve"> IGF1R expression in the dentate gyrus (DG) and temporal cortex (TCx) of human control and AD cases.</w:t>
      </w:r>
      <w:r>
        <w:rPr>
          <w:noProof/>
        </w:rPr>
        <w:tab/>
      </w:r>
      <w:r>
        <w:rPr>
          <w:noProof/>
        </w:rPr>
        <w:fldChar w:fldCharType="begin"/>
      </w:r>
      <w:r>
        <w:rPr>
          <w:noProof/>
        </w:rPr>
        <w:instrText xml:space="preserve"> PAGEREF _Toc333644771 \h </w:instrText>
      </w:r>
      <w:r>
        <w:rPr>
          <w:noProof/>
        </w:rPr>
      </w:r>
      <w:r>
        <w:rPr>
          <w:noProof/>
        </w:rPr>
        <w:fldChar w:fldCharType="separate"/>
      </w:r>
      <w:r w:rsidR="00667C25">
        <w:rPr>
          <w:noProof/>
        </w:rPr>
        <w:t>137</w:t>
      </w:r>
      <w:r>
        <w:rPr>
          <w:noProof/>
        </w:rPr>
        <w:fldChar w:fldCharType="end"/>
      </w:r>
    </w:p>
    <w:p w14:paraId="627ED366"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3.13.</w:t>
      </w:r>
      <w:r>
        <w:rPr>
          <w:noProof/>
        </w:rPr>
        <w:t xml:space="preserve"> Co-localisation of IGF1R in GFAP expressing astrocytes.</w:t>
      </w:r>
      <w:r>
        <w:rPr>
          <w:noProof/>
        </w:rPr>
        <w:tab/>
      </w:r>
      <w:r>
        <w:rPr>
          <w:noProof/>
        </w:rPr>
        <w:fldChar w:fldCharType="begin"/>
      </w:r>
      <w:r>
        <w:rPr>
          <w:noProof/>
        </w:rPr>
        <w:instrText xml:space="preserve"> PAGEREF _Toc333644772 \h </w:instrText>
      </w:r>
      <w:r>
        <w:rPr>
          <w:noProof/>
        </w:rPr>
      </w:r>
      <w:r>
        <w:rPr>
          <w:noProof/>
        </w:rPr>
        <w:fldChar w:fldCharType="separate"/>
      </w:r>
      <w:r w:rsidR="00667C25">
        <w:rPr>
          <w:noProof/>
        </w:rPr>
        <w:t>137</w:t>
      </w:r>
      <w:r>
        <w:rPr>
          <w:noProof/>
        </w:rPr>
        <w:fldChar w:fldCharType="end"/>
      </w:r>
    </w:p>
    <w:p w14:paraId="3680D236"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4.1.</w:t>
      </w:r>
      <w:r>
        <w:rPr>
          <w:noProof/>
        </w:rPr>
        <w:t xml:space="preserve"> Astrocyte and LUHMES co-culture model.</w:t>
      </w:r>
      <w:r>
        <w:rPr>
          <w:noProof/>
        </w:rPr>
        <w:tab/>
      </w:r>
      <w:r>
        <w:rPr>
          <w:noProof/>
        </w:rPr>
        <w:fldChar w:fldCharType="begin"/>
      </w:r>
      <w:r>
        <w:rPr>
          <w:noProof/>
        </w:rPr>
        <w:instrText xml:space="preserve"> PAGEREF _Toc333644773 \h </w:instrText>
      </w:r>
      <w:r>
        <w:rPr>
          <w:noProof/>
        </w:rPr>
      </w:r>
      <w:r>
        <w:rPr>
          <w:noProof/>
        </w:rPr>
        <w:fldChar w:fldCharType="separate"/>
      </w:r>
      <w:r w:rsidR="00667C25">
        <w:rPr>
          <w:noProof/>
        </w:rPr>
        <w:t>152</w:t>
      </w:r>
      <w:r>
        <w:rPr>
          <w:noProof/>
        </w:rPr>
        <w:fldChar w:fldCharType="end"/>
      </w:r>
    </w:p>
    <w:p w14:paraId="070D3983" w14:textId="6C8551C8"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4.2</w:t>
      </w:r>
      <w:r>
        <w:rPr>
          <w:noProof/>
        </w:rPr>
        <w:t>. Establishing a human astrocyte-neuronal co-culture model (1).</w:t>
      </w:r>
      <w:r>
        <w:rPr>
          <w:noProof/>
        </w:rPr>
        <w:tab/>
      </w:r>
      <w:r>
        <w:rPr>
          <w:noProof/>
        </w:rPr>
        <w:fldChar w:fldCharType="begin"/>
      </w:r>
      <w:r>
        <w:rPr>
          <w:noProof/>
        </w:rPr>
        <w:instrText xml:space="preserve"> PAGEREF _Toc333644774 \h </w:instrText>
      </w:r>
      <w:r>
        <w:rPr>
          <w:noProof/>
        </w:rPr>
      </w:r>
      <w:r>
        <w:rPr>
          <w:noProof/>
        </w:rPr>
        <w:fldChar w:fldCharType="separate"/>
      </w:r>
      <w:r w:rsidR="00667C25">
        <w:rPr>
          <w:noProof/>
        </w:rPr>
        <w:t>153</w:t>
      </w:r>
      <w:r>
        <w:rPr>
          <w:noProof/>
        </w:rPr>
        <w:fldChar w:fldCharType="end"/>
      </w:r>
    </w:p>
    <w:p w14:paraId="21640C8A"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4.3.</w:t>
      </w:r>
      <w:r>
        <w:rPr>
          <w:noProof/>
        </w:rPr>
        <w:t xml:space="preserve"> Establishing a human astrocyte-neuronal co-culture model (2).</w:t>
      </w:r>
      <w:r>
        <w:rPr>
          <w:noProof/>
        </w:rPr>
        <w:tab/>
      </w:r>
      <w:r>
        <w:rPr>
          <w:noProof/>
        </w:rPr>
        <w:fldChar w:fldCharType="begin"/>
      </w:r>
      <w:r>
        <w:rPr>
          <w:noProof/>
        </w:rPr>
        <w:instrText xml:space="preserve"> PAGEREF _Toc333644775 \h </w:instrText>
      </w:r>
      <w:r>
        <w:rPr>
          <w:noProof/>
        </w:rPr>
      </w:r>
      <w:r>
        <w:rPr>
          <w:noProof/>
        </w:rPr>
        <w:fldChar w:fldCharType="separate"/>
      </w:r>
      <w:r w:rsidR="00667C25">
        <w:rPr>
          <w:noProof/>
        </w:rPr>
        <w:t>154</w:t>
      </w:r>
      <w:r>
        <w:rPr>
          <w:noProof/>
        </w:rPr>
        <w:fldChar w:fldCharType="end"/>
      </w:r>
    </w:p>
    <w:p w14:paraId="1641DB95"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4.4.</w:t>
      </w:r>
      <w:r>
        <w:rPr>
          <w:noProof/>
        </w:rPr>
        <w:t xml:space="preserve"> Different coating conditions affect how astrocyte-neuronal co-cultures form.</w:t>
      </w:r>
      <w:r>
        <w:rPr>
          <w:noProof/>
        </w:rPr>
        <w:tab/>
      </w:r>
      <w:r>
        <w:rPr>
          <w:noProof/>
        </w:rPr>
        <w:fldChar w:fldCharType="begin"/>
      </w:r>
      <w:r>
        <w:rPr>
          <w:noProof/>
        </w:rPr>
        <w:instrText xml:space="preserve"> PAGEREF _Toc333644776 \h </w:instrText>
      </w:r>
      <w:r>
        <w:rPr>
          <w:noProof/>
        </w:rPr>
      </w:r>
      <w:r>
        <w:rPr>
          <w:noProof/>
        </w:rPr>
        <w:fldChar w:fldCharType="separate"/>
      </w:r>
      <w:r w:rsidR="00667C25">
        <w:rPr>
          <w:noProof/>
        </w:rPr>
        <w:t>156</w:t>
      </w:r>
      <w:r>
        <w:rPr>
          <w:noProof/>
        </w:rPr>
        <w:fldChar w:fldCharType="end"/>
      </w:r>
    </w:p>
    <w:p w14:paraId="7791A79C"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4.5</w:t>
      </w:r>
      <w:r>
        <w:rPr>
          <w:noProof/>
        </w:rPr>
        <w:t>. Image outline the co-culture model to assess astrocytic support for neurite outgrowth.</w:t>
      </w:r>
      <w:r>
        <w:rPr>
          <w:noProof/>
        </w:rPr>
        <w:tab/>
      </w:r>
      <w:r>
        <w:rPr>
          <w:noProof/>
        </w:rPr>
        <w:fldChar w:fldCharType="begin"/>
      </w:r>
      <w:r>
        <w:rPr>
          <w:noProof/>
        </w:rPr>
        <w:instrText xml:space="preserve"> PAGEREF _Toc333644777 \h </w:instrText>
      </w:r>
      <w:r>
        <w:rPr>
          <w:noProof/>
        </w:rPr>
      </w:r>
      <w:r>
        <w:rPr>
          <w:noProof/>
        </w:rPr>
        <w:fldChar w:fldCharType="separate"/>
      </w:r>
      <w:r w:rsidR="00667C25">
        <w:rPr>
          <w:noProof/>
        </w:rPr>
        <w:t>158</w:t>
      </w:r>
      <w:r>
        <w:rPr>
          <w:noProof/>
        </w:rPr>
        <w:fldChar w:fldCharType="end"/>
      </w:r>
    </w:p>
    <w:p w14:paraId="29D80CA0"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4.6</w:t>
      </w:r>
      <w:r>
        <w:rPr>
          <w:noProof/>
        </w:rPr>
        <w:t>. Developing a model to assess neurite outgrowth in a human astrocyte-neuron co-culture.</w:t>
      </w:r>
      <w:r>
        <w:rPr>
          <w:noProof/>
        </w:rPr>
        <w:tab/>
      </w:r>
      <w:r>
        <w:rPr>
          <w:noProof/>
        </w:rPr>
        <w:fldChar w:fldCharType="begin"/>
      </w:r>
      <w:r>
        <w:rPr>
          <w:noProof/>
        </w:rPr>
        <w:instrText xml:space="preserve"> PAGEREF _Toc333644778 \h </w:instrText>
      </w:r>
      <w:r>
        <w:rPr>
          <w:noProof/>
        </w:rPr>
      </w:r>
      <w:r>
        <w:rPr>
          <w:noProof/>
        </w:rPr>
        <w:fldChar w:fldCharType="separate"/>
      </w:r>
      <w:r w:rsidR="00667C25">
        <w:rPr>
          <w:noProof/>
        </w:rPr>
        <w:t>159</w:t>
      </w:r>
      <w:r>
        <w:rPr>
          <w:noProof/>
        </w:rPr>
        <w:fldChar w:fldCharType="end"/>
      </w:r>
    </w:p>
    <w:p w14:paraId="606920D4"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4.7.</w:t>
      </w:r>
      <w:r>
        <w:rPr>
          <w:noProof/>
        </w:rPr>
        <w:t xml:space="preserve"> PSD95 expression in LUHMES, astrocytes and in the co-culture model.</w:t>
      </w:r>
      <w:r>
        <w:rPr>
          <w:noProof/>
        </w:rPr>
        <w:tab/>
      </w:r>
      <w:r>
        <w:rPr>
          <w:noProof/>
        </w:rPr>
        <w:fldChar w:fldCharType="begin"/>
      </w:r>
      <w:r>
        <w:rPr>
          <w:noProof/>
        </w:rPr>
        <w:instrText xml:space="preserve"> PAGEREF _Toc333644779 \h </w:instrText>
      </w:r>
      <w:r>
        <w:rPr>
          <w:noProof/>
        </w:rPr>
      </w:r>
      <w:r>
        <w:rPr>
          <w:noProof/>
        </w:rPr>
        <w:fldChar w:fldCharType="separate"/>
      </w:r>
      <w:r w:rsidR="00667C25">
        <w:rPr>
          <w:noProof/>
        </w:rPr>
        <w:t>160</w:t>
      </w:r>
      <w:r>
        <w:rPr>
          <w:noProof/>
        </w:rPr>
        <w:fldChar w:fldCharType="end"/>
      </w:r>
    </w:p>
    <w:p w14:paraId="3C1D4287"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4.8.</w:t>
      </w:r>
      <w:r>
        <w:rPr>
          <w:noProof/>
        </w:rPr>
        <w:t xml:space="preserve"> FACS sorting of untransfected and LV-GFP transfected HeLa and LUHMES cells to establish MOI of LV-GFP.</w:t>
      </w:r>
      <w:r>
        <w:rPr>
          <w:noProof/>
        </w:rPr>
        <w:tab/>
      </w:r>
      <w:r>
        <w:rPr>
          <w:noProof/>
        </w:rPr>
        <w:fldChar w:fldCharType="begin"/>
      </w:r>
      <w:r>
        <w:rPr>
          <w:noProof/>
        </w:rPr>
        <w:instrText xml:space="preserve"> PAGEREF _Toc333644780 \h </w:instrText>
      </w:r>
      <w:r>
        <w:rPr>
          <w:noProof/>
        </w:rPr>
      </w:r>
      <w:r>
        <w:rPr>
          <w:noProof/>
        </w:rPr>
        <w:fldChar w:fldCharType="separate"/>
      </w:r>
      <w:r w:rsidR="00667C25">
        <w:rPr>
          <w:noProof/>
        </w:rPr>
        <w:t>162</w:t>
      </w:r>
      <w:r>
        <w:rPr>
          <w:noProof/>
        </w:rPr>
        <w:fldChar w:fldCharType="end"/>
      </w:r>
    </w:p>
    <w:p w14:paraId="498E02E5"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 xml:space="preserve">Figure 4.9. </w:t>
      </w:r>
      <w:r>
        <w:rPr>
          <w:noProof/>
        </w:rPr>
        <w:t>Confirming GFP expression in LUHMES following transduction with lentivirus.</w:t>
      </w:r>
      <w:r>
        <w:rPr>
          <w:noProof/>
        </w:rPr>
        <w:tab/>
      </w:r>
      <w:r>
        <w:rPr>
          <w:noProof/>
        </w:rPr>
        <w:fldChar w:fldCharType="begin"/>
      </w:r>
      <w:r>
        <w:rPr>
          <w:noProof/>
        </w:rPr>
        <w:instrText xml:space="preserve"> PAGEREF _Toc333644781 \h </w:instrText>
      </w:r>
      <w:r>
        <w:rPr>
          <w:noProof/>
        </w:rPr>
      </w:r>
      <w:r>
        <w:rPr>
          <w:noProof/>
        </w:rPr>
        <w:fldChar w:fldCharType="separate"/>
      </w:r>
      <w:r w:rsidR="00667C25">
        <w:rPr>
          <w:noProof/>
        </w:rPr>
        <w:t>163</w:t>
      </w:r>
      <w:r>
        <w:rPr>
          <w:noProof/>
        </w:rPr>
        <w:fldChar w:fldCharType="end"/>
      </w:r>
    </w:p>
    <w:p w14:paraId="6811DA77"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4.10</w:t>
      </w:r>
      <w:r>
        <w:rPr>
          <w:noProof/>
        </w:rPr>
        <w:t>. Relocalisation and post-translational modification of Connexin 43 (Cx43) in astrocytes in co-culture.</w:t>
      </w:r>
      <w:r>
        <w:rPr>
          <w:noProof/>
        </w:rPr>
        <w:tab/>
      </w:r>
      <w:r>
        <w:rPr>
          <w:noProof/>
        </w:rPr>
        <w:fldChar w:fldCharType="begin"/>
      </w:r>
      <w:r>
        <w:rPr>
          <w:noProof/>
        </w:rPr>
        <w:instrText xml:space="preserve"> PAGEREF _Toc333644782 \h </w:instrText>
      </w:r>
      <w:r>
        <w:rPr>
          <w:noProof/>
        </w:rPr>
      </w:r>
      <w:r>
        <w:rPr>
          <w:noProof/>
        </w:rPr>
        <w:fldChar w:fldCharType="separate"/>
      </w:r>
      <w:r w:rsidR="00667C25">
        <w:rPr>
          <w:noProof/>
        </w:rPr>
        <w:t>166</w:t>
      </w:r>
      <w:r>
        <w:rPr>
          <w:noProof/>
        </w:rPr>
        <w:fldChar w:fldCharType="end"/>
      </w:r>
    </w:p>
    <w:p w14:paraId="0FF6E7D1"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4.11</w:t>
      </w:r>
      <w:r>
        <w:rPr>
          <w:noProof/>
        </w:rPr>
        <w:t>. GFAP+ve astrocytes have altered morphology in co-culture and relocalise to neuronal networks.</w:t>
      </w:r>
      <w:r>
        <w:rPr>
          <w:noProof/>
        </w:rPr>
        <w:tab/>
      </w:r>
      <w:r>
        <w:rPr>
          <w:noProof/>
        </w:rPr>
        <w:fldChar w:fldCharType="begin"/>
      </w:r>
      <w:r>
        <w:rPr>
          <w:noProof/>
        </w:rPr>
        <w:instrText xml:space="preserve"> PAGEREF _Toc333644783 \h </w:instrText>
      </w:r>
      <w:r>
        <w:rPr>
          <w:noProof/>
        </w:rPr>
      </w:r>
      <w:r>
        <w:rPr>
          <w:noProof/>
        </w:rPr>
        <w:fldChar w:fldCharType="separate"/>
      </w:r>
      <w:r w:rsidR="00667C25">
        <w:rPr>
          <w:noProof/>
        </w:rPr>
        <w:t>167</w:t>
      </w:r>
      <w:r>
        <w:rPr>
          <w:noProof/>
        </w:rPr>
        <w:fldChar w:fldCharType="end"/>
      </w:r>
    </w:p>
    <w:p w14:paraId="0E27F593"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4.12</w:t>
      </w:r>
      <w:r>
        <w:rPr>
          <w:noProof/>
        </w:rPr>
        <w:t>. Astrocytes enhance the survival of LUHMES.</w:t>
      </w:r>
      <w:r>
        <w:rPr>
          <w:noProof/>
        </w:rPr>
        <w:tab/>
      </w:r>
      <w:r>
        <w:rPr>
          <w:noProof/>
        </w:rPr>
        <w:fldChar w:fldCharType="begin"/>
      </w:r>
      <w:r>
        <w:rPr>
          <w:noProof/>
        </w:rPr>
        <w:instrText xml:space="preserve"> PAGEREF _Toc333644784 \h </w:instrText>
      </w:r>
      <w:r>
        <w:rPr>
          <w:noProof/>
        </w:rPr>
      </w:r>
      <w:r>
        <w:rPr>
          <w:noProof/>
        </w:rPr>
        <w:fldChar w:fldCharType="separate"/>
      </w:r>
      <w:r w:rsidR="00667C25">
        <w:rPr>
          <w:noProof/>
        </w:rPr>
        <w:t>170</w:t>
      </w:r>
      <w:r>
        <w:rPr>
          <w:noProof/>
        </w:rPr>
        <w:fldChar w:fldCharType="end"/>
      </w:r>
    </w:p>
    <w:p w14:paraId="2E04C82B"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4.13.</w:t>
      </w:r>
      <w:r>
        <w:rPr>
          <w:noProof/>
        </w:rPr>
        <w:t xml:space="preserve"> Astrocyte conditioned media (ACM) does not enhance neurite outgrowth.</w:t>
      </w:r>
      <w:r>
        <w:rPr>
          <w:noProof/>
        </w:rPr>
        <w:tab/>
      </w:r>
      <w:r>
        <w:rPr>
          <w:noProof/>
        </w:rPr>
        <w:fldChar w:fldCharType="begin"/>
      </w:r>
      <w:r>
        <w:rPr>
          <w:noProof/>
        </w:rPr>
        <w:instrText xml:space="preserve"> PAGEREF _Toc333644785 \h </w:instrText>
      </w:r>
      <w:r>
        <w:rPr>
          <w:noProof/>
        </w:rPr>
      </w:r>
      <w:r>
        <w:rPr>
          <w:noProof/>
        </w:rPr>
        <w:fldChar w:fldCharType="separate"/>
      </w:r>
      <w:r w:rsidR="00667C25">
        <w:rPr>
          <w:noProof/>
        </w:rPr>
        <w:t>171</w:t>
      </w:r>
      <w:r>
        <w:rPr>
          <w:noProof/>
        </w:rPr>
        <w:fldChar w:fldCharType="end"/>
      </w:r>
    </w:p>
    <w:p w14:paraId="087FE334"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4.14.</w:t>
      </w:r>
      <w:r>
        <w:rPr>
          <w:noProof/>
        </w:rPr>
        <w:t xml:space="preserve"> Neuron-astrocyte conditioned media (NACM) does not enhance neurite outgrowth but appears to be a contact-dependent mechanism.</w:t>
      </w:r>
      <w:r>
        <w:rPr>
          <w:noProof/>
        </w:rPr>
        <w:tab/>
      </w:r>
      <w:r>
        <w:rPr>
          <w:noProof/>
        </w:rPr>
        <w:fldChar w:fldCharType="begin"/>
      </w:r>
      <w:r>
        <w:rPr>
          <w:noProof/>
        </w:rPr>
        <w:instrText xml:space="preserve"> PAGEREF _Toc333644786 \h </w:instrText>
      </w:r>
      <w:r>
        <w:rPr>
          <w:noProof/>
        </w:rPr>
      </w:r>
      <w:r>
        <w:rPr>
          <w:noProof/>
        </w:rPr>
        <w:fldChar w:fldCharType="separate"/>
      </w:r>
      <w:r w:rsidR="00667C25">
        <w:rPr>
          <w:noProof/>
        </w:rPr>
        <w:t>172</w:t>
      </w:r>
      <w:r>
        <w:rPr>
          <w:noProof/>
        </w:rPr>
        <w:fldChar w:fldCharType="end"/>
      </w:r>
    </w:p>
    <w:p w14:paraId="2D3C039B"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4.15.</w:t>
      </w:r>
      <w:r>
        <w:rPr>
          <w:noProof/>
        </w:rPr>
        <w:t xml:space="preserve"> Loss of IGF1R in astrocytes does not affect neuronal bundle formation.</w:t>
      </w:r>
      <w:r>
        <w:rPr>
          <w:noProof/>
        </w:rPr>
        <w:tab/>
      </w:r>
      <w:r>
        <w:rPr>
          <w:noProof/>
        </w:rPr>
        <w:fldChar w:fldCharType="begin"/>
      </w:r>
      <w:r>
        <w:rPr>
          <w:noProof/>
        </w:rPr>
        <w:instrText xml:space="preserve"> PAGEREF _Toc333644787 \h </w:instrText>
      </w:r>
      <w:r>
        <w:rPr>
          <w:noProof/>
        </w:rPr>
      </w:r>
      <w:r>
        <w:rPr>
          <w:noProof/>
        </w:rPr>
        <w:fldChar w:fldCharType="separate"/>
      </w:r>
      <w:r w:rsidR="00667C25">
        <w:rPr>
          <w:noProof/>
        </w:rPr>
        <w:t>173</w:t>
      </w:r>
      <w:r>
        <w:rPr>
          <w:noProof/>
        </w:rPr>
        <w:fldChar w:fldCharType="end"/>
      </w:r>
    </w:p>
    <w:p w14:paraId="7263103F"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4.16.</w:t>
      </w:r>
      <w:r>
        <w:rPr>
          <w:noProof/>
        </w:rPr>
        <w:t xml:space="preserve"> Timeline of neurite outgrowth assay to assess effect of MAB391/IgG pretreatment of astrocytes on neurons.</w:t>
      </w:r>
      <w:r>
        <w:rPr>
          <w:noProof/>
        </w:rPr>
        <w:tab/>
      </w:r>
      <w:r>
        <w:rPr>
          <w:noProof/>
        </w:rPr>
        <w:fldChar w:fldCharType="begin"/>
      </w:r>
      <w:r>
        <w:rPr>
          <w:noProof/>
        </w:rPr>
        <w:instrText xml:space="preserve"> PAGEREF _Toc333644788 \h </w:instrText>
      </w:r>
      <w:r>
        <w:rPr>
          <w:noProof/>
        </w:rPr>
      </w:r>
      <w:r>
        <w:rPr>
          <w:noProof/>
        </w:rPr>
        <w:fldChar w:fldCharType="separate"/>
      </w:r>
      <w:r w:rsidR="00667C25">
        <w:rPr>
          <w:noProof/>
        </w:rPr>
        <w:t>175</w:t>
      </w:r>
      <w:r>
        <w:rPr>
          <w:noProof/>
        </w:rPr>
        <w:fldChar w:fldCharType="end"/>
      </w:r>
    </w:p>
    <w:p w14:paraId="5D7330E7"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4.17.</w:t>
      </w:r>
      <w:r>
        <w:rPr>
          <w:noProof/>
        </w:rPr>
        <w:t xml:space="preserve"> Astrocytes enhance neurite outgrowth during LUHMES differentiation, however loss of IGF1R in astrocytes does not affect rate of neurite outgrowth during the differentiation process.</w:t>
      </w:r>
      <w:r>
        <w:rPr>
          <w:noProof/>
        </w:rPr>
        <w:tab/>
      </w:r>
      <w:r>
        <w:rPr>
          <w:noProof/>
        </w:rPr>
        <w:fldChar w:fldCharType="begin"/>
      </w:r>
      <w:r>
        <w:rPr>
          <w:noProof/>
        </w:rPr>
        <w:instrText xml:space="preserve"> PAGEREF _Toc333644789 \h </w:instrText>
      </w:r>
      <w:r>
        <w:rPr>
          <w:noProof/>
        </w:rPr>
      </w:r>
      <w:r>
        <w:rPr>
          <w:noProof/>
        </w:rPr>
        <w:fldChar w:fldCharType="separate"/>
      </w:r>
      <w:r w:rsidR="00667C25">
        <w:rPr>
          <w:noProof/>
        </w:rPr>
        <w:t>176</w:t>
      </w:r>
      <w:r>
        <w:rPr>
          <w:noProof/>
        </w:rPr>
        <w:fldChar w:fldCharType="end"/>
      </w:r>
    </w:p>
    <w:p w14:paraId="2727FD0A"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4.18</w:t>
      </w:r>
      <w:r>
        <w:rPr>
          <w:noProof/>
        </w:rPr>
        <w:t>. Loss of phosphorylated Akt (s473) in primary human astrocytes following treatment with Wortmannin.</w:t>
      </w:r>
      <w:r>
        <w:rPr>
          <w:noProof/>
        </w:rPr>
        <w:tab/>
      </w:r>
      <w:r>
        <w:rPr>
          <w:noProof/>
        </w:rPr>
        <w:fldChar w:fldCharType="begin"/>
      </w:r>
      <w:r>
        <w:rPr>
          <w:noProof/>
        </w:rPr>
        <w:instrText xml:space="preserve"> PAGEREF _Toc333644790 \h </w:instrText>
      </w:r>
      <w:r>
        <w:rPr>
          <w:noProof/>
        </w:rPr>
      </w:r>
      <w:r>
        <w:rPr>
          <w:noProof/>
        </w:rPr>
        <w:fldChar w:fldCharType="separate"/>
      </w:r>
      <w:r w:rsidR="00667C25">
        <w:rPr>
          <w:noProof/>
        </w:rPr>
        <w:t>178</w:t>
      </w:r>
      <w:r>
        <w:rPr>
          <w:noProof/>
        </w:rPr>
        <w:fldChar w:fldCharType="end"/>
      </w:r>
    </w:p>
    <w:p w14:paraId="44232A6C"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4.19.</w:t>
      </w:r>
      <w:r>
        <w:rPr>
          <w:noProof/>
        </w:rPr>
        <w:t xml:space="preserve"> Akt inhibition reduces astrocyte viability when plated at low densities.</w:t>
      </w:r>
      <w:r>
        <w:rPr>
          <w:noProof/>
        </w:rPr>
        <w:tab/>
      </w:r>
      <w:r>
        <w:rPr>
          <w:noProof/>
        </w:rPr>
        <w:fldChar w:fldCharType="begin"/>
      </w:r>
      <w:r>
        <w:rPr>
          <w:noProof/>
        </w:rPr>
        <w:instrText xml:space="preserve"> PAGEREF _Toc333644791 \h </w:instrText>
      </w:r>
      <w:r>
        <w:rPr>
          <w:noProof/>
        </w:rPr>
      </w:r>
      <w:r>
        <w:rPr>
          <w:noProof/>
        </w:rPr>
        <w:fldChar w:fldCharType="separate"/>
      </w:r>
      <w:r w:rsidR="00667C25">
        <w:rPr>
          <w:noProof/>
        </w:rPr>
        <w:t>179</w:t>
      </w:r>
      <w:r>
        <w:rPr>
          <w:noProof/>
        </w:rPr>
        <w:fldChar w:fldCharType="end"/>
      </w:r>
    </w:p>
    <w:p w14:paraId="141F3725"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4.20</w:t>
      </w:r>
      <w:r>
        <w:rPr>
          <w:noProof/>
        </w:rPr>
        <w:t>. Reduced pAkt in astrocytes affects support for neurite outgrowth during neuronal differentiation.</w:t>
      </w:r>
      <w:r>
        <w:rPr>
          <w:noProof/>
        </w:rPr>
        <w:tab/>
      </w:r>
      <w:r>
        <w:rPr>
          <w:noProof/>
        </w:rPr>
        <w:fldChar w:fldCharType="begin"/>
      </w:r>
      <w:r>
        <w:rPr>
          <w:noProof/>
        </w:rPr>
        <w:instrText xml:space="preserve"> PAGEREF _Toc333644792 \h </w:instrText>
      </w:r>
      <w:r>
        <w:rPr>
          <w:noProof/>
        </w:rPr>
      </w:r>
      <w:r>
        <w:rPr>
          <w:noProof/>
        </w:rPr>
        <w:fldChar w:fldCharType="separate"/>
      </w:r>
      <w:r w:rsidR="00667C25">
        <w:rPr>
          <w:noProof/>
        </w:rPr>
        <w:t>181</w:t>
      </w:r>
      <w:r>
        <w:rPr>
          <w:noProof/>
        </w:rPr>
        <w:fldChar w:fldCharType="end"/>
      </w:r>
    </w:p>
    <w:p w14:paraId="0C934BFA"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4.21</w:t>
      </w:r>
      <w:r>
        <w:rPr>
          <w:noProof/>
        </w:rPr>
        <w:t>. Treatment of primary human astrocytes with Wortmannin does not significantly affect astrocyte cell number.</w:t>
      </w:r>
      <w:r>
        <w:rPr>
          <w:noProof/>
        </w:rPr>
        <w:tab/>
      </w:r>
      <w:r>
        <w:rPr>
          <w:noProof/>
        </w:rPr>
        <w:fldChar w:fldCharType="begin"/>
      </w:r>
      <w:r>
        <w:rPr>
          <w:noProof/>
        </w:rPr>
        <w:instrText xml:space="preserve"> PAGEREF _Toc333644793 \h </w:instrText>
      </w:r>
      <w:r>
        <w:rPr>
          <w:noProof/>
        </w:rPr>
      </w:r>
      <w:r>
        <w:rPr>
          <w:noProof/>
        </w:rPr>
        <w:fldChar w:fldCharType="separate"/>
      </w:r>
      <w:r w:rsidR="00667C25">
        <w:rPr>
          <w:noProof/>
        </w:rPr>
        <w:t>182</w:t>
      </w:r>
      <w:r>
        <w:rPr>
          <w:noProof/>
        </w:rPr>
        <w:fldChar w:fldCharType="end"/>
      </w:r>
    </w:p>
    <w:p w14:paraId="09D67EE1"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 xml:space="preserve">Figure 4.22. </w:t>
      </w:r>
      <w:r>
        <w:rPr>
          <w:noProof/>
        </w:rPr>
        <w:t>Treatment of astrocytes with 50μM H</w:t>
      </w:r>
      <w:r w:rsidRPr="005D0995">
        <w:rPr>
          <w:noProof/>
          <w:vertAlign w:val="subscript"/>
        </w:rPr>
        <w:t>2</w:t>
      </w:r>
      <w:r>
        <w:rPr>
          <w:noProof/>
        </w:rPr>
        <w:t>O</w:t>
      </w:r>
      <w:r w:rsidRPr="005D0995">
        <w:rPr>
          <w:noProof/>
          <w:vertAlign w:val="subscript"/>
        </w:rPr>
        <w:t xml:space="preserve">2 </w:t>
      </w:r>
      <w:r>
        <w:rPr>
          <w:noProof/>
        </w:rPr>
        <w:t>does not change cell viability or change intracellular ROS levels.</w:t>
      </w:r>
      <w:r>
        <w:rPr>
          <w:noProof/>
        </w:rPr>
        <w:tab/>
      </w:r>
      <w:r>
        <w:rPr>
          <w:noProof/>
        </w:rPr>
        <w:fldChar w:fldCharType="begin"/>
      </w:r>
      <w:r>
        <w:rPr>
          <w:noProof/>
        </w:rPr>
        <w:instrText xml:space="preserve"> PAGEREF _Toc333644794 \h </w:instrText>
      </w:r>
      <w:r>
        <w:rPr>
          <w:noProof/>
        </w:rPr>
      </w:r>
      <w:r>
        <w:rPr>
          <w:noProof/>
        </w:rPr>
        <w:fldChar w:fldCharType="separate"/>
      </w:r>
      <w:r w:rsidR="00667C25">
        <w:rPr>
          <w:noProof/>
        </w:rPr>
        <w:t>184</w:t>
      </w:r>
      <w:r>
        <w:rPr>
          <w:noProof/>
        </w:rPr>
        <w:fldChar w:fldCharType="end"/>
      </w:r>
    </w:p>
    <w:p w14:paraId="04CE350A"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4.23.</w:t>
      </w:r>
      <w:r>
        <w:rPr>
          <w:noProof/>
        </w:rPr>
        <w:t xml:space="preserve"> Astrocytes treated with 50μM H</w:t>
      </w:r>
      <w:r w:rsidRPr="005D0995">
        <w:rPr>
          <w:noProof/>
          <w:vertAlign w:val="subscript"/>
        </w:rPr>
        <w:t>2</w:t>
      </w:r>
      <w:r>
        <w:rPr>
          <w:noProof/>
        </w:rPr>
        <w:t>O</w:t>
      </w:r>
      <w:r w:rsidRPr="005D0995">
        <w:rPr>
          <w:noProof/>
          <w:vertAlign w:val="subscript"/>
        </w:rPr>
        <w:t>2</w:t>
      </w:r>
      <w:r>
        <w:rPr>
          <w:noProof/>
        </w:rPr>
        <w:t xml:space="preserve"> retain their support for neurons as determined by measuring neurite lengths.</w:t>
      </w:r>
      <w:r>
        <w:rPr>
          <w:noProof/>
        </w:rPr>
        <w:tab/>
      </w:r>
      <w:r>
        <w:rPr>
          <w:noProof/>
        </w:rPr>
        <w:fldChar w:fldCharType="begin"/>
      </w:r>
      <w:r>
        <w:rPr>
          <w:noProof/>
        </w:rPr>
        <w:instrText xml:space="preserve"> PAGEREF _Toc333644795 \h </w:instrText>
      </w:r>
      <w:r>
        <w:rPr>
          <w:noProof/>
        </w:rPr>
      </w:r>
      <w:r>
        <w:rPr>
          <w:noProof/>
        </w:rPr>
        <w:fldChar w:fldCharType="separate"/>
      </w:r>
      <w:r w:rsidR="00667C25">
        <w:rPr>
          <w:noProof/>
        </w:rPr>
        <w:t>185</w:t>
      </w:r>
      <w:r>
        <w:rPr>
          <w:noProof/>
        </w:rPr>
        <w:fldChar w:fldCharType="end"/>
      </w:r>
    </w:p>
    <w:p w14:paraId="75D5760E"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4.24</w:t>
      </w:r>
      <w:r>
        <w:rPr>
          <w:noProof/>
        </w:rPr>
        <w:t>. Neurite outgrowth assay model used to assess the neuroprotective capacity of astrocytes in co-culture.</w:t>
      </w:r>
      <w:r>
        <w:rPr>
          <w:noProof/>
        </w:rPr>
        <w:tab/>
      </w:r>
      <w:r>
        <w:rPr>
          <w:noProof/>
        </w:rPr>
        <w:fldChar w:fldCharType="begin"/>
      </w:r>
      <w:r>
        <w:rPr>
          <w:noProof/>
        </w:rPr>
        <w:instrText xml:space="preserve"> PAGEREF _Toc333644796 \h </w:instrText>
      </w:r>
      <w:r>
        <w:rPr>
          <w:noProof/>
        </w:rPr>
      </w:r>
      <w:r>
        <w:rPr>
          <w:noProof/>
        </w:rPr>
        <w:fldChar w:fldCharType="separate"/>
      </w:r>
      <w:r w:rsidR="00667C25">
        <w:rPr>
          <w:noProof/>
        </w:rPr>
        <w:t>186</w:t>
      </w:r>
      <w:r>
        <w:rPr>
          <w:noProof/>
        </w:rPr>
        <w:fldChar w:fldCharType="end"/>
      </w:r>
    </w:p>
    <w:p w14:paraId="191EE47C"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4.25.</w:t>
      </w:r>
      <w:r>
        <w:rPr>
          <w:noProof/>
        </w:rPr>
        <w:t xml:space="preserve"> Loss of IGF1R in astrocytes impairs protection of neurons against H</w:t>
      </w:r>
      <w:r w:rsidRPr="005D0995">
        <w:rPr>
          <w:noProof/>
          <w:vertAlign w:val="subscript"/>
        </w:rPr>
        <w:t>2</w:t>
      </w:r>
      <w:r>
        <w:rPr>
          <w:noProof/>
        </w:rPr>
        <w:t>O</w:t>
      </w:r>
      <w:r w:rsidRPr="005D0995">
        <w:rPr>
          <w:noProof/>
          <w:vertAlign w:val="subscript"/>
        </w:rPr>
        <w:t xml:space="preserve">2 </w:t>
      </w:r>
      <w:r>
        <w:rPr>
          <w:noProof/>
        </w:rPr>
        <w:t>in co-culture.</w:t>
      </w:r>
      <w:r>
        <w:rPr>
          <w:noProof/>
        </w:rPr>
        <w:tab/>
      </w:r>
      <w:r>
        <w:rPr>
          <w:noProof/>
        </w:rPr>
        <w:fldChar w:fldCharType="begin"/>
      </w:r>
      <w:r>
        <w:rPr>
          <w:noProof/>
        </w:rPr>
        <w:instrText xml:space="preserve"> PAGEREF _Toc333644797 \h </w:instrText>
      </w:r>
      <w:r>
        <w:rPr>
          <w:noProof/>
        </w:rPr>
      </w:r>
      <w:r>
        <w:rPr>
          <w:noProof/>
        </w:rPr>
        <w:fldChar w:fldCharType="separate"/>
      </w:r>
      <w:r w:rsidR="00667C25">
        <w:rPr>
          <w:noProof/>
        </w:rPr>
        <w:t>191</w:t>
      </w:r>
      <w:r>
        <w:rPr>
          <w:noProof/>
        </w:rPr>
        <w:fldChar w:fldCharType="end"/>
      </w:r>
    </w:p>
    <w:p w14:paraId="51302404"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4.26</w:t>
      </w:r>
      <w:r>
        <w:rPr>
          <w:noProof/>
        </w:rPr>
        <w:t xml:space="preserve"> Neuronal blebbing observed in LUHMES co-cultured with astrocytes pre-treated with MAB391 and exposed to oxidative stress.</w:t>
      </w:r>
      <w:r>
        <w:rPr>
          <w:noProof/>
        </w:rPr>
        <w:tab/>
      </w:r>
      <w:r>
        <w:rPr>
          <w:noProof/>
        </w:rPr>
        <w:fldChar w:fldCharType="begin"/>
      </w:r>
      <w:r>
        <w:rPr>
          <w:noProof/>
        </w:rPr>
        <w:instrText xml:space="preserve"> PAGEREF _Toc333644798 \h </w:instrText>
      </w:r>
      <w:r>
        <w:rPr>
          <w:noProof/>
        </w:rPr>
      </w:r>
      <w:r>
        <w:rPr>
          <w:noProof/>
        </w:rPr>
        <w:fldChar w:fldCharType="separate"/>
      </w:r>
      <w:r w:rsidR="00667C25">
        <w:rPr>
          <w:noProof/>
        </w:rPr>
        <w:t>191</w:t>
      </w:r>
      <w:r>
        <w:rPr>
          <w:noProof/>
        </w:rPr>
        <w:fldChar w:fldCharType="end"/>
      </w:r>
    </w:p>
    <w:p w14:paraId="3EE2856B"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5.1</w:t>
      </w:r>
      <w:r>
        <w:rPr>
          <w:noProof/>
        </w:rPr>
        <w:t>. Outline of the experimental workflow for the treatment, co-culture and separation of human astrocytes and LUHMES prior to gene expression profiling. to assess the gene expression profile of IGF1 signalling impaired astrocytes.</w:t>
      </w:r>
      <w:r>
        <w:rPr>
          <w:noProof/>
        </w:rPr>
        <w:tab/>
      </w:r>
      <w:r>
        <w:rPr>
          <w:noProof/>
        </w:rPr>
        <w:fldChar w:fldCharType="begin"/>
      </w:r>
      <w:r>
        <w:rPr>
          <w:noProof/>
        </w:rPr>
        <w:instrText xml:space="preserve"> PAGEREF _Toc333644799 \h </w:instrText>
      </w:r>
      <w:r>
        <w:rPr>
          <w:noProof/>
        </w:rPr>
      </w:r>
      <w:r>
        <w:rPr>
          <w:noProof/>
        </w:rPr>
        <w:fldChar w:fldCharType="separate"/>
      </w:r>
      <w:r w:rsidR="00667C25">
        <w:rPr>
          <w:noProof/>
        </w:rPr>
        <w:t>203</w:t>
      </w:r>
      <w:r>
        <w:rPr>
          <w:noProof/>
        </w:rPr>
        <w:fldChar w:fldCharType="end"/>
      </w:r>
    </w:p>
    <w:p w14:paraId="13253D27"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5.2</w:t>
      </w:r>
      <w:r>
        <w:rPr>
          <w:noProof/>
        </w:rPr>
        <w:t>. Cold-jet PBS separation of astrocytes from neurons.</w:t>
      </w:r>
      <w:r>
        <w:rPr>
          <w:noProof/>
        </w:rPr>
        <w:tab/>
      </w:r>
      <w:r>
        <w:rPr>
          <w:noProof/>
        </w:rPr>
        <w:fldChar w:fldCharType="begin"/>
      </w:r>
      <w:r>
        <w:rPr>
          <w:noProof/>
        </w:rPr>
        <w:instrText xml:space="preserve"> PAGEREF _Toc333644800 \h </w:instrText>
      </w:r>
      <w:r>
        <w:rPr>
          <w:noProof/>
        </w:rPr>
      </w:r>
      <w:r>
        <w:rPr>
          <w:noProof/>
        </w:rPr>
        <w:fldChar w:fldCharType="separate"/>
      </w:r>
      <w:r w:rsidR="00667C25">
        <w:rPr>
          <w:noProof/>
        </w:rPr>
        <w:t>205</w:t>
      </w:r>
      <w:r>
        <w:rPr>
          <w:noProof/>
        </w:rPr>
        <w:fldChar w:fldCharType="end"/>
      </w:r>
    </w:p>
    <w:p w14:paraId="16A7CE7F"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5.3</w:t>
      </w:r>
      <w:r>
        <w:rPr>
          <w:noProof/>
        </w:rPr>
        <w:t>. Optimising FACS sorting of astrocytes and LUHMES from co-culture 1.</w:t>
      </w:r>
      <w:r>
        <w:rPr>
          <w:noProof/>
        </w:rPr>
        <w:tab/>
      </w:r>
      <w:r>
        <w:rPr>
          <w:noProof/>
        </w:rPr>
        <w:fldChar w:fldCharType="begin"/>
      </w:r>
      <w:r>
        <w:rPr>
          <w:noProof/>
        </w:rPr>
        <w:instrText xml:space="preserve"> PAGEREF _Toc333644801 \h </w:instrText>
      </w:r>
      <w:r>
        <w:rPr>
          <w:noProof/>
        </w:rPr>
      </w:r>
      <w:r>
        <w:rPr>
          <w:noProof/>
        </w:rPr>
        <w:fldChar w:fldCharType="separate"/>
      </w:r>
      <w:r w:rsidR="00667C25">
        <w:rPr>
          <w:noProof/>
        </w:rPr>
        <w:t>207</w:t>
      </w:r>
      <w:r>
        <w:rPr>
          <w:noProof/>
        </w:rPr>
        <w:fldChar w:fldCharType="end"/>
      </w:r>
    </w:p>
    <w:p w14:paraId="3EA9A2FF"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5.4.</w:t>
      </w:r>
      <w:r>
        <w:rPr>
          <w:noProof/>
        </w:rPr>
        <w:t xml:space="preserve"> Optimising FACS sorting of astrocytes and LUHMES from co-culture 2.</w:t>
      </w:r>
      <w:r>
        <w:rPr>
          <w:noProof/>
        </w:rPr>
        <w:tab/>
      </w:r>
      <w:r>
        <w:rPr>
          <w:noProof/>
        </w:rPr>
        <w:fldChar w:fldCharType="begin"/>
      </w:r>
      <w:r>
        <w:rPr>
          <w:noProof/>
        </w:rPr>
        <w:instrText xml:space="preserve"> PAGEREF _Toc333644802 \h </w:instrText>
      </w:r>
      <w:r>
        <w:rPr>
          <w:noProof/>
        </w:rPr>
      </w:r>
      <w:r>
        <w:rPr>
          <w:noProof/>
        </w:rPr>
        <w:fldChar w:fldCharType="separate"/>
      </w:r>
      <w:r w:rsidR="00667C25">
        <w:rPr>
          <w:noProof/>
        </w:rPr>
        <w:t>209</w:t>
      </w:r>
      <w:r>
        <w:rPr>
          <w:noProof/>
        </w:rPr>
        <w:fldChar w:fldCharType="end"/>
      </w:r>
    </w:p>
    <w:p w14:paraId="0CDEE7B5"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5.5</w:t>
      </w:r>
      <w:r>
        <w:rPr>
          <w:noProof/>
        </w:rPr>
        <w:t>. Percentage of astrocyte and neuronal populations FACS sorted.</w:t>
      </w:r>
      <w:r>
        <w:rPr>
          <w:noProof/>
        </w:rPr>
        <w:tab/>
      </w:r>
      <w:r>
        <w:rPr>
          <w:noProof/>
        </w:rPr>
        <w:fldChar w:fldCharType="begin"/>
      </w:r>
      <w:r>
        <w:rPr>
          <w:noProof/>
        </w:rPr>
        <w:instrText xml:space="preserve"> PAGEREF _Toc333644803 \h </w:instrText>
      </w:r>
      <w:r>
        <w:rPr>
          <w:noProof/>
        </w:rPr>
      </w:r>
      <w:r>
        <w:rPr>
          <w:noProof/>
        </w:rPr>
        <w:fldChar w:fldCharType="separate"/>
      </w:r>
      <w:r w:rsidR="00667C25">
        <w:rPr>
          <w:noProof/>
        </w:rPr>
        <w:t>211</w:t>
      </w:r>
      <w:r>
        <w:rPr>
          <w:noProof/>
        </w:rPr>
        <w:fldChar w:fldCharType="end"/>
      </w:r>
    </w:p>
    <w:p w14:paraId="5E6BC0C7"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 xml:space="preserve">Figure 5.6. </w:t>
      </w:r>
      <w:r>
        <w:rPr>
          <w:noProof/>
        </w:rPr>
        <w:t>Representative graphs of the FACS separation of MAB391-treated or untreated astrocytes co-cultured with LUHMES for microarray analysis.</w:t>
      </w:r>
      <w:r>
        <w:rPr>
          <w:noProof/>
        </w:rPr>
        <w:tab/>
      </w:r>
      <w:r>
        <w:rPr>
          <w:noProof/>
        </w:rPr>
        <w:fldChar w:fldCharType="begin"/>
      </w:r>
      <w:r>
        <w:rPr>
          <w:noProof/>
        </w:rPr>
        <w:instrText xml:space="preserve"> PAGEREF _Toc333644804 \h </w:instrText>
      </w:r>
      <w:r>
        <w:rPr>
          <w:noProof/>
        </w:rPr>
      </w:r>
      <w:r>
        <w:rPr>
          <w:noProof/>
        </w:rPr>
        <w:fldChar w:fldCharType="separate"/>
      </w:r>
      <w:r w:rsidR="00667C25">
        <w:rPr>
          <w:noProof/>
        </w:rPr>
        <w:t>211</w:t>
      </w:r>
      <w:r>
        <w:rPr>
          <w:noProof/>
        </w:rPr>
        <w:fldChar w:fldCharType="end"/>
      </w:r>
    </w:p>
    <w:p w14:paraId="66CF6AB5"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5.7</w:t>
      </w:r>
      <w:r>
        <w:rPr>
          <w:noProof/>
        </w:rPr>
        <w:t xml:space="preserve"> Assessment of RNA integrity of astrocytes using the Agilent 2100 Bioanalyzer</w:t>
      </w:r>
      <w:r>
        <w:rPr>
          <w:noProof/>
        </w:rPr>
        <w:tab/>
      </w:r>
      <w:r>
        <w:rPr>
          <w:noProof/>
        </w:rPr>
        <w:fldChar w:fldCharType="begin"/>
      </w:r>
      <w:r>
        <w:rPr>
          <w:noProof/>
        </w:rPr>
        <w:instrText xml:space="preserve"> PAGEREF _Toc333644805 \h </w:instrText>
      </w:r>
      <w:r>
        <w:rPr>
          <w:noProof/>
        </w:rPr>
      </w:r>
      <w:r>
        <w:rPr>
          <w:noProof/>
        </w:rPr>
        <w:fldChar w:fldCharType="separate"/>
      </w:r>
      <w:r w:rsidR="00667C25">
        <w:rPr>
          <w:noProof/>
        </w:rPr>
        <w:t>213</w:t>
      </w:r>
      <w:r>
        <w:rPr>
          <w:noProof/>
        </w:rPr>
        <w:fldChar w:fldCharType="end"/>
      </w:r>
    </w:p>
    <w:p w14:paraId="3E3D887B"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5.8</w:t>
      </w:r>
      <w:r>
        <w:rPr>
          <w:noProof/>
        </w:rPr>
        <w:t>. Assessing fragmentation of ss-cDNA.</w:t>
      </w:r>
      <w:r>
        <w:rPr>
          <w:noProof/>
        </w:rPr>
        <w:tab/>
      </w:r>
      <w:r>
        <w:rPr>
          <w:noProof/>
        </w:rPr>
        <w:fldChar w:fldCharType="begin"/>
      </w:r>
      <w:r>
        <w:rPr>
          <w:noProof/>
        </w:rPr>
        <w:instrText xml:space="preserve"> PAGEREF _Toc333644806 \h </w:instrText>
      </w:r>
      <w:r>
        <w:rPr>
          <w:noProof/>
        </w:rPr>
      </w:r>
      <w:r>
        <w:rPr>
          <w:noProof/>
        </w:rPr>
        <w:fldChar w:fldCharType="separate"/>
      </w:r>
      <w:r w:rsidR="00667C25">
        <w:rPr>
          <w:noProof/>
        </w:rPr>
        <w:t>216</w:t>
      </w:r>
      <w:r>
        <w:rPr>
          <w:noProof/>
        </w:rPr>
        <w:fldChar w:fldCharType="end"/>
      </w:r>
    </w:p>
    <w:p w14:paraId="59A9B1A5"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5.9</w:t>
      </w:r>
      <w:r>
        <w:rPr>
          <w:noProof/>
        </w:rPr>
        <w:t>. Assessing biotinylation of fragmented ss-cDNA.</w:t>
      </w:r>
      <w:r>
        <w:rPr>
          <w:noProof/>
        </w:rPr>
        <w:tab/>
      </w:r>
      <w:r>
        <w:rPr>
          <w:noProof/>
        </w:rPr>
        <w:fldChar w:fldCharType="begin"/>
      </w:r>
      <w:r>
        <w:rPr>
          <w:noProof/>
        </w:rPr>
        <w:instrText xml:space="preserve"> PAGEREF _Toc333644807 \h </w:instrText>
      </w:r>
      <w:r>
        <w:rPr>
          <w:noProof/>
        </w:rPr>
      </w:r>
      <w:r>
        <w:rPr>
          <w:noProof/>
        </w:rPr>
        <w:fldChar w:fldCharType="separate"/>
      </w:r>
      <w:r w:rsidR="00667C25">
        <w:rPr>
          <w:noProof/>
        </w:rPr>
        <w:t>217</w:t>
      </w:r>
      <w:r>
        <w:rPr>
          <w:noProof/>
        </w:rPr>
        <w:fldChar w:fldCharType="end"/>
      </w:r>
    </w:p>
    <w:p w14:paraId="5E10F469"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5.10.</w:t>
      </w:r>
      <w:r>
        <w:rPr>
          <w:noProof/>
        </w:rPr>
        <w:t xml:space="preserve"> Assessing the hybridisation intensities of the poly-A RNA spike-in controls on GeneChip arrays.</w:t>
      </w:r>
      <w:r>
        <w:rPr>
          <w:noProof/>
        </w:rPr>
        <w:tab/>
      </w:r>
      <w:r>
        <w:rPr>
          <w:noProof/>
        </w:rPr>
        <w:fldChar w:fldCharType="begin"/>
      </w:r>
      <w:r>
        <w:rPr>
          <w:noProof/>
        </w:rPr>
        <w:instrText xml:space="preserve"> PAGEREF _Toc333644808 \h </w:instrText>
      </w:r>
      <w:r>
        <w:rPr>
          <w:noProof/>
        </w:rPr>
      </w:r>
      <w:r>
        <w:rPr>
          <w:noProof/>
        </w:rPr>
        <w:fldChar w:fldCharType="separate"/>
      </w:r>
      <w:r w:rsidR="00667C25">
        <w:rPr>
          <w:noProof/>
        </w:rPr>
        <w:t>218</w:t>
      </w:r>
      <w:r>
        <w:rPr>
          <w:noProof/>
        </w:rPr>
        <w:fldChar w:fldCharType="end"/>
      </w:r>
    </w:p>
    <w:p w14:paraId="4B7D4872"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5.11</w:t>
      </w:r>
      <w:r>
        <w:rPr>
          <w:noProof/>
        </w:rPr>
        <w:t>. Eukaryotic Hybridisation controls for Astrocytes.</w:t>
      </w:r>
      <w:r>
        <w:rPr>
          <w:noProof/>
        </w:rPr>
        <w:tab/>
      </w:r>
      <w:r>
        <w:rPr>
          <w:noProof/>
        </w:rPr>
        <w:fldChar w:fldCharType="begin"/>
      </w:r>
      <w:r>
        <w:rPr>
          <w:noProof/>
        </w:rPr>
        <w:instrText xml:space="preserve"> PAGEREF _Toc333644809 \h </w:instrText>
      </w:r>
      <w:r>
        <w:rPr>
          <w:noProof/>
        </w:rPr>
      </w:r>
      <w:r>
        <w:rPr>
          <w:noProof/>
        </w:rPr>
        <w:fldChar w:fldCharType="separate"/>
      </w:r>
      <w:r w:rsidR="00667C25">
        <w:rPr>
          <w:noProof/>
        </w:rPr>
        <w:t>219</w:t>
      </w:r>
      <w:r>
        <w:rPr>
          <w:noProof/>
        </w:rPr>
        <w:fldChar w:fldCharType="end"/>
      </w:r>
    </w:p>
    <w:p w14:paraId="20511143"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5.12.</w:t>
      </w:r>
      <w:r>
        <w:rPr>
          <w:noProof/>
        </w:rPr>
        <w:t xml:space="preserve"> A histrogram (A) and Pearson’s correlation (B) performed to compare the signal intensities of the different probe sets between the six samples (C1-M3)</w:t>
      </w:r>
      <w:r>
        <w:rPr>
          <w:noProof/>
        </w:rPr>
        <w:tab/>
      </w:r>
      <w:r>
        <w:rPr>
          <w:noProof/>
        </w:rPr>
        <w:fldChar w:fldCharType="begin"/>
      </w:r>
      <w:r>
        <w:rPr>
          <w:noProof/>
        </w:rPr>
        <w:instrText xml:space="preserve"> PAGEREF _Toc333644810 \h </w:instrText>
      </w:r>
      <w:r>
        <w:rPr>
          <w:noProof/>
        </w:rPr>
      </w:r>
      <w:r>
        <w:rPr>
          <w:noProof/>
        </w:rPr>
        <w:fldChar w:fldCharType="separate"/>
      </w:r>
      <w:r w:rsidR="00667C25">
        <w:rPr>
          <w:noProof/>
        </w:rPr>
        <w:t>221</w:t>
      </w:r>
      <w:r>
        <w:rPr>
          <w:noProof/>
        </w:rPr>
        <w:fldChar w:fldCharType="end"/>
      </w:r>
    </w:p>
    <w:p w14:paraId="610FF4A1"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5.13.</w:t>
      </w:r>
      <w:r>
        <w:rPr>
          <w:noProof/>
        </w:rPr>
        <w:t xml:space="preserve"> A graph to demonstrate the positive versus negative AUC values across the six arrays.</w:t>
      </w:r>
      <w:r>
        <w:rPr>
          <w:noProof/>
        </w:rPr>
        <w:tab/>
      </w:r>
      <w:r>
        <w:rPr>
          <w:noProof/>
        </w:rPr>
        <w:fldChar w:fldCharType="begin"/>
      </w:r>
      <w:r>
        <w:rPr>
          <w:noProof/>
        </w:rPr>
        <w:instrText xml:space="preserve"> PAGEREF _Toc333644811 \h </w:instrText>
      </w:r>
      <w:r>
        <w:rPr>
          <w:noProof/>
        </w:rPr>
      </w:r>
      <w:r>
        <w:rPr>
          <w:noProof/>
        </w:rPr>
        <w:fldChar w:fldCharType="separate"/>
      </w:r>
      <w:r w:rsidR="00667C25">
        <w:rPr>
          <w:noProof/>
        </w:rPr>
        <w:t>222</w:t>
      </w:r>
      <w:r>
        <w:rPr>
          <w:noProof/>
        </w:rPr>
        <w:fldChar w:fldCharType="end"/>
      </w:r>
    </w:p>
    <w:p w14:paraId="3C28B4A8"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5.14</w:t>
      </w:r>
      <w:r>
        <w:rPr>
          <w:noProof/>
        </w:rPr>
        <w:t>. Relative log expression (RLE) box plots for GENE level arrays.</w:t>
      </w:r>
      <w:r>
        <w:rPr>
          <w:noProof/>
        </w:rPr>
        <w:tab/>
      </w:r>
      <w:r>
        <w:rPr>
          <w:noProof/>
        </w:rPr>
        <w:fldChar w:fldCharType="begin"/>
      </w:r>
      <w:r>
        <w:rPr>
          <w:noProof/>
        </w:rPr>
        <w:instrText xml:space="preserve"> PAGEREF _Toc333644812 \h </w:instrText>
      </w:r>
      <w:r>
        <w:rPr>
          <w:noProof/>
        </w:rPr>
      </w:r>
      <w:r>
        <w:rPr>
          <w:noProof/>
        </w:rPr>
        <w:fldChar w:fldCharType="separate"/>
      </w:r>
      <w:r w:rsidR="00667C25">
        <w:rPr>
          <w:noProof/>
        </w:rPr>
        <w:t>224</w:t>
      </w:r>
      <w:r>
        <w:rPr>
          <w:noProof/>
        </w:rPr>
        <w:fldChar w:fldCharType="end"/>
      </w:r>
    </w:p>
    <w:p w14:paraId="00A767A7"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5.15</w:t>
      </w:r>
      <w:r>
        <w:rPr>
          <w:noProof/>
        </w:rPr>
        <w:t>. Clustering analysis of Untreated astrocytes (C1-C3) compared with MAB391-treated astrocytes (M1-M3).</w:t>
      </w:r>
      <w:r>
        <w:rPr>
          <w:noProof/>
        </w:rPr>
        <w:tab/>
      </w:r>
      <w:r>
        <w:rPr>
          <w:noProof/>
        </w:rPr>
        <w:fldChar w:fldCharType="begin"/>
      </w:r>
      <w:r>
        <w:rPr>
          <w:noProof/>
        </w:rPr>
        <w:instrText xml:space="preserve"> PAGEREF _Toc333644813 \h </w:instrText>
      </w:r>
      <w:r>
        <w:rPr>
          <w:noProof/>
        </w:rPr>
      </w:r>
      <w:r>
        <w:rPr>
          <w:noProof/>
        </w:rPr>
        <w:fldChar w:fldCharType="separate"/>
      </w:r>
      <w:r w:rsidR="00667C25">
        <w:rPr>
          <w:noProof/>
        </w:rPr>
        <w:t>226</w:t>
      </w:r>
      <w:r>
        <w:rPr>
          <w:noProof/>
        </w:rPr>
        <w:fldChar w:fldCharType="end"/>
      </w:r>
    </w:p>
    <w:p w14:paraId="3140243F"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5.16.</w:t>
      </w:r>
      <w:r>
        <w:rPr>
          <w:noProof/>
        </w:rPr>
        <w:t xml:space="preserve"> Clustering analysis of Untreated astrocytes (C1-C2) compared with MAB391-treated astrocytes (M1-M2).</w:t>
      </w:r>
      <w:r>
        <w:rPr>
          <w:noProof/>
        </w:rPr>
        <w:tab/>
      </w:r>
      <w:r>
        <w:rPr>
          <w:noProof/>
        </w:rPr>
        <w:fldChar w:fldCharType="begin"/>
      </w:r>
      <w:r>
        <w:rPr>
          <w:noProof/>
        </w:rPr>
        <w:instrText xml:space="preserve"> PAGEREF _Toc333644814 \h </w:instrText>
      </w:r>
      <w:r>
        <w:rPr>
          <w:noProof/>
        </w:rPr>
      </w:r>
      <w:r>
        <w:rPr>
          <w:noProof/>
        </w:rPr>
        <w:fldChar w:fldCharType="separate"/>
      </w:r>
      <w:r w:rsidR="00667C25">
        <w:rPr>
          <w:noProof/>
        </w:rPr>
        <w:t>227</w:t>
      </w:r>
      <w:r>
        <w:rPr>
          <w:noProof/>
        </w:rPr>
        <w:fldChar w:fldCharType="end"/>
      </w:r>
    </w:p>
    <w:p w14:paraId="04BB4FAC"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5.17</w:t>
      </w:r>
      <w:r>
        <w:rPr>
          <w:noProof/>
        </w:rPr>
        <w:t>. Downregulated genes in the oxidative phosphorylation pathway (KEGG).</w:t>
      </w:r>
      <w:r>
        <w:rPr>
          <w:noProof/>
        </w:rPr>
        <w:tab/>
      </w:r>
      <w:r>
        <w:rPr>
          <w:noProof/>
        </w:rPr>
        <w:fldChar w:fldCharType="begin"/>
      </w:r>
      <w:r>
        <w:rPr>
          <w:noProof/>
        </w:rPr>
        <w:instrText xml:space="preserve"> PAGEREF _Toc333644815 \h </w:instrText>
      </w:r>
      <w:r>
        <w:rPr>
          <w:noProof/>
        </w:rPr>
      </w:r>
      <w:r>
        <w:rPr>
          <w:noProof/>
        </w:rPr>
        <w:fldChar w:fldCharType="separate"/>
      </w:r>
      <w:r w:rsidR="00667C25">
        <w:rPr>
          <w:noProof/>
        </w:rPr>
        <w:t>236</w:t>
      </w:r>
      <w:r>
        <w:rPr>
          <w:noProof/>
        </w:rPr>
        <w:fldChar w:fldCharType="end"/>
      </w:r>
    </w:p>
    <w:p w14:paraId="20EC1CBE"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5.18</w:t>
      </w:r>
      <w:r>
        <w:rPr>
          <w:noProof/>
        </w:rPr>
        <w:t>. Altered transcripts in gene expression profiling of IGF1 signalling impaired astrocytes found in the glycolysis pathway.</w:t>
      </w:r>
      <w:r>
        <w:rPr>
          <w:noProof/>
        </w:rPr>
        <w:tab/>
      </w:r>
      <w:r>
        <w:rPr>
          <w:noProof/>
        </w:rPr>
        <w:fldChar w:fldCharType="begin"/>
      </w:r>
      <w:r>
        <w:rPr>
          <w:noProof/>
        </w:rPr>
        <w:instrText xml:space="preserve"> PAGEREF _Toc333644816 \h </w:instrText>
      </w:r>
      <w:r>
        <w:rPr>
          <w:noProof/>
        </w:rPr>
      </w:r>
      <w:r>
        <w:rPr>
          <w:noProof/>
        </w:rPr>
        <w:fldChar w:fldCharType="separate"/>
      </w:r>
      <w:r w:rsidR="00667C25">
        <w:rPr>
          <w:noProof/>
        </w:rPr>
        <w:t>239</w:t>
      </w:r>
      <w:r>
        <w:rPr>
          <w:noProof/>
        </w:rPr>
        <w:fldChar w:fldCharType="end"/>
      </w:r>
    </w:p>
    <w:p w14:paraId="1D17570A"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5.19.</w:t>
      </w:r>
      <w:r>
        <w:rPr>
          <w:noProof/>
        </w:rPr>
        <w:t xml:space="preserve"> qRT-PCR Validation of NDUFA2 and NDUFB6 levels.</w:t>
      </w:r>
      <w:r>
        <w:rPr>
          <w:noProof/>
        </w:rPr>
        <w:tab/>
      </w:r>
      <w:r>
        <w:rPr>
          <w:noProof/>
        </w:rPr>
        <w:fldChar w:fldCharType="begin"/>
      </w:r>
      <w:r>
        <w:rPr>
          <w:noProof/>
        </w:rPr>
        <w:instrText xml:space="preserve"> PAGEREF _Toc333644817 \h </w:instrText>
      </w:r>
      <w:r>
        <w:rPr>
          <w:noProof/>
        </w:rPr>
      </w:r>
      <w:r>
        <w:rPr>
          <w:noProof/>
        </w:rPr>
        <w:fldChar w:fldCharType="separate"/>
      </w:r>
      <w:r w:rsidR="00667C25">
        <w:rPr>
          <w:noProof/>
        </w:rPr>
        <w:t>246</w:t>
      </w:r>
      <w:r>
        <w:rPr>
          <w:noProof/>
        </w:rPr>
        <w:fldChar w:fldCharType="end"/>
      </w:r>
    </w:p>
    <w:p w14:paraId="2372EAB2"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5.20.</w:t>
      </w:r>
      <w:r>
        <w:rPr>
          <w:noProof/>
        </w:rPr>
        <w:t xml:space="preserve"> qRT-PCR Validation of GLRX3, PRDX3 and MGST1 levels.</w:t>
      </w:r>
      <w:r>
        <w:rPr>
          <w:noProof/>
        </w:rPr>
        <w:tab/>
      </w:r>
      <w:r>
        <w:rPr>
          <w:noProof/>
        </w:rPr>
        <w:fldChar w:fldCharType="begin"/>
      </w:r>
      <w:r>
        <w:rPr>
          <w:noProof/>
        </w:rPr>
        <w:instrText xml:space="preserve"> PAGEREF _Toc333644818 \h </w:instrText>
      </w:r>
      <w:r>
        <w:rPr>
          <w:noProof/>
        </w:rPr>
      </w:r>
      <w:r>
        <w:rPr>
          <w:noProof/>
        </w:rPr>
        <w:fldChar w:fldCharType="separate"/>
      </w:r>
      <w:r w:rsidR="00667C25">
        <w:rPr>
          <w:noProof/>
        </w:rPr>
        <w:t>247</w:t>
      </w:r>
      <w:r>
        <w:rPr>
          <w:noProof/>
        </w:rPr>
        <w:fldChar w:fldCharType="end"/>
      </w:r>
    </w:p>
    <w:p w14:paraId="0AA27882"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5.21</w:t>
      </w:r>
      <w:r>
        <w:rPr>
          <w:noProof/>
        </w:rPr>
        <w:t>. qRT-PCR Validation of TPI1 and ENO2 levels.</w:t>
      </w:r>
      <w:r>
        <w:rPr>
          <w:noProof/>
        </w:rPr>
        <w:tab/>
      </w:r>
      <w:r>
        <w:rPr>
          <w:noProof/>
        </w:rPr>
        <w:fldChar w:fldCharType="begin"/>
      </w:r>
      <w:r>
        <w:rPr>
          <w:noProof/>
        </w:rPr>
        <w:instrText xml:space="preserve"> PAGEREF _Toc333644819 \h </w:instrText>
      </w:r>
      <w:r>
        <w:rPr>
          <w:noProof/>
        </w:rPr>
      </w:r>
      <w:r>
        <w:rPr>
          <w:noProof/>
        </w:rPr>
        <w:fldChar w:fldCharType="separate"/>
      </w:r>
      <w:r w:rsidR="00667C25">
        <w:rPr>
          <w:noProof/>
        </w:rPr>
        <w:t>248</w:t>
      </w:r>
      <w:r>
        <w:rPr>
          <w:noProof/>
        </w:rPr>
        <w:fldChar w:fldCharType="end"/>
      </w:r>
    </w:p>
    <w:p w14:paraId="15F5DA26"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5.22</w:t>
      </w:r>
      <w:r>
        <w:rPr>
          <w:noProof/>
        </w:rPr>
        <w:t>. Loss of IGF1R in astrocytes causes impairment in complex I activity in astrocyte-neuron co-cultures.</w:t>
      </w:r>
      <w:r>
        <w:rPr>
          <w:noProof/>
        </w:rPr>
        <w:tab/>
      </w:r>
      <w:r>
        <w:rPr>
          <w:noProof/>
        </w:rPr>
        <w:fldChar w:fldCharType="begin"/>
      </w:r>
      <w:r>
        <w:rPr>
          <w:noProof/>
        </w:rPr>
        <w:instrText xml:space="preserve"> PAGEREF _Toc333644820 \h </w:instrText>
      </w:r>
      <w:r>
        <w:rPr>
          <w:noProof/>
        </w:rPr>
      </w:r>
      <w:r>
        <w:rPr>
          <w:noProof/>
        </w:rPr>
        <w:fldChar w:fldCharType="separate"/>
      </w:r>
      <w:r w:rsidR="00667C25">
        <w:rPr>
          <w:noProof/>
        </w:rPr>
        <w:t>249</w:t>
      </w:r>
      <w:r>
        <w:rPr>
          <w:noProof/>
        </w:rPr>
        <w:fldChar w:fldCharType="end"/>
      </w:r>
    </w:p>
    <w:p w14:paraId="13BEA781"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5.23.</w:t>
      </w:r>
      <w:r>
        <w:rPr>
          <w:noProof/>
        </w:rPr>
        <w:t xml:space="preserve"> Loss of IGF1R in astrocytes co-cultured with neurons does not alter lactate levels in the media.</w:t>
      </w:r>
      <w:r>
        <w:rPr>
          <w:noProof/>
        </w:rPr>
        <w:tab/>
      </w:r>
      <w:r>
        <w:rPr>
          <w:noProof/>
        </w:rPr>
        <w:fldChar w:fldCharType="begin"/>
      </w:r>
      <w:r>
        <w:rPr>
          <w:noProof/>
        </w:rPr>
        <w:instrText xml:space="preserve"> PAGEREF _Toc333644821 \h </w:instrText>
      </w:r>
      <w:r>
        <w:rPr>
          <w:noProof/>
        </w:rPr>
      </w:r>
      <w:r>
        <w:rPr>
          <w:noProof/>
        </w:rPr>
        <w:fldChar w:fldCharType="separate"/>
      </w:r>
      <w:r w:rsidR="00667C25">
        <w:rPr>
          <w:noProof/>
        </w:rPr>
        <w:t>250</w:t>
      </w:r>
      <w:r>
        <w:rPr>
          <w:noProof/>
        </w:rPr>
        <w:fldChar w:fldCharType="end"/>
      </w:r>
    </w:p>
    <w:p w14:paraId="142CCAD5"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5.24</w:t>
      </w:r>
      <w:r>
        <w:rPr>
          <w:noProof/>
        </w:rPr>
        <w:t xml:space="preserve">. Venn diagrams showing the differentially expressed genes shared by an </w:t>
      </w:r>
      <w:r w:rsidRPr="005D0995">
        <w:rPr>
          <w:noProof/>
        </w:rPr>
        <w:t>in vitro</w:t>
      </w:r>
      <w:r>
        <w:rPr>
          <w:noProof/>
        </w:rPr>
        <w:t xml:space="preserve"> study of human astrocytes with impaired IGF1 signalling (blue) and astrocytes isolated from human ageing, Alzheimer brain (yellow).</w:t>
      </w:r>
      <w:r>
        <w:rPr>
          <w:noProof/>
        </w:rPr>
        <w:tab/>
      </w:r>
      <w:r>
        <w:rPr>
          <w:noProof/>
        </w:rPr>
        <w:fldChar w:fldCharType="begin"/>
      </w:r>
      <w:r>
        <w:rPr>
          <w:noProof/>
        </w:rPr>
        <w:instrText xml:space="preserve"> PAGEREF _Toc333644822 \h </w:instrText>
      </w:r>
      <w:r>
        <w:rPr>
          <w:noProof/>
        </w:rPr>
      </w:r>
      <w:r>
        <w:rPr>
          <w:noProof/>
        </w:rPr>
        <w:fldChar w:fldCharType="separate"/>
      </w:r>
      <w:r w:rsidR="00667C25">
        <w:rPr>
          <w:noProof/>
        </w:rPr>
        <w:t>252</w:t>
      </w:r>
      <w:r>
        <w:rPr>
          <w:noProof/>
        </w:rPr>
        <w:fldChar w:fldCharType="end"/>
      </w:r>
    </w:p>
    <w:p w14:paraId="156E09BD" w14:textId="519F688E"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5.25</w:t>
      </w:r>
      <w:r>
        <w:rPr>
          <w:noProof/>
        </w:rPr>
        <w:t>. A schematic diagram showing the location of the complex I subunits altered following IGF1R loss in astrocytes.</w:t>
      </w:r>
      <w:r>
        <w:rPr>
          <w:noProof/>
        </w:rPr>
        <w:tab/>
      </w:r>
      <w:r>
        <w:rPr>
          <w:noProof/>
        </w:rPr>
        <w:fldChar w:fldCharType="begin"/>
      </w:r>
      <w:r>
        <w:rPr>
          <w:noProof/>
        </w:rPr>
        <w:instrText xml:space="preserve"> PAGEREF _Toc333644823 \h </w:instrText>
      </w:r>
      <w:r>
        <w:rPr>
          <w:noProof/>
        </w:rPr>
      </w:r>
      <w:r>
        <w:rPr>
          <w:noProof/>
        </w:rPr>
        <w:fldChar w:fldCharType="separate"/>
      </w:r>
      <w:r w:rsidR="00667C25">
        <w:rPr>
          <w:noProof/>
        </w:rPr>
        <w:t>258</w:t>
      </w:r>
      <w:r>
        <w:rPr>
          <w:noProof/>
        </w:rPr>
        <w:fldChar w:fldCharType="end"/>
      </w:r>
    </w:p>
    <w:p w14:paraId="397843E8"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5.26.</w:t>
      </w:r>
      <w:r>
        <w:rPr>
          <w:noProof/>
        </w:rPr>
        <w:t xml:space="preserve"> A hypothetical model of how IGF1 signalling impairment affects astrocytic function.</w:t>
      </w:r>
      <w:r>
        <w:rPr>
          <w:noProof/>
        </w:rPr>
        <w:tab/>
      </w:r>
      <w:r>
        <w:rPr>
          <w:noProof/>
        </w:rPr>
        <w:fldChar w:fldCharType="begin"/>
      </w:r>
      <w:r>
        <w:rPr>
          <w:noProof/>
        </w:rPr>
        <w:instrText xml:space="preserve"> PAGEREF _Toc333644824 \h </w:instrText>
      </w:r>
      <w:r>
        <w:rPr>
          <w:noProof/>
        </w:rPr>
      </w:r>
      <w:r>
        <w:rPr>
          <w:noProof/>
        </w:rPr>
        <w:fldChar w:fldCharType="separate"/>
      </w:r>
      <w:r w:rsidR="00667C25">
        <w:rPr>
          <w:noProof/>
        </w:rPr>
        <w:t>271</w:t>
      </w:r>
      <w:r>
        <w:rPr>
          <w:noProof/>
        </w:rPr>
        <w:fldChar w:fldCharType="end"/>
      </w:r>
    </w:p>
    <w:p w14:paraId="55D1EBDE"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6.1</w:t>
      </w:r>
      <w:r>
        <w:rPr>
          <w:noProof/>
        </w:rPr>
        <w:t>. A schematic diagram indicating parameters/ molecular targets to measure in future experiments and arrows indicate how they are predicted to alter in IGF1-impaired astrocytes (red- decrease, green-increase).</w:t>
      </w:r>
      <w:r>
        <w:rPr>
          <w:noProof/>
        </w:rPr>
        <w:tab/>
      </w:r>
      <w:r>
        <w:rPr>
          <w:noProof/>
        </w:rPr>
        <w:fldChar w:fldCharType="begin"/>
      </w:r>
      <w:r>
        <w:rPr>
          <w:noProof/>
        </w:rPr>
        <w:instrText xml:space="preserve"> PAGEREF _Toc333644825 \h </w:instrText>
      </w:r>
      <w:r>
        <w:rPr>
          <w:noProof/>
        </w:rPr>
      </w:r>
      <w:r>
        <w:rPr>
          <w:noProof/>
        </w:rPr>
        <w:fldChar w:fldCharType="separate"/>
      </w:r>
      <w:r w:rsidR="00667C25">
        <w:rPr>
          <w:noProof/>
        </w:rPr>
        <w:t>284</w:t>
      </w:r>
      <w:r>
        <w:rPr>
          <w:noProof/>
        </w:rPr>
        <w:fldChar w:fldCharType="end"/>
      </w:r>
    </w:p>
    <w:p w14:paraId="715277DD"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7.1</w:t>
      </w:r>
      <w:r>
        <w:rPr>
          <w:noProof/>
        </w:rPr>
        <w:t>. Treatment of ScienCell (1) astrocytes with IgG and MAB391 for 24 hours.</w:t>
      </w:r>
      <w:r>
        <w:rPr>
          <w:noProof/>
        </w:rPr>
        <w:tab/>
      </w:r>
      <w:r>
        <w:rPr>
          <w:noProof/>
        </w:rPr>
        <w:fldChar w:fldCharType="begin"/>
      </w:r>
      <w:r>
        <w:rPr>
          <w:noProof/>
        </w:rPr>
        <w:instrText xml:space="preserve"> PAGEREF _Toc333644826 \h </w:instrText>
      </w:r>
      <w:r>
        <w:rPr>
          <w:noProof/>
        </w:rPr>
      </w:r>
      <w:r>
        <w:rPr>
          <w:noProof/>
        </w:rPr>
        <w:fldChar w:fldCharType="separate"/>
      </w:r>
      <w:r w:rsidR="00667C25">
        <w:rPr>
          <w:noProof/>
        </w:rPr>
        <w:t>286</w:t>
      </w:r>
      <w:r>
        <w:rPr>
          <w:noProof/>
        </w:rPr>
        <w:fldChar w:fldCharType="end"/>
      </w:r>
    </w:p>
    <w:p w14:paraId="03CD5FC9"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7.2.</w:t>
      </w:r>
      <w:r>
        <w:rPr>
          <w:noProof/>
        </w:rPr>
        <w:t xml:space="preserve"> Treatment of ScienCell (2) astrocytes with IgG and MAB391 for 24 hours.</w:t>
      </w:r>
      <w:r>
        <w:rPr>
          <w:noProof/>
        </w:rPr>
        <w:tab/>
      </w:r>
      <w:r>
        <w:rPr>
          <w:noProof/>
        </w:rPr>
        <w:fldChar w:fldCharType="begin"/>
      </w:r>
      <w:r>
        <w:rPr>
          <w:noProof/>
        </w:rPr>
        <w:instrText xml:space="preserve"> PAGEREF _Toc333644827 \h </w:instrText>
      </w:r>
      <w:r>
        <w:rPr>
          <w:noProof/>
        </w:rPr>
      </w:r>
      <w:r>
        <w:rPr>
          <w:noProof/>
        </w:rPr>
        <w:fldChar w:fldCharType="separate"/>
      </w:r>
      <w:r w:rsidR="00667C25">
        <w:rPr>
          <w:noProof/>
        </w:rPr>
        <w:t>287</w:t>
      </w:r>
      <w:r>
        <w:rPr>
          <w:noProof/>
        </w:rPr>
        <w:fldChar w:fldCharType="end"/>
      </w:r>
    </w:p>
    <w:p w14:paraId="78E0574A"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Figure 7.3</w:t>
      </w:r>
      <w:r>
        <w:rPr>
          <w:noProof/>
        </w:rPr>
        <w:t>. FACS sorting of co-cultures.</w:t>
      </w:r>
      <w:r>
        <w:rPr>
          <w:noProof/>
        </w:rPr>
        <w:tab/>
      </w:r>
      <w:r>
        <w:rPr>
          <w:noProof/>
        </w:rPr>
        <w:fldChar w:fldCharType="begin"/>
      </w:r>
      <w:r>
        <w:rPr>
          <w:noProof/>
        </w:rPr>
        <w:instrText xml:space="preserve"> PAGEREF _Toc333644828 \h </w:instrText>
      </w:r>
      <w:r>
        <w:rPr>
          <w:noProof/>
        </w:rPr>
      </w:r>
      <w:r>
        <w:rPr>
          <w:noProof/>
        </w:rPr>
        <w:fldChar w:fldCharType="separate"/>
      </w:r>
      <w:r w:rsidR="00667C25">
        <w:rPr>
          <w:noProof/>
        </w:rPr>
        <w:t>287</w:t>
      </w:r>
      <w:r>
        <w:rPr>
          <w:noProof/>
        </w:rPr>
        <w:fldChar w:fldCharType="end"/>
      </w:r>
    </w:p>
    <w:p w14:paraId="5181B7B4" w14:textId="77777777" w:rsidR="00AE1BBC" w:rsidRDefault="00AE1BBC" w:rsidP="00AE1BBC">
      <w:pPr>
        <w:pStyle w:val="TableofFigures"/>
      </w:pPr>
      <w:r>
        <w:fldChar w:fldCharType="end"/>
      </w:r>
    </w:p>
    <w:p w14:paraId="303463B1" w14:textId="77777777" w:rsidR="00AE1BBC" w:rsidRDefault="00AE1BBC" w:rsidP="00AE1BBC">
      <w:pPr>
        <w:pStyle w:val="TableofFigures"/>
      </w:pPr>
    </w:p>
    <w:p w14:paraId="64E1392B" w14:textId="77777777" w:rsidR="00AE1BBC" w:rsidRDefault="00AE1BBC" w:rsidP="00AE1BBC">
      <w:pPr>
        <w:pStyle w:val="TableofFigures"/>
      </w:pPr>
    </w:p>
    <w:p w14:paraId="2F5B057B" w14:textId="77777777" w:rsidR="00AE1BBC" w:rsidRDefault="00AE1BBC" w:rsidP="00AE1BBC">
      <w:pPr>
        <w:pStyle w:val="TableofFigures"/>
      </w:pPr>
    </w:p>
    <w:p w14:paraId="51EE17E0" w14:textId="77777777" w:rsidR="00AE1BBC" w:rsidRDefault="00AE1BBC" w:rsidP="00AE1BBC">
      <w:pPr>
        <w:pStyle w:val="TableofFigures"/>
      </w:pPr>
    </w:p>
    <w:p w14:paraId="3616BE33" w14:textId="77777777" w:rsidR="00AE1BBC" w:rsidRDefault="00AE1BBC" w:rsidP="00AE1BBC">
      <w:pPr>
        <w:pStyle w:val="TableofFigures"/>
      </w:pPr>
    </w:p>
    <w:p w14:paraId="218B6B7E" w14:textId="77777777" w:rsidR="00AE1BBC" w:rsidRDefault="00AE1BBC" w:rsidP="00AE1BBC">
      <w:pPr>
        <w:pStyle w:val="TableofFigures"/>
      </w:pPr>
    </w:p>
    <w:p w14:paraId="7CA786C1" w14:textId="77777777" w:rsidR="00AE1BBC" w:rsidRDefault="00AE1BBC" w:rsidP="00AE1BBC">
      <w:pPr>
        <w:pStyle w:val="TableofFigures"/>
      </w:pPr>
    </w:p>
    <w:p w14:paraId="41E98CFB" w14:textId="77777777" w:rsidR="00AE1BBC" w:rsidRDefault="00AE1BBC" w:rsidP="00AE1BBC">
      <w:pPr>
        <w:pStyle w:val="TableofFigures"/>
      </w:pPr>
    </w:p>
    <w:p w14:paraId="37D23E32" w14:textId="77777777" w:rsidR="00AE1BBC" w:rsidRDefault="00AE1BBC" w:rsidP="00AE1BBC">
      <w:pPr>
        <w:pStyle w:val="TableofFigures"/>
      </w:pPr>
    </w:p>
    <w:p w14:paraId="17A8C2CF" w14:textId="77777777" w:rsidR="00AE1BBC" w:rsidRDefault="00AE1BBC" w:rsidP="00AE1BBC">
      <w:pPr>
        <w:pStyle w:val="TableofFigures"/>
      </w:pPr>
    </w:p>
    <w:p w14:paraId="40462CFB" w14:textId="77777777" w:rsidR="00AE1BBC" w:rsidRDefault="00AE1BBC" w:rsidP="00AE1BBC">
      <w:pPr>
        <w:pStyle w:val="TableofFigures"/>
      </w:pPr>
    </w:p>
    <w:p w14:paraId="5F387259" w14:textId="77777777" w:rsidR="00AE1BBC" w:rsidRDefault="00AE1BBC" w:rsidP="00AE1BBC">
      <w:pPr>
        <w:pStyle w:val="TableofFigures"/>
      </w:pPr>
    </w:p>
    <w:p w14:paraId="1387A005" w14:textId="77777777" w:rsidR="00AE1BBC" w:rsidRDefault="00AE1BBC" w:rsidP="00AE1BBC">
      <w:pPr>
        <w:pStyle w:val="TableofFigures"/>
      </w:pPr>
    </w:p>
    <w:p w14:paraId="55129191" w14:textId="77777777" w:rsidR="00AE1BBC" w:rsidRDefault="00AE1BBC" w:rsidP="00AE1BBC">
      <w:pPr>
        <w:pStyle w:val="TableofFigures"/>
      </w:pPr>
    </w:p>
    <w:p w14:paraId="446758E4" w14:textId="77777777" w:rsidR="00AE1BBC" w:rsidRDefault="00AE1BBC" w:rsidP="00AE1BBC">
      <w:pPr>
        <w:pStyle w:val="TableofFigures"/>
      </w:pPr>
    </w:p>
    <w:p w14:paraId="21927F67" w14:textId="77777777" w:rsidR="00AE1BBC" w:rsidRDefault="00AE1BBC" w:rsidP="00AE1BBC">
      <w:pPr>
        <w:pStyle w:val="TableofFigures"/>
      </w:pPr>
    </w:p>
    <w:p w14:paraId="0C2E6272" w14:textId="77777777" w:rsidR="00AE1BBC" w:rsidRDefault="00AE1BBC" w:rsidP="00AE1BBC">
      <w:pPr>
        <w:pStyle w:val="TableofFigures"/>
      </w:pPr>
    </w:p>
    <w:p w14:paraId="42CC333D" w14:textId="78715E1C" w:rsidR="00303E90" w:rsidRPr="00AE1BBC" w:rsidRDefault="00303E90" w:rsidP="00AE1BBC">
      <w:pPr>
        <w:pStyle w:val="TableofFigures"/>
        <w:rPr>
          <w:b/>
          <w:i w:val="0"/>
          <w:smallCaps/>
          <w:sz w:val="36"/>
          <w:szCs w:val="36"/>
        </w:rPr>
      </w:pPr>
      <w:r w:rsidRPr="00AE1BBC">
        <w:rPr>
          <w:b/>
          <w:i w:val="0"/>
          <w:sz w:val="36"/>
          <w:szCs w:val="36"/>
        </w:rPr>
        <w:t>List of Tables</w:t>
      </w:r>
    </w:p>
    <w:p w14:paraId="2ED67CFC" w14:textId="77777777" w:rsidR="00303E90" w:rsidRPr="00E273BF" w:rsidRDefault="00303E90" w:rsidP="00303E90">
      <w:pPr>
        <w:rPr>
          <w:rFonts w:ascii="Times New Roman" w:hAnsi="Times New Roman" w:cs="Times New Roman"/>
          <w:b/>
        </w:rPr>
      </w:pPr>
    </w:p>
    <w:p w14:paraId="22474A1B" w14:textId="77777777" w:rsidR="00AE1BBC" w:rsidRDefault="00AE1BBC">
      <w:pPr>
        <w:pStyle w:val="TableofFigures"/>
        <w:tabs>
          <w:tab w:val="right" w:leader="dot" w:pos="8488"/>
        </w:tabs>
        <w:rPr>
          <w:rFonts w:asciiTheme="minorHAnsi" w:hAnsiTheme="minorHAnsi"/>
          <w:i w:val="0"/>
          <w:noProof/>
          <w:szCs w:val="24"/>
          <w:lang w:val="en-GB" w:eastAsia="ja-JP"/>
        </w:rPr>
      </w:pPr>
      <w:r>
        <w:fldChar w:fldCharType="begin"/>
      </w:r>
      <w:r>
        <w:instrText xml:space="preserve"> TOC \t "Heading 5" \c "Table" </w:instrText>
      </w:r>
      <w:r>
        <w:fldChar w:fldCharType="separate"/>
      </w:r>
      <w:r w:rsidRPr="00481141">
        <w:rPr>
          <w:b/>
          <w:noProof/>
        </w:rPr>
        <w:t>Table 2.1</w:t>
      </w:r>
      <w:r>
        <w:rPr>
          <w:noProof/>
        </w:rPr>
        <w:t>. Primary antibodies used for western blotting</w:t>
      </w:r>
      <w:r>
        <w:rPr>
          <w:noProof/>
        </w:rPr>
        <w:tab/>
      </w:r>
      <w:r>
        <w:rPr>
          <w:noProof/>
        </w:rPr>
        <w:fldChar w:fldCharType="begin"/>
      </w:r>
      <w:r>
        <w:rPr>
          <w:noProof/>
        </w:rPr>
        <w:instrText xml:space="preserve"> PAGEREF _Toc333644829 \h </w:instrText>
      </w:r>
      <w:r>
        <w:rPr>
          <w:noProof/>
        </w:rPr>
      </w:r>
      <w:r>
        <w:rPr>
          <w:noProof/>
        </w:rPr>
        <w:fldChar w:fldCharType="separate"/>
      </w:r>
      <w:r w:rsidR="00667C25">
        <w:rPr>
          <w:noProof/>
        </w:rPr>
        <w:t>80</w:t>
      </w:r>
      <w:r>
        <w:rPr>
          <w:noProof/>
        </w:rPr>
        <w:fldChar w:fldCharType="end"/>
      </w:r>
    </w:p>
    <w:p w14:paraId="23F2AA47"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2.2</w:t>
      </w:r>
      <w:r>
        <w:rPr>
          <w:noProof/>
        </w:rPr>
        <w:t>. Secondary antibodies used in western blotting</w:t>
      </w:r>
      <w:r>
        <w:rPr>
          <w:noProof/>
        </w:rPr>
        <w:tab/>
      </w:r>
      <w:r>
        <w:rPr>
          <w:noProof/>
        </w:rPr>
        <w:fldChar w:fldCharType="begin"/>
      </w:r>
      <w:r>
        <w:rPr>
          <w:noProof/>
        </w:rPr>
        <w:instrText xml:space="preserve"> PAGEREF _Toc333644830 \h </w:instrText>
      </w:r>
      <w:r>
        <w:rPr>
          <w:noProof/>
        </w:rPr>
      </w:r>
      <w:r>
        <w:rPr>
          <w:noProof/>
        </w:rPr>
        <w:fldChar w:fldCharType="separate"/>
      </w:r>
      <w:r w:rsidR="00667C25">
        <w:rPr>
          <w:noProof/>
        </w:rPr>
        <w:t>82</w:t>
      </w:r>
      <w:r>
        <w:rPr>
          <w:noProof/>
        </w:rPr>
        <w:fldChar w:fldCharType="end"/>
      </w:r>
    </w:p>
    <w:p w14:paraId="2F7B2FAC"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lang w:val="en-GB"/>
        </w:rPr>
        <w:t>Table 2.3</w:t>
      </w:r>
      <w:r w:rsidRPr="00EE40A2">
        <w:rPr>
          <w:noProof/>
          <w:lang w:val="en-GB"/>
        </w:rPr>
        <w:t>. List of Primers used in PCR and qRT-PCR</w:t>
      </w:r>
      <w:r>
        <w:rPr>
          <w:noProof/>
        </w:rPr>
        <w:tab/>
      </w:r>
      <w:r>
        <w:rPr>
          <w:noProof/>
        </w:rPr>
        <w:fldChar w:fldCharType="begin"/>
      </w:r>
      <w:r>
        <w:rPr>
          <w:noProof/>
        </w:rPr>
        <w:instrText xml:space="preserve"> PAGEREF _Toc333644831 \h </w:instrText>
      </w:r>
      <w:r>
        <w:rPr>
          <w:noProof/>
        </w:rPr>
      </w:r>
      <w:r>
        <w:rPr>
          <w:noProof/>
        </w:rPr>
        <w:fldChar w:fldCharType="separate"/>
      </w:r>
      <w:r w:rsidR="00667C25">
        <w:rPr>
          <w:noProof/>
        </w:rPr>
        <w:t>83</w:t>
      </w:r>
      <w:r>
        <w:rPr>
          <w:noProof/>
        </w:rPr>
        <w:fldChar w:fldCharType="end"/>
      </w:r>
    </w:p>
    <w:p w14:paraId="23E0B712"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2.4</w:t>
      </w:r>
      <w:r>
        <w:rPr>
          <w:noProof/>
        </w:rPr>
        <w:t>. List of all PrimeTime</w:t>
      </w:r>
      <w:r w:rsidRPr="00EE40A2">
        <w:rPr>
          <w:rFonts w:cs="Times New Roman"/>
          <w:noProof/>
        </w:rPr>
        <w:t>®</w:t>
      </w:r>
      <w:r>
        <w:rPr>
          <w:noProof/>
        </w:rPr>
        <w:t xml:space="preserve"> qPCR Assays used for validating genes identified in Gene expression profiling</w:t>
      </w:r>
      <w:r>
        <w:rPr>
          <w:noProof/>
        </w:rPr>
        <w:tab/>
      </w:r>
      <w:r>
        <w:rPr>
          <w:noProof/>
        </w:rPr>
        <w:fldChar w:fldCharType="begin"/>
      </w:r>
      <w:r>
        <w:rPr>
          <w:noProof/>
        </w:rPr>
        <w:instrText xml:space="preserve"> PAGEREF _Toc333644832 \h </w:instrText>
      </w:r>
      <w:r>
        <w:rPr>
          <w:noProof/>
        </w:rPr>
      </w:r>
      <w:r>
        <w:rPr>
          <w:noProof/>
        </w:rPr>
        <w:fldChar w:fldCharType="separate"/>
      </w:r>
      <w:r w:rsidR="00667C25">
        <w:rPr>
          <w:noProof/>
        </w:rPr>
        <w:t>84</w:t>
      </w:r>
      <w:r>
        <w:rPr>
          <w:noProof/>
        </w:rPr>
        <w:fldChar w:fldCharType="end"/>
      </w:r>
    </w:p>
    <w:p w14:paraId="7EDC025B"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2.5</w:t>
      </w:r>
      <w:r>
        <w:rPr>
          <w:noProof/>
        </w:rPr>
        <w:t>. Primary antibodies used for immunocytochemistry.</w:t>
      </w:r>
      <w:r>
        <w:rPr>
          <w:noProof/>
        </w:rPr>
        <w:tab/>
      </w:r>
      <w:r>
        <w:rPr>
          <w:noProof/>
        </w:rPr>
        <w:fldChar w:fldCharType="begin"/>
      </w:r>
      <w:r>
        <w:rPr>
          <w:noProof/>
        </w:rPr>
        <w:instrText xml:space="preserve"> PAGEREF _Toc333644833 \h </w:instrText>
      </w:r>
      <w:r>
        <w:rPr>
          <w:noProof/>
        </w:rPr>
      </w:r>
      <w:r>
        <w:rPr>
          <w:noProof/>
        </w:rPr>
        <w:fldChar w:fldCharType="separate"/>
      </w:r>
      <w:r w:rsidR="00667C25">
        <w:rPr>
          <w:noProof/>
        </w:rPr>
        <w:t>86</w:t>
      </w:r>
      <w:r>
        <w:rPr>
          <w:noProof/>
        </w:rPr>
        <w:fldChar w:fldCharType="end"/>
      </w:r>
    </w:p>
    <w:p w14:paraId="59534E93"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2.6</w:t>
      </w:r>
      <w:r>
        <w:rPr>
          <w:noProof/>
        </w:rPr>
        <w:t>. Secondary antibodies for immunocytochemistry.</w:t>
      </w:r>
      <w:r>
        <w:rPr>
          <w:noProof/>
        </w:rPr>
        <w:tab/>
      </w:r>
      <w:r>
        <w:rPr>
          <w:noProof/>
        </w:rPr>
        <w:fldChar w:fldCharType="begin"/>
      </w:r>
      <w:r>
        <w:rPr>
          <w:noProof/>
        </w:rPr>
        <w:instrText xml:space="preserve"> PAGEREF _Toc333644834 \h </w:instrText>
      </w:r>
      <w:r>
        <w:rPr>
          <w:noProof/>
        </w:rPr>
      </w:r>
      <w:r>
        <w:rPr>
          <w:noProof/>
        </w:rPr>
        <w:fldChar w:fldCharType="separate"/>
      </w:r>
      <w:r w:rsidR="00667C25">
        <w:rPr>
          <w:noProof/>
        </w:rPr>
        <w:t>87</w:t>
      </w:r>
      <w:r>
        <w:rPr>
          <w:noProof/>
        </w:rPr>
        <w:fldChar w:fldCharType="end"/>
      </w:r>
    </w:p>
    <w:p w14:paraId="6BFA3E6F"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lang w:val="en-GB"/>
        </w:rPr>
        <w:t>Table 2.7</w:t>
      </w:r>
      <w:r w:rsidRPr="00EE40A2">
        <w:rPr>
          <w:noProof/>
          <w:lang w:val="en-GB"/>
        </w:rPr>
        <w:t>. Age, sex and post mortem delay (PMD) of cases</w:t>
      </w:r>
      <w:r>
        <w:rPr>
          <w:noProof/>
        </w:rPr>
        <w:tab/>
      </w:r>
      <w:r>
        <w:rPr>
          <w:noProof/>
        </w:rPr>
        <w:fldChar w:fldCharType="begin"/>
      </w:r>
      <w:r>
        <w:rPr>
          <w:noProof/>
        </w:rPr>
        <w:instrText xml:space="preserve"> PAGEREF _Toc333644835 \h </w:instrText>
      </w:r>
      <w:r>
        <w:rPr>
          <w:noProof/>
        </w:rPr>
      </w:r>
      <w:r>
        <w:rPr>
          <w:noProof/>
        </w:rPr>
        <w:fldChar w:fldCharType="separate"/>
      </w:r>
      <w:r w:rsidR="00667C25">
        <w:rPr>
          <w:noProof/>
        </w:rPr>
        <w:t>91</w:t>
      </w:r>
      <w:r>
        <w:rPr>
          <w:noProof/>
        </w:rPr>
        <w:fldChar w:fldCharType="end"/>
      </w:r>
    </w:p>
    <w:p w14:paraId="7A3A0AC7"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lang w:val="en-GB"/>
        </w:rPr>
        <w:t>Table 2.8</w:t>
      </w:r>
      <w:r w:rsidRPr="00EE40A2">
        <w:rPr>
          <w:noProof/>
          <w:lang w:val="en-GB"/>
        </w:rPr>
        <w:t>. Antibodies used for immunohistochemistry, source and specificity</w:t>
      </w:r>
      <w:r>
        <w:rPr>
          <w:noProof/>
        </w:rPr>
        <w:tab/>
      </w:r>
      <w:r>
        <w:rPr>
          <w:noProof/>
        </w:rPr>
        <w:fldChar w:fldCharType="begin"/>
      </w:r>
      <w:r>
        <w:rPr>
          <w:noProof/>
        </w:rPr>
        <w:instrText xml:space="preserve"> PAGEREF _Toc333644836 \h </w:instrText>
      </w:r>
      <w:r>
        <w:rPr>
          <w:noProof/>
        </w:rPr>
      </w:r>
      <w:r>
        <w:rPr>
          <w:noProof/>
        </w:rPr>
        <w:fldChar w:fldCharType="separate"/>
      </w:r>
      <w:r w:rsidR="00667C25">
        <w:rPr>
          <w:noProof/>
        </w:rPr>
        <w:t>91</w:t>
      </w:r>
      <w:r>
        <w:rPr>
          <w:noProof/>
        </w:rPr>
        <w:fldChar w:fldCharType="end"/>
      </w:r>
    </w:p>
    <w:p w14:paraId="1FBC6836"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lang w:val="en-GB"/>
        </w:rPr>
        <w:t xml:space="preserve">Table 2.9. </w:t>
      </w:r>
      <w:r w:rsidRPr="00EE40A2">
        <w:rPr>
          <w:noProof/>
          <w:lang w:val="en-GB"/>
        </w:rPr>
        <w:t>Composition of 4% stacking gel, 8 resolving gel and 15% resolving gel</w:t>
      </w:r>
      <w:r>
        <w:rPr>
          <w:noProof/>
        </w:rPr>
        <w:tab/>
      </w:r>
      <w:r>
        <w:rPr>
          <w:noProof/>
        </w:rPr>
        <w:fldChar w:fldCharType="begin"/>
      </w:r>
      <w:r>
        <w:rPr>
          <w:noProof/>
        </w:rPr>
        <w:instrText xml:space="preserve"> PAGEREF _Toc333644837 \h </w:instrText>
      </w:r>
      <w:r>
        <w:rPr>
          <w:noProof/>
        </w:rPr>
      </w:r>
      <w:r>
        <w:rPr>
          <w:noProof/>
        </w:rPr>
        <w:fldChar w:fldCharType="separate"/>
      </w:r>
      <w:r w:rsidR="00667C25">
        <w:rPr>
          <w:noProof/>
        </w:rPr>
        <w:t>102</w:t>
      </w:r>
      <w:r>
        <w:rPr>
          <w:noProof/>
        </w:rPr>
        <w:fldChar w:fldCharType="end"/>
      </w:r>
    </w:p>
    <w:p w14:paraId="19F69318"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5.1.</w:t>
      </w:r>
      <w:r>
        <w:rPr>
          <w:noProof/>
        </w:rPr>
        <w:t xml:space="preserve"> Number of astrocytes and neurons collected from FACS sorted co-cultures.</w:t>
      </w:r>
      <w:r>
        <w:rPr>
          <w:noProof/>
        </w:rPr>
        <w:tab/>
      </w:r>
      <w:r>
        <w:rPr>
          <w:noProof/>
        </w:rPr>
        <w:fldChar w:fldCharType="begin"/>
      </w:r>
      <w:r>
        <w:rPr>
          <w:noProof/>
        </w:rPr>
        <w:instrText xml:space="preserve"> PAGEREF _Toc333644838 \h </w:instrText>
      </w:r>
      <w:r>
        <w:rPr>
          <w:noProof/>
        </w:rPr>
      </w:r>
      <w:r>
        <w:rPr>
          <w:noProof/>
        </w:rPr>
        <w:fldChar w:fldCharType="separate"/>
      </w:r>
      <w:r w:rsidR="00667C25">
        <w:rPr>
          <w:noProof/>
        </w:rPr>
        <w:t>210</w:t>
      </w:r>
      <w:r>
        <w:rPr>
          <w:noProof/>
        </w:rPr>
        <w:fldChar w:fldCharType="end"/>
      </w:r>
    </w:p>
    <w:p w14:paraId="2375D165"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5.2</w:t>
      </w:r>
      <w:r>
        <w:rPr>
          <w:noProof/>
        </w:rPr>
        <w:t xml:space="preserve"> Quality and yield of RNA extracted from control (untreated) and MAB391-treated astrocytes.</w:t>
      </w:r>
      <w:r>
        <w:rPr>
          <w:noProof/>
        </w:rPr>
        <w:tab/>
      </w:r>
      <w:r>
        <w:rPr>
          <w:noProof/>
        </w:rPr>
        <w:fldChar w:fldCharType="begin"/>
      </w:r>
      <w:r>
        <w:rPr>
          <w:noProof/>
        </w:rPr>
        <w:instrText xml:space="preserve"> PAGEREF _Toc333644839 \h </w:instrText>
      </w:r>
      <w:r>
        <w:rPr>
          <w:noProof/>
        </w:rPr>
      </w:r>
      <w:r>
        <w:rPr>
          <w:noProof/>
        </w:rPr>
        <w:fldChar w:fldCharType="separate"/>
      </w:r>
      <w:r w:rsidR="00667C25">
        <w:rPr>
          <w:noProof/>
        </w:rPr>
        <w:t>212</w:t>
      </w:r>
      <w:r>
        <w:rPr>
          <w:noProof/>
        </w:rPr>
        <w:fldChar w:fldCharType="end"/>
      </w:r>
    </w:p>
    <w:p w14:paraId="79EEC2B7"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5.3</w:t>
      </w:r>
      <w:r>
        <w:rPr>
          <w:noProof/>
        </w:rPr>
        <w:t>. Volumes of RNA used for glycoblue RNA precipitation to generate 250ng of input RNA.</w:t>
      </w:r>
      <w:r>
        <w:rPr>
          <w:noProof/>
        </w:rPr>
        <w:tab/>
      </w:r>
      <w:r>
        <w:rPr>
          <w:noProof/>
        </w:rPr>
        <w:fldChar w:fldCharType="begin"/>
      </w:r>
      <w:r>
        <w:rPr>
          <w:noProof/>
        </w:rPr>
        <w:instrText xml:space="preserve"> PAGEREF _Toc333644840 \h </w:instrText>
      </w:r>
      <w:r>
        <w:rPr>
          <w:noProof/>
        </w:rPr>
      </w:r>
      <w:r>
        <w:rPr>
          <w:noProof/>
        </w:rPr>
        <w:fldChar w:fldCharType="separate"/>
      </w:r>
      <w:r w:rsidR="00667C25">
        <w:rPr>
          <w:noProof/>
        </w:rPr>
        <w:t>214</w:t>
      </w:r>
      <w:r>
        <w:rPr>
          <w:noProof/>
        </w:rPr>
        <w:fldChar w:fldCharType="end"/>
      </w:r>
    </w:p>
    <w:p w14:paraId="57B0DB11"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5.4</w:t>
      </w:r>
      <w:r>
        <w:rPr>
          <w:noProof/>
        </w:rPr>
        <w:t>. Yield of cRNA post-amplifcation</w:t>
      </w:r>
      <w:r>
        <w:rPr>
          <w:noProof/>
        </w:rPr>
        <w:tab/>
      </w:r>
      <w:r>
        <w:rPr>
          <w:noProof/>
        </w:rPr>
        <w:fldChar w:fldCharType="begin"/>
      </w:r>
      <w:r>
        <w:rPr>
          <w:noProof/>
        </w:rPr>
        <w:instrText xml:space="preserve"> PAGEREF _Toc333644841 \h </w:instrText>
      </w:r>
      <w:r>
        <w:rPr>
          <w:noProof/>
        </w:rPr>
      </w:r>
      <w:r>
        <w:rPr>
          <w:noProof/>
        </w:rPr>
        <w:fldChar w:fldCharType="separate"/>
      </w:r>
      <w:r w:rsidR="00667C25">
        <w:rPr>
          <w:noProof/>
        </w:rPr>
        <w:t>214</w:t>
      </w:r>
      <w:r>
        <w:rPr>
          <w:noProof/>
        </w:rPr>
        <w:fldChar w:fldCharType="end"/>
      </w:r>
    </w:p>
    <w:p w14:paraId="36D10D4B"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5.5</w:t>
      </w:r>
      <w:r>
        <w:rPr>
          <w:noProof/>
        </w:rPr>
        <w:t xml:space="preserve">. Yield of ss-cDNA </w:t>
      </w:r>
      <w:r w:rsidRPr="00EE40A2">
        <w:rPr>
          <w:rFonts w:eastAsia="Times New Roman"/>
          <w:bCs/>
          <w:noProof/>
          <w:color w:val="000000"/>
          <w:lang w:val="en-GB"/>
        </w:rPr>
        <w:t>(ng/μl)</w:t>
      </w:r>
      <w:r>
        <w:rPr>
          <w:noProof/>
        </w:rPr>
        <w:t xml:space="preserve"> in a total of 31.2</w:t>
      </w:r>
      <w:r w:rsidRPr="00EE40A2">
        <w:rPr>
          <w:rFonts w:eastAsia="Times New Roman"/>
          <w:bCs/>
          <w:noProof/>
          <w:color w:val="000000"/>
          <w:lang w:val="en-GB"/>
        </w:rPr>
        <w:t xml:space="preserve"> μl</w:t>
      </w:r>
      <w:r>
        <w:rPr>
          <w:noProof/>
        </w:rPr>
        <w:tab/>
      </w:r>
      <w:r>
        <w:rPr>
          <w:noProof/>
        </w:rPr>
        <w:fldChar w:fldCharType="begin"/>
      </w:r>
      <w:r>
        <w:rPr>
          <w:noProof/>
        </w:rPr>
        <w:instrText xml:space="preserve"> PAGEREF _Toc333644842 \h </w:instrText>
      </w:r>
      <w:r>
        <w:rPr>
          <w:noProof/>
        </w:rPr>
      </w:r>
      <w:r>
        <w:rPr>
          <w:noProof/>
        </w:rPr>
        <w:fldChar w:fldCharType="separate"/>
      </w:r>
      <w:r w:rsidR="00667C25">
        <w:rPr>
          <w:noProof/>
        </w:rPr>
        <w:t>215</w:t>
      </w:r>
      <w:r>
        <w:rPr>
          <w:noProof/>
        </w:rPr>
        <w:fldChar w:fldCharType="end"/>
      </w:r>
    </w:p>
    <w:p w14:paraId="0CF7C23A"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5.6</w:t>
      </w:r>
      <w:r>
        <w:rPr>
          <w:noProof/>
        </w:rPr>
        <w:t>. Summary of quality control metrics for control and MAB391 gene arrays.</w:t>
      </w:r>
      <w:r>
        <w:rPr>
          <w:noProof/>
        </w:rPr>
        <w:tab/>
      </w:r>
      <w:r>
        <w:rPr>
          <w:noProof/>
        </w:rPr>
        <w:fldChar w:fldCharType="begin"/>
      </w:r>
      <w:r>
        <w:rPr>
          <w:noProof/>
        </w:rPr>
        <w:instrText xml:space="preserve"> PAGEREF _Toc333644843 \h </w:instrText>
      </w:r>
      <w:r>
        <w:rPr>
          <w:noProof/>
        </w:rPr>
      </w:r>
      <w:r>
        <w:rPr>
          <w:noProof/>
        </w:rPr>
        <w:fldChar w:fldCharType="separate"/>
      </w:r>
      <w:r w:rsidR="00667C25">
        <w:rPr>
          <w:noProof/>
        </w:rPr>
        <w:t>223</w:t>
      </w:r>
      <w:r>
        <w:rPr>
          <w:noProof/>
        </w:rPr>
        <w:fldChar w:fldCharType="end"/>
      </w:r>
    </w:p>
    <w:p w14:paraId="17E2E598" w14:textId="77777777" w:rsidR="00AE1BBC" w:rsidRP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5.7</w:t>
      </w:r>
      <w:r>
        <w:rPr>
          <w:noProof/>
        </w:rPr>
        <w:t>. DAVID Functional Annotation Clustering Analysis of all 2815 transcripts in MAB391-treated astrocytes compared with control treated astrocytes with FC≥1.2 and P&lt;0.05.</w:t>
      </w:r>
      <w:r>
        <w:rPr>
          <w:noProof/>
        </w:rPr>
        <w:tab/>
      </w:r>
      <w:r w:rsidRPr="00AE1BBC">
        <w:rPr>
          <w:noProof/>
        </w:rPr>
        <w:fldChar w:fldCharType="begin"/>
      </w:r>
      <w:r w:rsidRPr="00AE1BBC">
        <w:rPr>
          <w:noProof/>
        </w:rPr>
        <w:instrText xml:space="preserve"> PAGEREF _Toc333644844 \h </w:instrText>
      </w:r>
      <w:r w:rsidRPr="00AE1BBC">
        <w:rPr>
          <w:noProof/>
        </w:rPr>
      </w:r>
      <w:r w:rsidRPr="00AE1BBC">
        <w:rPr>
          <w:noProof/>
        </w:rPr>
        <w:fldChar w:fldCharType="separate"/>
      </w:r>
      <w:r w:rsidR="00667C25">
        <w:rPr>
          <w:noProof/>
        </w:rPr>
        <w:t>228</w:t>
      </w:r>
      <w:r w:rsidRPr="00AE1BBC">
        <w:rPr>
          <w:noProof/>
        </w:rPr>
        <w:fldChar w:fldCharType="end"/>
      </w:r>
    </w:p>
    <w:p w14:paraId="768EA65F" w14:textId="77777777" w:rsidR="00AE1BBC" w:rsidRP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5.8</w:t>
      </w:r>
      <w:r w:rsidRPr="00AE1BBC">
        <w:rPr>
          <w:noProof/>
        </w:rPr>
        <w:t>. DAVID Functional Annotation Clustering Analysis of 1520 downregulated transcripts in MAB391-treated astrocytes compared with control treated astrocytes with FC≥1.2 and P&lt;0.05.</w:t>
      </w:r>
      <w:r w:rsidRPr="00AE1BBC">
        <w:rPr>
          <w:noProof/>
        </w:rPr>
        <w:tab/>
      </w:r>
      <w:r w:rsidRPr="00AE1BBC">
        <w:rPr>
          <w:noProof/>
        </w:rPr>
        <w:fldChar w:fldCharType="begin"/>
      </w:r>
      <w:r w:rsidRPr="00AE1BBC">
        <w:rPr>
          <w:noProof/>
        </w:rPr>
        <w:instrText xml:space="preserve"> PAGEREF _Toc333644845 \h </w:instrText>
      </w:r>
      <w:r w:rsidRPr="00AE1BBC">
        <w:rPr>
          <w:noProof/>
        </w:rPr>
      </w:r>
      <w:r w:rsidRPr="00AE1BBC">
        <w:rPr>
          <w:noProof/>
        </w:rPr>
        <w:fldChar w:fldCharType="separate"/>
      </w:r>
      <w:r w:rsidR="00667C25">
        <w:rPr>
          <w:noProof/>
        </w:rPr>
        <w:t>229</w:t>
      </w:r>
      <w:r w:rsidRPr="00AE1BBC">
        <w:rPr>
          <w:noProof/>
        </w:rPr>
        <w:fldChar w:fldCharType="end"/>
      </w:r>
    </w:p>
    <w:p w14:paraId="59918684" w14:textId="77777777" w:rsidR="00AE1BBC" w:rsidRP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5.9</w:t>
      </w:r>
      <w:r w:rsidRPr="00AE1BBC">
        <w:rPr>
          <w:noProof/>
        </w:rPr>
        <w:t xml:space="preserve"> DAVID Functional Annotation Clustering Analysis of 1295 upregulated transcripts in MAB391-treated astrocytes compared with control treated astrocytes with FC≥1.2 and P&lt;0.05.</w:t>
      </w:r>
      <w:r w:rsidRPr="00AE1BBC">
        <w:rPr>
          <w:noProof/>
        </w:rPr>
        <w:tab/>
      </w:r>
      <w:r w:rsidRPr="00AE1BBC">
        <w:rPr>
          <w:noProof/>
        </w:rPr>
        <w:fldChar w:fldCharType="begin"/>
      </w:r>
      <w:r w:rsidRPr="00AE1BBC">
        <w:rPr>
          <w:noProof/>
        </w:rPr>
        <w:instrText xml:space="preserve"> PAGEREF _Toc333644846 \h </w:instrText>
      </w:r>
      <w:r w:rsidRPr="00AE1BBC">
        <w:rPr>
          <w:noProof/>
        </w:rPr>
      </w:r>
      <w:r w:rsidRPr="00AE1BBC">
        <w:rPr>
          <w:noProof/>
        </w:rPr>
        <w:fldChar w:fldCharType="separate"/>
      </w:r>
      <w:r w:rsidR="00667C25">
        <w:rPr>
          <w:noProof/>
        </w:rPr>
        <w:t>229</w:t>
      </w:r>
      <w:r w:rsidRPr="00AE1BBC">
        <w:rPr>
          <w:noProof/>
        </w:rPr>
        <w:fldChar w:fldCharType="end"/>
      </w:r>
    </w:p>
    <w:p w14:paraId="3EE26778" w14:textId="77777777" w:rsidR="00AE1BBC" w:rsidRP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5.10.</w:t>
      </w:r>
      <w:r w:rsidRPr="00AE1BBC">
        <w:rPr>
          <w:noProof/>
        </w:rPr>
        <w:t xml:space="preserve"> IMPALA Enrichment Pathway analysis for all 2815 transcripts in MAB391 astrocytes compared to untreated astrocytes with FC≥1.2 and P&lt;0.05</w:t>
      </w:r>
      <w:r w:rsidRPr="00AE1BBC">
        <w:rPr>
          <w:noProof/>
        </w:rPr>
        <w:tab/>
      </w:r>
      <w:r w:rsidRPr="00AE1BBC">
        <w:rPr>
          <w:noProof/>
        </w:rPr>
        <w:fldChar w:fldCharType="begin"/>
      </w:r>
      <w:r w:rsidRPr="00AE1BBC">
        <w:rPr>
          <w:noProof/>
        </w:rPr>
        <w:instrText xml:space="preserve"> PAGEREF _Toc333644847 \h </w:instrText>
      </w:r>
      <w:r w:rsidRPr="00AE1BBC">
        <w:rPr>
          <w:noProof/>
        </w:rPr>
      </w:r>
      <w:r w:rsidRPr="00AE1BBC">
        <w:rPr>
          <w:noProof/>
        </w:rPr>
        <w:fldChar w:fldCharType="separate"/>
      </w:r>
      <w:r w:rsidR="00667C25">
        <w:rPr>
          <w:noProof/>
        </w:rPr>
        <w:t>231</w:t>
      </w:r>
      <w:r w:rsidRPr="00AE1BBC">
        <w:rPr>
          <w:noProof/>
        </w:rPr>
        <w:fldChar w:fldCharType="end"/>
      </w:r>
    </w:p>
    <w:p w14:paraId="0EA8478E" w14:textId="77777777" w:rsidR="00AE1BBC" w:rsidRP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5.11.</w:t>
      </w:r>
      <w:r w:rsidRPr="00AE1BBC">
        <w:rPr>
          <w:noProof/>
        </w:rPr>
        <w:t xml:space="preserve"> IMPALA Enrichment Pathway analysis for 1520 downregulated transcripts in MAB391 astrocytes compared to untreated astrocytes with FC≥1.2 and P&lt;0.05. Highlighted in yellow are pathways with a similar theme.</w:t>
      </w:r>
      <w:r w:rsidRPr="00AE1BBC">
        <w:rPr>
          <w:noProof/>
        </w:rPr>
        <w:tab/>
      </w:r>
      <w:r w:rsidRPr="00AE1BBC">
        <w:rPr>
          <w:noProof/>
        </w:rPr>
        <w:fldChar w:fldCharType="begin"/>
      </w:r>
      <w:r w:rsidRPr="00AE1BBC">
        <w:rPr>
          <w:noProof/>
        </w:rPr>
        <w:instrText xml:space="preserve"> PAGEREF _Toc333644848 \h </w:instrText>
      </w:r>
      <w:r w:rsidRPr="00AE1BBC">
        <w:rPr>
          <w:noProof/>
        </w:rPr>
      </w:r>
      <w:r w:rsidRPr="00AE1BBC">
        <w:rPr>
          <w:noProof/>
        </w:rPr>
        <w:fldChar w:fldCharType="separate"/>
      </w:r>
      <w:r w:rsidR="00667C25">
        <w:rPr>
          <w:noProof/>
        </w:rPr>
        <w:t>232</w:t>
      </w:r>
      <w:r w:rsidRPr="00AE1BBC">
        <w:rPr>
          <w:noProof/>
        </w:rPr>
        <w:fldChar w:fldCharType="end"/>
      </w:r>
    </w:p>
    <w:p w14:paraId="68CDC7B5"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5.12</w:t>
      </w:r>
      <w:r w:rsidRPr="00AE1BBC">
        <w:rPr>
          <w:noProof/>
        </w:rPr>
        <w:t>. IMPALA Enrichment Pathway analysis for 1295 upregulated transcripts in MAB391 astrocytes compared to untreated astrocytes with FC≥1.2 and P&lt;0.0</w:t>
      </w:r>
      <w:r>
        <w:rPr>
          <w:noProof/>
        </w:rPr>
        <w:t>5. Highlighted in yellow are pathways with a similar theme.</w:t>
      </w:r>
      <w:r>
        <w:rPr>
          <w:noProof/>
        </w:rPr>
        <w:tab/>
      </w:r>
      <w:r>
        <w:rPr>
          <w:noProof/>
        </w:rPr>
        <w:fldChar w:fldCharType="begin"/>
      </w:r>
      <w:r>
        <w:rPr>
          <w:noProof/>
        </w:rPr>
        <w:instrText xml:space="preserve"> PAGEREF _Toc333644849 \h </w:instrText>
      </w:r>
      <w:r>
        <w:rPr>
          <w:noProof/>
        </w:rPr>
      </w:r>
      <w:r>
        <w:rPr>
          <w:noProof/>
        </w:rPr>
        <w:fldChar w:fldCharType="separate"/>
      </w:r>
      <w:r w:rsidR="00667C25">
        <w:rPr>
          <w:noProof/>
        </w:rPr>
        <w:t>233</w:t>
      </w:r>
      <w:r>
        <w:rPr>
          <w:noProof/>
        </w:rPr>
        <w:fldChar w:fldCharType="end"/>
      </w:r>
    </w:p>
    <w:p w14:paraId="397362A4"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5.13</w:t>
      </w:r>
      <w:r>
        <w:rPr>
          <w:noProof/>
        </w:rPr>
        <w:t>. Transcripts involved in oxidative phosphorylation dysregulated in IGF1R impaired astrocytes.</w:t>
      </w:r>
      <w:r>
        <w:rPr>
          <w:noProof/>
        </w:rPr>
        <w:tab/>
      </w:r>
      <w:r>
        <w:rPr>
          <w:noProof/>
        </w:rPr>
        <w:fldChar w:fldCharType="begin"/>
      </w:r>
      <w:r>
        <w:rPr>
          <w:noProof/>
        </w:rPr>
        <w:instrText xml:space="preserve"> PAGEREF _Toc333644850 \h </w:instrText>
      </w:r>
      <w:r>
        <w:rPr>
          <w:noProof/>
        </w:rPr>
      </w:r>
      <w:r>
        <w:rPr>
          <w:noProof/>
        </w:rPr>
        <w:fldChar w:fldCharType="separate"/>
      </w:r>
      <w:r w:rsidR="00667C25">
        <w:rPr>
          <w:noProof/>
        </w:rPr>
        <w:t>235</w:t>
      </w:r>
      <w:r>
        <w:rPr>
          <w:noProof/>
        </w:rPr>
        <w:fldChar w:fldCharType="end"/>
      </w:r>
    </w:p>
    <w:p w14:paraId="1A9BF909"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5.14.</w:t>
      </w:r>
      <w:r>
        <w:rPr>
          <w:noProof/>
        </w:rPr>
        <w:t xml:space="preserve"> Transcripts involved in mitochondrial function that are dysregulated in IGF1R impaired astrocytes.</w:t>
      </w:r>
      <w:r>
        <w:rPr>
          <w:noProof/>
        </w:rPr>
        <w:tab/>
      </w:r>
      <w:r>
        <w:rPr>
          <w:noProof/>
        </w:rPr>
        <w:fldChar w:fldCharType="begin"/>
      </w:r>
      <w:r>
        <w:rPr>
          <w:noProof/>
        </w:rPr>
        <w:instrText xml:space="preserve"> PAGEREF _Toc333644851 \h </w:instrText>
      </w:r>
      <w:r>
        <w:rPr>
          <w:noProof/>
        </w:rPr>
      </w:r>
      <w:r>
        <w:rPr>
          <w:noProof/>
        </w:rPr>
        <w:fldChar w:fldCharType="separate"/>
      </w:r>
      <w:r w:rsidR="00667C25">
        <w:rPr>
          <w:noProof/>
        </w:rPr>
        <w:t>237</w:t>
      </w:r>
      <w:r>
        <w:rPr>
          <w:noProof/>
        </w:rPr>
        <w:fldChar w:fldCharType="end"/>
      </w:r>
    </w:p>
    <w:p w14:paraId="6CAD7E5F"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5.15.</w:t>
      </w:r>
      <w:r>
        <w:rPr>
          <w:noProof/>
        </w:rPr>
        <w:t xml:space="preserve"> Transcripts involved glycolysis that are dysregulated in IGF1R impaired astrocytes.</w:t>
      </w:r>
      <w:r>
        <w:rPr>
          <w:noProof/>
        </w:rPr>
        <w:tab/>
      </w:r>
      <w:r>
        <w:rPr>
          <w:noProof/>
        </w:rPr>
        <w:fldChar w:fldCharType="begin"/>
      </w:r>
      <w:r>
        <w:rPr>
          <w:noProof/>
        </w:rPr>
        <w:instrText xml:space="preserve"> PAGEREF _Toc333644852 \h </w:instrText>
      </w:r>
      <w:r>
        <w:rPr>
          <w:noProof/>
        </w:rPr>
      </w:r>
      <w:r>
        <w:rPr>
          <w:noProof/>
        </w:rPr>
        <w:fldChar w:fldCharType="separate"/>
      </w:r>
      <w:r w:rsidR="00667C25">
        <w:rPr>
          <w:noProof/>
        </w:rPr>
        <w:t>238</w:t>
      </w:r>
      <w:r>
        <w:rPr>
          <w:noProof/>
        </w:rPr>
        <w:fldChar w:fldCharType="end"/>
      </w:r>
    </w:p>
    <w:p w14:paraId="56D5F3E1"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5.16.</w:t>
      </w:r>
      <w:r>
        <w:rPr>
          <w:noProof/>
        </w:rPr>
        <w:t xml:space="preserve"> Antioxidant-related transcripts dysregulated in IGF1R impaired astrocytes.</w:t>
      </w:r>
      <w:r>
        <w:rPr>
          <w:noProof/>
        </w:rPr>
        <w:tab/>
      </w:r>
      <w:r>
        <w:rPr>
          <w:noProof/>
        </w:rPr>
        <w:fldChar w:fldCharType="begin"/>
      </w:r>
      <w:r>
        <w:rPr>
          <w:noProof/>
        </w:rPr>
        <w:instrText xml:space="preserve"> PAGEREF _Toc333644853 \h </w:instrText>
      </w:r>
      <w:r>
        <w:rPr>
          <w:noProof/>
        </w:rPr>
      </w:r>
      <w:r>
        <w:rPr>
          <w:noProof/>
        </w:rPr>
        <w:fldChar w:fldCharType="separate"/>
      </w:r>
      <w:r w:rsidR="00667C25">
        <w:rPr>
          <w:noProof/>
        </w:rPr>
        <w:t>240</w:t>
      </w:r>
      <w:r>
        <w:rPr>
          <w:noProof/>
        </w:rPr>
        <w:fldChar w:fldCharType="end"/>
      </w:r>
    </w:p>
    <w:p w14:paraId="68F9D1D5"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5.17.</w:t>
      </w:r>
      <w:r>
        <w:rPr>
          <w:noProof/>
        </w:rPr>
        <w:t xml:space="preserve"> Transcripts involved in astrocyte-neuron interactions, neuronal synapse formation and signalling that are dysregulated in IGF1R impaired astrocytes.</w:t>
      </w:r>
      <w:r>
        <w:rPr>
          <w:noProof/>
        </w:rPr>
        <w:tab/>
      </w:r>
      <w:r>
        <w:rPr>
          <w:noProof/>
        </w:rPr>
        <w:fldChar w:fldCharType="begin"/>
      </w:r>
      <w:r>
        <w:rPr>
          <w:noProof/>
        </w:rPr>
        <w:instrText xml:space="preserve"> PAGEREF _Toc333644854 \h </w:instrText>
      </w:r>
      <w:r>
        <w:rPr>
          <w:noProof/>
        </w:rPr>
      </w:r>
      <w:r>
        <w:rPr>
          <w:noProof/>
        </w:rPr>
        <w:fldChar w:fldCharType="separate"/>
      </w:r>
      <w:r w:rsidR="00667C25">
        <w:rPr>
          <w:noProof/>
        </w:rPr>
        <w:t>241</w:t>
      </w:r>
      <w:r>
        <w:rPr>
          <w:noProof/>
        </w:rPr>
        <w:fldChar w:fldCharType="end"/>
      </w:r>
    </w:p>
    <w:p w14:paraId="52F3C313"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5.18.</w:t>
      </w:r>
      <w:r>
        <w:rPr>
          <w:noProof/>
        </w:rPr>
        <w:t xml:space="preserve"> Transcripts involved in an immune-like response differentially regulated in MAB391-treated astrocytes.</w:t>
      </w:r>
      <w:r>
        <w:rPr>
          <w:noProof/>
        </w:rPr>
        <w:tab/>
      </w:r>
      <w:r>
        <w:rPr>
          <w:noProof/>
        </w:rPr>
        <w:fldChar w:fldCharType="begin"/>
      </w:r>
      <w:r>
        <w:rPr>
          <w:noProof/>
        </w:rPr>
        <w:instrText xml:space="preserve"> PAGEREF _Toc333644855 \h </w:instrText>
      </w:r>
      <w:r>
        <w:rPr>
          <w:noProof/>
        </w:rPr>
      </w:r>
      <w:r>
        <w:rPr>
          <w:noProof/>
        </w:rPr>
        <w:fldChar w:fldCharType="separate"/>
      </w:r>
      <w:r w:rsidR="00667C25">
        <w:rPr>
          <w:noProof/>
        </w:rPr>
        <w:t>242</w:t>
      </w:r>
      <w:r>
        <w:rPr>
          <w:noProof/>
        </w:rPr>
        <w:fldChar w:fldCharType="end"/>
      </w:r>
    </w:p>
    <w:p w14:paraId="6C8FA2EA"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5.19</w:t>
      </w:r>
      <w:r>
        <w:rPr>
          <w:noProof/>
        </w:rPr>
        <w:t>. List of genes selected for validation.</w:t>
      </w:r>
      <w:r>
        <w:rPr>
          <w:noProof/>
        </w:rPr>
        <w:tab/>
      </w:r>
      <w:r>
        <w:rPr>
          <w:noProof/>
        </w:rPr>
        <w:fldChar w:fldCharType="begin"/>
      </w:r>
      <w:r>
        <w:rPr>
          <w:noProof/>
        </w:rPr>
        <w:instrText xml:space="preserve"> PAGEREF _Toc333644856 \h </w:instrText>
      </w:r>
      <w:r>
        <w:rPr>
          <w:noProof/>
        </w:rPr>
      </w:r>
      <w:r>
        <w:rPr>
          <w:noProof/>
        </w:rPr>
        <w:fldChar w:fldCharType="separate"/>
      </w:r>
      <w:r w:rsidR="00667C25">
        <w:rPr>
          <w:noProof/>
        </w:rPr>
        <w:t>244</w:t>
      </w:r>
      <w:r>
        <w:rPr>
          <w:noProof/>
        </w:rPr>
        <w:fldChar w:fldCharType="end"/>
      </w:r>
    </w:p>
    <w:p w14:paraId="5D69E43E"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5.20</w:t>
      </w:r>
      <w:r>
        <w:rPr>
          <w:noProof/>
        </w:rPr>
        <w:t>. Amount of astrocytes and neurons collected by FACS</w:t>
      </w:r>
      <w:r>
        <w:rPr>
          <w:noProof/>
        </w:rPr>
        <w:tab/>
      </w:r>
      <w:r>
        <w:rPr>
          <w:noProof/>
        </w:rPr>
        <w:fldChar w:fldCharType="begin"/>
      </w:r>
      <w:r>
        <w:rPr>
          <w:noProof/>
        </w:rPr>
        <w:instrText xml:space="preserve"> PAGEREF _Toc333644857 \h </w:instrText>
      </w:r>
      <w:r>
        <w:rPr>
          <w:noProof/>
        </w:rPr>
      </w:r>
      <w:r>
        <w:rPr>
          <w:noProof/>
        </w:rPr>
        <w:fldChar w:fldCharType="separate"/>
      </w:r>
      <w:r w:rsidR="00667C25">
        <w:rPr>
          <w:noProof/>
        </w:rPr>
        <w:t>245</w:t>
      </w:r>
      <w:r>
        <w:rPr>
          <w:noProof/>
        </w:rPr>
        <w:fldChar w:fldCharType="end"/>
      </w:r>
    </w:p>
    <w:p w14:paraId="4265F477"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5.21</w:t>
      </w:r>
      <w:r>
        <w:rPr>
          <w:noProof/>
        </w:rPr>
        <w:t>. Yield of RNA extracted from control (untreated), IgG- and MAB391-treated astrocytes.</w:t>
      </w:r>
      <w:r>
        <w:rPr>
          <w:noProof/>
        </w:rPr>
        <w:tab/>
      </w:r>
      <w:r>
        <w:rPr>
          <w:noProof/>
        </w:rPr>
        <w:fldChar w:fldCharType="begin"/>
      </w:r>
      <w:r>
        <w:rPr>
          <w:noProof/>
        </w:rPr>
        <w:instrText xml:space="preserve"> PAGEREF _Toc333644858 \h </w:instrText>
      </w:r>
      <w:r>
        <w:rPr>
          <w:noProof/>
        </w:rPr>
      </w:r>
      <w:r>
        <w:rPr>
          <w:noProof/>
        </w:rPr>
        <w:fldChar w:fldCharType="separate"/>
      </w:r>
      <w:r w:rsidR="00667C25">
        <w:rPr>
          <w:noProof/>
        </w:rPr>
        <w:t>245</w:t>
      </w:r>
      <w:r>
        <w:rPr>
          <w:noProof/>
        </w:rPr>
        <w:fldChar w:fldCharType="end"/>
      </w:r>
    </w:p>
    <w:p w14:paraId="5C60602E"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5.22.</w:t>
      </w:r>
      <w:r>
        <w:rPr>
          <w:noProof/>
        </w:rPr>
        <w:t xml:space="preserve"> Yield of cDNA from control (untreated), IgG- and MAB391-treated astrocytes following amplification.</w:t>
      </w:r>
      <w:r>
        <w:rPr>
          <w:noProof/>
        </w:rPr>
        <w:tab/>
      </w:r>
      <w:r>
        <w:rPr>
          <w:noProof/>
        </w:rPr>
        <w:fldChar w:fldCharType="begin"/>
      </w:r>
      <w:r>
        <w:rPr>
          <w:noProof/>
        </w:rPr>
        <w:instrText xml:space="preserve"> PAGEREF _Toc333644859 \h </w:instrText>
      </w:r>
      <w:r>
        <w:rPr>
          <w:noProof/>
        </w:rPr>
      </w:r>
      <w:r>
        <w:rPr>
          <w:noProof/>
        </w:rPr>
        <w:fldChar w:fldCharType="separate"/>
      </w:r>
      <w:r w:rsidR="00667C25">
        <w:rPr>
          <w:noProof/>
        </w:rPr>
        <w:t>245</w:t>
      </w:r>
      <w:r>
        <w:rPr>
          <w:noProof/>
        </w:rPr>
        <w:fldChar w:fldCharType="end"/>
      </w:r>
    </w:p>
    <w:p w14:paraId="7856B493" w14:textId="77777777" w:rsidR="00AE1BBC" w:rsidRDefault="00AE1BBC">
      <w:pPr>
        <w:pStyle w:val="TableofFigures"/>
        <w:tabs>
          <w:tab w:val="right" w:leader="dot" w:pos="8488"/>
        </w:tabs>
        <w:rPr>
          <w:rFonts w:asciiTheme="minorHAnsi" w:hAnsiTheme="minorHAnsi"/>
          <w:i w:val="0"/>
          <w:noProof/>
          <w:szCs w:val="24"/>
          <w:lang w:val="en-GB" w:eastAsia="ja-JP"/>
        </w:rPr>
      </w:pPr>
      <w:r w:rsidRPr="00481141">
        <w:rPr>
          <w:b/>
          <w:noProof/>
        </w:rPr>
        <w:t>Table 5.23.</w:t>
      </w:r>
      <w:r>
        <w:rPr>
          <w:noProof/>
        </w:rPr>
        <w:t xml:space="preserve"> A list of the top ten pathways altered from the 81 genes shared between </w:t>
      </w:r>
      <w:r w:rsidRPr="00EE40A2">
        <w:rPr>
          <w:noProof/>
        </w:rPr>
        <w:t xml:space="preserve">in </w:t>
      </w:r>
      <w:r>
        <w:rPr>
          <w:noProof/>
        </w:rPr>
        <w:t xml:space="preserve">vitro IGF1 signalling impaired astrocytes and an </w:t>
      </w:r>
      <w:r w:rsidRPr="00EE40A2">
        <w:rPr>
          <w:noProof/>
        </w:rPr>
        <w:t xml:space="preserve">in vivo </w:t>
      </w:r>
      <w:r>
        <w:rPr>
          <w:noProof/>
        </w:rPr>
        <w:t>study of astrocytes isolated from the ageing, Alzheimer brain.</w:t>
      </w:r>
      <w:r>
        <w:rPr>
          <w:noProof/>
        </w:rPr>
        <w:tab/>
      </w:r>
      <w:r>
        <w:rPr>
          <w:noProof/>
        </w:rPr>
        <w:fldChar w:fldCharType="begin"/>
      </w:r>
      <w:r>
        <w:rPr>
          <w:noProof/>
        </w:rPr>
        <w:instrText xml:space="preserve"> PAGEREF _Toc333644860 \h </w:instrText>
      </w:r>
      <w:r>
        <w:rPr>
          <w:noProof/>
        </w:rPr>
      </w:r>
      <w:r>
        <w:rPr>
          <w:noProof/>
        </w:rPr>
        <w:fldChar w:fldCharType="separate"/>
      </w:r>
      <w:r w:rsidR="00667C25">
        <w:rPr>
          <w:noProof/>
        </w:rPr>
        <w:t>252</w:t>
      </w:r>
      <w:r>
        <w:rPr>
          <w:noProof/>
        </w:rPr>
        <w:fldChar w:fldCharType="end"/>
      </w:r>
    </w:p>
    <w:p w14:paraId="01C05F6C" w14:textId="77777777" w:rsidR="00E273BF" w:rsidRDefault="00AE1BBC" w:rsidP="00AE1BBC">
      <w:pPr>
        <w:pStyle w:val="TableofFigures"/>
      </w:pPr>
      <w:r>
        <w:fldChar w:fldCharType="end"/>
      </w:r>
    </w:p>
    <w:p w14:paraId="4C196988" w14:textId="77777777" w:rsidR="00E273BF" w:rsidRDefault="00E273BF" w:rsidP="00E273BF"/>
    <w:p w14:paraId="05F26233" w14:textId="77777777" w:rsidR="00E273BF" w:rsidRDefault="00E273BF" w:rsidP="00E273BF"/>
    <w:p w14:paraId="3EADF633" w14:textId="77777777" w:rsidR="00E273BF" w:rsidRDefault="00E273BF" w:rsidP="00E273BF"/>
    <w:p w14:paraId="164901CD" w14:textId="77777777" w:rsidR="00AE1BBC" w:rsidRDefault="00AE1BBC" w:rsidP="00E273BF"/>
    <w:p w14:paraId="09D6CB33" w14:textId="77777777" w:rsidR="00AE1BBC" w:rsidRDefault="00AE1BBC" w:rsidP="00E273BF"/>
    <w:p w14:paraId="103E2013" w14:textId="77777777" w:rsidR="00AE1BBC" w:rsidRDefault="00AE1BBC" w:rsidP="00E273BF"/>
    <w:p w14:paraId="3A612363" w14:textId="77777777" w:rsidR="00AE1BBC" w:rsidRDefault="00AE1BBC" w:rsidP="00E273BF"/>
    <w:p w14:paraId="3B97666E" w14:textId="77777777" w:rsidR="00AE1BBC" w:rsidRDefault="00AE1BBC" w:rsidP="00E273BF"/>
    <w:p w14:paraId="3A415F28" w14:textId="77777777" w:rsidR="00AE1BBC" w:rsidRDefault="00AE1BBC" w:rsidP="00E273BF"/>
    <w:p w14:paraId="78EC4929" w14:textId="77777777" w:rsidR="00AE1BBC" w:rsidRDefault="00AE1BBC" w:rsidP="00E273BF"/>
    <w:p w14:paraId="1BBF9C9D" w14:textId="77777777" w:rsidR="00AE1BBC" w:rsidRDefault="00AE1BBC" w:rsidP="00E273BF"/>
    <w:p w14:paraId="20E7EA1C" w14:textId="77777777" w:rsidR="00AE1BBC" w:rsidRDefault="00AE1BBC" w:rsidP="00E273BF"/>
    <w:p w14:paraId="7C0CFB0D" w14:textId="77777777" w:rsidR="00AE1BBC" w:rsidRDefault="00AE1BBC" w:rsidP="00E273BF"/>
    <w:p w14:paraId="19081B7C" w14:textId="77777777" w:rsidR="00AE1BBC" w:rsidRDefault="00AE1BBC" w:rsidP="00E273BF"/>
    <w:p w14:paraId="67131DF7" w14:textId="77777777" w:rsidR="00AE1BBC" w:rsidRDefault="00AE1BBC" w:rsidP="00E273BF"/>
    <w:p w14:paraId="6371763A" w14:textId="77777777" w:rsidR="00AE1BBC" w:rsidRDefault="00AE1BBC" w:rsidP="00E273BF"/>
    <w:p w14:paraId="12D185AF" w14:textId="77777777" w:rsidR="00AE1BBC" w:rsidRDefault="00AE1BBC" w:rsidP="00E273BF"/>
    <w:p w14:paraId="0B0252A9" w14:textId="77777777" w:rsidR="00AE1BBC" w:rsidRDefault="00AE1BBC" w:rsidP="00E273BF"/>
    <w:p w14:paraId="7329C6D4" w14:textId="77777777" w:rsidR="00AE1BBC" w:rsidRDefault="00AE1BBC" w:rsidP="00E273BF"/>
    <w:p w14:paraId="24BD9E04" w14:textId="77777777" w:rsidR="00AE1BBC" w:rsidRDefault="00AE1BBC" w:rsidP="00E273BF"/>
    <w:p w14:paraId="1963C19E" w14:textId="77777777" w:rsidR="00AE1BBC" w:rsidRDefault="00AE1BBC" w:rsidP="00E273BF"/>
    <w:p w14:paraId="23078CC9" w14:textId="77777777" w:rsidR="00AE1BBC" w:rsidRDefault="00AE1BBC" w:rsidP="00E273BF"/>
    <w:p w14:paraId="73B0D24F" w14:textId="77777777" w:rsidR="00AE1BBC" w:rsidRDefault="00AE1BBC" w:rsidP="00E273BF"/>
    <w:p w14:paraId="618111FD" w14:textId="77777777" w:rsidR="00AE1BBC" w:rsidRDefault="00AE1BBC" w:rsidP="00E273BF"/>
    <w:p w14:paraId="2F9C0954" w14:textId="77777777" w:rsidR="00AE1BBC" w:rsidRDefault="00AE1BBC" w:rsidP="00E273BF"/>
    <w:p w14:paraId="101E9D02" w14:textId="77777777" w:rsidR="00AE1BBC" w:rsidRDefault="00AE1BBC" w:rsidP="00E273BF"/>
    <w:p w14:paraId="0179FFC4" w14:textId="77777777" w:rsidR="00AE1BBC" w:rsidRDefault="00AE1BBC" w:rsidP="00E273BF"/>
    <w:p w14:paraId="4055B1DC" w14:textId="77777777" w:rsidR="00AE1BBC" w:rsidRDefault="00AE1BBC" w:rsidP="00E273BF"/>
    <w:p w14:paraId="32950C7B" w14:textId="77777777" w:rsidR="00AE1BBC" w:rsidRDefault="00AE1BBC" w:rsidP="00E273BF"/>
    <w:p w14:paraId="1B0C9B89" w14:textId="77777777" w:rsidR="00AE1BBC" w:rsidRDefault="00AE1BBC" w:rsidP="00E273BF"/>
    <w:p w14:paraId="4DB789DF" w14:textId="77777777" w:rsidR="00AE1BBC" w:rsidRDefault="00AE1BBC" w:rsidP="00E273BF"/>
    <w:p w14:paraId="15310535" w14:textId="77777777" w:rsidR="00AE1BBC" w:rsidRDefault="00AE1BBC" w:rsidP="00E273BF"/>
    <w:p w14:paraId="14A189E3" w14:textId="77777777" w:rsidR="00AE1BBC" w:rsidRDefault="00AE1BBC" w:rsidP="00E273BF"/>
    <w:p w14:paraId="143395D2" w14:textId="77777777" w:rsidR="00AE1BBC" w:rsidRDefault="00AE1BBC" w:rsidP="00E273BF"/>
    <w:p w14:paraId="1A07504A" w14:textId="77777777" w:rsidR="00AE1BBC" w:rsidRDefault="00AE1BBC" w:rsidP="00E273BF"/>
    <w:p w14:paraId="259FE6CC" w14:textId="77777777" w:rsidR="00AE1BBC" w:rsidRDefault="00AE1BBC" w:rsidP="00E273BF"/>
    <w:p w14:paraId="75F5BE6F" w14:textId="77777777" w:rsidR="00AE1BBC" w:rsidRDefault="00AE1BBC" w:rsidP="00E273BF"/>
    <w:p w14:paraId="0265F7A1" w14:textId="77777777" w:rsidR="00AE1BBC" w:rsidRPr="00E273BF" w:rsidRDefault="00AE1BBC" w:rsidP="00E273BF"/>
    <w:p w14:paraId="7C447A6A" w14:textId="72ABC35C" w:rsidR="000150BC" w:rsidRDefault="000150BC" w:rsidP="00D065D5">
      <w:pPr>
        <w:spacing w:line="360" w:lineRule="auto"/>
        <w:rPr>
          <w:rFonts w:ascii="Times New Roman" w:hAnsi="Times New Roman" w:cs="Times New Roman"/>
          <w:b/>
          <w:sz w:val="36"/>
          <w:szCs w:val="36"/>
        </w:rPr>
      </w:pPr>
      <w:r w:rsidRPr="000150BC">
        <w:rPr>
          <w:rFonts w:ascii="Times New Roman" w:hAnsi="Times New Roman" w:cs="Times New Roman"/>
          <w:b/>
          <w:sz w:val="36"/>
          <w:szCs w:val="36"/>
        </w:rPr>
        <w:t>Publications</w:t>
      </w:r>
      <w:r>
        <w:rPr>
          <w:rFonts w:ascii="Times New Roman" w:hAnsi="Times New Roman" w:cs="Times New Roman"/>
          <w:b/>
          <w:sz w:val="36"/>
          <w:szCs w:val="36"/>
        </w:rPr>
        <w:t xml:space="preserve"> arising from this thesis</w:t>
      </w:r>
    </w:p>
    <w:p w14:paraId="495CFC0A" w14:textId="77777777" w:rsidR="00D065D5" w:rsidRDefault="00D065D5" w:rsidP="00D065D5">
      <w:pPr>
        <w:spacing w:line="360" w:lineRule="auto"/>
        <w:rPr>
          <w:rFonts w:ascii="Times New Roman" w:hAnsi="Times New Roman" w:cs="Times New Roman"/>
          <w:b/>
          <w:sz w:val="36"/>
          <w:szCs w:val="36"/>
        </w:rPr>
      </w:pPr>
    </w:p>
    <w:p w14:paraId="0E6FD0D9" w14:textId="77777777" w:rsidR="000150BC" w:rsidRDefault="000150BC" w:rsidP="00D065D5">
      <w:pPr>
        <w:spacing w:line="360" w:lineRule="auto"/>
        <w:rPr>
          <w:rFonts w:ascii="Times New Roman" w:hAnsi="Times New Roman" w:cs="Times New Roman"/>
          <w:b/>
          <w:sz w:val="36"/>
          <w:szCs w:val="36"/>
        </w:rPr>
      </w:pPr>
    </w:p>
    <w:p w14:paraId="427298E8" w14:textId="31EC9F5F" w:rsidR="000150BC" w:rsidRDefault="000150BC" w:rsidP="00D065D5">
      <w:pPr>
        <w:spacing w:line="360" w:lineRule="auto"/>
        <w:rPr>
          <w:rFonts w:ascii="Times New Roman" w:hAnsi="Times New Roman" w:cs="Times New Roman"/>
        </w:rPr>
      </w:pPr>
      <w:r>
        <w:rPr>
          <w:rFonts w:ascii="Times New Roman" w:hAnsi="Times New Roman" w:cs="Times New Roman"/>
          <w:b/>
        </w:rPr>
        <w:t xml:space="preserve">Ratcliffe L.E., </w:t>
      </w:r>
      <w:r>
        <w:rPr>
          <w:rFonts w:ascii="Times New Roman" w:hAnsi="Times New Roman" w:cs="Times New Roman"/>
        </w:rPr>
        <w:t>Vazquez Villasensor I., Heath P.R, Mortiboys H, Simpson J.E, Ince P.J., Garwood C.J.*Wharton S.B. Loss of IGF1R in human astrocytes alters complex I activity and support for neurons (</w:t>
      </w:r>
      <w:r>
        <w:rPr>
          <w:rFonts w:ascii="Times New Roman" w:hAnsi="Times New Roman" w:cs="Times New Roman"/>
          <w:i/>
        </w:rPr>
        <w:t>in preparation</w:t>
      </w:r>
      <w:r>
        <w:rPr>
          <w:rFonts w:ascii="Times New Roman" w:hAnsi="Times New Roman" w:cs="Times New Roman"/>
        </w:rPr>
        <w:t>).</w:t>
      </w:r>
    </w:p>
    <w:p w14:paraId="699A2773" w14:textId="77777777" w:rsidR="000150BC" w:rsidRDefault="000150BC" w:rsidP="00D065D5">
      <w:pPr>
        <w:spacing w:line="360" w:lineRule="auto"/>
        <w:rPr>
          <w:rFonts w:ascii="Times New Roman" w:hAnsi="Times New Roman" w:cs="Times New Roman"/>
        </w:rPr>
      </w:pPr>
    </w:p>
    <w:p w14:paraId="40E67DD5" w14:textId="7A6CC70A" w:rsidR="000150BC" w:rsidRDefault="000150BC" w:rsidP="00D065D5">
      <w:pPr>
        <w:spacing w:line="360" w:lineRule="auto"/>
        <w:rPr>
          <w:rFonts w:ascii="Times New Roman" w:hAnsi="Times New Roman" w:cs="Times New Roman"/>
          <w:i/>
        </w:rPr>
      </w:pPr>
      <w:r>
        <w:rPr>
          <w:rFonts w:ascii="Times New Roman" w:hAnsi="Times New Roman" w:cs="Times New Roman"/>
        </w:rPr>
        <w:t>Garwood C.J.*</w:t>
      </w:r>
      <w:r>
        <w:rPr>
          <w:rFonts w:ascii="Times New Roman" w:hAnsi="Times New Roman" w:cs="Times New Roman"/>
          <w:b/>
        </w:rPr>
        <w:t>Ratcliffe L.E</w:t>
      </w:r>
      <w:r>
        <w:rPr>
          <w:rFonts w:ascii="Times New Roman" w:hAnsi="Times New Roman" w:cs="Times New Roman"/>
        </w:rPr>
        <w:t>., Simpson JE., Heath P.R., Ince P.J., Wharton S.B</w:t>
      </w:r>
      <w:r w:rsidR="00D065D5">
        <w:rPr>
          <w:rFonts w:ascii="Times New Roman" w:hAnsi="Times New Roman" w:cs="Times New Roman"/>
        </w:rPr>
        <w:t xml:space="preserve"> (2016) Review: Astrocytes in Alzheimer’s disease and other age-associated dementias; a supporting player with a central role. </w:t>
      </w:r>
      <w:r w:rsidR="00D065D5">
        <w:rPr>
          <w:rFonts w:ascii="Times New Roman" w:hAnsi="Times New Roman" w:cs="Times New Roman"/>
          <w:i/>
        </w:rPr>
        <w:t>Neuropathol Appl Neurobiol (in print).</w:t>
      </w:r>
    </w:p>
    <w:p w14:paraId="3697D901" w14:textId="77777777" w:rsidR="00D065D5" w:rsidRDefault="00D065D5" w:rsidP="00D065D5">
      <w:pPr>
        <w:spacing w:line="360" w:lineRule="auto"/>
        <w:rPr>
          <w:rFonts w:ascii="Times New Roman" w:hAnsi="Times New Roman" w:cs="Times New Roman"/>
          <w:i/>
        </w:rPr>
      </w:pPr>
    </w:p>
    <w:p w14:paraId="3A1CB601" w14:textId="3B65034E" w:rsidR="00D065D5" w:rsidRDefault="00D065D5" w:rsidP="00D065D5">
      <w:pPr>
        <w:spacing w:line="360" w:lineRule="auto"/>
        <w:rPr>
          <w:rFonts w:ascii="Times New Roman" w:hAnsi="Times New Roman" w:cs="Times New Roman"/>
        </w:rPr>
      </w:pPr>
      <w:r>
        <w:rPr>
          <w:rFonts w:ascii="Times New Roman" w:hAnsi="Times New Roman" w:cs="Times New Roman"/>
        </w:rPr>
        <w:t xml:space="preserve">Garwood C.J* </w:t>
      </w:r>
      <w:r>
        <w:rPr>
          <w:rFonts w:ascii="Times New Roman" w:hAnsi="Times New Roman" w:cs="Times New Roman"/>
          <w:b/>
        </w:rPr>
        <w:t>Ratcliffe L.E*</w:t>
      </w:r>
      <w:r>
        <w:rPr>
          <w:rFonts w:ascii="Times New Roman" w:hAnsi="Times New Roman" w:cs="Times New Roman"/>
        </w:rPr>
        <w:t xml:space="preserve">., Morgan S.V., Simpson J.E., Owens H., Vazquez-Villasenor I, Heath P.R, Romero I.A., Incle P.G., Wharton S.B. (2015) Insulin and IGF1 signalling pathways in human astrocytes </w:t>
      </w:r>
      <w:r>
        <w:rPr>
          <w:rFonts w:ascii="Times New Roman" w:hAnsi="Times New Roman" w:cs="Times New Roman"/>
          <w:i/>
        </w:rPr>
        <w:t>in vitro</w:t>
      </w:r>
      <w:r>
        <w:rPr>
          <w:rFonts w:ascii="Times New Roman" w:hAnsi="Times New Roman" w:cs="Times New Roman"/>
        </w:rPr>
        <w:t xml:space="preserve"> and </w:t>
      </w:r>
      <w:r>
        <w:rPr>
          <w:rFonts w:ascii="Times New Roman" w:hAnsi="Times New Roman" w:cs="Times New Roman"/>
          <w:i/>
        </w:rPr>
        <w:t>in vivo</w:t>
      </w:r>
      <w:r>
        <w:rPr>
          <w:rFonts w:ascii="Times New Roman" w:hAnsi="Times New Roman" w:cs="Times New Roman"/>
        </w:rPr>
        <w:t xml:space="preserve">; characterisation, subcellular localisation and modulation of the receptors. </w:t>
      </w:r>
      <w:r>
        <w:rPr>
          <w:rFonts w:ascii="Times New Roman" w:hAnsi="Times New Roman" w:cs="Times New Roman"/>
          <w:i/>
        </w:rPr>
        <w:t>Mol Brain.</w:t>
      </w:r>
      <w:r>
        <w:rPr>
          <w:rFonts w:ascii="Times New Roman" w:hAnsi="Times New Roman" w:cs="Times New Roman"/>
        </w:rPr>
        <w:t xml:space="preserve"> 8:51</w:t>
      </w:r>
    </w:p>
    <w:p w14:paraId="5A604C89" w14:textId="2D3C9184" w:rsidR="00D065D5" w:rsidRPr="00D065D5" w:rsidRDefault="00D065D5" w:rsidP="00D065D5">
      <w:pPr>
        <w:spacing w:line="360" w:lineRule="auto"/>
        <w:rPr>
          <w:rFonts w:ascii="Times New Roman" w:hAnsi="Times New Roman" w:cs="Times New Roman"/>
          <w:i/>
        </w:rPr>
      </w:pPr>
      <w:r>
        <w:rPr>
          <w:rFonts w:ascii="Times New Roman" w:hAnsi="Times New Roman" w:cs="Times New Roman"/>
          <w:i/>
        </w:rPr>
        <w:t>*joint authorship</w:t>
      </w:r>
    </w:p>
    <w:p w14:paraId="41AD91FE" w14:textId="77777777" w:rsidR="00D065D5" w:rsidRDefault="00D065D5" w:rsidP="00D065D5"/>
    <w:p w14:paraId="6D9AE8B5" w14:textId="77777777" w:rsidR="006D584E" w:rsidRDefault="006D584E" w:rsidP="00D065D5"/>
    <w:p w14:paraId="6ADE566C" w14:textId="77777777" w:rsidR="006D584E" w:rsidRDefault="006D584E" w:rsidP="00D065D5"/>
    <w:p w14:paraId="6EA65203" w14:textId="77777777" w:rsidR="006D584E" w:rsidRDefault="006D584E" w:rsidP="00D065D5"/>
    <w:p w14:paraId="7DA522C4" w14:textId="77777777" w:rsidR="006D584E" w:rsidRDefault="006D584E" w:rsidP="00D065D5"/>
    <w:p w14:paraId="4333A5C6" w14:textId="77777777" w:rsidR="006D584E" w:rsidRDefault="006D584E" w:rsidP="00D065D5"/>
    <w:p w14:paraId="2F6B7E6A" w14:textId="77777777" w:rsidR="006D584E" w:rsidRDefault="006D584E" w:rsidP="00D065D5"/>
    <w:p w14:paraId="52FE86F1" w14:textId="77777777" w:rsidR="00AE1BBC" w:rsidRDefault="00AE1BBC" w:rsidP="00610704">
      <w:pPr>
        <w:pStyle w:val="Heading1"/>
      </w:pPr>
    </w:p>
    <w:p w14:paraId="098BB14F" w14:textId="77777777" w:rsidR="00AE1BBC" w:rsidRDefault="00AE1BBC" w:rsidP="00AE1BBC"/>
    <w:p w14:paraId="4F1DCA70" w14:textId="77777777" w:rsidR="00AE1BBC" w:rsidRDefault="00AE1BBC" w:rsidP="00AE1BBC"/>
    <w:p w14:paraId="44EC0101" w14:textId="77777777" w:rsidR="00AE1BBC" w:rsidRDefault="00AE1BBC" w:rsidP="00AE1BBC"/>
    <w:p w14:paraId="2CEF66CB" w14:textId="77777777" w:rsidR="00AE1BBC" w:rsidRDefault="00AE1BBC" w:rsidP="00AE1BBC"/>
    <w:p w14:paraId="77475501" w14:textId="77777777" w:rsidR="00AE1BBC" w:rsidRDefault="00AE1BBC" w:rsidP="00AE1BBC"/>
    <w:p w14:paraId="069510B6" w14:textId="77777777" w:rsidR="00AE1BBC" w:rsidRDefault="00AE1BBC" w:rsidP="00AE1BBC"/>
    <w:p w14:paraId="1FAEC7A6" w14:textId="77777777" w:rsidR="00AE1BBC" w:rsidRDefault="00AE1BBC" w:rsidP="00AE1BBC"/>
    <w:p w14:paraId="0F2DE142" w14:textId="77777777" w:rsidR="00AE1BBC" w:rsidRDefault="00AE1BBC" w:rsidP="00AE1BBC"/>
    <w:p w14:paraId="087ACF7C" w14:textId="77777777" w:rsidR="005559F6" w:rsidRDefault="005559F6" w:rsidP="00AE1BBC"/>
    <w:p w14:paraId="06C0E90A" w14:textId="6EE8CF8C" w:rsidR="00610704" w:rsidRDefault="00610704" w:rsidP="00610704">
      <w:pPr>
        <w:pStyle w:val="Heading1"/>
      </w:pPr>
      <w:bookmarkStart w:id="35" w:name="_Toc333644866"/>
      <w:r>
        <w:t>Abbreviations</w:t>
      </w:r>
      <w:bookmarkEnd w:id="26"/>
      <w:bookmarkEnd w:id="27"/>
      <w:bookmarkEnd w:id="28"/>
      <w:bookmarkEnd w:id="30"/>
      <w:bookmarkEnd w:id="31"/>
      <w:bookmarkEnd w:id="32"/>
      <w:bookmarkEnd w:id="33"/>
      <w:bookmarkEnd w:id="34"/>
      <w:bookmarkEnd w:id="35"/>
    </w:p>
    <w:p w14:paraId="78A016B6" w14:textId="77777777" w:rsidR="00651CC1" w:rsidRPr="00B07212" w:rsidRDefault="00651CC1" w:rsidP="00B07212"/>
    <w:p w14:paraId="0ECCEA01" w14:textId="77777777" w:rsidR="00C2382D" w:rsidRDefault="00C2382D" w:rsidP="00C2382D"/>
    <w:tbl>
      <w:tblPr>
        <w:tblW w:w="7562" w:type="dxa"/>
        <w:tblInd w:w="93" w:type="dxa"/>
        <w:tblLook w:val="04A0" w:firstRow="1" w:lastRow="0" w:firstColumn="1" w:lastColumn="0" w:noHBand="0" w:noVBand="1"/>
      </w:tblPr>
      <w:tblGrid>
        <w:gridCol w:w="1390"/>
        <w:gridCol w:w="6262"/>
      </w:tblGrid>
      <w:tr w:rsidR="002A4986" w:rsidRPr="002A4986" w14:paraId="706C7F39" w14:textId="77777777" w:rsidTr="002A4986">
        <w:trPr>
          <w:trHeight w:val="300"/>
        </w:trPr>
        <w:tc>
          <w:tcPr>
            <w:tcW w:w="1300" w:type="dxa"/>
            <w:tcBorders>
              <w:top w:val="nil"/>
              <w:left w:val="nil"/>
              <w:bottom w:val="nil"/>
              <w:right w:val="nil"/>
            </w:tcBorders>
            <w:shd w:val="clear" w:color="auto" w:fill="auto"/>
            <w:noWrap/>
            <w:vAlign w:val="center"/>
            <w:hideMark/>
          </w:tcPr>
          <w:p w14:paraId="18EF1A32"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20-HETE</w:t>
            </w:r>
          </w:p>
        </w:tc>
        <w:tc>
          <w:tcPr>
            <w:tcW w:w="6262" w:type="dxa"/>
            <w:tcBorders>
              <w:top w:val="nil"/>
              <w:left w:val="nil"/>
              <w:bottom w:val="nil"/>
              <w:right w:val="nil"/>
            </w:tcBorders>
            <w:shd w:val="clear" w:color="auto" w:fill="auto"/>
            <w:noWrap/>
            <w:vAlign w:val="center"/>
            <w:hideMark/>
          </w:tcPr>
          <w:p w14:paraId="27CCA1EB"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20-Hydroxyeicosatetaenoic acid</w:t>
            </w:r>
          </w:p>
        </w:tc>
      </w:tr>
      <w:tr w:rsidR="002A4986" w:rsidRPr="002A4986" w14:paraId="024F49D9" w14:textId="77777777" w:rsidTr="002A4986">
        <w:trPr>
          <w:trHeight w:val="300"/>
        </w:trPr>
        <w:tc>
          <w:tcPr>
            <w:tcW w:w="1300" w:type="dxa"/>
            <w:tcBorders>
              <w:top w:val="nil"/>
              <w:left w:val="nil"/>
              <w:bottom w:val="nil"/>
              <w:right w:val="nil"/>
            </w:tcBorders>
            <w:shd w:val="clear" w:color="auto" w:fill="auto"/>
            <w:noWrap/>
            <w:vAlign w:val="center"/>
            <w:hideMark/>
          </w:tcPr>
          <w:p w14:paraId="0D599928"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AACD</w:t>
            </w:r>
          </w:p>
        </w:tc>
        <w:tc>
          <w:tcPr>
            <w:tcW w:w="6262" w:type="dxa"/>
            <w:tcBorders>
              <w:top w:val="nil"/>
              <w:left w:val="nil"/>
              <w:bottom w:val="nil"/>
              <w:right w:val="nil"/>
            </w:tcBorders>
            <w:shd w:val="clear" w:color="auto" w:fill="auto"/>
            <w:noWrap/>
            <w:vAlign w:val="center"/>
            <w:hideMark/>
          </w:tcPr>
          <w:p w14:paraId="4155594A"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Aging-assoicated cognitive decline</w:t>
            </w:r>
          </w:p>
        </w:tc>
      </w:tr>
      <w:tr w:rsidR="002A4986" w:rsidRPr="002A4986" w14:paraId="2912725F" w14:textId="77777777" w:rsidTr="002A4986">
        <w:trPr>
          <w:trHeight w:val="300"/>
        </w:trPr>
        <w:tc>
          <w:tcPr>
            <w:tcW w:w="1300" w:type="dxa"/>
            <w:tcBorders>
              <w:top w:val="nil"/>
              <w:left w:val="nil"/>
              <w:bottom w:val="nil"/>
              <w:right w:val="nil"/>
            </w:tcBorders>
            <w:shd w:val="clear" w:color="auto" w:fill="auto"/>
            <w:noWrap/>
            <w:vAlign w:val="center"/>
            <w:hideMark/>
          </w:tcPr>
          <w:p w14:paraId="36D0B4C4"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ABCC5</w:t>
            </w:r>
          </w:p>
        </w:tc>
        <w:tc>
          <w:tcPr>
            <w:tcW w:w="6262" w:type="dxa"/>
            <w:tcBorders>
              <w:top w:val="nil"/>
              <w:left w:val="nil"/>
              <w:bottom w:val="nil"/>
              <w:right w:val="nil"/>
            </w:tcBorders>
            <w:shd w:val="clear" w:color="auto" w:fill="auto"/>
            <w:noWrap/>
            <w:vAlign w:val="center"/>
            <w:hideMark/>
          </w:tcPr>
          <w:p w14:paraId="7FB3A01D"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ATP binding cassette subfamily C member 5</w:t>
            </w:r>
          </w:p>
        </w:tc>
      </w:tr>
      <w:tr w:rsidR="002A4986" w:rsidRPr="002A4986" w14:paraId="35DA71D7" w14:textId="77777777" w:rsidTr="002A4986">
        <w:trPr>
          <w:trHeight w:val="300"/>
        </w:trPr>
        <w:tc>
          <w:tcPr>
            <w:tcW w:w="1300" w:type="dxa"/>
            <w:tcBorders>
              <w:top w:val="nil"/>
              <w:left w:val="nil"/>
              <w:bottom w:val="nil"/>
              <w:right w:val="nil"/>
            </w:tcBorders>
            <w:shd w:val="clear" w:color="auto" w:fill="auto"/>
            <w:noWrap/>
            <w:vAlign w:val="center"/>
            <w:hideMark/>
          </w:tcPr>
          <w:p w14:paraId="43BA677A"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ACM</w:t>
            </w:r>
          </w:p>
        </w:tc>
        <w:tc>
          <w:tcPr>
            <w:tcW w:w="6262" w:type="dxa"/>
            <w:tcBorders>
              <w:top w:val="nil"/>
              <w:left w:val="nil"/>
              <w:bottom w:val="nil"/>
              <w:right w:val="nil"/>
            </w:tcBorders>
            <w:shd w:val="clear" w:color="auto" w:fill="auto"/>
            <w:noWrap/>
            <w:vAlign w:val="center"/>
            <w:hideMark/>
          </w:tcPr>
          <w:p w14:paraId="6120794D"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Astrocyte conditioned media</w:t>
            </w:r>
          </w:p>
        </w:tc>
      </w:tr>
      <w:tr w:rsidR="002A4986" w:rsidRPr="002A4986" w14:paraId="39D41B63" w14:textId="77777777" w:rsidTr="002A4986">
        <w:trPr>
          <w:trHeight w:val="300"/>
        </w:trPr>
        <w:tc>
          <w:tcPr>
            <w:tcW w:w="1300" w:type="dxa"/>
            <w:tcBorders>
              <w:top w:val="nil"/>
              <w:left w:val="nil"/>
              <w:bottom w:val="nil"/>
              <w:right w:val="nil"/>
            </w:tcBorders>
            <w:shd w:val="clear" w:color="auto" w:fill="auto"/>
            <w:noWrap/>
            <w:vAlign w:val="center"/>
            <w:hideMark/>
          </w:tcPr>
          <w:p w14:paraId="184E0A0B"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AD</w:t>
            </w:r>
          </w:p>
        </w:tc>
        <w:tc>
          <w:tcPr>
            <w:tcW w:w="6262" w:type="dxa"/>
            <w:tcBorders>
              <w:top w:val="nil"/>
              <w:left w:val="nil"/>
              <w:bottom w:val="nil"/>
              <w:right w:val="nil"/>
            </w:tcBorders>
            <w:shd w:val="clear" w:color="auto" w:fill="auto"/>
            <w:noWrap/>
            <w:vAlign w:val="center"/>
            <w:hideMark/>
          </w:tcPr>
          <w:p w14:paraId="04E3FFAC"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Alzheimer’s Disease</w:t>
            </w:r>
          </w:p>
        </w:tc>
      </w:tr>
      <w:tr w:rsidR="002A4986" w:rsidRPr="002A4986" w14:paraId="4F716825" w14:textId="77777777" w:rsidTr="002A4986">
        <w:trPr>
          <w:trHeight w:val="300"/>
        </w:trPr>
        <w:tc>
          <w:tcPr>
            <w:tcW w:w="1300" w:type="dxa"/>
            <w:tcBorders>
              <w:top w:val="nil"/>
              <w:left w:val="nil"/>
              <w:bottom w:val="nil"/>
              <w:right w:val="nil"/>
            </w:tcBorders>
            <w:shd w:val="clear" w:color="auto" w:fill="auto"/>
            <w:noWrap/>
            <w:vAlign w:val="center"/>
            <w:hideMark/>
          </w:tcPr>
          <w:p w14:paraId="192B7DC2"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ADRB1</w:t>
            </w:r>
          </w:p>
        </w:tc>
        <w:tc>
          <w:tcPr>
            <w:tcW w:w="6262" w:type="dxa"/>
            <w:tcBorders>
              <w:top w:val="nil"/>
              <w:left w:val="nil"/>
              <w:bottom w:val="nil"/>
              <w:right w:val="nil"/>
            </w:tcBorders>
            <w:shd w:val="clear" w:color="auto" w:fill="auto"/>
            <w:noWrap/>
            <w:vAlign w:val="center"/>
            <w:hideMark/>
          </w:tcPr>
          <w:p w14:paraId="34843852"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Adrenoceptor beta 1</w:t>
            </w:r>
          </w:p>
        </w:tc>
      </w:tr>
      <w:tr w:rsidR="002A4986" w:rsidRPr="002A4986" w14:paraId="242BF907" w14:textId="77777777" w:rsidTr="002A4986">
        <w:trPr>
          <w:trHeight w:val="300"/>
        </w:trPr>
        <w:tc>
          <w:tcPr>
            <w:tcW w:w="1300" w:type="dxa"/>
            <w:tcBorders>
              <w:top w:val="nil"/>
              <w:left w:val="nil"/>
              <w:bottom w:val="nil"/>
              <w:right w:val="nil"/>
            </w:tcBorders>
            <w:shd w:val="clear" w:color="auto" w:fill="auto"/>
            <w:noWrap/>
            <w:vAlign w:val="center"/>
            <w:hideMark/>
          </w:tcPr>
          <w:p w14:paraId="4CB542C9"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Akt</w:t>
            </w:r>
          </w:p>
        </w:tc>
        <w:tc>
          <w:tcPr>
            <w:tcW w:w="6262" w:type="dxa"/>
            <w:tcBorders>
              <w:top w:val="nil"/>
              <w:left w:val="nil"/>
              <w:bottom w:val="nil"/>
              <w:right w:val="nil"/>
            </w:tcBorders>
            <w:shd w:val="clear" w:color="auto" w:fill="auto"/>
            <w:noWrap/>
            <w:vAlign w:val="center"/>
            <w:hideMark/>
          </w:tcPr>
          <w:p w14:paraId="60CFEFB6"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Protein kinase B</w:t>
            </w:r>
          </w:p>
        </w:tc>
      </w:tr>
      <w:tr w:rsidR="002A4986" w:rsidRPr="002A4986" w14:paraId="27ECC2D0" w14:textId="77777777" w:rsidTr="002A4986">
        <w:trPr>
          <w:trHeight w:val="300"/>
        </w:trPr>
        <w:tc>
          <w:tcPr>
            <w:tcW w:w="1300" w:type="dxa"/>
            <w:tcBorders>
              <w:top w:val="nil"/>
              <w:left w:val="nil"/>
              <w:bottom w:val="nil"/>
              <w:right w:val="nil"/>
            </w:tcBorders>
            <w:shd w:val="clear" w:color="auto" w:fill="auto"/>
            <w:noWrap/>
            <w:vAlign w:val="center"/>
            <w:hideMark/>
          </w:tcPr>
          <w:p w14:paraId="45FD4833"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ALDH1L1</w:t>
            </w:r>
          </w:p>
        </w:tc>
        <w:tc>
          <w:tcPr>
            <w:tcW w:w="6262" w:type="dxa"/>
            <w:tcBorders>
              <w:top w:val="nil"/>
              <w:left w:val="nil"/>
              <w:bottom w:val="nil"/>
              <w:right w:val="nil"/>
            </w:tcBorders>
            <w:shd w:val="clear" w:color="auto" w:fill="auto"/>
            <w:noWrap/>
            <w:vAlign w:val="center"/>
            <w:hideMark/>
          </w:tcPr>
          <w:p w14:paraId="20C7B162"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Aldehyde dehydrogenase 1 family member L1</w:t>
            </w:r>
          </w:p>
        </w:tc>
      </w:tr>
      <w:tr w:rsidR="002A4986" w:rsidRPr="002A4986" w14:paraId="505E9EAF" w14:textId="77777777" w:rsidTr="002A4986">
        <w:trPr>
          <w:trHeight w:val="300"/>
        </w:trPr>
        <w:tc>
          <w:tcPr>
            <w:tcW w:w="1300" w:type="dxa"/>
            <w:tcBorders>
              <w:top w:val="nil"/>
              <w:left w:val="nil"/>
              <w:bottom w:val="nil"/>
              <w:right w:val="nil"/>
            </w:tcBorders>
            <w:shd w:val="clear" w:color="auto" w:fill="auto"/>
            <w:noWrap/>
            <w:vAlign w:val="center"/>
            <w:hideMark/>
          </w:tcPr>
          <w:p w14:paraId="40FA609B"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ALS</w:t>
            </w:r>
          </w:p>
        </w:tc>
        <w:tc>
          <w:tcPr>
            <w:tcW w:w="6262" w:type="dxa"/>
            <w:tcBorders>
              <w:top w:val="nil"/>
              <w:left w:val="nil"/>
              <w:bottom w:val="nil"/>
              <w:right w:val="nil"/>
            </w:tcBorders>
            <w:shd w:val="clear" w:color="auto" w:fill="auto"/>
            <w:noWrap/>
            <w:vAlign w:val="center"/>
            <w:hideMark/>
          </w:tcPr>
          <w:p w14:paraId="6058F93E"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Amyotrophic Lateral Sclerosis</w:t>
            </w:r>
          </w:p>
        </w:tc>
      </w:tr>
      <w:tr w:rsidR="002A4986" w:rsidRPr="002A4986" w14:paraId="7DA820CF" w14:textId="77777777" w:rsidTr="002A4986">
        <w:trPr>
          <w:trHeight w:val="300"/>
        </w:trPr>
        <w:tc>
          <w:tcPr>
            <w:tcW w:w="1300" w:type="dxa"/>
            <w:tcBorders>
              <w:top w:val="nil"/>
              <w:left w:val="nil"/>
              <w:bottom w:val="nil"/>
              <w:right w:val="nil"/>
            </w:tcBorders>
            <w:shd w:val="clear" w:color="auto" w:fill="auto"/>
            <w:noWrap/>
            <w:vAlign w:val="center"/>
            <w:hideMark/>
          </w:tcPr>
          <w:p w14:paraId="58FA6D46"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AM</w:t>
            </w:r>
          </w:p>
        </w:tc>
        <w:tc>
          <w:tcPr>
            <w:tcW w:w="6262" w:type="dxa"/>
            <w:tcBorders>
              <w:top w:val="nil"/>
              <w:left w:val="nil"/>
              <w:bottom w:val="nil"/>
              <w:right w:val="nil"/>
            </w:tcBorders>
            <w:shd w:val="clear" w:color="auto" w:fill="auto"/>
            <w:noWrap/>
            <w:vAlign w:val="center"/>
            <w:hideMark/>
          </w:tcPr>
          <w:p w14:paraId="1A3EFE22"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Astrocyte media</w:t>
            </w:r>
          </w:p>
        </w:tc>
      </w:tr>
      <w:tr w:rsidR="002A4986" w:rsidRPr="002A4986" w14:paraId="4DC39D09" w14:textId="77777777" w:rsidTr="002A4986">
        <w:trPr>
          <w:trHeight w:val="300"/>
        </w:trPr>
        <w:tc>
          <w:tcPr>
            <w:tcW w:w="1300" w:type="dxa"/>
            <w:tcBorders>
              <w:top w:val="nil"/>
              <w:left w:val="nil"/>
              <w:bottom w:val="nil"/>
              <w:right w:val="nil"/>
            </w:tcBorders>
            <w:shd w:val="clear" w:color="auto" w:fill="auto"/>
            <w:noWrap/>
            <w:vAlign w:val="center"/>
            <w:hideMark/>
          </w:tcPr>
          <w:p w14:paraId="35FFA9D3"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ANLS</w:t>
            </w:r>
          </w:p>
        </w:tc>
        <w:tc>
          <w:tcPr>
            <w:tcW w:w="6262" w:type="dxa"/>
            <w:tcBorders>
              <w:top w:val="nil"/>
              <w:left w:val="nil"/>
              <w:bottom w:val="nil"/>
              <w:right w:val="nil"/>
            </w:tcBorders>
            <w:shd w:val="clear" w:color="auto" w:fill="auto"/>
            <w:noWrap/>
            <w:vAlign w:val="center"/>
            <w:hideMark/>
          </w:tcPr>
          <w:p w14:paraId="2C22CA9C"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Astrocyte-neuron lactate shuttle</w:t>
            </w:r>
          </w:p>
        </w:tc>
      </w:tr>
      <w:tr w:rsidR="002A4986" w:rsidRPr="002A4986" w14:paraId="6854D393" w14:textId="77777777" w:rsidTr="002A4986">
        <w:trPr>
          <w:trHeight w:val="300"/>
        </w:trPr>
        <w:tc>
          <w:tcPr>
            <w:tcW w:w="1300" w:type="dxa"/>
            <w:tcBorders>
              <w:top w:val="nil"/>
              <w:left w:val="nil"/>
              <w:bottom w:val="nil"/>
              <w:right w:val="nil"/>
            </w:tcBorders>
            <w:shd w:val="clear" w:color="auto" w:fill="auto"/>
            <w:noWrap/>
            <w:vAlign w:val="center"/>
            <w:hideMark/>
          </w:tcPr>
          <w:p w14:paraId="646C3E5B"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ANOVA</w:t>
            </w:r>
          </w:p>
        </w:tc>
        <w:tc>
          <w:tcPr>
            <w:tcW w:w="6262" w:type="dxa"/>
            <w:tcBorders>
              <w:top w:val="nil"/>
              <w:left w:val="nil"/>
              <w:bottom w:val="nil"/>
              <w:right w:val="nil"/>
            </w:tcBorders>
            <w:shd w:val="clear" w:color="auto" w:fill="auto"/>
            <w:noWrap/>
            <w:vAlign w:val="center"/>
            <w:hideMark/>
          </w:tcPr>
          <w:p w14:paraId="27A10BF7"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Analysis of variance</w:t>
            </w:r>
          </w:p>
        </w:tc>
      </w:tr>
      <w:tr w:rsidR="002A4986" w:rsidRPr="002A4986" w14:paraId="44B8021F" w14:textId="77777777" w:rsidTr="002A4986">
        <w:trPr>
          <w:trHeight w:val="300"/>
        </w:trPr>
        <w:tc>
          <w:tcPr>
            <w:tcW w:w="1300" w:type="dxa"/>
            <w:tcBorders>
              <w:top w:val="nil"/>
              <w:left w:val="nil"/>
              <w:bottom w:val="nil"/>
              <w:right w:val="nil"/>
            </w:tcBorders>
            <w:shd w:val="clear" w:color="auto" w:fill="auto"/>
            <w:noWrap/>
            <w:vAlign w:val="center"/>
            <w:hideMark/>
          </w:tcPr>
          <w:p w14:paraId="1945AE3C"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APE1</w:t>
            </w:r>
          </w:p>
        </w:tc>
        <w:tc>
          <w:tcPr>
            <w:tcW w:w="6262" w:type="dxa"/>
            <w:tcBorders>
              <w:top w:val="nil"/>
              <w:left w:val="nil"/>
              <w:bottom w:val="nil"/>
              <w:right w:val="nil"/>
            </w:tcBorders>
            <w:shd w:val="clear" w:color="auto" w:fill="auto"/>
            <w:noWrap/>
            <w:vAlign w:val="center"/>
            <w:hideMark/>
          </w:tcPr>
          <w:p w14:paraId="2139E2A1"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Apurinic/apyrimidinic endonuclease 1</w:t>
            </w:r>
          </w:p>
        </w:tc>
      </w:tr>
      <w:tr w:rsidR="002A4986" w:rsidRPr="002A4986" w14:paraId="0D731FF9" w14:textId="77777777" w:rsidTr="002A4986">
        <w:trPr>
          <w:trHeight w:val="300"/>
        </w:trPr>
        <w:tc>
          <w:tcPr>
            <w:tcW w:w="1300" w:type="dxa"/>
            <w:tcBorders>
              <w:top w:val="nil"/>
              <w:left w:val="nil"/>
              <w:bottom w:val="nil"/>
              <w:right w:val="nil"/>
            </w:tcBorders>
            <w:shd w:val="clear" w:color="auto" w:fill="auto"/>
            <w:noWrap/>
            <w:vAlign w:val="center"/>
            <w:hideMark/>
          </w:tcPr>
          <w:p w14:paraId="62362B9D"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APP</w:t>
            </w:r>
          </w:p>
        </w:tc>
        <w:tc>
          <w:tcPr>
            <w:tcW w:w="6262" w:type="dxa"/>
            <w:tcBorders>
              <w:top w:val="nil"/>
              <w:left w:val="nil"/>
              <w:bottom w:val="nil"/>
              <w:right w:val="nil"/>
            </w:tcBorders>
            <w:shd w:val="clear" w:color="auto" w:fill="auto"/>
            <w:noWrap/>
            <w:vAlign w:val="center"/>
            <w:hideMark/>
          </w:tcPr>
          <w:p w14:paraId="53340365"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Amyloid precursor protein</w:t>
            </w:r>
          </w:p>
        </w:tc>
      </w:tr>
      <w:tr w:rsidR="002A4986" w:rsidRPr="002A4986" w14:paraId="1D42DEEB" w14:textId="77777777" w:rsidTr="002A4986">
        <w:trPr>
          <w:trHeight w:val="300"/>
        </w:trPr>
        <w:tc>
          <w:tcPr>
            <w:tcW w:w="1300" w:type="dxa"/>
            <w:tcBorders>
              <w:top w:val="nil"/>
              <w:left w:val="nil"/>
              <w:bottom w:val="nil"/>
              <w:right w:val="nil"/>
            </w:tcBorders>
            <w:shd w:val="clear" w:color="auto" w:fill="auto"/>
            <w:noWrap/>
            <w:vAlign w:val="bottom"/>
            <w:hideMark/>
          </w:tcPr>
          <w:p w14:paraId="149E449D"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APS</w:t>
            </w:r>
          </w:p>
        </w:tc>
        <w:tc>
          <w:tcPr>
            <w:tcW w:w="6262" w:type="dxa"/>
            <w:tcBorders>
              <w:top w:val="nil"/>
              <w:left w:val="nil"/>
              <w:bottom w:val="nil"/>
              <w:right w:val="nil"/>
            </w:tcBorders>
            <w:shd w:val="clear" w:color="auto" w:fill="auto"/>
            <w:noWrap/>
            <w:vAlign w:val="bottom"/>
            <w:hideMark/>
          </w:tcPr>
          <w:p w14:paraId="16BAF482"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Ammonium persulphate</w:t>
            </w:r>
          </w:p>
        </w:tc>
      </w:tr>
      <w:tr w:rsidR="002A4986" w:rsidRPr="002A4986" w14:paraId="510B0A2A" w14:textId="77777777" w:rsidTr="002A4986">
        <w:trPr>
          <w:trHeight w:val="300"/>
        </w:trPr>
        <w:tc>
          <w:tcPr>
            <w:tcW w:w="1300" w:type="dxa"/>
            <w:tcBorders>
              <w:top w:val="nil"/>
              <w:left w:val="nil"/>
              <w:bottom w:val="nil"/>
              <w:right w:val="nil"/>
            </w:tcBorders>
            <w:shd w:val="clear" w:color="auto" w:fill="auto"/>
            <w:noWrap/>
            <w:vAlign w:val="center"/>
            <w:hideMark/>
          </w:tcPr>
          <w:p w14:paraId="296E9FFC"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AQP4</w:t>
            </w:r>
          </w:p>
        </w:tc>
        <w:tc>
          <w:tcPr>
            <w:tcW w:w="6262" w:type="dxa"/>
            <w:tcBorders>
              <w:top w:val="nil"/>
              <w:left w:val="nil"/>
              <w:bottom w:val="nil"/>
              <w:right w:val="nil"/>
            </w:tcBorders>
            <w:shd w:val="clear" w:color="auto" w:fill="auto"/>
            <w:noWrap/>
            <w:vAlign w:val="center"/>
            <w:hideMark/>
          </w:tcPr>
          <w:p w14:paraId="13FC4C62"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Aquaporin 4</w:t>
            </w:r>
          </w:p>
        </w:tc>
      </w:tr>
      <w:tr w:rsidR="002A4986" w:rsidRPr="002A4986" w14:paraId="18463501" w14:textId="77777777" w:rsidTr="002A4986">
        <w:trPr>
          <w:trHeight w:val="300"/>
        </w:trPr>
        <w:tc>
          <w:tcPr>
            <w:tcW w:w="1300" w:type="dxa"/>
            <w:tcBorders>
              <w:top w:val="nil"/>
              <w:left w:val="nil"/>
              <w:bottom w:val="nil"/>
              <w:right w:val="nil"/>
            </w:tcBorders>
            <w:shd w:val="clear" w:color="auto" w:fill="auto"/>
            <w:noWrap/>
            <w:vAlign w:val="center"/>
            <w:hideMark/>
          </w:tcPr>
          <w:p w14:paraId="2F91E0CC"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ARE</w:t>
            </w:r>
          </w:p>
        </w:tc>
        <w:tc>
          <w:tcPr>
            <w:tcW w:w="6262" w:type="dxa"/>
            <w:tcBorders>
              <w:top w:val="nil"/>
              <w:left w:val="nil"/>
              <w:bottom w:val="nil"/>
              <w:right w:val="nil"/>
            </w:tcBorders>
            <w:shd w:val="clear" w:color="auto" w:fill="auto"/>
            <w:noWrap/>
            <w:vAlign w:val="center"/>
            <w:hideMark/>
          </w:tcPr>
          <w:p w14:paraId="0A69CF66"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Antioxidant response element</w:t>
            </w:r>
          </w:p>
        </w:tc>
      </w:tr>
      <w:tr w:rsidR="002A4986" w:rsidRPr="002A4986" w14:paraId="2289480F" w14:textId="77777777" w:rsidTr="002A4986">
        <w:trPr>
          <w:trHeight w:val="300"/>
        </w:trPr>
        <w:tc>
          <w:tcPr>
            <w:tcW w:w="1300" w:type="dxa"/>
            <w:tcBorders>
              <w:top w:val="nil"/>
              <w:left w:val="nil"/>
              <w:bottom w:val="nil"/>
              <w:right w:val="nil"/>
            </w:tcBorders>
            <w:shd w:val="clear" w:color="auto" w:fill="auto"/>
            <w:noWrap/>
            <w:vAlign w:val="center"/>
            <w:hideMark/>
          </w:tcPr>
          <w:p w14:paraId="586C1CA3"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 xml:space="preserve">ATP </w:t>
            </w:r>
          </w:p>
        </w:tc>
        <w:tc>
          <w:tcPr>
            <w:tcW w:w="6262" w:type="dxa"/>
            <w:tcBorders>
              <w:top w:val="nil"/>
              <w:left w:val="nil"/>
              <w:bottom w:val="nil"/>
              <w:right w:val="nil"/>
            </w:tcBorders>
            <w:shd w:val="clear" w:color="auto" w:fill="auto"/>
            <w:noWrap/>
            <w:vAlign w:val="center"/>
            <w:hideMark/>
          </w:tcPr>
          <w:p w14:paraId="469378AC"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Adenosine triphosphate</w:t>
            </w:r>
          </w:p>
        </w:tc>
      </w:tr>
      <w:tr w:rsidR="002A4986" w:rsidRPr="002A4986" w14:paraId="3BDEF7CE" w14:textId="77777777" w:rsidTr="002A4986">
        <w:trPr>
          <w:trHeight w:val="300"/>
        </w:trPr>
        <w:tc>
          <w:tcPr>
            <w:tcW w:w="1300" w:type="dxa"/>
            <w:tcBorders>
              <w:top w:val="nil"/>
              <w:left w:val="nil"/>
              <w:bottom w:val="nil"/>
              <w:right w:val="nil"/>
            </w:tcBorders>
            <w:shd w:val="clear" w:color="auto" w:fill="auto"/>
            <w:noWrap/>
            <w:vAlign w:val="center"/>
            <w:hideMark/>
          </w:tcPr>
          <w:p w14:paraId="079E3EAB"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AUC</w:t>
            </w:r>
          </w:p>
        </w:tc>
        <w:tc>
          <w:tcPr>
            <w:tcW w:w="6262" w:type="dxa"/>
            <w:tcBorders>
              <w:top w:val="nil"/>
              <w:left w:val="nil"/>
              <w:bottom w:val="nil"/>
              <w:right w:val="nil"/>
            </w:tcBorders>
            <w:shd w:val="clear" w:color="auto" w:fill="auto"/>
            <w:noWrap/>
            <w:vAlign w:val="center"/>
            <w:hideMark/>
          </w:tcPr>
          <w:p w14:paraId="5CD6EA14"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Area under curve</w:t>
            </w:r>
          </w:p>
        </w:tc>
      </w:tr>
      <w:tr w:rsidR="002A4986" w:rsidRPr="002A4986" w14:paraId="672198C9" w14:textId="77777777" w:rsidTr="002A4986">
        <w:trPr>
          <w:trHeight w:val="300"/>
        </w:trPr>
        <w:tc>
          <w:tcPr>
            <w:tcW w:w="1300" w:type="dxa"/>
            <w:tcBorders>
              <w:top w:val="nil"/>
              <w:left w:val="nil"/>
              <w:bottom w:val="nil"/>
              <w:right w:val="nil"/>
            </w:tcBorders>
            <w:shd w:val="clear" w:color="auto" w:fill="auto"/>
            <w:noWrap/>
            <w:vAlign w:val="center"/>
            <w:hideMark/>
          </w:tcPr>
          <w:p w14:paraId="73D55AF2"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Aβ</w:t>
            </w:r>
          </w:p>
        </w:tc>
        <w:tc>
          <w:tcPr>
            <w:tcW w:w="6262" w:type="dxa"/>
            <w:tcBorders>
              <w:top w:val="nil"/>
              <w:left w:val="nil"/>
              <w:bottom w:val="nil"/>
              <w:right w:val="nil"/>
            </w:tcBorders>
            <w:shd w:val="clear" w:color="auto" w:fill="auto"/>
            <w:noWrap/>
            <w:vAlign w:val="center"/>
            <w:hideMark/>
          </w:tcPr>
          <w:p w14:paraId="5B0EF032"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Amyloid beta</w:t>
            </w:r>
          </w:p>
        </w:tc>
      </w:tr>
      <w:tr w:rsidR="002A4986" w:rsidRPr="002A4986" w14:paraId="13AED90B" w14:textId="77777777" w:rsidTr="002A4986">
        <w:trPr>
          <w:trHeight w:val="300"/>
        </w:trPr>
        <w:tc>
          <w:tcPr>
            <w:tcW w:w="1300" w:type="dxa"/>
            <w:tcBorders>
              <w:top w:val="nil"/>
              <w:left w:val="nil"/>
              <w:bottom w:val="nil"/>
              <w:right w:val="nil"/>
            </w:tcBorders>
            <w:shd w:val="clear" w:color="auto" w:fill="auto"/>
            <w:noWrap/>
            <w:vAlign w:val="center"/>
            <w:hideMark/>
          </w:tcPr>
          <w:p w14:paraId="0EEF4312"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BACE1</w:t>
            </w:r>
          </w:p>
        </w:tc>
        <w:tc>
          <w:tcPr>
            <w:tcW w:w="6262" w:type="dxa"/>
            <w:tcBorders>
              <w:top w:val="nil"/>
              <w:left w:val="nil"/>
              <w:bottom w:val="nil"/>
              <w:right w:val="nil"/>
            </w:tcBorders>
            <w:shd w:val="clear" w:color="auto" w:fill="auto"/>
            <w:noWrap/>
            <w:vAlign w:val="center"/>
            <w:hideMark/>
          </w:tcPr>
          <w:p w14:paraId="0BECBA2C"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Beta-secretase 1</w:t>
            </w:r>
          </w:p>
        </w:tc>
      </w:tr>
      <w:tr w:rsidR="002A4986" w:rsidRPr="002A4986" w14:paraId="234742F2" w14:textId="77777777" w:rsidTr="002A4986">
        <w:trPr>
          <w:trHeight w:val="300"/>
        </w:trPr>
        <w:tc>
          <w:tcPr>
            <w:tcW w:w="1300" w:type="dxa"/>
            <w:tcBorders>
              <w:top w:val="nil"/>
              <w:left w:val="nil"/>
              <w:bottom w:val="nil"/>
              <w:right w:val="nil"/>
            </w:tcBorders>
            <w:shd w:val="clear" w:color="auto" w:fill="auto"/>
            <w:noWrap/>
            <w:vAlign w:val="center"/>
            <w:hideMark/>
          </w:tcPr>
          <w:p w14:paraId="35C9312C"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BCA</w:t>
            </w:r>
          </w:p>
        </w:tc>
        <w:tc>
          <w:tcPr>
            <w:tcW w:w="6262" w:type="dxa"/>
            <w:tcBorders>
              <w:top w:val="nil"/>
              <w:left w:val="nil"/>
              <w:bottom w:val="nil"/>
              <w:right w:val="nil"/>
            </w:tcBorders>
            <w:shd w:val="clear" w:color="auto" w:fill="auto"/>
            <w:noWrap/>
            <w:vAlign w:val="center"/>
            <w:hideMark/>
          </w:tcPr>
          <w:p w14:paraId="027024FA"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Bicinchoninic acid assay</w:t>
            </w:r>
          </w:p>
        </w:tc>
      </w:tr>
      <w:tr w:rsidR="002A4986" w:rsidRPr="002A4986" w14:paraId="67CEB81A" w14:textId="77777777" w:rsidTr="002A4986">
        <w:trPr>
          <w:trHeight w:val="300"/>
        </w:trPr>
        <w:tc>
          <w:tcPr>
            <w:tcW w:w="1300" w:type="dxa"/>
            <w:tcBorders>
              <w:top w:val="nil"/>
              <w:left w:val="nil"/>
              <w:bottom w:val="nil"/>
              <w:right w:val="nil"/>
            </w:tcBorders>
            <w:shd w:val="clear" w:color="auto" w:fill="auto"/>
            <w:noWrap/>
            <w:vAlign w:val="bottom"/>
            <w:hideMark/>
          </w:tcPr>
          <w:p w14:paraId="7FDFF343"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C1/2/3</w:t>
            </w:r>
          </w:p>
        </w:tc>
        <w:tc>
          <w:tcPr>
            <w:tcW w:w="6262" w:type="dxa"/>
            <w:tcBorders>
              <w:top w:val="nil"/>
              <w:left w:val="nil"/>
              <w:bottom w:val="nil"/>
              <w:right w:val="nil"/>
            </w:tcBorders>
            <w:shd w:val="clear" w:color="auto" w:fill="auto"/>
            <w:noWrap/>
            <w:vAlign w:val="bottom"/>
            <w:hideMark/>
          </w:tcPr>
          <w:p w14:paraId="4D844EC5"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Control 1/2/3</w:t>
            </w:r>
          </w:p>
        </w:tc>
      </w:tr>
      <w:tr w:rsidR="002A4986" w:rsidRPr="002A4986" w14:paraId="36634DEF" w14:textId="77777777" w:rsidTr="002A4986">
        <w:trPr>
          <w:trHeight w:val="300"/>
        </w:trPr>
        <w:tc>
          <w:tcPr>
            <w:tcW w:w="1300" w:type="dxa"/>
            <w:tcBorders>
              <w:top w:val="nil"/>
              <w:left w:val="nil"/>
              <w:bottom w:val="nil"/>
              <w:right w:val="nil"/>
            </w:tcBorders>
            <w:shd w:val="clear" w:color="auto" w:fill="auto"/>
            <w:noWrap/>
            <w:vAlign w:val="bottom"/>
            <w:hideMark/>
          </w:tcPr>
          <w:p w14:paraId="0079A3CD"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CAMKII</w:t>
            </w:r>
          </w:p>
        </w:tc>
        <w:tc>
          <w:tcPr>
            <w:tcW w:w="6262" w:type="dxa"/>
            <w:tcBorders>
              <w:top w:val="nil"/>
              <w:left w:val="nil"/>
              <w:bottom w:val="nil"/>
              <w:right w:val="nil"/>
            </w:tcBorders>
            <w:shd w:val="clear" w:color="auto" w:fill="auto"/>
            <w:noWrap/>
            <w:vAlign w:val="bottom"/>
            <w:hideMark/>
          </w:tcPr>
          <w:p w14:paraId="558DA798"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Calcium/calmodulin-dependent protein kinase II</w:t>
            </w:r>
          </w:p>
        </w:tc>
      </w:tr>
      <w:tr w:rsidR="002A4986" w:rsidRPr="002A4986" w14:paraId="186F8E3D" w14:textId="77777777" w:rsidTr="002A4986">
        <w:trPr>
          <w:trHeight w:val="300"/>
        </w:trPr>
        <w:tc>
          <w:tcPr>
            <w:tcW w:w="1300" w:type="dxa"/>
            <w:tcBorders>
              <w:top w:val="nil"/>
              <w:left w:val="nil"/>
              <w:bottom w:val="nil"/>
              <w:right w:val="nil"/>
            </w:tcBorders>
            <w:shd w:val="clear" w:color="auto" w:fill="auto"/>
            <w:noWrap/>
            <w:vAlign w:val="center"/>
            <w:hideMark/>
          </w:tcPr>
          <w:p w14:paraId="1AB1955B"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cAMP</w:t>
            </w:r>
          </w:p>
        </w:tc>
        <w:tc>
          <w:tcPr>
            <w:tcW w:w="6262" w:type="dxa"/>
            <w:tcBorders>
              <w:top w:val="nil"/>
              <w:left w:val="nil"/>
              <w:bottom w:val="nil"/>
              <w:right w:val="nil"/>
            </w:tcBorders>
            <w:shd w:val="clear" w:color="auto" w:fill="auto"/>
            <w:noWrap/>
            <w:vAlign w:val="center"/>
            <w:hideMark/>
          </w:tcPr>
          <w:p w14:paraId="29BB7B22"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Cyclic adenosine monophosphate</w:t>
            </w:r>
          </w:p>
        </w:tc>
      </w:tr>
      <w:tr w:rsidR="002A4986" w:rsidRPr="002A4986" w14:paraId="6B416641" w14:textId="77777777" w:rsidTr="002A4986">
        <w:trPr>
          <w:trHeight w:val="300"/>
        </w:trPr>
        <w:tc>
          <w:tcPr>
            <w:tcW w:w="1300" w:type="dxa"/>
            <w:tcBorders>
              <w:top w:val="nil"/>
              <w:left w:val="nil"/>
              <w:bottom w:val="nil"/>
              <w:right w:val="nil"/>
            </w:tcBorders>
            <w:shd w:val="clear" w:color="auto" w:fill="auto"/>
            <w:noWrap/>
            <w:vAlign w:val="bottom"/>
            <w:hideMark/>
          </w:tcPr>
          <w:p w14:paraId="0AB06732"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CD44</w:t>
            </w:r>
          </w:p>
        </w:tc>
        <w:tc>
          <w:tcPr>
            <w:tcW w:w="6262" w:type="dxa"/>
            <w:tcBorders>
              <w:top w:val="nil"/>
              <w:left w:val="nil"/>
              <w:bottom w:val="nil"/>
              <w:right w:val="nil"/>
            </w:tcBorders>
            <w:shd w:val="clear" w:color="auto" w:fill="auto"/>
            <w:noWrap/>
            <w:vAlign w:val="bottom"/>
            <w:hideMark/>
          </w:tcPr>
          <w:p w14:paraId="2C73A303"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Cluster of differentiation 44</w:t>
            </w:r>
          </w:p>
        </w:tc>
      </w:tr>
      <w:tr w:rsidR="002A4986" w:rsidRPr="002A4986" w14:paraId="68AA6EB1" w14:textId="77777777" w:rsidTr="002A4986">
        <w:trPr>
          <w:trHeight w:val="300"/>
        </w:trPr>
        <w:tc>
          <w:tcPr>
            <w:tcW w:w="1300" w:type="dxa"/>
            <w:tcBorders>
              <w:top w:val="nil"/>
              <w:left w:val="nil"/>
              <w:bottom w:val="nil"/>
              <w:right w:val="nil"/>
            </w:tcBorders>
            <w:shd w:val="clear" w:color="auto" w:fill="auto"/>
            <w:noWrap/>
            <w:vAlign w:val="center"/>
            <w:hideMark/>
          </w:tcPr>
          <w:p w14:paraId="46FCC659"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cDNA</w:t>
            </w:r>
          </w:p>
        </w:tc>
        <w:tc>
          <w:tcPr>
            <w:tcW w:w="6262" w:type="dxa"/>
            <w:tcBorders>
              <w:top w:val="nil"/>
              <w:left w:val="nil"/>
              <w:bottom w:val="nil"/>
              <w:right w:val="nil"/>
            </w:tcBorders>
            <w:shd w:val="clear" w:color="auto" w:fill="auto"/>
            <w:noWrap/>
            <w:vAlign w:val="center"/>
            <w:hideMark/>
          </w:tcPr>
          <w:p w14:paraId="6A520C30"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Complementary DNA</w:t>
            </w:r>
          </w:p>
        </w:tc>
      </w:tr>
      <w:tr w:rsidR="002A4986" w:rsidRPr="002A4986" w14:paraId="3C38BC10" w14:textId="77777777" w:rsidTr="002A4986">
        <w:trPr>
          <w:trHeight w:val="300"/>
        </w:trPr>
        <w:tc>
          <w:tcPr>
            <w:tcW w:w="1300" w:type="dxa"/>
            <w:tcBorders>
              <w:top w:val="nil"/>
              <w:left w:val="nil"/>
              <w:bottom w:val="nil"/>
              <w:right w:val="nil"/>
            </w:tcBorders>
            <w:shd w:val="clear" w:color="auto" w:fill="auto"/>
            <w:noWrap/>
            <w:vAlign w:val="bottom"/>
            <w:hideMark/>
          </w:tcPr>
          <w:p w14:paraId="6D6573A9"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cDNA</w:t>
            </w:r>
          </w:p>
        </w:tc>
        <w:tc>
          <w:tcPr>
            <w:tcW w:w="6262" w:type="dxa"/>
            <w:tcBorders>
              <w:top w:val="nil"/>
              <w:left w:val="nil"/>
              <w:bottom w:val="nil"/>
              <w:right w:val="nil"/>
            </w:tcBorders>
            <w:shd w:val="clear" w:color="auto" w:fill="auto"/>
            <w:noWrap/>
            <w:vAlign w:val="bottom"/>
            <w:hideMark/>
          </w:tcPr>
          <w:p w14:paraId="681301CB"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Complimentary DNA</w:t>
            </w:r>
          </w:p>
        </w:tc>
      </w:tr>
      <w:tr w:rsidR="002A4986" w:rsidRPr="002A4986" w14:paraId="2D4A1D79" w14:textId="77777777" w:rsidTr="002A4986">
        <w:trPr>
          <w:trHeight w:val="300"/>
        </w:trPr>
        <w:tc>
          <w:tcPr>
            <w:tcW w:w="1300" w:type="dxa"/>
            <w:tcBorders>
              <w:top w:val="nil"/>
              <w:left w:val="nil"/>
              <w:bottom w:val="nil"/>
              <w:right w:val="nil"/>
            </w:tcBorders>
            <w:shd w:val="clear" w:color="auto" w:fill="auto"/>
            <w:noWrap/>
            <w:vAlign w:val="center"/>
            <w:hideMark/>
          </w:tcPr>
          <w:p w14:paraId="67937A31"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CEL</w:t>
            </w:r>
          </w:p>
        </w:tc>
        <w:tc>
          <w:tcPr>
            <w:tcW w:w="6262" w:type="dxa"/>
            <w:tcBorders>
              <w:top w:val="nil"/>
              <w:left w:val="nil"/>
              <w:bottom w:val="nil"/>
              <w:right w:val="nil"/>
            </w:tcBorders>
            <w:shd w:val="clear" w:color="auto" w:fill="auto"/>
            <w:noWrap/>
            <w:vAlign w:val="center"/>
            <w:hideMark/>
          </w:tcPr>
          <w:p w14:paraId="1FC3957A"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Affymetrix CEL file</w:t>
            </w:r>
          </w:p>
        </w:tc>
      </w:tr>
      <w:tr w:rsidR="002A4986" w:rsidRPr="002A4986" w14:paraId="08F1FD6A" w14:textId="77777777" w:rsidTr="002A4986">
        <w:trPr>
          <w:trHeight w:val="300"/>
        </w:trPr>
        <w:tc>
          <w:tcPr>
            <w:tcW w:w="1300" w:type="dxa"/>
            <w:tcBorders>
              <w:top w:val="nil"/>
              <w:left w:val="nil"/>
              <w:bottom w:val="nil"/>
              <w:right w:val="nil"/>
            </w:tcBorders>
            <w:shd w:val="clear" w:color="auto" w:fill="auto"/>
            <w:noWrap/>
            <w:vAlign w:val="center"/>
            <w:hideMark/>
          </w:tcPr>
          <w:p w14:paraId="0F596E9F"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cGMP</w:t>
            </w:r>
          </w:p>
        </w:tc>
        <w:tc>
          <w:tcPr>
            <w:tcW w:w="6262" w:type="dxa"/>
            <w:tcBorders>
              <w:top w:val="nil"/>
              <w:left w:val="nil"/>
              <w:bottom w:val="nil"/>
              <w:right w:val="nil"/>
            </w:tcBorders>
            <w:shd w:val="clear" w:color="auto" w:fill="auto"/>
            <w:noWrap/>
            <w:vAlign w:val="center"/>
            <w:hideMark/>
          </w:tcPr>
          <w:p w14:paraId="74F57E0F"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Cyclic guanosine monophosphate</w:t>
            </w:r>
          </w:p>
        </w:tc>
      </w:tr>
      <w:tr w:rsidR="002A4986" w:rsidRPr="002A4986" w14:paraId="1772C373" w14:textId="77777777" w:rsidTr="002A4986">
        <w:trPr>
          <w:trHeight w:val="300"/>
        </w:trPr>
        <w:tc>
          <w:tcPr>
            <w:tcW w:w="1300" w:type="dxa"/>
            <w:tcBorders>
              <w:top w:val="nil"/>
              <w:left w:val="nil"/>
              <w:bottom w:val="nil"/>
              <w:right w:val="nil"/>
            </w:tcBorders>
            <w:shd w:val="clear" w:color="auto" w:fill="auto"/>
            <w:noWrap/>
            <w:vAlign w:val="center"/>
            <w:hideMark/>
          </w:tcPr>
          <w:p w14:paraId="469377A4"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CHAT</w:t>
            </w:r>
          </w:p>
        </w:tc>
        <w:tc>
          <w:tcPr>
            <w:tcW w:w="6262" w:type="dxa"/>
            <w:tcBorders>
              <w:top w:val="nil"/>
              <w:left w:val="nil"/>
              <w:bottom w:val="nil"/>
              <w:right w:val="nil"/>
            </w:tcBorders>
            <w:shd w:val="clear" w:color="auto" w:fill="auto"/>
            <w:noWrap/>
            <w:vAlign w:val="center"/>
            <w:hideMark/>
          </w:tcPr>
          <w:p w14:paraId="2261A7E5"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Choline acetyltransferase</w:t>
            </w:r>
          </w:p>
        </w:tc>
      </w:tr>
      <w:tr w:rsidR="002A4986" w:rsidRPr="002A4986" w14:paraId="194BF779" w14:textId="77777777" w:rsidTr="002A4986">
        <w:trPr>
          <w:trHeight w:val="300"/>
        </w:trPr>
        <w:tc>
          <w:tcPr>
            <w:tcW w:w="1300" w:type="dxa"/>
            <w:tcBorders>
              <w:top w:val="nil"/>
              <w:left w:val="nil"/>
              <w:bottom w:val="nil"/>
              <w:right w:val="nil"/>
            </w:tcBorders>
            <w:shd w:val="clear" w:color="auto" w:fill="auto"/>
            <w:noWrap/>
            <w:vAlign w:val="center"/>
            <w:hideMark/>
          </w:tcPr>
          <w:p w14:paraId="28C0E2A7"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CNR1</w:t>
            </w:r>
          </w:p>
        </w:tc>
        <w:tc>
          <w:tcPr>
            <w:tcW w:w="6262" w:type="dxa"/>
            <w:tcBorders>
              <w:top w:val="nil"/>
              <w:left w:val="nil"/>
              <w:bottom w:val="nil"/>
              <w:right w:val="nil"/>
            </w:tcBorders>
            <w:shd w:val="clear" w:color="auto" w:fill="auto"/>
            <w:noWrap/>
            <w:vAlign w:val="center"/>
            <w:hideMark/>
          </w:tcPr>
          <w:p w14:paraId="0AC3EC46"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Cannabinoid receptor 1</w:t>
            </w:r>
          </w:p>
        </w:tc>
      </w:tr>
      <w:tr w:rsidR="002A4986" w:rsidRPr="002A4986" w14:paraId="19FE48B9" w14:textId="77777777" w:rsidTr="002A4986">
        <w:trPr>
          <w:trHeight w:val="300"/>
        </w:trPr>
        <w:tc>
          <w:tcPr>
            <w:tcW w:w="1300" w:type="dxa"/>
            <w:tcBorders>
              <w:top w:val="nil"/>
              <w:left w:val="nil"/>
              <w:bottom w:val="nil"/>
              <w:right w:val="nil"/>
            </w:tcBorders>
            <w:shd w:val="clear" w:color="auto" w:fill="auto"/>
            <w:noWrap/>
            <w:vAlign w:val="center"/>
            <w:hideMark/>
          </w:tcPr>
          <w:p w14:paraId="12619FB9"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CNS</w:t>
            </w:r>
          </w:p>
        </w:tc>
        <w:tc>
          <w:tcPr>
            <w:tcW w:w="6262" w:type="dxa"/>
            <w:tcBorders>
              <w:top w:val="nil"/>
              <w:left w:val="nil"/>
              <w:bottom w:val="nil"/>
              <w:right w:val="nil"/>
            </w:tcBorders>
            <w:shd w:val="clear" w:color="auto" w:fill="auto"/>
            <w:noWrap/>
            <w:vAlign w:val="center"/>
            <w:hideMark/>
          </w:tcPr>
          <w:p w14:paraId="4639299D"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Central nervous system</w:t>
            </w:r>
          </w:p>
        </w:tc>
      </w:tr>
      <w:tr w:rsidR="002A4986" w:rsidRPr="002A4986" w14:paraId="13AF80AF" w14:textId="77777777" w:rsidTr="002A4986">
        <w:trPr>
          <w:trHeight w:val="340"/>
        </w:trPr>
        <w:tc>
          <w:tcPr>
            <w:tcW w:w="1300" w:type="dxa"/>
            <w:tcBorders>
              <w:top w:val="nil"/>
              <w:left w:val="nil"/>
              <w:bottom w:val="nil"/>
              <w:right w:val="nil"/>
            </w:tcBorders>
            <w:shd w:val="clear" w:color="auto" w:fill="auto"/>
            <w:noWrap/>
            <w:vAlign w:val="center"/>
            <w:hideMark/>
          </w:tcPr>
          <w:p w14:paraId="4B38AF22"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CO</w:t>
            </w:r>
            <w:r w:rsidRPr="002A4986">
              <w:rPr>
                <w:rFonts w:ascii="Times New Roman" w:eastAsia="Times New Roman" w:hAnsi="Times New Roman" w:cs="Times New Roman"/>
                <w:b/>
                <w:bCs/>
                <w:color w:val="000000"/>
                <w:vertAlign w:val="subscript"/>
                <w:lang w:val="en-GB"/>
              </w:rPr>
              <w:t>2</w:t>
            </w:r>
          </w:p>
        </w:tc>
        <w:tc>
          <w:tcPr>
            <w:tcW w:w="6262" w:type="dxa"/>
            <w:tcBorders>
              <w:top w:val="nil"/>
              <w:left w:val="nil"/>
              <w:bottom w:val="nil"/>
              <w:right w:val="nil"/>
            </w:tcBorders>
            <w:shd w:val="clear" w:color="auto" w:fill="auto"/>
            <w:noWrap/>
            <w:vAlign w:val="center"/>
            <w:hideMark/>
          </w:tcPr>
          <w:p w14:paraId="58A38198"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Carbon dioxide</w:t>
            </w:r>
          </w:p>
        </w:tc>
      </w:tr>
      <w:tr w:rsidR="002A4986" w:rsidRPr="002A4986" w14:paraId="60E260FD" w14:textId="77777777" w:rsidTr="002A4986">
        <w:trPr>
          <w:trHeight w:val="300"/>
        </w:trPr>
        <w:tc>
          <w:tcPr>
            <w:tcW w:w="1300" w:type="dxa"/>
            <w:tcBorders>
              <w:top w:val="nil"/>
              <w:left w:val="nil"/>
              <w:bottom w:val="nil"/>
              <w:right w:val="nil"/>
            </w:tcBorders>
            <w:shd w:val="clear" w:color="auto" w:fill="auto"/>
            <w:noWrap/>
            <w:vAlign w:val="center"/>
            <w:hideMark/>
          </w:tcPr>
          <w:p w14:paraId="4EE87298"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cRNA</w:t>
            </w:r>
          </w:p>
        </w:tc>
        <w:tc>
          <w:tcPr>
            <w:tcW w:w="6262" w:type="dxa"/>
            <w:tcBorders>
              <w:top w:val="nil"/>
              <w:left w:val="nil"/>
              <w:bottom w:val="nil"/>
              <w:right w:val="nil"/>
            </w:tcBorders>
            <w:shd w:val="clear" w:color="auto" w:fill="auto"/>
            <w:noWrap/>
            <w:vAlign w:val="center"/>
            <w:hideMark/>
          </w:tcPr>
          <w:p w14:paraId="468113D3"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Complementary RNA</w:t>
            </w:r>
          </w:p>
        </w:tc>
      </w:tr>
      <w:tr w:rsidR="002A4986" w:rsidRPr="002A4986" w14:paraId="7403CD1D" w14:textId="77777777" w:rsidTr="002A4986">
        <w:trPr>
          <w:trHeight w:val="300"/>
        </w:trPr>
        <w:tc>
          <w:tcPr>
            <w:tcW w:w="1300" w:type="dxa"/>
            <w:tcBorders>
              <w:top w:val="nil"/>
              <w:left w:val="nil"/>
              <w:bottom w:val="nil"/>
              <w:right w:val="nil"/>
            </w:tcBorders>
            <w:shd w:val="clear" w:color="auto" w:fill="auto"/>
            <w:noWrap/>
            <w:vAlign w:val="center"/>
            <w:hideMark/>
          </w:tcPr>
          <w:p w14:paraId="67AFB3DB"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CSF</w:t>
            </w:r>
          </w:p>
        </w:tc>
        <w:tc>
          <w:tcPr>
            <w:tcW w:w="6262" w:type="dxa"/>
            <w:tcBorders>
              <w:top w:val="nil"/>
              <w:left w:val="nil"/>
              <w:bottom w:val="nil"/>
              <w:right w:val="nil"/>
            </w:tcBorders>
            <w:shd w:val="clear" w:color="auto" w:fill="auto"/>
            <w:noWrap/>
            <w:vAlign w:val="center"/>
            <w:hideMark/>
          </w:tcPr>
          <w:p w14:paraId="5A93D29E"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Cerebral spinal fluid</w:t>
            </w:r>
          </w:p>
        </w:tc>
      </w:tr>
      <w:tr w:rsidR="002A4986" w:rsidRPr="002A4986" w14:paraId="319C9E83" w14:textId="77777777" w:rsidTr="002A4986">
        <w:trPr>
          <w:trHeight w:val="300"/>
        </w:trPr>
        <w:tc>
          <w:tcPr>
            <w:tcW w:w="1300" w:type="dxa"/>
            <w:tcBorders>
              <w:top w:val="nil"/>
              <w:left w:val="nil"/>
              <w:bottom w:val="nil"/>
              <w:right w:val="nil"/>
            </w:tcBorders>
            <w:shd w:val="clear" w:color="auto" w:fill="auto"/>
            <w:noWrap/>
            <w:vAlign w:val="center"/>
            <w:hideMark/>
          </w:tcPr>
          <w:p w14:paraId="50E0C9F2"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Cx43</w:t>
            </w:r>
          </w:p>
        </w:tc>
        <w:tc>
          <w:tcPr>
            <w:tcW w:w="6262" w:type="dxa"/>
            <w:tcBorders>
              <w:top w:val="nil"/>
              <w:left w:val="nil"/>
              <w:bottom w:val="nil"/>
              <w:right w:val="nil"/>
            </w:tcBorders>
            <w:shd w:val="clear" w:color="auto" w:fill="auto"/>
            <w:noWrap/>
            <w:vAlign w:val="center"/>
            <w:hideMark/>
          </w:tcPr>
          <w:p w14:paraId="5AB01EDB"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Connexin 43</w:t>
            </w:r>
          </w:p>
        </w:tc>
      </w:tr>
      <w:tr w:rsidR="002A4986" w:rsidRPr="002A4986" w14:paraId="00109615" w14:textId="77777777" w:rsidTr="002A4986">
        <w:trPr>
          <w:trHeight w:val="300"/>
        </w:trPr>
        <w:tc>
          <w:tcPr>
            <w:tcW w:w="1300" w:type="dxa"/>
            <w:tcBorders>
              <w:top w:val="nil"/>
              <w:left w:val="nil"/>
              <w:bottom w:val="nil"/>
              <w:right w:val="nil"/>
            </w:tcBorders>
            <w:shd w:val="clear" w:color="auto" w:fill="auto"/>
            <w:noWrap/>
            <w:vAlign w:val="center"/>
            <w:hideMark/>
          </w:tcPr>
          <w:p w14:paraId="6079D118"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DAVID</w:t>
            </w:r>
          </w:p>
        </w:tc>
        <w:tc>
          <w:tcPr>
            <w:tcW w:w="6262" w:type="dxa"/>
            <w:tcBorders>
              <w:top w:val="nil"/>
              <w:left w:val="nil"/>
              <w:bottom w:val="nil"/>
              <w:right w:val="nil"/>
            </w:tcBorders>
            <w:shd w:val="clear" w:color="auto" w:fill="auto"/>
            <w:noWrap/>
            <w:vAlign w:val="center"/>
            <w:hideMark/>
          </w:tcPr>
          <w:p w14:paraId="3C5766D4"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Database for Annotation, Visualisation and Integrated Discovery</w:t>
            </w:r>
          </w:p>
        </w:tc>
      </w:tr>
      <w:tr w:rsidR="002A4986" w:rsidRPr="002A4986" w14:paraId="2F6D83E5" w14:textId="77777777" w:rsidTr="002A4986">
        <w:trPr>
          <w:trHeight w:val="300"/>
        </w:trPr>
        <w:tc>
          <w:tcPr>
            <w:tcW w:w="1300" w:type="dxa"/>
            <w:tcBorders>
              <w:top w:val="nil"/>
              <w:left w:val="nil"/>
              <w:bottom w:val="nil"/>
              <w:right w:val="nil"/>
            </w:tcBorders>
            <w:shd w:val="clear" w:color="auto" w:fill="auto"/>
            <w:noWrap/>
            <w:vAlign w:val="center"/>
            <w:hideMark/>
          </w:tcPr>
          <w:p w14:paraId="175A468C"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DCF</w:t>
            </w:r>
          </w:p>
        </w:tc>
        <w:tc>
          <w:tcPr>
            <w:tcW w:w="6262" w:type="dxa"/>
            <w:tcBorders>
              <w:top w:val="nil"/>
              <w:left w:val="nil"/>
              <w:bottom w:val="nil"/>
              <w:right w:val="nil"/>
            </w:tcBorders>
            <w:shd w:val="clear" w:color="auto" w:fill="auto"/>
            <w:noWrap/>
            <w:vAlign w:val="center"/>
            <w:hideMark/>
          </w:tcPr>
          <w:p w14:paraId="7D51350F"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Dichlorofluorescein</w:t>
            </w:r>
          </w:p>
        </w:tc>
      </w:tr>
      <w:tr w:rsidR="002A4986" w:rsidRPr="002A4986" w14:paraId="2ED1930D" w14:textId="77777777" w:rsidTr="002A4986">
        <w:trPr>
          <w:trHeight w:val="340"/>
        </w:trPr>
        <w:tc>
          <w:tcPr>
            <w:tcW w:w="1300" w:type="dxa"/>
            <w:tcBorders>
              <w:top w:val="nil"/>
              <w:left w:val="nil"/>
              <w:bottom w:val="nil"/>
              <w:right w:val="nil"/>
            </w:tcBorders>
            <w:shd w:val="clear" w:color="auto" w:fill="auto"/>
            <w:noWrap/>
            <w:vAlign w:val="bottom"/>
            <w:hideMark/>
          </w:tcPr>
          <w:p w14:paraId="1769AACE"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DE</w:t>
            </w:r>
          </w:p>
        </w:tc>
        <w:tc>
          <w:tcPr>
            <w:tcW w:w="6262" w:type="dxa"/>
            <w:tcBorders>
              <w:top w:val="nil"/>
              <w:left w:val="nil"/>
              <w:bottom w:val="nil"/>
              <w:right w:val="nil"/>
            </w:tcBorders>
            <w:shd w:val="clear" w:color="auto" w:fill="auto"/>
            <w:noWrap/>
            <w:vAlign w:val="bottom"/>
            <w:hideMark/>
          </w:tcPr>
          <w:p w14:paraId="4BCA66AB"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Differentially expressed</w:t>
            </w:r>
          </w:p>
        </w:tc>
      </w:tr>
      <w:tr w:rsidR="002A4986" w:rsidRPr="002A4986" w14:paraId="725D7169" w14:textId="77777777" w:rsidTr="002A4986">
        <w:trPr>
          <w:trHeight w:val="300"/>
        </w:trPr>
        <w:tc>
          <w:tcPr>
            <w:tcW w:w="1300" w:type="dxa"/>
            <w:tcBorders>
              <w:top w:val="nil"/>
              <w:left w:val="nil"/>
              <w:bottom w:val="nil"/>
              <w:right w:val="nil"/>
            </w:tcBorders>
            <w:shd w:val="clear" w:color="auto" w:fill="auto"/>
            <w:noWrap/>
            <w:vAlign w:val="center"/>
            <w:hideMark/>
          </w:tcPr>
          <w:p w14:paraId="390326E6"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dH</w:t>
            </w:r>
            <w:r w:rsidRPr="002A4986">
              <w:rPr>
                <w:rFonts w:ascii="Times New Roman" w:eastAsia="Times New Roman" w:hAnsi="Times New Roman" w:cs="Times New Roman"/>
                <w:b/>
                <w:bCs/>
                <w:color w:val="000000"/>
                <w:vertAlign w:val="subscript"/>
                <w:lang w:val="en-GB"/>
              </w:rPr>
              <w:t>2</w:t>
            </w:r>
            <w:r w:rsidRPr="002A4986">
              <w:rPr>
                <w:rFonts w:ascii="Times New Roman" w:eastAsia="Times New Roman" w:hAnsi="Times New Roman" w:cs="Times New Roman"/>
                <w:b/>
                <w:bCs/>
                <w:color w:val="000000"/>
                <w:lang w:val="en-GB"/>
              </w:rPr>
              <w:t>O</w:t>
            </w:r>
          </w:p>
        </w:tc>
        <w:tc>
          <w:tcPr>
            <w:tcW w:w="6262" w:type="dxa"/>
            <w:tcBorders>
              <w:top w:val="nil"/>
              <w:left w:val="nil"/>
              <w:bottom w:val="nil"/>
              <w:right w:val="nil"/>
            </w:tcBorders>
            <w:shd w:val="clear" w:color="auto" w:fill="auto"/>
            <w:noWrap/>
            <w:vAlign w:val="center"/>
            <w:hideMark/>
          </w:tcPr>
          <w:p w14:paraId="48F822D7"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Distilled water</w:t>
            </w:r>
          </w:p>
        </w:tc>
      </w:tr>
      <w:tr w:rsidR="002A4986" w:rsidRPr="002A4986" w14:paraId="4F912600" w14:textId="77777777" w:rsidTr="002A4986">
        <w:trPr>
          <w:trHeight w:val="300"/>
        </w:trPr>
        <w:tc>
          <w:tcPr>
            <w:tcW w:w="1300" w:type="dxa"/>
            <w:tcBorders>
              <w:top w:val="nil"/>
              <w:left w:val="nil"/>
              <w:bottom w:val="nil"/>
              <w:right w:val="nil"/>
            </w:tcBorders>
            <w:shd w:val="clear" w:color="auto" w:fill="auto"/>
            <w:noWrap/>
            <w:vAlign w:val="center"/>
            <w:hideMark/>
          </w:tcPr>
          <w:p w14:paraId="05D4CB26"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DMF</w:t>
            </w:r>
          </w:p>
        </w:tc>
        <w:tc>
          <w:tcPr>
            <w:tcW w:w="6262" w:type="dxa"/>
            <w:tcBorders>
              <w:top w:val="nil"/>
              <w:left w:val="nil"/>
              <w:bottom w:val="nil"/>
              <w:right w:val="nil"/>
            </w:tcBorders>
            <w:shd w:val="clear" w:color="auto" w:fill="auto"/>
            <w:noWrap/>
            <w:vAlign w:val="center"/>
            <w:hideMark/>
          </w:tcPr>
          <w:p w14:paraId="4F8229F9"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Dimethylformamide</w:t>
            </w:r>
          </w:p>
        </w:tc>
      </w:tr>
      <w:tr w:rsidR="002A4986" w:rsidRPr="002A4986" w14:paraId="4AECD586" w14:textId="77777777" w:rsidTr="002A4986">
        <w:trPr>
          <w:trHeight w:val="300"/>
        </w:trPr>
        <w:tc>
          <w:tcPr>
            <w:tcW w:w="1300" w:type="dxa"/>
            <w:tcBorders>
              <w:top w:val="nil"/>
              <w:left w:val="nil"/>
              <w:bottom w:val="nil"/>
              <w:right w:val="nil"/>
            </w:tcBorders>
            <w:shd w:val="clear" w:color="auto" w:fill="auto"/>
            <w:noWrap/>
            <w:vAlign w:val="center"/>
            <w:hideMark/>
          </w:tcPr>
          <w:p w14:paraId="0E6BA119"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DMSO</w:t>
            </w:r>
          </w:p>
        </w:tc>
        <w:tc>
          <w:tcPr>
            <w:tcW w:w="6262" w:type="dxa"/>
            <w:tcBorders>
              <w:top w:val="nil"/>
              <w:left w:val="nil"/>
              <w:bottom w:val="nil"/>
              <w:right w:val="nil"/>
            </w:tcBorders>
            <w:shd w:val="clear" w:color="auto" w:fill="auto"/>
            <w:noWrap/>
            <w:vAlign w:val="center"/>
            <w:hideMark/>
          </w:tcPr>
          <w:p w14:paraId="5210006A"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Dimethyl sulfoxide</w:t>
            </w:r>
          </w:p>
        </w:tc>
      </w:tr>
      <w:tr w:rsidR="002A4986" w:rsidRPr="002A4986" w14:paraId="7D76B58A" w14:textId="77777777" w:rsidTr="002A4986">
        <w:trPr>
          <w:trHeight w:val="300"/>
        </w:trPr>
        <w:tc>
          <w:tcPr>
            <w:tcW w:w="1300" w:type="dxa"/>
            <w:tcBorders>
              <w:top w:val="nil"/>
              <w:left w:val="nil"/>
              <w:bottom w:val="nil"/>
              <w:right w:val="nil"/>
            </w:tcBorders>
            <w:shd w:val="clear" w:color="auto" w:fill="auto"/>
            <w:noWrap/>
            <w:vAlign w:val="center"/>
            <w:hideMark/>
          </w:tcPr>
          <w:p w14:paraId="7AC8488C"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DNA</w:t>
            </w:r>
          </w:p>
        </w:tc>
        <w:tc>
          <w:tcPr>
            <w:tcW w:w="6262" w:type="dxa"/>
            <w:tcBorders>
              <w:top w:val="nil"/>
              <w:left w:val="nil"/>
              <w:bottom w:val="nil"/>
              <w:right w:val="nil"/>
            </w:tcBorders>
            <w:shd w:val="clear" w:color="auto" w:fill="auto"/>
            <w:noWrap/>
            <w:vAlign w:val="center"/>
            <w:hideMark/>
          </w:tcPr>
          <w:p w14:paraId="70941F03"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Deoxyribonucleic acid</w:t>
            </w:r>
          </w:p>
        </w:tc>
      </w:tr>
      <w:tr w:rsidR="002A4986" w:rsidRPr="002A4986" w14:paraId="19088ACD" w14:textId="77777777" w:rsidTr="002A4986">
        <w:trPr>
          <w:trHeight w:val="300"/>
        </w:trPr>
        <w:tc>
          <w:tcPr>
            <w:tcW w:w="1300" w:type="dxa"/>
            <w:tcBorders>
              <w:top w:val="nil"/>
              <w:left w:val="nil"/>
              <w:bottom w:val="nil"/>
              <w:right w:val="nil"/>
            </w:tcBorders>
            <w:shd w:val="clear" w:color="auto" w:fill="auto"/>
            <w:noWrap/>
            <w:vAlign w:val="center"/>
            <w:hideMark/>
          </w:tcPr>
          <w:p w14:paraId="4E1F6E49"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DNA-PK</w:t>
            </w:r>
          </w:p>
        </w:tc>
        <w:tc>
          <w:tcPr>
            <w:tcW w:w="6262" w:type="dxa"/>
            <w:tcBorders>
              <w:top w:val="nil"/>
              <w:left w:val="nil"/>
              <w:bottom w:val="nil"/>
              <w:right w:val="nil"/>
            </w:tcBorders>
            <w:shd w:val="clear" w:color="auto" w:fill="auto"/>
            <w:noWrap/>
            <w:vAlign w:val="center"/>
            <w:hideMark/>
          </w:tcPr>
          <w:p w14:paraId="26D6C9CD"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DNA-dependent protein kinase</w:t>
            </w:r>
          </w:p>
        </w:tc>
      </w:tr>
      <w:tr w:rsidR="002A4986" w:rsidRPr="002A4986" w14:paraId="59B65E73" w14:textId="77777777" w:rsidTr="002A4986">
        <w:trPr>
          <w:trHeight w:val="300"/>
        </w:trPr>
        <w:tc>
          <w:tcPr>
            <w:tcW w:w="1300" w:type="dxa"/>
            <w:tcBorders>
              <w:top w:val="nil"/>
              <w:left w:val="nil"/>
              <w:bottom w:val="nil"/>
              <w:right w:val="nil"/>
            </w:tcBorders>
            <w:shd w:val="clear" w:color="auto" w:fill="auto"/>
            <w:noWrap/>
            <w:vAlign w:val="center"/>
            <w:hideMark/>
          </w:tcPr>
          <w:p w14:paraId="77C19F54"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DVL3</w:t>
            </w:r>
          </w:p>
        </w:tc>
        <w:tc>
          <w:tcPr>
            <w:tcW w:w="6262" w:type="dxa"/>
            <w:tcBorders>
              <w:top w:val="nil"/>
              <w:left w:val="nil"/>
              <w:bottom w:val="nil"/>
              <w:right w:val="nil"/>
            </w:tcBorders>
            <w:shd w:val="clear" w:color="auto" w:fill="auto"/>
            <w:noWrap/>
            <w:vAlign w:val="center"/>
            <w:hideMark/>
          </w:tcPr>
          <w:p w14:paraId="5A0A56F2"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Dishevelled 3</w:t>
            </w:r>
          </w:p>
        </w:tc>
      </w:tr>
      <w:tr w:rsidR="002A4986" w:rsidRPr="002A4986" w14:paraId="313A15AC" w14:textId="77777777" w:rsidTr="002A4986">
        <w:trPr>
          <w:trHeight w:val="300"/>
        </w:trPr>
        <w:tc>
          <w:tcPr>
            <w:tcW w:w="1300" w:type="dxa"/>
            <w:tcBorders>
              <w:top w:val="nil"/>
              <w:left w:val="nil"/>
              <w:bottom w:val="nil"/>
              <w:right w:val="nil"/>
            </w:tcBorders>
            <w:shd w:val="clear" w:color="auto" w:fill="auto"/>
            <w:noWrap/>
            <w:vAlign w:val="center"/>
            <w:hideMark/>
          </w:tcPr>
          <w:p w14:paraId="44524821"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 xml:space="preserve">EAAT 1/2 </w:t>
            </w:r>
          </w:p>
        </w:tc>
        <w:tc>
          <w:tcPr>
            <w:tcW w:w="6262" w:type="dxa"/>
            <w:tcBorders>
              <w:top w:val="nil"/>
              <w:left w:val="nil"/>
              <w:bottom w:val="nil"/>
              <w:right w:val="nil"/>
            </w:tcBorders>
            <w:shd w:val="clear" w:color="auto" w:fill="auto"/>
            <w:noWrap/>
            <w:vAlign w:val="center"/>
            <w:hideMark/>
          </w:tcPr>
          <w:p w14:paraId="23A5F87A"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Excitatory amino acid  transporter 1/2</w:t>
            </w:r>
          </w:p>
        </w:tc>
      </w:tr>
      <w:tr w:rsidR="002A4986" w:rsidRPr="002A4986" w14:paraId="5F5ED3A7" w14:textId="77777777" w:rsidTr="002A4986">
        <w:trPr>
          <w:trHeight w:val="300"/>
        </w:trPr>
        <w:tc>
          <w:tcPr>
            <w:tcW w:w="1300" w:type="dxa"/>
            <w:tcBorders>
              <w:top w:val="nil"/>
              <w:left w:val="nil"/>
              <w:bottom w:val="nil"/>
              <w:right w:val="nil"/>
            </w:tcBorders>
            <w:shd w:val="clear" w:color="auto" w:fill="auto"/>
            <w:noWrap/>
            <w:vAlign w:val="center"/>
            <w:hideMark/>
          </w:tcPr>
          <w:p w14:paraId="1C5E278D"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ECL</w:t>
            </w:r>
          </w:p>
        </w:tc>
        <w:tc>
          <w:tcPr>
            <w:tcW w:w="6262" w:type="dxa"/>
            <w:tcBorders>
              <w:top w:val="nil"/>
              <w:left w:val="nil"/>
              <w:bottom w:val="nil"/>
              <w:right w:val="nil"/>
            </w:tcBorders>
            <w:shd w:val="clear" w:color="auto" w:fill="auto"/>
            <w:noWrap/>
            <w:vAlign w:val="center"/>
            <w:hideMark/>
          </w:tcPr>
          <w:p w14:paraId="63200B4F"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Enhanced chmiluminescence</w:t>
            </w:r>
          </w:p>
        </w:tc>
      </w:tr>
      <w:tr w:rsidR="002A4986" w:rsidRPr="002A4986" w14:paraId="08977B08" w14:textId="77777777" w:rsidTr="002A4986">
        <w:trPr>
          <w:trHeight w:val="300"/>
        </w:trPr>
        <w:tc>
          <w:tcPr>
            <w:tcW w:w="1300" w:type="dxa"/>
            <w:tcBorders>
              <w:top w:val="nil"/>
              <w:left w:val="nil"/>
              <w:bottom w:val="nil"/>
              <w:right w:val="nil"/>
            </w:tcBorders>
            <w:shd w:val="clear" w:color="auto" w:fill="auto"/>
            <w:noWrap/>
            <w:vAlign w:val="center"/>
            <w:hideMark/>
          </w:tcPr>
          <w:p w14:paraId="53EA9478"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ECM</w:t>
            </w:r>
          </w:p>
        </w:tc>
        <w:tc>
          <w:tcPr>
            <w:tcW w:w="6262" w:type="dxa"/>
            <w:tcBorders>
              <w:top w:val="nil"/>
              <w:left w:val="nil"/>
              <w:bottom w:val="nil"/>
              <w:right w:val="nil"/>
            </w:tcBorders>
            <w:shd w:val="clear" w:color="auto" w:fill="auto"/>
            <w:noWrap/>
            <w:vAlign w:val="center"/>
            <w:hideMark/>
          </w:tcPr>
          <w:p w14:paraId="694EA186"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Extracellular matrix</w:t>
            </w:r>
          </w:p>
        </w:tc>
      </w:tr>
      <w:tr w:rsidR="002A4986" w:rsidRPr="002A4986" w14:paraId="5276172B" w14:textId="77777777" w:rsidTr="002A4986">
        <w:trPr>
          <w:trHeight w:val="300"/>
        </w:trPr>
        <w:tc>
          <w:tcPr>
            <w:tcW w:w="1300" w:type="dxa"/>
            <w:tcBorders>
              <w:top w:val="nil"/>
              <w:left w:val="nil"/>
              <w:bottom w:val="nil"/>
              <w:right w:val="nil"/>
            </w:tcBorders>
            <w:shd w:val="clear" w:color="auto" w:fill="auto"/>
            <w:noWrap/>
            <w:vAlign w:val="center"/>
            <w:hideMark/>
          </w:tcPr>
          <w:p w14:paraId="3657A438"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EDTA</w:t>
            </w:r>
          </w:p>
        </w:tc>
        <w:tc>
          <w:tcPr>
            <w:tcW w:w="6262" w:type="dxa"/>
            <w:tcBorders>
              <w:top w:val="nil"/>
              <w:left w:val="nil"/>
              <w:bottom w:val="nil"/>
              <w:right w:val="nil"/>
            </w:tcBorders>
            <w:shd w:val="clear" w:color="auto" w:fill="auto"/>
            <w:noWrap/>
            <w:vAlign w:val="center"/>
            <w:hideMark/>
          </w:tcPr>
          <w:p w14:paraId="5B43C8AA"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Ethylenediaminetetraacetic acid</w:t>
            </w:r>
          </w:p>
        </w:tc>
      </w:tr>
      <w:tr w:rsidR="002A4986" w:rsidRPr="002A4986" w14:paraId="67D8F834" w14:textId="77777777" w:rsidTr="002A4986">
        <w:trPr>
          <w:trHeight w:val="300"/>
        </w:trPr>
        <w:tc>
          <w:tcPr>
            <w:tcW w:w="1300" w:type="dxa"/>
            <w:tcBorders>
              <w:top w:val="nil"/>
              <w:left w:val="nil"/>
              <w:bottom w:val="nil"/>
              <w:right w:val="nil"/>
            </w:tcBorders>
            <w:shd w:val="clear" w:color="auto" w:fill="auto"/>
            <w:noWrap/>
            <w:vAlign w:val="center"/>
            <w:hideMark/>
          </w:tcPr>
          <w:p w14:paraId="1763BEAA"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ENO2</w:t>
            </w:r>
          </w:p>
        </w:tc>
        <w:tc>
          <w:tcPr>
            <w:tcW w:w="6262" w:type="dxa"/>
            <w:tcBorders>
              <w:top w:val="nil"/>
              <w:left w:val="nil"/>
              <w:bottom w:val="nil"/>
              <w:right w:val="nil"/>
            </w:tcBorders>
            <w:shd w:val="clear" w:color="auto" w:fill="auto"/>
            <w:noWrap/>
            <w:vAlign w:val="center"/>
            <w:hideMark/>
          </w:tcPr>
          <w:p w14:paraId="689644C4"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Enolase 2</w:t>
            </w:r>
          </w:p>
        </w:tc>
      </w:tr>
      <w:tr w:rsidR="002A4986" w:rsidRPr="002A4986" w14:paraId="26162307" w14:textId="77777777" w:rsidTr="002A4986">
        <w:trPr>
          <w:trHeight w:val="300"/>
        </w:trPr>
        <w:tc>
          <w:tcPr>
            <w:tcW w:w="1300" w:type="dxa"/>
            <w:tcBorders>
              <w:top w:val="nil"/>
              <w:left w:val="nil"/>
              <w:bottom w:val="nil"/>
              <w:right w:val="nil"/>
            </w:tcBorders>
            <w:shd w:val="clear" w:color="auto" w:fill="auto"/>
            <w:noWrap/>
            <w:vAlign w:val="bottom"/>
            <w:hideMark/>
          </w:tcPr>
          <w:p w14:paraId="09B6DD67"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EOAD</w:t>
            </w:r>
          </w:p>
        </w:tc>
        <w:tc>
          <w:tcPr>
            <w:tcW w:w="6262" w:type="dxa"/>
            <w:tcBorders>
              <w:top w:val="nil"/>
              <w:left w:val="nil"/>
              <w:bottom w:val="nil"/>
              <w:right w:val="nil"/>
            </w:tcBorders>
            <w:shd w:val="clear" w:color="auto" w:fill="auto"/>
            <w:noWrap/>
            <w:vAlign w:val="bottom"/>
            <w:hideMark/>
          </w:tcPr>
          <w:p w14:paraId="47586B38"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Early onset Alzheimer's Disease</w:t>
            </w:r>
          </w:p>
        </w:tc>
      </w:tr>
      <w:tr w:rsidR="002A4986" w:rsidRPr="002A4986" w14:paraId="1E65F556" w14:textId="77777777" w:rsidTr="002A4986">
        <w:trPr>
          <w:trHeight w:val="300"/>
        </w:trPr>
        <w:tc>
          <w:tcPr>
            <w:tcW w:w="1300" w:type="dxa"/>
            <w:tcBorders>
              <w:top w:val="nil"/>
              <w:left w:val="nil"/>
              <w:bottom w:val="nil"/>
              <w:right w:val="nil"/>
            </w:tcBorders>
            <w:shd w:val="clear" w:color="auto" w:fill="auto"/>
            <w:noWrap/>
            <w:vAlign w:val="center"/>
            <w:hideMark/>
          </w:tcPr>
          <w:p w14:paraId="3A4A9BA9"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ERK</w:t>
            </w:r>
          </w:p>
        </w:tc>
        <w:tc>
          <w:tcPr>
            <w:tcW w:w="6262" w:type="dxa"/>
            <w:tcBorders>
              <w:top w:val="nil"/>
              <w:left w:val="nil"/>
              <w:bottom w:val="nil"/>
              <w:right w:val="nil"/>
            </w:tcBorders>
            <w:shd w:val="clear" w:color="auto" w:fill="auto"/>
            <w:noWrap/>
            <w:vAlign w:val="center"/>
            <w:hideMark/>
          </w:tcPr>
          <w:p w14:paraId="5B426D3F"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Extracellular signal-regulated kinase</w:t>
            </w:r>
          </w:p>
        </w:tc>
      </w:tr>
      <w:tr w:rsidR="002A4986" w:rsidRPr="002A4986" w14:paraId="796F9DE1" w14:textId="77777777" w:rsidTr="002A4986">
        <w:trPr>
          <w:trHeight w:val="300"/>
        </w:trPr>
        <w:tc>
          <w:tcPr>
            <w:tcW w:w="1300" w:type="dxa"/>
            <w:tcBorders>
              <w:top w:val="nil"/>
              <w:left w:val="nil"/>
              <w:bottom w:val="nil"/>
              <w:right w:val="nil"/>
            </w:tcBorders>
            <w:shd w:val="clear" w:color="auto" w:fill="auto"/>
            <w:noWrap/>
            <w:vAlign w:val="center"/>
            <w:hideMark/>
          </w:tcPr>
          <w:p w14:paraId="4881A9DA"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FACS</w:t>
            </w:r>
          </w:p>
        </w:tc>
        <w:tc>
          <w:tcPr>
            <w:tcW w:w="6262" w:type="dxa"/>
            <w:tcBorders>
              <w:top w:val="nil"/>
              <w:left w:val="nil"/>
              <w:bottom w:val="nil"/>
              <w:right w:val="nil"/>
            </w:tcBorders>
            <w:shd w:val="clear" w:color="auto" w:fill="auto"/>
            <w:noWrap/>
            <w:vAlign w:val="center"/>
            <w:hideMark/>
          </w:tcPr>
          <w:p w14:paraId="315DE038"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Fluorescence-activated cell sorting</w:t>
            </w:r>
          </w:p>
        </w:tc>
      </w:tr>
      <w:tr w:rsidR="002A4986" w:rsidRPr="002A4986" w14:paraId="70818972" w14:textId="77777777" w:rsidTr="002A4986">
        <w:trPr>
          <w:trHeight w:val="300"/>
        </w:trPr>
        <w:tc>
          <w:tcPr>
            <w:tcW w:w="1300" w:type="dxa"/>
            <w:tcBorders>
              <w:top w:val="nil"/>
              <w:left w:val="nil"/>
              <w:bottom w:val="nil"/>
              <w:right w:val="nil"/>
            </w:tcBorders>
            <w:shd w:val="clear" w:color="auto" w:fill="auto"/>
            <w:noWrap/>
            <w:vAlign w:val="center"/>
            <w:hideMark/>
          </w:tcPr>
          <w:p w14:paraId="4A08C343"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FBS</w:t>
            </w:r>
          </w:p>
        </w:tc>
        <w:tc>
          <w:tcPr>
            <w:tcW w:w="6262" w:type="dxa"/>
            <w:tcBorders>
              <w:top w:val="nil"/>
              <w:left w:val="nil"/>
              <w:bottom w:val="nil"/>
              <w:right w:val="nil"/>
            </w:tcBorders>
            <w:shd w:val="clear" w:color="auto" w:fill="auto"/>
            <w:noWrap/>
            <w:vAlign w:val="center"/>
            <w:hideMark/>
          </w:tcPr>
          <w:p w14:paraId="4D37CB5D"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Fetal bovine serum</w:t>
            </w:r>
          </w:p>
        </w:tc>
      </w:tr>
      <w:tr w:rsidR="002A4986" w:rsidRPr="002A4986" w14:paraId="7B9C38D3" w14:textId="77777777" w:rsidTr="002A4986">
        <w:trPr>
          <w:trHeight w:val="300"/>
        </w:trPr>
        <w:tc>
          <w:tcPr>
            <w:tcW w:w="1300" w:type="dxa"/>
            <w:tcBorders>
              <w:top w:val="nil"/>
              <w:left w:val="nil"/>
              <w:bottom w:val="nil"/>
              <w:right w:val="nil"/>
            </w:tcBorders>
            <w:shd w:val="clear" w:color="auto" w:fill="auto"/>
            <w:noWrap/>
            <w:vAlign w:val="center"/>
            <w:hideMark/>
          </w:tcPr>
          <w:p w14:paraId="3482D260"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FCG1RB</w:t>
            </w:r>
          </w:p>
        </w:tc>
        <w:tc>
          <w:tcPr>
            <w:tcW w:w="6262" w:type="dxa"/>
            <w:tcBorders>
              <w:top w:val="nil"/>
              <w:left w:val="nil"/>
              <w:bottom w:val="nil"/>
              <w:right w:val="nil"/>
            </w:tcBorders>
            <w:shd w:val="clear" w:color="auto" w:fill="auto"/>
            <w:noWrap/>
            <w:vAlign w:val="center"/>
            <w:hideMark/>
          </w:tcPr>
          <w:p w14:paraId="19CD7F60"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Fc receptor fragment B</w:t>
            </w:r>
          </w:p>
        </w:tc>
      </w:tr>
      <w:tr w:rsidR="002A4986" w:rsidRPr="002A4986" w14:paraId="332358CF" w14:textId="77777777" w:rsidTr="002A4986">
        <w:trPr>
          <w:trHeight w:val="300"/>
        </w:trPr>
        <w:tc>
          <w:tcPr>
            <w:tcW w:w="1300" w:type="dxa"/>
            <w:tcBorders>
              <w:top w:val="nil"/>
              <w:left w:val="nil"/>
              <w:bottom w:val="nil"/>
              <w:right w:val="nil"/>
            </w:tcBorders>
            <w:shd w:val="clear" w:color="auto" w:fill="auto"/>
            <w:noWrap/>
            <w:vAlign w:val="center"/>
            <w:hideMark/>
          </w:tcPr>
          <w:p w14:paraId="333CE446"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FGF</w:t>
            </w:r>
          </w:p>
        </w:tc>
        <w:tc>
          <w:tcPr>
            <w:tcW w:w="6262" w:type="dxa"/>
            <w:tcBorders>
              <w:top w:val="nil"/>
              <w:left w:val="nil"/>
              <w:bottom w:val="nil"/>
              <w:right w:val="nil"/>
            </w:tcBorders>
            <w:shd w:val="clear" w:color="auto" w:fill="auto"/>
            <w:noWrap/>
            <w:vAlign w:val="center"/>
            <w:hideMark/>
          </w:tcPr>
          <w:p w14:paraId="420E2161"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Fibroblast growth factor</w:t>
            </w:r>
          </w:p>
        </w:tc>
      </w:tr>
      <w:tr w:rsidR="002A4986" w:rsidRPr="002A4986" w14:paraId="597F5852" w14:textId="77777777" w:rsidTr="002A4986">
        <w:trPr>
          <w:trHeight w:val="300"/>
        </w:trPr>
        <w:tc>
          <w:tcPr>
            <w:tcW w:w="1300" w:type="dxa"/>
            <w:tcBorders>
              <w:top w:val="nil"/>
              <w:left w:val="nil"/>
              <w:bottom w:val="nil"/>
              <w:right w:val="nil"/>
            </w:tcBorders>
            <w:shd w:val="clear" w:color="auto" w:fill="auto"/>
            <w:noWrap/>
            <w:vAlign w:val="center"/>
            <w:hideMark/>
          </w:tcPr>
          <w:p w14:paraId="6E12DD7B"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FITC</w:t>
            </w:r>
          </w:p>
        </w:tc>
        <w:tc>
          <w:tcPr>
            <w:tcW w:w="6262" w:type="dxa"/>
            <w:tcBorders>
              <w:top w:val="nil"/>
              <w:left w:val="nil"/>
              <w:bottom w:val="nil"/>
              <w:right w:val="nil"/>
            </w:tcBorders>
            <w:shd w:val="clear" w:color="auto" w:fill="auto"/>
            <w:noWrap/>
            <w:vAlign w:val="center"/>
            <w:hideMark/>
          </w:tcPr>
          <w:p w14:paraId="64C7A12E"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Fluorescein isothiocyanate</w:t>
            </w:r>
          </w:p>
        </w:tc>
      </w:tr>
      <w:tr w:rsidR="002A4986" w:rsidRPr="002A4986" w14:paraId="1FDEDB38" w14:textId="77777777" w:rsidTr="002A4986">
        <w:trPr>
          <w:trHeight w:val="300"/>
        </w:trPr>
        <w:tc>
          <w:tcPr>
            <w:tcW w:w="1300" w:type="dxa"/>
            <w:tcBorders>
              <w:top w:val="nil"/>
              <w:left w:val="nil"/>
              <w:bottom w:val="nil"/>
              <w:right w:val="nil"/>
            </w:tcBorders>
            <w:shd w:val="clear" w:color="auto" w:fill="auto"/>
            <w:noWrap/>
            <w:vAlign w:val="center"/>
            <w:hideMark/>
          </w:tcPr>
          <w:p w14:paraId="056C303D"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FOXO</w:t>
            </w:r>
          </w:p>
        </w:tc>
        <w:tc>
          <w:tcPr>
            <w:tcW w:w="6262" w:type="dxa"/>
            <w:tcBorders>
              <w:top w:val="nil"/>
              <w:left w:val="nil"/>
              <w:bottom w:val="nil"/>
              <w:right w:val="nil"/>
            </w:tcBorders>
            <w:shd w:val="clear" w:color="auto" w:fill="auto"/>
            <w:noWrap/>
            <w:vAlign w:val="center"/>
            <w:hideMark/>
          </w:tcPr>
          <w:p w14:paraId="22833D99"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Forkhead box O</w:t>
            </w:r>
          </w:p>
        </w:tc>
      </w:tr>
      <w:tr w:rsidR="002A4986" w:rsidRPr="002A4986" w14:paraId="3503A454" w14:textId="77777777" w:rsidTr="002A4986">
        <w:trPr>
          <w:trHeight w:val="300"/>
        </w:trPr>
        <w:tc>
          <w:tcPr>
            <w:tcW w:w="1300" w:type="dxa"/>
            <w:tcBorders>
              <w:top w:val="nil"/>
              <w:left w:val="nil"/>
              <w:bottom w:val="nil"/>
              <w:right w:val="nil"/>
            </w:tcBorders>
            <w:shd w:val="clear" w:color="auto" w:fill="auto"/>
            <w:noWrap/>
            <w:vAlign w:val="center"/>
            <w:hideMark/>
          </w:tcPr>
          <w:p w14:paraId="438CB581"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FSC</w:t>
            </w:r>
          </w:p>
        </w:tc>
        <w:tc>
          <w:tcPr>
            <w:tcW w:w="6262" w:type="dxa"/>
            <w:tcBorders>
              <w:top w:val="nil"/>
              <w:left w:val="nil"/>
              <w:bottom w:val="nil"/>
              <w:right w:val="nil"/>
            </w:tcBorders>
            <w:shd w:val="clear" w:color="auto" w:fill="auto"/>
            <w:noWrap/>
            <w:vAlign w:val="center"/>
            <w:hideMark/>
          </w:tcPr>
          <w:p w14:paraId="081BFE9E"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Forward scatter</w:t>
            </w:r>
          </w:p>
        </w:tc>
      </w:tr>
      <w:tr w:rsidR="002A4986" w:rsidRPr="002A4986" w14:paraId="541BD715" w14:textId="77777777" w:rsidTr="002A4986">
        <w:trPr>
          <w:trHeight w:val="300"/>
        </w:trPr>
        <w:tc>
          <w:tcPr>
            <w:tcW w:w="1300" w:type="dxa"/>
            <w:tcBorders>
              <w:top w:val="nil"/>
              <w:left w:val="nil"/>
              <w:bottom w:val="nil"/>
              <w:right w:val="nil"/>
            </w:tcBorders>
            <w:shd w:val="clear" w:color="auto" w:fill="auto"/>
            <w:noWrap/>
            <w:vAlign w:val="center"/>
            <w:hideMark/>
          </w:tcPr>
          <w:p w14:paraId="67C3F571"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GABRB1</w:t>
            </w:r>
          </w:p>
        </w:tc>
        <w:tc>
          <w:tcPr>
            <w:tcW w:w="6262" w:type="dxa"/>
            <w:tcBorders>
              <w:top w:val="nil"/>
              <w:left w:val="nil"/>
              <w:bottom w:val="nil"/>
              <w:right w:val="nil"/>
            </w:tcBorders>
            <w:shd w:val="clear" w:color="auto" w:fill="auto"/>
            <w:noWrap/>
            <w:vAlign w:val="center"/>
            <w:hideMark/>
          </w:tcPr>
          <w:p w14:paraId="63ABE277"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Gamma-aminobutyric acid type A receptor Beta 1 subunit</w:t>
            </w:r>
          </w:p>
        </w:tc>
      </w:tr>
      <w:tr w:rsidR="002A4986" w:rsidRPr="002A4986" w14:paraId="2A62CEDF" w14:textId="77777777" w:rsidTr="002A4986">
        <w:trPr>
          <w:trHeight w:val="300"/>
        </w:trPr>
        <w:tc>
          <w:tcPr>
            <w:tcW w:w="1300" w:type="dxa"/>
            <w:tcBorders>
              <w:top w:val="nil"/>
              <w:left w:val="nil"/>
              <w:bottom w:val="nil"/>
              <w:right w:val="nil"/>
            </w:tcBorders>
            <w:shd w:val="clear" w:color="auto" w:fill="auto"/>
            <w:noWrap/>
            <w:vAlign w:val="center"/>
            <w:hideMark/>
          </w:tcPr>
          <w:p w14:paraId="4B171107"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GAG</w:t>
            </w:r>
          </w:p>
        </w:tc>
        <w:tc>
          <w:tcPr>
            <w:tcW w:w="6262" w:type="dxa"/>
            <w:tcBorders>
              <w:top w:val="nil"/>
              <w:left w:val="nil"/>
              <w:bottom w:val="nil"/>
              <w:right w:val="nil"/>
            </w:tcBorders>
            <w:shd w:val="clear" w:color="auto" w:fill="auto"/>
            <w:noWrap/>
            <w:vAlign w:val="center"/>
            <w:hideMark/>
          </w:tcPr>
          <w:p w14:paraId="4EF50F8F"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Glycosaminoglycan</w:t>
            </w:r>
          </w:p>
        </w:tc>
      </w:tr>
      <w:tr w:rsidR="002A4986" w:rsidRPr="002A4986" w14:paraId="2C6AA7E3" w14:textId="77777777" w:rsidTr="002A4986">
        <w:trPr>
          <w:trHeight w:val="300"/>
        </w:trPr>
        <w:tc>
          <w:tcPr>
            <w:tcW w:w="1300" w:type="dxa"/>
            <w:tcBorders>
              <w:top w:val="nil"/>
              <w:left w:val="nil"/>
              <w:bottom w:val="nil"/>
              <w:right w:val="nil"/>
            </w:tcBorders>
            <w:shd w:val="clear" w:color="auto" w:fill="auto"/>
            <w:noWrap/>
            <w:vAlign w:val="bottom"/>
            <w:hideMark/>
          </w:tcPr>
          <w:p w14:paraId="2BA70666"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GAP43</w:t>
            </w:r>
          </w:p>
        </w:tc>
        <w:tc>
          <w:tcPr>
            <w:tcW w:w="6262" w:type="dxa"/>
            <w:tcBorders>
              <w:top w:val="nil"/>
              <w:left w:val="nil"/>
              <w:bottom w:val="nil"/>
              <w:right w:val="nil"/>
            </w:tcBorders>
            <w:shd w:val="clear" w:color="auto" w:fill="auto"/>
            <w:noWrap/>
            <w:vAlign w:val="bottom"/>
            <w:hideMark/>
          </w:tcPr>
          <w:p w14:paraId="41AD322C"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Growth associated protein 43</w:t>
            </w:r>
          </w:p>
        </w:tc>
      </w:tr>
      <w:tr w:rsidR="002A4986" w:rsidRPr="002A4986" w14:paraId="63E68F5D" w14:textId="77777777" w:rsidTr="002A4986">
        <w:trPr>
          <w:trHeight w:val="300"/>
        </w:trPr>
        <w:tc>
          <w:tcPr>
            <w:tcW w:w="1300" w:type="dxa"/>
            <w:tcBorders>
              <w:top w:val="nil"/>
              <w:left w:val="nil"/>
              <w:bottom w:val="nil"/>
              <w:right w:val="nil"/>
            </w:tcBorders>
            <w:shd w:val="clear" w:color="auto" w:fill="auto"/>
            <w:noWrap/>
            <w:vAlign w:val="center"/>
            <w:hideMark/>
          </w:tcPr>
          <w:p w14:paraId="12B78A81"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GAPDH</w:t>
            </w:r>
          </w:p>
        </w:tc>
        <w:tc>
          <w:tcPr>
            <w:tcW w:w="6262" w:type="dxa"/>
            <w:tcBorders>
              <w:top w:val="nil"/>
              <w:left w:val="nil"/>
              <w:bottom w:val="nil"/>
              <w:right w:val="nil"/>
            </w:tcBorders>
            <w:shd w:val="clear" w:color="auto" w:fill="auto"/>
            <w:noWrap/>
            <w:vAlign w:val="center"/>
            <w:hideMark/>
          </w:tcPr>
          <w:p w14:paraId="264944F1"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Glyceraldehyde 3-phosphate dehydrogenase</w:t>
            </w:r>
          </w:p>
        </w:tc>
      </w:tr>
      <w:tr w:rsidR="002A4986" w:rsidRPr="002A4986" w14:paraId="218388B9" w14:textId="77777777" w:rsidTr="002A4986">
        <w:trPr>
          <w:trHeight w:val="300"/>
        </w:trPr>
        <w:tc>
          <w:tcPr>
            <w:tcW w:w="1300" w:type="dxa"/>
            <w:tcBorders>
              <w:top w:val="nil"/>
              <w:left w:val="nil"/>
              <w:bottom w:val="nil"/>
              <w:right w:val="nil"/>
            </w:tcBorders>
            <w:shd w:val="clear" w:color="auto" w:fill="auto"/>
            <w:noWrap/>
            <w:vAlign w:val="bottom"/>
            <w:hideMark/>
          </w:tcPr>
          <w:p w14:paraId="1F16DD5F"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GDNF</w:t>
            </w:r>
          </w:p>
        </w:tc>
        <w:tc>
          <w:tcPr>
            <w:tcW w:w="6262" w:type="dxa"/>
            <w:tcBorders>
              <w:top w:val="nil"/>
              <w:left w:val="nil"/>
              <w:bottom w:val="nil"/>
              <w:right w:val="nil"/>
            </w:tcBorders>
            <w:shd w:val="clear" w:color="auto" w:fill="auto"/>
            <w:noWrap/>
            <w:vAlign w:val="bottom"/>
            <w:hideMark/>
          </w:tcPr>
          <w:p w14:paraId="4B373F48"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Glial-derived neurotrophic factor</w:t>
            </w:r>
          </w:p>
        </w:tc>
      </w:tr>
      <w:tr w:rsidR="002A4986" w:rsidRPr="002A4986" w14:paraId="433E4B3F" w14:textId="77777777" w:rsidTr="002A4986">
        <w:trPr>
          <w:trHeight w:val="300"/>
        </w:trPr>
        <w:tc>
          <w:tcPr>
            <w:tcW w:w="1300" w:type="dxa"/>
            <w:tcBorders>
              <w:top w:val="nil"/>
              <w:left w:val="nil"/>
              <w:bottom w:val="nil"/>
              <w:right w:val="nil"/>
            </w:tcBorders>
            <w:shd w:val="clear" w:color="auto" w:fill="auto"/>
            <w:noWrap/>
            <w:vAlign w:val="center"/>
            <w:hideMark/>
          </w:tcPr>
          <w:p w14:paraId="4E20D355"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GFAP</w:t>
            </w:r>
          </w:p>
        </w:tc>
        <w:tc>
          <w:tcPr>
            <w:tcW w:w="6262" w:type="dxa"/>
            <w:tcBorders>
              <w:top w:val="nil"/>
              <w:left w:val="nil"/>
              <w:bottom w:val="nil"/>
              <w:right w:val="nil"/>
            </w:tcBorders>
            <w:shd w:val="clear" w:color="auto" w:fill="auto"/>
            <w:noWrap/>
            <w:vAlign w:val="center"/>
            <w:hideMark/>
          </w:tcPr>
          <w:p w14:paraId="5C585193"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Glial fibrillary acidic protein</w:t>
            </w:r>
          </w:p>
        </w:tc>
      </w:tr>
      <w:tr w:rsidR="002A4986" w:rsidRPr="002A4986" w14:paraId="34B2AAB4" w14:textId="77777777" w:rsidTr="002A4986">
        <w:trPr>
          <w:trHeight w:val="300"/>
        </w:trPr>
        <w:tc>
          <w:tcPr>
            <w:tcW w:w="1300" w:type="dxa"/>
            <w:tcBorders>
              <w:top w:val="nil"/>
              <w:left w:val="nil"/>
              <w:bottom w:val="nil"/>
              <w:right w:val="nil"/>
            </w:tcBorders>
            <w:shd w:val="clear" w:color="auto" w:fill="auto"/>
            <w:noWrap/>
            <w:vAlign w:val="center"/>
            <w:hideMark/>
          </w:tcPr>
          <w:p w14:paraId="47D9775E"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GFP</w:t>
            </w:r>
          </w:p>
        </w:tc>
        <w:tc>
          <w:tcPr>
            <w:tcW w:w="6262" w:type="dxa"/>
            <w:tcBorders>
              <w:top w:val="nil"/>
              <w:left w:val="nil"/>
              <w:bottom w:val="nil"/>
              <w:right w:val="nil"/>
            </w:tcBorders>
            <w:shd w:val="clear" w:color="auto" w:fill="auto"/>
            <w:noWrap/>
            <w:vAlign w:val="center"/>
            <w:hideMark/>
          </w:tcPr>
          <w:p w14:paraId="7CC535EC"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Green fluorescent protein</w:t>
            </w:r>
          </w:p>
        </w:tc>
      </w:tr>
      <w:tr w:rsidR="002A4986" w:rsidRPr="002A4986" w14:paraId="2F730620" w14:textId="77777777" w:rsidTr="002A4986">
        <w:trPr>
          <w:trHeight w:val="300"/>
        </w:trPr>
        <w:tc>
          <w:tcPr>
            <w:tcW w:w="1300" w:type="dxa"/>
            <w:tcBorders>
              <w:top w:val="nil"/>
              <w:left w:val="nil"/>
              <w:bottom w:val="nil"/>
              <w:right w:val="nil"/>
            </w:tcBorders>
            <w:shd w:val="clear" w:color="auto" w:fill="auto"/>
            <w:noWrap/>
            <w:vAlign w:val="center"/>
            <w:hideMark/>
          </w:tcPr>
          <w:p w14:paraId="454B7A8E"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GGT1</w:t>
            </w:r>
          </w:p>
        </w:tc>
        <w:tc>
          <w:tcPr>
            <w:tcW w:w="6262" w:type="dxa"/>
            <w:tcBorders>
              <w:top w:val="nil"/>
              <w:left w:val="nil"/>
              <w:bottom w:val="nil"/>
              <w:right w:val="nil"/>
            </w:tcBorders>
            <w:shd w:val="clear" w:color="auto" w:fill="auto"/>
            <w:noWrap/>
            <w:vAlign w:val="center"/>
            <w:hideMark/>
          </w:tcPr>
          <w:p w14:paraId="7BA97824"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Gamma-glutamyltransferase 1</w:t>
            </w:r>
          </w:p>
        </w:tc>
      </w:tr>
      <w:tr w:rsidR="002A4986" w:rsidRPr="002A4986" w14:paraId="2F17CFD3" w14:textId="77777777" w:rsidTr="002A4986">
        <w:trPr>
          <w:trHeight w:val="300"/>
        </w:trPr>
        <w:tc>
          <w:tcPr>
            <w:tcW w:w="1300" w:type="dxa"/>
            <w:tcBorders>
              <w:top w:val="nil"/>
              <w:left w:val="nil"/>
              <w:bottom w:val="nil"/>
              <w:right w:val="nil"/>
            </w:tcBorders>
            <w:shd w:val="clear" w:color="auto" w:fill="auto"/>
            <w:noWrap/>
            <w:vAlign w:val="center"/>
            <w:hideMark/>
          </w:tcPr>
          <w:p w14:paraId="6ABEB5A4"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GLAST</w:t>
            </w:r>
          </w:p>
        </w:tc>
        <w:tc>
          <w:tcPr>
            <w:tcW w:w="6262" w:type="dxa"/>
            <w:tcBorders>
              <w:top w:val="nil"/>
              <w:left w:val="nil"/>
              <w:bottom w:val="nil"/>
              <w:right w:val="nil"/>
            </w:tcBorders>
            <w:shd w:val="clear" w:color="auto" w:fill="auto"/>
            <w:noWrap/>
            <w:vAlign w:val="center"/>
            <w:hideMark/>
          </w:tcPr>
          <w:p w14:paraId="314B4160"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Glutamate aspartate transporter</w:t>
            </w:r>
          </w:p>
        </w:tc>
      </w:tr>
      <w:tr w:rsidR="002A4986" w:rsidRPr="002A4986" w14:paraId="36371969" w14:textId="77777777" w:rsidTr="002A4986">
        <w:trPr>
          <w:trHeight w:val="300"/>
        </w:trPr>
        <w:tc>
          <w:tcPr>
            <w:tcW w:w="1300" w:type="dxa"/>
            <w:tcBorders>
              <w:top w:val="nil"/>
              <w:left w:val="nil"/>
              <w:bottom w:val="nil"/>
              <w:right w:val="nil"/>
            </w:tcBorders>
            <w:shd w:val="clear" w:color="auto" w:fill="auto"/>
            <w:noWrap/>
            <w:vAlign w:val="center"/>
            <w:hideMark/>
          </w:tcPr>
          <w:p w14:paraId="3F8CA439"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GLP1</w:t>
            </w:r>
          </w:p>
        </w:tc>
        <w:tc>
          <w:tcPr>
            <w:tcW w:w="6262" w:type="dxa"/>
            <w:tcBorders>
              <w:top w:val="nil"/>
              <w:left w:val="nil"/>
              <w:bottom w:val="nil"/>
              <w:right w:val="nil"/>
            </w:tcBorders>
            <w:shd w:val="clear" w:color="auto" w:fill="auto"/>
            <w:noWrap/>
            <w:vAlign w:val="center"/>
            <w:hideMark/>
          </w:tcPr>
          <w:p w14:paraId="1184FEFE"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Glucagon-like peptide 1</w:t>
            </w:r>
          </w:p>
        </w:tc>
      </w:tr>
      <w:tr w:rsidR="002A4986" w:rsidRPr="002A4986" w14:paraId="1F6BE6E1" w14:textId="77777777" w:rsidTr="002A4986">
        <w:trPr>
          <w:trHeight w:val="300"/>
        </w:trPr>
        <w:tc>
          <w:tcPr>
            <w:tcW w:w="1300" w:type="dxa"/>
            <w:tcBorders>
              <w:top w:val="nil"/>
              <w:left w:val="nil"/>
              <w:bottom w:val="nil"/>
              <w:right w:val="nil"/>
            </w:tcBorders>
            <w:shd w:val="clear" w:color="auto" w:fill="auto"/>
            <w:noWrap/>
            <w:vAlign w:val="center"/>
            <w:hideMark/>
          </w:tcPr>
          <w:p w14:paraId="7AD6A164"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GLRX3</w:t>
            </w:r>
          </w:p>
        </w:tc>
        <w:tc>
          <w:tcPr>
            <w:tcW w:w="6262" w:type="dxa"/>
            <w:tcBorders>
              <w:top w:val="nil"/>
              <w:left w:val="nil"/>
              <w:bottom w:val="nil"/>
              <w:right w:val="nil"/>
            </w:tcBorders>
            <w:shd w:val="clear" w:color="auto" w:fill="auto"/>
            <w:noWrap/>
            <w:vAlign w:val="center"/>
            <w:hideMark/>
          </w:tcPr>
          <w:p w14:paraId="16FA67C6"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Glutaredoxin 3</w:t>
            </w:r>
          </w:p>
        </w:tc>
      </w:tr>
      <w:tr w:rsidR="002A4986" w:rsidRPr="002A4986" w14:paraId="42687CAF" w14:textId="77777777" w:rsidTr="002A4986">
        <w:trPr>
          <w:trHeight w:val="300"/>
        </w:trPr>
        <w:tc>
          <w:tcPr>
            <w:tcW w:w="1300" w:type="dxa"/>
            <w:tcBorders>
              <w:top w:val="nil"/>
              <w:left w:val="nil"/>
              <w:bottom w:val="nil"/>
              <w:right w:val="nil"/>
            </w:tcBorders>
            <w:shd w:val="clear" w:color="auto" w:fill="auto"/>
            <w:noWrap/>
            <w:vAlign w:val="center"/>
            <w:hideMark/>
          </w:tcPr>
          <w:p w14:paraId="09851850"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GLT1</w:t>
            </w:r>
          </w:p>
        </w:tc>
        <w:tc>
          <w:tcPr>
            <w:tcW w:w="6262" w:type="dxa"/>
            <w:tcBorders>
              <w:top w:val="nil"/>
              <w:left w:val="nil"/>
              <w:bottom w:val="nil"/>
              <w:right w:val="nil"/>
            </w:tcBorders>
            <w:shd w:val="clear" w:color="auto" w:fill="auto"/>
            <w:noWrap/>
            <w:vAlign w:val="center"/>
            <w:hideMark/>
          </w:tcPr>
          <w:p w14:paraId="52026EFB"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Glutamate transporter 1</w:t>
            </w:r>
          </w:p>
        </w:tc>
      </w:tr>
      <w:tr w:rsidR="002A4986" w:rsidRPr="002A4986" w14:paraId="0CA38719" w14:textId="77777777" w:rsidTr="002A4986">
        <w:trPr>
          <w:trHeight w:val="300"/>
        </w:trPr>
        <w:tc>
          <w:tcPr>
            <w:tcW w:w="1300" w:type="dxa"/>
            <w:tcBorders>
              <w:top w:val="nil"/>
              <w:left w:val="nil"/>
              <w:bottom w:val="nil"/>
              <w:right w:val="nil"/>
            </w:tcBorders>
            <w:shd w:val="clear" w:color="auto" w:fill="auto"/>
            <w:noWrap/>
            <w:vAlign w:val="center"/>
            <w:hideMark/>
          </w:tcPr>
          <w:p w14:paraId="3D8415D3"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GLUT1/2/3</w:t>
            </w:r>
          </w:p>
        </w:tc>
        <w:tc>
          <w:tcPr>
            <w:tcW w:w="6262" w:type="dxa"/>
            <w:tcBorders>
              <w:top w:val="nil"/>
              <w:left w:val="nil"/>
              <w:bottom w:val="nil"/>
              <w:right w:val="nil"/>
            </w:tcBorders>
            <w:shd w:val="clear" w:color="auto" w:fill="auto"/>
            <w:noWrap/>
            <w:vAlign w:val="center"/>
            <w:hideMark/>
          </w:tcPr>
          <w:p w14:paraId="0F4607BD"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Glucose transporter 1/2/3</w:t>
            </w:r>
          </w:p>
        </w:tc>
      </w:tr>
      <w:tr w:rsidR="002A4986" w:rsidRPr="002A4986" w14:paraId="68A96E30" w14:textId="77777777" w:rsidTr="002A4986">
        <w:trPr>
          <w:trHeight w:val="300"/>
        </w:trPr>
        <w:tc>
          <w:tcPr>
            <w:tcW w:w="1300" w:type="dxa"/>
            <w:tcBorders>
              <w:top w:val="nil"/>
              <w:left w:val="nil"/>
              <w:bottom w:val="nil"/>
              <w:right w:val="nil"/>
            </w:tcBorders>
            <w:shd w:val="clear" w:color="auto" w:fill="auto"/>
            <w:noWrap/>
            <w:vAlign w:val="center"/>
            <w:hideMark/>
          </w:tcPr>
          <w:p w14:paraId="78828EB7"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GPCR</w:t>
            </w:r>
          </w:p>
        </w:tc>
        <w:tc>
          <w:tcPr>
            <w:tcW w:w="6262" w:type="dxa"/>
            <w:tcBorders>
              <w:top w:val="nil"/>
              <w:left w:val="nil"/>
              <w:bottom w:val="nil"/>
              <w:right w:val="nil"/>
            </w:tcBorders>
            <w:shd w:val="clear" w:color="auto" w:fill="auto"/>
            <w:noWrap/>
            <w:vAlign w:val="center"/>
            <w:hideMark/>
          </w:tcPr>
          <w:p w14:paraId="43A9EB01"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G-protein coupled receptor</w:t>
            </w:r>
          </w:p>
        </w:tc>
      </w:tr>
      <w:tr w:rsidR="002A4986" w:rsidRPr="002A4986" w14:paraId="2F57602C" w14:textId="77777777" w:rsidTr="002A4986">
        <w:trPr>
          <w:trHeight w:val="300"/>
        </w:trPr>
        <w:tc>
          <w:tcPr>
            <w:tcW w:w="1300" w:type="dxa"/>
            <w:tcBorders>
              <w:top w:val="nil"/>
              <w:left w:val="nil"/>
              <w:bottom w:val="nil"/>
              <w:right w:val="nil"/>
            </w:tcBorders>
            <w:shd w:val="clear" w:color="auto" w:fill="auto"/>
            <w:noWrap/>
            <w:vAlign w:val="center"/>
            <w:hideMark/>
          </w:tcPr>
          <w:p w14:paraId="46F505B2"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GRM6</w:t>
            </w:r>
          </w:p>
        </w:tc>
        <w:tc>
          <w:tcPr>
            <w:tcW w:w="6262" w:type="dxa"/>
            <w:tcBorders>
              <w:top w:val="nil"/>
              <w:left w:val="nil"/>
              <w:bottom w:val="nil"/>
              <w:right w:val="nil"/>
            </w:tcBorders>
            <w:shd w:val="clear" w:color="auto" w:fill="auto"/>
            <w:noWrap/>
            <w:vAlign w:val="center"/>
            <w:hideMark/>
          </w:tcPr>
          <w:p w14:paraId="40E86AD6"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Glutamate metabotropic receptor 6</w:t>
            </w:r>
          </w:p>
        </w:tc>
      </w:tr>
      <w:tr w:rsidR="002A4986" w:rsidRPr="002A4986" w14:paraId="0FF1B338" w14:textId="77777777" w:rsidTr="002A4986">
        <w:trPr>
          <w:trHeight w:val="300"/>
        </w:trPr>
        <w:tc>
          <w:tcPr>
            <w:tcW w:w="1300" w:type="dxa"/>
            <w:tcBorders>
              <w:top w:val="nil"/>
              <w:left w:val="nil"/>
              <w:bottom w:val="nil"/>
              <w:right w:val="nil"/>
            </w:tcBorders>
            <w:shd w:val="clear" w:color="auto" w:fill="auto"/>
            <w:noWrap/>
            <w:vAlign w:val="center"/>
            <w:hideMark/>
          </w:tcPr>
          <w:p w14:paraId="461135F3"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GS</w:t>
            </w:r>
          </w:p>
        </w:tc>
        <w:tc>
          <w:tcPr>
            <w:tcW w:w="6262" w:type="dxa"/>
            <w:tcBorders>
              <w:top w:val="nil"/>
              <w:left w:val="nil"/>
              <w:bottom w:val="nil"/>
              <w:right w:val="nil"/>
            </w:tcBorders>
            <w:shd w:val="clear" w:color="auto" w:fill="auto"/>
            <w:noWrap/>
            <w:vAlign w:val="center"/>
            <w:hideMark/>
          </w:tcPr>
          <w:p w14:paraId="1D4F8D70"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Glutamine synthetase</w:t>
            </w:r>
          </w:p>
        </w:tc>
      </w:tr>
      <w:tr w:rsidR="002A4986" w:rsidRPr="002A4986" w14:paraId="6F4C7025" w14:textId="77777777" w:rsidTr="002A4986">
        <w:trPr>
          <w:trHeight w:val="300"/>
        </w:trPr>
        <w:tc>
          <w:tcPr>
            <w:tcW w:w="1300" w:type="dxa"/>
            <w:tcBorders>
              <w:top w:val="nil"/>
              <w:left w:val="nil"/>
              <w:bottom w:val="nil"/>
              <w:right w:val="nil"/>
            </w:tcBorders>
            <w:shd w:val="clear" w:color="auto" w:fill="auto"/>
            <w:noWrap/>
            <w:vAlign w:val="center"/>
            <w:hideMark/>
          </w:tcPr>
          <w:p w14:paraId="4675214B"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GSH</w:t>
            </w:r>
          </w:p>
        </w:tc>
        <w:tc>
          <w:tcPr>
            <w:tcW w:w="6262" w:type="dxa"/>
            <w:tcBorders>
              <w:top w:val="nil"/>
              <w:left w:val="nil"/>
              <w:bottom w:val="nil"/>
              <w:right w:val="nil"/>
            </w:tcBorders>
            <w:shd w:val="clear" w:color="auto" w:fill="auto"/>
            <w:noWrap/>
            <w:vAlign w:val="bottom"/>
            <w:hideMark/>
          </w:tcPr>
          <w:p w14:paraId="168B0BB2"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Glutathione</w:t>
            </w:r>
          </w:p>
        </w:tc>
      </w:tr>
      <w:tr w:rsidR="002A4986" w:rsidRPr="002A4986" w14:paraId="34593534" w14:textId="77777777" w:rsidTr="002A4986">
        <w:trPr>
          <w:trHeight w:val="300"/>
        </w:trPr>
        <w:tc>
          <w:tcPr>
            <w:tcW w:w="1300" w:type="dxa"/>
            <w:tcBorders>
              <w:top w:val="nil"/>
              <w:left w:val="nil"/>
              <w:bottom w:val="nil"/>
              <w:right w:val="nil"/>
            </w:tcBorders>
            <w:shd w:val="clear" w:color="auto" w:fill="auto"/>
            <w:noWrap/>
            <w:vAlign w:val="center"/>
            <w:hideMark/>
          </w:tcPr>
          <w:p w14:paraId="62773C64"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GSSG</w:t>
            </w:r>
          </w:p>
        </w:tc>
        <w:tc>
          <w:tcPr>
            <w:tcW w:w="6262" w:type="dxa"/>
            <w:tcBorders>
              <w:top w:val="nil"/>
              <w:left w:val="nil"/>
              <w:bottom w:val="nil"/>
              <w:right w:val="nil"/>
            </w:tcBorders>
            <w:shd w:val="clear" w:color="auto" w:fill="auto"/>
            <w:noWrap/>
            <w:vAlign w:val="center"/>
            <w:hideMark/>
          </w:tcPr>
          <w:p w14:paraId="1354B966"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Glutathione disulphide</w:t>
            </w:r>
          </w:p>
        </w:tc>
      </w:tr>
      <w:tr w:rsidR="002A4986" w:rsidRPr="002A4986" w14:paraId="5F50CD31" w14:textId="77777777" w:rsidTr="002A4986">
        <w:trPr>
          <w:trHeight w:val="300"/>
        </w:trPr>
        <w:tc>
          <w:tcPr>
            <w:tcW w:w="1300" w:type="dxa"/>
            <w:tcBorders>
              <w:top w:val="nil"/>
              <w:left w:val="nil"/>
              <w:bottom w:val="nil"/>
              <w:right w:val="nil"/>
            </w:tcBorders>
            <w:shd w:val="clear" w:color="auto" w:fill="auto"/>
            <w:noWrap/>
            <w:vAlign w:val="center"/>
            <w:hideMark/>
          </w:tcPr>
          <w:p w14:paraId="5D5AD9BD"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GST</w:t>
            </w:r>
          </w:p>
        </w:tc>
        <w:tc>
          <w:tcPr>
            <w:tcW w:w="6262" w:type="dxa"/>
            <w:tcBorders>
              <w:top w:val="nil"/>
              <w:left w:val="nil"/>
              <w:bottom w:val="nil"/>
              <w:right w:val="nil"/>
            </w:tcBorders>
            <w:shd w:val="clear" w:color="auto" w:fill="auto"/>
            <w:noWrap/>
            <w:vAlign w:val="center"/>
            <w:hideMark/>
          </w:tcPr>
          <w:p w14:paraId="01601D4D"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Human Gene ST array</w:t>
            </w:r>
          </w:p>
        </w:tc>
      </w:tr>
      <w:tr w:rsidR="002A4986" w:rsidRPr="002A4986" w14:paraId="6D1FF24E" w14:textId="77777777" w:rsidTr="002A4986">
        <w:trPr>
          <w:trHeight w:val="300"/>
        </w:trPr>
        <w:tc>
          <w:tcPr>
            <w:tcW w:w="1300" w:type="dxa"/>
            <w:tcBorders>
              <w:top w:val="nil"/>
              <w:left w:val="nil"/>
              <w:bottom w:val="nil"/>
              <w:right w:val="nil"/>
            </w:tcBorders>
            <w:shd w:val="clear" w:color="auto" w:fill="auto"/>
            <w:noWrap/>
            <w:vAlign w:val="center"/>
            <w:hideMark/>
          </w:tcPr>
          <w:p w14:paraId="39DCAFD0"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GST3α</w:t>
            </w:r>
          </w:p>
        </w:tc>
        <w:tc>
          <w:tcPr>
            <w:tcW w:w="6262" w:type="dxa"/>
            <w:tcBorders>
              <w:top w:val="nil"/>
              <w:left w:val="nil"/>
              <w:bottom w:val="nil"/>
              <w:right w:val="nil"/>
            </w:tcBorders>
            <w:shd w:val="clear" w:color="auto" w:fill="auto"/>
            <w:noWrap/>
            <w:vAlign w:val="bottom"/>
            <w:hideMark/>
          </w:tcPr>
          <w:p w14:paraId="625189CA"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Glutathione-S-transferase 3α</w:t>
            </w:r>
          </w:p>
        </w:tc>
      </w:tr>
      <w:tr w:rsidR="002A4986" w:rsidRPr="002A4986" w14:paraId="1524DEA7" w14:textId="77777777" w:rsidTr="002A4986">
        <w:trPr>
          <w:trHeight w:val="300"/>
        </w:trPr>
        <w:tc>
          <w:tcPr>
            <w:tcW w:w="1300" w:type="dxa"/>
            <w:tcBorders>
              <w:top w:val="nil"/>
              <w:left w:val="nil"/>
              <w:bottom w:val="nil"/>
              <w:right w:val="nil"/>
            </w:tcBorders>
            <w:shd w:val="clear" w:color="auto" w:fill="auto"/>
            <w:noWrap/>
            <w:vAlign w:val="center"/>
            <w:hideMark/>
          </w:tcPr>
          <w:p w14:paraId="7D9F9810"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GYS1</w:t>
            </w:r>
          </w:p>
        </w:tc>
        <w:tc>
          <w:tcPr>
            <w:tcW w:w="6262" w:type="dxa"/>
            <w:tcBorders>
              <w:top w:val="nil"/>
              <w:left w:val="nil"/>
              <w:bottom w:val="nil"/>
              <w:right w:val="nil"/>
            </w:tcBorders>
            <w:shd w:val="clear" w:color="auto" w:fill="auto"/>
            <w:noWrap/>
            <w:vAlign w:val="center"/>
            <w:hideMark/>
          </w:tcPr>
          <w:p w14:paraId="6E999638"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Glycogen synthase 1</w:t>
            </w:r>
          </w:p>
        </w:tc>
      </w:tr>
      <w:tr w:rsidR="002A4986" w:rsidRPr="002A4986" w14:paraId="1D0D27AF" w14:textId="77777777" w:rsidTr="002A4986">
        <w:trPr>
          <w:trHeight w:val="340"/>
        </w:trPr>
        <w:tc>
          <w:tcPr>
            <w:tcW w:w="1300" w:type="dxa"/>
            <w:tcBorders>
              <w:top w:val="nil"/>
              <w:left w:val="nil"/>
              <w:bottom w:val="nil"/>
              <w:right w:val="nil"/>
            </w:tcBorders>
            <w:shd w:val="clear" w:color="auto" w:fill="auto"/>
            <w:noWrap/>
            <w:vAlign w:val="center"/>
            <w:hideMark/>
          </w:tcPr>
          <w:p w14:paraId="427E6D55"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H2AX</w:t>
            </w:r>
          </w:p>
        </w:tc>
        <w:tc>
          <w:tcPr>
            <w:tcW w:w="6262" w:type="dxa"/>
            <w:tcBorders>
              <w:top w:val="nil"/>
              <w:left w:val="nil"/>
              <w:bottom w:val="nil"/>
              <w:right w:val="nil"/>
            </w:tcBorders>
            <w:shd w:val="clear" w:color="auto" w:fill="auto"/>
            <w:noWrap/>
            <w:vAlign w:val="bottom"/>
            <w:hideMark/>
          </w:tcPr>
          <w:p w14:paraId="0735265B"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H2A histone family, member X</w:t>
            </w:r>
          </w:p>
        </w:tc>
      </w:tr>
      <w:tr w:rsidR="002A4986" w:rsidRPr="002A4986" w14:paraId="3F6A22CB" w14:textId="77777777" w:rsidTr="002A4986">
        <w:trPr>
          <w:trHeight w:val="300"/>
        </w:trPr>
        <w:tc>
          <w:tcPr>
            <w:tcW w:w="1300" w:type="dxa"/>
            <w:tcBorders>
              <w:top w:val="nil"/>
              <w:left w:val="nil"/>
              <w:bottom w:val="nil"/>
              <w:right w:val="nil"/>
            </w:tcBorders>
            <w:shd w:val="clear" w:color="auto" w:fill="auto"/>
            <w:noWrap/>
            <w:vAlign w:val="center"/>
            <w:hideMark/>
          </w:tcPr>
          <w:p w14:paraId="1CB82803"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H</w:t>
            </w:r>
            <w:r w:rsidRPr="002A4986">
              <w:rPr>
                <w:rFonts w:ascii="Times New Roman" w:eastAsia="Times New Roman" w:hAnsi="Times New Roman" w:cs="Times New Roman"/>
                <w:b/>
                <w:bCs/>
                <w:color w:val="000000"/>
                <w:vertAlign w:val="subscript"/>
                <w:lang w:val="en-GB"/>
              </w:rPr>
              <w:t>2</w:t>
            </w:r>
            <w:r w:rsidRPr="002A4986">
              <w:rPr>
                <w:rFonts w:ascii="Times New Roman" w:eastAsia="Times New Roman" w:hAnsi="Times New Roman" w:cs="Times New Roman"/>
                <w:b/>
                <w:bCs/>
                <w:color w:val="000000"/>
                <w:lang w:val="en-GB"/>
              </w:rPr>
              <w:t>O</w:t>
            </w:r>
            <w:r w:rsidRPr="002A4986">
              <w:rPr>
                <w:rFonts w:ascii="Times New Roman" w:eastAsia="Times New Roman" w:hAnsi="Times New Roman" w:cs="Times New Roman"/>
                <w:b/>
                <w:bCs/>
                <w:color w:val="000000"/>
                <w:vertAlign w:val="subscript"/>
                <w:lang w:val="en-GB"/>
              </w:rPr>
              <w:t>2</w:t>
            </w:r>
          </w:p>
        </w:tc>
        <w:tc>
          <w:tcPr>
            <w:tcW w:w="6262" w:type="dxa"/>
            <w:tcBorders>
              <w:top w:val="nil"/>
              <w:left w:val="nil"/>
              <w:bottom w:val="nil"/>
              <w:right w:val="nil"/>
            </w:tcBorders>
            <w:shd w:val="clear" w:color="auto" w:fill="auto"/>
            <w:noWrap/>
            <w:vAlign w:val="bottom"/>
            <w:hideMark/>
          </w:tcPr>
          <w:p w14:paraId="5FE3C0D9"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Hydrogen peroxide</w:t>
            </w:r>
          </w:p>
        </w:tc>
      </w:tr>
      <w:tr w:rsidR="002A4986" w:rsidRPr="002A4986" w14:paraId="085F701E" w14:textId="77777777" w:rsidTr="002A4986">
        <w:trPr>
          <w:trHeight w:val="300"/>
        </w:trPr>
        <w:tc>
          <w:tcPr>
            <w:tcW w:w="1300" w:type="dxa"/>
            <w:tcBorders>
              <w:top w:val="nil"/>
              <w:left w:val="nil"/>
              <w:bottom w:val="nil"/>
              <w:right w:val="nil"/>
            </w:tcBorders>
            <w:shd w:val="clear" w:color="auto" w:fill="auto"/>
            <w:noWrap/>
            <w:vAlign w:val="center"/>
            <w:hideMark/>
          </w:tcPr>
          <w:p w14:paraId="65C5970B"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HDAC</w:t>
            </w:r>
          </w:p>
        </w:tc>
        <w:tc>
          <w:tcPr>
            <w:tcW w:w="6262" w:type="dxa"/>
            <w:tcBorders>
              <w:top w:val="nil"/>
              <w:left w:val="nil"/>
              <w:bottom w:val="nil"/>
              <w:right w:val="nil"/>
            </w:tcBorders>
            <w:shd w:val="clear" w:color="auto" w:fill="auto"/>
            <w:noWrap/>
            <w:vAlign w:val="center"/>
            <w:hideMark/>
          </w:tcPr>
          <w:p w14:paraId="68405DE8"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Histone deacetylase</w:t>
            </w:r>
          </w:p>
        </w:tc>
      </w:tr>
      <w:tr w:rsidR="002A4986" w:rsidRPr="002A4986" w14:paraId="06ED0F8B" w14:textId="77777777" w:rsidTr="002A4986">
        <w:trPr>
          <w:trHeight w:val="300"/>
        </w:trPr>
        <w:tc>
          <w:tcPr>
            <w:tcW w:w="1300" w:type="dxa"/>
            <w:tcBorders>
              <w:top w:val="nil"/>
              <w:left w:val="nil"/>
              <w:bottom w:val="nil"/>
              <w:right w:val="nil"/>
            </w:tcBorders>
            <w:shd w:val="clear" w:color="auto" w:fill="auto"/>
            <w:noWrap/>
            <w:vAlign w:val="center"/>
            <w:hideMark/>
          </w:tcPr>
          <w:p w14:paraId="505CD26A"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HIF1α</w:t>
            </w:r>
          </w:p>
        </w:tc>
        <w:tc>
          <w:tcPr>
            <w:tcW w:w="6262" w:type="dxa"/>
            <w:tcBorders>
              <w:top w:val="nil"/>
              <w:left w:val="nil"/>
              <w:bottom w:val="nil"/>
              <w:right w:val="nil"/>
            </w:tcBorders>
            <w:shd w:val="clear" w:color="auto" w:fill="auto"/>
            <w:noWrap/>
            <w:vAlign w:val="bottom"/>
            <w:hideMark/>
          </w:tcPr>
          <w:p w14:paraId="14010A19"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Hypoxia-inducible factor 1-alpha</w:t>
            </w:r>
          </w:p>
        </w:tc>
      </w:tr>
      <w:tr w:rsidR="002A4986" w:rsidRPr="002A4986" w14:paraId="79C25CCE" w14:textId="77777777" w:rsidTr="002A4986">
        <w:trPr>
          <w:trHeight w:val="300"/>
        </w:trPr>
        <w:tc>
          <w:tcPr>
            <w:tcW w:w="1300" w:type="dxa"/>
            <w:tcBorders>
              <w:top w:val="nil"/>
              <w:left w:val="nil"/>
              <w:bottom w:val="nil"/>
              <w:right w:val="nil"/>
            </w:tcBorders>
            <w:shd w:val="clear" w:color="auto" w:fill="auto"/>
            <w:noWrap/>
            <w:vAlign w:val="center"/>
            <w:hideMark/>
          </w:tcPr>
          <w:p w14:paraId="4F79EC49"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HIP1</w:t>
            </w:r>
          </w:p>
        </w:tc>
        <w:tc>
          <w:tcPr>
            <w:tcW w:w="6262" w:type="dxa"/>
            <w:tcBorders>
              <w:top w:val="nil"/>
              <w:left w:val="nil"/>
              <w:bottom w:val="nil"/>
              <w:right w:val="nil"/>
            </w:tcBorders>
            <w:shd w:val="clear" w:color="auto" w:fill="auto"/>
            <w:noWrap/>
            <w:vAlign w:val="center"/>
            <w:hideMark/>
          </w:tcPr>
          <w:p w14:paraId="136A8D7B"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Huntintin interacting protein 1</w:t>
            </w:r>
          </w:p>
        </w:tc>
      </w:tr>
      <w:tr w:rsidR="002A4986" w:rsidRPr="002A4986" w14:paraId="658AEFDC" w14:textId="77777777" w:rsidTr="002A4986">
        <w:trPr>
          <w:trHeight w:val="300"/>
        </w:trPr>
        <w:tc>
          <w:tcPr>
            <w:tcW w:w="1300" w:type="dxa"/>
            <w:tcBorders>
              <w:top w:val="nil"/>
              <w:left w:val="nil"/>
              <w:bottom w:val="nil"/>
              <w:right w:val="nil"/>
            </w:tcBorders>
            <w:shd w:val="clear" w:color="auto" w:fill="auto"/>
            <w:noWrap/>
            <w:vAlign w:val="center"/>
            <w:hideMark/>
          </w:tcPr>
          <w:p w14:paraId="306F42B9"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HNE</w:t>
            </w:r>
          </w:p>
        </w:tc>
        <w:tc>
          <w:tcPr>
            <w:tcW w:w="6262" w:type="dxa"/>
            <w:tcBorders>
              <w:top w:val="nil"/>
              <w:left w:val="nil"/>
              <w:bottom w:val="nil"/>
              <w:right w:val="nil"/>
            </w:tcBorders>
            <w:shd w:val="clear" w:color="auto" w:fill="auto"/>
            <w:noWrap/>
            <w:vAlign w:val="bottom"/>
            <w:hideMark/>
          </w:tcPr>
          <w:p w14:paraId="375F7EA9"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Hematoxylin</w:t>
            </w:r>
          </w:p>
        </w:tc>
      </w:tr>
      <w:tr w:rsidR="002A4986" w:rsidRPr="002A4986" w14:paraId="15F4C2A7" w14:textId="77777777" w:rsidTr="002A4986">
        <w:trPr>
          <w:trHeight w:val="300"/>
        </w:trPr>
        <w:tc>
          <w:tcPr>
            <w:tcW w:w="1300" w:type="dxa"/>
            <w:tcBorders>
              <w:top w:val="nil"/>
              <w:left w:val="nil"/>
              <w:bottom w:val="nil"/>
              <w:right w:val="nil"/>
            </w:tcBorders>
            <w:shd w:val="clear" w:color="auto" w:fill="auto"/>
            <w:noWrap/>
            <w:vAlign w:val="center"/>
            <w:hideMark/>
          </w:tcPr>
          <w:p w14:paraId="1E20BC4A"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HRP</w:t>
            </w:r>
          </w:p>
        </w:tc>
        <w:tc>
          <w:tcPr>
            <w:tcW w:w="6262" w:type="dxa"/>
            <w:tcBorders>
              <w:top w:val="nil"/>
              <w:left w:val="nil"/>
              <w:bottom w:val="nil"/>
              <w:right w:val="nil"/>
            </w:tcBorders>
            <w:shd w:val="clear" w:color="auto" w:fill="auto"/>
            <w:noWrap/>
            <w:vAlign w:val="center"/>
            <w:hideMark/>
          </w:tcPr>
          <w:p w14:paraId="68E435E7"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Horseradish peroxidase</w:t>
            </w:r>
          </w:p>
        </w:tc>
      </w:tr>
      <w:tr w:rsidR="002A4986" w:rsidRPr="002A4986" w14:paraId="078BC228" w14:textId="77777777" w:rsidTr="002A4986">
        <w:trPr>
          <w:trHeight w:val="300"/>
        </w:trPr>
        <w:tc>
          <w:tcPr>
            <w:tcW w:w="1300" w:type="dxa"/>
            <w:tcBorders>
              <w:top w:val="nil"/>
              <w:left w:val="nil"/>
              <w:bottom w:val="nil"/>
              <w:right w:val="nil"/>
            </w:tcBorders>
            <w:shd w:val="clear" w:color="auto" w:fill="auto"/>
            <w:noWrap/>
            <w:vAlign w:val="center"/>
            <w:hideMark/>
          </w:tcPr>
          <w:p w14:paraId="69DC2B13"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IDTE</w:t>
            </w:r>
          </w:p>
        </w:tc>
        <w:tc>
          <w:tcPr>
            <w:tcW w:w="6262" w:type="dxa"/>
            <w:tcBorders>
              <w:top w:val="nil"/>
              <w:left w:val="nil"/>
              <w:bottom w:val="nil"/>
              <w:right w:val="nil"/>
            </w:tcBorders>
            <w:shd w:val="clear" w:color="auto" w:fill="auto"/>
            <w:noWrap/>
            <w:vAlign w:val="bottom"/>
            <w:hideMark/>
          </w:tcPr>
          <w:p w14:paraId="3E6D70C3"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Integrated DNA Technologies Tris-EDTA buffer</w:t>
            </w:r>
          </w:p>
        </w:tc>
      </w:tr>
      <w:tr w:rsidR="002A4986" w:rsidRPr="002A4986" w14:paraId="3253C795" w14:textId="77777777" w:rsidTr="002A4986">
        <w:trPr>
          <w:trHeight w:val="300"/>
        </w:trPr>
        <w:tc>
          <w:tcPr>
            <w:tcW w:w="1300" w:type="dxa"/>
            <w:tcBorders>
              <w:top w:val="nil"/>
              <w:left w:val="nil"/>
              <w:bottom w:val="nil"/>
              <w:right w:val="nil"/>
            </w:tcBorders>
            <w:shd w:val="clear" w:color="auto" w:fill="auto"/>
            <w:noWrap/>
            <w:vAlign w:val="center"/>
            <w:hideMark/>
          </w:tcPr>
          <w:p w14:paraId="17A43FCA"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IGF1</w:t>
            </w:r>
          </w:p>
        </w:tc>
        <w:tc>
          <w:tcPr>
            <w:tcW w:w="6262" w:type="dxa"/>
            <w:tcBorders>
              <w:top w:val="nil"/>
              <w:left w:val="nil"/>
              <w:bottom w:val="nil"/>
              <w:right w:val="nil"/>
            </w:tcBorders>
            <w:shd w:val="clear" w:color="auto" w:fill="auto"/>
            <w:noWrap/>
            <w:vAlign w:val="center"/>
            <w:hideMark/>
          </w:tcPr>
          <w:p w14:paraId="132FF842"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Insulin-like growth factor 1</w:t>
            </w:r>
          </w:p>
        </w:tc>
      </w:tr>
      <w:tr w:rsidR="002A4986" w:rsidRPr="002A4986" w14:paraId="657B2A28" w14:textId="77777777" w:rsidTr="002A4986">
        <w:trPr>
          <w:trHeight w:val="300"/>
        </w:trPr>
        <w:tc>
          <w:tcPr>
            <w:tcW w:w="1300" w:type="dxa"/>
            <w:tcBorders>
              <w:top w:val="nil"/>
              <w:left w:val="nil"/>
              <w:bottom w:val="nil"/>
              <w:right w:val="nil"/>
            </w:tcBorders>
            <w:shd w:val="clear" w:color="auto" w:fill="auto"/>
            <w:noWrap/>
            <w:vAlign w:val="center"/>
            <w:hideMark/>
          </w:tcPr>
          <w:p w14:paraId="531C5D2B"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IGF1R</w:t>
            </w:r>
          </w:p>
        </w:tc>
        <w:tc>
          <w:tcPr>
            <w:tcW w:w="6262" w:type="dxa"/>
            <w:tcBorders>
              <w:top w:val="nil"/>
              <w:left w:val="nil"/>
              <w:bottom w:val="nil"/>
              <w:right w:val="nil"/>
            </w:tcBorders>
            <w:shd w:val="clear" w:color="auto" w:fill="auto"/>
            <w:noWrap/>
            <w:vAlign w:val="bottom"/>
            <w:hideMark/>
          </w:tcPr>
          <w:p w14:paraId="022F23C0"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Insulin-like growth factor 1 receptor</w:t>
            </w:r>
          </w:p>
        </w:tc>
      </w:tr>
      <w:tr w:rsidR="002A4986" w:rsidRPr="002A4986" w14:paraId="7F5D949A" w14:textId="77777777" w:rsidTr="002A4986">
        <w:trPr>
          <w:trHeight w:val="300"/>
        </w:trPr>
        <w:tc>
          <w:tcPr>
            <w:tcW w:w="1300" w:type="dxa"/>
            <w:tcBorders>
              <w:top w:val="nil"/>
              <w:left w:val="nil"/>
              <w:bottom w:val="nil"/>
              <w:right w:val="nil"/>
            </w:tcBorders>
            <w:shd w:val="clear" w:color="auto" w:fill="auto"/>
            <w:noWrap/>
            <w:vAlign w:val="center"/>
            <w:hideMark/>
          </w:tcPr>
          <w:p w14:paraId="410D1D38"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IGFBP1</w:t>
            </w:r>
          </w:p>
        </w:tc>
        <w:tc>
          <w:tcPr>
            <w:tcW w:w="6262" w:type="dxa"/>
            <w:tcBorders>
              <w:top w:val="nil"/>
              <w:left w:val="nil"/>
              <w:bottom w:val="nil"/>
              <w:right w:val="nil"/>
            </w:tcBorders>
            <w:shd w:val="clear" w:color="auto" w:fill="auto"/>
            <w:noWrap/>
            <w:vAlign w:val="center"/>
            <w:hideMark/>
          </w:tcPr>
          <w:p w14:paraId="2F26D246"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Insulin-like growth factor binding protein 1</w:t>
            </w:r>
          </w:p>
        </w:tc>
      </w:tr>
      <w:tr w:rsidR="002A4986" w:rsidRPr="002A4986" w14:paraId="7380378C" w14:textId="77777777" w:rsidTr="002A4986">
        <w:trPr>
          <w:trHeight w:val="300"/>
        </w:trPr>
        <w:tc>
          <w:tcPr>
            <w:tcW w:w="1300" w:type="dxa"/>
            <w:tcBorders>
              <w:top w:val="nil"/>
              <w:left w:val="nil"/>
              <w:bottom w:val="nil"/>
              <w:right w:val="nil"/>
            </w:tcBorders>
            <w:shd w:val="clear" w:color="auto" w:fill="auto"/>
            <w:noWrap/>
            <w:vAlign w:val="center"/>
            <w:hideMark/>
          </w:tcPr>
          <w:p w14:paraId="441ADB98"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IgG</w:t>
            </w:r>
          </w:p>
        </w:tc>
        <w:tc>
          <w:tcPr>
            <w:tcW w:w="6262" w:type="dxa"/>
            <w:tcBorders>
              <w:top w:val="nil"/>
              <w:left w:val="nil"/>
              <w:bottom w:val="nil"/>
              <w:right w:val="nil"/>
            </w:tcBorders>
            <w:shd w:val="clear" w:color="auto" w:fill="auto"/>
            <w:noWrap/>
            <w:vAlign w:val="bottom"/>
            <w:hideMark/>
          </w:tcPr>
          <w:p w14:paraId="5567359A"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Immunoglobulin G</w:t>
            </w:r>
          </w:p>
        </w:tc>
      </w:tr>
      <w:tr w:rsidR="002A4986" w:rsidRPr="002A4986" w14:paraId="39C9B51F" w14:textId="77777777" w:rsidTr="002A4986">
        <w:trPr>
          <w:trHeight w:val="300"/>
        </w:trPr>
        <w:tc>
          <w:tcPr>
            <w:tcW w:w="1300" w:type="dxa"/>
            <w:tcBorders>
              <w:top w:val="nil"/>
              <w:left w:val="nil"/>
              <w:bottom w:val="nil"/>
              <w:right w:val="nil"/>
            </w:tcBorders>
            <w:shd w:val="clear" w:color="auto" w:fill="auto"/>
            <w:noWrap/>
            <w:vAlign w:val="center"/>
            <w:hideMark/>
          </w:tcPr>
          <w:p w14:paraId="18DFF790"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IL15</w:t>
            </w:r>
          </w:p>
        </w:tc>
        <w:tc>
          <w:tcPr>
            <w:tcW w:w="6262" w:type="dxa"/>
            <w:tcBorders>
              <w:top w:val="nil"/>
              <w:left w:val="nil"/>
              <w:bottom w:val="nil"/>
              <w:right w:val="nil"/>
            </w:tcBorders>
            <w:shd w:val="clear" w:color="auto" w:fill="auto"/>
            <w:noWrap/>
            <w:vAlign w:val="center"/>
            <w:hideMark/>
          </w:tcPr>
          <w:p w14:paraId="632912F9"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Interleukin 15</w:t>
            </w:r>
          </w:p>
        </w:tc>
      </w:tr>
      <w:tr w:rsidR="002A4986" w:rsidRPr="002A4986" w14:paraId="5AE49350" w14:textId="77777777" w:rsidTr="002A4986">
        <w:trPr>
          <w:trHeight w:val="300"/>
        </w:trPr>
        <w:tc>
          <w:tcPr>
            <w:tcW w:w="1300" w:type="dxa"/>
            <w:tcBorders>
              <w:top w:val="nil"/>
              <w:left w:val="nil"/>
              <w:bottom w:val="nil"/>
              <w:right w:val="nil"/>
            </w:tcBorders>
            <w:shd w:val="clear" w:color="auto" w:fill="auto"/>
            <w:noWrap/>
            <w:vAlign w:val="center"/>
            <w:hideMark/>
          </w:tcPr>
          <w:p w14:paraId="0A3637DD"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IL23A</w:t>
            </w:r>
          </w:p>
        </w:tc>
        <w:tc>
          <w:tcPr>
            <w:tcW w:w="6262" w:type="dxa"/>
            <w:tcBorders>
              <w:top w:val="nil"/>
              <w:left w:val="nil"/>
              <w:bottom w:val="nil"/>
              <w:right w:val="nil"/>
            </w:tcBorders>
            <w:shd w:val="clear" w:color="auto" w:fill="auto"/>
            <w:noWrap/>
            <w:vAlign w:val="bottom"/>
            <w:hideMark/>
          </w:tcPr>
          <w:p w14:paraId="5D09C557"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Interleukin 23A</w:t>
            </w:r>
          </w:p>
        </w:tc>
      </w:tr>
      <w:tr w:rsidR="002A4986" w:rsidRPr="002A4986" w14:paraId="3863A55E" w14:textId="77777777" w:rsidTr="002A4986">
        <w:trPr>
          <w:trHeight w:val="300"/>
        </w:trPr>
        <w:tc>
          <w:tcPr>
            <w:tcW w:w="1300" w:type="dxa"/>
            <w:tcBorders>
              <w:top w:val="nil"/>
              <w:left w:val="nil"/>
              <w:bottom w:val="nil"/>
              <w:right w:val="nil"/>
            </w:tcBorders>
            <w:shd w:val="clear" w:color="auto" w:fill="auto"/>
            <w:noWrap/>
            <w:vAlign w:val="center"/>
            <w:hideMark/>
          </w:tcPr>
          <w:p w14:paraId="0DF455CF"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IL6</w:t>
            </w:r>
          </w:p>
        </w:tc>
        <w:tc>
          <w:tcPr>
            <w:tcW w:w="6262" w:type="dxa"/>
            <w:tcBorders>
              <w:top w:val="nil"/>
              <w:left w:val="nil"/>
              <w:bottom w:val="nil"/>
              <w:right w:val="nil"/>
            </w:tcBorders>
            <w:shd w:val="clear" w:color="auto" w:fill="auto"/>
            <w:noWrap/>
            <w:vAlign w:val="center"/>
            <w:hideMark/>
          </w:tcPr>
          <w:p w14:paraId="718C8F55"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Interleukin 6</w:t>
            </w:r>
          </w:p>
        </w:tc>
      </w:tr>
      <w:tr w:rsidR="002A4986" w:rsidRPr="002A4986" w14:paraId="175E4704" w14:textId="77777777" w:rsidTr="002A4986">
        <w:trPr>
          <w:trHeight w:val="340"/>
        </w:trPr>
        <w:tc>
          <w:tcPr>
            <w:tcW w:w="1300" w:type="dxa"/>
            <w:tcBorders>
              <w:top w:val="nil"/>
              <w:left w:val="nil"/>
              <w:bottom w:val="nil"/>
              <w:right w:val="nil"/>
            </w:tcBorders>
            <w:shd w:val="clear" w:color="auto" w:fill="auto"/>
            <w:noWrap/>
            <w:vAlign w:val="center"/>
            <w:hideMark/>
          </w:tcPr>
          <w:p w14:paraId="61CBD9CB"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IMPALA</w:t>
            </w:r>
          </w:p>
        </w:tc>
        <w:tc>
          <w:tcPr>
            <w:tcW w:w="6262" w:type="dxa"/>
            <w:tcBorders>
              <w:top w:val="nil"/>
              <w:left w:val="nil"/>
              <w:bottom w:val="nil"/>
              <w:right w:val="nil"/>
            </w:tcBorders>
            <w:shd w:val="clear" w:color="auto" w:fill="auto"/>
            <w:noWrap/>
            <w:vAlign w:val="bottom"/>
            <w:hideMark/>
          </w:tcPr>
          <w:p w14:paraId="646F27FF"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Intergrated Molecular Pathway Level Analysis</w:t>
            </w:r>
          </w:p>
        </w:tc>
      </w:tr>
      <w:tr w:rsidR="002A4986" w:rsidRPr="002A4986" w14:paraId="22F1F436" w14:textId="77777777" w:rsidTr="002A4986">
        <w:trPr>
          <w:trHeight w:val="300"/>
        </w:trPr>
        <w:tc>
          <w:tcPr>
            <w:tcW w:w="1300" w:type="dxa"/>
            <w:tcBorders>
              <w:top w:val="nil"/>
              <w:left w:val="nil"/>
              <w:bottom w:val="nil"/>
              <w:right w:val="nil"/>
            </w:tcBorders>
            <w:shd w:val="clear" w:color="auto" w:fill="auto"/>
            <w:noWrap/>
            <w:vAlign w:val="center"/>
            <w:hideMark/>
          </w:tcPr>
          <w:p w14:paraId="16D73514"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IP</w:t>
            </w:r>
            <w:r w:rsidRPr="002A4986">
              <w:rPr>
                <w:rFonts w:ascii="Times New Roman" w:eastAsia="Times New Roman" w:hAnsi="Times New Roman" w:cs="Times New Roman"/>
                <w:b/>
                <w:bCs/>
                <w:color w:val="000000"/>
                <w:vertAlign w:val="subscript"/>
                <w:lang w:val="en-GB"/>
              </w:rPr>
              <w:t>3</w:t>
            </w:r>
          </w:p>
        </w:tc>
        <w:tc>
          <w:tcPr>
            <w:tcW w:w="6262" w:type="dxa"/>
            <w:tcBorders>
              <w:top w:val="nil"/>
              <w:left w:val="nil"/>
              <w:bottom w:val="nil"/>
              <w:right w:val="nil"/>
            </w:tcBorders>
            <w:shd w:val="clear" w:color="auto" w:fill="auto"/>
            <w:noWrap/>
            <w:vAlign w:val="center"/>
            <w:hideMark/>
          </w:tcPr>
          <w:p w14:paraId="591C04D3"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Inositol trisphosphate</w:t>
            </w:r>
          </w:p>
        </w:tc>
      </w:tr>
      <w:tr w:rsidR="002A4986" w:rsidRPr="002A4986" w14:paraId="2D378EF3" w14:textId="77777777" w:rsidTr="002A4986">
        <w:trPr>
          <w:trHeight w:val="300"/>
        </w:trPr>
        <w:tc>
          <w:tcPr>
            <w:tcW w:w="1300" w:type="dxa"/>
            <w:tcBorders>
              <w:top w:val="nil"/>
              <w:left w:val="nil"/>
              <w:bottom w:val="nil"/>
              <w:right w:val="nil"/>
            </w:tcBorders>
            <w:shd w:val="clear" w:color="auto" w:fill="auto"/>
            <w:noWrap/>
            <w:vAlign w:val="center"/>
            <w:hideMark/>
          </w:tcPr>
          <w:p w14:paraId="37328220"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IR</w:t>
            </w:r>
          </w:p>
        </w:tc>
        <w:tc>
          <w:tcPr>
            <w:tcW w:w="6262" w:type="dxa"/>
            <w:tcBorders>
              <w:top w:val="nil"/>
              <w:left w:val="nil"/>
              <w:bottom w:val="nil"/>
              <w:right w:val="nil"/>
            </w:tcBorders>
            <w:shd w:val="clear" w:color="auto" w:fill="auto"/>
            <w:noWrap/>
            <w:vAlign w:val="bottom"/>
            <w:hideMark/>
          </w:tcPr>
          <w:p w14:paraId="27B6DC8B"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Insulin receptor</w:t>
            </w:r>
          </w:p>
        </w:tc>
      </w:tr>
      <w:tr w:rsidR="002A4986" w:rsidRPr="002A4986" w14:paraId="7068D075" w14:textId="77777777" w:rsidTr="002A4986">
        <w:trPr>
          <w:trHeight w:val="300"/>
        </w:trPr>
        <w:tc>
          <w:tcPr>
            <w:tcW w:w="1300" w:type="dxa"/>
            <w:tcBorders>
              <w:top w:val="nil"/>
              <w:left w:val="nil"/>
              <w:bottom w:val="nil"/>
              <w:right w:val="nil"/>
            </w:tcBorders>
            <w:shd w:val="clear" w:color="auto" w:fill="auto"/>
            <w:noWrap/>
            <w:vAlign w:val="center"/>
            <w:hideMark/>
          </w:tcPr>
          <w:p w14:paraId="4773BA92"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IRS 1/2</w:t>
            </w:r>
          </w:p>
        </w:tc>
        <w:tc>
          <w:tcPr>
            <w:tcW w:w="6262" w:type="dxa"/>
            <w:tcBorders>
              <w:top w:val="nil"/>
              <w:left w:val="nil"/>
              <w:bottom w:val="nil"/>
              <w:right w:val="nil"/>
            </w:tcBorders>
            <w:shd w:val="clear" w:color="auto" w:fill="auto"/>
            <w:noWrap/>
            <w:vAlign w:val="center"/>
            <w:hideMark/>
          </w:tcPr>
          <w:p w14:paraId="3DC95904"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Insulin receptor substrate 1/2</w:t>
            </w:r>
          </w:p>
        </w:tc>
      </w:tr>
      <w:tr w:rsidR="002A4986" w:rsidRPr="002A4986" w14:paraId="6605C309" w14:textId="77777777" w:rsidTr="002A4986">
        <w:trPr>
          <w:trHeight w:val="300"/>
        </w:trPr>
        <w:tc>
          <w:tcPr>
            <w:tcW w:w="1300" w:type="dxa"/>
            <w:tcBorders>
              <w:top w:val="nil"/>
              <w:left w:val="nil"/>
              <w:bottom w:val="nil"/>
              <w:right w:val="nil"/>
            </w:tcBorders>
            <w:shd w:val="clear" w:color="auto" w:fill="auto"/>
            <w:noWrap/>
            <w:vAlign w:val="center"/>
            <w:hideMark/>
          </w:tcPr>
          <w:p w14:paraId="001208D3"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JAK</w:t>
            </w:r>
          </w:p>
        </w:tc>
        <w:tc>
          <w:tcPr>
            <w:tcW w:w="6262" w:type="dxa"/>
            <w:tcBorders>
              <w:top w:val="nil"/>
              <w:left w:val="nil"/>
              <w:bottom w:val="nil"/>
              <w:right w:val="nil"/>
            </w:tcBorders>
            <w:shd w:val="clear" w:color="auto" w:fill="auto"/>
            <w:noWrap/>
            <w:vAlign w:val="bottom"/>
            <w:hideMark/>
          </w:tcPr>
          <w:p w14:paraId="4EE944EB"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Janus kinase</w:t>
            </w:r>
          </w:p>
        </w:tc>
      </w:tr>
      <w:tr w:rsidR="002A4986" w:rsidRPr="002A4986" w14:paraId="704877DF" w14:textId="77777777" w:rsidTr="002A4986">
        <w:trPr>
          <w:trHeight w:val="300"/>
        </w:trPr>
        <w:tc>
          <w:tcPr>
            <w:tcW w:w="1300" w:type="dxa"/>
            <w:tcBorders>
              <w:top w:val="nil"/>
              <w:left w:val="nil"/>
              <w:bottom w:val="nil"/>
              <w:right w:val="nil"/>
            </w:tcBorders>
            <w:shd w:val="clear" w:color="auto" w:fill="auto"/>
            <w:noWrap/>
            <w:vAlign w:val="center"/>
            <w:hideMark/>
          </w:tcPr>
          <w:p w14:paraId="06182BAE"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JNK</w:t>
            </w:r>
          </w:p>
        </w:tc>
        <w:tc>
          <w:tcPr>
            <w:tcW w:w="6262" w:type="dxa"/>
            <w:tcBorders>
              <w:top w:val="nil"/>
              <w:left w:val="nil"/>
              <w:bottom w:val="nil"/>
              <w:right w:val="nil"/>
            </w:tcBorders>
            <w:shd w:val="clear" w:color="auto" w:fill="auto"/>
            <w:noWrap/>
            <w:vAlign w:val="bottom"/>
            <w:hideMark/>
          </w:tcPr>
          <w:p w14:paraId="68506BE7"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c-Jun N-terminal kinase</w:t>
            </w:r>
          </w:p>
        </w:tc>
      </w:tr>
      <w:tr w:rsidR="002A4986" w:rsidRPr="002A4986" w14:paraId="5706F703" w14:textId="77777777" w:rsidTr="002A4986">
        <w:trPr>
          <w:trHeight w:val="300"/>
        </w:trPr>
        <w:tc>
          <w:tcPr>
            <w:tcW w:w="1300" w:type="dxa"/>
            <w:tcBorders>
              <w:top w:val="nil"/>
              <w:left w:val="nil"/>
              <w:bottom w:val="nil"/>
              <w:right w:val="nil"/>
            </w:tcBorders>
            <w:shd w:val="clear" w:color="auto" w:fill="auto"/>
            <w:noWrap/>
            <w:vAlign w:val="center"/>
            <w:hideMark/>
          </w:tcPr>
          <w:p w14:paraId="272BA8FD"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KCND1</w:t>
            </w:r>
          </w:p>
        </w:tc>
        <w:tc>
          <w:tcPr>
            <w:tcW w:w="6262" w:type="dxa"/>
            <w:tcBorders>
              <w:top w:val="nil"/>
              <w:left w:val="nil"/>
              <w:bottom w:val="nil"/>
              <w:right w:val="nil"/>
            </w:tcBorders>
            <w:shd w:val="clear" w:color="auto" w:fill="auto"/>
            <w:noWrap/>
            <w:vAlign w:val="bottom"/>
            <w:hideMark/>
          </w:tcPr>
          <w:p w14:paraId="50FEB8DE"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Potassium voltage-gated channel subfamily D, member 1</w:t>
            </w:r>
          </w:p>
        </w:tc>
      </w:tr>
      <w:tr w:rsidR="002A4986" w:rsidRPr="002A4986" w14:paraId="15FEE577" w14:textId="77777777" w:rsidTr="002A4986">
        <w:trPr>
          <w:trHeight w:val="300"/>
        </w:trPr>
        <w:tc>
          <w:tcPr>
            <w:tcW w:w="1300" w:type="dxa"/>
            <w:tcBorders>
              <w:top w:val="nil"/>
              <w:left w:val="nil"/>
              <w:bottom w:val="nil"/>
              <w:right w:val="nil"/>
            </w:tcBorders>
            <w:shd w:val="clear" w:color="auto" w:fill="auto"/>
            <w:noWrap/>
            <w:vAlign w:val="center"/>
            <w:hideMark/>
          </w:tcPr>
          <w:p w14:paraId="413F0A2D"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KCNK6</w:t>
            </w:r>
          </w:p>
        </w:tc>
        <w:tc>
          <w:tcPr>
            <w:tcW w:w="6262" w:type="dxa"/>
            <w:tcBorders>
              <w:top w:val="nil"/>
              <w:left w:val="nil"/>
              <w:bottom w:val="nil"/>
              <w:right w:val="nil"/>
            </w:tcBorders>
            <w:shd w:val="clear" w:color="auto" w:fill="auto"/>
            <w:noWrap/>
            <w:vAlign w:val="center"/>
            <w:hideMark/>
          </w:tcPr>
          <w:p w14:paraId="2A764341"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Potassium voltage-gated channel subfamily K, member 6</w:t>
            </w:r>
          </w:p>
        </w:tc>
      </w:tr>
      <w:tr w:rsidR="002A4986" w:rsidRPr="002A4986" w14:paraId="5C48EB9B" w14:textId="77777777" w:rsidTr="002A4986">
        <w:trPr>
          <w:trHeight w:val="300"/>
        </w:trPr>
        <w:tc>
          <w:tcPr>
            <w:tcW w:w="1300" w:type="dxa"/>
            <w:tcBorders>
              <w:top w:val="nil"/>
              <w:left w:val="nil"/>
              <w:bottom w:val="nil"/>
              <w:right w:val="nil"/>
            </w:tcBorders>
            <w:shd w:val="clear" w:color="auto" w:fill="auto"/>
            <w:noWrap/>
            <w:vAlign w:val="center"/>
            <w:hideMark/>
          </w:tcPr>
          <w:p w14:paraId="6EB5B954"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KCNQ2</w:t>
            </w:r>
          </w:p>
        </w:tc>
        <w:tc>
          <w:tcPr>
            <w:tcW w:w="6262" w:type="dxa"/>
            <w:tcBorders>
              <w:top w:val="nil"/>
              <w:left w:val="nil"/>
              <w:bottom w:val="nil"/>
              <w:right w:val="nil"/>
            </w:tcBorders>
            <w:shd w:val="clear" w:color="auto" w:fill="auto"/>
            <w:noWrap/>
            <w:vAlign w:val="bottom"/>
            <w:hideMark/>
          </w:tcPr>
          <w:p w14:paraId="4C93C712"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Potassium voltage-gated channel subfamily Q, member 2</w:t>
            </w:r>
          </w:p>
        </w:tc>
      </w:tr>
      <w:tr w:rsidR="002A4986" w:rsidRPr="002A4986" w14:paraId="174CCF52" w14:textId="77777777" w:rsidTr="002A4986">
        <w:trPr>
          <w:trHeight w:val="300"/>
        </w:trPr>
        <w:tc>
          <w:tcPr>
            <w:tcW w:w="1300" w:type="dxa"/>
            <w:tcBorders>
              <w:top w:val="nil"/>
              <w:left w:val="nil"/>
              <w:bottom w:val="nil"/>
              <w:right w:val="nil"/>
            </w:tcBorders>
            <w:shd w:val="clear" w:color="auto" w:fill="auto"/>
            <w:noWrap/>
            <w:vAlign w:val="center"/>
            <w:hideMark/>
          </w:tcPr>
          <w:p w14:paraId="748392FD"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KEGG</w:t>
            </w:r>
          </w:p>
        </w:tc>
        <w:tc>
          <w:tcPr>
            <w:tcW w:w="6262" w:type="dxa"/>
            <w:tcBorders>
              <w:top w:val="nil"/>
              <w:left w:val="nil"/>
              <w:bottom w:val="nil"/>
              <w:right w:val="nil"/>
            </w:tcBorders>
            <w:shd w:val="clear" w:color="auto" w:fill="auto"/>
            <w:noWrap/>
            <w:vAlign w:val="center"/>
            <w:hideMark/>
          </w:tcPr>
          <w:p w14:paraId="76AAF383"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Kyoto Encyclopedia of Genes and Genomes</w:t>
            </w:r>
          </w:p>
        </w:tc>
      </w:tr>
      <w:tr w:rsidR="002A4986" w:rsidRPr="002A4986" w14:paraId="50C944AA" w14:textId="77777777" w:rsidTr="002A4986">
        <w:trPr>
          <w:trHeight w:val="300"/>
        </w:trPr>
        <w:tc>
          <w:tcPr>
            <w:tcW w:w="1300" w:type="dxa"/>
            <w:tcBorders>
              <w:top w:val="nil"/>
              <w:left w:val="nil"/>
              <w:bottom w:val="nil"/>
              <w:right w:val="nil"/>
            </w:tcBorders>
            <w:shd w:val="clear" w:color="auto" w:fill="auto"/>
            <w:noWrap/>
            <w:vAlign w:val="center"/>
            <w:hideMark/>
          </w:tcPr>
          <w:p w14:paraId="78BA3176"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KRLB</w:t>
            </w:r>
          </w:p>
        </w:tc>
        <w:tc>
          <w:tcPr>
            <w:tcW w:w="6262" w:type="dxa"/>
            <w:tcBorders>
              <w:top w:val="nil"/>
              <w:left w:val="nil"/>
              <w:bottom w:val="nil"/>
              <w:right w:val="nil"/>
            </w:tcBorders>
            <w:shd w:val="clear" w:color="auto" w:fill="auto"/>
            <w:noWrap/>
            <w:vAlign w:val="bottom"/>
            <w:hideMark/>
          </w:tcPr>
          <w:p w14:paraId="1A08704F"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Kinase regulatory loop binding</w:t>
            </w:r>
          </w:p>
        </w:tc>
      </w:tr>
      <w:tr w:rsidR="002A4986" w:rsidRPr="002A4986" w14:paraId="7C6162DD" w14:textId="77777777" w:rsidTr="002A4986">
        <w:trPr>
          <w:trHeight w:val="300"/>
        </w:trPr>
        <w:tc>
          <w:tcPr>
            <w:tcW w:w="1300" w:type="dxa"/>
            <w:tcBorders>
              <w:top w:val="nil"/>
              <w:left w:val="nil"/>
              <w:bottom w:val="nil"/>
              <w:right w:val="nil"/>
            </w:tcBorders>
            <w:shd w:val="clear" w:color="auto" w:fill="auto"/>
            <w:noWrap/>
            <w:vAlign w:val="bottom"/>
            <w:hideMark/>
          </w:tcPr>
          <w:p w14:paraId="545C0FEA"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LCM</w:t>
            </w:r>
          </w:p>
        </w:tc>
        <w:tc>
          <w:tcPr>
            <w:tcW w:w="6262" w:type="dxa"/>
            <w:tcBorders>
              <w:top w:val="nil"/>
              <w:left w:val="nil"/>
              <w:bottom w:val="nil"/>
              <w:right w:val="nil"/>
            </w:tcBorders>
            <w:shd w:val="clear" w:color="auto" w:fill="auto"/>
            <w:noWrap/>
            <w:vAlign w:val="bottom"/>
            <w:hideMark/>
          </w:tcPr>
          <w:p w14:paraId="6ADB5BE5"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Laser capture microdissection</w:t>
            </w:r>
          </w:p>
        </w:tc>
      </w:tr>
      <w:tr w:rsidR="002A4986" w:rsidRPr="002A4986" w14:paraId="737B3C22" w14:textId="77777777" w:rsidTr="002A4986">
        <w:trPr>
          <w:trHeight w:val="300"/>
        </w:trPr>
        <w:tc>
          <w:tcPr>
            <w:tcW w:w="1300" w:type="dxa"/>
            <w:tcBorders>
              <w:top w:val="nil"/>
              <w:left w:val="nil"/>
              <w:bottom w:val="nil"/>
              <w:right w:val="nil"/>
            </w:tcBorders>
            <w:shd w:val="clear" w:color="auto" w:fill="auto"/>
            <w:noWrap/>
            <w:vAlign w:val="bottom"/>
            <w:hideMark/>
          </w:tcPr>
          <w:p w14:paraId="3F1AB019"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LDH</w:t>
            </w:r>
          </w:p>
        </w:tc>
        <w:tc>
          <w:tcPr>
            <w:tcW w:w="6262" w:type="dxa"/>
            <w:tcBorders>
              <w:top w:val="nil"/>
              <w:left w:val="nil"/>
              <w:bottom w:val="nil"/>
              <w:right w:val="nil"/>
            </w:tcBorders>
            <w:shd w:val="clear" w:color="auto" w:fill="auto"/>
            <w:noWrap/>
            <w:vAlign w:val="bottom"/>
            <w:hideMark/>
          </w:tcPr>
          <w:p w14:paraId="7DE273A3"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Lactate dehydrogenase</w:t>
            </w:r>
          </w:p>
        </w:tc>
      </w:tr>
      <w:tr w:rsidR="002A4986" w:rsidRPr="002A4986" w14:paraId="40FDD23A" w14:textId="77777777" w:rsidTr="002A4986">
        <w:trPr>
          <w:trHeight w:val="300"/>
        </w:trPr>
        <w:tc>
          <w:tcPr>
            <w:tcW w:w="1300" w:type="dxa"/>
            <w:tcBorders>
              <w:top w:val="nil"/>
              <w:left w:val="nil"/>
              <w:bottom w:val="nil"/>
              <w:right w:val="nil"/>
            </w:tcBorders>
            <w:shd w:val="clear" w:color="auto" w:fill="auto"/>
            <w:noWrap/>
            <w:vAlign w:val="bottom"/>
            <w:hideMark/>
          </w:tcPr>
          <w:p w14:paraId="59BED15F"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LOAD</w:t>
            </w:r>
          </w:p>
        </w:tc>
        <w:tc>
          <w:tcPr>
            <w:tcW w:w="6262" w:type="dxa"/>
            <w:tcBorders>
              <w:top w:val="nil"/>
              <w:left w:val="nil"/>
              <w:bottom w:val="nil"/>
              <w:right w:val="nil"/>
            </w:tcBorders>
            <w:shd w:val="clear" w:color="auto" w:fill="auto"/>
            <w:noWrap/>
            <w:vAlign w:val="bottom"/>
            <w:hideMark/>
          </w:tcPr>
          <w:p w14:paraId="08730E72"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Late onset Alzheimer's Disease</w:t>
            </w:r>
          </w:p>
        </w:tc>
      </w:tr>
      <w:tr w:rsidR="002A4986" w:rsidRPr="002A4986" w14:paraId="29CFC3CA" w14:textId="77777777" w:rsidTr="002A4986">
        <w:trPr>
          <w:trHeight w:val="300"/>
        </w:trPr>
        <w:tc>
          <w:tcPr>
            <w:tcW w:w="1300" w:type="dxa"/>
            <w:tcBorders>
              <w:top w:val="nil"/>
              <w:left w:val="nil"/>
              <w:bottom w:val="nil"/>
              <w:right w:val="nil"/>
            </w:tcBorders>
            <w:shd w:val="clear" w:color="auto" w:fill="auto"/>
            <w:noWrap/>
            <w:vAlign w:val="center"/>
            <w:hideMark/>
          </w:tcPr>
          <w:p w14:paraId="6476D85B"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LPS</w:t>
            </w:r>
          </w:p>
        </w:tc>
        <w:tc>
          <w:tcPr>
            <w:tcW w:w="6262" w:type="dxa"/>
            <w:tcBorders>
              <w:top w:val="nil"/>
              <w:left w:val="nil"/>
              <w:bottom w:val="nil"/>
              <w:right w:val="nil"/>
            </w:tcBorders>
            <w:shd w:val="clear" w:color="auto" w:fill="auto"/>
            <w:noWrap/>
            <w:vAlign w:val="center"/>
            <w:hideMark/>
          </w:tcPr>
          <w:p w14:paraId="3E56FA5E"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Lipopolysaccharide</w:t>
            </w:r>
          </w:p>
        </w:tc>
      </w:tr>
      <w:tr w:rsidR="002A4986" w:rsidRPr="002A4986" w14:paraId="05783269" w14:textId="77777777" w:rsidTr="002A4986">
        <w:trPr>
          <w:trHeight w:val="300"/>
        </w:trPr>
        <w:tc>
          <w:tcPr>
            <w:tcW w:w="1300" w:type="dxa"/>
            <w:tcBorders>
              <w:top w:val="nil"/>
              <w:left w:val="nil"/>
              <w:bottom w:val="nil"/>
              <w:right w:val="nil"/>
            </w:tcBorders>
            <w:shd w:val="clear" w:color="auto" w:fill="auto"/>
            <w:noWrap/>
            <w:vAlign w:val="center"/>
            <w:hideMark/>
          </w:tcPr>
          <w:p w14:paraId="2296D57B"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LRP1</w:t>
            </w:r>
          </w:p>
        </w:tc>
        <w:tc>
          <w:tcPr>
            <w:tcW w:w="6262" w:type="dxa"/>
            <w:tcBorders>
              <w:top w:val="nil"/>
              <w:left w:val="nil"/>
              <w:bottom w:val="nil"/>
              <w:right w:val="nil"/>
            </w:tcBorders>
            <w:shd w:val="clear" w:color="auto" w:fill="auto"/>
            <w:noWrap/>
            <w:vAlign w:val="bottom"/>
            <w:hideMark/>
          </w:tcPr>
          <w:p w14:paraId="0F8892E6"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Lipoprotein receptor-related protein 1</w:t>
            </w:r>
          </w:p>
        </w:tc>
      </w:tr>
      <w:tr w:rsidR="002A4986" w:rsidRPr="002A4986" w14:paraId="7D1D8DCE" w14:textId="77777777" w:rsidTr="002A4986">
        <w:trPr>
          <w:trHeight w:val="300"/>
        </w:trPr>
        <w:tc>
          <w:tcPr>
            <w:tcW w:w="1300" w:type="dxa"/>
            <w:tcBorders>
              <w:top w:val="nil"/>
              <w:left w:val="nil"/>
              <w:bottom w:val="nil"/>
              <w:right w:val="nil"/>
            </w:tcBorders>
            <w:shd w:val="clear" w:color="auto" w:fill="auto"/>
            <w:noWrap/>
            <w:vAlign w:val="center"/>
            <w:hideMark/>
          </w:tcPr>
          <w:p w14:paraId="6F32AA1A"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LTP</w:t>
            </w:r>
          </w:p>
        </w:tc>
        <w:tc>
          <w:tcPr>
            <w:tcW w:w="6262" w:type="dxa"/>
            <w:tcBorders>
              <w:top w:val="nil"/>
              <w:left w:val="nil"/>
              <w:bottom w:val="nil"/>
              <w:right w:val="nil"/>
            </w:tcBorders>
            <w:shd w:val="clear" w:color="auto" w:fill="auto"/>
            <w:noWrap/>
            <w:vAlign w:val="bottom"/>
            <w:hideMark/>
          </w:tcPr>
          <w:p w14:paraId="05B49DFC"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Long-term potentiation</w:t>
            </w:r>
          </w:p>
        </w:tc>
      </w:tr>
      <w:tr w:rsidR="002A4986" w:rsidRPr="002A4986" w14:paraId="7F96D0D7" w14:textId="77777777" w:rsidTr="002A4986">
        <w:trPr>
          <w:trHeight w:val="300"/>
        </w:trPr>
        <w:tc>
          <w:tcPr>
            <w:tcW w:w="1300" w:type="dxa"/>
            <w:tcBorders>
              <w:top w:val="nil"/>
              <w:left w:val="nil"/>
              <w:bottom w:val="nil"/>
              <w:right w:val="nil"/>
            </w:tcBorders>
            <w:shd w:val="clear" w:color="auto" w:fill="auto"/>
            <w:noWrap/>
            <w:vAlign w:val="center"/>
            <w:hideMark/>
          </w:tcPr>
          <w:p w14:paraId="71D6200E"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LUHMES</w:t>
            </w:r>
          </w:p>
        </w:tc>
        <w:tc>
          <w:tcPr>
            <w:tcW w:w="6262" w:type="dxa"/>
            <w:tcBorders>
              <w:top w:val="nil"/>
              <w:left w:val="nil"/>
              <w:bottom w:val="nil"/>
              <w:right w:val="nil"/>
            </w:tcBorders>
            <w:shd w:val="clear" w:color="auto" w:fill="auto"/>
            <w:noWrap/>
            <w:vAlign w:val="bottom"/>
            <w:hideMark/>
          </w:tcPr>
          <w:p w14:paraId="3E989B9E"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Lund-Human Mesencephalic cells</w:t>
            </w:r>
          </w:p>
        </w:tc>
      </w:tr>
      <w:tr w:rsidR="002A4986" w:rsidRPr="002A4986" w14:paraId="2E5543EF" w14:textId="77777777" w:rsidTr="002A4986">
        <w:trPr>
          <w:trHeight w:val="300"/>
        </w:trPr>
        <w:tc>
          <w:tcPr>
            <w:tcW w:w="1300" w:type="dxa"/>
            <w:tcBorders>
              <w:top w:val="nil"/>
              <w:left w:val="nil"/>
              <w:bottom w:val="nil"/>
              <w:right w:val="nil"/>
            </w:tcBorders>
            <w:shd w:val="clear" w:color="auto" w:fill="auto"/>
            <w:noWrap/>
            <w:vAlign w:val="center"/>
            <w:hideMark/>
          </w:tcPr>
          <w:p w14:paraId="57D6BD24"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 xml:space="preserve">LV </w:t>
            </w:r>
          </w:p>
        </w:tc>
        <w:tc>
          <w:tcPr>
            <w:tcW w:w="6262" w:type="dxa"/>
            <w:tcBorders>
              <w:top w:val="nil"/>
              <w:left w:val="nil"/>
              <w:bottom w:val="nil"/>
              <w:right w:val="nil"/>
            </w:tcBorders>
            <w:shd w:val="clear" w:color="auto" w:fill="auto"/>
            <w:noWrap/>
            <w:vAlign w:val="bottom"/>
            <w:hideMark/>
          </w:tcPr>
          <w:p w14:paraId="642303CA"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Lentivirus</w:t>
            </w:r>
          </w:p>
        </w:tc>
      </w:tr>
      <w:tr w:rsidR="002A4986" w:rsidRPr="002A4986" w14:paraId="08BC27D3" w14:textId="77777777" w:rsidTr="002A4986">
        <w:trPr>
          <w:trHeight w:val="300"/>
        </w:trPr>
        <w:tc>
          <w:tcPr>
            <w:tcW w:w="1300" w:type="dxa"/>
            <w:tcBorders>
              <w:top w:val="nil"/>
              <w:left w:val="nil"/>
              <w:bottom w:val="nil"/>
              <w:right w:val="nil"/>
            </w:tcBorders>
            <w:shd w:val="clear" w:color="auto" w:fill="auto"/>
            <w:noWrap/>
            <w:vAlign w:val="bottom"/>
            <w:hideMark/>
          </w:tcPr>
          <w:p w14:paraId="181C02B7"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M1/2/3</w:t>
            </w:r>
          </w:p>
        </w:tc>
        <w:tc>
          <w:tcPr>
            <w:tcW w:w="6262" w:type="dxa"/>
            <w:tcBorders>
              <w:top w:val="nil"/>
              <w:left w:val="nil"/>
              <w:bottom w:val="nil"/>
              <w:right w:val="nil"/>
            </w:tcBorders>
            <w:shd w:val="clear" w:color="auto" w:fill="auto"/>
            <w:noWrap/>
            <w:vAlign w:val="bottom"/>
            <w:hideMark/>
          </w:tcPr>
          <w:p w14:paraId="05A0E69F"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MAB391 1/2/3</w:t>
            </w:r>
          </w:p>
        </w:tc>
      </w:tr>
      <w:tr w:rsidR="002A4986" w:rsidRPr="002A4986" w14:paraId="01A60015" w14:textId="77777777" w:rsidTr="002A4986">
        <w:trPr>
          <w:trHeight w:val="300"/>
        </w:trPr>
        <w:tc>
          <w:tcPr>
            <w:tcW w:w="1300" w:type="dxa"/>
            <w:tcBorders>
              <w:top w:val="nil"/>
              <w:left w:val="nil"/>
              <w:bottom w:val="nil"/>
              <w:right w:val="nil"/>
            </w:tcBorders>
            <w:shd w:val="clear" w:color="auto" w:fill="auto"/>
            <w:noWrap/>
            <w:vAlign w:val="center"/>
            <w:hideMark/>
          </w:tcPr>
          <w:p w14:paraId="355076C3"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MAB002</w:t>
            </w:r>
          </w:p>
        </w:tc>
        <w:tc>
          <w:tcPr>
            <w:tcW w:w="6262" w:type="dxa"/>
            <w:tcBorders>
              <w:top w:val="nil"/>
              <w:left w:val="nil"/>
              <w:bottom w:val="nil"/>
              <w:right w:val="nil"/>
            </w:tcBorders>
            <w:shd w:val="clear" w:color="auto" w:fill="auto"/>
            <w:noWrap/>
            <w:vAlign w:val="bottom"/>
            <w:hideMark/>
          </w:tcPr>
          <w:p w14:paraId="6AE8D7A7"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Monoclonal antibody 002</w:t>
            </w:r>
          </w:p>
        </w:tc>
      </w:tr>
      <w:tr w:rsidR="002A4986" w:rsidRPr="002A4986" w14:paraId="383DDCF9" w14:textId="77777777" w:rsidTr="002A4986">
        <w:trPr>
          <w:trHeight w:val="300"/>
        </w:trPr>
        <w:tc>
          <w:tcPr>
            <w:tcW w:w="1300" w:type="dxa"/>
            <w:tcBorders>
              <w:top w:val="nil"/>
              <w:left w:val="nil"/>
              <w:bottom w:val="nil"/>
              <w:right w:val="nil"/>
            </w:tcBorders>
            <w:shd w:val="clear" w:color="auto" w:fill="auto"/>
            <w:noWrap/>
            <w:vAlign w:val="center"/>
            <w:hideMark/>
          </w:tcPr>
          <w:p w14:paraId="585DD402"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MAB391</w:t>
            </w:r>
          </w:p>
        </w:tc>
        <w:tc>
          <w:tcPr>
            <w:tcW w:w="6262" w:type="dxa"/>
            <w:tcBorders>
              <w:top w:val="nil"/>
              <w:left w:val="nil"/>
              <w:bottom w:val="nil"/>
              <w:right w:val="nil"/>
            </w:tcBorders>
            <w:shd w:val="clear" w:color="auto" w:fill="auto"/>
            <w:noWrap/>
            <w:vAlign w:val="bottom"/>
            <w:hideMark/>
          </w:tcPr>
          <w:p w14:paraId="229B3B47"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Monoclonal antibody 391</w:t>
            </w:r>
          </w:p>
        </w:tc>
      </w:tr>
      <w:tr w:rsidR="002A4986" w:rsidRPr="002A4986" w14:paraId="4079F063" w14:textId="77777777" w:rsidTr="002A4986">
        <w:trPr>
          <w:trHeight w:val="300"/>
        </w:trPr>
        <w:tc>
          <w:tcPr>
            <w:tcW w:w="1300" w:type="dxa"/>
            <w:tcBorders>
              <w:top w:val="nil"/>
              <w:left w:val="nil"/>
              <w:bottom w:val="nil"/>
              <w:right w:val="nil"/>
            </w:tcBorders>
            <w:shd w:val="clear" w:color="auto" w:fill="auto"/>
            <w:noWrap/>
            <w:vAlign w:val="bottom"/>
            <w:hideMark/>
          </w:tcPr>
          <w:p w14:paraId="38530F8E"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MAP1B</w:t>
            </w:r>
          </w:p>
        </w:tc>
        <w:tc>
          <w:tcPr>
            <w:tcW w:w="6262" w:type="dxa"/>
            <w:tcBorders>
              <w:top w:val="nil"/>
              <w:left w:val="nil"/>
              <w:bottom w:val="nil"/>
              <w:right w:val="nil"/>
            </w:tcBorders>
            <w:shd w:val="clear" w:color="auto" w:fill="auto"/>
            <w:noWrap/>
            <w:vAlign w:val="bottom"/>
            <w:hideMark/>
          </w:tcPr>
          <w:p w14:paraId="65887EEB"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Microtubule associated protein 1B</w:t>
            </w:r>
          </w:p>
        </w:tc>
      </w:tr>
      <w:tr w:rsidR="002A4986" w:rsidRPr="002A4986" w14:paraId="065BE3CA" w14:textId="77777777" w:rsidTr="002A4986">
        <w:trPr>
          <w:trHeight w:val="300"/>
        </w:trPr>
        <w:tc>
          <w:tcPr>
            <w:tcW w:w="1300" w:type="dxa"/>
            <w:tcBorders>
              <w:top w:val="nil"/>
              <w:left w:val="nil"/>
              <w:bottom w:val="nil"/>
              <w:right w:val="nil"/>
            </w:tcBorders>
            <w:shd w:val="clear" w:color="auto" w:fill="auto"/>
            <w:noWrap/>
            <w:vAlign w:val="center"/>
            <w:hideMark/>
          </w:tcPr>
          <w:p w14:paraId="2107D8D6"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MAPK</w:t>
            </w:r>
          </w:p>
        </w:tc>
        <w:tc>
          <w:tcPr>
            <w:tcW w:w="6262" w:type="dxa"/>
            <w:tcBorders>
              <w:top w:val="nil"/>
              <w:left w:val="nil"/>
              <w:bottom w:val="nil"/>
              <w:right w:val="nil"/>
            </w:tcBorders>
            <w:shd w:val="clear" w:color="auto" w:fill="auto"/>
            <w:noWrap/>
            <w:vAlign w:val="bottom"/>
            <w:hideMark/>
          </w:tcPr>
          <w:p w14:paraId="45165F89"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Mitogen-activated protein kinase</w:t>
            </w:r>
          </w:p>
        </w:tc>
      </w:tr>
      <w:tr w:rsidR="002A4986" w:rsidRPr="002A4986" w14:paraId="58DF206A" w14:textId="77777777" w:rsidTr="002A4986">
        <w:trPr>
          <w:trHeight w:val="300"/>
        </w:trPr>
        <w:tc>
          <w:tcPr>
            <w:tcW w:w="1300" w:type="dxa"/>
            <w:tcBorders>
              <w:top w:val="nil"/>
              <w:left w:val="nil"/>
              <w:bottom w:val="nil"/>
              <w:right w:val="nil"/>
            </w:tcBorders>
            <w:shd w:val="clear" w:color="auto" w:fill="auto"/>
            <w:noWrap/>
            <w:vAlign w:val="center"/>
            <w:hideMark/>
          </w:tcPr>
          <w:p w14:paraId="0E3E67C5"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MCI</w:t>
            </w:r>
          </w:p>
        </w:tc>
        <w:tc>
          <w:tcPr>
            <w:tcW w:w="6262" w:type="dxa"/>
            <w:tcBorders>
              <w:top w:val="nil"/>
              <w:left w:val="nil"/>
              <w:bottom w:val="nil"/>
              <w:right w:val="nil"/>
            </w:tcBorders>
            <w:shd w:val="clear" w:color="auto" w:fill="auto"/>
            <w:noWrap/>
            <w:vAlign w:val="bottom"/>
            <w:hideMark/>
          </w:tcPr>
          <w:p w14:paraId="0B1FAA91"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Mild cognitive impairment</w:t>
            </w:r>
          </w:p>
        </w:tc>
      </w:tr>
      <w:tr w:rsidR="002A4986" w:rsidRPr="002A4986" w14:paraId="3FB2D9C9" w14:textId="77777777" w:rsidTr="002A4986">
        <w:trPr>
          <w:trHeight w:val="300"/>
        </w:trPr>
        <w:tc>
          <w:tcPr>
            <w:tcW w:w="1300" w:type="dxa"/>
            <w:tcBorders>
              <w:top w:val="nil"/>
              <w:left w:val="nil"/>
              <w:bottom w:val="nil"/>
              <w:right w:val="nil"/>
            </w:tcBorders>
            <w:shd w:val="clear" w:color="auto" w:fill="auto"/>
            <w:noWrap/>
            <w:vAlign w:val="center"/>
            <w:hideMark/>
          </w:tcPr>
          <w:p w14:paraId="02EB7501"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MCT 1/2</w:t>
            </w:r>
          </w:p>
        </w:tc>
        <w:tc>
          <w:tcPr>
            <w:tcW w:w="6262" w:type="dxa"/>
            <w:tcBorders>
              <w:top w:val="nil"/>
              <w:left w:val="nil"/>
              <w:bottom w:val="nil"/>
              <w:right w:val="nil"/>
            </w:tcBorders>
            <w:shd w:val="clear" w:color="auto" w:fill="auto"/>
            <w:noWrap/>
            <w:vAlign w:val="bottom"/>
            <w:hideMark/>
          </w:tcPr>
          <w:p w14:paraId="1DF44975"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Monocarboxylate transporter 1/2</w:t>
            </w:r>
          </w:p>
        </w:tc>
      </w:tr>
      <w:tr w:rsidR="002A4986" w:rsidRPr="002A4986" w14:paraId="106CC80E" w14:textId="77777777" w:rsidTr="002A4986">
        <w:trPr>
          <w:trHeight w:val="300"/>
        </w:trPr>
        <w:tc>
          <w:tcPr>
            <w:tcW w:w="1300" w:type="dxa"/>
            <w:tcBorders>
              <w:top w:val="nil"/>
              <w:left w:val="nil"/>
              <w:bottom w:val="nil"/>
              <w:right w:val="nil"/>
            </w:tcBorders>
            <w:shd w:val="clear" w:color="auto" w:fill="auto"/>
            <w:noWrap/>
            <w:vAlign w:val="center"/>
            <w:hideMark/>
          </w:tcPr>
          <w:p w14:paraId="4B59BB0D"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mGluR</w:t>
            </w:r>
          </w:p>
        </w:tc>
        <w:tc>
          <w:tcPr>
            <w:tcW w:w="6262" w:type="dxa"/>
            <w:tcBorders>
              <w:top w:val="nil"/>
              <w:left w:val="nil"/>
              <w:bottom w:val="nil"/>
              <w:right w:val="nil"/>
            </w:tcBorders>
            <w:shd w:val="clear" w:color="auto" w:fill="auto"/>
            <w:noWrap/>
            <w:vAlign w:val="bottom"/>
            <w:hideMark/>
          </w:tcPr>
          <w:p w14:paraId="4C69C30E"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Metabotropic glutamate receptor</w:t>
            </w:r>
          </w:p>
        </w:tc>
      </w:tr>
      <w:tr w:rsidR="002A4986" w:rsidRPr="002A4986" w14:paraId="5DF18029" w14:textId="77777777" w:rsidTr="002A4986">
        <w:trPr>
          <w:trHeight w:val="300"/>
        </w:trPr>
        <w:tc>
          <w:tcPr>
            <w:tcW w:w="1300" w:type="dxa"/>
            <w:tcBorders>
              <w:top w:val="nil"/>
              <w:left w:val="nil"/>
              <w:bottom w:val="nil"/>
              <w:right w:val="nil"/>
            </w:tcBorders>
            <w:shd w:val="clear" w:color="auto" w:fill="auto"/>
            <w:noWrap/>
            <w:vAlign w:val="center"/>
            <w:hideMark/>
          </w:tcPr>
          <w:p w14:paraId="38437E01"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MGST1</w:t>
            </w:r>
          </w:p>
        </w:tc>
        <w:tc>
          <w:tcPr>
            <w:tcW w:w="6262" w:type="dxa"/>
            <w:tcBorders>
              <w:top w:val="nil"/>
              <w:left w:val="nil"/>
              <w:bottom w:val="nil"/>
              <w:right w:val="nil"/>
            </w:tcBorders>
            <w:shd w:val="clear" w:color="auto" w:fill="auto"/>
            <w:noWrap/>
            <w:vAlign w:val="bottom"/>
            <w:hideMark/>
          </w:tcPr>
          <w:p w14:paraId="1045B9B1"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Microsomal glutathione-s-transferase 1</w:t>
            </w:r>
          </w:p>
        </w:tc>
      </w:tr>
      <w:tr w:rsidR="002A4986" w:rsidRPr="002A4986" w14:paraId="699D8C87" w14:textId="77777777" w:rsidTr="002A4986">
        <w:trPr>
          <w:trHeight w:val="300"/>
        </w:trPr>
        <w:tc>
          <w:tcPr>
            <w:tcW w:w="1300" w:type="dxa"/>
            <w:tcBorders>
              <w:top w:val="nil"/>
              <w:left w:val="nil"/>
              <w:bottom w:val="nil"/>
              <w:right w:val="nil"/>
            </w:tcBorders>
            <w:shd w:val="clear" w:color="auto" w:fill="auto"/>
            <w:noWrap/>
            <w:vAlign w:val="center"/>
            <w:hideMark/>
          </w:tcPr>
          <w:p w14:paraId="14CE7BF7"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miRNA</w:t>
            </w:r>
          </w:p>
        </w:tc>
        <w:tc>
          <w:tcPr>
            <w:tcW w:w="6262" w:type="dxa"/>
            <w:tcBorders>
              <w:top w:val="nil"/>
              <w:left w:val="nil"/>
              <w:bottom w:val="nil"/>
              <w:right w:val="nil"/>
            </w:tcBorders>
            <w:shd w:val="clear" w:color="auto" w:fill="auto"/>
            <w:noWrap/>
            <w:vAlign w:val="bottom"/>
            <w:hideMark/>
          </w:tcPr>
          <w:p w14:paraId="507668C1"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Micro-RNA</w:t>
            </w:r>
          </w:p>
        </w:tc>
      </w:tr>
      <w:tr w:rsidR="002A4986" w:rsidRPr="002A4986" w14:paraId="2E99AD84" w14:textId="77777777" w:rsidTr="002A4986">
        <w:trPr>
          <w:trHeight w:val="300"/>
        </w:trPr>
        <w:tc>
          <w:tcPr>
            <w:tcW w:w="1300" w:type="dxa"/>
            <w:tcBorders>
              <w:top w:val="nil"/>
              <w:left w:val="nil"/>
              <w:bottom w:val="nil"/>
              <w:right w:val="nil"/>
            </w:tcBorders>
            <w:shd w:val="clear" w:color="auto" w:fill="auto"/>
            <w:noWrap/>
            <w:vAlign w:val="center"/>
            <w:hideMark/>
          </w:tcPr>
          <w:p w14:paraId="5C24FDC5"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MMSE</w:t>
            </w:r>
          </w:p>
        </w:tc>
        <w:tc>
          <w:tcPr>
            <w:tcW w:w="6262" w:type="dxa"/>
            <w:tcBorders>
              <w:top w:val="nil"/>
              <w:left w:val="nil"/>
              <w:bottom w:val="nil"/>
              <w:right w:val="nil"/>
            </w:tcBorders>
            <w:shd w:val="clear" w:color="auto" w:fill="auto"/>
            <w:noWrap/>
            <w:vAlign w:val="bottom"/>
            <w:hideMark/>
          </w:tcPr>
          <w:p w14:paraId="12284988"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Mini-mental state examination</w:t>
            </w:r>
          </w:p>
        </w:tc>
      </w:tr>
      <w:tr w:rsidR="002A4986" w:rsidRPr="002A4986" w14:paraId="0CC5E224" w14:textId="77777777" w:rsidTr="002A4986">
        <w:trPr>
          <w:trHeight w:val="300"/>
        </w:trPr>
        <w:tc>
          <w:tcPr>
            <w:tcW w:w="1300" w:type="dxa"/>
            <w:tcBorders>
              <w:top w:val="nil"/>
              <w:left w:val="nil"/>
              <w:bottom w:val="nil"/>
              <w:right w:val="nil"/>
            </w:tcBorders>
            <w:shd w:val="clear" w:color="auto" w:fill="auto"/>
            <w:noWrap/>
            <w:vAlign w:val="center"/>
            <w:hideMark/>
          </w:tcPr>
          <w:p w14:paraId="58A262E4"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MOI</w:t>
            </w:r>
          </w:p>
        </w:tc>
        <w:tc>
          <w:tcPr>
            <w:tcW w:w="6262" w:type="dxa"/>
            <w:tcBorders>
              <w:top w:val="nil"/>
              <w:left w:val="nil"/>
              <w:bottom w:val="nil"/>
              <w:right w:val="nil"/>
            </w:tcBorders>
            <w:shd w:val="clear" w:color="auto" w:fill="auto"/>
            <w:noWrap/>
            <w:vAlign w:val="bottom"/>
            <w:hideMark/>
          </w:tcPr>
          <w:p w14:paraId="68B898AC"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Multiplicity of Infection</w:t>
            </w:r>
          </w:p>
        </w:tc>
      </w:tr>
      <w:tr w:rsidR="002A4986" w:rsidRPr="002A4986" w14:paraId="078157CA" w14:textId="77777777" w:rsidTr="002A4986">
        <w:trPr>
          <w:trHeight w:val="300"/>
        </w:trPr>
        <w:tc>
          <w:tcPr>
            <w:tcW w:w="1300" w:type="dxa"/>
            <w:tcBorders>
              <w:top w:val="nil"/>
              <w:left w:val="nil"/>
              <w:bottom w:val="nil"/>
              <w:right w:val="nil"/>
            </w:tcBorders>
            <w:shd w:val="clear" w:color="auto" w:fill="auto"/>
            <w:noWrap/>
            <w:vAlign w:val="center"/>
            <w:hideMark/>
          </w:tcPr>
          <w:p w14:paraId="1E8148E3"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mRNA</w:t>
            </w:r>
          </w:p>
        </w:tc>
        <w:tc>
          <w:tcPr>
            <w:tcW w:w="6262" w:type="dxa"/>
            <w:tcBorders>
              <w:top w:val="nil"/>
              <w:left w:val="nil"/>
              <w:bottom w:val="nil"/>
              <w:right w:val="nil"/>
            </w:tcBorders>
            <w:shd w:val="clear" w:color="auto" w:fill="auto"/>
            <w:noWrap/>
            <w:vAlign w:val="bottom"/>
            <w:hideMark/>
          </w:tcPr>
          <w:p w14:paraId="60D5DCB8"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Messenger RNA</w:t>
            </w:r>
          </w:p>
        </w:tc>
      </w:tr>
      <w:tr w:rsidR="002A4986" w:rsidRPr="002A4986" w14:paraId="2DA5EC96" w14:textId="77777777" w:rsidTr="002A4986">
        <w:trPr>
          <w:trHeight w:val="300"/>
        </w:trPr>
        <w:tc>
          <w:tcPr>
            <w:tcW w:w="1300" w:type="dxa"/>
            <w:tcBorders>
              <w:top w:val="nil"/>
              <w:left w:val="nil"/>
              <w:bottom w:val="nil"/>
              <w:right w:val="nil"/>
            </w:tcBorders>
            <w:shd w:val="clear" w:color="auto" w:fill="auto"/>
            <w:noWrap/>
            <w:vAlign w:val="center"/>
            <w:hideMark/>
          </w:tcPr>
          <w:p w14:paraId="081184CD"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MTNR1A</w:t>
            </w:r>
          </w:p>
        </w:tc>
        <w:tc>
          <w:tcPr>
            <w:tcW w:w="6262" w:type="dxa"/>
            <w:tcBorders>
              <w:top w:val="nil"/>
              <w:left w:val="nil"/>
              <w:bottom w:val="nil"/>
              <w:right w:val="nil"/>
            </w:tcBorders>
            <w:shd w:val="clear" w:color="auto" w:fill="auto"/>
            <w:noWrap/>
            <w:vAlign w:val="bottom"/>
            <w:hideMark/>
          </w:tcPr>
          <w:p w14:paraId="23206A97"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Melatonin receptor 1A</w:t>
            </w:r>
          </w:p>
        </w:tc>
      </w:tr>
      <w:tr w:rsidR="002A4986" w:rsidRPr="002A4986" w14:paraId="4174DF7B" w14:textId="77777777" w:rsidTr="002A4986">
        <w:trPr>
          <w:trHeight w:val="300"/>
        </w:trPr>
        <w:tc>
          <w:tcPr>
            <w:tcW w:w="1300" w:type="dxa"/>
            <w:tcBorders>
              <w:top w:val="nil"/>
              <w:left w:val="nil"/>
              <w:bottom w:val="nil"/>
              <w:right w:val="nil"/>
            </w:tcBorders>
            <w:shd w:val="clear" w:color="auto" w:fill="auto"/>
            <w:noWrap/>
            <w:vAlign w:val="center"/>
            <w:hideMark/>
          </w:tcPr>
          <w:p w14:paraId="51720624"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MTOR1/2</w:t>
            </w:r>
          </w:p>
        </w:tc>
        <w:tc>
          <w:tcPr>
            <w:tcW w:w="6262" w:type="dxa"/>
            <w:tcBorders>
              <w:top w:val="nil"/>
              <w:left w:val="nil"/>
              <w:bottom w:val="nil"/>
              <w:right w:val="nil"/>
            </w:tcBorders>
            <w:shd w:val="clear" w:color="auto" w:fill="auto"/>
            <w:noWrap/>
            <w:vAlign w:val="bottom"/>
            <w:hideMark/>
          </w:tcPr>
          <w:p w14:paraId="1E627024"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Mammalian target of rapamycin 1/2</w:t>
            </w:r>
          </w:p>
        </w:tc>
      </w:tr>
      <w:tr w:rsidR="002A4986" w:rsidRPr="002A4986" w14:paraId="4065F46C" w14:textId="77777777" w:rsidTr="002A4986">
        <w:trPr>
          <w:trHeight w:val="300"/>
        </w:trPr>
        <w:tc>
          <w:tcPr>
            <w:tcW w:w="1300" w:type="dxa"/>
            <w:tcBorders>
              <w:top w:val="nil"/>
              <w:left w:val="nil"/>
              <w:bottom w:val="nil"/>
              <w:right w:val="nil"/>
            </w:tcBorders>
            <w:shd w:val="clear" w:color="auto" w:fill="auto"/>
            <w:noWrap/>
            <w:vAlign w:val="center"/>
            <w:hideMark/>
          </w:tcPr>
          <w:p w14:paraId="3BAE59AF"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MTORC2</w:t>
            </w:r>
          </w:p>
        </w:tc>
        <w:tc>
          <w:tcPr>
            <w:tcW w:w="6262" w:type="dxa"/>
            <w:tcBorders>
              <w:top w:val="nil"/>
              <w:left w:val="nil"/>
              <w:bottom w:val="nil"/>
              <w:right w:val="nil"/>
            </w:tcBorders>
            <w:shd w:val="clear" w:color="auto" w:fill="auto"/>
            <w:noWrap/>
            <w:vAlign w:val="bottom"/>
            <w:hideMark/>
          </w:tcPr>
          <w:p w14:paraId="2AB36CE9"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Mammalian target of rapamycin complex 2</w:t>
            </w:r>
          </w:p>
        </w:tc>
      </w:tr>
      <w:tr w:rsidR="002A4986" w:rsidRPr="002A4986" w14:paraId="6BC1AD60" w14:textId="77777777" w:rsidTr="002A4986">
        <w:trPr>
          <w:trHeight w:val="300"/>
        </w:trPr>
        <w:tc>
          <w:tcPr>
            <w:tcW w:w="1300" w:type="dxa"/>
            <w:tcBorders>
              <w:top w:val="nil"/>
              <w:left w:val="nil"/>
              <w:bottom w:val="nil"/>
              <w:right w:val="nil"/>
            </w:tcBorders>
            <w:shd w:val="clear" w:color="auto" w:fill="auto"/>
            <w:noWrap/>
            <w:vAlign w:val="center"/>
            <w:hideMark/>
          </w:tcPr>
          <w:p w14:paraId="225E9B8B"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MTT</w:t>
            </w:r>
          </w:p>
        </w:tc>
        <w:tc>
          <w:tcPr>
            <w:tcW w:w="6262" w:type="dxa"/>
            <w:tcBorders>
              <w:top w:val="nil"/>
              <w:left w:val="nil"/>
              <w:bottom w:val="nil"/>
              <w:right w:val="nil"/>
            </w:tcBorders>
            <w:shd w:val="clear" w:color="auto" w:fill="auto"/>
            <w:noWrap/>
            <w:vAlign w:val="bottom"/>
            <w:hideMark/>
          </w:tcPr>
          <w:p w14:paraId="2281E1D7"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3-(4,5-dimethylthiazol-2-yl)-2,5-diphenyltetrazolium bromide</w:t>
            </w:r>
          </w:p>
        </w:tc>
      </w:tr>
      <w:tr w:rsidR="002A4986" w:rsidRPr="002A4986" w14:paraId="7E92BB3A" w14:textId="77777777" w:rsidTr="002A4986">
        <w:trPr>
          <w:trHeight w:val="300"/>
        </w:trPr>
        <w:tc>
          <w:tcPr>
            <w:tcW w:w="1300" w:type="dxa"/>
            <w:tcBorders>
              <w:top w:val="nil"/>
              <w:left w:val="nil"/>
              <w:bottom w:val="nil"/>
              <w:right w:val="nil"/>
            </w:tcBorders>
            <w:shd w:val="clear" w:color="auto" w:fill="auto"/>
            <w:noWrap/>
            <w:vAlign w:val="center"/>
            <w:hideMark/>
          </w:tcPr>
          <w:p w14:paraId="00252587"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NACM</w:t>
            </w:r>
          </w:p>
        </w:tc>
        <w:tc>
          <w:tcPr>
            <w:tcW w:w="6262" w:type="dxa"/>
            <w:tcBorders>
              <w:top w:val="nil"/>
              <w:left w:val="nil"/>
              <w:bottom w:val="nil"/>
              <w:right w:val="nil"/>
            </w:tcBorders>
            <w:shd w:val="clear" w:color="auto" w:fill="auto"/>
            <w:noWrap/>
            <w:vAlign w:val="bottom"/>
            <w:hideMark/>
          </w:tcPr>
          <w:p w14:paraId="2C1D6404"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Neuron-astrocyte conditioned media</w:t>
            </w:r>
          </w:p>
        </w:tc>
      </w:tr>
      <w:tr w:rsidR="002A4986" w:rsidRPr="002A4986" w14:paraId="6362924C" w14:textId="77777777" w:rsidTr="002A4986">
        <w:trPr>
          <w:trHeight w:val="300"/>
        </w:trPr>
        <w:tc>
          <w:tcPr>
            <w:tcW w:w="1300" w:type="dxa"/>
            <w:tcBorders>
              <w:top w:val="nil"/>
              <w:left w:val="nil"/>
              <w:bottom w:val="nil"/>
              <w:right w:val="nil"/>
            </w:tcBorders>
            <w:shd w:val="clear" w:color="auto" w:fill="auto"/>
            <w:noWrap/>
            <w:vAlign w:val="center"/>
            <w:hideMark/>
          </w:tcPr>
          <w:p w14:paraId="5E259D20"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NAD+</w:t>
            </w:r>
          </w:p>
        </w:tc>
        <w:tc>
          <w:tcPr>
            <w:tcW w:w="6262" w:type="dxa"/>
            <w:tcBorders>
              <w:top w:val="nil"/>
              <w:left w:val="nil"/>
              <w:bottom w:val="nil"/>
              <w:right w:val="nil"/>
            </w:tcBorders>
            <w:shd w:val="clear" w:color="auto" w:fill="auto"/>
            <w:noWrap/>
            <w:vAlign w:val="bottom"/>
            <w:hideMark/>
          </w:tcPr>
          <w:p w14:paraId="6409B49B"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Nicotinamide adenine dinucleotide</w:t>
            </w:r>
          </w:p>
        </w:tc>
      </w:tr>
      <w:tr w:rsidR="002A4986" w:rsidRPr="002A4986" w14:paraId="03529B1D" w14:textId="77777777" w:rsidTr="002A4986">
        <w:trPr>
          <w:trHeight w:val="300"/>
        </w:trPr>
        <w:tc>
          <w:tcPr>
            <w:tcW w:w="1300" w:type="dxa"/>
            <w:tcBorders>
              <w:top w:val="nil"/>
              <w:left w:val="nil"/>
              <w:bottom w:val="nil"/>
              <w:right w:val="nil"/>
            </w:tcBorders>
            <w:shd w:val="clear" w:color="auto" w:fill="auto"/>
            <w:noWrap/>
            <w:vAlign w:val="center"/>
            <w:hideMark/>
          </w:tcPr>
          <w:p w14:paraId="57934E57"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NADH</w:t>
            </w:r>
          </w:p>
        </w:tc>
        <w:tc>
          <w:tcPr>
            <w:tcW w:w="6262" w:type="dxa"/>
            <w:tcBorders>
              <w:top w:val="nil"/>
              <w:left w:val="nil"/>
              <w:bottom w:val="nil"/>
              <w:right w:val="nil"/>
            </w:tcBorders>
            <w:shd w:val="clear" w:color="auto" w:fill="auto"/>
            <w:noWrap/>
            <w:vAlign w:val="bottom"/>
            <w:hideMark/>
          </w:tcPr>
          <w:p w14:paraId="49314C8D"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Nicotinamide adenine dinucleotide+ hydrogen</w:t>
            </w:r>
          </w:p>
        </w:tc>
      </w:tr>
      <w:tr w:rsidR="002A4986" w:rsidRPr="002A4986" w14:paraId="6117B0DD" w14:textId="77777777" w:rsidTr="002A4986">
        <w:trPr>
          <w:trHeight w:val="300"/>
        </w:trPr>
        <w:tc>
          <w:tcPr>
            <w:tcW w:w="1300" w:type="dxa"/>
            <w:tcBorders>
              <w:top w:val="nil"/>
              <w:left w:val="nil"/>
              <w:bottom w:val="nil"/>
              <w:right w:val="nil"/>
            </w:tcBorders>
            <w:shd w:val="clear" w:color="auto" w:fill="auto"/>
            <w:noWrap/>
            <w:vAlign w:val="center"/>
            <w:hideMark/>
          </w:tcPr>
          <w:p w14:paraId="13154B81"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NADPH</w:t>
            </w:r>
          </w:p>
        </w:tc>
        <w:tc>
          <w:tcPr>
            <w:tcW w:w="6262" w:type="dxa"/>
            <w:tcBorders>
              <w:top w:val="nil"/>
              <w:left w:val="nil"/>
              <w:bottom w:val="nil"/>
              <w:right w:val="nil"/>
            </w:tcBorders>
            <w:shd w:val="clear" w:color="auto" w:fill="auto"/>
            <w:noWrap/>
            <w:vAlign w:val="bottom"/>
            <w:hideMark/>
          </w:tcPr>
          <w:p w14:paraId="32FE4E89"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Nicotinamide adenine dinucelotide phosphate + hydrogen</w:t>
            </w:r>
          </w:p>
        </w:tc>
      </w:tr>
      <w:tr w:rsidR="002A4986" w:rsidRPr="002A4986" w14:paraId="3FD57F66" w14:textId="77777777" w:rsidTr="002A4986">
        <w:trPr>
          <w:trHeight w:val="300"/>
        </w:trPr>
        <w:tc>
          <w:tcPr>
            <w:tcW w:w="1300" w:type="dxa"/>
            <w:tcBorders>
              <w:top w:val="nil"/>
              <w:left w:val="nil"/>
              <w:bottom w:val="nil"/>
              <w:right w:val="nil"/>
            </w:tcBorders>
            <w:shd w:val="clear" w:color="auto" w:fill="auto"/>
            <w:noWrap/>
            <w:vAlign w:val="center"/>
            <w:hideMark/>
          </w:tcPr>
          <w:p w14:paraId="64E8F8FB"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NDUFA1</w:t>
            </w:r>
          </w:p>
        </w:tc>
        <w:tc>
          <w:tcPr>
            <w:tcW w:w="6262" w:type="dxa"/>
            <w:tcBorders>
              <w:top w:val="nil"/>
              <w:left w:val="nil"/>
              <w:bottom w:val="nil"/>
              <w:right w:val="nil"/>
            </w:tcBorders>
            <w:shd w:val="clear" w:color="auto" w:fill="auto"/>
            <w:noWrap/>
            <w:vAlign w:val="bottom"/>
            <w:hideMark/>
          </w:tcPr>
          <w:p w14:paraId="58A4A833"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NADH: ubiquinone oxidoreductase subunit A1</w:t>
            </w:r>
          </w:p>
        </w:tc>
      </w:tr>
      <w:tr w:rsidR="002A4986" w:rsidRPr="002A4986" w14:paraId="5B132894" w14:textId="77777777" w:rsidTr="002A4986">
        <w:trPr>
          <w:trHeight w:val="300"/>
        </w:trPr>
        <w:tc>
          <w:tcPr>
            <w:tcW w:w="1300" w:type="dxa"/>
            <w:tcBorders>
              <w:top w:val="nil"/>
              <w:left w:val="nil"/>
              <w:bottom w:val="nil"/>
              <w:right w:val="nil"/>
            </w:tcBorders>
            <w:shd w:val="clear" w:color="auto" w:fill="auto"/>
            <w:noWrap/>
            <w:vAlign w:val="center"/>
            <w:hideMark/>
          </w:tcPr>
          <w:p w14:paraId="7C8541D8"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NDUFA2</w:t>
            </w:r>
          </w:p>
        </w:tc>
        <w:tc>
          <w:tcPr>
            <w:tcW w:w="6262" w:type="dxa"/>
            <w:tcBorders>
              <w:top w:val="nil"/>
              <w:left w:val="nil"/>
              <w:bottom w:val="nil"/>
              <w:right w:val="nil"/>
            </w:tcBorders>
            <w:shd w:val="clear" w:color="auto" w:fill="auto"/>
            <w:noWrap/>
            <w:vAlign w:val="bottom"/>
            <w:hideMark/>
          </w:tcPr>
          <w:p w14:paraId="1F3BFAD9"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NADH: ubiquinone oxidoreductase subunit A2</w:t>
            </w:r>
          </w:p>
        </w:tc>
      </w:tr>
      <w:tr w:rsidR="002A4986" w:rsidRPr="002A4986" w14:paraId="6525B90F" w14:textId="77777777" w:rsidTr="002A4986">
        <w:trPr>
          <w:trHeight w:val="300"/>
        </w:trPr>
        <w:tc>
          <w:tcPr>
            <w:tcW w:w="1300" w:type="dxa"/>
            <w:tcBorders>
              <w:top w:val="nil"/>
              <w:left w:val="nil"/>
              <w:bottom w:val="nil"/>
              <w:right w:val="nil"/>
            </w:tcBorders>
            <w:shd w:val="clear" w:color="auto" w:fill="auto"/>
            <w:noWrap/>
            <w:vAlign w:val="center"/>
            <w:hideMark/>
          </w:tcPr>
          <w:p w14:paraId="09089621"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NDUFAB1</w:t>
            </w:r>
          </w:p>
        </w:tc>
        <w:tc>
          <w:tcPr>
            <w:tcW w:w="6262" w:type="dxa"/>
            <w:tcBorders>
              <w:top w:val="nil"/>
              <w:left w:val="nil"/>
              <w:bottom w:val="nil"/>
              <w:right w:val="nil"/>
            </w:tcBorders>
            <w:shd w:val="clear" w:color="auto" w:fill="auto"/>
            <w:noWrap/>
            <w:vAlign w:val="bottom"/>
            <w:hideMark/>
          </w:tcPr>
          <w:p w14:paraId="297413BB"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NADH: ubiquinone oxidoreductase subunit AB1</w:t>
            </w:r>
          </w:p>
        </w:tc>
      </w:tr>
      <w:tr w:rsidR="002A4986" w:rsidRPr="002A4986" w14:paraId="14D97884" w14:textId="77777777" w:rsidTr="002A4986">
        <w:trPr>
          <w:trHeight w:val="300"/>
        </w:trPr>
        <w:tc>
          <w:tcPr>
            <w:tcW w:w="1300" w:type="dxa"/>
            <w:tcBorders>
              <w:top w:val="nil"/>
              <w:left w:val="nil"/>
              <w:bottom w:val="nil"/>
              <w:right w:val="nil"/>
            </w:tcBorders>
            <w:shd w:val="clear" w:color="auto" w:fill="auto"/>
            <w:noWrap/>
            <w:vAlign w:val="center"/>
            <w:hideMark/>
          </w:tcPr>
          <w:p w14:paraId="73396344"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NDUFB3</w:t>
            </w:r>
          </w:p>
        </w:tc>
        <w:tc>
          <w:tcPr>
            <w:tcW w:w="6262" w:type="dxa"/>
            <w:tcBorders>
              <w:top w:val="nil"/>
              <w:left w:val="nil"/>
              <w:bottom w:val="nil"/>
              <w:right w:val="nil"/>
            </w:tcBorders>
            <w:shd w:val="clear" w:color="auto" w:fill="auto"/>
            <w:noWrap/>
            <w:vAlign w:val="bottom"/>
            <w:hideMark/>
          </w:tcPr>
          <w:p w14:paraId="7BA21A57"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NADH: ubiquinone oxidoreductase subunit B3</w:t>
            </w:r>
          </w:p>
        </w:tc>
      </w:tr>
      <w:tr w:rsidR="002A4986" w:rsidRPr="002A4986" w14:paraId="43EBFFC3" w14:textId="77777777" w:rsidTr="002A4986">
        <w:trPr>
          <w:trHeight w:val="300"/>
        </w:trPr>
        <w:tc>
          <w:tcPr>
            <w:tcW w:w="1300" w:type="dxa"/>
            <w:tcBorders>
              <w:top w:val="nil"/>
              <w:left w:val="nil"/>
              <w:bottom w:val="nil"/>
              <w:right w:val="nil"/>
            </w:tcBorders>
            <w:shd w:val="clear" w:color="auto" w:fill="auto"/>
            <w:noWrap/>
            <w:vAlign w:val="center"/>
            <w:hideMark/>
          </w:tcPr>
          <w:p w14:paraId="75F10BA2"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NDUFB6</w:t>
            </w:r>
          </w:p>
        </w:tc>
        <w:tc>
          <w:tcPr>
            <w:tcW w:w="6262" w:type="dxa"/>
            <w:tcBorders>
              <w:top w:val="nil"/>
              <w:left w:val="nil"/>
              <w:bottom w:val="nil"/>
              <w:right w:val="nil"/>
            </w:tcBorders>
            <w:shd w:val="clear" w:color="auto" w:fill="auto"/>
            <w:noWrap/>
            <w:vAlign w:val="bottom"/>
            <w:hideMark/>
          </w:tcPr>
          <w:p w14:paraId="3B584215"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NADH: ubiquinone oxidoreductase subunit B6</w:t>
            </w:r>
          </w:p>
        </w:tc>
      </w:tr>
      <w:tr w:rsidR="002A4986" w:rsidRPr="002A4986" w14:paraId="57A12BFA" w14:textId="77777777" w:rsidTr="002A4986">
        <w:trPr>
          <w:trHeight w:val="300"/>
        </w:trPr>
        <w:tc>
          <w:tcPr>
            <w:tcW w:w="1300" w:type="dxa"/>
            <w:tcBorders>
              <w:top w:val="nil"/>
              <w:left w:val="nil"/>
              <w:bottom w:val="nil"/>
              <w:right w:val="nil"/>
            </w:tcBorders>
            <w:shd w:val="clear" w:color="auto" w:fill="auto"/>
            <w:noWrap/>
            <w:vAlign w:val="center"/>
            <w:hideMark/>
          </w:tcPr>
          <w:p w14:paraId="4FBFB767"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NDUFS4</w:t>
            </w:r>
          </w:p>
        </w:tc>
        <w:tc>
          <w:tcPr>
            <w:tcW w:w="6262" w:type="dxa"/>
            <w:tcBorders>
              <w:top w:val="nil"/>
              <w:left w:val="nil"/>
              <w:bottom w:val="nil"/>
              <w:right w:val="nil"/>
            </w:tcBorders>
            <w:shd w:val="clear" w:color="auto" w:fill="auto"/>
            <w:noWrap/>
            <w:vAlign w:val="bottom"/>
            <w:hideMark/>
          </w:tcPr>
          <w:p w14:paraId="08EBC2E9"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NADH: ubiquinone oxidoreductase subunit S4</w:t>
            </w:r>
          </w:p>
        </w:tc>
      </w:tr>
      <w:tr w:rsidR="002A4986" w:rsidRPr="002A4986" w14:paraId="26B6F1F1" w14:textId="77777777" w:rsidTr="002A4986">
        <w:trPr>
          <w:trHeight w:val="300"/>
        </w:trPr>
        <w:tc>
          <w:tcPr>
            <w:tcW w:w="1300" w:type="dxa"/>
            <w:tcBorders>
              <w:top w:val="nil"/>
              <w:left w:val="nil"/>
              <w:bottom w:val="nil"/>
              <w:right w:val="nil"/>
            </w:tcBorders>
            <w:shd w:val="clear" w:color="auto" w:fill="auto"/>
            <w:noWrap/>
            <w:vAlign w:val="center"/>
            <w:hideMark/>
          </w:tcPr>
          <w:p w14:paraId="5D20ECA9"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NeuN</w:t>
            </w:r>
          </w:p>
        </w:tc>
        <w:tc>
          <w:tcPr>
            <w:tcW w:w="6262" w:type="dxa"/>
            <w:tcBorders>
              <w:top w:val="nil"/>
              <w:left w:val="nil"/>
              <w:bottom w:val="nil"/>
              <w:right w:val="nil"/>
            </w:tcBorders>
            <w:shd w:val="clear" w:color="auto" w:fill="auto"/>
            <w:noWrap/>
            <w:vAlign w:val="bottom"/>
            <w:hideMark/>
          </w:tcPr>
          <w:p w14:paraId="5323FD3D"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Hexaribonucleotide binding protein-3</w:t>
            </w:r>
          </w:p>
        </w:tc>
      </w:tr>
      <w:tr w:rsidR="002A4986" w:rsidRPr="002A4986" w14:paraId="42BD7C34" w14:textId="77777777" w:rsidTr="002A4986">
        <w:trPr>
          <w:trHeight w:val="300"/>
        </w:trPr>
        <w:tc>
          <w:tcPr>
            <w:tcW w:w="1300" w:type="dxa"/>
            <w:tcBorders>
              <w:top w:val="nil"/>
              <w:left w:val="nil"/>
              <w:bottom w:val="nil"/>
              <w:right w:val="nil"/>
            </w:tcBorders>
            <w:shd w:val="clear" w:color="auto" w:fill="auto"/>
            <w:noWrap/>
            <w:vAlign w:val="center"/>
            <w:hideMark/>
          </w:tcPr>
          <w:p w14:paraId="536C69CA"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NFL</w:t>
            </w:r>
          </w:p>
        </w:tc>
        <w:tc>
          <w:tcPr>
            <w:tcW w:w="6262" w:type="dxa"/>
            <w:tcBorders>
              <w:top w:val="nil"/>
              <w:left w:val="nil"/>
              <w:bottom w:val="nil"/>
              <w:right w:val="nil"/>
            </w:tcBorders>
            <w:shd w:val="clear" w:color="auto" w:fill="auto"/>
            <w:noWrap/>
            <w:vAlign w:val="bottom"/>
            <w:hideMark/>
          </w:tcPr>
          <w:p w14:paraId="01234FEA"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Neurofilament light</w:t>
            </w:r>
          </w:p>
        </w:tc>
      </w:tr>
      <w:tr w:rsidR="002A4986" w:rsidRPr="002A4986" w14:paraId="45ECFA16" w14:textId="77777777" w:rsidTr="002A4986">
        <w:trPr>
          <w:trHeight w:val="300"/>
        </w:trPr>
        <w:tc>
          <w:tcPr>
            <w:tcW w:w="1300" w:type="dxa"/>
            <w:tcBorders>
              <w:top w:val="nil"/>
              <w:left w:val="nil"/>
              <w:bottom w:val="nil"/>
              <w:right w:val="nil"/>
            </w:tcBorders>
            <w:shd w:val="clear" w:color="auto" w:fill="auto"/>
            <w:noWrap/>
            <w:vAlign w:val="center"/>
            <w:hideMark/>
          </w:tcPr>
          <w:p w14:paraId="7A52B992"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NFT</w:t>
            </w:r>
          </w:p>
        </w:tc>
        <w:tc>
          <w:tcPr>
            <w:tcW w:w="6262" w:type="dxa"/>
            <w:tcBorders>
              <w:top w:val="nil"/>
              <w:left w:val="nil"/>
              <w:bottom w:val="nil"/>
              <w:right w:val="nil"/>
            </w:tcBorders>
            <w:shd w:val="clear" w:color="auto" w:fill="auto"/>
            <w:noWrap/>
            <w:vAlign w:val="bottom"/>
            <w:hideMark/>
          </w:tcPr>
          <w:p w14:paraId="52A603CF"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Neurofibrillary tangle</w:t>
            </w:r>
          </w:p>
        </w:tc>
      </w:tr>
      <w:tr w:rsidR="002A4986" w:rsidRPr="002A4986" w14:paraId="485CC4BF" w14:textId="77777777" w:rsidTr="002A4986">
        <w:trPr>
          <w:trHeight w:val="300"/>
        </w:trPr>
        <w:tc>
          <w:tcPr>
            <w:tcW w:w="1300" w:type="dxa"/>
            <w:tcBorders>
              <w:top w:val="nil"/>
              <w:left w:val="nil"/>
              <w:bottom w:val="nil"/>
              <w:right w:val="nil"/>
            </w:tcBorders>
            <w:shd w:val="clear" w:color="auto" w:fill="auto"/>
            <w:noWrap/>
            <w:vAlign w:val="center"/>
            <w:hideMark/>
          </w:tcPr>
          <w:p w14:paraId="2F42E853"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NIRKO</w:t>
            </w:r>
          </w:p>
        </w:tc>
        <w:tc>
          <w:tcPr>
            <w:tcW w:w="6262" w:type="dxa"/>
            <w:tcBorders>
              <w:top w:val="nil"/>
              <w:left w:val="nil"/>
              <w:bottom w:val="nil"/>
              <w:right w:val="nil"/>
            </w:tcBorders>
            <w:shd w:val="clear" w:color="auto" w:fill="auto"/>
            <w:noWrap/>
            <w:vAlign w:val="bottom"/>
            <w:hideMark/>
          </w:tcPr>
          <w:p w14:paraId="34D772D2"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Neuron-specific insulin receptor knockout</w:t>
            </w:r>
          </w:p>
        </w:tc>
      </w:tr>
      <w:tr w:rsidR="002A4986" w:rsidRPr="002A4986" w14:paraId="4971B790" w14:textId="77777777" w:rsidTr="002A4986">
        <w:trPr>
          <w:trHeight w:val="300"/>
        </w:trPr>
        <w:tc>
          <w:tcPr>
            <w:tcW w:w="1300" w:type="dxa"/>
            <w:tcBorders>
              <w:top w:val="nil"/>
              <w:left w:val="nil"/>
              <w:bottom w:val="nil"/>
              <w:right w:val="nil"/>
            </w:tcBorders>
            <w:shd w:val="clear" w:color="auto" w:fill="auto"/>
            <w:noWrap/>
            <w:vAlign w:val="center"/>
            <w:hideMark/>
          </w:tcPr>
          <w:p w14:paraId="29F4A0CA"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NO</w:t>
            </w:r>
          </w:p>
        </w:tc>
        <w:tc>
          <w:tcPr>
            <w:tcW w:w="6262" w:type="dxa"/>
            <w:tcBorders>
              <w:top w:val="nil"/>
              <w:left w:val="nil"/>
              <w:bottom w:val="nil"/>
              <w:right w:val="nil"/>
            </w:tcBorders>
            <w:shd w:val="clear" w:color="auto" w:fill="auto"/>
            <w:noWrap/>
            <w:vAlign w:val="bottom"/>
            <w:hideMark/>
          </w:tcPr>
          <w:p w14:paraId="28C93136"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Nitric oxide</w:t>
            </w:r>
          </w:p>
        </w:tc>
      </w:tr>
      <w:tr w:rsidR="002A4986" w:rsidRPr="002A4986" w14:paraId="6933893B" w14:textId="77777777" w:rsidTr="002A4986">
        <w:trPr>
          <w:trHeight w:val="300"/>
        </w:trPr>
        <w:tc>
          <w:tcPr>
            <w:tcW w:w="1300" w:type="dxa"/>
            <w:tcBorders>
              <w:top w:val="nil"/>
              <w:left w:val="nil"/>
              <w:bottom w:val="nil"/>
              <w:right w:val="nil"/>
            </w:tcBorders>
            <w:shd w:val="clear" w:color="auto" w:fill="auto"/>
            <w:noWrap/>
            <w:vAlign w:val="center"/>
            <w:hideMark/>
          </w:tcPr>
          <w:p w14:paraId="2A9BEC13"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NOS</w:t>
            </w:r>
          </w:p>
        </w:tc>
        <w:tc>
          <w:tcPr>
            <w:tcW w:w="6262" w:type="dxa"/>
            <w:tcBorders>
              <w:top w:val="nil"/>
              <w:left w:val="nil"/>
              <w:bottom w:val="nil"/>
              <w:right w:val="nil"/>
            </w:tcBorders>
            <w:shd w:val="clear" w:color="auto" w:fill="auto"/>
            <w:noWrap/>
            <w:vAlign w:val="bottom"/>
            <w:hideMark/>
          </w:tcPr>
          <w:p w14:paraId="3ABC69CC"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Nitric oxide synthase</w:t>
            </w:r>
          </w:p>
        </w:tc>
      </w:tr>
      <w:tr w:rsidR="002A4986" w:rsidRPr="002A4986" w14:paraId="3601A39D" w14:textId="77777777" w:rsidTr="002A4986">
        <w:trPr>
          <w:trHeight w:val="300"/>
        </w:trPr>
        <w:tc>
          <w:tcPr>
            <w:tcW w:w="1300" w:type="dxa"/>
            <w:tcBorders>
              <w:top w:val="nil"/>
              <w:left w:val="nil"/>
              <w:bottom w:val="nil"/>
              <w:right w:val="nil"/>
            </w:tcBorders>
            <w:shd w:val="clear" w:color="auto" w:fill="auto"/>
            <w:noWrap/>
            <w:vAlign w:val="center"/>
            <w:hideMark/>
          </w:tcPr>
          <w:p w14:paraId="79247944"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NOX1</w:t>
            </w:r>
          </w:p>
        </w:tc>
        <w:tc>
          <w:tcPr>
            <w:tcW w:w="6262" w:type="dxa"/>
            <w:tcBorders>
              <w:top w:val="nil"/>
              <w:left w:val="nil"/>
              <w:bottom w:val="nil"/>
              <w:right w:val="nil"/>
            </w:tcBorders>
            <w:shd w:val="clear" w:color="auto" w:fill="auto"/>
            <w:noWrap/>
            <w:vAlign w:val="bottom"/>
            <w:hideMark/>
          </w:tcPr>
          <w:p w14:paraId="074D27EF"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NADPH oxidase 1</w:t>
            </w:r>
          </w:p>
        </w:tc>
      </w:tr>
      <w:tr w:rsidR="002A4986" w:rsidRPr="002A4986" w14:paraId="4B1FF08C" w14:textId="77777777" w:rsidTr="002A4986">
        <w:trPr>
          <w:trHeight w:val="300"/>
        </w:trPr>
        <w:tc>
          <w:tcPr>
            <w:tcW w:w="1300" w:type="dxa"/>
            <w:tcBorders>
              <w:top w:val="nil"/>
              <w:left w:val="nil"/>
              <w:bottom w:val="nil"/>
              <w:right w:val="nil"/>
            </w:tcBorders>
            <w:shd w:val="clear" w:color="auto" w:fill="auto"/>
            <w:noWrap/>
            <w:vAlign w:val="center"/>
            <w:hideMark/>
          </w:tcPr>
          <w:p w14:paraId="77EE82D1"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NRF2</w:t>
            </w:r>
          </w:p>
        </w:tc>
        <w:tc>
          <w:tcPr>
            <w:tcW w:w="6262" w:type="dxa"/>
            <w:tcBorders>
              <w:top w:val="nil"/>
              <w:left w:val="nil"/>
              <w:bottom w:val="nil"/>
              <w:right w:val="nil"/>
            </w:tcBorders>
            <w:shd w:val="clear" w:color="auto" w:fill="auto"/>
            <w:noWrap/>
            <w:vAlign w:val="bottom"/>
            <w:hideMark/>
          </w:tcPr>
          <w:p w14:paraId="141D8264"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Nuclear factor (erythroid-derived 2)-like 2</w:t>
            </w:r>
          </w:p>
        </w:tc>
      </w:tr>
      <w:tr w:rsidR="002A4986" w:rsidRPr="002A4986" w14:paraId="4213EEDF" w14:textId="77777777" w:rsidTr="002A4986">
        <w:trPr>
          <w:trHeight w:val="300"/>
        </w:trPr>
        <w:tc>
          <w:tcPr>
            <w:tcW w:w="1300" w:type="dxa"/>
            <w:tcBorders>
              <w:top w:val="nil"/>
              <w:left w:val="nil"/>
              <w:bottom w:val="nil"/>
              <w:right w:val="nil"/>
            </w:tcBorders>
            <w:shd w:val="clear" w:color="auto" w:fill="auto"/>
            <w:noWrap/>
            <w:vAlign w:val="center"/>
            <w:hideMark/>
          </w:tcPr>
          <w:p w14:paraId="235C09DF"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nSMase2</w:t>
            </w:r>
          </w:p>
        </w:tc>
        <w:tc>
          <w:tcPr>
            <w:tcW w:w="6262" w:type="dxa"/>
            <w:tcBorders>
              <w:top w:val="nil"/>
              <w:left w:val="nil"/>
              <w:bottom w:val="nil"/>
              <w:right w:val="nil"/>
            </w:tcBorders>
            <w:shd w:val="clear" w:color="auto" w:fill="auto"/>
            <w:noWrap/>
            <w:vAlign w:val="bottom"/>
            <w:hideMark/>
          </w:tcPr>
          <w:p w14:paraId="1CF36FC7"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Sphingomyelin phosphodiesterase 2</w:t>
            </w:r>
          </w:p>
        </w:tc>
      </w:tr>
      <w:tr w:rsidR="002A4986" w:rsidRPr="002A4986" w14:paraId="5539CB43" w14:textId="77777777" w:rsidTr="002A4986">
        <w:trPr>
          <w:trHeight w:val="300"/>
        </w:trPr>
        <w:tc>
          <w:tcPr>
            <w:tcW w:w="1300" w:type="dxa"/>
            <w:tcBorders>
              <w:top w:val="nil"/>
              <w:left w:val="nil"/>
              <w:bottom w:val="nil"/>
              <w:right w:val="nil"/>
            </w:tcBorders>
            <w:shd w:val="clear" w:color="auto" w:fill="auto"/>
            <w:noWrap/>
            <w:vAlign w:val="center"/>
            <w:hideMark/>
          </w:tcPr>
          <w:p w14:paraId="11BFC917"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NTC</w:t>
            </w:r>
          </w:p>
        </w:tc>
        <w:tc>
          <w:tcPr>
            <w:tcW w:w="6262" w:type="dxa"/>
            <w:tcBorders>
              <w:top w:val="nil"/>
              <w:left w:val="nil"/>
              <w:bottom w:val="nil"/>
              <w:right w:val="nil"/>
            </w:tcBorders>
            <w:shd w:val="clear" w:color="auto" w:fill="auto"/>
            <w:noWrap/>
            <w:vAlign w:val="bottom"/>
            <w:hideMark/>
          </w:tcPr>
          <w:p w14:paraId="0592364D"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No template control</w:t>
            </w:r>
          </w:p>
        </w:tc>
      </w:tr>
      <w:tr w:rsidR="002A4986" w:rsidRPr="002A4986" w14:paraId="2F25B10D" w14:textId="77777777" w:rsidTr="002A4986">
        <w:trPr>
          <w:trHeight w:val="300"/>
        </w:trPr>
        <w:tc>
          <w:tcPr>
            <w:tcW w:w="1300" w:type="dxa"/>
            <w:tcBorders>
              <w:top w:val="nil"/>
              <w:left w:val="nil"/>
              <w:bottom w:val="nil"/>
              <w:right w:val="nil"/>
            </w:tcBorders>
            <w:shd w:val="clear" w:color="auto" w:fill="auto"/>
            <w:noWrap/>
            <w:vAlign w:val="center"/>
            <w:hideMark/>
          </w:tcPr>
          <w:p w14:paraId="2537B863"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P2X7</w:t>
            </w:r>
          </w:p>
        </w:tc>
        <w:tc>
          <w:tcPr>
            <w:tcW w:w="6262" w:type="dxa"/>
            <w:tcBorders>
              <w:top w:val="nil"/>
              <w:left w:val="nil"/>
              <w:bottom w:val="nil"/>
              <w:right w:val="nil"/>
            </w:tcBorders>
            <w:shd w:val="clear" w:color="auto" w:fill="auto"/>
            <w:noWrap/>
            <w:vAlign w:val="bottom"/>
            <w:hideMark/>
          </w:tcPr>
          <w:p w14:paraId="65A968C8"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P2X purinoreceptor 7</w:t>
            </w:r>
          </w:p>
        </w:tc>
      </w:tr>
      <w:tr w:rsidR="002A4986" w:rsidRPr="002A4986" w14:paraId="4E03C51D" w14:textId="77777777" w:rsidTr="002A4986">
        <w:trPr>
          <w:trHeight w:val="300"/>
        </w:trPr>
        <w:tc>
          <w:tcPr>
            <w:tcW w:w="1300" w:type="dxa"/>
            <w:tcBorders>
              <w:top w:val="nil"/>
              <w:left w:val="nil"/>
              <w:bottom w:val="nil"/>
              <w:right w:val="nil"/>
            </w:tcBorders>
            <w:shd w:val="clear" w:color="auto" w:fill="auto"/>
            <w:noWrap/>
            <w:vAlign w:val="center"/>
            <w:hideMark/>
          </w:tcPr>
          <w:p w14:paraId="540604E1"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P2Y1</w:t>
            </w:r>
          </w:p>
        </w:tc>
        <w:tc>
          <w:tcPr>
            <w:tcW w:w="6262" w:type="dxa"/>
            <w:tcBorders>
              <w:top w:val="nil"/>
              <w:left w:val="nil"/>
              <w:bottom w:val="nil"/>
              <w:right w:val="nil"/>
            </w:tcBorders>
            <w:shd w:val="clear" w:color="auto" w:fill="auto"/>
            <w:noWrap/>
            <w:vAlign w:val="bottom"/>
            <w:hideMark/>
          </w:tcPr>
          <w:p w14:paraId="05F61EAF"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P2Y purinoreceptor 1</w:t>
            </w:r>
          </w:p>
        </w:tc>
      </w:tr>
      <w:tr w:rsidR="002A4986" w:rsidRPr="002A4986" w14:paraId="03673D25" w14:textId="77777777" w:rsidTr="002A4986">
        <w:trPr>
          <w:trHeight w:val="300"/>
        </w:trPr>
        <w:tc>
          <w:tcPr>
            <w:tcW w:w="1300" w:type="dxa"/>
            <w:tcBorders>
              <w:top w:val="nil"/>
              <w:left w:val="nil"/>
              <w:bottom w:val="nil"/>
              <w:right w:val="nil"/>
            </w:tcBorders>
            <w:shd w:val="clear" w:color="auto" w:fill="auto"/>
            <w:noWrap/>
            <w:vAlign w:val="center"/>
            <w:hideMark/>
          </w:tcPr>
          <w:p w14:paraId="01ADC374"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PAP</w:t>
            </w:r>
          </w:p>
        </w:tc>
        <w:tc>
          <w:tcPr>
            <w:tcW w:w="6262" w:type="dxa"/>
            <w:tcBorders>
              <w:top w:val="nil"/>
              <w:left w:val="nil"/>
              <w:bottom w:val="nil"/>
              <w:right w:val="nil"/>
            </w:tcBorders>
            <w:shd w:val="clear" w:color="auto" w:fill="auto"/>
            <w:noWrap/>
            <w:vAlign w:val="bottom"/>
            <w:hideMark/>
          </w:tcPr>
          <w:p w14:paraId="022FEB6C"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Peripheral astrocyte processes</w:t>
            </w:r>
          </w:p>
        </w:tc>
      </w:tr>
      <w:tr w:rsidR="002A4986" w:rsidRPr="002A4986" w14:paraId="31E72D9B" w14:textId="77777777" w:rsidTr="002A4986">
        <w:trPr>
          <w:trHeight w:val="300"/>
        </w:trPr>
        <w:tc>
          <w:tcPr>
            <w:tcW w:w="1300" w:type="dxa"/>
            <w:tcBorders>
              <w:top w:val="nil"/>
              <w:left w:val="nil"/>
              <w:bottom w:val="nil"/>
              <w:right w:val="nil"/>
            </w:tcBorders>
            <w:shd w:val="clear" w:color="auto" w:fill="auto"/>
            <w:noWrap/>
            <w:vAlign w:val="center"/>
            <w:hideMark/>
          </w:tcPr>
          <w:p w14:paraId="2AA173AE"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PAR4</w:t>
            </w:r>
          </w:p>
        </w:tc>
        <w:tc>
          <w:tcPr>
            <w:tcW w:w="6262" w:type="dxa"/>
            <w:tcBorders>
              <w:top w:val="nil"/>
              <w:left w:val="nil"/>
              <w:bottom w:val="nil"/>
              <w:right w:val="nil"/>
            </w:tcBorders>
            <w:shd w:val="clear" w:color="auto" w:fill="auto"/>
            <w:noWrap/>
            <w:vAlign w:val="bottom"/>
            <w:hideMark/>
          </w:tcPr>
          <w:p w14:paraId="0EDF91C0"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Prader Willi/Angelman region RNA 4</w:t>
            </w:r>
          </w:p>
        </w:tc>
      </w:tr>
      <w:tr w:rsidR="002A4986" w:rsidRPr="002A4986" w14:paraId="243926B5" w14:textId="77777777" w:rsidTr="002A4986">
        <w:trPr>
          <w:trHeight w:val="300"/>
        </w:trPr>
        <w:tc>
          <w:tcPr>
            <w:tcW w:w="1300" w:type="dxa"/>
            <w:tcBorders>
              <w:top w:val="nil"/>
              <w:left w:val="nil"/>
              <w:bottom w:val="nil"/>
              <w:right w:val="nil"/>
            </w:tcBorders>
            <w:shd w:val="clear" w:color="auto" w:fill="auto"/>
            <w:noWrap/>
            <w:vAlign w:val="center"/>
            <w:hideMark/>
          </w:tcPr>
          <w:p w14:paraId="0CCD7402"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PBS</w:t>
            </w:r>
          </w:p>
        </w:tc>
        <w:tc>
          <w:tcPr>
            <w:tcW w:w="6262" w:type="dxa"/>
            <w:tcBorders>
              <w:top w:val="nil"/>
              <w:left w:val="nil"/>
              <w:bottom w:val="nil"/>
              <w:right w:val="nil"/>
            </w:tcBorders>
            <w:shd w:val="clear" w:color="auto" w:fill="auto"/>
            <w:noWrap/>
            <w:vAlign w:val="bottom"/>
            <w:hideMark/>
          </w:tcPr>
          <w:p w14:paraId="40E820A5"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Phosphate-buffered saline</w:t>
            </w:r>
          </w:p>
        </w:tc>
      </w:tr>
      <w:tr w:rsidR="002A4986" w:rsidRPr="002A4986" w14:paraId="01360813" w14:textId="77777777" w:rsidTr="002A4986">
        <w:trPr>
          <w:trHeight w:val="300"/>
        </w:trPr>
        <w:tc>
          <w:tcPr>
            <w:tcW w:w="1300" w:type="dxa"/>
            <w:tcBorders>
              <w:top w:val="nil"/>
              <w:left w:val="nil"/>
              <w:bottom w:val="nil"/>
              <w:right w:val="nil"/>
            </w:tcBorders>
            <w:shd w:val="clear" w:color="auto" w:fill="auto"/>
            <w:noWrap/>
            <w:vAlign w:val="center"/>
            <w:hideMark/>
          </w:tcPr>
          <w:p w14:paraId="3F8EB7EF"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PBST</w:t>
            </w:r>
          </w:p>
        </w:tc>
        <w:tc>
          <w:tcPr>
            <w:tcW w:w="6262" w:type="dxa"/>
            <w:tcBorders>
              <w:top w:val="nil"/>
              <w:left w:val="nil"/>
              <w:bottom w:val="nil"/>
              <w:right w:val="nil"/>
            </w:tcBorders>
            <w:shd w:val="clear" w:color="auto" w:fill="auto"/>
            <w:noWrap/>
            <w:vAlign w:val="bottom"/>
            <w:hideMark/>
          </w:tcPr>
          <w:p w14:paraId="61331EEB"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Phosphate-buffered saline with tween</w:t>
            </w:r>
          </w:p>
        </w:tc>
      </w:tr>
      <w:tr w:rsidR="002A4986" w:rsidRPr="002A4986" w14:paraId="34F1C8C8" w14:textId="77777777" w:rsidTr="002A4986">
        <w:trPr>
          <w:trHeight w:val="300"/>
        </w:trPr>
        <w:tc>
          <w:tcPr>
            <w:tcW w:w="1300" w:type="dxa"/>
            <w:tcBorders>
              <w:top w:val="nil"/>
              <w:left w:val="nil"/>
              <w:bottom w:val="nil"/>
              <w:right w:val="nil"/>
            </w:tcBorders>
            <w:shd w:val="clear" w:color="auto" w:fill="auto"/>
            <w:noWrap/>
            <w:vAlign w:val="center"/>
            <w:hideMark/>
          </w:tcPr>
          <w:p w14:paraId="10E06732"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PCA</w:t>
            </w:r>
          </w:p>
        </w:tc>
        <w:tc>
          <w:tcPr>
            <w:tcW w:w="6262" w:type="dxa"/>
            <w:tcBorders>
              <w:top w:val="nil"/>
              <w:left w:val="nil"/>
              <w:bottom w:val="nil"/>
              <w:right w:val="nil"/>
            </w:tcBorders>
            <w:shd w:val="clear" w:color="auto" w:fill="auto"/>
            <w:noWrap/>
            <w:vAlign w:val="bottom"/>
            <w:hideMark/>
          </w:tcPr>
          <w:p w14:paraId="0BE395AD"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Principal component analysis</w:t>
            </w:r>
          </w:p>
        </w:tc>
      </w:tr>
      <w:tr w:rsidR="002A4986" w:rsidRPr="002A4986" w14:paraId="01810670" w14:textId="77777777" w:rsidTr="002A4986">
        <w:trPr>
          <w:trHeight w:val="300"/>
        </w:trPr>
        <w:tc>
          <w:tcPr>
            <w:tcW w:w="1300" w:type="dxa"/>
            <w:tcBorders>
              <w:top w:val="nil"/>
              <w:left w:val="nil"/>
              <w:bottom w:val="nil"/>
              <w:right w:val="nil"/>
            </w:tcBorders>
            <w:shd w:val="clear" w:color="auto" w:fill="auto"/>
            <w:noWrap/>
            <w:vAlign w:val="center"/>
            <w:hideMark/>
          </w:tcPr>
          <w:p w14:paraId="3AB061F5"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PCR</w:t>
            </w:r>
          </w:p>
        </w:tc>
        <w:tc>
          <w:tcPr>
            <w:tcW w:w="6262" w:type="dxa"/>
            <w:tcBorders>
              <w:top w:val="nil"/>
              <w:left w:val="nil"/>
              <w:bottom w:val="nil"/>
              <w:right w:val="nil"/>
            </w:tcBorders>
            <w:shd w:val="clear" w:color="auto" w:fill="auto"/>
            <w:noWrap/>
            <w:vAlign w:val="bottom"/>
            <w:hideMark/>
          </w:tcPr>
          <w:p w14:paraId="1BAAC62A"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Polymerase chain reaction</w:t>
            </w:r>
          </w:p>
        </w:tc>
      </w:tr>
      <w:tr w:rsidR="002A4986" w:rsidRPr="002A4986" w14:paraId="70D83C48" w14:textId="77777777" w:rsidTr="002A4986">
        <w:trPr>
          <w:trHeight w:val="300"/>
        </w:trPr>
        <w:tc>
          <w:tcPr>
            <w:tcW w:w="1300" w:type="dxa"/>
            <w:tcBorders>
              <w:top w:val="nil"/>
              <w:left w:val="nil"/>
              <w:bottom w:val="nil"/>
              <w:right w:val="nil"/>
            </w:tcBorders>
            <w:shd w:val="clear" w:color="auto" w:fill="auto"/>
            <w:noWrap/>
            <w:vAlign w:val="center"/>
            <w:hideMark/>
          </w:tcPr>
          <w:p w14:paraId="4DE0AD9C"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PD</w:t>
            </w:r>
          </w:p>
        </w:tc>
        <w:tc>
          <w:tcPr>
            <w:tcW w:w="6262" w:type="dxa"/>
            <w:tcBorders>
              <w:top w:val="nil"/>
              <w:left w:val="nil"/>
              <w:bottom w:val="nil"/>
              <w:right w:val="nil"/>
            </w:tcBorders>
            <w:shd w:val="clear" w:color="auto" w:fill="auto"/>
            <w:noWrap/>
            <w:vAlign w:val="bottom"/>
            <w:hideMark/>
          </w:tcPr>
          <w:p w14:paraId="3F7118FB"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Parkinson's Disease</w:t>
            </w:r>
          </w:p>
        </w:tc>
      </w:tr>
      <w:tr w:rsidR="002A4986" w:rsidRPr="002A4986" w14:paraId="40DB2A7A" w14:textId="77777777" w:rsidTr="002A4986">
        <w:trPr>
          <w:trHeight w:val="300"/>
        </w:trPr>
        <w:tc>
          <w:tcPr>
            <w:tcW w:w="1300" w:type="dxa"/>
            <w:tcBorders>
              <w:top w:val="nil"/>
              <w:left w:val="nil"/>
              <w:bottom w:val="nil"/>
              <w:right w:val="nil"/>
            </w:tcBorders>
            <w:shd w:val="clear" w:color="auto" w:fill="auto"/>
            <w:noWrap/>
            <w:vAlign w:val="center"/>
            <w:hideMark/>
          </w:tcPr>
          <w:p w14:paraId="328D93F6"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PDE4A</w:t>
            </w:r>
          </w:p>
        </w:tc>
        <w:tc>
          <w:tcPr>
            <w:tcW w:w="6262" w:type="dxa"/>
            <w:tcBorders>
              <w:top w:val="nil"/>
              <w:left w:val="nil"/>
              <w:bottom w:val="nil"/>
              <w:right w:val="nil"/>
            </w:tcBorders>
            <w:shd w:val="clear" w:color="auto" w:fill="auto"/>
            <w:noWrap/>
            <w:vAlign w:val="bottom"/>
            <w:hideMark/>
          </w:tcPr>
          <w:p w14:paraId="7C721D4E"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Phosphodiesterase 4A</w:t>
            </w:r>
          </w:p>
        </w:tc>
      </w:tr>
      <w:tr w:rsidR="002A4986" w:rsidRPr="002A4986" w14:paraId="09C90653" w14:textId="77777777" w:rsidTr="002A4986">
        <w:trPr>
          <w:trHeight w:val="300"/>
        </w:trPr>
        <w:tc>
          <w:tcPr>
            <w:tcW w:w="1300" w:type="dxa"/>
            <w:tcBorders>
              <w:top w:val="nil"/>
              <w:left w:val="nil"/>
              <w:bottom w:val="nil"/>
              <w:right w:val="nil"/>
            </w:tcBorders>
            <w:shd w:val="clear" w:color="auto" w:fill="auto"/>
            <w:noWrap/>
            <w:vAlign w:val="center"/>
            <w:hideMark/>
          </w:tcPr>
          <w:p w14:paraId="32F96EF3"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PDH</w:t>
            </w:r>
          </w:p>
        </w:tc>
        <w:tc>
          <w:tcPr>
            <w:tcW w:w="6262" w:type="dxa"/>
            <w:tcBorders>
              <w:top w:val="nil"/>
              <w:left w:val="nil"/>
              <w:bottom w:val="nil"/>
              <w:right w:val="nil"/>
            </w:tcBorders>
            <w:shd w:val="clear" w:color="auto" w:fill="auto"/>
            <w:noWrap/>
            <w:vAlign w:val="bottom"/>
            <w:hideMark/>
          </w:tcPr>
          <w:p w14:paraId="262237F2"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Pyruvate dehydrogenase</w:t>
            </w:r>
          </w:p>
        </w:tc>
      </w:tr>
      <w:tr w:rsidR="002A4986" w:rsidRPr="002A4986" w14:paraId="6A2F6D7D" w14:textId="77777777" w:rsidTr="002A4986">
        <w:trPr>
          <w:trHeight w:val="300"/>
        </w:trPr>
        <w:tc>
          <w:tcPr>
            <w:tcW w:w="1300" w:type="dxa"/>
            <w:tcBorders>
              <w:top w:val="nil"/>
              <w:left w:val="nil"/>
              <w:bottom w:val="nil"/>
              <w:right w:val="nil"/>
            </w:tcBorders>
            <w:shd w:val="clear" w:color="auto" w:fill="auto"/>
            <w:noWrap/>
            <w:vAlign w:val="center"/>
            <w:hideMark/>
          </w:tcPr>
          <w:p w14:paraId="0004559A"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PDK</w:t>
            </w:r>
          </w:p>
        </w:tc>
        <w:tc>
          <w:tcPr>
            <w:tcW w:w="6262" w:type="dxa"/>
            <w:tcBorders>
              <w:top w:val="nil"/>
              <w:left w:val="nil"/>
              <w:bottom w:val="nil"/>
              <w:right w:val="nil"/>
            </w:tcBorders>
            <w:shd w:val="clear" w:color="auto" w:fill="auto"/>
            <w:noWrap/>
            <w:vAlign w:val="bottom"/>
            <w:hideMark/>
          </w:tcPr>
          <w:p w14:paraId="4154B84E"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Pyruvate dehydrogenase kinase</w:t>
            </w:r>
          </w:p>
        </w:tc>
      </w:tr>
      <w:tr w:rsidR="002A4986" w:rsidRPr="002A4986" w14:paraId="17CA22DF" w14:textId="77777777" w:rsidTr="002A4986">
        <w:trPr>
          <w:trHeight w:val="300"/>
        </w:trPr>
        <w:tc>
          <w:tcPr>
            <w:tcW w:w="1300" w:type="dxa"/>
            <w:tcBorders>
              <w:top w:val="nil"/>
              <w:left w:val="nil"/>
              <w:bottom w:val="nil"/>
              <w:right w:val="nil"/>
            </w:tcBorders>
            <w:shd w:val="clear" w:color="auto" w:fill="auto"/>
            <w:noWrap/>
            <w:vAlign w:val="center"/>
            <w:hideMark/>
          </w:tcPr>
          <w:p w14:paraId="3888445B"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PEI</w:t>
            </w:r>
          </w:p>
        </w:tc>
        <w:tc>
          <w:tcPr>
            <w:tcW w:w="6262" w:type="dxa"/>
            <w:tcBorders>
              <w:top w:val="nil"/>
              <w:left w:val="nil"/>
              <w:bottom w:val="nil"/>
              <w:right w:val="nil"/>
            </w:tcBorders>
            <w:shd w:val="clear" w:color="auto" w:fill="auto"/>
            <w:noWrap/>
            <w:vAlign w:val="center"/>
            <w:hideMark/>
          </w:tcPr>
          <w:p w14:paraId="5EB318C5"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Polyethylenimine</w:t>
            </w:r>
          </w:p>
        </w:tc>
      </w:tr>
      <w:tr w:rsidR="002A4986" w:rsidRPr="002A4986" w14:paraId="52BCDFA7" w14:textId="77777777" w:rsidTr="002A4986">
        <w:trPr>
          <w:trHeight w:val="300"/>
        </w:trPr>
        <w:tc>
          <w:tcPr>
            <w:tcW w:w="1300" w:type="dxa"/>
            <w:tcBorders>
              <w:top w:val="nil"/>
              <w:left w:val="nil"/>
              <w:bottom w:val="nil"/>
              <w:right w:val="nil"/>
            </w:tcBorders>
            <w:shd w:val="clear" w:color="auto" w:fill="auto"/>
            <w:noWrap/>
            <w:vAlign w:val="center"/>
            <w:hideMark/>
          </w:tcPr>
          <w:p w14:paraId="40A88EAB"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PET</w:t>
            </w:r>
          </w:p>
        </w:tc>
        <w:tc>
          <w:tcPr>
            <w:tcW w:w="6262" w:type="dxa"/>
            <w:tcBorders>
              <w:top w:val="nil"/>
              <w:left w:val="nil"/>
              <w:bottom w:val="nil"/>
              <w:right w:val="nil"/>
            </w:tcBorders>
            <w:shd w:val="clear" w:color="auto" w:fill="auto"/>
            <w:noWrap/>
            <w:vAlign w:val="bottom"/>
            <w:hideMark/>
          </w:tcPr>
          <w:p w14:paraId="1D75FECE"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Positron emission tomography</w:t>
            </w:r>
          </w:p>
        </w:tc>
      </w:tr>
      <w:tr w:rsidR="002A4986" w:rsidRPr="002A4986" w14:paraId="4A02A909" w14:textId="77777777" w:rsidTr="002A4986">
        <w:trPr>
          <w:trHeight w:val="300"/>
        </w:trPr>
        <w:tc>
          <w:tcPr>
            <w:tcW w:w="1300" w:type="dxa"/>
            <w:tcBorders>
              <w:top w:val="nil"/>
              <w:left w:val="nil"/>
              <w:bottom w:val="nil"/>
              <w:right w:val="nil"/>
            </w:tcBorders>
            <w:shd w:val="clear" w:color="auto" w:fill="auto"/>
            <w:noWrap/>
            <w:vAlign w:val="center"/>
            <w:hideMark/>
          </w:tcPr>
          <w:p w14:paraId="32DCFA10"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PFA</w:t>
            </w:r>
          </w:p>
        </w:tc>
        <w:tc>
          <w:tcPr>
            <w:tcW w:w="6262" w:type="dxa"/>
            <w:tcBorders>
              <w:top w:val="nil"/>
              <w:left w:val="nil"/>
              <w:bottom w:val="nil"/>
              <w:right w:val="nil"/>
            </w:tcBorders>
            <w:shd w:val="clear" w:color="auto" w:fill="auto"/>
            <w:noWrap/>
            <w:vAlign w:val="bottom"/>
            <w:hideMark/>
          </w:tcPr>
          <w:p w14:paraId="6271FCF8"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Paraformaldehyde</w:t>
            </w:r>
          </w:p>
        </w:tc>
      </w:tr>
      <w:tr w:rsidR="002A4986" w:rsidRPr="002A4986" w14:paraId="6F86B731" w14:textId="77777777" w:rsidTr="002A4986">
        <w:trPr>
          <w:trHeight w:val="300"/>
        </w:trPr>
        <w:tc>
          <w:tcPr>
            <w:tcW w:w="1300" w:type="dxa"/>
            <w:tcBorders>
              <w:top w:val="nil"/>
              <w:left w:val="nil"/>
              <w:bottom w:val="nil"/>
              <w:right w:val="nil"/>
            </w:tcBorders>
            <w:shd w:val="clear" w:color="auto" w:fill="auto"/>
            <w:noWrap/>
            <w:vAlign w:val="center"/>
            <w:hideMark/>
          </w:tcPr>
          <w:p w14:paraId="631B8A2C"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PFK</w:t>
            </w:r>
          </w:p>
        </w:tc>
        <w:tc>
          <w:tcPr>
            <w:tcW w:w="6262" w:type="dxa"/>
            <w:tcBorders>
              <w:top w:val="nil"/>
              <w:left w:val="nil"/>
              <w:bottom w:val="nil"/>
              <w:right w:val="nil"/>
            </w:tcBorders>
            <w:shd w:val="clear" w:color="auto" w:fill="auto"/>
            <w:noWrap/>
            <w:vAlign w:val="bottom"/>
            <w:hideMark/>
          </w:tcPr>
          <w:p w14:paraId="329093E6"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Phosphofructokinase</w:t>
            </w:r>
          </w:p>
        </w:tc>
      </w:tr>
      <w:tr w:rsidR="002A4986" w:rsidRPr="002A4986" w14:paraId="465D7A12" w14:textId="77777777" w:rsidTr="002A4986">
        <w:trPr>
          <w:trHeight w:val="300"/>
        </w:trPr>
        <w:tc>
          <w:tcPr>
            <w:tcW w:w="1300" w:type="dxa"/>
            <w:tcBorders>
              <w:top w:val="nil"/>
              <w:left w:val="nil"/>
              <w:bottom w:val="nil"/>
              <w:right w:val="nil"/>
            </w:tcBorders>
            <w:shd w:val="clear" w:color="auto" w:fill="auto"/>
            <w:noWrap/>
            <w:vAlign w:val="bottom"/>
            <w:hideMark/>
          </w:tcPr>
          <w:p w14:paraId="1E2ECE6F"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PGK</w:t>
            </w:r>
          </w:p>
        </w:tc>
        <w:tc>
          <w:tcPr>
            <w:tcW w:w="6262" w:type="dxa"/>
            <w:tcBorders>
              <w:top w:val="nil"/>
              <w:left w:val="nil"/>
              <w:bottom w:val="nil"/>
              <w:right w:val="nil"/>
            </w:tcBorders>
            <w:shd w:val="clear" w:color="auto" w:fill="auto"/>
            <w:noWrap/>
            <w:vAlign w:val="bottom"/>
            <w:hideMark/>
          </w:tcPr>
          <w:p w14:paraId="04B24714"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Phosphoglycerate kinase</w:t>
            </w:r>
          </w:p>
        </w:tc>
      </w:tr>
      <w:tr w:rsidR="002A4986" w:rsidRPr="002A4986" w14:paraId="2A3BC661" w14:textId="77777777" w:rsidTr="002A4986">
        <w:trPr>
          <w:trHeight w:val="300"/>
        </w:trPr>
        <w:tc>
          <w:tcPr>
            <w:tcW w:w="1300" w:type="dxa"/>
            <w:tcBorders>
              <w:top w:val="nil"/>
              <w:left w:val="nil"/>
              <w:bottom w:val="nil"/>
              <w:right w:val="nil"/>
            </w:tcBorders>
            <w:shd w:val="clear" w:color="auto" w:fill="auto"/>
            <w:noWrap/>
            <w:vAlign w:val="center"/>
            <w:hideMark/>
          </w:tcPr>
          <w:p w14:paraId="0B20DA09"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PI3K</w:t>
            </w:r>
          </w:p>
        </w:tc>
        <w:tc>
          <w:tcPr>
            <w:tcW w:w="6262" w:type="dxa"/>
            <w:tcBorders>
              <w:top w:val="nil"/>
              <w:left w:val="nil"/>
              <w:bottom w:val="nil"/>
              <w:right w:val="nil"/>
            </w:tcBorders>
            <w:shd w:val="clear" w:color="auto" w:fill="auto"/>
            <w:noWrap/>
            <w:vAlign w:val="bottom"/>
            <w:hideMark/>
          </w:tcPr>
          <w:p w14:paraId="0659486A"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Phosphoinositide 3-kinase</w:t>
            </w:r>
          </w:p>
        </w:tc>
      </w:tr>
      <w:tr w:rsidR="002A4986" w:rsidRPr="002A4986" w14:paraId="2DDBE83C" w14:textId="77777777" w:rsidTr="002A4986">
        <w:trPr>
          <w:trHeight w:val="300"/>
        </w:trPr>
        <w:tc>
          <w:tcPr>
            <w:tcW w:w="1300" w:type="dxa"/>
            <w:tcBorders>
              <w:top w:val="nil"/>
              <w:left w:val="nil"/>
              <w:bottom w:val="nil"/>
              <w:right w:val="nil"/>
            </w:tcBorders>
            <w:shd w:val="clear" w:color="auto" w:fill="auto"/>
            <w:noWrap/>
            <w:vAlign w:val="center"/>
            <w:hideMark/>
          </w:tcPr>
          <w:p w14:paraId="52362FBC"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PIP</w:t>
            </w:r>
            <w:r w:rsidRPr="002A4986">
              <w:rPr>
                <w:rFonts w:ascii="Times New Roman" w:eastAsia="Times New Roman" w:hAnsi="Times New Roman" w:cs="Times New Roman"/>
                <w:b/>
                <w:bCs/>
                <w:color w:val="000000"/>
                <w:sz w:val="12"/>
                <w:szCs w:val="12"/>
                <w:lang w:val="en-GB"/>
              </w:rPr>
              <w:t>2</w:t>
            </w:r>
          </w:p>
        </w:tc>
        <w:tc>
          <w:tcPr>
            <w:tcW w:w="6262" w:type="dxa"/>
            <w:tcBorders>
              <w:top w:val="nil"/>
              <w:left w:val="nil"/>
              <w:bottom w:val="nil"/>
              <w:right w:val="nil"/>
            </w:tcBorders>
            <w:shd w:val="clear" w:color="auto" w:fill="auto"/>
            <w:noWrap/>
            <w:vAlign w:val="bottom"/>
            <w:hideMark/>
          </w:tcPr>
          <w:p w14:paraId="03D2177E"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 xml:space="preserve">Phosphatidylinositol 4,5-bisphosphate </w:t>
            </w:r>
          </w:p>
        </w:tc>
      </w:tr>
      <w:tr w:rsidR="002A4986" w:rsidRPr="002A4986" w14:paraId="33056728" w14:textId="77777777" w:rsidTr="002A4986">
        <w:trPr>
          <w:trHeight w:val="300"/>
        </w:trPr>
        <w:tc>
          <w:tcPr>
            <w:tcW w:w="1300" w:type="dxa"/>
            <w:tcBorders>
              <w:top w:val="nil"/>
              <w:left w:val="nil"/>
              <w:bottom w:val="nil"/>
              <w:right w:val="nil"/>
            </w:tcBorders>
            <w:shd w:val="clear" w:color="auto" w:fill="auto"/>
            <w:noWrap/>
            <w:vAlign w:val="center"/>
            <w:hideMark/>
          </w:tcPr>
          <w:p w14:paraId="686906C2"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PIP</w:t>
            </w:r>
            <w:r w:rsidRPr="002A4986">
              <w:rPr>
                <w:rFonts w:ascii="Times New Roman" w:eastAsia="Times New Roman" w:hAnsi="Times New Roman" w:cs="Times New Roman"/>
                <w:b/>
                <w:bCs/>
                <w:color w:val="000000"/>
                <w:sz w:val="12"/>
                <w:szCs w:val="12"/>
                <w:lang w:val="en-GB"/>
              </w:rPr>
              <w:t>3</w:t>
            </w:r>
          </w:p>
        </w:tc>
        <w:tc>
          <w:tcPr>
            <w:tcW w:w="6262" w:type="dxa"/>
            <w:tcBorders>
              <w:top w:val="nil"/>
              <w:left w:val="nil"/>
              <w:bottom w:val="nil"/>
              <w:right w:val="nil"/>
            </w:tcBorders>
            <w:shd w:val="clear" w:color="auto" w:fill="auto"/>
            <w:noWrap/>
            <w:vAlign w:val="bottom"/>
            <w:hideMark/>
          </w:tcPr>
          <w:p w14:paraId="20352CD3"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 xml:space="preserve">Phosphatidylinositol (3,4,5)-trisphosphate </w:t>
            </w:r>
          </w:p>
        </w:tc>
      </w:tr>
      <w:tr w:rsidR="002A4986" w:rsidRPr="002A4986" w14:paraId="39152E0B" w14:textId="77777777" w:rsidTr="002A4986">
        <w:trPr>
          <w:trHeight w:val="300"/>
        </w:trPr>
        <w:tc>
          <w:tcPr>
            <w:tcW w:w="1300" w:type="dxa"/>
            <w:tcBorders>
              <w:top w:val="nil"/>
              <w:left w:val="nil"/>
              <w:bottom w:val="nil"/>
              <w:right w:val="nil"/>
            </w:tcBorders>
            <w:shd w:val="clear" w:color="auto" w:fill="auto"/>
            <w:noWrap/>
            <w:vAlign w:val="center"/>
            <w:hideMark/>
          </w:tcPr>
          <w:p w14:paraId="71532E76"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PKA</w:t>
            </w:r>
          </w:p>
        </w:tc>
        <w:tc>
          <w:tcPr>
            <w:tcW w:w="6262" w:type="dxa"/>
            <w:tcBorders>
              <w:top w:val="nil"/>
              <w:left w:val="nil"/>
              <w:bottom w:val="nil"/>
              <w:right w:val="nil"/>
            </w:tcBorders>
            <w:shd w:val="clear" w:color="auto" w:fill="auto"/>
            <w:noWrap/>
            <w:vAlign w:val="bottom"/>
            <w:hideMark/>
          </w:tcPr>
          <w:p w14:paraId="1F2A6945"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Protein kinase A</w:t>
            </w:r>
          </w:p>
        </w:tc>
      </w:tr>
      <w:tr w:rsidR="002A4986" w:rsidRPr="002A4986" w14:paraId="72567D55" w14:textId="77777777" w:rsidTr="002A4986">
        <w:trPr>
          <w:trHeight w:val="300"/>
        </w:trPr>
        <w:tc>
          <w:tcPr>
            <w:tcW w:w="1300" w:type="dxa"/>
            <w:tcBorders>
              <w:top w:val="nil"/>
              <w:left w:val="nil"/>
              <w:bottom w:val="nil"/>
              <w:right w:val="nil"/>
            </w:tcBorders>
            <w:shd w:val="clear" w:color="auto" w:fill="auto"/>
            <w:noWrap/>
            <w:vAlign w:val="center"/>
            <w:hideMark/>
          </w:tcPr>
          <w:p w14:paraId="7C943BC0"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PME</w:t>
            </w:r>
          </w:p>
        </w:tc>
        <w:tc>
          <w:tcPr>
            <w:tcW w:w="6262" w:type="dxa"/>
            <w:tcBorders>
              <w:top w:val="nil"/>
              <w:left w:val="nil"/>
              <w:bottom w:val="nil"/>
              <w:right w:val="nil"/>
            </w:tcBorders>
            <w:shd w:val="clear" w:color="auto" w:fill="auto"/>
            <w:noWrap/>
            <w:vAlign w:val="bottom"/>
            <w:hideMark/>
          </w:tcPr>
          <w:p w14:paraId="5DC53A32"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Post-media exchange</w:t>
            </w:r>
          </w:p>
        </w:tc>
      </w:tr>
      <w:tr w:rsidR="002A4986" w:rsidRPr="002A4986" w14:paraId="5269EA02" w14:textId="77777777" w:rsidTr="002A4986">
        <w:trPr>
          <w:trHeight w:val="300"/>
        </w:trPr>
        <w:tc>
          <w:tcPr>
            <w:tcW w:w="1300" w:type="dxa"/>
            <w:tcBorders>
              <w:top w:val="nil"/>
              <w:left w:val="nil"/>
              <w:bottom w:val="nil"/>
              <w:right w:val="nil"/>
            </w:tcBorders>
            <w:shd w:val="clear" w:color="auto" w:fill="auto"/>
            <w:noWrap/>
            <w:vAlign w:val="center"/>
            <w:hideMark/>
          </w:tcPr>
          <w:p w14:paraId="7B1318AA"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PRDX3</w:t>
            </w:r>
          </w:p>
        </w:tc>
        <w:tc>
          <w:tcPr>
            <w:tcW w:w="6262" w:type="dxa"/>
            <w:tcBorders>
              <w:top w:val="nil"/>
              <w:left w:val="nil"/>
              <w:bottom w:val="nil"/>
              <w:right w:val="nil"/>
            </w:tcBorders>
            <w:shd w:val="clear" w:color="auto" w:fill="auto"/>
            <w:noWrap/>
            <w:vAlign w:val="bottom"/>
            <w:hideMark/>
          </w:tcPr>
          <w:p w14:paraId="26A63C74"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Peroxiredoxin 3</w:t>
            </w:r>
          </w:p>
        </w:tc>
      </w:tr>
      <w:tr w:rsidR="002A4986" w:rsidRPr="002A4986" w14:paraId="791F2A65" w14:textId="77777777" w:rsidTr="002A4986">
        <w:trPr>
          <w:trHeight w:val="300"/>
        </w:trPr>
        <w:tc>
          <w:tcPr>
            <w:tcW w:w="1300" w:type="dxa"/>
            <w:tcBorders>
              <w:top w:val="nil"/>
              <w:left w:val="nil"/>
              <w:bottom w:val="nil"/>
              <w:right w:val="nil"/>
            </w:tcBorders>
            <w:shd w:val="clear" w:color="auto" w:fill="auto"/>
            <w:noWrap/>
            <w:vAlign w:val="center"/>
            <w:hideMark/>
          </w:tcPr>
          <w:p w14:paraId="44432D96"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PRKAR2B</w:t>
            </w:r>
          </w:p>
        </w:tc>
        <w:tc>
          <w:tcPr>
            <w:tcW w:w="6262" w:type="dxa"/>
            <w:tcBorders>
              <w:top w:val="nil"/>
              <w:left w:val="nil"/>
              <w:bottom w:val="nil"/>
              <w:right w:val="nil"/>
            </w:tcBorders>
            <w:shd w:val="clear" w:color="auto" w:fill="auto"/>
            <w:noWrap/>
            <w:vAlign w:val="bottom"/>
            <w:hideMark/>
          </w:tcPr>
          <w:p w14:paraId="6038ABAE"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Protein kinase cAMP-dependent type II regulatory subunit beta</w:t>
            </w:r>
          </w:p>
        </w:tc>
      </w:tr>
      <w:tr w:rsidR="002A4986" w:rsidRPr="002A4986" w14:paraId="37A761D9" w14:textId="77777777" w:rsidTr="002A4986">
        <w:trPr>
          <w:trHeight w:val="300"/>
        </w:trPr>
        <w:tc>
          <w:tcPr>
            <w:tcW w:w="1300" w:type="dxa"/>
            <w:tcBorders>
              <w:top w:val="nil"/>
              <w:left w:val="nil"/>
              <w:bottom w:val="nil"/>
              <w:right w:val="nil"/>
            </w:tcBorders>
            <w:shd w:val="clear" w:color="auto" w:fill="auto"/>
            <w:noWrap/>
            <w:vAlign w:val="bottom"/>
            <w:hideMark/>
          </w:tcPr>
          <w:p w14:paraId="3BAA4C05"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PS</w:t>
            </w:r>
          </w:p>
        </w:tc>
        <w:tc>
          <w:tcPr>
            <w:tcW w:w="6262" w:type="dxa"/>
            <w:tcBorders>
              <w:top w:val="nil"/>
              <w:left w:val="nil"/>
              <w:bottom w:val="nil"/>
              <w:right w:val="nil"/>
            </w:tcBorders>
            <w:shd w:val="clear" w:color="auto" w:fill="auto"/>
            <w:noWrap/>
            <w:vAlign w:val="bottom"/>
            <w:hideMark/>
          </w:tcPr>
          <w:p w14:paraId="0F3321E1"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Presenilin</w:t>
            </w:r>
          </w:p>
        </w:tc>
      </w:tr>
      <w:tr w:rsidR="002A4986" w:rsidRPr="002A4986" w14:paraId="16DB9B71" w14:textId="77777777" w:rsidTr="002A4986">
        <w:trPr>
          <w:trHeight w:val="300"/>
        </w:trPr>
        <w:tc>
          <w:tcPr>
            <w:tcW w:w="1300" w:type="dxa"/>
            <w:tcBorders>
              <w:top w:val="nil"/>
              <w:left w:val="nil"/>
              <w:bottom w:val="nil"/>
              <w:right w:val="nil"/>
            </w:tcBorders>
            <w:shd w:val="clear" w:color="auto" w:fill="auto"/>
            <w:noWrap/>
            <w:vAlign w:val="center"/>
            <w:hideMark/>
          </w:tcPr>
          <w:p w14:paraId="2B6182A6"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PSD95</w:t>
            </w:r>
          </w:p>
        </w:tc>
        <w:tc>
          <w:tcPr>
            <w:tcW w:w="6262" w:type="dxa"/>
            <w:tcBorders>
              <w:top w:val="nil"/>
              <w:left w:val="nil"/>
              <w:bottom w:val="nil"/>
              <w:right w:val="nil"/>
            </w:tcBorders>
            <w:shd w:val="clear" w:color="auto" w:fill="auto"/>
            <w:noWrap/>
            <w:vAlign w:val="bottom"/>
            <w:hideMark/>
          </w:tcPr>
          <w:p w14:paraId="56DDD25A"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Postsynaptic density protein 95</w:t>
            </w:r>
          </w:p>
        </w:tc>
      </w:tr>
      <w:tr w:rsidR="002A4986" w:rsidRPr="002A4986" w14:paraId="3A88187E" w14:textId="77777777" w:rsidTr="002A4986">
        <w:trPr>
          <w:trHeight w:val="300"/>
        </w:trPr>
        <w:tc>
          <w:tcPr>
            <w:tcW w:w="1300" w:type="dxa"/>
            <w:tcBorders>
              <w:top w:val="nil"/>
              <w:left w:val="nil"/>
              <w:bottom w:val="nil"/>
              <w:right w:val="nil"/>
            </w:tcBorders>
            <w:shd w:val="clear" w:color="auto" w:fill="auto"/>
            <w:noWrap/>
            <w:vAlign w:val="center"/>
            <w:hideMark/>
          </w:tcPr>
          <w:p w14:paraId="01E7023D"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PTAFR</w:t>
            </w:r>
          </w:p>
        </w:tc>
        <w:tc>
          <w:tcPr>
            <w:tcW w:w="6262" w:type="dxa"/>
            <w:tcBorders>
              <w:top w:val="nil"/>
              <w:left w:val="nil"/>
              <w:bottom w:val="nil"/>
              <w:right w:val="nil"/>
            </w:tcBorders>
            <w:shd w:val="clear" w:color="auto" w:fill="auto"/>
            <w:noWrap/>
            <w:vAlign w:val="bottom"/>
            <w:hideMark/>
          </w:tcPr>
          <w:p w14:paraId="164D9CE1"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Platelet activating factor receptor</w:t>
            </w:r>
          </w:p>
        </w:tc>
      </w:tr>
      <w:tr w:rsidR="002A4986" w:rsidRPr="002A4986" w14:paraId="79CFF78D" w14:textId="77777777" w:rsidTr="002A4986">
        <w:trPr>
          <w:trHeight w:val="300"/>
        </w:trPr>
        <w:tc>
          <w:tcPr>
            <w:tcW w:w="1300" w:type="dxa"/>
            <w:tcBorders>
              <w:top w:val="nil"/>
              <w:left w:val="nil"/>
              <w:bottom w:val="nil"/>
              <w:right w:val="nil"/>
            </w:tcBorders>
            <w:shd w:val="clear" w:color="auto" w:fill="auto"/>
            <w:noWrap/>
            <w:vAlign w:val="center"/>
            <w:hideMark/>
          </w:tcPr>
          <w:p w14:paraId="12205F76"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PTEN</w:t>
            </w:r>
          </w:p>
        </w:tc>
        <w:tc>
          <w:tcPr>
            <w:tcW w:w="6262" w:type="dxa"/>
            <w:tcBorders>
              <w:top w:val="nil"/>
              <w:left w:val="nil"/>
              <w:bottom w:val="nil"/>
              <w:right w:val="nil"/>
            </w:tcBorders>
            <w:shd w:val="clear" w:color="auto" w:fill="auto"/>
            <w:noWrap/>
            <w:vAlign w:val="bottom"/>
            <w:hideMark/>
          </w:tcPr>
          <w:p w14:paraId="7EFAE27E"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Phophatase and tensin homolog</w:t>
            </w:r>
          </w:p>
        </w:tc>
      </w:tr>
      <w:tr w:rsidR="002A4986" w:rsidRPr="002A4986" w14:paraId="5892DB64" w14:textId="77777777" w:rsidTr="002A4986">
        <w:trPr>
          <w:trHeight w:val="300"/>
        </w:trPr>
        <w:tc>
          <w:tcPr>
            <w:tcW w:w="1300" w:type="dxa"/>
            <w:tcBorders>
              <w:top w:val="nil"/>
              <w:left w:val="nil"/>
              <w:bottom w:val="nil"/>
              <w:right w:val="nil"/>
            </w:tcBorders>
            <w:shd w:val="clear" w:color="auto" w:fill="auto"/>
            <w:noWrap/>
            <w:vAlign w:val="center"/>
            <w:hideMark/>
          </w:tcPr>
          <w:p w14:paraId="3A58DF20"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qPCR</w:t>
            </w:r>
          </w:p>
        </w:tc>
        <w:tc>
          <w:tcPr>
            <w:tcW w:w="6262" w:type="dxa"/>
            <w:tcBorders>
              <w:top w:val="nil"/>
              <w:left w:val="nil"/>
              <w:bottom w:val="nil"/>
              <w:right w:val="nil"/>
            </w:tcBorders>
            <w:shd w:val="clear" w:color="auto" w:fill="auto"/>
            <w:noWrap/>
            <w:vAlign w:val="bottom"/>
            <w:hideMark/>
          </w:tcPr>
          <w:p w14:paraId="7E748EAF"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Quantitative PCR</w:t>
            </w:r>
          </w:p>
        </w:tc>
      </w:tr>
      <w:tr w:rsidR="002A4986" w:rsidRPr="002A4986" w14:paraId="342525B3" w14:textId="77777777" w:rsidTr="002A4986">
        <w:trPr>
          <w:trHeight w:val="300"/>
        </w:trPr>
        <w:tc>
          <w:tcPr>
            <w:tcW w:w="1300" w:type="dxa"/>
            <w:tcBorders>
              <w:top w:val="nil"/>
              <w:left w:val="nil"/>
              <w:bottom w:val="nil"/>
              <w:right w:val="nil"/>
            </w:tcBorders>
            <w:shd w:val="clear" w:color="auto" w:fill="auto"/>
            <w:noWrap/>
            <w:vAlign w:val="center"/>
            <w:hideMark/>
          </w:tcPr>
          <w:p w14:paraId="14F76312"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qRT-PCR</w:t>
            </w:r>
          </w:p>
        </w:tc>
        <w:tc>
          <w:tcPr>
            <w:tcW w:w="6262" w:type="dxa"/>
            <w:tcBorders>
              <w:top w:val="nil"/>
              <w:left w:val="nil"/>
              <w:bottom w:val="nil"/>
              <w:right w:val="nil"/>
            </w:tcBorders>
            <w:shd w:val="clear" w:color="auto" w:fill="auto"/>
            <w:noWrap/>
            <w:vAlign w:val="bottom"/>
            <w:hideMark/>
          </w:tcPr>
          <w:p w14:paraId="71A077E9"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Quantitative real-time PCR</w:t>
            </w:r>
          </w:p>
        </w:tc>
      </w:tr>
      <w:tr w:rsidR="002A4986" w:rsidRPr="002A4986" w14:paraId="26014A53" w14:textId="77777777" w:rsidTr="002A4986">
        <w:trPr>
          <w:trHeight w:val="300"/>
        </w:trPr>
        <w:tc>
          <w:tcPr>
            <w:tcW w:w="1300" w:type="dxa"/>
            <w:tcBorders>
              <w:top w:val="nil"/>
              <w:left w:val="nil"/>
              <w:bottom w:val="nil"/>
              <w:right w:val="nil"/>
            </w:tcBorders>
            <w:shd w:val="clear" w:color="auto" w:fill="auto"/>
            <w:noWrap/>
            <w:vAlign w:val="center"/>
            <w:hideMark/>
          </w:tcPr>
          <w:p w14:paraId="102407D7"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RAPGEF2</w:t>
            </w:r>
          </w:p>
        </w:tc>
        <w:tc>
          <w:tcPr>
            <w:tcW w:w="6262" w:type="dxa"/>
            <w:tcBorders>
              <w:top w:val="nil"/>
              <w:left w:val="nil"/>
              <w:bottom w:val="nil"/>
              <w:right w:val="nil"/>
            </w:tcBorders>
            <w:shd w:val="clear" w:color="auto" w:fill="auto"/>
            <w:noWrap/>
            <w:vAlign w:val="bottom"/>
            <w:hideMark/>
          </w:tcPr>
          <w:p w14:paraId="514D8557"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Rap guanine nucleotide exchange factor 2</w:t>
            </w:r>
          </w:p>
        </w:tc>
      </w:tr>
      <w:tr w:rsidR="002A4986" w:rsidRPr="002A4986" w14:paraId="5A2DCD09" w14:textId="77777777" w:rsidTr="002A4986">
        <w:trPr>
          <w:trHeight w:val="300"/>
        </w:trPr>
        <w:tc>
          <w:tcPr>
            <w:tcW w:w="1300" w:type="dxa"/>
            <w:tcBorders>
              <w:top w:val="nil"/>
              <w:left w:val="nil"/>
              <w:bottom w:val="nil"/>
              <w:right w:val="nil"/>
            </w:tcBorders>
            <w:shd w:val="clear" w:color="auto" w:fill="auto"/>
            <w:noWrap/>
            <w:vAlign w:val="bottom"/>
            <w:hideMark/>
          </w:tcPr>
          <w:p w14:paraId="1A8D2553"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RIN</w:t>
            </w:r>
          </w:p>
        </w:tc>
        <w:tc>
          <w:tcPr>
            <w:tcW w:w="6262" w:type="dxa"/>
            <w:tcBorders>
              <w:top w:val="nil"/>
              <w:left w:val="nil"/>
              <w:bottom w:val="nil"/>
              <w:right w:val="nil"/>
            </w:tcBorders>
            <w:shd w:val="clear" w:color="auto" w:fill="auto"/>
            <w:noWrap/>
            <w:vAlign w:val="bottom"/>
            <w:hideMark/>
          </w:tcPr>
          <w:p w14:paraId="33DDAC75"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RNA integrity number</w:t>
            </w:r>
          </w:p>
        </w:tc>
      </w:tr>
      <w:tr w:rsidR="002A4986" w:rsidRPr="002A4986" w14:paraId="5772F47B" w14:textId="77777777" w:rsidTr="002A4986">
        <w:trPr>
          <w:trHeight w:val="300"/>
        </w:trPr>
        <w:tc>
          <w:tcPr>
            <w:tcW w:w="1300" w:type="dxa"/>
            <w:tcBorders>
              <w:top w:val="nil"/>
              <w:left w:val="nil"/>
              <w:bottom w:val="nil"/>
              <w:right w:val="nil"/>
            </w:tcBorders>
            <w:shd w:val="clear" w:color="auto" w:fill="auto"/>
            <w:noWrap/>
            <w:vAlign w:val="center"/>
            <w:hideMark/>
          </w:tcPr>
          <w:p w14:paraId="2A1FA584"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RLE</w:t>
            </w:r>
          </w:p>
        </w:tc>
        <w:tc>
          <w:tcPr>
            <w:tcW w:w="6262" w:type="dxa"/>
            <w:tcBorders>
              <w:top w:val="nil"/>
              <w:left w:val="nil"/>
              <w:bottom w:val="nil"/>
              <w:right w:val="nil"/>
            </w:tcBorders>
            <w:shd w:val="clear" w:color="auto" w:fill="auto"/>
            <w:noWrap/>
            <w:vAlign w:val="bottom"/>
            <w:hideMark/>
          </w:tcPr>
          <w:p w14:paraId="1B1D8B3A"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Relative log expression</w:t>
            </w:r>
          </w:p>
        </w:tc>
      </w:tr>
      <w:tr w:rsidR="002A4986" w:rsidRPr="002A4986" w14:paraId="52F3DB3C" w14:textId="77777777" w:rsidTr="002A4986">
        <w:trPr>
          <w:trHeight w:val="300"/>
        </w:trPr>
        <w:tc>
          <w:tcPr>
            <w:tcW w:w="1300" w:type="dxa"/>
            <w:tcBorders>
              <w:top w:val="nil"/>
              <w:left w:val="nil"/>
              <w:bottom w:val="nil"/>
              <w:right w:val="nil"/>
            </w:tcBorders>
            <w:shd w:val="clear" w:color="auto" w:fill="auto"/>
            <w:noWrap/>
            <w:vAlign w:val="center"/>
            <w:hideMark/>
          </w:tcPr>
          <w:p w14:paraId="7019E64D"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RNA</w:t>
            </w:r>
          </w:p>
        </w:tc>
        <w:tc>
          <w:tcPr>
            <w:tcW w:w="6262" w:type="dxa"/>
            <w:tcBorders>
              <w:top w:val="nil"/>
              <w:left w:val="nil"/>
              <w:bottom w:val="nil"/>
              <w:right w:val="nil"/>
            </w:tcBorders>
            <w:shd w:val="clear" w:color="auto" w:fill="auto"/>
            <w:noWrap/>
            <w:vAlign w:val="bottom"/>
            <w:hideMark/>
          </w:tcPr>
          <w:p w14:paraId="2CA50D16"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Ribonucleic acid</w:t>
            </w:r>
          </w:p>
        </w:tc>
      </w:tr>
      <w:tr w:rsidR="002A4986" w:rsidRPr="002A4986" w14:paraId="0246F41B" w14:textId="77777777" w:rsidTr="002A4986">
        <w:trPr>
          <w:trHeight w:val="300"/>
        </w:trPr>
        <w:tc>
          <w:tcPr>
            <w:tcW w:w="1300" w:type="dxa"/>
            <w:tcBorders>
              <w:top w:val="nil"/>
              <w:left w:val="nil"/>
              <w:bottom w:val="nil"/>
              <w:right w:val="nil"/>
            </w:tcBorders>
            <w:shd w:val="clear" w:color="auto" w:fill="auto"/>
            <w:noWrap/>
            <w:vAlign w:val="center"/>
            <w:hideMark/>
          </w:tcPr>
          <w:p w14:paraId="702E6941"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ROS</w:t>
            </w:r>
          </w:p>
        </w:tc>
        <w:tc>
          <w:tcPr>
            <w:tcW w:w="6262" w:type="dxa"/>
            <w:tcBorders>
              <w:top w:val="nil"/>
              <w:left w:val="nil"/>
              <w:bottom w:val="nil"/>
              <w:right w:val="nil"/>
            </w:tcBorders>
            <w:shd w:val="clear" w:color="auto" w:fill="auto"/>
            <w:noWrap/>
            <w:vAlign w:val="bottom"/>
            <w:hideMark/>
          </w:tcPr>
          <w:p w14:paraId="3F88E85C"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Reactive oxygen species</w:t>
            </w:r>
          </w:p>
        </w:tc>
      </w:tr>
      <w:tr w:rsidR="002A4986" w:rsidRPr="002A4986" w14:paraId="5AC23AD6" w14:textId="77777777" w:rsidTr="002A4986">
        <w:trPr>
          <w:trHeight w:val="300"/>
        </w:trPr>
        <w:tc>
          <w:tcPr>
            <w:tcW w:w="1300" w:type="dxa"/>
            <w:tcBorders>
              <w:top w:val="nil"/>
              <w:left w:val="nil"/>
              <w:bottom w:val="nil"/>
              <w:right w:val="nil"/>
            </w:tcBorders>
            <w:shd w:val="clear" w:color="auto" w:fill="auto"/>
            <w:noWrap/>
            <w:vAlign w:val="bottom"/>
            <w:hideMark/>
          </w:tcPr>
          <w:p w14:paraId="770F6BC0"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rRNA</w:t>
            </w:r>
          </w:p>
        </w:tc>
        <w:tc>
          <w:tcPr>
            <w:tcW w:w="6262" w:type="dxa"/>
            <w:tcBorders>
              <w:top w:val="nil"/>
              <w:left w:val="nil"/>
              <w:bottom w:val="nil"/>
              <w:right w:val="nil"/>
            </w:tcBorders>
            <w:shd w:val="clear" w:color="auto" w:fill="auto"/>
            <w:noWrap/>
            <w:vAlign w:val="bottom"/>
            <w:hideMark/>
          </w:tcPr>
          <w:p w14:paraId="25A58A95"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Ribosomal RNA</w:t>
            </w:r>
          </w:p>
        </w:tc>
      </w:tr>
      <w:tr w:rsidR="002A4986" w:rsidRPr="002A4986" w14:paraId="51CA3243" w14:textId="77777777" w:rsidTr="002A4986">
        <w:trPr>
          <w:trHeight w:val="300"/>
        </w:trPr>
        <w:tc>
          <w:tcPr>
            <w:tcW w:w="1300" w:type="dxa"/>
            <w:tcBorders>
              <w:top w:val="nil"/>
              <w:left w:val="nil"/>
              <w:bottom w:val="nil"/>
              <w:right w:val="nil"/>
            </w:tcBorders>
            <w:shd w:val="clear" w:color="auto" w:fill="auto"/>
            <w:noWrap/>
            <w:vAlign w:val="center"/>
            <w:hideMark/>
          </w:tcPr>
          <w:p w14:paraId="6858133C"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S1PR1</w:t>
            </w:r>
          </w:p>
        </w:tc>
        <w:tc>
          <w:tcPr>
            <w:tcW w:w="6262" w:type="dxa"/>
            <w:tcBorders>
              <w:top w:val="nil"/>
              <w:left w:val="nil"/>
              <w:bottom w:val="nil"/>
              <w:right w:val="nil"/>
            </w:tcBorders>
            <w:shd w:val="clear" w:color="auto" w:fill="auto"/>
            <w:noWrap/>
            <w:vAlign w:val="bottom"/>
            <w:hideMark/>
          </w:tcPr>
          <w:p w14:paraId="15E6C96E"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Sphingosine-1-phosphate receptor 1</w:t>
            </w:r>
          </w:p>
        </w:tc>
      </w:tr>
      <w:tr w:rsidR="002A4986" w:rsidRPr="002A4986" w14:paraId="00C2ABE9" w14:textId="77777777" w:rsidTr="002A4986">
        <w:trPr>
          <w:trHeight w:val="300"/>
        </w:trPr>
        <w:tc>
          <w:tcPr>
            <w:tcW w:w="1300" w:type="dxa"/>
            <w:tcBorders>
              <w:top w:val="nil"/>
              <w:left w:val="nil"/>
              <w:bottom w:val="nil"/>
              <w:right w:val="nil"/>
            </w:tcBorders>
            <w:shd w:val="clear" w:color="auto" w:fill="auto"/>
            <w:noWrap/>
            <w:vAlign w:val="center"/>
            <w:hideMark/>
          </w:tcPr>
          <w:p w14:paraId="54F7221C"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S1PR4</w:t>
            </w:r>
          </w:p>
        </w:tc>
        <w:tc>
          <w:tcPr>
            <w:tcW w:w="6262" w:type="dxa"/>
            <w:tcBorders>
              <w:top w:val="nil"/>
              <w:left w:val="nil"/>
              <w:bottom w:val="nil"/>
              <w:right w:val="nil"/>
            </w:tcBorders>
            <w:shd w:val="clear" w:color="auto" w:fill="auto"/>
            <w:noWrap/>
            <w:vAlign w:val="bottom"/>
            <w:hideMark/>
          </w:tcPr>
          <w:p w14:paraId="27E469FC"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Sphingosine-1-phosphate receptor 4</w:t>
            </w:r>
          </w:p>
        </w:tc>
      </w:tr>
      <w:tr w:rsidR="002A4986" w:rsidRPr="002A4986" w14:paraId="00036E2C" w14:textId="77777777" w:rsidTr="002A4986">
        <w:trPr>
          <w:trHeight w:val="300"/>
        </w:trPr>
        <w:tc>
          <w:tcPr>
            <w:tcW w:w="1300" w:type="dxa"/>
            <w:tcBorders>
              <w:top w:val="nil"/>
              <w:left w:val="nil"/>
              <w:bottom w:val="nil"/>
              <w:right w:val="nil"/>
            </w:tcBorders>
            <w:shd w:val="clear" w:color="auto" w:fill="auto"/>
            <w:noWrap/>
            <w:vAlign w:val="center"/>
            <w:hideMark/>
          </w:tcPr>
          <w:p w14:paraId="4749C86F"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SDS</w:t>
            </w:r>
          </w:p>
        </w:tc>
        <w:tc>
          <w:tcPr>
            <w:tcW w:w="6262" w:type="dxa"/>
            <w:tcBorders>
              <w:top w:val="nil"/>
              <w:left w:val="nil"/>
              <w:bottom w:val="nil"/>
              <w:right w:val="nil"/>
            </w:tcBorders>
            <w:shd w:val="clear" w:color="auto" w:fill="auto"/>
            <w:noWrap/>
            <w:vAlign w:val="bottom"/>
            <w:hideMark/>
          </w:tcPr>
          <w:p w14:paraId="749B2C67"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Sodium dodecyl sulphate</w:t>
            </w:r>
          </w:p>
        </w:tc>
      </w:tr>
      <w:tr w:rsidR="002A4986" w:rsidRPr="002A4986" w14:paraId="08C8AC51" w14:textId="77777777" w:rsidTr="002A4986">
        <w:trPr>
          <w:trHeight w:val="300"/>
        </w:trPr>
        <w:tc>
          <w:tcPr>
            <w:tcW w:w="1300" w:type="dxa"/>
            <w:tcBorders>
              <w:top w:val="nil"/>
              <w:left w:val="nil"/>
              <w:bottom w:val="nil"/>
              <w:right w:val="nil"/>
            </w:tcBorders>
            <w:shd w:val="clear" w:color="auto" w:fill="auto"/>
            <w:noWrap/>
            <w:vAlign w:val="center"/>
            <w:hideMark/>
          </w:tcPr>
          <w:p w14:paraId="1EA6401D"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SDS-PAGE</w:t>
            </w:r>
          </w:p>
        </w:tc>
        <w:tc>
          <w:tcPr>
            <w:tcW w:w="6262" w:type="dxa"/>
            <w:tcBorders>
              <w:top w:val="nil"/>
              <w:left w:val="nil"/>
              <w:bottom w:val="nil"/>
              <w:right w:val="nil"/>
            </w:tcBorders>
            <w:shd w:val="clear" w:color="auto" w:fill="auto"/>
            <w:noWrap/>
            <w:vAlign w:val="bottom"/>
            <w:hideMark/>
          </w:tcPr>
          <w:p w14:paraId="6AF65FDE"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Sodium dodecyl sulphate polyacrylamide gel electrophoresis</w:t>
            </w:r>
          </w:p>
        </w:tc>
      </w:tr>
      <w:tr w:rsidR="002A4986" w:rsidRPr="002A4986" w14:paraId="09FF854A" w14:textId="77777777" w:rsidTr="002A4986">
        <w:trPr>
          <w:trHeight w:val="300"/>
        </w:trPr>
        <w:tc>
          <w:tcPr>
            <w:tcW w:w="1300" w:type="dxa"/>
            <w:tcBorders>
              <w:top w:val="nil"/>
              <w:left w:val="nil"/>
              <w:bottom w:val="nil"/>
              <w:right w:val="nil"/>
            </w:tcBorders>
            <w:shd w:val="clear" w:color="auto" w:fill="auto"/>
            <w:noWrap/>
            <w:vAlign w:val="center"/>
            <w:hideMark/>
          </w:tcPr>
          <w:p w14:paraId="1587676F"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SEM</w:t>
            </w:r>
          </w:p>
        </w:tc>
        <w:tc>
          <w:tcPr>
            <w:tcW w:w="6262" w:type="dxa"/>
            <w:tcBorders>
              <w:top w:val="nil"/>
              <w:left w:val="nil"/>
              <w:bottom w:val="nil"/>
              <w:right w:val="nil"/>
            </w:tcBorders>
            <w:shd w:val="clear" w:color="auto" w:fill="auto"/>
            <w:noWrap/>
            <w:vAlign w:val="bottom"/>
            <w:hideMark/>
          </w:tcPr>
          <w:p w14:paraId="0697D629"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Standard error of the mean</w:t>
            </w:r>
          </w:p>
        </w:tc>
      </w:tr>
      <w:tr w:rsidR="002A4986" w:rsidRPr="002A4986" w14:paraId="29FAF53A" w14:textId="77777777" w:rsidTr="002A4986">
        <w:trPr>
          <w:trHeight w:val="300"/>
        </w:trPr>
        <w:tc>
          <w:tcPr>
            <w:tcW w:w="1300" w:type="dxa"/>
            <w:tcBorders>
              <w:top w:val="nil"/>
              <w:left w:val="nil"/>
              <w:bottom w:val="nil"/>
              <w:right w:val="nil"/>
            </w:tcBorders>
            <w:shd w:val="clear" w:color="auto" w:fill="auto"/>
            <w:noWrap/>
            <w:vAlign w:val="center"/>
            <w:hideMark/>
          </w:tcPr>
          <w:p w14:paraId="2AA929AC"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SERPINI1</w:t>
            </w:r>
          </w:p>
        </w:tc>
        <w:tc>
          <w:tcPr>
            <w:tcW w:w="6262" w:type="dxa"/>
            <w:tcBorders>
              <w:top w:val="nil"/>
              <w:left w:val="nil"/>
              <w:bottom w:val="nil"/>
              <w:right w:val="nil"/>
            </w:tcBorders>
            <w:shd w:val="clear" w:color="auto" w:fill="auto"/>
            <w:noWrap/>
            <w:vAlign w:val="bottom"/>
            <w:hideMark/>
          </w:tcPr>
          <w:p w14:paraId="36B07165"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Serpin Family I member 1</w:t>
            </w:r>
          </w:p>
        </w:tc>
      </w:tr>
      <w:tr w:rsidR="002A4986" w:rsidRPr="002A4986" w14:paraId="04D5C450" w14:textId="77777777" w:rsidTr="002A4986">
        <w:trPr>
          <w:trHeight w:val="300"/>
        </w:trPr>
        <w:tc>
          <w:tcPr>
            <w:tcW w:w="1300" w:type="dxa"/>
            <w:tcBorders>
              <w:top w:val="nil"/>
              <w:left w:val="nil"/>
              <w:bottom w:val="nil"/>
              <w:right w:val="nil"/>
            </w:tcBorders>
            <w:shd w:val="clear" w:color="auto" w:fill="auto"/>
            <w:noWrap/>
            <w:vAlign w:val="center"/>
            <w:hideMark/>
          </w:tcPr>
          <w:p w14:paraId="1B9E7B21"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siRNA</w:t>
            </w:r>
          </w:p>
        </w:tc>
        <w:tc>
          <w:tcPr>
            <w:tcW w:w="6262" w:type="dxa"/>
            <w:tcBorders>
              <w:top w:val="nil"/>
              <w:left w:val="nil"/>
              <w:bottom w:val="nil"/>
              <w:right w:val="nil"/>
            </w:tcBorders>
            <w:shd w:val="clear" w:color="auto" w:fill="auto"/>
            <w:noWrap/>
            <w:vAlign w:val="bottom"/>
            <w:hideMark/>
          </w:tcPr>
          <w:p w14:paraId="29E65849"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Small interfering RNA</w:t>
            </w:r>
          </w:p>
        </w:tc>
      </w:tr>
      <w:tr w:rsidR="002A4986" w:rsidRPr="002A4986" w14:paraId="45C60CAB" w14:textId="77777777" w:rsidTr="002A4986">
        <w:trPr>
          <w:trHeight w:val="300"/>
        </w:trPr>
        <w:tc>
          <w:tcPr>
            <w:tcW w:w="1300" w:type="dxa"/>
            <w:tcBorders>
              <w:top w:val="nil"/>
              <w:left w:val="nil"/>
              <w:bottom w:val="nil"/>
              <w:right w:val="nil"/>
            </w:tcBorders>
            <w:shd w:val="clear" w:color="auto" w:fill="auto"/>
            <w:noWrap/>
            <w:vAlign w:val="center"/>
            <w:hideMark/>
          </w:tcPr>
          <w:p w14:paraId="17D8D1BC"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SLC16A3</w:t>
            </w:r>
          </w:p>
        </w:tc>
        <w:tc>
          <w:tcPr>
            <w:tcW w:w="6262" w:type="dxa"/>
            <w:tcBorders>
              <w:top w:val="nil"/>
              <w:left w:val="nil"/>
              <w:bottom w:val="nil"/>
              <w:right w:val="nil"/>
            </w:tcBorders>
            <w:shd w:val="clear" w:color="auto" w:fill="auto"/>
            <w:noWrap/>
            <w:vAlign w:val="bottom"/>
            <w:hideMark/>
          </w:tcPr>
          <w:p w14:paraId="73F2D443"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Solute carrier family 16 member 3</w:t>
            </w:r>
          </w:p>
        </w:tc>
      </w:tr>
      <w:tr w:rsidR="002A4986" w:rsidRPr="002A4986" w14:paraId="79121B06" w14:textId="77777777" w:rsidTr="002A4986">
        <w:trPr>
          <w:trHeight w:val="300"/>
        </w:trPr>
        <w:tc>
          <w:tcPr>
            <w:tcW w:w="1300" w:type="dxa"/>
            <w:tcBorders>
              <w:top w:val="nil"/>
              <w:left w:val="nil"/>
              <w:bottom w:val="nil"/>
              <w:right w:val="nil"/>
            </w:tcBorders>
            <w:shd w:val="clear" w:color="auto" w:fill="auto"/>
            <w:noWrap/>
            <w:vAlign w:val="center"/>
            <w:hideMark/>
          </w:tcPr>
          <w:p w14:paraId="59E0DF8D"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SMO</w:t>
            </w:r>
          </w:p>
        </w:tc>
        <w:tc>
          <w:tcPr>
            <w:tcW w:w="6262" w:type="dxa"/>
            <w:tcBorders>
              <w:top w:val="nil"/>
              <w:left w:val="nil"/>
              <w:bottom w:val="nil"/>
              <w:right w:val="nil"/>
            </w:tcBorders>
            <w:shd w:val="clear" w:color="auto" w:fill="auto"/>
            <w:noWrap/>
            <w:vAlign w:val="bottom"/>
            <w:hideMark/>
          </w:tcPr>
          <w:p w14:paraId="22ECFF7D"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Smoothened</w:t>
            </w:r>
          </w:p>
        </w:tc>
      </w:tr>
      <w:tr w:rsidR="002A4986" w:rsidRPr="002A4986" w14:paraId="45F825C5" w14:textId="77777777" w:rsidTr="002A4986">
        <w:trPr>
          <w:trHeight w:val="300"/>
        </w:trPr>
        <w:tc>
          <w:tcPr>
            <w:tcW w:w="1300" w:type="dxa"/>
            <w:tcBorders>
              <w:top w:val="nil"/>
              <w:left w:val="nil"/>
              <w:bottom w:val="nil"/>
              <w:right w:val="nil"/>
            </w:tcBorders>
            <w:shd w:val="clear" w:color="auto" w:fill="auto"/>
            <w:noWrap/>
            <w:vAlign w:val="center"/>
            <w:hideMark/>
          </w:tcPr>
          <w:p w14:paraId="46A3B35C"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SOD1</w:t>
            </w:r>
          </w:p>
        </w:tc>
        <w:tc>
          <w:tcPr>
            <w:tcW w:w="6262" w:type="dxa"/>
            <w:tcBorders>
              <w:top w:val="nil"/>
              <w:left w:val="nil"/>
              <w:bottom w:val="nil"/>
              <w:right w:val="nil"/>
            </w:tcBorders>
            <w:shd w:val="clear" w:color="auto" w:fill="auto"/>
            <w:noWrap/>
            <w:vAlign w:val="bottom"/>
            <w:hideMark/>
          </w:tcPr>
          <w:p w14:paraId="1124A5C5"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Superoxide dismutase 1</w:t>
            </w:r>
          </w:p>
        </w:tc>
      </w:tr>
      <w:tr w:rsidR="002A4986" w:rsidRPr="002A4986" w14:paraId="03F1CA43" w14:textId="77777777" w:rsidTr="002A4986">
        <w:trPr>
          <w:trHeight w:val="300"/>
        </w:trPr>
        <w:tc>
          <w:tcPr>
            <w:tcW w:w="1300" w:type="dxa"/>
            <w:tcBorders>
              <w:top w:val="nil"/>
              <w:left w:val="nil"/>
              <w:bottom w:val="nil"/>
              <w:right w:val="nil"/>
            </w:tcBorders>
            <w:shd w:val="clear" w:color="auto" w:fill="auto"/>
            <w:noWrap/>
            <w:vAlign w:val="bottom"/>
            <w:hideMark/>
          </w:tcPr>
          <w:p w14:paraId="5BCDE10A"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SOS</w:t>
            </w:r>
          </w:p>
        </w:tc>
        <w:tc>
          <w:tcPr>
            <w:tcW w:w="6262" w:type="dxa"/>
            <w:tcBorders>
              <w:top w:val="nil"/>
              <w:left w:val="nil"/>
              <w:bottom w:val="nil"/>
              <w:right w:val="nil"/>
            </w:tcBorders>
            <w:shd w:val="clear" w:color="auto" w:fill="auto"/>
            <w:noWrap/>
            <w:vAlign w:val="bottom"/>
            <w:hideMark/>
          </w:tcPr>
          <w:p w14:paraId="043F1ABF"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Son of sevenless</w:t>
            </w:r>
          </w:p>
        </w:tc>
      </w:tr>
      <w:tr w:rsidR="002A4986" w:rsidRPr="002A4986" w14:paraId="57504A97" w14:textId="77777777" w:rsidTr="002A4986">
        <w:trPr>
          <w:trHeight w:val="300"/>
        </w:trPr>
        <w:tc>
          <w:tcPr>
            <w:tcW w:w="1300" w:type="dxa"/>
            <w:tcBorders>
              <w:top w:val="nil"/>
              <w:left w:val="nil"/>
              <w:bottom w:val="nil"/>
              <w:right w:val="nil"/>
            </w:tcBorders>
            <w:shd w:val="clear" w:color="auto" w:fill="auto"/>
            <w:noWrap/>
            <w:vAlign w:val="bottom"/>
            <w:hideMark/>
          </w:tcPr>
          <w:p w14:paraId="6DE91AA5"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ss-cDNA</w:t>
            </w:r>
          </w:p>
        </w:tc>
        <w:tc>
          <w:tcPr>
            <w:tcW w:w="6262" w:type="dxa"/>
            <w:tcBorders>
              <w:top w:val="nil"/>
              <w:left w:val="nil"/>
              <w:bottom w:val="nil"/>
              <w:right w:val="nil"/>
            </w:tcBorders>
            <w:shd w:val="clear" w:color="auto" w:fill="auto"/>
            <w:noWrap/>
            <w:vAlign w:val="bottom"/>
            <w:hideMark/>
          </w:tcPr>
          <w:p w14:paraId="22B00F86"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Single stranded cDNA</w:t>
            </w:r>
          </w:p>
        </w:tc>
      </w:tr>
      <w:tr w:rsidR="002A4986" w:rsidRPr="002A4986" w14:paraId="02562D28" w14:textId="77777777" w:rsidTr="002A4986">
        <w:trPr>
          <w:trHeight w:val="300"/>
        </w:trPr>
        <w:tc>
          <w:tcPr>
            <w:tcW w:w="1300" w:type="dxa"/>
            <w:tcBorders>
              <w:top w:val="nil"/>
              <w:left w:val="nil"/>
              <w:bottom w:val="nil"/>
              <w:right w:val="nil"/>
            </w:tcBorders>
            <w:shd w:val="clear" w:color="auto" w:fill="auto"/>
            <w:noWrap/>
            <w:vAlign w:val="center"/>
            <w:hideMark/>
          </w:tcPr>
          <w:p w14:paraId="3E4A6490"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SSC</w:t>
            </w:r>
          </w:p>
        </w:tc>
        <w:tc>
          <w:tcPr>
            <w:tcW w:w="6262" w:type="dxa"/>
            <w:tcBorders>
              <w:top w:val="nil"/>
              <w:left w:val="nil"/>
              <w:bottom w:val="nil"/>
              <w:right w:val="nil"/>
            </w:tcBorders>
            <w:shd w:val="clear" w:color="auto" w:fill="auto"/>
            <w:noWrap/>
            <w:vAlign w:val="bottom"/>
            <w:hideMark/>
          </w:tcPr>
          <w:p w14:paraId="4700BCC2"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Side scatter</w:t>
            </w:r>
          </w:p>
        </w:tc>
      </w:tr>
      <w:tr w:rsidR="002A4986" w:rsidRPr="002A4986" w14:paraId="093405FA" w14:textId="77777777" w:rsidTr="002A4986">
        <w:trPr>
          <w:trHeight w:val="300"/>
        </w:trPr>
        <w:tc>
          <w:tcPr>
            <w:tcW w:w="1300" w:type="dxa"/>
            <w:tcBorders>
              <w:top w:val="nil"/>
              <w:left w:val="nil"/>
              <w:bottom w:val="nil"/>
              <w:right w:val="nil"/>
            </w:tcBorders>
            <w:shd w:val="clear" w:color="auto" w:fill="auto"/>
            <w:noWrap/>
            <w:vAlign w:val="center"/>
            <w:hideMark/>
          </w:tcPr>
          <w:p w14:paraId="3F0F005E"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STAT3</w:t>
            </w:r>
          </w:p>
        </w:tc>
        <w:tc>
          <w:tcPr>
            <w:tcW w:w="6262" w:type="dxa"/>
            <w:tcBorders>
              <w:top w:val="nil"/>
              <w:left w:val="nil"/>
              <w:bottom w:val="nil"/>
              <w:right w:val="nil"/>
            </w:tcBorders>
            <w:shd w:val="clear" w:color="auto" w:fill="auto"/>
            <w:noWrap/>
            <w:vAlign w:val="bottom"/>
            <w:hideMark/>
          </w:tcPr>
          <w:p w14:paraId="3D8DEFC4"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Signal transducer and activator of transcription 3</w:t>
            </w:r>
          </w:p>
        </w:tc>
      </w:tr>
      <w:tr w:rsidR="002A4986" w:rsidRPr="002A4986" w14:paraId="1385AF65" w14:textId="77777777" w:rsidTr="002A4986">
        <w:trPr>
          <w:trHeight w:val="300"/>
        </w:trPr>
        <w:tc>
          <w:tcPr>
            <w:tcW w:w="1300" w:type="dxa"/>
            <w:tcBorders>
              <w:top w:val="nil"/>
              <w:left w:val="nil"/>
              <w:bottom w:val="nil"/>
              <w:right w:val="nil"/>
            </w:tcBorders>
            <w:shd w:val="clear" w:color="auto" w:fill="auto"/>
            <w:noWrap/>
            <w:vAlign w:val="center"/>
            <w:hideMark/>
          </w:tcPr>
          <w:p w14:paraId="2BD5FE25"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SYT12</w:t>
            </w:r>
          </w:p>
        </w:tc>
        <w:tc>
          <w:tcPr>
            <w:tcW w:w="6262" w:type="dxa"/>
            <w:tcBorders>
              <w:top w:val="nil"/>
              <w:left w:val="nil"/>
              <w:bottom w:val="nil"/>
              <w:right w:val="nil"/>
            </w:tcBorders>
            <w:shd w:val="clear" w:color="auto" w:fill="auto"/>
            <w:noWrap/>
            <w:vAlign w:val="bottom"/>
            <w:hideMark/>
          </w:tcPr>
          <w:p w14:paraId="4B839F5E"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Synaptotagmin 12</w:t>
            </w:r>
          </w:p>
        </w:tc>
      </w:tr>
      <w:tr w:rsidR="002A4986" w:rsidRPr="002A4986" w14:paraId="6FD758CE" w14:textId="77777777" w:rsidTr="002A4986">
        <w:trPr>
          <w:trHeight w:val="300"/>
        </w:trPr>
        <w:tc>
          <w:tcPr>
            <w:tcW w:w="1300" w:type="dxa"/>
            <w:tcBorders>
              <w:top w:val="nil"/>
              <w:left w:val="nil"/>
              <w:bottom w:val="nil"/>
              <w:right w:val="nil"/>
            </w:tcBorders>
            <w:shd w:val="clear" w:color="auto" w:fill="auto"/>
            <w:noWrap/>
            <w:vAlign w:val="center"/>
            <w:hideMark/>
          </w:tcPr>
          <w:p w14:paraId="0AA66BCB"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T2D</w:t>
            </w:r>
          </w:p>
        </w:tc>
        <w:tc>
          <w:tcPr>
            <w:tcW w:w="6262" w:type="dxa"/>
            <w:tcBorders>
              <w:top w:val="nil"/>
              <w:left w:val="nil"/>
              <w:bottom w:val="nil"/>
              <w:right w:val="nil"/>
            </w:tcBorders>
            <w:shd w:val="clear" w:color="auto" w:fill="auto"/>
            <w:noWrap/>
            <w:vAlign w:val="bottom"/>
            <w:hideMark/>
          </w:tcPr>
          <w:p w14:paraId="2D8203C5"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Type-2 diabetes</w:t>
            </w:r>
          </w:p>
        </w:tc>
      </w:tr>
      <w:tr w:rsidR="002A4986" w:rsidRPr="002A4986" w14:paraId="3ADEEB69" w14:textId="77777777" w:rsidTr="002A4986">
        <w:trPr>
          <w:trHeight w:val="300"/>
        </w:trPr>
        <w:tc>
          <w:tcPr>
            <w:tcW w:w="1300" w:type="dxa"/>
            <w:tcBorders>
              <w:top w:val="nil"/>
              <w:left w:val="nil"/>
              <w:bottom w:val="nil"/>
              <w:right w:val="nil"/>
            </w:tcBorders>
            <w:shd w:val="clear" w:color="auto" w:fill="auto"/>
            <w:noWrap/>
            <w:vAlign w:val="center"/>
            <w:hideMark/>
          </w:tcPr>
          <w:p w14:paraId="3376D88A"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tBHQ</w:t>
            </w:r>
          </w:p>
        </w:tc>
        <w:tc>
          <w:tcPr>
            <w:tcW w:w="6262" w:type="dxa"/>
            <w:tcBorders>
              <w:top w:val="nil"/>
              <w:left w:val="nil"/>
              <w:bottom w:val="nil"/>
              <w:right w:val="nil"/>
            </w:tcBorders>
            <w:shd w:val="clear" w:color="auto" w:fill="auto"/>
            <w:noWrap/>
            <w:vAlign w:val="bottom"/>
            <w:hideMark/>
          </w:tcPr>
          <w:p w14:paraId="715DE9CA"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Tert-butylhydroquinone</w:t>
            </w:r>
          </w:p>
        </w:tc>
      </w:tr>
      <w:tr w:rsidR="002A4986" w:rsidRPr="002A4986" w14:paraId="0643468C" w14:textId="77777777" w:rsidTr="002A4986">
        <w:trPr>
          <w:trHeight w:val="300"/>
        </w:trPr>
        <w:tc>
          <w:tcPr>
            <w:tcW w:w="1300" w:type="dxa"/>
            <w:tcBorders>
              <w:top w:val="nil"/>
              <w:left w:val="nil"/>
              <w:bottom w:val="nil"/>
              <w:right w:val="nil"/>
            </w:tcBorders>
            <w:shd w:val="clear" w:color="auto" w:fill="auto"/>
            <w:noWrap/>
            <w:vAlign w:val="center"/>
            <w:hideMark/>
          </w:tcPr>
          <w:p w14:paraId="14F9ECE5"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TBS</w:t>
            </w:r>
          </w:p>
        </w:tc>
        <w:tc>
          <w:tcPr>
            <w:tcW w:w="6262" w:type="dxa"/>
            <w:tcBorders>
              <w:top w:val="nil"/>
              <w:left w:val="nil"/>
              <w:bottom w:val="nil"/>
              <w:right w:val="nil"/>
            </w:tcBorders>
            <w:shd w:val="clear" w:color="auto" w:fill="auto"/>
            <w:noWrap/>
            <w:vAlign w:val="bottom"/>
            <w:hideMark/>
          </w:tcPr>
          <w:p w14:paraId="5301C72F"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Tris-buffered saline</w:t>
            </w:r>
          </w:p>
        </w:tc>
      </w:tr>
      <w:tr w:rsidR="002A4986" w:rsidRPr="002A4986" w14:paraId="4CD09868" w14:textId="77777777" w:rsidTr="002A4986">
        <w:trPr>
          <w:trHeight w:val="300"/>
        </w:trPr>
        <w:tc>
          <w:tcPr>
            <w:tcW w:w="1300" w:type="dxa"/>
            <w:tcBorders>
              <w:top w:val="nil"/>
              <w:left w:val="nil"/>
              <w:bottom w:val="nil"/>
              <w:right w:val="nil"/>
            </w:tcBorders>
            <w:shd w:val="clear" w:color="auto" w:fill="auto"/>
            <w:noWrap/>
            <w:vAlign w:val="center"/>
            <w:hideMark/>
          </w:tcPr>
          <w:p w14:paraId="5DF60E9F"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TCA</w:t>
            </w:r>
          </w:p>
        </w:tc>
        <w:tc>
          <w:tcPr>
            <w:tcW w:w="6262" w:type="dxa"/>
            <w:tcBorders>
              <w:top w:val="nil"/>
              <w:left w:val="nil"/>
              <w:bottom w:val="nil"/>
              <w:right w:val="nil"/>
            </w:tcBorders>
            <w:shd w:val="clear" w:color="auto" w:fill="auto"/>
            <w:noWrap/>
            <w:vAlign w:val="bottom"/>
            <w:hideMark/>
          </w:tcPr>
          <w:p w14:paraId="439BD895"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Tricarboxylic acid</w:t>
            </w:r>
          </w:p>
        </w:tc>
      </w:tr>
      <w:tr w:rsidR="002A4986" w:rsidRPr="002A4986" w14:paraId="6E5D84BE" w14:textId="77777777" w:rsidTr="002A4986">
        <w:trPr>
          <w:trHeight w:val="300"/>
        </w:trPr>
        <w:tc>
          <w:tcPr>
            <w:tcW w:w="1300" w:type="dxa"/>
            <w:tcBorders>
              <w:top w:val="nil"/>
              <w:left w:val="nil"/>
              <w:bottom w:val="nil"/>
              <w:right w:val="nil"/>
            </w:tcBorders>
            <w:shd w:val="clear" w:color="auto" w:fill="auto"/>
            <w:noWrap/>
            <w:vAlign w:val="bottom"/>
            <w:hideMark/>
          </w:tcPr>
          <w:p w14:paraId="7973A42C"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TdT</w:t>
            </w:r>
          </w:p>
        </w:tc>
        <w:tc>
          <w:tcPr>
            <w:tcW w:w="6262" w:type="dxa"/>
            <w:tcBorders>
              <w:top w:val="nil"/>
              <w:left w:val="nil"/>
              <w:bottom w:val="nil"/>
              <w:right w:val="nil"/>
            </w:tcBorders>
            <w:shd w:val="clear" w:color="auto" w:fill="auto"/>
            <w:noWrap/>
            <w:vAlign w:val="bottom"/>
            <w:hideMark/>
          </w:tcPr>
          <w:p w14:paraId="646E1661"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Terminal deoxynucleotidyl transferase</w:t>
            </w:r>
          </w:p>
        </w:tc>
      </w:tr>
      <w:tr w:rsidR="002A4986" w:rsidRPr="002A4986" w14:paraId="073EA141" w14:textId="77777777" w:rsidTr="002A4986">
        <w:trPr>
          <w:trHeight w:val="300"/>
        </w:trPr>
        <w:tc>
          <w:tcPr>
            <w:tcW w:w="1300" w:type="dxa"/>
            <w:tcBorders>
              <w:top w:val="nil"/>
              <w:left w:val="nil"/>
              <w:bottom w:val="nil"/>
              <w:right w:val="nil"/>
            </w:tcBorders>
            <w:shd w:val="clear" w:color="auto" w:fill="auto"/>
            <w:noWrap/>
            <w:vAlign w:val="bottom"/>
            <w:hideMark/>
          </w:tcPr>
          <w:p w14:paraId="14BA5062"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TLR</w:t>
            </w:r>
          </w:p>
        </w:tc>
        <w:tc>
          <w:tcPr>
            <w:tcW w:w="6262" w:type="dxa"/>
            <w:tcBorders>
              <w:top w:val="nil"/>
              <w:left w:val="nil"/>
              <w:bottom w:val="nil"/>
              <w:right w:val="nil"/>
            </w:tcBorders>
            <w:shd w:val="clear" w:color="auto" w:fill="auto"/>
            <w:noWrap/>
            <w:vAlign w:val="bottom"/>
            <w:hideMark/>
          </w:tcPr>
          <w:p w14:paraId="4AAA6DAF"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Toll-like receptor</w:t>
            </w:r>
          </w:p>
        </w:tc>
      </w:tr>
      <w:tr w:rsidR="002A4986" w:rsidRPr="002A4986" w14:paraId="190CBB76" w14:textId="77777777" w:rsidTr="002A4986">
        <w:trPr>
          <w:trHeight w:val="300"/>
        </w:trPr>
        <w:tc>
          <w:tcPr>
            <w:tcW w:w="1300" w:type="dxa"/>
            <w:tcBorders>
              <w:top w:val="nil"/>
              <w:left w:val="nil"/>
              <w:bottom w:val="nil"/>
              <w:right w:val="nil"/>
            </w:tcBorders>
            <w:shd w:val="clear" w:color="auto" w:fill="auto"/>
            <w:noWrap/>
            <w:vAlign w:val="center"/>
            <w:hideMark/>
          </w:tcPr>
          <w:p w14:paraId="08BCE374"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TPI1</w:t>
            </w:r>
          </w:p>
        </w:tc>
        <w:tc>
          <w:tcPr>
            <w:tcW w:w="6262" w:type="dxa"/>
            <w:tcBorders>
              <w:top w:val="nil"/>
              <w:left w:val="nil"/>
              <w:bottom w:val="nil"/>
              <w:right w:val="nil"/>
            </w:tcBorders>
            <w:shd w:val="clear" w:color="auto" w:fill="auto"/>
            <w:noWrap/>
            <w:vAlign w:val="bottom"/>
            <w:hideMark/>
          </w:tcPr>
          <w:p w14:paraId="516E8C64"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Triosephosphate isomerase 1</w:t>
            </w:r>
          </w:p>
        </w:tc>
      </w:tr>
      <w:tr w:rsidR="002A4986" w:rsidRPr="002A4986" w14:paraId="35062796" w14:textId="77777777" w:rsidTr="002A4986">
        <w:trPr>
          <w:trHeight w:val="300"/>
        </w:trPr>
        <w:tc>
          <w:tcPr>
            <w:tcW w:w="1300" w:type="dxa"/>
            <w:tcBorders>
              <w:top w:val="nil"/>
              <w:left w:val="nil"/>
              <w:bottom w:val="nil"/>
              <w:right w:val="nil"/>
            </w:tcBorders>
            <w:shd w:val="clear" w:color="auto" w:fill="auto"/>
            <w:noWrap/>
            <w:vAlign w:val="bottom"/>
            <w:hideMark/>
          </w:tcPr>
          <w:p w14:paraId="18805D42"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TRAP</w:t>
            </w:r>
          </w:p>
        </w:tc>
        <w:tc>
          <w:tcPr>
            <w:tcW w:w="6262" w:type="dxa"/>
            <w:tcBorders>
              <w:top w:val="nil"/>
              <w:left w:val="nil"/>
              <w:bottom w:val="nil"/>
              <w:right w:val="nil"/>
            </w:tcBorders>
            <w:shd w:val="clear" w:color="auto" w:fill="auto"/>
            <w:noWrap/>
            <w:vAlign w:val="bottom"/>
            <w:hideMark/>
          </w:tcPr>
          <w:p w14:paraId="0F867A15"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Translating ribosome affinity purification</w:t>
            </w:r>
          </w:p>
        </w:tc>
      </w:tr>
      <w:tr w:rsidR="002A4986" w:rsidRPr="002A4986" w14:paraId="61377199" w14:textId="77777777" w:rsidTr="002A4986">
        <w:trPr>
          <w:trHeight w:val="300"/>
        </w:trPr>
        <w:tc>
          <w:tcPr>
            <w:tcW w:w="1300" w:type="dxa"/>
            <w:tcBorders>
              <w:top w:val="nil"/>
              <w:left w:val="nil"/>
              <w:bottom w:val="nil"/>
              <w:right w:val="nil"/>
            </w:tcBorders>
            <w:shd w:val="clear" w:color="auto" w:fill="auto"/>
            <w:noWrap/>
            <w:vAlign w:val="center"/>
            <w:hideMark/>
          </w:tcPr>
          <w:p w14:paraId="4829628F"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TXNDC12</w:t>
            </w:r>
          </w:p>
        </w:tc>
        <w:tc>
          <w:tcPr>
            <w:tcW w:w="6262" w:type="dxa"/>
            <w:tcBorders>
              <w:top w:val="nil"/>
              <w:left w:val="nil"/>
              <w:bottom w:val="nil"/>
              <w:right w:val="nil"/>
            </w:tcBorders>
            <w:shd w:val="clear" w:color="auto" w:fill="auto"/>
            <w:noWrap/>
            <w:vAlign w:val="bottom"/>
            <w:hideMark/>
          </w:tcPr>
          <w:p w14:paraId="76B6E335"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Thioredoxin domain containing 12</w:t>
            </w:r>
          </w:p>
        </w:tc>
      </w:tr>
      <w:tr w:rsidR="002A4986" w:rsidRPr="002A4986" w14:paraId="1AF15084" w14:textId="77777777" w:rsidTr="002A4986">
        <w:trPr>
          <w:trHeight w:val="300"/>
        </w:trPr>
        <w:tc>
          <w:tcPr>
            <w:tcW w:w="1300" w:type="dxa"/>
            <w:tcBorders>
              <w:top w:val="nil"/>
              <w:left w:val="nil"/>
              <w:bottom w:val="nil"/>
              <w:right w:val="nil"/>
            </w:tcBorders>
            <w:shd w:val="clear" w:color="auto" w:fill="auto"/>
            <w:noWrap/>
            <w:vAlign w:val="center"/>
            <w:hideMark/>
          </w:tcPr>
          <w:p w14:paraId="270DD27A"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TXNIP1</w:t>
            </w:r>
          </w:p>
        </w:tc>
        <w:tc>
          <w:tcPr>
            <w:tcW w:w="6262" w:type="dxa"/>
            <w:tcBorders>
              <w:top w:val="nil"/>
              <w:left w:val="nil"/>
              <w:bottom w:val="nil"/>
              <w:right w:val="nil"/>
            </w:tcBorders>
            <w:shd w:val="clear" w:color="auto" w:fill="auto"/>
            <w:noWrap/>
            <w:vAlign w:val="bottom"/>
            <w:hideMark/>
          </w:tcPr>
          <w:p w14:paraId="58504844"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Thioredoxin interacting protein</w:t>
            </w:r>
          </w:p>
        </w:tc>
      </w:tr>
      <w:tr w:rsidR="002A4986" w:rsidRPr="002A4986" w14:paraId="202E216C" w14:textId="77777777" w:rsidTr="002A4986">
        <w:trPr>
          <w:trHeight w:val="300"/>
        </w:trPr>
        <w:tc>
          <w:tcPr>
            <w:tcW w:w="1300" w:type="dxa"/>
            <w:tcBorders>
              <w:top w:val="nil"/>
              <w:left w:val="nil"/>
              <w:bottom w:val="nil"/>
              <w:right w:val="nil"/>
            </w:tcBorders>
            <w:shd w:val="clear" w:color="auto" w:fill="auto"/>
            <w:noWrap/>
            <w:vAlign w:val="center"/>
            <w:hideMark/>
          </w:tcPr>
          <w:p w14:paraId="36AA9C70"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TXNL1</w:t>
            </w:r>
          </w:p>
        </w:tc>
        <w:tc>
          <w:tcPr>
            <w:tcW w:w="6262" w:type="dxa"/>
            <w:tcBorders>
              <w:top w:val="nil"/>
              <w:left w:val="nil"/>
              <w:bottom w:val="nil"/>
              <w:right w:val="nil"/>
            </w:tcBorders>
            <w:shd w:val="clear" w:color="auto" w:fill="auto"/>
            <w:noWrap/>
            <w:vAlign w:val="bottom"/>
            <w:hideMark/>
          </w:tcPr>
          <w:p w14:paraId="4A404F47"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Thioredoxin-like 1</w:t>
            </w:r>
          </w:p>
        </w:tc>
      </w:tr>
      <w:tr w:rsidR="002A4986" w:rsidRPr="002A4986" w14:paraId="1D15259B" w14:textId="77777777" w:rsidTr="002A4986">
        <w:trPr>
          <w:trHeight w:val="300"/>
        </w:trPr>
        <w:tc>
          <w:tcPr>
            <w:tcW w:w="1300" w:type="dxa"/>
            <w:tcBorders>
              <w:top w:val="nil"/>
              <w:left w:val="nil"/>
              <w:bottom w:val="nil"/>
              <w:right w:val="nil"/>
            </w:tcBorders>
            <w:shd w:val="clear" w:color="auto" w:fill="auto"/>
            <w:noWrap/>
            <w:vAlign w:val="center"/>
            <w:hideMark/>
          </w:tcPr>
          <w:p w14:paraId="24C502C7"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UDG</w:t>
            </w:r>
          </w:p>
        </w:tc>
        <w:tc>
          <w:tcPr>
            <w:tcW w:w="6262" w:type="dxa"/>
            <w:tcBorders>
              <w:top w:val="nil"/>
              <w:left w:val="nil"/>
              <w:bottom w:val="nil"/>
              <w:right w:val="nil"/>
            </w:tcBorders>
            <w:shd w:val="clear" w:color="auto" w:fill="auto"/>
            <w:noWrap/>
            <w:vAlign w:val="bottom"/>
            <w:hideMark/>
          </w:tcPr>
          <w:p w14:paraId="35085E44"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Uracil-DNA glycosylase</w:t>
            </w:r>
          </w:p>
        </w:tc>
      </w:tr>
      <w:tr w:rsidR="002A4986" w:rsidRPr="002A4986" w14:paraId="1A8F08B7" w14:textId="77777777" w:rsidTr="002A4986">
        <w:trPr>
          <w:trHeight w:val="300"/>
        </w:trPr>
        <w:tc>
          <w:tcPr>
            <w:tcW w:w="1300" w:type="dxa"/>
            <w:tcBorders>
              <w:top w:val="nil"/>
              <w:left w:val="nil"/>
              <w:bottom w:val="nil"/>
              <w:right w:val="nil"/>
            </w:tcBorders>
            <w:shd w:val="clear" w:color="auto" w:fill="auto"/>
            <w:noWrap/>
            <w:vAlign w:val="center"/>
            <w:hideMark/>
          </w:tcPr>
          <w:p w14:paraId="4F50690D"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UDPG</w:t>
            </w:r>
          </w:p>
        </w:tc>
        <w:tc>
          <w:tcPr>
            <w:tcW w:w="6262" w:type="dxa"/>
            <w:tcBorders>
              <w:top w:val="nil"/>
              <w:left w:val="nil"/>
              <w:bottom w:val="nil"/>
              <w:right w:val="nil"/>
            </w:tcBorders>
            <w:shd w:val="clear" w:color="auto" w:fill="auto"/>
            <w:noWrap/>
            <w:vAlign w:val="bottom"/>
            <w:hideMark/>
          </w:tcPr>
          <w:p w14:paraId="5ADAE4F9"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UrIdyl diphosphate glucose pyrophosphorylase</w:t>
            </w:r>
          </w:p>
        </w:tc>
      </w:tr>
      <w:tr w:rsidR="002A4986" w:rsidRPr="002A4986" w14:paraId="04B71F46" w14:textId="77777777" w:rsidTr="002A4986">
        <w:trPr>
          <w:trHeight w:val="300"/>
        </w:trPr>
        <w:tc>
          <w:tcPr>
            <w:tcW w:w="1300" w:type="dxa"/>
            <w:tcBorders>
              <w:top w:val="nil"/>
              <w:left w:val="nil"/>
              <w:bottom w:val="nil"/>
              <w:right w:val="nil"/>
            </w:tcBorders>
            <w:shd w:val="clear" w:color="auto" w:fill="auto"/>
            <w:noWrap/>
            <w:vAlign w:val="bottom"/>
            <w:hideMark/>
          </w:tcPr>
          <w:p w14:paraId="7C4E094D" w14:textId="77777777" w:rsidR="002A4986" w:rsidRPr="002A4986" w:rsidRDefault="002A4986" w:rsidP="002A4986">
            <w:pPr>
              <w:rPr>
                <w:rFonts w:ascii="Times New Roman" w:eastAsia="Times New Roman" w:hAnsi="Times New Roman" w:cs="Times New Roman"/>
                <w:b/>
                <w:bCs/>
                <w:color w:val="000000"/>
                <w:lang w:val="en-GB"/>
              </w:rPr>
            </w:pPr>
            <w:r w:rsidRPr="002A4986">
              <w:rPr>
                <w:rFonts w:ascii="Times New Roman" w:eastAsia="Times New Roman" w:hAnsi="Times New Roman" w:cs="Times New Roman"/>
                <w:b/>
                <w:bCs/>
                <w:color w:val="000000"/>
                <w:lang w:val="en-GB"/>
              </w:rPr>
              <w:t>VEGF</w:t>
            </w:r>
          </w:p>
        </w:tc>
        <w:tc>
          <w:tcPr>
            <w:tcW w:w="6262" w:type="dxa"/>
            <w:tcBorders>
              <w:top w:val="nil"/>
              <w:left w:val="nil"/>
              <w:bottom w:val="nil"/>
              <w:right w:val="nil"/>
            </w:tcBorders>
            <w:shd w:val="clear" w:color="auto" w:fill="auto"/>
            <w:noWrap/>
            <w:vAlign w:val="bottom"/>
            <w:hideMark/>
          </w:tcPr>
          <w:p w14:paraId="58C7D159" w14:textId="77777777" w:rsidR="002A4986" w:rsidRPr="002A4986" w:rsidRDefault="002A4986" w:rsidP="002A4986">
            <w:pPr>
              <w:rPr>
                <w:rFonts w:ascii="Times New Roman" w:eastAsia="Times New Roman" w:hAnsi="Times New Roman" w:cs="Times New Roman"/>
                <w:color w:val="000000"/>
                <w:lang w:val="en-GB"/>
              </w:rPr>
            </w:pPr>
            <w:r w:rsidRPr="002A4986">
              <w:rPr>
                <w:rFonts w:ascii="Times New Roman" w:eastAsia="Times New Roman" w:hAnsi="Times New Roman" w:cs="Times New Roman"/>
                <w:color w:val="000000"/>
                <w:lang w:val="en-GB"/>
              </w:rPr>
              <w:t>Vascular endothelial growth factor</w:t>
            </w:r>
          </w:p>
        </w:tc>
      </w:tr>
      <w:tr w:rsidR="002A4986" w:rsidRPr="002A4986" w14:paraId="7427F323" w14:textId="77777777" w:rsidTr="002A4986">
        <w:trPr>
          <w:trHeight w:val="300"/>
        </w:trPr>
        <w:tc>
          <w:tcPr>
            <w:tcW w:w="1300" w:type="dxa"/>
            <w:tcBorders>
              <w:top w:val="nil"/>
              <w:left w:val="nil"/>
              <w:bottom w:val="nil"/>
              <w:right w:val="nil"/>
            </w:tcBorders>
            <w:shd w:val="clear" w:color="auto" w:fill="auto"/>
            <w:noWrap/>
            <w:vAlign w:val="bottom"/>
            <w:hideMark/>
          </w:tcPr>
          <w:p w14:paraId="00376F0A" w14:textId="77777777" w:rsidR="002A4986" w:rsidRPr="002A4986" w:rsidRDefault="002A4986" w:rsidP="002A4986">
            <w:pPr>
              <w:rPr>
                <w:rFonts w:ascii="Times New Roman" w:eastAsia="Times New Roman" w:hAnsi="Times New Roman" w:cs="Times New Roman"/>
                <w:color w:val="000000"/>
                <w:lang w:val="en-GB"/>
              </w:rPr>
            </w:pPr>
          </w:p>
        </w:tc>
        <w:tc>
          <w:tcPr>
            <w:tcW w:w="6262" w:type="dxa"/>
            <w:tcBorders>
              <w:top w:val="nil"/>
              <w:left w:val="nil"/>
              <w:bottom w:val="nil"/>
              <w:right w:val="nil"/>
            </w:tcBorders>
            <w:shd w:val="clear" w:color="auto" w:fill="auto"/>
            <w:noWrap/>
            <w:vAlign w:val="bottom"/>
            <w:hideMark/>
          </w:tcPr>
          <w:p w14:paraId="69AB855B" w14:textId="77777777" w:rsidR="002A4986" w:rsidRPr="002A4986" w:rsidRDefault="002A4986" w:rsidP="002A4986">
            <w:pPr>
              <w:rPr>
                <w:rFonts w:ascii="Times New Roman" w:eastAsia="Times New Roman" w:hAnsi="Times New Roman" w:cs="Times New Roman"/>
                <w:color w:val="000000"/>
                <w:lang w:val="en-GB"/>
              </w:rPr>
            </w:pPr>
          </w:p>
        </w:tc>
      </w:tr>
    </w:tbl>
    <w:p w14:paraId="6639E654" w14:textId="77777777" w:rsidR="00C2382D" w:rsidRPr="00C2382D" w:rsidRDefault="00C2382D" w:rsidP="00C2382D"/>
    <w:p w14:paraId="1CD9E9BE" w14:textId="77777777" w:rsidR="00610704" w:rsidRPr="000C0B1C" w:rsidRDefault="00610704" w:rsidP="000C0B1C"/>
    <w:p w14:paraId="1B3D323E" w14:textId="5DE14315" w:rsidR="000C0B1C" w:rsidRDefault="009625AD" w:rsidP="004839E2">
      <w:pPr>
        <w:pStyle w:val="Heading1"/>
        <w:spacing w:line="240" w:lineRule="auto"/>
      </w:pPr>
      <w:bookmarkStart w:id="36" w:name="_Toc328301072"/>
      <w:bookmarkStart w:id="37" w:name="_Toc329593363"/>
      <w:bookmarkStart w:id="38" w:name="_Toc331425865"/>
      <w:bookmarkStart w:id="39" w:name="_Toc331427052"/>
      <w:bookmarkStart w:id="40" w:name="_Toc331427424"/>
      <w:bookmarkStart w:id="41" w:name="_Toc331427566"/>
      <w:bookmarkStart w:id="42" w:name="_Toc332972570"/>
      <w:bookmarkStart w:id="43" w:name="_Toc333046850"/>
      <w:bookmarkStart w:id="44" w:name="_Toc333477197"/>
      <w:bookmarkStart w:id="45" w:name="_Toc333477967"/>
      <w:bookmarkStart w:id="46" w:name="_Toc333644867"/>
      <w:r w:rsidRPr="009625AD">
        <w:rPr>
          <w:u w:val="none"/>
        </w:rPr>
        <w:t xml:space="preserve">                                  </w:t>
      </w:r>
      <w:r w:rsidR="000C0B1C">
        <w:t>Chapter 1</w:t>
      </w:r>
      <w:bookmarkEnd w:id="36"/>
      <w:bookmarkEnd w:id="37"/>
      <w:bookmarkEnd w:id="38"/>
      <w:bookmarkEnd w:id="39"/>
      <w:bookmarkEnd w:id="40"/>
      <w:bookmarkEnd w:id="41"/>
      <w:bookmarkEnd w:id="42"/>
      <w:bookmarkEnd w:id="43"/>
      <w:bookmarkEnd w:id="44"/>
      <w:bookmarkEnd w:id="45"/>
      <w:bookmarkEnd w:id="46"/>
    </w:p>
    <w:p w14:paraId="693E44DE" w14:textId="4A368AAB" w:rsidR="00B3489A" w:rsidRDefault="000C0B1C" w:rsidP="007C50EB">
      <w:pPr>
        <w:pStyle w:val="Heading1"/>
        <w:spacing w:line="240" w:lineRule="auto"/>
        <w:rPr>
          <w:u w:val="none"/>
        </w:rPr>
      </w:pPr>
      <w:r>
        <w:rPr>
          <w:u w:val="none"/>
        </w:rPr>
        <w:t xml:space="preserve">                          </w:t>
      </w:r>
      <w:r w:rsidRPr="000C0B1C">
        <w:rPr>
          <w:u w:val="none"/>
        </w:rPr>
        <w:t xml:space="preserve">    </w:t>
      </w:r>
      <w:r w:rsidR="00B3489A" w:rsidRPr="000C0B1C">
        <w:rPr>
          <w:u w:val="none"/>
        </w:rPr>
        <w:t xml:space="preserve"> </w:t>
      </w:r>
      <w:r w:rsidRPr="00C24EFD">
        <w:rPr>
          <w:u w:val="none"/>
        </w:rPr>
        <w:t xml:space="preserve"> </w:t>
      </w:r>
      <w:bookmarkStart w:id="47" w:name="_Toc328301073"/>
      <w:bookmarkStart w:id="48" w:name="_Toc329593364"/>
      <w:bookmarkStart w:id="49" w:name="_Toc331425866"/>
      <w:bookmarkStart w:id="50" w:name="_Toc331427053"/>
      <w:bookmarkStart w:id="51" w:name="_Toc331427425"/>
      <w:bookmarkStart w:id="52" w:name="_Toc331427567"/>
      <w:bookmarkStart w:id="53" w:name="_Toc332972571"/>
      <w:bookmarkStart w:id="54" w:name="_Toc333046851"/>
      <w:bookmarkStart w:id="55" w:name="_Toc333477198"/>
      <w:bookmarkStart w:id="56" w:name="_Toc333477968"/>
      <w:bookmarkStart w:id="57" w:name="_Toc333644868"/>
      <w:r w:rsidR="00120CA9" w:rsidRPr="00C24EFD">
        <w:rPr>
          <w:u w:val="none"/>
        </w:rPr>
        <w:t>Introduction</w:t>
      </w:r>
      <w:bookmarkEnd w:id="47"/>
      <w:bookmarkEnd w:id="48"/>
      <w:bookmarkEnd w:id="49"/>
      <w:bookmarkEnd w:id="50"/>
      <w:bookmarkEnd w:id="51"/>
      <w:bookmarkEnd w:id="52"/>
      <w:bookmarkEnd w:id="53"/>
      <w:bookmarkEnd w:id="54"/>
      <w:bookmarkEnd w:id="55"/>
      <w:bookmarkEnd w:id="56"/>
      <w:bookmarkEnd w:id="57"/>
    </w:p>
    <w:p w14:paraId="2D85369C" w14:textId="77777777" w:rsidR="00C96B80" w:rsidRPr="00C96B80" w:rsidRDefault="00C96B80" w:rsidP="00C96B80"/>
    <w:p w14:paraId="7316DA5C" w14:textId="0C3216AC" w:rsidR="00120CA9" w:rsidRDefault="003A2584" w:rsidP="001B1D82">
      <w:pPr>
        <w:pStyle w:val="Heading2"/>
      </w:pPr>
      <w:bookmarkStart w:id="58" w:name="_Toc328301074"/>
      <w:bookmarkStart w:id="59" w:name="_Toc329593365"/>
      <w:bookmarkStart w:id="60" w:name="_Toc331425867"/>
      <w:bookmarkStart w:id="61" w:name="_Toc331427054"/>
      <w:bookmarkStart w:id="62" w:name="_Toc331427426"/>
      <w:bookmarkStart w:id="63" w:name="_Toc331427568"/>
      <w:bookmarkStart w:id="64" w:name="_Toc332972572"/>
      <w:bookmarkStart w:id="65" w:name="_Toc333046852"/>
      <w:bookmarkStart w:id="66" w:name="_Toc333477199"/>
      <w:bookmarkStart w:id="67" w:name="_Toc333477969"/>
      <w:bookmarkStart w:id="68" w:name="_Toc333644869"/>
      <w:r>
        <w:t xml:space="preserve">1.1 </w:t>
      </w:r>
      <w:r w:rsidR="002A7E74">
        <w:t>Alzheimer’s Disease</w:t>
      </w:r>
      <w:bookmarkEnd w:id="58"/>
      <w:bookmarkEnd w:id="59"/>
      <w:bookmarkEnd w:id="60"/>
      <w:bookmarkEnd w:id="61"/>
      <w:bookmarkEnd w:id="62"/>
      <w:bookmarkEnd w:id="63"/>
      <w:bookmarkEnd w:id="64"/>
      <w:bookmarkEnd w:id="65"/>
      <w:bookmarkEnd w:id="66"/>
      <w:bookmarkEnd w:id="67"/>
      <w:bookmarkEnd w:id="68"/>
    </w:p>
    <w:p w14:paraId="74E28945" w14:textId="1B980EFD" w:rsidR="00EF2AF4" w:rsidRDefault="00EF2AF4" w:rsidP="00EF2AF4">
      <w:pPr>
        <w:rPr>
          <w:rFonts w:ascii="Times New Roman" w:hAnsi="Times New Roman" w:cs="Times New Roman"/>
          <w:b/>
          <w:u w:val="single"/>
        </w:rPr>
      </w:pPr>
    </w:p>
    <w:p w14:paraId="3AA561AE" w14:textId="77777777" w:rsidR="00EF2AF4" w:rsidRPr="00F65A64" w:rsidRDefault="00EF2AF4" w:rsidP="00EF2AF4">
      <w:pPr>
        <w:rPr>
          <w:rFonts w:ascii="Times New Roman" w:hAnsi="Times New Roman" w:cs="Times New Roman"/>
          <w:b/>
          <w:u w:val="single"/>
        </w:rPr>
      </w:pPr>
    </w:p>
    <w:p w14:paraId="4F32B299" w14:textId="29742016" w:rsidR="00FC14AE" w:rsidRPr="001933B4" w:rsidRDefault="00A667FB" w:rsidP="00A667FB">
      <w:pPr>
        <w:pStyle w:val="Body"/>
        <w:spacing w:line="360" w:lineRule="auto"/>
        <w:jc w:val="both"/>
        <w:rPr>
          <w:rFonts w:ascii="Times New Roman" w:hAnsi="Times New Roman" w:cs="Times New Roman"/>
          <w:sz w:val="24"/>
          <w:szCs w:val="24"/>
        </w:rPr>
      </w:pPr>
      <w:r w:rsidRPr="001933B4">
        <w:rPr>
          <w:rFonts w:ascii="Times New Roman" w:hAnsi="Times New Roman" w:cs="Times New Roman"/>
          <w:sz w:val="24"/>
          <w:szCs w:val="24"/>
        </w:rPr>
        <w:t>Alzheimer’s Disease</w:t>
      </w:r>
      <w:r w:rsidR="00D759EF" w:rsidRPr="001933B4">
        <w:rPr>
          <w:rFonts w:ascii="Times New Roman" w:hAnsi="Times New Roman" w:cs="Times New Roman"/>
          <w:sz w:val="24"/>
          <w:szCs w:val="24"/>
        </w:rPr>
        <w:t xml:space="preserve"> (AD)</w:t>
      </w:r>
      <w:r w:rsidR="00763FBB" w:rsidRPr="001933B4">
        <w:rPr>
          <w:rFonts w:ascii="Times New Roman" w:hAnsi="Times New Roman" w:cs="Times New Roman"/>
          <w:sz w:val="24"/>
          <w:szCs w:val="24"/>
        </w:rPr>
        <w:t>, first described by Alois Alzheimer in 1906</w:t>
      </w:r>
      <w:r w:rsidR="00FC14AE" w:rsidRPr="001933B4">
        <w:rPr>
          <w:rFonts w:ascii="Times New Roman" w:hAnsi="Times New Roman" w:cs="Times New Roman"/>
          <w:sz w:val="24"/>
          <w:szCs w:val="24"/>
        </w:rPr>
        <w:t>, is the most common cause of dementia in the elderly and is estima</w:t>
      </w:r>
      <w:r w:rsidR="00737D07">
        <w:rPr>
          <w:rFonts w:ascii="Times New Roman" w:hAnsi="Times New Roman" w:cs="Times New Roman"/>
          <w:sz w:val="24"/>
          <w:szCs w:val="24"/>
        </w:rPr>
        <w:t xml:space="preserve">ted to affect approximately      850 </w:t>
      </w:r>
      <w:r w:rsidR="00FC14AE" w:rsidRPr="001933B4">
        <w:rPr>
          <w:rFonts w:ascii="Times New Roman" w:hAnsi="Times New Roman" w:cs="Times New Roman"/>
          <w:sz w:val="24"/>
          <w:szCs w:val="24"/>
        </w:rPr>
        <w:t>000 people in the UK alone (</w:t>
      </w:r>
      <w:r w:rsidR="00773590" w:rsidRPr="00773590">
        <w:rPr>
          <w:rFonts w:ascii="Times New Roman" w:hAnsi="Times New Roman" w:cs="Times New Roman"/>
          <w:sz w:val="24"/>
          <w:szCs w:val="24"/>
        </w:rPr>
        <w:t>https://www.alzheimers.org.uk/statistics</w:t>
      </w:r>
      <w:r w:rsidR="00FC14AE" w:rsidRPr="001933B4">
        <w:rPr>
          <w:rFonts w:ascii="Times New Roman" w:hAnsi="Times New Roman" w:cs="Times New Roman"/>
          <w:sz w:val="24"/>
          <w:szCs w:val="24"/>
        </w:rPr>
        <w:t>). It is character</w:t>
      </w:r>
      <w:r w:rsidR="0001477D">
        <w:rPr>
          <w:rFonts w:ascii="Times New Roman" w:hAnsi="Times New Roman" w:cs="Times New Roman"/>
          <w:sz w:val="24"/>
          <w:szCs w:val="24"/>
        </w:rPr>
        <w:t>i</w:t>
      </w:r>
      <w:r w:rsidR="00FC14AE" w:rsidRPr="001933B4">
        <w:rPr>
          <w:rFonts w:ascii="Times New Roman" w:hAnsi="Times New Roman" w:cs="Times New Roman"/>
          <w:sz w:val="24"/>
          <w:szCs w:val="24"/>
        </w:rPr>
        <w:t>sed by progressive memor</w:t>
      </w:r>
      <w:r w:rsidR="00B139E2">
        <w:rPr>
          <w:rFonts w:ascii="Times New Roman" w:hAnsi="Times New Roman" w:cs="Times New Roman"/>
          <w:sz w:val="24"/>
          <w:szCs w:val="24"/>
        </w:rPr>
        <w:t>y</w:t>
      </w:r>
      <w:r w:rsidR="00FC14AE" w:rsidRPr="001933B4">
        <w:rPr>
          <w:rFonts w:ascii="Times New Roman" w:hAnsi="Times New Roman" w:cs="Times New Roman"/>
          <w:sz w:val="24"/>
          <w:szCs w:val="24"/>
        </w:rPr>
        <w:t xml:space="preserve"> loss and cognitive decline and in the latter stages of the disease profound dementia, which can be accompanied by behaviour changes and motor deficits </w:t>
      </w:r>
      <w:r w:rsidR="005F149C">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"10.1016/j.jalz.2013.02.003", "ISSN" : "1552-5279", "PMID" : "23507120", "abstract" : "This report provides information to increase understanding of the public health impact of Alzheimer's disease (AD), including incidence and prevalence, mortality rates, health expenditures and costs of care, and effect on caregivers and society in general. It also explores the roles and unique challenges of long-distance caregivers, as well as interventions that target those challenges. An estimated 5.2 million Americans have AD. Approximately 200,000 people younger than 65 years with AD comprise the younger onset AD population; 5 million comprise the older onset AD population. Throughout the coming decades, the baby boom generation is projected to add about 10 million to the total number of people in the United States with AD. Today, someone in America develops AD every 68 seconds. By 2050, one new case of AD is expected to develop every 33 seconds, or nearly a million new cases per year, and the total estimated prevalence is expected to be 13.8 million. AD is the sixth leading cause of death in the United States and the fifth leading cause of death in Americans age 65 years or older. Between 2000 and 2010, the proportion of deaths resulting from heart disease, stroke, and prostate cancer decreased 16%, 23%, and 8%, respectively, whereas the proportion resulting from AD increased 68%. The number of deaths from AD as determined by official death certificates (83,494 in 2010) likely underrepresents the number of AD-related deaths in the United States. A projected 450,000 older Americans with AD will die in 2013, and a large proportion will die as a result of complications of AD. In 2012, more than 15 million family members and other unpaid caregivers provided an estimated 17.5 billion hours of care to people with AD and other dementias, a contribution valued at more than $216 billion. Medicare payments for services to beneficiaries age 65 years and older with AD and other dementias are three times as great as payments for beneficiaries without these conditions, and Medicaid payments are 19 times as great. Total payments in 2013 for health care, long-term care, and hospice services for people age 65 years and older with dementia are expected to be $203 billion (not including the contributions of unpaid caregivers). An estimated 2.3 million caregivers of people with AD and other dementias live at least 1 hour away from the care recipient. These \"long-distance caregivers\" face unique challenges, including difficulty in assessing the care recipient's true he\u2026", "author" : [ { "dropping-particle" : "", "family" : "Alzheimer's Association", "given" : "American Psychiatric", "non-dropping-particle" : "", "parse-names" : false, "suffix" : "" }, { "dropping-particle" : "", "family" : "Clarfield", "given" : "A.M.", "non-dropping-particle" : "", "parse-names" : false, "suffix" : "" }, { "dropping-particle" : "", "family" : "Viswanathan", "given" : "A.", "non-dropping-particle" : "", "parse-names" : false, "suffix" : "" }, { "dropping-particle" : "", "family" : "Rocca", "given" : "W.A.", "non-dropping-particle" : "", "parse-names" : false, "suffix" : "" }, { "dropping-particle" : "", "family" : "Tzourio", "given" : "C.", "non-dropping-particle" : "", "parse-names" : false, "suffix" : "" }, { "dropping-particle" : "", "family" : "Schneider", "given" : "J.A.", "non-dropping-particle" : "", "parse-names" : false, "suffix" : "" }, { "dropping-particle" : "", "family" : "Arvanitakis", "given" : "Z.", "non-dropping-particle" : "", "parse-names" : false, "suffix" : "" }, { "dropping-particle" : "", "family" : "Bang", "given" : "W.", "non-dropping-particle" : "", "parse-names" : false, "suffix" : "" }, { "dropping-particle" : "", "family" : "Bennett", "given" : "D.A.", "non-dropping-particle" : "", "parse-names" : false, "suffix" : "" }, { "dropping-particle" : "", "family" : "Schneider", "given" : "J.A.", "non-dropping-particle" : "", "parse-names" : false, "suffix" : "" }, { "dropping-particle" : "", "family" : "Arvanitakis", "given" : "Z.", "non-dropping-particle" : "", "parse-names" : false, "suffix" : "" }, { "dropping-particle" : "", "family" : "Leurgans", "given" : "S.E.", "non-dropping-particle" : "", "parse-names" : false, "suffix" : "" }, { "dropping-particle" : "", "family" : "Bennett", "given" : "D.A.", "non-dropping-particle" : "", "parse-names" : false, "suffix" : "" }, { "dropping-particle" : "", "family" : "Jellinger", "given" : "K.A.", "non-dropping-particle" : "", "parse-names" : false, "suffix" : "" }, { "dropping-particle" : "", "family" : "Attems", "given" : "J.", "non-dropping-particle" : "", "parse-names" : false, "suffix" : "" }, { "dropping-particle" : "", "family" : "Jellinger", "given" : "K.A.", "non-dropping-particle" : "", "parse-names" : false, "suffix" : "" }, { "dropping-particle" : "", "family" : "Jack", "given" : "C.R.", "non-dropping-particle" : "", "parse-names" : false, "suffix" : "" }, { "dropping-particle" : "", "family" : "Albert", "given" : "M.S.", "non-dropping-particle" : "", "parse-names" : false, "suffix" : "" }, { "dropping-particle" : "", "family" : "Knopman", "given" : "D.S.", "non-dropping-particle" : "", "parse-names" : false, "suffix" : "" }, { "dropping-particle" : "", "family" : "McKhann", "given" : "G.M.", "non-dropping-particle" : "", "parse-names" : false, "suffix" : "" }, { "dropping-particle" : "", "family" : "Sperling", "given" : "R.A.", "non-dropping-particle" : "", "parse-names" : false, "suffix" : "" }, { "dropping-particle" : "", "family" : "Carrillo", "given" : "M.C.", "non-dropping-particle" : "", "parse-names" : false, "suffix" : "" }, { "dropping-particle" : "", "family" : "al.", "given" : "et", "non-dropping-particle" : "", "parse-names" : false, "suffix" : "" }, { "dropping-particle" : "", "family" : "McKhann", "given" : "G.M.", "non-dropping-particle" : "", "parse-names" : false, "suffix" : "" }, { "dropping-particle" : "", "family" : "Knopman", "given" : "D.S.", "non-dropping-particle" : "", "parse-names" : false, "suffix" : "" }, { "dropping-particle" : "", "family" : "Chertkow", "given" : "H.", "non-dropping-particle" : "", "parse-names" : false, "suffix" : "" }, { "dropping-particle" : "", "family" : "Hyman", "given" : "B.T.", "non-dropping-particle" : "", "parse-names" : false, "suffix" : "" }, { "dropping-particle" : "", "family" : "Jack", "given" : "C.R.", "non-dropping-particle" : "", "parse-names" : false, "suffix" : "" }, { "dropping-particle" : "", "family" : "Kawas", "given" : "C.H.", "non-dropping-particle" : "", "parse-names" : false, "suffix" : "" }, { "dropping-particle" : "", "family" : "al.", "given" : "et", "non-dropping-particle" : "", "parse-names" : false, "suffix" : "" }, { "dropping-particle" : "", "family" : "Albert", "given" : "M.S.", "non-dropping-particle" : "", "parse-names" : false, "suffix" : "" }, { "dropping-particle" : "", "family" : "DeKosky", "given" : "S.T.", "non-dropping-particle" : "", "parse-names" : false, "suffix" : "" }, { "dropping-particle" : "", "family" : "Dickson", "given" : "D.", "non-dropping-particle" : "", "parse-names" : false, "suffix" : "" }, { "dropping-particle" : "", "family" : "Dubois", "given" : "B.", "non-dropping-particle" : "", "parse-names" : false, "suffix" : "" }, { "dropping-particle" : "", "family" : "Feldman", "given" : "H.H.", "non-dropping-particle" : "", "parse-names" : false, "suffix" : "" }, { "dropping-particle" : "", "family" : "Fox", "given" : "N.", "non-dropping-particle" : "", "parse-names" : false, "suffix" : "" }, { "dropping-particle" : "", "family" : "al.", "given" : "et", "non-dropping-particle" : "", "parse-names" : false, "suffix" : "" }, { "dropping-particle" : "", "family" : "Sperling", "given" : "R.A.", "non-dropping-particle" : "", "parse-names" : false, "suffix" : "" }, { "dropping-particle" : "", "family" : "Aisen", "given" : "P.S.", "non-dropping-particle" : "", "parse-names" : false, "suffix" : "" }, { "dropping-particle" : "", "family" : "Beckett", "given" : "L.A.", "non-dropping-particle" : "", "parse-names" : false, "suffix" : "" }, { "dropping-particle" : "", "family" : "Bennett", "given" : "D.A.", "non-dropping-particle" : "", "parse-names" : false, "suffix" : "" }, { "dropping-particle" : "", "family" : "Craft", "given" : "S.", "non-dropping-particle" : "", "parse-names" : false, "suffix" : "" }, { "dropping-particle" : "", "family" : "Fagan", "given" : "A.M.", "non-dropping-particle" : "", "parse-names" : false, "suffix" : "" }, { "dropping-particle" : "", "family" : "al.", "given" : "et", "non-dropping-particle" : "", "parse-names" : false, "suffix" : "" }, { "dropping-particle" : "", "family" : "Hyman", "given" : "B.T.", "non-dropping-particle" : "", "parse-names" : false, "suffix" : "" }, { "dropping-particle" : "", "family" : "Phelps", "given" : "C.H.", "non-dropping-particle" : "", "parse-names" : false, "suffix" : "" }, { "dropping-particle" : "", "family" : "Beach", "given" : "T.G.", "non-dropping-particle" : "", "parse-names" : false, "suffix" : "" }, { "dropping-particle" : "", "family" : "Bigio", "given" : "E.H.", "non-dropping-particle" : "", "parse-names" : false, "suffix" : "" }, { "dropping-particle" : "", "family" : "Cairns", "given" : "N.J.", "non-dropping-particle" : "", "parse-names" : false, "suffix" : "" }, { "dropping-particle" : "", "family" : "Carrillo", "given" : "M.C.", "non-dropping-particle" : "", "parse-names" : false, "suffix" : "" }, { "dropping-particle" : "", "family" : "al.", "given" : "et", "non-dropping-particle" : "", "parse-names" : false, "suffix" : "" }, { "dropping-particle" : "", "family" : "Lopez", "given" : "O.L.", "non-dropping-particle" : "", "parse-names" : false, "suffix" : "" }, { "dropping-particle" : "", "family" : "Jagust", "given" : "W.J.", "non-dropping-particle" : "", "parse-names" : false, "suffix" : "" }, { "dropping-particle" : "", "family" : "DeKosky", "given" : "S.T.", "non-dropping-particle" : "", "parse-names" : false, "suffix" : "" }, { "dropping-particle" : "", "family" : "Becker", "given" : "J.T.", "non-dropping-particle" : "", "parse-names" : false, "suffix" : "" }, { "dropping-particle" : "", "family" : "Fitzpatrick", "given" : "A.", "non-dropping-particle" : "", "parse-names" : false, "suffix" : "" }, { "dropping-particle" : "", "family" : "Dulberg", "given" : "C.", "non-dropping-particle" : "", "parse-names" : false, "suffix" : "" }, { "dropping-particle" : "", "family" : "al.", "given" : "et", "non-dropping-particle" : "", "parse-names" : false, "suffix" : "" }, { "dropping-particle" : "", "family" : "Roberts", "given" : "R.O.", "non-dropping-particle" : "", "parse-names" : false, "suffix" : "" }, { "dropping-particle" : "", "family" : "Geda", "given" : "Y.E.", "non-dropping-particle" : "", "parse-names" : false, "suffix" : "" }, { "dropping-particle" : "", "family" : "Knopman", "given" : "D.S.", "non-dropping-particle" : "", "parse-names" : false, "suffix" : "" }, { "dropping-particle" : "", "family" : "Cha", "given" : "R.H.", "non-dropping-particle" : "", "parse-names" : false, "suffix" : "" }, { "dropping-particle" : "", "family" : "Pankratz", "given" : "V.S.", "non-dropping-particle" : "", "parse-names" : false, "suffix" : "" }, { "dropping-particle" : "", "family" : "Boeve", "given" : "B.F.", "non-dropping-particle" : "", "parse-names" : false, "suffix" : "" }, { "dropping-particle" : "", "family" : "al.", "given" : "et", "non-dropping-particle" : "", "parse-names" : false, "suffix" : "" }, { "dropping-particle" : "", "family" : "Hanninen", "given" : "T.", "non-dropping-particle" : "", "parse-names" : false, "suffix" : "" }, { "dropping-particle" : "", "family" : "Hallikainen", "given" : "M.", "non-dropping-particle" : "", "parse-names" : false, "suffix" : "" }, { "dropping-particle" : "", "family" : "Tuomainen", "given" : "S.", "non-dropping-particle" : "", "parse-names" : false, "suffix" : "" }, { "dropping-particle" : "", "family" : "Vanhanen", "given" : "M.", "non-dropping-particle" : "", "parse-names" : false, "suffix" : "" }, { "dropping-particle" : "", "family" : "Soininen", "given" : "H.", "non-dropping-particle" : "", "parse-names" : false, "suffix" : "" }, { "dropping-particle" : "", "family" : "Petersen", "given" : "R.C.", "non-dropping-particle" : "", "parse-names" : false, "suffix" : "" }, { "dropping-particle" : "", "family" : "Smith", "given" : "G.E.", "non-dropping-particle" : "", "parse-names" : false, "suffix" : "" }, { "dropping-particle" : "", "family" : "Waring", "given" : "S.C.", "non-dropping-particle" : "", "parse-names" : false, "suffix" : "" }, { "dropping-particle" : "", "family" : "Ivnik", "given" : "R.J.", "non-dropping-particle" : "", "parse-names" : false, "suffix" : "" }, { "dropping-particle" : "", "family" : "Tangalos", "given" : "E.G.", "non-dropping-particle" : "", "parse-names" : false, "suffix" : "" }, { "dropping-particle" : "", "family" : "Kokmen", "given" : "E.", "non-dropping-particle" : "", "parse-names" : false, "suffix" : "" }, { "dropping-particle" : "", "family" : "Manly", "given" : "J.J.", "non-dropping-particle" : "", "parse-names" : false, "suffix" : "" }, { "dropping-particle" : "", "family" : "Tang", "given" : "M.X.", "non-dropping-particle" : "", "parse-names" : false, "suffix" : "" }, { "dropping-particle" : "", "family" : "Schupf", "given" : "N.", "non-dropping-particle" : "", "parse-names" : false, "suffix" : "" }, { "dropping-particle" : "", "family" : "Stern", "given" : "Y.", "non-dropping-particle" : "", "parse-names" : false, "suffix" : "" }, { "dropping-particle" : "", "family" : "Vonsattel", "given" : "J.P.", "non-dropping-particle" : "", "parse-names" : false, "suffix" : "" }, { "dropping-particle" : "", "family" : "Mayeux", "given" : "R.", "non-dropping-particle" : "", "parse-names" : false, "suffix" : "" }, { "dropping-particle" : "", "family" : "Ganguli", "given" : "M.", "non-dropping-particle" : "", "parse-names" : false, "suffix" : "" }, { "dropping-particle" : "", "family" : "Snitz", "given" : "B.E.", "non-dropping-particle" : "", "parse-names" : false, "suffix" : "" }, { "dropping-particle" : "", "family" : "Saxton", "given" : "J.A.", "non-dropping-particle" : "", "parse-names" : false, "suffix" : "" }, { "dropping-particle" : "", "family" : "Chang", "given" : "C.H.", "non-dropping-particle" : "", "parse-names" : false, "suffix" : "" }, { "dropping-particle" : "", "family" : "Lee", "given" : "C.", "non-dropping-particle" : "", "parse-names" : false, "suffix" : "" }, { "dropping-particle" : "", "family" : "Vanderbilt", "given" : "J.", "non-dropping-particle" : "", "parse-names" : false, "suffix" : "" }, { "dropping-particle" : "", "family" : "al.", "given" : "et", "non-dropping-particle" : "", "parse-names" : false, "suffix" : "" }, { "dropping-particle" : "", "family" : "Bloudek", "given" : "L.M.", "non-dropping-particle" : "", "parse-names" : false, "suffix" : "" }, { "dropping-particle" : "", "family" : "Spackman", "given" : "E.D.", "non-dropping-particle" : "", "parse-names" : false, "suffix" : "" }, { "dropping-particle" : "", "family" : "Blankenburg", "given" : "M.", "non-dropping-particle" : "", "parse-names" : false, "suffix" : "" }, { "dropping-particle" : "", "family" : "Sullivan", "given" : "S.D.", "non-dropping-particle" : "", "parse-names" : false, "suffix" : "" }, { "dropping-particle" : "", "family" : "Bateman", "given" : "R.G.", "non-dropping-particle" : "", "parse-names" : false, "suffix" : "" }, { "dropping-particle" : "", "family" : "Xiong", "given" : "C.", "non-dropping-particle" : "", "parse-names" : false, "suffix" : "" }, { "dropping-particle" : "", "family" : "Benzinger", "given" : "T.L.S.", "non-dropping-particle" : "", "parse-names" : false, "suffix" : "" }, { "dropping-particle" : "", "family" : "Fagan", "given" : "A.F.", "non-dropping-particle" : "", "parse-names" : false, "suffix" : "" }, { "dropping-particle" : "", "family" : "Goate", "given" : "A.", "non-dropping-particle" : "", "parse-names" : false, "suffix" : "" }, { "dropping-particle" : "", "family" : "Fox", "given" : "N.C.", "non-dropping-particle" : "", "parse-names" : false, "suffix" : "" }, { "dropping-particle" : "", "family" : "al.", "given" : "et", "non-dropping-particle" : "", "parse-names" : false, "suffix" : "" }, { "dropping-particle" : "", "family" : "Green", "given" : "R.C.", "non-dropping-particle" : "", "parse-names" : false, "suffix" : "" }, { "dropping-particle" : "", "family" : "Cupples", "given" : "L.A.", "non-dropping-particle" : "", "parse-names" : false, "suffix" : "" }, { "dropping-particle" : "", "family" : "Go", "given" : "R.", "non-dropping-particle" : "", "parse-names" : false, "suffix" : "" }, { "dropping-particle" : "", "family" : "Benke", "given" : "K.S.", "non-dropping-particle" : "", "parse-names" : false, "suffix" : "" }, { "dropping-particle" : "", "family" : "Edeki", "given" : "T.", "non-dropping-particle" : "", "parse-names" : false, "suffix" : "" }, { "dropping-particle" : "", "family" : "Griffith", "given" : "P.A.", "non-dropping-particle" : "", "parse-names" : false, "suffix" : "" }, { "dropping-particle" : "", "family" : "al.", "given" : "et", "non-dropping-particle" : "", "parse-names" : false, "suffix" : "" }, { "dropping-particle" : "", "family" : "Fratiglioni", "given" : "L.", "non-dropping-particle" : "", "parse-names" : false, "suffix" : "" }, { "dropping-particle" : "", "family" : "Ahlbom", "given" : "A.", "non-dropping-particle" : "", "parse-names" : false, "suffix" : "" }, { "dropping-particle" : "", "family" : "Viitanen", "given" : "M.", "non-dropping-particle" : "", "parse-names" : false, "suffix" : "" }, { "dropping-particle" : "", "family" : "Winblad", "given" : "B.", "non-dropping-particle" : "", "parse-names" : false, "suffix" : "" }, { "dropping-particle" : "", "family" : "Mayeux", "given" : "R.", "non-dropping-particle" : "", "parse-names" : false, "suffix" : "" }, { "dropping-particle" : "", "family" : "Sano", "given" : "M.", "non-dropping-particle" : "", "parse-names" : false, "suffix" : "" }, { "dropping-particle" : "", "family" : "Chen", "given" : "J.", "non-dropping-particle" : "", "parse-names" : false, "suffix" : "" }, { "dropping-particle" : "", "family" : "Tatemichi", "given" : "T.", "non-dropping-particle" : "", "parse-names" : false, "suffix" : "" }, { "dropping-particle" : "", "family" : "Stern", "given" : "Y.", "non-dropping-particle" : "", "parse-names" : false, "suffix" : "" }, { "dropping-particle" : "", "family" : "Lautenschlager", "given" : "N.T.", "non-dropping-particle" : "", "parse-names" : false, "suffix" : "" }, { "dropping-particle" : "", "family" : "Cupples", "given" : "L.A.", "non-dropping-particle" : "", "parse-names" : false, "suffix" : "" }, { "dropping-particle" : "", "family" : "Rao", "given" : "V.S.", "non-dropping-particle" : "", "parse-names" : false, "suffix" : "" }, { "dropping-particle" : "", "family" : "Auerbach", "given" : "S.A.", "non-dropping-particle" : "", "parse-names" : false, "suffix" : "" }, { "dropping-particle" : "", "family" : "Becker", "given" : "R.", "non-dropping-particle" : "", "parse-names" : false, "suffix" : "" }, { "dropping-particle" : "", "family" : "Burke", "given" : "J.", "non-dropping-particle" : "", "parse-names" : false, "suffix" : "" }, { "dropping-particle" : "", "family" : "al.", "given" : "et", "non-dropping-particle" : "", "parse-names" : false, "suffix" : "" }, { "dropping-particle" : "", "family" : "Center", "given" : "Alzheimer\u2019s Disease Education &amp; Referral", "non-dropping-particle" : "", "parse-names" : false, "suffix" : "" }, { "dropping-particle" : "", "family" : "Raber", "given" : "J.", "non-dropping-particle" : "", "parse-names" : false, "suffix" : "" }, { "dropping-particle" : "", "family" : "Huang", "given" : "Y.", "non-dropping-particle" : "", "parse-names" : false, "suffix" : "" }, { "dropping-particle" : "", "family" : "Ashford", "given" : "J.W.", "non-dropping-particle" : "", "parse-names" : false, "suffix" : "" }, { "dropping-particle" : "", "family" : "Saunders", "given" : "A.M.", "non-dropping-particle" : "", "parse-names" : false, "suffix" : "" }, { "dropping-particle" : "", "family" : "Strittmatter", "given" : "W.J.", "non-dropping-particle" : "", "parse-names" : false, "suffix" : "" }, { "dropping-particle" : "", "family" : "Schmechel", "given" : "D.", "non-dropping-particle" : "", "parse-names" : false, "suffix" : "" }, { "dropping-particle" : "", "family" : "George-Hyslop", "given" : "P.H.", "non-dropping-particle" : "", "parse-names" : false, "suffix" : "" }, { "dropping-particle" : "", "family" : "Pericak-Vance", "given" : "M.A.", "non-dropping-particle" : "", "parse-names" : false, "suffix" : "" }, { "dropping-particle" : "", "family" : "Joo", "given" : "S.H.", "non-dropping-particle" : "", "parse-names" : false, "suffix" : "" }, { "dropping-particle" : "", "family" : "al.", "given" : "et", "non-dropping-particle" : "", "parse-names" : false, "suffix" : "" }, { "dropping-particle" : "", "family" : "Farrer", "given" : "L.A.", "non-dropping-particle" : "", "parse-names" : false, "suffix" : "" }, { "dropping-particle" : "", "family" : "Cupples", "given" : "L.A.", "non-dropping-particle" : "", "parse-names" : false, "suffix" : "" }, { "dropping-particle" : "", "family" : "Haines", "given" : "J.L.", "non-dropping-particle" : "", "parse-names" : false, "suffix" : "" }, { "dropping-particle" : "", "family" : "Hyman", "given" : "B.", "non-dropping-particle" : "", "parse-names" : false, "suffix" : "" }, { "dropping-particle" : "", "family" : "Kukull", "given" : "W.A.", "non-dropping-particle" : "", "parse-names" : false, "suffix" : "" }, { "dropping-particle" : "", "family" : "Mayeux", "given" : "R.", "non-dropping-particle" : "", "parse-names" : false, "suffix" : "" }, { "dropping-particle" : "", "family" : "al.", "given" : "et", "non-dropping-particle" : "", "parse-names" : false, "suffix" : "" }, { "dropping-particle" : "", "family" : "Anstey", "given" : "K.J.", "non-dropping-particle" : "", "parse-names" : false, "suffix" : "" }, { "dropping-particle" : "von", "family" : "Sanden", "given" : "C.", "non-dropping-particle" : "", "parse-names" : false, "suffix" : "" }, { "dropping-particle" : "", "family" : "Salim", "given" : "A.", "non-dropping-particle" : "", "parse-names" : false, "suffix" : "" }, { "dropping-particle" : "", "family" : "O\u2019Kearney", "given" : "R.", "non-dropping-particle" : "", "parse-names" : false, "suffix" : "" }, { "dropping-particle" : "", "family" : "Rusanen", "given" : "M.", "non-dropping-particle" : "", "parse-names" : false, "suffix" : "" }, { "dropping-particle" : "", "family" : "Kivipelto", "given" : "M.", "non-dropping-particle" : "", "parse-names" : false, "suffix" : "" }, { "dropping-particle" : "", "family" : "Quesenberry", "given" : "C.P.", "non-dropping-particle" : "", "parse-names" : false, "suffix" : "" }, { "dropping-particle" : "", "family" : "Zhou", "given" : "J.", "non-dropping-particle" : "", "parse-names" : false, "suffix" : "" }, { "dropping-particle" : "", "family" : "Whitmer", "given" : "R.A.", "non-dropping-particle" : "", "parse-names" : false, "suffix" : "" }, { "dropping-particle" : "", "family" : "Pendlebury", "given" : "S.T.", "non-dropping-particle" : "", "parse-names" : false, "suffix" : "" }, { "dropping-particle" : "", "family" : "Rothwell", "given" : "P.M.", "non-dropping-particle" : "", "parse-names" : false, "suffix" : "" }, { "dropping-particle" : "", "family" : "Whitmer", "given" : "R.A.", "non-dropping-particle" : "", "parse-names" : false, "suffix" : "" }, { "dropping-particle" : "", "family" : "Gustafson", "given" : "D.R.", "non-dropping-particle" : "", "parse-names" : false, "suffix" : "" }, { "dropping-particle" : "", "family" : "Barrett-Connor", "given" : "E.", "non-dropping-particle" : "", "parse-names" : false, "suffix" : "" }, { "dropping-particle" : "", "family" : "Haan", "given" : "M.N.", "non-dropping-particle" : "", "parse-names" : false, "suffix" : "" }, { "dropping-particle" : "", "family" : "Gunderson", "given" : "E.P.", "non-dropping-particle" : "", "parse-names" : false, "suffix" : "" }, { "dropping-particle" : "", "family" : "Yaffe", "given" : "K.", "non-dropping-particle" : "", "parse-names" : false, "suffix" : "" }, { "dropping-particle" : "", "family" : "Raji", "given" : "C.A.", "non-dropping-particle" : "", "parse-names" : false, "suffix" : "" }, { "dropping-particle" : "", "family" : "Ho", "given" : "A.J.", "non-dropping-particle" : "", "parse-names" : false, "suffix" : "" }, { "dropping-particle" : "", "family" : "Parikshak", "given" : "N.N.", "non-dropping-particle" : "", "parse-names" : false, "suffix" : "" }, { "dropping-particle" : "", "family" : "Becker", "given" : "J.T.", "non-dropping-particle" : "", "parse-names" : false, "suffix" : "" }, { "dropping-particle" : "", "family" : "Lopez", "given" : "O.L.", "non-dropping-particle" : "", "parse-names" : false, "suffix" : "" }, { "dropping-particle" : "", "family" : "Kuller", "given" : "L.H.", "non-dropping-particle" : "", "parse-names" : false, "suffix" : "" }, { "dropping-particle" : "", "family" : "al.", "given" : "et", "non-dropping-particle" : "", "parse-names" : false, "suffix" : "" }, { "dropping-particle" : "", "family" : "Kivipelto", "given" : "M.", "non-dropping-particle" : "", "parse-names" : false, "suffix" : "" }, { "dropping-particle" : "", "family" : "Ngandu", "given" : "T.", "non-dropping-particle" : "", "parse-names" : false, "suffix" : "" }, { "dropping-particle" : "", "family" : "Fratiglioni", "given" : "L.", "non-dropping-particle" : "", "parse-names" : false, "suffix" : "" }, { "dropping-particle" : "", "family" : "Viitanen", "given" : "M.", "non-dropping-particle" : "", "parse-names" : false, "suffix" : "" }, { "dropping-particle" : "", "family" : "K\u00e5reholt", "given" : "I.", "non-dropping-particle" : "", "parse-names" : false, "suffix" : "" }, { "dropping-particle" : "", "family" : "Winblad", "given" : "B.", "non-dropping-particle" : "", "parse-names" : false, "suffix" : "" }, { "dropping-particle" : "", "family" : "al.", "given" : "et", "non-dropping-particle" : "", "parse-names" : false, "suffix" : "" }, { "dropping-particle" : "", "family" : "Xu", "given" : "W.L.", "non-dropping-particle" : "", "parse-names" : false, "suffix" : "" }, { "dropping-particle" : "", "family" : "Atti", "given" : "A.R.", "non-dropping-particle" : "", "parse-names" : false, "suffix" : "" }, { "dropping-particle" : "", "family" : "Gatz", "given" : "M.", "non-dropping-particle" : "", "parse-names" : false, "suffix" : "" }, { "dropping-particle" : "", "family" : "Pedersen", "given" : "N.L.", "non-dropping-particle" : "", "parse-names" : false, "suffix" : "" }, { "dropping-particle" : "", "family" : "Johansson", "given" : "B.", "non-dropping-particle" : "", "parse-names" : false, "suffix" : "" }, { "dropping-particle" : "", "family" : "Fratiglioni", "given" : "L.", "non-dropping-particle" : "", "parse-names" : false, "suffix" : "" }, { "dropping-particle" : "", "family" : "Fitzpatrick", "given" : "A.L.", "non-dropping-particle" : "", "parse-names" : false, "suffix" : "" }, { "dropping-particle" : "", "family" : "Kuller", "given" : "L.H.", "non-dropping-particle" : "", "parse-names" : false, "suffix" : "" }, { "dropping-particle" : "", "family" : "Lopez", "given" : "O.L.", "non-dropping-particle" : "", "parse-names" : false, "suffix" : "" }, { "dropping-particle" : "", "family" : "Diehr", "given" : "P.", "non-dropping-particle" : "", "parse-names" : false, "suffix" : "" }, { "dropping-particle" : "", "family" : "O\u2019Meara", "given" : "E.S.", "non-dropping-particle" : "", "parse-names" : false, "suffix" : "" }, { "dropping-particle" : "", "family" : "Longstreth", "given" : "W.T.", "non-dropping-particle" : "", "parse-names" : false, "suffix" : "" }, { "dropping-particle" : "", "family" : "al.", "given" : "et", "non-dropping-particle" : "", "parse-names" : false, "suffix" : "" }, { "dropping-particle" : "", "family" : "R\u00f6nnemaa", "given" : "E.", "non-dropping-particle" : "", "parse-names" : false, "suffix" : "" }, { "dropping-particle" : "", "family" : "Zethelius", "given" : "B.", "non-dropping-particle" : "", "parse-names" : false, "suffix" : "" }, { "dropping-particle" : "", "family" : "Lannfelt", "given" : "L.", "non-dropping-particle" : "", "parse-names" : false, "suffix" : "" }, { "dropping-particle" : "", "family" : "Kilander", "given" : "L.", "non-dropping-particle" : "", "parse-names" : false, "suffix" : "" }, { "dropping-particle" : "", "family" : "Wu", "given" : "W.", "non-dropping-particle" : "", "parse-names" : false, "suffix" : "" }, { "dropping-particle" : "", "family" : "Brickman", "given" : "A.M.", "non-dropping-particle" : "", "parse-names" : false, "suffix" : "" }, { "dropping-particle" : "", "family" : "Luchsinger", "given" : "J.", "non-dropping-particle" : "", "parse-names" : false, "suffix" : "" }, { "dropping-particle" : "", "family" : "Ferrazzano", "given" : "P.", "non-dropping-particle" : "", "parse-names" : false, "suffix" : "" }, { "dropping-particle" : "", "family" : "Pichiule", "given" : "P.", "non-dropping-particle" : "", "parse-names" : false, "suffix" : "" }, { "dropping-particle" : "", "family" : "Yoshita", "given" : "M.", "non-dropping-particle" : "", "parse-names" : false, "suffix" : "" }, { "dropping-particle" : "", "family" : "al.", "given" : "et", "non-dropping-particle" : "", "parse-names" : false, "suffix" : "" }, { "dropping-particle" : "", "family" : "Ohara", "given" : "T.", "non-dropping-particle" : "", "parse-names" : false, "suffix" : "" }, { "dropping-particle" : "", "family" : "Doi", "given" : "Y.", "non-dropping-particle" : "", "parse-names" : false, "suffix" : "" }, { "dropping-particle" : "", "family" : "Ninomiya", "given" : "T.", "non-dropping-particle" : "", "parse-names" : false, "suffix" : "" }, { "dropping-particle" : "", "family" : "Hirakawa", "given" : "Y.", "non-dropping-particle" : "", "parse-names" : false, "suffix" : "" }, { "dropping-particle" : "", "family" : "Hata", "given" : "J.", "non-dropping-particle" : "", "parse-names" : false, "suffix" : "" }, { "dropping-particle" : "", "family" : "Iwaki", "given" : "T.", "non-dropping-particle" : "", "parse-names" : false, "suffix" : "" }, { "dropping-particle" : "", "family" : "al.", "given" : "et", "non-dropping-particle" : "", "parse-names" : false, "suffix" : "" }, { "dropping-particle" : "", "family" : "Reitz", "given" : "C.", "non-dropping-particle" : "", "parse-names" : false, "suffix" : "" }, { "dropping-particle" : "", "family" : "Brayne", "given" : "C.", "non-dropping-particle" : "", "parse-names" : false, "suffix" : "" }, { "dropping-particle" : "", "family" : "Mayeux", "given" : "R.", "non-dropping-particle" : "", "parse-names" : false, "suffix" : "" }, { "dropping-particle" : "", "family" : "Ahtiluoto", "given" : "S.", "non-dropping-particle" : "", "parse-names" : false, "suffix" : "" }, { "dropping-particle" : "", "family" : "Polvikoski", "given" : "T.", "non-dropping-particle" : "", "parse-names" : false, "suffix" : "" }, { "dropping-particle" : "", "family" : "Peltonen", "given" : "M.", "non-dropping-particle" : "", "parse-names" : false, "suffix" : "" }, { "dropping-particle" : "", "family" : "Solomon", "given" : "A.", "non-dropping-particle" : "", "parse-names" : false, "suffix" : "" }, { "dropping-particle" : "", "family" : "Tuomilehto", "given" : "J.", "non-dropping-particle" : "", "parse-names" : false, "suffix" : "" }, { "dropping-particle" : "", "family" : "Winblad", "given" : "B.", "non-dropping-particle" : "", "parse-names" : false, "suffix" : "" }, { "dropping-particle" : "", "family" : "al.", "given" : "et", "non-dropping-particle" : "", "parse-names" : false, "suffix" : "" }, { "dropping-particle" : "", "family" : "Solomon", "given" : "A.", "non-dropping-particle" : "", "parse-names" : false, "suffix" : "" }, { "dropping-particle" : "", "family" : "Kivipelto", "given" : "M.", "non-dropping-particle" : "", "parse-names" : false, "suffix" : "" }, { "dropping-particle" : "", "family" : "Wolozin", "given" : "B.", "non-dropping-particle" : "", "parse-names" : false, "suffix" : "" }, { "dropping-particle" : "", "family" : "Zhou", "given" : "J.", "non-dropping-particle" : "", "parse-names" : false, "suffix" : "" }, { "dropping-particle" : "", "family" : "Whitmer", "given" : "R.A.", "non-dropping-particle" : "", "parse-names" : false, "suffix" : "" }, { "dropping-particle" : "", "family" : "Launer", "given" : "L.J.", "non-dropping-particle" : "", "parse-names" : false, "suffix" : "" }, { "dropping-particle" : "", "family" : "Ross", "given" : "G.W.", "non-dropping-particle" : "", "parse-names" : false, "suffix" : "" }, { "dropping-particle" : "", "family" : "Petrovitch", "given" : "H.", "non-dropping-particle" : "", "parse-names" : false, "suffix" : "" }, { "dropping-particle" : "", "family" : "Masaki", "given" : "K.", "non-dropping-particle" : "", "parse-names" : false, "suffix" : "" }, { "dropping-particle" : "", "family" : "Foley", "given" : "D.", "non-dropping-particle" : "", "parse-names" : false, "suffix" : "" }, { "dropping-particle" : "", "family" : "White", "given" : "L.R.", "non-dropping-particle" : "", "parse-names" : false, "suffix" : "" }, { "dropping-particle" : "", "family" : "al.", "given" : "et", "non-dropping-particle" : "", "parse-names" : false, "suffix" : "" }, { "dropping-particle" : "", "family" : "Ninomiya", "given" : "T.", "non-dropping-particle" : "", "parse-names" : false, "suffix" : "" }, { "dropping-particle" : "", "family" : "Ohara", "given" : "T.", "non-dropping-particle" : "", "parse-names" : false, "suffix" : "" }, { "dropping-particle" : "", "family" : "Hirakawa", "given" : "Y.", "non-dropping-particle" : "", "parse-names" : false, "suffix" : "" }, { "dropping-particle" : "", "family" : "Yoshida", "given" : "D.", "non-dropping-particle" : "", "parse-names" : false, "suffix" : "" }, { "dropping-particle" : "", "family" : "Doi", "given" : "Y.", "non-dropping-particle" : "", "parse-names" : false, "suffix" : "" }, { "dropping-particle" : "", "family" : "Hata", "given" : "J.", "non-dropping-particle" : "", "parse-names" : false, "suffix" : "" }, { "dropping-particle" : "", "family" : "al.", "given" : "et", "non-dropping-particle" : "", "parse-names" : false, "suffix" : "" }, { "dropping-particle" : "", "family" : "Debette", "given" : "S.", "non-dropping-particle" : "", "parse-names" : false, "suffix" : "" }, { "dropping-particle" : "", "family" : "Seshadri", "given" : "S.", "non-dropping-particle" : "", "parse-names" : false, "suffix" : "" }, { "dropping-particle" : "", "family" : "Beiser", "given" : "A.", "non-dropping-particle" : "", "parse-names" : false, "suffix" : "" }, { "dropping-particle" : "", "family" : "Au", "given" : "R.", "non-dropping-particle" : "", "parse-names" : false, "suffix" : "" }, { "dropping-particle" : "", "family" : "Himali", "given" : "J.J.", "non-dropping-particle" : "", "parse-names" : false, "suffix" : "" }, { "dropping-particle" : "", "family" : "Palumbo", "given" : "C.", "non-dropping-particle" : "", "parse-names" : false, "suffix" : "" }, { "dropping-particle" : "", "family" : "al.", "given" : "et", "non-dropping-particle" : "", "parse-names" : false, "suffix" : "" }, { "dropping-particle" : "", "family" : "Willis", "given" : "B.L.", "non-dropping-particle" : "", "parse-names" : false, "suffix" : "" }, { "dropping-particle" : "", "family" : "Gao", "given" : "A.", "non-dropping-particle" : "", "parse-names" : false, "suffix" : "" }, { "dropping-particle" : "", "family" : "Leonard", "given" : "D.", "non-dropping-particle" : "", "parse-names" : false, "suffix" : "" }, { "dropping-particle" : "", "family" : "DeFina", "given" : "L.F.", "non-dropping-particle" : "", "parse-names" : false, "suffix" : "" }, { "dropping-particle" : "", "family" : "Berry", "given" : "J.D.", "non-dropping-particle" : "", "parse-names" : false, "suffix" : "" }, { "dropping-particle" : "", "family" : "Larson", "given" : "E.B.", "non-dropping-particle" : "", "parse-names" : false, "suffix" : "" }, { "dropping-particle" : "", "family" : "Wang", "given" : "L.", "non-dropping-particle" : "", "parse-names" : false, "suffix" : "" }, { "dropping-particle" : "", "family" : "Bowen", "given" : "J.D.", "non-dropping-particle" : "", "parse-names" : false, "suffix" : "" }, { "dropping-particle" : "", "family" : "McCormick", "given" : "W.C.", "non-dropping-particle" : "", "parse-names" : false, "suffix" : "" }, { "dropping-particle" : "", "family" : "Teri", "given" : "L.", "non-dropping-particle" : "", "parse-names" : false, "suffix" : "" }, { "dropping-particle" : "", "family" : "Crane", "given" : "P.", "non-dropping-particle" : "", "parse-names" : false, "suffix" : "" }, { "dropping-particle" : "", "family" : "al.", "given" : "et", "non-dropping-particle" : "", "parse-names" : false, "suffix" : "" }, { "dropping-particle" : "", "family" : "Laurin", "given" : "D.", "non-dropping-particle" : "", "parse-names" : false, "suffix" : "" }, { "dropping-particle" : "", "family" : "Verreault", "given" : "R.", "non-dropping-particle" : "", "parse-names" : false, "suffix" : "" }, { "dropping-particle" : "", "family" : "Lindsay", "given" : "J.", "non-dropping-particle" : "", "parse-names" : false, "suffix" : "" }, { "dropping-particle" : "", "family" : "MacPherson", "given" : "K.", "non-dropping-particle" : "", "parse-names" : false, "suffix" : "" }, { "dropping-particle" : "", "family" : "Rockwood", "given" : "K.", "non-dropping-particle" : "", "parse-names" : false, "suffix" : "" }, { "dropping-particle" : "", "family" : "Fitzpatrick", "given" : "A.L.", "non-dropping-particle" : "", "parse-names" : false, "suffix" : "" }, { "dropping-particle" : "", "family" : "Kuller", "given" : "L.H.", "non-dropping-particle" : "", "parse-names" : false, "suffix" : "" }, { "dropping-particle" : "", "family" : "Ives", "given" : "D.G.", "non-dropping-particle" : "", "parse-names" : false, "suffix" : "" }, { "dropping-particle" : "", "family" : "Lopez", "given" : "O.L.", "non-dropping-particle" : "", "parse-names" : false, "suffix" : "" }, { "dropping-particle" : "", "family" : "Jagust", "given" : "W.", "non-dropping-particle" : "", "parse-names" : false, "suffix" : "" }, { "dropping-particle" : "", "family" : "Breitner", "given" : "J.C.", "non-dropping-particle" : "", "parse-names" : false, "suffix" : "" }, { "dropping-particle" : "", "family" : "al.", "given" : "et", "non-dropping-particle" : "", "parse-names" : false, "suffix" : "" }, { "dropping-particle" : "", "family" : "Kukull", "given" : "W.A.", "non-dropping-particle" : "", "parse-names" : false, "suffix" : "" }, { "dropping-particle" : "", "family" : "Higdon", "given" : "R.", "non-dropping-particle" : "", "parse-names" : false, "suffix" : "" }, { "dropping-particle" : "", "family" : "Bowen", "given" : "J.D.", "non-dropping-particle" : "", "parse-names" : false, "suffix" : "" }, { "dropping-particle" : "", "family" : "McCormick", "given" : "W.C.", "non-dropping-particle" : "", "parse-names" : false, "suffix" : "" }, { "dropping-particle" : "", "family" : "Teri", "given" : "L.", "non-dropping-particle" : "", "parse-names" : false, "suffix" : "" }, { "dropping-particle" : "", "family" : "Schellenberg", "given" : "G.D.", "non-dropping-particle" : "", "parse-names" : false, "suffix" : "" }, { "dropping-particle" : "", "family" : "al.", "given" : "et", "non-dropping-particle" : "", "parse-names" : false, "suffix" : "" }, { "dropping-particle" : "", "family" : "Evans", "given" : "D.A.", "non-dropping-particle" : "", "parse-names" : false, "suffix" : "" }, { "dropping-particle" : "", "family" : "Bennett", "given" : "D.A.", "non-dropping-particle" : "", "parse-names" : false, "suffix" : "" }, { "dropping-particle" : "", "family" : "Wilson", "given" : "R.S.", "non-dropping-particle" : "", "parse-names" : false, "suffix" : "" }, { "dropping-particle" : "", "family" : "Bienias", "given" : "J.L.", "non-dropping-particle" : "", "parse-names" : false, "suffix" : "" }, { "dropping-particle" : "", "family" : "Morris", "given" : "M.C.", "non-dropping-particle" : "", "parse-names" : false, "suffix" : "" }, { "dropping-particle" : "", "family" : "Scherr", "given" : "P.A.", "non-dropping-particle" : "", "parse-names" : false, "suffix" : "" }, { "dropping-particle" : "", "family" : "al.", "given" : "et", "non-dropping-particle" : "", "parse-names" : false, "suffix" : "" }, { "dropping-particle" : "", "family" : "Stern", "given" : "Y.", "non-dropping-particle" : "", "parse-names" : false, "suffix" : "" }, { "dropping-particle" : "", "family" : "Gurland", "given" : "B.", "non-dropping-particle" : "", "parse-names" : false, "suffix" : "" }, { "dropping-particle" : "", "family" : "Tatemichi", "given" : "T.K.", "non-dropping-particle" : "", "parse-names" : false, "suffix" : "" }, { "dropping-particle" : "", "family" : "Tang", "given" : "M.X.", "non-dropping-particle" : "", "parse-names" : false, "suffix" : "" }, { "dropping-particle" : "", "family" : "Wilder", "given" : "D.", "non-dropping-particle" : "", "parse-names" : false, "suffix" : "" }, { "dropping-particle" : "", "family" : "Mayeux", "given" : "R.", "non-dropping-particle" : "", "parse-names" : false, "suffix" : "" }, { "dropping-particle" : "", "family" : "Evans", "given" : "D.A.", "non-dropping-particle" : "", "parse-names" : false, "suffix" : "" }, { "dropping-particle" : "", "family" : "Hebert", "given" : "L.E.", "non-dropping-particle" : "", "parse-names" : false, "suffix" : "" }, { "dropping-particle" : "", "family" : "Beckett", "given" : "L.A.", "non-dropping-particle" : "", "parse-names" : false, "suffix" : "" }, { "dropping-particle" : "", "family" : "Scherr", "given" : "P.A.", "non-dropping-particle" : "", "parse-names" : false, "suffix" : "" }, { "dropping-particle" : "", "family" : "Albert", "given" : "M.S.", "non-dropping-particle" : "", "parse-names" : false, "suffix" : "" }, { "dropping-particle" : "", "family" : "Chown", "given" : "M.J.", "non-dropping-particle" : "", "parse-names" : false, "suffix" : "" }, { "dropping-particle" : "", "family" : "al.", "given" : "et", "non-dropping-particle" : "", "parse-names" : false, "suffix" : "" }, { "dropping-particle" : "", "family" : "Roe", "given" : "C.M.", "non-dropping-particle" : "", "parse-names" : false, "suffix" : "" }, { "dropping-particle" : "", "family" : "Xiong", "given" : "C.", "non-dropping-particle" : "", "parse-names" : false, "suffix" : "" }, { "dropping-particle" : "", "family" : "Miller", "given" : "J.P.", "non-dropping-particle" : "", "parse-names" : false, "suffix" : "" }, { "dropping-particle" : "", "family" : "Morris", "given" : "J.C.", "non-dropping-particle" : "", "parse-names" : false, "suffix" : "" }, { "dropping-particle" : "", "family" : "Stern", "given" : "Y.", "non-dropping-particle" : "", "parse-names" : false, "suffix" : "" }, { "dropping-particle" : "", "family" : "Stern", "given" : "Y.", "non-dropping-particle" : "", "parse-names" : false, "suffix" : "" }, { "dropping-particle" : "", "family" : "McDowell", "given" : "I.", "non-dropping-particle" : "", "parse-names" : false, "suffix" : "" }, { "dropping-particle" : "", "family" : "Xi", "given" : "G.", "non-dropping-particle" : "", "parse-names" : false, "suffix" : "" }, { "dropping-particle" : "", "family" : "Lindsay", "given" : "J.", "non-dropping-particle" : "", "parse-names" : false, "suffix" : "" }, { "dropping-particle" : "", "family" : "Tierney", "given" : "M.", "non-dropping-particle" : "", "parse-names" : false, "suffix" : "" }, { "dropping-particle" : "", "family" : "Hall", "given" : "C.B.", "non-dropping-particle" : "", "parse-names" : false, "suffix" : "" }, { "dropping-particle" : "", "family" : "Lipton", "given" : "R.B.", "non-dropping-particle" : "", "parse-names" : false, "suffix" : "" }, { "dropping-particle" : "", "family" : "Sliwinski", "given" : "M.", "non-dropping-particle" : "", "parse-names" : false, "suffix" : "" }, { "dropping-particle" : "", "family" : "Katz", "given" : "M.J.", "non-dropping-particle" : "", "parse-names" : false, "suffix" : "" }, { "dropping-particle" : "", "family" : "Derby", "given" : "C.A.", "non-dropping-particle" : "", "parse-names" : false, "suffix" : "" }, { "dropping-particle" : "", "family" : "Verghese", "given" : "J.", "non-dropping-particle" : "", "parse-names" : false, "suffix" : "" }, { "dropping-particle" : "", "family" : "Wilson", "given" : "R.S.", "non-dropping-particle" : "", "parse-names" : false, "suffix" : "" }, { "dropping-particle" : "De", "family" : "Leon", "given" : "C.F. Mendes", "non-dropping-particle" : "", "parse-names" : false, "suffix" : "" }, { "dropping-particle" : "", "family" : "Barnes", "given" : "L.L.", "non-dropping-particle" : "", "parse-names" : false, "suffix" : "" }, { "dropping-particle" : "", "family" : "Schneider", "given" : "J.A.", "non-dropping-particle" : "", "parse-names" : false, "suffix" : "" }, { "dropping-particle" : "", "family" : "Bienias", "given" : "J.L.", "non-dropping-particle" : "", "parse-names" : false, "suffix" : "" }, { "dropping-particle" : "", "family" : "Evans", "given" : "D.A.", "non-dropping-particle" : "", "parse-names" : false, "suffix" : "" }, { "dropping-particle" : "", "family" : "al.", "given" : "et", "non-dropping-particle" : "", "parse-names" : false, "suffix" : "" }, { "dropping-particle" : "", "family" : "Wilson", "given" : "R.S.", "non-dropping-particle" : "", "parse-names" : false, "suffix" : "" }, { "dropping-particle" : "", "family" : "Bennett", "given" : "D.A.", "non-dropping-particle" : "", "parse-names" : false, "suffix" : "" }, { "dropping-particle" : "", "family" : "Bienias", "given" : "J.L.", "non-dropping-particle" : "", "parse-names" : false, "suffix" : "" }, { "dropping-particle" : "", "family" : "Aggarwal", "given" : "N.T.", "non-dropping-particle" : "", "parse-names" : false, "suffix" : "" }, { "dropping-particle" : "De", "family" : "Leon", "given" : "C.F. Mendes", "non-dropping-particle" : "", "parse-names" : false, "suffix" : "" }, { "dropping-particle" : "", "family" : "Morris", "given" : "M.C.", "non-dropping-particle" : "", "parse-names" : false, "suffix" : "" }, { "dropping-particle" : "", "family" : "al.", "given" : "et", "non-dropping-particle" : "", "parse-names" : false, "suffix" : "" }, { "dropping-particle" : "", "family" : "Wang", "given" : "H.-X.", "non-dropping-particle" : "", "parse-names" : false, "suffix" : "" }, { "dropping-particle" : "", "family" : "Xu", "given" : "W.", "non-dropping-particle" : "", "parse-names" : false, "suffix" : "" }, { "dropping-particle" : "", "family" : "Pei", "given" : "J.-J.", "non-dropping-particle" : "", "parse-names" : false, "suffix" : "" }, { "dropping-particle" : "", "family" : "Wang", "given" : "H.X.", "non-dropping-particle" : "", "parse-names" : false, "suffix" : "" }, { "dropping-particle" : "", "family" : "Karp", "given" : "A.", "non-dropping-particle" : "", "parse-names" : false, "suffix" : "" }, { "dropping-particle" : "", "family" : "Winblad", "given" : "B.", "non-dropping-particle" : "", "parse-names" : false, "suffix" : "" }, { "dropping-particle" : "", "family" : "Fratiglioni", "given" : "L.", "non-dropping-particle" : "", "parse-names" : false, "suffix" : "" }, { "dropping-particle" : "", "family" : "Saczynski", "given" : "J.S.", "non-dropping-particle" : "", "parse-names" : false, "suffix" : "" }, { "dropping-particle" : "", "family" : "Pfeifer", "given" : "L.A.", "non-dropping-particle" : "", "parse-names" : false, "suffix" : "" }, { "dropping-particle" : "", "family" : "Masaki", "given" : "K.", "non-dropping-particle" : "", "parse-names" : false, "suffix" : "" }, { "dropping-particle" : "", "family" : "Korf", "given" : "E.S.", "non-dropping-particle" : "", "parse-names" : false, "suffix" : "" }, { "dropping-particle" : "", "family" : "Laurin", "given" : "D.", "non-dropping-particle" : "", "parse-names" : false, "suffix" : "" }, { "dropping-particle" : "", "family" : "White", "given" : "L.", "non-dropping-particle" : "", "parse-names" : false, "suffix" : "" }, { "dropping-particle" : "", "family" : "al.", "given" : "et", "non-dropping-particle" : "", "parse-names" : false, "suffix" : "" }, { "dropping-particle" : "", "family" : "Karp", "given" : "A.", "non-dropping-particle" : "", "parse-names" : false, "suffix" : "" }, { "dropping-particle" : "", "family" : "Paillard-Borg", "given" : "S.", "non-dropping-particle" : "", "parse-names" : false, "suffix" : "" }, { "dropping-particle" : "", "family" : "Wang", "given" : "H.X.", "non-dropping-particle" : "", "parse-names" : false, "suffix" : "" }, { "dropping-particle" : "", "family" : "Silverstein", "given" : "M.", "non-dropping-particle" : "", "parse-names" : false, "suffix" : "" }, { "dropping-particle" : "", "family" : "Winblad", "given" : "B.", "non-dropping-particle" : "", "parse-names" : false, "suffix" : "" }, { "dropping-particle" : "", "family" : "Fratiglioni", "given" : "L.", "non-dropping-particle" : "", "parse-names" : false, "suffix" : "" }, { "dropping-particle" : "", "family" : "Fabrigoule", "given" : "C.", "non-dropping-particle" : "", "parse-names" : false, "suffix" : "" }, { "dropping-particle" : "", "family" : "Letenneur", "given" : "L.", "non-dropping-particle" : "", "parse-names" : false, "suffix" : "" }, { "dropping-particle" : "", "family" : "Dartigues", "given" : "J.F.", "non-dropping-particle" : "", "parse-names" : false, "suffix" : "" }, { "dropping-particle" : "", "family" : "Zarrouk", "given" : "M.", "non-dropping-particle" : "", "parse-names" : false, "suffix" : "" }, { "dropping-particle" : "", "family" : "Commenges", "given" : "D.", "non-dropping-particle" : "", "parse-names" : false, "suffix" : "" }, { "dropping-particle" : "", "family" : "Barberger-Gateau", "given" : "P.", "non-dropping-particle" : "", "parse-names" : false, "suffix" : "" }, { "dropping-particle" : "", "family" : "Krueger", "given" : "K.R.", "non-dropping-particle" : "", "parse-names" : false, "suffix" : "" }, { "dropping-particle" : "", "family" : "Wilson", "given" : "R.S.", "non-dropping-particle" : "", "parse-names" : false, "suffix" : "" }, { "dropping-particle" : "", "family" : "Kamenetsky", "given" : "J.M.", "non-dropping-particle" : "", "parse-names" : false, "suffix" : "" }, { "dropping-particle" : "", "family" : "Barnes", "given" : "L.L.", "non-dropping-particle" : "", "parse-names" : false, "suffix" : "" }, { "dropping-particle" : "", "family" : "Bienias", "given" : "J.L.", "non-dropping-particle" : "", "parse-names" : false, "suffix" : "" }, { "dropping-particle" : "", "family" : "Bennett", "given" : "D.A.", "non-dropping-particle" : "", "parse-names" : false, "suffix" : "" }, { "dropping-particle" : "", "family" : "Sharp", "given" : "E.S.", "non-dropping-particle" : "", "parse-names" : false, "suffix" : "" }, { "dropping-particle" : "", "family" : "Reynolds", "given" : "C.A.", "non-dropping-particle" : "", "parse-names" : false, "suffix" : "" }, { "dropping-particle" : "", "family" : "Pedersen", "given" : "N.L.", "non-dropping-particle" : "", "parse-names" : false, "suffix" : "" }, { "dropping-particle" : "", "family" : "Gatz", "given" : "M.", "non-dropping-particle" : "", "parse-names" : false, "suffix" : "" }, { "dropping-particle" : "", "family" : "Fratiglioni", "given" : "L.", "non-dropping-particle" : "", "parse-names" : false, "suffix" : "" }, { "dropping-particle" : "", "family" : "Paillard-Borg", "given" : "S.", "non-dropping-particle" : "", "parse-names" : false, "suffix" : "" }, { "dropping-particle" : "", "family" : "Winblad", "given" : "B.", "non-dropping-particle" : "", "parse-names" : false, "suffix" : "" }, { "dropping-particle" : "", "family" : "Lye", "given" : "T.C.", "non-dropping-particle" : "", "parse-names" : false, "suffix" : "" }, { "dropping-particle" : "", "family" : "Shores", "given" : "E.A.", "non-dropping-particle" : "", "parse-names" : false, "suffix" : "" }, { "dropping-particle" : "", "family" : "Plassman", "given" : "B.L.", "non-dropping-particle" : "", "parse-names" : false, "suffix" : "" }, { "dropping-particle" : "", "family" : "Havlik", "given" : "R.J.", "non-dropping-particle" : "", "parse-names" : false, "suffix" : "" }, { "dropping-particle" : "", "family" : "Steffens", "given" : "D.C.", "non-dropping-particle" : "", "parse-names" : false, "suffix" : "" }, { "dropping-particle" : "", "family" : "Helms", "given" : "M.J.", "non-dropping-particle" : "", "parse-names" : false, "suffix" : "" }, { "dropping-particle" : "", "family" : "Newman", "given" : "T.N.", "non-dropping-particle" : "", "parse-names" : false, "suffix" : "" }, { "dropping-particle" : "", "family" : "Drosdick", "given" : "D.", "non-dropping-particle" : "", "parse-names" : false, "suffix" : "" }, { "dropping-particle" : "", "family" : "al.", "given" : "et", "non-dropping-particle" : "", "parse-names" : false, "suffix" : "" }, { "dropping-particle" : "", "family" : "Lehman", "given" : "E.J.", "non-dropping-particle" : "", "parse-names" : false, "suffix" : "" }, { "dropping-particle" : "", "family" : "Hein", "given" : "M.J.", "non-dropping-particle" : "", "parse-names" : false, "suffix" : "" }, { "dropping-particle" : "", "family" : "Baron", "given" : "S.L.", "non-dropping-particle" : "", "parse-names" : false, "suffix" : "" }, { "dropping-particle" : "", "family" : "Gersic", "given" : "C.M.", "non-dropping-particle" : "", "parse-names" : false, "suffix" : "" }, { "dropping-particle" : "", "family" : "Crawford", "given" : "F.C.", "non-dropping-particle" : "", "parse-names" : false, "suffix" : "" }, { "dropping-particle" : "", "family" : "Vanderploeg", "given" : "R.D.", "non-dropping-particle" : "", "parse-names" : false, "suffix" : "" }, { "dropping-particle" : "", "family" : "Freeman", "given" : "M.J.", "non-dropping-particle" : "", "parse-names" : false, "suffix" : "" }, { "dropping-particle" : "", "family" : "Singh", "given" : "S.", "non-dropping-particle" : "", "parse-names" : false, "suffix" : "" }, { "dropping-particle" : "", "family" : "Waisman", "given" : "M.", "non-dropping-particle" : "", "parse-names" : false, "suffix" : "" }, { "dropping-particle" : "", "family" : "Michaels", "given" : "L.", "non-dropping-particle" : "", "parse-names" : false, "suffix" : "" }, { "dropping-particle" : "", "family" : "al.", "given" : "et", "non-dropping-particle" : "", "parse-names" : false, "suffix" : "" }, { "dropping-particle" : "", "family" : "Roberts", "given" : "G.W.", "non-dropping-particle" : "", "parse-names" : false, "suffix" : "" }, { "dropping-particle" : "", "family" : "Allsop", "given" : "D.", "non-dropping-particle" : "", "parse-names" : false, "suffix" : "" }, { "dropping-particle" : "", "family" : "Bruton", "given" : "C.", "non-dropping-particle" : "", "parse-names" : false, "suffix" : "" }, { "dropping-particle" : "", "family" : "Guskiewicz", "given" : "K.M.", "non-dropping-particle" : "", "parse-names" : false, "suffix" : "" }, { "dropping-particle" : "", "family" : "Research", "given" : "Institute for Social", "non-dropping-particle" : "", "parse-names" : false, "suffix" : "" }, { "dropping-particle" : "", "family" : "Groswasser", "given" : "Z.", "non-dropping-particle" : "", "parse-names" : false, "suffix" : "" }, { "dropping-particle" : "", "family" : "Reider-Groswasser", "given" : "I.I.", "non-dropping-particle" : "", "parse-names" : false, "suffix" : "" }, { "dropping-particle" : "", "family" : "Schwab", "given" : "K.", "non-dropping-particle" : "", "parse-names" : false, "suffix" : "" }, { "dropping-particle" : "", "family" : "Ommaya", "given" : "A.K.", "non-dropping-particle" : "", "parse-names" : false, "suffix" : "" }, { "dropping-particle" : "", "family" : "Pridgen", "given" : "A.", "non-dropping-particle" : "", "parse-names" : false, "suffix" : "" }, { "dropping-particle" : "", "family" : "Brown", "given" : "H.R.", "non-dropping-particle" : "", "parse-names" : false, "suffix" : "" }, { "dropping-particle" : "", "family" : "al.", "given" : "et", "non-dropping-particle" : "", "parse-names" : false, "suffix" : "" }, { "dropping-particle" : "", "family" : "Salazar", "given" : "A.M.", "non-dropping-particle" : "", "parse-names" : false, "suffix" : "" }, { "dropping-particle" : "", "family" : "Warden", "given" : "D.L.", "non-dropping-particle" : "", "parse-names" : false, "suffix" : "" }, { "dropping-particle" : "", "family" : "Schwab", "given" : "K.", "non-dropping-particle" : "", "parse-names" : false, "suffix" : "" }, { "dropping-particle" : "", "family" : "Spector", "given" : "J.", "non-dropping-particle" : "", "parse-names" : false, "suffix" : "" }, { "dropping-particle" : "", "family" : "Braverman", "given" : "S.", "non-dropping-particle" : "", "parse-names" : false, "suffix" : "" }, { "dropping-particle" : "", "family" : "Walter", "given" : "J.", "non-dropping-particle" : "", "parse-names" : false, "suffix" : "" }, { "dropping-particle" : "", "family" : "al.", "given" : "et", "non-dropping-particle" : "", "parse-names" : false, "suffix" : "" }, { "dropping-particle" : "", "family" : "Vickrey", "given" : "B.G.", "non-dropping-particle" : "", "parse-names" : false, "suffix" : "" }, { "dropping-particle" : "", "family" : "Mittman", "given" : "B.S.", "non-dropping-particle" : "", "parse-names" : false, "suffix" : "" }, { "dropping-particle" : "", "family" : "Connor", "given" : "K.I.", "non-dropping-particle" : "", "parse-names" : false, "suffix" : "" }, { "dropping-particle" : "", "family" : "Pearson", "given" : "M.L.", "non-dropping-particle" : "", "parse-names" : false, "suffix" : "" }, { "dropping-particle" : "Della", "family" : "Penna", "given" : "R.D.", "non-dropping-particle" : "", "parse-names" : false, "suffix" : "" }, { "dropping-particle" : "", "family" : "Ganiats", "given" : "T.G.", "non-dropping-particle" : "", "parse-names" : false, "suffix" : "" }, { "dropping-particle" : "", "family" : "al.", "given" : "et", "non-dropping-particle" : "", "parse-names" : false, "suffix" : "" }, { "dropping-particle" : "", "family" : "Voisin", "given" : "T.", "non-dropping-particle" : "", "parse-names" : false, "suffix" : "" }, { "dropping-particle" : "", "family" : "Vellas", "given" : "B.", "non-dropping-particle" : "", "parse-names" : false, "suffix" : "" }, { "dropping-particle" : "", "family" : "Grossberg", "given" : "G.T.", "non-dropping-particle" : "", "parse-names" : false, "suffix" : "" }, { "dropping-particle" : "", "family" : "Christensen", "given" : "D.D.", "non-dropping-particle" : "", "parse-names" : false, "suffix" : "" }, { "dropping-particle" : "", "family" : "Griffith", "given" : "P.A.", "non-dropping-particle" : "", "parse-names" : false, "suffix" : "" }, { "dropping-particle" : "", "family" : "Kerwin", "given" : "D.R.", "non-dropping-particle" : "", "parse-names" : false, "suffix" : "" }, { "dropping-particle" : "", "family" : "Hunt", "given" : "G.", "non-dropping-particle" : "", "parse-names" : false, "suffix" : "" }, { "dropping-particle" : "", "family" : "Hall", "given" : "E.J.", "non-dropping-particle" : "", "parse-names" : false, "suffix" : "" }, { "dropping-particle" : "", "family" : "Olazar\u00e1n", "given" : "J.", "non-dropping-particle" : "", "parse-names" : false, "suffix" : "" }, { "dropping-particle" : "", "family" : "Reisberg", "given" : "B.", "non-dropping-particle" : "", "parse-names" : false, "suffix" : "" }, { "dropping-particle" : "", "family" : "Clare", "given" : "L.", "non-dropping-particle" : "", "parse-names" : false, "suffix" : "" }, { "dropping-particle" : "", "family" : "Cruz", "given" : "I.", "non-dropping-particle" : "", "parse-names" : false, "suffix" : "" }, { "dropping-particle" : "", "family" : "Pe\u00f1a-Casanova", "given" : "J.", "non-dropping-particle" : "", "parse-names" : false, "suffix" : "" }, { "dropping-particle" : "del", "family" : "Ser", "given" : "T.", "non-dropping-particle" : "", "parse-names" : false, "suffix" : "" }, { "dropping-particle" : "", "family" : "al.", "given" : "et", "non-dropping-particle" : "", "parse-names" : false, "suffix" : "" }, { "dropping-particle" : "", "family" : "Association", "given" : "Alzheimer\u2019s", "non-dropping-particle" : "", "parse-names" : false, "suffix" : "" }, { "dropping-particle" : "", "family" : "Plassman", "given" : "B.L.", "non-dropping-particle" : "", "parse-names" : false, "suffix" : "" }, { "dropping-particle" : "", "family" : "Langa", "given" : "K.M.", "non-dropping-particle" : "", "parse-names" : false, "suffix" : "" }, { "dropping-particle" : "", "family" : "Fisher", "given" : "G.G.", "non-dropping-particle" : "", "parse-names" : false, "suffix" : "" }, { "dropping-particle" : "", "family" : "Heeringa", "given" : "S.G.", "non-dropping-particle" : "", "parse-names" : false, "suffix" : "" }, { "dropping-particle" : "", "family" : "Weir", "given" : "D.R.", "non-dropping-particle" : "", "parse-names" : false, "suffix" : "" }, { "dropping-particle" : "", "family" : "Ofstedal", "given" : "M.B.", "non-dropping-particle" : "", "parse-names" : false, "suffix" : "" }, { "dropping-particle" : "", "family" : "al.", "given" : "et", "non-dropping-particle" : "", "parse-names" : false, "suffix" : "" }, { "dropping-particle" : "", "family" : "Wilson", "given" : "R.S.", "non-dropping-particle" : "", "parse-names" : false, "suffix" : "" }, { "dropping-particle" : "", "family" : "Weir", "given" : "D.R.", "non-dropping-particle" : "", "parse-names" : false, "suffix" : "" }, { "dropping-particle" : "", "family" : "Leurgans", "given" : "S.E.", "non-dropping-particle" : "", "parse-names" : false, "suffix" : "" }, { "dropping-particle" : "", "family" : "Evans", "given" : "D.A.", "non-dropping-particle" : "", "parse-names" : false, "suffix" : "" }, { "dropping-particle" : "", "family" : "Hebert", "given" : "L.E.", "non-dropping-particle" : "", "parse-names" : false, "suffix" : "" }, { "dropping-particle" : "", "family" : "Langa", "given" : "K.M.", "non-dropping-particle" : "", "parse-names" : false, "suffix" : "" }, { "dropping-particle" : "", "family" : "al.", "given" : "et", "non-dropping-particle" : "", "parse-names" : false, "suffix" : "" }, { "dropping-particle" : "", "family" : "Boustani", "given" : "M.", "non-dropping-particle" : "", "parse-names" : false, "suffix" : "" }, { "dropping-particle" : "", "family" : "Peterson", "given" : "B.", "non-dropping-particle" : "", "parse-names" : false, "suffix" : "" }, { "dropping-particle" : "", "family" : "Hanson", "given" : "L.", "non-dropping-particle" : "", "parse-names" : false, "suffix" : "" }, { "dropping-particle" : "", "family" : "Harris", "given" : "R.", "non-dropping-particle" : "", "parse-names" : false, "suffix" : "" }, { "dropping-particle" : "", "family" : "Lohr", "given" : "K.N.", "non-dropping-particle" : "", "parse-names" : false, "suffix" : "" }, { "dropping-particle" : "", "family" : "Seshadri", "given" : "S.", "non-dropping-particle" : "", "parse-names" : false, "suffix" : "" }, { "dropping-particle" : "", "family" : "Wolf", "given" : "P.A.", "non-dropping-particle" : "", "parse-names" : false, "suffix" : "" }, { "dropping-particle" : "", "family" : "Beiser", "given" : "A.", "non-dropping-particle" : "", "parse-names" : false, "suffix" : "" }, { "dropping-particle" : "", "family" : "Au", "given" : "R.", "non-dropping-particle" : "", "parse-names" : false, "suffix" : "" }, { "dropping-particle" : "", "family" : "McNulty", "given" : "K.", "non-dropping-particle" : "", "parse-names" : false, "suffix" : "" }, { "dropping-particle" : "", "family" : "White", "given" : "R.", "non-dropping-particle" : "", "parse-names" : false, "suffix" : "" }, { "dropping-particle" : "", "family" : "al.", "given" : "et", "non-dropping-particle" : "", "parse-names" : false, "suffix" : "" }, { "dropping-particle" : "", "family" : "Hebert", "given" : "L.E.", "non-dropping-particle" : "", "parse-names" : false, "suffix" : "" }, { "dropping-particle" : "", "family" : "Scherr", "given" : "P.A.", "non-dropping-particle" : "", "parse-names" : false, "suffix" : "" }, { "dropping-particle" : "", "family" : "McCann", "given" : "J.J.", "non-dropping-particle" : "", "parse-names" : false, "suffix" : "" }, { "dropping-particle" : "", "family" : "Beckett", "given" : "L.A.", "non-dropping-particle" : "", "parse-names" : false, "suffix" : "" }, { "dropping-particle" : "", "family" : "Evans", "given" : "D.A.", "non-dropping-particle" : "", "parse-names" : false, "suffix" : "" }, { "dropping-particle" : "", "family" : "Bachman", "given" : "D.L.", "non-dropping-particle" : "", "parse-names" : false, "suffix" : "" }, { "dropping-particle" : "", "family" : "Wolf", "given" : "P.A.", "non-dropping-particle" : "", "parse-names" : false, "suffix" : "" }, { "dropping-particle" : "", "family" : "Linn", "given" : "R.T.", "non-dropping-particle" : "", "parse-names" : false, "suffix" : "" }, { "dropping-particle" : "", "family" : "Knoefel", "given" : "J.E.", "non-dropping-particle" : "", "parse-names" : false, "suffix" : "" }, { "dropping-particle" : "", "family" : "Cobb", "given" : "J.L.", "non-dropping-particle" : "", "parse-names" : false, "suffix" : "" }, { "dropping-particle" : "", "family" : "Belanger", "given" : "A.J.", "non-dropping-particle" : "", "parse-names" : false, "suffix" : "" }, { "dropping-particle" : "", "family" : "al.", "given" : "et", "non-dropping-particle" : "", "parse-names" : false, "suffix" : "" }, { "dropping-particle" : "", "family" : "Rocca", "given" : "W.A.", "non-dropping-particle" : "", "parse-names" : false, "suffix" : "" }, { "dropping-particle" : "", "family" : "Cha", "given" : "R.H.", "non-dropping-particle" : "", "parse-names" : false, "suffix" : "" }, { "dropping-particle" : "", "family" : "Waring", "given" : "S.C.", "non-dropping-particle" : "", "parse-names" : false, "suffix" : "" }, { "dropping-particle" : "", "family" : "Kokmen", "given" : "E.", "non-dropping-particle" : "", "parse-names" : false, "suffix" : "" }, { "dropping-particle" : "", "family" : "Barnes", "given" : "L.L.", "non-dropping-particle" : "", "parse-names" : false, "suffix" : "" }, { "dropping-particle" : "", "family" : "Wilson", "given" : "R.S.", "non-dropping-particle" : "", "parse-names" : false, "suffix" : "" }, { "dropping-particle" : "", "family" : "Schneider", "given" : "J.A.", "non-dropping-particle" : "", "parse-names" : false, "suffix" : "" }, { "dropping-particle" : "", "family" : "Bienias", "given" : "J.L.", "non-dropping-particle" : "", "parse-names" : false, "suffix" : "" }, { "dropping-particle" : "", "family" : "Evans", "given" : "D.A.", "non-dropping-particle" : "", "parse-names" : false, "suffix" : "" }, { "dropping-particle" : "", "family" : "Bennett", "given" : "D.A.", "non-dropping-particle" : "", "parse-names" : false, "suffix" : "" }, { "dropping-particle" : "", "family" : "Miech", "given" : "R.A.", "non-dropping-particle" : "", "parse-names" : false, "suffix" : "" }, { "dropping-particle" : "", "family" : "Breitner", "given" : "J.C.", "non-dropping-particle" : "", "parse-names" : false, "suffix" : "" }, { "dropping-particle" : "", "family" : "Zandi", "given" : "P.P.", "non-dropping-particle" : "", "parse-names" : false, "suffix" : "" }, { "dropping-particle" : "", "family" : "Khachaturian", "given" : "A.S.", "non-dropping-particle" : "", "parse-names" : false, "suffix" : "" }, { "dropping-particle" : "", "family" : "Anthony", "given" : "J.C.", "non-dropping-particle" : "", "parse-names" : false, "suffix" : "" }, { "dropping-particle" : "", "family" : "Mayer", "given" : "L.", "non-dropping-particle" : "", "parse-names" : false, "suffix" : "" }, { "dropping-particle" : "", "family" : "Fillenbaum", "given" : "G.G.", "non-dropping-particle" : "", "parse-names" : false, "suffix" : "" }, { "dropping-particle" : "", "family" : "Heyman", "given" : "A.", "non-dropping-particle" : "", "parse-names" : false, "suffix" : "" }, { "dropping-particle" : "", "family" : "Huber", "given" : "M.S.", "non-dropping-particle" : "", "parse-names" : false, "suffix" : "" }, { "dropping-particle" : "", "family" : "Woodbury", "given" : "M.A.", "non-dropping-particle" : "", "parse-names" : false, "suffix" : "" }, { "dropping-particle" : "", "family" : "Leiss", "given" : "J.", "non-dropping-particle" : "", "parse-names" : false, "suffix" : "" }, { "dropping-particle" : "", "family" : "Schmader", "given" : "K.E.", "non-dropping-particle" : "", "parse-names" : false, "suffix" : "" }, { "dropping-particle" : "", "family" : "al.", "given" : "et", "non-dropping-particle" : "", "parse-names" : false, "suffix" : "" }, { "dropping-particle" : "", "family" : "Dilworth-Anderson", "given" : "P.", "non-dropping-particle" : "", "parse-names" : false, "suffix" : "" }, { "dropping-particle" : "", "family" : "Hendrie", "given" : "H.C.", "non-dropping-particle" : "", "parse-names" : false, "suffix" : "" }, { "dropping-particle" : "", "family" : "Manly", "given" : "J.J.", "non-dropping-particle" : "", "parse-names" : false, "suffix" : "" }, { "dropping-particle" : "", "family" : "Khachaturian", "given" : "A.S.", "non-dropping-particle" : "", "parse-names" : false, "suffix" : "" }, { "dropping-particle" : "", "family" : "Fazio", "given" : "S.", "non-dropping-particle" : "", "parse-names" : false, "suffix" : "" }, { "dropping-particle" : "", "family" : "Manly", "given" : "J.", "non-dropping-particle" : "", "parse-names" : false, "suffix" : "" }, { "dropping-particle" : "", "family" : "Mayeux", "given" : "R.", "non-dropping-particle" : "", "parse-names" : false, "suffix" : "" }, { "dropping-particle" : "", "family" : "Potter", "given" : "G.G.", "non-dropping-particle" : "", "parse-names" : false, "suffix" : "" }, { "dropping-particle" : "", "family" : "Plassman", "given" : "B.L.", "non-dropping-particle" : "", "parse-names" : false, "suffix" : "" }, { "dropping-particle" : "", "family" : "Burke", "given" : "J.R.", "non-dropping-particle" : "", "parse-names" : false, "suffix" : "" }, { "dropping-particle" : "", "family" : "Kabeto", "given" : "M.U.", "non-dropping-particle" : "", "parse-names" : false, "suffix" : "" }, { "dropping-particle" : "", "family" : "Langa", "given" : "K.M.", "non-dropping-particle" : "", "parse-names" : false, "suffix" : "" }, { "dropping-particle" : "", "family" : "Llewellyn", "given" : "D.J.", "non-dropping-particle" : "", "parse-names" : false, "suffix" : "" }, { "dropping-particle" : "", "family" : "al.", "given" : "et", "non-dropping-particle" : "", "parse-names" : false, "suffix" : "" }, { "dropping-particle" : "", "family" : "Gurland", "given" : "B.J.", "non-dropping-particle" : "", "parse-names" : false, "suffix" : "" }, { "dropping-particle" : "", "family" : "Wilder", "given" : "D.E.", "non-dropping-particle" : "", "parse-names" : false, "suffix" : "" }, { "dropping-particle" : "", "family" : "Lantigua", "given" : "R.", "non-dropping-particle" : "", "parse-names" : false, "suffix" : "" }, { "dropping-particle" : "", "family" : "Stern", "given" : "Y.", "non-dropping-particle" : "", "parse-names" : false, "suffix" : "" }, { "dropping-particle" : "", "family" : "Chen", "given" : "J.", "non-dropping-particle" : "", "parse-names" : false, "suffix" : "" }, { "dropping-particle" : "", "family" : "Killeffer", "given" : "E.H.", "non-dropping-particle" : "", "parse-names" : false, "suffix" : "" }, { "dropping-particle" : "", "family" : "al.", "given" : "et", "non-dropping-particle" : "", "parse-names" : false, "suffix" : "" }, { "dropping-particle" : "", "family" : "Chin", "given" : "A.L.", "non-dropping-particle" : "", "parse-names" : false, "suffix" : "" }, { "dropping-particle" : "", "family" : "Negash", "given" : "S.", "non-dropping-particle" : "", "parse-names" : false, "suffix" : "" }, { "dropping-particle" : "", "family" : "Hamilton", "given" : "R.", "non-dropping-particle" : "", "parse-names" : false, "suffix" : "" }, { "dropping-particle" : "", "family" : "Clark", "given" : "P.C.", "non-dropping-particle" : "", "parse-names" : false, "suffix" : "" }, { "dropping-particle" : "", "family" : "Kutner", "given" : "N.G.", "non-dropping-particle" : "", "parse-names" : false, "suffix" : "" }, { "dropping-particle" : "", "family" : "Goldstein", "given" : "F.C.", "non-dropping-particle" : "", "parse-names" : false, "suffix" : "" }, { "dropping-particle" : "", "family" : "Peterson-Hazen", "given" : "S.", "non-dropping-particle" : "", "parse-names" : false, "suffix" : "" }, { "dropping-particle" : "", "family" : "Garner", "given" : "V.", "non-dropping-particle" : "", "parse-names" : false, "suffix" : "" }, { "dropping-particle" : "", "family" : "Zhang", "given" : "R.", "non-dropping-particle" : "", "parse-names" : false, "suffix" : "" }, { "dropping-particle" : "", "family" : "al.", "given" : "et", "non-dropping-particle" : "", "parse-names" : false, "suffix" : "" }, { "dropping-particle" : "", "family" : "Fitten", "given" : "L.J.", "non-dropping-particle" : "", "parse-names" : false, "suffix" : "" }, { "dropping-particle" : "", "family" : "Ortiz", "given" : "F.", "non-dropping-particle" : "", "parse-names" : false, "suffix" : "" }, { "dropping-particle" : "", "family" : "Ponton", "given" : "M.", "non-dropping-particle" : "", "parse-names" : false, "suffix" : "" }, { "dropping-particle" : "", "family" : "Hebert", "given" : "L.E.", "non-dropping-particle" : "", "parse-names" : false, "suffix" : "" }, { "dropping-particle" : "", "family" : "Beckett", "given" : "L.A.", "non-dropping-particle" : "", "parse-names" : false, "suffix" : "" }, { "dropping-particle" : "", "family" : "Scherr", "given" : "P.A.", "non-dropping-particle" : "", "parse-names" : false, "suffix" : "" }, { "dropping-particle" : "", "family" : "Evans", "given" : "D.A.", "non-dropping-particle" : "", "parse-names" : false, "suffix" : "" }, { "dropping-particle" : "", "family" : "Corrada", "given" : "M.M.", "non-dropping-particle" : "", "parse-names" : false, "suffix" : "" }, { "dropping-particle" : "", "family" : "Brookmeyer", "given" : "R.", "non-dropping-particle" : "", "parse-names" : false, "suffix" : "" }, { "dropping-particle" : "", "family" : "Paganini-Hill", "given" : "A.", "non-dropping-particle" : "", "parse-names" : false, "suffix" : "" }, { "dropping-particle" : "", "family" : "Berlau", "given" : "D.", "non-dropping-particle" : "", "parse-names" : false, "suffix" : "" }, { "dropping-particle" : "", "family" : "Kawas", "given" : "C.H.", "non-dropping-particle" : "", "parse-names" : false, "suffix" : "" }, { "dropping-particle" : "", "family" : "Seshadri", "given" : "S.", "non-dropping-particle" : "", "parse-names" : false, "suffix" : "" }, { "dropping-particle" : "", "family" : "Beiser", "given" : "A.", "non-dropping-particle" : "", "parse-names" : false, "suffix" : "" }, { "dropping-particle" : "", "family" : "Kelly-Hayes", "given" : "M.", "non-dropping-particle" : "", "parse-names" : false, "suffix" : "" }, { "dropping-particle" : "", "family" : "Kase", "given" : "C.S.", "non-dropping-particle" : "", "parse-names" : false, "suffix" : "" }, { "dropping-particle" : "", "family" : "Au", "given" : "R.", "non-dropping-particle" : "", "parse-names" : false, "suffix" : "" }, { "dropping-particle" : "", "family" : "Kannel", "given" : "W.B.", "non-dropping-particle" : "", "parse-names" : false, "suffix" : "" }, { "dropping-particle" : "", "family" : "al.", "given" : "et", "non-dropping-particle" : "", "parse-names" : false, "suffix" : "" }, { "dropping-particle" : "", "family" : "Hebert", "given" : "L.E.", "non-dropping-particle" : "", "parse-names" : false, "suffix" : "" }, { "dropping-particle" : "", "family" : "Scherr", "given" : "P.A.", "non-dropping-particle" : "", "parse-names" : false, "suffix" : "" }, { "dropping-particle" : "", "family" : "Bienias", "given" : "J.L.", "non-dropping-particle" : "", "parse-names" : false, "suffix" : "" }, { "dropping-particle" : "", "family" : "Bennett", "given" : "D.A.", "non-dropping-particle" : "", "parse-names" : false, "suffix" : "" }, { "dropping-particle" : "", "family" : "Evans", "given" : "D.A.", "non-dropping-particle" : "", "parse-names" : false, "suffix" : "" }, { "dropping-particle" : "", "family" : "Vincent", "given" : "G.K.", "non-dropping-particle" : "", "parse-names" : false, "suffix" : "" }, { "dropping-particle" : "", "family" : "Velkof", "given" : "V.A.", "non-dropping-particle" : "", "parse-names" : false, "suffix" : "" }, { "dropping-particle" : "", "family" : "Hebert", "given" : "L.S.", "non-dropping-particle" : "", "parse-names" : false, "suffix" : "" }, { "dropping-particle" : "", "family" : "Scherr", "given" : "P.A.", "non-dropping-particle" : "", "parse-names" : false, "suffix" : "" }, { "dropping-particle" : "", "family" : "Bienias", "given" : "J.L.", "non-dropping-particle" : "", "parse-names" : false, "suffix" : "" }, { "dropping-particle" : "", "family" : "Bennett", "given" : "D.A.", "non-dropping-particle" : "", "parse-names" : false, "suffix" : "" }, { "dropping-particle" : "", "family" : "Evans", "given" : "D.A.", "non-dropping-particle" : "", "parse-names" : false, "suffix" : "" }, { "dropping-particle" : "", "family" : "Ives", "given" : "D.G.", "non-dropping-particle" : "", "parse-names" : false, "suffix" : "" }, { "dropping-particle" : "", "family" : "Samuel", "given" : "P.", "non-dropping-particle" : "", "parse-names" : false, "suffix" : "" }, { "dropping-particle" : "", "family" : "Psaty", "given" : "B.M.", "non-dropping-particle" : "", "parse-names" : false, "suffix" : "" }, { "dropping-particle" : "", "family" : "Kuller", "given" : "L.H.", "non-dropping-particle" : "", "parse-names" : false, "suffix" : "" }, { "dropping-particle" : "", "family" : "Macera", "given" : "C.A.", "non-dropping-particle" : "", "parse-names" : false, "suffix" : "" }, { "dropping-particle" : "", "family" : "Sun", "given" : "R.K.", "non-dropping-particle" : "", "parse-names" : false, "suffix" : "" }, { "dropping-particle" : "", "family" : "Yeager", "given" : "K.K.", "non-dropping-particle" : "", "parse-names" : false, "suffix" : "" }, { "dropping-particle" : "", "family" : "Brandes", "given" : "D.A.", "non-dropping-particle" : "", "parse-names" : false, "suffix" : "" }, { "dropping-particle" : "", "family" : "Olichney", "given" : "J.M.", "non-dropping-particle" : "", "parse-names" : false, "suffix" : "" }, { "dropping-particle" : "", "family" : "Hofstetter", "given" : "C.R.", "non-dropping-particle" : "", "parse-names" : false, "suffix" : "" }, { "dropping-particle" : "", "family" : "Galasko", "given" : "D.", "non-dropping-particle" : "", "parse-names" : false, "suffix" : "" }, { "dropping-particle" : "", "family" : "Thal", "given" : "L.J.", "non-dropping-particle" : "", "parse-names" : false, "suffix" : "" }, { "dropping-particle" : "", "family" : "Katzman", "given" : "R.", "non-dropping-particle" : "", "parse-names" : false, "suffix" : "" }, { "dropping-particle" : "", "family" : "Burns", "given" : "A.", "non-dropping-particle" : "", "parse-names" : false, "suffix" : "" }, { "dropping-particle" : "", "family" : "Jacoby", "given" : "R.", "non-dropping-particle" : "", "parse-names" : false, "suffix" : "" }, { "dropping-particle" : "", "family" : "Luthert", "given" : "P.", "non-dropping-particle" : "", "parse-names" : false, "suffix" : "" }, { "dropping-particle" : "", "family" : "Levy", "given" : "R.", "non-dropping-particle" : "", "parse-names" : false, "suffix" : "" }, { "dropping-particle" : "", "family" : "Brunnstrom", "given" : "H.R.", "non-dropping-particle" : "", "parse-names" : false, "suffix" : "" }, { "dropping-particle" : "", "family" : "Englund", "given" : "E.M.", "non-dropping-particle" : "", "parse-names" : false, "suffix" : "" }, { "dropping-particle" : "", "family" : "Ganguli", "given" : "M.", "non-dropping-particle" : "", "parse-names" : false, "suffix" : "" }, { "dropping-particle" : "", "family" : "Rodriguez", "given" : "E.G.", "non-dropping-particle" : "", "parse-names" : false, "suffix" : "" }, { "dropping-particle" : "", "family" : "Tinetti", "given" : "M.E.", "non-dropping-particle" : "", "parse-names" : false, "suffix" : "" }, { "dropping-particle" : "", "family" : "McAvay", "given" : "G.J.", "non-dropping-particle" : "", "parse-names" : false, "suffix" : "" }, { "dropping-particle" : "", "family" : "Murphy", "given" : "T.E.", "non-dropping-particle" : "", "parse-names" : false, "suffix" : "" }, { "dropping-particle" : "", "family" : "Gross", "given" : "C.P.", "non-dropping-particle" : "", "parse-names" : false, "suffix" : "" }, { "dropping-particle" : "", "family" : "Lin", "given" : "H.", "non-dropping-particle" : "", "parse-names" : false, "suffix" : "" }, { "dropping-particle" : "", "family" : "Allore", "given" : "H.G.", "non-dropping-particle" : "", "parse-names" : false, "suffix" : "" }, { "dropping-particle" : "", "family" : "Arrighi", "given" : "H.M.", "non-dropping-particle" : "", "parse-names" : false, "suffix" : "" }, { "dropping-particle" : "", "family" : "Neumann", "given" : "P.J.", "non-dropping-particle" : "", "parse-names" : false, "suffix" : "" }, { "dropping-particle" : "", "family" : "Lieberburg", "given" : "I.M.", "non-dropping-particle" : "", "parse-names" : false, "suffix" : "" }, { "dropping-particle" : "", "family" : "Townsend", "given" : "R.J.", "non-dropping-particle" : "", "parse-names" : false, "suffix" : "" }, { "dropping-particle" : "", "family" : "Statistics", "given" : "National Center for Health", "non-dropping-particle" : "", "parse-names" : false, "suffix" : "" }, { "dropping-particle" : "", "family" : "Aguero-Torres", "given" : "H.", "non-dropping-particle" : "", "parse-names" : false, "suffix" : "" }, { "dropping-particle" : "", "family" : "Fratiglioni", "given" : "L.", "non-dropping-particle" : "", "parse-names" : false, "suffix" : "" }, { "dropping-particle" : "", "family" : "Guo", "given" : "Z.", "non-dropping-particle" : "", "parse-names" : false, "suffix" : "" }, { "dropping-particle" : "", "family" : "Viitanen", "given" : "M.", "non-dropping-particle" : "", "parse-names" : false, "suffix" : "" }, { "dropping-particle" : "", "family" : "Winblad", "given" : "B.", "non-dropping-particle" : "", "parse-names" : false, "suffix" : "" }, { "dropping-particle" : "", "family" : "Ganguli", "given" : "M.", "non-dropping-particle" : "", "parse-names" : false, "suffix" : "" }, { "dropping-particle" : "", "family" : "Dodge", "given" : "H.H.", "non-dropping-particle" : "", "parse-names" : false, "suffix" : "" }, { "dropping-particle" : "", "family" : "Shen", "given" : "C.", "non-dropping-particle" : "", "parse-names" : false, "suffix" : "" }, { "dropping-particle" : "", "family" : "Pandav", "given" : "R.S.", "non-dropping-particle" : "", "parse-names" : false, "suffix" : "" }, { "dropping-particle" : "", "family" : "DeKosky", "given" : "S.T.", "non-dropping-particle" : "", "parse-names" : false, "suffix" : "" }, { "dropping-particle" : "", "family" : "Waring", "given" : "S.C.", "non-dropping-particle" : "", "parse-names" : false, "suffix" : "" }, { "dropping-particle" : "", "family" : "Doody", "given" : "R.S.", "non-dropping-particle" : "", "parse-names" : false, "suffix" : "" }, { "dropping-particle" : "", "family" : "Pavlik", "given" : "V.N.", "non-dropping-particle" : "", "parse-names" : false, "suffix" : "" }, { "dropping-particle" : "", "family" : "Massman", "given" : "P.J.", "non-dropping-particle" : "", "parse-names" : false, "suffix" : "" }, { "dropping-particle" : "", "family" : "Chan", "given" : "W.", "non-dropping-particle" : "", "parse-names" : false, "suffix" : "" }, { "dropping-particle" : "", "family" : "Brookmeyer", "given" : "R.", "non-dropping-particle" : "", "parse-names" : false, "suffix" : "" }, { "dropping-particle" : "", "family" : "Corrada", "given" : "M.M.", "non-dropping-particle" : "", "parse-names" : false, "suffix" : "" }, { "dropping-particle" : "", "family" : "Curriero", "given" : "F.C.", "non-dropping-particle" : "", "parse-names" : false, "suffix" : "" }, { "dropping-particle" : "", "family" : "Kawas", "given" : "C.", "non-dropping-particle" : "", "parse-names" : false, "suffix" : "" }, { "dropping-particle" : "", "family" : "Larson", "given" : "E.B.", "non-dropping-particle" : "", "parse-names" : false, "suffix" : "" }, { "dropping-particle" : "", "family" : "Shadlen", "given" : "M.F.", "non-dropping-particle" : "", "parse-names" : false, "suffix" : "" }, { "dropping-particle" : "", "family" : "Wang", "given" : "L.", "non-dropping-particle" : "", "parse-names" : false, "suffix" : "" }, { "dropping-particle" : "", "family" : "McCormick", "given" : "W.C.", "non-dropping-particle" : "", "parse-names" : false, "suffix" : "" }, { "dropping-particle" : "", "family" : "Bowen", "given" : "J.D.", "non-dropping-particle" : "", "parse-names" : false, "suffix" : "" }, { "dropping-particle" : "", "family" : "Teri", "given" : "L.", "non-dropping-particle" : "", "parse-names" : false, "suffix" : "" }, { "dropping-particle" : "", "family" : "al.", "given" : "et", "non-dropping-particle" : "", "parse-names" : false, "suffix" : "" }, { "dropping-particle" : "", "family" : "Helzner", "given" : "E.P.", "non-dropping-particle" : "", "parse-names" : false, "suffix" : "" }, { "dropping-particle" : "", "family" : "Scarmeas", "given" : "N.", "non-dropping-particle" : "", "parse-names" : false, "suffix" : "" }, { "dropping-particle" : "", "family" : "Cosentino", "given" : "S.", "non-dropping-particle" : "", "parse-names" : false, "suffix" : "" }, { "dropping-particle" : "", "family" : "Tang", "given" : "M.X.", "non-dropping-particle" : "", "parse-names" : false, "suffix" : "" }, { "dropping-particle" : "", "family" : "Schupf", "given" : "N.", "non-dropping-particle" : "", "parse-names" : false, "suffix" : "" }, { "dropping-particle" : "", "family" : "Stern", "given" : "Y.", "non-dropping-particle" : "", "parse-names" : false, "suffix" : "" }, { "dropping-particle" : "", "family" : "Xie", "given" : "J.", "non-dropping-particle" : "", "parse-names" : false, "suffix" : "" }, { "dropping-particle" : "", "family" : "Brayne", "given" : "C.", "non-dropping-particle" : "", "parse-names" : false, "suffix" : "" }, { "dropping-particle" : "", "family" : "Matthews", "given" : "F.E.", "non-dropping-particle" : "", "parse-names" : false, "suffix" : "" }, { "dropping-particle" : "", "family" : "Mitchell", "given" : "S.L.", "non-dropping-particle" : "", "parse-names" : false, "suffix" : "" }, { "dropping-particle" : "", "family" : "Teno", "given" : "J.M.", "non-dropping-particle" : "", "parse-names" : false, "suffix" : "" }, { "dropping-particle" : "", "family" : "Miller", "given" : "S.C.", "non-dropping-particle" : "", "parse-names" : false, "suffix" : "" }, { "dropping-particle" : "", "family" : "Mor", "given" : "V.", "non-dropping-particle" : "", "parse-names" : false, "suffix" : "" }, { "dropping-particle" : "", "family" : "Gaugler", "given" : "J.E.", "non-dropping-particle" : "", "parse-names" : false, "suffix" : "" }, { "dropping-particle" : "", "family" : "Kane", "given" : "R.L.", "non-dropping-particle" : "", "parse-names" : false, "suffix" : "" }, { "dropping-particle" : "", "family" : "Kane", "given" : "R.A.", "non-dropping-particle" : "", "parse-names" : false, "suffix" : "" }, { "dropping-particle" : "", "family" : "Schulz", "given" : "R.", "non-dropping-particle" : "", "parse-names" : false, "suffix" : "" }, { "dropping-particle" : "", "family" : "Quittner", "given" : "A.L.", "non-dropping-particle" : "", "parse-names" : false, "suffix" : "" }, { "dropping-particle" : "", "family" : "Feinberg", "given" : "L.", "non-dropping-particle" : "", "parse-names" : false, "suffix" : "" }, { "dropping-particle" : "", "family" : "Reinhard", "given" : "S.C.", "non-dropping-particle" : "", "parse-names" : false, "suffix" : "" }, { "dropping-particle" : "", "family" : "Houser", "given" : "A.", "non-dropping-particle" : "", "parse-names" : false, "suffix" : "" }, { "dropping-particle" : "", "family" : "Choula", "given" : "R.", "non-dropping-particle" : "", "parse-names" : false, "suffix" : "" }, { "dropping-particle" : "", "family" : "Medicine", "given" : "Institute of", "non-dropping-particle" : "", "parse-names" : false, "suffix" : "" }, { "dropping-particle" : "", "family" : "Langa", "given" : "K.M.", "non-dropping-particle" : "", "parse-names" : false, "suffix" : "" }, { "dropping-particle" : "", "family" : "Plassman", "given" : "B.L.", "non-dropping-particle" : "", "parse-names" : false, "suffix" : "" }, { "dropping-particle" : "", "family" : "Wallace", "given" : "R.B.", "non-dropping-particle" : "", "parse-names" : false, "suffix" : "" }, { "dropping-particle" : "", "family" : "Herzog", "given" : "A.R.", "non-dropping-particle" : "", "parse-names" : false, "suffix" : "" }, { "dropping-particle" : "", "family" : "Heeringa", "given" : "S.G.", "non-dropping-particle" : "", "parse-names" : false, "suffix" : "" }, { "dropping-particle" : "", "family" : "Ofstedal", "given" : "M.B.", "non-dropping-particle" : "", "parse-names" : false, "suffix" : "" }, { "dropping-particle" : "", "family" : "al.", "given" : "et", "non-dropping-particle" : "", "parse-names" : false, "suffix" : "" }, { "dropping-particle" : "", "family" : "Fisher", "given" : "G.G.", "non-dropping-particle" : "", "parse-names" : false, "suffix" : "" }, { "dropping-particle" : "", "family" : "Franks", "given" : "M.M.", "non-dropping-particle" : "", "parse-names" : false, "suffix" : "" }, { "dropping-particle" : "", "family" : "Plassman", "given" : "B.L.", "non-dropping-particle" : "", "parse-names" : false, "suffix" : "" }, { "dropping-particle" : "", "family" : "Brown", "given" : "S.L.", "non-dropping-particle" : "", "parse-names" : false, "suffix" : "" }, { "dropping-particle" : "", "family" : "Potter", "given" : "G.G.", "non-dropping-particle" : "", "parse-names" : false, "suffix" : "" }, { "dropping-particle" : "", "family" : "Llewellyn", "given" : "D.", "non-dropping-particle" : "", "parse-names" : false, "suffix" : "" }, { "dropping-particle" : "", "family" : "al.", "given" : "et", "non-dropping-particle" : "", "parse-names" : false, "suffix" : "" }, { "dropping-particle" : "", "family" : "Ornstein", "given" : "K.", "non-dropping-particle" : "", "parse-names" : false, "suffix" : "" }, { "dropping-particle" : "", "family" : "Gaugler", "given" : "J.E.", "non-dropping-particle" : "", "parse-names" : false, "suffix" : "" }, { "dropping-particle" : "", "family" : "Garity", "given" : "J.", "non-dropping-particle" : "", "parse-names" : false, "suffix" : "" }, { "dropping-particle" : "", "family" : "Port", "given" : "C.L.", "non-dropping-particle" : "", "parse-names" : false, "suffix" : "" }, { "dropping-particle" : "", "family" : "Zimmerman", "given" : "S.", "non-dropping-particle" : "", "parse-names" : false, "suffix" : "" }, { "dropping-particle" : "", "family" : "Williams", "given" : "C.S.", "non-dropping-particle" : "", "parse-names" : false, "suffix" : "" }, { "dropping-particle" : "", "family" : "Dobbs", "given" : "D.", "non-dropping-particle" : "", "parse-names" : false, "suffix" : "" }, { "dropping-particle" : "", "family" : "Preisser", "given" : "J.S.", "non-dropping-particle" : "", "parse-names" : false, "suffix" : "" }, { "dropping-particle" : "", "family" : "Williams", "given" : "S.W.", "non-dropping-particle" : "", "parse-names" : false, "suffix" : "" }, { "dropping-particle" : "", "family" : "Schulz", "given" : "R.", "non-dropping-particle" : "", "parse-names" : false, "suffix" : "" }, { "dropping-particle" : "", "family" : "Belle", "given" : "S.H.", "non-dropping-particle" : "", "parse-names" : false, "suffix" : "" }, { "dropping-particle" : "", "family" : "Czaja", "given" : "S.J.", "non-dropping-particle" : "", "parse-names" : false, "suffix" : "" }, { "dropping-particle" : "", "family" : "McGinnis", "given" : "K.A.", "non-dropping-particle" : "", "parse-names" : false, "suffix" : "" }, { "dropping-particle" : "", "family" : "Stevens", "given" : "A.", "non-dropping-particle" : "", "parse-names" : false, "suffix" : "" }, { "dropping-particle" : "", "family" : "Zhang", "given" : "S.", "non-dropping-particle" : "", "parse-names" : false, "suffix" : "" }, { "dropping-particle" : "", "family" : "Gaugler", "given" : "J.E.", "non-dropping-particle" : "", "parse-names" : false, "suffix" : "" }, { "dropping-particle" : "", "family" : "Mittelman", "given" : "M.S.", "non-dropping-particle" : "", "parse-names" : false, "suffix" : "" }, { "dropping-particle" : "", "family" : "Hepburn", "given" : "K.", "non-dropping-particle" : "", "parse-names" : false, "suffix" : "" }, { "dropping-particle" : "", "family" : "Newcomer", "given" : "R.", "non-dropping-particle" : "", "parse-names" : false, "suffix" : "" }, { "dropping-particle" : "", "family" : "Kiecolt-Glaser", "given" : "J.K.", "non-dropping-particle" : "", "parse-names" : false, "suffix" : "" }, { "dropping-particle" : "", "family" : "Glaser", "given" : "R.", "non-dropping-particle" : "", "parse-names" : false, "suffix" : "" }, { "dropping-particle" : "", "family" : "Gravenstein", "given" : "S.", "non-dropping-particle" : "", "parse-names" : false, "suffix" : "" }, { "dropping-particle" : "", "family" : "Malarkey", "given" : "W.B.", "non-dropping-particle" : "", "parse-names" : false, "suffix" : "" }, { "dropping-particle" : "", "family" : "Sheridan", "given" : "J.", "non-dropping-particle" : "", "parse-names" : false, "suffix" : "" }, { "dropping-particle" : "", "family" : "Schulz", "given" : "R.", "non-dropping-particle" : "", "parse-names" : false, "suffix" : "" }, { "dropping-particle" : "", "family" : "Beach", "given" : "S.R.", "non-dropping-particle" : "", "parse-names" : false, "suffix" : "" }, { "dropping-particle" : "", "family" : "Vitaliano", "given" : "P.P.", "non-dropping-particle" : "", "parse-names" : false, "suffix" : "" }, { "dropping-particle" : "", "family" : "Zhang", "given" : "J.", "non-dropping-particle" : "", "parse-names" : false, "suffix" : "" }, { "dropping-particle" : "", "family" : "Scanlan", "given" : "J.M.", "non-dropping-particle" : "", "parse-names" : false, "suffix" : "" }, { "dropping-particle" : "", "family" : "Liu", "given" : "W.", "non-dropping-particle" : "", "parse-names" : false, "suffix" : "" }, { "dropping-particle" : "", "family" : "Gallagher-Thompson", "given" : "D.", "non-dropping-particle" : "", "parse-names" : false, "suffix" : "" }, { "dropping-particle" : "", "family" : "Pinquart", "given" : "M.", "non-dropping-particle" : "", "parse-names" : false, "suffix" : "" }, { "dropping-particle" : "", "family" : "S\u00f6rensen", "given" : "S.", "non-dropping-particle" : "", "parse-names" : false, "suffix" : "" }, { "dropping-particle" : "", "family" : "S\u00f6rensen", "given" : "S.", "non-dropping-particle" : "", "parse-names" : false, "suffix" : "" }, { "dropping-particle" : "", "family" : "Duberstein", "given" : "P.", "non-dropping-particle" : "", "parse-names" : false, "suffix" : "" }, { "dropping-particle" : "", "family" : "Gill", "given" : "D.", "non-dropping-particle" : "", "parse-names" : false, "suffix" : "" }, { "dropping-particle" : "", "family" : "Pinquart", "given" : "M.", "non-dropping-particle" : "", "parse-names" : false, "suffix" : "" }, { "dropping-particle" : "", "family" : "Schulz", "given" : "R.", "non-dropping-particle" : "", "parse-names" : false, "suffix" : "" }, { "dropping-particle" : "", "family" : "O\u2019Brien", "given" : "A.T.", "non-dropping-particle" : "", "parse-names" : false, "suffix" : "" }, { "dropping-particle" : "", "family" : "Bookwala", "given" : "J.", "non-dropping-particle" : "", "parse-names" : false, "suffix" : "" }, { "dropping-particle" : "", "family" : "Fleissner", "given" : "K.", "non-dropping-particle" : "", "parse-names" : false, "suffix" : "" }, { "dropping-particle" : "", "family" : "Baumgarten", "given" : "M.", "non-dropping-particle" : "", "parse-names" : false, "suffix" : "" }, { "dropping-particle" : "", "family" : "Battista", "given" : "R.N.", "non-dropping-particle" : "", "parse-names" : false, "suffix" : "" }, { "dropping-particle" : "", "family" : "Infante-Rivard", "given" : "C.", "non-dropping-particle" : "", "parse-names" : false, "suffix" : "" }, { "dropping-particle" : "", "family" : "Hanley", "given" : "J.A.", "non-dropping-particle" : "", "parse-names" : false, "suffix" : "" }, { "dropping-particle" : "", "family" : "Becker", "given" : "R.", "non-dropping-particle" : "", "parse-names" : false, "suffix" : "" }, { "dropping-particle" : "", "family" : "Gauthier", "given" : "S.", "non-dropping-particle" : "", "parse-names" : false, "suffix" : "" }, { "dropping-particle" : "", "family" : "Gaugler", "given" : "J.E.", "non-dropping-particle" : "", "parse-names" : false, "suffix" : "" }, { "dropping-particle" : "", "family" : "Yu", "given" : "F.", "non-dropping-particle" : "", "parse-names" : false, "suffix" : "" }, { "dropping-particle" : "", "family" : "Krichbaum", "given" : "K.", "non-dropping-particle" : "", "parse-names" : false, "suffix" : "" }, { "dropping-particle" : "", "family" : "Wyman", "given" : "J.F.", "non-dropping-particle" : "", "parse-names" : false, "suffix" : "" }, { "dropping-particle" : "", "family" : "Marziali", "given" : "E.", "non-dropping-particle" : "", "parse-names" : false, "suffix" : "" }, { "dropping-particle" : "", "family" : "Shulman", "given" : "K.", "non-dropping-particle" : "", "parse-names" : false, "suffix" : "" }, { "dropping-particle" : "", "family" : "Damianakis", "given" : "T.", "non-dropping-particle" : "", "parse-names" : false, "suffix" : "" }, { "dropping-particle" : "", "family" : "Strang", "given" : "V.R.", "non-dropping-particle" : "", "parse-names" : false, "suffix" : "" }, { "dropping-particle" : "", "family" : "Koop", "given" : "P.M.", "non-dropping-particle" : "", "parse-names" : false, "suffix" : "" }, { "dropping-particle" : "", "family" : "Dupuis-Blanchard", "given" : "S.", "non-dropping-particle" : "", "parse-names" : false, "suffix" : "" }, { "dropping-particle" : "", "family" : "Nordstrom", "given" : "M.", "non-dropping-particle" : "", "parse-names" : false, "suffix" : "" }, { "dropping-particle" : "", "family" : "Thompson", "given" : "B.", "non-dropping-particle" : "", "parse-names" : false, "suffix" : "" }, { "dropping-particle" : "", "family" : "Hooker", "given" : "K.", "non-dropping-particle" : "", "parse-names" : false, "suffix" : "" }, { "dropping-particle" : "", "family" : "Bowman", "given" : "S.R.", "non-dropping-particle" : "", "parse-names" : false, "suffix" : "" }, { "dropping-particle" : "", "family" : "Coehlo", "given" : "D.P.", "non-dropping-particle" : "", "parse-names" : false, "suffix" : "" }, { "dropping-particle" : "", "family" : "Sim", "given" : "S.R.", "non-dropping-particle" : "", "parse-names" : false, "suffix" : "" }, { "dropping-particle" : "", "family" : "Kaye", "given" : "J.", "non-dropping-particle" : "", "parse-names" : false, "suffix" : "" }, { "dropping-particle" : "", "family" : "Guariglia", "given" : "R.", "non-dropping-particle" : "", "parse-names" : false, "suffix" : "" }, { "dropping-particle" : "", "family" : "al.", "given" : "et", "non-dropping-particle" : "", "parse-names" : false, "suffix" : "" }, { "dropping-particle" : "", "family" : "Buhr", "given" : "G.T.", "non-dropping-particle" : "", "parse-names" : false, "suffix" : "" }, { "dropping-particle" : "", "family" : "Kuchibhatla", "given" : "M.", "non-dropping-particle" : "", "parse-names" : false, "suffix" : "" }, { "dropping-particle" : "", "family" : "Clipp", "given" : "E.C.", "non-dropping-particle" : "", "parse-names" : false, "suffix" : "" }, { "dropping-particle" : "", "family" : "Fredman", "given" : "L.", "non-dropping-particle" : "", "parse-names" : false, "suffix" : "" }, { "dropping-particle" : "", "family" : "Bertrand", "given" : "R.M.", "non-dropping-particle" : "", "parse-names" : false, "suffix" : "" }, { "dropping-particle" : "", "family" : "Martire", "given" : "L.M.", "non-dropping-particle" : "", "parse-names" : false, "suffix" : "" }, { "dropping-particle" : "", "family" : "Hochberg", "given" : "M.", "non-dropping-particle" : "", "parse-names" : false, "suffix" : "" }, { "dropping-particle" : "", "family" : "Harris", "given" : "E.L.", "non-dropping-particle" : "", "parse-names" : false, "suffix" : "" }, { "dropping-particle" : "", "family" : "Roepke", "given" : "S.K.", "non-dropping-particle" : "", "parse-names" : false, "suffix" : "" }, { "dropping-particle" : "", "family" : "Allison", "given" : "M.", "non-dropping-particle" : "", "parse-names" : false, "suffix" : "" }, { "dropping-particle" : "Von", "family" : "Kanel", "given" : "R.", "non-dropping-particle" : "", "parse-names" : false, "suffix" : "" }, { "dropping-particle" : "", "family" : "Mausbach", "given" : "B.T.", "non-dropping-particle" : "", "parse-names" : false, "suffix" : "" }, { "dropping-particle" : "", "family" : "Chattillion", "given" : "E.A.", "non-dropping-particle" : "", "parse-names" : false, "suffix" : "" }, { "dropping-particle" : "", "family" : "Harmell", "given" : "A.L.", "non-dropping-particle" : "", "parse-names" : false, "suffix" : "" }, { "dropping-particle" : "", "family" : "al.", "given" : "et", "non-dropping-particle" : "", "parse-names" : false, "suffix" : "" }, { "dropping-particle" : "", "family" : "Gouin", "given" : "J.", "non-dropping-particle" : "", "parse-names" : false, "suffix" : "" }, { "dropping-particle" : "", "family" : "Glaser", "given" : "R.", "non-dropping-particle" : "", "parse-names" : false, "suffix" : "" }, { "dropping-particle" : "", "family" : "Malarkey", "given" : "W.B.", "non-dropping-particle" : "", "parse-names" : false, "suffix" : "" }, { "dropping-particle" : "", "family" : "Beversdorf", "given" : "D.", "non-dropping-particle" : "", "parse-names" : false, "suffix" : "" }, { "dropping-particle" : "", "family" : "Kiecolt-Glaser", "given" : "J.", "non-dropping-particle" : "", "parse-names" : false, "suffix" : "" }, { "dropping-particle" : "von", "family" : "Kanel", "given" : "R.", "non-dropping-particle" : "", "parse-names" : false, "suffix" : "" }, { "dropping-particle" : "", "family" : "Mills", "given" : "P.J.", "non-dropping-particle" : "", "parse-names" : false, "suffix" : "" }, { "dropping-particle" : "", "family" : "Mausbach", "given" : "B.T.", "non-dropping-particle" : "", "parse-names" : false, "suffix" : "" }, { "dropping-particle" : "", "family" : "Dimsdale", "given" : "J.E.", "non-dropping-particle" : "", "parse-names" : false, "suffix" : "" }, { "dropping-particle" : "", "family" : "Patterson", "given" : "T.L.", "non-dropping-particle" : "", "parse-names" : false, "suffix" : "" }, { "dropping-particle" : "", "family" : "Ziegler", "given" : "M.G.", "non-dropping-particle" : "", "parse-names" : false, "suffix" : "" }, { "dropping-particle" : "", "family" : "al.", "given" : "et", "non-dropping-particle" : "", "parse-names" : false, "suffix" : "" }, { "dropping-particle" : "von", "family" : "Kanel", "given" : "R.", "non-dropping-particle" : "", "parse-names" : false, "suffix" : "" }, { "dropping-particle" : "", "family" : "Mausbach", "given" : "B.T.", "non-dropping-particle" : "", "parse-names" : false, "suffix" : "" }, { "dropping-particle" : "", "family" : "Dimsdale", "given" : "J.E.", "non-dropping-particle" : "", "parse-names" : false, "suffix" : "" }, { "dropping-particle" : "", "family" : "Mills", "given" : "P.J.", "non-dropping-particle" : "", "parse-names" : false, "suffix" : "" }, { "dropping-particle" : "", "family" : "Patterson", "given" : "T.L.", "non-dropping-particle" : "", "parse-names" : false, "suffix" : "" }, { "dropping-particle" : "", "family" : "Ancoli-Israel", "given" : "S.", "non-dropping-particle" : "", "parse-names" : false, "suffix" : "" }, { "dropping-particle" : "", "family" : "al.", "given" : "et", "non-dropping-particle" : "", "parse-names" : false, "suffix" : "" }, { "dropping-particle" : "", "family" : "Mausbach", "given" : "B.T.", "non-dropping-particle" : "", "parse-names" : false, "suffix" : "" }, { "dropping-particle" : "", "family" : "Chattillion", "given" : "E.", "non-dropping-particle" : "", "parse-names" : false, "suffix" : "" }, { "dropping-particle" : "", "family" : "Roepke", "given" : "S.K.", "non-dropping-particle" : "", "parse-names" : false, "suffix" : "" }, { "dropping-particle" : "", "family" : "Ziegler", "given" : "M.G.", "non-dropping-particle" : "", "parse-names" : false, "suffix" : "" }, { "dropping-particle" : "", "family" : "Milic", "given" : "M.", "non-dropping-particle" : "", "parse-names" : false, "suffix" : "" }, { "dropping-particle" : "von", "family" : "Kanel", "given" : "R.", "non-dropping-particle" : "", "parse-names" : false, "suffix" : "" }, { "dropping-particle" : "", "family" : "al.", "given" : "et", "non-dropping-particle" : "", "parse-names" : false, "suffix" : "" }, { "dropping-particle" : "", "family" : "Chattillion", "given" : "E.A.", "non-dropping-particle" : "", "parse-names" : false, "suffix" : "" }, { "dropping-particle" : "", "family" : "Mausbach", "given" : "B.T.", "non-dropping-particle" : "", "parse-names" : false, "suffix" : "" }, { "dropping-particle" : "", "family" : "Roepke", "given" : "S.K.", "non-dropping-particle" : "", "parse-names" : false, "suffix" : "" }, { "dropping-particle" : "von", "family" : "Kanel", "given" : "R.", "non-dropping-particle" : "", "parse-names" : false, "suffix" : "" }, { "dropping-particle" : "", "family" : "Mills", "given" : "P.J.", "non-dropping-particle" : "", "parse-names" : false, "suffix" : "" }, { "dropping-particle" : "", "family" : "Dimsdale", "given" : "J.E.", "non-dropping-particle" : "", "parse-names" : false, "suffix" : "" }, { "dropping-particle" : "", "family" : "al.", "given" : "et", "non-dropping-particle" : "", "parse-names" : false, "suffix" : "" }, { "dropping-particle" : "von", "family" : "Kanel", "given" : "R.", "non-dropping-particle" : "", "parse-names" : false, "suffix" : "" }, { "dropping-particle" : "", "family" : "Dimsdale", "given" : "J.E.", "non-dropping-particle" : "", "parse-names" : false, "suffix" : "" }, { "dropping-particle" : "", "family" : "Mills", "given" : "P.J.", "non-dropping-particle" : "", "parse-names" : false, "suffix" : "" }, { "dropping-particle" : "", "family" : "Ancoli-Israel", "given" : "S.", "non-dropping-particle" : "", "parse-names" : false, "suffix" : "" }, { "dropping-particle" : "", "family" : "Patterson", "given" : "T.L.", "non-dropping-particle" : "", "parse-names" : false, "suffix" : "" }, { "dropping-particle" : "", "family" : "Mausback", "given" : "B.T.", "non-dropping-particle" : "", "parse-names" : false, "suffix" : "" }, { "dropping-particle" : "", "family" : "al.", "given" : "et", "non-dropping-particle" : "", "parse-names" : false, "suffix" : "" }, { "dropping-particle" : "", "family" : "Kiecolt-Glaser", "given" : "J.K.", "non-dropping-particle" : "", "parse-names" : false, "suffix" : "" }, { "dropping-particle" : "", "family" : "Dura", "given" : "J.R.", "non-dropping-particle" : "", "parse-names" : false, "suffix" : "" }, { "dropping-particle" : "", "family" : "Speicher", "given" : "C.E.", "non-dropping-particle" : "", "parse-names" : false, "suffix" : "" }, { "dropping-particle" : "", "family" : "Trask", "given" : "O.J.", "non-dropping-particle" : "", "parse-names" : false, "suffix" : "" }, { "dropping-particle" : "", "family" : "Galser", "given" : "R.", "non-dropping-particle" : "", "parse-names" : false, "suffix" : "" }, { "dropping-particle" : "", "family" : "Kiecolt-Glaser", "given" : "J.K.", "non-dropping-particle" : "", "parse-names" : false, "suffix" : "" }, { "dropping-particle" : "", "family" : "Marucha", "given" : "P.T.", "non-dropping-particle" : "", "parse-names" : false, "suffix" : "" }, { "dropping-particle" : "", "family" : "Mercado", "given" : "A.M.", "non-dropping-particle" : "", "parse-names" : false, "suffix" : "" }, { "dropping-particle" : "", "family" : "Malarkey", "given" : "W.B.", "non-dropping-particle" : "", "parse-names" : false, "suffix" : "" }, { "dropping-particle" : "", "family" : "Glaser", "given" : "R.", "non-dropping-particle" : "", "parse-names" : false, "suffix" : "" }, { "dropping-particle" : "", "family" : "Shaw", "given" : "W.S.", "non-dropping-particle" : "", "parse-names" : false, "suffix" : "" }, { "dropping-particle" : "", "family" : "Patterson", "given" : "T.L.", "non-dropping-particle" : "", "parse-names" : false, "suffix" : "" }, { "dropping-particle" : "", "family" : "Ziegler", "given" : "M.G.", "non-dropping-particle" : "", "parse-names" : false, "suffix" : "" }, { "dropping-particle" : "", "family" : "Dimsdale", "given" : "J.E.", "non-dropping-particle" : "", "parse-names" : false, "suffix" : "" }, { "dropping-particle" : "", "family" : "Semple", "given" : "S.J.", "non-dropping-particle" : "", "parse-names" : false, "suffix" : "" }, { "dropping-particle" : "", "family" : "Grant", "given" : "I.", "non-dropping-particle" : "", "parse-names" : false, "suffix" : "" }, { "dropping-particle" : "", "family" : "Vitaliano", "given" : "P.P.", "non-dropping-particle" : "", "parse-names" : false, "suffix" : "" }, { "dropping-particle" : "", "family" : "Scanlan", "given" : "J.M.", "non-dropping-particle" : "", "parse-names" : false, "suffix" : "" }, { "dropping-particle" : "", "family" : "Zhang", "given" : "J.", "non-dropping-particle" : "", "parse-names" : false, "suffix" : "" }, { "dropping-particle" : "", "family" : "Savage", "given" : "M.V.", "non-dropping-particle" : "", "parse-names" : false, "suffix" : "" }, { "dropping-particle" : "", "family" : "Hirsch", "given" : "I.B.", "non-dropping-particle" : "", "parse-names" : false, "suffix" : "" }, { "dropping-particle" : "", "family" : "Siegler", "given" : "I.", "non-dropping-particle" : "", "parse-names" : false, "suffix" : "" }, { "dropping-particle" : "", "family" : "Mausbach", "given" : "B.T.", "non-dropping-particle" : "", "parse-names" : false, "suffix" : "" }, { "dropping-particle" : "", "family" : "Roepke", "given" : "S.K.", "non-dropping-particle" : "", "parse-names" : false, "suffix" : "" }, { "dropping-particle" : "", "family" : "Ziegler", "given" : "M.G.", "non-dropping-particle" : "", "parse-names" : false, "suffix" : "" }, { "dropping-particle" : "", "family" : "Milic", "given" : "M.", "non-dropping-particle" : "", "parse-names" : false, "suffix" : "" }, { "dropping-particle" : "Von", "family" : "Kanel", "given" : "R.", "non-dropping-particle" : "", "parse-names" : false, "suffix" : "" }, { "dropping-particle" : "", "family" : "Dimsdale", "given" : "J.E.", "non-dropping-particle" : "", "parse-names" : false, "suffix" : "" }, { "dropping-particle" : "", "family" : "al.", "given" : "et", "non-dropping-particle" : "", "parse-names" : false, "suffix" : "" }, { "dropping-particle" : "", "family" : "Schubert", "given" : "C.C.", "non-dropping-particle" : "", "parse-names" : false, "suffix" : "" }, { "dropping-particle" : "", "family" : "Boustani", "given" : "M.", "non-dropping-particle" : "", "parse-names" : false, "suffix" : "" }, { "dropping-particle" : "", "family" : "Callahan", "given" : "C.M.", "non-dropping-particle" : "", "parse-names" : false, "suffix" : "" }, { "dropping-particle" : "", "family" : "Perkins", "given" : "A.J.", "non-dropping-particle" : "", "parse-names" : false, "suffix" : "" }, { "dropping-particle" : "", "family" : "Hui", "given" : "S.", "non-dropping-particle" : "", "parse-names" : false, "suffix" : "" }, { "dropping-particle" : "", "family" : "Hendrie", "given" : "H.C.", "non-dropping-particle" : "", "parse-names" : false, "suffix" : "" }, { "dropping-particle" : "", "family" : "Christakis", "given" : "N.A.", "non-dropping-particle" : "", "parse-names" : false, "suffix" : "" }, { "dropping-particle" : "", "family" : "Allison", "given" : "P.D.", "non-dropping-particle" : "", "parse-names" : false, "suffix" : "" }, { "dropping-particle" : "", "family" : "Brown", "given" : "S.L.", "non-dropping-particle" : "", "parse-names" : false, "suffix" : "" }, { "dropping-particle" : "", "family" : "Smith", "given" : "D.M.", "non-dropping-particle" : "", "parse-names" : false, "suffix" : "" }, { "dropping-particle" : "", "family" : "Schulz", "given" : "R.", "non-dropping-particle" : "", "parse-names" : false, "suffix" : "" }, { "dropping-particle" : "", "family" : "Kabeto", "given" : "M.U.", "non-dropping-particle" : "", "parse-names" : false, "suffix" : "" }, { "dropping-particle" : "", "family" : "Ubel", "given" : "P.A.", "non-dropping-particle" : "", "parse-names" : false, "suffix" : "" }, { "dropping-particle" : "", "family" : "Poulin", "given" : "M.", "non-dropping-particle" : "", "parse-names" : false, "suffix" : "" }, { "dropping-particle" : "", "family" : "al.", "given" : "et", "non-dropping-particle" : "", "parse-names" : false, "suffix" : "" }, { "dropping-particle" : "", "family" : "Fredman", "given" : "L.", "non-dropping-particle" : "", "parse-names" : false, "suffix" : "" }, { "dropping-particle" : "", "family" : "Cauley", "given" : "J.A.", "non-dropping-particle" : "", "parse-names" : false, "suffix" : "" }, { "dropping-particle" : "", "family" : "Hochberg", "given" : "M.", "non-dropping-particle" : "", "parse-names" : false, "suffix" : "" }, { "dropping-particle" : "", "family" : "Ensrud", "given" : "K.E.", "non-dropping-particle" : "", "parse-names" : false, "suffix" : "" }, { "dropping-particle" : "", "family" : "Doros", "given" : "G.", "non-dropping-particle" : "", "parse-names" : false, "suffix" : "" }, { "dropping-particle" : "", "family" : "Aneshensel", "given" : "C.S.", "non-dropping-particle" : "", "parse-names" : false, "suffix" : "" }, { "dropping-particle" : "", "family" : "Pearlin", "given" : "L.I.", "non-dropping-particle" : "", "parse-names" : false, "suffix" : "" }, { "dropping-particle" : "", "family" : "Mullan", "given" : "J.T.", "non-dropping-particle" : "", "parse-names" : false, "suffix" : "" }, { "dropping-particle" : "", "family" : "Zarit", "given" : "S.H.", "non-dropping-particle" : "", "parse-names" : false, "suffix" : "" }, { "dropping-particle" : "", "family" : "Whitlatch", "given" : "C.J.", "non-dropping-particle" : "", "parse-names" : false, "suffix" : "" }, { "dropping-particle" : "", "family" : "S\u00f6rensen", "given" : "S.", "non-dropping-particle" : "", "parse-names" : false, "suffix" : "" }, { "dropping-particle" : "", "family" : "Pinquart", "given" : "M.", "non-dropping-particle" : "", "parse-names" : false, "suffix" : "" }, { "dropping-particle" : "", "family" : "Duberstein", "given" : "P.", "non-dropping-particle" : "", "parse-names" : false, "suffix" : "" }, { "dropping-particle" : "", "family" : "Logsdon", "given" : "R.G.", "non-dropping-particle" : "", "parse-names" : false, "suffix" : "" }, { "dropping-particle" : "", "family" : "Logsdon", "given" : "R.G.", "non-dropping-particle" : "", "parse-names" : false, "suffix" : "" }, { "dropping-particle" : "", "family" : "McCurry", "given" : "S.M.", "non-dropping-particle" : "", "parse-names" : false, "suffix" : "" }, { "dropping-particle" : "", "family" : "Teri", "given" : "L.", "non-dropping-particle" : "", "parse-names" : false, "suffix" : "" }, { "dropping-particle" : "", "family" : "Zarit", "given" : "S.H.", "non-dropping-particle" : "", "parse-names" : false, "suffix" : "" }, { "dropping-particle" : "", "family" : "Mittelman", "given" : "M.S.", "non-dropping-particle" : "", "parse-names" : false, "suffix" : "" }, { "dropping-particle" : "", "family" : "Haley", "given" : "W.E.", "non-dropping-particle" : "", "parse-names" : false, "suffix" : "" }, { "dropping-particle" : "", "family" : "Clay", "given" : "O.J.", "non-dropping-particle" : "", "parse-names" : false, "suffix" : "" }, { "dropping-particle" : "", "family" : "Roth", "given" : "D.L.", "non-dropping-particle" : "", "parse-names" : false, "suffix" : "" }, { "dropping-particle" : "", "family" : "Mittelman", "given" : "M.S.", "non-dropping-particle" : "", "parse-names" : false, "suffix" : "" }, { "dropping-particle" : "", "family" : "Epstein", "given" : "C.", "non-dropping-particle" : "", "parse-names" : false, "suffix" : "" }, { "dropping-particle" : "", "family" : "Pierzchala", "given" : "A.", "non-dropping-particle" : "", "parse-names" : false, "suffix" : "" }, { "dropping-particle" : "", "family" : "Belle", "given" : "S.H.", "non-dropping-particle" : "", "parse-names" : false, "suffix" : "" }, { "dropping-particle" : "", "family" : "Burgio", "given" : "L.", "non-dropping-particle" : "", "parse-names" : false, "suffix" : "" }, { "dropping-particle" : "", "family" : "Burns", "given" : "R.", "non-dropping-particle" : "", "parse-names" : false, "suffix" : "" }, { "dropping-particle" : "", "family" : "Coon", "given" : "D.", "non-dropping-particle" : "", "parse-names" : false, "suffix" : "" }, { "dropping-particle" : "", "family" : "Czaja", "given" : "S.J.", "non-dropping-particle" : "", "parse-names" : false, "suffix" : "" }, { "dropping-particle" : "", "family" : "Gallagher-Thompson", "given" : "D.", "non-dropping-particle" : "", "parse-names" : false, "suffix" : "" }, { "dropping-particle" : "", "family" : "al.", "given" : "et", "non-dropping-particle" : "", "parse-names" : false, "suffix" : "" }, { "dropping-particle" : "", "family" : "Acton", "given" : "G.J.", "non-dropping-particle" : "", "parse-names" : false, "suffix" : "" }, { "dropping-particle" : "", "family" : "Kang", "given" : "J.", "non-dropping-particle" : "", "parse-names" : false, "suffix" : "" }, { "dropping-particle" : "", "family" : "Levy", "given" : "K.", "non-dropping-particle" : "", "parse-names" : false, "suffix" : "" }, { "dropping-particle" : "", "family" : "Lanctot", "given" : "K.L.", "non-dropping-particle" : "", "parse-names" : false, "suffix" : "" }, { "dropping-particle" : "", "family" : "Farber", "given" : "S.B.", "non-dropping-particle" : "", "parse-names" : false, "suffix" : "" }, { "dropping-particle" : "", "family" : "Li", "given" : "A.", "non-dropping-particle" : "", "parse-names" : false, "suffix" : "" }, { "dropping-particle" : "", "family" : "Herrmann", "given" : "N.", "non-dropping-particle" : "", "parse-names" : false, "suffix" : "" }, { "dropping-particle" : "", "family" : "Schulz", "given" : "R.", "non-dropping-particle" : "", "parse-names" : false, "suffix" : "" }, { "dropping-particle" : "", "family" : "Lustig", "given" : "A.", "non-dropping-particle" : "", "parse-names" : false, "suffix" : "" }, { "dropping-particle" : "", "family" : "Handler", "given" : "S.", "non-dropping-particle" : "", "parse-names" : false, "suffix" : "" }, { "dropping-particle" : "", "family" : "Martire", "given" : "L.M.", "non-dropping-particle" : "", "parse-names" : false, "suffix" : "" }, { "dropping-particle" : "", "family" : "Elliott", "given" : "A.F.", "non-dropping-particle" : "", "parse-names" : false, "suffix" : "" }, { "dropping-particle" : "", "family" : "Burgio", "given" : "L.D.", "non-dropping-particle" : "", "parse-names" : false, "suffix" : "" }, { "dropping-particle" : "", "family" : "DeCoster", "given" : "J.", "non-dropping-particle" : "", "parse-names" : false, "suffix" : "" }, { "dropping-particle" : "", "family" : "Gitlin", "given" : "L.N.", "non-dropping-particle" : "", "parse-names" : false, "suffix" : "" }, { "dropping-particle" : "", "family" : "Winter", "given" : "L.", "non-dropping-particle" : "", "parse-names" : false, "suffix" : "" }, { "dropping-particle" : "", "family" : "Dennis", "given" : "M.P.", "non-dropping-particle" : "", "parse-names" : false, "suffix" : "" }, { "dropping-particle" : "", "family" : "Hodgson", "given" : "N.", "non-dropping-particle" : "", "parse-names" : false, "suffix" : "" }, { "dropping-particle" : "", "family" : "Hauck", "given" : "W.W.", "non-dropping-particle" : "", "parse-names" : false, "suffix" : "" }, { "dropping-particle" : "", "family" : "Gitlin", "given" : "L.N.", "non-dropping-particle" : "", "parse-names" : false, "suffix" : "" }, { "dropping-particle" : "", "family" : "Winter", "given" : "L.", "non-dropping-particle" : "", "parse-names" : false, "suffix" : "" }, { "dropping-particle" : "", "family" : "Dennis", "given" : "M.P.", "non-dropping-particle" : "", "parse-names" : false, "suffix" : "" }, { "dropping-particle" : "", "family" : "Lee", "given" : "C.C.", "non-dropping-particle" : "", "parse-names" : false, "suffix" : "" }, { "dropping-particle" : "", "family" : "Czaja", "given" : "S.J.", "non-dropping-particle" : "", "parse-names" : false, "suffix" : "" }, { "dropping-particle" : "", "family" : "Schultz", "given" : "R.", "non-dropping-particle" : "", "parse-names" : false, "suffix" : "" }, { "dropping-particle" : "", "family" : "Gaugler", "given" : "J.E.", "non-dropping-particle" : "", "parse-names" : false, "suffix" : "" }, { "dropping-particle" : "", "family" : "Roth", "given" : "D.L.", "non-dropping-particle" : "", "parse-names" : false, "suffix" : "" }, { "dropping-particle" : "", "family" : "Haley", "given" : "W.E.", "non-dropping-particle" : "", "parse-names" : false, "suffix" : "" }, { "dropping-particle" : "", "family" : "Mittelman", "given" : "M.S.", "non-dropping-particle" : "", "parse-names" : false, "suffix" : "" }, { "dropping-particle" : "", "family" : "Llanque", "given" : "S.M.", "non-dropping-particle" : "", "parse-names" : false, "suffix" : "" }, { "dropping-particle" : "", "family" : "Enriquez", "given" : "M.", "non-dropping-particle" : "", "parse-names" : false, "suffix" : "" }, { "dropping-particle" : "", "family" : "Kramer", "given" : "N.A.", "non-dropping-particle" : "", "parse-names" : false, "suffix" : "" }, { "dropping-particle" : "", "family" : "Smith", "given" : "M.C.", "non-dropping-particle" : "", "parse-names" : false, "suffix" : "" }, { "dropping-particle" : "", "family" : "McCabe", "given" : "M.P.", "non-dropping-particle" : "", "parse-names" : false, "suffix" : "" }, { "dropping-particle" : "", "family" : "Davison", "given" : "T.E.", "non-dropping-particle" : "", "parse-names" : false, "suffix" : "" }, { "dropping-particle" : "", "family" : "George", "given" : "K.", "non-dropping-particle" : "", "parse-names" : false, "suffix" : "" }, { "dropping-particle" : "", "family" : "Beck", "given" : "C.", "non-dropping-particle" : "", "parse-names" : false, "suffix" : "" }, { "dropping-particle" : "", "family" : "Ortigara", "given" : "A.", "non-dropping-particle" : "", "parse-names" : false, "suffix" : "" }, { "dropping-particle" : "", "family" : "Mercer", "given" : "S.", "non-dropping-particle" : "", "parse-names" : false, "suffix" : "" }, { "dropping-particle" : "", "family" : "Shue", "given" : "V.", "non-dropping-particle" : "", "parse-names" : false, "suffix" : "" }, { "dropping-particle" : "", "family" : "Cohen-Mansfield", "given" : "J.", "non-dropping-particle" : "", "parse-names" : false, "suffix" : "" }, { "dropping-particle" : "", "family" : "Alliance", "given" : "Eldercare Workforce", "non-dropping-particle" : "", "parse-names" : false, "suffix" : "" }, { "dropping-particle" : "", "family" : "Rudolph", "given" : "J.L.", "non-dropping-particle" : "", "parse-names" : false, "suffix" : "" }, { "dropping-particle" : "", "family" : "Zanin", "given" : "N.M.", "non-dropping-particle" : "", "parse-names" : false, "suffix" : "" }, { "dropping-particle" : "", "family" : "Jones", "given" : "R.N.", "non-dropping-particle" : "", "parse-names" : false, "suffix" : "" }, { "dropping-particle" : "", "family" : "Marcantonio", "given" : "E.R.", "non-dropping-particle" : "", "parse-names" : false, "suffix" : "" }, { "dropping-particle" : "", "family" : "Fong", "given" : "T.G.", "non-dropping-particle" : "", "parse-names" : false, "suffix" : "" }, { "dropping-particle" : "", "family" : "Yang", "given" : "F.M.", "non-dropping-particle" : "", "parse-names" : false, "suffix" : "" }, { "dropping-particle" : "", "family" : "al.", "given" : "et", "non-dropping-particle" : "", "parse-names" : false, "suffix" : "" }, { "dropping-particle" : "", "family" : "Institute", "given" : "Met Life Mature Market", "non-dropping-particle" : "", "parse-names" : false, "suffix" : "" }, { "dropping-particle" : "", "family" : "Johnson", "given" : "R.W.", "non-dropping-particle" : "", "parse-names" : false, "suffix" : "" }, { "dropping-particle" : "", "family" : "Wiener", "given" : "J.M.", "non-dropping-particle" : "", "parse-names" : false, "suffix" : "" }, { "dropping-particle" : "", "family" : "Fortinsky", "given" : "R.H.", "non-dropping-particle" : "", "parse-names" : false, "suffix" : "" }, { "dropping-particle" : "", "family" : "Fenster", "given" : "J.R.", "non-dropping-particle" : "", "parse-names" : false, "suffix" : "" }, { "dropping-particle" : "", "family" : "Judge", "given" : "J.O.", "non-dropping-particle" : "", "parse-names" : false, "suffix" : "" }, { "dropping-particle" : "", "family" : "Hirdes", "given" : "J.P.", "non-dropping-particle" : "", "parse-names" : false, "suffix" : "" }, { "dropping-particle" : "", "family" : "Fries", "given" : "B.E.", "non-dropping-particle" : "", "parse-names" : false, "suffix" : "" }, { "dropping-particle" : "", "family" : "Morris", "given" : "J.N.", "non-dropping-particle" : "", "parse-names" : false, "suffix" : "" }, { "dropping-particle" : "", "family" : "Ikegami", "given" : "N.", "non-dropping-particle" : "", "parse-names" : false, "suffix" : "" }, { "dropping-particle" : "", "family" : "Zimmerman", "given" : "D.", "non-dropping-particle" : "", "parse-names" : false, "suffix" : "" }, { "dropping-particle" : "", "family" : "Dalby", "given" : "D.M.", "non-dropping-particle" : "", "parse-names" : false, "suffix" : "" }, { "dropping-particle" : "", "family" : "al.", "given" : "et", "non-dropping-particle" : "", "parse-names" : false, "suffix" : "" }, { "dropping-particle" : "", "family" : "Mitchell", "given" : "G.", "non-dropping-particle" : "", "parse-names" : false, "suffix" : "" }, { "dropping-particle" : "", "family" : "Salmon", "given" : "J.R.", "non-dropping-particle" : "", "parse-names" : false, "suffix" : "" }, { "dropping-particle" : "", "family" : "Polivka", "given" : "L.", "non-dropping-particle" : "", "parse-names" : false, "suffix" : "" }, { "dropping-particle" : "", "family" : "Soberon-Ferrer", "given" : "H.", "non-dropping-particle" : "", "parse-names" : false, "suffix" : "" }, { "dropping-particle" : "", "family" : "Caregiving", "given" : "Partners in", "non-dropping-particle" : "", "parse-names" : false, "suffix" : "" }, { "dropping-particle" : "", "family" : "O\u2019Keeffe", "given" : "J.", "non-dropping-particle" : "", "parse-names" : false, "suffix" : "" }, { "dropping-particle" : "", "family" : "Siebenaler", "given" : "K.", "non-dropping-particle" : "", "parse-names" : false, "suffix" : "" }, { "dropping-particle" : "", "family" : "Mollica", "given" : "R.", "non-dropping-particle" : "", "parse-names" : false, "suffix" : "" }, { "dropping-particle" : "", "family" : "Houser", "given" : "A.", "non-dropping-particle" : "", "parse-names" : false, "suffix" : "" }, { "dropping-particle" : "", "family" : "Ujvari", "given" : "K.", "non-dropping-particle" : "", "parse-names" : false, "suffix" : "" }, { "dropping-particle" : "", "family" : "(MedPAC)", "given" : "Medicare Payment Advisory Commission", "non-dropping-particle" : "", "parse-names" : false, "suffix" : "" }, { "dropping-particle" : "", "family" : "Policy", "given" : "Kaiser Family Foundation Program on Medicare", "non-dropping-particle" : "", "parse-names" : false, "suffix" : "" }, { "dropping-particle" : "", "family" : "DeNavas-Walt", "given" : "C.", "non-dropping-particle" : "", "parse-names" : false, "suffix" : "" }, { "dropping-particle" : "", "family" : "Proctor", "given" : "B.D.", "non-dropping-particle" : "", "parse-names" : false, "suffix" : "" }, { "dropping-particle" : "", "family" : "Smith", "given" : "J.C.", "non-dropping-particle" : "", "parse-names" : false, "suffix" : "" }, { "dropping-particle" : "", "family" : "2012", "given" : "Kaiser Commission on Medicaid and the Uninsured", "non-dropping-particle" : "", "parse-names" : false, "suffix" : "" }, { "dropping-particle" : "", "family" : "Neuman", "given" : "P.", "non-dropping-particle" : "", "parse-names" : false, "suffix" : "" }, { "dropping-particle" : "", "family" : "Cubanski", "given" : "J.", "non-dropping-particle" : "", "parse-names" : false, "suffix" : "" }, { "dropping-particle" : "", "family" : "Desmond", "given" : "K.A.", "non-dropping-particle" : "", "parse-names" : false, "suffix" : "" }, { "dropping-particle" : "", "family" : "Rice", "given" : "T.H.", "non-dropping-particle" : "", "parse-names" : false, "suffix" : "" }, { "dropping-particle" : "", "family" : "Caplan", "given" : "C.", "non-dropping-particle" : "", "parse-names" : false, "suffix" : "" }, { "dropping-particle" : "", "family" : "Brangan", "given" : "N.", "non-dropping-particle" : "", "parse-names" : false, "suffix" : "" }, { "dropping-particle" : "", "family" : "Lawton", "given" : "L.", "non-dropping-particle" : "", "parse-names" : false, "suffix" : "" }, { "dropping-particle" : "", "family" : "Silverstein", "given" : "M.", "non-dropping-particle" : "", "parse-names" : false, "suffix" : "" }, { "dropping-particle" : "", "family" : "Bengston", "given" : "V.", "non-dropping-particle" : "", "parse-names" : false, "suffix" : "" }, { "dropping-particle" : "", "family" : "Lin", "given" : "G.", "non-dropping-particle" : "", "parse-names" : false, "suffix" : "" }, { "dropping-particle" : "", "family" : "Rogerson", "given" : "P.A.", "non-dropping-particle" : "", "parse-names" : false, "suffix" : "" }, { "dropping-particle" : "", "family" : "Rogerson", "given" : "P.A.", "non-dropping-particle" : "", "parse-names" : false, "suffix" : "" }, { "dropping-particle" : "", "family" : "Weng", "given" : "R.H.", "non-dropping-particle" : "", "parse-names" : false, "suffix" : "" }, { "dropping-particle" : "", "family" : "Lin", "given" : "G.", "non-dropping-particle" : "", "parse-names" : false, "suffix" : "" }, { "dropping-particle" : "", "family" : "Institute", "given" : "MetLife Mature Market", "non-dropping-particle" : "", "parse-names" : false, "suffix" : "" }, { "dropping-particle" : "", "family" : "Wagner", "given" : "D.L.", "non-dropping-particle" : "", "parse-names" : false, "suffix" : "" }, { "dropping-particle" : "", "family" : "Koerin", "given" : "B.B.", "non-dropping-particle" : "", "parse-names" : false, "suffix" : "" }, { "dropping-particle" : "", "family" : "Harrigan", "given" : "M.P.", "non-dropping-particle" : "", "parse-names" : false, "suffix" : "" }, { "dropping-particle" : "", "family" : "Watari", "given" : "K.", "non-dropping-particle" : "", "parse-names" : false, "suffix" : "" }, { "dropping-particle" : "", "family" : "Wetherell", "given" : "J.L.", "non-dropping-particle" : "", "parse-names" : false, "suffix" : "" }, { "dropping-particle" : "", "family" : "Gatz", "given" : "M.", "non-dropping-particle" : "", "parse-names" : false, "suffix" : "" }, { "dropping-particle" : "", "family" : "Delaney", "given" : "J.", "non-dropping-particle" : "", "parse-names" : false, "suffix" : "" }, { "dropping-particle" : "", "family" : "Ladd", "given" : "C.", "non-dropping-particle" : "", "parse-names" : false, "suffix" : "" }, { "dropping-particle" : "", "family" : "Cherry", "given" : "D.", "non-dropping-particle" : "", "parse-names" : false, "suffix" : "" }, { "dropping-particle" : "", "family" : "Bledsoe", "given" : "L.", "non-dropping-particle" : "", "parse-names" : false, "suffix" : "" }, { "dropping-particle" : "", "family" : "Edwards", "given" : "M.", "non-dropping-particle" : "", "parse-names" : false, "suffix" : "" }, { "dropping-particle" : "", "family" : "Joseph", "given" : "A.E.", "non-dropping-particle" : "", "parse-names" : false, "suffix" : "" }, { "dropping-particle" : "", "family" : "Hallman", "given" : "B.C.", "non-dropping-particle" : "", "parse-names" : false, "suffix" : "" }, { "dropping-particle" : "", "family" : "Roff", "given" : "L.L.", "non-dropping-particle" : "", "parse-names" : false, "suffix" : "" }, { "dropping-particle" : "", "family" : "Martin", "given" : "S.S.", "non-dropping-particle" : "", "parse-names" : false, "suffix" : "" }, { "dropping-particle" : "", "family" : "Jennings", "given" : "L.K.", "non-dropping-particle" : "", "parse-names" : false, "suffix" : "" }, { "dropping-particle" : "", "family" : "Parker", "given" : "M.W.", "non-dropping-particle" : "", "parse-names" : false, "suffix" : "" }, { "dropping-particle" : "", "family" : "Harmon", "given" : "D.K.", "non-dropping-particle" : "", "parse-names" : false, "suffix" : "" }, { "dropping-particle" : "", "family" : "Cagle", "given" : "J.G.", "non-dropping-particle" : "", "parse-names" : false, "suffix" : "" }, { "dropping-particle" : "", "family" : "Munn", "given" : "J.C.", "non-dropping-particle" : "", "parse-names" : false, "suffix" : "" }, { "dropping-particle" : "", "family" : "Pew", "given" : "R.W.", "non-dropping-particle" : "", "parse-names" : false, "suffix" : "" }, { "dropping-particle" : "Van", "family" : "Hemel", "given" : "S.B.", "non-dropping-particle" : "", "parse-names" : false, "suffix" : "" }, { "dropping-particle" : "", "family" : "Benefield", "given" : "L.E.", "non-dropping-particle" : "", "parse-names" : false, "suffix" : "" }, { "dropping-particle" : "", "family" : "Beck", "given" : "C.", "non-dropping-particle" : "", "parse-names" : false, "suffix" : "" }, { "dropping-particle" : "", "family" : "Czaja", "given" : "S.J.", "non-dropping-particle" : "", "parse-names" : false, "suffix" : "" }, { "dropping-particle" : "", "family" : "Rubert", "given" : "M.P.", "non-dropping-particle" : "", "parse-names" : false, "suffix" : "" }, { "dropping-particle" : "", "family" : "Eisdorfer", "given" : "C.", "non-dropping-particle" : "", "parse-names" : false, "suffix" : "" }, { "dropping-particle" : "", "family" : "Czaja", "given" : "S.J.", "non-dropping-particle" : "", "parse-names" : false, "suffix" : "" }, { "dropping-particle" : "", "family" : "Loewenstein", "given" : "D.A.", "non-dropping-particle" : "", "parse-names" : false, "suffix" : "" }, { "dropping-particle" : "", "family" : "Rubert", "given" : "M.P.", "non-dropping-particle" : "", "parse-names" : false, "suffix" : "" }, { "dropping-particle" : "", "family" : "Arguelles", "given" : "S.", "non-dropping-particle" : "", "parse-names" : false, "suffix" : "" }, { "dropping-particle" : "", "family" : "Mitrani", "given" : "V.B.", "non-dropping-particle" : "", "parse-names" : false, "suffix" : "" }, { "dropping-particle" : "", "family" : "al.", "given" : "et", "non-dropping-particle" : "", "parse-names" : false, "suffix" : "" }, { "dropping-particle" : "", "family" : "Mickus", "given" : "M.A.", "non-dropping-particle" : "", "parse-names" : false, "suffix" : "" }, { "dropping-particle" : "", "family" : "Luz", "given" : "C.C.", "non-dropping-particle" : "", "parse-names" : false, "suffix" : "" }, { "dropping-particle" : "", "family" : "Wolf", "given" : "D.A.", "non-dropping-particle" : "", "parse-names" : false, "suffix" : "" }, { "dropping-particle" : "", "family" : "Longino", "given" : "C.F.", "non-dropping-particle" : "", "parse-names" : false, "suffix" : "" }, { "dropping-particle" : "", "family" : "Wagner", "given" : "D.L.", "non-dropping-particle" : "", "parse-names" : false, "suffix" : "" }, { "dropping-particle" : "", "family" : "Spillman", "given" : "B.C.", "non-dropping-particle" : "", "parse-names" : false, "suffix" : "" }, { "dropping-particle" : "", "family" : "Pezzin", "given" : "L.E.", "non-dropping-particle" : "", "parse-names" : false, "suffix" : "" }, { "dropping-particle" : "", "family" : "Brookmeyer", "given" : "R.", "non-dropping-particle" : "", "parse-names" : false, "suffix" : "" }, { "dropping-particle" : "", "family" : "Gray", "given" : "S.", "non-dropping-particle" : "", "parse-names" : false, "suffix" : "" }, { "dropping-particle" : "", "family" : "Kawas", "given" : "C.", "non-dropping-particle" : "", "parse-names" : false, "suffix" : "" }, { "dropping-particle" : "", "family" : "Amo", "given" : "P.S.", "non-dropping-particle" : "", "parse-names" : false, "suffix" : "" }, { "dropping-particle" : "", "family" : "Levine", "given" : "C.", "non-dropping-particle" : "", "parse-names" : false, "suffix" : "" }, { "dropping-particle" : "", "family" : "Memmott", "given" : "M.M.", "non-dropping-particle" : "", "parse-names" : false, "suffix" : "" }, { "dropping-particle" : "", "family" : "Shriver", "given" : "M.", "non-dropping-particle" : "", "parse-names" : false, "suffix" : "" }, { "dropping-particle" : "", "family" : "Albert", "given" : "S.M.", "non-dropping-particle" : "", "parse-names" : false, "suffix" : "" }, { "dropping-particle" : "", "family" : "Schulz", "given" : "R.", "non-dropping-particle" : "", "parse-names" : false, "suffix" : "" } ], "container-title" : "Alzheimer's &amp; dementia : the journal of the Alzheimer's Association", "id" : "ITEM-1", "issue" : "2", "issued" : { "date-parts" : [ [ "2013", "3" ] ] }, "page" : "208-45", "publisher" : "Elsevier", "title" : "2013 Alzheimer's disease facts and figures.", "type" : "article-journal", "volume" : "9" }, "uris" : [ "http://www.mendeley.com/documents/?uuid=029f8280-97fb-3da4-b141-d0752a215e58" ] } ], "mendeley" : { "formattedCitation" : "(Alzheimer\u2019s Association et al. 2013)", "plainTextFormattedCitation" : "(Alzheimer\u2019s Association et al. 2013)", "previouslyFormattedCitation" : "(Alzheimer\u2019s Association et al. 2013)" }, "properties" : { "noteIndex" : 0 }, "schema" : "https://github.com/citation-style-language/schema/raw/master/csl-citation.json" }</w:instrText>
      </w:r>
      <w:r w:rsidR="005F149C">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(Alzheimer’s Association et al. 2013)</w:t>
      </w:r>
      <w:r w:rsidR="005F149C">
        <w:rPr>
          <w:rFonts w:ascii="Times New Roman" w:hAnsi="Times New Roman" w:cs="Times New Roman"/>
          <w:sz w:val="24"/>
          <w:szCs w:val="24"/>
        </w:rPr>
        <w:fldChar w:fldCharType="end"/>
      </w:r>
      <w:r w:rsidR="00FC14AE" w:rsidRPr="001933B4">
        <w:rPr>
          <w:rFonts w:ascii="Times New Roman" w:hAnsi="Times New Roman" w:cs="Times New Roman"/>
          <w:sz w:val="24"/>
          <w:szCs w:val="24"/>
        </w:rPr>
        <w:t xml:space="preserve">. Although our understanding of this complex disease is advancing and therapies have been developed to offer symptomatic relief </w:t>
      </w:r>
      <w:r w:rsidR="004906FB" w:rsidRPr="004906FB">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"10.1177/1756285612461679", "ISSN" : "1756-2856", "PMID" : "23277790", "abstract" : "Alzheimer's dementia (AD) is increasingly being recognized as one of the most important medical and social problems in older people in industrialized and non-industrialized nations. To date, only symptomatic treatments exist for this disease, all trying to counterbalance the neurotransmitter disturbance. Three cholinesterase inhibitors (CIs) are currently available and have been approved for the treatment of mild to moderate AD. A further therapeutic option available for moderate to severe AD is memantine, an N-methyl-D-aspartate receptor noncompetitive antagonist. Treatments capable of stopping or at least effectively modifying the course of AD, referred to as 'disease-modifying' drugs, are still under extensive research. To block the progression of the disease they have to interfere with the pathogenic steps responsible for the clinical symptoms, including the deposition of extracellular amyloid \u03b2 plaques and intracellular neurofibrillary tangle formation, inflammation, oxidative damage, iron deregulation and cholesterol metabolism. In this review we discuss current symptomatic treatments and new potential disease-modifying therapies for AD that are currently being studied in phase I-III trials.", "author" : [ { "dropping-particle" : "", "family" : "Yiannopoulou", "given" : "Konstantina G", "non-dropping-particle" : "", "parse-names" : false, "suffix" : "" }, { "dropping-particle" : "", "family" : "Papageorgiou", "given" : "Sokratis G", "non-dropping-particle" : "", "parse-names" : false, "suffix" : "" } ], "container-title" : "Therapeutic advances in neurological disorders", "id" : "ITEM-1", "issue" : "1", "issued" : { "date-parts" : [ [ "2013", "1" ] ] }, "page" : "19-33", "publisher" : "SAGE Publications", "title" : "Current and future treatments for Alzheimer's disease.", "type" : "article-journal", "volume" : "6" }, "uris" : [ "http://www.mendeley.com/documents/?uuid=e457284f-399a-3d93-953c-a5a8be041f2f" ] } ], "mendeley" : { "formattedCitation" : "(Yiannopoulou &amp; Papageorgiou 2013)", "plainTextFormattedCitation" : "(Yiannopoulou &amp; Papageorgiou 2013)", "previouslyFormattedCitation" : "(Yiannopoulou &amp; Papageorgiou 2013)" }, "properties" : { "noteIndex" : 0 }, "schema" : "https://github.com/citation-style-language/schema/raw/master/csl-citation.json" }</w:instrText>
      </w:r>
      <w:r w:rsidR="004906FB" w:rsidRPr="004906FB">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(Yiannopoulou &amp; Papageorgiou 2013)</w:t>
      </w:r>
      <w:r w:rsidR="004906FB" w:rsidRPr="004906FB">
        <w:rPr>
          <w:rFonts w:ascii="Times New Roman" w:hAnsi="Times New Roman" w:cs="Times New Roman"/>
          <w:color w:val="auto"/>
          <w:sz w:val="24"/>
          <w:szCs w:val="24"/>
        </w:rPr>
        <w:fldChar w:fldCharType="end"/>
      </w:r>
      <w:r w:rsidR="004906FB">
        <w:rPr>
          <w:rFonts w:ascii="Times New Roman" w:hAnsi="Times New Roman" w:cs="Times New Roman"/>
          <w:color w:val="auto"/>
          <w:sz w:val="24"/>
          <w:szCs w:val="24"/>
        </w:rPr>
        <w:t xml:space="preserve"> </w:t>
      </w:r>
      <w:r w:rsidR="00FC14AE" w:rsidRPr="001933B4">
        <w:rPr>
          <w:rFonts w:ascii="Times New Roman" w:hAnsi="Times New Roman" w:cs="Times New Roman"/>
          <w:sz w:val="24"/>
          <w:szCs w:val="24"/>
        </w:rPr>
        <w:t>there is currently no cure or treatment to slow or prevent disease progression.</w:t>
      </w:r>
    </w:p>
    <w:p w14:paraId="794F86DD" w14:textId="39961F95" w:rsidR="00FC14AE" w:rsidRDefault="00FC14AE" w:rsidP="00FC14AE">
      <w:pPr>
        <w:pStyle w:val="Body"/>
        <w:spacing w:line="360" w:lineRule="auto"/>
        <w:jc w:val="both"/>
        <w:rPr>
          <w:rFonts w:ascii="Times New Roman" w:hAnsi="Times New Roman" w:cs="Times New Roman"/>
          <w:sz w:val="24"/>
          <w:szCs w:val="24"/>
        </w:rPr>
      </w:pPr>
      <w:r w:rsidRPr="001933B4">
        <w:rPr>
          <w:rFonts w:ascii="Times New Roman" w:hAnsi="Times New Roman" w:cs="Times New Roman"/>
          <w:sz w:val="24"/>
          <w:szCs w:val="24"/>
        </w:rPr>
        <w:t>Neuropathologically, AD is characterised by the presence of extraneuronal senile plaques and intraneuronal neurofibrillary tangles</w:t>
      </w:r>
      <w:r w:rsidR="00223239">
        <w:rPr>
          <w:rFonts w:ascii="Times New Roman" w:hAnsi="Times New Roman" w:cs="Times New Roman"/>
          <w:sz w:val="24"/>
          <w:szCs w:val="24"/>
        </w:rPr>
        <w:t xml:space="preserve"> (NFTs)</w:t>
      </w:r>
      <w:r w:rsidRPr="001933B4">
        <w:rPr>
          <w:rFonts w:ascii="Times New Roman" w:hAnsi="Times New Roman" w:cs="Times New Roman"/>
          <w:sz w:val="24"/>
          <w:szCs w:val="24"/>
        </w:rPr>
        <w:t xml:space="preserve"> and in the latter stages of the disease, significant neuronal atrophy and synaptic loss in the cortex and hippocampus</w:t>
      </w:r>
      <w:r w:rsidR="00223239">
        <w:rPr>
          <w:rFonts w:ascii="Times New Roman" w:hAnsi="Times New Roman" w:cs="Times New Roman"/>
          <w:sz w:val="24"/>
          <w:szCs w:val="24"/>
        </w:rPr>
        <w:t>.</w:t>
      </w:r>
      <w:bookmarkStart w:id="69" w:name="_Toc328301075"/>
      <w:bookmarkStart w:id="70" w:name="_Toc329593366"/>
      <w:r w:rsidR="00662AF1">
        <w:rPr>
          <w:rFonts w:ascii="Times New Roman" w:hAnsi="Times New Roman" w:cs="Times New Roman"/>
          <w:sz w:val="24"/>
          <w:szCs w:val="24"/>
        </w:rPr>
        <w:t xml:space="preserve"> The majority of research has</w:t>
      </w:r>
      <w:r w:rsidRPr="001933B4">
        <w:rPr>
          <w:rFonts w:ascii="Times New Roman" w:hAnsi="Times New Roman" w:cs="Times New Roman"/>
          <w:sz w:val="24"/>
          <w:szCs w:val="24"/>
        </w:rPr>
        <w:t xml:space="preserve"> focus</w:t>
      </w:r>
      <w:r w:rsidR="00223239">
        <w:rPr>
          <w:rFonts w:ascii="Times New Roman" w:hAnsi="Times New Roman" w:cs="Times New Roman"/>
          <w:sz w:val="24"/>
          <w:szCs w:val="24"/>
        </w:rPr>
        <w:t>ed on therapeutically targeting amyloid beta (Aβ) and tau, which are the key proteins that constitute the senile plaques and NFTs.</w:t>
      </w:r>
      <w:r w:rsidRPr="001933B4">
        <w:rPr>
          <w:rFonts w:ascii="Times New Roman" w:hAnsi="Times New Roman" w:cs="Times New Roman"/>
          <w:sz w:val="24"/>
          <w:szCs w:val="24"/>
        </w:rPr>
        <w:t xml:space="preserve"> </w:t>
      </w:r>
      <w:r w:rsidR="00223239">
        <w:rPr>
          <w:rFonts w:ascii="Times New Roman" w:hAnsi="Times New Roman" w:cs="Times New Roman"/>
          <w:sz w:val="24"/>
          <w:szCs w:val="24"/>
        </w:rPr>
        <w:t>So far these treatments have had</w:t>
      </w:r>
      <w:r w:rsidRPr="001933B4">
        <w:rPr>
          <w:rFonts w:ascii="Times New Roman" w:hAnsi="Times New Roman" w:cs="Times New Roman"/>
          <w:sz w:val="24"/>
          <w:szCs w:val="24"/>
        </w:rPr>
        <w:t xml:space="preserve"> little success</w:t>
      </w:r>
      <w:r w:rsidR="00223239">
        <w:rPr>
          <w:rFonts w:ascii="Times New Roman" w:hAnsi="Times New Roman" w:cs="Times New Roman"/>
          <w:sz w:val="24"/>
          <w:szCs w:val="24"/>
        </w:rPr>
        <w:t xml:space="preserve"> in the clinic</w:t>
      </w:r>
      <w:r w:rsidRPr="001933B4">
        <w:rPr>
          <w:rFonts w:ascii="Times New Roman" w:hAnsi="Times New Roman" w:cs="Times New Roman"/>
          <w:sz w:val="24"/>
          <w:szCs w:val="24"/>
        </w:rPr>
        <w:t xml:space="preserve"> </w:t>
      </w:r>
      <w:r w:rsidR="000D46A0">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"10.1016/j.neurobiolaging.2013.10.085", "ISSN" : "01974580", "abstract" : "Before amyloid formation, peptides cleaved from the amyloid precursor protein (APP) exist as soluble oligomers. These are extremely neurotoxic. Their concentration is strongly correlated with synaptic impairment in animals and parallel cognitive decline in animals and humans. Clinical trials have largely been aimed at removing insoluble beta amyloid in senile plaques and have not reduced soluble load. Even treatment that should remove soluble oligomers has not consistently reduced the load. Failure to significantly improve cognition has frequently been attributed to failure of the amyloid hypothesis or to irreversible alteration in the brain. Instead, trial failures may be because of failure to significantly reduce load of toxic A\u03b2 oligomers. Moreover, targeting only synthesis of A\u03b2 peptides, only the oligomers themselves, or only the final insoluble amyloid may fail to significantly reduce soluble load because of the interrelationship between these 3 points in the amyloid cascade. Thus, treatments may fail unless trials target simultaneously all 3 points in the equation\u2013\"triple therapy\". Cerebrospinal fluid analysis and other monitoring tools may in the future provide reliable measurement of soluble load. But currently, only analysis of autopsied brains can provide this data and thus enable proper evaluation and explanation of the outcome of clinical trials. These data are essential before attributing trial failures to the advanced nature of the disease or asserting that failures prove that the theory linking Alzheimer's disease to products of amyloid precursor protein is incorrect.", "author" : [ { "dropping-particle" : "", "family" : "Rosenblum", "given" : "William I.", "non-dropping-particle" : "", "parse-names" : false, "suffix" : "" } ], "container-title" : "Neurobiology of Aging", "id" : "ITEM-1", "issue" : "5", "issued" : { "date-parts" : [ [ "2014" ] ] }, "page" : "969-974", "title" : "Why Alzheimer trials fail: removing soluble oligomeric beta amyloid is essential, inconsistent, and difficult", "type" : "article-journal", "volume" : "35" }, "uris" : [ "http://www.mendeley.com/documents/?uuid=08326863-87db-32df-bab1-efa77ecbe745" ] } ], "mendeley" : { "formattedCitation" : "(Rosenblum 2014)", "plainTextFormattedCitation" : "(Rosenblum 2014)", "previouslyFormattedCitation" : "(Rosenblum 2014)" }, "properties" : { "noteIndex" : 0 }, "schema" : "https://github.com/citation-style-language/schema/raw/master/csl-citation.json" }</w:instrText>
      </w:r>
      <w:r w:rsidR="000D46A0">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(Rosenblum 2014)</w:t>
      </w:r>
      <w:r w:rsidR="000D46A0">
        <w:rPr>
          <w:rFonts w:ascii="Times New Roman" w:hAnsi="Times New Roman" w:cs="Times New Roman"/>
          <w:sz w:val="24"/>
          <w:szCs w:val="24"/>
        </w:rPr>
        <w:fldChar w:fldCharType="end"/>
      </w:r>
      <w:r w:rsidR="00223239">
        <w:rPr>
          <w:rFonts w:ascii="Times New Roman" w:hAnsi="Times New Roman" w:cs="Times New Roman"/>
          <w:sz w:val="24"/>
          <w:szCs w:val="24"/>
        </w:rPr>
        <w:t>, yet they</w:t>
      </w:r>
      <w:r w:rsidRPr="001933B4">
        <w:rPr>
          <w:rFonts w:ascii="Times New Roman" w:hAnsi="Times New Roman" w:cs="Times New Roman"/>
          <w:sz w:val="24"/>
          <w:szCs w:val="24"/>
        </w:rPr>
        <w:t xml:space="preserve"> remain the most studied aspects of AD. As well as gaining a better appreciation of the function of non-neuronal cells in the brain, scientists are now exploring mechanisms underlying ag</w:t>
      </w:r>
      <w:r w:rsidR="00896802">
        <w:rPr>
          <w:rFonts w:ascii="Times New Roman" w:hAnsi="Times New Roman" w:cs="Times New Roman"/>
          <w:sz w:val="24"/>
          <w:szCs w:val="24"/>
        </w:rPr>
        <w:t>e</w:t>
      </w:r>
      <w:r w:rsidRPr="001933B4">
        <w:rPr>
          <w:rFonts w:ascii="Times New Roman" w:hAnsi="Times New Roman" w:cs="Times New Roman"/>
          <w:sz w:val="24"/>
          <w:szCs w:val="24"/>
        </w:rPr>
        <w:t>ing and the stages that precede development of AD pathology.</w:t>
      </w:r>
      <w:r w:rsidR="0056435E">
        <w:rPr>
          <w:rFonts w:ascii="Times New Roman" w:hAnsi="Times New Roman" w:cs="Times New Roman"/>
          <w:sz w:val="24"/>
          <w:szCs w:val="24"/>
        </w:rPr>
        <w:t xml:space="preserve"> There is a new </w:t>
      </w:r>
      <w:r w:rsidR="00223239">
        <w:rPr>
          <w:rFonts w:ascii="Times New Roman" w:hAnsi="Times New Roman" w:cs="Times New Roman"/>
          <w:sz w:val="24"/>
          <w:szCs w:val="24"/>
        </w:rPr>
        <w:t>perspec</w:t>
      </w:r>
      <w:r w:rsidR="00E660AE">
        <w:rPr>
          <w:rFonts w:ascii="Times New Roman" w:hAnsi="Times New Roman" w:cs="Times New Roman"/>
          <w:sz w:val="24"/>
          <w:szCs w:val="24"/>
        </w:rPr>
        <w:t>t</w:t>
      </w:r>
      <w:r w:rsidR="00223239">
        <w:rPr>
          <w:rFonts w:ascii="Times New Roman" w:hAnsi="Times New Roman" w:cs="Times New Roman"/>
          <w:sz w:val="24"/>
          <w:szCs w:val="24"/>
        </w:rPr>
        <w:t>i</w:t>
      </w:r>
      <w:r w:rsidR="00E660AE">
        <w:rPr>
          <w:rFonts w:ascii="Times New Roman" w:hAnsi="Times New Roman" w:cs="Times New Roman"/>
          <w:sz w:val="24"/>
          <w:szCs w:val="24"/>
        </w:rPr>
        <w:t>ve</w:t>
      </w:r>
      <w:r w:rsidR="0056435E">
        <w:rPr>
          <w:rFonts w:ascii="Times New Roman" w:hAnsi="Times New Roman" w:cs="Times New Roman"/>
          <w:sz w:val="24"/>
          <w:szCs w:val="24"/>
        </w:rPr>
        <w:t xml:space="preserve"> in the f</w:t>
      </w:r>
      <w:r w:rsidR="00981179">
        <w:rPr>
          <w:rFonts w:ascii="Times New Roman" w:hAnsi="Times New Roman" w:cs="Times New Roman"/>
          <w:sz w:val="24"/>
          <w:szCs w:val="24"/>
        </w:rPr>
        <w:t xml:space="preserve">ield that </w:t>
      </w:r>
      <w:r w:rsidR="00105F23">
        <w:rPr>
          <w:rFonts w:ascii="Times New Roman" w:hAnsi="Times New Roman" w:cs="Times New Roman"/>
          <w:sz w:val="24"/>
          <w:szCs w:val="24"/>
        </w:rPr>
        <w:t>AD</w:t>
      </w:r>
      <w:r w:rsidR="00CC1C39">
        <w:rPr>
          <w:rFonts w:ascii="Times New Roman" w:hAnsi="Times New Roman" w:cs="Times New Roman"/>
          <w:sz w:val="24"/>
          <w:szCs w:val="24"/>
        </w:rPr>
        <w:t xml:space="preserve"> is</w:t>
      </w:r>
      <w:r w:rsidR="0056435E">
        <w:rPr>
          <w:rFonts w:ascii="Times New Roman" w:hAnsi="Times New Roman" w:cs="Times New Roman"/>
          <w:sz w:val="24"/>
          <w:szCs w:val="24"/>
        </w:rPr>
        <w:t xml:space="preserve"> the result of a complex systematic malfunction and not simply </w:t>
      </w:r>
      <w:r w:rsidR="00854AAC">
        <w:rPr>
          <w:rFonts w:ascii="Times New Roman" w:hAnsi="Times New Roman" w:cs="Times New Roman"/>
          <w:sz w:val="24"/>
          <w:szCs w:val="24"/>
        </w:rPr>
        <w:t>driven by</w:t>
      </w:r>
      <w:r w:rsidR="00223239">
        <w:rPr>
          <w:rFonts w:ascii="Times New Roman" w:hAnsi="Times New Roman" w:cs="Times New Roman"/>
          <w:sz w:val="24"/>
          <w:szCs w:val="24"/>
        </w:rPr>
        <w:t xml:space="preserve"> plaque and tangle formation</w:t>
      </w:r>
      <w:r w:rsidR="00854AAC">
        <w:rPr>
          <w:rFonts w:ascii="Times New Roman" w:hAnsi="Times New Roman" w:cs="Times New Roman"/>
          <w:sz w:val="24"/>
          <w:szCs w:val="24"/>
        </w:rPr>
        <w:t>.</w:t>
      </w:r>
      <w:r w:rsidR="0056435E">
        <w:rPr>
          <w:rFonts w:ascii="Times New Roman" w:hAnsi="Times New Roman" w:cs="Times New Roman"/>
          <w:sz w:val="24"/>
          <w:szCs w:val="24"/>
        </w:rPr>
        <w:t xml:space="preserve"> </w:t>
      </w:r>
    </w:p>
    <w:p w14:paraId="5743422E" w14:textId="77777777" w:rsidR="004B71E9" w:rsidRPr="001933B4" w:rsidRDefault="004B71E9" w:rsidP="00FC14AE">
      <w:pPr>
        <w:pStyle w:val="Body"/>
        <w:spacing w:line="360" w:lineRule="auto"/>
        <w:jc w:val="both"/>
        <w:rPr>
          <w:rFonts w:ascii="Times New Roman" w:hAnsi="Times New Roman" w:cs="Times New Roman"/>
          <w:sz w:val="24"/>
          <w:szCs w:val="24"/>
        </w:rPr>
      </w:pPr>
    </w:p>
    <w:p w14:paraId="5E43E7E7" w14:textId="77777777" w:rsidR="00FC14AE" w:rsidRDefault="00FC14AE" w:rsidP="00FC14AE">
      <w:pPr>
        <w:pStyle w:val="Body"/>
        <w:spacing w:line="360" w:lineRule="auto"/>
        <w:jc w:val="both"/>
        <w:rPr>
          <w:rFonts w:ascii="Times New Roman" w:hAnsi="Times New Roman" w:cs="Times New Roman"/>
          <w:sz w:val="24"/>
          <w:szCs w:val="24"/>
        </w:rPr>
      </w:pPr>
    </w:p>
    <w:p w14:paraId="2DD6BED2" w14:textId="77777777" w:rsidR="00737D07" w:rsidRDefault="00737D07" w:rsidP="00FC14AE">
      <w:pPr>
        <w:pStyle w:val="Body"/>
        <w:spacing w:line="360" w:lineRule="auto"/>
        <w:jc w:val="both"/>
        <w:rPr>
          <w:rFonts w:ascii="Times New Roman" w:hAnsi="Times New Roman" w:cs="Times New Roman"/>
          <w:sz w:val="24"/>
          <w:szCs w:val="24"/>
        </w:rPr>
      </w:pPr>
    </w:p>
    <w:p w14:paraId="7DEA5F85" w14:textId="77777777" w:rsidR="00223239" w:rsidRDefault="00223239" w:rsidP="00FC14AE">
      <w:pPr>
        <w:pStyle w:val="Body"/>
        <w:spacing w:line="360" w:lineRule="auto"/>
        <w:jc w:val="both"/>
        <w:rPr>
          <w:rFonts w:ascii="Times New Roman" w:hAnsi="Times New Roman" w:cs="Times New Roman"/>
          <w:sz w:val="24"/>
          <w:szCs w:val="24"/>
        </w:rPr>
      </w:pPr>
    </w:p>
    <w:p w14:paraId="75DE4BAA" w14:textId="4A0B4DAC" w:rsidR="00F65A64" w:rsidRPr="001933B4" w:rsidRDefault="00105F23" w:rsidP="00084AAD">
      <w:pPr>
        <w:pStyle w:val="Heading3"/>
        <w:numPr>
          <w:ilvl w:val="2"/>
          <w:numId w:val="10"/>
        </w:numPr>
      </w:pPr>
      <w:bookmarkStart w:id="71" w:name="_Toc331425868"/>
      <w:bookmarkStart w:id="72" w:name="_Toc331427055"/>
      <w:bookmarkStart w:id="73" w:name="_Toc331427427"/>
      <w:bookmarkStart w:id="74" w:name="_Toc331427569"/>
      <w:bookmarkStart w:id="75" w:name="_Toc332972573"/>
      <w:bookmarkStart w:id="76" w:name="_Toc333046853"/>
      <w:bookmarkStart w:id="77" w:name="_Toc333477200"/>
      <w:bookmarkStart w:id="78" w:name="_Toc333477970"/>
      <w:bookmarkStart w:id="79" w:name="_Toc333644870"/>
      <w:r>
        <w:t>AD</w:t>
      </w:r>
      <w:r w:rsidR="00084AAD" w:rsidRPr="001933B4">
        <w:t xml:space="preserve"> pathology</w:t>
      </w:r>
      <w:bookmarkEnd w:id="69"/>
      <w:bookmarkEnd w:id="70"/>
      <w:bookmarkEnd w:id="71"/>
      <w:bookmarkEnd w:id="72"/>
      <w:bookmarkEnd w:id="73"/>
      <w:bookmarkEnd w:id="74"/>
      <w:bookmarkEnd w:id="75"/>
      <w:bookmarkEnd w:id="76"/>
      <w:bookmarkEnd w:id="77"/>
      <w:bookmarkEnd w:id="78"/>
      <w:bookmarkEnd w:id="79"/>
    </w:p>
    <w:p w14:paraId="79A7DDF2" w14:textId="77777777" w:rsidR="00FC14AE" w:rsidRDefault="00FC14AE" w:rsidP="00FC14AE"/>
    <w:p w14:paraId="3468E3F9" w14:textId="21E1B398" w:rsidR="00C128C5" w:rsidRDefault="00105F23" w:rsidP="00C128C5">
      <w:pPr>
        <w:spacing w:line="360" w:lineRule="auto"/>
        <w:rPr>
          <w:rFonts w:ascii="Times New Roman" w:hAnsi="Times New Roman" w:cs="Times New Roman"/>
        </w:rPr>
      </w:pPr>
      <w:r>
        <w:rPr>
          <w:rFonts w:ascii="Times New Roman" w:hAnsi="Times New Roman" w:cs="Times New Roman"/>
        </w:rPr>
        <w:t>AD</w:t>
      </w:r>
      <w:r w:rsidR="00C128C5">
        <w:rPr>
          <w:rFonts w:ascii="Times New Roman" w:hAnsi="Times New Roman" w:cs="Times New Roman"/>
        </w:rPr>
        <w:t xml:space="preserve"> is classically attributed to the formation of plaques and NFTs and their involvement in the disease will be described in more detail</w:t>
      </w:r>
      <w:r w:rsidR="009F57CE">
        <w:rPr>
          <w:rFonts w:ascii="Times New Roman" w:hAnsi="Times New Roman" w:cs="Times New Roman"/>
        </w:rPr>
        <w:t xml:space="preserve"> below</w:t>
      </w:r>
      <w:r w:rsidR="00C128C5">
        <w:rPr>
          <w:rFonts w:ascii="Times New Roman" w:hAnsi="Times New Roman" w:cs="Times New Roman"/>
        </w:rPr>
        <w:t>.</w:t>
      </w:r>
    </w:p>
    <w:p w14:paraId="6982034F" w14:textId="77777777" w:rsidR="00C128C5" w:rsidRPr="00C128C5" w:rsidRDefault="00C128C5" w:rsidP="00C128C5">
      <w:pPr>
        <w:spacing w:line="360" w:lineRule="auto"/>
        <w:rPr>
          <w:rFonts w:ascii="Times New Roman" w:hAnsi="Times New Roman" w:cs="Times New Roman"/>
        </w:rPr>
      </w:pPr>
    </w:p>
    <w:p w14:paraId="37FA8B3E" w14:textId="5D4E884B" w:rsidR="00FC14AE" w:rsidRPr="001933B4" w:rsidRDefault="00662AF1" w:rsidP="00FC14AE">
      <w:pPr>
        <w:rPr>
          <w:rFonts w:ascii="Times New Roman" w:hAnsi="Times New Roman" w:cs="Times New Roman"/>
          <w:b/>
          <w:i/>
          <w:u w:val="single"/>
        </w:rPr>
      </w:pPr>
      <w:r>
        <w:rPr>
          <w:rFonts w:ascii="Times New Roman" w:hAnsi="Times New Roman" w:cs="Times New Roman"/>
          <w:b/>
          <w:i/>
          <w:u w:val="single"/>
        </w:rPr>
        <w:t>Senile</w:t>
      </w:r>
      <w:r w:rsidR="00FC14AE" w:rsidRPr="001933B4">
        <w:rPr>
          <w:rFonts w:ascii="Times New Roman" w:hAnsi="Times New Roman" w:cs="Times New Roman"/>
          <w:b/>
          <w:i/>
          <w:u w:val="single"/>
        </w:rPr>
        <w:t xml:space="preserve"> Plaques</w:t>
      </w:r>
    </w:p>
    <w:p w14:paraId="6E246BE5" w14:textId="46C80730" w:rsidR="00FC14AE" w:rsidRPr="00464289" w:rsidRDefault="00FC14AE" w:rsidP="00EF2AF4">
      <w:pPr>
        <w:pStyle w:val="Body"/>
        <w:spacing w:line="360" w:lineRule="auto"/>
        <w:jc w:val="both"/>
        <w:rPr>
          <w:rFonts w:ascii="Times New Roman" w:hAnsi="Times New Roman" w:cs="Times New Roman"/>
          <w:color w:val="FF0000"/>
          <w:sz w:val="24"/>
          <w:szCs w:val="24"/>
        </w:rPr>
      </w:pPr>
      <w:r w:rsidRPr="001933B4">
        <w:rPr>
          <w:rFonts w:ascii="Times New Roman" w:hAnsi="Times New Roman" w:cs="Times New Roman"/>
          <w:sz w:val="24"/>
          <w:szCs w:val="24"/>
        </w:rPr>
        <w:t>Senile plaques are commonly</w:t>
      </w:r>
      <w:r w:rsidR="002271C3">
        <w:rPr>
          <w:rFonts w:ascii="Times New Roman" w:hAnsi="Times New Roman" w:cs="Times New Roman"/>
          <w:sz w:val="24"/>
          <w:szCs w:val="24"/>
        </w:rPr>
        <w:t xml:space="preserve"> referred to as amyloid plaques. They</w:t>
      </w:r>
      <w:r w:rsidRPr="001933B4">
        <w:rPr>
          <w:rFonts w:ascii="Times New Roman" w:hAnsi="Times New Roman" w:cs="Times New Roman"/>
          <w:sz w:val="24"/>
          <w:szCs w:val="24"/>
        </w:rPr>
        <w:t xml:space="preserve"> are predominantly composed of i</w:t>
      </w:r>
      <w:r w:rsidR="00662AF1">
        <w:rPr>
          <w:rFonts w:ascii="Times New Roman" w:hAnsi="Times New Roman" w:cs="Times New Roman"/>
          <w:sz w:val="24"/>
          <w:szCs w:val="24"/>
        </w:rPr>
        <w:t>nsoluble fibres of Aβ</w:t>
      </w:r>
      <w:r w:rsidR="004D41AB" w:rsidRPr="001933B4">
        <w:rPr>
          <w:rFonts w:ascii="Times New Roman" w:hAnsi="Times New Roman" w:cs="Times New Roman"/>
          <w:sz w:val="24"/>
          <w:szCs w:val="24"/>
        </w:rPr>
        <w:t xml:space="preserve"> and are characterised histologically by a core of fibrillar amyloid surrounded by oligomeric Aβ as we</w:t>
      </w:r>
      <w:r w:rsidR="00A33F28">
        <w:rPr>
          <w:rFonts w:ascii="Times New Roman" w:hAnsi="Times New Roman" w:cs="Times New Roman"/>
          <w:sz w:val="24"/>
          <w:szCs w:val="24"/>
        </w:rPr>
        <w:t xml:space="preserve">ll as degenerating neurites, </w:t>
      </w:r>
      <w:r w:rsidR="004D41AB" w:rsidRPr="001933B4">
        <w:rPr>
          <w:rFonts w:ascii="Times New Roman" w:hAnsi="Times New Roman" w:cs="Times New Roman"/>
          <w:sz w:val="24"/>
          <w:szCs w:val="24"/>
        </w:rPr>
        <w:t>activated astrocytes and mic</w:t>
      </w:r>
      <w:r w:rsidR="00487FD5">
        <w:rPr>
          <w:rFonts w:ascii="Times New Roman" w:hAnsi="Times New Roman" w:cs="Times New Roman"/>
          <w:sz w:val="24"/>
          <w:szCs w:val="24"/>
        </w:rPr>
        <w:t xml:space="preserve">roglia </w:t>
      </w:r>
      <w:r w:rsidR="00487FD5">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"10.1097/NEN.0b013e3182933788", "ISSN" : "1554-6578", "PMID" : "23656989", "abstract" : "Although it is clear that astrocytes and microglia cluster around dense-core amyloid plaques in Alzheimer disease (AD), whether they are primarily attracted to amyloid deposits or are just reacting to plaque-associated neuritic damage remains elusive. We postulate that astrocytes and microglia may differentially respond to fibrillar amyloid \u03b2. Therefore, we quantified the size distribution of dense-core thioflavin-S (ThioS)-positive plaques in the temporal neocortex of 40 AD patients and the microglial and astrocyte responses in their vicinity (\u226450 \u03bcm) and performed correlations between both measures. As expected, both astrocytes and microglia were clearly spatially associated with ThioS-positive plaques (p = 0.0001, \u226450 \u03bcm vs. &gt;50 \u03bcm from their edge), but their relationship to ThioS-positive plaque size differed: larger ThioS-positive plaques were associated with more surrounding activated microglia (p = 0.0026), but this effect was not observed with reactive astrocytes. Microglial response to dense-core plaques seems to be proportional to their size, which we postulate reflects a chemotactic effect of amyloid \u03b2. By contrast, plaque-associated astrocytic response does not correlate with plaque size and seems to parallel the behavior of plaque-associated neuritic damage.", "author" : [ { "dropping-particle" : "", "family" : "Serrano-Pozo", "given" : "Alberto", "non-dropping-particle" : "", "parse-names" : false, "suffix" : "" }, { "dropping-particle" : "", "family" : "Muzikansky", "given" : "Alona", "non-dropping-particle" : "", "parse-names" : false, "suffix" : "" }, { "dropping-particle" : "", "family" : "G\u00f3mez-Isla", "given" : "Teresa", "non-dropping-particle" : "", "parse-names" : false, "suffix" : "" }, { "dropping-particle" : "", "family" : "Growdon", "given" : "John H", "non-dropping-particle" : "", "parse-names" : false, "suffix" : "" }, { "dropping-particle" : "", "family" : "Betensky", "given" : "Rebecca A", "non-dropping-particle" : "", "parse-names" : false, "suffix" : "" }, { "dropping-particle" : "", "family" : "Frosch", "given" : "Matthew P", "non-dropping-particle" : "", "parse-names" : false, "suffix" : "" }, { "dropping-particle" : "", "family" : "Hyman", "given" : "Bradley T", "non-dropping-particle" : "", "parse-names" : false, "suffix" : "" } ], "container-title" : "Journal of neuropathology and experimental neurology", "id" : "ITEM-1", "issue" : "6", "issued" : { "date-parts" : [ [ "2013", "6" ] ] }, "page" : "462-71", "publisher" : "NIH Public Access", "title" : "Differential relationships of reactive astrocytes and microglia to fibrillar amyloid deposits in Alzheimer disease.", "type" : "article-journal", "volume" : "72" }, "uris" : [ "http://www.mendeley.com/documents/?uuid=95438548-e7a8-3ab3-9a08-79ba34f3e483" ] }, { "id" : "ITEM-2", "itemData" : { "DOI" : "10.1073/pnas.0811698106", "ISSN" : "1091-6490", "PMID" : "19228947", "abstract" : "Synapse loss correlates with a cognitive decline in Alzheimer's disease (AD), but whether this is caused by fibrillar deposits known as senile plaques or soluble oligomeric forms of amyloid beta (Abeta) is controversial. By using array tomography, a technique that combines ultrathin sectioning of tissue with immunofluorescence, allowing precise quantification of small structures, such as synapses, we have tested the hypothesis that oligomeric Abeta surrounding plaques contributes to synapse loss in a mouse model of AD. We find that senile plaques are surrounded by a halo of oligomeric Abeta. Analysis of &gt;14,000 synapses (represented by PSD95-stained excitatory synapses) shows that there is a 60% loss of excitatory synapses in the halo of oligomeric Abeta surrounding plaques and that the density increases to reach almost control levels in volumes further than 50 microm from a plaque in an approximately linear fashion (linear regression, r(2) = 0.9; P &lt; 0.0001). Further, in transgenic cortex, microdeposits of oligomeric Abeta associate with a subset of excitatory synapses, which are significantly smaller than those not in contact with oligomeric Abeta. The proportion of excitatory synapses associated with Abeta correlates with decreasing density (correlation, -0.588; P &lt; 0.0001). These data show that senile plaques are a potential reservoir of oligomeric Abeta, which colocalizes with the postsynaptic density and is associated with spine collapse, reconciling the apparently competing schools of thought of \"plaque\" vs. \"oligomeric Abeta\" as the synaptotoxic species in the brain of AD patients.", "author" : [ { "dropping-particle" : "", "family" : "Koffie", "given" : "Robert M", "non-dropping-particle" : "", "parse-names" : false, "suffix" : "" }, { "dropping-particle" : "", "family" : "Meyer-Luehmann", "given" : "Melanie", "non-dropping-particle" : "", "parse-names" : false, "suffix" : "" }, { "dropping-particle" : "", "family" : "Hashimoto", "given" : "Tadafumi", "non-dropping-particle" : "", "parse-names" : false, "suffix" : "" }, { "dropping-particle" : "", "family" : "Adams", "given" : "Kenneth W", "non-dropping-particle" : "", "parse-names" : false, "suffix" : "" }, { "dropping-particle" : "", "family" : "Mielke", "given" : "Matthew L", "non-dropping-particle" : "", "parse-names" : false, "suffix" : "" }, { "dropping-particle" : "", "family" : "Garcia-Alloza", "given" : "Monica", "non-dropping-particle" : "", "parse-names" : false, "suffix" : "" }, { "dropping-particle" : "", "family" : "Micheva", "given" : "Kristina D", "non-dropping-particle" : "", "parse-names" : false, "suffix" : "" }, { "dropping-particle" : "", "family" : "Smith", "given" : "Stephen J", "non-dropping-particle" : "", "parse-names" : false, "suffix" : "" }, { "dropping-particle" : "", "family" : "Kim", "given" : "M Leo", "non-dropping-particle" : "", "parse-names" : false, "suffix" : "" }, { "dropping-particle" : "", "family" : "Lee", "given" : "Virginia M", "non-dropping-particle" : "", "parse-names" : false, "suffix" : "" }, { "dropping-particle" : "", "family" : "Hyman", "given" : "Bradley T", "non-dropping-particle" : "", "parse-names" : false, "suffix" : "" }, { "dropping-particle" : "", "family" : "Spires-Jones", "given" : "Tara L", "non-dropping-particle" : "", "parse-names" : false, "suffix" : "" } ], "container-title" : "Proceedings of the National Academy of Sciences of the United States of America", "id" : "ITEM-2", "issue" : "10", "issued" : { "date-parts" : [ [ "2009", "3", "10" ] ] }, "page" : "4012-7", "publisher" : "National Academy of Sciences", "title" : "Oligomeric amyloid beta associates with postsynaptic densities and correlates with excitatory synapse loss near senile plaques.", "type" : "article-journal", "volume" : "106" }, "uris" : [ "http://www.mendeley.com/documents/?uuid=c06a0acb-eb6d-3fe9-b698-199138aebc38" ] } ], "mendeley" : { "formattedCitation" : "(Serrano-Pozo et al. 2013; Koffie et al. 2009)", "plainTextFormattedCitation" : "(Serrano-Pozo et al. 2013; Koffie et al. 2009)", "previouslyFormattedCitation" : "(Serrano-Pozo et al. 2013; Koffie et al. 2009)" }, "properties" : { "noteIndex" : 0 }, "schema" : "https://github.com/citation-style-language/schema/raw/master/csl-citation.json" }</w:instrText>
      </w:r>
      <w:r w:rsidR="00487FD5">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(Serrano-Pozo et al. 2013; Koffie et al. 2009)</w:t>
      </w:r>
      <w:r w:rsidR="00487FD5">
        <w:rPr>
          <w:rFonts w:ascii="Times New Roman" w:hAnsi="Times New Roman" w:cs="Times New Roman"/>
          <w:sz w:val="24"/>
          <w:szCs w:val="24"/>
        </w:rPr>
        <w:fldChar w:fldCharType="end"/>
      </w:r>
      <w:r w:rsidR="00487FD5">
        <w:rPr>
          <w:rFonts w:ascii="Times New Roman" w:hAnsi="Times New Roman" w:cs="Times New Roman"/>
          <w:sz w:val="24"/>
          <w:szCs w:val="24"/>
        </w:rPr>
        <w:t>.</w:t>
      </w:r>
      <w:r w:rsidR="006D0D36">
        <w:rPr>
          <w:rFonts w:ascii="Times New Roman" w:hAnsi="Times New Roman" w:cs="Times New Roman"/>
          <w:sz w:val="24"/>
          <w:szCs w:val="24"/>
        </w:rPr>
        <w:t xml:space="preserve"> Plaque morphology is heterogeneous</w:t>
      </w:r>
      <w:r w:rsidR="005257C6">
        <w:rPr>
          <w:rFonts w:ascii="Times New Roman" w:hAnsi="Times New Roman" w:cs="Times New Roman"/>
          <w:sz w:val="24"/>
          <w:szCs w:val="24"/>
        </w:rPr>
        <w:t xml:space="preserve"> and is found free of swollen neurites (diffuse plaques) or closely associated with dystrophic neurites</w:t>
      </w:r>
      <w:r w:rsidR="00A33F28">
        <w:rPr>
          <w:rFonts w:ascii="Times New Roman" w:hAnsi="Times New Roman" w:cs="Times New Roman"/>
          <w:sz w:val="24"/>
          <w:szCs w:val="24"/>
        </w:rPr>
        <w:t>, which can also contain abnormally phosphorylated tau</w:t>
      </w:r>
      <w:r w:rsidR="005257C6">
        <w:rPr>
          <w:rFonts w:ascii="Times New Roman" w:hAnsi="Times New Roman" w:cs="Times New Roman"/>
          <w:sz w:val="24"/>
          <w:szCs w:val="24"/>
        </w:rPr>
        <w:t xml:space="preserve"> </w:t>
      </w:r>
      <w:r w:rsidR="005257C6" w:rsidRPr="00A33F28">
        <w:rPr>
          <w:rFonts w:ascii="Times New Roman" w:hAnsi="Times New Roman" w:cs="Times New Roman"/>
          <w:color w:val="auto"/>
          <w:sz w:val="24"/>
          <w:szCs w:val="24"/>
        </w:rPr>
        <w:t>(neuritic plaques)</w:t>
      </w:r>
      <w:r w:rsidR="00A33F28">
        <w:rPr>
          <w:rFonts w:ascii="Times New Roman" w:hAnsi="Times New Roman" w:cs="Times New Roman"/>
          <w:color w:val="auto"/>
          <w:sz w:val="24"/>
          <w:szCs w:val="24"/>
        </w:rPr>
        <w:t>. Diffuse plaques are com</w:t>
      </w:r>
      <w:r w:rsidR="00662AF1">
        <w:rPr>
          <w:rFonts w:ascii="Times New Roman" w:hAnsi="Times New Roman" w:cs="Times New Roman"/>
          <w:color w:val="auto"/>
          <w:sz w:val="24"/>
          <w:szCs w:val="24"/>
        </w:rPr>
        <w:t>mon in ageing</w:t>
      </w:r>
      <w:r w:rsidR="00187F53">
        <w:rPr>
          <w:rFonts w:ascii="Times New Roman" w:hAnsi="Times New Roman" w:cs="Times New Roman"/>
          <w:color w:val="auto"/>
          <w:sz w:val="24"/>
          <w:szCs w:val="24"/>
        </w:rPr>
        <w:t xml:space="preserve"> and</w:t>
      </w:r>
      <w:r w:rsidR="00662AF1">
        <w:rPr>
          <w:rFonts w:ascii="Times New Roman" w:hAnsi="Times New Roman" w:cs="Times New Roman"/>
          <w:color w:val="auto"/>
          <w:sz w:val="24"/>
          <w:szCs w:val="24"/>
        </w:rPr>
        <w:t xml:space="preserve"> correlate well</w:t>
      </w:r>
      <w:r w:rsidR="00A33F28">
        <w:rPr>
          <w:rFonts w:ascii="Times New Roman" w:hAnsi="Times New Roman" w:cs="Times New Roman"/>
          <w:color w:val="auto"/>
          <w:sz w:val="24"/>
          <w:szCs w:val="24"/>
        </w:rPr>
        <w:t xml:space="preserve"> with neuritic plaques </w:t>
      </w:r>
      <w:r w:rsidR="00C44B74">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"ISSN" : "0028-3878", "PMID" : "8618671", "abstract" : "The presence of senile plaques in the neocortex of apparently nondemented elderly persons often is accepted as part of \"normal\" aging. Alternatively, because cerebral deposition of beta-amyloid may be a key mechanism in the development of Alzheimer's disease (AD), the presence of beta-amyloid-containing plaques may represent very early AD. To examine the relationships of cognitively normal aging, very mild dementia of the Alzheimer type, and the presence of neocortical senile plaques, we performed clinicopathologic correlation in 21 longitudinally studied healthy elderly subjects (84.5 +/- 6.6 years old at death). Nine subjects had strikingly high plaque densities in the neocortex; two of these subjects died of head injury before which there was no evidence of cognitive impairment. The other seven subjects with high plaque densities had clinical evidence for very mild cognitive impairment (Clinical Dementia Rating score of 0.5) at some time during their course and mildly impaired psychometric performance at last assessment before death. The remaining 12 subjects had no clinical or psychometric impairment and had few or no neocortical AD lesions. These results suggest that senile plaques may not be part of normal aging but instead represent presymptomatic or unrecognized early symptomatic AD. The high density of senile plaques (predominately of the diffuse subtype) in the cortex of subjects just at the threshold of detectable dementia is consistent with the hypothesis that beta-amyloid deposition is an initial pathogenetic event in the development of AD.", "author" : [ { "dropping-particle" : "", "family" : "Morris", "given" : "J C", "non-dropping-particle" : "", "parse-names" : false, "suffix" : "" }, { "dropping-particle" : "", "family" : "Storandt", "given" : "M", "non-dropping-particle" : "", "parse-names" : false, "suffix" : "" }, { "dropping-particle" : "", "family" : "McKeel", "given" : "D W", "non-dropping-particle" : "", "parse-names" : false, "suffix" : "" }, { "dropping-particle" : "", "family" : "Rubin", "given" : "E H", "non-dropping-particle" : "", "parse-names" : false, "suffix" : "" }, { "dropping-particle" : "", "family" : "Price", "given" : "J L", "non-dropping-particle" : "", "parse-names" : false, "suffix" : "" }, { "dropping-particle" : "", "family" : "Grant", "given" : "E A", "non-dropping-particle" : "", "parse-names" : false, "suffix" : "" }, { "dropping-particle" : "", "family" : "Berg", "given" : "L", "non-dropping-particle" : "", "parse-names" : false, "suffix" : "" } ], "container-title" : "Neurology", "id" : "ITEM-1", "issue" : "3", "issued" : { "date-parts" : [ [ "1996", "3" ] ] }, "page" : "707-19", "title" : "Cerebral amyloid deposition and diffuse plaques in &amp;quot;normal&amp;quot; aging: Evidence for presymptomatic and very mild Alzheimer's disease.", "type" : "article-journal", "volume" : "46" }, "uris" : [ "http://www.mendeley.com/documents/?uuid=50fde9c9-728b-3a92-b8a2-2160f1c8df83" ] } ], "mendeley" : { "formattedCitation" : "(Morris et al. 1996)", "plainTextFormattedCitation" : "(Morris et al. 1996)", "previouslyFormattedCitation" : "(Morris et al. 1996)" }, "properties" : { "noteIndex" : 0 }, "schema" : "https://github.com/citation-style-language/schema/raw/master/csl-citation.json" }</w:instrText>
      </w:r>
      <w:r w:rsidR="00C44B74">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(Morris et al. 1996)</w:t>
      </w:r>
      <w:r w:rsidR="00C44B74">
        <w:rPr>
          <w:rFonts w:ascii="Times New Roman" w:hAnsi="Times New Roman" w:cs="Times New Roman"/>
          <w:color w:val="auto"/>
          <w:sz w:val="24"/>
          <w:szCs w:val="24"/>
        </w:rPr>
        <w:fldChar w:fldCharType="end"/>
      </w:r>
      <w:r w:rsidR="00A33F28">
        <w:rPr>
          <w:rFonts w:ascii="Times New Roman" w:hAnsi="Times New Roman" w:cs="Times New Roman"/>
          <w:color w:val="auto"/>
          <w:sz w:val="24"/>
          <w:szCs w:val="24"/>
        </w:rPr>
        <w:t xml:space="preserve">. </w:t>
      </w:r>
    </w:p>
    <w:p w14:paraId="040449FC" w14:textId="6FA196EE" w:rsidR="006B3C3B" w:rsidRPr="006B3C3B" w:rsidRDefault="004D41AB" w:rsidP="00E36700">
      <w:pPr>
        <w:pStyle w:val="Body"/>
        <w:spacing w:line="360" w:lineRule="auto"/>
        <w:jc w:val="both"/>
        <w:rPr>
          <w:rFonts w:ascii="Times New Roman" w:hAnsi="Times New Roman" w:cs="Times New Roman"/>
          <w:noProof/>
          <w:color w:val="auto"/>
          <w:sz w:val="24"/>
          <w:szCs w:val="24"/>
        </w:rPr>
      </w:pPr>
      <w:r w:rsidRPr="001933B4">
        <w:rPr>
          <w:rFonts w:ascii="Times New Roman" w:hAnsi="Times New Roman" w:cs="Times New Roman"/>
          <w:sz w:val="24"/>
          <w:szCs w:val="24"/>
        </w:rPr>
        <w:t>Aβ is generated through cleav</w:t>
      </w:r>
      <w:r w:rsidR="00487FD5">
        <w:rPr>
          <w:rFonts w:ascii="Times New Roman" w:hAnsi="Times New Roman" w:cs="Times New Roman"/>
          <w:sz w:val="24"/>
          <w:szCs w:val="24"/>
        </w:rPr>
        <w:t>a</w:t>
      </w:r>
      <w:r w:rsidR="00F642B6">
        <w:rPr>
          <w:rFonts w:ascii="Times New Roman" w:hAnsi="Times New Roman" w:cs="Times New Roman"/>
          <w:sz w:val="24"/>
          <w:szCs w:val="24"/>
        </w:rPr>
        <w:t>ge of</w:t>
      </w:r>
      <w:r w:rsidRPr="001933B4">
        <w:rPr>
          <w:rFonts w:ascii="Times New Roman" w:hAnsi="Times New Roman" w:cs="Times New Roman"/>
          <w:sz w:val="24"/>
          <w:szCs w:val="24"/>
        </w:rPr>
        <w:t xml:space="preserve"> amyloid precursor protein (APP) by</w:t>
      </w:r>
      <w:r w:rsidR="00F642B6">
        <w:rPr>
          <w:rFonts w:ascii="Times New Roman" w:hAnsi="Times New Roman" w:cs="Times New Roman"/>
          <w:sz w:val="24"/>
          <w:szCs w:val="24"/>
        </w:rPr>
        <w:t xml:space="preserve"> several different proteases called</w:t>
      </w:r>
      <w:r w:rsidRPr="001933B4">
        <w:rPr>
          <w:rFonts w:ascii="Times New Roman" w:hAnsi="Times New Roman" w:cs="Times New Roman"/>
          <w:sz w:val="24"/>
          <w:szCs w:val="24"/>
        </w:rPr>
        <w:t xml:space="preserve"> secretases</w:t>
      </w:r>
      <w:r w:rsidR="00C52E5C">
        <w:rPr>
          <w:rFonts w:ascii="Times New Roman" w:hAnsi="Times New Roman" w:cs="Times New Roman"/>
          <w:sz w:val="24"/>
          <w:szCs w:val="24"/>
        </w:rPr>
        <w:t xml:space="preserve"> and is deposited in the brain and blood vessels</w:t>
      </w:r>
      <w:r w:rsidRPr="001933B4">
        <w:rPr>
          <w:rFonts w:ascii="Times New Roman" w:hAnsi="Times New Roman" w:cs="Times New Roman"/>
          <w:sz w:val="24"/>
          <w:szCs w:val="24"/>
        </w:rPr>
        <w:t>. The processing of APP, an integral membrane protein, is complex but can be broadly separat</w:t>
      </w:r>
      <w:r w:rsidR="00662AF1">
        <w:rPr>
          <w:rFonts w:ascii="Times New Roman" w:hAnsi="Times New Roman" w:cs="Times New Roman"/>
          <w:sz w:val="24"/>
          <w:szCs w:val="24"/>
        </w:rPr>
        <w:t>ed into two</w:t>
      </w:r>
      <w:r w:rsidRPr="001933B4">
        <w:rPr>
          <w:rFonts w:ascii="Times New Roman" w:hAnsi="Times New Roman" w:cs="Times New Roman"/>
          <w:sz w:val="24"/>
          <w:szCs w:val="24"/>
        </w:rPr>
        <w:t xml:space="preserve"> pathways, the non-amyloidogenic pathway and the amyloidogenic pathway</w:t>
      </w:r>
      <w:r w:rsidR="00C42C9D">
        <w:rPr>
          <w:rFonts w:ascii="Times New Roman" w:hAnsi="Times New Roman" w:cs="Times New Roman"/>
          <w:sz w:val="24"/>
          <w:szCs w:val="24"/>
        </w:rPr>
        <w:t xml:space="preserve"> (</w:t>
      </w:r>
      <w:r w:rsidR="00C42C9D">
        <w:rPr>
          <w:rFonts w:ascii="Times New Roman" w:hAnsi="Times New Roman" w:cs="Times New Roman"/>
          <w:b/>
          <w:sz w:val="24"/>
          <w:szCs w:val="24"/>
        </w:rPr>
        <w:t>figure 1.</w:t>
      </w:r>
      <w:r w:rsidR="004B71E9">
        <w:rPr>
          <w:rFonts w:ascii="Times New Roman" w:hAnsi="Times New Roman" w:cs="Times New Roman"/>
          <w:b/>
          <w:sz w:val="24"/>
          <w:szCs w:val="24"/>
        </w:rPr>
        <w:t>1</w:t>
      </w:r>
      <w:r w:rsidR="00C42C9D">
        <w:rPr>
          <w:rFonts w:ascii="Times New Roman" w:hAnsi="Times New Roman" w:cs="Times New Roman"/>
          <w:sz w:val="24"/>
          <w:szCs w:val="24"/>
        </w:rPr>
        <w:t>)</w:t>
      </w:r>
      <w:r w:rsidRPr="001933B4">
        <w:rPr>
          <w:rFonts w:ascii="Times New Roman" w:hAnsi="Times New Roman" w:cs="Times New Roman"/>
          <w:sz w:val="24"/>
          <w:szCs w:val="24"/>
        </w:rPr>
        <w:t xml:space="preserve">. In the </w:t>
      </w:r>
      <w:r w:rsidR="008625FD">
        <w:rPr>
          <w:rFonts w:ascii="Times New Roman" w:hAnsi="Times New Roman" w:cs="Times New Roman"/>
          <w:sz w:val="24"/>
          <w:szCs w:val="24"/>
        </w:rPr>
        <w:t>non-</w:t>
      </w:r>
      <w:r w:rsidRPr="001933B4">
        <w:rPr>
          <w:rFonts w:ascii="Times New Roman" w:hAnsi="Times New Roman" w:cs="Times New Roman"/>
          <w:sz w:val="24"/>
          <w:szCs w:val="24"/>
        </w:rPr>
        <w:t>amyloidogenic pathway</w:t>
      </w:r>
      <w:r w:rsidR="008625FD">
        <w:rPr>
          <w:rFonts w:ascii="Times New Roman" w:hAnsi="Times New Roman" w:cs="Times New Roman"/>
          <w:sz w:val="24"/>
          <w:szCs w:val="24"/>
        </w:rPr>
        <w:t>,</w:t>
      </w:r>
      <w:r w:rsidRPr="001933B4">
        <w:rPr>
          <w:rFonts w:ascii="Times New Roman" w:hAnsi="Times New Roman" w:cs="Times New Roman"/>
          <w:sz w:val="24"/>
          <w:szCs w:val="24"/>
        </w:rPr>
        <w:t xml:space="preserve"> generation of Aβ</w:t>
      </w:r>
      <w:r w:rsidR="008625FD">
        <w:rPr>
          <w:rFonts w:ascii="Times New Roman" w:hAnsi="Times New Roman" w:cs="Times New Roman"/>
          <w:sz w:val="24"/>
          <w:szCs w:val="24"/>
        </w:rPr>
        <w:t xml:space="preserve"> is</w:t>
      </w:r>
      <w:r w:rsidRPr="001933B4">
        <w:rPr>
          <w:rFonts w:ascii="Times New Roman" w:hAnsi="Times New Roman" w:cs="Times New Roman"/>
          <w:sz w:val="24"/>
          <w:szCs w:val="24"/>
        </w:rPr>
        <w:t xml:space="preserve"> precluded by the cleavage of APP by α-secretase w</w:t>
      </w:r>
      <w:r w:rsidR="008625FD">
        <w:rPr>
          <w:rFonts w:ascii="Times New Roman" w:hAnsi="Times New Roman" w:cs="Times New Roman"/>
          <w:sz w:val="24"/>
          <w:szCs w:val="24"/>
        </w:rPr>
        <w:t>ithin the Aβ sequence, which</w:t>
      </w:r>
      <w:r w:rsidR="007A3144">
        <w:rPr>
          <w:rFonts w:ascii="Times New Roman" w:hAnsi="Times New Roman" w:cs="Times New Roman"/>
          <w:sz w:val="24"/>
          <w:szCs w:val="24"/>
        </w:rPr>
        <w:t xml:space="preserve"> with the aid of </w:t>
      </w:r>
      <w:r w:rsidR="007E5BA8" w:rsidRPr="001933B4">
        <w:rPr>
          <w:rFonts w:ascii="Times New Roman" w:hAnsi="Times New Roman" w:cs="Times New Roman"/>
          <w:sz w:val="24"/>
          <w:szCs w:val="24"/>
        </w:rPr>
        <w:t>γ-secretase</w:t>
      </w:r>
      <w:r w:rsidR="008625FD">
        <w:rPr>
          <w:rFonts w:ascii="Times New Roman" w:hAnsi="Times New Roman" w:cs="Times New Roman"/>
          <w:sz w:val="24"/>
          <w:szCs w:val="24"/>
        </w:rPr>
        <w:t xml:space="preserve"> generates</w:t>
      </w:r>
      <w:r w:rsidRPr="001933B4">
        <w:rPr>
          <w:rFonts w:ascii="Times New Roman" w:hAnsi="Times New Roman" w:cs="Times New Roman"/>
          <w:sz w:val="24"/>
          <w:szCs w:val="24"/>
        </w:rPr>
        <w:t xml:space="preserve"> a large</w:t>
      </w:r>
      <w:r w:rsidR="009D1E89">
        <w:rPr>
          <w:rFonts w:ascii="Times New Roman" w:hAnsi="Times New Roman" w:cs="Times New Roman"/>
          <w:sz w:val="24"/>
          <w:szCs w:val="24"/>
        </w:rPr>
        <w:t xml:space="preserve"> soluble extracellular</w:t>
      </w:r>
      <w:r w:rsidRPr="001933B4">
        <w:rPr>
          <w:rFonts w:ascii="Times New Roman" w:hAnsi="Times New Roman" w:cs="Times New Roman"/>
          <w:sz w:val="24"/>
          <w:szCs w:val="24"/>
        </w:rPr>
        <w:t xml:space="preserve"> N-terminal fragment (sAPPα) and a smaller C-terminal fragment (C83). In the amyloidogenic pathway APP is cleaved by β-secretase (also referred to as BACE1) generating a</w:t>
      </w:r>
      <w:r w:rsidR="00F642B6">
        <w:rPr>
          <w:rFonts w:ascii="Times New Roman" w:hAnsi="Times New Roman" w:cs="Times New Roman"/>
          <w:sz w:val="24"/>
          <w:szCs w:val="24"/>
        </w:rPr>
        <w:t xml:space="preserve"> 99 residue</w:t>
      </w:r>
      <w:r w:rsidRPr="001933B4">
        <w:rPr>
          <w:rFonts w:ascii="Times New Roman" w:hAnsi="Times New Roman" w:cs="Times New Roman"/>
          <w:sz w:val="24"/>
          <w:szCs w:val="24"/>
        </w:rPr>
        <w:t xml:space="preserve"> C-terminal fragment that is membrane bound and includes the intact Aβ sequence. Subsequent cleavage by γ-secretase results in the generation of Aβ and the APP intracellular domain (AICD). Aβ can vary in length depending on the exact point of cleavage by γ-secretase with Aβ</w:t>
      </w:r>
      <w:r w:rsidRPr="001933B4">
        <w:rPr>
          <w:rFonts w:ascii="Times New Roman" w:hAnsi="Times New Roman" w:cs="Times New Roman"/>
          <w:sz w:val="24"/>
          <w:szCs w:val="24"/>
          <w:vertAlign w:val="subscript"/>
        </w:rPr>
        <w:t>1-42</w:t>
      </w:r>
      <w:r w:rsidRPr="001933B4">
        <w:rPr>
          <w:rFonts w:ascii="Times New Roman" w:hAnsi="Times New Roman" w:cs="Times New Roman"/>
          <w:sz w:val="24"/>
          <w:szCs w:val="24"/>
        </w:rPr>
        <w:t xml:space="preserve"> being the most hydrophobic </w:t>
      </w:r>
      <w:r w:rsidR="00A33F28">
        <w:rPr>
          <w:rFonts w:ascii="Times New Roman" w:hAnsi="Times New Roman" w:cs="Times New Roman"/>
          <w:sz w:val="24"/>
          <w:szCs w:val="24"/>
        </w:rPr>
        <w:t xml:space="preserve">(other forms include </w:t>
      </w:r>
      <w:r w:rsidR="00A33F28" w:rsidRPr="001933B4">
        <w:rPr>
          <w:rFonts w:ascii="Times New Roman" w:hAnsi="Times New Roman" w:cs="Times New Roman"/>
          <w:sz w:val="24"/>
          <w:szCs w:val="24"/>
        </w:rPr>
        <w:t>Aβ</w:t>
      </w:r>
      <w:r w:rsidR="00A33F28">
        <w:rPr>
          <w:rFonts w:ascii="Times New Roman" w:hAnsi="Times New Roman" w:cs="Times New Roman"/>
          <w:sz w:val="24"/>
          <w:szCs w:val="24"/>
          <w:vertAlign w:val="subscript"/>
        </w:rPr>
        <w:t>1-40</w:t>
      </w:r>
      <w:r w:rsidR="00A33F28">
        <w:rPr>
          <w:rFonts w:ascii="Times New Roman" w:hAnsi="Times New Roman" w:cs="Times New Roman"/>
          <w:sz w:val="24"/>
          <w:szCs w:val="24"/>
        </w:rPr>
        <w:t xml:space="preserve">) </w:t>
      </w:r>
      <w:r w:rsidRPr="001933B4">
        <w:rPr>
          <w:rFonts w:ascii="Times New Roman" w:hAnsi="Times New Roman" w:cs="Times New Roman"/>
          <w:sz w:val="24"/>
          <w:szCs w:val="24"/>
        </w:rPr>
        <w:t>and therefore more prone to oligomerisation.</w:t>
      </w:r>
      <w:r w:rsidR="00A33F28">
        <w:rPr>
          <w:rFonts w:ascii="Times New Roman" w:hAnsi="Times New Roman" w:cs="Times New Roman"/>
          <w:sz w:val="24"/>
          <w:szCs w:val="24"/>
        </w:rPr>
        <w:t xml:space="preserve"> </w:t>
      </w:r>
      <w:r w:rsidRPr="001933B4">
        <w:rPr>
          <w:rFonts w:ascii="Times New Roman" w:hAnsi="Times New Roman" w:cs="Times New Roman"/>
          <w:sz w:val="24"/>
          <w:szCs w:val="24"/>
        </w:rPr>
        <w:t xml:space="preserve">Aβ </w:t>
      </w:r>
      <w:r w:rsidR="00662AF1">
        <w:rPr>
          <w:rFonts w:ascii="Times New Roman" w:hAnsi="Times New Roman" w:cs="Times New Roman"/>
          <w:sz w:val="24"/>
          <w:szCs w:val="24"/>
        </w:rPr>
        <w:t>oligomerises to form fibrils that can</w:t>
      </w:r>
      <w:r w:rsidRPr="001933B4">
        <w:rPr>
          <w:rFonts w:ascii="Times New Roman" w:hAnsi="Times New Roman" w:cs="Times New Roman"/>
          <w:sz w:val="24"/>
          <w:szCs w:val="24"/>
        </w:rPr>
        <w:t xml:space="preserve"> </w:t>
      </w:r>
      <w:r w:rsidR="00662AF1">
        <w:rPr>
          <w:rFonts w:ascii="Times New Roman" w:hAnsi="Times New Roman" w:cs="Times New Roman"/>
          <w:sz w:val="24"/>
          <w:szCs w:val="24"/>
        </w:rPr>
        <w:t>aggregate into</w:t>
      </w:r>
      <w:r w:rsidRPr="001933B4">
        <w:rPr>
          <w:rFonts w:ascii="Times New Roman" w:hAnsi="Times New Roman" w:cs="Times New Roman"/>
          <w:sz w:val="24"/>
          <w:szCs w:val="24"/>
        </w:rPr>
        <w:t xml:space="preserve"> dense sticky plaques</w:t>
      </w:r>
      <w:r w:rsidR="008F6DC9">
        <w:rPr>
          <w:rFonts w:ascii="Times New Roman" w:hAnsi="Times New Roman" w:cs="Times New Roman"/>
          <w:sz w:val="24"/>
          <w:szCs w:val="24"/>
        </w:rPr>
        <w:t xml:space="preserve"> </w:t>
      </w:r>
      <w:r w:rsidR="00CF403F">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"author" : [ { "dropping-particle" : "", "family" : "Jarrett", "given" : "Joseph T.", "non-dropping-particle" : "", "parse-names" : false, "suffix" : "" }, { "dropping-particle" : "", "family" : "Berger", "given" : "Elizabeth P.", "non-dropping-particle" : "", "parse-names" : false, "suffix" : "" }, { "dropping-particle" : "", "family" : "Jr.", "given" : "Peter T. Lansbury", "non-dropping-particle" : "", "parse-names" : false, "suffix" : "" } ], "id" : "ITEM-1", "issued" : { "date-parts" : [ [ "2002" ] ] }, "publisher" : "American Chemical Society", "title" : "The carboxy terminus of the .beta. amyloid protein is critical for the seeding of amyloid formation: Implications for the pathogenesis of Alzheimer's disease", "type" : "article-journal" }, "uris" : [ "http://www.mendeley.com/documents/?uuid=a70fac8c-344e-3711-aeeb-530fba002be6" ] } ], "mendeley" : { "formattedCitation" : "(Jarrett et al. 2002)", "plainTextFormattedCitation" : "(Jarrett et al. 2002)", "previouslyFormattedCitation" : "(Jarrett et al. 2002)" }, "properties" : { "noteIndex" : 0 }, "schema" : "https://github.com/citation-style-language/schema/raw/master/csl-citation.json" }</w:instrText>
      </w:r>
      <w:r w:rsidR="00CF403F">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(Jarrett et al. 2002)</w:t>
      </w:r>
      <w:r w:rsidR="00CF403F">
        <w:rPr>
          <w:rFonts w:ascii="Times New Roman" w:hAnsi="Times New Roman" w:cs="Times New Roman"/>
          <w:sz w:val="24"/>
          <w:szCs w:val="24"/>
        </w:rPr>
        <w:fldChar w:fldCharType="end"/>
      </w:r>
      <w:r w:rsidRPr="001933B4">
        <w:rPr>
          <w:rFonts w:ascii="Times New Roman" w:hAnsi="Times New Roman" w:cs="Times New Roman"/>
          <w:sz w:val="24"/>
          <w:szCs w:val="24"/>
        </w:rPr>
        <w:t>.</w:t>
      </w:r>
      <w:r w:rsidR="00CB02CC">
        <w:rPr>
          <w:rFonts w:ascii="Times New Roman" w:hAnsi="Times New Roman" w:cs="Times New Roman"/>
          <w:sz w:val="24"/>
          <w:szCs w:val="24"/>
        </w:rPr>
        <w:t xml:space="preserve"> </w:t>
      </w:r>
      <w:r w:rsidRPr="001933B4">
        <w:rPr>
          <w:rFonts w:ascii="Times New Roman" w:hAnsi="Times New Roman" w:cs="Times New Roman"/>
          <w:sz w:val="24"/>
          <w:szCs w:val="24"/>
        </w:rPr>
        <w:t xml:space="preserve">In addition, Aβ fragments also form soluble dimers or non-fibrillar oligomers, which at subnanomolar concentrations are believed to be more toxic to neurons than plaque density and correlate better with cognitive impairment in AD </w:t>
      </w:r>
      <w:r w:rsidRPr="001933B4">
        <w:rPr>
          <w:rFonts w:ascii="Times New Roman" w:hAnsi="Times New Roman" w:cs="Times New Roman"/>
          <w:sz w:val="24"/>
          <w:szCs w:val="24"/>
        </w:rPr>
        <w:fldChar w:fldCharType="begin" w:fldLock="1"/>
      </w:r>
      <w:r w:rsidR="00A31DBE">
        <w:rPr>
          <w:rFonts w:ascii="Times New Roman" w:hAnsi="Times New Roman" w:cs="Times New Roman"/>
          <w:sz w:val="24"/>
          <w:szCs w:val="24"/>
        </w:rPr>
        <w:instrText>ADDIN CSL_CITATION { "citationItems" : [ { "id" : "ITEM-1", "itemData" : { "ISSN" : "0002-9440", "PMID" : "10487842", "abstract" : "We have characterized amyloid beta peptide (Abeta) concentration, Abeta deposition, paired helical filament formation, cerebrovascular amyloid angiopathy, apolipoprotein E (ApoE) allotype, and synaptophysin concentration in entorhinal cortex and superior frontal gyrus of normal elderly control (ND) patients, Alzheimer's disease (AD) patients, and high pathology control (HPC) patients who meet pathological criteria for AD but show no synapse loss or overt antemortem symptoms of dementia. The measures of Abeta deposition, Abeta-immunoreactive plaques with and without cores, thioflavin histofluorescent plaques, and concentrations of insoluble Abeta, failed to distinguish HPC from AD patients and were poor correlates of synaptic change. By contrast, concentrations of soluble Abeta clearly distinguished HPC from AD patients and were a strong inverse correlate of synapse loss. Further investigation revealed that Abeta40, whether in soluble or insoluble form, was a particularly useful measure for classifying ND, HPC, and AD patients compared with Abeta42. Abeta40 is known to be elevated in cerebrovascular amyloid deposits, and Abeta40 (but not Abeta42) levels, cerebrovascular amyloid angiopathy, and ApoE4 allele frequency were all highly correlated with each other. Although paired helical filaments in the form of neurofibrillary tangles or a penumbra of neurites surrounding amyloid cores also distinguished HPC from AD patients, they were less robust predictors of synapse change compared with soluble Abeta, particularly soluble Abeta40. Previous experiments attempting to relate Abeta deposition to the neurodegeneration that underlies AD dementia may have failed because they assayed the classical, visible forms of the molecule, insoluble neuropil plaques, rather than the soluble, unseen forms of the molecule.", "author" : [ { "dropping-particle" : "", "family" : "Lue", "given" : "L F", "non-dropping-particle" : "", "parse-names" : false, "suffix" : "" }, { "dropping-particle" : "", "family" : "Kuo", "given" : "Y M", "non-dropping-particle" : "", "parse-names" : false, "suffix" : "" }, { "dropping-particle" : "", "family" : "Roher", "given" : "A E", "non-dropping-particle" : "", "parse-names" : false, "suffix" : "" }, { "dropping-particle" : "", "family" : "Brachova", "given" : "L", "non-dropping-particle" : "", "parse-names" : false, "suffix" : "" }, { "dropping-particle" : "", "family" : "Shen", "given" : "Y", "non-dropping-particle" : "", "parse-names" : false, "suffix" : "" }, { "dropping-particle" : "", "family" : "Sue", "given" : "L", "non-dropping-particle" : "", "parse-names" : false, "suffix" : "" }, { "dropping-particle" : "", "family" : "Beach", "given" : "T", "non-dropping-particle" : "", "parse-names" : false, "suffix" : "" }, { "dropping-particle" : "", "family" : "Kurth", "given" : "J H", "non-dropping-particle" : "", "parse-names" : false, "suffix" : "" }, { "dropping-particle" : "", "family" : "Rydel", "given" : "R E", "non-dropping-particle" : "", "parse-names" : false, "suffix" : "" }, { "dropping-particle" : "", "family" : "Rogers", "given" : "J", "non-dropping-particle" : "", "parse-names" : false, "suffix" : "" } ], "container-title" : "The American journal of pathology", "id" : "ITEM-1", "issue" : "3", "issued" : { "date-parts" : [ [ "1999", "9" ] ] }, "page" : "853-62", "title" : "Soluble amyloid beta peptide concentration as a predictor of synaptic change in Alzheimer's disease.", "type" : "article-journal", "volume" : "155" }, "uris" : [ "http://www.mendeley.com/documents/?uuid=47fc19ee-c0c3-4c17-8a9e-650d8088e756" ] }, { "id" : "ITEM-2", "itemData" : { "DOI" : "10.1007/s00401-016-1632-3", "ISSN" : "0001-6322", "author" : [ { "dropping-particle" : "", "family" : "Koss", "given" : "David J.", "non-dropping-particle" : "", "parse-names" : false, "suffix" : "" }, { "dropping-particle" : "", "family" : "Jones", "given" : "Glynn", "non-dropping-particle" : "", "parse-names" : false, "suffix" : "" }, { "dropping-particle" : "", "family" : "Cranston", "given" : "Anna", "non-dropping-particle" : "", "parse-names" : false, "suffix" : "" }, { "dropping-particle" : "", "family" : "Gardner", "given" : "Heidi", "non-dropping-particle" : "", "parse-names" : false, "suffix" : "" }, { "dropping-particle" : "", "family" : "Kanaan", "given" : "Nicholas M.", "non-dropping-particle" : "", "parse-names" : false, "suffix" : "" }, { "dropping-particle" : "", "family" : "Platt", "given" : "Bettina", "non-dropping-particle" : "", "parse-names" : false, "suffix" : "" } ], "container-title" : "Acta Neuropathologica", "id" : "ITEM-2", "issue" : "6", "issued" : { "date-parts" : [ [ "2016", "12", "21" ] ] }, "page" : "875-895", "publisher" : "Springer Berlin Heidelberg", "title" : "Soluble pre-fibrillar tau and \u03b2-amyloid species emerge in early human Alzheimer\u2019s disease and track disease progression and cognitive decline", "type" : "article-journal", "volume" : "132" }, "uris" : [ "http://www.mendeley.com/documents/?uuid=04599c93-9a0c-38dd-b156-e0841aa41f33" ] } ], "mendeley" : { "formattedCitation" : "(Lue et al. 1999; Koss et al. 2016)", "plainTextFormattedCitation" : "(Lue et al. 1999; Koss et al. 2016)", "previouslyFormattedCitation" : "(Lue et al. 1999; Koss et al. 2016)" }, "properties" : { "noteIndex" : 0 }, "schema" : "https://github.com/citation-style-language/schema/raw/master/csl-citation.json" }</w:instrText>
      </w:r>
      <w:r w:rsidRPr="001933B4">
        <w:rPr>
          <w:rFonts w:ascii="Times New Roman" w:hAnsi="Times New Roman" w:cs="Times New Roman"/>
          <w:sz w:val="24"/>
          <w:szCs w:val="24"/>
        </w:rPr>
        <w:fldChar w:fldCharType="separate"/>
      </w:r>
      <w:r w:rsidR="006B3C3B" w:rsidRPr="006B3C3B">
        <w:rPr>
          <w:rFonts w:ascii="Times New Roman" w:hAnsi="Times New Roman" w:cs="Times New Roman"/>
          <w:noProof/>
          <w:sz w:val="24"/>
          <w:szCs w:val="24"/>
        </w:rPr>
        <w:t>(Lue et al. 1999; Koss et al. 2016)</w:t>
      </w:r>
      <w:r w:rsidRPr="001933B4">
        <w:rPr>
          <w:rFonts w:ascii="Times New Roman" w:hAnsi="Times New Roman" w:cs="Times New Roman"/>
          <w:sz w:val="24"/>
          <w:szCs w:val="24"/>
        </w:rPr>
        <w:fldChar w:fldCharType="end"/>
      </w:r>
      <w:r w:rsidR="006B3C3B">
        <w:rPr>
          <w:rFonts w:ascii="Times New Roman" w:hAnsi="Times New Roman" w:cs="Times New Roman"/>
          <w:noProof/>
          <w:color w:val="auto"/>
          <w:sz w:val="24"/>
          <w:szCs w:val="24"/>
        </w:rPr>
        <w:t xml:space="preserve">. </w:t>
      </w:r>
      <w:r w:rsidR="00CB02CC">
        <w:rPr>
          <w:rFonts w:ascii="Times New Roman" w:hAnsi="Times New Roman" w:cs="Times New Roman"/>
          <w:sz w:val="24"/>
          <w:szCs w:val="24"/>
        </w:rPr>
        <w:t xml:space="preserve">More recently, </w:t>
      </w:r>
      <w:r w:rsidR="00CB02CC" w:rsidRPr="001933B4">
        <w:rPr>
          <w:rFonts w:ascii="Times New Roman" w:hAnsi="Times New Roman" w:cs="Times New Roman"/>
          <w:sz w:val="24"/>
          <w:szCs w:val="24"/>
        </w:rPr>
        <w:t>Aβ</w:t>
      </w:r>
      <w:r w:rsidR="00CB02CC">
        <w:rPr>
          <w:rFonts w:ascii="Times New Roman" w:hAnsi="Times New Roman" w:cs="Times New Roman"/>
          <w:sz w:val="24"/>
          <w:szCs w:val="24"/>
          <w:vertAlign w:val="subscript"/>
        </w:rPr>
        <w:t>43</w:t>
      </w:r>
      <w:r w:rsidR="00CB02CC">
        <w:rPr>
          <w:rFonts w:ascii="Times New Roman" w:hAnsi="Times New Roman" w:cs="Times New Roman"/>
          <w:sz w:val="24"/>
          <w:szCs w:val="24"/>
        </w:rPr>
        <w:t xml:space="preserve"> has been implicated in amyloid-</w:t>
      </w:r>
      <w:r w:rsidR="00CB02CC" w:rsidRPr="001933B4">
        <w:rPr>
          <w:rFonts w:ascii="Times New Roman" w:hAnsi="Times New Roman" w:cs="Times New Roman"/>
          <w:sz w:val="24"/>
          <w:szCs w:val="24"/>
        </w:rPr>
        <w:t>β</w:t>
      </w:r>
      <w:r w:rsidR="00CB02CC">
        <w:rPr>
          <w:rFonts w:ascii="Times New Roman" w:hAnsi="Times New Roman" w:cs="Times New Roman"/>
          <w:sz w:val="24"/>
          <w:szCs w:val="24"/>
        </w:rPr>
        <w:t xml:space="preserve"> aggregation, although is less efficient at forming spontaneous</w:t>
      </w:r>
      <w:r w:rsidR="00CB02CC" w:rsidRPr="001933B4">
        <w:rPr>
          <w:rFonts w:ascii="Times New Roman" w:hAnsi="Times New Roman" w:cs="Times New Roman"/>
          <w:sz w:val="24"/>
          <w:szCs w:val="24"/>
        </w:rPr>
        <w:t xml:space="preserve"> </w:t>
      </w:r>
      <w:r w:rsidR="00CB02CC">
        <w:rPr>
          <w:rFonts w:ascii="Times New Roman" w:hAnsi="Times New Roman" w:cs="Times New Roman"/>
          <w:sz w:val="24"/>
          <w:szCs w:val="24"/>
        </w:rPr>
        <w:t xml:space="preserve">aggregates </w:t>
      </w:r>
      <w:r w:rsidR="00CB02CC">
        <w:rPr>
          <w:rFonts w:ascii="Times New Roman" w:hAnsi="Times New Roman" w:cs="Times New Roman"/>
          <w:sz w:val="24"/>
          <w:szCs w:val="24"/>
        </w:rPr>
        <w:fldChar w:fldCharType="begin" w:fldLock="1"/>
      </w:r>
      <w:r w:rsidR="006B3C3B">
        <w:rPr>
          <w:rFonts w:ascii="Times New Roman" w:hAnsi="Times New Roman" w:cs="Times New Roman"/>
          <w:sz w:val="24"/>
          <w:szCs w:val="24"/>
        </w:rPr>
        <w:instrText>ADDIN CSL_CITATION { "citationItems" : [ { "id" : "ITEM-1", "itemData" : { "DOI" : "10.1016/j.jmb.2015.06.008", "ISSN" : "00222836", "PMID" : "26122432", "abstract" : "A\u03b243, a product of the proteolysis of the amyloid precursor protein APP, is related to A\u03b242 by an additional Thr residue at the C-terminus. A\u03b243 is typically generated at low levels compared with the predominant A\u03b242 and A\u03b240 forms, but it has been suggested that this longer peptide might have an impact on amyloid-\u03b2 aggregation and Alzheimer's disease that is out of proportion to its brain content. Here, we report that both A\u03b242 and A\u03b243 spontaneously aggregate into mature amyloid fibrils via sequential appearance of the same series of oligomeric and protofibrillar intermediates, the earliest of which appears to lack \u03b2-structure. In spite of the additional \u03b2-branched amino acid at the C-terminus, A\u03b243 fibrils have fewer strong backbone H-bonds than A\u03b242 fibrils, some of which are lost at the C-terminus. In contrast to previous reports, we found that A\u03b243 spontaneously aggregates more slowly than A\u03b242. In addition, A\u03b243 fibrils are very inefficient at seeding A\u03b242 amyloid formation, even though A\u03b242 fibrils efficiently seed amyloid formation by A\u03b243 monomers. Finally, mixtures of A\u03b242 and A\u03b243 aggregate more slowly than A\u03b242 alone. Both in this A\u03b242/A\u03b243 co-aggregation reaction and in cross-seeding by A\u03b242 fibrils, the structure of the A\u03b243 in the product fibrils is influenced by the presence of A\u03b242. The results provide new details of amyloid structure and assembly pathways, an example of structural plasticity in prion-like replication, and data showing that low levels of A\u03b243 in the brain are unlikely to favorably impact the aggregation of A\u03b242.", "author" : [ { "dropping-particle" : "", "family" : "Chemuru", "given" : "Saketh", "non-dropping-particle" : "", "parse-names" : false, "suffix" : "" }, { "dropping-particle" : "", "family" : "Kodali", "given" : "Ravindra", "non-dropping-particle" : "", "parse-names" : false, "suffix" : "" }, { "dropping-particle" : "", "family" : "Wetzel", "given" : "Ronald", "non-dropping-particle" : "", "parse-names" : false, "suffix" : "" } ], "container-title" : "Journal of Molecular Biology", "id" : "ITEM-1", "issue" : "2", "issued" : { "date-parts" : [ [ "2016", "1", "29" ] ] }, "page" : "274-291", "title" : "C-Terminal Threonine Reduces A\u03b243 Amyloidogenicity Compared with A\u03b242", "type" : "article-journal", "volume" : "428" }, "uris" : [ "http://www.mendeley.com/documents/?uuid=7e1a4ef6-e119-30ef-a75b-7600bb39f220" ] } ], "mendeley" : { "formattedCitation" : "(Chemuru et al. 2016)", "plainTextFormattedCitation" : "(Chemuru et al. 2016)", "previouslyFormattedCitation" : "(Chemuru et al. 2016)" }, "properties" : { "noteIndex" : 0 }, "schema" : "https://github.com/citation-style-language/schema/raw/master/csl-citation.json" }</w:instrText>
      </w:r>
      <w:r w:rsidR="00CB02CC">
        <w:rPr>
          <w:rFonts w:ascii="Times New Roman" w:hAnsi="Times New Roman" w:cs="Times New Roman"/>
          <w:sz w:val="24"/>
          <w:szCs w:val="24"/>
        </w:rPr>
        <w:fldChar w:fldCharType="separate"/>
      </w:r>
      <w:r w:rsidR="00CB02CC" w:rsidRPr="00CB02CC">
        <w:rPr>
          <w:rFonts w:ascii="Times New Roman" w:hAnsi="Times New Roman" w:cs="Times New Roman"/>
          <w:noProof/>
          <w:sz w:val="24"/>
          <w:szCs w:val="24"/>
        </w:rPr>
        <w:t>(Chemuru et al. 2016)</w:t>
      </w:r>
      <w:r w:rsidR="00CB02CC">
        <w:rPr>
          <w:rFonts w:ascii="Times New Roman" w:hAnsi="Times New Roman" w:cs="Times New Roman"/>
          <w:sz w:val="24"/>
          <w:szCs w:val="24"/>
        </w:rPr>
        <w:fldChar w:fldCharType="end"/>
      </w:r>
      <w:r w:rsidR="00CB02CC">
        <w:rPr>
          <w:rFonts w:ascii="Times New Roman" w:hAnsi="Times New Roman" w:cs="Times New Roman"/>
          <w:sz w:val="24"/>
          <w:szCs w:val="24"/>
        </w:rPr>
        <w:t xml:space="preserve"> or seeding </w:t>
      </w:r>
      <w:r w:rsidR="00CB02CC" w:rsidRPr="001933B4">
        <w:rPr>
          <w:rFonts w:ascii="Times New Roman" w:hAnsi="Times New Roman" w:cs="Times New Roman"/>
          <w:sz w:val="24"/>
          <w:szCs w:val="24"/>
        </w:rPr>
        <w:t>Aβ</w:t>
      </w:r>
      <w:r w:rsidR="00CB02CC">
        <w:rPr>
          <w:rFonts w:ascii="Times New Roman" w:hAnsi="Times New Roman" w:cs="Times New Roman"/>
          <w:sz w:val="24"/>
          <w:szCs w:val="24"/>
          <w:vertAlign w:val="subscript"/>
        </w:rPr>
        <w:t>42</w:t>
      </w:r>
      <w:r w:rsidR="00CB02CC">
        <w:rPr>
          <w:rFonts w:ascii="Times New Roman" w:hAnsi="Times New Roman" w:cs="Times New Roman"/>
          <w:sz w:val="24"/>
          <w:szCs w:val="24"/>
        </w:rPr>
        <w:t xml:space="preserve"> formation and has been shown to be regulated by PSEN1 mutation status</w:t>
      </w:r>
      <w:r w:rsidR="006B3C3B">
        <w:rPr>
          <w:rFonts w:ascii="Times New Roman" w:hAnsi="Times New Roman" w:cs="Times New Roman"/>
          <w:sz w:val="24"/>
          <w:szCs w:val="24"/>
        </w:rPr>
        <w:t xml:space="preserve"> </w:t>
      </w:r>
      <w:r w:rsidR="006B3C3B">
        <w:rPr>
          <w:rFonts w:ascii="Times New Roman" w:hAnsi="Times New Roman" w:cs="Times New Roman"/>
          <w:sz w:val="24"/>
          <w:szCs w:val="24"/>
        </w:rPr>
        <w:fldChar w:fldCharType="begin" w:fldLock="1"/>
      </w:r>
      <w:r w:rsidR="006B3C3B">
        <w:rPr>
          <w:rFonts w:ascii="Times New Roman" w:hAnsi="Times New Roman" w:cs="Times New Roman"/>
          <w:sz w:val="24"/>
          <w:szCs w:val="24"/>
        </w:rPr>
        <w:instrText>ADDIN CSL_CITATION { "citationItems" : [ { "id" : "ITEM-1", "itemData" : { "DOI" : "10.1016/j.neuron.2016.03.009", "ISSN" : "08966273", "PMID" : "27100200", "abstract" : "We recently reported that homozygous Presenilin-1 (Psen1) knockin (KI) mice carrying the familial Alzheimer's disease (FAD) mutation L435F or C410Y recapitulate the phenotypes of Psen1(-/-) mice. Production and steady-state levels of A\u03b240 and A\u03b242 are undetectable in KI/KI brains and reduced in KI/+ brains, though the A\u03b242/A\u03b240 ratio is slightly increased in KI/+ brains. Moreover, the FAD mutation impairs synaptic function, learning and memory, and age-dependent neuronal survival in the adult brain. Here we extend our analysis of the effects of the L435F and C410Y mutations to the generation of A\u03b243. Similar to A\u03b240 and A\u03b242, production of A\u03b243 is undetectable in KI/KI brains and reduced in KI/+ brains. These results support our previous conclusions that the L435F and C410Y mutations cause loss of Presenilin function and \u03b3-secretase activity, including impaired A\u03b2 production in the brain. This Matters Arising Response paper addresses the Veugelen et\u00a0al. (2016) Matters Arising paper, published concurrently in Neuron.", "author" : [ { "dropping-particle" : "", "family" : "Xia", "given" : "Dan", "non-dropping-particle" : "", "parse-names" : false, "suffix" : "" }, { "dropping-particle" : "", "family" : "Kelleher", "given" : "Raymond\u00a0J.", "non-dropping-particle" : "", "parse-names" : false, "suffix" : "" }, { "dropping-particle" : "", "family" : "Shen", "given" : "Jie", "non-dropping-particle" : "", "parse-names" : false, "suffix" : "" } ], "container-title" : "Neuron", "id" : "ITEM-1", "issue" : "2", "issued" : { "date-parts" : [ [ "2016", "4", "20" ] ] }, "page" : "417-422", "title" : "Loss of A\u03b243 Production Caused by Presenilin-1 Mutations in the Knockin Mouse Brain", "type" : "article-journal", "volume" : "90" }, "uris" : [ "http://www.mendeley.com/documents/?uuid=09828349-3870-3706-b1be-532b3caf5911" ] }, { "id" : "ITEM-2", "itemData" : { "DOI" : "10.1016/j.neuron.2016.03.010", "ISSN" : "08966273", "PMID" : "27100199", "abstract" : "Recently it was proposed that the familial Alzheimer's disease (FAD) causing presenilin (PSEN) mutations PSEN1-L435F and PSEN1-C410Y do not support the generation of A\u03b2-peptides from the amyloid precursor protein (APP). This challenges the amyloid hypothesis and disagrees with previous work showing that PSEN1 FAD causing mutations generate invariably long A\u03b2 and seed amyloid. We contrast here the proteolytic activities of these mutant PSEN alleles with the complete loss-of-function PSEN1-D257A allele. We find residual carboxy- and endo-peptidase \u03b3-secretase activities, similar to the formerly characterized PSEN1-R278I. We conclude that the PSEN1-L435F and -C410Y mutations are extreme examples of the previously proposed \"dysfunction\" of \u03b3-secretase that characterizes FAD-associated PSEN. This Matters Arising paper is in response to Xia et\u00a0al. (2015), published in Neuron. See also the response by Xia et\u00a0al. (2016), published in this issue.", "author" : [ { "dropping-particle" : "", "family" : "Veugelen", "given" : "Sarah", "non-dropping-particle" : "", "parse-names" : false, "suffix" : "" }, { "dropping-particle" : "", "family" : "Saito", "given" : "Takashi", "non-dropping-particle" : "", "parse-names" : false, "suffix" : "" }, { "dropping-particle" : "", "family" : "Saido", "given" : "Takaomi\u00a0C.", "non-dropping-particle" : "", "parse-names" : false, "suffix" : "" }, { "dropping-particle" : "", "family" : "Ch\u00e1vez-Guti\u00e9rrez", "given" : "Luc\u00eda", "non-dropping-particle" : "", "parse-names" : false, "suffix" : "" }, { "dropping-particle" : "", "family" : "De\u00a0Strooper", "given" : "Bart", "non-dropping-particle" : "", "parse-names" : false, "suffix" : "" } ], "container-title" : "Neuron", "id" : "ITEM-2", "issue" : "2", "issued" : { "date-parts" : [ [ "2016", "4", "20" ] ] }, "page" : "410-416", "title" : "Familial Alzheimer\u2019s Disease Mutations in Presenilin Generate Amyloidogenic A\u03b2 Peptide Seeds", "type" : "article-journal", "volume" : "90" }, "uris" : [ "http://www.mendeley.com/documents/?uuid=ed512997-5d86-34d9-84f5-011d07ddfb81" ] } ], "mendeley" : { "formattedCitation" : "(Xia et al. 2016; Veugelen et al. 2016)", "plainTextFormattedCitation" : "(Xia et al. 2016; Veugelen et al. 2016)", "previouslyFormattedCitation" : "(Xia et al. 2016; Veugelen et al. 2016)" }, "properties" : { "noteIndex" : 0 }, "schema" : "https://github.com/citation-style-language/schema/raw/master/csl-citation.json" }</w:instrText>
      </w:r>
      <w:r w:rsidR="006B3C3B">
        <w:rPr>
          <w:rFonts w:ascii="Times New Roman" w:hAnsi="Times New Roman" w:cs="Times New Roman"/>
          <w:sz w:val="24"/>
          <w:szCs w:val="24"/>
        </w:rPr>
        <w:fldChar w:fldCharType="separate"/>
      </w:r>
      <w:r w:rsidR="006B3C3B" w:rsidRPr="006B3C3B">
        <w:rPr>
          <w:rFonts w:ascii="Times New Roman" w:hAnsi="Times New Roman" w:cs="Times New Roman"/>
          <w:noProof/>
          <w:sz w:val="24"/>
          <w:szCs w:val="24"/>
        </w:rPr>
        <w:t>(Xia et al. 2016; Veugelen et al. 2016)</w:t>
      </w:r>
      <w:r w:rsidR="006B3C3B">
        <w:rPr>
          <w:rFonts w:ascii="Times New Roman" w:hAnsi="Times New Roman" w:cs="Times New Roman"/>
          <w:sz w:val="24"/>
          <w:szCs w:val="24"/>
        </w:rPr>
        <w:fldChar w:fldCharType="end"/>
      </w:r>
      <w:r w:rsidR="006B3C3B">
        <w:rPr>
          <w:rFonts w:ascii="Times New Roman" w:hAnsi="Times New Roman" w:cs="Times New Roman"/>
          <w:sz w:val="24"/>
          <w:szCs w:val="24"/>
        </w:rPr>
        <w:t>.</w:t>
      </w:r>
    </w:p>
    <w:p w14:paraId="23BC7ACB" w14:textId="44BC27EB" w:rsidR="00E36700" w:rsidRPr="006B3C3B" w:rsidRDefault="004D41AB" w:rsidP="00E36700">
      <w:pPr>
        <w:pStyle w:val="Body"/>
        <w:spacing w:line="360" w:lineRule="auto"/>
        <w:jc w:val="both"/>
        <w:rPr>
          <w:rFonts w:ascii="Times New Roman" w:hAnsi="Times New Roman" w:cs="Times New Roman"/>
          <w:sz w:val="24"/>
          <w:szCs w:val="24"/>
        </w:rPr>
      </w:pPr>
      <w:r w:rsidRPr="001933B4">
        <w:rPr>
          <w:rFonts w:ascii="Times New Roman" w:hAnsi="Times New Roman" w:cs="Times New Roman"/>
          <w:sz w:val="24"/>
          <w:szCs w:val="24"/>
        </w:rPr>
        <w:t xml:space="preserve">In early onset AD (EOAD) which accounts for approximately 5-10% of cases, the increase in Aβ can be attributed to genetic mutations in either presenilin 1, presenilin 2 </w:t>
      </w:r>
      <w:r w:rsidR="00C66A1C">
        <w:rPr>
          <w:rFonts w:ascii="Times New Roman" w:hAnsi="Times New Roman" w:cs="Times New Roman"/>
          <w:sz w:val="24"/>
          <w:szCs w:val="24"/>
        </w:rPr>
        <w:t xml:space="preserve">(PS1/2) </w:t>
      </w:r>
      <w:r w:rsidRPr="00E326FB">
        <w:rPr>
          <w:rFonts w:ascii="Times New Roman" w:hAnsi="Times New Roman" w:cs="Times New Roman"/>
          <w:sz w:val="24"/>
          <w:szCs w:val="24"/>
        </w:rPr>
        <w:t>or APP, all of which will increase the levels of Aβ or the propensity of it to aggregate</w:t>
      </w:r>
      <w:r w:rsidR="004E129B" w:rsidRPr="00E326FB">
        <w:rPr>
          <w:rFonts w:ascii="Times New Roman" w:hAnsi="Times New Roman" w:cs="Times New Roman"/>
          <w:sz w:val="24"/>
          <w:szCs w:val="24"/>
        </w:rPr>
        <w:t xml:space="preserve"> </w:t>
      </w:r>
      <w:r w:rsidR="004E129B">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"10.1038/349704a0", "ISSN" : "0028-0836", "PMID" : "1671712", "abstract" : "A locus segregating with familial Alzheimer's disease (AD) has been mapped to chromosome 21, close to the amyloid precursor protein (APP) gene. Recombinants between the APP gene and the AD locus have been reported which seemed to exclude it as the site of the mutation causing familial AD. But recent genetic analysis of a large number of AD families has demonstrated that the disease is heterogeneous. Families with late-onset AD do not show linkage to chromosome 21 markers. Some families with early-onset AD show linkage to chromosome 21 markers, but some do not. This has led to the suggestion that there is non-allelic genetic heterogeneity even within early onset familial AD. To avoid the problems that heterogeneity poses for genetic analysis, we have examined the cosegregation of AD and markers along the long arm of chromosome 21 in a single family with AD confirmed by autopsy. Here we demonstrate that in this kindred, which shows linkage to chromosome 21 markers, there is a point mutation in the APP gene. This mutation causes an amino-acid substitution (Val----Ile) close to the carboxy terminus of the beta-amyloid peptide. Screening other cases of familial AD revealed a second unrelated family in which this variant occurs. This suggests that some cases of AD could be caused by mutations in the APP gene.", "author" : [ { "dropping-particle" : "", "family" : "Goate", "given" : "A", "non-dropping-particle" : "", "parse-names" : false, "suffix" : "" }, { "dropping-particle" : "", "family" : "Chartier-Harlin", "given" : "M C", "non-dropping-particle" : "", "parse-names" : false, "suffix" : "" }, { "dropping-particle" : "", "family" : "Mullan", "given" : "M", "non-dropping-particle" : "", "parse-names" : false, "suffix" : "" }, { "dropping-particle" : "", "family" : "Brown", "given" : "J", "non-dropping-particle" : "", "parse-names" : false, "suffix" : "" }, { "dropping-particle" : "", "family" : "Crawford", "given" : "F", "non-dropping-particle" : "", "parse-names" : false, "suffix" : "" }, { "dropping-particle" : "", "family" : "Fidani", "given" : "L", "non-dropping-particle" : "", "parse-names" : false, "suffix" : "" }, { "dropping-particle" : "", "family" : "Giuffra", "given" : "L", "non-dropping-particle" : "", "parse-names" : false, "suffix" : "" }, { "dropping-particle" : "", "family" : "Haynes", "given" : "A", "non-dropping-particle" : "", "parse-names" : false, "suffix" : "" }, { "dropping-particle" : "", "family" : "Irving", "given" : "N", "non-dropping-particle" : "", "parse-names" : false, "suffix" : "" }, { "dropping-particle" : "", "family" : "James", "given" : "L", "non-dropping-particle" : "", "parse-names" : false, "suffix" : "" } ], "container-title" : "Nature", "id" : "ITEM-1", "issue" : "6311", "issued" : { "date-parts" : [ [ "1991", "2", "21" ] ] }, "page" : "704-6", "title" : "Segregation of a missense mutation in the amyloid precursor protein gene with familial Alzheimer's disease.", "type" : "article-journal", "volume" : "349" }, "uris" : [ "http://www.mendeley.com/documents/?uuid=ea8a6777-ac1c-3e34-88a1-1ec668f1e57c" ] }, { "id" : "ITEM-2", "itemData" : { "DOI" : "10.1038/375754a0", "ISSN" : "0028-0836", "PMID" : "7596406", "abstract" : "Some cases of Alzheimer's disease are inherited as an autosomal dominant trait. Genetic linkage studies have mapped a locus (AD3) associated with susceptibility to a very aggressive form of Alzheimer's disease to chromosome 14q24.3. We have defined a minimal cosegregating region containing the AD3 gene, and isolated at least 19 different transcripts encoded within this region. One of these transcripts (S182) corresponds to a novel gene whose product is predicted to contain multiple transmembrane domains and resembles an integral membrane protein. Five different missense mutations have been found that cosegregate with early-onset familial Alzheimer's disease. Because these changes occurred in conserved domains of this gene, and are not present in normal controls, they are likely to be causative of AD3.", "author" : [ { "dropping-particle" : "", "family" : "Sherrington", "given" : "R", "non-dropping-particle" : "", "parse-names" : false, "suffix" : "" }, { "dropping-particle" : "", "family" : "Rogaev", "given" : "E I", "non-dropping-particle" : "", "parse-names" : false, "suffix" : "" }, { "dropping-particle" : "", "family" : "Liang", "given" : "Y", "non-dropping-particle" : "", "parse-names" : false, "suffix" : "" }, { "dropping-particle" : "", "family" : "Rogaeva", "given" : "E A", "non-dropping-particle" : "", "parse-names" : false, "suffix" : "" }, { "dropping-particle" : "", "family" : "Levesque", "given" : "G", "non-dropping-particle" : "", "parse-names" : false, "suffix" : "" }, { "dropping-particle" : "", "family" : "Ikeda", "given" : "M", "non-dropping-particle" : "", "parse-names" : false, "suffix" : "" }, { "dropping-particle" : "", "family" : "Chi", "given" : "H", "non-dropping-particle" : "", "parse-names" : false, "suffix" : "" }, { "dropping-particle" : "", "family" : "Lin", "given" : "C", "non-dropping-particle" : "", "parse-names" : false, "suffix" : "" }, { "dropping-particle" : "", "family" : "Li", "given" : "G", "non-dropping-particle" : "", "parse-names" : false, "suffix" : "" }, { "dropping-particle" : "", "family" : "Holman", "given" : "K", "non-dropping-particle" : "", "parse-names" : false, "suffix" : "" }, { "dropping-particle" : "", "family" : "Tsuda", "given" : "T", "non-dropping-particle" : "", "parse-names" : false, "suffix" : "" }, { "dropping-particle" : "", "family" : "Mar", "given" : "L", "non-dropping-particle" : "", "parse-names" : false, "suffix" : "" }, { "dropping-particle" : "", "family" : "Foncin", "given" : "J F", "non-dropping-particle" : "", "parse-names" : false, "suffix" : "" }, { "dropping-particle" : "", "family" : "Bruni", "given" : "A C", "non-dropping-particle" : "", "parse-names" : false, "suffix" : "" }, { "dropping-particle" : "", "family" : "Montesi", "given" : "M P", "non-dropping-particle" : "", "parse-names" : false, "suffix" : "" }, { "dropping-particle" : "", "family" : "Sorbi", "given" : "S", "non-dropping-particle" : "", "parse-names" : false, "suffix" : "" }, { "dropping-particle" : "", "family" : "Rainero", "given" : "I", "non-dropping-particle" : "", "parse-names" : false, "suffix" : "" }, { "dropping-particle" : "", "family" : "Pinessi", "given" : "L", "non-dropping-particle" : "", "parse-names" : false, "suffix" : "" }, { "dropping-particle" : "", "family" : "Nee", "given" : "L", "non-dropping-particle" : "", "parse-names" : false, "suffix" : "" }, { "dropping-particle" : "", "family" : "Chumakov", "given" : "I", "non-dropping-particle" : "", "parse-names" : false, "suffix" : "" }, { "dropping-particle" : "", "family" : "Pollen", "given" : "D", "non-dropping-particle" : "", "parse-names" : false, "suffix" : "" }, { "dropping-particle" : "", "family" : "Brookes", "given" : "A", "non-dropping-particle" : "", "parse-names" : false, "suffix" : "" }, { "dropping-particle" : "", "family" : "Sanseau", "given" : "P", "non-dropping-particle" : "", "parse-names" : false, "suffix" : "" }, { "dropping-particle" : "", "family" : "Polinsky", "given" : "R J", "non-dropping-particle" : "", "parse-names" : false, "suffix" : "" }, { "dropping-particle" : "", "family" : "Wasco", "given" : "W", "non-dropping-particle" : "", "parse-names" : false, "suffix" : "" }, { "dropping-particle" : "", "family" : "Silva", "given" : "H A", "non-dropping-particle" : "Da", "parse-names" : false, "suffix" : "" }, { "dropping-particle" : "", "family" : "Haines", "given" : "J L", "non-dropping-particle" : "", "parse-names" : false, "suffix" : "" }, { "dropping-particle" : "", "family" : "Perkicak-Vance", "given" : "M A", "non-dropping-particle" : "", "parse-names" : false, "suffix" : "" }, { "dropping-particle" : "", "family" : "Tanzi", "given" : "R E", "non-dropping-particle" : "", "parse-names" : false, "suffix" : "" }, { "dropping-particle" : "", "family" : "Roses", "given" : "A D", "non-dropping-particle" : "", "parse-names" : false, "suffix" : "" }, { "dropping-particle" : "", "family" : "Fraser", "given" : "P E", "non-dropping-particle" : "", "parse-names" : false, "suffix" : "" }, { "dropping-particle" : "", "family" : "Rommens", "given" : "J M", "non-dropping-particle" : "", "parse-names" : false, "suffix" : "" }, { "dropping-particle" : "", "family" : "St George-Hyslop", "given" : "P H", "non-dropping-particle" : "", "parse-names" : false, "suffix" : "" } ], "container-title" : "Nature", "id" : "ITEM-2", "issue" : "6534", "issued" : { "date-parts" : [ [ "1995", "6", "29" ] ] }, "page" : "754-60", "title" : "Cloning of a gene bearing missense mutations in early-onset familial Alzheimer's disease.", "type" : "article-journal", "volume" : "375" }, "uris" : [ "http://www.mendeley.com/documents/?uuid=6154fcc6-b86f-3bbf-8ef2-2bad62b9070c" ] } ], "mendeley" : { "formattedCitation" : "(Goate et al. 1991; Sherrington et al. 1995)", "plainTextFormattedCitation" : "(Goate et al. 1991; Sherrington et al. 1995)", "previouslyFormattedCitation" : "(Goate et al. 1991; Sherrington et al. 1995)" }, "properties" : { "noteIndex" : 0 }, "schema" : "https://github.com/citation-style-language/schema/raw/master/csl-citation.json" }</w:instrText>
      </w:r>
      <w:r w:rsidR="004E129B">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(Goate et al. 1991; Sherrington et al. 1995)</w:t>
      </w:r>
      <w:r w:rsidR="004E129B">
        <w:rPr>
          <w:rFonts w:ascii="Times New Roman" w:hAnsi="Times New Roman" w:cs="Times New Roman"/>
          <w:sz w:val="24"/>
          <w:szCs w:val="24"/>
        </w:rPr>
        <w:fldChar w:fldCharType="end"/>
      </w:r>
      <w:r w:rsidRPr="001933B4">
        <w:rPr>
          <w:rFonts w:ascii="Times New Roman" w:hAnsi="Times New Roman" w:cs="Times New Roman"/>
          <w:sz w:val="24"/>
          <w:szCs w:val="24"/>
        </w:rPr>
        <w:t xml:space="preserve">. </w:t>
      </w:r>
      <w:r w:rsidR="00E326FB">
        <w:rPr>
          <w:rFonts w:ascii="Times New Roman" w:hAnsi="Times New Roman" w:cs="Times New Roman"/>
          <w:sz w:val="24"/>
          <w:szCs w:val="24"/>
        </w:rPr>
        <w:t xml:space="preserve">In addition, APP is encoded on chromosome 21, which means that individuals with Down syndrome, who have three copies of chromosome 21, invariably develop deposits of </w:t>
      </w:r>
      <w:r w:rsidR="008C3912" w:rsidRPr="001933B4">
        <w:rPr>
          <w:rFonts w:ascii="Times New Roman" w:hAnsi="Times New Roman" w:cs="Times New Roman"/>
          <w:sz w:val="24"/>
          <w:szCs w:val="24"/>
        </w:rPr>
        <w:t>Aβ</w:t>
      </w:r>
      <w:r w:rsidR="008C3912">
        <w:rPr>
          <w:rFonts w:ascii="Times New Roman" w:hAnsi="Times New Roman" w:cs="Times New Roman"/>
          <w:sz w:val="24"/>
          <w:szCs w:val="24"/>
        </w:rPr>
        <w:t xml:space="preserve"> </w:t>
      </w:r>
      <w:r w:rsidR="00E326FB">
        <w:rPr>
          <w:rFonts w:ascii="Times New Roman" w:hAnsi="Times New Roman" w:cs="Times New Roman"/>
          <w:sz w:val="24"/>
          <w:szCs w:val="24"/>
        </w:rPr>
        <w:t xml:space="preserve">in their brain. Therefore, an increase in </w:t>
      </w:r>
      <w:r w:rsidR="008C3912" w:rsidRPr="001933B4">
        <w:rPr>
          <w:rFonts w:ascii="Times New Roman" w:hAnsi="Times New Roman" w:cs="Times New Roman"/>
          <w:sz w:val="24"/>
          <w:szCs w:val="24"/>
        </w:rPr>
        <w:t>Aβ</w:t>
      </w:r>
      <w:r w:rsidR="008C3912">
        <w:rPr>
          <w:rFonts w:ascii="Times New Roman" w:hAnsi="Times New Roman" w:cs="Times New Roman"/>
          <w:sz w:val="24"/>
          <w:szCs w:val="24"/>
        </w:rPr>
        <w:t xml:space="preserve"> </w:t>
      </w:r>
      <w:r w:rsidR="005843B2">
        <w:rPr>
          <w:rFonts w:ascii="Times New Roman" w:hAnsi="Times New Roman" w:cs="Times New Roman"/>
          <w:sz w:val="24"/>
          <w:szCs w:val="24"/>
        </w:rPr>
        <w:t>deposition</w:t>
      </w:r>
      <w:r w:rsidR="00E326FB">
        <w:rPr>
          <w:rFonts w:ascii="Times New Roman" w:hAnsi="Times New Roman" w:cs="Times New Roman"/>
          <w:sz w:val="24"/>
          <w:szCs w:val="24"/>
        </w:rPr>
        <w:t xml:space="preserve"> can result fro</w:t>
      </w:r>
      <w:r w:rsidR="006B3B71">
        <w:rPr>
          <w:rFonts w:ascii="Times New Roman" w:hAnsi="Times New Roman" w:cs="Times New Roman"/>
          <w:sz w:val="24"/>
          <w:szCs w:val="24"/>
        </w:rPr>
        <w:t>m</w:t>
      </w:r>
      <w:r w:rsidR="00E326FB">
        <w:rPr>
          <w:rFonts w:ascii="Times New Roman" w:hAnsi="Times New Roman" w:cs="Times New Roman"/>
          <w:sz w:val="24"/>
          <w:szCs w:val="24"/>
        </w:rPr>
        <w:t xml:space="preserve"> an increase in gene dosage but in general</w:t>
      </w:r>
      <w:r w:rsidR="00662AF1">
        <w:rPr>
          <w:rFonts w:ascii="Times New Roman" w:hAnsi="Times New Roman" w:cs="Times New Roman"/>
          <w:sz w:val="24"/>
          <w:szCs w:val="24"/>
        </w:rPr>
        <w:t>,</w:t>
      </w:r>
      <w:r w:rsidR="00E326FB">
        <w:rPr>
          <w:rFonts w:ascii="Times New Roman" w:hAnsi="Times New Roman" w:cs="Times New Roman"/>
          <w:sz w:val="24"/>
          <w:szCs w:val="24"/>
        </w:rPr>
        <w:t xml:space="preserve"> duplication of the APP gene</w:t>
      </w:r>
      <w:r w:rsidR="006B3B71">
        <w:rPr>
          <w:rFonts w:ascii="Times New Roman" w:hAnsi="Times New Roman" w:cs="Times New Roman"/>
          <w:sz w:val="24"/>
          <w:szCs w:val="24"/>
        </w:rPr>
        <w:t xml:space="preserve"> is rare</w:t>
      </w:r>
      <w:r w:rsidR="00E326FB">
        <w:rPr>
          <w:rFonts w:ascii="Times New Roman" w:hAnsi="Times New Roman" w:cs="Times New Roman"/>
          <w:sz w:val="24"/>
          <w:szCs w:val="24"/>
        </w:rPr>
        <w:t xml:space="preserve"> in individuals with AD</w:t>
      </w:r>
      <w:r w:rsidR="005E62F7">
        <w:rPr>
          <w:rFonts w:ascii="Times New Roman" w:hAnsi="Times New Roman" w:cs="Times New Roman"/>
          <w:sz w:val="24"/>
          <w:szCs w:val="24"/>
        </w:rPr>
        <w:t xml:space="preserve"> </w:t>
      </w:r>
      <w:r w:rsidR="005E62F7">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"abstract" : "JSTOR is a not-for-profit service that helps scholars, researchers, and students discover, use, and build upon a wide range of content in a trusted digital archive. We use information technology and tools to increase productivity and facilitate new forms of scholarship. For more information about JSTOR, please contact support@jstor.org.", "author" : [ { "dropping-particle" : "", "family" : "Podlisny", "given" : "Marcia Berman", "non-dropping-particle" : "", "parse-names" : false, "suffix" : "" }, { "dropping-particle" : "", "family" : "Lee", "given" : "Gloria", "non-dropping-particle" : "", "parse-names" : false, "suffix" : "" }, { "dropping-particle" : "", "family" : "Selkoe", "given" : "Dennis J", "non-dropping-particle" : "", "parse-names" : false, "suffix" : "" } ], "container-title" : "Source: Science, New Series Nature Proc. Nati. Acad. Sci. U.S.A. Science Mol. Brain Res. Science Gene", "id" : "ITEM-1", "issue" : "49", "issued" : { "date-parts" : [ [ "1987" ] ] }, "page" : "669-671", "title" : "Gene Dosage of the Amyloid \u03b2 Precursor Protein in Alzheimer's Disease", "type" : "article-journal", "volume" : "238" }, "uris" : [ "http://www.mendeley.com/documents/?uuid=8a8c8832-98d5-37cc-bec6-6a4e9e71ec2f" ] }, { "id" : "ITEM-2", "itemData" : { "DOI" : "10.1093/brain/awl203", "abstract" : "We assessed the impact of amyloid precursor protein (APP) gene locus duplications in early onset Alzheimer's disease in a Dutch population-based sample. Using real-time PCR and an in-house-developed multiplex ampli-con quantification assay, we identified a genomic APP duplication in 1 out of 10 multigenerational families segregating early onset Alzheimer's disease. In this family, cerebral amyloid angiopathy (CAA) coincided with this disease. The duplicated genomic region included no other genes than APP and extended maximally over 0.7 Mb. In a sample of 65 familial early onset patients, we observed the same APP genomic duplication in one patient (1.7%), while in 36 isolated patients duplications in the APP locus were absent. This indicated that APP locus duplications explained &lt;2% of familial, non-autosomal dominant Alzheimer's disease and are an infrequent cause of de novo mutation. Our findings corroborated a recent French study, and indicated that investigating genomic duplications in the APP locus in families segregating Alzheimer's disease and CAA should be considered.", "author" : [ { "dropping-particle" : "", "family" : "Sleegers", "given" : "Kristel", "non-dropping-particle" : "", "parse-names" : false, "suffix" : "" }, { "dropping-particle" : "", "family" : "Brouwers", "given" : "Nathalie", "non-dropping-particle" : "", "parse-names" : false, "suffix" : "" }, { "dropping-particle" : "", "family" : "Gijselinck", "given" : "Ilse", "non-dropping-particle" : "", "parse-names" : false, "suffix" : "" }, { "dropping-particle" : "", "family" : "Theuns", "given" : "Jessie", "non-dropping-particle" : "", "parse-names" : false, "suffix" : "" }, { "dropping-particle" : "", "family" : "Goossens", "given" : "Dirk", "non-dropping-particle" : "", "parse-names" : false, "suffix" : "" }, { "dropping-particle" : "", "family" : "Wauters", "given" : "Jan", "non-dropping-particle" : "", "parse-names" : false, "suffix" : "" }, { "dropping-particle" : "", "family" : "Del-Favero", "given" : "Jurgen", "non-dropping-particle" : "", "parse-names" : false, "suffix" : "" }, { "dropping-particle" : "", "family" : "Cruts", "given" : "Marc", "non-dropping-particle" : "", "parse-names" : false, "suffix" : "" }, { "dropping-particle" : "", "family" : "Duijn", "given" : "Cornelia M", "non-dropping-particle" : "Van", "parse-names" : false, "suffix" : "" }, { "dropping-particle" : "Van", "family" : "Broeckhoven", "given" : "Christine", "non-dropping-particle" : "", "parse-names" : false, "suffix" : "" } ], "container-title" : "Brain", "id" : "ITEM-2", "issued" : { "date-parts" : [ [ "2006" ] ] }, "page" : "2977-2983", "title" : "APP duplication is sufficient to cause early onset Alzheimer's dementia with cerebral amyloid angiopathy", "type" : "article-journal", "volume" : "129" }, "uris" : [ "http://www.mendeley.com/documents/?uuid=11057458-6ff7-336c-b596-5335e23382b5" ] } ], "mendeley" : { "formattedCitation" : "(Podlisny et al. 1987; Sleegers et al. 2006)", "plainTextFormattedCitation" : "(Podlisny et al. 1987; Sleegers et al. 2006)", "previouslyFormattedCitation" : "(Podlisny et al. 1987; Sleegers et al. 2006)" }, "properties" : { "noteIndex" : 0 }, "schema" : "https://github.com/citation-style-language/schema/raw/master/csl-citation.json" }</w:instrText>
      </w:r>
      <w:r w:rsidR="005E62F7">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(Podlisny et al. 1987; Sleegers et al. 2006)</w:t>
      </w:r>
      <w:r w:rsidR="005E62F7">
        <w:rPr>
          <w:rFonts w:ascii="Times New Roman" w:hAnsi="Times New Roman" w:cs="Times New Roman"/>
          <w:sz w:val="24"/>
          <w:szCs w:val="24"/>
        </w:rPr>
        <w:fldChar w:fldCharType="end"/>
      </w:r>
      <w:r w:rsidR="005E62F7">
        <w:rPr>
          <w:rFonts w:ascii="Times New Roman" w:hAnsi="Times New Roman" w:cs="Times New Roman"/>
          <w:sz w:val="24"/>
          <w:szCs w:val="24"/>
        </w:rPr>
        <w:t xml:space="preserve">. It is less clear why there is an increase in </w:t>
      </w:r>
      <w:r w:rsidR="005E62F7" w:rsidRPr="001933B4">
        <w:rPr>
          <w:rFonts w:ascii="Times New Roman" w:hAnsi="Times New Roman" w:cs="Times New Roman"/>
          <w:sz w:val="24"/>
          <w:szCs w:val="24"/>
        </w:rPr>
        <w:t>Aβ</w:t>
      </w:r>
      <w:r w:rsidR="005E62F7">
        <w:rPr>
          <w:rFonts w:ascii="Times New Roman" w:hAnsi="Times New Roman" w:cs="Times New Roman"/>
          <w:sz w:val="24"/>
          <w:szCs w:val="24"/>
        </w:rPr>
        <w:t xml:space="preserve"> </w:t>
      </w:r>
      <w:r w:rsidRPr="001933B4">
        <w:rPr>
          <w:rFonts w:ascii="Times New Roman" w:hAnsi="Times New Roman" w:cs="Times New Roman"/>
          <w:sz w:val="24"/>
          <w:szCs w:val="24"/>
        </w:rPr>
        <w:t>in late onset AD</w:t>
      </w:r>
      <w:r w:rsidR="00087E15">
        <w:rPr>
          <w:rFonts w:ascii="Times New Roman" w:hAnsi="Times New Roman" w:cs="Times New Roman"/>
          <w:sz w:val="24"/>
          <w:szCs w:val="24"/>
        </w:rPr>
        <w:t xml:space="preserve"> (LOAD)</w:t>
      </w:r>
      <w:r w:rsidRPr="001933B4">
        <w:rPr>
          <w:rFonts w:ascii="Times New Roman" w:hAnsi="Times New Roman" w:cs="Times New Roman"/>
          <w:sz w:val="24"/>
          <w:szCs w:val="24"/>
        </w:rPr>
        <w:t xml:space="preserve">, although possession of the </w:t>
      </w:r>
      <w:r w:rsidR="009407F0" w:rsidRPr="001933B4">
        <w:rPr>
          <w:rFonts w:ascii="Times New Roman" w:hAnsi="Times New Roman" w:cs="Times New Roman"/>
          <w:sz w:val="24"/>
          <w:szCs w:val="24"/>
        </w:rPr>
        <w:t>ε4 of apolipoprotein</w:t>
      </w:r>
      <w:r w:rsidR="005E62F7">
        <w:rPr>
          <w:rFonts w:ascii="Times New Roman" w:hAnsi="Times New Roman" w:cs="Times New Roman"/>
          <w:sz w:val="24"/>
          <w:szCs w:val="24"/>
        </w:rPr>
        <w:t xml:space="preserve"> </w:t>
      </w:r>
      <w:r w:rsidR="005E62F7">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"ISSN" : "0028-3878", "PMID" : "8350998", "abstract" : "Apolipoprotein E, type epsilon 4 allele (APOE epsilon 4), is associated with late-onset familial Alzheimer's disease (AD). There is high avidity and specific binding of amyloid beta-peptide with the protein ApoE. To test the hypothesis that late-onset familial AD may represent the clustering of sporadic AD in families large enough to be studied, we extended the analyses of APOE alleles to several series of sporadic AD patients. APOE epsilon 4 is significantly associated with a series of probable sporadic AD patients (0.36 +/- 0.042, AD, versus 0.16 +/- 0.027, controls [allele frequency estimate +/- standard error], p = 0.00031). Spouse controls did not differ from CEPH grandparent controls from the Centre d'Etude du Polymorphisme Humain (CEPH) or from literature controls. A large combined series of autopsy-documented sporadic AD patients also demonstrated highly significant association with the APOE epsilon 4 allele (0.40 +/- 0.026, p &lt; or = 0.00001). These data support the involvement of ApoE epsilon 4 in the pathogenesis of late-onset familial and sporadic AD. ApoE isoforms may play an important role in the metabolism of beta-peptide, and APOE epsilon 4 may operate as a susceptibility gene (risk factor) for the clinical expression of AD.", "author" : [ { "dropping-particle" : "", "family" : "Saunders", "given" : "A M", "non-dropping-particle" : "", "parse-names" : false, "suffix" : "" }, { "dropping-particle" : "", "family" : "Strittmatter", "given" : "W J", "non-dropping-particle" : "", "parse-names" : false, "suffix" : "" }, { "dropping-particle" : "", "family" : "Schmechel", "given" : "D", "non-dropping-particle" : "", "parse-names" : false, "suffix" : "" }, { "dropping-particle" : "", "family" : "George-Hyslop", "given" : "P H", "non-dropping-particle" : "", "parse-names" : false, "suffix" : "" }, { "dropping-particle" : "", "family" : "Pericak-Vance", "given" : "M A", "non-dropping-particle" : "", "parse-names" : false, "suffix" : "" }, { "dropping-particle" : "", "family" : "Joo", "given" : "S H", "non-dropping-particle" : "", "parse-names" : false, "suffix" : "" }, { "dropping-particle" : "", "family" : "Rosi", "given" : "B L", "non-dropping-particle" : "", "parse-names" : false, "suffix" : "" }, { "dropping-particle" : "", "family" : "Gusella", "given" : "J F", "non-dropping-particle" : "", "parse-names" : false, "suffix" : "" }, { "dropping-particle" : "", "family" : "Crapper-MacLachlan", "given" : "D R", "non-dropping-particle" : "", "parse-names" : false, "suffix" : "" }, { "dropping-particle" : "", "family" : "Alberts", "given" : "M J", "non-dropping-particle" : "", "parse-names" : false, "suffix" : "" } ], "container-title" : "Neurology", "id" : "ITEM-1", "issue" : "8", "issued" : { "date-parts" : [ [ "1993", "8" ] ] }, "page" : "1467-72", "title" : "Association of apolipoprotein E allele epsilon 4 with late-onset familial and sporadic Alzheimer's disease.", "type" : "article-journal", "volume" : "43" }, "uris" : [ "http://www.mendeley.com/documents/?uuid=1e94cb72-5ac0-3117-af8d-190f63ce4eaa" ] } ], "mendeley" : { "formattedCitation" : "(Saunders et al. 1993)", "plainTextFormattedCitation" : "(Saunders et al. 1993)", "previouslyFormattedCitation" : "(Saunders et al. 1993)" }, "properties" : { "noteIndex" : 0 }, "schema" : "https://github.com/citation-style-language/schema/raw/master/csl-citation.json" }</w:instrText>
      </w:r>
      <w:r w:rsidR="005E62F7">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(Saunders et al. 1993)</w:t>
      </w:r>
      <w:r w:rsidR="005E62F7">
        <w:rPr>
          <w:rFonts w:ascii="Times New Roman" w:hAnsi="Times New Roman" w:cs="Times New Roman"/>
          <w:sz w:val="24"/>
          <w:szCs w:val="24"/>
        </w:rPr>
        <w:fldChar w:fldCharType="end"/>
      </w:r>
      <w:r w:rsidR="00274FF1">
        <w:rPr>
          <w:rFonts w:ascii="Times New Roman" w:hAnsi="Times New Roman" w:cs="Times New Roman"/>
          <w:sz w:val="24"/>
          <w:szCs w:val="24"/>
        </w:rPr>
        <w:t>, which is present in 50-60% of individuals with AD,</w:t>
      </w:r>
      <w:r w:rsidR="005E62F7">
        <w:rPr>
          <w:rFonts w:ascii="Times New Roman" w:hAnsi="Times New Roman" w:cs="Times New Roman"/>
          <w:sz w:val="24"/>
          <w:szCs w:val="24"/>
        </w:rPr>
        <w:t xml:space="preserve"> and increased oxidative stress are</w:t>
      </w:r>
      <w:r w:rsidR="009407F0" w:rsidRPr="001933B4">
        <w:rPr>
          <w:rFonts w:ascii="Times New Roman" w:hAnsi="Times New Roman" w:cs="Times New Roman"/>
          <w:sz w:val="24"/>
          <w:szCs w:val="24"/>
        </w:rPr>
        <w:t xml:space="preserve"> known risk factor</w:t>
      </w:r>
      <w:r w:rsidR="005E62F7">
        <w:rPr>
          <w:rFonts w:ascii="Times New Roman" w:hAnsi="Times New Roman" w:cs="Times New Roman"/>
          <w:sz w:val="24"/>
          <w:szCs w:val="24"/>
        </w:rPr>
        <w:t>s</w:t>
      </w:r>
      <w:r w:rsidR="009407F0" w:rsidRPr="001933B4">
        <w:rPr>
          <w:rFonts w:ascii="Times New Roman" w:hAnsi="Times New Roman" w:cs="Times New Roman"/>
          <w:sz w:val="24"/>
          <w:szCs w:val="24"/>
        </w:rPr>
        <w:t xml:space="preserve"> for developing the disease</w:t>
      </w:r>
      <w:r w:rsidR="005E62F7">
        <w:rPr>
          <w:rFonts w:ascii="Times New Roman" w:hAnsi="Times New Roman" w:cs="Times New Roman"/>
          <w:sz w:val="24"/>
          <w:szCs w:val="24"/>
        </w:rPr>
        <w:t>.</w:t>
      </w:r>
      <w:r w:rsidR="004E129B">
        <w:rPr>
          <w:rFonts w:ascii="Times New Roman" w:hAnsi="Times New Roman" w:cs="Times New Roman"/>
          <w:sz w:val="24"/>
          <w:szCs w:val="24"/>
        </w:rPr>
        <w:t xml:space="preserve"> </w:t>
      </w:r>
      <w:r w:rsidR="00F642B6">
        <w:rPr>
          <w:rFonts w:ascii="Times New Roman" w:hAnsi="Times New Roman" w:cs="Times New Roman"/>
          <w:sz w:val="24"/>
          <w:szCs w:val="24"/>
        </w:rPr>
        <w:t>The accumulation and deposition of A</w:t>
      </w:r>
      <w:r w:rsidR="00F642B6" w:rsidRPr="001933B4">
        <w:rPr>
          <w:rFonts w:ascii="Times New Roman" w:hAnsi="Times New Roman" w:cs="Times New Roman"/>
          <w:sz w:val="24"/>
          <w:szCs w:val="24"/>
        </w:rPr>
        <w:t>β</w:t>
      </w:r>
      <w:r w:rsidR="00F642B6">
        <w:rPr>
          <w:rFonts w:ascii="Times New Roman" w:hAnsi="Times New Roman" w:cs="Times New Roman"/>
          <w:sz w:val="24"/>
          <w:szCs w:val="24"/>
        </w:rPr>
        <w:t xml:space="preserve"> in the brain over many years is suggested to drive AD progression (the amyloid cascade hypothesis)</w:t>
      </w:r>
      <w:r w:rsidR="00AC142D">
        <w:rPr>
          <w:rFonts w:ascii="Times New Roman" w:hAnsi="Times New Roman" w:cs="Times New Roman"/>
          <w:sz w:val="24"/>
          <w:szCs w:val="24"/>
        </w:rPr>
        <w:t xml:space="preserve"> </w:t>
      </w:r>
      <w:r w:rsidR="00AC142D">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"10.1126/science.1566067", "ISSN" : "0036-8075", "PMID" : "1566067", "author" : [ { "dropping-particle" : "", "family" : "Hardy", "given" : "J A", "non-dropping-particle" : "", "parse-names" : false, "suffix" : "" }, { "dropping-particle" : "", "family" : "Higgins", "given" : "G A", "non-dropping-particle" : "", "parse-names" : false, "suffix" : "" } ], "container-title" : "Science (New York, N.Y.)", "id" : "ITEM-1", "issue" : "5054", "issued" : { "date-parts" : [ [ "1992", "4", "10" ] ] }, "page" : "184-5", "publisher" : "American Association for the Advancement of Science", "title" : "Alzheimer's disease: the amyloid cascade hypothesis.", "type" : "article-journal", "volume" : "256" }, "uris" : [ "http://www.mendeley.com/documents/?uuid=756b9528-1bb7-3936-b7ca-d9822a6fbe46" ] } ], "mendeley" : { "formattedCitation" : "(Hardy &amp; Higgins 1992)", "plainTextFormattedCitation" : "(Hardy &amp; Higgins 1992)", "previouslyFormattedCitation" : "(Hardy &amp; Higgins 1992)" }, "properties" : { "noteIndex" : 0 }, "schema" : "https://github.com/citation-style-language/schema/raw/master/csl-citation.json" }</w:instrText>
      </w:r>
      <w:r w:rsidR="00AC142D">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(Hardy &amp; Higgins 1992)</w:t>
      </w:r>
      <w:r w:rsidR="00AC142D">
        <w:rPr>
          <w:rFonts w:ascii="Times New Roman" w:hAnsi="Times New Roman" w:cs="Times New Roman"/>
          <w:sz w:val="24"/>
          <w:szCs w:val="24"/>
        </w:rPr>
        <w:fldChar w:fldCharType="end"/>
      </w:r>
      <w:r w:rsidR="00CC1C39">
        <w:rPr>
          <w:rFonts w:ascii="Times New Roman" w:hAnsi="Times New Roman" w:cs="Times New Roman"/>
          <w:sz w:val="24"/>
          <w:szCs w:val="24"/>
        </w:rPr>
        <w:t xml:space="preserve">, although it is </w:t>
      </w:r>
      <w:r w:rsidR="00187F53">
        <w:rPr>
          <w:rFonts w:ascii="Times New Roman" w:hAnsi="Times New Roman" w:cs="Times New Roman"/>
          <w:sz w:val="24"/>
          <w:szCs w:val="24"/>
        </w:rPr>
        <w:t>estimated</w:t>
      </w:r>
      <w:r w:rsidR="009F57CE">
        <w:rPr>
          <w:rFonts w:ascii="Times New Roman" w:hAnsi="Times New Roman" w:cs="Times New Roman"/>
          <w:sz w:val="24"/>
          <w:szCs w:val="24"/>
        </w:rPr>
        <w:t xml:space="preserve"> that </w:t>
      </w:r>
      <w:r w:rsidR="009F57CE" w:rsidRPr="001933B4">
        <w:rPr>
          <w:rFonts w:ascii="Times New Roman" w:hAnsi="Times New Roman" w:cs="Times New Roman"/>
          <w:sz w:val="24"/>
          <w:szCs w:val="24"/>
        </w:rPr>
        <w:t>Aβ</w:t>
      </w:r>
      <w:r w:rsidR="009F57CE">
        <w:rPr>
          <w:rFonts w:ascii="Times New Roman" w:hAnsi="Times New Roman" w:cs="Times New Roman"/>
          <w:sz w:val="24"/>
          <w:szCs w:val="24"/>
        </w:rPr>
        <w:t xml:space="preserve"> starts to accumulate 15</w:t>
      </w:r>
      <w:r w:rsidR="00187F53">
        <w:rPr>
          <w:rFonts w:ascii="Times New Roman" w:hAnsi="Times New Roman" w:cs="Times New Roman"/>
          <w:sz w:val="24"/>
          <w:szCs w:val="24"/>
        </w:rPr>
        <w:t>-20</w:t>
      </w:r>
      <w:r w:rsidR="009F57CE">
        <w:rPr>
          <w:rFonts w:ascii="Times New Roman" w:hAnsi="Times New Roman" w:cs="Times New Roman"/>
          <w:sz w:val="24"/>
          <w:szCs w:val="24"/>
        </w:rPr>
        <w:t xml:space="preserve"> years before symptoms occur</w:t>
      </w:r>
      <w:r w:rsidR="00AC142D">
        <w:rPr>
          <w:rFonts w:ascii="Times New Roman" w:hAnsi="Times New Roman" w:cs="Times New Roman"/>
          <w:sz w:val="24"/>
          <w:szCs w:val="24"/>
        </w:rPr>
        <w:t>.</w:t>
      </w:r>
      <w:r w:rsidR="00E36700">
        <w:rPr>
          <w:rFonts w:cs="Times New Roman"/>
          <w:color w:val="FF0000"/>
        </w:rPr>
        <w:t xml:space="preserve">    </w:t>
      </w:r>
    </w:p>
    <w:p w14:paraId="2E950CC1" w14:textId="18F98816" w:rsidR="00F00905" w:rsidRDefault="00F00905" w:rsidP="00E36700">
      <w:pPr>
        <w:pStyle w:val="Caption"/>
      </w:pPr>
      <w:bookmarkStart w:id="80" w:name="_Toc333586758"/>
      <w:bookmarkStart w:id="81" w:name="_Toc333566206"/>
      <w:bookmarkStart w:id="82" w:name="_Toc333569040"/>
      <w:bookmarkStart w:id="83" w:name="_Toc333569265"/>
      <w:bookmarkStart w:id="84" w:name="_Toc333570819"/>
      <w:bookmarkStart w:id="85" w:name="_Toc333582202"/>
      <w:bookmarkStart w:id="86" w:name="_Toc333582322"/>
      <w:bookmarkStart w:id="87" w:name="_Toc333582734"/>
      <w:bookmarkStart w:id="88" w:name="_Toc333583104"/>
      <w:bookmarkStart w:id="89" w:name="_Toc333584072"/>
      <w:bookmarkStart w:id="90" w:name="_Toc333585206"/>
      <w:bookmarkStart w:id="91" w:name="_Toc333644457"/>
      <w:bookmarkStart w:id="92" w:name="_Toc333644751"/>
      <w:r>
        <w:t xml:space="preserve">       </w:t>
      </w:r>
      <w:r>
        <w:rPr>
          <w:noProof/>
        </w:rPr>
        <w:drawing>
          <wp:inline distT="0" distB="0" distL="0" distR="0" wp14:anchorId="37E66F30" wp14:editId="21ECEEE6">
            <wp:extent cx="4878170" cy="341475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10">
                      <a:extLst>
                        <a:ext uri="{28A0092B-C50C-407E-A947-70E740481C1C}">
                          <a14:useLocalDpi xmlns:a14="http://schemas.microsoft.com/office/drawing/2010/main" val="0"/>
                        </a:ext>
                      </a:extLst>
                    </a:blip>
                    <a:srcRect l="11615" t="5332" r="8420" b="20015"/>
                    <a:stretch/>
                  </pic:blipFill>
                  <pic:spPr bwMode="auto">
                    <a:xfrm>
                      <a:off x="0" y="0"/>
                      <a:ext cx="4879649" cy="3415787"/>
                    </a:xfrm>
                    <a:prstGeom prst="rect">
                      <a:avLst/>
                    </a:prstGeom>
                    <a:ln>
                      <a:noFill/>
                    </a:ln>
                    <a:extLst>
                      <a:ext uri="{53640926-AAD7-44d8-BBD7-CCE9431645EC}">
                        <a14:shadowObscured xmlns:a14="http://schemas.microsoft.com/office/drawing/2010/main"/>
                      </a:ext>
                    </a:extLst>
                  </pic:spPr>
                </pic:pic>
              </a:graphicData>
            </a:graphic>
          </wp:inline>
        </w:drawing>
      </w:r>
    </w:p>
    <w:p w14:paraId="2FF9FADC" w14:textId="27172075" w:rsidR="004F3594" w:rsidRPr="00E36700" w:rsidRDefault="00C16ABD" w:rsidP="00E36700">
      <w:pPr>
        <w:pStyle w:val="Caption"/>
        <w:rPr>
          <w:rFonts w:cs="Times New Roman"/>
        </w:rPr>
      </w:pPr>
      <w:r>
        <w:t>Figure 1.1. The amyloidogenic and non-amyloidogenic pathways.</w:t>
      </w:r>
      <w:bookmarkEnd w:id="80"/>
      <w:bookmarkEnd w:id="81"/>
      <w:bookmarkEnd w:id="82"/>
      <w:bookmarkEnd w:id="83"/>
      <w:bookmarkEnd w:id="84"/>
      <w:bookmarkEnd w:id="85"/>
      <w:bookmarkEnd w:id="86"/>
      <w:bookmarkEnd w:id="87"/>
      <w:bookmarkEnd w:id="88"/>
      <w:bookmarkEnd w:id="89"/>
      <w:bookmarkEnd w:id="90"/>
      <w:bookmarkEnd w:id="91"/>
      <w:bookmarkEnd w:id="92"/>
      <w:r>
        <w:t xml:space="preserve"> </w:t>
      </w:r>
    </w:p>
    <w:p w14:paraId="29C8132C" w14:textId="62C64EA7" w:rsidR="006B3B71" w:rsidRDefault="00FD555F" w:rsidP="004F3594">
      <w:pPr>
        <w:pStyle w:val="Body"/>
        <w:spacing w:line="360" w:lineRule="auto"/>
        <w:jc w:val="both"/>
        <w:rPr>
          <w:rFonts w:ascii="Times New Roman" w:hAnsi="Times New Roman" w:cs="Times New Roman"/>
          <w:color w:val="auto"/>
          <w:sz w:val="24"/>
          <w:szCs w:val="24"/>
        </w:rPr>
      </w:pPr>
      <w:r>
        <w:rPr>
          <w:rFonts w:ascii="Times New Roman" w:hAnsi="Times New Roman" w:cs="Times New Roman"/>
          <w:color w:val="auto"/>
          <w:sz w:val="24"/>
          <w:szCs w:val="24"/>
        </w:rPr>
        <w:t>Amyloid precursor protein (APP) can be processed via the amyloidogenic or non-amyloidogenic pathways</w:t>
      </w:r>
      <w:r w:rsidR="00E7335D">
        <w:rPr>
          <w:rFonts w:ascii="Times New Roman" w:hAnsi="Times New Roman" w:cs="Times New Roman"/>
          <w:color w:val="auto"/>
          <w:sz w:val="24"/>
          <w:szCs w:val="24"/>
        </w:rPr>
        <w:t xml:space="preserve">. </w:t>
      </w:r>
      <w:r w:rsidR="007E5BA8">
        <w:rPr>
          <w:rFonts w:ascii="Times New Roman" w:hAnsi="Times New Roman" w:cs="Times New Roman"/>
          <w:color w:val="auto"/>
          <w:sz w:val="24"/>
          <w:szCs w:val="24"/>
        </w:rPr>
        <w:t xml:space="preserve">The non-amyloidogenic pathway involves the </w:t>
      </w:r>
      <w:r w:rsidR="007369DA">
        <w:rPr>
          <w:rFonts w:ascii="Times New Roman" w:hAnsi="Times New Roman" w:cs="Times New Roman"/>
          <w:color w:val="auto"/>
          <w:sz w:val="24"/>
          <w:szCs w:val="24"/>
        </w:rPr>
        <w:t xml:space="preserve">cleavage of APP by </w:t>
      </w:r>
      <w:r w:rsidR="007369DA" w:rsidRPr="001933B4">
        <w:rPr>
          <w:rFonts w:ascii="Times New Roman" w:hAnsi="Times New Roman" w:cs="Times New Roman"/>
          <w:sz w:val="24"/>
          <w:szCs w:val="24"/>
        </w:rPr>
        <w:t>α-secretase</w:t>
      </w:r>
      <w:r w:rsidR="007369DA">
        <w:rPr>
          <w:rFonts w:ascii="Times New Roman" w:hAnsi="Times New Roman" w:cs="Times New Roman"/>
          <w:sz w:val="24"/>
          <w:szCs w:val="24"/>
        </w:rPr>
        <w:t>, which generate</w:t>
      </w:r>
      <w:r w:rsidR="008C3912">
        <w:rPr>
          <w:rFonts w:ascii="Times New Roman" w:hAnsi="Times New Roman" w:cs="Times New Roman"/>
          <w:sz w:val="24"/>
          <w:szCs w:val="24"/>
        </w:rPr>
        <w:t>s</w:t>
      </w:r>
      <w:r w:rsidR="007369DA">
        <w:rPr>
          <w:rFonts w:ascii="Times New Roman" w:hAnsi="Times New Roman" w:cs="Times New Roman"/>
          <w:sz w:val="24"/>
          <w:szCs w:val="24"/>
        </w:rPr>
        <w:t xml:space="preserve"> a large soluble extracellular N-terminal fragment, </w:t>
      </w:r>
      <w:r w:rsidR="007369DA" w:rsidRPr="001933B4">
        <w:rPr>
          <w:rFonts w:ascii="Times New Roman" w:hAnsi="Times New Roman" w:cs="Times New Roman"/>
          <w:sz w:val="24"/>
          <w:szCs w:val="24"/>
        </w:rPr>
        <w:t>sAPPα</w:t>
      </w:r>
      <w:r w:rsidR="007369DA">
        <w:rPr>
          <w:rFonts w:ascii="Times New Roman" w:hAnsi="Times New Roman" w:cs="Times New Roman"/>
          <w:sz w:val="24"/>
          <w:szCs w:val="24"/>
        </w:rPr>
        <w:t>, and a smaller C-terminal fragment, C83.</w:t>
      </w:r>
      <w:r w:rsidR="00153112">
        <w:rPr>
          <w:rFonts w:ascii="Times New Roman" w:hAnsi="Times New Roman" w:cs="Times New Roman"/>
          <w:sz w:val="24"/>
          <w:szCs w:val="24"/>
        </w:rPr>
        <w:t xml:space="preserve"> The C83 fragment is then cleaved by </w:t>
      </w:r>
      <w:r w:rsidR="00153112" w:rsidRPr="001933B4">
        <w:rPr>
          <w:rFonts w:ascii="Times New Roman" w:hAnsi="Times New Roman" w:cs="Times New Roman"/>
          <w:sz w:val="24"/>
          <w:szCs w:val="24"/>
        </w:rPr>
        <w:t>γ-secretase</w:t>
      </w:r>
      <w:r w:rsidR="00153112">
        <w:rPr>
          <w:rFonts w:ascii="Times New Roman" w:hAnsi="Times New Roman" w:cs="Times New Roman"/>
          <w:sz w:val="24"/>
          <w:szCs w:val="24"/>
        </w:rPr>
        <w:t xml:space="preserve"> to generate APP intracellular domain (AICD) and the P3 peptide fragment</w:t>
      </w:r>
      <w:r w:rsidR="002B45E3">
        <w:rPr>
          <w:rFonts w:ascii="Times New Roman" w:hAnsi="Times New Roman" w:cs="Times New Roman"/>
          <w:sz w:val="24"/>
          <w:szCs w:val="24"/>
        </w:rPr>
        <w:t>, which are non-</w:t>
      </w:r>
      <w:r w:rsidR="00153112">
        <w:rPr>
          <w:rFonts w:ascii="Times New Roman" w:hAnsi="Times New Roman" w:cs="Times New Roman"/>
          <w:sz w:val="24"/>
          <w:szCs w:val="24"/>
        </w:rPr>
        <w:t>toxic and cleared from the brain.</w:t>
      </w:r>
      <w:r w:rsidR="007369DA">
        <w:rPr>
          <w:rFonts w:ascii="Times New Roman" w:hAnsi="Times New Roman" w:cs="Times New Roman"/>
          <w:sz w:val="24"/>
          <w:szCs w:val="24"/>
        </w:rPr>
        <w:t xml:space="preserve"> The amyloidgenic pathway involves cleavage of APP with </w:t>
      </w:r>
      <w:r w:rsidR="007369DA" w:rsidRPr="001933B4">
        <w:rPr>
          <w:rFonts w:ascii="Times New Roman" w:hAnsi="Times New Roman" w:cs="Times New Roman"/>
          <w:sz w:val="24"/>
          <w:szCs w:val="24"/>
        </w:rPr>
        <w:t>β-secretase</w:t>
      </w:r>
      <w:r w:rsidR="007369DA">
        <w:rPr>
          <w:rFonts w:ascii="Times New Roman" w:hAnsi="Times New Roman" w:cs="Times New Roman"/>
          <w:sz w:val="24"/>
          <w:szCs w:val="24"/>
        </w:rPr>
        <w:t xml:space="preserve"> (</w:t>
      </w:r>
      <w:r w:rsidR="007369DA" w:rsidRPr="001933B4">
        <w:rPr>
          <w:rFonts w:ascii="Times New Roman" w:hAnsi="Times New Roman" w:cs="Times New Roman"/>
          <w:sz w:val="24"/>
          <w:szCs w:val="24"/>
        </w:rPr>
        <w:t>BACE1</w:t>
      </w:r>
      <w:r w:rsidR="007369DA">
        <w:rPr>
          <w:rFonts w:ascii="Times New Roman" w:hAnsi="Times New Roman" w:cs="Times New Roman"/>
          <w:sz w:val="24"/>
          <w:szCs w:val="24"/>
        </w:rPr>
        <w:t>)</w:t>
      </w:r>
      <w:r w:rsidR="00DB7536">
        <w:rPr>
          <w:rFonts w:ascii="Times New Roman" w:hAnsi="Times New Roman" w:cs="Times New Roman"/>
          <w:sz w:val="24"/>
          <w:szCs w:val="24"/>
        </w:rPr>
        <w:t xml:space="preserve">, which generates a large soluble N-terminal fragment, </w:t>
      </w:r>
      <w:r w:rsidR="00DB7536" w:rsidRPr="001933B4">
        <w:rPr>
          <w:rFonts w:ascii="Times New Roman" w:hAnsi="Times New Roman" w:cs="Times New Roman"/>
          <w:sz w:val="24"/>
          <w:szCs w:val="24"/>
        </w:rPr>
        <w:t>sAPPβ</w:t>
      </w:r>
      <w:r w:rsidR="00DB7536">
        <w:rPr>
          <w:rFonts w:ascii="Times New Roman" w:hAnsi="Times New Roman" w:cs="Times New Roman"/>
          <w:sz w:val="24"/>
          <w:szCs w:val="24"/>
        </w:rPr>
        <w:t>, and an N-terminal membrane bound C99 fragment that is subsequently cleaved by</w:t>
      </w:r>
      <w:r w:rsidR="007369DA">
        <w:rPr>
          <w:rFonts w:ascii="Times New Roman" w:hAnsi="Times New Roman" w:cs="Times New Roman"/>
          <w:sz w:val="24"/>
          <w:szCs w:val="24"/>
        </w:rPr>
        <w:t xml:space="preserve"> </w:t>
      </w:r>
      <w:r w:rsidR="007369DA" w:rsidRPr="001933B4">
        <w:rPr>
          <w:rFonts w:ascii="Times New Roman" w:hAnsi="Times New Roman" w:cs="Times New Roman"/>
          <w:sz w:val="24"/>
          <w:szCs w:val="24"/>
        </w:rPr>
        <w:t>γ-secretase</w:t>
      </w:r>
      <w:r w:rsidR="00DB7536">
        <w:rPr>
          <w:rFonts w:ascii="Times New Roman" w:hAnsi="Times New Roman" w:cs="Times New Roman"/>
          <w:sz w:val="24"/>
          <w:szCs w:val="24"/>
        </w:rPr>
        <w:t xml:space="preserve"> to produce</w:t>
      </w:r>
      <w:r w:rsidR="007369DA">
        <w:rPr>
          <w:rFonts w:ascii="Times New Roman" w:hAnsi="Times New Roman" w:cs="Times New Roman"/>
          <w:sz w:val="24"/>
          <w:szCs w:val="24"/>
        </w:rPr>
        <w:t xml:space="preserve"> a toxic form of </w:t>
      </w:r>
      <w:r w:rsidR="007369DA" w:rsidRPr="001933B4">
        <w:rPr>
          <w:rFonts w:ascii="Times New Roman" w:hAnsi="Times New Roman" w:cs="Times New Roman"/>
          <w:sz w:val="24"/>
          <w:szCs w:val="24"/>
        </w:rPr>
        <w:t>Aβ</w:t>
      </w:r>
      <w:r w:rsidR="007369DA">
        <w:rPr>
          <w:rFonts w:ascii="Times New Roman" w:hAnsi="Times New Roman" w:cs="Times New Roman"/>
          <w:sz w:val="24"/>
          <w:szCs w:val="24"/>
        </w:rPr>
        <w:t xml:space="preserve"> </w:t>
      </w:r>
      <w:r w:rsidR="00DB7536">
        <w:rPr>
          <w:rFonts w:ascii="Times New Roman" w:hAnsi="Times New Roman" w:cs="Times New Roman"/>
          <w:sz w:val="24"/>
          <w:szCs w:val="24"/>
        </w:rPr>
        <w:t>of varying length</w:t>
      </w:r>
      <w:r w:rsidR="00153112">
        <w:rPr>
          <w:rFonts w:ascii="Times New Roman" w:hAnsi="Times New Roman" w:cs="Times New Roman"/>
          <w:sz w:val="24"/>
          <w:szCs w:val="24"/>
        </w:rPr>
        <w:t xml:space="preserve"> and AICD</w:t>
      </w:r>
      <w:r w:rsidR="007369DA">
        <w:rPr>
          <w:rFonts w:ascii="Times New Roman" w:hAnsi="Times New Roman" w:cs="Times New Roman"/>
          <w:sz w:val="24"/>
          <w:szCs w:val="24"/>
        </w:rPr>
        <w:t>.</w:t>
      </w:r>
    </w:p>
    <w:p w14:paraId="077ADE77" w14:textId="77777777" w:rsidR="008C3912" w:rsidRPr="006B3B71" w:rsidRDefault="008C3912" w:rsidP="00C2382D">
      <w:pPr>
        <w:pStyle w:val="Body"/>
        <w:spacing w:line="360" w:lineRule="auto"/>
        <w:jc w:val="both"/>
        <w:rPr>
          <w:rFonts w:ascii="Times New Roman" w:hAnsi="Times New Roman" w:cs="Times New Roman"/>
          <w:color w:val="auto"/>
          <w:sz w:val="24"/>
          <w:szCs w:val="24"/>
        </w:rPr>
      </w:pPr>
    </w:p>
    <w:p w14:paraId="3970345D" w14:textId="77777777" w:rsidR="00C2382D" w:rsidRDefault="00535EC4" w:rsidP="00C2382D">
      <w:pPr>
        <w:pStyle w:val="Body"/>
        <w:spacing w:line="240" w:lineRule="auto"/>
        <w:jc w:val="both"/>
        <w:rPr>
          <w:rFonts w:ascii="Times New Roman" w:hAnsi="Times New Roman" w:cs="Times New Roman"/>
          <w:b/>
          <w:i/>
          <w:sz w:val="24"/>
          <w:szCs w:val="24"/>
          <w:u w:val="single"/>
        </w:rPr>
      </w:pPr>
      <w:r w:rsidRPr="001933B4">
        <w:rPr>
          <w:rFonts w:ascii="Times New Roman" w:hAnsi="Times New Roman" w:cs="Times New Roman"/>
          <w:b/>
          <w:i/>
          <w:sz w:val="24"/>
          <w:szCs w:val="24"/>
          <w:u w:val="single"/>
        </w:rPr>
        <w:t>Neurofibrillary tangles</w:t>
      </w:r>
    </w:p>
    <w:p w14:paraId="66DDD376" w14:textId="7F2039DB" w:rsidR="00A02457" w:rsidRPr="00C2382D" w:rsidRDefault="00662AF1" w:rsidP="00C2382D">
      <w:pPr>
        <w:pStyle w:val="Body"/>
        <w:spacing w:line="360" w:lineRule="auto"/>
        <w:jc w:val="both"/>
        <w:rPr>
          <w:rFonts w:ascii="Times New Roman" w:hAnsi="Times New Roman" w:cs="Times New Roman"/>
          <w:b/>
          <w:i/>
          <w:sz w:val="24"/>
          <w:szCs w:val="24"/>
          <w:u w:val="single"/>
        </w:rPr>
      </w:pPr>
      <w:r>
        <w:rPr>
          <w:rFonts w:ascii="Times New Roman" w:hAnsi="Times New Roman" w:cs="Times New Roman"/>
          <w:sz w:val="24"/>
          <w:szCs w:val="24"/>
        </w:rPr>
        <w:t>NFT</w:t>
      </w:r>
      <w:r w:rsidR="00CD536A">
        <w:rPr>
          <w:rFonts w:ascii="Times New Roman" w:hAnsi="Times New Roman" w:cs="Times New Roman"/>
          <w:sz w:val="24"/>
          <w:szCs w:val="24"/>
        </w:rPr>
        <w:t>s are</w:t>
      </w:r>
      <w:r w:rsidR="00535EC4" w:rsidRPr="001933B4">
        <w:rPr>
          <w:rFonts w:ascii="Times New Roman" w:hAnsi="Times New Roman" w:cs="Times New Roman"/>
          <w:sz w:val="24"/>
          <w:szCs w:val="24"/>
        </w:rPr>
        <w:t xml:space="preserve"> comprised of hyperphosphorylated mi</w:t>
      </w:r>
      <w:r w:rsidR="00CD536A">
        <w:rPr>
          <w:rFonts w:ascii="Times New Roman" w:hAnsi="Times New Roman" w:cs="Times New Roman"/>
          <w:sz w:val="24"/>
          <w:szCs w:val="24"/>
        </w:rPr>
        <w:t>crotubule-associated tau and</w:t>
      </w:r>
      <w:r w:rsidR="00535EC4" w:rsidRPr="001933B4">
        <w:rPr>
          <w:rFonts w:ascii="Times New Roman" w:hAnsi="Times New Roman" w:cs="Times New Roman"/>
          <w:sz w:val="24"/>
          <w:szCs w:val="24"/>
        </w:rPr>
        <w:t xml:space="preserve"> are</w:t>
      </w:r>
      <w:r w:rsidR="00777491">
        <w:rPr>
          <w:rFonts w:ascii="Times New Roman" w:hAnsi="Times New Roman" w:cs="Times New Roman"/>
          <w:sz w:val="24"/>
          <w:szCs w:val="24"/>
        </w:rPr>
        <w:t xml:space="preserve"> the second classically recognis</w:t>
      </w:r>
      <w:r w:rsidR="00535EC4" w:rsidRPr="001933B4">
        <w:rPr>
          <w:rFonts w:ascii="Times New Roman" w:hAnsi="Times New Roman" w:cs="Times New Roman"/>
          <w:sz w:val="24"/>
          <w:szCs w:val="24"/>
        </w:rPr>
        <w:t xml:space="preserve">ed pathology of AD. Hyperphosphorylated tau is </w:t>
      </w:r>
      <w:r w:rsidR="00535EC4" w:rsidRPr="00240595">
        <w:rPr>
          <w:rFonts w:ascii="Times New Roman" w:hAnsi="Times New Roman" w:cs="Times New Roman"/>
          <w:color w:val="auto"/>
          <w:sz w:val="24"/>
          <w:szCs w:val="24"/>
        </w:rPr>
        <w:t xml:space="preserve">observed </w:t>
      </w:r>
      <w:r w:rsidR="00CD536A" w:rsidRPr="00240595">
        <w:rPr>
          <w:rFonts w:ascii="Times New Roman" w:hAnsi="Times New Roman" w:cs="Times New Roman"/>
          <w:color w:val="auto"/>
          <w:sz w:val="24"/>
          <w:szCs w:val="24"/>
        </w:rPr>
        <w:t xml:space="preserve">in neurons </w:t>
      </w:r>
      <w:r w:rsidR="005843B2">
        <w:rPr>
          <w:rFonts w:ascii="Times New Roman" w:hAnsi="Times New Roman" w:cs="Times New Roman"/>
          <w:color w:val="auto"/>
          <w:sz w:val="24"/>
          <w:szCs w:val="24"/>
        </w:rPr>
        <w:t xml:space="preserve">during </w:t>
      </w:r>
      <w:r w:rsidR="00535EC4" w:rsidRPr="00240595">
        <w:rPr>
          <w:rFonts w:ascii="Times New Roman" w:hAnsi="Times New Roman" w:cs="Times New Roman"/>
          <w:color w:val="auto"/>
          <w:sz w:val="24"/>
          <w:szCs w:val="24"/>
        </w:rPr>
        <w:t>AD</w:t>
      </w:r>
      <w:r w:rsidR="005843B2">
        <w:rPr>
          <w:rFonts w:ascii="Times New Roman" w:hAnsi="Times New Roman" w:cs="Times New Roman"/>
          <w:color w:val="auto"/>
          <w:sz w:val="24"/>
          <w:szCs w:val="24"/>
        </w:rPr>
        <w:t xml:space="preserve"> progression</w:t>
      </w:r>
      <w:r w:rsidR="00ED684F">
        <w:rPr>
          <w:rFonts w:ascii="Times New Roman" w:hAnsi="Times New Roman" w:cs="Times New Roman"/>
          <w:color w:val="auto"/>
          <w:sz w:val="24"/>
          <w:szCs w:val="24"/>
        </w:rPr>
        <w:t xml:space="preserve">, particularly in the isocortical region of the brain, </w:t>
      </w:r>
      <w:r w:rsidR="001933B4" w:rsidRPr="008F4B0E">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"abstract" : "Frontal sections including temporal isocortex, entorhinal region and hippocampus from aged domestic animals (dog, cat, horse, sheep and goat) were studied for Alzheimer-related changes using immunostaining with the AT8 antibody for abnormally phosphorylated tau protein and selective silver techniques for A4 amyloid and neurofibrillary changes of the Alzheimer type. The material available to us did not show A4 amyloid deposits or argyrophilic neurofibrillary changes. Only the brains of aged sheep and goat exhibited the presence of AT8-immunoreactive pyramidal cells in the entorhinal region and hippocampal formation. Two groups of AT8-positive neurons could be observed: The first group contained evenly distributed immunoreactive material in all parts of the soma, the dendrites and the axon. The neuronal processes appeared quite normal. The second group, however, showed conspicuous changes in the cellular processes consisting of a loss of immunoreactivity within the axon and the proximal dendrites and the appearance of intensely stained swellings within the curved distal dendrites. These changes were closely reminiscent to alterations of the cytoskeleton known to occur at the same location in the aging human brain and in Alzheimer's disease. The findings justify a closer look at sheep and goat when searching for suitable animal models for experimental studies of the conditions responsible for the development of Alzheimer-related neurofibrillary changes.", "author" : [ { "dropping-particle" : "", "family" : "Braak", "given" : "Heiko", "non-dropping-particle" : "", "parse-names" : false, "suffix" : "" }, { "dropping-particle" : "", "family" : "Braak", "given" : "Eva", "non-dropping-particle" : "", "parse-names" : false, "suffix" : "" }, { "dropping-particle" : "", "family" : "Strothjohann", "given" : "Martin", "non-dropping-particle" : "", "parse-names" : false, "suffix" : "" } ], "container-title" : "Neuroscience Letters", "id" : "ITEM-1", "issue" : "1", "issued" : { "date-parts" : [ [ "1994" ] ] }, "page" : "1-4", "title" : "Abnormally phosphorylated tau protein related to the formation of neurofibrillary tangles and neuropil threads in the cerebral cortex of sheep and goat", "type" : "article-journal", "volume" : "171" }, "uris" : [ "http://www.mendeley.com/documents/?uuid=9c5763cc-93ba-4cad-975e-69d8c20b36c3" ] }, { "id" : "ITEM-2", "itemData" : { "ISSN" : "0001-6322", "PMID" : "1759558", "abstract" : "Eighty-three brains obtained at autopsy from nondemented and demented individuals were examined for extracellular amyloid deposits and intraneuronal neurofibrillary changes. The distribution pattern and packing density of amyloid deposits turned out to be of limited significance for differentiation of neuropathological stages. Neurofibrillary changes occurred in the form of neuritic plaques, neurofibrillary tangles and neuropil threads. The distribution of neuritic plaques varied widely not only within architectonic units but also from one individual to another. Neurofibrillary tangles and neuropil threads, in contrast, exhibited a characteristic distribution pattern permitting the differentiation of six stages. The first two stages were characterized by an either mild or severe alteration of the transentorhinal layer Pre-alpha (transentorhinal stages I-II). The two forms of limbic stages (stages III-IV) were marked by a conspicuous affection of layer Pre-alpha in both transentorhinal region and proper entorhinal cortex. In addition, there was mild involvement of the first Ammon's horn sector. The hallmark of the two isocortical stages (stages V-VI) was the destruction of virtually all isocortical association areas. The investigation showed that recognition of the six stages required qualitative evaluation of only a few key preparations.", "author" : [ { "dropping-particle" : "", "family" : "Braak", "given" : "H", "non-dropping-particle" : "", "parse-names" : false, "suffix" : "" }, { "dropping-particle" : "", "family" : "Braak", "given" : "E", "non-dropping-particle" : "", "parse-names" : false, "suffix" : "" } ], "container-title" : "Acta neuropathologica", "id" : "ITEM-2", "issue" : "4", "issued" : { "date-parts" : [ [ "1991", "1" ] ] }, "page" : "239-59", "title" : "Neuropathological stageing of Alzheimer-related changes.", "type" : "article-journal", "volume" : "82" }, "uris" : [ "http://www.mendeley.com/documents/?uuid=d415892b-80d7-48a0-8a2c-6973918d80ce" ] } ], "mendeley" : { "formattedCitation" : "(Braak et al. 1994; Braak &amp; Braak 1991)", "plainTextFormattedCitation" : "(Braak et al. 1994; Braak &amp; Braak 1991)", "previouslyFormattedCitation" : "(Braak et al. 1994; Braak &amp; Braak 1991)" }, "properties" : { "noteIndex" : 0 }, "schema" : "https://github.com/citation-style-language/schema/raw/master/csl-citation.json" }</w:instrText>
      </w:r>
      <w:r w:rsidR="001933B4" w:rsidRPr="008F4B0E">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(Braak et al. 1994; Braak &amp; Braak 1991)</w:t>
      </w:r>
      <w:r w:rsidR="001933B4" w:rsidRPr="008F4B0E">
        <w:rPr>
          <w:rFonts w:ascii="Times New Roman" w:hAnsi="Times New Roman" w:cs="Times New Roman"/>
          <w:color w:val="auto"/>
          <w:sz w:val="24"/>
          <w:szCs w:val="24"/>
        </w:rPr>
        <w:fldChar w:fldCharType="end"/>
      </w:r>
      <w:r>
        <w:rPr>
          <w:rFonts w:ascii="Times New Roman" w:hAnsi="Times New Roman" w:cs="Times New Roman"/>
          <w:color w:val="auto"/>
          <w:sz w:val="24"/>
          <w:szCs w:val="24"/>
        </w:rPr>
        <w:t>. This hyperphosphorylation event</w:t>
      </w:r>
      <w:r w:rsidR="00535EC4" w:rsidRPr="001933B4">
        <w:rPr>
          <w:rFonts w:ascii="Times New Roman" w:hAnsi="Times New Roman" w:cs="Times New Roman"/>
          <w:sz w:val="24"/>
          <w:szCs w:val="24"/>
        </w:rPr>
        <w:t xml:space="preserve"> suggests there is a</w:t>
      </w:r>
      <w:r w:rsidR="003D0BB0">
        <w:rPr>
          <w:rFonts w:ascii="Times New Roman" w:hAnsi="Times New Roman" w:cs="Times New Roman"/>
          <w:sz w:val="24"/>
          <w:szCs w:val="24"/>
        </w:rPr>
        <w:t>n</w:t>
      </w:r>
      <w:r w:rsidR="00535EC4" w:rsidRPr="001933B4">
        <w:rPr>
          <w:rFonts w:ascii="Times New Roman" w:hAnsi="Times New Roman" w:cs="Times New Roman"/>
          <w:sz w:val="24"/>
          <w:szCs w:val="24"/>
        </w:rPr>
        <w:t xml:space="preserve"> imbalance in protein kinases and phosphatases known to regulate tau phosphorylation.</w:t>
      </w:r>
      <w:r w:rsidR="00777491">
        <w:rPr>
          <w:rFonts w:ascii="Times New Roman" w:hAnsi="Times New Roman" w:cs="Times New Roman"/>
          <w:color w:val="FF0000"/>
          <w:sz w:val="24"/>
          <w:szCs w:val="24"/>
        </w:rPr>
        <w:t xml:space="preserve"> </w:t>
      </w:r>
      <w:r w:rsidR="00ED684F">
        <w:rPr>
          <w:rFonts w:ascii="Times New Roman" w:hAnsi="Times New Roman" w:cs="Times New Roman"/>
          <w:color w:val="auto"/>
          <w:sz w:val="24"/>
          <w:szCs w:val="24"/>
        </w:rPr>
        <w:t xml:space="preserve">However, neuronal </w:t>
      </w:r>
      <w:r w:rsidR="00C50023">
        <w:rPr>
          <w:rFonts w:ascii="Times New Roman" w:hAnsi="Times New Roman" w:cs="Times New Roman"/>
          <w:color w:val="auto"/>
          <w:sz w:val="24"/>
          <w:szCs w:val="24"/>
        </w:rPr>
        <w:t>phospho</w:t>
      </w:r>
      <w:r w:rsidR="00ED684F">
        <w:rPr>
          <w:rFonts w:ascii="Times New Roman" w:hAnsi="Times New Roman" w:cs="Times New Roman"/>
          <w:color w:val="auto"/>
          <w:sz w:val="24"/>
          <w:szCs w:val="24"/>
        </w:rPr>
        <w:t xml:space="preserve"> tau in certain brain regions preced</w:t>
      </w:r>
      <w:r w:rsidR="00C50023">
        <w:rPr>
          <w:rFonts w:ascii="Times New Roman" w:hAnsi="Times New Roman" w:cs="Times New Roman"/>
          <w:color w:val="auto"/>
          <w:sz w:val="24"/>
          <w:szCs w:val="24"/>
        </w:rPr>
        <w:t>e</w:t>
      </w:r>
      <w:r w:rsidR="00ED684F">
        <w:rPr>
          <w:rFonts w:ascii="Times New Roman" w:hAnsi="Times New Roman" w:cs="Times New Roman"/>
          <w:color w:val="auto"/>
          <w:sz w:val="24"/>
          <w:szCs w:val="24"/>
        </w:rPr>
        <w:t xml:space="preserve">s clinical AD by many years </w:t>
      </w:r>
      <w:r w:rsidR="00C92231">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"10.1002/ana.10086", "ISSN" : "0364-5134", "author" : [ { "dropping-particle" : "", "family" : "Mitchell", "given" : "Thomas W.", "non-dropping-particle" : "", "parse-names" : false, "suffix" : "" }, { "dropping-particle" : "", "family" : "Mufson", "given" : "Elliott J.", "non-dropping-particle" : "", "parse-names" : false, "suffix" : "" }, { "dropping-particle" : "", "family" : "Schneider", "given" : "Julie A.", "non-dropping-particle" : "", "parse-names" : false, "suffix" : "" }, { "dropping-particle" : "", "family" : "Cochran", "given" : "Elizabeth J.", "non-dropping-particle" : "", "parse-names" : false, "suffix" : "" }, { "dropping-particle" : "", "family" : "Nissanov", "given" : "Jonathan", "non-dropping-particle" : "", "parse-names" : false, "suffix" : "" }, { "dropping-particle" : "", "family" : "Han", "given" : "Li-Ying", "non-dropping-particle" : "", "parse-names" : false, "suffix" : "" }, { "dropping-particle" : "", "family" : "Bienias", "given" : "Julia L.", "non-dropping-particle" : "", "parse-names" : false, "suffix" : "" }, { "dropping-particle" : "", "family" : "Lee", "given" : "Virginia M.-Y.", "non-dropping-particle" : "", "parse-names" : false, "suffix" : "" }, { "dropping-particle" : "", "family" : "Trojanowski", "given" : "John Q.", "non-dropping-particle" : "", "parse-names" : false, "suffix" : "" }, { "dropping-particle" : "", "family" : "Bennett", "given" : "David A.", "non-dropping-particle" : "", "parse-names" : false, "suffix" : "" }, { "dropping-particle" : "", "family" : "Arnold", "given" : "Steven E.", "non-dropping-particle" : "", "parse-names" : false, "suffix" : "" } ], "container-title" : "Annals of Neurology", "id" : "ITEM-1", "issue" : "2", "issued" : { "date-parts" : [ [ "2002", "2" ] ] }, "page" : "182-189", "publisher" : "Wiley Subscription Services, Inc., A Wiley Company", "title" : "Parahippocampal tau pathology in healthy aging, mild cognitive impairment, and early Alzheimer's disease", "type" : "article-journal", "volume" : "51" }, "uris" : [ "http://www.mendeley.com/documents/?uuid=a15d45f1-41d2-30a6-8241-2395c1446eed" ] } ], "mendeley" : { "formattedCitation" : "(Mitchell et al. 2002)", "plainTextFormattedCitation" : "(Mitchell et al. 2002)", "previouslyFormattedCitation" : "(Mitchell et al. 2002)" }, "properties" : { "noteIndex" : 0 }, "schema" : "https://github.com/citation-style-language/schema/raw/master/csl-citation.json" }</w:instrText>
      </w:r>
      <w:r w:rsidR="00C92231">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(Mitchell et al. 2002)</w:t>
      </w:r>
      <w:r w:rsidR="00C92231">
        <w:rPr>
          <w:rFonts w:ascii="Times New Roman" w:hAnsi="Times New Roman" w:cs="Times New Roman"/>
          <w:color w:val="auto"/>
          <w:sz w:val="24"/>
          <w:szCs w:val="24"/>
        </w:rPr>
        <w:fldChar w:fldCharType="end"/>
      </w:r>
      <w:r w:rsidR="00C92231">
        <w:rPr>
          <w:rFonts w:ascii="Times New Roman" w:hAnsi="Times New Roman" w:cs="Times New Roman"/>
          <w:color w:val="auto"/>
          <w:sz w:val="24"/>
          <w:szCs w:val="24"/>
        </w:rPr>
        <w:t>.</w:t>
      </w:r>
      <w:r w:rsidR="00ED684F">
        <w:rPr>
          <w:rFonts w:ascii="Times New Roman" w:hAnsi="Times New Roman" w:cs="Times New Roman"/>
          <w:color w:val="FF0000"/>
          <w:sz w:val="24"/>
          <w:szCs w:val="24"/>
        </w:rPr>
        <w:t xml:space="preserve"> </w:t>
      </w:r>
      <w:r w:rsidR="00A02457">
        <w:rPr>
          <w:rFonts w:ascii="Times New Roman" w:hAnsi="Times New Roman" w:cs="Times New Roman"/>
          <w:color w:val="auto"/>
          <w:sz w:val="24"/>
          <w:szCs w:val="24"/>
        </w:rPr>
        <w:t>Normally, microtubule associated tau is i</w:t>
      </w:r>
      <w:r w:rsidR="008C3912">
        <w:rPr>
          <w:rFonts w:ascii="Times New Roman" w:hAnsi="Times New Roman" w:cs="Times New Roman"/>
          <w:color w:val="auto"/>
          <w:sz w:val="24"/>
          <w:szCs w:val="24"/>
        </w:rPr>
        <w:t>nvolved in assembly and stabilis</w:t>
      </w:r>
      <w:r w:rsidR="00A02457">
        <w:rPr>
          <w:rFonts w:ascii="Times New Roman" w:hAnsi="Times New Roman" w:cs="Times New Roman"/>
          <w:color w:val="auto"/>
          <w:sz w:val="24"/>
          <w:szCs w:val="24"/>
        </w:rPr>
        <w:t>ation of microtubules</w:t>
      </w:r>
      <w:r w:rsidR="008F6DC9">
        <w:rPr>
          <w:rFonts w:ascii="Times New Roman" w:hAnsi="Times New Roman" w:cs="Times New Roman"/>
          <w:color w:val="auto"/>
          <w:sz w:val="24"/>
          <w:szCs w:val="24"/>
        </w:rPr>
        <w:t xml:space="preserve"> </w:t>
      </w:r>
      <w:r w:rsidR="00A02457">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"ISSN" : "0027-8424", "PMID" : "1057175", "abstract" : "A heat stable protein essentail for microtubule assembly has been isolated. This protein, which we designate tau (tau), is present in association with tubulin purified from porcine brain by repeated cycles of polymerization. Tau is separated from tubulin by ion exchange chromatography on phosphocellulose. In the absence of tau, tubulin exists entirely as a 6S dimer of two polypeptide chains (alpha and beta tubulin) with a molecular weight of 120,000, which will not assemble into microtubules in vitro. Addition of tau completely restores tubule-forming capacity. Under nonpolymerizing conditions, tau converts 6S dimers to 36S rings-structures which have been implicated as intermediates in tubule formation. Hence, tau appears to act on the 6S tubulin dimer, activating it for polymerization. The unique ability of tau to restore the normal features of in vitro microtubule assembly makes it likely that tau is a major regulator of microtubule formation in cells.", "author" : [ { "dropping-particle" : "", "family" : "Weingarten", "given" : "M D", "non-dropping-particle" : "", "parse-names" : false, "suffix" : "" }, { "dropping-particle" : "", "family" : "Lockwood", "given" : "A H", "non-dropping-particle" : "", "parse-names" : false, "suffix" : "" }, { "dropping-particle" : "", "family" : "Hwo", "given" : "S Y", "non-dropping-particle" : "", "parse-names" : false, "suffix" : "" }, { "dropping-particle" : "", "family" : "Kirschner", "given" : "M W", "non-dropping-particle" : "", "parse-names" : false, "suffix" : "" } ], "container-title" : "Proceedings of the National Academy of Sciences of the United States of America", "id" : "ITEM-1", "issue" : "5", "issued" : { "date-parts" : [ [ "1975", "5" ] ] }, "page" : "1858-62", "title" : "A protein factor essential for microtubule assembly.", "type" : "article-journal", "volume" : "72" }, "uris" : [ "http://www.mendeley.com/documents/?uuid=4d5d0c37-d42c-3a7d-8f23-a8b48d7d6d5b" ] }, { "id" : "ITEM-2", "itemData" : { "DOI" : "10.1016/j.pneurobio.2008.03.002", "ISSN" : "03010082", "abstract" : "As a principal neuronal microtubule-associated protein, tau has been recognized to play major roles in promoting microtubule assembly and stabilizing the microtubules and to maintain the normal morphology of the neurons. Recent studies suggest that tau, upon alternative mRNA splicing and multiple posttranslational modifications, may participate in the regulations of intracellular signal transduction, development and viability of the neurons. Furthermore, tau gene mutations, aberrant mRNA splicing and abnormal posttranslational modifications, such as hyperphosphorylation, have also been found in a number of neurodegenerative disorders, collectively known as tauopathies. Therefore, changes in expression of the tau gene, alternative splicing of its mRNA and its posttranslational modification can modulate the normal architecture and functions of neurons as well as in a situation of tauopathies, such as Alzheimer's disease. The primary aim of this review is to summarize the latest developments and perspectives in our understanding about the roles of tau, especially hyperphosphorylation, in the development, degeneration and protection of neurons.", "author" : [ { "dropping-particle" : "", "family" : "Wang", "given" : "Jian-Zhi", "non-dropping-particle" : "", "parse-names" : false, "suffix" : "" }, { "dropping-particle" : "", "family" : "Liu", "given" : "Fei", "non-dropping-particle" : "", "parse-names" : false, "suffix" : "" } ], "container-title" : "Progress in Neurobiology", "id" : "ITEM-2", "issue" : "2", "issued" : { "date-parts" : [ [ "2008" ] ] }, "page" : "148-175", "title" : "Microtubule-associated protein tau in development, degeneration and protection of neurons", "type" : "article-journal", "volume" : "85" }, "uris" : [ "http://www.mendeley.com/documents/?uuid=2a2ab84e-9489-3e89-b1e3-8df99ab7822d" ] }, { "id" : "ITEM-3", "itemData" : { "ISSN" : "0270-6474", "PMID" : "8642405", "abstract" : "It is widely held that tau determines the stability of microtubules in growing axons, although direct evidence supporting this hypothesis is lacking. Previous studies have shown that the microtubule polymer in the distal axon and growth cone is the most dynamic of growing axons; it turns over more rapidly and is more sensitive to microtubule depolymerizing drugs than the polymer situated proximally. We reasoned that if the stability of axonal microtubules is directly related to their content of tau, then the polymer in the distal axon should have less tau than the polymer in the proximal axon. We tested this proposition by measuring the relative tau content of microtubule along growing axons of cultured sympathetic neurons immunostained for tau and tubulin. Our results show that the tau content of microtubules varies along the axon, but in the opposite way predicted. Specifically, the relative tau content of microtubules increases progressively along the axon to reach a peak near the growth cone that is severalfold greater than that observed proximally. Thus, tau is most enriched on the most dynamic polymer of the axon. We also show that the gradient in tau content of microtubules does not generate corresponding gradients in the extent of tubulin assembly or in the sensitivity of axonal microtubules to nocodazole. On the basis of these findings, we propose that tau in growing axons has functions other than promoting microtubule assembly and stability and the key sites for these functions are the distal axon and growth cone.", "author" : [ { "dropping-particle" : "", "family" : "Black", "given" : "M M", "non-dropping-particle" : "", "parse-names" : false, "suffix" : "" }, { "dropping-particle" : "", "family" : "Slaughter", "given" : "T", "non-dropping-particle" : "", "parse-names" : false, "suffix" : "" }, { "dropping-particle" : "", "family" : "Moshiach", "given" : "S", "non-dropping-particle" : "", "parse-names" : false, "suffix" : "" }, { "dropping-particle" : "", "family" : "Obrocka", "given" : "M", "non-dropping-particle" : "", "parse-names" : false, "suffix" : "" }, { "dropping-particle" : "", "family" : "Fischer", "given" : "I", "non-dropping-particle" : "", "parse-names" : false, "suffix" : "" } ], "container-title" : "The Journal of neuroscience : the official journal of the Society for Neuroscience", "id" : "ITEM-3", "issue" : "11", "issued" : { "date-parts" : [ [ "1996", "6", "1" ] ] }, "page" : "3601-19", "publisher" : "Society for Neuroscience", "title" : "Tau is enriched on dynamic microtubules in the distal region of growing axons.", "type" : "article-journal", "volume" : "16" }, "uris" : [ "http://www.mendeley.com/documents/?uuid=8d4cb720-df29-3318-995b-9e758ebd7a46" ] } ], "mendeley" : { "formattedCitation" : "(Weingarten et al. 1975; Wang &amp; Liu 2008; Black et al. 1996)", "plainTextFormattedCitation" : "(Weingarten et al. 1975; Wang &amp; Liu 2008; Black et al. 1996)", "previouslyFormattedCitation" : "(Weingarten et al. 1975; Wang &amp; Liu 2008; Black et al. 1996)" }, "properties" : { "noteIndex" : 0 }, "schema" : "https://github.com/citation-style-language/schema/raw/master/csl-citation.json" }</w:instrText>
      </w:r>
      <w:r w:rsidR="00A02457">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(Weingarten et al. 1975; Wang &amp; Liu 2008; Black et al. 1996)</w:t>
      </w:r>
      <w:r w:rsidR="00A02457">
        <w:rPr>
          <w:rFonts w:ascii="Times New Roman" w:hAnsi="Times New Roman" w:cs="Times New Roman"/>
          <w:color w:val="auto"/>
          <w:sz w:val="24"/>
          <w:szCs w:val="24"/>
        </w:rPr>
        <w:fldChar w:fldCharType="end"/>
      </w:r>
      <w:r w:rsidR="00A02457">
        <w:rPr>
          <w:rFonts w:ascii="Times New Roman" w:hAnsi="Times New Roman" w:cs="Times New Roman"/>
          <w:color w:val="auto"/>
          <w:sz w:val="24"/>
          <w:szCs w:val="24"/>
        </w:rPr>
        <w:t>. However in AD, abnormal hyperphosphorylation sequesters normal tau preventing assembly and inducing destabalisation of microtubules</w:t>
      </w:r>
      <w:r w:rsidR="001B6D21">
        <w:rPr>
          <w:rFonts w:ascii="Times New Roman" w:hAnsi="Times New Roman" w:cs="Times New Roman"/>
          <w:color w:val="auto"/>
          <w:sz w:val="24"/>
          <w:szCs w:val="24"/>
        </w:rPr>
        <w:t xml:space="preserve"> </w:t>
      </w:r>
      <w:r w:rsidR="001B6D21">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"ISSN" : "0027-8424", "PMID" : "8202528", "abstract" : "The microtubule assembly-promoting activity of different pools of tau protein isolated from Alzheimer disease (AD) and control brains and the effect of dephosphorylation on this activity were studied. Tau isolated from a 2.5% perchloric extract of AD brain had almost the same activity as that obtained from control brain, and this activity did not change significantly on dephosphorylation. Abnormally phosphorylated tau (AD P-tau) isolated from brain homogenate of AD patients had little activity, and upon dephosphorylation with alkaline phosphatase, its activity increased to approximately the same level as the acid-soluble tau. Addition of AD P-tau to a mixture of normal tau and tubulin inhibited microtubule assembly. AD P-tau bound to normal tau but not to tubulin. These studies suggest that the abnormal phosphorylation of tau might be responsible for the breakdown of microtubules in affected neurons in AD not only because the altered protein has little microtubule-promoting activity but also because it interacts with normal tau, making the latter unavailable for promoting the assembly of tubulin into microtubules.", "author" : [ { "dropping-particle" : "", "family" : "Alonso", "given" : "A C", "non-dropping-particle" : "", "parse-names" : false, "suffix" : "" }, { "dropping-particle" : "", "family" : "Zaidi", "given" : "T", "non-dropping-particle" : "", "parse-names" : false, "suffix" : "" }, { "dropping-particle" : "", "family" : "Grundke-Iqbal", "given" : "I", "non-dropping-particle" : "", "parse-names" : false, "suffix" : "" }, { "dropping-particle" : "", "family" : "Iqbal", "given" : "K", "non-dropping-particle" : "", "parse-names" : false, "suffix" : "" } ], "container-title" : "Proceedings of the National Academy of Sciences of the United States of America", "id" : "ITEM-1", "issue" : "12", "issued" : { "date-parts" : [ [ "1994", "6", "7" ] ] }, "page" : "5562-6", "publisher" : "National Academy of Sciences", "title" : "Role of abnormally phosphorylated tau in the breakdown of microtubules in Alzheimer disease.", "type" : "article-journal", "volume" : "91" }, "uris" : [ "http://www.mendeley.com/documents/?uuid=1c78e0cf-7226-3e92-aa57-c67f35b9363e" ] } ], "mendeley" : { "formattedCitation" : "(Alonso et al. 1994)", "plainTextFormattedCitation" : "(Alonso et al. 1994)", "previouslyFormattedCitation" : "(Alonso et al. 1994)" }, "properties" : { "noteIndex" : 0 }, "schema" : "https://github.com/citation-style-language/schema/raw/master/csl-citation.json" }</w:instrText>
      </w:r>
      <w:r w:rsidR="001B6D21">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(Alonso et al. 1994)</w:t>
      </w:r>
      <w:r w:rsidR="001B6D21">
        <w:rPr>
          <w:rFonts w:ascii="Times New Roman" w:hAnsi="Times New Roman" w:cs="Times New Roman"/>
          <w:color w:val="auto"/>
          <w:sz w:val="24"/>
          <w:szCs w:val="24"/>
        </w:rPr>
        <w:fldChar w:fldCharType="end"/>
      </w:r>
      <w:r w:rsidR="00A02457">
        <w:rPr>
          <w:rFonts w:ascii="Times New Roman" w:hAnsi="Times New Roman" w:cs="Times New Roman"/>
          <w:color w:val="auto"/>
          <w:sz w:val="24"/>
          <w:szCs w:val="24"/>
        </w:rPr>
        <w:t xml:space="preserve">. Tau can be phosphorylated at over 30 serine/threonine residues by protein kinases such as </w:t>
      </w:r>
      <w:r w:rsidR="00C12E6D">
        <w:rPr>
          <w:rFonts w:ascii="Times New Roman" w:hAnsi="Times New Roman" w:cs="Times New Roman"/>
          <w:color w:val="auto"/>
          <w:sz w:val="24"/>
          <w:szCs w:val="24"/>
        </w:rPr>
        <w:t>protein kinase A (</w:t>
      </w:r>
      <w:r w:rsidR="00A02457">
        <w:rPr>
          <w:rFonts w:ascii="Times New Roman" w:hAnsi="Times New Roman" w:cs="Times New Roman"/>
          <w:color w:val="auto"/>
          <w:sz w:val="24"/>
          <w:szCs w:val="24"/>
        </w:rPr>
        <w:t>PKA</w:t>
      </w:r>
      <w:r w:rsidR="00C12E6D">
        <w:rPr>
          <w:rFonts w:ascii="Times New Roman" w:hAnsi="Times New Roman" w:cs="Times New Roman"/>
          <w:color w:val="auto"/>
          <w:sz w:val="24"/>
          <w:szCs w:val="24"/>
        </w:rPr>
        <w:t>)</w:t>
      </w:r>
      <w:r w:rsidR="00A02457">
        <w:rPr>
          <w:rFonts w:ascii="Times New Roman" w:hAnsi="Times New Roman" w:cs="Times New Roman"/>
          <w:color w:val="auto"/>
          <w:sz w:val="24"/>
          <w:szCs w:val="24"/>
        </w:rPr>
        <w:t xml:space="preserve">, </w:t>
      </w:r>
      <w:r w:rsidR="004C427C">
        <w:rPr>
          <w:rFonts w:ascii="Times New Roman" w:hAnsi="Times New Roman" w:cs="Times New Roman"/>
          <w:color w:val="auto"/>
          <w:sz w:val="24"/>
          <w:szCs w:val="24"/>
        </w:rPr>
        <w:t>calcium/calmodulin- dependent protein kinase (</w:t>
      </w:r>
      <w:r w:rsidR="00A02457">
        <w:rPr>
          <w:rFonts w:ascii="Times New Roman" w:hAnsi="Times New Roman" w:cs="Times New Roman"/>
          <w:color w:val="auto"/>
          <w:sz w:val="24"/>
          <w:szCs w:val="24"/>
        </w:rPr>
        <w:t>CAMKII</w:t>
      </w:r>
      <w:r w:rsidR="004C427C">
        <w:rPr>
          <w:rFonts w:ascii="Times New Roman" w:hAnsi="Times New Roman" w:cs="Times New Roman"/>
          <w:color w:val="auto"/>
          <w:sz w:val="24"/>
          <w:szCs w:val="24"/>
        </w:rPr>
        <w:t>)</w:t>
      </w:r>
      <w:r w:rsidR="00777491">
        <w:rPr>
          <w:rFonts w:ascii="Times New Roman" w:hAnsi="Times New Roman" w:cs="Times New Roman"/>
          <w:color w:val="auto"/>
          <w:sz w:val="24"/>
          <w:szCs w:val="24"/>
        </w:rPr>
        <w:t xml:space="preserve">, </w:t>
      </w:r>
      <w:r w:rsidR="004C427C">
        <w:rPr>
          <w:rFonts w:ascii="Times New Roman" w:hAnsi="Times New Roman" w:cs="Times New Roman"/>
          <w:color w:val="auto"/>
          <w:sz w:val="24"/>
          <w:szCs w:val="24"/>
        </w:rPr>
        <w:t>c-Jun N-terminal kinase (</w:t>
      </w:r>
      <w:r w:rsidR="00777491">
        <w:rPr>
          <w:rFonts w:ascii="Times New Roman" w:hAnsi="Times New Roman" w:cs="Times New Roman"/>
          <w:color w:val="auto"/>
          <w:sz w:val="24"/>
          <w:szCs w:val="24"/>
        </w:rPr>
        <w:t>JNK</w:t>
      </w:r>
      <w:r w:rsidR="004C427C">
        <w:rPr>
          <w:rFonts w:ascii="Times New Roman" w:hAnsi="Times New Roman" w:cs="Times New Roman"/>
          <w:color w:val="auto"/>
          <w:sz w:val="24"/>
          <w:szCs w:val="24"/>
        </w:rPr>
        <w:t>)</w:t>
      </w:r>
      <w:r w:rsidR="008F6DC9">
        <w:rPr>
          <w:rFonts w:ascii="Times New Roman" w:hAnsi="Times New Roman" w:cs="Times New Roman"/>
          <w:color w:val="auto"/>
          <w:sz w:val="24"/>
          <w:szCs w:val="24"/>
        </w:rPr>
        <w:t xml:space="preserve"> and g</w:t>
      </w:r>
      <w:r w:rsidR="00A02457">
        <w:rPr>
          <w:rFonts w:ascii="Times New Roman" w:hAnsi="Times New Roman" w:cs="Times New Roman"/>
          <w:color w:val="auto"/>
          <w:sz w:val="24"/>
          <w:szCs w:val="24"/>
        </w:rPr>
        <w:t>lycogen synthase kinase 3β (GSK3β)</w:t>
      </w:r>
      <w:r w:rsidR="003D0BB0">
        <w:rPr>
          <w:rFonts w:ascii="Times New Roman" w:hAnsi="Times New Roman" w:cs="Times New Roman"/>
          <w:color w:val="auto"/>
          <w:sz w:val="24"/>
          <w:szCs w:val="24"/>
        </w:rPr>
        <w:t>.</w:t>
      </w:r>
      <w:r w:rsidR="00777491">
        <w:rPr>
          <w:rFonts w:ascii="Times New Roman" w:hAnsi="Times New Roman" w:cs="Times New Roman"/>
          <w:color w:val="auto"/>
          <w:sz w:val="24"/>
          <w:szCs w:val="24"/>
        </w:rPr>
        <w:t xml:space="preserve"> Altered upstream signalling can therefore modify tau phosphorylation and both insulin and </w:t>
      </w:r>
      <w:r w:rsidR="00777491" w:rsidRPr="001933B4">
        <w:rPr>
          <w:rFonts w:ascii="Times New Roman" w:hAnsi="Times New Roman" w:cs="Times New Roman"/>
          <w:sz w:val="24"/>
          <w:szCs w:val="24"/>
        </w:rPr>
        <w:t>Aβ</w:t>
      </w:r>
      <w:r w:rsidR="00777491">
        <w:rPr>
          <w:rFonts w:ascii="Times New Roman" w:hAnsi="Times New Roman" w:cs="Times New Roman"/>
          <w:sz w:val="24"/>
          <w:szCs w:val="24"/>
        </w:rPr>
        <w:t xml:space="preserve"> can regulate this </w:t>
      </w:r>
      <w:r w:rsidR="00777491" w:rsidRPr="002E2A28">
        <w:rPr>
          <w:rFonts w:ascii="Times New Roman" w:hAnsi="Times New Roman" w:cs="Times New Roman"/>
          <w:sz w:val="24"/>
          <w:szCs w:val="24"/>
        </w:rPr>
        <w:t>process</w:t>
      </w:r>
      <w:r w:rsidRPr="002E2A28">
        <w:rPr>
          <w:rFonts w:ascii="Times New Roman" w:hAnsi="Times New Roman" w:cs="Times New Roman"/>
          <w:sz w:val="24"/>
          <w:szCs w:val="24"/>
        </w:rPr>
        <w:t xml:space="preserve"> </w:t>
      </w:r>
      <w:r w:rsidR="00E5091A" w:rsidRPr="002E2A28">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"10.1073/pnas.1017033108", "ISSN" : "0027-8424", "author" : [ { "dropping-particle" : "", "family" : "Jin", "given" : "M.", "non-dropping-particle" : "", "parse-names" : false, "suffix" : "" }, { "dropping-particle" : "", "family" : "Shepardson", "given" : "N.", "non-dropping-particle" : "", "parse-names" : false, "suffix" : "" }, { "dropping-particle" : "", "family" : "Yang", "given" : "T.", "non-dropping-particle" : "", "parse-names" : false, "suffix" : "" }, { "dropping-particle" : "", "family" : "Chen", "given" : "G.", "non-dropping-particle" : "", "parse-names" : false, "suffix" : "" }, { "dropping-particle" : "", "family" : "Walsh", "given" : "D.", "non-dropping-particle" : "", "parse-names" : false, "suffix" : "" }, { "dropping-particle" : "", "family" : "Selkoe", "given" : "D. J.", "non-dropping-particle" : "", "parse-names" : false, "suffix" : "" } ], "container-title" : "Proceedings of the National Academy of Sciences", "id" : "ITEM-1", "issue" : "14", "issued" : { "date-parts" : [ [ "2011", "4", "5" ] ] }, "page" : "5819-5824", "publisher" : "National Academy of Sciences", "title" : "Soluble amyloid \u00a0-protein dimers isolated from Alzheimer cortex directly induce Tau hyperphosphorylation and neuritic degeneration", "type" : "article-journal", "volume" : "108" }, "uris" : [ "http://www.mendeley.com/documents/?uuid=540f24e9-bce1-3317-84d9-72c8500a2a36" ] }, { "id" : "ITEM-2", "itemData" : { "abstract" : "Hyperphosphorylated tau is the major component of paired helical filaments in neurofibrillary lesions associated with Alzheimer's disease. Hyperphosphorylation reduces the affinity of tau for microtubules and is thought to be a critical event in the pathogenesis of this disease. Recently, glycogen-synthase kinase-3 has been shown to phosphorylate tau in vitro and in non-neuronal cells transfected with tau. The activity of glycogen-synthase kinase-3 can be down-regulated in response to insulin or insulin-like growth factor-1 through the activation of the phosphatidylinositol 3-kinase pathway. We therefore hypothesize that insulin or insulin-like growth factor-1 may affect tau phosphorylation through the inhibition of glycogen-synthase kinase-3 in neurons. Using cultured human neuronal NT2N cells, we demonstrate that glycogen-synthase kinase-3 phosphorylates tau and reduces its affinity for microtubules and that insulin and insulin-like growth factor-1 stimulation reduces tau phosphorylation and promotes tau binding to microtubules. We further demonstrate that these effects of insulin and insulin-like growth factor-1 are mediated through the inhibition of glycogen-synthase kinase-3 via the phosphatidylinositol 3-kinase/protein kinase B signaling pathway.\n", "author" : [ { "dropping-particle" : "", "family" : "Hong", "given" : "Ming", "non-dropping-particle" : "", "parse-names" : false, "suffix" : "" }, { "dropping-particle" : "", "family" : "Lee", "given" : "Virginia M.-Y.", "non-dropping-particle" : "", "parse-names" : false, "suffix" : "" } ], "container-title" : "J. Biol. Chem.", "id" : "ITEM-2", "issue" : "31", "issued" : { "date-parts" : [ [ "1997", "8", "1" ] ] }, "page" : "19547-19553", "title" : "Insulin and Insulin-like Growth Factor-1 Regulate Tau Phosphorylation in Cultured Human Neurons", "type" : "article-journal", "volume" : "272" }, "uris" : [ "http://www.mendeley.com/documents/?uuid=a1e9021e-3575-436d-9e44-8914a4a1174d" ] }, { "id" : "ITEM-3", "itemData" : { "DOI" : "10.1523/JNEUROSCI.3949-07.2007", "ISSN" : "0270-6474", "author" : [ { "dropping-particle" : "", "family" : "Planel", "given" : "E.", "non-dropping-particle" : "", "parse-names" : false, "suffix" : "" }, { "dropping-particle" : "", "family" : "Tatebayashi", "given" : "Y.", "non-dropping-particle" : "", "parse-names" : false, "suffix" : "" }, { "dropping-particle" : "", "family" : "Miyasaka", "given" : "T.", "non-dropping-particle" : "", "parse-names" : false, "suffix" : "" }, { "dropping-particle" : "", "family" : "Liu", "given" : "L.", "non-dropping-particle" : "", "parse-names" : false, "suffix" : "" }, { "dropping-particle" : "", "family" : "Wang", "given" : "L.", "non-dropping-particle" : "", "parse-names" : false, "suffix" : "" }, { "dropping-particle" : "", "family" : "Herman", "given" : "M.", "non-dropping-particle" : "", "parse-names" : false, "suffix" : "" }, { "dropping-particle" : "", "family" : "Yu", "given" : "W. H.", "non-dropping-particle" : "", "parse-names" : false, "suffix" : "" }, { "dropping-particle" : "", "family" : "Luchsinger", "given" : "J. A.", "non-dropping-particle" : "", "parse-names" : false, "suffix" : "" }, { "dropping-particle" : "", "family" : "Wadzinski", "given" : "B.", "non-dropping-particle" : "", "parse-names" : false, "suffix" : "" }, { "dropping-particle" : "", "family" : "Duff", "given" : "K. E.", "non-dropping-particle" : "", "parse-names" : false, "suffix" : "" }, { "dropping-particle" : "", "family" : "Takashima", "given" : "A.", "non-dropping-particle" : "", "parse-names" : false, "suffix" : "" } ], "container-title" : "Journal of Neuroscience", "id" : "ITEM-3", "issue" : "50", "issued" : { "date-parts" : [ [ "2007", "12", "12" ] ] }, "page" : "13635-13648", "publisher" : "Society for Neuroscience", "title" : "Insulin Dysfunction Induces In Vivo Tau Hyperphosphorylation through Distinct Mechanisms", "type" : "article-journal", "volume" : "27" }, "uris" : [ "http://www.mendeley.com/documents/?uuid=47afe72f-974a-353c-b7ca-d2afcea0bdea" ] } ], "mendeley" : { "formattedCitation" : "(Jin et al. 2011; Hong &amp; Lee 1997; Planel et al. 2007)", "plainTextFormattedCitation" : "(Jin et al. 2011; Hong &amp; Lee 1997; Planel et al. 2007)", "previouslyFormattedCitation" : "(Jin et al. 2011; Hong &amp; Lee 1997; Planel et al. 2007)" }, "properties" : { "noteIndex" : 0 }, "schema" : "https://github.com/citation-style-language/schema/raw/master/csl-citation.json" }</w:instrText>
      </w:r>
      <w:r w:rsidR="00E5091A" w:rsidRPr="002E2A28">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(Jin et al. 2011; Hong &amp; Lee 1997; Planel et al. 2007)</w:t>
      </w:r>
      <w:r w:rsidR="00E5091A" w:rsidRPr="002E2A28">
        <w:rPr>
          <w:rFonts w:ascii="Times New Roman" w:hAnsi="Times New Roman" w:cs="Times New Roman"/>
          <w:sz w:val="24"/>
          <w:szCs w:val="24"/>
        </w:rPr>
        <w:fldChar w:fldCharType="end"/>
      </w:r>
      <w:r w:rsidR="00777491" w:rsidRPr="002E2A28">
        <w:rPr>
          <w:rFonts w:ascii="Times New Roman" w:hAnsi="Times New Roman" w:cs="Times New Roman"/>
          <w:sz w:val="24"/>
          <w:szCs w:val="24"/>
        </w:rPr>
        <w:t>.</w:t>
      </w:r>
    </w:p>
    <w:p w14:paraId="20AA444B" w14:textId="256AEF7A" w:rsidR="001933B4" w:rsidRDefault="001933B4" w:rsidP="00C2382D">
      <w:pPr>
        <w:pStyle w:val="Body"/>
        <w:spacing w:line="360" w:lineRule="auto"/>
        <w:jc w:val="both"/>
        <w:rPr>
          <w:rFonts w:ascii="Times New Roman" w:hAnsi="Times New Roman" w:cs="Times New Roman"/>
          <w:color w:val="auto"/>
          <w:sz w:val="24"/>
          <w:szCs w:val="24"/>
        </w:rPr>
      </w:pPr>
      <w:r w:rsidRPr="001933B4">
        <w:rPr>
          <w:rFonts w:ascii="Times New Roman" w:hAnsi="Times New Roman" w:cs="Times New Roman"/>
          <w:color w:val="auto"/>
          <w:sz w:val="24"/>
          <w:szCs w:val="24"/>
        </w:rPr>
        <w:t xml:space="preserve">As </w:t>
      </w:r>
      <w:r w:rsidR="00777491">
        <w:rPr>
          <w:rFonts w:ascii="Times New Roman" w:hAnsi="Times New Roman" w:cs="Times New Roman"/>
          <w:color w:val="auto"/>
          <w:sz w:val="24"/>
          <w:szCs w:val="24"/>
        </w:rPr>
        <w:t>AD</w:t>
      </w:r>
      <w:r w:rsidRPr="001933B4">
        <w:rPr>
          <w:rFonts w:ascii="Times New Roman" w:hAnsi="Times New Roman" w:cs="Times New Roman"/>
          <w:color w:val="auto"/>
          <w:sz w:val="24"/>
          <w:szCs w:val="24"/>
        </w:rPr>
        <w:t xml:space="preserve"> progresses, NFTs progress sequentially through the neuroanatomy from the entorhinal cortex (Braak stages 1-2) to the limbi</w:t>
      </w:r>
      <w:r w:rsidR="003D0BB0">
        <w:rPr>
          <w:rFonts w:ascii="Times New Roman" w:hAnsi="Times New Roman" w:cs="Times New Roman"/>
          <w:color w:val="auto"/>
          <w:sz w:val="24"/>
          <w:szCs w:val="24"/>
        </w:rPr>
        <w:t>c</w:t>
      </w:r>
      <w:r w:rsidRPr="001933B4">
        <w:rPr>
          <w:rFonts w:ascii="Times New Roman" w:hAnsi="Times New Roman" w:cs="Times New Roman"/>
          <w:color w:val="auto"/>
          <w:sz w:val="24"/>
          <w:szCs w:val="24"/>
        </w:rPr>
        <w:t xml:space="preserve"> system (Braak stages 3-4) and eventually to the isocortex (Braak stages 5-6) </w:t>
      </w:r>
      <w:r w:rsidRPr="008F4B0E">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"ISSN" : "0001-6322", "PMID" : "1759558", "abstract" : "Eighty-three brains obtained at autopsy from nondemented and demented individuals were examined for extracellular amyloid deposits and intraneuronal neurofibrillary changes. The distribution pattern and packing density of amyloid deposits turned out to be of limited significance for differentiation of neuropathological stages. Neurofibrillary changes occurred in the form of neuritic plaques, neurofibrillary tangles and neuropil threads. The distribution of neuritic plaques varied widely not only within architectonic units but also from one individual to another. Neurofibrillary tangles and neuropil threads, in contrast, exhibited a characteristic distribution pattern permitting the differentiation of six stages. The first two stages were characterized by an either mild or severe alteration of the transentorhinal layer Pre-alpha (transentorhinal stages I-II). The two forms of limbic stages (stages III-IV) were marked by a conspicuous affection of layer Pre-alpha in both transentorhinal region and proper entorhinal cortex. In addition, there was mild involvement of the first Ammon's horn sector. The hallmark of the two isocortical stages (stages V-VI) was the destruction of virtually all isocortical association areas. The investigation showed that recognition of the six stages required qualitative evaluation of only a few key preparations.", "author" : [ { "dropping-particle" : "", "family" : "Braak", "given" : "H", "non-dropping-particle" : "", "parse-names" : false, "suffix" : "" }, { "dropping-particle" : "", "family" : "Braak", "given" : "E", "non-dropping-particle" : "", "parse-names" : false, "suffix" : "" } ], "container-title" : "Acta neuropathologica", "id" : "ITEM-1", "issue" : "4", "issued" : { "date-parts" : [ [ "1991", "1" ] ] }, "page" : "239-59", "title" : "Neuropathological stageing of Alzheimer-related changes.", "type" : "article-journal", "volume" : "82" }, "uris" : [ "http://www.mendeley.com/documents/?uuid=d415892b-80d7-48a0-8a2c-6973918d80ce" ] }, { "id" : "ITEM-2", "itemData" : { "DOI" : "10.1007/s00401-006-0127-z", "ISSN" : "0001-6322", "PMID" : "16906426", "abstract" : "Assessment of Alzheimer's disease (AD)-related neurofibrillary pathology requires a procedure that permits a sufficient differentiation between initial, intermediate, and late stages. The gradual deposition of a hyperphosphorylated tau protein within select neuronal types in specific nuclei or areas is central to the disease process. The staging of AD-related neurofibrillary pathology originally described in 1991 was performed on unconventionally thick sections (100 mum) using a modern silver technique and reflected the progress of the disease process based chiefly on the topographic expansion of the lesions. To better meet the demands of routine laboratories this procedure is revised here by adapting tissue selection and processing to the needs of paraffin-embedded sections (5-15 mum) and by introducing a robust immunoreaction (AT8) for hyperphosphorylated tau protein that can be processed on an automated basis. It is anticipated that this revised methodological protocol will enable a more uniform application of the staging procedure.", "author" : [ { "dropping-particle" : "", "family" : "Braak", "given" : "Heiko", "non-dropping-particle" : "", "parse-names" : false, "suffix" : "" }, { "dropping-particle" : "", "family" : "Alafuzoff", "given" : "Irina", "non-dropping-particle" : "", "parse-names" : false, "suffix" : "" }, { "dropping-particle" : "", "family" : "Arzberger", "given" : "Thomas", "non-dropping-particle" : "", "parse-names" : false, "suffix" : "" }, { "dropping-particle" : "", "family" : "Kretzschmar", "given" : "Hans", "non-dropping-particle" : "", "parse-names" : false, "suffix" : "" }, { "dropping-particle" : "", "family" : "Tredici", "given" : "Kelly", "non-dropping-particle" : "Del", "parse-names" : false, "suffix" : "" } ], "container-title" : "Acta neuropathologica", "id" : "ITEM-2", "issue" : "4", "issued" : { "date-parts" : [ [ "2006", "10" ] ] }, "page" : "389-404", "title" : "Staging of Alzheimer disease-associated neurofibrillary pathology using paraffin sections and immunocytochemistry.", "type" : "article-journal", "volume" : "112" }, "uris" : [ "http://www.mendeley.com/documents/?uuid=96e27538-7870-4e5a-914b-21bdf6e15f1e" ] } ], "mendeley" : { "formattedCitation" : "(Braak &amp; Braak 1991; Braak et al. 2006)", "plainTextFormattedCitation" : "(Braak &amp; Braak 1991; Braak et al. 2006)", "previouslyFormattedCitation" : "(Braak &amp; Braak 1991; Braak et al. 2006)" }, "properties" : { "noteIndex" : 0 }, "schema" : "https://github.com/citation-style-language/schema/raw/master/csl-citation.json" }</w:instrText>
      </w:r>
      <w:r w:rsidRPr="008F4B0E">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(Braak &amp; Braak 1991; Braak et al. 2006)</w:t>
      </w:r>
      <w:r w:rsidRPr="008F4B0E">
        <w:rPr>
          <w:rFonts w:ascii="Times New Roman" w:hAnsi="Times New Roman" w:cs="Times New Roman"/>
          <w:color w:val="auto"/>
          <w:sz w:val="24"/>
          <w:szCs w:val="24"/>
        </w:rPr>
        <w:fldChar w:fldCharType="end"/>
      </w:r>
      <w:r w:rsidRPr="008F4B0E">
        <w:rPr>
          <w:rFonts w:ascii="Times New Roman" w:hAnsi="Times New Roman" w:cs="Times New Roman"/>
          <w:color w:val="auto"/>
          <w:sz w:val="24"/>
          <w:szCs w:val="24"/>
        </w:rPr>
        <w:t>.</w:t>
      </w:r>
      <w:r w:rsidR="0095283D">
        <w:rPr>
          <w:rFonts w:ascii="Times New Roman" w:hAnsi="Times New Roman" w:cs="Times New Roman"/>
          <w:color w:val="auto"/>
          <w:sz w:val="24"/>
          <w:szCs w:val="24"/>
        </w:rPr>
        <w:t xml:space="preserve"> </w:t>
      </w:r>
      <w:r w:rsidRPr="001933B4">
        <w:rPr>
          <w:rFonts w:ascii="Times New Roman" w:hAnsi="Times New Roman" w:cs="Times New Roman"/>
          <w:color w:val="auto"/>
          <w:sz w:val="24"/>
          <w:szCs w:val="24"/>
        </w:rPr>
        <w:t>However, although senile plaques and NFTs are the classical lesions associated with AD, it is increasingly apparent now that these neuropathologies are not confined to clinically defined AD and can exist in the normal ag</w:t>
      </w:r>
      <w:r w:rsidR="00896802">
        <w:rPr>
          <w:rFonts w:ascii="Times New Roman" w:hAnsi="Times New Roman" w:cs="Times New Roman"/>
          <w:color w:val="auto"/>
          <w:sz w:val="24"/>
          <w:szCs w:val="24"/>
        </w:rPr>
        <w:t>e</w:t>
      </w:r>
      <w:r w:rsidRPr="001933B4">
        <w:rPr>
          <w:rFonts w:ascii="Times New Roman" w:hAnsi="Times New Roman" w:cs="Times New Roman"/>
          <w:color w:val="auto"/>
          <w:sz w:val="24"/>
          <w:szCs w:val="24"/>
        </w:rPr>
        <w:t xml:space="preserve">ing brain </w:t>
      </w:r>
      <w:r w:rsidR="0095283D">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"ISSN" : "0028-3878", "PMID" : "3185902", "abstract" : "We compared neuropsychological findings in 28 longitudinally evaluated elderly subjects with their postmortem neuropathology, including senile plaque and neurofibrillary tangle counts from standardized sections. Nine of the subjects were not demented when evaluated just prior to their death. Numerous cortical senile plaques and other changes of Alzheimer's disease (AD) occurred in six of nine nondemented old-old subjects. Five of these six subjects had shown decline on yearly neuropsychological tests but their cognitive impairment was too mild to meet clinical criteria for dementia. Whereas cortical senile plaque count did not distinguish well between demented and nondemented subjects, every subject with numerous cortical neurofibrillary tangles was demented. The nondemented subjects with Alzheimer pathology may have had \"preclinical\" AD, or numerous cortical plaques may occur in some elderly subjects who would never develop clinical dementia.", "author" : [ { "dropping-particle" : "", "family" : "Crystal", "given" : "H", "non-dropping-particle" : "", "parse-names" : false, "suffix" : "" }, { "dropping-particle" : "", "family" : "Dickson", "given" : "D", "non-dropping-particle" : "", "parse-names" : false, "suffix" : "" }, { "dropping-particle" : "", "family" : "Fuld", "given" : "P", "non-dropping-particle" : "", "parse-names" : false, "suffix" : "" }, { "dropping-particle" : "", "family" : "Masur", "given" : "D", "non-dropping-particle" : "", "parse-names" : false, "suffix" : "" }, { "dropping-particle" : "", "family" : "Scott", "given" : "R", "non-dropping-particle" : "", "parse-names" : false, "suffix" : "" }, { "dropping-particle" : "", "family" : "Mehler", "given" : "M", "non-dropping-particle" : "", "parse-names" : false, "suffix" : "" }, { "dropping-particle" : "", "family" : "Masdeu", "given" : "J", "non-dropping-particle" : "", "parse-names" : false, "suffix" : "" }, { "dropping-particle" : "", "family" : "Kawas", "given" : "C", "non-dropping-particle" : "", "parse-names" : false, "suffix" : "" }, { "dropping-particle" : "", "family" : "Aronson", "given" : "M", "non-dropping-particle" : "", "parse-names" : false, "suffix" : "" }, { "dropping-particle" : "", "family" : "Wolfson", "given" : "L", "non-dropping-particle" : "", "parse-names" : false, "suffix" : "" } ], "container-title" : "Neurology", "id" : "ITEM-1", "issue" : "11", "issued" : { "date-parts" : [ [ "1988", "11" ] ] }, "page" : "1682-7", "title" : "Clinico-pathologic studies in dementia: nondemented subjects with pathologically confirmed Alzheimer's disease.", "type" : "article-journal", "volume" : "38" }, "uris" : [ "http://www.mendeley.com/documents/?uuid=4a0e65c0-e235-31d0-be85-bc5cc5f5d779" ] }, { "id" : "ITEM-2", "itemData" : { "DOI" : "10.1212/WNL.42.9.1681", "ISSN" : "0028-3878", "author" : [ { "dropping-particle" : "V.", "family" : "Arriagada", "given" : "P.", "non-dropping-particle" : "", "parse-names" : false, "suffix" : "" }, { "dropping-particle" : "", "family" : "Marzloff", "given" : "K.", "non-dropping-particle" : "", "parse-names" : false, "suffix" : "" }, { "dropping-particle" : "", "family" : "Hyman", "given" : "B. T.", "non-dropping-particle" : "", "parse-names" : false, "suffix" : "" } ], "container-title" : "Neurology", "id" : "ITEM-2", "issue" : "9", "issued" : { "date-parts" : [ [ "1992", "9", "1" ] ] }, "page" : "1681-1681", "publisher" : "Lippincott Williams &amp; Wilkins", "title" : "Distribution of Alzheimer-type pathologic changes in nondemented elderly individuals matches the pattern in Alzheimer's disease", "type" : "article-journal", "volume" : "42" }, "uris" : [ "http://www.mendeley.com/documents/?uuid=434c7ba8-eaa8-378e-8abe-97ce2758ea57" ] }, { "id" : "ITEM-3", "itemData" : { "DOI" : "10.1371/journal.pmed.0020193", "ISSN" : "1549-1676", "author" : [ { "dropping-particle" : "", "family" : "Matthews", "given" : "Fiona", "non-dropping-particle" : "", "parse-names" : false, "suffix" : "" }, { "dropping-particle" : "", "family" : "Brayne", "given" : "Carol", "non-dropping-particle" : "", "parse-names" : false, "suffix" : "" }, { "dropping-particle" : "", "family" : "Investigators", "given" : "Medical Research Council Cognitive Function and Ageing Study", "non-dropping-particle" : "", "parse-names" : false, "suffix" : "" }, { "dropping-particle" : "", "family" : "Ott", "given" : "A", "non-dropping-particle" : "", "parse-names" : false, "suffix" : "" }, { "dropping-particle" : "", "family" : "Breteler", "given" : "MM", "non-dropping-particle" : "", "parse-names" : false, "suffix" : "" }, { "dropping-particle" : "van", "family" : "Harskamp", "given" : "F", "non-dropping-particle" : "", "parse-names" : false, "suffix" : "" }, { "dropping-particle" : "", "family" : "Stijnen", "given" : "T", "non-dropping-particle" : "", "parse-names" : false, "suffix" : "" }, { "dropping-particle" : "", "family" : "Hofman", "given" : "A", "non-dropping-particle" : "", "parse-names" : false, "suffix" : "" }, { "dropping-particle" : "", "family" : "Bachman", "given" : "DL", "non-dropping-particle" : "", "parse-names" : false, "suffix" : "" }, { "dropping-particle" : "", "family" : "Wolf", "given" : "PA", "non-dropping-particle" : "", "parse-names" : false, "suffix" : "" }, { "dropping-particle" : "", "family" : "Linn", "given" : "RT", "non-dropping-particle" : "", "parse-names" : false, "suffix" : "" }, { "dropping-particle" : "", "family" : "Knoefel", "given" : "JE", "non-dropping-particle" : "", "parse-names" : false, "suffix" : "" }, { "dropping-particle" : "", "family" : "Cobb", "given" : "JL", "non-dropping-particle" : "", "parse-names" : false, "suffix" : "" }, { "dropping-particle" : "", "family" : "Hebert", "given" : "LE", "non-dropping-particle" : "", "parse-names" : false, "suffix" : "" }, { "dropping-particle" : "", "family" : "Scherr", "given" : "PA", "non-dropping-particle" : "", "parse-names" : false, "suffix" : "" }, { "dropping-particle" : "", "family" : "Beckett", "given" : "LA", "non-dropping-particle" : "", "parse-names" : false, "suffix" : "" }, { "dropping-particle" : "", "family" : "Albert", "given" : "MS", "non-dropping-particle" : "", "parse-names" : false, "suffix" : "" }, { "dropping-particle" : "", "family" : "Pilgrim", "given" : "DM", "non-dropping-particle" : "", "parse-names" : false, "suffix" : "" }, { "dropping-particle" : "", "family" : "Miech", "given" : "RA", "non-dropping-particle" : "", "parse-names" : false, "suffix" : "" }, { "dropping-particle" : "", "family" : "Breitner", "given" : "JC", "non-dropping-particle" : "", "parse-names" : false, "suffix" : "" }, { "dropping-particle" : "", "family" : "Zandi", "given" : "PP", "non-dropping-particle" : "", "parse-names" : false, "suffix" : "" }, { "dropping-particle" : "", "family" : "Khachaturian", "given" : "AS", "non-dropping-particle" : "", "parse-names" : false, "suffix" : "" }, { "dropping-particle" : "", "family" : "Anthony", "given" : "JC", "non-dropping-particle" : "", "parse-names" : false, "suffix" : "" }, { "dropping-particle" : "Di", "family" : "Carlo", "given" : "A", "non-dropping-particle" : "", "parse-names" : false, "suffix" : "" }, { "dropping-particle" : "", "family" : "Baldereschi", "given" : "M", "non-dropping-particle" : "", "parse-names" : false, "suffix" : "" }, { "dropping-particle" : "", "family" : "Amaducci", "given" : "L", "non-dropping-particle" : "", "parse-names" : false, "suffix" : "" }, { "dropping-particle" : "", "family" : "Lepore", "given" : "V", "non-dropping-particle" : "", "parse-names" : false, "suffix" : "" }, { "dropping-particle" : "", "family" : "Bracco", "given" : "L", "non-dropping-particle" : "", "parse-names" : false, "suffix" : "" }, { "dropping-particle" : "", "family" : "Kukull", "given" : "WA", "non-dropping-particle" : "", "parse-names" : false, "suffix" : "" }, { "dropping-particle" : "", "family" : "Ganguli", "given" : "M", "non-dropping-particle" : "", "parse-names" : false, "suffix" : "" }, { "dropping-particle" : "", "family" : "Evans", "given" : "DA", "non-dropping-particle" : "", "parse-names" : false, "suffix" : "" }, { "dropping-particle" : "", "family" : "Bennett", "given" : "DA", "non-dropping-particle" : "", "parse-names" : false, "suffix" : "" }, { "dropping-particle" : "", "family" : "Wilson", "given" : "RS", "non-dropping-particle" : "", "parse-names" : false, "suffix" : "" }, { "dropping-particle" : "", "family" : "Bienias", "given" : "JL", "non-dropping-particle" : "", "parse-names" : false, "suffix" : "" }, { "dropping-particle" : "", "family" : "Morris", "given" : "MC", "non-dropping-particle" : "", "parse-names" : false, "suffix" : "" }, { "dropping-particle" : "", "family" : "Tang", "given" : "MX", "non-dropping-particle" : "", "parse-names" : false, "suffix" : "" }, { "dropping-particle" : "", "family" : "Cross", "given" : "P", "non-dropping-particle" : "", "parse-names" : false, "suffix" : "" }, { "dropping-particle" : "", "family" : "Andrews", "given" : "H", "non-dropping-particle" : "", "parse-names" : false, "suffix" : "" }, { "dropping-particle" : "", "family" : "Jacobs", "given" : "DM", "non-dropping-particle" : "", "parse-names" : false, "suffix" : "" }, { "dropping-particle" : "", "family" : "Small", "given" : "S", "non-dropping-particle" : "", "parse-names" : false, "suffix" : "" }, { "dropping-particle" : "", "family" : "Hendrie", "given" : "HC", "non-dropping-particle" : "", "parse-names" : false, "suffix" : "" }, { "dropping-particle" : "", "family" : "Ogunniyi", "given" : "A", "non-dropping-particle" : "", "parse-names" : false, "suffix" : "" }, { "dropping-particle" : "", "family" : "Hall", "given" : "KS", "non-dropping-particle" : "", "parse-names" : false, "suffix" : "" }, { "dropping-particle" : "", "family" : "Baiyewu", "given" : "O", "non-dropping-particle" : "", "parse-names" : false, "suffix" : "" }, { "dropping-particle" : "", "family" : "Unverzagt", "given" : "FW", "non-dropping-particle" : "", "parse-names" : false, "suffix" : "" }, { "dropping-particle" : "", "family" : "Chandra", "given" : "V", "non-dropping-particle" : "", "parse-names" : false, "suffix" : "" }, { "dropping-particle" : "", "family" : "Pandav", "given" : "R", "non-dropping-particle" : "", "parse-names" : false, "suffix" : "" }, { "dropping-particle" : "", "family" : "Dodge", "given" : "HH", "non-dropping-particle" : "", "parse-names" : false, "suffix" : "" }, { "dropping-particle" : "", "family" : "Johnston", "given" : "JM", "non-dropping-particle" : "", "parse-names" : false, "suffix" : "" }, { "dropping-particle" : "", "family" : "Belle", "given" : "SH", "non-dropping-particle" : "", "parse-names" : false, "suffix" : "" }, { "dropping-particle" : "", "family" : "Day", "given" : "N", "non-dropping-particle" : "", "parse-names" : false, "suffix" : "" }, { "dropping-particle" : "", "family" : "Oakes", "given" : "S", "non-dropping-particle" : "", "parse-names" : false, "suffix" : "" }, { "dropping-particle" : "", "family" : "Luben", "given" : "R", "non-dropping-particle" : "", "parse-names" : false, "suffix" : "" }, { "dropping-particle" : "", "family" : "Khaw", "given" : "KT", "non-dropping-particle" : "", "parse-names" : false, "suffix" : "" }, { "dropping-particle" : "", "family" : "Bingham", "given" : "S", "non-dropping-particle" : "", "parse-names" : false, "suffix" : "" }, { "dropping-particle" : "", "family" : "Forette", "given" : "F", "non-dropping-particle" : "", "parse-names" : false, "suffix" : "" }, { "dropping-particle" : "", "family" : "Seux", "given" : "ML", "non-dropping-particle" : "", "parse-names" : false, "suffix" : "" }, { "dropping-particle" : "", "family" : "Staessen", "given" : "JA", "non-dropping-particle" : "", "parse-names" : false, "suffix" : "" }, { "dropping-particle" : "", "family" : "Thijs", "given" : "L", "non-dropping-particle" : "", "parse-names" : false, "suffix" : "" }, { "dropping-particle" : "", "family" : "Birkenhager", "given" : "WH", "non-dropping-particle" : "", "parse-names" : false, "suffix" : "" }, { "dropping-particle" : "", "family" : "Parker", "given" : "CJ", "non-dropping-particle" : "", "parse-names" : false, "suffix" : "" }, { "dropping-particle" : "", "family" : "Morgan", "given" : "K", "non-dropping-particle" : "", "parse-names" : false, "suffix" : "" }, { "dropping-particle" : "", "family" : "Dewey", "given" : "ME", "non-dropping-particle" : "", "parse-names" : false, "suffix" : "" }, { "dropping-particle" : "", "family" : "Paykel", "given" : "ES", "non-dropping-particle" : "", "parse-names" : false, "suffix" : "" }, { "dropping-particle" : "", "family" : "Brayne", "given" : "C", "non-dropping-particle" : "", "parse-names" : false, "suffix" : "" }, { "dropping-particle" : "", "family" : "Huppert", "given" : "FA", "non-dropping-particle" : "", "parse-names" : false, "suffix" : "" }, { "dropping-particle" : "", "family" : "Gill", "given" : "C", "non-dropping-particle" : "", "parse-names" : false, "suffix" : "" }, { "dropping-particle" : "", "family" : "Barkley", "given" : "C", "non-dropping-particle" : "", "parse-names" : false, "suffix" : "" }, { "dropping-particle" : "", "family" : "Paykel", "given" : "ES", "non-dropping-particle" : "", "parse-names" : false, "suffix" : "" }, { "dropping-particle" : "", "family" : "Huppert", "given" : "FA", "non-dropping-particle" : "", "parse-names" : false, "suffix" : "" }, { "dropping-particle" : "", "family" : "Brayne", "given" : "C", "non-dropping-particle" : "", "parse-names" : false, "suffix" : "" }, { "dropping-particle" : "", "family" : "Jagger", "given" : "C", "non-dropping-particle" : "", "parse-names" : false, "suffix" : "" }, { "dropping-particle" : "", "family" : "Clarke", "given" : "M", "non-dropping-particle" : "", "parse-names" : false, "suffix" : "" }, { "dropping-particle" : "", "family" : "Anderson", "given" : "J", "non-dropping-particle" : "", "parse-names" : false, "suffix" : "" }, { "dropping-particle" : "", "family" : "Boothby", "given" : "H", "non-dropping-particle" : "", "parse-names" : false, "suffix" : "" }, { "dropping-particle" : "", "family" : "Blizard", "given" : "R", "non-dropping-particle" : "", "parse-names" : false, "suffix" : "" }, { "dropping-particle" : "", "family" : "Livingston", "given" : "G", "non-dropping-particle" : "", "parse-names" : false, "suffix" : "" }, { "dropping-particle" : "", "family" : "Mann", "given" : "AH", "non-dropping-particle" : "", "parse-names" : false, "suffix" : "" }, { "dropping-particle" : "", "family" : "Mann", "given" : "AH", "non-dropping-particle" : "", "parse-names" : false, "suffix" : "" }, { "dropping-particle" : "", "family" : "Livingston", "given" : "G", "non-dropping-particle" : "", "parse-names" : false, "suffix" : "" }, { "dropping-particle" : "", "family" : "Boothby", "given" : "H", "non-dropping-particle" : "", "parse-names" : false, "suffix" : "" }, { "dropping-particle" : "", "family" : "Blizard", "given" : "R", "non-dropping-particle" : "", "parse-names" : false, "suffix" : "" }, { "dropping-particle" : "", "family" : "Launer", "given" : "LJ", "non-dropping-particle" : "", "parse-names" : false, "suffix" : "" }, { "dropping-particle" : "", "family" : "Andersen", "given" : "K", "non-dropping-particle" : "", "parse-names" : false, "suffix" : "" }, { "dropping-particle" : "", "family" : "Dewey", "given" : "ME", "non-dropping-particle" : "", "parse-names" : false, "suffix" : "" }, { "dropping-particle" : "", "family" : "Letenneur", "given" : "L", "non-dropping-particle" : "", "parse-names" : false, "suffix" : "" }, { "dropping-particle" : "", "family" : "Ott", "given" : "A", "non-dropping-particle" : "", "parse-names" : false, "suffix" : "" }, { "dropping-particle" : "", "family" : "Raleigh", "given" : "VS", "non-dropping-particle" : "", "parse-names" : false, "suffix" : "" }, { "dropping-particle" : "", "family" : "Kiri", "given" : "VA", "non-dropping-particle" : "", "parse-names" : false, "suffix" : "" }, { "dropping-particle" : "", "family" : "Copeland", "given" : "JR", "non-dropping-particle" : "", "parse-names" : false, "suffix" : "" }, { "dropping-particle" : "", "family" : "McCracken", "given" : "CF", "non-dropping-particle" : "", "parse-names" : false, "suffix" : "" }, { "dropping-particle" : "", "family" : "Dewey", "given" : "ME", "non-dropping-particle" : "", "parse-names" : false, "suffix" : "" }, { "dropping-particle" : "", "family" : "Wilson", "given" : "KC", "non-dropping-particle" : "", "parse-names" : false, "suffix" : "" }, { "dropping-particle" : "", "family" : "Doran", "given" : "M", "non-dropping-particle" : "", "parse-names" : false, "suffix" : "" }, { "dropping-particle" : "", "family" : "Elias", "given" : "P", "non-dropping-particle" : "", "parse-names" : false, "suffix" : "" }, { "dropping-particle" : "", "family" : "Halstead", "given" : "K", "non-dropping-particle" : "", "parse-names" : false, "suffix" : "" }, { "dropping-particle" : "", "family" : "Prady", "given" : "K", "non-dropping-particle" : "", "parse-names" : false, "suffix" : "" }, { "dropping-particle" : "", "family" : "Wenger", "given" : "GC", "non-dropping-particle" : "", "parse-names" : false, "suffix" : "" }, { "dropping-particle" : "", "family" : "Jeffreys", "given" : "M", "non-dropping-particle" : "", "parse-names" : false, "suffix" : "" }, { "dropping-particle" : "", "family" : "Launer", "given" : "LJ", "non-dropping-particle" : "", "parse-names" : false, "suffix" : "" }, { "dropping-particle" : "", "family" : "Brayne", "given" : "C", "non-dropping-particle" : "", "parse-names" : false, "suffix" : "" }, { "dropping-particle" : "", "family" : "Breteler", "given" : "MM", "non-dropping-particle" : "", "parse-names" : false, "suffix" : "" }, { "dropping-particle" : "", "family" : "Rose", "given" : "GA", "non-dropping-particle" : "", "parse-names" : false, "suffix" : "" }, { "dropping-particle" : "", "family" : "Bond", "given" : "J", "non-dropping-particle" : "", "parse-names" : false, "suffix" : "" }, { "dropping-particle" : "", "family" : "Carstairs", "given" : "V", "non-dropping-particle" : "", "parse-names" : false, "suffix" : "" }, { "dropping-particle" : "", "family" : "Townsend", "given" : "P", "non-dropping-particle" : "", "parse-names" : false, "suffix" : "" }, { "dropping-particle" : "", "family" : "Copeland", "given" : "JR", "non-dropping-particle" : "", "parse-names" : false, "suffix" : "" }, { "dropping-particle" : "", "family" : "Dewey", "given" : "ME", "non-dropping-particle" : "", "parse-names" : false, "suffix" : "" }, { "dropping-particle" : "", "family" : "Griffiths-Jones", "given" : "HM", "non-dropping-particle" : "", "parse-names" : false, "suffix" : "" }, { "dropping-particle" : "", "family" : "Folstein", "given" : "MF", "non-dropping-particle" : "", "parse-names" : false, "suffix" : "" }, { "dropping-particle" : "", "family" : "Folstein", "given" : "SE", "non-dropping-particle" : "", "parse-names" : false, "suffix" : "" }, { "dropping-particle" : "", "family" : "McHugh", "given" : "PR", "non-dropping-particle" : "", "parse-names" : false, "suffix" : "" }, { "dropping-particle" : "", "family" : "Pepe", "given" : "MS", "non-dropping-particle" : "", "parse-names" : false, "suffix" : "" }, { "dropping-particle" : "", "family" : "Reilly", "given" : "M", "non-dropping-particle" : "", "parse-names" : false, "suffix" : "" }, { "dropping-particle" : "", "family" : "Fleming", "given" : "TR", "non-dropping-particle" : "", "parse-names" : false, "suffix" : "" }, { "dropping-particle" : "", "family" : "Brayne", "given" : "C", "non-dropping-particle" : "", "parse-names" : false, "suffix" : "" }, { "dropping-particle" : "", "family" : "Day", "given" : "N", "non-dropping-particle" : "", "parse-names" : false, "suffix" : "" }, { "dropping-particle" : "", "family" : "Gill", "given" : "C", "non-dropping-particle" : "", "parse-names" : false, "suffix" : "" }, { "dropping-particle" : "", "family" : "Efron", "given" : "B", "non-dropping-particle" : "", "parse-names" : false, "suffix" : "" }, { "dropping-particle" : "", "family" : "Tibshiranir", "given" : "RJ", "non-dropping-particle" : "", "parse-names" : false, "suffix" : "" }, { "dropping-particle" : "", "family" : "Hill", "given" : "GB", "non-dropping-particle" : "", "parse-names" : false, "suffix" : "" }, { "dropping-particle" : "", "family" : "Forbes", "given" : "WF", "non-dropping-particle" : "", "parse-names" : false, "suffix" : "" }, { "dropping-particle" : "", "family" : "Lindsay", "given" : "J", "non-dropping-particle" : "", "parse-names" : false, "suffix" : "" }, { "dropping-particle" : "", "family" : "McDowell", "given" : "I", "non-dropping-particle" : "", "parse-names" : false, "suffix" : "" }, { "dropping-particle" : "", "family" : "Ostbye", "given" : "T", "non-dropping-particle" : "", "parse-names" : false, "suffix" : "" }, { "dropping-particle" : "", "family" : "Dewey", "given" : "ME", "non-dropping-particle" : "", "parse-names" : false, "suffix" : "" }, { "dropping-particle" : "", "family" : "Saz", "given" : "P", "non-dropping-particle" : "", "parse-names" : false, "suffix" : "" }, { "dropping-particle" : "", "family" : "Matthews", "given" : "FE", "non-dropping-particle" : "", "parse-names" : false, "suffix" : "" }, { "dropping-particle" : "", "family" : "Chatfield", "given" : "M", "non-dropping-particle" : "", "parse-names" : false, "suffix" : "" }, { "dropping-particle" : "", "family" : "Freeman", "given" : "C", "non-dropping-particle" : "", "parse-names" : false, "suffix" : "" }, { "dropping-particle" : "", "family" : "McCracken", "given" : "C", "non-dropping-particle" : "", "parse-names" : false, "suffix" : "" }, { "dropping-particle" : "", "family" : "Brayne", "given" : "C", "non-dropping-particle" : "", "parse-names" : false, "suffix" : "" }, { "dropping-particle" : "", "family" : "Wilkins", "given" : "K", "non-dropping-particle" : "", "parse-names" : false, "suffix" : "" }, { "dropping-particle" : "", "family" : "Parsons", "given" : "GF", "non-dropping-particle" : "", "parse-names" : false, "suffix" : "" }, { "dropping-particle" : "", "family" : "Gentleman", "given" : "JF", "non-dropping-particle" : "", "parse-names" : false, "suffix" : "" }, { "dropping-particle" : "", "family" : "Forbes", "given" : "WF", "non-dropping-particle" : "", "parse-names" : false, "suffix" : "" }, { "dropping-particle" : "", "family" : "Copeland", "given" : "JR", "non-dropping-particle" : "", "parse-names" : false, "suffix" : "" }, { "dropping-particle" : "", "family" : "Dewey", "given" : "ME", "non-dropping-particle" : "", "parse-names" : false, "suffix" : "" }, { "dropping-particle" : "", "family" : "Henderson", "given" : "AS", "non-dropping-particle" : "", "parse-names" : false, "suffix" : "" }, { "dropping-particle" : "", "family" : "Kay", "given" : "DW", "non-dropping-particle" : "", "parse-names" : false, "suffix" : "" }, { "dropping-particle" : "", "family" : "Neal", "given" : "CD", "non-dropping-particle" : "", "parse-names" : false, "suffix" : "" }, { "dropping-particle" : "", "family" : "Copeland", "given" : "JR", "non-dropping-particle" : "", "parse-names" : false, "suffix" : "" }, { "dropping-particle" : "", "family" : "Dewey", "given" : "ME", "non-dropping-particle" : "", "parse-names" : false, "suffix" : "" }, { "dropping-particle" : "", "family" : "Griffiths-Jones", "given" : "HM", "non-dropping-particle" : "", "parse-names" : false, "suffix" : "" }, { "dropping-particle" : "", "family" : "Kay", "given" : "DWK", "non-dropping-particle" : "", "parse-names" : false, "suffix" : "" }, { "dropping-particle" : "", "family" : "Dewey", "given" : "ME", "non-dropping-particle" : "", "parse-names" : false, "suffix" : "" }, { "dropping-particle" : "", "family" : "McKeith", "given" : "IG", "non-dropping-particle" : "", "parse-names" : false, "suffix" : "" }, { "dropping-particle" : "", "family" : "O'Cuill", "given" : "M", "non-dropping-particle" : "", "parse-names" : false, "suffix" : "" }, { "dropping-particle" : "", "family" : "McCracken", "given" : "C", "non-dropping-particle" : "", "parse-names" : false, "suffix" : "" }, { "dropping-particle" : "", "family" : "Letenneur", "given" : "L", "non-dropping-particle" : "", "parse-names" : false, "suffix" : "" }, { "dropping-particle" : "", "family" : "Commenges", "given" : "D", "non-dropping-particle" : "", "parse-names" : false, "suffix" : "" }, { "dropping-particle" : "", "family" : "Dartigues", "given" : "JF", "non-dropping-particle" : "", "parse-names" : false, "suffix" : "" }, { "dropping-particle" : "", "family" : "Barberger-Gateau", "given" : "P", "non-dropping-particle" : "", "parse-names" : false, "suffix" : "" }, { "dropping-particle" : "", "family" : "Gao", "given" : "S", "non-dropping-particle" : "", "parse-names" : false, "suffix" : "" }, { "dropping-particle" : "", "family" : "Hui", "given" : "SL", "non-dropping-particle" : "", "parse-names" : false, "suffix" : "" }, { "dropping-particle" : "", "family" : "Jorm", "given" : "AF", "non-dropping-particle" : "", "parse-names" : false, "suffix" : "" }, { "dropping-particle" : "", "family" : "Jolley", "given" : "D", "non-dropping-particle" : "", "parse-names" : false, "suffix" : "" }, { "dropping-particle" : "", "family" : "Ritchie", "given" : "K", "non-dropping-particle" : "", "parse-names" : false, "suffix" : "" }, { "dropping-particle" : "", "family" : "Kildea", "given" : "D", "non-dropping-particle" : "", "parse-names" : false, "suffix" : "" }, { "dropping-particle" : "", "family" : "Summerfield", "given" : "C", "non-dropping-particle" : "", "parse-names" : false, "suffix" : "" }, { "dropping-particle" : "", "family" : "Babb", "given" : "P", "non-dropping-particle" : "", "parse-names" : false, "suffix" : "" } ], "container-title" : "PLoS Medicine", "editor" : [ { "dropping-particle" : "", "family" : "Harvey", "given" : "Richard J.", "non-dropping-particle" : "", "parse-names" : false, "suffix" : "" } ], "id" : "ITEM-3", "issue" : "8", "issued" : { "date-parts" : [ [ "2005", "8", "23" ] ] }, "page" : "e193", "publisher" : "Public Library of Science", "title" : "The Incidence of Dementia in England and Wales: Findings from the Five Identical Sites of the MRC CFA Study", "type" : "article-journal", "volume" : "2" }, "uris" : [ "http://www.mendeley.com/documents/?uuid=35c14f5d-5cd7-306c-81e3-aac2fc74f89e" ] }, { "id" : "ITEM-4", "itemData" : { "DOI" : "10.1212/01.wnl.0000219668.47116.e6", "ISSN" : "1526-632X", "PMID" : "16801647", "abstract" : "OBJECTIVE: To examine the relation of National Institute on Aging-Reagan (NIA-Reagan) neuropathologic criteria of Alzheimer disease (AD) to level of cognitive function in persons without dementia or mild cognitive impairment (MCI).\n\nMETHODS: More than 2,000 persons without dementia participating in the Religious Orders Study or the Memory and Aging Project agreed to annual detailed clinical evaluation and brain donation. The studies had 19 neuropsychological performance tests in common that assessed five cognitive domains, including episodic memory, semantic memory, working memory, perceptual speed, and visuospatial ability. A total of 134 persons without cognitive impairment died and underwent brain autopsy and postmortem assessment for AD pathology using NIA-Reagan neuropathologic criteria for AD, cerebral infarctions, and Lewy bodies. Linear regression was used to examine the relation of AD pathology to level of cognitive function proximate to death.\n\nRESULTS: Two (1.5%) persons met NIA-Reagan criteria for high likelihood AD, and 48 (35.8%) met criteria for intermediate likelihood; 29 (21.6%) had cerebral infarctions, and 18 (13.4%) had Lewy bodies. The mean Mini-Mental State Examination score proximate to death was 28.2 for those meeting high or intermediate likelihood AD by NIA-Reagan criteria and 28.4 for those not meeting criteria. In linear regression models adjusted for age, sex, and education, persons meeting criteria for intermediate or high likelihood AD scored about a quarter standard unit lower on tests of episodic memory (p = 0.01). There were no significant differences in any other cognitive domain.\n\nCONCLUSIONS: Alzheimer disease pathology can be found in the brains of older persons without dementia or mild cognitive impairment and is related to subtle changes in episodic memory.", "author" : [ { "dropping-particle" : "", "family" : "Bennett", "given" : "D A", "non-dropping-particle" : "", "parse-names" : false, "suffix" : "" }, { "dropping-particle" : "", "family" : "Schneider", "given" : "J A", "non-dropping-particle" : "", "parse-names" : false, "suffix" : "" }, { "dropping-particle" : "", "family" : "Arvanitakis", "given" : "Z", "non-dropping-particle" : "", "parse-names" : false, "suffix" : "" }, { "dropping-particle" : "", "family" : "Kelly", "given" : "J F", "non-dropping-particle" : "", "parse-names" : false, "suffix" : "" }, { "dropping-particle" : "", "family" : "Aggarwal", "given" : "N T", "non-dropping-particle" : "", "parse-names" : false, "suffix" : "" }, { "dropping-particle" : "", "family" : "Shah", "given" : "R C", "non-dropping-particle" : "", "parse-names" : false, "suffix" : "" }, { "dropping-particle" : "", "family" : "Wilson", "given" : "R S", "non-dropping-particle" : "", "parse-names" : false, "suffix" : "" } ], "container-title" : "Neurology", "id" : "ITEM-4", "issue" : "12", "issued" : { "date-parts" : [ [ "2006", "6", "27" ] ] }, "page" : "1837-44", "title" : "Neuropathology of older persons without cognitive impairment from two community-based studies.", "type" : "article-journal", "volume" : "66" }, "uris" : [ "http://www.mendeley.com/documents/?uuid=02433af9-e9f7-40f8-82f4-6a207ebdc0eb" ] } ], "mendeley" : { "formattedCitation" : "(Crystal et al. 1988; Arriagada et al. 1992; Matthews et al. 2005; Bennett et al. 2006)", "plainTextFormattedCitation" : "(Crystal et al. 1988; Arriagada et al. 1992; Matthews et al. 2005; Bennett et al. 2006)", "previouslyFormattedCitation" : "(Crystal et al. 1988; Arriagada et al. 1992; Matthews et al. 2005; Bennett et al. 2006)" }, "properties" : { "noteIndex" : 0 }, "schema" : "https://github.com/citation-style-language/schema/raw/master/csl-citation.json" }</w:instrText>
      </w:r>
      <w:r w:rsidR="0095283D">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(Crystal et al. 1988; Arriagada et al. 1992; Matthews et al. 2005; Bennett et al. 2006)</w:t>
      </w:r>
      <w:r w:rsidR="0095283D">
        <w:rPr>
          <w:rFonts w:ascii="Times New Roman" w:hAnsi="Times New Roman" w:cs="Times New Roman"/>
          <w:color w:val="auto"/>
          <w:sz w:val="24"/>
          <w:szCs w:val="24"/>
        </w:rPr>
        <w:fldChar w:fldCharType="end"/>
      </w:r>
      <w:r w:rsidR="00A46602">
        <w:rPr>
          <w:rFonts w:ascii="Times New Roman" w:hAnsi="Times New Roman" w:cs="Times New Roman"/>
          <w:color w:val="auto"/>
          <w:sz w:val="24"/>
          <w:szCs w:val="24"/>
        </w:rPr>
        <w:t xml:space="preserve">. </w:t>
      </w:r>
      <w:r w:rsidRPr="001933B4">
        <w:rPr>
          <w:rFonts w:ascii="Times New Roman" w:hAnsi="Times New Roman" w:cs="Times New Roman"/>
          <w:sz w:val="24"/>
          <w:szCs w:val="24"/>
        </w:rPr>
        <w:t>Further</w:t>
      </w:r>
      <w:r w:rsidR="008F4B0E">
        <w:rPr>
          <w:rFonts w:ascii="Times New Roman" w:hAnsi="Times New Roman" w:cs="Times New Roman"/>
          <w:sz w:val="24"/>
          <w:szCs w:val="24"/>
        </w:rPr>
        <w:t>more</w:t>
      </w:r>
      <w:r w:rsidRPr="001933B4">
        <w:rPr>
          <w:rFonts w:ascii="Times New Roman" w:hAnsi="Times New Roman" w:cs="Times New Roman"/>
          <w:sz w:val="24"/>
          <w:szCs w:val="24"/>
        </w:rPr>
        <w:t xml:space="preserve">, </w:t>
      </w:r>
      <w:r w:rsidRPr="00A46602">
        <w:rPr>
          <w:rFonts w:ascii="Times New Roman" w:hAnsi="Times New Roman" w:cs="Times New Roman"/>
          <w:color w:val="auto"/>
          <w:sz w:val="24"/>
          <w:szCs w:val="24"/>
        </w:rPr>
        <w:t>neither plaques nor tangles correlate well with cognitive performance</w:t>
      </w:r>
      <w:r w:rsidR="00A46602">
        <w:rPr>
          <w:rFonts w:ascii="Times New Roman" w:hAnsi="Times New Roman" w:cs="Times New Roman"/>
          <w:color w:val="auto"/>
          <w:sz w:val="24"/>
          <w:szCs w:val="24"/>
        </w:rPr>
        <w:t xml:space="preserve"> and there is an overlap between demented and non-demented individuals with respect to AD pathology, which increases with age</w:t>
      </w:r>
      <w:r w:rsidRPr="001933B4">
        <w:rPr>
          <w:rFonts w:ascii="Times New Roman" w:hAnsi="Times New Roman" w:cs="Times New Roman"/>
          <w:sz w:val="24"/>
          <w:szCs w:val="24"/>
        </w:rPr>
        <w:t xml:space="preserve"> </w:t>
      </w:r>
      <w:r w:rsidR="00327461" w:rsidRPr="00327461">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"10.1056/NEJMoa0806142", "ISSN" : "0028-4793", "abstract" : "Background Research in Alzheimer's disease is focused mainly on younger old persons, whereas studies involving very old persons report attenuated relationships between the pathological features of Alzheimer's disease and dementia. Methods We assessed 456 brains donated to the population-based Medical Research Council Cognitive Function and Ageing Study from persons 69 to 103 years of age at death. We used a standard neuropathological protocol that included measures of the pathological features of Alzheimer's disease, cerebral atrophy, and cerebrovascular disease. Neuropathological variables were dichotomized to represent no burden or a mild burden of pathological lesions as compared with a moderate or severe burden. Logistic regression was used to estimate the effect of age on the relationship between neuropathological features and dementia. Results The difference in the prevalence of moderate and severe Alzheimer's-type pathological changes between persons with and those without dementia decreased with i...", "author" : [ { "dropping-particle" : "", "family" : "Savva", "given" : "George M.", "non-dropping-particle" : "", "parse-names" : false, "suffix" : "" }, { "dropping-particle" : "", "family" : "Wharton", "given" : "Stephen B.", "non-dropping-particle" : "", "parse-names" : false, "suffix" : "" }, { "dropping-particle" : "", "family" : "Ince", "given" : "Paul G.", "non-dropping-particle" : "", "parse-names" : false, "suffix" : "" }, { "dropping-particle" : "", "family" : "Forster", "given" : "Gillian", "non-dropping-particle" : "", "parse-names" : false, "suffix" : "" }, { "dropping-particle" : "", "family" : "Matthews", "given" : "Fiona E.", "non-dropping-particle" : "", "parse-names" : false, "suffix" : "" }, { "dropping-particle" : "", "family" : "Brayne", "given" : "Carol", "non-dropping-particle" : "", "parse-names" : false, "suffix" : "" } ], "container-title" : "New England Journal of Medicine", "id" : "ITEM-1", "issue" : "22", "issued" : { "date-parts" : [ [ "2009", "5", "28" ] ] }, "page" : "2302-2309", "publisher" : " Massachusetts Medical Society ", "title" : "Age, Neuropathology, and Dementia", "type" : "article-journal", "volume" : "360" }, "uris" : [ "http://www.mendeley.com/documents/?uuid=0ba2a4af-a673-3181-90b4-a0cd41dd14f6" ] } ], "mendeley" : { "formattedCitation" : "(Savva et al. 2009)", "plainTextFormattedCitation" : "(Savva et al. 2009)", "previouslyFormattedCitation" : "(Savva et al. 2009)" }, "properties" : { "noteIndex" : 0 }, "schema" : "https://github.com/citation-style-language/schema/raw/master/csl-citation.json" }</w:instrText>
      </w:r>
      <w:r w:rsidR="00327461" w:rsidRPr="00327461">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(Savva et al. 2009)</w:t>
      </w:r>
      <w:r w:rsidR="00327461" w:rsidRPr="00327461">
        <w:rPr>
          <w:rFonts w:ascii="Times New Roman" w:hAnsi="Times New Roman" w:cs="Times New Roman"/>
          <w:color w:val="auto"/>
          <w:sz w:val="24"/>
          <w:szCs w:val="24"/>
        </w:rPr>
        <w:fldChar w:fldCharType="end"/>
      </w:r>
      <w:r w:rsidR="00A46602" w:rsidRPr="00327461">
        <w:rPr>
          <w:rFonts w:ascii="Times New Roman" w:hAnsi="Times New Roman" w:cs="Times New Roman"/>
          <w:sz w:val="24"/>
          <w:szCs w:val="24"/>
        </w:rPr>
        <w:t>.</w:t>
      </w:r>
      <w:r w:rsidR="00A46602">
        <w:rPr>
          <w:rFonts w:ascii="Times New Roman" w:hAnsi="Times New Roman" w:cs="Times New Roman"/>
          <w:sz w:val="24"/>
          <w:szCs w:val="24"/>
        </w:rPr>
        <w:t xml:space="preserve"> This</w:t>
      </w:r>
      <w:r w:rsidRPr="001933B4">
        <w:rPr>
          <w:rFonts w:ascii="Times New Roman" w:hAnsi="Times New Roman" w:cs="Times New Roman"/>
          <w:sz w:val="24"/>
          <w:szCs w:val="24"/>
        </w:rPr>
        <w:t xml:space="preserve"> highlights the need for other diagnostic biomarkers of disease progression that reflect cognitive decline</w:t>
      </w:r>
      <w:r w:rsidRPr="001933B4">
        <w:rPr>
          <w:rFonts w:ascii="Times New Roman" w:hAnsi="Times New Roman" w:cs="Times New Roman"/>
          <w:color w:val="auto"/>
          <w:sz w:val="24"/>
          <w:szCs w:val="24"/>
        </w:rPr>
        <w:t xml:space="preserve">. </w:t>
      </w:r>
      <w:r w:rsidR="003A57D6" w:rsidRPr="003A57D6">
        <w:rPr>
          <w:rFonts w:ascii="Times New Roman" w:hAnsi="Times New Roman" w:cs="Times New Roman"/>
          <w:color w:val="auto"/>
          <w:sz w:val="24"/>
          <w:szCs w:val="24"/>
        </w:rPr>
        <w:t xml:space="preserve">In addition caspases have been implicated in the formation of AD-related tau pathology as they have been shown to cleave tau, which induces nucleation dependent filament formation and subsequent formation of pathological forms of tau </w:t>
      </w:r>
      <w:r w:rsidR="00A31DBE">
        <w:rPr>
          <w:rFonts w:ascii="Times New Roman" w:hAnsi="Times New Roman" w:cs="Times New Roman"/>
          <w:color w:val="auto"/>
          <w:sz w:val="24"/>
          <w:szCs w:val="24"/>
        </w:rPr>
        <w:fldChar w:fldCharType="begin" w:fldLock="1"/>
      </w:r>
      <w:r w:rsidR="00A31DBE">
        <w:rPr>
          <w:rFonts w:ascii="Times New Roman" w:hAnsi="Times New Roman" w:cs="Times New Roman"/>
          <w:color w:val="auto"/>
          <w:sz w:val="24"/>
          <w:szCs w:val="24"/>
        </w:rPr>
        <w:instrText>ADDIN CSL_CITATION { "citationItems" : [ { "id" : "ITEM-1", "itemData" : { "DOI" : "10.1172/JCI20640", "ISSN" : "0021-9738", "PMID" : "15232619", "abstract" : "Neurofibrillary tangles (NFTs) are composed of abnormal aggregates of the cytoskeletal protein tau. Together with amyloid beta (Abeta) plaques and neuronal and synaptic loss, NFTs constitute the primary pathological hallmarks of Alzheimer disease (AD). Recent evidence also suggests that caspases are activated early in the progression of AD and may play a role in neuronal loss and NFT pathology. Here we demonstrate that tau is cleaved at D421 (DeltaTau) by executioner caspases. Following caspase-cleavage, DeltaTau facilitates nucleation-dependent filament formation and readily adopts a conformational change recognized by the early pathological tau marker MC1. DeltaTau can be phosphorylated by glycogen synthase kinase-3beta and subsequently recognized by the NFT antibody PHF-1. In transgenic mice and AD brains, DeltaTau associates with both early and late markers of NFTs and is correlated with cognitive decline. Additionally, DeltaTau colocalizes with Abeta(1-42) and is induced by Abeta(1-42) in vitro. Collectively, our data imply that Abeta accumulation triggers caspase activation, leading to caspase-cleavage of tau, and that this is an early event that may precede hyperphosphorylation in the evolution of AD tangle pathology. These results suggest that therapeutics aimed at inhibiting tau caspase-cleavage may prove beneficial not only in preventing NFT formation, but also in slowing cognitive decline.", "author" : [ { "dropping-particle" : "", "family" : "Rissman", "given" : "Robert A", "non-dropping-particle" : "", "parse-names" : false, "suffix" : "" }, { "dropping-particle" : "", "family" : "Poon", "given" : "Wayne W", "non-dropping-particle" : "", "parse-names" : false, "suffix" : "" }, { "dropping-particle" : "", "family" : "Blurton-Jones", "given" : "Mathew", "non-dropping-particle" : "", "parse-names" : false, "suffix" : "" }, { "dropping-particle" : "", "family" : "Oddo", "given" : "Salvatore", "non-dropping-particle" : "", "parse-names" : false, "suffix" : "" }, { "dropping-particle" : "", "family" : "Torp", "given" : "Reidun", "non-dropping-particle" : "", "parse-names" : false, "suffix" : "" }, { "dropping-particle" : "", "family" : "Vitek", "given" : "Michael P", "non-dropping-particle" : "", "parse-names" : false, "suffix" : "" }, { "dropping-particle" : "", "family" : "LaFerla", "given" : "Frank M", "non-dropping-particle" : "", "parse-names" : false, "suffix" : "" }, { "dropping-particle" : "", "family" : "Rohn", "given" : "Troy T", "non-dropping-particle" : "", "parse-names" : false, "suffix" : "" }, { "dropping-particle" : "", "family" : "Cotman", "given" : "Carl W", "non-dropping-particle" : "", "parse-names" : false, "suffix" : "" } ], "container-title" : "The Journal of clinical investigation", "id" : "ITEM-1", "issue" : "1", "issued" : { "date-parts" : [ [ "2004", "7" ] ] }, "page" : "121-30", "publisher" : "American Society for Clinical Investigation", "title" : "Caspase-cleavage of tau is an early event in Alzheimer disease tangle pathology.", "type" : "article-journal", "volume" : "114" }, "uris" : [ "http://www.mendeley.com/documents/?uuid=37f3a875-c21e-3cdf-b73e-a8843d233e71" ] } ], "mendeley" : { "formattedCitation" : "(Rissman et al. 2004)", "plainTextFormattedCitation" : "(Rissman et al. 2004)", "previouslyFormattedCitation" : "(Rissman et al. 2004)" }, "properties" : { "noteIndex" : 0 }, "schema" : "https://github.com/citation-style-language/schema/raw/master/csl-citation.json" }</w:instrText>
      </w:r>
      <w:r w:rsidR="00A31DBE">
        <w:rPr>
          <w:rFonts w:ascii="Times New Roman" w:hAnsi="Times New Roman" w:cs="Times New Roman"/>
          <w:color w:val="auto"/>
          <w:sz w:val="24"/>
          <w:szCs w:val="24"/>
        </w:rPr>
        <w:fldChar w:fldCharType="separate"/>
      </w:r>
      <w:r w:rsidR="00A31DBE" w:rsidRPr="00A31DBE">
        <w:rPr>
          <w:rFonts w:ascii="Times New Roman" w:hAnsi="Times New Roman" w:cs="Times New Roman"/>
          <w:noProof/>
          <w:color w:val="auto"/>
          <w:sz w:val="24"/>
          <w:szCs w:val="24"/>
        </w:rPr>
        <w:t>(Rissman et al. 2004)</w:t>
      </w:r>
      <w:r w:rsidR="00A31DBE">
        <w:rPr>
          <w:rFonts w:ascii="Times New Roman" w:hAnsi="Times New Roman" w:cs="Times New Roman"/>
          <w:color w:val="auto"/>
          <w:sz w:val="24"/>
          <w:szCs w:val="24"/>
        </w:rPr>
        <w:fldChar w:fldCharType="end"/>
      </w:r>
      <w:r w:rsidR="003A57D6" w:rsidRPr="003A57D6">
        <w:rPr>
          <w:rFonts w:ascii="Times New Roman" w:hAnsi="Times New Roman" w:cs="Times New Roman"/>
          <w:color w:val="auto"/>
          <w:sz w:val="24"/>
          <w:szCs w:val="24"/>
        </w:rPr>
        <w:t>. Recent work suggests that caspase 2 may be implicated in this step as opposed to caspase 3 and that Aβ aggregation initially triggers the caspase-induced tau cleavage</w:t>
      </w:r>
      <w:r w:rsidR="00A31DBE">
        <w:rPr>
          <w:rFonts w:ascii="Times New Roman" w:hAnsi="Times New Roman" w:cs="Times New Roman"/>
          <w:color w:val="auto"/>
          <w:sz w:val="24"/>
          <w:szCs w:val="24"/>
        </w:rPr>
        <w:t xml:space="preserve"> </w:t>
      </w:r>
      <w:r w:rsidR="00A31DBE">
        <w:rPr>
          <w:rFonts w:ascii="Times New Roman" w:hAnsi="Times New Roman" w:cs="Times New Roman"/>
          <w:color w:val="auto"/>
          <w:sz w:val="24"/>
          <w:szCs w:val="24"/>
        </w:rPr>
        <w:fldChar w:fldCharType="begin" w:fldLock="1"/>
      </w:r>
      <w:r w:rsidR="00A31DBE">
        <w:rPr>
          <w:rFonts w:ascii="Times New Roman" w:hAnsi="Times New Roman" w:cs="Times New Roman"/>
          <w:color w:val="auto"/>
          <w:sz w:val="24"/>
          <w:szCs w:val="24"/>
        </w:rPr>
        <w:instrText>ADDIN CSL_CITATION { "citationItems" : [ { "id" : "ITEM-1", "itemData" : { "DOI" : "10.1016/j.jalz.2016.03.018", "ISSN" : "15525260", "PMID" : "27154059", "abstract" : "Alzheimer's Association Research Roundtable Fall 2015-Tau: From research to clinical development. Tau pathology is recognized as the key driver of disease progression in Alzheimer's and other neurodegenerative diseases. Although this makes tau an attractive target for the development of novel diagnostic and therapeutic strategies, the mechanisms underlying the onset and progression of tau-related neurotoxicity remain elusive. Recent strides in the development of sophisticated preclinical models and the emergence of tau PET imaging and fluid biomarkers provide new opportunities to increase our understanding of tau biology, overcome translational challenges, and accelerate the advancement of tau therapeutics from bench to bedside. With this in mind, the Alzheimer's Association convened a Research Roundtable in October 2015, bringing together experts from academia, industry, and regulatory agencies to discuss the latest understanding of tau pathogenic pathways and review the evolution of tau therapeutics and biomarkers currently in development. The meeting provided a forum to share experience and expertise with the common goal of advancing the discovery and development of new treatment strategies and expediting the design and implementation of efficient clinical trials.", "author" : [ { "dropping-particle" : "", "family" : "Holtzman", "given" : "David M.", "non-dropping-particle" : "", "parse-names" : false, "suffix" : "" }, { "dropping-particle" : "", "family" : "Carrillo", "given" : "Maria C.", "non-dropping-particle" : "", "parse-names" : false, "suffix" : "" }, { "dropping-particle" : "", "family" : "Hendrix", "given" : "James A.", "non-dropping-particle" : "", "parse-names" : false, "suffix" : "" }, { "dropping-particle" : "", "family" : "Bain", "given" : "Lisa J.", "non-dropping-particle" : "", "parse-names" : false, "suffix" : "" }, { "dropping-particle" : "", "family" : "Catafau", "given" : "Ana M.", "non-dropping-particle" : "", "parse-names" : false, "suffix" : "" }, { "dropping-particle" : "", "family" : "Gault", "given" : "Laura M.", "non-dropping-particle" : "", "parse-names" : false, "suffix" : "" }, { "dropping-particle" : "", "family" : "Goedert", "given" : "Michel", "non-dropping-particle" : "", "parse-names" : false, "suffix" : "" }, { "dropping-particle" : "", "family" : "Mandelkow", "given" : "Eckhard", "non-dropping-particle" : "", "parse-names" : false, "suffix" : "" }, { "dropping-particle" : "", "family" : "Mandelkow", "given" : "Eva-Maria", "non-dropping-particle" : "", "parse-names" : false, "suffix" : "" }, { "dropping-particle" : "", "family" : "Miller", "given" : "David S.", "non-dropping-particle" : "", "parse-names" : false, "suffix" : "" }, { "dropping-particle" : "", "family" : "Ostrowitzki", "given" : "Susanne", "non-dropping-particle" : "", "parse-names" : false, "suffix" : "" }, { "dropping-particle" : "", "family" : "Polydoro", "given" : "Manuela", "non-dropping-particle" : "", "parse-names" : false, "suffix" : "" }, { "dropping-particle" : "", "family" : "Smith", "given" : "Sean", "non-dropping-particle" : "", "parse-names" : false, "suffix" : "" }, { "dropping-particle" : "", "family" : "Wittmann", "given" : "Marion", "non-dropping-particle" : "", "parse-names" : false, "suffix" : "" }, { "dropping-particle" : "", "family" : "Hutton", "given" : "Michael", "non-dropping-particle" : "", "parse-names" : false, "suffix" : "" } ], "container-title" : "Alzheimer's &amp; Dementia", "id" : "ITEM-1", "issue" : "10", "issued" : { "date-parts" : [ [ "2016", "10" ] ] }, "page" : "1033-1039", "title" : "Tau: From research to clinical development", "type" : "article-journal", "volume" : "12" }, "uris" : [ "http://www.mendeley.com/documents/?uuid=0a3bbe3c-c7f1-3c19-b8d9-4c55fa80d8ed" ] }, { "id" : "ITEM-2", "itemData" : { "DOI" : "10.1097/NEN.0b013e31822ac9c9", "ISSN" : "1554-6578", "PMID" : "21865886", "abstract" : "Neurofibrillary tangles (NFTs) have been implicated in mediating neuronal death and disease progression in human tauopathies; however, mounting in vivo data suggest that NFTs may not be the primary initiators of neurotoxicity. Caspase activity has been implicated in processes associated with the development of tauopathy, but the position that caspase activation holds in neurodegenerative cascades remains uncertain. Using multiphoton real-time imaging microscopy, de Calignon et al recently demonstrated that caspase activation precedes and leads to tangle formation within 24 hours in the rTg4510 mouse model of tauopathy. Here, we used immunoelectron microscopy to determine whether caspase-cleaved tau was present in NFTs of rTg4510 mice. Using a caspase-cleaved tau-specific antibody (TauC3), we found very little immunogold labeling in NFTs in the brains of rTg4510 mice. By immunohistochemistry, the number of TauC3-positive neurons was far less than the numbers of neurons stained with the MC1 antibody, which recognizes abnormal conformations of tau. Biochemically, caspase-cleaved tau was barely detectable in fractions of rTg4510 mouse brain extracts. Our data suggest that caspase activation might be one of multiple routes through which NFT formation occurs, rather than an obligatory initiation step in pathologic tau production in rTg4510 mice.", "author" : [ { "dropping-particle" : "", "family" : "Lin", "given" : "Wen-Lang", "non-dropping-particle" : "", "parse-names" : false, "suffix" : "" }, { "dropping-particle" : "", "family" : "Dickson", "given" : "Dennis W", "non-dropping-particle" : "", "parse-names" : false, "suffix" : "" }, { "dropping-particle" : "", "family" : "Sahara", "given" : "Naruhiko", "non-dropping-particle" : "", "parse-names" : false, "suffix" : "" } ], "container-title" : "Journal of neuropathology and experimental neurology", "id" : "ITEM-2", "issue" : "9", "issued" : { "date-parts" : [ [ "2011", "9" ] ] }, "page" : "779-87", "publisher" : "NIH Public Access", "title" : "Immunoelectron microscopic and biochemical studies of caspase-cleaved tau in a mouse model of tauopathy.", "type" : "article-journal", "volume" : "70" }, "uris" : [ "http://www.mendeley.com/documents/?uuid=5ba10e4b-ecaf-37f2-9809-be1425be6b2c" ] }, { "id" : "ITEM-3", "itemData" : { "DOI" : "10.1172/JCI20640", "ISSN" : "0021-9738", "PMID" : "15232619", "abstract" : "Neurofibrillary tangles (NFTs) are composed of abnormal aggregates of the cytoskeletal protein tau. Together with amyloid beta (Abeta) plaques and neuronal and synaptic loss, NFTs constitute the primary pathological hallmarks of Alzheimer disease (AD). Recent evidence also suggests that caspases are activated early in the progression of AD and may play a role in neuronal loss and NFT pathology. Here we demonstrate that tau is cleaved at D421 (DeltaTau) by executioner caspases. Following caspase-cleavage, DeltaTau facilitates nucleation-dependent filament formation and readily adopts a conformational change recognized by the early pathological tau marker MC1. DeltaTau can be phosphorylated by glycogen synthase kinase-3beta and subsequently recognized by the NFT antibody PHF-1. In transgenic mice and AD brains, DeltaTau associates with both early and late markers of NFTs and is correlated with cognitive decline. Additionally, DeltaTau colocalizes with Abeta(1-42) and is induced by Abeta(1-42) in vitro. Collectively, our data imply that Abeta accumulation triggers caspase activation, leading to caspase-cleavage of tau, and that this is an early event that may precede hyperphosphorylation in the evolution of AD tangle pathology. These results suggest that therapeutics aimed at inhibiting tau caspase-cleavage may prove beneficial not only in preventing NFT formation, but also in slowing cognitive decline.", "author" : [ { "dropping-particle" : "", "family" : "Rissman", "given" : "Robert A", "non-dropping-particle" : "", "parse-names" : false, "suffix" : "" }, { "dropping-particle" : "", "family" : "Poon", "given" : "Wayne W", "non-dropping-particle" : "", "parse-names" : false, "suffix" : "" }, { "dropping-particle" : "", "family" : "Blurton-Jones", "given" : "Mathew", "non-dropping-particle" : "", "parse-names" : false, "suffix" : "" }, { "dropping-particle" : "", "family" : "Oddo", "given" : "Salvatore", "non-dropping-particle" : "", "parse-names" : false, "suffix" : "" }, { "dropping-particle" : "", "family" : "Torp", "given" : "Reidun", "non-dropping-particle" : "", "parse-names" : false, "suffix" : "" }, { "dropping-particle" : "", "family" : "Vitek", "given" : "Michael P", "non-dropping-particle" : "", "parse-names" : false, "suffix" : "" }, { "dropping-particle" : "", "family" : "LaFerla", "given" : "Frank M", "non-dropping-particle" : "", "parse-names" : false, "suffix" : "" }, { "dropping-particle" : "", "family" : "Rohn", "given" : "Troy T", "non-dropping-particle" : "", "parse-names" : false, "suffix" : "" }, { "dropping-particle" : "", "family" : "Cotman", "given" : "Carl W", "non-dropping-particle" : "", "parse-names" : false, "suffix" : "" } ], "container-title" : "The Journal of clinical investigation", "id" : "ITEM-3", "issue" : "1", "issued" : { "date-parts" : [ [ "2004", "7" ] ] }, "page" : "121-30", "publisher" : "American Society for Clinical Investigation", "title" : "Caspase-cleavage of tau is an early event in Alzheimer disease tangle pathology.", "type" : "article-journal", "volume" : "114" }, "uris" : [ "http://www.mendeley.com/documents/?uuid=37f3a875-c21e-3cdf-b73e-a8843d233e71" ] } ], "mendeley" : { "formattedCitation" : "(Holtzman et al. 2016; Lin et al. 2011; Rissman et al. 2004)", "plainTextFormattedCitation" : "(Holtzman et al. 2016; Lin et al. 2011; Rissman et al. 2004)", "previouslyFormattedCitation" : "(Holtzman et al. 2016; Lin et al. 2011; Rissman et al. 2004)" }, "properties" : { "noteIndex" : 0 }, "schema" : "https://github.com/citation-style-language/schema/raw/master/csl-citation.json" }</w:instrText>
      </w:r>
      <w:r w:rsidR="00A31DBE">
        <w:rPr>
          <w:rFonts w:ascii="Times New Roman" w:hAnsi="Times New Roman" w:cs="Times New Roman"/>
          <w:color w:val="auto"/>
          <w:sz w:val="24"/>
          <w:szCs w:val="24"/>
        </w:rPr>
        <w:fldChar w:fldCharType="separate"/>
      </w:r>
      <w:r w:rsidR="00A31DBE" w:rsidRPr="00A31DBE">
        <w:rPr>
          <w:rFonts w:ascii="Times New Roman" w:hAnsi="Times New Roman" w:cs="Times New Roman"/>
          <w:noProof/>
          <w:color w:val="auto"/>
          <w:sz w:val="24"/>
          <w:szCs w:val="24"/>
        </w:rPr>
        <w:t>(Holtzman et al. 2016; Lin et al. 2011; Rissman et al. 2004)</w:t>
      </w:r>
      <w:r w:rsidR="00A31DBE">
        <w:rPr>
          <w:rFonts w:ascii="Times New Roman" w:hAnsi="Times New Roman" w:cs="Times New Roman"/>
          <w:color w:val="auto"/>
          <w:sz w:val="24"/>
          <w:szCs w:val="24"/>
        </w:rPr>
        <w:fldChar w:fldCharType="end"/>
      </w:r>
      <w:r w:rsidR="00A31DBE">
        <w:rPr>
          <w:rFonts w:ascii="Times New Roman" w:hAnsi="Times New Roman" w:cs="Times New Roman"/>
          <w:color w:val="auto"/>
          <w:sz w:val="24"/>
          <w:szCs w:val="24"/>
        </w:rPr>
        <w:t>.</w:t>
      </w:r>
    </w:p>
    <w:p w14:paraId="22B7BDDA" w14:textId="77777777" w:rsidR="00CB63DF" w:rsidRPr="00CB63DF" w:rsidRDefault="00CB63DF" w:rsidP="00CB63DF"/>
    <w:p w14:paraId="65FECBB8" w14:textId="24A4B633" w:rsidR="002A7E74" w:rsidRDefault="003A2584" w:rsidP="001B1D82">
      <w:pPr>
        <w:pStyle w:val="Heading2"/>
      </w:pPr>
      <w:bookmarkStart w:id="93" w:name="_Toc328301076"/>
      <w:bookmarkStart w:id="94" w:name="_Toc329593367"/>
      <w:bookmarkStart w:id="95" w:name="_Toc331425869"/>
      <w:bookmarkStart w:id="96" w:name="_Toc331427056"/>
      <w:bookmarkStart w:id="97" w:name="_Toc331427428"/>
      <w:bookmarkStart w:id="98" w:name="_Toc331427570"/>
      <w:bookmarkStart w:id="99" w:name="_Toc332972574"/>
      <w:bookmarkStart w:id="100" w:name="_Toc333046854"/>
      <w:bookmarkStart w:id="101" w:name="_Toc333477201"/>
      <w:bookmarkStart w:id="102" w:name="_Toc333477971"/>
      <w:bookmarkStart w:id="103" w:name="_Toc333644871"/>
      <w:r>
        <w:t xml:space="preserve">1.2 </w:t>
      </w:r>
      <w:r w:rsidR="002A7E74">
        <w:t>Astrocytes</w:t>
      </w:r>
      <w:bookmarkEnd w:id="93"/>
      <w:bookmarkEnd w:id="94"/>
      <w:bookmarkEnd w:id="95"/>
      <w:bookmarkEnd w:id="96"/>
      <w:bookmarkEnd w:id="97"/>
      <w:bookmarkEnd w:id="98"/>
      <w:bookmarkEnd w:id="99"/>
      <w:bookmarkEnd w:id="100"/>
      <w:bookmarkEnd w:id="101"/>
      <w:bookmarkEnd w:id="102"/>
      <w:bookmarkEnd w:id="103"/>
    </w:p>
    <w:p w14:paraId="14833D13" w14:textId="77777777" w:rsidR="002A7E74" w:rsidRDefault="002A7E74" w:rsidP="002A7E74">
      <w:pPr>
        <w:rPr>
          <w:rFonts w:ascii="Times New Roman" w:hAnsi="Times New Roman" w:cs="Times New Roman"/>
        </w:rPr>
      </w:pPr>
    </w:p>
    <w:p w14:paraId="06A8DD31" w14:textId="19AEADE4" w:rsidR="00103AAC" w:rsidRDefault="00103AAC" w:rsidP="00B07212">
      <w:pPr>
        <w:spacing w:line="360" w:lineRule="auto"/>
        <w:jc w:val="both"/>
        <w:rPr>
          <w:rFonts w:ascii="Times New Roman" w:hAnsi="Times New Roman" w:cs="Times New Roman"/>
        </w:rPr>
      </w:pPr>
      <w:r>
        <w:rPr>
          <w:rFonts w:ascii="Times New Roman" w:hAnsi="Times New Roman" w:cs="Times New Roman"/>
        </w:rPr>
        <w:t xml:space="preserve">Astrocytes, together with other cells of glial lineage such as microglia and oligodendrocytes, have long been </w:t>
      </w:r>
      <w:r w:rsidR="00561F40">
        <w:rPr>
          <w:rFonts w:ascii="Times New Roman" w:hAnsi="Times New Roman" w:cs="Times New Roman"/>
        </w:rPr>
        <w:t>regarded</w:t>
      </w:r>
      <w:r>
        <w:rPr>
          <w:rFonts w:ascii="Times New Roman" w:hAnsi="Times New Roman" w:cs="Times New Roman"/>
        </w:rPr>
        <w:t xml:space="preserve"> as</w:t>
      </w:r>
      <w:r w:rsidR="00561F40">
        <w:rPr>
          <w:rFonts w:ascii="Times New Roman" w:hAnsi="Times New Roman" w:cs="Times New Roman"/>
        </w:rPr>
        <w:t xml:space="preserve"> the</w:t>
      </w:r>
      <w:r>
        <w:rPr>
          <w:rFonts w:ascii="Times New Roman" w:hAnsi="Times New Roman" w:cs="Times New Roman"/>
        </w:rPr>
        <w:t xml:space="preserve"> connecting cells</w:t>
      </w:r>
      <w:r w:rsidR="00561F40">
        <w:rPr>
          <w:rFonts w:ascii="Times New Roman" w:hAnsi="Times New Roman" w:cs="Times New Roman"/>
        </w:rPr>
        <w:t xml:space="preserve"> in the brain</w:t>
      </w:r>
      <w:r>
        <w:rPr>
          <w:rFonts w:ascii="Times New Roman" w:hAnsi="Times New Roman" w:cs="Times New Roman"/>
        </w:rPr>
        <w:t xml:space="preserve">, merely holding neurons together. </w:t>
      </w:r>
      <w:r w:rsidR="00561F40">
        <w:rPr>
          <w:rFonts w:ascii="Times New Roman" w:hAnsi="Times New Roman" w:cs="Times New Roman"/>
        </w:rPr>
        <w:t>For decades, neurodegenerative research has focused on the role of neurons in disease progression</w:t>
      </w:r>
      <w:r w:rsidR="00B57C1E">
        <w:rPr>
          <w:rFonts w:ascii="Times New Roman" w:hAnsi="Times New Roman" w:cs="Times New Roman"/>
        </w:rPr>
        <w:t xml:space="preserve">. </w:t>
      </w:r>
      <w:r>
        <w:rPr>
          <w:rFonts w:ascii="Times New Roman" w:hAnsi="Times New Roman" w:cs="Times New Roman"/>
        </w:rPr>
        <w:t xml:space="preserve">However, </w:t>
      </w:r>
      <w:r w:rsidR="00B57C1E">
        <w:rPr>
          <w:rFonts w:ascii="Times New Roman" w:hAnsi="Times New Roman" w:cs="Times New Roman"/>
        </w:rPr>
        <w:t>in more recent years</w:t>
      </w:r>
      <w:r w:rsidR="009243E7">
        <w:rPr>
          <w:rFonts w:ascii="Times New Roman" w:hAnsi="Times New Roman" w:cs="Times New Roman"/>
        </w:rPr>
        <w:t xml:space="preserve"> </w:t>
      </w:r>
      <w:r w:rsidR="00561F40">
        <w:rPr>
          <w:rFonts w:ascii="Times New Roman" w:hAnsi="Times New Roman" w:cs="Times New Roman"/>
        </w:rPr>
        <w:t xml:space="preserve">there has been </w:t>
      </w:r>
      <w:r w:rsidR="00694FD6">
        <w:rPr>
          <w:rFonts w:ascii="Times New Roman" w:hAnsi="Times New Roman" w:cs="Times New Roman"/>
        </w:rPr>
        <w:t xml:space="preserve">a </w:t>
      </w:r>
      <w:r w:rsidR="00561F40">
        <w:rPr>
          <w:rFonts w:ascii="Times New Roman" w:hAnsi="Times New Roman" w:cs="Times New Roman"/>
        </w:rPr>
        <w:t xml:space="preserve">growing </w:t>
      </w:r>
      <w:r w:rsidR="009243E7">
        <w:rPr>
          <w:rFonts w:ascii="Times New Roman" w:hAnsi="Times New Roman" w:cs="Times New Roman"/>
        </w:rPr>
        <w:t>interest in</w:t>
      </w:r>
      <w:r w:rsidR="00B139E2">
        <w:rPr>
          <w:rFonts w:ascii="Times New Roman" w:hAnsi="Times New Roman" w:cs="Times New Roman"/>
        </w:rPr>
        <w:t xml:space="preserve"> the role of glia </w:t>
      </w:r>
      <w:r w:rsidR="002875B7">
        <w:rPr>
          <w:rFonts w:ascii="Times New Roman" w:hAnsi="Times New Roman" w:cs="Times New Roman"/>
        </w:rPr>
        <w:t>and in particular</w:t>
      </w:r>
      <w:r w:rsidR="00B57C1E">
        <w:rPr>
          <w:rFonts w:ascii="Times New Roman" w:hAnsi="Times New Roman" w:cs="Times New Roman"/>
        </w:rPr>
        <w:t xml:space="preserve"> how astrocytes </w:t>
      </w:r>
      <w:r w:rsidR="00C540D0">
        <w:rPr>
          <w:rFonts w:ascii="Times New Roman" w:hAnsi="Times New Roman" w:cs="Times New Roman"/>
        </w:rPr>
        <w:t>contribute to</w:t>
      </w:r>
      <w:r w:rsidR="00B57C1E">
        <w:rPr>
          <w:rFonts w:ascii="Times New Roman" w:hAnsi="Times New Roman" w:cs="Times New Roman"/>
        </w:rPr>
        <w:t xml:space="preserve"> brain</w:t>
      </w:r>
      <w:r w:rsidR="00784456">
        <w:rPr>
          <w:rFonts w:ascii="Times New Roman" w:hAnsi="Times New Roman" w:cs="Times New Roman"/>
        </w:rPr>
        <w:t xml:space="preserve"> health and </w:t>
      </w:r>
      <w:r w:rsidR="00B57C1E">
        <w:rPr>
          <w:rFonts w:ascii="Times New Roman" w:hAnsi="Times New Roman" w:cs="Times New Roman"/>
        </w:rPr>
        <w:t>function</w:t>
      </w:r>
      <w:r w:rsidR="009243E7">
        <w:rPr>
          <w:rFonts w:ascii="Times New Roman" w:hAnsi="Times New Roman" w:cs="Times New Roman"/>
        </w:rPr>
        <w:t>.</w:t>
      </w:r>
      <w:r w:rsidR="000273B5">
        <w:rPr>
          <w:rFonts w:ascii="Times New Roman" w:hAnsi="Times New Roman" w:cs="Times New Roman"/>
        </w:rPr>
        <w:t xml:space="preserve"> </w:t>
      </w:r>
      <w:r w:rsidR="009B7982">
        <w:rPr>
          <w:rFonts w:ascii="Times New Roman" w:hAnsi="Times New Roman" w:cs="Times New Roman"/>
        </w:rPr>
        <w:t xml:space="preserve">Pioneering work by Kuffler and colleagues in 1964 triggered this interest, since they showed that astrocyte-like cells in the optic nerve of the salamander could respond to </w:t>
      </w:r>
      <w:r w:rsidR="00836A2B">
        <w:rPr>
          <w:rFonts w:ascii="Times New Roman" w:hAnsi="Times New Roman" w:cs="Times New Roman"/>
        </w:rPr>
        <w:t>neuronal activity and regulate th</w:t>
      </w:r>
      <w:r w:rsidR="00C540D0">
        <w:rPr>
          <w:rFonts w:ascii="Times New Roman" w:hAnsi="Times New Roman" w:cs="Times New Roman"/>
        </w:rPr>
        <w:t xml:space="preserve">e neuronal microenvironment </w:t>
      </w:r>
      <w:r w:rsidR="00C540D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"0022-3077", "PMID" : "5966434", "author" : [ { "dropping-particle" : "", "family" : "Kuffler", "given" : "S W", "non-dropping-particle" : "", "parse-names" : false, "suffix" : "" }, { "dropping-particle" : "", "family" : "Nicholls", "given" : "J G", "non-dropping-particle" : "", "parse-names" : false, "suffix" : "" }, { "dropping-particle" : "", "family" : "Orkand", "given" : "R K", "non-dropping-particle" : "", "parse-names" : false, "suffix" : "" } ], "container-title" : "Journal of neurophysiology", "id" : "ITEM-1", "issue" : "4", "issued" : { "date-parts" : [ [ "1966", "7" ] ] }, "page" : "768-87", "title" : "Physiological properties of glial cells in the central nervous system of amphibia.", "type" : "article-journal", "volume" : "29" }, "uris" : [ "http://www.mendeley.com/documents/?uuid=f3f7147a-e489-38dc-b626-040a817f17da" ] } ], "mendeley" : { "formattedCitation" : "(Kuffler et al. 1966)", "plainTextFormattedCitation" : "(Kuffler et al. 1966)", "previouslyFormattedCitation" : "(Kuffler et al. 1966)" }, "properties" : { "noteIndex" : 0 }, "schema" : "https://github.com/citation-style-language/schema/raw/master/csl-citation.json" }</w:instrText>
      </w:r>
      <w:r w:rsidR="00C540D0">
        <w:rPr>
          <w:rFonts w:ascii="Times New Roman" w:hAnsi="Times New Roman" w:cs="Times New Roman"/>
        </w:rPr>
        <w:fldChar w:fldCharType="separate"/>
      </w:r>
      <w:r w:rsidR="00C148FC" w:rsidRPr="00C148FC">
        <w:rPr>
          <w:rFonts w:ascii="Times New Roman" w:hAnsi="Times New Roman" w:cs="Times New Roman"/>
          <w:noProof/>
        </w:rPr>
        <w:t>(Kuffler et al. 1966)</w:t>
      </w:r>
      <w:r w:rsidR="00C540D0">
        <w:rPr>
          <w:rFonts w:ascii="Times New Roman" w:hAnsi="Times New Roman" w:cs="Times New Roman"/>
        </w:rPr>
        <w:fldChar w:fldCharType="end"/>
      </w:r>
      <w:r w:rsidR="00836A2B">
        <w:rPr>
          <w:rFonts w:ascii="Times New Roman" w:hAnsi="Times New Roman" w:cs="Times New Roman"/>
        </w:rPr>
        <w:t xml:space="preserve">. It is now </w:t>
      </w:r>
      <w:r w:rsidR="00694FD6">
        <w:rPr>
          <w:rFonts w:ascii="Times New Roman" w:hAnsi="Times New Roman" w:cs="Times New Roman"/>
        </w:rPr>
        <w:t>recognised that</w:t>
      </w:r>
      <w:r w:rsidR="00836A2B">
        <w:rPr>
          <w:rFonts w:ascii="Times New Roman" w:hAnsi="Times New Roman" w:cs="Times New Roman"/>
        </w:rPr>
        <w:t xml:space="preserve"> astrocytes are key in supporting neuronal integrity</w:t>
      </w:r>
      <w:r w:rsidR="00267C88">
        <w:rPr>
          <w:rFonts w:ascii="Times New Roman" w:hAnsi="Times New Roman" w:cs="Times New Roman"/>
        </w:rPr>
        <w:t xml:space="preserve"> and have a critical</w:t>
      </w:r>
      <w:r w:rsidR="004341A0">
        <w:rPr>
          <w:rFonts w:ascii="Times New Roman" w:hAnsi="Times New Roman" w:cs="Times New Roman"/>
        </w:rPr>
        <w:t xml:space="preserve"> role in the neurovascular unit</w:t>
      </w:r>
      <w:r w:rsidR="008C3912">
        <w:rPr>
          <w:rFonts w:ascii="Times New Roman" w:hAnsi="Times New Roman" w:cs="Times New Roman"/>
        </w:rPr>
        <w:t>, therefore</w:t>
      </w:r>
      <w:r w:rsidR="00187F53">
        <w:rPr>
          <w:rFonts w:ascii="Times New Roman" w:hAnsi="Times New Roman" w:cs="Times New Roman"/>
        </w:rPr>
        <w:t xml:space="preserve"> </w:t>
      </w:r>
      <w:r w:rsidR="00784456">
        <w:rPr>
          <w:rFonts w:ascii="Times New Roman" w:hAnsi="Times New Roman" w:cs="Times New Roman"/>
        </w:rPr>
        <w:t xml:space="preserve">astrocyte dysfunction </w:t>
      </w:r>
      <w:r w:rsidR="002875B7">
        <w:rPr>
          <w:rFonts w:ascii="Times New Roman" w:hAnsi="Times New Roman" w:cs="Times New Roman"/>
        </w:rPr>
        <w:t>may play a central role in neurodegenerative processes.</w:t>
      </w:r>
      <w:r w:rsidR="00464289">
        <w:rPr>
          <w:rFonts w:ascii="Times New Roman" w:hAnsi="Times New Roman" w:cs="Times New Roman"/>
        </w:rPr>
        <w:t xml:space="preserve"> </w:t>
      </w:r>
      <w:r w:rsidR="00E17BB0">
        <w:rPr>
          <w:rFonts w:ascii="Times New Roman" w:hAnsi="Times New Roman" w:cs="Times New Roman"/>
        </w:rPr>
        <w:t>R</w:t>
      </w:r>
      <w:r w:rsidR="00694FD6">
        <w:rPr>
          <w:rFonts w:ascii="Times New Roman" w:hAnsi="Times New Roman" w:cs="Times New Roman"/>
        </w:rPr>
        <w:t>estoring astrocyte function is becoming</w:t>
      </w:r>
      <w:r w:rsidR="00784456">
        <w:rPr>
          <w:rFonts w:ascii="Times New Roman" w:hAnsi="Times New Roman" w:cs="Times New Roman"/>
        </w:rPr>
        <w:t xml:space="preserve"> an attractive therapeutic ta</w:t>
      </w:r>
      <w:r w:rsidR="00836A2B">
        <w:rPr>
          <w:rFonts w:ascii="Times New Roman" w:hAnsi="Times New Roman" w:cs="Times New Roman"/>
        </w:rPr>
        <w:t>rget to preserve neuronal</w:t>
      </w:r>
      <w:r w:rsidR="00C540D0">
        <w:rPr>
          <w:rFonts w:ascii="Times New Roman" w:hAnsi="Times New Roman" w:cs="Times New Roman"/>
        </w:rPr>
        <w:t xml:space="preserve"> function</w:t>
      </w:r>
      <w:r w:rsidR="00836A2B">
        <w:rPr>
          <w:rFonts w:ascii="Times New Roman" w:hAnsi="Times New Roman" w:cs="Times New Roman"/>
        </w:rPr>
        <w:t xml:space="preserve"> and delay neurodegeneration.</w:t>
      </w:r>
      <w:r w:rsidR="00D17D2E">
        <w:rPr>
          <w:rFonts w:ascii="Times New Roman" w:hAnsi="Times New Roman" w:cs="Times New Roman"/>
        </w:rPr>
        <w:t xml:space="preserve"> </w:t>
      </w:r>
    </w:p>
    <w:p w14:paraId="1D9799C8" w14:textId="77777777" w:rsidR="00CE5A67" w:rsidRDefault="00CE5A67" w:rsidP="00103AAC">
      <w:pPr>
        <w:spacing w:line="360" w:lineRule="auto"/>
        <w:rPr>
          <w:rFonts w:ascii="Times New Roman" w:hAnsi="Times New Roman" w:cs="Times New Roman"/>
        </w:rPr>
      </w:pPr>
    </w:p>
    <w:p w14:paraId="781BFBBA" w14:textId="5DEE794C" w:rsidR="00904980" w:rsidRDefault="003A2584" w:rsidP="001B1D82">
      <w:pPr>
        <w:pStyle w:val="Heading3"/>
      </w:pPr>
      <w:bookmarkStart w:id="104" w:name="_Toc328301077"/>
      <w:bookmarkStart w:id="105" w:name="_Toc329593368"/>
      <w:bookmarkStart w:id="106" w:name="_Toc331425870"/>
      <w:bookmarkStart w:id="107" w:name="_Toc331427057"/>
      <w:bookmarkStart w:id="108" w:name="_Toc331427429"/>
      <w:bookmarkStart w:id="109" w:name="_Toc331427571"/>
      <w:bookmarkStart w:id="110" w:name="_Toc332972575"/>
      <w:bookmarkStart w:id="111" w:name="_Toc333046855"/>
      <w:bookmarkStart w:id="112" w:name="_Toc333477202"/>
      <w:bookmarkStart w:id="113" w:name="_Toc333477972"/>
      <w:bookmarkStart w:id="114" w:name="_Toc333644872"/>
      <w:r>
        <w:t xml:space="preserve">1.2.1 </w:t>
      </w:r>
      <w:r w:rsidR="00904980">
        <w:t>A short history</w:t>
      </w:r>
      <w:bookmarkEnd w:id="104"/>
      <w:bookmarkEnd w:id="105"/>
      <w:bookmarkEnd w:id="106"/>
      <w:bookmarkEnd w:id="107"/>
      <w:bookmarkEnd w:id="108"/>
      <w:bookmarkEnd w:id="109"/>
      <w:bookmarkEnd w:id="110"/>
      <w:bookmarkEnd w:id="111"/>
      <w:bookmarkEnd w:id="112"/>
      <w:bookmarkEnd w:id="113"/>
      <w:bookmarkEnd w:id="114"/>
    </w:p>
    <w:p w14:paraId="492C898A" w14:textId="77777777" w:rsidR="000C30C3" w:rsidRPr="000C30C3" w:rsidRDefault="000C30C3" w:rsidP="000C30C3"/>
    <w:p w14:paraId="0596D009" w14:textId="5DC60463" w:rsidR="00904980" w:rsidRDefault="00CC69B8" w:rsidP="00B07212">
      <w:pPr>
        <w:spacing w:line="360" w:lineRule="auto"/>
        <w:jc w:val="both"/>
        <w:rPr>
          <w:rFonts w:ascii="Times New Roman" w:hAnsi="Times New Roman" w:cs="Times New Roman"/>
        </w:rPr>
      </w:pPr>
      <w:r>
        <w:rPr>
          <w:rFonts w:ascii="Times New Roman" w:hAnsi="Times New Roman" w:cs="Times New Roman"/>
        </w:rPr>
        <w:t xml:space="preserve">The concept of neuroglia was first introduced by </w:t>
      </w:r>
      <w:r w:rsidR="00904980">
        <w:rPr>
          <w:rFonts w:ascii="Times New Roman" w:hAnsi="Times New Roman" w:cs="Times New Roman"/>
        </w:rPr>
        <w:t>Rudolf Virchow</w:t>
      </w:r>
      <w:r>
        <w:rPr>
          <w:rFonts w:ascii="Times New Roman" w:hAnsi="Times New Roman" w:cs="Times New Roman"/>
        </w:rPr>
        <w:t>, in 1858</w:t>
      </w:r>
      <w:r w:rsidR="00F15C64">
        <w:rPr>
          <w:rFonts w:ascii="Times New Roman" w:hAnsi="Times New Roman" w:cs="Times New Roman"/>
        </w:rPr>
        <w:t>, as a</w:t>
      </w:r>
      <w:r w:rsidR="00F15C64" w:rsidRPr="00F15C64">
        <w:rPr>
          <w:rFonts w:ascii="Times New Roman" w:hAnsi="Times New Roman" w:cs="Times New Roman"/>
        </w:rPr>
        <w:t xml:space="preserve"> “substance… which lies between the proper nervous parts, holds them together and gives the whole its form in a greater or lesser degree</w:t>
      </w:r>
      <w:r w:rsidR="00F15C64">
        <w:rPr>
          <w:rFonts w:ascii="Times New Roman" w:hAnsi="Times New Roman" w:cs="Times New Roman"/>
        </w:rPr>
        <w:t>”</w:t>
      </w:r>
      <w:r w:rsidR="00E110BB">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"10.5962/bhl.title.110759", "author" : [ { "dropping-particle" : "", "family" : "Virchow", "given" : "Rudolf", "non-dropping-particle" : "", "parse-names" : false, "suffix" : "" }, { "dropping-particle" : "", "family" : "Chance", "given" : "Frank", "non-dropping-particle" : "", "parse-names" : false, "suffix" : "" }, { "dropping-particle" : "", "family" : "Goodsir", "given" : "John", "non-dropping-particle" : "", "parse-names" : false, "suffix" : "" }, { "dropping-particle" : "", "family" : "Osborn", "given" : "Samuel", "non-dropping-particle" : "", "parse-names" : false, "suffix" : "" }, { "dropping-particle" : "", "family" : "Osborn", "given" : "Samuel,", "non-dropping-particle" : "", "parse-names" : false, "suffix" : "" }, { "dropping-particle" : "", "family" : "London.", "given" : "King's College", "non-dropping-particle" : "", "parse-names" : false, "suffix" : "" }, { "dropping-particle" : "", "family" : "Berlin.", "given" : "Pathological Institute of", "non-dropping-particle" : "", "parse-names" : false, "suffix" : "" }, { "dropping-particle" : "", "family" : "Hospital.", "given" : "St. Thomas's", "non-dropping-particle" : "", "parse-names" : false, "suffix" : "" } ], "id" : "ITEM-1", "issued" : { "date-parts" : [ [ "1860" ] ] }, "number-of-pages" : "1-546", "publisher" : "John Churchill,", "publisher-place" : "London :", "title" : "Cellular pathology as based upon physiological and pathological histology; twenty lectures delivered in the Pathological Institute of Berlin during the months of February, March, and April, 1858 /", "type" : "book" }, "uris" : [ "http://www.mendeley.com/documents/?uuid=de07d7f9-1aff-3ecb-9bb8-83a6a6099cf7" ] } ], "mendeley" : { "formattedCitation" : "(Virchow et al. 1860)", "plainTextFormattedCitation" : "(Virchow et al. 1860)", "previouslyFormattedCitation" : "(Virchow et al. 1860)" }, "properties" : { "noteIndex" : 0 }, "schema" : "https://github.com/citation-style-language/schema/raw/master/csl-citation.json" }</w:instrText>
      </w:r>
      <w:r w:rsidR="00E110BB">
        <w:rPr>
          <w:rFonts w:ascii="Times New Roman" w:hAnsi="Times New Roman" w:cs="Times New Roman"/>
        </w:rPr>
        <w:fldChar w:fldCharType="separate"/>
      </w:r>
      <w:r w:rsidR="00C148FC" w:rsidRPr="00C148FC">
        <w:rPr>
          <w:rFonts w:ascii="Times New Roman" w:hAnsi="Times New Roman" w:cs="Times New Roman"/>
          <w:noProof/>
        </w:rPr>
        <w:t>(Virchow et al. 1860)</w:t>
      </w:r>
      <w:r w:rsidR="00E110BB">
        <w:rPr>
          <w:rFonts w:ascii="Times New Roman" w:hAnsi="Times New Roman" w:cs="Times New Roman"/>
        </w:rPr>
        <w:fldChar w:fldCharType="end"/>
      </w:r>
      <w:r w:rsidR="00904980" w:rsidRPr="00F15C64">
        <w:rPr>
          <w:rFonts w:ascii="Times New Roman" w:hAnsi="Times New Roman" w:cs="Times New Roman"/>
        </w:rPr>
        <w:t>.</w:t>
      </w:r>
      <w:r w:rsidR="00ED6296">
        <w:rPr>
          <w:rFonts w:ascii="Times New Roman" w:hAnsi="Times New Roman" w:cs="Times New Roman"/>
        </w:rPr>
        <w:t xml:space="preserve"> </w:t>
      </w:r>
      <w:r w:rsidR="00904980">
        <w:rPr>
          <w:rFonts w:ascii="Times New Roman" w:hAnsi="Times New Roman" w:cs="Times New Roman"/>
        </w:rPr>
        <w:t>In the late 19</w:t>
      </w:r>
      <w:r w:rsidR="00904980" w:rsidRPr="00904980">
        <w:rPr>
          <w:rFonts w:ascii="Times New Roman" w:hAnsi="Times New Roman" w:cs="Times New Roman"/>
          <w:vertAlign w:val="superscript"/>
        </w:rPr>
        <w:t>th</w:t>
      </w:r>
      <w:r w:rsidR="00904980">
        <w:rPr>
          <w:rFonts w:ascii="Times New Roman" w:hAnsi="Times New Roman" w:cs="Times New Roman"/>
        </w:rPr>
        <w:t xml:space="preserve"> century, Otto Deiter drew astrocytes as stellate cells and observations were</w:t>
      </w:r>
      <w:r w:rsidR="00230E26">
        <w:rPr>
          <w:rFonts w:ascii="Times New Roman" w:hAnsi="Times New Roman" w:cs="Times New Roman"/>
        </w:rPr>
        <w:t xml:space="preserve"> also</w:t>
      </w:r>
      <w:r w:rsidR="00904980">
        <w:rPr>
          <w:rFonts w:ascii="Times New Roman" w:hAnsi="Times New Roman" w:cs="Times New Roman"/>
        </w:rPr>
        <w:t xml:space="preserve"> made by Jacob Henle and Friedrich Merkel about the networks formed by these cells in the grey matter. </w:t>
      </w:r>
      <w:r>
        <w:rPr>
          <w:rFonts w:ascii="Times New Roman" w:hAnsi="Times New Roman" w:cs="Times New Roman"/>
        </w:rPr>
        <w:t>Using a silver chromate staining technique in 1872, Camillo Golgi was able to describe the mo</w:t>
      </w:r>
      <w:r w:rsidR="002E26D5">
        <w:rPr>
          <w:rFonts w:ascii="Times New Roman" w:hAnsi="Times New Roman" w:cs="Times New Roman"/>
        </w:rPr>
        <w:t xml:space="preserve">rphology of glial cells and based on the interactions he </w:t>
      </w:r>
      <w:r w:rsidR="00CC1C39">
        <w:rPr>
          <w:rFonts w:ascii="Times New Roman" w:hAnsi="Times New Roman" w:cs="Times New Roman"/>
        </w:rPr>
        <w:t>observed between astrocytic end-</w:t>
      </w:r>
      <w:r w:rsidR="002E26D5">
        <w:rPr>
          <w:rFonts w:ascii="Times New Roman" w:hAnsi="Times New Roman" w:cs="Times New Roman"/>
        </w:rPr>
        <w:t xml:space="preserve">feet and blood vessels, he </w:t>
      </w:r>
      <w:r w:rsidR="00B139E2">
        <w:rPr>
          <w:rFonts w:ascii="Times New Roman" w:hAnsi="Times New Roman" w:cs="Times New Roman"/>
        </w:rPr>
        <w:t>postulated that there could be</w:t>
      </w:r>
      <w:r w:rsidR="008E0C44">
        <w:rPr>
          <w:rFonts w:ascii="Times New Roman" w:hAnsi="Times New Roman" w:cs="Times New Roman"/>
        </w:rPr>
        <w:t xml:space="preserve"> metabolic exchange between</w:t>
      </w:r>
      <w:r>
        <w:rPr>
          <w:rFonts w:ascii="Times New Roman" w:hAnsi="Times New Roman" w:cs="Times New Roman"/>
        </w:rPr>
        <w:t xml:space="preserve"> glia</w:t>
      </w:r>
      <w:r w:rsidR="002E26D5">
        <w:rPr>
          <w:rFonts w:ascii="Times New Roman" w:hAnsi="Times New Roman" w:cs="Times New Roman"/>
        </w:rPr>
        <w:t xml:space="preserve"> and other cells</w:t>
      </w:r>
      <w:r>
        <w:rPr>
          <w:rFonts w:ascii="Times New Roman" w:hAnsi="Times New Roman" w:cs="Times New Roman"/>
        </w:rPr>
        <w:t>.</w:t>
      </w:r>
      <w:r w:rsidR="008E0C44">
        <w:rPr>
          <w:rFonts w:ascii="Times New Roman" w:hAnsi="Times New Roman" w:cs="Times New Roman"/>
        </w:rPr>
        <w:t xml:space="preserve"> The term “astrocyte” was first </w:t>
      </w:r>
      <w:r>
        <w:rPr>
          <w:rFonts w:ascii="Times New Roman" w:hAnsi="Times New Roman" w:cs="Times New Roman"/>
        </w:rPr>
        <w:t>used</w:t>
      </w:r>
      <w:r w:rsidR="008E0C44">
        <w:rPr>
          <w:rFonts w:ascii="Times New Roman" w:hAnsi="Times New Roman" w:cs="Times New Roman"/>
        </w:rPr>
        <w:t xml:space="preserve"> by Michael von Lenhossek in 1893, which uses a combination of latin words to define the morphology of thes</w:t>
      </w:r>
      <w:r w:rsidR="00267C88">
        <w:rPr>
          <w:rFonts w:ascii="Times New Roman" w:hAnsi="Times New Roman" w:cs="Times New Roman"/>
        </w:rPr>
        <w:t>e cells. This word is derived from</w:t>
      </w:r>
      <w:r w:rsidR="009B2082">
        <w:rPr>
          <w:rFonts w:ascii="Times New Roman" w:hAnsi="Times New Roman" w:cs="Times New Roman"/>
        </w:rPr>
        <w:t xml:space="preserve"> two</w:t>
      </w:r>
      <w:r w:rsidR="008E0C44">
        <w:rPr>
          <w:rFonts w:ascii="Times New Roman" w:hAnsi="Times New Roman" w:cs="Times New Roman"/>
        </w:rPr>
        <w:t xml:space="preserve"> latin words “astra” and “cyte”, which can be </w:t>
      </w:r>
      <w:r w:rsidR="009B2082">
        <w:rPr>
          <w:rFonts w:ascii="Times New Roman" w:hAnsi="Times New Roman" w:cs="Times New Roman"/>
        </w:rPr>
        <w:t>translated to mean</w:t>
      </w:r>
      <w:r w:rsidR="008E0C44">
        <w:rPr>
          <w:rFonts w:ascii="Times New Roman" w:hAnsi="Times New Roman" w:cs="Times New Roman"/>
        </w:rPr>
        <w:t xml:space="preserve"> star-shaped cell. </w:t>
      </w:r>
      <w:r w:rsidR="009B2082">
        <w:rPr>
          <w:rFonts w:ascii="Times New Roman" w:hAnsi="Times New Roman" w:cs="Times New Roman"/>
        </w:rPr>
        <w:t xml:space="preserve">Astrocytes were later classified by Kolliker and Andrizen, who defined these cells as </w:t>
      </w:r>
      <w:r w:rsidR="008E0C44">
        <w:rPr>
          <w:rFonts w:ascii="Times New Roman" w:hAnsi="Times New Roman" w:cs="Times New Roman"/>
        </w:rPr>
        <w:t xml:space="preserve">protoplasmic or fibrous </w:t>
      </w:r>
      <w:r w:rsidR="009B2082">
        <w:rPr>
          <w:rFonts w:ascii="Times New Roman" w:hAnsi="Times New Roman" w:cs="Times New Roman"/>
        </w:rPr>
        <w:t>depending</w:t>
      </w:r>
      <w:r w:rsidR="008E0C44">
        <w:rPr>
          <w:rFonts w:ascii="Times New Roman" w:hAnsi="Times New Roman" w:cs="Times New Roman"/>
        </w:rPr>
        <w:t xml:space="preserve"> </w:t>
      </w:r>
      <w:r w:rsidR="00766326">
        <w:rPr>
          <w:rFonts w:ascii="Times New Roman" w:hAnsi="Times New Roman" w:cs="Times New Roman"/>
        </w:rPr>
        <w:t>on their location in the grey</w:t>
      </w:r>
      <w:r w:rsidR="002C1C00">
        <w:rPr>
          <w:rFonts w:ascii="Times New Roman" w:hAnsi="Times New Roman" w:cs="Times New Roman"/>
        </w:rPr>
        <w:t xml:space="preserve"> (protoplasmic)</w:t>
      </w:r>
      <w:r w:rsidR="00766326">
        <w:rPr>
          <w:rFonts w:ascii="Times New Roman" w:hAnsi="Times New Roman" w:cs="Times New Roman"/>
        </w:rPr>
        <w:t xml:space="preserve"> or white</w:t>
      </w:r>
      <w:r w:rsidR="002C1C00">
        <w:rPr>
          <w:rFonts w:ascii="Times New Roman" w:hAnsi="Times New Roman" w:cs="Times New Roman"/>
        </w:rPr>
        <w:t xml:space="preserve"> (fibrous)</w:t>
      </w:r>
      <w:r w:rsidR="009B2082">
        <w:rPr>
          <w:rFonts w:ascii="Times New Roman" w:hAnsi="Times New Roman" w:cs="Times New Roman"/>
        </w:rPr>
        <w:t xml:space="preserve"> matter and how elaborate their</w:t>
      </w:r>
      <w:r w:rsidR="00766326">
        <w:rPr>
          <w:rFonts w:ascii="Times New Roman" w:hAnsi="Times New Roman" w:cs="Times New Roman"/>
        </w:rPr>
        <w:t xml:space="preserve"> processes were</w:t>
      </w:r>
      <w:r w:rsidR="009B2082">
        <w:rPr>
          <w:rFonts w:ascii="Times New Roman" w:hAnsi="Times New Roman" w:cs="Times New Roman"/>
        </w:rPr>
        <w:t xml:space="preserve"> (Kettenmann and Verkhratsky, 2008)</w:t>
      </w:r>
      <w:r w:rsidR="00766326">
        <w:rPr>
          <w:rFonts w:ascii="Times New Roman" w:hAnsi="Times New Roman" w:cs="Times New Roman"/>
        </w:rPr>
        <w:t xml:space="preserve">. </w:t>
      </w:r>
    </w:p>
    <w:p w14:paraId="711C685E" w14:textId="77777777" w:rsidR="00CC69B8" w:rsidRDefault="00CC69B8" w:rsidP="00103AAC">
      <w:pPr>
        <w:spacing w:line="360" w:lineRule="auto"/>
        <w:rPr>
          <w:rFonts w:ascii="Times New Roman" w:hAnsi="Times New Roman" w:cs="Times New Roman"/>
        </w:rPr>
      </w:pPr>
    </w:p>
    <w:p w14:paraId="4C15E8F1" w14:textId="0A770D56" w:rsidR="008B1689" w:rsidRDefault="008B1689" w:rsidP="00B07212">
      <w:pPr>
        <w:spacing w:line="360" w:lineRule="auto"/>
        <w:jc w:val="both"/>
        <w:rPr>
          <w:rFonts w:ascii="Times New Roman" w:hAnsi="Times New Roman" w:cs="Times New Roman"/>
        </w:rPr>
      </w:pPr>
      <w:r>
        <w:rPr>
          <w:rFonts w:ascii="Times New Roman" w:hAnsi="Times New Roman" w:cs="Times New Roman"/>
        </w:rPr>
        <w:t>By the beginning of the 20</w:t>
      </w:r>
      <w:r w:rsidRPr="008B1689">
        <w:rPr>
          <w:rFonts w:ascii="Times New Roman" w:hAnsi="Times New Roman" w:cs="Times New Roman"/>
          <w:vertAlign w:val="superscript"/>
        </w:rPr>
        <w:t>th</w:t>
      </w:r>
      <w:r>
        <w:rPr>
          <w:rFonts w:ascii="Times New Roman" w:hAnsi="Times New Roman" w:cs="Times New Roman"/>
        </w:rPr>
        <w:t xml:space="preserve"> century, there was some acknowledgment of the heterogeneity of </w:t>
      </w:r>
      <w:r w:rsidR="00CC69B8">
        <w:rPr>
          <w:rFonts w:ascii="Times New Roman" w:hAnsi="Times New Roman" w:cs="Times New Roman"/>
        </w:rPr>
        <w:t xml:space="preserve">glia but </w:t>
      </w:r>
      <w:r>
        <w:rPr>
          <w:rFonts w:ascii="Times New Roman" w:hAnsi="Times New Roman" w:cs="Times New Roman"/>
        </w:rPr>
        <w:t>the diversity of astrocytes was</w:t>
      </w:r>
      <w:r w:rsidR="009B2082">
        <w:rPr>
          <w:rFonts w:ascii="Times New Roman" w:hAnsi="Times New Roman" w:cs="Times New Roman"/>
        </w:rPr>
        <w:t xml:space="preserve"> </w:t>
      </w:r>
      <w:r>
        <w:rPr>
          <w:rFonts w:ascii="Times New Roman" w:hAnsi="Times New Roman" w:cs="Times New Roman"/>
        </w:rPr>
        <w:t>not fully appreciated until Santiago Ramón y Cajal (1913) developed the gold chloride-sublimate staining technique, which was the first astrocyte-specif</w:t>
      </w:r>
      <w:r w:rsidR="00B82F9E">
        <w:rPr>
          <w:rFonts w:ascii="Times New Roman" w:hAnsi="Times New Roman" w:cs="Times New Roman"/>
        </w:rPr>
        <w:t>i</w:t>
      </w:r>
      <w:r>
        <w:rPr>
          <w:rFonts w:ascii="Times New Roman" w:hAnsi="Times New Roman" w:cs="Times New Roman"/>
        </w:rPr>
        <w:t>c stain.</w:t>
      </w:r>
      <w:r w:rsidR="00F11F02">
        <w:rPr>
          <w:rFonts w:ascii="Times New Roman" w:hAnsi="Times New Roman" w:cs="Times New Roman"/>
        </w:rPr>
        <w:t xml:space="preserve"> </w:t>
      </w:r>
      <w:r w:rsidR="009B2082">
        <w:rPr>
          <w:rFonts w:ascii="Times New Roman" w:hAnsi="Times New Roman" w:cs="Times New Roman"/>
        </w:rPr>
        <w:t>Cajal realised that the experimental methods and techniques did not yet exist to gain any real understanding of the role of these cells</w:t>
      </w:r>
      <w:r w:rsidR="00F11F02">
        <w:rPr>
          <w:rFonts w:ascii="Times New Roman" w:hAnsi="Times New Roman" w:cs="Times New Roman"/>
        </w:rPr>
        <w:t xml:space="preserve"> (Ramon y Cajal, 1899). However, based on </w:t>
      </w:r>
      <w:r w:rsidR="00AE2EB0">
        <w:rPr>
          <w:rFonts w:ascii="Times New Roman" w:hAnsi="Times New Roman" w:cs="Times New Roman"/>
        </w:rPr>
        <w:t>his</w:t>
      </w:r>
      <w:r w:rsidR="00F11F02">
        <w:rPr>
          <w:rFonts w:ascii="Times New Roman" w:hAnsi="Times New Roman" w:cs="Times New Roman"/>
        </w:rPr>
        <w:t xml:space="preserve"> </w:t>
      </w:r>
      <w:r w:rsidR="009B2082">
        <w:rPr>
          <w:rFonts w:ascii="Times New Roman" w:hAnsi="Times New Roman" w:cs="Times New Roman"/>
        </w:rPr>
        <w:t>drawings</w:t>
      </w:r>
      <w:r w:rsidR="00F11F02">
        <w:rPr>
          <w:rFonts w:ascii="Times New Roman" w:hAnsi="Times New Roman" w:cs="Times New Roman"/>
        </w:rPr>
        <w:t xml:space="preserve"> Cajal </w:t>
      </w:r>
      <w:r w:rsidR="00A01ACE">
        <w:rPr>
          <w:rFonts w:ascii="Times New Roman" w:hAnsi="Times New Roman" w:cs="Times New Roman"/>
        </w:rPr>
        <w:t>proposed theories</w:t>
      </w:r>
      <w:r w:rsidR="006645E3">
        <w:rPr>
          <w:rFonts w:ascii="Times New Roman" w:hAnsi="Times New Roman" w:cs="Times New Roman"/>
        </w:rPr>
        <w:t xml:space="preserve"> about neuroglia function</w:t>
      </w:r>
      <w:r w:rsidR="00230E26">
        <w:rPr>
          <w:rFonts w:ascii="Times New Roman" w:hAnsi="Times New Roman" w:cs="Times New Roman"/>
        </w:rPr>
        <w:t>, which are not too far removed from</w:t>
      </w:r>
      <w:r w:rsidR="00AE2EB0">
        <w:rPr>
          <w:rFonts w:ascii="Times New Roman" w:hAnsi="Times New Roman" w:cs="Times New Roman"/>
        </w:rPr>
        <w:t xml:space="preserve"> our understanding of them today</w:t>
      </w:r>
      <w:r w:rsidR="00A01ACE">
        <w:rPr>
          <w:rFonts w:ascii="Times New Roman" w:hAnsi="Times New Roman" w:cs="Times New Roman"/>
        </w:rPr>
        <w:t xml:space="preserve">. </w:t>
      </w:r>
      <w:r w:rsidR="00CC69B8">
        <w:rPr>
          <w:rFonts w:ascii="Times New Roman" w:hAnsi="Times New Roman" w:cs="Times New Roman"/>
        </w:rPr>
        <w:t xml:space="preserve">In 1895, </w:t>
      </w:r>
      <w:r w:rsidR="00AE2EB0">
        <w:rPr>
          <w:rFonts w:ascii="Times New Roman" w:hAnsi="Times New Roman" w:cs="Times New Roman"/>
        </w:rPr>
        <w:t>he proposed</w:t>
      </w:r>
      <w:r w:rsidR="00A01ACE">
        <w:rPr>
          <w:rFonts w:ascii="Times New Roman" w:hAnsi="Times New Roman" w:cs="Times New Roman"/>
        </w:rPr>
        <w:t xml:space="preserve"> the “in</w:t>
      </w:r>
      <w:r w:rsidR="00AE2EB0">
        <w:rPr>
          <w:rFonts w:ascii="Times New Roman" w:hAnsi="Times New Roman" w:cs="Times New Roman"/>
        </w:rPr>
        <w:t xml:space="preserve">sulation theory”, which suggested that astrocytes </w:t>
      </w:r>
      <w:r w:rsidR="00A01ACE">
        <w:rPr>
          <w:rFonts w:ascii="Times New Roman" w:hAnsi="Times New Roman" w:cs="Times New Roman"/>
        </w:rPr>
        <w:t>separate the activity of neighbouring neurons (Navarette and Araque, 2014)</w:t>
      </w:r>
      <w:r w:rsidR="00CC69B8">
        <w:rPr>
          <w:rFonts w:ascii="Times New Roman" w:hAnsi="Times New Roman" w:cs="Times New Roman"/>
        </w:rPr>
        <w:t xml:space="preserve"> and </w:t>
      </w:r>
      <w:r w:rsidR="00230E26">
        <w:rPr>
          <w:rFonts w:ascii="Times New Roman" w:hAnsi="Times New Roman" w:cs="Times New Roman"/>
        </w:rPr>
        <w:t xml:space="preserve">made </w:t>
      </w:r>
      <w:r w:rsidR="00CC69B8">
        <w:rPr>
          <w:rFonts w:ascii="Times New Roman" w:hAnsi="Times New Roman" w:cs="Times New Roman"/>
        </w:rPr>
        <w:t xml:space="preserve">references to the intimate associations between astrocytes and neurons, </w:t>
      </w:r>
      <w:r w:rsidR="00230E26">
        <w:rPr>
          <w:rFonts w:ascii="Times New Roman" w:hAnsi="Times New Roman" w:cs="Times New Roman"/>
        </w:rPr>
        <w:t>stating</w:t>
      </w:r>
      <w:r w:rsidR="00CC69B8">
        <w:rPr>
          <w:rFonts w:ascii="Times New Roman" w:hAnsi="Times New Roman" w:cs="Times New Roman"/>
        </w:rPr>
        <w:t xml:space="preserve"> that this was important to their function. </w:t>
      </w:r>
      <w:r w:rsidR="00474F2E">
        <w:rPr>
          <w:rFonts w:ascii="Times New Roman" w:hAnsi="Times New Roman" w:cs="Times New Roman"/>
        </w:rPr>
        <w:t>Limited</w:t>
      </w:r>
      <w:r w:rsidR="008F524A">
        <w:rPr>
          <w:rFonts w:ascii="Times New Roman" w:hAnsi="Times New Roman" w:cs="Times New Roman"/>
        </w:rPr>
        <w:t xml:space="preserve"> techniques</w:t>
      </w:r>
      <w:r w:rsidR="00474F2E">
        <w:rPr>
          <w:rFonts w:ascii="Times New Roman" w:hAnsi="Times New Roman" w:cs="Times New Roman"/>
        </w:rPr>
        <w:t xml:space="preserve"> were available</w:t>
      </w:r>
      <w:r w:rsidR="008F524A">
        <w:rPr>
          <w:rFonts w:ascii="Times New Roman" w:hAnsi="Times New Roman" w:cs="Times New Roman"/>
        </w:rPr>
        <w:t xml:space="preserve"> to test his theories,</w:t>
      </w:r>
      <w:r w:rsidR="00474F2E">
        <w:rPr>
          <w:rFonts w:ascii="Times New Roman" w:hAnsi="Times New Roman" w:cs="Times New Roman"/>
        </w:rPr>
        <w:t xml:space="preserve"> therefore</w:t>
      </w:r>
      <w:r w:rsidR="008F524A">
        <w:rPr>
          <w:rFonts w:ascii="Times New Roman" w:hAnsi="Times New Roman" w:cs="Times New Roman"/>
        </w:rPr>
        <w:t xml:space="preserve"> research on astro</w:t>
      </w:r>
      <w:r w:rsidR="00474F2E">
        <w:rPr>
          <w:rFonts w:ascii="Times New Roman" w:hAnsi="Times New Roman" w:cs="Times New Roman"/>
        </w:rPr>
        <w:t xml:space="preserve">cytic function stalled for many years. </w:t>
      </w:r>
    </w:p>
    <w:p w14:paraId="7BF516B3" w14:textId="77777777" w:rsidR="00CC69B8" w:rsidRDefault="00CC69B8" w:rsidP="00103AAC">
      <w:pPr>
        <w:spacing w:line="360" w:lineRule="auto"/>
        <w:rPr>
          <w:rFonts w:ascii="Times New Roman" w:hAnsi="Times New Roman" w:cs="Times New Roman"/>
        </w:rPr>
      </w:pPr>
    </w:p>
    <w:p w14:paraId="28BA0C6B" w14:textId="15A90F10" w:rsidR="00AA1627" w:rsidRDefault="00CD30AF" w:rsidP="00B07212">
      <w:pPr>
        <w:spacing w:line="360" w:lineRule="auto"/>
        <w:jc w:val="both"/>
        <w:rPr>
          <w:rFonts w:ascii="Times New Roman" w:hAnsi="Times New Roman" w:cs="Times New Roman"/>
        </w:rPr>
      </w:pPr>
      <w:r>
        <w:rPr>
          <w:rFonts w:ascii="Times New Roman" w:hAnsi="Times New Roman" w:cs="Times New Roman"/>
        </w:rPr>
        <w:t>In the</w:t>
      </w:r>
      <w:r w:rsidR="00CC69B8">
        <w:rPr>
          <w:rFonts w:ascii="Times New Roman" w:hAnsi="Times New Roman" w:cs="Times New Roman"/>
        </w:rPr>
        <w:t xml:space="preserve"> latter part of the twentieth century many new scientific techniques were developed, including </w:t>
      </w:r>
      <w:r w:rsidR="00AA1627">
        <w:rPr>
          <w:rFonts w:ascii="Times New Roman" w:hAnsi="Times New Roman" w:cs="Times New Roman"/>
        </w:rPr>
        <w:t>patch-clamping, fluorescence imaging</w:t>
      </w:r>
      <w:r w:rsidR="006E533E">
        <w:rPr>
          <w:rFonts w:ascii="Times New Roman" w:hAnsi="Times New Roman" w:cs="Times New Roman"/>
        </w:rPr>
        <w:t xml:space="preserve">, generation of dyes </w:t>
      </w:r>
      <w:r w:rsidR="00CC69B8">
        <w:rPr>
          <w:rFonts w:ascii="Times New Roman" w:hAnsi="Times New Roman" w:cs="Times New Roman"/>
        </w:rPr>
        <w:t>for</w:t>
      </w:r>
      <w:r w:rsidR="006E533E">
        <w:rPr>
          <w:rFonts w:ascii="Times New Roman" w:hAnsi="Times New Roman" w:cs="Times New Roman"/>
        </w:rPr>
        <w:t xml:space="preserve"> calcium imaging</w:t>
      </w:r>
      <w:r w:rsidR="00AA1627">
        <w:rPr>
          <w:rFonts w:ascii="Times New Roman" w:hAnsi="Times New Roman" w:cs="Times New Roman"/>
        </w:rPr>
        <w:t xml:space="preserve"> and confocal and multiphoton microscopy</w:t>
      </w:r>
      <w:r w:rsidR="00CC69B8">
        <w:rPr>
          <w:rFonts w:ascii="Times New Roman" w:hAnsi="Times New Roman" w:cs="Times New Roman"/>
        </w:rPr>
        <w:t>, which enabled</w:t>
      </w:r>
      <w:r w:rsidR="00AA1627">
        <w:rPr>
          <w:rFonts w:ascii="Times New Roman" w:hAnsi="Times New Roman" w:cs="Times New Roman"/>
        </w:rPr>
        <w:t xml:space="preserve"> new insights into cellular function</w:t>
      </w:r>
      <w:r>
        <w:rPr>
          <w:rFonts w:ascii="Times New Roman" w:hAnsi="Times New Roman" w:cs="Times New Roman"/>
        </w:rPr>
        <w:t>, particularly in the neuroscience field</w:t>
      </w:r>
      <w:r w:rsidR="00B81995">
        <w:rPr>
          <w:rFonts w:ascii="Times New Roman" w:hAnsi="Times New Roman" w:cs="Times New Roman"/>
        </w:rPr>
        <w:t>.</w:t>
      </w:r>
      <w:r w:rsidR="005E26B8">
        <w:rPr>
          <w:rFonts w:ascii="Times New Roman" w:hAnsi="Times New Roman" w:cs="Times New Roman"/>
        </w:rPr>
        <w:t xml:space="preserve"> </w:t>
      </w:r>
      <w:r w:rsidR="006E533E">
        <w:rPr>
          <w:rFonts w:ascii="Times New Roman" w:hAnsi="Times New Roman" w:cs="Times New Roman"/>
        </w:rPr>
        <w:t xml:space="preserve">This </w:t>
      </w:r>
      <w:r w:rsidR="006645E3">
        <w:rPr>
          <w:rFonts w:ascii="Times New Roman" w:hAnsi="Times New Roman" w:cs="Times New Roman"/>
        </w:rPr>
        <w:t>advance in technology</w:t>
      </w:r>
      <w:r w:rsidR="00230E26">
        <w:rPr>
          <w:rFonts w:ascii="Times New Roman" w:hAnsi="Times New Roman" w:cs="Times New Roman"/>
        </w:rPr>
        <w:t xml:space="preserve"> in the 1990’s</w:t>
      </w:r>
      <w:r w:rsidR="006E533E">
        <w:rPr>
          <w:rFonts w:ascii="Times New Roman" w:hAnsi="Times New Roman" w:cs="Times New Roman"/>
        </w:rPr>
        <w:t xml:space="preserve"> was </w:t>
      </w:r>
      <w:r w:rsidR="00B82F9E">
        <w:rPr>
          <w:rFonts w:ascii="Times New Roman" w:hAnsi="Times New Roman" w:cs="Times New Roman"/>
        </w:rPr>
        <w:t>critical for discovering</w:t>
      </w:r>
      <w:r w:rsidR="00AE2EB0">
        <w:rPr>
          <w:rFonts w:ascii="Times New Roman" w:hAnsi="Times New Roman" w:cs="Times New Roman"/>
        </w:rPr>
        <w:t xml:space="preserve"> that</w:t>
      </w:r>
      <w:r w:rsidR="006E533E">
        <w:rPr>
          <w:rFonts w:ascii="Times New Roman" w:hAnsi="Times New Roman" w:cs="Times New Roman"/>
        </w:rPr>
        <w:t xml:space="preserve"> </w:t>
      </w:r>
      <w:r w:rsidR="00042C25">
        <w:rPr>
          <w:rFonts w:ascii="Times New Roman" w:hAnsi="Times New Roman" w:cs="Times New Roman"/>
        </w:rPr>
        <w:t xml:space="preserve">astrocytes are not just passive </w:t>
      </w:r>
      <w:r w:rsidR="00474F2E">
        <w:rPr>
          <w:rFonts w:ascii="Times New Roman" w:hAnsi="Times New Roman" w:cs="Times New Roman"/>
        </w:rPr>
        <w:t>player</w:t>
      </w:r>
      <w:r w:rsidR="00AE2EB0">
        <w:rPr>
          <w:rFonts w:ascii="Times New Roman" w:hAnsi="Times New Roman" w:cs="Times New Roman"/>
        </w:rPr>
        <w:t>s</w:t>
      </w:r>
      <w:r w:rsidR="00042C25">
        <w:rPr>
          <w:rFonts w:ascii="Times New Roman" w:hAnsi="Times New Roman" w:cs="Times New Roman"/>
        </w:rPr>
        <w:t xml:space="preserve"> in the brain but </w:t>
      </w:r>
      <w:r w:rsidR="001A437B">
        <w:rPr>
          <w:rFonts w:ascii="Times New Roman" w:hAnsi="Times New Roman" w:cs="Times New Roman"/>
        </w:rPr>
        <w:t>are integral to</w:t>
      </w:r>
      <w:r w:rsidR="00042C25">
        <w:rPr>
          <w:rFonts w:ascii="Times New Roman" w:hAnsi="Times New Roman" w:cs="Times New Roman"/>
        </w:rPr>
        <w:t xml:space="preserve"> maintaining brain</w:t>
      </w:r>
      <w:r w:rsidR="00230E26">
        <w:rPr>
          <w:rFonts w:ascii="Times New Roman" w:hAnsi="Times New Roman" w:cs="Times New Roman"/>
        </w:rPr>
        <w:t xml:space="preserve"> health and</w:t>
      </w:r>
      <w:r w:rsidR="00B81995">
        <w:rPr>
          <w:rFonts w:ascii="Times New Roman" w:hAnsi="Times New Roman" w:cs="Times New Roman"/>
        </w:rPr>
        <w:t xml:space="preserve"> function. </w:t>
      </w:r>
    </w:p>
    <w:p w14:paraId="08FC1AEA" w14:textId="77777777" w:rsidR="00024DC4" w:rsidRDefault="00024DC4" w:rsidP="001B1D82">
      <w:pPr>
        <w:pStyle w:val="Heading3"/>
      </w:pPr>
      <w:bookmarkStart w:id="115" w:name="_Toc328301078"/>
      <w:bookmarkStart w:id="116" w:name="_Toc329593369"/>
    </w:p>
    <w:p w14:paraId="49DB0EC1" w14:textId="20B05059" w:rsidR="00522774" w:rsidRDefault="003A2584" w:rsidP="001B1D82">
      <w:pPr>
        <w:pStyle w:val="Heading3"/>
      </w:pPr>
      <w:bookmarkStart w:id="117" w:name="_Toc331425871"/>
      <w:bookmarkStart w:id="118" w:name="_Toc331427058"/>
      <w:bookmarkStart w:id="119" w:name="_Toc331427430"/>
      <w:bookmarkStart w:id="120" w:name="_Toc331427572"/>
      <w:bookmarkStart w:id="121" w:name="_Toc332972576"/>
      <w:bookmarkStart w:id="122" w:name="_Toc333046856"/>
      <w:bookmarkStart w:id="123" w:name="_Toc333477203"/>
      <w:bookmarkStart w:id="124" w:name="_Toc333477973"/>
      <w:bookmarkStart w:id="125" w:name="_Toc333644873"/>
      <w:r>
        <w:t xml:space="preserve">1.2.2 </w:t>
      </w:r>
      <w:r w:rsidR="00522774">
        <w:t>Astrocyte morphology</w:t>
      </w:r>
      <w:bookmarkEnd w:id="115"/>
      <w:bookmarkEnd w:id="116"/>
      <w:bookmarkEnd w:id="117"/>
      <w:bookmarkEnd w:id="118"/>
      <w:bookmarkEnd w:id="119"/>
      <w:bookmarkEnd w:id="120"/>
      <w:bookmarkEnd w:id="121"/>
      <w:bookmarkEnd w:id="122"/>
      <w:bookmarkEnd w:id="123"/>
      <w:bookmarkEnd w:id="124"/>
      <w:bookmarkEnd w:id="125"/>
    </w:p>
    <w:p w14:paraId="1BFE7E15" w14:textId="77777777" w:rsidR="00567751" w:rsidRDefault="00567751" w:rsidP="00B556AC">
      <w:pPr>
        <w:spacing w:line="360" w:lineRule="auto"/>
      </w:pPr>
    </w:p>
    <w:p w14:paraId="40D5F35C" w14:textId="21D4B24B" w:rsidR="00B556AC" w:rsidRPr="00447E76" w:rsidRDefault="00B556AC" w:rsidP="00B07212">
      <w:pPr>
        <w:spacing w:line="360" w:lineRule="auto"/>
        <w:jc w:val="both"/>
        <w:rPr>
          <w:rFonts w:ascii="Times New Roman" w:hAnsi="Times New Roman" w:cs="Times New Roman"/>
        </w:rPr>
      </w:pPr>
      <w:r>
        <w:rPr>
          <w:rFonts w:ascii="Times New Roman" w:hAnsi="Times New Roman" w:cs="Times New Roman"/>
        </w:rPr>
        <w:t xml:space="preserve">Mammalian astrocytes are classified into 2 morphological groups on the basis of their anatomical location and </w:t>
      </w:r>
      <w:r w:rsidR="00B82F9E">
        <w:rPr>
          <w:rFonts w:ascii="Times New Roman" w:hAnsi="Times New Roman" w:cs="Times New Roman"/>
        </w:rPr>
        <w:t>morphology;</w:t>
      </w:r>
      <w:r w:rsidR="00447E76">
        <w:rPr>
          <w:rFonts w:ascii="Times New Roman" w:hAnsi="Times New Roman" w:cs="Times New Roman"/>
        </w:rPr>
        <w:t xml:space="preserve"> these are either protoplasmic or fibrous astrocytes. Protoplas</w:t>
      </w:r>
      <w:r w:rsidR="005060F7">
        <w:rPr>
          <w:rFonts w:ascii="Times New Roman" w:hAnsi="Times New Roman" w:cs="Times New Roman"/>
        </w:rPr>
        <w:t>mic astrocytes reside in the gre</w:t>
      </w:r>
      <w:r w:rsidR="00447E76">
        <w:rPr>
          <w:rFonts w:ascii="Times New Roman" w:hAnsi="Times New Roman" w:cs="Times New Roman"/>
        </w:rPr>
        <w:t>y matter</w:t>
      </w:r>
      <w:r w:rsidR="00B8525E">
        <w:rPr>
          <w:rFonts w:ascii="Times New Roman" w:hAnsi="Times New Roman" w:cs="Times New Roman"/>
        </w:rPr>
        <w:t xml:space="preserve"> and</w:t>
      </w:r>
      <w:r w:rsidR="00A44DAE">
        <w:rPr>
          <w:rFonts w:ascii="Times New Roman" w:hAnsi="Times New Roman" w:cs="Times New Roman"/>
        </w:rPr>
        <w:t xml:space="preserve"> have a globular shape with many finer processes extending from thicker processes. Fibrous astrocytes are located in the white matter and have </w:t>
      </w:r>
      <w:r w:rsidR="008378BD">
        <w:rPr>
          <w:rFonts w:ascii="Times New Roman" w:hAnsi="Times New Roman" w:cs="Times New Roman"/>
        </w:rPr>
        <w:t>many longer-finer processes</w:t>
      </w:r>
      <w:r w:rsidR="005072F7">
        <w:rPr>
          <w:rFonts w:ascii="Times New Roman" w:hAnsi="Times New Roman" w:cs="Times New Roman"/>
        </w:rPr>
        <w:t>.</w:t>
      </w:r>
      <w:r w:rsidR="000266D5">
        <w:rPr>
          <w:rFonts w:ascii="Times New Roman" w:hAnsi="Times New Roman" w:cs="Times New Roman"/>
        </w:rPr>
        <w:t xml:space="preserve"> </w:t>
      </w:r>
    </w:p>
    <w:p w14:paraId="073D07B9" w14:textId="77777777" w:rsidR="00492848" w:rsidRDefault="00492848" w:rsidP="00B556AC">
      <w:pPr>
        <w:spacing w:line="360" w:lineRule="auto"/>
        <w:rPr>
          <w:rFonts w:ascii="Times New Roman" w:hAnsi="Times New Roman" w:cs="Times New Roman"/>
          <w:b/>
        </w:rPr>
      </w:pPr>
    </w:p>
    <w:p w14:paraId="28F52F1C" w14:textId="52E79D28" w:rsidR="00475554" w:rsidRPr="003B2C49" w:rsidRDefault="00475554" w:rsidP="00B07212">
      <w:pPr>
        <w:spacing w:line="360" w:lineRule="auto"/>
        <w:jc w:val="both"/>
        <w:rPr>
          <w:rFonts w:ascii="Times New Roman" w:hAnsi="Times New Roman" w:cs="Times New Roman"/>
        </w:rPr>
      </w:pPr>
      <w:r>
        <w:rPr>
          <w:rFonts w:ascii="Times New Roman" w:hAnsi="Times New Roman" w:cs="Times New Roman"/>
        </w:rPr>
        <w:t>On average, an individual</w:t>
      </w:r>
      <w:r w:rsidR="00A44DAE">
        <w:rPr>
          <w:rFonts w:ascii="Times New Roman" w:hAnsi="Times New Roman" w:cs="Times New Roman"/>
        </w:rPr>
        <w:t xml:space="preserve"> protoplasmic</w:t>
      </w:r>
      <w:r>
        <w:rPr>
          <w:rFonts w:ascii="Times New Roman" w:hAnsi="Times New Roman" w:cs="Times New Roman"/>
        </w:rPr>
        <w:t xml:space="preserve"> astrocyte has</w:t>
      </w:r>
      <w:r w:rsidR="002C6BA2">
        <w:rPr>
          <w:rFonts w:ascii="Times New Roman" w:hAnsi="Times New Roman" w:cs="Times New Roman"/>
        </w:rPr>
        <w:t xml:space="preserve"> between 5-8 major proce</w:t>
      </w:r>
      <w:r>
        <w:rPr>
          <w:rFonts w:ascii="Times New Roman" w:hAnsi="Times New Roman" w:cs="Times New Roman"/>
        </w:rPr>
        <w:t>sses extending f</w:t>
      </w:r>
      <w:r w:rsidR="004D435B">
        <w:rPr>
          <w:rFonts w:ascii="Times New Roman" w:hAnsi="Times New Roman" w:cs="Times New Roman"/>
        </w:rPr>
        <w:t xml:space="preserve">rom the cell body and many </w:t>
      </w:r>
      <w:r>
        <w:rPr>
          <w:rFonts w:ascii="Times New Roman" w:hAnsi="Times New Roman" w:cs="Times New Roman"/>
        </w:rPr>
        <w:t>finer processes associated with</w:t>
      </w:r>
      <w:r w:rsidR="002C6BA2">
        <w:rPr>
          <w:rFonts w:ascii="Times New Roman" w:hAnsi="Times New Roman" w:cs="Times New Roman"/>
        </w:rPr>
        <w:t xml:space="preserve"> each of these. Injection of fluorescent dyes has</w:t>
      </w:r>
      <w:r w:rsidR="00673030">
        <w:rPr>
          <w:rFonts w:ascii="Times New Roman" w:hAnsi="Times New Roman" w:cs="Times New Roman"/>
        </w:rPr>
        <w:t xml:space="preserve"> </w:t>
      </w:r>
      <w:r w:rsidR="002C6BA2">
        <w:rPr>
          <w:rFonts w:ascii="Times New Roman" w:hAnsi="Times New Roman" w:cs="Times New Roman"/>
        </w:rPr>
        <w:t>revealed that</w:t>
      </w:r>
      <w:r w:rsidR="00A44DAE">
        <w:rPr>
          <w:rFonts w:ascii="Times New Roman" w:hAnsi="Times New Roman" w:cs="Times New Roman"/>
        </w:rPr>
        <w:t xml:space="preserve"> protoplasmic</w:t>
      </w:r>
      <w:r w:rsidR="002C6BA2">
        <w:rPr>
          <w:rFonts w:ascii="Times New Roman" w:hAnsi="Times New Roman" w:cs="Times New Roman"/>
        </w:rPr>
        <w:t xml:space="preserve"> astrocytes occupy </w:t>
      </w:r>
      <w:r w:rsidR="00B556AC">
        <w:rPr>
          <w:rFonts w:ascii="Times New Roman" w:hAnsi="Times New Roman" w:cs="Times New Roman"/>
        </w:rPr>
        <w:t xml:space="preserve">spatially distinct, non-overlapping domains </w:t>
      </w:r>
      <w:r w:rsidR="004E352F">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"1529-2401", "PMID" : "11756501", "abstract" : "Protoplasmic astrocytes are increasingly thought to interact extensively with neuronal elements in the brain and to influence their activity. Recent reports have also begun to suggest that physiologically, and perhaps functionally, diverse forms of these cells may be present in the CNS. Our current understanding of astrocyte form and distribution is based predominantly on studies that used the astrocytic marker glial fibrillary acidic protein (GFAP) and on studies using metal-impregnation techniques. The prevalent opinion, based on studies using these methods, is that astrocytic processes overlap extensively and primarily share the underlying neuropil. However, both of these techniques have serious shortcomings for visualizing the interactions among these structurally complex cells. In the present study, intracellular injection combined with immunohistochemistry for GFAP show that GFAP delineates only approximately 15% of the total volume of the astrocyte. As a result, GFAP-based images have led to incorrect conclusions regarding the interaction of processes of neighboring astrocytes. To investigate these interactions in detail, groups of adjacent protoplasmic astrocytes in the CA1 stratum radiatum were injected with fluorescent intracellular tracers of distinctive emissive wavelengths and analyzed using three-dimensional (3D) confocal analysis and electron microscopy. Our findings show that protoplasmic astrocytes establish primarily exclusive territories. The knowledge of how the complex morphology of protoplasmic astrocytes affects their 3D relationships with other astrocytes, oligodendroglia, neurons, and vasculature of the brain should have important implications for our understanding of nervous system function.", "author" : [ { "dropping-particle" : "", "family" : "Bushong", "given" : "Eric A", "non-dropping-particle" : "", "parse-names" : false, "suffix" : "" }, { "dropping-particle" : "", "family" : "Martone", "given" : "Maryann E", "non-dropping-particle" : "", "parse-names" : false, "suffix" : "" }, { "dropping-particle" : "", "family" : "Jones", "given" : "Ying Z", "non-dropping-particle" : "", "parse-names" : false, "suffix" : "" }, { "dropping-particle" : "", "family" : "Ellisman", "given" : "Mark H", "non-dropping-particle" : "", "parse-names" : false, "suffix" : "" } ], "container-title" : "The Journal of neuroscience : the official journal of the Society for Neuroscience", "id" : "ITEM-1", "issue" : "1", "issued" : { "date-parts" : [ [ "2002", "1", "1" ] ] }, "page" : "183-92", "title" : "Protoplasmic astrocytes in CA1 stratum radiatum occupy separate anatomical domains.", "type" : "article-journal", "volume" : "22" }, "uris" : [ "http://www.mendeley.com/documents/?uuid=226c8402-4dcc-41eb-8ba7-14a92cac7fb0" ] } ], "mendeley" : { "formattedCitation" : "(Bushong et al. 2002a)", "manualFormatting" : "(Bushong, Martone, Jones, &amp; Ellisman, 2002)", "plainTextFormattedCitation" : "(Bushong et al. 2002a)", "previouslyFormattedCitation" : "(Bushong et al. 2002a)" }, "properties" : { "noteIndex" : 0 }, "schema" : "https://github.com/citation-style-language/schema/raw/master/csl-citation.json" }</w:instrText>
      </w:r>
      <w:r w:rsidR="004E352F">
        <w:rPr>
          <w:rFonts w:ascii="Times New Roman" w:hAnsi="Times New Roman" w:cs="Times New Roman"/>
        </w:rPr>
        <w:fldChar w:fldCharType="separate"/>
      </w:r>
      <w:r w:rsidR="001E6937" w:rsidRPr="001E6937">
        <w:rPr>
          <w:rFonts w:ascii="Times New Roman" w:hAnsi="Times New Roman" w:cs="Times New Roman"/>
          <w:noProof/>
        </w:rPr>
        <w:t>(Bushong, Martone, Jones, &amp; Ellisman</w:t>
      </w:r>
      <w:r w:rsidR="00505FC8">
        <w:rPr>
          <w:rFonts w:ascii="Times New Roman" w:hAnsi="Times New Roman" w:cs="Times New Roman"/>
          <w:noProof/>
        </w:rPr>
        <w:t>, 2002</w:t>
      </w:r>
      <w:r w:rsidR="001E6937" w:rsidRPr="001E6937">
        <w:rPr>
          <w:rFonts w:ascii="Times New Roman" w:hAnsi="Times New Roman" w:cs="Times New Roman"/>
          <w:noProof/>
        </w:rPr>
        <w:t>)</w:t>
      </w:r>
      <w:r w:rsidR="004E352F">
        <w:rPr>
          <w:rFonts w:ascii="Times New Roman" w:hAnsi="Times New Roman" w:cs="Times New Roman"/>
        </w:rPr>
        <w:fldChar w:fldCharType="end"/>
      </w:r>
      <w:r w:rsidR="00673030">
        <w:rPr>
          <w:rFonts w:ascii="Times New Roman" w:hAnsi="Times New Roman" w:cs="Times New Roman"/>
        </w:rPr>
        <w:t xml:space="preserve">. </w:t>
      </w:r>
      <w:r w:rsidR="00A44DAE">
        <w:rPr>
          <w:rFonts w:ascii="Times New Roman" w:hAnsi="Times New Roman" w:cs="Times New Roman"/>
        </w:rPr>
        <w:t xml:space="preserve">Less has been reported on the spatial distribution of fibrous astrocytes but </w:t>
      </w:r>
      <w:r w:rsidR="00B139E2">
        <w:rPr>
          <w:rFonts w:ascii="Times New Roman" w:hAnsi="Times New Roman" w:cs="Times New Roman"/>
        </w:rPr>
        <w:t>is likely the same as in the gre</w:t>
      </w:r>
      <w:r w:rsidR="00A44DAE">
        <w:rPr>
          <w:rFonts w:ascii="Times New Roman" w:hAnsi="Times New Roman" w:cs="Times New Roman"/>
        </w:rPr>
        <w:t>y matter. W</w:t>
      </w:r>
      <w:r>
        <w:rPr>
          <w:rFonts w:ascii="Times New Roman" w:hAnsi="Times New Roman" w:cs="Times New Roman"/>
        </w:rPr>
        <w:t>hilst astrocytes maintain distinct territories</w:t>
      </w:r>
      <w:r w:rsidR="00A44DAE">
        <w:rPr>
          <w:rFonts w:ascii="Times New Roman" w:hAnsi="Times New Roman" w:cs="Times New Roman"/>
        </w:rPr>
        <w:t>,</w:t>
      </w:r>
      <w:r>
        <w:rPr>
          <w:rFonts w:ascii="Times New Roman" w:hAnsi="Times New Roman" w:cs="Times New Roman"/>
        </w:rPr>
        <w:t xml:space="preserve"> they</w:t>
      </w:r>
      <w:r w:rsidR="005D5653">
        <w:rPr>
          <w:rFonts w:ascii="Times New Roman" w:hAnsi="Times New Roman" w:cs="Times New Roman"/>
        </w:rPr>
        <w:t xml:space="preserve"> </w:t>
      </w:r>
      <w:r w:rsidR="00673030">
        <w:rPr>
          <w:rFonts w:ascii="Times New Roman" w:hAnsi="Times New Roman" w:cs="Times New Roman"/>
        </w:rPr>
        <w:t>are</w:t>
      </w:r>
      <w:r w:rsidR="005F4ABC">
        <w:rPr>
          <w:rFonts w:ascii="Times New Roman" w:hAnsi="Times New Roman" w:cs="Times New Roman"/>
        </w:rPr>
        <w:t xml:space="preserve"> also</w:t>
      </w:r>
      <w:r w:rsidR="00673030">
        <w:rPr>
          <w:rFonts w:ascii="Times New Roman" w:hAnsi="Times New Roman" w:cs="Times New Roman"/>
        </w:rPr>
        <w:t xml:space="preserve"> intimately associated with neuron</w:t>
      </w:r>
      <w:r w:rsidR="005D5653">
        <w:rPr>
          <w:rFonts w:ascii="Times New Roman" w:hAnsi="Times New Roman" w:cs="Times New Roman"/>
        </w:rPr>
        <w:t>s</w:t>
      </w:r>
      <w:r w:rsidR="009C6FBA">
        <w:rPr>
          <w:rFonts w:ascii="Times New Roman" w:hAnsi="Times New Roman" w:cs="Times New Roman"/>
        </w:rPr>
        <w:t xml:space="preserve"> and vascular walls</w:t>
      </w:r>
      <w:r>
        <w:rPr>
          <w:rFonts w:ascii="Times New Roman" w:hAnsi="Times New Roman" w:cs="Times New Roman"/>
        </w:rPr>
        <w:t xml:space="preserve"> within these territories</w:t>
      </w:r>
      <w:r w:rsidR="00A44DAE">
        <w:rPr>
          <w:rFonts w:ascii="Times New Roman" w:hAnsi="Times New Roman" w:cs="Times New Roman"/>
        </w:rPr>
        <w:t>.</w:t>
      </w:r>
      <w:r w:rsidR="00B556AC">
        <w:rPr>
          <w:rFonts w:ascii="Times New Roman" w:hAnsi="Times New Roman" w:cs="Times New Roman"/>
        </w:rPr>
        <w:t xml:space="preserve"> </w:t>
      </w:r>
      <w:r>
        <w:rPr>
          <w:rFonts w:ascii="Times New Roman" w:hAnsi="Times New Roman" w:cs="Times New Roman"/>
        </w:rPr>
        <w:t>This allows astrocytes to</w:t>
      </w:r>
      <w:r w:rsidR="00AE2EB0">
        <w:rPr>
          <w:rFonts w:ascii="Times New Roman" w:hAnsi="Times New Roman" w:cs="Times New Roman"/>
        </w:rPr>
        <w:t xml:space="preserve"> coordin</w:t>
      </w:r>
      <w:r>
        <w:rPr>
          <w:rFonts w:ascii="Times New Roman" w:hAnsi="Times New Roman" w:cs="Times New Roman"/>
        </w:rPr>
        <w:t xml:space="preserve">ate </w:t>
      </w:r>
      <w:r w:rsidR="00AE2EB0">
        <w:rPr>
          <w:rFonts w:ascii="Times New Roman" w:hAnsi="Times New Roman" w:cs="Times New Roman"/>
        </w:rPr>
        <w:t>synaptic transmiss</w:t>
      </w:r>
      <w:r w:rsidR="005D14B4">
        <w:rPr>
          <w:rFonts w:ascii="Times New Roman" w:hAnsi="Times New Roman" w:cs="Times New Roman"/>
        </w:rPr>
        <w:t xml:space="preserve">ion with dynamic changes in </w:t>
      </w:r>
      <w:r w:rsidR="00B717BF">
        <w:rPr>
          <w:rFonts w:ascii="Times New Roman" w:hAnsi="Times New Roman" w:cs="Times New Roman"/>
        </w:rPr>
        <w:t xml:space="preserve">nutrient availability </w:t>
      </w:r>
      <w:r w:rsidR="005D14B4">
        <w:rPr>
          <w:rFonts w:ascii="Times New Roman" w:hAnsi="Times New Roman" w:cs="Times New Roman"/>
        </w:rPr>
        <w:t>in the blood</w:t>
      </w:r>
      <w:r w:rsidR="003B2C49">
        <w:rPr>
          <w:rFonts w:ascii="Times New Roman" w:hAnsi="Times New Roman" w:cs="Times New Roman"/>
        </w:rPr>
        <w:t xml:space="preserve"> </w:t>
      </w:r>
      <w:r w:rsidR="003F43BF">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"10.1038/nn980", "ISSN" : "1097-6256", "PMID" : "12469126", "abstract" : "The cellular mechanisms underlying functional hyperemia--the coupling of neuronal activation to cerebral blood vessel responses--are not yet known. Here we show in rat cortical slices that the dilation of arterioles triggered by neuronal activity is dependent on glutamate-mediated [Ca(2+)](i) oscillations in astrocytes. Inhibition of these Ca(2+) responses resulted in the impairment of activity-dependent vasodilation, whereas selective activation--by patch pipette--of single astrocytes that were in contact with arterioles triggered vessel relaxation. We also found that a cyclooxygenase product is centrally involved in this astrocyte-mediated control of arterioles. In vivo blockade of glutamate-mediated [Ca(2+)](i) elevations in astrocytes reduced the blood flow increase in the somatosensory cortex during contralateral forepaw stimulation. Taken together, our findings show that neuron-to-astrocyte signaling is a key mechanism in functional hyperemia.", "author" : [ { "dropping-particle" : "", "family" : "Zonta", "given" : "Micaela", "non-dropping-particle" : "", "parse-names" : false, "suffix" : "" }, { "dropping-particle" : "", "family" : "Angulo", "given" : "Mar\u00eda Cecilia", "non-dropping-particle" : "", "parse-names" : false, "suffix" : "" }, { "dropping-particle" : "", "family" : "Gobbo", "given" : "Sara", "non-dropping-particle" : "", "parse-names" : false, "suffix" : "" }, { "dropping-particle" : "", "family" : "Rosengarten", "given" : "Bernhard", "non-dropping-particle" : "", "parse-names" : false, "suffix" : "" }, { "dropping-particle" : "", "family" : "Hossmann", "given" : "Konstantin-A", "non-dropping-particle" : "", "parse-names" : false, "suffix" : "" }, { "dropping-particle" : "", "family" : "Pozzan", "given" : "Tullio", "non-dropping-particle" : "", "parse-names" : false, "suffix" : "" }, { "dropping-particle" : "", "family" : "Carmignoto", "given" : "Giorgio", "non-dropping-particle" : "", "parse-names" : false, "suffix" : "" } ], "container-title" : "Nature neuroscience", "id" : "ITEM-1", "issue" : "1", "issued" : { "date-parts" : [ [ "2003", "1" ] ] }, "page" : "43-50", "title" : "Neuron-to-astrocyte signaling is central to the dynamic control of brain microcirculation.", "title-short" : "Nat Neurosci", "type" : "article-journal", "volume" : "6" }, "uris" : [ "http://www.mendeley.com/documents/?uuid=a69ab627-9e30-433e-9a33-ee61bcad7ede" ] } ], "mendeley" : { "formattedCitation" : "(Zonta et al. 2003)", "plainTextFormattedCitation" : "(Zonta et al. 2003)", "previouslyFormattedCitation" : "(Zonta et al. 2003)" }, "properties" : { "noteIndex" : 0 }, "schema" : "https://github.com/citation-style-language/schema/raw/master/csl-citation.json" }</w:instrText>
      </w:r>
      <w:r w:rsidR="003F43BF">
        <w:rPr>
          <w:rFonts w:ascii="Times New Roman" w:hAnsi="Times New Roman" w:cs="Times New Roman"/>
        </w:rPr>
        <w:fldChar w:fldCharType="separate"/>
      </w:r>
      <w:r w:rsidR="00C148FC" w:rsidRPr="00C148FC">
        <w:rPr>
          <w:rFonts w:ascii="Times New Roman" w:hAnsi="Times New Roman" w:cs="Times New Roman"/>
          <w:noProof/>
        </w:rPr>
        <w:t>(Zonta et al. 2003)</w:t>
      </w:r>
      <w:r w:rsidR="003F43BF">
        <w:rPr>
          <w:rFonts w:ascii="Times New Roman" w:hAnsi="Times New Roman" w:cs="Times New Roman"/>
        </w:rPr>
        <w:fldChar w:fldCharType="end"/>
      </w:r>
      <w:r w:rsidR="003F43BF">
        <w:rPr>
          <w:rFonts w:ascii="Times New Roman" w:hAnsi="Times New Roman" w:cs="Times New Roman"/>
        </w:rPr>
        <w:t>.</w:t>
      </w:r>
    </w:p>
    <w:p w14:paraId="09AD9F15" w14:textId="77777777" w:rsidR="00B556AC" w:rsidRDefault="00B556AC" w:rsidP="00C5321E">
      <w:pPr>
        <w:spacing w:line="360" w:lineRule="auto"/>
        <w:rPr>
          <w:rFonts w:ascii="Times New Roman" w:hAnsi="Times New Roman" w:cs="Times New Roman"/>
        </w:rPr>
      </w:pPr>
    </w:p>
    <w:p w14:paraId="5A31D440" w14:textId="3168EB76" w:rsidR="00561B4C" w:rsidRDefault="00B556AC" w:rsidP="00B07212">
      <w:pPr>
        <w:spacing w:line="360" w:lineRule="auto"/>
        <w:jc w:val="both"/>
        <w:rPr>
          <w:rFonts w:ascii="Times New Roman" w:hAnsi="Times New Roman" w:cs="Times New Roman"/>
        </w:rPr>
      </w:pPr>
      <w:r>
        <w:rPr>
          <w:rFonts w:ascii="Times New Roman" w:hAnsi="Times New Roman" w:cs="Times New Roman"/>
        </w:rPr>
        <w:t>Compared to their rodent counterparts, human cortical astrocytes have a three-fold larger diameter</w:t>
      </w:r>
      <w:r w:rsidR="0087548B">
        <w:rPr>
          <w:rFonts w:ascii="Times New Roman" w:hAnsi="Times New Roman" w:cs="Times New Roman"/>
        </w:rPr>
        <w:t xml:space="preserve"> and </w:t>
      </w:r>
      <w:r>
        <w:rPr>
          <w:rFonts w:ascii="Times New Roman" w:hAnsi="Times New Roman" w:cs="Times New Roman"/>
        </w:rPr>
        <w:t xml:space="preserve">more morphological </w:t>
      </w:r>
      <w:r w:rsidR="00773590">
        <w:rPr>
          <w:rFonts w:ascii="Times New Roman" w:hAnsi="Times New Roman" w:cs="Times New Roman"/>
        </w:rPr>
        <w:t>diversity</w:t>
      </w:r>
      <w:r>
        <w:rPr>
          <w:rFonts w:ascii="Times New Roman" w:hAnsi="Times New Roman" w:cs="Times New Roman"/>
        </w:rPr>
        <w:t xml:space="preserve"> (characterised by GFAP staining). </w:t>
      </w:r>
      <w:r w:rsidR="0087548B">
        <w:rPr>
          <w:rFonts w:ascii="Times New Roman" w:hAnsi="Times New Roman" w:cs="Times New Roman"/>
        </w:rPr>
        <w:t xml:space="preserve">In addition, human astrocytes in </w:t>
      </w:r>
      <w:r w:rsidR="0087548B" w:rsidRPr="00221E7D">
        <w:rPr>
          <w:rFonts w:ascii="Times New Roman" w:hAnsi="Times New Roman" w:cs="Times New Roman"/>
        </w:rPr>
        <w:t>layers 1, 5 and 6 extend longer projections</w:t>
      </w:r>
      <w:r w:rsidR="00773590">
        <w:rPr>
          <w:rFonts w:ascii="Times New Roman" w:hAnsi="Times New Roman" w:cs="Times New Roman"/>
        </w:rPr>
        <w:t xml:space="preserve"> than rodent astrocytes</w:t>
      </w:r>
      <w:r w:rsidR="0087548B" w:rsidRPr="00221E7D">
        <w:rPr>
          <w:rFonts w:ascii="Times New Roman" w:hAnsi="Times New Roman" w:cs="Times New Roman"/>
        </w:rPr>
        <w:t xml:space="preserve"> </w:t>
      </w:r>
      <w:r w:rsidR="0087548B" w:rsidRPr="00221E7D">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"10.1016/j.tins.2006.08.004", "ISSN" : "0166-2236", "PMID" : "16938356", "abstract" : "One of the most distinguishing features of the adult human brain is the complexity and diversity of its cortical astrocytes. Human protoplasmic astrocytes manifest a threefold larger diameter and have tenfold more primary processes than those of rodents. In all mammals, protoplasmic astrocytes are organized into spatially non-overlapping domains that encompass both neurons and vasculature. Yet unique to humans and primates are additional populations of layer 1 interlaminar astrocytes that extend long (millimeter) fibers, and layer 5-6 polarized astrocytes that also project distinctive long processes. We propose that human cortical evolution has been accompanied by increasing complexity in the form and function of astrocytes, which reflects an expansion of their functional roles in synaptic modulation and cortical circuitry.", "author" : [ { "dropping-particle" : "", "family" : "Oberheim", "given" : "Nancy Ann", "non-dropping-particle" : "", "parse-names" : false, "suffix" : "" }, { "dropping-particle" : "", "family" : "Wang", "given" : "Xiaohai", "non-dropping-particle" : "", "parse-names" : false, "suffix" : "" }, { "dropping-particle" : "", "family" : "Goldman", "given" : "Steven", "non-dropping-particle" : "", "parse-names" : false, "suffix" : "" }, { "dropping-particle" : "", "family" : "Nedergaard", "given" : "Maiken", "non-dropping-particle" : "", "parse-names" : false, "suffix" : "" } ], "container-title" : "Trends in neurosciences", "id" : "ITEM-1", "issue" : "10", "issued" : { "date-parts" : [ [ "2006", "10", "1" ] ] }, "language" : "English", "page" : "547-53", "publisher" : "Elsevier", "title" : "Astrocytic complexity distinguishes the human brain.", "type" : "article-journal", "volume" : "29" }, "uris" : [ "http://www.mendeley.com/documents/?uuid=c61b7cad-1cf5-46ed-ad24-67fd34e0cab9" ] } ], "mendeley" : { "formattedCitation" : "(Oberheim et al. 2006)", "plainTextFormattedCitation" : "(Oberheim et al. 2006)", "previouslyFormattedCitation" : "(Oberheim et al. 2006)" }, "properties" : { "noteIndex" : 0 }, "schema" : "https://github.com/citation-style-language/schema/raw/master/csl-citation.json" }</w:instrText>
      </w:r>
      <w:r w:rsidR="0087548B" w:rsidRPr="00221E7D">
        <w:rPr>
          <w:rFonts w:ascii="Times New Roman" w:hAnsi="Times New Roman" w:cs="Times New Roman"/>
        </w:rPr>
        <w:fldChar w:fldCharType="separate"/>
      </w:r>
      <w:r w:rsidR="00C148FC" w:rsidRPr="00C148FC">
        <w:rPr>
          <w:rFonts w:ascii="Times New Roman" w:hAnsi="Times New Roman" w:cs="Times New Roman"/>
          <w:noProof/>
        </w:rPr>
        <w:t>(Oberheim et al. 2006)</w:t>
      </w:r>
      <w:r w:rsidR="0087548B" w:rsidRPr="00221E7D">
        <w:rPr>
          <w:rFonts w:ascii="Times New Roman" w:hAnsi="Times New Roman" w:cs="Times New Roman"/>
        </w:rPr>
        <w:fldChar w:fldCharType="end"/>
      </w:r>
      <w:r w:rsidR="00267C88" w:rsidRPr="00221E7D">
        <w:rPr>
          <w:rFonts w:ascii="Times New Roman" w:hAnsi="Times New Roman" w:cs="Times New Roman"/>
        </w:rPr>
        <w:t xml:space="preserve"> and it is suggested </w:t>
      </w:r>
      <w:r w:rsidR="00221E7D" w:rsidRPr="00221E7D">
        <w:rPr>
          <w:rFonts w:ascii="Times New Roman" w:hAnsi="Times New Roman" w:cs="Times New Roman"/>
        </w:rPr>
        <w:t xml:space="preserve">that </w:t>
      </w:r>
      <w:r w:rsidR="00267C88" w:rsidRPr="00221E7D">
        <w:rPr>
          <w:rFonts w:ascii="Times New Roman" w:hAnsi="Times New Roman" w:cs="Times New Roman"/>
        </w:rPr>
        <w:t>more than just two morphological subtypes of astrocytes</w:t>
      </w:r>
      <w:r w:rsidR="00221E7D" w:rsidRPr="00221E7D">
        <w:rPr>
          <w:rFonts w:ascii="Times New Roman" w:hAnsi="Times New Roman" w:cs="Times New Roman"/>
        </w:rPr>
        <w:t xml:space="preserve"> exist in humans</w:t>
      </w:r>
      <w:r w:rsidR="00267C88" w:rsidRPr="00221E7D">
        <w:rPr>
          <w:rFonts w:ascii="Times New Roman" w:hAnsi="Times New Roman" w:cs="Times New Roman"/>
        </w:rPr>
        <w:t>.</w:t>
      </w:r>
      <w:r w:rsidR="00267C88">
        <w:rPr>
          <w:rFonts w:ascii="Times New Roman" w:hAnsi="Times New Roman" w:cs="Times New Roman"/>
        </w:rPr>
        <w:t xml:space="preserve"> </w:t>
      </w:r>
      <w:r w:rsidR="0087548B">
        <w:rPr>
          <w:rFonts w:ascii="Times New Roman" w:hAnsi="Times New Roman" w:cs="Times New Roman"/>
        </w:rPr>
        <w:t xml:space="preserve">The number of synapses in contact with an individual astrocyte also varies between species. A rodent astrocyte typically contacts </w:t>
      </w:r>
      <w:r w:rsidR="0087548B" w:rsidRPr="002F0A6D">
        <w:rPr>
          <w:rFonts w:ascii="Times New Roman" w:hAnsi="Times New Roman" w:cs="Times New Roman"/>
        </w:rPr>
        <w:t>1x10</w:t>
      </w:r>
      <w:r w:rsidR="0087548B">
        <w:rPr>
          <w:rFonts w:ascii="Times New Roman" w:hAnsi="Times New Roman" w:cs="Times New Roman"/>
          <w:vertAlign w:val="superscript"/>
        </w:rPr>
        <w:t>5</w:t>
      </w:r>
      <w:r w:rsidR="0087548B">
        <w:rPr>
          <w:rFonts w:ascii="Times New Roman" w:hAnsi="Times New Roman" w:cs="Times New Roman"/>
        </w:rPr>
        <w:t xml:space="preserve"> </w:t>
      </w:r>
      <w:r w:rsidR="0087548B" w:rsidRPr="002F0A6D">
        <w:rPr>
          <w:rFonts w:ascii="Times New Roman" w:hAnsi="Times New Roman" w:cs="Times New Roman"/>
        </w:rPr>
        <w:t>synapses</w:t>
      </w:r>
      <w:r w:rsidR="003B2C49">
        <w:rPr>
          <w:rFonts w:ascii="Times New Roman" w:hAnsi="Times New Roman" w:cs="Times New Roman"/>
        </w:rPr>
        <w:t xml:space="preserve"> </w:t>
      </w:r>
      <w:r w:rsidR="001E6937">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"1529-2401", "PMID" : "11756501", "abstract" : "Protoplasmic astrocytes are increasingly thought to interact extensively with neuronal elements in the brain and to influence their activity. Recent reports have also begun to suggest that physiologically, and perhaps functionally, diverse forms of these cells may be present in the CNS. Our current understanding of astrocyte form and distribution is based predominantly on studies that used the astrocytic marker glial fibrillary acidic protein (GFAP) and on studies using metal-impregnation techniques. The prevalent opinion, based on studies using these methods, is that astrocytic processes overlap extensively and primarily share the underlying neuropil. However, both of these techniques have serious shortcomings for visualizing the interactions among these structurally complex cells. In the present study, intracellular injection combined with immunohistochemistry for GFAP show that GFAP delineates only approximately 15% of the total volume of the astrocyte. As a result, GFAP-based images have led to incorrect conclusions regarding the interaction of processes of neighboring astrocytes. To investigate these interactions in detail, groups of adjacent protoplasmic astrocytes in the CA1 stratum radiatum were injected with fluorescent intracellular tracers of distinctive emissive wavelengths and analyzed using three-dimensional (3D) confocal analysis and electron microscopy. Our findings show that protoplasmic astrocytes establish primarily exclusive territories. The knowledge of how the complex morphology of protoplasmic astrocytes affects their 3D relationships with other astrocytes, oligodendroglia, neurons, and vasculature of the brain should have important implications for our understanding of nervous system function.", "author" : [ { "dropping-particle" : "", "family" : "Bushong", "given" : "Eric A", "non-dropping-particle" : "", "parse-names" : false, "suffix" : "" }, { "dropping-particle" : "", "family" : "Martone", "given" : "Maryann E", "non-dropping-particle" : "", "parse-names" : false, "suffix" : "" }, { "dropping-particle" : "", "family" : "Jones", "given" : "Ying Z", "non-dropping-particle" : "", "parse-names" : false, "suffix" : "" }, { "dropping-particle" : "", "family" : "Ellisman", "given" : "Mark H", "non-dropping-particle" : "", "parse-names" : false, "suffix" : "" } ], "container-title" : "The Journal of neuroscience : the official journal of the Society for Neuroscience", "id" : "ITEM-1", "issue" : "1", "issued" : { "date-parts" : [ [ "2002", "1", "1" ] ] }, "page" : "183-92", "title" : "Protoplasmic astrocytes in CA1 stratum radiatum occupy separate anatomical domains.", "type" : "article-journal", "volume" : "22" }, "uris" : [ "http://www.mendeley.com/documents/?uuid=e0adc5d0-3645-3853-bc84-148c2aa5609d" ] } ], "mendeley" : { "formattedCitation" : "(Bushong et al. 2002b)", "manualFormatting" : "(Bushong, Martone, Jones, &amp; Ellisman, 2002)", "plainTextFormattedCitation" : "(Bushong et al. 2002b)", "previouslyFormattedCitation" : "(Bushong et al. 2002b)" }, "properties" : { "noteIndex" : 0 }, "schema" : "https://github.com/citation-style-language/schema/raw/master/csl-citation.json" }</w:instrText>
      </w:r>
      <w:r w:rsidR="001E6937">
        <w:rPr>
          <w:rFonts w:ascii="Times New Roman" w:hAnsi="Times New Roman" w:cs="Times New Roman"/>
        </w:rPr>
        <w:fldChar w:fldCharType="separate"/>
      </w:r>
      <w:r w:rsidR="00B87321" w:rsidRPr="00B87321">
        <w:rPr>
          <w:rFonts w:ascii="Times New Roman" w:hAnsi="Times New Roman" w:cs="Times New Roman"/>
          <w:noProof/>
        </w:rPr>
        <w:t>(Bushong, M</w:t>
      </w:r>
      <w:r w:rsidR="005060F7">
        <w:rPr>
          <w:rFonts w:ascii="Times New Roman" w:hAnsi="Times New Roman" w:cs="Times New Roman"/>
          <w:noProof/>
        </w:rPr>
        <w:t>artone, Jones, &amp; Ellisman, 2002</w:t>
      </w:r>
      <w:r w:rsidR="00B87321" w:rsidRPr="00B87321">
        <w:rPr>
          <w:rFonts w:ascii="Times New Roman" w:hAnsi="Times New Roman" w:cs="Times New Roman"/>
          <w:noProof/>
        </w:rPr>
        <w:t>)</w:t>
      </w:r>
      <w:r w:rsidR="001E6937">
        <w:rPr>
          <w:rFonts w:ascii="Times New Roman" w:hAnsi="Times New Roman" w:cs="Times New Roman"/>
        </w:rPr>
        <w:fldChar w:fldCharType="end"/>
      </w:r>
      <w:r w:rsidR="0087548B">
        <w:rPr>
          <w:rFonts w:ascii="Times New Roman" w:hAnsi="Times New Roman" w:cs="Times New Roman"/>
        </w:rPr>
        <w:t xml:space="preserve">, between 300-600 neuronal dendrites and interacts with four neuronal cell bodies </w:t>
      </w:r>
      <w:r w:rsidR="0087548B">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"10.1523/JNEUROSCI.1419-07.2007", "ISSN" : "0270-6474", "author" : [ { "dropping-particle" : "", "family" : "Halassa", "given" : "M. M.", "non-dropping-particle" : "", "parse-names" : false, "suffix" : "" }, { "dropping-particle" : "", "family" : "Fellin", "given" : "T.", "non-dropping-particle" : "", "parse-names" : false, "suffix" : "" }, { "dropping-particle" : "", "family" : "Takano", "given" : "H.", "non-dropping-particle" : "", "parse-names" : false, "suffix" : "" }, { "dropping-particle" : "", "family" : "Dong", "given" : "J.-H.", "non-dropping-particle" : "", "parse-names" : false, "suffix" : "" }, { "dropping-particle" : "", "family" : "Haydon", "given" : "P. G.", "non-dropping-particle" : "", "parse-names" : false, "suffix" : "" } ], "container-title" : "Journal of Neuroscience", "id" : "ITEM-1", "issue" : "24", "issued" : { "date-parts" : [ [ "2007", "6", "13" ] ] }, "page" : "6473-6477", "publisher" : "Society for Neuroscience", "title" : "Synaptic Islands Defined by the Territory of a Single Astrocyte", "type" : "article-journal", "volume" : "27" }, "uris" : [ "http://www.mendeley.com/documents/?uuid=d3fcdf45-874f-376e-a3c4-fec2e21cb8c0" ] } ], "mendeley" : { "formattedCitation" : "(Halassa et al. 2007)", "plainTextFormattedCitation" : "(Halassa et al. 2007)", "previouslyFormattedCitation" : "(Halassa et al. 2007)" }, "properties" : { "noteIndex" : 0 }, "schema" : "https://github.com/citation-style-language/schema/raw/master/csl-citation.json" }</w:instrText>
      </w:r>
      <w:r w:rsidR="0087548B">
        <w:rPr>
          <w:rFonts w:ascii="Times New Roman" w:hAnsi="Times New Roman" w:cs="Times New Roman"/>
        </w:rPr>
        <w:fldChar w:fldCharType="separate"/>
      </w:r>
      <w:r w:rsidR="00C148FC" w:rsidRPr="00C148FC">
        <w:rPr>
          <w:rFonts w:ascii="Times New Roman" w:hAnsi="Times New Roman" w:cs="Times New Roman"/>
          <w:noProof/>
        </w:rPr>
        <w:t>(Halassa et al. 2007)</w:t>
      </w:r>
      <w:r w:rsidR="0087548B">
        <w:rPr>
          <w:rFonts w:ascii="Times New Roman" w:hAnsi="Times New Roman" w:cs="Times New Roman"/>
        </w:rPr>
        <w:fldChar w:fldCharType="end"/>
      </w:r>
      <w:r w:rsidR="0087548B">
        <w:rPr>
          <w:rFonts w:ascii="Times New Roman" w:hAnsi="Times New Roman" w:cs="Times New Roman"/>
        </w:rPr>
        <w:t>, whereas human astrocytes isolated from the cortex are in contact with 1x10</w:t>
      </w:r>
      <w:r w:rsidR="0087548B">
        <w:rPr>
          <w:rFonts w:ascii="Times New Roman" w:hAnsi="Times New Roman" w:cs="Times New Roman"/>
          <w:vertAlign w:val="superscript"/>
        </w:rPr>
        <w:t xml:space="preserve">6 </w:t>
      </w:r>
      <w:r w:rsidR="0087548B">
        <w:rPr>
          <w:rFonts w:ascii="Times New Roman" w:hAnsi="Times New Roman" w:cs="Times New Roman"/>
        </w:rPr>
        <w:t xml:space="preserve">synapses. </w:t>
      </w:r>
      <w:r w:rsidR="00B87321">
        <w:rPr>
          <w:rFonts w:ascii="Times New Roman" w:hAnsi="Times New Roman" w:cs="Times New Roman"/>
        </w:rPr>
        <w:t>Human protoplasmic astrocytes a</w:t>
      </w:r>
      <w:r w:rsidR="00C25727">
        <w:rPr>
          <w:rFonts w:ascii="Times New Roman" w:hAnsi="Times New Roman" w:cs="Times New Roman"/>
        </w:rPr>
        <w:t>lso propagate calcium waves 4 –</w:t>
      </w:r>
      <w:r w:rsidR="00B87321">
        <w:rPr>
          <w:rFonts w:ascii="Times New Roman" w:hAnsi="Times New Roman" w:cs="Times New Roman"/>
        </w:rPr>
        <w:t xml:space="preserve">10 fold faster than rodent astrocytes, at a speed of 36μm/s </w:t>
      </w:r>
      <w:r w:rsidR="00B87321">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"10.1523/JNEUROSCI.4707-08.2009", "ISSN" : "1529-2401", "PMID" : "19279265", "abstract" : "Defining the microanatomic differences between the human brain and that of other mammals is key to understanding its unique computational power. Although much effort has been devoted to comparative studies of neurons, astrocytes have received far less attention. We report here that protoplasmic astrocytes in human neocortex are 2.6-fold larger in diameter and extend 10-fold more GFAP (glial fibrillary acidic protein)-positive primary processes than their rodent counterparts. In cortical slices prepared from acutely resected surgical tissue, protoplasmic astrocytes propagate Ca(2+) waves with a speed of 36 microm/s, approximately fourfold faster than rodent. Human astrocytes also transiently increase cystosolic Ca(2+) in response to glutamatergic and purinergic receptor agonists. The human neocortex also harbors several anatomically defined subclasses of astrocytes not represented in rodents. These include a population of astrocytes that reside in layers 5-6 and extend long fibers characterized by regularly spaced varicosities. Another specialized type of astrocyte, the interlaminar astrocyte, abundantly populates the superficial cortical layers and extends long processes without varicosities to cortical layers 3 and 4. Human fibrous astrocytes resemble their rodent counterpart but are larger in diameter. Thus, human cortical astrocytes are both larger, and structurally both more complex and more diverse, than those of rodents. On this basis, we posit that this astrocytic complexity has permitted the increased functional competence of the adult human brain.", "author" : [ { "dropping-particle" : "", "family" : "Oberheim", "given" : "Nancy Ann", "non-dropping-particle" : "", "parse-names" : false, "suffix" : "" }, { "dropping-particle" : "", "family" : "Takano", "given" : "Takahiro", "non-dropping-particle" : "", "parse-names" : false, "suffix" : "" }, { "dropping-particle" : "", "family" : "Han", "given" : "Xiaoning", "non-dropping-particle" : "", "parse-names" : false, "suffix" : "" }, { "dropping-particle" : "", "family" : "He", "given" : "Wei", "non-dropping-particle" : "", "parse-names" : false, "suffix" : "" }, { "dropping-particle" : "", "family" : "Lin", "given" : "Jane H C", "non-dropping-particle" : "", "parse-names" : false, "suffix" : "" }, { "dropping-particle" : "", "family" : "Wang", "given" : "Fushun", "non-dropping-particle" : "", "parse-names" : false, "suffix" : "" }, { "dropping-particle" : "", "family" : "Xu", "given" : "Qiwu", "non-dropping-particle" : "", "parse-names" : false, "suffix" : "" }, { "dropping-particle" : "", "family" : "Wyatt", "given" : "Jeffrey D", "non-dropping-particle" : "", "parse-names" : false, "suffix" : "" }, { "dropping-particle" : "", "family" : "Pilcher", "given" : "Webster", "non-dropping-particle" : "", "parse-names" : false, "suffix" : "" }, { "dropping-particle" : "", "family" : "Ojemann", "given" : "Jeffrey G", "non-dropping-particle" : "", "parse-names" : false, "suffix" : "" }, { "dropping-particle" : "", "family" : "Ransom", "given" : "Bruce R", "non-dropping-particle" : "", "parse-names" : false, "suffix" : "" }, { "dropping-particle" : "", "family" : "Goldman", "given" : "Steven A", "non-dropping-particle" : "", "parse-names" : false, "suffix" : "" }, { "dropping-particle" : "", "family" : "Nedergaard", "given" : "Maiken", "non-dropping-particle" : "", "parse-names" : false, "suffix" : "" } ], "container-title" : "The Journal of neuroscience : the official journal of the Society for Neuroscience", "id" : "ITEM-1", "issue" : "10", "issued" : { "date-parts" : [ [ "2009", "3", "11" ] ] }, "page" : "3276-87", "title" : "Uniquely hominid features of adult human astrocytes.", "type" : "article-journal", "volume" : "29" }, "uris" : [ "http://www.mendeley.com/documents/?uuid=b96b0aba-664b-46c2-aa65-136af8bdec71" ] } ], "mendeley" : { "formattedCitation" : "(Oberheim et al. 2009)", "plainTextFormattedCitation" : "(Oberheim et al. 2009)", "previouslyFormattedCitation" : "(Oberheim et al. 2009)" }, "properties" : { "noteIndex" : 0 }, "schema" : "https://github.com/citation-style-language/schema/raw/master/csl-citation.json" }</w:instrText>
      </w:r>
      <w:r w:rsidR="00B87321">
        <w:rPr>
          <w:rFonts w:ascii="Times New Roman" w:hAnsi="Times New Roman" w:cs="Times New Roman"/>
        </w:rPr>
        <w:fldChar w:fldCharType="separate"/>
      </w:r>
      <w:r w:rsidR="00C148FC" w:rsidRPr="00C148FC">
        <w:rPr>
          <w:rFonts w:ascii="Times New Roman" w:hAnsi="Times New Roman" w:cs="Times New Roman"/>
          <w:noProof/>
        </w:rPr>
        <w:t>(Oberheim et al. 2009)</w:t>
      </w:r>
      <w:r w:rsidR="00B87321">
        <w:rPr>
          <w:rFonts w:ascii="Times New Roman" w:hAnsi="Times New Roman" w:cs="Times New Roman"/>
        </w:rPr>
        <w:fldChar w:fldCharType="end"/>
      </w:r>
      <w:r w:rsidR="00B87321">
        <w:rPr>
          <w:rFonts w:ascii="Times New Roman" w:hAnsi="Times New Roman" w:cs="Times New Roman"/>
        </w:rPr>
        <w:t>.</w:t>
      </w:r>
      <w:r w:rsidR="00561B4C">
        <w:rPr>
          <w:rFonts w:ascii="Times New Roman" w:hAnsi="Times New Roman" w:cs="Times New Roman"/>
        </w:rPr>
        <w:t xml:space="preserve"> Recently, human astrocytes have been isolated using an immunopanning technique and the transcriptomic profiles of human and mouse astrocytes</w:t>
      </w:r>
      <w:r w:rsidR="00FE400E">
        <w:rPr>
          <w:rFonts w:ascii="Times New Roman" w:hAnsi="Times New Roman" w:cs="Times New Roman"/>
        </w:rPr>
        <w:t xml:space="preserve"> investigated, which</w:t>
      </w:r>
      <w:r w:rsidR="00561B4C">
        <w:rPr>
          <w:rFonts w:ascii="Times New Roman" w:hAnsi="Times New Roman" w:cs="Times New Roman"/>
        </w:rPr>
        <w:t xml:space="preserve"> revealed 600 genes enriched in human astrocytes not present in their rodent counterparts</w:t>
      </w:r>
      <w:r w:rsidR="00FE400E">
        <w:rPr>
          <w:rFonts w:ascii="Times New Roman" w:hAnsi="Times New Roman" w:cs="Times New Roman"/>
        </w:rPr>
        <w:t xml:space="preserve"> </w:t>
      </w:r>
      <w:r w:rsidR="00FE400E">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"10.1016/j.neuron.2015.11.013", "ISSN" : "1097-4199", "PMID" : "26687838", "abstract" : "The functional and molecular similarities and distinctions between human and murine astrocytes are poorly understood. Here, we report the development of an immunopanning method to acutely purify astrocytes from fetal, juvenile, and adult human brains and to maintain these cells in serum-free cultures. We found that human astrocytes have abilities similar to those of murine astrocytes in promoting neuronal survival, inducing functional synapse formation, and\u00a0engulfing synaptosomes. In contrast to existing observations in mice, we found that mature human astrocytes respond robustly to glutamate. Next, we performed RNA sequencing of healthy human astrocytes along with astrocytes from epileptic and tumor foci and compared these to human neurons, oligodendrocytes, microglia, and endothelial cells (available at http://www.brainrnaseq.org). With these profiles, we identified novel human-specific astrocyte genes and discovered a transcriptome-wide transformation between astrocyte precursor cells and mature post-mitotic astrocytes. These data represent some of the first cell-type-specific molecular profiles of the healthy and diseased human brain.", "author" : [ { "dropping-particle" : "", "family" : "Zhang", "given" : "Ye", "non-dropping-particle" : "", "parse-names" : false, "suffix" : "" }, { "dropping-particle" : "", "family" : "Sloan", "given" : "Steven A", "non-dropping-particle" : "", "parse-names" : false, "suffix" : "" }, { "dropping-particle" : "", "family" : "Clarke", "given" : "Laura E", "non-dropping-particle" : "", "parse-names" : false, "suffix" : "" }, { "dropping-particle" : "", "family" : "Caneda", "given" : "Christine", "non-dropping-particle" : "", "parse-names" : false, "suffix" : "" }, { "dropping-particle" : "", "family" : "Plaza", "given" : "Colton A", "non-dropping-particle" : "", "parse-names" : false, "suffix" : "" }, { "dropping-particle" : "", "family" : "Blumenthal", "given" : "Paul D", "non-dropping-particle" : "", "parse-names" : false, "suffix" : "" }, { "dropping-particle" : "", "family" : "Vogel", "given" : "Hannes", "non-dropping-particle" : "", "parse-names" : false, "suffix" : "" }, { "dropping-particle" : "", "family" : "Steinberg", "given" : "Gary K", "non-dropping-particle" : "", "parse-names" : false, "suffix" : "" }, { "dropping-particle" : "", "family" : "Edwards", "given" : "Michael S B", "non-dropping-particle" : "", "parse-names" : false, "suffix" : "" }, { "dropping-particle" : "", "family" : "Li", "given" : "Gordon", "non-dropping-particle" : "", "parse-names" : false, "suffix" : "" }, { "dropping-particle" : "", "family" : "Duncan", "given" : "John A", "non-dropping-particle" : "", "parse-names" : false, "suffix" : "" }, { "dropping-particle" : "", "family" : "Cheshier", "given" : "Samuel H", "non-dropping-particle" : "", "parse-names" : false, "suffix" : "" }, { "dropping-particle" : "", "family" : "Shuer", "given" : "Lawrence M", "non-dropping-particle" : "", "parse-names" : false, "suffix" : "" }, { "dropping-particle" : "", "family" : "Chang", "given" : "Edward F", "non-dropping-particle" : "", "parse-names" : false, "suffix" : "" }, { "dropping-particle" : "", "family" : "Grant", "given" : "Gerald A", "non-dropping-particle" : "", "parse-names" : false, "suffix" : "" }, { "dropping-particle" : "", "family" : "Gephart", "given" : "Melanie G Hayden", "non-dropping-particle" : "", "parse-names" : false, "suffix" : "" }, { "dropping-particle" : "", "family" : "Barres", "given" : "Ben A", "non-dropping-particle" : "", "parse-names" : false, "suffix" : "" }, { "dropping-particle" : "", "family" : "Agulhon", "given" : "C.", "non-dropping-particle" : "", "parse-names" : false, "suffix" : "" }, { "dropping-particle" : "", "family" : "Fiacco", "given" : "T.A.", "non-dropping-particle" : "", "parse-names" : false, "suffix" : "" }, { "dropping-particle" : "", "family" : "McCarthy", "given" : "K.D.", "non-dropping-particle" : "", "parse-names" : false, "suffix" : "" }, { "dropping-particle" : "", "family" : "Allen", "given" : "N.J.", "non-dropping-particle" : "", "parse-names" : false, "suffix" : "" }, { "dropping-particle" : "", "family" : "Barres", "given" : "B.A.", "non-dropping-particle" : "", "parse-names" : false, "suffix" : "" }, { "dropping-particle" : "", "family" : "Allen", "given" : "N.J.", "non-dropping-particle" : "", "parse-names" : false, "suffix" : "" }, { "dropping-particle" : "", "family" : "Bennett", "given" : "M.L.", "non-dropping-particle" : "", "parse-names" : false, "suffix" : "" }, { "dropping-particle" : "", "family" : "Foo", "given" : "L.C.", "non-dropping-particle" : "", "parse-names" : false, "suffix" : "" }, { "dropping-particle" : "", "family" : "Wang", "given" : "G.X.", "non-dropping-particle" : "", "parse-names" : false, "suffix" : "" }, { "dropping-particle" : "", "family" : "Chakraborty", "given" : "C.", "non-dropping-particle" : "", "parse-names" : false, "suffix" : "" }, { "dropping-particle" : "", "family" : "Smith", "given" : "S.J.", "non-dropping-particle" : "", "parse-names" : false, "suffix" : "" }, { "dropping-particle" : "", "family" : "Barres", "given" : "B.A.", "non-dropping-particle" : "", "parse-names" : false, "suffix" : "" }, { "dropping-particle" : "", "family" : "Attwell", "given" : "D.", "non-dropping-particle" : "", "parse-names" : false, "suffix" : "" }, { "dropping-particle" : "", "family" : "Buchan", "given" : "A.M.", "non-dropping-particle" : "", "parse-names" : false, "suffix" : "" }, { "dropping-particle" : "", "family" : "Charpak", "given" : "S.", "non-dropping-particle" : "", "parse-names" : false, "suffix" : "" }, { "dropping-particle" : "", "family" : "Lauritzen", "given" : "M.", "non-dropping-particle" : "", "parse-names" : false, "suffix" : "" }, { "dropping-particle" : "", "family" : "Macvicar", "given" : "B.A.", "non-dropping-particle" : "", "parse-names" : false, "suffix" : "" }, { "dropping-particle" : "", "family" : "Newman", "given" : "E.A.", "non-dropping-particle" : "", "parse-names" : false, "suffix" : "" }, { "dropping-particle" : "", "family" : "Banker", "given" : "G.A.", "non-dropping-particle" : "", "parse-names" : false, "suffix" : "" }, { "dropping-particle" : "", "family" : "Beach", "given" : "T.G.", "non-dropping-particle" : "", "parse-names" : false, "suffix" : "" }, { "dropping-particle" : "", "family" : "McGeer", "given" : "E.G.", "non-dropping-particle" : "", "parse-names" : false, "suffix" : "" }, { "dropping-particle" : "", "family" : "Christopherson", "given" : "K.S.", "non-dropping-particle" : "", "parse-names" : false, "suffix" : "" }, { "dropping-particle" : "", "family" : "Ullian", "given" : "E.M.", "non-dropping-particle" : "", "parse-names" : false, "suffix" : "" }, { "dropping-particle" : "", "family" : "Stokes", "given" : "C.C.A.", "non-dropping-particle" : "", "parse-names" : false, "suffix" : "" }, { "dropping-particle" : "", "family" : "Mullowney", "given" : "C.E.", "non-dropping-particle" : "", "parse-names" : false, "suffix" : "" }, { "dropping-particle" : "", "family" : "Hell", "given" : "J.W.", "non-dropping-particle" : "", "parse-names" : false, "suffix" : "" }, { "dropping-particle" : "", "family" : "Agah", "given" : "A.", "non-dropping-particle" : "", "parse-names" : false, "suffix" : "" }, { "dropping-particle" : "", "family" : "Lawler", "given" : "J.", "non-dropping-particle" : "", "parse-names" : false, "suffix" : "" }, { "dropping-particle" : "", "family" : "Mosher", "given" : "D.F.", "non-dropping-particle" : "", "parse-names" : false, "suffix" : "" }, { "dropping-particle" : "", "family" : "Bornstein", "given" : "P.", "non-dropping-particle" : "", "parse-names" : false, "suffix" : "" }, { "dropping-particle" : "", "family" : "Barres", "given" : "B.A.", "non-dropping-particle" : "", "parse-names" : false, "suffix" : "" }, { "dropping-particle" : "", "family" : "Chung", "given" : "W.-S.", "non-dropping-particle" : "", "parse-names" : false, "suffix" : "" }, { "dropping-particle" : "", "family" : "Clarke", "given" : "L.E.", "non-dropping-particle" : "", "parse-names" : false, "suffix" : "" }, { "dropping-particle" : "", "family" : "Wang", "given" : "G.X.", "non-dropping-particle" : "", "parse-names" : false, "suffix" : "" }, { "dropping-particle" : "", "family" : "Stafford", "given" : "B.K.", "non-dropping-particle" : "", "parse-names" : false, "suffix" : "" }, { "dropping-particle" : "", "family" : "Sher", "given" : "A.", "non-dropping-particle" : "", "parse-names" : false, "suffix" : "" }, { "dropping-particle" : "", "family" : "Chakraborty", "given" : "C.", "non-dropping-particle" : "", "parse-names" : false, "suffix" : "" }, { "dropping-particle" : "", "family" : "Joung", "given" : "J.", "non-dropping-particle" : "", "parse-names" : false, "suffix" : "" }, { "dropping-particle" : "", "family" : "Foo", "given" : "L.C.", "non-dropping-particle" : "", "parse-names" : false, "suffix" : "" }, { "dropping-particle" : "", "family" : "Thompson", "given" : "A.", "non-dropping-particle" : "", "parse-names" : false, "suffix" : "" }, { "dropping-particle" : "", "family" : "Chen", "given" : "C.", "non-dropping-particle" : "", "parse-names" : false, "suffix" : "" }, { "dropping-particle" : "", "family" : "al.", "given" : "et", "non-dropping-particle" : "", "parse-names" : false, "suffix" : "" }, { "dropping-particle" : "", "family" : "Chung", "given" : "W.-S.", "non-dropping-particle" : "", "parse-names" : false, "suffix" : "" }, { "dropping-particle" : "", "family" : "Allen", "given" : "N.J.", "non-dropping-particle" : "", "parse-names" : false, "suffix" : "" }, { "dropping-particle" : "", "family" : "Eroglu", "given" : "C.", "non-dropping-particle" : "", "parse-names" : false, "suffix" : "" }, { "dropping-particle" : "", "family" : "Clarke", "given" : "L.E.", "non-dropping-particle" : "", "parse-names" : false, "suffix" : "" }, { "dropping-particle" : "", "family" : "Barres", "given" : "B.A.", "non-dropping-particle" : "", "parse-names" : false, "suffix" : "" }, { "dropping-particle" : "", "family" : "Ding", "given" : "F.", "non-dropping-particle" : "", "parse-names" : false, "suffix" : "" }, { "dropping-particle" : "", "family" : "O\u2019Donnell", "given" : "J.", "non-dropping-particle" : "", "parse-names" : false, "suffix" : "" }, { "dropping-particle" : "", "family" : "Thrane", "given" : "A.S.", "non-dropping-particle" : "", "parse-names" : false, "suffix" : "" }, { "dropping-particle" : "", "family" : "Zeppenfeld", "given" : "D.", "non-dropping-particle" : "", "parse-names" : false, "suffix" : "" }, { "dropping-particle" : "", "family" : "Kang", "given" : "H.", "non-dropping-particle" : "", "parse-names" : false, "suffix" : "" }, { "dropping-particle" : "", "family" : "Xie", "given" : "L.", "non-dropping-particle" : "", "parse-names" : false, "suffix" : "" }, { "dropping-particle" : "", "family" : "Wang", "given" : "F.", "non-dropping-particle" : "", "parse-names" : false, "suffix" : "" }, { "dropping-particle" : "", "family" : "Nedergaard", "given" : "M.", "non-dropping-particle" : "", "parse-names" : false, "suffix" : "" }, { "dropping-particle" : "", "family" : "Foo", "given" : "L.C.", "non-dropping-particle" : "", "parse-names" : false, "suffix" : "" }, { "dropping-particle" : "", "family" : "Allen", "given" : "N.J.", "non-dropping-particle" : "", "parse-names" : false, "suffix" : "" }, { "dropping-particle" : "", "family" : "Bushong", "given" : "E.A.", "non-dropping-particle" : "", "parse-names" : false, "suffix" : "" }, { "dropping-particle" : "", "family" : "Ventura", "given" : "P.B.", "non-dropping-particle" : "", "parse-names" : false, "suffix" : "" }, { "dropping-particle" : "", "family" : "Chung", "given" : "W.-S.", "non-dropping-particle" : "", "parse-names" : false, "suffix" : "" }, { "dropping-particle" : "", "family" : "Zhou", "given" : "L.", "non-dropping-particle" : "", "parse-names" : false, "suffix" : "" }, { "dropping-particle" : "", "family" : "Cahoy", "given" : "J.D.", "non-dropping-particle" : "", "parse-names" : false, "suffix" : "" }, { "dropping-particle" : "", "family" : "Daneman", "given" : "R.", "non-dropping-particle" : "", "parse-names" : false, "suffix" : "" }, { "dropping-particle" : "", "family" : "Zong", "given" : "H.", "non-dropping-particle" : "", "parse-names" : false, "suffix" : "" }, { "dropping-particle" : "", "family" : "Ellisman", "given" : "M.H.", "non-dropping-particle" : "", "parse-names" : false, "suffix" : "" }, { "dropping-particle" : "", "family" : "Barres", "given" : "B.A.", "non-dropping-particle" : "", "parse-names" : false, "suffix" : "" }, { "dropping-particle" : "", "family" : "Ge", "given" : "W.-P.", "non-dropping-particle" : "", "parse-names" : false, "suffix" : "" }, { "dropping-particle" : "", "family" : "Miyawaki", "given" : "A.", "non-dropping-particle" : "", "parse-names" : false, "suffix" : "" }, { "dropping-particle" : "", "family" : "Gage", "given" : "F.H.", "non-dropping-particle" : "", "parse-names" : false, "suffix" : "" }, { "dropping-particle" : "", "family" : "Jan", "given" : "Y.N.", "non-dropping-particle" : "", "parse-names" : false, "suffix" : "" }, { "dropping-particle" : "", "family" : "Jan", "given" : "L.Y.", "non-dropping-particle" : "", "parse-names" : false, "suffix" : "" }, { "dropping-particle" : "", "family" : "Gordienko", "given" : "D.V.", "non-dropping-particle" : "", "parse-names" : false, "suffix" : "" }, { "dropping-particle" : "", "family" : "Bolton", "given" : "T.B.", "non-dropping-particle" : "", "parse-names" : false, "suffix" : "" }, { "dropping-particle" : "", "family" : "Hamilton", "given" : "N.B.", "non-dropping-particle" : "", "parse-names" : false, "suffix" : "" }, { "dropping-particle" : "", "family" : "Attwell", "given" : "D.", "non-dropping-particle" : "", "parse-names" : false, "suffix" : "" }, { "dropping-particle" : "", "family" : "Han", "given" : "X.", "non-dropping-particle" : "", "parse-names" : false, "suffix" : "" }, { "dropping-particle" : "", "family" : "Chen", "given" : "M.", "non-dropping-particle" : "", "parse-names" : false, "suffix" : "" }, { "dropping-particle" : "", "family" : "Wang", "given" : "F.", "non-dropping-particle" : "", "parse-names" : false, "suffix" : "" }, { "dropping-particle" : "", "family" : "Windrem", "given" : "M.", "non-dropping-particle" : "", "parse-names" : false, "suffix" : "" }, { "dropping-particle" : "", "family" : "Wang", "given" : "S.", "non-dropping-particle" : "", "parse-names" : false, "suffix" : "" }, { "dropping-particle" : "", "family" : "Shanz", "given" : "S.", "non-dropping-particle" : "", "parse-names" : false, "suffix" : "" }, { "dropping-particle" : "", "family" : "Xu", "given" : "Q.", "non-dropping-particle" : "", "parse-names" : false, "suffix" : "" }, { "dropping-particle" : "", "family" : "Oberheim", "given" : "N.A.", "non-dropping-particle" : "", "parse-names" : false, "suffix" : "" }, { "dropping-particle" : "", "family" : "Bekar", "given" : "L.", "non-dropping-particle" : "", "parse-names" : false, "suffix" : "" }, { "dropping-particle" : "", "family" : "Betstadt", "given" : "S.", "non-dropping-particle" : "", "parse-names" : false, "suffix" : "" }, { "dropping-particle" : "", "family" : "al.", "given" : "et", "non-dropping-particle" : "", "parse-names" : false, "suffix" : "" }, { "dropping-particle" : "", "family" : "Hawrylycz", "given" : "M.J.", "non-dropping-particle" : "", "parse-names" : false, "suffix" : "" }, { "dropping-particle" : "", "family" : "Lein", "given" : "E.S.", "non-dropping-particle" : "", "parse-names" : false, "suffix" : "" }, { "dropping-particle" : "", "family" : "Guillozet-Bongaarts", "given" : "A.L.", "non-dropping-particle" : "", "parse-names" : false, "suffix" : "" }, { "dropping-particle" : "", "family" : "Shen", "given" : "E.H.", "non-dropping-particle" : "", "parse-names" : false, "suffix" : "" }, { "dropping-particle" : "", "family" : "Ng", "given" : "L.", "non-dropping-particle" : "", "parse-names" : false, "suffix" : "" }, { "dropping-particle" : "", "family" : "Miller", "given" : "J.A.", "non-dropping-particle" : "", "parse-names" : false, "suffix" : "" }, { "dropping-particle" : "van de", "family" : "Lagemaat", "given" : "L.N.", "non-dropping-particle" : "", "parse-names" : false, "suffix" : "" }, { "dropping-particle" : "", "family" : "Smith", "given" : "K.A.", "non-dropping-particle" : "", "parse-names" : false, "suffix" : "" }, { "dropping-particle" : "", "family" : "Ebbert", "given" : "A.", "non-dropping-particle" : "", "parse-names" : false, "suffix" : "" }, { "dropping-particle" : "", "family" : "Riley", "given" : "Z.L.", "non-dropping-particle" : "", "parse-names" : false, "suffix" : "" }, { "dropping-particle" : "", "family" : "al.", "given" : "et", "non-dropping-particle" : "", "parse-names" : false, "suffix" : "" }, { "dropping-particle" : "", "family" : "Haydon", "given" : "P.G.", "non-dropping-particle" : "", "parse-names" : false, "suffix" : "" }, { "dropping-particle" : "", "family" : "Nedergaard", "given" : "M.", "non-dropping-particle" : "", "parse-names" : false, "suffix" : "" }, { "dropping-particle" : "", "family" : "Huang", "given" : "W.", "non-dropping-particle" : "", "parse-names" : false, "suffix" : "" }, { "dropping-particle" : "", "family" : "Sherman", "given" : "B.T.", "non-dropping-particle" : "", "parse-names" : false, "suffix" : "" }, { "dropping-particle" : "", "family" : "Lempicki", "given" : "R.A.", "non-dropping-particle" : "", "parse-names" : false, "suffix" : "" }, { "dropping-particle" : "", "family" : "Huttenlocher", "given" : "P.R.", "non-dropping-particle" : "", "parse-names" : false, "suffix" : "" }, { "dropping-particle" : "", "family" : "Huttenlocher", "given" : "P.R.", "non-dropping-particle" : "", "parse-names" : false, "suffix" : "" }, { "dropping-particle" : "de", "family" : "Courten", "given" : "C.", "non-dropping-particle" : "", "parse-names" : false, "suffix" : "" }, { "dropping-particle" : "", "family" : "Garey", "given" : "L.J.", "non-dropping-particle" : "", "parse-names" : false, "suffix" : "" }, { "dropping-particle" : "Van der", "family" : "Loos", "given" : "H.", "non-dropping-particle" : "", "parse-names" : false, "suffix" : "" }, { "dropping-particle" : "", "family" : "Kang", "given" : "H.J.", "non-dropping-particle" : "", "parse-names" : false, "suffix" : "" }, { "dropping-particle" : "", "family" : "Kawasawa", "given" : "Y.I.", "non-dropping-particle" : "", "parse-names" : false, "suffix" : "" }, { "dropping-particle" : "", "family" : "Cheng", "given" : "F.", "non-dropping-particle" : "", "parse-names" : false, "suffix" : "" }, { "dropping-particle" : "", "family" : "Zhu", "given" : "Y.", "non-dropping-particle" : "", "parse-names" : false, "suffix" : "" }, { "dropping-particle" : "", "family" : "Xu", "given" : "X.", "non-dropping-particle" : "", "parse-names" : false, "suffix" : "" }, { "dropping-particle" : "", "family" : "Li", "given" : "M.", "non-dropping-particle" : "", "parse-names" : false, "suffix" : "" }, { "dropping-particle" : "", "family" : "Sousa", "given" : "A.M.M.", "non-dropping-particle" : "", "parse-names" : false, "suffix" : "" }, { "dropping-particle" : "", "family" : "Pletikos", "given" : "M.", "non-dropping-particle" : "", "parse-names" : false, "suffix" : "" }, { "dropping-particle" : "", "family" : "Meyer", "given" : "K.A.", "non-dropping-particle" : "", "parse-names" : false, "suffix" : "" }, { "dropping-particle" : "", "family" : "Sedmak", "given" : "G.", "non-dropping-particle" : "", "parse-names" : false, "suffix" : "" }, { "dropping-particle" : "", "family" : "al.", "given" : "et", "non-dropping-particle" : "", "parse-names" : false, "suffix" : "" }, { "dropping-particle" : "", "family" : "Khakh", "given" : "B.S.", "non-dropping-particle" : "", "parse-names" : false, "suffix" : "" }, { "dropping-particle" : "", "family" : "McCarthy", "given" : "K.D.", "non-dropping-particle" : "", "parse-names" : false, "suffix" : "" }, { "dropping-particle" : "", "family" : "Kola", "given" : "I.", "non-dropping-particle" : "", "parse-names" : false, "suffix" : "" }, { "dropping-particle" : "", "family" : "Landis", "given" : "J.", "non-dropping-particle" : "", "parse-names" : false, "suffix" : "" }, { "dropping-particle" : "", "family" : "Kucukdereli", "given" : "H.", "non-dropping-particle" : "", "parse-names" : false, "suffix" : "" }, { "dropping-particle" : "", "family" : "Allen", "given" : "N.J.", "non-dropping-particle" : "", "parse-names" : false, "suffix" : "" }, { "dropping-particle" : "", "family" : "Lee", "given" : "A.T.", "non-dropping-particle" : "", "parse-names" : false, "suffix" : "" }, { "dropping-particle" : "", "family" : "Feng", "given" : "A.", "non-dropping-particle" : "", "parse-names" : false, "suffix" : "" }, { "dropping-particle" : "", "family" : "Ozlu", "given" : "M.I.", "non-dropping-particle" : "", "parse-names" : false, "suffix" : "" }, { "dropping-particle" : "", "family" : "Conatser", "given" : "L.M.", "non-dropping-particle" : "", "parse-names" : false, "suffix" : "" }, { "dropping-particle" : "", "family" : "Chakraborty", "given" : "C.", "non-dropping-particle" : "", "parse-names" : false, "suffix" : "" }, { "dropping-particle" : "", "family" : "Workman", "given" : "G.", "non-dropping-particle" : "", "parse-names" : false, "suffix" : "" }, { "dropping-particle" : "", "family" : "Weaver", "given" : "M.", "non-dropping-particle" : "", "parse-names" : false, "suffix" : "" }, { "dropping-particle" : "", "family" : "Sage", "given" : "E.H.", "non-dropping-particle" : "", "parse-names" : false, "suffix" : "" }, { "dropping-particle" : "", "family" : "al.", "given" : "et", "non-dropping-particle" : "", "parse-names" : false, "suffix" : "" }, { "dropping-particle" : "", "family" : "Kuffler", "given" : "S.W.", "non-dropping-particle" : "", "parse-names" : false, "suffix" : "" }, { "dropping-particle" : "", "family" : "Nicholls", "given" : "J.G.", "non-dropping-particle" : "", "parse-names" : false, "suffix" : "" }, { "dropping-particle" : "", "family" : "Orkand", "given" : "R.K.", "non-dropping-particle" : "", "parse-names" : false, "suffix" : "" }, { "dropping-particle" : "", "family" : "Malik", "given" : "N.", "non-dropping-particle" : "", "parse-names" : false, "suffix" : "" }, { "dropping-particle" : "", "family" : "Wang", "given" : "X.", "non-dropping-particle" : "", "parse-names" : false, "suffix" : "" }, { "dropping-particle" : "", "family" : "Shah", "given" : "S.", "non-dropping-particle" : "", "parse-names" : false, "suffix" : "" }, { "dropping-particle" : "", "family" : "Efthymiou", "given" : "A.G.", "non-dropping-particle" : "", "parse-names" : false, "suffix" : "" }, { "dropping-particle" : "", "family" : "Yan", "given" : "B.", "non-dropping-particle" : "", "parse-names" : false, "suffix" : "" }, { "dropping-particle" : "", "family" : "Heman-Ackah", "given" : "S.", "non-dropping-particle" : "", "parse-names" : false, "suffix" : "" }, { "dropping-particle" : "", "family" : "Zhan", "given" : "M.", "non-dropping-particle" : "", "parse-names" : false, "suffix" : "" }, { "dropping-particle" : "", "family" : "Rao", "given" : "M.", "non-dropping-particle" : "", "parse-names" : false, "suffix" : "" }, { "dropping-particle" : "", "family" : "McCarthy", "given" : "K.D.", "non-dropping-particle" : "", "parse-names" : false, "suffix" : "" }, { "dropping-particle" : "de", "family" : "Vellis", "given" : "J.", "non-dropping-particle" : "", "parse-names" : false, "suffix" : "" }, { "dropping-particle" : "", "family" : "Meyer-Franke", "given" : "A.", "non-dropping-particle" : "", "parse-names" : false, "suffix" : "" }, { "dropping-particle" : "", "family" : "Kaplan", "given" : "M.R.", "non-dropping-particle" : "", "parse-names" : false, "suffix" : "" }, { "dropping-particle" : "", "family" : "Pfrieger", "given" : "F.W.", "non-dropping-particle" : "", "parse-names" : false, "suffix" : "" }, { "dropping-particle" : "", "family" : "Barres", "given" : "B.A.", "non-dropping-particle" : "", "parse-names" : false, "suffix" : "" }, { "dropping-particle" : "", "family" : "Molofsky", "given" : "A.V.", "non-dropping-particle" : "", "parse-names" : false, "suffix" : "" }, { "dropping-particle" : "", "family" : "Krencik", "given" : "R.", "non-dropping-particle" : "", "parse-names" : false, "suffix" : "" }, { "dropping-particle" : "", "family" : "Ullian", "given" : "E.M.", "non-dropping-particle" : "", "parse-names" : false, "suffix" : "" }, { "dropping-particle" : "", "family" : "Tsai", "given" : "H.-H.", "non-dropping-particle" : "", "parse-names" : false, "suffix" : "" }, { "dropping-particle" : "", "family" : "Deneen", "given" : "B.", "non-dropping-particle" : "", "parse-names" : false, "suffix" : "" }, { "dropping-particle" : "", "family" : "Richardson", "given" : "W.D.", "non-dropping-particle" : "", "parse-names" : false, "suffix" : "" }, { "dropping-particle" : "", "family" : "Barres", "given" : "B.A.", "non-dropping-particle" : "", "parse-names" : false, "suffix" : "" }, { "dropping-particle" : "", "family" : "Rowitch", "given" : "D.H.", "non-dropping-particle" : "", "parse-names" : false, "suffix" : "" }, { "dropping-particle" : "", "family" : "Mulligan", "given" : "S.J.", "non-dropping-particle" : "", "parse-names" : false, "suffix" : "" }, { "dropping-particle" : "", "family" : "MacVicar", "given" : "B.A.", "non-dropping-particle" : "", "parse-names" : false, "suffix" : "" }, { "dropping-particle" : "", "family" : "Nedergaard", "given" : "M.", "non-dropping-particle" : "", "parse-names" : false, "suffix" : "" }, { "dropping-particle" : "", "family" : "Nimmerjahn", "given" : "A.", "non-dropping-particle" : "", "parse-names" : false, "suffix" : "" }, { "dropping-particle" : "", "family" : "Mukamel", "given" : "E.A.", "non-dropping-particle" : "", "parse-names" : false, "suffix" : "" }, { "dropping-particle" : "", "family" : "Schnitzer", "given" : "M.J.", "non-dropping-particle" : "", "parse-names" : false, "suffix" : "" }, { "dropping-particle" : "", "family" : "Oberheim", "given" : "N.A.", "non-dropping-particle" : "", "parse-names" : false, "suffix" : "" }, { "dropping-particle" : "", "family" : "Wang", "given" : "X.", "non-dropping-particle" : "", "parse-names" : false, "suffix" : "" }, { "dropping-particle" : "", "family" : "Goldman", "given" : "S.", "non-dropping-particle" : "", "parse-names" : false, "suffix" : "" }, { "dropping-particle" : "", "family" : "Nedergaard", "given" : "M.", "non-dropping-particle" : "", "parse-names" : false, "suffix" : "" }, { "dropping-particle" : "", "family" : "Oberheim", "given" : "N.A.", "non-dropping-particle" : "", "parse-names" : false, "suffix" : "" }, { "dropping-particle" : "", "family" : "Takano", "given" : "T.", "non-dropping-particle" : "", "parse-names" : false, "suffix" : "" }, { "dropping-particle" : "", "family" : "Han", "given" : "X.", "non-dropping-particle" : "", "parse-names" : false, "suffix" : "" }, { "dropping-particle" : "", "family" : "He", "given" : "W.", "non-dropping-particle" : "", "parse-names" : false, "suffix" : "" }, { "dropping-particle" : "", "family" : "Lin", "given" : "J.H.C.", "non-dropping-particle" : "", "parse-names" : false, "suffix" : "" }, { "dropping-particle" : "", "family" : "Wang", "given" : "F.", "non-dropping-particle" : "", "parse-names" : false, "suffix" : "" }, { "dropping-particle" : "", "family" : "Xu", "given" : "Q.", "non-dropping-particle" : "", "parse-names" : false, "suffix" : "" }, { "dropping-particle" : "", "family" : "Wyatt", "given" : "J.D.", "non-dropping-particle" : "", "parse-names" : false, "suffix" : "" }, { "dropping-particle" : "", "family" : "Pilcher", "given" : "W.", "non-dropping-particle" : "", "parse-names" : false, "suffix" : "" }, { "dropping-particle" : "", "family" : "Ojemann", "given" : "J.G.", "non-dropping-particle" : "", "parse-names" : false, "suffix" : "" }, { "dropping-particle" : "", "family" : "al.", "given" : "et", "non-dropping-particle" : "", "parse-names" : false, "suffix" : "" }, { "dropping-particle" : "", "family" : "Parpura", "given" : "V.", "non-dropping-particle" : "", "parse-names" : false, "suffix" : "" }, { "dropping-particle" : "", "family" : "Basarsky", "given" : "T.A.", "non-dropping-particle" : "", "parse-names" : false, "suffix" : "" }, { "dropping-particle" : "", "family" : "Liu", "given" : "F.", "non-dropping-particle" : "", "parse-names" : false, "suffix" : "" }, { "dropping-particle" : "", "family" : "Jeftinija", "given" : "K.", "non-dropping-particle" : "", "parse-names" : false, "suffix" : "" }, { "dropping-particle" : "", "family" : "Jeftinija", "given" : "S.", "non-dropping-particle" : "", "parse-names" : false, "suffix" : "" }, { "dropping-particle" : "", "family" : "Haydon", "given" : "P.G.", "non-dropping-particle" : "", "parse-names" : false, "suffix" : "" }, { "dropping-particle" : "", "family" : "Paukert", "given" : "M.", "non-dropping-particle" : "", "parse-names" : false, "suffix" : "" }, { "dropping-particle" : "", "family" : "Agarwal", "given" : "A.", "non-dropping-particle" : "", "parse-names" : false, "suffix" : "" }, { "dropping-particle" : "", "family" : "Cha", "given" : "J.", "non-dropping-particle" : "", "parse-names" : false, "suffix" : "" }, { "dropping-particle" : "", "family" : "Doze", "given" : "V.A.", "non-dropping-particle" : "", "parse-names" : false, "suffix" : "" }, { "dropping-particle" : "", "family" : "Kang", "given" : "J.U.", "non-dropping-particle" : "", "parse-names" : false, "suffix" : "" }, { "dropping-particle" : "", "family" : "Bergles", "given" : "D.E.", "non-dropping-particle" : "", "parse-names" : false, "suffix" : "" }, { "dropping-particle" : "", "family" : "Pellerin", "given" : "L.", "non-dropping-particle" : "", "parse-names" : false, "suffix" : "" }, { "dropping-particle" : "", "family" : "Magistretti", "given" : "P.J.", "non-dropping-particle" : "", "parse-names" : false, "suffix" : "" }, { "dropping-particle" : "", "family" : "Rothstein", "given" : "J.D.", "non-dropping-particle" : "", "parse-names" : false, "suffix" : "" }, { "dropping-particle" : "", "family" : "Dykes-Hoberg", "given" : "M.", "non-dropping-particle" : "", "parse-names" : false, "suffix" : "" }, { "dropping-particle" : "", "family" : "Pardo", "given" : "C.A.", "non-dropping-particle" : "", "parse-names" : false, "suffix" : "" }, { "dropping-particle" : "", "family" : "Bristol", "given" : "L.A.", "non-dropping-particle" : "", "parse-names" : false, "suffix" : "" }, { "dropping-particle" : "", "family" : "Jin", "given" : "L.", "non-dropping-particle" : "", "parse-names" : false, "suffix" : "" }, { "dropping-particle" : "", "family" : "Kuncl", "given" : "R.W.", "non-dropping-particle" : "", "parse-names" : false, "suffix" : "" }, { "dropping-particle" : "", "family" : "Kanai", "given" : "Y.", "non-dropping-particle" : "", "parse-names" : false, "suffix" : "" }, { "dropping-particle" : "", "family" : "Hediger", "given" : "M.A.", "non-dropping-particle" : "", "parse-names" : false, "suffix" : "" }, { "dropping-particle" : "", "family" : "Wang", "given" : "Y.", "non-dropping-particle" : "", "parse-names" : false, "suffix" : "" }, { "dropping-particle" : "", "family" : "Schielke", "given" : "J.P.", "non-dropping-particle" : "", "parse-names" : false, "suffix" : "" }, { "dropping-particle" : "", "family" : "Welty", "given" : "D.F.", "non-dropping-particle" : "", "parse-names" : false, "suffix" : "" }, { "dropping-particle" : "", "family" : "Schummers", "given" : "J.", "non-dropping-particle" : "", "parse-names" : false, "suffix" : "" }, { "dropping-particle" : "", "family" : "Yu", "given" : "H.", "non-dropping-particle" : "", "parse-names" : false, "suffix" : "" }, { "dropping-particle" : "", "family" : "Sur", "given" : "M.", "non-dropping-particle" : "", "parse-names" : false, "suffix" : "" }, { "dropping-particle" : "", "family" : "Sun", "given" : "W.", "non-dropping-particle" : "", "parse-names" : false, "suffix" : "" }, { "dropping-particle" : "", "family" : "McConnell", "given" : "E.", "non-dropping-particle" : "", "parse-names" : false, "suffix" : "" }, { "dropping-particle" : "", "family" : "Pare", "given" : "J.F.", "non-dropping-particle" : "", "parse-names" : false, "suffix" : "" }, { "dropping-particle" : "", "family" : "Xu", "given" : "Q.", "non-dropping-particle" : "", "parse-names" : false, "suffix" : "" }, { "dropping-particle" : "", "family" : "Chen", "given" : "M.", "non-dropping-particle" : "", "parse-names" : false, "suffix" : "" }, { "dropping-particle" : "", "family" : "Peng", "given" : "W.", "non-dropping-particle" : "", "parse-names" : false, "suffix" : "" }, { "dropping-particle" : "", "family" : "Lovatt", "given" : "D.", "non-dropping-particle" : "", "parse-names" : false, "suffix" : "" }, { "dropping-particle" : "", "family" : "Han", "given" : "X.", "non-dropping-particle" : "", "parse-names" : false, "suffix" : "" }, { "dropping-particle" : "", "family" : "Smith", "given" : "Y.", "non-dropping-particle" : "", "parse-names" : false, "suffix" : "" }, { "dropping-particle" : "", "family" : "Nedergaard", "given" : "M.", "non-dropping-particle" : "", "parse-names" : false, "suffix" : "" }, { "dropping-particle" : "", "family" : "Tien", "given" : "A.C.", "non-dropping-particle" : "", "parse-names" : false, "suffix" : "" }, { "dropping-particle" : "", "family" : "Tsai", "given" : "H.H.", "non-dropping-particle" : "", "parse-names" : false, "suffix" : "" }, { "dropping-particle" : "", "family" : "Molofsky", "given" : "A.V.", "non-dropping-particle" : "", "parse-names" : false, "suffix" : "" }, { "dropping-particle" : "", "family" : "McMahon", "given" : "M.", "non-dropping-particle" : "", "parse-names" : false, "suffix" : "" }, { "dropping-particle" : "", "family" : "Foo", "given" : "L.C.", "non-dropping-particle" : "", "parse-names" : false, "suffix" : "" }, { "dropping-particle" : "", "family" : "Kaul", "given" : "A.", "non-dropping-particle" : "", "parse-names" : false, "suffix" : "" }, { "dropping-particle" : "", "family" : "Dougherty", "given" : "J.D.", "non-dropping-particle" : "", "parse-names" : false, "suffix" : "" }, { "dropping-particle" : "", "family" : "Heintz", "given" : "N.", "non-dropping-particle" : "", "parse-names" : false, "suffix" : "" }, { "dropping-particle" : "", "family" : "Gutmann", "given" : "D.H.", "non-dropping-particle" : "", "parse-names" : false, "suffix" : "" }, { "dropping-particle" : "", "family" : "Barres", "given" : "B.A.", "non-dropping-particle" : "", "parse-names" : false, "suffix" : "" }, { "dropping-particle" : "", "family" : "Rowitch", "given" : "D.H.", "non-dropping-particle" : "", "parse-names" : false, "suffix" : "" }, { "dropping-particle" : "", "family" : "Ullian", "given" : "E.M.", "non-dropping-particle" : "", "parse-names" : false, "suffix" : "" }, { "dropping-particle" : "", "family" : "Sapperstein", "given" : "S.K.", "non-dropping-particle" : "", "parse-names" : false, "suffix" : "" }, { "dropping-particle" : "", "family" : "Christopherson", "given" : "K.S.", "non-dropping-particle" : "", "parse-names" : false, "suffix" : "" }, { "dropping-particle" : "", "family" : "Barres", "given" : "B.A.", "non-dropping-particle" : "", "parse-names" : false, "suffix" : "" }, { "dropping-particle" : "", "family" : "Winzeler", "given" : "A.", "non-dropping-particle" : "", "parse-names" : false, "suffix" : "" }, { "dropping-particle" : "", "family" : "Wang", "given" : "J.T.", "non-dropping-particle" : "", "parse-names" : false, "suffix" : "" }, { "dropping-particle" : "", "family" : "Zamanian", "given" : "J.L.", "non-dropping-particle" : "", "parse-names" : false, "suffix" : "" }, { "dropping-particle" : "", "family" : "Xu", "given" : "L.", "non-dropping-particle" : "", "parse-names" : false, "suffix" : "" }, { "dropping-particle" : "", "family" : "Foo", "given" : "L.C.", "non-dropping-particle" : "", "parse-names" : false, "suffix" : "" }, { "dropping-particle" : "", "family" : "Nouri", "given" : "N.", "non-dropping-particle" : "", "parse-names" : false, "suffix" : "" }, { "dropping-particle" : "", "family" : "Zhou", "given" : "L.", "non-dropping-particle" : "", "parse-names" : false, "suffix" : "" }, { "dropping-particle" : "", "family" : "Giffard", "given" : "R.G.", "non-dropping-particle" : "", "parse-names" : false, "suffix" : "" }, { "dropping-particle" : "", "family" : "Barres", "given" : "B.A.", "non-dropping-particle" : "", "parse-names" : false, "suffix" : "" }, { "dropping-particle" : "", "family" : "Zhang", "given" : "Y.", "non-dropping-particle" : "", "parse-names" : false, "suffix" : "" }, { "dropping-particle" : "", "family" : "Chen", "given" : "K.", "non-dropping-particle" : "", "parse-names" : false, "suffix" : "" }, { "dropping-particle" : "", "family" : "Sloan", "given" : "S.A.", "non-dropping-particle" : "", "parse-names" : false, "suffix" : "" }, { "dropping-particle" : "", "family" : "Bennett", "given" : "M.L.", "non-dropping-particle" : "", "parse-names" : false, "suffix" : "" }, { "dropping-particle" : "", "family" : "Scholze", "given" : "A.R.", "non-dropping-particle" : "", "parse-names" : false, "suffix" : "" }, { "dropping-particle" : "", "family" : "O\u2019Keeffe", "given" : "S.", "non-dropping-particle" : "", "parse-names" : false, "suffix" : "" }, { "dropping-particle" : "", "family" : "Phatnani", "given" : "H.P.", "non-dropping-particle" : "", "parse-names" : false, "suffix" : "" }, { "dropping-particle" : "", "family" : "Guarnieri", "given" : "P.", "non-dropping-particle" : "", "parse-names" : false, "suffix" : "" }, { "dropping-particle" : "", "family" : "Caneda", "given" : "C.", "non-dropping-particle" : "", "parse-names" : false, "suffix" : "" }, { "dropping-particle" : "", "family" : "Ruderisch", "given" : "N.", "non-dropping-particle" : "", "parse-names" : false, "suffix" : "" }, { "dropping-particle" : "", "family" : "al.", "given" : "et", "non-dropping-particle" : "", "parse-names" : false, "suffix" : "" }, { "dropping-particle" : "", "family" : "Zonta", "given" : "M.", "non-dropping-particle" : "", "parse-names" : false, "suffix" : "" }, { "dropping-particle" : "", "family" : "Angulo", "given" : "M.C.", "non-dropping-particle" : "", "parse-names" : false, "suffix" : "" }, { "dropping-particle" : "", "family" : "Gobbo", "given" : "S.", "non-dropping-particle" : "", "parse-names" : false, "suffix" : "" }, { "dropping-particle" : "", "family" : "Rosengarten", "given" : "B.", "non-dropping-particle" : "", "parse-names" : false, "suffix" : "" }, { "dropping-particle" : "", "family" : "Hossmann", "given" : "K.-A.", "non-dropping-particle" : "", "parse-names" : false, "suffix" : "" }, { "dropping-particle" : "", "family" : "Pozzan", "given" : "T.", "non-dropping-particle" : "", "parse-names" : false, "suffix" : "" }, { "dropping-particle" : "", "family" : "Carmignoto", "given" : "G.", "non-dropping-particle" : "", "parse-names" : false, "suffix" : "" } ], "container-title" : "Neuron", "id" : "ITEM-1", "issue" : "1", "issued" : { "date-parts" : [ [ "2016", "1", "6" ] ] }, "page" : "37-53", "publisher" : "Elsevier", "title" : "Purification and Characterization of Progenitor and Mature Human Astrocytes Reveals Transcriptional and Functional Differences with Mouse.", "type" : "article-journal", "volume" : "89" }, "uris" : [ "http://www.mendeley.com/documents/?uuid=c55dc623-fb2a-386f-8964-dfd7f704caa3" ] } ], "mendeley" : { "formattedCitation" : "(Zhang et al. 2016)", "plainTextFormattedCitation" : "(Zhang et al. 2016)", "previouslyFormattedCitation" : "(Zhang et al. 2016)" }, "properties" : { "noteIndex" : 0 }, "schema" : "https://github.com/citation-style-language/schema/raw/master/csl-citation.json" }</w:instrText>
      </w:r>
      <w:r w:rsidR="00FE400E">
        <w:rPr>
          <w:rFonts w:ascii="Times New Roman" w:hAnsi="Times New Roman" w:cs="Times New Roman"/>
        </w:rPr>
        <w:fldChar w:fldCharType="separate"/>
      </w:r>
      <w:r w:rsidR="00C148FC" w:rsidRPr="00C148FC">
        <w:rPr>
          <w:rFonts w:ascii="Times New Roman" w:hAnsi="Times New Roman" w:cs="Times New Roman"/>
          <w:noProof/>
        </w:rPr>
        <w:t>(Zhang et al. 2016)</w:t>
      </w:r>
      <w:r w:rsidR="00FE400E">
        <w:rPr>
          <w:rFonts w:ascii="Times New Roman" w:hAnsi="Times New Roman" w:cs="Times New Roman"/>
        </w:rPr>
        <w:fldChar w:fldCharType="end"/>
      </w:r>
      <w:r w:rsidR="00561B4C">
        <w:rPr>
          <w:rFonts w:ascii="Times New Roman" w:hAnsi="Times New Roman" w:cs="Times New Roman"/>
        </w:rPr>
        <w:t xml:space="preserve">. Consistent with experiments performed </w:t>
      </w:r>
      <w:r w:rsidR="00561B4C">
        <w:rPr>
          <w:rFonts w:ascii="Times New Roman" w:hAnsi="Times New Roman" w:cs="Times New Roman"/>
          <w:i/>
        </w:rPr>
        <w:t>in vivo</w:t>
      </w:r>
      <w:r w:rsidR="00561B4C">
        <w:rPr>
          <w:rFonts w:ascii="Times New Roman" w:hAnsi="Times New Roman" w:cs="Times New Roman"/>
        </w:rPr>
        <w:t xml:space="preserve"> </w:t>
      </w:r>
      <w:r w:rsidR="00561B4C">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"10.1523/JNEUROSCI.4707-08.2009", "ISSN" : "1529-2401", "PMID" : "19279265", "abstract" : "Defining the microanatomic differences between the human brain and that of other mammals is key to understanding its unique computational power. Although much effort has been devoted to comparative studies of neurons, astrocytes have received far less attention. We report here that protoplasmic astrocytes in human neocortex are 2.6-fold larger in diameter and extend 10-fold more GFAP (glial fibrillary acidic protein)-positive primary processes than their rodent counterparts. In cortical slices prepared from acutely resected surgical tissue, protoplasmic astrocytes propagate Ca(2+) waves with a speed of 36 microm/s, approximately fourfold faster than rodent. Human astrocytes also transiently increase cystosolic Ca(2+) in response to glutamatergic and purinergic receptor agonists. The human neocortex also harbors several anatomically defined subclasses of astrocytes not represented in rodents. These include a population of astrocytes that reside in layers 5-6 and extend long fibers characterized by regularly spaced varicosities. Another specialized type of astrocyte, the interlaminar astrocyte, abundantly populates the superficial cortical layers and extends long processes without varicosities to cortical layers 3 and 4. Human fibrous astrocytes resemble their rodent counterpart but are larger in diameter. Thus, human cortical astrocytes are both larger, and structurally both more complex and more diverse, than those of rodents. On this basis, we posit that this astrocytic complexity has permitted the increased functional competence of the adult human brain.", "author" : [ { "dropping-particle" : "", "family" : "Oberheim", "given" : "Nancy Ann", "non-dropping-particle" : "", "parse-names" : false, "suffix" : "" }, { "dropping-particle" : "", "family" : "Takano", "given" : "Takahiro", "non-dropping-particle" : "", "parse-names" : false, "suffix" : "" }, { "dropping-particle" : "", "family" : "Han", "given" : "Xiaoning", "non-dropping-particle" : "", "parse-names" : false, "suffix" : "" }, { "dropping-particle" : "", "family" : "He", "given" : "Wei", "non-dropping-particle" : "", "parse-names" : false, "suffix" : "" }, { "dropping-particle" : "", "family" : "Lin", "given" : "Jane H C", "non-dropping-particle" : "", "parse-names" : false, "suffix" : "" }, { "dropping-particle" : "", "family" : "Wang", "given" : "Fushun", "non-dropping-particle" : "", "parse-names" : false, "suffix" : "" }, { "dropping-particle" : "", "family" : "Xu", "given" : "Qiwu", "non-dropping-particle" : "", "parse-names" : false, "suffix" : "" }, { "dropping-particle" : "", "family" : "Wyatt", "given" : "Jeffrey D", "non-dropping-particle" : "", "parse-names" : false, "suffix" : "" }, { "dropping-particle" : "", "family" : "Pilcher", "given" : "Webster", "non-dropping-particle" : "", "parse-names" : false, "suffix" : "" }, { "dropping-particle" : "", "family" : "Ojemann", "given" : "Jeffrey G", "non-dropping-particle" : "", "parse-names" : false, "suffix" : "" }, { "dropping-particle" : "", "family" : "Ransom", "given" : "Bruce R", "non-dropping-particle" : "", "parse-names" : false, "suffix" : "" }, { "dropping-particle" : "", "family" : "Goldman", "given" : "Steven A", "non-dropping-particle" : "", "parse-names" : false, "suffix" : "" }, { "dropping-particle" : "", "family" : "Nedergaard", "given" : "Maiken", "non-dropping-particle" : "", "parse-names" : false, "suffix" : "" } ], "container-title" : "The Journal of neuroscience : the official journal of the Society for Neuroscience", "id" : "ITEM-1", "issue" : "10", "issued" : { "date-parts" : [ [ "2009", "3", "11" ] ] }, "page" : "3276-87", "title" : "Uniquely hominid features of adult human astrocytes.", "type" : "article-journal", "volume" : "29" }, "uris" : [ "http://www.mendeley.com/documents/?uuid=b96b0aba-664b-46c2-aa65-136af8bdec71" ] } ], "mendeley" : { "formattedCitation" : "(Oberheim et al. 2009)", "plainTextFormattedCitation" : "(Oberheim et al. 2009)", "previouslyFormattedCitation" : "(Oberheim et al. 2009)" }, "properties" : { "noteIndex" : 0 }, "schema" : "https://github.com/citation-style-language/schema/raw/master/csl-citation.json" }</w:instrText>
      </w:r>
      <w:r w:rsidR="00561B4C">
        <w:rPr>
          <w:rFonts w:ascii="Times New Roman" w:hAnsi="Times New Roman" w:cs="Times New Roman"/>
        </w:rPr>
        <w:fldChar w:fldCharType="separate"/>
      </w:r>
      <w:r w:rsidR="00C148FC" w:rsidRPr="00C148FC">
        <w:rPr>
          <w:rFonts w:ascii="Times New Roman" w:hAnsi="Times New Roman" w:cs="Times New Roman"/>
          <w:noProof/>
        </w:rPr>
        <w:t>(Oberheim et al. 2009)</w:t>
      </w:r>
      <w:r w:rsidR="00561B4C">
        <w:rPr>
          <w:rFonts w:ascii="Times New Roman" w:hAnsi="Times New Roman" w:cs="Times New Roman"/>
        </w:rPr>
        <w:fldChar w:fldCharType="end"/>
      </w:r>
      <w:r w:rsidR="00561B4C">
        <w:rPr>
          <w:rFonts w:ascii="Times New Roman" w:hAnsi="Times New Roman" w:cs="Times New Roman"/>
        </w:rPr>
        <w:t xml:space="preserve">, </w:t>
      </w:r>
      <w:r w:rsidR="00FE400E">
        <w:rPr>
          <w:rFonts w:ascii="Times New Roman" w:hAnsi="Times New Roman" w:cs="Times New Roman"/>
        </w:rPr>
        <w:t xml:space="preserve">human astrocytes grown </w:t>
      </w:r>
      <w:r w:rsidR="00FE400E">
        <w:rPr>
          <w:rFonts w:ascii="Times New Roman" w:hAnsi="Times New Roman" w:cs="Times New Roman"/>
          <w:i/>
        </w:rPr>
        <w:t>in vitro</w:t>
      </w:r>
      <w:r w:rsidR="00FE400E">
        <w:rPr>
          <w:rFonts w:ascii="Times New Roman" w:hAnsi="Times New Roman" w:cs="Times New Roman"/>
        </w:rPr>
        <w:t xml:space="preserve"> were approximately 8.6 fold larger and had twice the number of processes as rat astrocytes grown in culture.</w:t>
      </w:r>
      <w:r w:rsidR="00561B4C">
        <w:rPr>
          <w:rFonts w:ascii="Times New Roman" w:hAnsi="Times New Roman" w:cs="Times New Roman"/>
        </w:rPr>
        <w:t xml:space="preserve"> </w:t>
      </w:r>
    </w:p>
    <w:p w14:paraId="0E449DA9" w14:textId="77777777" w:rsidR="00561B4C" w:rsidRDefault="00561B4C" w:rsidP="00C5321E">
      <w:pPr>
        <w:spacing w:line="360" w:lineRule="auto"/>
        <w:rPr>
          <w:rFonts w:ascii="Times New Roman" w:hAnsi="Times New Roman" w:cs="Times New Roman"/>
        </w:rPr>
      </w:pPr>
    </w:p>
    <w:p w14:paraId="64BC91EA" w14:textId="66590577" w:rsidR="00B556AC" w:rsidRDefault="0087548B" w:rsidP="00B07212">
      <w:pPr>
        <w:spacing w:line="360" w:lineRule="auto"/>
        <w:jc w:val="both"/>
        <w:rPr>
          <w:rFonts w:ascii="Times New Roman" w:hAnsi="Times New Roman" w:cs="Times New Roman"/>
        </w:rPr>
      </w:pPr>
      <w:r>
        <w:rPr>
          <w:rFonts w:ascii="Times New Roman" w:hAnsi="Times New Roman" w:cs="Times New Roman"/>
        </w:rPr>
        <w:t xml:space="preserve">These additional complexities observed in astrocytes, which are not seen in neurons during phylogeny are thought to contribute to the higher intellectual capacities of humans. In support of this, human astrocytes were implanted into mouse brain, which accentuated synaptic transmission and long term potentiation (LTP) resulting in an increased ability of the mice to learn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"10.1016/j.stem.2012.12.015", "ISSN" : "19345909", "abstract" : "Human astrocytes are larger and more complex than those of infraprimate mammals, suggesting that their role in neural processing has expanded with evolution. To assess the cell-autonomous and species-selective properties of human glia, we engrafted human glial progenitor cells (GPCs) into neonatal immunodeficient mice. Upon maturation, the recipient brains exhibited large numbers and high proportions of both human glial progenitors and astrocytes. The engrafted human glia were gap-junction-coupled to host astroglia, yet retained the size and pleomorphism of hominid astroglia, and propagated Ca2+ signals 3-fold faster than their hosts. Long-term potentiation (LTP) was sharply enhanced in the human glial chimeric mice, as was their learning, as assessed by Barnes maze navigation, object-location memory, and both contextual and tone fear conditioning. Mice allografted with murine GPCs showed no enhancement of either LTP or learning. These findings indicate that human glia differentially enhance both activity-dependent plasticity and learning in mice. \n\nVIDEO ABSTRACT", "author" : [ { "dropping-particle" : "", "family" : "Han", "given" : "Xiaoning", "non-dropping-particle" : "", "parse-names" : false, "suffix" : "" }, { "dropping-particle" : "", "family" : "Chen", "given" : "Michael", "non-dropping-particle" : "", "parse-names" : false, "suffix" : "" }, { "dropping-particle" : "", "family" : "Wang", "given" : "Fushun", "non-dropping-particle" : "", "parse-names" : false, "suffix" : "" }, { "dropping-particle" : "", "family" : "Windrem", "given" : "Martha", "non-dropping-particle" : "", "parse-names" : false, "suffix" : "" }, { "dropping-particle" : "", "family" : "Wang", "given" : "Su", "non-dropping-particle" : "", "parse-names" : false, "suffix" : "" }, { "dropping-particle" : "", "family" : "Shanz", "given" : "Steven", "non-dropping-particle" : "", "parse-names" : false, "suffix" : "" }, { "dropping-particle" : "", "family" : "Xu", "given" : "Qiwu", "non-dropping-particle" : "", "parse-names" : false, "suffix" : "" }, { "dropping-particle" : "", "family" : "Oberheim", "given" : "Nancy\u00a0Ann", "non-dropping-particle" : "", "parse-names" : false, "suffix" : "" }, { "dropping-particle" : "", "family" : "Bekar", "given" : "Lane", "non-dropping-particle" : "", "parse-names" : false, "suffix" : "" }, { "dropping-particle" : "", "family" : "Betstadt", "given" : "Sarah", "non-dropping-particle" : "", "parse-names" : false, "suffix" : "" }, { "dropping-particle" : "", "family" : "Silva", "given" : "Alcino\u00a0J.", "non-dropping-particle" : "", "parse-names" : false, "suffix" : "" }, { "dropping-particle" : "", "family" : "Takano", "given" : "Takahiro", "non-dropping-particle" : "", "parse-names" : false, "suffix" : "" }, { "dropping-particle" : "", "family" : "Goldman", "given" : "Steven\u00a0A.", "non-dropping-particle" : "", "parse-names" : false, "suffix" : "" }, { "dropping-particle" : "", "family" : "Nedergaard", "given" : "Maiken", "non-dropping-particle" : "", "parse-names" : false, "suffix" : "" } ], "container-title" : "Cell Stem Cell", "id" : "ITEM-1", "issue" : "3", "issued" : { "date-parts" : [ [ "2013" ] ] }, "page" : "342-353", "title" : "Forebrain Engraftment by Human Glial Progenitor Cells Enhances Synaptic Plasticity and Learning in Adult Mice", "type" : "article-journal", "volume" : "12" }, "uris" : [ "http://www.mendeley.com/documents/?uuid=7076ecd5-635a-3d39-8bdd-c7a266d4204e" ] } ], "mendeley" : { "formattedCitation" : "(Han et al. 2013)", "plainTextFormattedCitation" : "(Han et al. 2013)", "previouslyFormattedCitation" : "(Han et al. 2013)"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(Han et al. 2013)</w:t>
      </w:r>
      <w:r>
        <w:rPr>
          <w:rFonts w:ascii="Times New Roman" w:hAnsi="Times New Roman" w:cs="Times New Roman"/>
        </w:rPr>
        <w:fldChar w:fldCharType="end"/>
      </w:r>
      <w:r>
        <w:rPr>
          <w:rFonts w:ascii="Times New Roman" w:hAnsi="Times New Roman" w:cs="Times New Roman"/>
        </w:rPr>
        <w:t xml:space="preserve">. However, as the processing power and synaptic coverage of human astrocytes is </w:t>
      </w:r>
      <w:r w:rsidR="00595449">
        <w:rPr>
          <w:rFonts w:ascii="Times New Roman" w:hAnsi="Times New Roman" w:cs="Times New Roman"/>
        </w:rPr>
        <w:t>greater</w:t>
      </w:r>
      <w:r>
        <w:rPr>
          <w:rFonts w:ascii="Times New Roman" w:hAnsi="Times New Roman" w:cs="Times New Roman"/>
        </w:rPr>
        <w:t>, impairments in these cells are more likely to be detrimental to brain function</w:t>
      </w:r>
      <w:r w:rsidR="00505FC8">
        <w:rPr>
          <w:rFonts w:ascii="Times New Roman" w:hAnsi="Times New Roman" w:cs="Times New Roman"/>
        </w:rPr>
        <w:t xml:space="preserve"> than alterations in rodent astroc</w:t>
      </w:r>
      <w:r w:rsidR="00B82F9E">
        <w:rPr>
          <w:rFonts w:ascii="Times New Roman" w:hAnsi="Times New Roman" w:cs="Times New Roman"/>
        </w:rPr>
        <w:t>ytes</w:t>
      </w:r>
      <w:r w:rsidR="001A258A">
        <w:rPr>
          <w:rFonts w:ascii="Times New Roman" w:hAnsi="Times New Roman" w:cs="Times New Roman"/>
        </w:rPr>
        <w:t xml:space="preserve">. The impact of </w:t>
      </w:r>
      <w:r w:rsidR="00C25727">
        <w:rPr>
          <w:rFonts w:ascii="Times New Roman" w:hAnsi="Times New Roman" w:cs="Times New Roman"/>
        </w:rPr>
        <w:t>changes in astrocyte function to</w:t>
      </w:r>
      <w:r w:rsidR="001A258A">
        <w:rPr>
          <w:rFonts w:ascii="Times New Roman" w:hAnsi="Times New Roman" w:cs="Times New Roman"/>
        </w:rPr>
        <w:t xml:space="preserve"> neurons is evident in </w:t>
      </w:r>
      <w:r>
        <w:rPr>
          <w:rFonts w:ascii="Times New Roman" w:hAnsi="Times New Roman" w:cs="Times New Roman"/>
        </w:rPr>
        <w:t>several models of epilepsy</w:t>
      </w:r>
      <w:r w:rsidR="00505FC8">
        <w:rPr>
          <w:rFonts w:ascii="Times New Roman" w:hAnsi="Times New Roman" w:cs="Times New Roman"/>
        </w:rPr>
        <w:t xml:space="preserve"> </w:t>
      </w:r>
      <w:r w:rsidR="00C25727">
        <w:rPr>
          <w:rFonts w:ascii="Times New Roman" w:hAnsi="Times New Roman" w:cs="Times New Roman"/>
        </w:rPr>
        <w:t>where the domain organis</w:t>
      </w:r>
      <w:r w:rsidR="001A258A">
        <w:rPr>
          <w:rFonts w:ascii="Times New Roman" w:hAnsi="Times New Roman" w:cs="Times New Roman"/>
        </w:rPr>
        <w:t xml:space="preserve">ation of </w:t>
      </w:r>
      <w:r w:rsidR="00505FC8">
        <w:rPr>
          <w:rFonts w:ascii="Times New Roman" w:hAnsi="Times New Roman" w:cs="Times New Roman"/>
        </w:rPr>
        <w:t xml:space="preserve">astrocytes </w:t>
      </w:r>
      <w:r w:rsidR="001A258A">
        <w:rPr>
          <w:rFonts w:ascii="Times New Roman" w:hAnsi="Times New Roman" w:cs="Times New Roman"/>
        </w:rPr>
        <w:t>is altered. This</w:t>
      </w:r>
      <w:r>
        <w:rPr>
          <w:rFonts w:ascii="Times New Roman" w:hAnsi="Times New Roman" w:cs="Times New Roman"/>
        </w:rPr>
        <w:t xml:space="preserve"> is associated with hypertrophy of apical dendrites and results in continuous neuronal excitatio</w:t>
      </w:r>
      <w:r w:rsidR="001A258A">
        <w:rPr>
          <w:rFonts w:ascii="Times New Roman" w:hAnsi="Times New Roman" w:cs="Times New Roman"/>
        </w:rPr>
        <w:t>n that</w:t>
      </w:r>
      <w:r>
        <w:rPr>
          <w:rFonts w:ascii="Times New Roman" w:hAnsi="Times New Roman" w:cs="Times New Roman"/>
        </w:rPr>
        <w:t xml:space="preserve"> is detrimental to neuronal function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"10.1523/JNEUROSCI.4980-07.2008", "ISSN" : "1529-2401", "PMID" : "18367594", "abstract" : "Gliosis is a pathological hallmark of posttraumatic epileptic foci, but little is known about these reactive astrocytes beyond their high glial fibrillary acidic protein (GFAP) expression. Using diolistic labeling, we show that cortical astrocytes lost their nonoverlapping domain organization in three mouse models of epilepsy: posttraumatic injury, genetic susceptibility, and systemic kainate exposure. Neighboring astrocytes in epileptic mice showed a 10-fold increase in overlap of processes. Concurrently, spine density was increased on dendrites of excitatory neurons. Suppression of seizures by the common antiepileptic, valproate, reduced the overlap of astrocytic processes. Astrocytic domain organization was also preserved in APP transgenic mice expressing a mutant variant of human amyloid precursor protein despite a marked upregulation of GFAP. Our data suggest that loss of astrocytic domains was not universally associated with gliosis, but restricted to seizure pathologies. Reorganization of astrocytes may, in concert with dendritic sprouting and new synapse formation, form the structural basis for recurrent excitation in the epileptic brain.", "author" : [ { "dropping-particle" : "", "family" : "Oberheim", "given" : "Nancy Ann", "non-dropping-particle" : "", "parse-names" : false, "suffix" : "" }, { "dropping-particle" : "", "family" : "Tian", "given" : "Guo-Feng", "non-dropping-particle" : "", "parse-names" : false, "suffix" : "" }, { "dropping-particle" : "", "family" : "Han", "given" : "Xiaoning", "non-dropping-particle" : "", "parse-names" : false, "suffix" : "" }, { "dropping-particle" : "", "family" : "Peng", "given" : "Weiguo", "non-dropping-particle" : "", "parse-names" : false, "suffix" : "" }, { "dropping-particle" : "", "family" : "Takano", "given" : "Takahiro", "non-dropping-particle" : "", "parse-names" : false, "suffix" : "" }, { "dropping-particle" : "", "family" : "Ransom", "given" : "Bruce", "non-dropping-particle" : "", "parse-names" : false, "suffix" : "" }, { "dropping-particle" : "", "family" : "Nedergaard", "given" : "Maiken", "non-dropping-particle" : "", "parse-names" : false, "suffix" : "" } ], "container-title" : "The Journal of neuroscience : the official journal of the Society for Neuroscience", "id" : "ITEM-1", "issue" : "13", "issued" : { "date-parts" : [ [ "2008", "3", "26" ] ] }, "page" : "3264-76", "title" : "Loss of astrocytic domain organization in the epileptic brain.", "type" : "article-journal", "volume" : "28" }, "uris" : [ "http://www.mendeley.com/documents/?uuid=1e562948-dd43-4fe1-baa5-03c911448a36" ] } ], "mendeley" : { "formattedCitation" : "(Oberheim et al. 2008)", "plainTextFormattedCitation" : "(Oberheim et al. 2008)", "previouslyFormattedCitation" : "(Oberheim et al. 2008)"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(Oberheim et al. 2008)</w:t>
      </w:r>
      <w:r>
        <w:rPr>
          <w:rFonts w:ascii="Times New Roman" w:hAnsi="Times New Roman" w:cs="Times New Roman"/>
        </w:rPr>
        <w:fldChar w:fldCharType="end"/>
      </w:r>
      <w:r>
        <w:rPr>
          <w:rFonts w:ascii="Times New Roman" w:hAnsi="Times New Roman" w:cs="Times New Roman"/>
        </w:rPr>
        <w:t>.</w:t>
      </w:r>
    </w:p>
    <w:p w14:paraId="7D04AFBD" w14:textId="77777777" w:rsidR="0053545B" w:rsidRDefault="0053545B" w:rsidP="00C5321E">
      <w:pPr>
        <w:spacing w:line="360" w:lineRule="auto"/>
        <w:rPr>
          <w:rFonts w:ascii="Times New Roman" w:hAnsi="Times New Roman" w:cs="Times New Roman"/>
          <w:noProof/>
        </w:rPr>
      </w:pPr>
    </w:p>
    <w:p w14:paraId="26568561" w14:textId="270723DA" w:rsidR="00885B17" w:rsidRDefault="003A2584" w:rsidP="001B1D82">
      <w:pPr>
        <w:pStyle w:val="Heading3"/>
      </w:pPr>
      <w:bookmarkStart w:id="126" w:name="_Toc328301079"/>
      <w:bookmarkStart w:id="127" w:name="_Toc329593370"/>
      <w:bookmarkStart w:id="128" w:name="_Toc331425872"/>
      <w:bookmarkStart w:id="129" w:name="_Toc331427059"/>
      <w:bookmarkStart w:id="130" w:name="_Toc331427431"/>
      <w:bookmarkStart w:id="131" w:name="_Toc331427573"/>
      <w:bookmarkStart w:id="132" w:name="_Toc332972577"/>
      <w:bookmarkStart w:id="133" w:name="_Toc333046857"/>
      <w:bookmarkStart w:id="134" w:name="_Toc333477204"/>
      <w:bookmarkStart w:id="135" w:name="_Toc333477974"/>
      <w:bookmarkStart w:id="136" w:name="_Toc333644874"/>
      <w:r>
        <w:t xml:space="preserve">1.2.3 </w:t>
      </w:r>
      <w:r w:rsidR="006C6BAD">
        <w:t>Astrocyte diversity</w:t>
      </w:r>
      <w:bookmarkEnd w:id="126"/>
      <w:bookmarkEnd w:id="127"/>
      <w:bookmarkEnd w:id="128"/>
      <w:bookmarkEnd w:id="129"/>
      <w:bookmarkEnd w:id="130"/>
      <w:bookmarkEnd w:id="131"/>
      <w:bookmarkEnd w:id="132"/>
      <w:bookmarkEnd w:id="133"/>
      <w:bookmarkEnd w:id="134"/>
      <w:bookmarkEnd w:id="135"/>
      <w:bookmarkEnd w:id="136"/>
    </w:p>
    <w:p w14:paraId="71827463" w14:textId="77777777" w:rsidR="00A84A48" w:rsidRDefault="00A84A48" w:rsidP="00103AAC">
      <w:pPr>
        <w:spacing w:line="360" w:lineRule="auto"/>
        <w:rPr>
          <w:rFonts w:ascii="Times New Roman" w:hAnsi="Times New Roman" w:cs="Times New Roman"/>
        </w:rPr>
      </w:pPr>
    </w:p>
    <w:p w14:paraId="0690F659" w14:textId="7A47930F" w:rsidR="001F4D82" w:rsidRDefault="00A84A48" w:rsidP="00E36700">
      <w:pPr>
        <w:spacing w:line="360" w:lineRule="auto"/>
        <w:jc w:val="both"/>
        <w:rPr>
          <w:rFonts w:ascii="Times New Roman" w:hAnsi="Times New Roman" w:cs="Times New Roman"/>
        </w:rPr>
      </w:pPr>
      <w:r>
        <w:rPr>
          <w:rFonts w:ascii="Times New Roman" w:hAnsi="Times New Roman" w:cs="Times New Roman"/>
        </w:rPr>
        <w:t xml:space="preserve">Astrocytes </w:t>
      </w:r>
      <w:r w:rsidR="00C24375">
        <w:rPr>
          <w:rFonts w:ascii="Times New Roman" w:hAnsi="Times New Roman" w:cs="Times New Roman"/>
        </w:rPr>
        <w:t xml:space="preserve">have </w:t>
      </w:r>
      <w:r>
        <w:rPr>
          <w:rFonts w:ascii="Times New Roman" w:hAnsi="Times New Roman" w:cs="Times New Roman"/>
        </w:rPr>
        <w:t>long been considered a</w:t>
      </w:r>
      <w:r w:rsidR="005D0A51">
        <w:rPr>
          <w:rFonts w:ascii="Times New Roman" w:hAnsi="Times New Roman" w:cs="Times New Roman"/>
        </w:rPr>
        <w:t xml:space="preserve"> heterogeneous</w:t>
      </w:r>
      <w:r>
        <w:rPr>
          <w:rFonts w:ascii="Times New Roman" w:hAnsi="Times New Roman" w:cs="Times New Roman"/>
        </w:rPr>
        <w:t xml:space="preserve"> population</w:t>
      </w:r>
      <w:r w:rsidR="00C24375">
        <w:rPr>
          <w:rFonts w:ascii="Times New Roman" w:hAnsi="Times New Roman" w:cs="Times New Roman"/>
        </w:rPr>
        <w:t xml:space="preserve"> of</w:t>
      </w:r>
      <w:r>
        <w:rPr>
          <w:rFonts w:ascii="Times New Roman" w:hAnsi="Times New Roman" w:cs="Times New Roman"/>
        </w:rPr>
        <w:t xml:space="preserve"> cells and in </w:t>
      </w:r>
      <w:r w:rsidR="00D043D8">
        <w:rPr>
          <w:rFonts w:ascii="Times New Roman" w:hAnsi="Times New Roman" w:cs="Times New Roman"/>
        </w:rPr>
        <w:t xml:space="preserve">recent years, </w:t>
      </w:r>
      <w:r w:rsidR="00BA24A1">
        <w:rPr>
          <w:rFonts w:ascii="Times New Roman" w:hAnsi="Times New Roman" w:cs="Times New Roman"/>
        </w:rPr>
        <w:t>research has shown</w:t>
      </w:r>
      <w:r w:rsidR="00D043D8">
        <w:rPr>
          <w:rFonts w:ascii="Times New Roman" w:hAnsi="Times New Roman" w:cs="Times New Roman"/>
        </w:rPr>
        <w:t xml:space="preserve"> that astrocytes are not only morphologically diverse in different regions of the brain but</w:t>
      </w:r>
      <w:r>
        <w:rPr>
          <w:rFonts w:ascii="Times New Roman" w:hAnsi="Times New Roman" w:cs="Times New Roman"/>
        </w:rPr>
        <w:t xml:space="preserve"> functionally</w:t>
      </w:r>
      <w:r w:rsidR="000D4FC1">
        <w:rPr>
          <w:rFonts w:ascii="Times New Roman" w:hAnsi="Times New Roman" w:cs="Times New Roman"/>
        </w:rPr>
        <w:t xml:space="preserve"> distinct too.</w:t>
      </w:r>
      <w:r w:rsidR="00D043D8">
        <w:rPr>
          <w:rFonts w:ascii="Times New Roman" w:hAnsi="Times New Roman" w:cs="Times New Roman"/>
        </w:rPr>
        <w:t xml:space="preserve"> </w:t>
      </w:r>
      <w:r w:rsidR="000D4FC1">
        <w:rPr>
          <w:rFonts w:ascii="Times New Roman" w:hAnsi="Times New Roman" w:cs="Times New Roman"/>
        </w:rPr>
        <w:t xml:space="preserve">There is accumulating evidence showing differences in the </w:t>
      </w:r>
      <w:r w:rsidR="00D043D8">
        <w:rPr>
          <w:rFonts w:ascii="Times New Roman" w:hAnsi="Times New Roman" w:cs="Times New Roman"/>
        </w:rPr>
        <w:t>gene expression profile</w:t>
      </w:r>
      <w:r w:rsidR="000D4FC1">
        <w:rPr>
          <w:rFonts w:ascii="Times New Roman" w:hAnsi="Times New Roman" w:cs="Times New Roman"/>
        </w:rPr>
        <w:t xml:space="preserve"> of astrocytes across the brain</w:t>
      </w:r>
      <w:r w:rsidR="00D043D8">
        <w:rPr>
          <w:rFonts w:ascii="Times New Roman" w:hAnsi="Times New Roman" w:cs="Times New Roman"/>
        </w:rPr>
        <w:t xml:space="preserve">, </w:t>
      </w:r>
      <w:r w:rsidR="000D4FC1">
        <w:rPr>
          <w:rFonts w:ascii="Times New Roman" w:hAnsi="Times New Roman" w:cs="Times New Roman"/>
        </w:rPr>
        <w:t>variations in their</w:t>
      </w:r>
      <w:r w:rsidR="00D043D8">
        <w:rPr>
          <w:rFonts w:ascii="Times New Roman" w:hAnsi="Times New Roman" w:cs="Times New Roman"/>
        </w:rPr>
        <w:t xml:space="preserve"> functional state</w:t>
      </w:r>
      <w:r w:rsidR="00773590">
        <w:rPr>
          <w:rFonts w:ascii="Times New Roman" w:hAnsi="Times New Roman" w:cs="Times New Roman"/>
        </w:rPr>
        <w:t>,</w:t>
      </w:r>
      <w:r w:rsidR="00D043D8">
        <w:rPr>
          <w:rFonts w:ascii="Times New Roman" w:hAnsi="Times New Roman" w:cs="Times New Roman"/>
        </w:rPr>
        <w:t xml:space="preserve"> an</w:t>
      </w:r>
      <w:r w:rsidR="000D4FC1">
        <w:rPr>
          <w:rFonts w:ascii="Times New Roman" w:hAnsi="Times New Roman" w:cs="Times New Roman"/>
        </w:rPr>
        <w:t>d</w:t>
      </w:r>
      <w:r w:rsidR="00773590">
        <w:rPr>
          <w:rFonts w:ascii="Times New Roman" w:hAnsi="Times New Roman" w:cs="Times New Roman"/>
        </w:rPr>
        <w:t xml:space="preserve"> their</w:t>
      </w:r>
      <w:r w:rsidR="000D4FC1">
        <w:rPr>
          <w:rFonts w:ascii="Times New Roman" w:hAnsi="Times New Roman" w:cs="Times New Roman"/>
        </w:rPr>
        <w:t xml:space="preserve"> </w:t>
      </w:r>
      <w:r w:rsidR="00C24375">
        <w:rPr>
          <w:rFonts w:ascii="Times New Roman" w:hAnsi="Times New Roman" w:cs="Times New Roman"/>
        </w:rPr>
        <w:t>ability to respond to</w:t>
      </w:r>
      <w:r w:rsidR="00D043D8">
        <w:rPr>
          <w:rFonts w:ascii="Times New Roman" w:hAnsi="Times New Roman" w:cs="Times New Roman"/>
        </w:rPr>
        <w:t xml:space="preserve"> insult or injury</w:t>
      </w:r>
      <w:r w:rsidR="00E94645">
        <w:rPr>
          <w:rFonts w:ascii="Times New Roman" w:hAnsi="Times New Roman" w:cs="Times New Roman"/>
        </w:rPr>
        <w:t xml:space="preserve"> </w:t>
      </w:r>
      <w:r w:rsidR="00E94645">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"10.1016/j.conb.2010.06.005", "ISSN" : "1873-6882", "PMID" : "20655735", "abstract" : "Astrocytes, one of the most numerous types of cells in the central nervous system, are crucial for potassium homeostasis, neurotransmitter uptake, synapse formation, regulation of blood-brain-barrier, and the development of the nervous system. Historically, astrocytes have been studied as a homogeneous group of cells. However, evidence has accumulated that suggests heterogeneity of astrocytes across brain regions as well as within the same brain regions. Astrocytes differ in their morphology, developmental origin, gene expression profile, physiological properties, function, and response to injury and disease. A better understanding of the heterogeneity of astrocytes will greatly aid investigation of the function of astrocytes in normal brain as well as the roles of astrocytes in neurological disorders.", "author" : [ { "dropping-particle" : "", "family" : "Zhang", "given" : "Ye", "non-dropping-particle" : "", "parse-names" : false, "suffix" : "" }, { "dropping-particle" : "", "family" : "Barres", "given" : "Ben A", "non-dropping-particle" : "", "parse-names" : false, "suffix" : "" } ], "container-title" : "Current opinion in neurobiology", "id" : "ITEM-1", "issue" : "5", "issued" : { "date-parts" : [ [ "2010", "10" ] ] }, "page" : "588-94", "title" : "Astrocyte heterogeneity: an underappreciated topic in neurobiology.", "type" : "article-journal", "volume" : "20" }, "uris" : [ "http://www.mendeley.com/documents/?uuid=de160ac5-1e75-4534-8d82-a1e60f8ec1c8" ] }, { "id" : "ITEM-2", "itemData" : { "DOI" : "10.1007/978-1-61779-452-0_3", "ISSN" : "1940-6029", "PMID" : "22144298", "abstract" : "Astrocytes participate in all essential CNS functions, including blood flow regulation, energy metabolism, ion and water homeostasis, immune defence, neurotransmission, and adult neurogenesis. It is thus not surprising that astrocytic morphology and function differ between regions, and that different subclasses of astrocytes exist within the same brain region. Recent lines of work also show that the complexity of protoplasmic astrocytes increases during evolution. Human astrocytes are structurally more complex, larger, and propagate calcium signals significantly faster than rodent astrocytes. In this chapter, we review the diversity of astrocytic form and function, while considering the markedly expanded roles of astrocytes with phylogenetic evolution. We also define major challenges for the future, which include determining how astrocytic functions are locally specified, defining the molecular controls upon astrocytic fate and physiology and establishing how evolutionary changes in astrocytes contribute to higher cognitive functions.", "author" : [ { "dropping-particle" : "", "family" : "Oberheim", "given" : "Nancy Ann", "non-dropping-particle" : "", "parse-names" : false, "suffix" : "" }, { "dropping-particle" : "", "family" : "Goldman", "given" : "Steven A", "non-dropping-particle" : "", "parse-names" : false, "suffix" : "" }, { "dropping-particle" : "", "family" : "Nedergaard", "given" : "Maiken", "non-dropping-particle" : "", "parse-names" : false, "suffix" : "" } ], "container-title" : "Methods in molecular biology (Clifton, N.J.)", "id" : "ITEM-2", "issued" : { "date-parts" : [ [ "2012", "1" ] ] }, "page" : "23-45", "title" : "Heterogeneity of astrocytic form and function.", "type" : "article-journal", "volume" : "814" }, "uris" : [ "http://www.mendeley.com/documents/?uuid=7e538ff2-83cb-4451-896a-f18b813d6bbf" ] } ], "mendeley" : { "formattedCitation" : "(Zhang &amp; Barres 2010; Oberheim et al. 2012)", "plainTextFormattedCitation" : "(Zhang &amp; Barres 2010; Oberheim et al. 2012)", "previouslyFormattedCitation" : "(Zhang &amp; Barres 2010; Oberheim et al. 2012)" }, "properties" : { "noteIndex" : 0 }, "schema" : "https://github.com/citation-style-language/schema/raw/master/csl-citation.json" }</w:instrText>
      </w:r>
      <w:r w:rsidR="00E94645">
        <w:rPr>
          <w:rFonts w:ascii="Times New Roman" w:hAnsi="Times New Roman" w:cs="Times New Roman"/>
        </w:rPr>
        <w:fldChar w:fldCharType="separate"/>
      </w:r>
      <w:r w:rsidR="00C148FC" w:rsidRPr="00C148FC">
        <w:rPr>
          <w:rFonts w:ascii="Times New Roman" w:hAnsi="Times New Roman" w:cs="Times New Roman"/>
          <w:noProof/>
        </w:rPr>
        <w:t>(Zhang &amp; Barres 2010; Oberheim et al. 2012)</w:t>
      </w:r>
      <w:r w:rsidR="00E94645">
        <w:rPr>
          <w:rFonts w:ascii="Times New Roman" w:hAnsi="Times New Roman" w:cs="Times New Roman"/>
        </w:rPr>
        <w:fldChar w:fldCharType="end"/>
      </w:r>
      <w:r w:rsidR="00E94645">
        <w:rPr>
          <w:rFonts w:ascii="Times New Roman" w:hAnsi="Times New Roman" w:cs="Times New Roman"/>
        </w:rPr>
        <w:t xml:space="preserve">. </w:t>
      </w:r>
    </w:p>
    <w:p w14:paraId="1F6C7B15" w14:textId="77777777" w:rsidR="00E36700" w:rsidRDefault="00E36700" w:rsidP="00E36700">
      <w:pPr>
        <w:spacing w:line="360" w:lineRule="auto"/>
        <w:jc w:val="both"/>
        <w:rPr>
          <w:rFonts w:ascii="Times New Roman" w:hAnsi="Times New Roman" w:cs="Times New Roman"/>
        </w:rPr>
      </w:pPr>
    </w:p>
    <w:p w14:paraId="683E30C7" w14:textId="7FEB18AC" w:rsidR="00CA06ED" w:rsidRDefault="00B4708E" w:rsidP="00E36700">
      <w:pPr>
        <w:spacing w:line="360" w:lineRule="auto"/>
        <w:jc w:val="both"/>
        <w:rPr>
          <w:rFonts w:ascii="Times New Roman" w:hAnsi="Times New Roman" w:cs="Times New Roman"/>
        </w:rPr>
      </w:pPr>
      <w:r>
        <w:rPr>
          <w:rFonts w:ascii="Times New Roman" w:hAnsi="Times New Roman" w:cs="Times New Roman"/>
        </w:rPr>
        <w:t>There are several tech</w:t>
      </w:r>
      <w:r w:rsidR="00F524D9">
        <w:rPr>
          <w:rFonts w:ascii="Times New Roman" w:hAnsi="Times New Roman" w:cs="Times New Roman"/>
        </w:rPr>
        <w:t xml:space="preserve">niques that have been developed </w:t>
      </w:r>
      <w:r>
        <w:rPr>
          <w:rFonts w:ascii="Times New Roman" w:hAnsi="Times New Roman" w:cs="Times New Roman"/>
        </w:rPr>
        <w:t xml:space="preserve">for cell specific gene expression </w:t>
      </w:r>
      <w:r w:rsidR="006D39E6">
        <w:rPr>
          <w:rFonts w:ascii="Times New Roman" w:hAnsi="Times New Roman" w:cs="Times New Roman"/>
        </w:rPr>
        <w:t>profiling;</w:t>
      </w:r>
      <w:r>
        <w:rPr>
          <w:rFonts w:ascii="Times New Roman" w:hAnsi="Times New Roman" w:cs="Times New Roman"/>
        </w:rPr>
        <w:t xml:space="preserve"> one of these is </w:t>
      </w:r>
      <w:r w:rsidR="00B60A40">
        <w:rPr>
          <w:rFonts w:ascii="Times New Roman" w:hAnsi="Times New Roman" w:cs="Times New Roman"/>
        </w:rPr>
        <w:t xml:space="preserve">called translating ribosome affinity </w:t>
      </w:r>
      <w:r w:rsidR="00B60A40" w:rsidRPr="00B4708E">
        <w:rPr>
          <w:rFonts w:ascii="Times New Roman" w:hAnsi="Times New Roman" w:cs="Times New Roman"/>
        </w:rPr>
        <w:t>purification (TRAP</w:t>
      </w:r>
      <w:r w:rsidRPr="00B4708E">
        <w:rPr>
          <w:rFonts w:ascii="Times New Roman" w:hAnsi="Times New Roman" w:cs="Times New Roman"/>
        </w:rPr>
        <w:t>)</w:t>
      </w:r>
      <w:r>
        <w:rPr>
          <w:rFonts w:ascii="Times New Roman" w:hAnsi="Times New Roman" w:cs="Times New Roman"/>
        </w:rPr>
        <w:t xml:space="preserve">. This technique is advantageous over other methods, such as laser capture microdissection (LCM), as it does not require a cell dissociation step and assesses the mRNAs that are actively translated at </w:t>
      </w:r>
      <w:r w:rsidR="00C25727">
        <w:rPr>
          <w:rFonts w:ascii="Times New Roman" w:hAnsi="Times New Roman" w:cs="Times New Roman"/>
        </w:rPr>
        <w:t xml:space="preserve">a </w:t>
      </w:r>
      <w:r>
        <w:rPr>
          <w:rFonts w:ascii="Times New Roman" w:hAnsi="Times New Roman" w:cs="Times New Roman"/>
        </w:rPr>
        <w:t>particular time point</w:t>
      </w:r>
      <w:r w:rsidR="00604AD8">
        <w:rPr>
          <w:rFonts w:ascii="Times New Roman" w:hAnsi="Times New Roman" w:cs="Times New Roman"/>
        </w:rPr>
        <w:t xml:space="preserve"> </w:t>
      </w:r>
      <w:r w:rsidR="00604AD8">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"10.1038/nprot.2014.085", "ISSN" : "1754-2189", "author" : [ { "dropping-particle" : "", "family" : "Heiman", "given" : "Myriam", "non-dropping-particle" : "", "parse-names" : false, "suffix" : "" }, { "dropping-particle" : "", "family" : "Kulicke", "given" : "Ruth", "non-dropping-particle" : "", "parse-names" : false, "suffix" : "" }, { "dropping-particle" : "", "family" : "Fenster", "given" : "Robert J", "non-dropping-particle" : "", "parse-names" : false, "suffix" : "" }, { "dropping-particle" : "", "family" : "Greengard", "given" : "Paul", "non-dropping-particle" : "", "parse-names" : false, "suffix" : "" }, { "dropping-particle" : "", "family" : "Heintz", "given" : "Nathaniel", "non-dropping-particle" : "", "parse-names" : false, "suffix" : "" } ], "container-title" : "Nature Protocols", "id" : "ITEM-1", "issue" : "6", "issued" : { "date-parts" : [ [ "2014", "5", "8" ] ] }, "page" : "1282-1291", "publisher" : "Nature Research", "title" : "Cell type\u2013specific mRNA purification by translating ribosome affinity purification (TRAP)", "type" : "article-journal", "volume" : "9" }, "uris" : [ "http://www.mendeley.com/documents/?uuid=e596fc4b-2d21-30b5-8d47-553d1c94923f" ] } ], "mendeley" : { "formattedCitation" : "(Heiman et al. 2014)", "plainTextFormattedCitation" : "(Heiman et al. 2014)", "previouslyFormattedCitation" : "(Heiman et al. 2014)" }, "properties" : { "noteIndex" : 0 }, "schema" : "https://github.com/citation-style-language/schema/raw/master/csl-citation.json" }</w:instrText>
      </w:r>
      <w:r w:rsidR="00604AD8">
        <w:rPr>
          <w:rFonts w:ascii="Times New Roman" w:hAnsi="Times New Roman" w:cs="Times New Roman"/>
        </w:rPr>
        <w:fldChar w:fldCharType="separate"/>
      </w:r>
      <w:r w:rsidR="00C148FC" w:rsidRPr="00C148FC">
        <w:rPr>
          <w:rFonts w:ascii="Times New Roman" w:hAnsi="Times New Roman" w:cs="Times New Roman"/>
          <w:noProof/>
        </w:rPr>
        <w:t>(Heiman et al. 2014)</w:t>
      </w:r>
      <w:r w:rsidR="00604AD8">
        <w:rPr>
          <w:rFonts w:ascii="Times New Roman" w:hAnsi="Times New Roman" w:cs="Times New Roman"/>
        </w:rPr>
        <w:fldChar w:fldCharType="end"/>
      </w:r>
      <w:r>
        <w:rPr>
          <w:rFonts w:ascii="Times New Roman" w:hAnsi="Times New Roman" w:cs="Times New Roman"/>
        </w:rPr>
        <w:t xml:space="preserve">. TRAP </w:t>
      </w:r>
      <w:r w:rsidR="00B60A40">
        <w:rPr>
          <w:rFonts w:ascii="Times New Roman" w:hAnsi="Times New Roman" w:cs="Times New Roman"/>
        </w:rPr>
        <w:t xml:space="preserve">has been used to </w:t>
      </w:r>
      <w:r>
        <w:rPr>
          <w:rFonts w:ascii="Times New Roman" w:hAnsi="Times New Roman" w:cs="Times New Roman"/>
        </w:rPr>
        <w:t>investigate the translated mRNA profile</w:t>
      </w:r>
      <w:r w:rsidR="00B60A40">
        <w:rPr>
          <w:rFonts w:ascii="Times New Roman" w:hAnsi="Times New Roman" w:cs="Times New Roman"/>
        </w:rPr>
        <w:t xml:space="preserve"> of mouse cortical astrocytes, cerebellar</w:t>
      </w:r>
      <w:r>
        <w:rPr>
          <w:rFonts w:ascii="Times New Roman" w:hAnsi="Times New Roman" w:cs="Times New Roman"/>
        </w:rPr>
        <w:t xml:space="preserve"> astrocytes and Bergman glia, showing that there are </w:t>
      </w:r>
      <w:r w:rsidR="00B60A40">
        <w:rPr>
          <w:rFonts w:ascii="Times New Roman" w:hAnsi="Times New Roman" w:cs="Times New Roman"/>
        </w:rPr>
        <w:t>distinct differences in the expression profile of these cells in different regions of the brain</w:t>
      </w:r>
      <w:r w:rsidR="0079176C">
        <w:rPr>
          <w:rFonts w:ascii="Times New Roman" w:hAnsi="Times New Roman" w:cs="Times New Roman"/>
        </w:rPr>
        <w:t xml:space="preserve"> </w:t>
      </w:r>
      <w:r w:rsidR="0079176C">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"10.1016/j.cell.2008.10.029", "ISSN" : "1097-4172", "PMID" : "19013282", "abstract" : "Comparative analysis can provide important insights into complex biological systems. As demonstrated in the accompanying paper, translating ribosome affinity purification (TRAP) permits comprehensive studies of translated mRNAs in genetically defined cell populations after physiological perturbations. To establish the generality of this approach, we present translational profiles for 24 CNS cell populations and identify known cell-specific and enriched transcripts for each population. We report thousands of cell-specific mRNAs that were not detected in whole-tissue microarray studies and provide examples that demonstrate the benefits deriving from comparative analysis. To provide a foundation for further biological and in silico studies, we provide a resource of 16 transgenic mouse lines, their corresponding anatomic characterization, and translational profiles for cell types from a variety of central nervous system structures. This resource will enable a wide spectrum of molecular and mechanistic studies of both well-known and previously uncharacterized neural cell populations.", "author" : [ { "dropping-particle" : "", "family" : "Doyle", "given" : "Joseph P", "non-dropping-particle" : "", "parse-names" : false, "suffix" : "" }, { "dropping-particle" : "", "family" : "Dougherty", "given" : "Joseph D", "non-dropping-particle" : "", "parse-names" : false, "suffix" : "" }, { "dropping-particle" : "", "family" : "Heiman", "given" : "Myriam", "non-dropping-particle" : "", "parse-names" : false, "suffix" : "" }, { "dropping-particle" : "", "family" : "Schmidt", "given" : "Eric F", "non-dropping-particle" : "", "parse-names" : false, "suffix" : "" }, { "dropping-particle" : "", "family" : "Stevens", "given" : "Tanya R", "non-dropping-particle" : "", "parse-names" : false, "suffix" : "" }, { "dropping-particle" : "", "family" : "Ma", "given" : "Guojun", "non-dropping-particle" : "", "parse-names" : false, "suffix" : "" }, { "dropping-particle" : "", "family" : "Bupp", "given" : "Sujata", "non-dropping-particle" : "", "parse-names" : false, "suffix" : "" }, { "dropping-particle" : "", "family" : "Shrestha", "given" : "Prerana", "non-dropping-particle" : "", "parse-names" : false, "suffix" : "" }, { "dropping-particle" : "", "family" : "Shah", "given" : "Rajiv D", "non-dropping-particle" : "", "parse-names" : false, "suffix" : "" }, { "dropping-particle" : "", "family" : "Doughty", "given" : "Martin L", "non-dropping-particle" : "", "parse-names" : false, "suffix" : "" }, { "dropping-particle" : "", "family" : "Gong", "given" : "Shiaoching", "non-dropping-particle" : "", "parse-names" : false, "suffix" : "" }, { "dropping-particle" : "", "family" : "Greengard", "given" : "Paul", "non-dropping-particle" : "", "parse-names" : false, "suffix" : "" }, { "dropping-particle" : "", "family" : "Heintz", "given" : "Nathaniel", "non-dropping-particle" : "", "parse-names" : false, "suffix" : "" } ], "container-title" : "Cell", "id" : "ITEM-1", "issue" : "4", "issued" : { "date-parts" : [ [ "2008", "11", "14" ] ] }, "page" : "749-62", "title" : "Application of a translational profiling approach for the comparative analysis of CNS cell types.", "type" : "article-journal", "volume" : "135" }, "uris" : [ "http://www.mendeley.com/documents/?uuid=5673b302-5310-4def-80cf-536b66c3b493" ] } ], "mendeley" : { "formattedCitation" : "(Doyle et al. 2008)", "plainTextFormattedCitation" : "(Doyle et al. 2008)", "previouslyFormattedCitation" : "(Doyle et al. 2008)" }, "properties" : { "noteIndex" : 0 }, "schema" : "https://github.com/citation-style-language/schema/raw/master/csl-citation.json" }</w:instrText>
      </w:r>
      <w:r w:rsidR="0079176C">
        <w:rPr>
          <w:rFonts w:ascii="Times New Roman" w:hAnsi="Times New Roman" w:cs="Times New Roman"/>
        </w:rPr>
        <w:fldChar w:fldCharType="separate"/>
      </w:r>
      <w:r w:rsidR="00C148FC" w:rsidRPr="00C148FC">
        <w:rPr>
          <w:rFonts w:ascii="Times New Roman" w:hAnsi="Times New Roman" w:cs="Times New Roman"/>
          <w:noProof/>
        </w:rPr>
        <w:t>(Doyle et al. 2008)</w:t>
      </w:r>
      <w:r w:rsidR="0079176C">
        <w:rPr>
          <w:rFonts w:ascii="Times New Roman" w:hAnsi="Times New Roman" w:cs="Times New Roman"/>
        </w:rPr>
        <w:fldChar w:fldCharType="end"/>
      </w:r>
      <w:r w:rsidR="00B60A40">
        <w:rPr>
          <w:rFonts w:ascii="Times New Roman" w:hAnsi="Times New Roman" w:cs="Times New Roman"/>
        </w:rPr>
        <w:t xml:space="preserve">. </w:t>
      </w:r>
      <w:r w:rsidR="00A611A9">
        <w:rPr>
          <w:rFonts w:ascii="Times New Roman" w:hAnsi="Times New Roman" w:cs="Times New Roman"/>
        </w:rPr>
        <w:t>These findings were supported by microarray studies revealing differences in the gene expression profile of cultured</w:t>
      </w:r>
      <w:r w:rsidR="00CA06ED">
        <w:rPr>
          <w:rFonts w:ascii="Times New Roman" w:hAnsi="Times New Roman" w:cs="Times New Roman"/>
        </w:rPr>
        <w:t xml:space="preserve"> mouse</w:t>
      </w:r>
      <w:r w:rsidR="00A611A9">
        <w:rPr>
          <w:rFonts w:ascii="Times New Roman" w:hAnsi="Times New Roman" w:cs="Times New Roman"/>
        </w:rPr>
        <w:t xml:space="preserve"> astrocytes </w:t>
      </w:r>
      <w:r w:rsidR="00CA06ED">
        <w:rPr>
          <w:rFonts w:ascii="Times New Roman" w:hAnsi="Times New Roman" w:cs="Times New Roman"/>
        </w:rPr>
        <w:t>isolated from</w:t>
      </w:r>
      <w:r w:rsidR="00A611A9">
        <w:rPr>
          <w:rFonts w:ascii="Times New Roman" w:hAnsi="Times New Roman" w:cs="Times New Roman"/>
        </w:rPr>
        <w:t xml:space="preserve"> four different brain regions </w:t>
      </w:r>
      <w:r w:rsidR="00CA06ED">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"10.1042/AN20110025", "ISSN" : "1759-0914", "PMID" : "22103264", "abstract" : "The EC (entorhinal cortex) is fundamental for cognitive and mnesic functions. Thus damage to this area appears as a key element in the progression of AD (Alzheimer's disease), resulting in memory deficits arising from neuronal and synaptic alterations as well as glial malfunction. In this paper, we have performed an in-depth analysis of astroglial morphology in the EC by measuring the surface and volume of the GFAP (glial fibrillary acidic protein) profiles in a triple transgenic mouse model of AD [3xTg-AD (triple transgenic mice of AD)]. We found significant reduction in both the surface and volume of GFAP-labelled profiles in 3xTg-AD animals from very early ages (1 month) when compared with non-Tg (non-transgenic) controls (48 and 54%, reduction respectively), which was sustained for up to 12 months (33 and 45% reduction respectively). The appearance of A\u03b2 (amyloid \u03b2-peptide) depositions at 12 months of age did not trigger astroglial hypertrophy; nor did it result in the close association of astrocytes with senile plaques. Our results suggest that the AD progressive cognitive deterioration can be associated with an early reduction of astrocytic arborization and shrinkage of the astroglial domain, which may affect synaptic connectivity within the EC and between the EC and other brain regions. In addition, the EC seems to be particularly vulnerable to AD pathology because of the absence of evident astrogliosis in response to A\u03b2 accumulation. Thus we can consider that targeting astroglial atrophy may represent a therapeutic strategy which might slow down the progression of AD.", "author" : [ { "dropping-particle" : "", "family" : "Yeh", "given" : "Chia-Yu", "non-dropping-particle" : "", "parse-names" : false, "suffix" : "" }, { "dropping-particle" : "", "family" : "Vadhwana", "given" : "Bhamini", "non-dropping-particle" : "", "parse-names" : false, "suffix" : "" }, { "dropping-particle" : "", "family" : "Verkhratsky", "given" : "Alexei", "non-dropping-particle" : "", "parse-names" : false, "suffix" : "" }, { "dropping-particle" : "", "family" : "Rodr\u00edguez", "given" : "Jos\u00e9 J", "non-dropping-particle" : "", "parse-names" : false, "suffix" : "" } ], "container-title" : "ASN neuro", "id" : "ITEM-1", "issue" : "5", "issued" : { "date-parts" : [ [ "2011" ] ] }, "page" : "271-9", "publisher" : "SAGE Publications", "title" : "Early astrocytic atrophy in the entorhinal cortex of a triple transgenic animal model of Alzheimer's disease.", "type" : "article-journal", "volume" : "3" }, "uris" : [ "http://www.mendeley.com/documents/?uuid=0d3f7054-8373-30e2-aa4d-138e8ae73a20" ] } ], "mendeley" : { "formattedCitation" : "(Yeh et al. 2011)", "plainTextFormattedCitation" : "(Yeh et al. 2011)", "previouslyFormattedCitation" : "(Yeh et al. 2011)" }, "properties" : { "noteIndex" : 0 }, "schema" : "https://github.com/citation-style-language/schema/raw/master/csl-citation.json" }</w:instrText>
      </w:r>
      <w:r w:rsidR="00CA06ED">
        <w:rPr>
          <w:rFonts w:ascii="Times New Roman" w:hAnsi="Times New Roman" w:cs="Times New Roman"/>
        </w:rPr>
        <w:fldChar w:fldCharType="separate"/>
      </w:r>
      <w:r w:rsidR="00C148FC" w:rsidRPr="00C148FC">
        <w:rPr>
          <w:rFonts w:ascii="Times New Roman" w:hAnsi="Times New Roman" w:cs="Times New Roman"/>
          <w:noProof/>
        </w:rPr>
        <w:t>(Yeh et al. 2011)</w:t>
      </w:r>
      <w:r w:rsidR="00CA06ED">
        <w:rPr>
          <w:rFonts w:ascii="Times New Roman" w:hAnsi="Times New Roman" w:cs="Times New Roman"/>
        </w:rPr>
        <w:fldChar w:fldCharType="end"/>
      </w:r>
      <w:r w:rsidR="00CA06ED">
        <w:rPr>
          <w:rFonts w:ascii="Times New Roman" w:hAnsi="Times New Roman" w:cs="Times New Roman"/>
        </w:rPr>
        <w:t>. Specific differences in</w:t>
      </w:r>
      <w:r w:rsidR="00A3448E">
        <w:rPr>
          <w:rFonts w:ascii="Times New Roman" w:hAnsi="Times New Roman" w:cs="Times New Roman"/>
        </w:rPr>
        <w:t xml:space="preserve"> the</w:t>
      </w:r>
      <w:r w:rsidR="00CA06ED">
        <w:rPr>
          <w:rFonts w:ascii="Times New Roman" w:hAnsi="Times New Roman" w:cs="Times New Roman"/>
        </w:rPr>
        <w:t xml:space="preserve"> expression of </w:t>
      </w:r>
      <w:r w:rsidR="00A3448E">
        <w:rPr>
          <w:rFonts w:ascii="Times New Roman" w:hAnsi="Times New Roman" w:cs="Times New Roman"/>
        </w:rPr>
        <w:t>glycoprotein</w:t>
      </w:r>
      <w:r w:rsidR="00FC131B">
        <w:rPr>
          <w:rFonts w:ascii="Times New Roman" w:hAnsi="Times New Roman" w:cs="Times New Roman"/>
        </w:rPr>
        <w:t xml:space="preserve"> </w:t>
      </w:r>
      <w:r w:rsidR="00FC131B" w:rsidRPr="00BD0907">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"10.1002/glia.440010111", "ISSN" : "0894-1491", "PMID" : "2976742", "abstract" : "Astrocytes derived from the mouse brain mesencephalon and striatum regulate neuronal morphogenesis in a region-specific manner in vitro. To begin defining molecular mechanisms that may underlie this functional heterogeneity, lectin probes were used to compare surface glycoproteins expressed by astrocytes from different brain regions. These experiments demonstrated marked differences in surface glycoproteins depending on the anatomic origin of the astrocytes. In particular, mesencephalic and cerebellar astrocytes express a fucosylated glycoprotein with an apparent molecular weight of 190 kD that is absent or rarely expressed by striatal or cortical astrocytes. These findings raise the possibility that carbohydrate diversity of astrocyte surface molecules may play a role in the heterogeneity of region-specific neuron-glial interactions.", "author" : [ { "dropping-particle" : "", "family" : "Barbin", "given" : "G", "non-dropping-particle" : "", "parse-names" : false, "suffix" : "" }, { "dropping-particle" : "", "family" : "Katz", "given" : "D M", "non-dropping-particle" : "", "parse-names" : false, "suffix" : "" }, { "dropping-particle" : "", "family" : "Chamak", "given" : "B", "non-dropping-particle" : "", "parse-names" : false, "suffix" : "" }, { "dropping-particle" : "", "family" : "Glowinski", "given" : "J", "non-dropping-particle" : "", "parse-names" : false, "suffix" : "" }, { "dropping-particle" : "", "family" : "Prochiantz", "given" : "A", "non-dropping-particle" : "", "parse-names" : false, "suffix" : "" } ], "container-title" : "Glia", "id" : "ITEM-1", "issue" : "1", "issued" : { "date-parts" : [ [ "1988" ] ] }, "page" : "96-103", "title" : "Brain astrocytes express region-specific surface glycoproteins in culture.", "type" : "article-journal", "volume" : "1" }, "uris" : [ "http://www.mendeley.com/documents/?uuid=040446c4-fca0-30dd-b03f-9d1c529d077e" ] } ], "mendeley" : { "formattedCitation" : "(Barbin et al. 1988)", "plainTextFormattedCitation" : "(Barbin et al. 1988)", "previouslyFormattedCitation" : "(Barbin et al. 1988)" }, "properties" : { "noteIndex" : 0 }, "schema" : "https://github.com/citation-style-language/schema/raw/master/csl-citation.json" }</w:instrText>
      </w:r>
      <w:r w:rsidR="00FC131B" w:rsidRPr="00BD0907">
        <w:rPr>
          <w:rFonts w:ascii="Times New Roman" w:hAnsi="Times New Roman" w:cs="Times New Roman"/>
        </w:rPr>
        <w:fldChar w:fldCharType="separate"/>
      </w:r>
      <w:r w:rsidR="00C148FC" w:rsidRPr="00C148FC">
        <w:rPr>
          <w:rFonts w:ascii="Times New Roman" w:hAnsi="Times New Roman" w:cs="Times New Roman"/>
          <w:noProof/>
        </w:rPr>
        <w:t>(Barbin et al. 1988)</w:t>
      </w:r>
      <w:r w:rsidR="00FC131B" w:rsidRPr="00BD0907">
        <w:rPr>
          <w:rFonts w:ascii="Times New Roman" w:hAnsi="Times New Roman" w:cs="Times New Roman"/>
        </w:rPr>
        <w:fldChar w:fldCharType="end"/>
      </w:r>
      <w:r w:rsidR="00A3448E" w:rsidRPr="00BD0907">
        <w:rPr>
          <w:rFonts w:ascii="Times New Roman" w:hAnsi="Times New Roman" w:cs="Times New Roman"/>
        </w:rPr>
        <w:t>,</w:t>
      </w:r>
      <w:r w:rsidR="00A3448E">
        <w:rPr>
          <w:rFonts w:ascii="Times New Roman" w:hAnsi="Times New Roman" w:cs="Times New Roman"/>
        </w:rPr>
        <w:t xml:space="preserve"> neuropeptide</w:t>
      </w:r>
      <w:r w:rsidR="00DF50E7">
        <w:rPr>
          <w:rFonts w:ascii="Times New Roman" w:hAnsi="Times New Roman" w:cs="Times New Roman"/>
        </w:rPr>
        <w:t xml:space="preserve"> </w:t>
      </w:r>
      <w:r w:rsidR="00DF50E7">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"0006-8993", "PMID" : "1540832", "abstract" : "Cultured astrocytes have been found to express neuropeptides, neuropeptide processing enzymes and their mRNAs. Although astrocytes were shown to display regional variation in their expression of these mRNAs, it was unclear whether all astrocytes cultured from the same brain region express similar mRNA levels or if this expression is heterogeneous. We examined the individual heterogeneity of astrocytes cultured from several brain regions by in situ hybridization. Astrocytes derived from the frontal cortex, hypothalamus and cerebellum of neonatal rat brains were cultured for 3 weeks and then analyzed by in situ hybridization using 35S-labeled cRNA probes to carboxypeptidase E (CPE), proenkephalin (PE), and cyclophilin (1B15) mRNAs and an oligomeric probe complimentary to the first 45 bases of rat 18S rRNA. Frequency histograms generated by counting the grains produced over emulsion-coated cells demonstrated populations of astrocytes expressing high levels of mRNA for CPE and PE and a population expressing low to background levels of these mRNAs. In contrast, all cultured astrocytes expressed high levels of 1B15 mRNA and 18S rRNA. The percentage of cultured astrocytes expressing high levels of CPE mRNA was 42% for frontal cortex astrocytes and 23% for cerebellar astrocytes. While the percentages of cultured astrocytes expressing high levels of PE mRNA varied slightly between brain region (24-28%), the level of PE mRNA expression per cell showed greater variation between regions. The effect of culture density on the expression of PE mRNA was also examined. Approximately 55% of the cells in low density cultures expressed PE mRNA, while only 5-10% of the cells in high density cultures expressed this mRNA. These results indicate that cultured astrocytes display individual heterogeneity with regard to neuropeptide biosynthesis and that the expression of neuropeptides by these cells is regulated.", "author" : [ { "dropping-particle" : "", "family" : "Klein", "given" : "R S", "non-dropping-particle" : "", "parse-names" : false, "suffix" : "" }, { "dropping-particle" : "", "family" : "Fricker", "given" : "L D", "non-dropping-particle" : "", "parse-names" : false, "suffix" : "" } ], "container-title" : "Brain research", "id" : "ITEM-1", "issue" : "2", "issued" : { "date-parts" : [ [ "1992", "1", "13" ] ] }, "page" : "300-10", "title" : "Heterogeneous expression of carboxypeptidase E and proenkephalin mRNAs by cultured astrocytes.", "type" : "article-journal", "volume" : "569" }, "uris" : [ "http://www.mendeley.com/documents/?uuid=b8d890b1-baa5-3121-b611-cd69be96b241" ] } ], "mendeley" : { "formattedCitation" : "(Klein &amp; Fricker 1992)", "plainTextFormattedCitation" : "(Klein &amp; Fricker 1992)", "previouslyFormattedCitation" : "(Klein &amp; Fricker 1992)" }, "properties" : { "noteIndex" : 0 }, "schema" : "https://github.com/citation-style-language/schema/raw/master/csl-citation.json" }</w:instrText>
      </w:r>
      <w:r w:rsidR="00DF50E7">
        <w:rPr>
          <w:rFonts w:ascii="Times New Roman" w:hAnsi="Times New Roman" w:cs="Times New Roman"/>
        </w:rPr>
        <w:fldChar w:fldCharType="separate"/>
      </w:r>
      <w:r w:rsidR="00C148FC" w:rsidRPr="00C148FC">
        <w:rPr>
          <w:rFonts w:ascii="Times New Roman" w:hAnsi="Times New Roman" w:cs="Times New Roman"/>
          <w:noProof/>
        </w:rPr>
        <w:t>(Klein &amp; Fricker 1992)</w:t>
      </w:r>
      <w:r w:rsidR="00DF50E7">
        <w:rPr>
          <w:rFonts w:ascii="Times New Roman" w:hAnsi="Times New Roman" w:cs="Times New Roman"/>
        </w:rPr>
        <w:fldChar w:fldCharType="end"/>
      </w:r>
      <w:r w:rsidR="00A3448E">
        <w:rPr>
          <w:rFonts w:ascii="Times New Roman" w:hAnsi="Times New Roman" w:cs="Times New Roman"/>
        </w:rPr>
        <w:t xml:space="preserve"> and neurotransmitter </w:t>
      </w:r>
      <w:r w:rsidR="00A3448E" w:rsidRPr="004E2491">
        <w:rPr>
          <w:rFonts w:ascii="Times New Roman" w:hAnsi="Times New Roman" w:cs="Times New Roman"/>
        </w:rPr>
        <w:t>receptor</w:t>
      </w:r>
      <w:r w:rsidR="00DF50E7" w:rsidRPr="004E2491">
        <w:rPr>
          <w:rFonts w:ascii="Times New Roman" w:hAnsi="Times New Roman" w:cs="Times New Roman"/>
        </w:rPr>
        <w:t xml:space="preserve"> </w:t>
      </w:r>
      <w:r w:rsidR="00DF50E7" w:rsidRPr="004E2491">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"10.1006/mcne.2000.0857", "ISSN" : "10447431", "abstract" : "Fibroblast growth factor (FGF)-2 is an abundant astroglial cytokine. We have previously shown that FGF-2 downregulates gap junctions in primary astroglial cultures (B. Reuss et al., 1998, Glia 22, 19\u201330). We demonstrate now that FGF-2 induces astroglial dopamine (DA) sensitivity and D1 dopamine-receptor (D1DR) antigen and message in cortical and striatal astroglial cultures. On the functional level 10 \u03bcmol/L DA triggered transient increases in astroglial [Ca2+]i. In gap-junction-coupled cells, no FGF-2-dependent changes in proportions of DA-responsive cells were observable. However, uncoupling with octanol or 18\u03b1-glycirrhetinic acid isolated the smaller population of astrocytes intrinsically sensitive to DA which was significantly increased by FGF-2 in cortical and striatal cultures. Administration of DR-specific substances revealed that FGF-2 upregulated D1DR. These results indicate that downregulation of astroglial gap junctions by FGF-2 is accompanied by an upregulation of D1DR and DA sensitivity, adding a new aspect to the role of FGF-2 in the regulation of brain functions.", "author" : [ { "dropping-particle" : "", "family" : "Reuss", "given" : "Bernhard", "non-dropping-particle" : "", "parse-names" : false, "suffix" : "" }, { "dropping-particle" : "", "family" : "Leung", "given" : "Doreen S.Y.", "non-dropping-particle" : "", "parse-names" : false, "suffix" : "" }, { "dropping-particle" : "", "family" : "Ohlemeyer", "given" : "Carsten", "non-dropping-particle" : "", "parse-names" : false, "suffix" : "" }, { "dropping-particle" : "", "family" : "Kettenmann", "given" : "Helmut", "non-dropping-particle" : "", "parse-names" : false, "suffix" : "" }, { "dropping-particle" : "", "family" : "Unsicker", "given" : "Klaus", "non-dropping-particle" : "", "parse-names" : false, "suffix" : "" } ], "container-title" : "Molecular and Cellular Neuroscience", "id" : "ITEM-1", "issue" : "1", "issued" : { "date-parts" : [ [ "2000" ] ] }, "page" : "42-58", "title" : "Regionally Distinct Regulation of Astroglial Neurotransmitter Receptors by Fibroblast Growth Factor-2", "type" : "article-journal", "volume" : "16" }, "uris" : [ "http://www.mendeley.com/documents/?uuid=a3481cf9-3959-33e6-af7d-875d3e7d11e0" ] }, { "id" : "ITEM-2", "itemData" : { "ISSN" : "0022-3042", "PMID" : "10936189", "abstract" : "The GLT-1 and GLAST astroglial transporters are the glutamate transporters mainly involved in maintaining physiological extracellular glutamate concentrations. Defects in neurotransmitter glutamate transport may represent an important component of glutamate-induced neurodegenerative disorders (such as amyotrophic lateral sclerosis) and CNS insults (ischemia and epilepsy). We characterized the protein expression of GLT-1 and GLAST in primary astrocyte-neuron cocultures derived from rat hippocampal tissues during neuron differentiation/maturation. GLT-1 and GLAST are expressed by morphologically distinct glial fibrillary acidic protein-positive astrocytes, and their expression correlates with the status of neuron differentiation/maturation and activity. Up-regulation of the transporters paralleled the content of the synaptophysin synaptic vesicle marker p38, and down-regulation was a consequence of glutamate-induced neuronal death or the reduction of synaptic activity. Finally, soluble factors in neuronal-conditioned media prevented the down-regulation of the GLT-1 and GLAST proteins. Although other mechanisms may participate in regulating GLT-1 and GLAST in the CNS, our data indicate that soluble factors dependent on neuronal activity play a major regulating role in hippocampal cocultures.", "author" : [ { "dropping-particle" : "", "family" : "Perego", "given" : "C", "non-dropping-particle" : "", "parse-names" : false, "suffix" : "" }, { "dropping-particle" : "", "family" : "Vanoni", "given" : "C", "non-dropping-particle" : "", "parse-names" : false, "suffix" : "" }, { "dropping-particle" : "", "family" : "Bossi", "given" : "M", "non-dropping-particle" : "", "parse-names" : false, "suffix" : "" }, { "dropping-particle" : "", "family" : "Massari", "given" : "S", "non-dropping-particle" : "", "parse-names" : false, "suffix" : "" }, { "dropping-particle" : "", "family" : "Basudev", "given" : "H", "non-dropping-particle" : "", "parse-names" : false, "suffix" : "" }, { "dropping-particle" : "", "family" : "Longhi", "given" : "R", "non-dropping-particle" : "", "parse-names" : false, "suffix" : "" }, { "dropping-particle" : "", "family" : "Pietrini", "given" : "G", "non-dropping-particle" : "", "parse-names" : false, "suffix" : "" } ], "container-title" : "Journal of neurochemistry", "id" : "ITEM-2", "issue" : "3", "issued" : { "date-parts" : [ [ "2000", "9" ] ] }, "page" : "1076-84", "title" : "The GLT-1 and GLAST glutamate transporters are expressed on morphologically distinct astrocytes and regulated by neuronal activity in primary hippocampal cocultures.", "type" : "article-journal", "volume" : "75" }, "uris" : [ "http://www.mendeley.com/documents/?uuid=db8c7a1a-03df-3037-bcb3-a0d90abf3720" ] } ], "mendeley" : { "formattedCitation" : "(Reuss et al. 2000; Perego et al. 2000)", "plainTextFormattedCitation" : "(Reuss et al. 2000; Perego et al. 2000)", "previouslyFormattedCitation" : "(Reuss et al. 2000; Perego et al. 2000)" }, "properties" : { "noteIndex" : 0 }, "schema" : "https://github.com/citation-style-language/schema/raw/master/csl-citation.json" }</w:instrText>
      </w:r>
      <w:r w:rsidR="00DF50E7" w:rsidRPr="004E2491">
        <w:rPr>
          <w:rFonts w:ascii="Times New Roman" w:hAnsi="Times New Roman" w:cs="Times New Roman"/>
        </w:rPr>
        <w:fldChar w:fldCharType="separate"/>
      </w:r>
      <w:r w:rsidR="00C148FC" w:rsidRPr="00C148FC">
        <w:rPr>
          <w:rFonts w:ascii="Times New Roman" w:hAnsi="Times New Roman" w:cs="Times New Roman"/>
          <w:noProof/>
        </w:rPr>
        <w:t>(Reuss et al. 2000; Perego et al. 2000)</w:t>
      </w:r>
      <w:r w:rsidR="00DF50E7" w:rsidRPr="004E2491">
        <w:rPr>
          <w:rFonts w:ascii="Times New Roman" w:hAnsi="Times New Roman" w:cs="Times New Roman"/>
        </w:rPr>
        <w:fldChar w:fldCharType="end"/>
      </w:r>
      <w:r w:rsidR="00A3448E">
        <w:rPr>
          <w:rFonts w:ascii="Times New Roman" w:hAnsi="Times New Roman" w:cs="Times New Roman"/>
        </w:rPr>
        <w:t xml:space="preserve"> genes</w:t>
      </w:r>
      <w:r w:rsidR="00CA06ED">
        <w:rPr>
          <w:rFonts w:ascii="Times New Roman" w:hAnsi="Times New Roman" w:cs="Times New Roman"/>
        </w:rPr>
        <w:t xml:space="preserve"> have been demonstrated in astrocytes in different brain regions, suggesting variation in neuronal interaction and abilit</w:t>
      </w:r>
      <w:r w:rsidR="00622011">
        <w:rPr>
          <w:rFonts w:ascii="Times New Roman" w:hAnsi="Times New Roman" w:cs="Times New Roman"/>
        </w:rPr>
        <w:t>y to regulate neurotransmission.</w:t>
      </w:r>
    </w:p>
    <w:p w14:paraId="0CDB2F7D" w14:textId="77777777" w:rsidR="00567751" w:rsidRDefault="00567751" w:rsidP="003B0DF2">
      <w:pPr>
        <w:spacing w:line="360" w:lineRule="auto"/>
        <w:rPr>
          <w:rFonts w:ascii="Times New Roman" w:hAnsi="Times New Roman" w:cs="Times New Roman"/>
        </w:rPr>
      </w:pPr>
      <w:r>
        <w:rPr>
          <w:rFonts w:ascii="Times New Roman" w:hAnsi="Times New Roman" w:cs="Times New Roman"/>
        </w:rPr>
        <w:t xml:space="preserve"> </w:t>
      </w:r>
    </w:p>
    <w:p w14:paraId="0A7449F1" w14:textId="153D536C" w:rsidR="000D4FC1" w:rsidRDefault="00A3448E" w:rsidP="00B07212">
      <w:pPr>
        <w:spacing w:line="360" w:lineRule="auto"/>
        <w:jc w:val="both"/>
        <w:rPr>
          <w:rFonts w:ascii="Times New Roman" w:hAnsi="Times New Roman" w:cs="Times New Roman"/>
        </w:rPr>
      </w:pPr>
      <w:r>
        <w:rPr>
          <w:rFonts w:ascii="Times New Roman" w:hAnsi="Times New Roman" w:cs="Times New Roman"/>
        </w:rPr>
        <w:t>Astrocyte heterogeneity identified at a genetic level has also been validated f</w:t>
      </w:r>
      <w:r w:rsidR="009F59D2">
        <w:rPr>
          <w:rFonts w:ascii="Times New Roman" w:hAnsi="Times New Roman" w:cs="Times New Roman"/>
        </w:rPr>
        <w:t>unctional</w:t>
      </w:r>
      <w:r>
        <w:rPr>
          <w:rFonts w:ascii="Times New Roman" w:hAnsi="Times New Roman" w:cs="Times New Roman"/>
        </w:rPr>
        <w:t xml:space="preserve">ly. </w:t>
      </w:r>
      <w:r w:rsidR="009F59D2">
        <w:rPr>
          <w:rFonts w:ascii="Times New Roman" w:hAnsi="Times New Roman" w:cs="Times New Roman"/>
        </w:rPr>
        <w:t>Astrocytes differ in their ability</w:t>
      </w:r>
      <w:r w:rsidR="00A84A48">
        <w:rPr>
          <w:rFonts w:ascii="Times New Roman" w:hAnsi="Times New Roman" w:cs="Times New Roman"/>
        </w:rPr>
        <w:t xml:space="preserve"> to take up</w:t>
      </w:r>
      <w:r w:rsidR="0079176C">
        <w:rPr>
          <w:rFonts w:ascii="Times New Roman" w:hAnsi="Times New Roman" w:cs="Times New Roman"/>
        </w:rPr>
        <w:t xml:space="preserve"> </w:t>
      </w:r>
      <w:r w:rsidR="00A84A48">
        <w:rPr>
          <w:rFonts w:ascii="Times New Roman" w:hAnsi="Times New Roman" w:cs="Times New Roman"/>
        </w:rPr>
        <w:t xml:space="preserve">glutamate from synapses </w:t>
      </w:r>
      <w:r w:rsidR="00A84A48">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"0014-4819", "PMID" : "6126390", "abstract" : "The uptake of L-glutamate was studied in astrocytes cultured from different brain areas of newborn rats as well as in two different cultures of neurons obtained from mouse brain. Both astrocytes and neurons exhibited high-affinity glutamate uptake with Km values ranging from 34 microM to 82 microM. Vmax values for astrocytes cultured from the different brain regions were: prefrontal cortex: 13.9; occipital cortex: 11.4; neostriatum: 27.3 and cerebellum: 5.8 nmol X min-1 X mg-1 cell protein. For cerebellar granule cells and cerebral cortical neurons the Vmax values were found to be 10.2 and 5.9 nmol X min-1 X mg-1 cell protein, respectively. The effect on L-glutamate uptake in astrocytes cultured from prefrontal cortex and in cultured cerebellar granule cells of a series of compounds structurally related to glutamate was studied, and detailed kinetic analyses of the inhibitory patterns of three potent inhibitors were performed. L-aspartate and L-aspartate-beta-hydroxamate were found to be competitive inhibitors of L-glutamate uptake in both cell types with Ki values for astrocytes of 60 microM and 91 microM, respectively, and for granule cells of 48 microM and 72 microM, respectively. D-aspartate was found to be a mixed-type noncompetitive inhibitor of L-glutamate uptake in astrocytes (Ki: 106 microM), but in granule cells this compound showed simple competitive inhibition with a Ki of 49 microM. Sodium dependency of L-glutamate uptake in both cell types was studied at a series of L-glutamate and Na+ concentrations. It was found that the uptake of glutamate in astrocytes is coupled with one Na+ ion in contrast to two Na+ ions in granule cells. The Km value for sodium was found to be 15 mM in both cell types. It was shown that release of exogenously supplied [3H]-L-glutamate from cerebellar granule cells could be stimulated in a Ca2+-dependent manner by high concentrations (55 mM) of K+. In contrast to this no K+-induced release of glutamate could be demonstrated in cultured astrocytes.", "author" : [ { "dropping-particle" : "", "family" : "Drejer", "given" : "J", "non-dropping-particle" : "", "parse-names" : false, "suffix" : "" }, { "dropping-particle" : "", "family" : "Larsson", "given" : "O M", "non-dropping-particle" : "", "parse-names" : false, "suffix" : "" }, { "dropping-particle" : "", "family" : "Schousboe", "given" : "A", "non-dropping-particle" : "", "parse-names" : false, "suffix" : "" } ], "container-title" : "Experimental brain research", "id" : "ITEM-1", "issue" : "2", "issued" : { "date-parts" : [ [ "1982", "1" ] ] }, "page" : "259-69", "title" : "Characterization of L-glutamate uptake into and release from astrocytes and neurons cultured from different brain regions.", "type" : "article-journal", "volume" : "47" }, "uris" : [ "http://www.mendeley.com/documents/?uuid=516aa2d9-9be7-44fd-af43-42f21040d087" ] } ], "mendeley" : { "formattedCitation" : "(Drejer et al. 1982)", "plainTextFormattedCitation" : "(Drejer et al. 1982)", "previouslyFormattedCitation" : "(Drejer et al. 1982)" }, "properties" : { "noteIndex" : 0 }, "schema" : "https://github.com/citation-style-language/schema/raw/master/csl-citation.json" }</w:instrText>
      </w:r>
      <w:r w:rsidR="00A84A48">
        <w:rPr>
          <w:rFonts w:ascii="Times New Roman" w:hAnsi="Times New Roman" w:cs="Times New Roman"/>
        </w:rPr>
        <w:fldChar w:fldCharType="separate"/>
      </w:r>
      <w:r w:rsidR="00C148FC" w:rsidRPr="00C148FC">
        <w:rPr>
          <w:rFonts w:ascii="Times New Roman" w:hAnsi="Times New Roman" w:cs="Times New Roman"/>
          <w:noProof/>
        </w:rPr>
        <w:t>(Drejer et al. 1982)</w:t>
      </w:r>
      <w:r w:rsidR="00A84A48">
        <w:rPr>
          <w:rFonts w:ascii="Times New Roman" w:hAnsi="Times New Roman" w:cs="Times New Roman"/>
        </w:rPr>
        <w:fldChar w:fldCharType="end"/>
      </w:r>
      <w:r w:rsidR="00A84A48">
        <w:rPr>
          <w:rFonts w:ascii="Times New Roman" w:hAnsi="Times New Roman" w:cs="Times New Roman"/>
        </w:rPr>
        <w:t xml:space="preserve"> and </w:t>
      </w:r>
      <w:r w:rsidR="00A84A48">
        <w:rPr>
          <w:rFonts w:ascii="Times New Roman" w:hAnsi="Times New Roman" w:cs="Times New Roman"/>
          <w:i/>
        </w:rPr>
        <w:t>in vitro</w:t>
      </w:r>
      <w:r w:rsidR="00A84A48">
        <w:rPr>
          <w:rFonts w:ascii="Times New Roman" w:hAnsi="Times New Roman" w:cs="Times New Roman"/>
        </w:rPr>
        <w:t xml:space="preserve"> experiments have shown that astrocytes from different areas of the brain are able to support neurite outgrowth and branching to varying </w:t>
      </w:r>
      <w:r w:rsidR="000D4FC1">
        <w:rPr>
          <w:rFonts w:ascii="Times New Roman" w:hAnsi="Times New Roman" w:cs="Times New Roman"/>
        </w:rPr>
        <w:t>degrees</w:t>
      </w:r>
      <w:r w:rsidR="00A84A48">
        <w:rPr>
          <w:rFonts w:ascii="Times New Roman" w:hAnsi="Times New Roman" w:cs="Times New Roman"/>
        </w:rPr>
        <w:t xml:space="preserve"> </w:t>
      </w:r>
      <w:r w:rsidR="00A84A48">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"10.1038/307641a0", "ISSN" : "0028-0836", "author" : [ { "dropping-particle" : "", "family" : "Denis-Donini", "given" : "S.", "non-dropping-particle" : "", "parse-names" : false, "suffix" : "" }, { "dropping-particle" : "", "family" : "Glowinski", "given" : "J.", "non-dropping-particle" : "", "parse-names" : false, "suffix" : "" }, { "dropping-particle" : "", "family" : "Prochiantz", "given" : "A.", "non-dropping-particle" : "", "parse-names" : false, "suffix" : "" } ], "container-title" : "Nature", "id" : "ITEM-1", "issue" : "5952", "issued" : { "date-parts" : [ [ "1984", "2", "16" ] ] }, "page" : "641-643", "title" : "Glial heterogeneity may define the three-dimensional shape of mouse mesencephalic dopaminergic neurones", "title-short" : "Nature", "type" : "article-journal", "volume" : "307" }, "uris" : [ "http://www.mendeley.com/documents/?uuid=251ea5de-4702-4928-b08e-e0b80a808644" ] }, { "id" : "ITEM-2", "itemData" : { "DOI" : "10.1002/jnr.490400406", "ISSN" : "0360-4012", "PMID" : "7616607", "abstract" : "Regional astrocyte cultures were obtained by dissecting and dissociating medial and lateral sectors of the midbrain from 14-day Swiss mouse embryos. Once confluent, these cultures were tested by glial fibrillary acidic protein (GFAP) immunocytochemistry to confirm their astrocyte composition and for 2'-3' cyclic nucleotide 3'-phosphohydrolase (CNPase) and microtubule-associated protein 2 (MAP2) immunocytochemistry to rule out oligodendroglial and neuronal components, respectively. In confluent astrocyte cultures from either sector, virtually all cells were GFAP-positive elements, most of which were flat cells accompanied by smaller numbers of flat cells with processes. Confluent astrocyte cultures, derived from medial (M) or lateral (L) sectors, were used as substrata for culturing dissociated cells from medial (m) or lateral (l) sectors of 14-day embryonic midbrains. Fixed cocultures (Ll, Lm, Mm, Ml) were stained with an anti-MAP2 antibody to verify neuronal aggregation and neuritic morphology. In spite of the morphological constancy of glial substrata at plating, MAP2-positive cells in cocultures showed differences in the aggregation of somata and in the length, caliber, and branching of neurites. These differences, which depend mostly on the sector of origin of astrocytes, suggest that the substrata may differ in adhesiveness and/or growth-promoting vs. growth-interfering properties. Together with evidence for sectorial heterogeneity in brainstem radial glia, the present results raise the possibility that cultured astrocytes have properties that reflect the roles played by their parent radial glia in the developing brain.", "author" : [ { "dropping-particle" : "", "family" : "Garcia-Abreu", "given" : "J", "non-dropping-particle" : "", "parse-names" : false, "suffix" : "" }, { "dropping-particle" : "", "family" : "Moura Neto", "given" : "V", "non-dropping-particle" : "", "parse-names" : false, "suffix" : "" }, { "dropping-particle" : "", "family" : "Carvalho", "given" : "S L", "non-dropping-particle" : "", "parse-names" : false, "suffix" : "" }, { "dropping-particle" : "", "family" : "Cavalcante", "given" : "L A", "non-dropping-particle" : "", "parse-names" : false, "suffix" : "" } ], "container-title" : "Journal of neuroscience research", "id" : "ITEM-2", "issue" : "4", "issued" : { "date-parts" : [ [ "1995", "3", "1" ] ] }, "page" : "471-7", "title" : "Regionally specific properties of midbrain glia: I. Interactions with midbrain neurons.", "type" : "article-journal", "volume" : "40" }, "uris" : [ "http://www.mendeley.com/documents/?uuid=b3761b07-37be-49ba-8ceb-a4d7ea8ff045" ] } ], "mendeley" : { "formattedCitation" : "(Denis-Donini et al. 1984; Garcia-Abreu et al. 1995)", "plainTextFormattedCitation" : "(Denis-Donini et al. 1984; Garcia-Abreu et al. 1995)", "previouslyFormattedCitation" : "(Denis-Donini et al. 1984; Garcia-Abreu et al. 1995)" }, "properties" : { "noteIndex" : 0 }, "schema" : "https://github.com/citation-style-language/schema/raw/master/csl-citation.json" }</w:instrText>
      </w:r>
      <w:r w:rsidR="00A84A48">
        <w:rPr>
          <w:rFonts w:ascii="Times New Roman" w:hAnsi="Times New Roman" w:cs="Times New Roman"/>
        </w:rPr>
        <w:fldChar w:fldCharType="separate"/>
      </w:r>
      <w:r w:rsidR="00C148FC" w:rsidRPr="00C148FC">
        <w:rPr>
          <w:rFonts w:ascii="Times New Roman" w:hAnsi="Times New Roman" w:cs="Times New Roman"/>
          <w:noProof/>
        </w:rPr>
        <w:t>(Denis-Donini et al. 1984; Garcia-Abreu et al. 1995)</w:t>
      </w:r>
      <w:r w:rsidR="00A84A48">
        <w:rPr>
          <w:rFonts w:ascii="Times New Roman" w:hAnsi="Times New Roman" w:cs="Times New Roman"/>
        </w:rPr>
        <w:fldChar w:fldCharType="end"/>
      </w:r>
      <w:r w:rsidR="00A84A48">
        <w:rPr>
          <w:rFonts w:ascii="Times New Roman" w:hAnsi="Times New Roman" w:cs="Times New Roman"/>
        </w:rPr>
        <w:t>.</w:t>
      </w:r>
      <w:r w:rsidR="006C6BAD">
        <w:rPr>
          <w:rFonts w:ascii="Times New Roman" w:hAnsi="Times New Roman" w:cs="Times New Roman"/>
        </w:rPr>
        <w:t xml:space="preserve"> </w:t>
      </w:r>
      <w:r w:rsidR="000D4FC1">
        <w:rPr>
          <w:rFonts w:ascii="Times New Roman" w:hAnsi="Times New Roman" w:cs="Times New Roman"/>
        </w:rPr>
        <w:t xml:space="preserve">Astrocytes </w:t>
      </w:r>
      <w:r w:rsidR="00885B17">
        <w:rPr>
          <w:rFonts w:ascii="Times New Roman" w:hAnsi="Times New Roman" w:cs="Times New Roman"/>
        </w:rPr>
        <w:t>communicate to one another by calcium wave propagation, which can occur spontaneously or in reponse to an electrical stimulus depending on the region of the br</w:t>
      </w:r>
      <w:r w:rsidR="006C6BAD">
        <w:rPr>
          <w:rFonts w:ascii="Times New Roman" w:hAnsi="Times New Roman" w:cs="Times New Roman"/>
        </w:rPr>
        <w:t>ain i</w:t>
      </w:r>
      <w:r w:rsidR="000E51AA">
        <w:rPr>
          <w:rFonts w:ascii="Times New Roman" w:hAnsi="Times New Roman" w:cs="Times New Roman"/>
        </w:rPr>
        <w:t>n which these cells are located</w:t>
      </w:r>
      <w:r w:rsidR="00C24375">
        <w:rPr>
          <w:rFonts w:ascii="Times New Roman" w:hAnsi="Times New Roman" w:cs="Times New Roman"/>
        </w:rPr>
        <w:t xml:space="preserve"> </w:t>
      </w:r>
      <w:r w:rsidR="00155E6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"10.1016/j.brainresrev.2009.12.001", "ISSN" : "01650173", "abstract" : "Astrocytes as a cell population are not well defined and comprise a heterogeneous population of cells. There are at least 9 different morphological variants which can coexist within one given brain region. Human astrocytes have a considerably more complex morphology as their rodent counterparts. There are also a number of functional differences depending on brain region and developmental stage in the normal (not pathologic) brain. Astrocytes can differ in functional gap junctional coupling, expression of transmitter receptors, membrane currents, and glutamate transporters. We feel that astrocyte heterogeneity has not yet been thoroughly explored and what we report here will just be a beginning of a new field of research.", "author" : [ { "dropping-particle" : "", "family" : "Matyash", "given" : "Vitali", "non-dropping-particle" : "", "parse-names" : false, "suffix" : "" }, { "dropping-particle" : "", "family" : "Kettenmann", "given" : "Helmut", "non-dropping-particle" : "", "parse-names" : false, "suffix" : "" } ], "container-title" : "Brain Research Reviews", "id" : "ITEM-1", "issue" : "1", "issued" : { "date-parts" : [ [ "2010" ] ] }, "page" : "2-10", "title" : "Heterogeneity in astrocyte morphology and physiology", "type" : "article-journal", "volume" : "63" }, "uris" : [ "http://www.mendeley.com/documents/?uuid=62eb46be-66ff-3113-b97c-38ede81f2eba" ] } ], "mendeley" : { "formattedCitation" : "(Matyash &amp; Kettenmann 2010)", "plainTextFormattedCitation" : "(Matyash &amp; Kettenmann 2010)", "previouslyFormattedCitation" : "(Matyash &amp; Kettenmann 2010)" }, "properties" : { "noteIndex" : 0 }, "schema" : "https://github.com/citation-style-language/schema/raw/master/csl-citation.json" }</w:instrText>
      </w:r>
      <w:r w:rsidR="00155E69">
        <w:rPr>
          <w:rFonts w:ascii="Times New Roman" w:hAnsi="Times New Roman" w:cs="Times New Roman"/>
        </w:rPr>
        <w:fldChar w:fldCharType="separate"/>
      </w:r>
      <w:r w:rsidR="00C148FC" w:rsidRPr="00C148FC">
        <w:rPr>
          <w:rFonts w:ascii="Times New Roman" w:hAnsi="Times New Roman" w:cs="Times New Roman"/>
          <w:noProof/>
        </w:rPr>
        <w:t>(Matyash &amp; Kettenmann 2010)</w:t>
      </w:r>
      <w:r w:rsidR="00155E69">
        <w:rPr>
          <w:rFonts w:ascii="Times New Roman" w:hAnsi="Times New Roman" w:cs="Times New Roman"/>
        </w:rPr>
        <w:fldChar w:fldCharType="end"/>
      </w:r>
      <w:r w:rsidR="000E51AA">
        <w:rPr>
          <w:rFonts w:ascii="Times New Roman" w:hAnsi="Times New Roman" w:cs="Times New Roman"/>
        </w:rPr>
        <w:t xml:space="preserve">. </w:t>
      </w:r>
      <w:r w:rsidR="000C3876">
        <w:rPr>
          <w:rFonts w:ascii="Times New Roman" w:hAnsi="Times New Roman" w:cs="Times New Roman"/>
        </w:rPr>
        <w:t xml:space="preserve">Differences in rates of calcium wave propagation and different gene expression profiles in response to brain injury have also been observed in rodent astrocytes </w:t>
      </w:r>
      <w:r w:rsidR="000C3876">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"10.1097/00005072-199612000-00005", "ISSN" : "0022-3069", "PMID" : "8957445", "abstract" : "The regional distribution and temporal appearance of astrocytes expressing glial fibrillary acidic protein (GFAP), S100 protein, and vimentin were determined in a nonpenetrating lateral fluid percussion (LFP) brain injury model. Following injury, reactive astrocytes were observed in the subcortical white matter tracts as early as 1 day, in the hippocampus and injured cortex by 3 days, and in the thalamus by 1 week. Reactive astrocytes in the injured cortex, subcortical white matter tracts, and CA3 region of the hippocampus were all vimentin positive at 1 month post-injury. These astrocytes had a distinct morphology characterized by an enlarged cell body and long intertwined processes. In contrast, reactive astrocytes in the thalamic nuclei never expressed vimentin, and displayed an enlarged cell body with thick shortened processes. An increase in S100 protein was detected in all reactive astrocytes following LFP brain injury. Quantitative assessment of GFAP, S100, and vimentin polypeptides confirmed the immunohistochemical evaluation. Our data indicate that although astrogliosis mirrors the spatial pattern of post-traumatic neuronal cell loss, the expression of vimentin and the cellular morphology of the cells were regionally distinct, suggesting that astrogliosis may be modulated by factors present in the post-traumatic brain.", "author" : [ { "dropping-particle" : "", "family" : "Hill", "given" : "Sandra J.", "non-dropping-particle" : "", "parse-names" : false, "suffix" : "" }, { "dropping-particle" : "", "family" : "Barbarese", "given" : "Elisa", "non-dropping-particle" : "", "parse-names" : false, "suffix" : "" }, { "dropping-particle" : "", "family" : "McIntosh", "given" : "Tracy K.", "non-dropping-particle" : "", "parse-names" : false, "suffix" : "" } ], "container-title" : "Journal of Neuropathology and Experimental Neurology", "id" : "ITEM-1", "issue" : "12", "issued" : { "date-parts" : [ [ "1996", "12", "1" ] ] }, "language" : "en", "page" : "1221-1229", "publisher" : "The Oxford University Press", "title" : "Regional Heterogeneity in the Response of Astrocytes following Traumatic Brain Injury in the Adult Rat", "type" : "article-journal", "volume" : "55" }, "uris" : [ "http://www.mendeley.com/documents/?uuid=47837dab-edfd-4a3e-b79e-4b47d0ab4dba" ] } ], "mendeley" : { "formattedCitation" : "(Hill et al. 1996)", "plainTextFormattedCitation" : "(Hill et al. 1996)", "previouslyFormattedCitation" : "(Hill et al. 1996)" }, "properties" : { "noteIndex" : 0 }, "schema" : "https://github.com/citation-style-language/schema/raw/master/csl-citation.json" }</w:instrText>
      </w:r>
      <w:r w:rsidR="000C3876">
        <w:rPr>
          <w:rFonts w:ascii="Times New Roman" w:hAnsi="Times New Roman" w:cs="Times New Roman"/>
        </w:rPr>
        <w:fldChar w:fldCharType="separate"/>
      </w:r>
      <w:r w:rsidR="00C148FC" w:rsidRPr="00C148FC">
        <w:rPr>
          <w:rFonts w:ascii="Times New Roman" w:hAnsi="Times New Roman" w:cs="Times New Roman"/>
          <w:noProof/>
        </w:rPr>
        <w:t>(Hill et al. 1996)</w:t>
      </w:r>
      <w:r w:rsidR="000C3876">
        <w:rPr>
          <w:rFonts w:ascii="Times New Roman" w:hAnsi="Times New Roman" w:cs="Times New Roman"/>
        </w:rPr>
        <w:fldChar w:fldCharType="end"/>
      </w:r>
      <w:r w:rsidR="000C3876">
        <w:rPr>
          <w:rFonts w:ascii="Times New Roman" w:hAnsi="Times New Roman" w:cs="Times New Roman"/>
        </w:rPr>
        <w:t>. Morphological and pr</w:t>
      </w:r>
      <w:r w:rsidR="005D4582">
        <w:rPr>
          <w:rFonts w:ascii="Times New Roman" w:hAnsi="Times New Roman" w:cs="Times New Roman"/>
        </w:rPr>
        <w:t>oliferati</w:t>
      </w:r>
      <w:r w:rsidR="00595449">
        <w:rPr>
          <w:rFonts w:ascii="Times New Roman" w:hAnsi="Times New Roman" w:cs="Times New Roman"/>
        </w:rPr>
        <w:t>on</w:t>
      </w:r>
      <w:r w:rsidR="005D4582">
        <w:rPr>
          <w:rFonts w:ascii="Times New Roman" w:hAnsi="Times New Roman" w:cs="Times New Roman"/>
        </w:rPr>
        <w:t xml:space="preserve"> rates also differ in human astrocytes isolated from the cerebral cortex and hypothalamus following stimulation </w:t>
      </w:r>
      <w:r w:rsidR="005D4582">
        <w:rPr>
          <w:rFonts w:ascii="Times New Roman" w:hAnsi="Times New Roman" w:cs="Times New Roman"/>
          <w:i/>
        </w:rPr>
        <w:t>in vitro</w:t>
      </w:r>
      <w:r w:rsidR="000C3876">
        <w:rPr>
          <w:rFonts w:ascii="Times New Roman" w:hAnsi="Times New Roman" w:cs="Times New Roman"/>
        </w:rPr>
        <w:t xml:space="preserve"> </w:t>
      </w:r>
      <w:r w:rsidR="004C4E18" w:rsidRPr="006303C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"10.1097/00005072-199612000-00005", "ISSN" : "0022-3069", "PMID" : "8957445", "abstract" : "The regional distribution and temporal appearance of astrocytes expressing glial fibrillary acidic protein (GFAP), S100 protein, and vimentin were determined in a nonpenetrating lateral fluid percussion (LFP) brain injury model. Following injury, reactive astrocytes were observed in the subcortical white matter tracts as early as 1 day, in the hippocampus and injured cortex by 3 days, and in the thalamus by 1 week. Reactive astrocytes in the injured cortex, subcortical white matter tracts, and CA3 region of the hippocampus were all vimentin positive at 1 month post-injury. These astrocytes had a distinct morphology characterized by an enlarged cell body and long intertwined processes. In contrast, reactive astrocytes in the thalamic nuclei never expressed vimentin, and displayed an enlarged cell body with thick shortened processes. An increase in S100 protein was detected in all reactive astrocytes following LFP brain injury. Quantitative assessment of GFAP, S100, and vimentin polypeptides confirmed the immunohistochemical evaluation. Our data indicate that although astrogliosis mirrors the spatial pattern of post-traumatic neuronal cell loss, the expression of vimentin and the cellular morphology of the cells were regionally distinct, suggesting that astrogliosis may be modulated by factors present in the post-traumatic brain.", "author" : [ { "dropping-particle" : "", "family" : "Hill", "given" : "Sandra J.", "non-dropping-particle" : "", "parse-names" : false, "suffix" : "" }, { "dropping-particle" : "", "family" : "Barbarese", "given" : "Elisa", "non-dropping-particle" : "", "parse-names" : false, "suffix" : "" }, { "dropping-particle" : "", "family" : "McIntosh", "given" : "Tracy K.", "non-dropping-particle" : "", "parse-names" : false, "suffix" : "" } ], "container-title" : "Journal of Neuropathology and Experimental Neurology", "id" : "ITEM-1", "issue" : "12", "issued" : { "date-parts" : [ [ "1996", "12", "1" ] ] }, "language" : "en", "page" : "1221-1229", "publisher" : "The Oxford University Press", "title" : "Regional Heterogeneity in the Response of Astrocytes following Traumatic Brain Injury in the Adult Rat", "type" : "article-journal", "volume" : "55" }, "uris" : [ "http://www.mendeley.com/documents/?uuid=47837dab-edfd-4a3e-b79e-4b47d0ab4dba" ] }, { "id" : "ITEM-2", "itemData" : { "DOI" : "10.1007/978-1-61779-452-0_11", "ISSN" : "1940-6029", "PMID" : "22144306", "abstract" : "Although rodent models have been essential to unveil the emerging functions of astrocytes, the existence of interspecies differences calls for caution in extrapolating data from rodent to human astrocytes. We have developed highly enriched primary astrocyte cultures from human fetuses and adult cerebro-cortical biopsies from neurosurgery patients. Immunocytochemical characterization shows that cultures are composed of more than 95% of cells expressing in vitro astrocytic markers. Examination of the morphological and proliferative properties of cultures derived from the cerebral cortex and the hypothalamus both in untreated conditions and after treatment with EGF-related ligands illustrates the high plasticity of human astrocytes and their functional heterogeneity according to the cerebral region of origin. Our preparation offers the opportunity to characterize human astrocyte functions in vitro and also provides a valuable tool for studying the functional heterogeneity of human astrocytes isolated from distinct brain regions.", "author" : [ { "dropping-particle" : "", "family" : "Sharif", "given" : "Ariane", "non-dropping-particle" : "", "parse-names" : false, "suffix" : "" }, { "dropping-particle" : "", "family" : "Prevot", "given" : "Vincent", "non-dropping-particle" : "", "parse-names" : false, "suffix" : "" } ], "container-title" : "Methods in molecular biology (Clifton, N.J.)", "id" : "ITEM-2", "issued" : { "date-parts" : [ [ "2012" ] ] }, "page" : "137-51", "title" : "Isolation and culture of human astrocytes.", "type" : "article-journal", "volume" : "814" }, "uris" : [ "http://www.mendeley.com/documents/?uuid=af200ee8-cdf2-32ed-b7cc-b31303fff756" ] } ], "mendeley" : { "formattedCitation" : "(Hill et al. 1996; Sharif &amp; Prevot 2012)", "manualFormatting" : "(Sharif &amp; Prevot, 2012)", "plainTextFormattedCitation" : "(Hill et al. 1996; Sharif &amp; Prevot 2012)", "previouslyFormattedCitation" : "(Hill et al. 1996; Sharif &amp; Prevot 2012)" }, "properties" : { "noteIndex" : 0 }, "schema" : "https://github.com/citation-style-language/schema/raw/master/csl-citation.json" }</w:instrText>
      </w:r>
      <w:r w:rsidR="004C4E18" w:rsidRPr="006303C0">
        <w:rPr>
          <w:rFonts w:ascii="Times New Roman" w:hAnsi="Times New Roman" w:cs="Times New Roman"/>
        </w:rPr>
        <w:fldChar w:fldCharType="separate"/>
      </w:r>
      <w:r w:rsidR="005D4582" w:rsidRPr="006303C0">
        <w:rPr>
          <w:rFonts w:ascii="Times New Roman" w:hAnsi="Times New Roman" w:cs="Times New Roman"/>
          <w:noProof/>
        </w:rPr>
        <w:t>(</w:t>
      </w:r>
      <w:r w:rsidR="000C3876" w:rsidRPr="006303C0">
        <w:rPr>
          <w:rFonts w:ascii="Times New Roman" w:hAnsi="Times New Roman" w:cs="Times New Roman"/>
          <w:noProof/>
        </w:rPr>
        <w:t>Sharif &amp; Prevot, 2012)</w:t>
      </w:r>
      <w:r w:rsidR="004C4E18" w:rsidRPr="006303C0">
        <w:rPr>
          <w:rFonts w:ascii="Times New Roman" w:hAnsi="Times New Roman" w:cs="Times New Roman"/>
        </w:rPr>
        <w:fldChar w:fldCharType="end"/>
      </w:r>
      <w:r w:rsidR="000772B2">
        <w:rPr>
          <w:rFonts w:ascii="Times New Roman" w:hAnsi="Times New Roman" w:cs="Times New Roman"/>
        </w:rPr>
        <w:t>.</w:t>
      </w:r>
      <w:r w:rsidR="00230328">
        <w:rPr>
          <w:rFonts w:ascii="Times New Roman" w:hAnsi="Times New Roman" w:cs="Times New Roman"/>
        </w:rPr>
        <w:t xml:space="preserve"> In addition,</w:t>
      </w:r>
      <w:r w:rsidR="000772B2">
        <w:rPr>
          <w:rFonts w:ascii="Times New Roman" w:hAnsi="Times New Roman" w:cs="Times New Roman"/>
        </w:rPr>
        <w:t xml:space="preserve"> </w:t>
      </w:r>
      <w:r w:rsidR="00230328">
        <w:rPr>
          <w:rFonts w:ascii="Times New Roman" w:hAnsi="Times New Roman" w:cs="Times New Roman"/>
        </w:rPr>
        <w:t>d</w:t>
      </w:r>
      <w:r w:rsidR="000D4FC1">
        <w:rPr>
          <w:rFonts w:ascii="Times New Roman" w:hAnsi="Times New Roman" w:cs="Times New Roman"/>
        </w:rPr>
        <w:t>ifferences</w:t>
      </w:r>
      <w:r w:rsidR="000772B2">
        <w:rPr>
          <w:rFonts w:ascii="Times New Roman" w:hAnsi="Times New Roman" w:cs="Times New Roman"/>
        </w:rPr>
        <w:t xml:space="preserve"> in</w:t>
      </w:r>
      <w:r w:rsidR="00C24375">
        <w:rPr>
          <w:rFonts w:ascii="Times New Roman" w:hAnsi="Times New Roman" w:cs="Times New Roman"/>
        </w:rPr>
        <w:t xml:space="preserve"> neuroprotective capacities</w:t>
      </w:r>
      <w:r w:rsidR="000772B2">
        <w:rPr>
          <w:rFonts w:ascii="Times New Roman" w:hAnsi="Times New Roman" w:cs="Times New Roman"/>
        </w:rPr>
        <w:t xml:space="preserve"> have been identified</w:t>
      </w:r>
      <w:r w:rsidR="00C24375">
        <w:rPr>
          <w:rFonts w:ascii="Times New Roman" w:hAnsi="Times New Roman" w:cs="Times New Roman"/>
        </w:rPr>
        <w:t xml:space="preserve"> following alterations in cell signalling </w:t>
      </w:r>
      <w:r w:rsidR="00B45BDD">
        <w:rPr>
          <w:rFonts w:ascii="Times New Roman" w:hAnsi="Times New Roman" w:cs="Times New Roman"/>
        </w:rPr>
        <w:t>pathways</w:t>
      </w:r>
      <w:r w:rsidR="002F031C">
        <w:rPr>
          <w:rFonts w:ascii="Times New Roman" w:hAnsi="Times New Roman" w:cs="Times New Roman"/>
        </w:rPr>
        <w:t xml:space="preserve"> in mouse astrocytes</w:t>
      </w:r>
      <w:r w:rsidR="00B45BDD">
        <w:rPr>
          <w:rFonts w:ascii="Times New Roman" w:hAnsi="Times New Roman" w:cs="Times New Roman"/>
        </w:rPr>
        <w:t xml:space="preserve"> </w:t>
      </w:r>
      <w:r w:rsidR="00C24375">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"10.1038/sj.emboj.7600988", "ISSN" : "0261-4189", "PMID" : "16467848", "abstract" : "Mice lacking epidermal growth factor receptor (EGFR) develop a neurodegeneration of unknown etiology affecting exclusively the frontal cortex and olfactory bulbs. Here, we show that EGFR signaling controls cortical degeneration by regulating cortical astrocyte apoptosis. Whereas EGFR(-/-) midbrain astrocytes are unaffected, mutant cortical astrocytes display increased apoptosis mediated by an Akt-caspase-dependent mechanism and are unable to support neuronal survival. The expression of many neurotrophic factors is unaltered in EGFR(-/-) cortical astrocytes suggesting that neuronal loss occurs as a consequence of increased astrocyte apoptosis rather than impaired secretion of trophic factors. Neuron-specific expression of activated Ras can compensate for the deficiency of EGFR(-/-) cortical astrocytes and prevent neuronal death. These results identify two functionally distinct astrocyte populations, which differentially depend on EGFR signaling for their survival and also for their ability to support neuronal survival. These spatial differences in astrocyte composition provide a mechanism for the region-specific neurodegeneration in EGFR(-/-) mice.", "author" : [ { "dropping-particle" : "", "family" : "Wagner", "given" : "Bettina", "non-dropping-particle" : "", "parse-names" : false, "suffix" : "" }, { "dropping-particle" : "", "family" : "Natarajan", "given" : "Anuradha", "non-dropping-particle" : "", "parse-names" : false, "suffix" : "" }, { "dropping-particle" : "", "family" : "Gr\u00fcnaug", "given" : "Sabine", "non-dropping-particle" : "", "parse-names" : false, "suffix" : "" }, { "dropping-particle" : "", "family" : "Kroismayr", "given" : "Renate", "non-dropping-particle" : "", "parse-names" : false, "suffix" : "" }, { "dropping-particle" : "", "family" : "Wagner", "given" : "Erwin F", "non-dropping-particle" : "", "parse-names" : false, "suffix" : "" }, { "dropping-particle" : "", "family" : "Sibilia", "given" : "Maria", "non-dropping-particle" : "", "parse-names" : false, "suffix" : "" } ], "container-title" : "The EMBO journal", "id" : "ITEM-1", "issue" : "4", "issued" : { "date-parts" : [ [ "2006", "2", "22" ] ] }, "page" : "752-62", "title" : "Neuronal survival depends on EGFR signaling in cortical but not midbrain astrocytes.", "type" : "article-journal", "volume" : "25" }, "uris" : [ "http://www.mendeley.com/documents/?uuid=da2972f4-1309-454e-87bd-7d5234503010" ] } ], "mendeley" : { "formattedCitation" : "(Wagner et al. 2006)", "plainTextFormattedCitation" : "(Wagner et al. 2006)", "previouslyFormattedCitation" : "(Wagner et al. 2006)" }, "properties" : { "noteIndex" : 0 }, "schema" : "https://github.com/citation-style-language/schema/raw/master/csl-citation.json" }</w:instrText>
      </w:r>
      <w:r w:rsidR="00C24375">
        <w:rPr>
          <w:rFonts w:ascii="Times New Roman" w:hAnsi="Times New Roman" w:cs="Times New Roman"/>
        </w:rPr>
        <w:fldChar w:fldCharType="separate"/>
      </w:r>
      <w:r w:rsidR="00C148FC" w:rsidRPr="00C148FC">
        <w:rPr>
          <w:rFonts w:ascii="Times New Roman" w:hAnsi="Times New Roman" w:cs="Times New Roman"/>
          <w:noProof/>
        </w:rPr>
        <w:t>(Wagner et al. 2006)</w:t>
      </w:r>
      <w:r w:rsidR="00C24375">
        <w:rPr>
          <w:rFonts w:ascii="Times New Roman" w:hAnsi="Times New Roman" w:cs="Times New Roman"/>
        </w:rPr>
        <w:fldChar w:fldCharType="end"/>
      </w:r>
      <w:r w:rsidR="00252B57">
        <w:rPr>
          <w:rFonts w:ascii="Times New Roman" w:hAnsi="Times New Roman" w:cs="Times New Roman"/>
        </w:rPr>
        <w:t>.</w:t>
      </w:r>
      <w:r w:rsidR="00515FA3">
        <w:rPr>
          <w:rFonts w:ascii="Times New Roman" w:hAnsi="Times New Roman" w:cs="Times New Roman"/>
          <w:color w:val="FF0000"/>
        </w:rPr>
        <w:t xml:space="preserve"> </w:t>
      </w:r>
      <w:r w:rsidR="000D4FC1">
        <w:rPr>
          <w:rFonts w:ascii="Times New Roman" w:hAnsi="Times New Roman" w:cs="Times New Roman"/>
        </w:rPr>
        <w:t xml:space="preserve">Variations in astrocytes within the same brain region have also been demonstated; for example measurements of gap junction communication </w:t>
      </w:r>
      <w:r w:rsidR="0026304E">
        <w:rPr>
          <w:rFonts w:ascii="Times New Roman" w:hAnsi="Times New Roman" w:cs="Times New Roman"/>
          <w:color w:val="000000" w:themeColor="text1"/>
        </w:rPr>
        <w:t xml:space="preserve">between astrocytes differ between cortical layers 1, 2 and 3 compared with cortical layers 4 and 5 </w:t>
      </w:r>
      <w:r w:rsidR="0026304E">
        <w:rPr>
          <w:rFonts w:ascii="Times New Roman" w:hAnsi="Times New Roman" w:cs="Times New Roman"/>
          <w:color w:val="000000" w:themeColor="text1"/>
        </w:rPr>
        <w:fldChar w:fldCharType="begin" w:fldLock="1"/>
      </w:r>
      <w:r w:rsidR="003E7BDB">
        <w:rPr>
          <w:rFonts w:ascii="Times New Roman" w:hAnsi="Times New Roman" w:cs="Times New Roman"/>
          <w:color w:val="000000" w:themeColor="text1"/>
        </w:rPr>
        <w:instrText>ADDIN CSL_CITATION { "citationItems" : [ { "id" : "ITEM-1", "itemData" : { "DOI" : "10.1017/S1740925X06000081", "ISSN" : "1740-925X", "author" : [ { "dropping-particle" : "", "family" : "HOUADES", "given" : "VANESSA", "non-dropping-particle" : "", "parse-names" : false, "suffix" : "" }, { "dropping-particle" : "", "family" : "ROUACH", "given" : "NATHALIE", "non-dropping-particle" : "", "parse-names" : false, "suffix" : "" }, { "dropping-particle" : "", "family" : "EZAN", "given" : "PASCAL", "non-dropping-particle" : "", "parse-names" : false, "suffix" : "" }, { "dropping-particle" : "", "family" : "KIRCHHOFF", "given" : "FRANK", "non-dropping-particle" : "", "parse-names" : false, "suffix" : "" }, { "dropping-particle" : "", "family" : "KOULAKOFF", "given" : "ANNETTE", "non-dropping-particle" : "", "parse-names" : false, "suffix" : "" }, { "dropping-particle" : "", "family" : "GIAUME", "given" : "CHRISTIAN", "non-dropping-particle" : "", "parse-names" : false, "suffix" : "" } ], "container-title" : "Neuron Glia Biology", "id" : "ITEM-1", "issue" : "01", "issued" : { "date-parts" : [ [ "2006", "2", "14" ] ] }, "page" : "3", "publisher" : "Cambridge University Press", "title" : "Shapes of astrocyte networks in the juvenile brain", "type" : "article-journal", "volume" : "2" }, "uris" : [ "http://www.mendeley.com/documents/?uuid=54fd765c-e0f9-3fed-a274-4bc4840de9ea" ] } ], "mendeley" : { "formattedCitation" : "(HOUADES et al. 2006)", "manualFormatting" : "(Houades et al., 2006)", "plainTextFormattedCitation" : "(HOUADES et al. 2006)", "previouslyFormattedCitation" : "(HOUADES et al. 2006)" }, "properties" : { "noteIndex" : 0 }, "schema" : "https://github.com/citation-style-language/schema/raw/master/csl-citation.json" }</w:instrText>
      </w:r>
      <w:r w:rsidR="0026304E">
        <w:rPr>
          <w:rFonts w:ascii="Times New Roman" w:hAnsi="Times New Roman" w:cs="Times New Roman"/>
          <w:color w:val="000000" w:themeColor="text1"/>
        </w:rPr>
        <w:fldChar w:fldCharType="separate"/>
      </w:r>
      <w:r w:rsidR="0026304E" w:rsidRPr="0026304E">
        <w:rPr>
          <w:rFonts w:ascii="Times New Roman" w:hAnsi="Times New Roman" w:cs="Times New Roman"/>
          <w:noProof/>
          <w:color w:val="000000" w:themeColor="text1"/>
        </w:rPr>
        <w:t>(H</w:t>
      </w:r>
      <w:r w:rsidR="00F524D9">
        <w:rPr>
          <w:rFonts w:ascii="Times New Roman" w:hAnsi="Times New Roman" w:cs="Times New Roman"/>
          <w:noProof/>
          <w:color w:val="000000" w:themeColor="text1"/>
        </w:rPr>
        <w:t>ouades</w:t>
      </w:r>
      <w:r w:rsidR="0026304E" w:rsidRPr="0026304E">
        <w:rPr>
          <w:rFonts w:ascii="Times New Roman" w:hAnsi="Times New Roman" w:cs="Times New Roman"/>
          <w:noProof/>
          <w:color w:val="000000" w:themeColor="text1"/>
        </w:rPr>
        <w:t xml:space="preserve"> et al., 2006)</w:t>
      </w:r>
      <w:r w:rsidR="0026304E">
        <w:rPr>
          <w:rFonts w:ascii="Times New Roman" w:hAnsi="Times New Roman" w:cs="Times New Roman"/>
          <w:color w:val="000000" w:themeColor="text1"/>
        </w:rPr>
        <w:fldChar w:fldCharType="end"/>
      </w:r>
      <w:r w:rsidR="00E57F6C">
        <w:rPr>
          <w:rFonts w:ascii="Times New Roman" w:hAnsi="Times New Roman" w:cs="Times New Roman"/>
          <w:color w:val="000000" w:themeColor="text1"/>
        </w:rPr>
        <w:t xml:space="preserve">, which is reflected by differences in calcium signalling in astrocytes between cortical layers </w:t>
      </w:r>
      <w:r w:rsidR="00E57F6C" w:rsidRPr="00325066">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"10.1371/journal.pone.0002525", "ISSN" : "1932-6203", "PMID" : "18575586", "abstract" : "Cumulative evidence supports bidirectional interactions between astrocytes and neurons, suggesting glial involvement of neuronal information processing in the brain. Cytosolic calcium (Ca(2+)) concentration is important for astrocytes as Ca(2+) surges co-occur with gliotransmission and neurotransmitter reception. Cerebral cortex is organized in layers which are characterized by distinct cytoarchitecture. We asked if astrocyte-dominant layer 1 (L1) of the somatosensory cortex was different from layer 2/3 (L2/3) in spontaneous astrocytic Ca(2+) activity and if it was influenced by background neural activity. Using a two-photon laser scanning microscope, we compared spontaneous Ca(2+) activity of astrocytic somata and processes in L1 and L2/3 of anesthetized mature rat somatosensory cortex. We also assessed the contribution of background neural activity to the spontaneous astrocytic Ca(2+) dynamics by investigating two distinct EEG states (\"synchronized\" vs. \"de-synchronized\" states). We found that astrocytes in L1 had nearly twice higher Ca(2+) activity than L2/3. Furthermore, Ca(2+) fluctuations of processes within an astrocyte were independent in L1 while those in L2/3 were synchronous. Pharmacological blockades of metabotropic receptors for glutamate, ATP, and acetylcholine, as well as suppression of action potentials did not have a significant effect on the spontaneous somatic Ca(2+) activity. These results suggest that spontaneous astrocytic Ca(2+) surges occurred in large part intrinsically, rather than neural activity-driven. Our findings propose a new functional segregation of layer 1 and 2/3 that is defined by autonomous astrocytic activity.", "author" : [ { "dropping-particle" : "", "family" : "Takata", "given" : "Norio", "non-dropping-particle" : "", "parse-names" : false, "suffix" : "" }, { "dropping-particle" : "", "family" : "Hirase", "given" : "Hajime", "non-dropping-particle" : "", "parse-names" : false, "suffix" : "" } ], "container-title" : "PloS one", "id" : "ITEM-1", "issue" : "6", "issued" : { "date-parts" : [ [ "2008", "1" ] ] }, "page" : "e2525", "title" : "Cortical layer 1 and layer 2/3 astrocytes exhibit distinct calcium dynamics in vivo.", "type" : "article-journal", "volume" : "3" }, "uris" : [ "http://www.mendeley.com/documents/?uuid=ca180500-970f-440c-8037-76629edaf5bf" ] } ], "mendeley" : { "formattedCitation" : "(Takata &amp; Hirase 2008)", "plainTextFormattedCitation" : "(Takata &amp; Hirase 2008)", "previouslyFormattedCitation" : "(Takata &amp; Hirase 2008)" }, "properties" : { "noteIndex" : 0 }, "schema" : "https://github.com/citation-style-language/schema/raw/master/csl-citation.json" }</w:instrText>
      </w:r>
      <w:r w:rsidR="00E57F6C" w:rsidRPr="00325066">
        <w:rPr>
          <w:rFonts w:ascii="Times New Roman" w:hAnsi="Times New Roman" w:cs="Times New Roman"/>
        </w:rPr>
        <w:fldChar w:fldCharType="separate"/>
      </w:r>
      <w:r w:rsidR="00C148FC" w:rsidRPr="00C148FC">
        <w:rPr>
          <w:rFonts w:ascii="Times New Roman" w:hAnsi="Times New Roman" w:cs="Times New Roman"/>
          <w:noProof/>
        </w:rPr>
        <w:t>(Takata &amp; Hirase 2008)</w:t>
      </w:r>
      <w:r w:rsidR="00E57F6C" w:rsidRPr="00325066">
        <w:rPr>
          <w:rFonts w:ascii="Times New Roman" w:hAnsi="Times New Roman" w:cs="Times New Roman"/>
        </w:rPr>
        <w:fldChar w:fldCharType="end"/>
      </w:r>
      <w:r w:rsidR="0026304E" w:rsidRPr="00325066">
        <w:rPr>
          <w:rFonts w:ascii="Times New Roman" w:hAnsi="Times New Roman" w:cs="Times New Roman"/>
        </w:rPr>
        <w:t>.</w:t>
      </w:r>
      <w:r w:rsidR="0086617B">
        <w:rPr>
          <w:rFonts w:ascii="Times New Roman" w:hAnsi="Times New Roman" w:cs="Times New Roman"/>
        </w:rPr>
        <w:t xml:space="preserve"> </w:t>
      </w:r>
    </w:p>
    <w:p w14:paraId="42720BA9" w14:textId="77777777" w:rsidR="000D4FC1" w:rsidRDefault="000D4FC1" w:rsidP="003B0DF2">
      <w:pPr>
        <w:spacing w:line="360" w:lineRule="auto"/>
        <w:rPr>
          <w:rFonts w:ascii="Times New Roman" w:hAnsi="Times New Roman" w:cs="Times New Roman"/>
        </w:rPr>
      </w:pPr>
    </w:p>
    <w:p w14:paraId="10A71E09" w14:textId="66E59114" w:rsidR="00D46988" w:rsidRDefault="00284C48" w:rsidP="00B07212">
      <w:pPr>
        <w:spacing w:line="360" w:lineRule="auto"/>
        <w:jc w:val="both"/>
        <w:rPr>
          <w:rFonts w:ascii="Times New Roman" w:hAnsi="Times New Roman" w:cs="Times New Roman"/>
        </w:rPr>
      </w:pPr>
      <w:r>
        <w:rPr>
          <w:rFonts w:ascii="Times New Roman" w:hAnsi="Times New Roman" w:cs="Times New Roman"/>
        </w:rPr>
        <w:t xml:space="preserve">Collectively, these studies suggest that </w:t>
      </w:r>
      <w:r w:rsidR="00380165">
        <w:rPr>
          <w:rFonts w:ascii="Times New Roman" w:hAnsi="Times New Roman" w:cs="Times New Roman"/>
        </w:rPr>
        <w:t>th</w:t>
      </w:r>
      <w:r>
        <w:rPr>
          <w:rFonts w:ascii="Times New Roman" w:hAnsi="Times New Roman" w:cs="Times New Roman"/>
        </w:rPr>
        <w:t>ere are clear</w:t>
      </w:r>
      <w:r w:rsidR="00751986">
        <w:rPr>
          <w:rFonts w:ascii="Times New Roman" w:hAnsi="Times New Roman" w:cs="Times New Roman"/>
        </w:rPr>
        <w:t xml:space="preserve"> subsets of </w:t>
      </w:r>
      <w:r>
        <w:rPr>
          <w:rFonts w:ascii="Times New Roman" w:hAnsi="Times New Roman" w:cs="Times New Roman"/>
        </w:rPr>
        <w:t>astrocytes that are able to</w:t>
      </w:r>
      <w:r w:rsidR="00751986">
        <w:rPr>
          <w:rFonts w:ascii="Times New Roman" w:hAnsi="Times New Roman" w:cs="Times New Roman"/>
        </w:rPr>
        <w:t xml:space="preserve"> perform</w:t>
      </w:r>
      <w:r>
        <w:rPr>
          <w:rFonts w:ascii="Times New Roman" w:hAnsi="Times New Roman" w:cs="Times New Roman"/>
        </w:rPr>
        <w:t xml:space="preserve"> </w:t>
      </w:r>
      <w:r w:rsidR="0086617B">
        <w:rPr>
          <w:rFonts w:ascii="Times New Roman" w:hAnsi="Times New Roman" w:cs="Times New Roman"/>
        </w:rPr>
        <w:t>different roles in the brain. These differences are likely a reflection of the diff</w:t>
      </w:r>
      <w:r w:rsidR="008F4909">
        <w:rPr>
          <w:rFonts w:ascii="Times New Roman" w:hAnsi="Times New Roman" w:cs="Times New Roman"/>
        </w:rPr>
        <w:t>erent types of neurons and glia surrounding</w:t>
      </w:r>
      <w:r w:rsidR="0086617B">
        <w:rPr>
          <w:rFonts w:ascii="Times New Roman" w:hAnsi="Times New Roman" w:cs="Times New Roman"/>
        </w:rPr>
        <w:t xml:space="preserve"> the astrocytes, as well as the different d</w:t>
      </w:r>
      <w:r w:rsidR="008F4909">
        <w:rPr>
          <w:rFonts w:ascii="Times New Roman" w:hAnsi="Times New Roman" w:cs="Times New Roman"/>
        </w:rPr>
        <w:t xml:space="preserve">emands exerted by these cells that mean </w:t>
      </w:r>
      <w:r w:rsidR="0086617B">
        <w:rPr>
          <w:rFonts w:ascii="Times New Roman" w:hAnsi="Times New Roman" w:cs="Times New Roman"/>
        </w:rPr>
        <w:t>astrocytes</w:t>
      </w:r>
      <w:r w:rsidR="008F4909">
        <w:rPr>
          <w:rFonts w:ascii="Times New Roman" w:hAnsi="Times New Roman" w:cs="Times New Roman"/>
        </w:rPr>
        <w:t xml:space="preserve"> need to tailor their </w:t>
      </w:r>
      <w:r w:rsidR="0086617B">
        <w:rPr>
          <w:rFonts w:ascii="Times New Roman" w:hAnsi="Times New Roman" w:cs="Times New Roman"/>
        </w:rPr>
        <w:t>homeostatic support</w:t>
      </w:r>
      <w:r w:rsidR="008F4909">
        <w:rPr>
          <w:rFonts w:ascii="Times New Roman" w:hAnsi="Times New Roman" w:cs="Times New Roman"/>
        </w:rPr>
        <w:t xml:space="preserve"> appropriately</w:t>
      </w:r>
      <w:r w:rsidR="0086617B">
        <w:rPr>
          <w:rFonts w:ascii="Times New Roman" w:hAnsi="Times New Roman" w:cs="Times New Roman"/>
        </w:rPr>
        <w:t xml:space="preserve">. </w:t>
      </w:r>
      <w:r w:rsidR="006D3752">
        <w:rPr>
          <w:rFonts w:ascii="Times New Roman" w:hAnsi="Times New Roman" w:cs="Times New Roman"/>
        </w:rPr>
        <w:t>As a result, the</w:t>
      </w:r>
      <w:r w:rsidR="00A36E26">
        <w:rPr>
          <w:rFonts w:ascii="Times New Roman" w:hAnsi="Times New Roman" w:cs="Times New Roman"/>
        </w:rPr>
        <w:t>s</w:t>
      </w:r>
      <w:r w:rsidR="006D3752">
        <w:rPr>
          <w:rFonts w:ascii="Times New Roman" w:hAnsi="Times New Roman" w:cs="Times New Roman"/>
        </w:rPr>
        <w:t xml:space="preserve">e </w:t>
      </w:r>
      <w:r w:rsidR="008F4909">
        <w:rPr>
          <w:rFonts w:ascii="Times New Roman" w:hAnsi="Times New Roman" w:cs="Times New Roman"/>
        </w:rPr>
        <w:t xml:space="preserve">intrinsic </w:t>
      </w:r>
      <w:r w:rsidR="006D3752">
        <w:rPr>
          <w:rFonts w:ascii="Times New Roman" w:hAnsi="Times New Roman" w:cs="Times New Roman"/>
        </w:rPr>
        <w:t>molecular differences</w:t>
      </w:r>
      <w:r w:rsidR="00A36E26">
        <w:rPr>
          <w:rFonts w:ascii="Times New Roman" w:hAnsi="Times New Roman" w:cs="Times New Roman"/>
        </w:rPr>
        <w:t xml:space="preserve"> may determine how </w:t>
      </w:r>
      <w:r w:rsidR="006D3752">
        <w:rPr>
          <w:rFonts w:ascii="Times New Roman" w:hAnsi="Times New Roman" w:cs="Times New Roman"/>
        </w:rPr>
        <w:t>specific</w:t>
      </w:r>
      <w:r w:rsidR="00A36E26">
        <w:rPr>
          <w:rFonts w:ascii="Times New Roman" w:hAnsi="Times New Roman" w:cs="Times New Roman"/>
        </w:rPr>
        <w:t xml:space="preserve"> astrocyte subpopulations</w:t>
      </w:r>
      <w:r w:rsidR="00E46017">
        <w:rPr>
          <w:rFonts w:ascii="Times New Roman" w:hAnsi="Times New Roman" w:cs="Times New Roman"/>
        </w:rPr>
        <w:t xml:space="preserve"> </w:t>
      </w:r>
      <w:r w:rsidR="00A36E26">
        <w:rPr>
          <w:rFonts w:ascii="Times New Roman" w:hAnsi="Times New Roman" w:cs="Times New Roman"/>
        </w:rPr>
        <w:t xml:space="preserve">respond to an </w:t>
      </w:r>
      <w:r w:rsidR="00067BA6">
        <w:rPr>
          <w:rFonts w:ascii="Times New Roman" w:hAnsi="Times New Roman" w:cs="Times New Roman"/>
        </w:rPr>
        <w:t>insult or injury</w:t>
      </w:r>
      <w:r w:rsidR="00E46017">
        <w:rPr>
          <w:rFonts w:ascii="Times New Roman" w:hAnsi="Times New Roman" w:cs="Times New Roman"/>
        </w:rPr>
        <w:t>.</w:t>
      </w:r>
      <w:r w:rsidR="00EB6E05">
        <w:rPr>
          <w:rFonts w:ascii="Times New Roman" w:hAnsi="Times New Roman" w:cs="Times New Roman"/>
        </w:rPr>
        <w:t xml:space="preserve"> For example,</w:t>
      </w:r>
      <w:r w:rsidR="00E46017">
        <w:rPr>
          <w:rFonts w:ascii="Times New Roman" w:hAnsi="Times New Roman" w:cs="Times New Roman"/>
        </w:rPr>
        <w:t xml:space="preserve"> </w:t>
      </w:r>
      <w:r w:rsidR="00EB6E05">
        <w:rPr>
          <w:rFonts w:ascii="Times New Roman" w:hAnsi="Times New Roman" w:cs="Times New Roman"/>
        </w:rPr>
        <w:t>a</w:t>
      </w:r>
      <w:r w:rsidR="00E46017">
        <w:rPr>
          <w:rFonts w:ascii="Times New Roman" w:hAnsi="Times New Roman" w:cs="Times New Roman"/>
        </w:rPr>
        <w:t xml:space="preserve"> study</w:t>
      </w:r>
      <w:r w:rsidR="0096420B">
        <w:rPr>
          <w:rFonts w:ascii="Times New Roman" w:hAnsi="Times New Roman" w:cs="Times New Roman"/>
        </w:rPr>
        <w:t xml:space="preserve"> </w:t>
      </w:r>
      <w:r w:rsidR="004D435B">
        <w:rPr>
          <w:rFonts w:ascii="Times New Roman" w:hAnsi="Times New Roman" w:cs="Times New Roman"/>
        </w:rPr>
        <w:t>has shown</w:t>
      </w:r>
      <w:r w:rsidR="0096420B">
        <w:rPr>
          <w:rFonts w:ascii="Times New Roman" w:hAnsi="Times New Roman" w:cs="Times New Roman"/>
        </w:rPr>
        <w:t xml:space="preserve"> lower</w:t>
      </w:r>
      <w:r w:rsidR="00785586">
        <w:rPr>
          <w:rFonts w:ascii="Times New Roman" w:hAnsi="Times New Roman" w:cs="Times New Roman"/>
        </w:rPr>
        <w:t xml:space="preserve"> promoter activity and protein</w:t>
      </w:r>
      <w:r w:rsidR="0096420B">
        <w:rPr>
          <w:rFonts w:ascii="Times New Roman" w:hAnsi="Times New Roman" w:cs="Times New Roman"/>
        </w:rPr>
        <w:t xml:space="preserve"> levels of </w:t>
      </w:r>
      <w:r w:rsidR="00AF7D86">
        <w:rPr>
          <w:rFonts w:ascii="Times New Roman" w:hAnsi="Times New Roman" w:cs="Times New Roman"/>
        </w:rPr>
        <w:t>glutamate transporter 1 (</w:t>
      </w:r>
      <w:r w:rsidR="0096420B">
        <w:rPr>
          <w:rFonts w:ascii="Times New Roman" w:hAnsi="Times New Roman" w:cs="Times New Roman"/>
        </w:rPr>
        <w:t>GLT1</w:t>
      </w:r>
      <w:r w:rsidR="00AF7D86">
        <w:rPr>
          <w:rFonts w:ascii="Times New Roman" w:hAnsi="Times New Roman" w:cs="Times New Roman"/>
        </w:rPr>
        <w:t xml:space="preserve">) </w:t>
      </w:r>
      <w:r w:rsidR="0096420B">
        <w:rPr>
          <w:rFonts w:ascii="Times New Roman" w:hAnsi="Times New Roman" w:cs="Times New Roman"/>
        </w:rPr>
        <w:t>in spinal cord astrocytes</w:t>
      </w:r>
      <w:r w:rsidR="00785586">
        <w:rPr>
          <w:rFonts w:ascii="Times New Roman" w:hAnsi="Times New Roman" w:cs="Times New Roman"/>
        </w:rPr>
        <w:t xml:space="preserve"> </w:t>
      </w:r>
      <w:r w:rsidR="00785586">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"10.1523/JNEUROSCI.0790-07.2007", "ISSN" : "1529-2401", "PMID" : "17581948", "abstract" : "Glutamate transporters regulate excitatory neurotransmission and prevent glutamate-mediated excitotoxicity in the CNS. To better study the cellular and temporal dynamics of the expression of these transporters, we generated bacterial artificial chromosome promoter Discosoma red [glutamate-aspartate transporter (GLAST)] and green fluorescent protein [glutamate transporter-1 (GLT-1)] reporter transgenic mice. Analysis of these mice revealed a differential activation of the transporter promoters not previously appreciated. GLT-1 promoter activity in the adult CNS is almost completely restricted to astrocytes, often and unexpectedly in a nonoverlapping pattern with GLAST. Spinal cord GLT-1 promoter reporter, protein density, and physiology were 10-fold lower than in brain, suggesting a possible mechanism for regional sensitivity seen in disease. The GLAST promoter is active in both radial glia and many astrocytes in the developing CNS but is downregulated in most astrocytes as the mice mature. In the adult CNS, the highest GLAST promoter activity was observed in radial glia, such as those located in the subgranular layer of the dentate gyrus. The continued expression of GLAST by these neural progenitors raises the possibility that GLAST may have an unanticipated role in regulating their behavior. In addition, GLAST promoter activation was observed in oligodendrocytes in white matter throughout many (e.g., spinal cord and corpus callosum), but not all (e.g., cerebellum), CNS fiber tracts. Overall, these studies of GLT-1 and GLAST promoter activity, protein expression, and glutamate uptake revealed a close correlation between transgenic reporter signals and uptake capacity, indicating that these mice provide the means to monitor the expression and regulation of glutamate transporters in situ.", "author" : [ { "dropping-particle" : "", "family" : "Regan", "given" : "Melissa R", "non-dropping-particle" : "", "parse-names" : false, "suffix" : "" }, { "dropping-particle" : "", "family" : "Huang", "given" : "Yanhua H", "non-dropping-particle" : "", "parse-names" : false, "suffix" : "" }, { "dropping-particle" : "", "family" : "Kim", "given" : "Yu Shin", "non-dropping-particle" : "", "parse-names" : false, "suffix" : "" }, { "dropping-particle" : "", "family" : "Dykes-Hoberg", "given" : "Margaret I", "non-dropping-particle" : "", "parse-names" : false, "suffix" : "" }, { "dropping-particle" : "", "family" : "Jin", "given" : "Lin", "non-dropping-particle" : "", "parse-names" : false, "suffix" : "" }, { "dropping-particle" : "", "family" : "Watkins", "given" : "Andrew M", "non-dropping-particle" : "", "parse-names" : false, "suffix" : "" }, { "dropping-particle" : "", "family" : "Bergles", "given" : "Dwight E", "non-dropping-particle" : "", "parse-names" : false, "suffix" : "" }, { "dropping-particle" : "", "family" : "Rothstein", "given" : "Jeffrey D", "non-dropping-particle" : "", "parse-names" : false, "suffix" : "" } ], "container-title" : "The Journal of neuroscience : the official journal of the Society for Neuroscience", "id" : "ITEM-1", "issue" : "25", "issued" : { "date-parts" : [ [ "2007", "6", "20" ] ] }, "page" : "6607-19", "title" : "Variations in promoter activity reveal a differential expression and physiology of glutamate transporters by glia in the developing and mature CNS.", "type" : "article-journal", "volume" : "27" }, "uris" : [ "http://www.mendeley.com/documents/?uuid=0c8c1f41-801d-4d7a-abd2-fb46d2030fc7" ] } ], "mendeley" : { "formattedCitation" : "(Regan et al. 2007)", "plainTextFormattedCitation" : "(Regan et al. 2007)", "previouslyFormattedCitation" : "(Regan et al. 2007)" }, "properties" : { "noteIndex" : 0 }, "schema" : "https://github.com/citation-style-language/schema/raw/master/csl-citation.json" }</w:instrText>
      </w:r>
      <w:r w:rsidR="00785586">
        <w:rPr>
          <w:rFonts w:ascii="Times New Roman" w:hAnsi="Times New Roman" w:cs="Times New Roman"/>
        </w:rPr>
        <w:fldChar w:fldCharType="separate"/>
      </w:r>
      <w:r w:rsidR="00C148FC" w:rsidRPr="00C148FC">
        <w:rPr>
          <w:rFonts w:ascii="Times New Roman" w:hAnsi="Times New Roman" w:cs="Times New Roman"/>
          <w:noProof/>
        </w:rPr>
        <w:t>(Regan et al. 2007)</w:t>
      </w:r>
      <w:r w:rsidR="00785586">
        <w:rPr>
          <w:rFonts w:ascii="Times New Roman" w:hAnsi="Times New Roman" w:cs="Times New Roman"/>
        </w:rPr>
        <w:fldChar w:fldCharType="end"/>
      </w:r>
      <w:r w:rsidR="00EB6E05">
        <w:rPr>
          <w:rFonts w:ascii="Times New Roman" w:hAnsi="Times New Roman" w:cs="Times New Roman"/>
        </w:rPr>
        <w:t>. This</w:t>
      </w:r>
      <w:r w:rsidR="008F4909">
        <w:rPr>
          <w:rFonts w:ascii="Times New Roman" w:hAnsi="Times New Roman" w:cs="Times New Roman"/>
        </w:rPr>
        <w:t xml:space="preserve"> may</w:t>
      </w:r>
      <w:r w:rsidR="00BD6827">
        <w:rPr>
          <w:rFonts w:ascii="Times New Roman" w:hAnsi="Times New Roman" w:cs="Times New Roman"/>
        </w:rPr>
        <w:t xml:space="preserve"> mean that there is limited </w:t>
      </w:r>
      <w:r w:rsidR="0096420B">
        <w:rPr>
          <w:rFonts w:ascii="Times New Roman" w:hAnsi="Times New Roman" w:cs="Times New Roman"/>
        </w:rPr>
        <w:t xml:space="preserve">clearance of potentially excitotoxic levels of glutamate and </w:t>
      </w:r>
      <w:r w:rsidR="00BD6827">
        <w:rPr>
          <w:rFonts w:ascii="Times New Roman" w:hAnsi="Times New Roman" w:cs="Times New Roman"/>
        </w:rPr>
        <w:t>suggest</w:t>
      </w:r>
      <w:r w:rsidR="00785586">
        <w:rPr>
          <w:rFonts w:ascii="Times New Roman" w:hAnsi="Times New Roman" w:cs="Times New Roman"/>
        </w:rPr>
        <w:t xml:space="preserve"> an underlying</w:t>
      </w:r>
      <w:r w:rsidR="0096420B">
        <w:rPr>
          <w:rFonts w:ascii="Times New Roman" w:hAnsi="Times New Roman" w:cs="Times New Roman"/>
        </w:rPr>
        <w:t xml:space="preserve"> </w:t>
      </w:r>
      <w:r w:rsidR="00785586">
        <w:rPr>
          <w:rFonts w:ascii="Times New Roman" w:hAnsi="Times New Roman" w:cs="Times New Roman"/>
        </w:rPr>
        <w:t>vulnerability to</w:t>
      </w:r>
      <w:r w:rsidR="00AA1D01">
        <w:rPr>
          <w:rFonts w:ascii="Times New Roman" w:hAnsi="Times New Roman" w:cs="Times New Roman"/>
        </w:rPr>
        <w:t xml:space="preserve"> </w:t>
      </w:r>
      <w:r w:rsidR="006D39E6">
        <w:rPr>
          <w:rFonts w:ascii="Times New Roman" w:hAnsi="Times New Roman" w:cs="Times New Roman"/>
        </w:rPr>
        <w:t>developing</w:t>
      </w:r>
      <w:r w:rsidR="00DD189A">
        <w:rPr>
          <w:rFonts w:ascii="Times New Roman" w:hAnsi="Times New Roman" w:cs="Times New Roman"/>
        </w:rPr>
        <w:t xml:space="preserve"> diseases such as</w:t>
      </w:r>
      <w:r w:rsidR="0096420B">
        <w:rPr>
          <w:rFonts w:ascii="Times New Roman" w:hAnsi="Times New Roman" w:cs="Times New Roman"/>
        </w:rPr>
        <w:t xml:space="preserve"> amyotrophic lateral sclerosis (ALS)</w:t>
      </w:r>
      <w:r w:rsidR="00785586">
        <w:rPr>
          <w:rFonts w:ascii="Times New Roman" w:hAnsi="Times New Roman" w:cs="Times New Roman"/>
        </w:rPr>
        <w:t>.</w:t>
      </w:r>
      <w:r w:rsidR="00A36E26">
        <w:rPr>
          <w:rFonts w:ascii="Times New Roman" w:hAnsi="Times New Roman" w:cs="Times New Roman"/>
        </w:rPr>
        <w:t xml:space="preserve"> </w:t>
      </w:r>
    </w:p>
    <w:p w14:paraId="1C4DF4F6" w14:textId="77777777" w:rsidR="00A00F3B" w:rsidRPr="00A00F3B" w:rsidRDefault="00A00F3B" w:rsidP="00A00F3B">
      <w:bookmarkStart w:id="137" w:name="_Toc328301080"/>
      <w:bookmarkStart w:id="138" w:name="_Toc329593371"/>
      <w:bookmarkStart w:id="139" w:name="_Toc331425873"/>
      <w:bookmarkStart w:id="140" w:name="_Toc331427060"/>
      <w:bookmarkStart w:id="141" w:name="_Toc331427432"/>
      <w:bookmarkStart w:id="142" w:name="_Toc331427574"/>
    </w:p>
    <w:p w14:paraId="3B176A2D" w14:textId="5A136523" w:rsidR="00522774" w:rsidRPr="00522774" w:rsidRDefault="003A2584" w:rsidP="001B1D82">
      <w:pPr>
        <w:pStyle w:val="Heading2"/>
      </w:pPr>
      <w:bookmarkStart w:id="143" w:name="_Toc332972578"/>
      <w:bookmarkStart w:id="144" w:name="_Toc333046858"/>
      <w:bookmarkStart w:id="145" w:name="_Toc333477205"/>
      <w:bookmarkStart w:id="146" w:name="_Toc333477975"/>
      <w:bookmarkStart w:id="147" w:name="_Toc333644875"/>
      <w:r>
        <w:t xml:space="preserve">1.3 </w:t>
      </w:r>
      <w:r w:rsidR="00522774">
        <w:t>The role of astrocytes</w:t>
      </w:r>
      <w:bookmarkEnd w:id="137"/>
      <w:bookmarkEnd w:id="138"/>
      <w:bookmarkEnd w:id="139"/>
      <w:bookmarkEnd w:id="140"/>
      <w:bookmarkEnd w:id="141"/>
      <w:bookmarkEnd w:id="142"/>
      <w:bookmarkEnd w:id="143"/>
      <w:bookmarkEnd w:id="144"/>
      <w:bookmarkEnd w:id="145"/>
      <w:bookmarkEnd w:id="146"/>
      <w:bookmarkEnd w:id="147"/>
      <w:r>
        <w:t xml:space="preserve"> </w:t>
      </w:r>
    </w:p>
    <w:p w14:paraId="5EB7D689" w14:textId="77777777" w:rsidR="002F398C" w:rsidRDefault="002F398C" w:rsidP="002F398C"/>
    <w:p w14:paraId="6176B9AA" w14:textId="0E5A414C" w:rsidR="0099050D" w:rsidRDefault="001950B5" w:rsidP="00B07212">
      <w:pPr>
        <w:spacing w:line="360" w:lineRule="auto"/>
        <w:jc w:val="both"/>
        <w:rPr>
          <w:rFonts w:ascii="Times New Roman" w:hAnsi="Times New Roman" w:cs="Times New Roman"/>
          <w:b/>
        </w:rPr>
      </w:pPr>
      <w:r>
        <w:rPr>
          <w:rFonts w:ascii="Times New Roman" w:hAnsi="Times New Roman" w:cs="Times New Roman"/>
        </w:rPr>
        <w:t>Astrocytes play a central role in maintaining</w:t>
      </w:r>
      <w:r w:rsidR="005F1E5E">
        <w:rPr>
          <w:rFonts w:ascii="Times New Roman" w:hAnsi="Times New Roman" w:cs="Times New Roman"/>
        </w:rPr>
        <w:t xml:space="preserve"> brain homeostasis. F</w:t>
      </w:r>
      <w:r>
        <w:rPr>
          <w:rFonts w:ascii="Times New Roman" w:hAnsi="Times New Roman" w:cs="Times New Roman"/>
        </w:rPr>
        <w:t xml:space="preserve">eatures allowing astrocytes to support and protect neuronal function </w:t>
      </w:r>
      <w:r w:rsidR="0099050D">
        <w:rPr>
          <w:rFonts w:ascii="Times New Roman" w:hAnsi="Times New Roman" w:cs="Times New Roman"/>
        </w:rPr>
        <w:t>are described below and summaris</w:t>
      </w:r>
      <w:r>
        <w:rPr>
          <w:rFonts w:ascii="Times New Roman" w:hAnsi="Times New Roman" w:cs="Times New Roman"/>
        </w:rPr>
        <w:t xml:space="preserve">ed in </w:t>
      </w:r>
      <w:r w:rsidR="006D39E6">
        <w:rPr>
          <w:rFonts w:ascii="Times New Roman" w:hAnsi="Times New Roman" w:cs="Times New Roman"/>
          <w:b/>
        </w:rPr>
        <w:t>f</w:t>
      </w:r>
      <w:r w:rsidR="0099050D">
        <w:rPr>
          <w:rFonts w:ascii="Times New Roman" w:hAnsi="Times New Roman" w:cs="Times New Roman"/>
          <w:b/>
        </w:rPr>
        <w:t>igure 1.3</w:t>
      </w:r>
      <w:r>
        <w:rPr>
          <w:rFonts w:ascii="Times New Roman" w:hAnsi="Times New Roman" w:cs="Times New Roman"/>
          <w:b/>
        </w:rPr>
        <w:t>.</w:t>
      </w:r>
    </w:p>
    <w:p w14:paraId="6E90763E" w14:textId="22BDA380" w:rsidR="001950B5" w:rsidRDefault="001950B5" w:rsidP="001950B5">
      <w:pPr>
        <w:spacing w:line="360" w:lineRule="auto"/>
        <w:rPr>
          <w:rFonts w:ascii="Times New Roman" w:hAnsi="Times New Roman" w:cs="Times New Roman"/>
        </w:rPr>
      </w:pPr>
      <w:r>
        <w:rPr>
          <w:rFonts w:ascii="Times New Roman" w:hAnsi="Times New Roman" w:cs="Times New Roman"/>
          <w:b/>
        </w:rPr>
        <w:t xml:space="preserve"> </w:t>
      </w:r>
    </w:p>
    <w:p w14:paraId="4A8E5484" w14:textId="351BE31B" w:rsidR="004A3452" w:rsidRDefault="003A2584" w:rsidP="001B1D82">
      <w:pPr>
        <w:pStyle w:val="Heading3"/>
      </w:pPr>
      <w:bookmarkStart w:id="148" w:name="_Toc328301081"/>
      <w:bookmarkStart w:id="149" w:name="_Toc329593372"/>
      <w:bookmarkStart w:id="150" w:name="_Toc331425874"/>
      <w:bookmarkStart w:id="151" w:name="_Toc331427061"/>
      <w:bookmarkStart w:id="152" w:name="_Toc331427433"/>
      <w:bookmarkStart w:id="153" w:name="_Toc331427575"/>
      <w:bookmarkStart w:id="154" w:name="_Toc332972579"/>
      <w:bookmarkStart w:id="155" w:name="_Toc333046859"/>
      <w:bookmarkStart w:id="156" w:name="_Toc333477206"/>
      <w:bookmarkStart w:id="157" w:name="_Toc333477976"/>
      <w:bookmarkStart w:id="158" w:name="_Toc333644876"/>
      <w:r w:rsidRPr="001B1D82">
        <w:t xml:space="preserve">1.3.1 </w:t>
      </w:r>
      <w:r w:rsidR="000D57B9" w:rsidRPr="001B1D82">
        <w:t>Gliotransmission</w:t>
      </w:r>
      <w:bookmarkEnd w:id="148"/>
      <w:bookmarkEnd w:id="149"/>
      <w:bookmarkEnd w:id="150"/>
      <w:bookmarkEnd w:id="151"/>
      <w:bookmarkEnd w:id="152"/>
      <w:bookmarkEnd w:id="153"/>
      <w:bookmarkEnd w:id="154"/>
      <w:bookmarkEnd w:id="155"/>
      <w:bookmarkEnd w:id="156"/>
      <w:bookmarkEnd w:id="157"/>
      <w:bookmarkEnd w:id="158"/>
    </w:p>
    <w:p w14:paraId="4BF2D461" w14:textId="77777777" w:rsidR="00E20C81" w:rsidRDefault="00E20C81" w:rsidP="00E20C81"/>
    <w:p w14:paraId="3DCA7DB5" w14:textId="5838E7B7" w:rsidR="00E20C81" w:rsidRPr="00E20C81" w:rsidRDefault="00E20C81" w:rsidP="00E20C81">
      <w:pPr>
        <w:rPr>
          <w:rFonts w:ascii="Times New Roman" w:hAnsi="Times New Roman" w:cs="Times New Roman"/>
          <w:b/>
          <w:i/>
          <w:u w:val="single"/>
        </w:rPr>
      </w:pPr>
      <w:r>
        <w:rPr>
          <w:rFonts w:ascii="Times New Roman" w:hAnsi="Times New Roman" w:cs="Times New Roman"/>
          <w:b/>
          <w:i/>
          <w:u w:val="single"/>
        </w:rPr>
        <w:t>The “tripartite synapse”</w:t>
      </w:r>
    </w:p>
    <w:p w14:paraId="2F725206" w14:textId="41564F2E" w:rsidR="008F19DC" w:rsidRPr="00070602" w:rsidRDefault="008F19DC" w:rsidP="00B07212">
      <w:pPr>
        <w:spacing w:line="360" w:lineRule="auto"/>
        <w:jc w:val="both"/>
        <w:rPr>
          <w:rFonts w:ascii="Times New Roman" w:hAnsi="Times New Roman" w:cs="Times New Roman"/>
        </w:rPr>
      </w:pPr>
      <w:r w:rsidRPr="00070602">
        <w:rPr>
          <w:rFonts w:ascii="Times New Roman" w:hAnsi="Times New Roman" w:cs="Times New Roman"/>
        </w:rPr>
        <w:t>Astrocytic processes are intimately as</w:t>
      </w:r>
      <w:r w:rsidR="00213DB6" w:rsidRPr="00070602">
        <w:rPr>
          <w:rFonts w:ascii="Times New Roman" w:hAnsi="Times New Roman" w:cs="Times New Roman"/>
        </w:rPr>
        <w:t>sociated with neuronal synapses,</w:t>
      </w:r>
      <w:r w:rsidRPr="00070602">
        <w:rPr>
          <w:rFonts w:ascii="Times New Roman" w:hAnsi="Times New Roman" w:cs="Times New Roman"/>
        </w:rPr>
        <w:t xml:space="preserve"> </w:t>
      </w:r>
      <w:r w:rsidR="00E23A4A" w:rsidRPr="00070602">
        <w:rPr>
          <w:rFonts w:ascii="Times New Roman" w:hAnsi="Times New Roman" w:cs="Times New Roman"/>
        </w:rPr>
        <w:t xml:space="preserve">this </w:t>
      </w:r>
      <w:r w:rsidRPr="00070602">
        <w:rPr>
          <w:rFonts w:ascii="Times New Roman" w:hAnsi="Times New Roman" w:cs="Times New Roman"/>
        </w:rPr>
        <w:t xml:space="preserve">allows them to exert </w:t>
      </w:r>
      <w:r w:rsidR="00213DB6" w:rsidRPr="00070602">
        <w:rPr>
          <w:rFonts w:ascii="Times New Roman" w:hAnsi="Times New Roman" w:cs="Times New Roman"/>
        </w:rPr>
        <w:t xml:space="preserve">control and </w:t>
      </w:r>
      <w:r w:rsidRPr="00070602">
        <w:rPr>
          <w:rFonts w:ascii="Times New Roman" w:hAnsi="Times New Roman" w:cs="Times New Roman"/>
        </w:rPr>
        <w:t xml:space="preserve">regulate </w:t>
      </w:r>
      <w:r w:rsidR="00213DB6" w:rsidRPr="00070602">
        <w:rPr>
          <w:rFonts w:ascii="Times New Roman" w:hAnsi="Times New Roman" w:cs="Times New Roman"/>
        </w:rPr>
        <w:t>synaptic plasticity and neurotransmission. In 1999, Araque and colleagues used the term “tripartite synapse” to describe the close proximity of astrocytic processes with the pre and post synaptic neuronal elements</w:t>
      </w:r>
      <w:r w:rsidR="00E813E3" w:rsidRPr="00070602">
        <w:rPr>
          <w:rFonts w:ascii="Times New Roman" w:hAnsi="Times New Roman" w:cs="Times New Roman"/>
        </w:rPr>
        <w:t xml:space="preserve"> </w:t>
      </w:r>
      <w:r w:rsidR="00E813E3"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"10.1016/S0166-2236(98)01349-6", "ISSN" : "01662236", "abstract" : "According to the classical view of the nervous system, the numerically superior glial cells have inferior roles in that they provide an ideal environment for neuronal-cell function. However, there is a wave of new information suggesting that glia are intimately involved in the active control of neuronal activity and synaptic neurotransmission. Recent evidence shows that glia respond to neuronal activity with an elevation of their internal Ca2+ concentration, which triggers the release of chemical transmitters from glia themselves and, in turn, causes feedback regulation of neuronal activity and synaptic strength. In view of these new insights, this article suggests that perisynaptic Schwann cells and synaptically associated astrocytes should be viewed as integral modulatory elements of tripartite synapses.", "author" : [ { "dropping-particle" : "", "family" : "Araque", "given" : "Alfonso", "non-dropping-particle" : "", "parse-names" : false, "suffix" : "" }, { "dropping-particle" : "", "family" : "Parpura", "given" : "Vladimir", "non-dropping-particle" : "", "parse-names" : false, "suffix" : "" }, { "dropping-particle" : "", "family" : "Sanzgiri", "given" : "Rita P.", "non-dropping-particle" : "", "parse-names" : false, "suffix" : "" }, { "dropping-particle" : "", "family" : "Haydon", "given" : "Philip G.", "non-dropping-particle" : "", "parse-names" : false, "suffix" : "" } ], "container-title" : "Trends in Neurosciences", "id" : "ITEM-1", "issue" : "5", "issued" : { "date-parts" : [ [ "1999", "5" ] ] }, "page" : "208-215", "title" : "Tripartite synapses: glia, the unacknowledged partner", "type" : "article-journal", "volume" : "22" }, "uris" : [ "http://www.mendeley.com/documents/?uuid=655d35f2-42de-47d1-9a3e-5a8467de3975" ] } ], "mendeley" : { "formattedCitation" : "(Araque et al. 1999)", "plainTextFormattedCitation" : "(Araque et al. 1999)", "previouslyFormattedCitation" : "(Araque et al. 1999)" }, "properties" : { "noteIndex" : 0 }, "schema" : "https://github.com/citation-style-language/schema/raw/master/csl-citation.json" }</w:instrText>
      </w:r>
      <w:r w:rsidR="00E813E3" w:rsidRPr="00070602">
        <w:rPr>
          <w:rFonts w:ascii="Times New Roman" w:hAnsi="Times New Roman" w:cs="Times New Roman"/>
        </w:rPr>
        <w:fldChar w:fldCharType="separate"/>
      </w:r>
      <w:r w:rsidR="00C148FC" w:rsidRPr="00C148FC">
        <w:rPr>
          <w:rFonts w:ascii="Times New Roman" w:hAnsi="Times New Roman" w:cs="Times New Roman"/>
          <w:noProof/>
        </w:rPr>
        <w:t>(Araque et al. 1999)</w:t>
      </w:r>
      <w:r w:rsidR="00E813E3" w:rsidRPr="00070602">
        <w:rPr>
          <w:rFonts w:ascii="Times New Roman" w:hAnsi="Times New Roman" w:cs="Times New Roman"/>
        </w:rPr>
        <w:fldChar w:fldCharType="end"/>
      </w:r>
      <w:r w:rsidR="00213DB6" w:rsidRPr="00070602">
        <w:rPr>
          <w:rFonts w:ascii="Times New Roman" w:hAnsi="Times New Roman" w:cs="Times New Roman"/>
        </w:rPr>
        <w:t>.</w:t>
      </w:r>
      <w:r w:rsidR="00135589" w:rsidRPr="00070602">
        <w:rPr>
          <w:rFonts w:ascii="Times New Roman" w:hAnsi="Times New Roman" w:cs="Times New Roman"/>
        </w:rPr>
        <w:t xml:space="preserve"> Although astrocytes are “non-excitable” cells, as they cannot generate their own action potential, they can respond to neuronal activity and communicate to one another through waves of calcium signalling</w:t>
      </w:r>
      <w:r w:rsidR="00B86866" w:rsidRPr="00070602">
        <w:rPr>
          <w:rFonts w:ascii="Times New Roman" w:hAnsi="Times New Roman" w:cs="Times New Roman"/>
        </w:rPr>
        <w:t xml:space="preserve"> </w:t>
      </w:r>
      <w:r w:rsidR="0007199E"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"10.1016/j.mce.2011.08.039", "ISSN" : "1872-8057", "PMID" : "21945602", "abstract" : "Astroglia possess excitability based on movements of Ca(2+) ions between intracellular compartments and plasmalemmal Ca(2+) fluxes. This \"Ca(2+) excitability\" is controlled by several families of proteins located in the plasma membrane, within the cytosol and in the intracellular organelles, most notably in the endoplasmic reticulum (ER) and mitochondria. Accumulation of cytosolic Ca(2+) can be caused by the entry of Ca(2+) from the extracellular space through ionotropic receptors and store-operated channels expressed in astrocytes. Plasmalemmal Ca(2+) ATP-ase and sodium-calcium exchanger extrude cytosolic Ca(2+) to the extracellular space; the exchanger can also operate in reverse, depending of the intercellular Na(+) concentration, to deliver Ca(2+) to the cytosol. The ER internal store possesses inositol 1,4,5-trisphosphate receptors which can be activated upon stimulation of astrocytes through a multiple plasma membrane metabotropic G-protein coupled receptors. This leads to release of Ca(2+) from the ER and its elevation in the cytosol, the level of which can be modulated by mitochondria. The mitochondrial uniporter takes up Ca(2+) into the matrix, while free Ca(2+) exits the matrix through the mitochondrial Na(+)/Ca(2+) exchanger as well as via transient openings of the mitochondrial permeability transition pore. One of the prominent consequences of astroglial Ca(2+) excitability is gliotransmission, a release of transmitters from astroglia which can lead to signalling to adjacent neurones.", "author" : [ { "dropping-particle" : "", "family" : "Verkhratsky", "given" : "Alexei", "non-dropping-particle" : "", "parse-names" : false, "suffix" : "" }, { "dropping-particle" : "", "family" : "Rodr\u00edguez", "given" : "Jos\u00e9 J", "non-dropping-particle" : "", "parse-names" : false, "suffix" : "" }, { "dropping-particle" : "", "family" : "Parpura", "given" : "Vladimir", "non-dropping-particle" : "", "parse-names" : false, "suffix" : "" } ], "container-title" : "Molecular and cellular endocrinology", "id" : "ITEM-1", "issue" : "1-2", "issued" : { "date-parts" : [ [ "2012", "4", "28" ] ] }, "page" : "45-56", "title" : "Calcium signalling in astroglia.", "type" : "article-journal", "volume" : "353" }, "uris" : [ "http://www.mendeley.com/documents/?uuid=f3b77944-c721-49ce-8c4b-874442ee2e0c" ] } ], "mendeley" : { "formattedCitation" : "(Verkhratsky et al. 2012)", "plainTextFormattedCitation" : "(Verkhratsky et al. 2012)", "previouslyFormattedCitation" : "(Verkhratsky et al. 2012)" }, "properties" : { "noteIndex" : 0 }, "schema" : "https://github.com/citation-style-language/schema/raw/master/csl-citation.json" }</w:instrText>
      </w:r>
      <w:r w:rsidR="0007199E" w:rsidRPr="00070602">
        <w:rPr>
          <w:rFonts w:ascii="Times New Roman" w:hAnsi="Times New Roman" w:cs="Times New Roman"/>
        </w:rPr>
        <w:fldChar w:fldCharType="separate"/>
      </w:r>
      <w:r w:rsidR="00C148FC" w:rsidRPr="00C148FC">
        <w:rPr>
          <w:rFonts w:ascii="Times New Roman" w:hAnsi="Times New Roman" w:cs="Times New Roman"/>
          <w:noProof/>
        </w:rPr>
        <w:t>(Verkhratsky et al. 2012)</w:t>
      </w:r>
      <w:r w:rsidR="0007199E" w:rsidRPr="00070602">
        <w:rPr>
          <w:rFonts w:ascii="Times New Roman" w:hAnsi="Times New Roman" w:cs="Times New Roman"/>
        </w:rPr>
        <w:fldChar w:fldCharType="end"/>
      </w:r>
      <w:r w:rsidR="00135589" w:rsidRPr="00070602">
        <w:rPr>
          <w:rFonts w:ascii="Times New Roman" w:hAnsi="Times New Roman" w:cs="Times New Roman"/>
        </w:rPr>
        <w:t xml:space="preserve">. The </w:t>
      </w:r>
      <w:r w:rsidR="001A601B" w:rsidRPr="00070602">
        <w:rPr>
          <w:rFonts w:ascii="Times New Roman" w:hAnsi="Times New Roman" w:cs="Times New Roman"/>
        </w:rPr>
        <w:t xml:space="preserve">positioning of astrocytic processes near the synapse is important for </w:t>
      </w:r>
      <w:r w:rsidR="00676A91" w:rsidRPr="00070602">
        <w:rPr>
          <w:rFonts w:ascii="Times New Roman" w:hAnsi="Times New Roman" w:cs="Times New Roman"/>
        </w:rPr>
        <w:t>relaying neuronal information to the astrocyte, which involves converting</w:t>
      </w:r>
      <w:r w:rsidR="00135589" w:rsidRPr="00070602">
        <w:rPr>
          <w:rFonts w:ascii="Times New Roman" w:hAnsi="Times New Roman" w:cs="Times New Roman"/>
        </w:rPr>
        <w:t xml:space="preserve"> </w:t>
      </w:r>
      <w:r w:rsidR="00676A91" w:rsidRPr="00070602">
        <w:rPr>
          <w:rFonts w:ascii="Times New Roman" w:hAnsi="Times New Roman" w:cs="Times New Roman"/>
        </w:rPr>
        <w:t xml:space="preserve">an </w:t>
      </w:r>
      <w:r w:rsidR="00135589" w:rsidRPr="00070602">
        <w:rPr>
          <w:rFonts w:ascii="Times New Roman" w:hAnsi="Times New Roman" w:cs="Times New Roman"/>
        </w:rPr>
        <w:t>electrical st</w:t>
      </w:r>
      <w:r w:rsidR="001A601B" w:rsidRPr="00070602">
        <w:rPr>
          <w:rFonts w:ascii="Times New Roman" w:hAnsi="Times New Roman" w:cs="Times New Roman"/>
        </w:rPr>
        <w:t>imulus to chemical signal</w:t>
      </w:r>
      <w:r w:rsidR="00E23A4A" w:rsidRPr="00070602">
        <w:rPr>
          <w:rFonts w:ascii="Times New Roman" w:hAnsi="Times New Roman" w:cs="Times New Roman"/>
        </w:rPr>
        <w:t>s</w:t>
      </w:r>
      <w:r w:rsidR="00676A91" w:rsidRPr="00070602">
        <w:rPr>
          <w:rFonts w:ascii="Times New Roman" w:hAnsi="Times New Roman" w:cs="Times New Roman"/>
        </w:rPr>
        <w:t>.</w:t>
      </w:r>
      <w:r w:rsidR="00922674" w:rsidRPr="00070602">
        <w:rPr>
          <w:rFonts w:ascii="Times New Roman" w:hAnsi="Times New Roman" w:cs="Times New Roman"/>
        </w:rPr>
        <w:t xml:space="preserve"> </w:t>
      </w:r>
      <w:r w:rsidR="00676A91" w:rsidRPr="00070602">
        <w:rPr>
          <w:rFonts w:ascii="Times New Roman" w:hAnsi="Times New Roman" w:cs="Times New Roman"/>
        </w:rPr>
        <w:t>Ultimately, this allows</w:t>
      </w:r>
      <w:r w:rsidR="003265B4" w:rsidRPr="00070602">
        <w:rPr>
          <w:rFonts w:ascii="Times New Roman" w:hAnsi="Times New Roman" w:cs="Times New Roman"/>
        </w:rPr>
        <w:t xml:space="preserve"> local and widespread communication of information across the brain. </w:t>
      </w:r>
    </w:p>
    <w:p w14:paraId="4F558B1E" w14:textId="77777777" w:rsidR="004704F9" w:rsidRDefault="004704F9" w:rsidP="008F19DC">
      <w:pPr>
        <w:spacing w:line="360" w:lineRule="auto"/>
        <w:rPr>
          <w:rFonts w:ascii="Times New Roman" w:hAnsi="Times New Roman" w:cs="Times New Roman"/>
        </w:rPr>
      </w:pPr>
    </w:p>
    <w:p w14:paraId="36A0C2B5" w14:textId="18D95060" w:rsidR="00856B9C" w:rsidRDefault="00D66CCC" w:rsidP="00B07212">
      <w:pPr>
        <w:spacing w:line="360" w:lineRule="auto"/>
        <w:jc w:val="both"/>
        <w:rPr>
          <w:rFonts w:ascii="Times New Roman" w:hAnsi="Times New Roman" w:cs="Times New Roman"/>
        </w:rPr>
      </w:pPr>
      <w:r w:rsidRPr="00070602">
        <w:rPr>
          <w:rFonts w:ascii="Times New Roman" w:hAnsi="Times New Roman" w:cs="Times New Roman"/>
        </w:rPr>
        <w:t xml:space="preserve">Astrocytes express metabotropic and ionotropic receptors that are capable of binding to neurotransmitters released from the pre-synaptic cleft. </w:t>
      </w:r>
      <w:r w:rsidR="00F55B08" w:rsidRPr="00070602">
        <w:rPr>
          <w:rFonts w:ascii="Times New Roman" w:hAnsi="Times New Roman" w:cs="Times New Roman"/>
        </w:rPr>
        <w:t>Neurons can</w:t>
      </w:r>
      <w:r w:rsidR="00307F02" w:rsidRPr="00070602">
        <w:rPr>
          <w:rFonts w:ascii="Times New Roman" w:hAnsi="Times New Roman" w:cs="Times New Roman"/>
        </w:rPr>
        <w:t xml:space="preserve"> release a number of n</w:t>
      </w:r>
      <w:r w:rsidR="009E2BA3" w:rsidRPr="00070602">
        <w:rPr>
          <w:rFonts w:ascii="Times New Roman" w:hAnsi="Times New Roman" w:cs="Times New Roman"/>
        </w:rPr>
        <w:t xml:space="preserve">eurotransmitter at any one time, which are termed co-transmitters and </w:t>
      </w:r>
      <w:r w:rsidR="00D36E93">
        <w:rPr>
          <w:rFonts w:ascii="Times New Roman" w:hAnsi="Times New Roman" w:cs="Times New Roman"/>
        </w:rPr>
        <w:t>can</w:t>
      </w:r>
      <w:r w:rsidR="009E2BA3" w:rsidRPr="00070602">
        <w:rPr>
          <w:rFonts w:ascii="Times New Roman" w:hAnsi="Times New Roman" w:cs="Times New Roman"/>
        </w:rPr>
        <w:t xml:space="preserve"> exist in their own synaptic vesicle</w:t>
      </w:r>
      <w:r w:rsidR="00F55B08" w:rsidRPr="00070602">
        <w:rPr>
          <w:rFonts w:ascii="Times New Roman" w:hAnsi="Times New Roman" w:cs="Times New Roman"/>
        </w:rPr>
        <w:t>s</w:t>
      </w:r>
      <w:r w:rsidR="00922674" w:rsidRPr="00070602">
        <w:rPr>
          <w:rFonts w:ascii="Times New Roman" w:hAnsi="Times New Roman" w:cs="Times New Roman"/>
        </w:rPr>
        <w:t xml:space="preserve"> </w:t>
      </w:r>
      <w:r w:rsidR="00D36E93">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"author" : [ { "dropping-particle" : "", "family" : "Purves", "given" : "Dale", "non-dropping-particle" : "", "parse-names" : false, "suffix" : "" }, { "dropping-particle" : "", "family" : "Augustine", "given" : "George J", "non-dropping-particle" : "", "parse-names" : false, "suffix" : "" }, { "dropping-particle" : "", "family" : "Fitzpatrick", "given" : "David", "non-dropping-particle" : "", "parse-names" : false, "suffix" : "" }, { "dropping-particle" : "", "family" : "Katz", "given" : "Lawrence C", "non-dropping-particle" : "", "parse-names" : false, "suffix" : "" }, { "dropping-particle" : "", "family" : "LaMantia", "given" : "Anthony-Samuel", "non-dropping-particle" : "", "parse-names" : false, "suffix" : "" }, { "dropping-particle" : "", "family" : "McNamara", "given" : "James O", "non-dropping-particle" : "", "parse-names" : false, "suffix" : "" }, { "dropping-particle" : "", "family" : "Williams", "given" : "S Mark", "non-dropping-particle" : "", "parse-names" : false, "suffix" : "" } ], "id" : "ITEM-1", "issued" : { "date-parts" : [ [ "2001" ] ] }, "publisher" : "Sinauer Associates", "title" : "Neurons Often Release More Than One Transmitter", "type" : "article-journal" }, "uris" : [ "http://www.mendeley.com/documents/?uuid=5056dddf-6d4a-369c-9652-7636fbc1578b" ] } ], "mendeley" : { "formattedCitation" : "(Purves et al. 2001)", "plainTextFormattedCitation" : "(Purves et al. 2001)", "previouslyFormattedCitation" : "(Purves et al. 2001)" }, "properties" : { "noteIndex" : 0 }, "schema" : "https://github.com/citation-style-language/schema/raw/master/csl-citation.json" }</w:instrText>
      </w:r>
      <w:r w:rsidR="00D36E93">
        <w:rPr>
          <w:rFonts w:ascii="Times New Roman" w:hAnsi="Times New Roman" w:cs="Times New Roman"/>
        </w:rPr>
        <w:fldChar w:fldCharType="separate"/>
      </w:r>
      <w:r w:rsidR="00C148FC" w:rsidRPr="00C148FC">
        <w:rPr>
          <w:rFonts w:ascii="Times New Roman" w:hAnsi="Times New Roman" w:cs="Times New Roman"/>
          <w:noProof/>
        </w:rPr>
        <w:t>(Purves et al. 2001)</w:t>
      </w:r>
      <w:r w:rsidR="00D36E93">
        <w:rPr>
          <w:rFonts w:ascii="Times New Roman" w:hAnsi="Times New Roman" w:cs="Times New Roman"/>
        </w:rPr>
        <w:fldChar w:fldCharType="end"/>
      </w:r>
      <w:r w:rsidR="009E2BA3" w:rsidRPr="00070602">
        <w:rPr>
          <w:rFonts w:ascii="Times New Roman" w:hAnsi="Times New Roman" w:cs="Times New Roman"/>
        </w:rPr>
        <w:t xml:space="preserve">. </w:t>
      </w:r>
      <w:r w:rsidR="00F55B08" w:rsidRPr="00070602">
        <w:rPr>
          <w:rFonts w:ascii="Times New Roman" w:hAnsi="Times New Roman" w:cs="Times New Roman"/>
        </w:rPr>
        <w:t>The types of transmitter released include glutamate, noradrenaline, histamine and acetylcholine. Following release these will bind to re</w:t>
      </w:r>
      <w:r w:rsidR="00FB680F" w:rsidRPr="00070602">
        <w:rPr>
          <w:rFonts w:ascii="Times New Roman" w:hAnsi="Times New Roman" w:cs="Times New Roman"/>
        </w:rPr>
        <w:t>ceptors on astrocytic processes</w:t>
      </w:r>
      <w:r w:rsidR="00E23A4A" w:rsidRPr="00070602">
        <w:rPr>
          <w:rFonts w:ascii="Times New Roman" w:hAnsi="Times New Roman" w:cs="Times New Roman"/>
        </w:rPr>
        <w:t xml:space="preserve">, which </w:t>
      </w:r>
      <w:r w:rsidR="00F55B08" w:rsidRPr="00070602">
        <w:rPr>
          <w:rFonts w:ascii="Times New Roman" w:hAnsi="Times New Roman" w:cs="Times New Roman"/>
        </w:rPr>
        <w:t>trigger</w:t>
      </w:r>
      <w:r w:rsidR="00E23A4A" w:rsidRPr="00070602">
        <w:rPr>
          <w:rFonts w:ascii="Times New Roman" w:hAnsi="Times New Roman" w:cs="Times New Roman"/>
        </w:rPr>
        <w:t>s</w:t>
      </w:r>
      <w:r w:rsidR="00F55B08" w:rsidRPr="00070602">
        <w:rPr>
          <w:rFonts w:ascii="Times New Roman" w:hAnsi="Times New Roman" w:cs="Times New Roman"/>
        </w:rPr>
        <w:t xml:space="preserve"> transient increases in calcium, the extent of </w:t>
      </w:r>
      <w:r w:rsidR="00E23A4A" w:rsidRPr="00070602">
        <w:rPr>
          <w:rFonts w:ascii="Times New Roman" w:hAnsi="Times New Roman" w:cs="Times New Roman"/>
        </w:rPr>
        <w:t>this</w:t>
      </w:r>
      <w:r w:rsidR="00F55B08" w:rsidRPr="00070602">
        <w:rPr>
          <w:rFonts w:ascii="Times New Roman" w:hAnsi="Times New Roman" w:cs="Times New Roman"/>
        </w:rPr>
        <w:t xml:space="preserve"> varies depending on the concentration of neurotransmitter within the synaptic cleft</w:t>
      </w:r>
      <w:r w:rsidR="00123E00">
        <w:rPr>
          <w:rFonts w:ascii="Times New Roman" w:hAnsi="Times New Roman" w:cs="Times New Roman"/>
        </w:rPr>
        <w:t xml:space="preserve"> </w:t>
      </w:r>
      <w:r w:rsidR="00123E0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"10.1038/35058528", "ISSN" : "14710048", "author" : [ { "dropping-particle" : "", "family" : "Haydon", "given" : "Philip G.", "non-dropping-particle" : "", "parse-names" : false, "suffix" : "" } ], "container-title" : "Nature Reviews Neuroscience", "id" : "ITEM-1", "issue" : "3", "issued" : { "date-parts" : [ [ "2001", "3", "1" ] ] }, "page" : "185-193", "publisher" : "Nature Publishing Group", "title" : "Glia: listening and talking to the synapse", "type" : "article-journal", "volume" : "2" }, "uris" : [ "http://www.mendeley.com/documents/?uuid=e35d08d2-dbd7-334c-a995-b9371fac72e4" ] } ], "mendeley" : { "formattedCitation" : "(Haydon 2001)", "plainTextFormattedCitation" : "(Haydon 2001)", "previouslyFormattedCitation" : "(Haydon 2001)" }, "properties" : { "noteIndex" : 0 }, "schema" : "https://github.com/citation-style-language/schema/raw/master/csl-citation.json" }</w:instrText>
      </w:r>
      <w:r w:rsidR="00123E00">
        <w:rPr>
          <w:rFonts w:ascii="Times New Roman" w:hAnsi="Times New Roman" w:cs="Times New Roman"/>
        </w:rPr>
        <w:fldChar w:fldCharType="separate"/>
      </w:r>
      <w:r w:rsidR="00C148FC" w:rsidRPr="00C148FC">
        <w:rPr>
          <w:rFonts w:ascii="Times New Roman" w:hAnsi="Times New Roman" w:cs="Times New Roman"/>
          <w:noProof/>
        </w:rPr>
        <w:t>(Haydon 2001)</w:t>
      </w:r>
      <w:r w:rsidR="00123E00">
        <w:rPr>
          <w:rFonts w:ascii="Times New Roman" w:hAnsi="Times New Roman" w:cs="Times New Roman"/>
        </w:rPr>
        <w:fldChar w:fldCharType="end"/>
      </w:r>
      <w:r w:rsidR="00F55B08" w:rsidRPr="00070602">
        <w:rPr>
          <w:rFonts w:ascii="Times New Roman" w:hAnsi="Times New Roman" w:cs="Times New Roman"/>
        </w:rPr>
        <w:t>.</w:t>
      </w:r>
      <w:r w:rsidR="00C3242C" w:rsidRPr="00070602">
        <w:rPr>
          <w:rFonts w:ascii="Times New Roman" w:hAnsi="Times New Roman" w:cs="Times New Roman"/>
        </w:rPr>
        <w:t xml:space="preserve"> </w:t>
      </w:r>
    </w:p>
    <w:p w14:paraId="2FB5CFEA" w14:textId="77777777" w:rsidR="00C25727" w:rsidRDefault="00C25727" w:rsidP="008F19DC">
      <w:pPr>
        <w:spacing w:line="360" w:lineRule="auto"/>
        <w:rPr>
          <w:rFonts w:ascii="Times New Roman" w:hAnsi="Times New Roman" w:cs="Times New Roman"/>
          <w:b/>
          <w:i/>
          <w:u w:val="single"/>
        </w:rPr>
      </w:pPr>
    </w:p>
    <w:p w14:paraId="3346A69D" w14:textId="3872A13D" w:rsidR="00856B9C" w:rsidRPr="00856B9C" w:rsidRDefault="00856B9C" w:rsidP="00C25727">
      <w:pPr>
        <w:rPr>
          <w:rFonts w:ascii="Times New Roman" w:hAnsi="Times New Roman" w:cs="Times New Roman"/>
          <w:b/>
          <w:i/>
          <w:u w:val="single"/>
        </w:rPr>
      </w:pPr>
      <w:r>
        <w:rPr>
          <w:rFonts w:ascii="Times New Roman" w:hAnsi="Times New Roman" w:cs="Times New Roman"/>
          <w:b/>
          <w:i/>
          <w:u w:val="single"/>
        </w:rPr>
        <w:t>Calcium Signalling</w:t>
      </w:r>
    </w:p>
    <w:p w14:paraId="08223B81" w14:textId="6BC60271" w:rsidR="00676FF7" w:rsidRDefault="00856B9C" w:rsidP="00B07212">
      <w:pPr>
        <w:spacing w:line="360" w:lineRule="auto"/>
        <w:jc w:val="both"/>
        <w:rPr>
          <w:rFonts w:ascii="Times New Roman" w:hAnsi="Times New Roman" w:cs="Times New Roman"/>
        </w:rPr>
      </w:pPr>
      <w:r>
        <w:rPr>
          <w:rFonts w:ascii="Times New Roman" w:hAnsi="Times New Roman" w:cs="Times New Roman"/>
        </w:rPr>
        <w:t>I</w:t>
      </w:r>
      <w:r w:rsidR="00C3242C" w:rsidRPr="00070602">
        <w:rPr>
          <w:rFonts w:ascii="Times New Roman" w:hAnsi="Times New Roman" w:cs="Times New Roman"/>
        </w:rPr>
        <w:t xml:space="preserve">ncreases in calcium can be restricted to </w:t>
      </w:r>
      <w:r w:rsidR="00525763" w:rsidRPr="00070602">
        <w:rPr>
          <w:rFonts w:ascii="Times New Roman" w:hAnsi="Times New Roman" w:cs="Times New Roman"/>
        </w:rPr>
        <w:t>a microdomain with</w:t>
      </w:r>
      <w:r w:rsidR="00922674" w:rsidRPr="00070602">
        <w:rPr>
          <w:rFonts w:ascii="Times New Roman" w:hAnsi="Times New Roman" w:cs="Times New Roman"/>
        </w:rPr>
        <w:t>in</w:t>
      </w:r>
      <w:r w:rsidR="00525763" w:rsidRPr="00070602">
        <w:rPr>
          <w:rFonts w:ascii="Times New Roman" w:hAnsi="Times New Roman" w:cs="Times New Roman"/>
        </w:rPr>
        <w:t xml:space="preserve"> the astrocytic process </w:t>
      </w:r>
      <w:r w:rsidR="004F417E">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"10.1038/5692", "ISSN" : "10976256", "author" : [ { "dropping-particle" : "", "family" : "Kettenmann", "given" : "Helmut", "non-dropping-particle" : "", "parse-names" : false, "suffix" : "" }, { "dropping-particle" : "", "family" : "Grosche", "given" : "Jens", "non-dropping-particle" : "", "parse-names" : false, "suffix" : "" }, { "dropping-particle" : "", "family" : "Matyash", "given" : "Vitali", "non-dropping-particle" : "", "parse-names" : false, "suffix" : "" }, { "dropping-particle" : "", "family" : "M\u00f6ller", "given" : "Thomas", "non-dropping-particle" : "", "parse-names" : false, "suffix" : "" }, { "dropping-particle" : "", "family" : "Verkhratsky", "given" : "Alexej", "non-dropping-particle" : "", "parse-names" : false, "suffix" : "" }, { "dropping-particle" : "", "family" : "Reichenbach", "given" : "Andreas", "non-dropping-particle" : "", "parse-names" : false, "suffix" : "" } ], "container-title" : "Nature Neuroscience", "id" : "ITEM-1", "issue" : "2", "issued" : { "date-parts" : [ [ "1999", "2", "1" ] ] }, "page" : "139-143", "publisher" : "Nature Publishing Group", "title" : "Microdomains for neuron|[ndash]|glia interaction: parallel fiber signaling\nto Bergmann glial cells", "type" : "article-journal", "volume" : "2" }, "uris" : [ "http://www.mendeley.com/documents/?uuid=ee880842-d000-3108-82c0-9d84f6624bee" ] } ], "mendeley" : { "formattedCitation" : "(Kettenmann et al. 1999)", "plainTextFormattedCitation" : "(Kettenmann et al. 1999)", "previouslyFormattedCitation" : "(Kettenmann et al. 1999)" }, "properties" : { "noteIndex" : 0 }, "schema" : "https://github.com/citation-style-language/schema/raw/master/csl-citation.json" }</w:instrText>
      </w:r>
      <w:r w:rsidR="004F417E">
        <w:rPr>
          <w:rFonts w:ascii="Times New Roman" w:hAnsi="Times New Roman" w:cs="Times New Roman"/>
        </w:rPr>
        <w:fldChar w:fldCharType="separate"/>
      </w:r>
      <w:r w:rsidR="00C148FC" w:rsidRPr="00C148FC">
        <w:rPr>
          <w:rFonts w:ascii="Times New Roman" w:hAnsi="Times New Roman" w:cs="Times New Roman"/>
          <w:noProof/>
        </w:rPr>
        <w:t>(Kettenmann et al. 1999)</w:t>
      </w:r>
      <w:r w:rsidR="004F417E">
        <w:rPr>
          <w:rFonts w:ascii="Times New Roman" w:hAnsi="Times New Roman" w:cs="Times New Roman"/>
        </w:rPr>
        <w:fldChar w:fldCharType="end"/>
      </w:r>
      <w:r w:rsidR="004F417E">
        <w:rPr>
          <w:rFonts w:ascii="Times New Roman" w:hAnsi="Times New Roman" w:cs="Times New Roman"/>
        </w:rPr>
        <w:t xml:space="preserve"> </w:t>
      </w:r>
      <w:r w:rsidR="00525763" w:rsidRPr="00070602">
        <w:rPr>
          <w:rFonts w:ascii="Times New Roman" w:hAnsi="Times New Roman" w:cs="Times New Roman"/>
        </w:rPr>
        <w:t>or extend across the astrocyte</w:t>
      </w:r>
      <w:r w:rsidR="002E0EE9">
        <w:rPr>
          <w:rFonts w:ascii="Times New Roman" w:hAnsi="Times New Roman" w:cs="Times New Roman"/>
        </w:rPr>
        <w:t xml:space="preserve"> into the cell soma, where increases in calcium are then observed in neighbouring astrocytes</w:t>
      </w:r>
      <w:r w:rsidR="00525763" w:rsidRPr="00070602">
        <w:rPr>
          <w:rFonts w:ascii="Times New Roman" w:hAnsi="Times New Roman" w:cs="Times New Roman"/>
        </w:rPr>
        <w:t>. A single astrocyte in the hippocampu</w:t>
      </w:r>
      <w:r w:rsidR="00B422AE">
        <w:rPr>
          <w:rFonts w:ascii="Times New Roman" w:hAnsi="Times New Roman" w:cs="Times New Roman"/>
        </w:rPr>
        <w:t xml:space="preserve">s of </w:t>
      </w:r>
      <w:r w:rsidR="00581142">
        <w:rPr>
          <w:rFonts w:ascii="Times New Roman" w:hAnsi="Times New Roman" w:cs="Times New Roman"/>
        </w:rPr>
        <w:t>a rodent</w:t>
      </w:r>
      <w:r w:rsidR="00B422AE">
        <w:rPr>
          <w:rFonts w:ascii="Times New Roman" w:hAnsi="Times New Roman" w:cs="Times New Roman"/>
        </w:rPr>
        <w:t xml:space="preserve"> brain is in cont</w:t>
      </w:r>
      <w:r w:rsidR="00525763" w:rsidRPr="00070602">
        <w:rPr>
          <w:rFonts w:ascii="Times New Roman" w:hAnsi="Times New Roman" w:cs="Times New Roman"/>
        </w:rPr>
        <w:t>act with a</w:t>
      </w:r>
      <w:r w:rsidR="00EE4416">
        <w:rPr>
          <w:rFonts w:ascii="Times New Roman" w:hAnsi="Times New Roman" w:cs="Times New Roman"/>
        </w:rPr>
        <w:t>pproximately</w:t>
      </w:r>
      <w:r w:rsidR="00525763" w:rsidRPr="00070602">
        <w:rPr>
          <w:rFonts w:ascii="Times New Roman" w:hAnsi="Times New Roman" w:cs="Times New Roman"/>
        </w:rPr>
        <w:t xml:space="preserve"> 140 000 different synapses</w:t>
      </w:r>
      <w:r w:rsidR="00FB680F" w:rsidRPr="00070602">
        <w:rPr>
          <w:rFonts w:ascii="Times New Roman" w:hAnsi="Times New Roman" w:cs="Times New Roman"/>
        </w:rPr>
        <w:t xml:space="preserve"> </w:t>
      </w:r>
      <w:r w:rsidR="00FB680F"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"1529-2401", "PMID" : "11756501", "abstract" : "Protoplasmic astrocytes are increasingly thought to interact extensively with neuronal elements in the brain and to influence their activity. Recent reports have also begun to suggest that physiologically, and perhaps functionally, diverse forms of these cells may be present in the CNS. Our current understanding of astrocyte form and distribution is based predominantly on studies that used the astrocytic marker glial fibrillary acidic protein (GFAP) and on studies using metal-impregnation techniques. The prevalent opinion, based on studies using these methods, is that astrocytic processes overlap extensively and primarily share the underlying neuropil. However, both of these techniques have serious shortcomings for visualizing the interactions among these structurally complex cells. In the present study, intracellular injection combined with immunohistochemistry for GFAP show that GFAP delineates only approximately 15% of the total volume of the astrocyte. As a result, GFAP-based images have led to incorrect conclusions regarding the interaction of processes of neighboring astrocytes. To investigate these interactions in detail, groups of adjacent protoplasmic astrocytes in the CA1 stratum radiatum were injected with fluorescent intracellular tracers of distinctive emissive wavelengths and analyzed using three-dimensional (3D) confocal analysis and electron microscopy. Our findings show that protoplasmic astrocytes establish primarily exclusive territories. The knowledge of how the complex morphology of protoplasmic astrocytes affects their 3D relationships with other astrocytes, oligodendroglia, neurons, and vasculature of the brain should have important implications for our understanding of nervous system function.", "author" : [ { "dropping-particle" : "", "family" : "Bushong", "given" : "Eric A", "non-dropping-particle" : "", "parse-names" : false, "suffix" : "" }, { "dropping-particle" : "", "family" : "Martone", "given" : "Maryann E", "non-dropping-particle" : "", "parse-names" : false, "suffix" : "" }, { "dropping-particle" : "", "family" : "Jones", "given" : "Ying Z", "non-dropping-particle" : "", "parse-names" : false, "suffix" : "" }, { "dropping-particle" : "", "family" : "Ellisman", "given" : "Mark H", "non-dropping-particle" : "", "parse-names" : false, "suffix" : "" } ], "container-title" : "The Journal of neuroscience : the official journal of the Society for Neuroscience", "id" : "ITEM-1", "issue" : "1", "issued" : { "date-parts" : [ [ "2002", "1", "1" ] ] }, "page" : "183-92", "title" : "Protoplasmic astrocytes in CA1 stratum radiatum occupy separate anatomical domains.", "type" : "article-journal", "volume" : "22" }, "uris" : [ "http://www.mendeley.com/documents/?uuid=226c8402-4dcc-41eb-8ba7-14a92cac7fb0" ] } ], "mendeley" : { "formattedCitation" : "(Bushong et al. 2002a)", "manualFormatting" : "(Bushong et al., 2002)", "plainTextFormattedCitation" : "(Bushong et al. 2002a)", "previouslyFormattedCitation" : "(Bushong et al. 2002a)" }, "properties" : { "noteIndex" : 0 }, "schema" : "https://github.com/citation-style-language/schema/raw/master/csl-citation.json" }</w:instrText>
      </w:r>
      <w:r w:rsidR="00FB680F" w:rsidRPr="00070602">
        <w:rPr>
          <w:rFonts w:ascii="Times New Roman" w:hAnsi="Times New Roman" w:cs="Times New Roman"/>
        </w:rPr>
        <w:fldChar w:fldCharType="separate"/>
      </w:r>
      <w:r w:rsidR="00581142">
        <w:rPr>
          <w:rFonts w:ascii="Times New Roman" w:hAnsi="Times New Roman" w:cs="Times New Roman"/>
          <w:noProof/>
        </w:rPr>
        <w:t>(Bushong et al., 2002</w:t>
      </w:r>
      <w:r w:rsidR="001E6937" w:rsidRPr="001E6937">
        <w:rPr>
          <w:rFonts w:ascii="Times New Roman" w:hAnsi="Times New Roman" w:cs="Times New Roman"/>
          <w:noProof/>
        </w:rPr>
        <w:t>)</w:t>
      </w:r>
      <w:r w:rsidR="00FB680F" w:rsidRPr="00070602">
        <w:rPr>
          <w:rFonts w:ascii="Times New Roman" w:hAnsi="Times New Roman" w:cs="Times New Roman"/>
        </w:rPr>
        <w:fldChar w:fldCharType="end"/>
      </w:r>
      <w:r w:rsidR="00676FF7">
        <w:rPr>
          <w:rFonts w:ascii="Times New Roman" w:hAnsi="Times New Roman" w:cs="Times New Roman"/>
        </w:rPr>
        <w:t>, meaning</w:t>
      </w:r>
      <w:r w:rsidR="00FB680F" w:rsidRPr="00070602">
        <w:rPr>
          <w:rFonts w:ascii="Times New Roman" w:hAnsi="Times New Roman" w:cs="Times New Roman"/>
        </w:rPr>
        <w:t xml:space="preserve"> that a single astrocyte</w:t>
      </w:r>
      <w:r w:rsidR="00525763" w:rsidRPr="00070602">
        <w:rPr>
          <w:rFonts w:ascii="Times New Roman" w:hAnsi="Times New Roman" w:cs="Times New Roman"/>
        </w:rPr>
        <w:t xml:space="preserve"> can integrate the activity of</w:t>
      </w:r>
      <w:r w:rsidR="00FB680F" w:rsidRPr="00070602">
        <w:rPr>
          <w:rFonts w:ascii="Times New Roman" w:hAnsi="Times New Roman" w:cs="Times New Roman"/>
        </w:rPr>
        <w:t xml:space="preserve"> </w:t>
      </w:r>
      <w:r w:rsidR="00676FF7">
        <w:rPr>
          <w:rFonts w:ascii="Times New Roman" w:hAnsi="Times New Roman" w:cs="Times New Roman"/>
        </w:rPr>
        <w:t xml:space="preserve">thousands of neurons and </w:t>
      </w:r>
      <w:r w:rsidR="001D61ED" w:rsidRPr="00070602">
        <w:rPr>
          <w:rFonts w:ascii="Times New Roman" w:hAnsi="Times New Roman" w:cs="Times New Roman"/>
        </w:rPr>
        <w:t xml:space="preserve">produce calcium waves that reflect the magnitude of external synaptic activity. </w:t>
      </w:r>
    </w:p>
    <w:p w14:paraId="6713B6FA" w14:textId="77777777" w:rsidR="00676FF7" w:rsidRDefault="00676FF7" w:rsidP="00B07212">
      <w:pPr>
        <w:spacing w:line="360" w:lineRule="auto"/>
        <w:jc w:val="both"/>
        <w:rPr>
          <w:rFonts w:ascii="Times New Roman" w:hAnsi="Times New Roman" w:cs="Times New Roman"/>
        </w:rPr>
      </w:pPr>
    </w:p>
    <w:p w14:paraId="0D31DAF4" w14:textId="0F13719D" w:rsidR="00D66CCC" w:rsidRPr="00070602" w:rsidRDefault="00FB680F" w:rsidP="00B07212">
      <w:pPr>
        <w:spacing w:line="360" w:lineRule="auto"/>
        <w:jc w:val="both"/>
        <w:rPr>
          <w:rFonts w:ascii="Times New Roman" w:hAnsi="Times New Roman" w:cs="Times New Roman"/>
        </w:rPr>
      </w:pPr>
      <w:r w:rsidRPr="00070602">
        <w:rPr>
          <w:rFonts w:ascii="Times New Roman" w:hAnsi="Times New Roman" w:cs="Times New Roman"/>
        </w:rPr>
        <w:t>C</w:t>
      </w:r>
      <w:r w:rsidR="001D61ED" w:rsidRPr="00070602">
        <w:rPr>
          <w:rFonts w:ascii="Times New Roman" w:hAnsi="Times New Roman" w:cs="Times New Roman"/>
        </w:rPr>
        <w:t>alcium waves can propagate via gap junctions to neighbouring astrocytes to relay this neuronal</w:t>
      </w:r>
      <w:r w:rsidR="006445D7" w:rsidRPr="00070602">
        <w:rPr>
          <w:rFonts w:ascii="Times New Roman" w:hAnsi="Times New Roman" w:cs="Times New Roman"/>
        </w:rPr>
        <w:t xml:space="preserve"> activity</w:t>
      </w:r>
      <w:r w:rsidR="00922674" w:rsidRPr="00070602">
        <w:rPr>
          <w:rFonts w:ascii="Times New Roman" w:hAnsi="Times New Roman" w:cs="Times New Roman"/>
        </w:rPr>
        <w:t xml:space="preserve"> </w:t>
      </w:r>
      <w:r w:rsidR="0046373F">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"10.1371/journal.pcbi.1000909", "ISSN" : "1553-7358", "author" : [ { "dropping-particle" : "", "family" : "Goldberg", "given" : "Mati", "non-dropping-particle" : "", "parse-names" : false, "suffix" : "" }, { "dropping-particle" : "", "family" : "Pitt\u00e0", "given" : "Maurizio", "non-dropping-particle" : "De", "parse-names" : false, "suffix" : "" }, { "dropping-particle" : "", "family" : "Volman", "given" : "Vladislav", "non-dropping-particle" : "", "parse-names" : false, "suffix" : "" }, { "dropping-particle" : "", "family" : "Berry", "given" : "Hugues", "non-dropping-particle" : "", "parse-names" : false, "suffix" : "" }, { "dropping-particle" : "", "family" : "Ben-Jacob", "given" : "Eshel", "non-dropping-particle" : "", "parse-names" : false, "suffix" : "" } ], "container-title" : "PLoS Computational Biology", "editor" : [ { "dropping-particle" : "", "family" : "Gutkin", "given" : "Boris S.", "non-dropping-particle" : "", "parse-names" : false, "suffix" : "" } ], "id" : "ITEM-1", "issue" : "8", "issued" : { "date-parts" : [ [ "2010", "8", "26" ] ] }, "page" : "e1000909", "publisher" : "Public Library of Science", "title" : "Nonlinear Gap Junctions Enable Long-Distance Propagation of Pulsating Calcium Waves in Astrocyte Networks", "type" : "article-journal", "volume" : "6" }, "uris" : [ "http://www.mendeley.com/documents/?uuid=3ae70faa-5691-3b72-ae11-86fe34dcba2c" ] } ], "mendeley" : { "formattedCitation" : "(Goldberg et al. 2010)", "plainTextFormattedCitation" : "(Goldberg et al. 2010)", "previouslyFormattedCitation" : "(Goldberg et al. 2010)" }, "properties" : { "noteIndex" : 0 }, "schema" : "https://github.com/citation-style-language/schema/raw/master/csl-citation.json" }</w:instrText>
      </w:r>
      <w:r w:rsidR="0046373F">
        <w:rPr>
          <w:rFonts w:ascii="Times New Roman" w:hAnsi="Times New Roman" w:cs="Times New Roman"/>
        </w:rPr>
        <w:fldChar w:fldCharType="separate"/>
      </w:r>
      <w:r w:rsidR="00C148FC" w:rsidRPr="00C148FC">
        <w:rPr>
          <w:rFonts w:ascii="Times New Roman" w:hAnsi="Times New Roman" w:cs="Times New Roman"/>
          <w:noProof/>
        </w:rPr>
        <w:t>(Goldberg et al. 2010)</w:t>
      </w:r>
      <w:r w:rsidR="0046373F">
        <w:rPr>
          <w:rFonts w:ascii="Times New Roman" w:hAnsi="Times New Roman" w:cs="Times New Roman"/>
        </w:rPr>
        <w:fldChar w:fldCharType="end"/>
      </w:r>
      <w:r w:rsidR="0046373F">
        <w:rPr>
          <w:rFonts w:ascii="Times New Roman" w:hAnsi="Times New Roman" w:cs="Times New Roman"/>
        </w:rPr>
        <w:t xml:space="preserve">. </w:t>
      </w:r>
      <w:r w:rsidR="002E0EE9">
        <w:rPr>
          <w:rFonts w:ascii="Times New Roman" w:hAnsi="Times New Roman" w:cs="Times New Roman"/>
        </w:rPr>
        <w:t>Intracellular calcium levels are regulated by inositol triphosphate</w:t>
      </w:r>
      <w:r w:rsidR="004D435B">
        <w:rPr>
          <w:rFonts w:ascii="Times New Roman" w:hAnsi="Times New Roman" w:cs="Times New Roman"/>
        </w:rPr>
        <w:t xml:space="preserve"> (</w:t>
      </w:r>
      <w:r w:rsidR="004D435B" w:rsidRPr="005E2F37">
        <w:rPr>
          <w:rFonts w:ascii="Times New Roman" w:hAnsi="Times New Roman" w:cs="Times New Roman"/>
        </w:rPr>
        <w:t>IP</w:t>
      </w:r>
      <w:r w:rsidR="004D435B" w:rsidRPr="005E2F37">
        <w:rPr>
          <w:rFonts w:ascii="Times New Roman" w:hAnsi="Times New Roman" w:cs="Times New Roman"/>
          <w:vertAlign w:val="subscript"/>
        </w:rPr>
        <w:t>3</w:t>
      </w:r>
      <w:r w:rsidR="004D435B">
        <w:rPr>
          <w:rFonts w:ascii="Times New Roman" w:hAnsi="Times New Roman" w:cs="Times New Roman"/>
        </w:rPr>
        <w:t>)</w:t>
      </w:r>
      <w:r w:rsidR="002E0EE9">
        <w:rPr>
          <w:rFonts w:ascii="Times New Roman" w:hAnsi="Times New Roman" w:cs="Times New Roman"/>
        </w:rPr>
        <w:t xml:space="preserve">, which after reaching a minimum threshold level will trigger release of calcium from endoplasmic reticulum stores. Propagation of calcium signals between astrocytes is </w:t>
      </w:r>
      <w:r w:rsidR="005E2F37">
        <w:rPr>
          <w:rFonts w:ascii="Times New Roman" w:hAnsi="Times New Roman" w:cs="Times New Roman"/>
        </w:rPr>
        <w:t xml:space="preserve">mediated either by transfer of </w:t>
      </w:r>
      <w:r w:rsidR="005E2F37" w:rsidRPr="005E2F37">
        <w:rPr>
          <w:rFonts w:ascii="Times New Roman" w:hAnsi="Times New Roman" w:cs="Times New Roman"/>
        </w:rPr>
        <w:t>IP</w:t>
      </w:r>
      <w:r w:rsidR="005E2F37" w:rsidRPr="005E2F37">
        <w:rPr>
          <w:rFonts w:ascii="Times New Roman" w:hAnsi="Times New Roman" w:cs="Times New Roman"/>
          <w:vertAlign w:val="subscript"/>
        </w:rPr>
        <w:t>3</w:t>
      </w:r>
      <w:r w:rsidR="005E2F37">
        <w:rPr>
          <w:rFonts w:ascii="Times New Roman" w:hAnsi="Times New Roman" w:cs="Times New Roman"/>
          <w:vertAlign w:val="subscript"/>
        </w:rPr>
        <w:t xml:space="preserve"> </w:t>
      </w:r>
      <w:r w:rsidR="005E2F37">
        <w:rPr>
          <w:rFonts w:ascii="Times New Roman" w:hAnsi="Times New Roman" w:cs="Times New Roman"/>
        </w:rPr>
        <w:t xml:space="preserve">through gap junction hemichannels or diffusion of ATP that binds to plasma membrane receptors on astrocytes </w:t>
      </w:r>
      <w:r w:rsidR="005E2F37" w:rsidRPr="00070602">
        <w:rPr>
          <w:rFonts w:ascii="Times New Roman" w:hAnsi="Times New Roman" w:cs="Times New Roman"/>
        </w:rPr>
        <w:t>less than 120μM apart</w:t>
      </w:r>
      <w:r w:rsidR="004D435B">
        <w:rPr>
          <w:rFonts w:ascii="Times New Roman" w:hAnsi="Times New Roman" w:cs="Times New Roman"/>
        </w:rPr>
        <w:t>, causing an increase in</w:t>
      </w:r>
      <w:r w:rsidR="005E2F37">
        <w:rPr>
          <w:rFonts w:ascii="Times New Roman" w:hAnsi="Times New Roman" w:cs="Times New Roman"/>
        </w:rPr>
        <w:t xml:space="preserve"> </w:t>
      </w:r>
      <w:r w:rsidR="005E2F37" w:rsidRPr="005E2F37">
        <w:rPr>
          <w:rFonts w:ascii="Times New Roman" w:hAnsi="Times New Roman" w:cs="Times New Roman"/>
        </w:rPr>
        <w:t>IP</w:t>
      </w:r>
      <w:r w:rsidR="005E2F37" w:rsidRPr="005E2F37">
        <w:rPr>
          <w:rFonts w:ascii="Times New Roman" w:hAnsi="Times New Roman" w:cs="Times New Roman"/>
          <w:vertAlign w:val="subscript"/>
        </w:rPr>
        <w:t>3</w:t>
      </w:r>
      <w:r w:rsidR="005E2F37" w:rsidRPr="005E2F37">
        <w:rPr>
          <w:rFonts w:ascii="Times New Roman" w:hAnsi="Times New Roman" w:cs="Times New Roman"/>
        </w:rPr>
        <w:t xml:space="preserve"> </w:t>
      </w:r>
      <w:r w:rsidR="005E2F37"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"0270-6474", "PMID" : "9880572", "abstract" : "Calcium waves represent a widespread form of intercellular communication. Although they have been thought for a long time to require gap junctions, we recently demonstrated that mouse cortical astrocytes use an extracellular messenger for calcium wave propagation. The present experiments identify ATP as a major extracellular messenger in this system. Medium collected from astrocyte cultures during (but not before) calcium wave stimulation contains ATP. The excitatory effects of medium samples and of ATP are blocked by purinergic receptor antagonists and by pretreatment with apyrase; these same purinergic receptor antagonists block propagation of electrically evoked calcium waves. ATP, applied at the concentration measured in medium samples, evokes responses that are qualitatively and quantitatively similar to those evoked by those medium samples. These data implicate ATP as an important transmitter between CNS astrocytes.", "author" : [ { "dropping-particle" : "", "family" : "Guthrie", "given" : "P B", "non-dropping-particle" : "", "parse-names" : false, "suffix" : "" }, { "dropping-particle" : "", "family" : "Knappenberger", "given" : "J", "non-dropping-particle" : "", "parse-names" : false, "suffix" : "" }, { "dropping-particle" : "", "family" : "Segal", "given" : "M", "non-dropping-particle" : "", "parse-names" : false, "suffix" : "" }, { "dropping-particle" : "V", "family" : "Bennett", "given" : "M", "non-dropping-particle" : "", "parse-names" : false, "suffix" : "" }, { "dropping-particle" : "", "family" : "Charles", "given" : "A C", "non-dropping-particle" : "", "parse-names" : false, "suffix" : "" }, { "dropping-particle" : "", "family" : "Kater", "given" : "S B", "non-dropping-particle" : "", "parse-names" : false, "suffix" : "" } ], "container-title" : "The Journal of neuroscience : the official journal of the Society for Neuroscience", "id" : "ITEM-1", "issue" : "2", "issued" : { "date-parts" : [ [ "1999", "1", "15" ] ] }, "page" : "520-8", "title" : "ATP released from astrocytes mediates glial calcium waves.", "type" : "article-journal", "volume" : "19" }, "uris" : [ "http://www.mendeley.com/documents/?uuid=d62a28b0-f553-41dd-be01-24370f657660" ] }, { "id" : "ITEM-2", "itemData" : { "DOI" : "10.1002/glia.20374", "ISSN" : "0894-1491", "author" : [ { "dropping-particle" : "", "family" : "Scemes", "given" : "Eliana", "non-dropping-particle" : "", "parse-names" : false, "suffix" : "" }, { "dropping-particle" : "", "family" : "Giaume", "given" : "Christian", "non-dropping-particle" : "", "parse-names" : false, "suffix" : "" } ], "container-title" : "Glia", "id" : "ITEM-2", "issue" : "7", "issued" : { "date-parts" : [ [ "2006", "11", "15" ] ] }, "page" : "716-725", "publisher" : "Wiley Subscription Services, Inc., A Wiley Company", "title" : "Astrocyte calcium waves: What they are and what they do", "type" : "article-journal", "volume" : "54" }, "uris" : [ "http://www.mendeley.com/documents/?uuid=f16dbf4b-adfc-362d-b81a-c0042f874a86" ] } ], "mendeley" : { "formattedCitation" : "(Guthrie et al. 1999; Scemes &amp; Giaume 2006)", "plainTextFormattedCitation" : "(Guthrie et al. 1999; Scemes &amp; Giaume 2006)", "previouslyFormattedCitation" : "(Guthrie et al. 1999; Scemes &amp; Giaume 2006)" }, "properties" : { "noteIndex" : 0 }, "schema" : "https://github.com/citation-style-language/schema/raw/master/csl-citation.json" }</w:instrText>
      </w:r>
      <w:r w:rsidR="005E2F37" w:rsidRPr="00070602">
        <w:rPr>
          <w:rFonts w:ascii="Times New Roman" w:hAnsi="Times New Roman" w:cs="Times New Roman"/>
        </w:rPr>
        <w:fldChar w:fldCharType="separate"/>
      </w:r>
      <w:r w:rsidR="00C148FC" w:rsidRPr="00C148FC">
        <w:rPr>
          <w:rFonts w:ascii="Times New Roman" w:hAnsi="Times New Roman" w:cs="Times New Roman"/>
          <w:noProof/>
        </w:rPr>
        <w:t>(Guthrie et al. 1999; Scemes &amp; Giaume 2006)</w:t>
      </w:r>
      <w:r w:rsidR="005E2F37" w:rsidRPr="00070602">
        <w:rPr>
          <w:rFonts w:ascii="Times New Roman" w:hAnsi="Times New Roman" w:cs="Times New Roman"/>
        </w:rPr>
        <w:fldChar w:fldCharType="end"/>
      </w:r>
      <w:r w:rsidR="005E2F37" w:rsidRPr="00070602">
        <w:rPr>
          <w:rFonts w:ascii="Times New Roman" w:hAnsi="Times New Roman" w:cs="Times New Roman"/>
        </w:rPr>
        <w:t xml:space="preserve">. </w:t>
      </w:r>
      <w:r w:rsidR="005E2F37">
        <w:rPr>
          <w:rFonts w:ascii="Times New Roman" w:hAnsi="Times New Roman" w:cs="Times New Roman"/>
          <w:vertAlign w:val="subscript"/>
        </w:rPr>
        <w:t xml:space="preserve"> </w:t>
      </w:r>
      <w:r w:rsidR="00D57E97">
        <w:rPr>
          <w:rFonts w:ascii="Times New Roman" w:hAnsi="Times New Roman" w:cs="Times New Roman"/>
        </w:rPr>
        <w:t>These events are not mutually exclusive and are likely to occur at the same time</w:t>
      </w:r>
      <w:r w:rsidR="004D435B">
        <w:rPr>
          <w:rFonts w:ascii="Times New Roman" w:hAnsi="Times New Roman" w:cs="Times New Roman"/>
        </w:rPr>
        <w:t>, which allows an individual astrocyte</w:t>
      </w:r>
      <w:r w:rsidR="00D57E97">
        <w:rPr>
          <w:rFonts w:ascii="Times New Roman" w:hAnsi="Times New Roman" w:cs="Times New Roman"/>
        </w:rPr>
        <w:t xml:space="preserve"> to coordinate</w:t>
      </w:r>
      <w:r w:rsidR="00AB5776">
        <w:rPr>
          <w:rFonts w:ascii="Times New Roman" w:hAnsi="Times New Roman" w:cs="Times New Roman"/>
        </w:rPr>
        <w:t xml:space="preserve"> the activity of</w:t>
      </w:r>
      <w:r w:rsidR="00D57E97">
        <w:rPr>
          <w:rFonts w:ascii="Times New Roman" w:hAnsi="Times New Roman" w:cs="Times New Roman"/>
        </w:rPr>
        <w:t xml:space="preserve"> groups of cells.</w:t>
      </w:r>
      <w:r w:rsidR="00AB5776">
        <w:rPr>
          <w:rFonts w:ascii="Times New Roman" w:hAnsi="Times New Roman" w:cs="Times New Roman"/>
        </w:rPr>
        <w:t xml:space="preserve"> In addition, by having two different calcium propagation mechanisms astrocytes can compensate when one of the systems is impaired. </w:t>
      </w:r>
    </w:p>
    <w:p w14:paraId="33434E73" w14:textId="77777777" w:rsidR="00567751" w:rsidRDefault="00233453" w:rsidP="008F19DC">
      <w:pPr>
        <w:spacing w:line="360" w:lineRule="auto"/>
        <w:rPr>
          <w:rFonts w:ascii="Times New Roman" w:hAnsi="Times New Roman" w:cs="Times New Roman"/>
        </w:rPr>
      </w:pPr>
      <w:r>
        <w:rPr>
          <w:rFonts w:ascii="Times New Roman" w:hAnsi="Times New Roman" w:cs="Times New Roman"/>
        </w:rPr>
        <w:t xml:space="preserve"> </w:t>
      </w:r>
    </w:p>
    <w:p w14:paraId="41A4F81F" w14:textId="3F42DC5F" w:rsidR="00676FF7" w:rsidRDefault="00676FF7" w:rsidP="00B07212">
      <w:pPr>
        <w:spacing w:line="360" w:lineRule="auto"/>
        <w:jc w:val="both"/>
        <w:rPr>
          <w:rFonts w:ascii="Times New Roman" w:hAnsi="Times New Roman" w:cs="Times New Roman"/>
        </w:rPr>
      </w:pPr>
      <w:r w:rsidRPr="00070602">
        <w:rPr>
          <w:rFonts w:ascii="Times New Roman" w:hAnsi="Times New Roman" w:cs="Times New Roman"/>
        </w:rPr>
        <w:t xml:space="preserve">Calcium is believed to be the main regulator of gliotransmission and triggers exocytotic release of vesicles containing gliotransmitter. Calcium oscillations in astrocytes are triggered by the direct binding of neurotransmitter such as synaptically released glutamate to glutamate receptors on astrocytes </w:t>
      </w:r>
      <w:r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"10.1073/pnas.97.15.8629", "ISSN" : "0027-8424", "PMID" : "10900020", "abstract" : "Astrocytes can release glutamate in a calcium-dependent manner and consequently signal to adjacent neurons. Whether this glutamate release pathway is used during physiological signaling or is recruited only under pathophysiological conditions is not well defined. One reason for this lack of understanding is the limited knowledge about the levels of calcium necessary to stimulate glutamate release from astrocytes and about how they compare with the range of physiological calcium levels in these cells. We used flash photolysis to raise internal calcium in astrocytes, while monitoring astrocytic calcium levels and glutamate, which evoked slow inward currents that were recorded electrophysiologically from single neurons grown on microislands of astrocytes. With this approach, we demonstrate that modest changes of astrocytic calcium, from 84 to 140 nM, evoke substantial glutamatergic currents in neighboring neurons (-391 pA), with a Hill coefficient of 2.1 to 2.7. Because the agonists glutamate, norepinephrine, and dopamine all raise calcium in astrocytes to levels exceeding 1.8 microM, these quantitative studies demonstrate that the astrocytic glutamate release pathway is engaged at physiological levels of internal calcium. Consequently, the calcium-dependent release of glutamate from astrocytes functions within an appropriate range of astrocytic calcium levels to be used as a signaling pathway within the functional nervous system.", "author" : [ { "dropping-particle" : "", "family" : "Parpura", "given" : "V.", "non-dropping-particle" : "", "parse-names" : false, "suffix" : "" }, { "dropping-particle" : "", "family" : "Haydon", "given" : "P. G.", "non-dropping-particle" : "", "parse-names" : false, "suffix" : "" } ], "container-title" : "Proceedings of the National Academy of Sciences", "id" : "ITEM-1", "issue" : "15", "issued" : { "date-parts" : [ [ "2000", "7", "18" ] ] }, "page" : "8629-8634", "title" : "Physiological astrocytic calcium levels stimulate glutamate release to modulate adjacent neurons", "type" : "article-journal", "volume" : "97" }, "uris" : [ "http://www.mendeley.com/documents/?uuid=d057d171-db2a-4e07-941b-1ba55ef7670b" ] } ], "mendeley" : { "formattedCitation" : "(Parpura &amp; Haydon 2000)", "plainTextFormattedCitation" : "(Parpura &amp; Haydon 2000)", "previouslyFormattedCitation" : "(Parpura &amp; Haydon 2000)" }, "properties" : { "noteIndex" : 0 }, "schema" : "https://github.com/citation-style-language/schema/raw/master/csl-citation.json" }</w:instrText>
      </w:r>
      <w:r w:rsidRPr="00070602">
        <w:rPr>
          <w:rFonts w:ascii="Times New Roman" w:hAnsi="Times New Roman" w:cs="Times New Roman"/>
        </w:rPr>
        <w:fldChar w:fldCharType="separate"/>
      </w:r>
      <w:r w:rsidR="00C148FC" w:rsidRPr="00C148FC">
        <w:rPr>
          <w:rFonts w:ascii="Times New Roman" w:hAnsi="Times New Roman" w:cs="Times New Roman"/>
          <w:noProof/>
        </w:rPr>
        <w:t>(Parpura &amp; Haydon 2000)</w:t>
      </w:r>
      <w:r w:rsidRPr="00070602">
        <w:rPr>
          <w:rFonts w:ascii="Times New Roman" w:hAnsi="Times New Roman" w:cs="Times New Roman"/>
        </w:rPr>
        <w:fldChar w:fldCharType="end"/>
      </w:r>
      <w:r w:rsidRPr="00070602">
        <w:rPr>
          <w:rFonts w:ascii="Times New Roman" w:hAnsi="Times New Roman" w:cs="Times New Roman"/>
        </w:rPr>
        <w:t xml:space="preserve">. Repetitive neuronal firing can increase the frequency of calcium oscillations within an adjacent astrocyte, therefore astrocytes are able to adjust their response to synaptic activity accordingly and have the potential to amplify synaptic activity </w:t>
      </w:r>
      <w:r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"0270-6474", "PMID" : "9315902", "abstract" : "The spatial-temporal characteristics of intracellular calcium ([Ca2+]i) changes elicited in neurons and astrocytes by various types of stimuli were investigated by means of confocal fluorescent microscopy in acute rat brain slices loaded with the Ca2+ indicator indo-1. Neurons and astrocytes from the visual cortex and CA1 hippocampal region were identified in situ on the basis of their morphological, electrophysiological, and pharmacological features. We show here that stimulation of neuronal afferents triggered periodic [Ca2+]i oscillations in astrocytes. The frequency of these oscillations was under a dynamic control by neuronal activity as it changed according to the pattern of stimulation. After repetitive episodes of neuronal stimulation as well as repetitive stimulation with a metabotropic glutamate receptor agonist, astrocytes displayed a long-lasting increase in [Ca2+]i oscillation frequency. Oscillating astrocytes were accompanied by repetitive [Ca2+]i elevations in adjacent neurons, most likely because of the release of glutamate via a tetanus toxin-resistant process. These results reveal that [Ca2+]i oscillations in astrocytes represent a highly plastic signaling system that underlies the reciprocal communication between neurons and astrocytes.", "author" : [ { "dropping-particle" : "", "family" : "Pasti", "given" : "L", "non-dropping-particle" : "", "parse-names" : false, "suffix" : "" }, { "dropping-particle" : "", "family" : "Volterra", "given" : "A", "non-dropping-particle" : "", "parse-names" : false, "suffix" : "" }, { "dropping-particle" : "", "family" : "Pozzan", "given" : "T", "non-dropping-particle" : "", "parse-names" : false, "suffix" : "" }, { "dropping-particle" : "", "family" : "Carmignoto", "given" : "G", "non-dropping-particle" : "", "parse-names" : false, "suffix" : "" } ], "container-title" : "The Journal of neuroscience : the official journal of the Society for Neuroscience", "id" : "ITEM-1", "issue" : "20", "issued" : { "date-parts" : [ [ "1997", "10", "15" ] ] }, "page" : "7817-30", "title" : "Intracellular calcium oscillations in astrocytes: a highly plastic, bidirectional form of communication between neurons and astrocytes in situ.", "type" : "article-journal", "volume" : "17" }, "uris" : [ "http://www.mendeley.com/documents/?uuid=303cd38d-04b9-44a6-a797-3d5abd83061f" ] } ], "mendeley" : { "formattedCitation" : "(Pasti et al. 1997)", "plainTextFormattedCitation" : "(Pasti et al. 1997)", "previouslyFormattedCitation" : "(Pasti et al. 1997)" }, "properties" : { "noteIndex" : 0 }, "schema" : "https://github.com/citation-style-language/schema/raw/master/csl-citation.json" }</w:instrText>
      </w:r>
      <w:r w:rsidRPr="00070602">
        <w:rPr>
          <w:rFonts w:ascii="Times New Roman" w:hAnsi="Times New Roman" w:cs="Times New Roman"/>
        </w:rPr>
        <w:fldChar w:fldCharType="separate"/>
      </w:r>
      <w:r w:rsidR="00C148FC" w:rsidRPr="00C148FC">
        <w:rPr>
          <w:rFonts w:ascii="Times New Roman" w:hAnsi="Times New Roman" w:cs="Times New Roman"/>
          <w:noProof/>
        </w:rPr>
        <w:t>(Pasti et al. 1997)</w:t>
      </w:r>
      <w:r w:rsidRPr="00070602">
        <w:rPr>
          <w:rFonts w:ascii="Times New Roman" w:hAnsi="Times New Roman" w:cs="Times New Roman"/>
        </w:rPr>
        <w:fldChar w:fldCharType="end"/>
      </w:r>
      <w:r w:rsidRPr="00070602">
        <w:rPr>
          <w:rFonts w:ascii="Times New Roman" w:hAnsi="Times New Roman" w:cs="Times New Roman"/>
        </w:rPr>
        <w:t xml:space="preserve">. Calcium oscillations resulting in glutamate release from astrocytes can also occur spontaneously </w:t>
      </w:r>
      <w:r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"10.1523/JNEUROSCI.0473-04.2004", "ISSN" : "1529-2401", "PMID" : "15295027", "abstract" : "Glial cells of the nervous system directly influence neuronal and synaptic activities by releasing transmitters. However, the physiological consequences of this glial transmitter release on brain information processing remain poorly understood. We demonstrate here in hippocampal slices of 2- to 5-week-old rats that glutamate released from glial cells generates slow transient currents (STCs) mediated by the activation of NMDA receptors in pyramidal cells. STCs persist in the absence of neuronal and synaptic activity, indicating a nonsynaptic origin of the source of glutamate. Indeed, STCs occur spontaneously but can also be induced by pharmacological tools known to activate astrocytes and by the selective mechanical stimulation of single nearby glial cells. Bath application of the inhibitor of the glutamate uptake dl-threo-beta-benzyloxyaspartate increases both the frequency of STCs and the amplitude of a tonic conductance mediated by NMDA receptors and probably also originated from glial glutamate release. By using dual recordings, we observed synchronized STCs in pyramidal cells having their soma distant by &lt;100 microm. The degree of precision (&lt;100 msec) of this synchronization rules out the involvement of calcium waves spreading through the glial network. It also indicates that single glial cells release glutamate onto adjacent neuronal processes, thereby controlling simultaneously the excitability of several neighboring pyramidal cells. In conclusion, our results show that the glial glutamate release occurs spontaneously and synchronizes the neuronal activity in the hippocampus.", "author" : [ { "dropping-particle" : "", "family" : "Angulo", "given" : "Mar\u00eda Cecilia", "non-dropping-particle" : "", "parse-names" : false, "suffix" : "" }, { "dropping-particle" : "", "family" : "Kozlov", "given" : "Andre\u00ef S", "non-dropping-particle" : "", "parse-names" : false, "suffix" : "" }, { "dropping-particle" : "", "family" : "Charpak", "given" : "Serge", "non-dropping-particle" : "", "parse-names" : false, "suffix" : "" }, { "dropping-particle" : "", "family" : "Audinat", "given" : "Etienne", "non-dropping-particle" : "", "parse-names" : false, "suffix" : "" } ], "container-title" : "The Journal of neuroscience : the official journal of the Society for Neuroscience", "id" : "ITEM-1", "issue" : "31", "issued" : { "date-parts" : [ [ "2004", "8", "4" ] ] }, "page" : "6920-7", "title" : "Glutamate released from glial cells synchronizes neuronal activity in the hippocampus.", "type" : "article-journal", "volume" : "24" }, "uris" : [ "http://www.mendeley.com/documents/?uuid=2ee30e3c-b351-4daf-b7b7-7249c32ae275" ] } ], "mendeley" : { "formattedCitation" : "(Angulo et al. 2004)", "plainTextFormattedCitation" : "(Angulo et al. 2004)", "previouslyFormattedCitation" : "(Angulo et al. 2004)" }, "properties" : { "noteIndex" : 0 }, "schema" : "https://github.com/citation-style-language/schema/raw/master/csl-citation.json" }</w:instrText>
      </w:r>
      <w:r w:rsidRPr="00070602">
        <w:rPr>
          <w:rFonts w:ascii="Times New Roman" w:hAnsi="Times New Roman" w:cs="Times New Roman"/>
        </w:rPr>
        <w:fldChar w:fldCharType="separate"/>
      </w:r>
      <w:r w:rsidR="00C148FC" w:rsidRPr="00C148FC">
        <w:rPr>
          <w:rFonts w:ascii="Times New Roman" w:hAnsi="Times New Roman" w:cs="Times New Roman"/>
          <w:noProof/>
        </w:rPr>
        <w:t>(Angulo et al. 2004)</w:t>
      </w:r>
      <w:r w:rsidRPr="00070602">
        <w:rPr>
          <w:rFonts w:ascii="Times New Roman" w:hAnsi="Times New Roman" w:cs="Times New Roman"/>
        </w:rPr>
        <w:fldChar w:fldCharType="end"/>
      </w:r>
      <w:r w:rsidRPr="00070602">
        <w:rPr>
          <w:rFonts w:ascii="Times New Roman" w:hAnsi="Times New Roman" w:cs="Times New Roman"/>
        </w:rPr>
        <w:t xml:space="preserve">. This means that astrocytes can initiate neuronal activity before synaptic transmission influences a response from astrocytes.  </w:t>
      </w:r>
      <w:r>
        <w:rPr>
          <w:rFonts w:ascii="Times New Roman" w:hAnsi="Times New Roman" w:cs="Times New Roman"/>
        </w:rPr>
        <w:t>There is also</w:t>
      </w:r>
      <w:r w:rsidRPr="00070602">
        <w:rPr>
          <w:rFonts w:ascii="Times New Roman" w:hAnsi="Times New Roman" w:cs="Times New Roman"/>
        </w:rPr>
        <w:t xml:space="preserve"> evidence that reactive astrocytes are not spontaneously active, which suggests that in a disease state this bi-directional communication between astrocytes and neurons is lost</w:t>
      </w:r>
      <w:r>
        <w:rPr>
          <w:rFonts w:ascii="Times New Roman" w:hAnsi="Times New Roman" w:cs="Times New Roman"/>
        </w:rPr>
        <w:t xml:space="preserve">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"10.3389/fphar.2012.00139", "ISSN" : "1663-9812", "PMID" : "22811669", "abstract" : "A prominent area of neuroscience research over the past 20\u2009years has been the acute modulation of neuronal synaptic activity by Ca(2+)-dependent release of the transmitters ATP, D-serine, and glutamate (called gliotransmitters) by astrocytes. Although the physiological relevance of this mechanism is under debate, emerging evidence suggests that there are critical factors in addition to Ca(2+) that are required for gliotransmitters to be released from astrocytes. Interestingly, these factors include activated microglia and the proinflammatory cytokine Tumor Necrosis Factor \u03b1 (TNF\u03b1), chemotactic cytokine Stromal cell-Derived Factor-1\u03b1 (SDF-1\u03b1), and inflammatory mediator prostaglandin E2 (PGE(2)). Of note, microglial activation and release of inflammatory molecules from activated microglia and reactive astrocytes can occur within minutes of a triggering stimulus. Therefore, activation of astrocytes by inflammatory molecules combined with Ca(2+) elevations may lead to gliotransmitter release, and be an important step in the early sequence of events contributing to hyperexcitability, excitotoxicity, and neurodegeneration in the damaged or diseased brain. In this review, we will first examine evidence questioning Ca(2+)-dependent gliotransmitter release from astrocytes in healthy brain tissue, followed by a close examination of recent work suggesting that Ca(2+)-dependent gliotransmitter release occurs as an early event in the development of neurological disorders and neuroinflammatory and neurodegenerative diseases.", "author" : [ { "dropping-particle" : "", "family" : "Agulhon", "given" : "Cendra", "non-dropping-particle" : "", "parse-names" : false, "suffix" : "" }, { "dropping-particle" : "", "family" : "Sun", "given" : "Min-Yu", "non-dropping-particle" : "", "parse-names" : false, "suffix" : "" }, { "dropping-particle" : "", "family" : "Murphy", "given" : "Thomas", "non-dropping-particle" : "", "parse-names" : false, "suffix" : "" }, { "dropping-particle" : "", "family" : "Myers", "given" : "Timothy", "non-dropping-particle" : "", "parse-names" : false, "suffix" : "" }, { "dropping-particle" : "", "family" : "Lauderdale", "given" : "Kelli", "non-dropping-particle" : "", "parse-names" : false, "suffix" : "" }, { "dropping-particle" : "", "family" : "Fiacco", "given" : "Todd A", "non-dropping-particle" : "", "parse-names" : false, "suffix" : "" } ], "container-title" : "Frontiers in pharmacology", "id" : "ITEM-1", "issued" : { "date-parts" : [ [ "2012" ] ] }, "page" : "139", "publisher" : "Frontiers Media SA", "title" : "Calcium Signaling and Gliotransmission in Normal vs. Reactive Astrocytes.", "type" : "article-journal", "volume" : "3" }, "uris" : [ "http://www.mendeley.com/documents/?uuid=b96dfa55-fce2-30c1-9032-2434749f1e88" ] } ], "mendeley" : { "formattedCitation" : "(Agulhon et al. 2012a)", "manualFormatting" : "(Agulhon et al., 2012)", "plainTextFormattedCitation" : "(Agulhon et al. 2012a)", "previouslyFormattedCitation" : "(Agulhon et al. 2012a)" }, "properties" : { "noteIndex" : 0 }, "schema" : "https://github.com/citation-style-language/schema/raw/master/csl-citation.json" }</w:instrText>
      </w:r>
      <w:r>
        <w:rPr>
          <w:rFonts w:ascii="Times New Roman" w:hAnsi="Times New Roman" w:cs="Times New Roman"/>
        </w:rPr>
        <w:fldChar w:fldCharType="separate"/>
      </w:r>
      <w:r w:rsidR="005060F7">
        <w:rPr>
          <w:rFonts w:ascii="Times New Roman" w:hAnsi="Times New Roman" w:cs="Times New Roman"/>
          <w:noProof/>
        </w:rPr>
        <w:t>(Agulhon et al., 2012</w:t>
      </w:r>
      <w:r w:rsidRPr="00527635">
        <w:rPr>
          <w:rFonts w:ascii="Times New Roman" w:hAnsi="Times New Roman" w:cs="Times New Roman"/>
          <w:noProof/>
        </w:rPr>
        <w:t>)</w:t>
      </w:r>
      <w:r>
        <w:rPr>
          <w:rFonts w:ascii="Times New Roman" w:hAnsi="Times New Roman" w:cs="Times New Roman"/>
        </w:rPr>
        <w:fldChar w:fldCharType="end"/>
      </w:r>
      <w:r>
        <w:rPr>
          <w:rFonts w:ascii="Times New Roman" w:hAnsi="Times New Roman" w:cs="Times New Roman"/>
        </w:rPr>
        <w:t>.</w:t>
      </w:r>
    </w:p>
    <w:p w14:paraId="1FA80447" w14:textId="77777777" w:rsidR="00676FF7" w:rsidRDefault="00676FF7" w:rsidP="008F19DC">
      <w:pPr>
        <w:spacing w:line="360" w:lineRule="auto"/>
        <w:rPr>
          <w:rFonts w:ascii="Times New Roman" w:hAnsi="Times New Roman" w:cs="Times New Roman"/>
        </w:rPr>
      </w:pPr>
    </w:p>
    <w:p w14:paraId="4BF900A0" w14:textId="4F7BB0A8" w:rsidR="00676FF7" w:rsidRPr="00676FF7" w:rsidRDefault="00676FF7" w:rsidP="00B07212">
      <w:pPr>
        <w:spacing w:line="360" w:lineRule="auto"/>
        <w:jc w:val="both"/>
        <w:rPr>
          <w:rFonts w:ascii="Times New Roman" w:hAnsi="Times New Roman" w:cs="Times New Roman"/>
        </w:rPr>
      </w:pPr>
      <w:r w:rsidRPr="00676FF7">
        <w:rPr>
          <w:rFonts w:ascii="Times New Roman" w:hAnsi="Times New Roman" w:cs="Times New Roman"/>
        </w:rPr>
        <w:t xml:space="preserve">Calcium signalling triggers gliotransmitter release, which serves to regulate neurotransmission.  This has led to the idea that an individual astrocyte can regulate “islands” of synapses through the gliotransmitters released within a particular domain and co-ordinate these activities with regulating access to nutrients in the blood </w:t>
      </w:r>
      <w:r w:rsidRPr="00676FF7">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"10.1523/JNEUROSCI.1419-07.2007", "ISSN" : "0270-6474", "author" : [ { "dropping-particle" : "", "family" : "Halassa", "given" : "M. M.", "non-dropping-particle" : "", "parse-names" : false, "suffix" : "" }, { "dropping-particle" : "", "family" : "Fellin", "given" : "T.", "non-dropping-particle" : "", "parse-names" : false, "suffix" : "" }, { "dropping-particle" : "", "family" : "Takano", "given" : "H.", "non-dropping-particle" : "", "parse-names" : false, "suffix" : "" }, { "dropping-particle" : "", "family" : "Dong", "given" : "J.-H.", "non-dropping-particle" : "", "parse-names" : false, "suffix" : "" }, { "dropping-particle" : "", "family" : "Haydon", "given" : "P. G.", "non-dropping-particle" : "", "parse-names" : false, "suffix" : "" } ], "container-title" : "Journal of Neuroscience", "id" : "ITEM-1", "issue" : "24", "issued" : { "date-parts" : [ [ "2007", "6", "13" ] ] }, "page" : "6473-6477", "publisher" : "Society for Neuroscience", "title" : "Synaptic Islands Defined by the Territory of a Single Astrocyte", "type" : "article-journal", "volume" : "27" }, "uris" : [ "http://www.mendeley.com/documents/?uuid=d3fcdf45-874f-376e-a3c4-fec2e21cb8c0" ] } ], "mendeley" : { "formattedCitation" : "(Halassa et al. 2007)", "plainTextFormattedCitation" : "(Halassa et al. 2007)", "previouslyFormattedCitation" : "(Halassa et al. 2007)" }, "properties" : { "noteIndex" : 0 }, "schema" : "https://github.com/citation-style-language/schema/raw/master/csl-citation.json" }</w:instrText>
      </w:r>
      <w:r w:rsidRPr="00676FF7">
        <w:rPr>
          <w:rFonts w:ascii="Times New Roman" w:hAnsi="Times New Roman" w:cs="Times New Roman"/>
        </w:rPr>
        <w:fldChar w:fldCharType="separate"/>
      </w:r>
      <w:r w:rsidR="00C148FC" w:rsidRPr="00C148FC">
        <w:rPr>
          <w:rFonts w:ascii="Times New Roman" w:hAnsi="Times New Roman" w:cs="Times New Roman"/>
          <w:noProof/>
        </w:rPr>
        <w:t>(Halassa et al. 2007)</w:t>
      </w:r>
      <w:r w:rsidRPr="00676FF7">
        <w:rPr>
          <w:rFonts w:ascii="Times New Roman" w:hAnsi="Times New Roman" w:cs="Times New Roman"/>
        </w:rPr>
        <w:fldChar w:fldCharType="end"/>
      </w:r>
      <w:r w:rsidRPr="00676FF7">
        <w:rPr>
          <w:rFonts w:ascii="Times New Roman" w:hAnsi="Times New Roman" w:cs="Times New Roman"/>
        </w:rPr>
        <w:t xml:space="preserve">.    </w:t>
      </w:r>
    </w:p>
    <w:p w14:paraId="67F2C5F5" w14:textId="77777777" w:rsidR="00676FF7" w:rsidRDefault="00676FF7" w:rsidP="008F19DC">
      <w:pPr>
        <w:spacing w:line="360" w:lineRule="auto"/>
        <w:rPr>
          <w:rFonts w:ascii="Times New Roman" w:hAnsi="Times New Roman" w:cs="Times New Roman"/>
        </w:rPr>
      </w:pPr>
    </w:p>
    <w:p w14:paraId="0EE9359D" w14:textId="23BA8148" w:rsidR="00676FF7" w:rsidRPr="00676FF7" w:rsidRDefault="00676FF7" w:rsidP="00C25727">
      <w:pPr>
        <w:rPr>
          <w:rFonts w:ascii="Times New Roman" w:hAnsi="Times New Roman" w:cs="Times New Roman"/>
          <w:b/>
          <w:i/>
          <w:u w:val="single"/>
        </w:rPr>
      </w:pPr>
      <w:r>
        <w:rPr>
          <w:rFonts w:ascii="Times New Roman" w:hAnsi="Times New Roman" w:cs="Times New Roman"/>
          <w:b/>
          <w:i/>
          <w:u w:val="single"/>
        </w:rPr>
        <w:t>Gliotransmitters</w:t>
      </w:r>
    </w:p>
    <w:p w14:paraId="5472AC60" w14:textId="56F273DA" w:rsidR="003E03FE" w:rsidRPr="00546C80" w:rsidRDefault="002164B7" w:rsidP="00B07212">
      <w:pPr>
        <w:spacing w:line="360" w:lineRule="auto"/>
        <w:jc w:val="both"/>
        <w:rPr>
          <w:rFonts w:ascii="Times New Roman" w:hAnsi="Times New Roman" w:cs="Times New Roman"/>
        </w:rPr>
      </w:pPr>
      <w:r>
        <w:rPr>
          <w:rFonts w:ascii="Times New Roman" w:hAnsi="Times New Roman" w:cs="Times New Roman"/>
        </w:rPr>
        <w:t>Astrocytes</w:t>
      </w:r>
      <w:r w:rsidR="005C5E10" w:rsidRPr="00070602">
        <w:rPr>
          <w:rFonts w:ascii="Times New Roman" w:hAnsi="Times New Roman" w:cs="Times New Roman"/>
        </w:rPr>
        <w:t xml:space="preserve"> release</w:t>
      </w:r>
      <w:r w:rsidR="00D73EB0" w:rsidRPr="00070602">
        <w:rPr>
          <w:rFonts w:ascii="Times New Roman" w:hAnsi="Times New Roman" w:cs="Times New Roman"/>
        </w:rPr>
        <w:t xml:space="preserve"> chemical transmitters called</w:t>
      </w:r>
      <w:r w:rsidR="005C5E10" w:rsidRPr="00070602">
        <w:rPr>
          <w:rFonts w:ascii="Times New Roman" w:hAnsi="Times New Roman" w:cs="Times New Roman"/>
        </w:rPr>
        <w:t xml:space="preserve"> gliotransmitters </w:t>
      </w:r>
      <w:r w:rsidR="00D73EB0" w:rsidRPr="00070602">
        <w:rPr>
          <w:rFonts w:ascii="Times New Roman" w:hAnsi="Times New Roman" w:cs="Times New Roman"/>
        </w:rPr>
        <w:t>in response to</w:t>
      </w:r>
      <w:r w:rsidR="005C5E10" w:rsidRPr="00070602">
        <w:rPr>
          <w:rFonts w:ascii="Times New Roman" w:hAnsi="Times New Roman" w:cs="Times New Roman"/>
        </w:rPr>
        <w:t xml:space="preserve"> </w:t>
      </w:r>
      <w:r w:rsidR="001923CE" w:rsidRPr="00070602">
        <w:rPr>
          <w:rFonts w:ascii="Times New Roman" w:hAnsi="Times New Roman" w:cs="Times New Roman"/>
        </w:rPr>
        <w:t>neuronal activity</w:t>
      </w:r>
      <w:r w:rsidR="00F22A77" w:rsidRPr="00070602">
        <w:rPr>
          <w:rFonts w:ascii="Times New Roman" w:hAnsi="Times New Roman" w:cs="Times New Roman"/>
        </w:rPr>
        <w:t>.</w:t>
      </w:r>
      <w:r w:rsidR="001923CE" w:rsidRPr="00070602">
        <w:rPr>
          <w:rFonts w:ascii="Times New Roman" w:hAnsi="Times New Roman" w:cs="Times New Roman"/>
        </w:rPr>
        <w:t xml:space="preserve"> </w:t>
      </w:r>
      <w:r w:rsidR="00D73EB0" w:rsidRPr="00070602">
        <w:rPr>
          <w:rFonts w:ascii="Times New Roman" w:hAnsi="Times New Roman" w:cs="Times New Roman"/>
        </w:rPr>
        <w:t xml:space="preserve">These include glutamate, </w:t>
      </w:r>
      <w:r w:rsidR="00676FF7">
        <w:rPr>
          <w:rFonts w:ascii="Times New Roman" w:hAnsi="Times New Roman" w:cs="Times New Roman"/>
        </w:rPr>
        <w:t>adenosine triphosphate (</w:t>
      </w:r>
      <w:r w:rsidR="00D73EB0" w:rsidRPr="00070602">
        <w:rPr>
          <w:rFonts w:ascii="Times New Roman" w:hAnsi="Times New Roman" w:cs="Times New Roman"/>
        </w:rPr>
        <w:t>ATP</w:t>
      </w:r>
      <w:r w:rsidR="00676FF7">
        <w:rPr>
          <w:rFonts w:ascii="Times New Roman" w:hAnsi="Times New Roman" w:cs="Times New Roman"/>
        </w:rPr>
        <w:t>)</w:t>
      </w:r>
      <w:r w:rsidR="00D73EB0" w:rsidRPr="00070602">
        <w:rPr>
          <w:rFonts w:ascii="Times New Roman" w:hAnsi="Times New Roman" w:cs="Times New Roman"/>
        </w:rPr>
        <w:t xml:space="preserve"> and D-serine that can bind to receptors on neurons and modulate synaptic strength</w:t>
      </w:r>
      <w:r w:rsidR="00676FF7">
        <w:rPr>
          <w:rFonts w:ascii="Times New Roman" w:hAnsi="Times New Roman" w:cs="Times New Roman"/>
        </w:rPr>
        <w:t xml:space="preserve"> </w:t>
      </w:r>
      <w:r w:rsidR="004721FB">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"10.1038/369744a0", "ISSN" : "0028-0836", "PMID" : "7911978", "abstract" : "Neurotransmitter released from neurons is known to signal to neighbouring neurons and glia. Here we demonstrate an additional signalling pathway in which glutamate is released from astrocytes and causes an NMDA (N-methyl-D-aspartate) receptor-mediated increase in neuronal calcium. Internal calcium was elevated and glutamate release stimulated by application of the neuroligand bradykinin to cultured astrocytes. Elevation of astrocyte internal calcium was also sufficient to induce glutamate release. To determine whether this released glutamate signals to neurons, we studied astrocyte-neuron co-cultures. Bradykinin significantly increased calcium levels in neurons co-cultured with astrocytes, but not in solitary neurons. The glutamate receptor antagonists D-2-amino-5-phosphonopentanoic acid and D-glutamylglycine prevented bradykinin-induced neuronal calcium elevation. When single astrocytes were directly stimulated to increase internal calcium and release glutamate, calcium levels of adjacent neurons were increased; this increase could be blocked by D-glutamylglycine. Thus, astrocytes regulate neuronal calcium levels through the calcium-dependent release of glutamate.", "author" : [ { "dropping-particle" : "", "family" : "Parpura", "given" : "V", "non-dropping-particle" : "", "parse-names" : false, "suffix" : "" }, { "dropping-particle" : "", "family" : "Basarsky", "given" : "T A", "non-dropping-particle" : "", "parse-names" : false, "suffix" : "" }, { "dropping-particle" : "", "family" : "Liu", "given" : "F", "non-dropping-particle" : "", "parse-names" : false, "suffix" : "" }, { "dropping-particle" : "", "family" : "Jeftinija", "given" : "K", "non-dropping-particle" : "", "parse-names" : false, "suffix" : "" }, { "dropping-particle" : "", "family" : "Jeftinija", "given" : "S", "non-dropping-particle" : "", "parse-names" : false, "suffix" : "" }, { "dropping-particle" : "", "family" : "Haydon", "given" : "P G", "non-dropping-particle" : "", "parse-names" : false, "suffix" : "" } ], "container-title" : "Nature", "id" : "ITEM-1", "issue" : "6483", "issued" : { "date-parts" : [ [ "1994", "6", "30" ] ] }, "page" : "744-7", "title" : "Glutamate-mediated astrocyte-neuron signalling.", "type" : "article-journal", "volume" : "369" }, "uris" : [ "http://www.mendeley.com/documents/?uuid=caf8889c-fbfb-3488-a5b1-34fb00ae4558" ] }, { "id" : "ITEM-2", "itemData" : { "ISSN" : "0270-6474", "PMID" : "9786986", "abstract" : "We have studied the role of actin fiber assembly on calcium signaling in astrocytes. We found that (1) after astrocytes have been placed in culture, it takes several hours for organization of the definitive actin cytoskeleton. Actin organization and the number of cells engaged in calcium signaling increased in parallel. (2) Disruption of the actin cytoskeleton attenuated the calcium wave propagation; cytochalasin D treatment reduced the number of astrocytes engaged in calcium signaling. (3) Propagation of calcium waves depends on cytoskeletal function; inhibition of myosin light chain kinase suppressed wave activity. (4) Astrocytic calcium signaling is mediated by release of ATP and purinergic receptor stimulation, because agents that interfere with this cascade attenuated or reduced calcium signaling. Because purinergic receptors are fully functional shortly after plating and not affected by cytochalasin D, these observations indicate that cytoskeleton organization is a prerequisite for interastrocytic calcium signaling mediated by release of ATP.", "author" : [ { "dropping-particle" : "", "family" : "Cotrina", "given" : "M L", "non-dropping-particle" : "", "parse-names" : false, "suffix" : "" }, { "dropping-particle" : "", "family" : "Lin", "given" : "J H", "non-dropping-particle" : "", "parse-names" : false, "suffix" : "" }, { "dropping-particle" : "", "family" : "Nedergaard", "given" : "M", "non-dropping-particle" : "", "parse-names" : false, "suffix" : "" } ], "container-title" : "The Journal of neuroscience : the official journal of the Society for Neuroscience", "id" : "ITEM-2", "issue" : "21", "issued" : { "date-parts" : [ [ "1998", "11", "1" ] ] }, "page" : "8794-804", "title" : "Cytoskeletal assembly and ATP release regulate astrocytic calcium signaling.", "type" : "article-journal", "volume" : "18" }, "uris" : [ "http://www.mendeley.com/documents/?uuid=99753612-95cf-3b3c-85a8-d41140e3b112" ] }, { "id" : "ITEM-3", "itemData" : { "ISSN" : "0027-8424", "PMID" : "7732010", "abstract" : "Using an antibody highly specific for D-serine conjugated to glutaraldehyde, we have localized endogenous D-serine in rat brain. Highest levels of D-serine immunoreactivity occur in the gray matter of the cerebral cortex, hippocampus, anterior olfactory nucleus, olfactory tubercle, and amygdala. Localizations of D-serine immunoreactivity correlate closely with those of D-serine binding to the glycine modulatory site of the N-methyl-D-aspartate (NMDA) receptor as visualized by autoradiography and are inversely correlated to the presence of D-amino acid oxidase. D-Serine is enriched in process-bearing glial cells in neuropil with the morphology of protoplasmic astrocytes. In glial cultures of rat cerebral cortex, D-serine is enriched in type 2 astrocytes. The release of D-serine from these cultures is stimulated by agonists of non-NMDA glutamate receptors, suggesting a mechanism by which astrocyte-derived D-serine could modulate neurotransmission. D-Serine appears to be the endogenous ligand for the glycine site of NMDA receptors.", "author" : [ { "dropping-particle" : "", "family" : "Schell", "given" : "M J", "non-dropping-particle" : "", "parse-names" : false, "suffix" : "" }, { "dropping-particle" : "", "family" : "Molliver", "given" : "M E", "non-dropping-particle" : "", "parse-names" : false, "suffix" : "" }, { "dropping-particle" : "", "family" : "Snyder", "given" : "S H", "non-dropping-particle" : "", "parse-names" : false, "suffix" : "" } ], "container-title" : "Proceedings of the National Academy of Sciences of the United States of America", "id" : "ITEM-3", "issue" : "9", "issued" : { "date-parts" : [ [ "1995", "4", "25" ] ] }, "page" : "3948-52", "publisher" : "National Academy of Sciences", "title" : "D-serine, an endogenous synaptic modulator: localization to astrocytes and glutamate-stimulated release.", "type" : "article-journal", "volume" : "92" }, "uris" : [ "http://www.mendeley.com/documents/?uuid=d7bd3bad-be81-382b-8e57-f2f0ec127d61" ] } ], "mendeley" : { "formattedCitation" : "(Parpura et al. 1994; Cotrina et al. 1998; Schell et al. 1995)", "plainTextFormattedCitation" : "(Parpura et al. 1994; Cotrina et al. 1998; Schell et al. 1995)", "previouslyFormattedCitation" : "(Parpura et al. 1994; Cotrina et al. 1998; Schell et al. 1995)" }, "properties" : { "noteIndex" : 0 }, "schema" : "https://github.com/citation-style-language/schema/raw/master/csl-citation.json" }</w:instrText>
      </w:r>
      <w:r w:rsidR="004721FB">
        <w:rPr>
          <w:rFonts w:ascii="Times New Roman" w:hAnsi="Times New Roman" w:cs="Times New Roman"/>
        </w:rPr>
        <w:fldChar w:fldCharType="separate"/>
      </w:r>
      <w:r w:rsidR="00C148FC" w:rsidRPr="00C148FC">
        <w:rPr>
          <w:rFonts w:ascii="Times New Roman" w:hAnsi="Times New Roman" w:cs="Times New Roman"/>
          <w:noProof/>
        </w:rPr>
        <w:t>(Parpura et al. 1994; Cotrina et al. 1998; Schell et al. 1995)</w:t>
      </w:r>
      <w:r w:rsidR="004721FB">
        <w:rPr>
          <w:rFonts w:ascii="Times New Roman" w:hAnsi="Times New Roman" w:cs="Times New Roman"/>
        </w:rPr>
        <w:fldChar w:fldCharType="end"/>
      </w:r>
      <w:r w:rsidR="00D73EB0" w:rsidRPr="00070602">
        <w:rPr>
          <w:rFonts w:ascii="Times New Roman" w:hAnsi="Times New Roman" w:cs="Times New Roman"/>
        </w:rPr>
        <w:t>.</w:t>
      </w:r>
      <w:r w:rsidR="00855FA9" w:rsidRPr="00070602">
        <w:rPr>
          <w:rFonts w:ascii="Times New Roman" w:hAnsi="Times New Roman" w:cs="Times New Roman"/>
        </w:rPr>
        <w:t xml:space="preserve"> Gliotransmitters are thought to enhance synaptic transmission although metabolites of ATP have also been shown to inhibit release of neurotransmitters</w:t>
      </w:r>
      <w:r w:rsidR="00F615B0">
        <w:rPr>
          <w:rFonts w:ascii="Times New Roman" w:hAnsi="Times New Roman" w:cs="Times New Roman"/>
        </w:rPr>
        <w:t xml:space="preserve"> such as glutamate</w:t>
      </w:r>
      <w:r w:rsidR="003B4E8C">
        <w:rPr>
          <w:rFonts w:ascii="Times New Roman" w:hAnsi="Times New Roman" w:cs="Times New Roman"/>
          <w:color w:val="FF0000"/>
        </w:rPr>
        <w:t xml:space="preserve"> </w:t>
      </w:r>
      <w:r w:rsidR="003B4E8C" w:rsidRPr="003B4E8C">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"10.1073/pnas.1834448100", "ISSN" : "0027-8424", "author" : [ { "dropping-particle" : "", "family" : "Koizumi", "given" : "S.", "non-dropping-particle" : "", "parse-names" : false, "suffix" : "" }, { "dropping-particle" : "", "family" : "Fujishita", "given" : "K.", "non-dropping-particle" : "", "parse-names" : false, "suffix" : "" }, { "dropping-particle" : "", "family" : "Tsuda", "given" : "M.", "non-dropping-particle" : "", "parse-names" : false, "suffix" : "" }, { "dropping-particle" : "", "family" : "Shigemoto-Mogami", "given" : "Y.", "non-dropping-particle" : "", "parse-names" : false, "suffix" : "" }, { "dropping-particle" : "", "family" : "Inoue", "given" : "K.", "non-dropping-particle" : "", "parse-names" : false, "suffix" : "" } ], "container-title" : "Proceedings of the National Academy of Sciences", "id" : "ITEM-1", "issue" : "19", "issued" : { "date-parts" : [ [ "2003", "9", "16" ] ] }, "page" : "11023-11028", "publisher" : "National Academy of Sciences", "title" : "Dynamic inhibition of excitatory synaptic transmission by astrocyte-derived ATP in hippocampal cultures", "type" : "article-journal", "volume" : "100" }, "uris" : [ "http://www.mendeley.com/documents/?uuid=622959fd-fc27-3bd8-8664-95b5ba1f111f" ] } ], "mendeley" : { "formattedCitation" : "(Koizumi et al. 2003)", "plainTextFormattedCitation" : "(Koizumi et al. 2003)", "previouslyFormattedCitation" : "(Koizumi et al. 2003)" }, "properties" : { "noteIndex" : 0 }, "schema" : "https://github.com/citation-style-language/schema/raw/master/csl-citation.json" }</w:instrText>
      </w:r>
      <w:r w:rsidR="003B4E8C" w:rsidRPr="003B4E8C">
        <w:rPr>
          <w:rFonts w:ascii="Times New Roman" w:hAnsi="Times New Roman" w:cs="Times New Roman"/>
        </w:rPr>
        <w:fldChar w:fldCharType="separate"/>
      </w:r>
      <w:r w:rsidR="00C148FC" w:rsidRPr="00C148FC">
        <w:rPr>
          <w:rFonts w:ascii="Times New Roman" w:hAnsi="Times New Roman" w:cs="Times New Roman"/>
          <w:noProof/>
        </w:rPr>
        <w:t>(Koizumi et al. 2003)</w:t>
      </w:r>
      <w:r w:rsidR="003B4E8C" w:rsidRPr="003B4E8C">
        <w:rPr>
          <w:rFonts w:ascii="Times New Roman" w:hAnsi="Times New Roman" w:cs="Times New Roman"/>
        </w:rPr>
        <w:fldChar w:fldCharType="end"/>
      </w:r>
      <w:r w:rsidR="00855FA9" w:rsidRPr="003B4E8C">
        <w:rPr>
          <w:rFonts w:ascii="Times New Roman" w:hAnsi="Times New Roman" w:cs="Times New Roman"/>
        </w:rPr>
        <w:t xml:space="preserve">. </w:t>
      </w:r>
      <w:r w:rsidR="00773590">
        <w:rPr>
          <w:rFonts w:ascii="Times New Roman" w:hAnsi="Times New Roman" w:cs="Times New Roman"/>
        </w:rPr>
        <w:t>Therefore an im</w:t>
      </w:r>
      <w:r w:rsidR="00855FA9" w:rsidRPr="00070602">
        <w:rPr>
          <w:rFonts w:ascii="Times New Roman" w:hAnsi="Times New Roman" w:cs="Times New Roman"/>
        </w:rPr>
        <w:t>balance in gliotransmission, which may occur when astro</w:t>
      </w:r>
      <w:r w:rsidR="003159EC" w:rsidRPr="00070602">
        <w:rPr>
          <w:rFonts w:ascii="Times New Roman" w:hAnsi="Times New Roman" w:cs="Times New Roman"/>
        </w:rPr>
        <w:t xml:space="preserve">cytes become reactive or </w:t>
      </w:r>
      <w:r w:rsidR="003F5FE3" w:rsidRPr="00070602">
        <w:rPr>
          <w:rFonts w:ascii="Times New Roman" w:hAnsi="Times New Roman" w:cs="Times New Roman"/>
        </w:rPr>
        <w:t xml:space="preserve">in </w:t>
      </w:r>
      <w:r w:rsidR="003159EC" w:rsidRPr="00070602">
        <w:rPr>
          <w:rFonts w:ascii="Times New Roman" w:hAnsi="Times New Roman" w:cs="Times New Roman"/>
        </w:rPr>
        <w:t>response</w:t>
      </w:r>
      <w:r w:rsidR="00855FA9" w:rsidRPr="00070602">
        <w:rPr>
          <w:rFonts w:ascii="Times New Roman" w:hAnsi="Times New Roman" w:cs="Times New Roman"/>
        </w:rPr>
        <w:t xml:space="preserve"> to factors released from the vasculature during an immune response, may alter neuronal activity</w:t>
      </w:r>
      <w:r w:rsidR="00676FF7">
        <w:rPr>
          <w:rFonts w:ascii="Times New Roman" w:hAnsi="Times New Roman" w:cs="Times New Roman"/>
        </w:rPr>
        <w:t xml:space="preserve"> </w:t>
      </w:r>
      <w:r w:rsidR="007B3F55">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"10.1007/s11302-008-9115-1", "ISSN" : "1573-9538", "PMID" : "18568425", "abstract" : "This paper focuses on a role for ATP neurotransmission and gliotransmission in the pathophysiology of epileptic seizures. ATP along with gap junctions propagates the glial calcium wave, which is an extraneuronal signalling pathway in the central nervous system. Recently astrocyte intercellular calcium waves have been shown to underlie seizures, and conventional antiepileptic drugs have been shown to attenuate these calcium waves. Blocking ATP-mediated gliotransmission, therefore, represents a potential target for antiepileptic drugs. Furthermore, while knowledge of an antiepileptic role for adenosine is not new, a recent study showed that adenosine accumulates from the hydrolysis of accumulated ATP released by astrocytes and is believed to inhibit distant synapses by acting on adenosine receptors. Such a mechanism is consistent with a surround-inhibitory mechanism whose failure would predispose to seizures. Other potential roles for ATP signalling in the initiation and spread of epileptiform discharges may involve synaptic plasticity and coordination of synaptic networks. We conclude by making speculations about future developments.", "author" : [ { "dropping-particle" : "", "family" : "Kumaria", "given" : "Ashwin", "non-dropping-particle" : "", "parse-names" : false, "suffix" : "" }, { "dropping-particle" : "", "family" : "Tolias", "given" : "Christos M", "non-dropping-particle" : "", "parse-names" : false, "suffix" : "" }, { "dropping-particle" : "", "family" : "Burnstock", "given" : "Geoffrey", "non-dropping-particle" : "", "parse-names" : false, "suffix" : "" } ], "container-title" : "Purinergic signalling", "id" : "ITEM-1", "issue" : "4", "issued" : { "date-parts" : [ [ "2008", "12" ] ] }, "page" : "339-46", "title" : "ATP signalling in epilepsy.", "type" : "article-journal", "volume" : "4" }, "uris" : [ "http://www.mendeley.com/documents/?uuid=0bf1d784-d138-3b93-851e-caef90624276" ] }, { "id" : "ITEM-2", "itemData" : { "DOI" : "10.3389/fphar.2012.00139", "ISSN" : "1663-9812", "PMID" : "22811669", "abstract" : "A prominent area of neuroscience research over the past 20\u2009years has been the acute modulation of neuronal synaptic activity by Ca(2+)-dependent release of the transmitters ATP, D-serine, and glutamate (called gliotransmitters) by astrocytes. Although the physiological relevance of this mechanism is under debate, emerging evidence suggests that there are critical factors in addition to Ca(2+) that are required for gliotransmitters to be released from astrocytes. Interestingly, these factors include activated microglia and the proinflammatory cytokine Tumor Necrosis Factor \u03b1 (TNF\u03b1), chemotactic cytokine Stromal cell-Derived Factor-1\u03b1 (SDF-1\u03b1), and inflammatory mediator prostaglandin E2 (PGE(2)). Of note, microglial activation and release of inflammatory molecules from activated microglia and reactive astrocytes can occur within minutes of a triggering stimulus. Therefore, activation of astrocytes by inflammatory molecules combined with Ca(2+) elevations may lead to gliotransmitter release, and be an important step in the early sequence of events contributing to hyperexcitability, excitotoxicity, and neurodegeneration in the damaged or diseased brain. In this review, we will first examine evidence questioning Ca(2+)-dependent gliotransmitter release from astrocytes in healthy brain tissue, followed by a close examination of recent work suggesting that Ca(2+)-dependent gliotransmitter release occurs as an early event in the development of neurological disorders and neuroinflammatory and neurodegenerative diseases.", "author" : [ { "dropping-particle" : "", "family" : "Agulhon", "given" : "Cendra", "non-dropping-particle" : "", "parse-names" : false, "suffix" : "" }, { "dropping-particle" : "", "family" : "Sun", "given" : "Min-Yu", "non-dropping-particle" : "", "parse-names" : false, "suffix" : "" }, { "dropping-particle" : "", "family" : "Murphy", "given" : "Thomas", "non-dropping-particle" : "", "parse-names" : false, "suffix" : "" }, { "dropping-particle" : "", "family" : "Myers", "given" : "Timothy", "non-dropping-particle" : "", "parse-names" : false, "suffix" : "" }, { "dropping-particle" : "", "family" : "Lauderdale", "given" : "Kelli", "non-dropping-particle" : "", "parse-names" : false, "suffix" : "" }, { "dropping-particle" : "", "family" : "Fiacco", "given" : "Todd A", "non-dropping-particle" : "", "parse-names" : false, "suffix" : "" } ], "container-title" : "Frontiers in pharmacology", "id" : "ITEM-2", "issued" : { "date-parts" : [ [ "2012" ] ] }, "page" : "139", "publisher" : "Frontiers Media SA", "title" : "Calcium Signaling and Gliotransmission in Normal vs. Reactive Astrocytes.", "type" : "article-journal", "volume" : "3" }, "uris" : [ "http://www.mendeley.com/documents/?uuid=b96dfa55-fce2-30c1-9032-2434749f1e88" ] } ], "mendeley" : { "formattedCitation" : "(Kumaria et al. 2008; Agulhon et al. 2012a)", "manualFormatting" : "(Agulhon et al., 2012; Kumaria, Tolias, &amp; Burnstock, 2008)", "plainTextFormattedCitation" : "(Kumaria et al. 2008; Agulhon et al. 2012a)", "previouslyFormattedCitation" : "(Kumaria et al. 2008; Agulhon et al. 2012a)" }, "properties" : { "noteIndex" : 0 }, "schema" : "https://github.com/citation-style-language/schema/raw/master/csl-citation.json" }</w:instrText>
      </w:r>
      <w:r w:rsidR="007B3F55">
        <w:rPr>
          <w:rFonts w:ascii="Times New Roman" w:hAnsi="Times New Roman" w:cs="Times New Roman"/>
        </w:rPr>
        <w:fldChar w:fldCharType="separate"/>
      </w:r>
      <w:r w:rsidR="00412D2B">
        <w:rPr>
          <w:rFonts w:ascii="Times New Roman" w:hAnsi="Times New Roman" w:cs="Times New Roman"/>
          <w:noProof/>
        </w:rPr>
        <w:t>(Agulhon et al., 2012</w:t>
      </w:r>
      <w:r w:rsidR="00412D2B" w:rsidRPr="00412D2B">
        <w:rPr>
          <w:rFonts w:ascii="Times New Roman" w:hAnsi="Times New Roman" w:cs="Times New Roman"/>
          <w:noProof/>
        </w:rPr>
        <w:t>; Kumaria, Tolias, &amp; Burnstock, 2008)</w:t>
      </w:r>
      <w:r w:rsidR="007B3F55">
        <w:rPr>
          <w:rFonts w:ascii="Times New Roman" w:hAnsi="Times New Roman" w:cs="Times New Roman"/>
        </w:rPr>
        <w:fldChar w:fldCharType="end"/>
      </w:r>
      <w:r w:rsidR="00855FA9" w:rsidRPr="00070602">
        <w:rPr>
          <w:rFonts w:ascii="Times New Roman" w:hAnsi="Times New Roman" w:cs="Times New Roman"/>
        </w:rPr>
        <w:t>.</w:t>
      </w:r>
      <w:r w:rsidR="00493B68" w:rsidRPr="00070602">
        <w:rPr>
          <w:rFonts w:ascii="Times New Roman" w:hAnsi="Times New Roman" w:cs="Times New Roman"/>
        </w:rPr>
        <w:t xml:space="preserve"> For example, </w:t>
      </w:r>
      <w:r w:rsidR="003159EC" w:rsidRPr="00070602">
        <w:rPr>
          <w:rFonts w:ascii="Times New Roman" w:hAnsi="Times New Roman" w:cs="Times New Roman"/>
        </w:rPr>
        <w:t>excessive glutamate released from astrocytes cau</w:t>
      </w:r>
      <w:r w:rsidR="006F53F2">
        <w:rPr>
          <w:rFonts w:ascii="Times New Roman" w:hAnsi="Times New Roman" w:cs="Times New Roman"/>
        </w:rPr>
        <w:t>ses prolonged neuronal depolaris</w:t>
      </w:r>
      <w:r w:rsidR="003159EC" w:rsidRPr="00070602">
        <w:rPr>
          <w:rFonts w:ascii="Times New Roman" w:hAnsi="Times New Roman" w:cs="Times New Roman"/>
        </w:rPr>
        <w:t xml:space="preserve">ation and is therefore thought to be responsible for </w:t>
      </w:r>
      <w:r w:rsidR="00493B68" w:rsidRPr="00070602">
        <w:rPr>
          <w:rFonts w:ascii="Times New Roman" w:hAnsi="Times New Roman" w:cs="Times New Roman"/>
        </w:rPr>
        <w:t xml:space="preserve">epileptic seizures </w:t>
      </w:r>
      <w:r w:rsidR="002C5A17"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"10.1038/nm1277", "ISSN" : "1078-8956", "PMID" : "16116433", "abstract" : "Hypersynchronous neuronal firing is a hallmark of epilepsy, but the mechanisms underlying simultaneous activation of multiple neurons remains unknown. Epileptic discharges are in part initiated by a local depolarization shift that drives groups of neurons into synchronous bursting. In an attempt to define the cellular basis for hypersynchronous bursting activity, we studied the occurrence of paroxysmal depolarization shifts after suppressing synaptic activity using tetrodotoxin (TTX) and voltage-gated Ca(2+) channel blockers. Here we report that paroxysmal depolarization shifts can be initiated by release of glutamate from extrasynaptic sources or by photolysis of caged Ca(2+) in astrocytes. Two-photon imaging of live exposed cortex showed that several antiepileptic agents, including valproate, gabapentin and phenytoin, reduced the ability of astrocytes to transmit Ca(2+) signaling. Our results show an unanticipated key role for astrocytes in seizure activity. As such, these findings identify astrocytes as a proximal target for the treatment of epileptic disorders.", "author" : [ { "dropping-particle" : "", "family" : "Tian", "given" : "Guo-Feng", "non-dropping-particle" : "", "parse-names" : false, "suffix" : "" }, { "dropping-particle" : "", "family" : "Azmi", "given" : "Hooman", "non-dropping-particle" : "", "parse-names" : false, "suffix" : "" }, { "dropping-particle" : "", "family" : "Takano", "given" : "Takahiro", "non-dropping-particle" : "", "parse-names" : false, "suffix" : "" }, { "dropping-particle" : "", "family" : "Xu", "given" : "Qiwu", "non-dropping-particle" : "", "parse-names" : false, "suffix" : "" }, { "dropping-particle" : "", "family" : "Peng", "given" : "Weiguo", "non-dropping-particle" : "", "parse-names" : false, "suffix" : "" }, { "dropping-particle" : "", "family" : "Lin", "given" : "Jane", "non-dropping-particle" : "", "parse-names" : false, "suffix" : "" }, { "dropping-particle" : "", "family" : "Oberheim", "given" : "NancyAnn", "non-dropping-particle" : "", "parse-names" : false, "suffix" : "" }, { "dropping-particle" : "", "family" : "Lou", "given" : "Nanhong", "non-dropping-particle" : "", "parse-names" : false, "suffix" : "" }, { "dropping-particle" : "", "family" : "Wang", "given" : "Xiaohai", "non-dropping-particle" : "", "parse-names" : false, "suffix" : "" }, { "dropping-particle" : "", "family" : "Zielke", "given" : "H Ronald", "non-dropping-particle" : "", "parse-names" : false, "suffix" : "" }, { "dropping-particle" : "", "family" : "Kang", "given" : "Jian", "non-dropping-particle" : "", "parse-names" : false, "suffix" : "" }, { "dropping-particle" : "", "family" : "Nedergaard", "given" : "Maiken", "non-dropping-particle" : "", "parse-names" : false, "suffix" : "" } ], "container-title" : "Nature medicine", "id" : "ITEM-1", "issue" : "9", "issued" : { "date-parts" : [ [ "2005", "9" ] ] }, "page" : "973-81", "title" : "An astrocytic basis of epilepsy.", "type" : "article-journal", "volume" : "11" }, "uris" : [ "http://www.mendeley.com/documents/?uuid=fe4fb218-4c42-4ed6-8df3-f6e9daefb8a4" ] } ], "mendeley" : { "formattedCitation" : "(Tian et al. 2005)", "plainTextFormattedCitation" : "(Tian et al. 2005)", "previouslyFormattedCitation" : "(Tian et al. 2005)" }, "properties" : { "noteIndex" : 0 }, "schema" : "https://github.com/citation-style-language/schema/raw/master/csl-citation.json" }</w:instrText>
      </w:r>
      <w:r w:rsidR="002C5A17" w:rsidRPr="00070602">
        <w:rPr>
          <w:rFonts w:ascii="Times New Roman" w:hAnsi="Times New Roman" w:cs="Times New Roman"/>
        </w:rPr>
        <w:fldChar w:fldCharType="separate"/>
      </w:r>
      <w:r w:rsidR="00C148FC" w:rsidRPr="00C148FC">
        <w:rPr>
          <w:rFonts w:ascii="Times New Roman" w:hAnsi="Times New Roman" w:cs="Times New Roman"/>
          <w:noProof/>
        </w:rPr>
        <w:t>(Tian et al. 2005)</w:t>
      </w:r>
      <w:r w:rsidR="002C5A17" w:rsidRPr="00070602">
        <w:rPr>
          <w:rFonts w:ascii="Times New Roman" w:hAnsi="Times New Roman" w:cs="Times New Roman"/>
        </w:rPr>
        <w:fldChar w:fldCharType="end"/>
      </w:r>
      <w:r w:rsidR="00493B68" w:rsidRPr="00070602">
        <w:rPr>
          <w:rFonts w:ascii="Times New Roman" w:hAnsi="Times New Roman" w:cs="Times New Roman"/>
        </w:rPr>
        <w:t>.</w:t>
      </w:r>
      <w:r w:rsidR="00B91648" w:rsidRPr="00070602">
        <w:rPr>
          <w:rFonts w:ascii="Times New Roman" w:hAnsi="Times New Roman" w:cs="Times New Roman"/>
        </w:rPr>
        <w:t xml:space="preserve"> There are a number of different mechanisms used for gliotransmitter release; calcium dependent exocytosis </w:t>
      </w:r>
      <w:r w:rsidR="00B91648"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"10.1101/pdb.prot081711", "ISSN" : "1559-6095", "PMID" : "24786509", "abstract" : "Optical imaging techniques are well suited for following the dynamics of physiological processes in living cells. Total internal reflection fluorescence (TIRF) microscopy based on evanescent wave illumination (EWi) allows spectacular, real-time visualization of individual vesicle movements, fusions, and retrievals at the cell surface (i.e., within 100 nm of the plasma membrane). TIRF microscopy is an ideal approach for studying the properties of exocytosis and recycling in cultured astrocytes, particularly because these cells have a rather flat surface and contain secretory vesicles with sparse distribution. Among all populations of secretory vesicles, we focus here on synaptic-like microvesicles (SLMVs). We illustrate how TIRF microscopy using EWi is useful to study exocytosis and recycling of SLMVs at the single-vesicle level and, when combined with epifluorescence illumination (EPIi), can provide detailed information on the kinetics of exocytosis, endocytosis, and re-acidification at the whole-cell level.", "author" : [ { "dropping-particle" : "", "family" : "Bezzi", "given" : "P.", "non-dropping-particle" : "", "parse-names" : false, "suffix" : "" }, { "dropping-particle" : "", "family" : "Volterra", "given" : "A.", "non-dropping-particle" : "", "parse-names" : false, "suffix" : "" } ], "container-title" : "Cold Spring Harbor Protocols", "id" : "ITEM-1", "issue" : "5", "issued" : { "date-parts" : [ [ "2014", "5", "1" ] ] }, "page" : "pdb.prot081711-pdb.prot081711", "title" : "Imaging Exocytosis and Recycling of Synaptic-Like Microvesicles in Astrocytes", "type" : "article-journal", "volume" : "2014" }, "uris" : [ "http://www.mendeley.com/documents/?uuid=d71c2a71-382b-4d64-8801-b6aaad896b79" ] } ], "mendeley" : { "formattedCitation" : "(Bezzi &amp; Volterra 2014)", "plainTextFormattedCitation" : "(Bezzi &amp; Volterra 2014)", "previouslyFormattedCitation" : "(Bezzi &amp; Volterra 2014)" }, "properties" : { "noteIndex" : 0 }, "schema" : "https://github.com/citation-style-language/schema/raw/master/csl-citation.json" }</w:instrText>
      </w:r>
      <w:r w:rsidR="00B91648" w:rsidRPr="00070602">
        <w:rPr>
          <w:rFonts w:ascii="Times New Roman" w:hAnsi="Times New Roman" w:cs="Times New Roman"/>
        </w:rPr>
        <w:fldChar w:fldCharType="separate"/>
      </w:r>
      <w:r w:rsidR="00C148FC" w:rsidRPr="00C148FC">
        <w:rPr>
          <w:rFonts w:ascii="Times New Roman" w:hAnsi="Times New Roman" w:cs="Times New Roman"/>
          <w:noProof/>
        </w:rPr>
        <w:t>(Bezzi &amp; Volterra 2014)</w:t>
      </w:r>
      <w:r w:rsidR="00B91648" w:rsidRPr="00070602">
        <w:rPr>
          <w:rFonts w:ascii="Times New Roman" w:hAnsi="Times New Roman" w:cs="Times New Roman"/>
        </w:rPr>
        <w:fldChar w:fldCharType="end"/>
      </w:r>
      <w:r w:rsidR="00B91648" w:rsidRPr="00070602">
        <w:rPr>
          <w:rFonts w:ascii="Times New Roman" w:hAnsi="Times New Roman" w:cs="Times New Roman"/>
        </w:rPr>
        <w:t>, non-exocytotic release from cytosolic pools and calcium independent channel mediated release</w:t>
      </w:r>
      <w:r w:rsidR="00676FF7">
        <w:rPr>
          <w:rFonts w:ascii="Times New Roman" w:hAnsi="Times New Roman" w:cs="Times New Roman"/>
          <w:color w:val="FF0000"/>
        </w:rPr>
        <w:t xml:space="preserve"> </w:t>
      </w:r>
      <w:r w:rsidR="00546C8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"10.1038/nn.2929", "ISSN" : "1546-1726", "PMID" : "21909085", "abstract" : "Astrocytes communicate with synapses by means of intracellular calcium ([Ca(2+)](i)) elevations, but local calcium dynamics in astrocytic processes have never been thoroughly investigated. By taking advantage of high-resolution two-photon microscopy, we identify the characteristics of local astrocyte calcium activity in the adult mouse hippocampus. Astrocytic processes showed intense activity, triggered by physiological transmission at neighboring synapses. They encoded synchronous synaptic events generated by sparse action potentials into robust regional (\u223c12 \u03bcm) [Ca(2+)](i) elevations. Unexpectedly, they also sensed spontaneous synaptic events, producing highly confined (\u223c4 \u03bcm), fast (millisecond-scale) miniature Ca(2+) responses. This Ca(2+) activity in astrocytic processes is generated through GTP- and inositol-1,4,5-trisphosphate-dependent signaling and is relevant for basal synaptic function. Thus, buffering astrocyte [Ca(2+)](i) or blocking a receptor mediating local astrocyte Ca(2+) signals decreased synaptic transmission reliability in minimal stimulation experiments. These data provide direct evidence that astrocytes are integrated in local synaptic functioning in adult brain.", "author" : [ { "dropping-particle" : "", "family" : "Castro", "given" : "Maria Amalia", "non-dropping-particle" : "Di", "parse-names" : false, "suffix" : "" }, { "dropping-particle" : "", "family" : "Chuquet", "given" : "Julien", "non-dropping-particle" : "", "parse-names" : false, "suffix" : "" }, { "dropping-particle" : "", "family" : "Liaudet", "given" : "Nicolas", "non-dropping-particle" : "", "parse-names" : false, "suffix" : "" }, { "dropping-particle" : "", "family" : "Bhaukaurally", "given" : "Khaleel", "non-dropping-particle" : "", "parse-names" : false, "suffix" : "" }, { "dropping-particle" : "", "family" : "Santello", "given" : "Mirko", "non-dropping-particle" : "", "parse-names" : false, "suffix" : "" }, { "dropping-particle" : "", "family" : "Bouvier", "given" : "David", "non-dropping-particle" : "", "parse-names" : false, "suffix" : "" }, { "dropping-particle" : "", "family" : "Tiret", "given" : "Pascale", "non-dropping-particle" : "", "parse-names" : false, "suffix" : "" }, { "dropping-particle" : "", "family" : "Volterra", "given" : "Andrea", "non-dropping-particle" : "", "parse-names" : false, "suffix" : "" } ], "container-title" : "Nature neuroscience", "id" : "ITEM-1", "issue" : "10", "issued" : { "date-parts" : [ [ "2011", "10" ] ] }, "page" : "1276-84", "title" : "Local Ca2+ detection and modulation of synaptic release by astrocytes.", "type" : "article-journal", "volume" : "14" }, "uris" : [ "http://www.mendeley.com/documents/?uuid=a437427d-f573-40a7-89c8-f51ee650b57d" ] } ], "mendeley" : { "formattedCitation" : "(Di Castro et al. 2011)", "plainTextFormattedCitation" : "(Di Castro et al. 2011)", "previouslyFormattedCitation" : "(Di Castro et al. 2011)" }, "properties" : { "noteIndex" : 0 }, "schema" : "https://github.com/citation-style-language/schema/raw/master/csl-citation.json" }</w:instrText>
      </w:r>
      <w:r w:rsidR="00546C80">
        <w:rPr>
          <w:rFonts w:ascii="Times New Roman" w:hAnsi="Times New Roman" w:cs="Times New Roman"/>
        </w:rPr>
        <w:fldChar w:fldCharType="separate"/>
      </w:r>
      <w:r w:rsidR="00C148FC" w:rsidRPr="00C148FC">
        <w:rPr>
          <w:rFonts w:ascii="Times New Roman" w:hAnsi="Times New Roman" w:cs="Times New Roman"/>
          <w:noProof/>
        </w:rPr>
        <w:t>(Di Castro et al. 2011)</w:t>
      </w:r>
      <w:r w:rsidR="00546C80">
        <w:rPr>
          <w:rFonts w:ascii="Times New Roman" w:hAnsi="Times New Roman" w:cs="Times New Roman"/>
        </w:rPr>
        <w:fldChar w:fldCharType="end"/>
      </w:r>
    </w:p>
    <w:p w14:paraId="59A32904" w14:textId="2E9B5CC8" w:rsidR="005C5E10" w:rsidRPr="008A2EE8" w:rsidRDefault="003E03FE" w:rsidP="008F19DC">
      <w:pPr>
        <w:spacing w:line="360" w:lineRule="auto"/>
        <w:rPr>
          <w:rFonts w:ascii="Times New Roman" w:hAnsi="Times New Roman" w:cs="Times New Roman"/>
        </w:rPr>
      </w:pPr>
      <w:r w:rsidRPr="00070602">
        <w:rPr>
          <w:rFonts w:ascii="Times New Roman" w:hAnsi="Times New Roman" w:cs="Times New Roman"/>
        </w:rPr>
        <w:t xml:space="preserve">   </w:t>
      </w:r>
      <w:r w:rsidR="00493B68" w:rsidRPr="00070602">
        <w:rPr>
          <w:rFonts w:ascii="Times New Roman" w:hAnsi="Times New Roman" w:cs="Times New Roman"/>
        </w:rPr>
        <w:t xml:space="preserve"> </w:t>
      </w:r>
    </w:p>
    <w:p w14:paraId="67EAB0B1" w14:textId="27E5BF94" w:rsidR="00522774" w:rsidRDefault="009F0E9C" w:rsidP="00B07212">
      <w:pPr>
        <w:spacing w:line="360" w:lineRule="auto"/>
        <w:jc w:val="both"/>
        <w:rPr>
          <w:rFonts w:ascii="Times New Roman" w:hAnsi="Times New Roman" w:cs="Times New Roman"/>
        </w:rPr>
      </w:pPr>
      <w:r w:rsidRPr="00070602">
        <w:rPr>
          <w:rFonts w:ascii="Times New Roman" w:hAnsi="Times New Roman" w:cs="Times New Roman"/>
        </w:rPr>
        <w:t>In addition, calcium mediated glutamate release from astrocytes can be modulated by factors released by microglia during an inflammatory response. Therefore, it has been suggested that upstream signalling of microglia and astrocytes contributes to neuronal hyperexcitability and death observed in many neurological disorders</w:t>
      </w:r>
      <w:r w:rsidR="006D44A3" w:rsidRPr="00070602">
        <w:rPr>
          <w:rFonts w:ascii="Times New Roman" w:hAnsi="Times New Roman" w:cs="Times New Roman"/>
        </w:rPr>
        <w:t xml:space="preserve"> </w:t>
      </w:r>
      <w:r w:rsidR="003C4599"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"10.3389/fphar.2012.00139", "ISSN" : "1663-9812", "PMID" : "22811669", "abstract" : "A prominent area of neuroscience research over the past 20\u2009years has been the acute modulation of neuronal synaptic activity by Ca(2+)-dependent release of the transmitters ATP, D-serine, and glutamate (called gliotransmitters) by astrocytes. Although the physiological relevance of this mechanism is under debate, emerging evidence suggests that there are critical factors in addition to Ca(2+) that are required for gliotransmitters to be released from astrocytes. Interestingly, these factors include activated microglia and the proinflammatory cytokine Tumor Necrosis Factor \u03b1 (TNF\u03b1), chemotactic cytokine Stromal cell-Derived Factor-1\u03b1 (SDF-1\u03b1), and inflammatory mediator prostaglandin E2 (PGE(2)). Of note, microglial activation and release of inflammatory molecules from activated microglia and reactive astrocytes can occur within minutes of a triggering stimulus. Therefore, activation of astrocytes by inflammatory molecules combined with Ca(2+) elevations may lead to gliotransmitter release, and be an important step in the early sequence of events contributing to hyperexcitability, excitotoxicity, and neurodegeneration in the damaged or diseased brain. In this review, we will first examine evidence questioning Ca(2+)-dependent gliotransmitter release from astrocytes in healthy brain tissue, followed by a close examination of recent work suggesting that Ca(2+)-dependent gliotransmitter release occurs as an early event in the development of neurological disorders and neuroinflammatory and neurodegenerative diseases.", "author" : [ { "dropping-particle" : "", "family" : "Agulhon", "given" : "Cendra", "non-dropping-particle" : "", "parse-names" : false, "suffix" : "" }, { "dropping-particle" : "", "family" : "Sun", "given" : "Min-Yu", "non-dropping-particle" : "", "parse-names" : false, "suffix" : "" }, { "dropping-particle" : "", "family" : "Murphy", "given" : "Thomas", "non-dropping-particle" : "", "parse-names" : false, "suffix" : "" }, { "dropping-particle" : "", "family" : "Myers", "given" : "Timothy", "non-dropping-particle" : "", "parse-names" : false, "suffix" : "" }, { "dropping-particle" : "", "family" : "Lauderdale", "given" : "Kelli", "non-dropping-particle" : "", "parse-names" : false, "suffix" : "" }, { "dropping-particle" : "", "family" : "Fiacco", "given" : "Todd A", "non-dropping-particle" : "", "parse-names" : false, "suffix" : "" } ], "container-title" : "Frontiers in pharmacology", "id" : "ITEM-1", "issued" : { "date-parts" : [ [ "2012", "1" ] ] }, "page" : "139", "title" : "Calcium Signaling and Gliotransmission in Normal vs. Reactive Astrocytes.", "type" : "article-journal", "volume" : "3" }, "uris" : [ "http://www.mendeley.com/documents/?uuid=8baee2bb-d55e-419b-a004-f1fa1dc1ea5c" ] } ], "mendeley" : { "formattedCitation" : "(Agulhon et al. 2012b)", "manualFormatting" : "(Agulhon et al., 2012)", "plainTextFormattedCitation" : "(Agulhon et al. 2012b)", "previouslyFormattedCitation" : "(Agulhon et al. 2012b)" }, "properties" : { "noteIndex" : 0 }, "schema" : "https://github.com/citation-style-language/schema/raw/master/csl-citation.json" }</w:instrText>
      </w:r>
      <w:r w:rsidR="003C4599" w:rsidRPr="00070602">
        <w:rPr>
          <w:rFonts w:ascii="Times New Roman" w:hAnsi="Times New Roman" w:cs="Times New Roman"/>
        </w:rPr>
        <w:fldChar w:fldCharType="separate"/>
      </w:r>
      <w:r w:rsidR="00546C80">
        <w:rPr>
          <w:rFonts w:ascii="Times New Roman" w:hAnsi="Times New Roman" w:cs="Times New Roman"/>
          <w:noProof/>
        </w:rPr>
        <w:t>(Agulhon et al., 2012</w:t>
      </w:r>
      <w:r w:rsidR="00527635" w:rsidRPr="00527635">
        <w:rPr>
          <w:rFonts w:ascii="Times New Roman" w:hAnsi="Times New Roman" w:cs="Times New Roman"/>
          <w:noProof/>
        </w:rPr>
        <w:t>)</w:t>
      </w:r>
      <w:r w:rsidR="003C4599" w:rsidRPr="00070602">
        <w:rPr>
          <w:rFonts w:ascii="Times New Roman" w:hAnsi="Times New Roman" w:cs="Times New Roman"/>
        </w:rPr>
        <w:fldChar w:fldCharType="end"/>
      </w:r>
      <w:r w:rsidRPr="00070602">
        <w:rPr>
          <w:rFonts w:ascii="Times New Roman" w:hAnsi="Times New Roman" w:cs="Times New Roman"/>
        </w:rPr>
        <w:t xml:space="preserve">. </w:t>
      </w:r>
      <w:r w:rsidR="00965537" w:rsidRPr="00070602">
        <w:rPr>
          <w:rFonts w:ascii="Times New Roman" w:hAnsi="Times New Roman" w:cs="Times New Roman"/>
        </w:rPr>
        <w:t xml:space="preserve">Gliotransmitters </w:t>
      </w:r>
      <w:r w:rsidR="006B7D81" w:rsidRPr="00070602">
        <w:rPr>
          <w:rFonts w:ascii="Times New Roman" w:hAnsi="Times New Roman" w:cs="Times New Roman"/>
        </w:rPr>
        <w:t xml:space="preserve">also have the capacity to interact </w:t>
      </w:r>
      <w:r w:rsidR="00B422AE">
        <w:rPr>
          <w:rFonts w:ascii="Times New Roman" w:hAnsi="Times New Roman" w:cs="Times New Roman"/>
        </w:rPr>
        <w:t xml:space="preserve">with </w:t>
      </w:r>
      <w:r w:rsidR="006B7D81" w:rsidRPr="00070602">
        <w:rPr>
          <w:rFonts w:ascii="Times New Roman" w:hAnsi="Times New Roman" w:cs="Times New Roman"/>
        </w:rPr>
        <w:t>other cells in the near vicinity including microglia and vascular cells</w:t>
      </w:r>
      <w:r w:rsidR="00DD189A">
        <w:rPr>
          <w:rFonts w:ascii="Times New Roman" w:hAnsi="Times New Roman" w:cs="Times New Roman"/>
        </w:rPr>
        <w:t>,</w:t>
      </w:r>
      <w:r w:rsidR="00DD189A" w:rsidRPr="00DD189A">
        <w:rPr>
          <w:rFonts w:ascii="Times New Roman" w:hAnsi="Times New Roman" w:cs="Times New Roman"/>
        </w:rPr>
        <w:t xml:space="preserve"> </w:t>
      </w:r>
      <w:r w:rsidR="00DD189A" w:rsidRPr="00070602">
        <w:rPr>
          <w:rFonts w:ascii="Times New Roman" w:hAnsi="Times New Roman" w:cs="Times New Roman"/>
        </w:rPr>
        <w:t xml:space="preserve">which </w:t>
      </w:r>
      <w:r w:rsidR="00DD189A">
        <w:rPr>
          <w:rFonts w:ascii="Times New Roman" w:hAnsi="Times New Roman" w:cs="Times New Roman"/>
        </w:rPr>
        <w:t xml:space="preserve">allows fine-tuned control of </w:t>
      </w:r>
      <w:r w:rsidR="00DD189A" w:rsidRPr="00070602">
        <w:rPr>
          <w:rFonts w:ascii="Times New Roman" w:hAnsi="Times New Roman" w:cs="Times New Roman"/>
        </w:rPr>
        <w:t>synaptic activity with a dynamic microenvironment.</w:t>
      </w:r>
    </w:p>
    <w:p w14:paraId="0CC55855" w14:textId="77777777" w:rsidR="003C5B26" w:rsidRDefault="003C5B26" w:rsidP="009F0E9C">
      <w:pPr>
        <w:spacing w:line="360" w:lineRule="auto"/>
        <w:rPr>
          <w:rFonts w:ascii="Times New Roman" w:hAnsi="Times New Roman" w:cs="Times New Roman"/>
          <w:b/>
          <w:i/>
          <w:u w:val="single"/>
        </w:rPr>
      </w:pPr>
    </w:p>
    <w:p w14:paraId="47ABD232" w14:textId="25AB98A4" w:rsidR="00676FF7" w:rsidRPr="00676FF7" w:rsidRDefault="00676FF7" w:rsidP="00C25727">
      <w:pPr>
        <w:rPr>
          <w:rFonts w:ascii="Times New Roman" w:hAnsi="Times New Roman" w:cs="Times New Roman"/>
          <w:b/>
          <w:i/>
          <w:u w:val="single"/>
        </w:rPr>
      </w:pPr>
      <w:r>
        <w:rPr>
          <w:rFonts w:ascii="Times New Roman" w:hAnsi="Times New Roman" w:cs="Times New Roman"/>
          <w:b/>
          <w:i/>
          <w:u w:val="single"/>
        </w:rPr>
        <w:t>Glutamate recycling</w:t>
      </w:r>
    </w:p>
    <w:p w14:paraId="7C3D1C3A" w14:textId="06D6CB2C" w:rsidR="00C30207" w:rsidRPr="00B73C4F" w:rsidRDefault="00653A60" w:rsidP="00B07212">
      <w:pPr>
        <w:spacing w:line="360" w:lineRule="auto"/>
        <w:jc w:val="both"/>
        <w:rPr>
          <w:rFonts w:ascii="Times New Roman" w:hAnsi="Times New Roman" w:cs="Times New Roman"/>
        </w:rPr>
      </w:pPr>
      <w:r w:rsidRPr="00070602">
        <w:rPr>
          <w:rFonts w:ascii="Times New Roman" w:hAnsi="Times New Roman" w:cs="Times New Roman"/>
        </w:rPr>
        <w:t>In addition to regulating</w:t>
      </w:r>
      <w:r w:rsidR="006B7D81" w:rsidRPr="00070602">
        <w:rPr>
          <w:rFonts w:ascii="Times New Roman" w:hAnsi="Times New Roman" w:cs="Times New Roman"/>
        </w:rPr>
        <w:t xml:space="preserve"> synaptic activity through release of gliotransmitters, astrocytes can modulat</w:t>
      </w:r>
      <w:r w:rsidR="00773590">
        <w:rPr>
          <w:rFonts w:ascii="Times New Roman" w:hAnsi="Times New Roman" w:cs="Times New Roman"/>
        </w:rPr>
        <w:t>e neuronal excitability by removing</w:t>
      </w:r>
      <w:r w:rsidR="006B7D81" w:rsidRPr="00070602">
        <w:rPr>
          <w:rFonts w:ascii="Times New Roman" w:hAnsi="Times New Roman" w:cs="Times New Roman"/>
        </w:rPr>
        <w:t xml:space="preserve"> neurotransmitter</w:t>
      </w:r>
      <w:r w:rsidR="00773590">
        <w:rPr>
          <w:rFonts w:ascii="Times New Roman" w:hAnsi="Times New Roman" w:cs="Times New Roman"/>
        </w:rPr>
        <w:t>s</w:t>
      </w:r>
      <w:r w:rsidRPr="00070602">
        <w:rPr>
          <w:rFonts w:ascii="Times New Roman" w:hAnsi="Times New Roman" w:cs="Times New Roman"/>
        </w:rPr>
        <w:t xml:space="preserve"> from the synaptic cleft</w:t>
      </w:r>
      <w:r w:rsidR="006B7D81" w:rsidRPr="00070602">
        <w:rPr>
          <w:rFonts w:ascii="Times New Roman" w:hAnsi="Times New Roman" w:cs="Times New Roman"/>
        </w:rPr>
        <w:t>.</w:t>
      </w:r>
      <w:r w:rsidR="00E4068C" w:rsidRPr="00070602">
        <w:rPr>
          <w:rFonts w:ascii="Times New Roman" w:hAnsi="Times New Roman" w:cs="Times New Roman"/>
        </w:rPr>
        <w:t xml:space="preserve"> </w:t>
      </w:r>
      <w:r w:rsidR="005F1E5E">
        <w:rPr>
          <w:rFonts w:ascii="Times New Roman" w:hAnsi="Times New Roman" w:cs="Times New Roman"/>
        </w:rPr>
        <w:t>For example,</w:t>
      </w:r>
      <w:r w:rsidR="0039223C" w:rsidRPr="00070602">
        <w:rPr>
          <w:rFonts w:ascii="Times New Roman" w:hAnsi="Times New Roman" w:cs="Times New Roman"/>
        </w:rPr>
        <w:t xml:space="preserve"> a</w:t>
      </w:r>
      <w:r w:rsidR="00E4068C" w:rsidRPr="00070602">
        <w:rPr>
          <w:rFonts w:ascii="Times New Roman" w:hAnsi="Times New Roman" w:cs="Times New Roman"/>
        </w:rPr>
        <w:t>strocytes import glutamate to prevent neurotoxicity and simultaneously provide glutamine to replenish glutamate stores in neurons</w:t>
      </w:r>
      <w:r w:rsidR="002875BB" w:rsidRPr="00070602">
        <w:rPr>
          <w:rFonts w:ascii="Times New Roman" w:hAnsi="Times New Roman" w:cs="Times New Roman"/>
        </w:rPr>
        <w:t xml:space="preserve"> (glutamate-glutamine cycle)</w:t>
      </w:r>
      <w:r w:rsidR="00527635">
        <w:rPr>
          <w:rFonts w:ascii="Times New Roman" w:hAnsi="Times New Roman" w:cs="Times New Roman"/>
        </w:rPr>
        <w:t xml:space="preserve"> </w:t>
      </w:r>
      <w:r w:rsidR="00527635">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"10.1111/j.1471-4159.2006.03913.x", "ISSN" : "0022-3042", "author" : [ { "dropping-particle" : "", "family" : "Bak", "given" : "Lasse K.", "non-dropping-particle" : "", "parse-names" : false, "suffix" : "" }, { "dropping-particle" : "", "family" : "Schousboe", "given" : "Arne", "non-dropping-particle" : "", "parse-names" : false, "suffix" : "" }, { "dropping-particle" : "", "family" : "Waagepetersen", "given" : "Helle S.", "non-dropping-particle" : "", "parse-names" : false, "suffix" : "" } ], "container-title" : "Journal of Neurochemistry", "id" : "ITEM-1", "issue" : "3", "issued" : { "date-parts" : [ [ "2006", "8" ] ] }, "page" : "641-653", "publisher" : "Blackwell Publishing Ltd", "title" : "The glutamate/GABA-glutamine cycle: aspects of transport, neurotransmitter homeostasis and ammonia transfer", "type" : "article-journal", "volume" : "98" }, "uris" : [ "http://www.mendeley.com/documents/?uuid=32132c29-7bf3-3029-ad83-d473106d2879" ] } ], "mendeley" : { "formattedCitation" : "(Bak et al. 2006)", "plainTextFormattedCitation" : "(Bak et al. 2006)", "previouslyFormattedCitation" : "(Bak et al. 2006)" }, "properties" : { "noteIndex" : 0 }, "schema" : "https://github.com/citation-style-language/schema/raw/master/csl-citation.json" }</w:instrText>
      </w:r>
      <w:r w:rsidR="00527635">
        <w:rPr>
          <w:rFonts w:ascii="Times New Roman" w:hAnsi="Times New Roman" w:cs="Times New Roman"/>
        </w:rPr>
        <w:fldChar w:fldCharType="separate"/>
      </w:r>
      <w:r w:rsidR="00C148FC" w:rsidRPr="00C148FC">
        <w:rPr>
          <w:rFonts w:ascii="Times New Roman" w:hAnsi="Times New Roman" w:cs="Times New Roman"/>
          <w:noProof/>
        </w:rPr>
        <w:t>(Bak et al. 2006)</w:t>
      </w:r>
      <w:r w:rsidR="00527635">
        <w:rPr>
          <w:rFonts w:ascii="Times New Roman" w:hAnsi="Times New Roman" w:cs="Times New Roman"/>
        </w:rPr>
        <w:fldChar w:fldCharType="end"/>
      </w:r>
      <w:r w:rsidR="00527635">
        <w:rPr>
          <w:rFonts w:ascii="Times New Roman" w:hAnsi="Times New Roman" w:cs="Times New Roman"/>
        </w:rPr>
        <w:t>.</w:t>
      </w:r>
      <w:r w:rsidR="00E4068C" w:rsidRPr="00070602">
        <w:rPr>
          <w:rFonts w:ascii="Times New Roman" w:hAnsi="Times New Roman" w:cs="Times New Roman"/>
        </w:rPr>
        <w:t xml:space="preserve"> This is essential since neurons lack the enzyme pyruvate carboxylase, which is necessary for glutamate synthesis from glucose, and glutamine synthetase, which is needed to produce a constituent</w:t>
      </w:r>
      <w:r w:rsidR="0039223C" w:rsidRPr="00070602">
        <w:rPr>
          <w:rFonts w:ascii="Times New Roman" w:hAnsi="Times New Roman" w:cs="Times New Roman"/>
        </w:rPr>
        <w:t xml:space="preserve"> of glutamate called glutamine that is shuttled bac</w:t>
      </w:r>
      <w:bookmarkStart w:id="159" w:name="_Toc328301082"/>
      <w:bookmarkStart w:id="160" w:name="_Toc329593373"/>
      <w:r w:rsidR="00B73C4F">
        <w:rPr>
          <w:rFonts w:ascii="Times New Roman" w:hAnsi="Times New Roman" w:cs="Times New Roman"/>
        </w:rPr>
        <w:t xml:space="preserve">k to neurons </w:t>
      </w:r>
      <w:r w:rsidR="00B73C4F">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"10.1111/j.1471-4159.1981.tb05289.x", "ISSN" : "0022-3042", "author" : [ { "dropping-particle" : "", "family" : "Hallermayer", "given" : "Klaus", "non-dropping-particle" : "", "parse-names" : false, "suffix" : "" }, { "dropping-particle" : "", "family" : "Harmening", "given" : "Christine", "non-dropping-particle" : "", "parse-names" : false, "suffix" : "" }, { "dropping-particle" : "", "family" : "Hamprecht", "given" : "Bernd", "non-dropping-particle" : "", "parse-names" : false, "suffix" : "" } ], "container-title" : "Journal of Neurochemistry", "id" : "ITEM-1", "issue" : "1", "issued" : { "date-parts" : [ [ "1981", "7" ] ] }, "page" : "43-52", "publisher" : "Blackwell Publishing Ltd", "title" : "Cellular Localization and Regulation of Glutamine Synthetase in Primary Cultures of Brain Cells from Newborn Mice", "type" : "article-journal", "volume" : "37" }, "uris" : [ "http://www.mendeley.com/documents/?uuid=4c704400-46d3-35be-899a-99e609cb937e" ] }, { "id" : "ITEM-2", "itemData" : { "DOI" : "10.1111/j.1471-4159.1983.tb00849.x", "ISSN" : "0022-3042", "author" : [ { "dropping-particle" : "", "family" : "Yu", "given" : "A. C. H.", "non-dropping-particle" : "", "parse-names" : false, "suffix" : "" }, { "dropping-particle" : "", "family" : "Drejer", "given" : "J.", "non-dropping-particle" : "", "parse-names" : false, "suffix" : "" }, { "dropping-particle" : "", "family" : "Hertz", "given" : "L.", "non-dropping-particle" : "", "parse-names" : false, "suffix" : "" }, { "dropping-particle" : "", "family" : "Schousboe", "given" : "A.", "non-dropping-particle" : "", "parse-names" : false, "suffix" : "" } ], "container-title" : "Journal of Neurochemistry", "id" : "ITEM-2", "issue" : "5", "issued" : { "date-parts" : [ [ "1983", "5" ] ] }, "page" : "1484-1487", "publisher" : "Blackwell Publishing Ltd", "title" : "Pyruvate Carboxylase Activity in Primary Cultures of Astrocytes and Neurons", "type" : "article-journal", "volume" : "41" }, "uris" : [ "http://www.mendeley.com/documents/?uuid=ccffef17-7440-3415-be16-ba61eadb1afa" ] } ], "mendeley" : { "formattedCitation" : "(Hallermayer et al. 1981; Yu et al. 1983)", "plainTextFormattedCitation" : "(Hallermayer et al. 1981; Yu et al. 1983)", "previouslyFormattedCitation" : "(Hallermayer et al. 1981; Yu et al. 1983)" }, "properties" : { "noteIndex" : 0 }, "schema" : "https://github.com/citation-style-language/schema/raw/master/csl-citation.json" }</w:instrText>
      </w:r>
      <w:r w:rsidR="00B73C4F">
        <w:rPr>
          <w:rFonts w:ascii="Times New Roman" w:hAnsi="Times New Roman" w:cs="Times New Roman"/>
        </w:rPr>
        <w:fldChar w:fldCharType="separate"/>
      </w:r>
      <w:r w:rsidR="00C148FC" w:rsidRPr="00C148FC">
        <w:rPr>
          <w:rFonts w:ascii="Times New Roman" w:hAnsi="Times New Roman" w:cs="Times New Roman"/>
          <w:noProof/>
        </w:rPr>
        <w:t>(Hallermayer et al. 1981; Yu et al. 1983)</w:t>
      </w:r>
      <w:r w:rsidR="00B73C4F">
        <w:rPr>
          <w:rFonts w:ascii="Times New Roman" w:hAnsi="Times New Roman" w:cs="Times New Roman"/>
        </w:rPr>
        <w:fldChar w:fldCharType="end"/>
      </w:r>
      <w:r w:rsidR="00B73C4F">
        <w:rPr>
          <w:rFonts w:ascii="Times New Roman" w:hAnsi="Times New Roman" w:cs="Times New Roman"/>
        </w:rPr>
        <w:t>.</w:t>
      </w:r>
    </w:p>
    <w:p w14:paraId="602A31DE" w14:textId="77777777" w:rsidR="00BD0907" w:rsidRPr="00BD0907" w:rsidRDefault="00BD0907" w:rsidP="00BD0907">
      <w:pPr>
        <w:spacing w:line="360" w:lineRule="auto"/>
        <w:rPr>
          <w:rFonts w:ascii="Times New Roman" w:hAnsi="Times New Roman" w:cs="Times New Roman"/>
        </w:rPr>
      </w:pPr>
    </w:p>
    <w:p w14:paraId="1753A03E" w14:textId="09E45229" w:rsidR="000D57B9" w:rsidRDefault="003A2584" w:rsidP="001B1D82">
      <w:pPr>
        <w:pStyle w:val="Heading3"/>
      </w:pPr>
      <w:bookmarkStart w:id="161" w:name="_Toc331425875"/>
      <w:bookmarkStart w:id="162" w:name="_Toc331427062"/>
      <w:bookmarkStart w:id="163" w:name="_Toc331427434"/>
      <w:bookmarkStart w:id="164" w:name="_Toc331427576"/>
      <w:bookmarkStart w:id="165" w:name="_Toc332972580"/>
      <w:bookmarkStart w:id="166" w:name="_Toc333046860"/>
      <w:bookmarkStart w:id="167" w:name="_Toc333477207"/>
      <w:bookmarkStart w:id="168" w:name="_Toc333477977"/>
      <w:bookmarkStart w:id="169" w:name="_Toc333644877"/>
      <w:r w:rsidRPr="00070602">
        <w:t xml:space="preserve">1.3.2 </w:t>
      </w:r>
      <w:r w:rsidR="00D471AC" w:rsidRPr="00070602">
        <w:t>Neurovascular coupling</w:t>
      </w:r>
      <w:bookmarkEnd w:id="159"/>
      <w:bookmarkEnd w:id="160"/>
      <w:bookmarkEnd w:id="161"/>
      <w:bookmarkEnd w:id="162"/>
      <w:bookmarkEnd w:id="163"/>
      <w:bookmarkEnd w:id="164"/>
      <w:bookmarkEnd w:id="165"/>
      <w:bookmarkEnd w:id="166"/>
      <w:bookmarkEnd w:id="167"/>
      <w:bookmarkEnd w:id="168"/>
      <w:bookmarkEnd w:id="169"/>
    </w:p>
    <w:p w14:paraId="27BB71AD" w14:textId="77777777" w:rsidR="00CE11F7" w:rsidRPr="00CE11F7" w:rsidRDefault="00CE11F7" w:rsidP="00B07212">
      <w:pPr>
        <w:jc w:val="both"/>
      </w:pPr>
    </w:p>
    <w:p w14:paraId="7B5F5448" w14:textId="3BD43A11" w:rsidR="00EE6FF9" w:rsidRDefault="00CE11F7" w:rsidP="00B07212">
      <w:pPr>
        <w:spacing w:line="360" w:lineRule="auto"/>
        <w:jc w:val="both"/>
        <w:rPr>
          <w:rFonts w:ascii="Times New Roman" w:hAnsi="Times New Roman" w:cs="Times New Roman"/>
        </w:rPr>
      </w:pPr>
      <w:r w:rsidRPr="00070602">
        <w:rPr>
          <w:rFonts w:ascii="Times New Roman" w:hAnsi="Times New Roman" w:cs="Times New Roman"/>
        </w:rPr>
        <w:t xml:space="preserve">The close proximity of astrocytes </w:t>
      </w:r>
      <w:r w:rsidR="00595449">
        <w:rPr>
          <w:rFonts w:ascii="Times New Roman" w:hAnsi="Times New Roman" w:cs="Times New Roman"/>
        </w:rPr>
        <w:t>to</w:t>
      </w:r>
      <w:r w:rsidRPr="00070602">
        <w:rPr>
          <w:rFonts w:ascii="Times New Roman" w:hAnsi="Times New Roman" w:cs="Times New Roman"/>
        </w:rPr>
        <w:t xml:space="preserve"> neurons and cerebral vessels </w:t>
      </w:r>
      <w:r w:rsidR="00595449">
        <w:rPr>
          <w:rFonts w:ascii="Times New Roman" w:hAnsi="Times New Roman" w:cs="Times New Roman"/>
        </w:rPr>
        <w:t>facillitates</w:t>
      </w:r>
      <w:r w:rsidRPr="00070602">
        <w:rPr>
          <w:rFonts w:ascii="Times New Roman" w:hAnsi="Times New Roman" w:cs="Times New Roman"/>
        </w:rPr>
        <w:t xml:space="preserve"> simultaneous regulation of synaptic transmission </w:t>
      </w:r>
      <w:r>
        <w:rPr>
          <w:rFonts w:ascii="Times New Roman" w:hAnsi="Times New Roman" w:cs="Times New Roman"/>
        </w:rPr>
        <w:t>whilst at the same time</w:t>
      </w:r>
      <w:r w:rsidRPr="00070602">
        <w:rPr>
          <w:rFonts w:ascii="Times New Roman" w:hAnsi="Times New Roman" w:cs="Times New Roman"/>
        </w:rPr>
        <w:t xml:space="preserve"> maintaining </w:t>
      </w:r>
      <w:r>
        <w:rPr>
          <w:rFonts w:ascii="Times New Roman" w:hAnsi="Times New Roman" w:cs="Times New Roman"/>
        </w:rPr>
        <w:t xml:space="preserve">a consistent supply of nutrients to sustain </w:t>
      </w:r>
      <w:r w:rsidRPr="00070602">
        <w:rPr>
          <w:rFonts w:ascii="Times New Roman" w:hAnsi="Times New Roman" w:cs="Times New Roman"/>
        </w:rPr>
        <w:t>neuronal metabolism, this phenomenon is known as neurovascular coupling or functional hyperemia</w:t>
      </w:r>
      <w:r w:rsidR="00595449">
        <w:rPr>
          <w:rFonts w:ascii="Times New Roman" w:hAnsi="Times New Roman" w:cs="Times New Roman"/>
        </w:rPr>
        <w:t xml:space="preserve"> and appears to be dysregulated </w:t>
      </w:r>
      <w:r w:rsidR="00595449" w:rsidRPr="00DE1954">
        <w:rPr>
          <w:rFonts w:ascii="Times New Roman" w:hAnsi="Times New Roman" w:cs="Times New Roman"/>
        </w:rPr>
        <w:t xml:space="preserve">in AD </w:t>
      </w:r>
      <w:r w:rsidR="00EF742C" w:rsidRPr="00DE1954">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"10.1038/nrn1387", "ISSN" : "1471-003X", "author" : [ { "dropping-particle" : "", "family" : "Iadecola", "given" : "Costantino", "non-dropping-particle" : "", "parse-names" : false, "suffix" : "" } ], "container-title" : "Nature Reviews Neuroscience", "id" : "ITEM-1", "issue" : "5", "issued" : { "date-parts" : [ [ "2004", "5" ] ] }, "page" : "347-360", "publisher" : "Nature Publishing Group", "title" : "Neurovascular regulation in the normal brain and in Alzheimer's disease", "type" : "article-journal", "volume" : "5" }, "uris" : [ "http://www.mendeley.com/documents/?uuid=b2930403-3132-3fd0-b7f2-1212f6215396" ] } ], "mendeley" : { "formattedCitation" : "(Iadecola 2004)", "plainTextFormattedCitation" : "(Iadecola 2004)", "previouslyFormattedCitation" : "(Iadecola 2004)" }, "properties" : { "noteIndex" : 0 }, "schema" : "https://github.com/citation-style-language/schema/raw/master/csl-citation.json" }</w:instrText>
      </w:r>
      <w:r w:rsidR="00EF742C" w:rsidRPr="00DE1954">
        <w:rPr>
          <w:rFonts w:ascii="Times New Roman" w:hAnsi="Times New Roman" w:cs="Times New Roman"/>
        </w:rPr>
        <w:fldChar w:fldCharType="separate"/>
      </w:r>
      <w:r w:rsidR="00C148FC" w:rsidRPr="00C148FC">
        <w:rPr>
          <w:rFonts w:ascii="Times New Roman" w:hAnsi="Times New Roman" w:cs="Times New Roman"/>
          <w:noProof/>
        </w:rPr>
        <w:t>(Iadecola 2004)</w:t>
      </w:r>
      <w:r w:rsidR="00EF742C" w:rsidRPr="00DE1954">
        <w:rPr>
          <w:rFonts w:ascii="Times New Roman" w:hAnsi="Times New Roman" w:cs="Times New Roman"/>
        </w:rPr>
        <w:fldChar w:fldCharType="end"/>
      </w:r>
      <w:r w:rsidRPr="00DE1954">
        <w:rPr>
          <w:rFonts w:ascii="Times New Roman" w:hAnsi="Times New Roman" w:cs="Times New Roman"/>
        </w:rPr>
        <w:t>.</w:t>
      </w:r>
      <w:r w:rsidRPr="00070602">
        <w:rPr>
          <w:rFonts w:ascii="Times New Roman" w:hAnsi="Times New Roman" w:cs="Times New Roman"/>
        </w:rPr>
        <w:t xml:space="preserve"> </w:t>
      </w:r>
      <w:r w:rsidR="000C32AC">
        <w:rPr>
          <w:rFonts w:ascii="Times New Roman" w:hAnsi="Times New Roman" w:cs="Times New Roman"/>
        </w:rPr>
        <w:t>By this process a</w:t>
      </w:r>
      <w:r>
        <w:rPr>
          <w:rFonts w:ascii="Times New Roman" w:hAnsi="Times New Roman" w:cs="Times New Roman"/>
        </w:rPr>
        <w:t>strocytes are able to</w:t>
      </w:r>
      <w:r w:rsidRPr="00070602">
        <w:rPr>
          <w:rFonts w:ascii="Times New Roman" w:hAnsi="Times New Roman" w:cs="Times New Roman"/>
        </w:rPr>
        <w:t xml:space="preserve"> regulate glucose and oxygen supply to meet neuronal energetic demand</w:t>
      </w:r>
      <w:r>
        <w:rPr>
          <w:rFonts w:ascii="Times New Roman" w:hAnsi="Times New Roman" w:cs="Times New Roman"/>
        </w:rPr>
        <w:t>.</w:t>
      </w:r>
    </w:p>
    <w:p w14:paraId="7573C89C" w14:textId="77777777" w:rsidR="001C7740" w:rsidRDefault="001C7740" w:rsidP="00103AAC">
      <w:pPr>
        <w:spacing w:line="360" w:lineRule="auto"/>
        <w:rPr>
          <w:rFonts w:ascii="Times New Roman" w:hAnsi="Times New Roman" w:cs="Times New Roman"/>
          <w:b/>
          <w:i/>
          <w:u w:val="single"/>
        </w:rPr>
      </w:pPr>
    </w:p>
    <w:p w14:paraId="0E755E15" w14:textId="47A6F85C" w:rsidR="00CE11F7" w:rsidRPr="00CE11F7" w:rsidRDefault="00CE11F7" w:rsidP="00C25727">
      <w:pPr>
        <w:rPr>
          <w:rFonts w:ascii="Times New Roman" w:hAnsi="Times New Roman" w:cs="Times New Roman"/>
          <w:b/>
          <w:i/>
          <w:u w:val="single"/>
        </w:rPr>
      </w:pPr>
      <w:r>
        <w:rPr>
          <w:rFonts w:ascii="Times New Roman" w:hAnsi="Times New Roman" w:cs="Times New Roman"/>
          <w:b/>
          <w:i/>
          <w:u w:val="single"/>
        </w:rPr>
        <w:t>Regulation of blood flow</w:t>
      </w:r>
    </w:p>
    <w:p w14:paraId="4A037548" w14:textId="2106E182" w:rsidR="00CE11F7" w:rsidRPr="00A31DBE" w:rsidRDefault="00F77AC5" w:rsidP="00B07212">
      <w:pPr>
        <w:spacing w:line="360" w:lineRule="auto"/>
        <w:jc w:val="both"/>
        <w:rPr>
          <w:rFonts w:ascii="Times New Roman" w:hAnsi="Times New Roman" w:cs="Times New Roman"/>
        </w:rPr>
      </w:pPr>
      <w:r w:rsidRPr="00070602">
        <w:rPr>
          <w:rFonts w:ascii="Times New Roman" w:hAnsi="Times New Roman" w:cs="Times New Roman"/>
        </w:rPr>
        <w:t xml:space="preserve">Neurons regulate blood </w:t>
      </w:r>
      <w:r w:rsidR="00015BDF" w:rsidRPr="00070602">
        <w:rPr>
          <w:rFonts w:ascii="Times New Roman" w:hAnsi="Times New Roman" w:cs="Times New Roman"/>
        </w:rPr>
        <w:t>flow</w:t>
      </w:r>
      <w:r w:rsidRPr="00070602">
        <w:rPr>
          <w:rFonts w:ascii="Times New Roman" w:hAnsi="Times New Roman" w:cs="Times New Roman"/>
        </w:rPr>
        <w:t xml:space="preserve"> directly through </w:t>
      </w:r>
      <w:r w:rsidR="00015BDF" w:rsidRPr="00070602">
        <w:rPr>
          <w:rFonts w:ascii="Times New Roman" w:hAnsi="Times New Roman" w:cs="Times New Roman"/>
        </w:rPr>
        <w:t xml:space="preserve">glutamate mediated </w:t>
      </w:r>
      <w:r w:rsidR="00CE11F7">
        <w:rPr>
          <w:rFonts w:ascii="Times New Roman" w:hAnsi="Times New Roman" w:cs="Times New Roman"/>
        </w:rPr>
        <w:t>nitric oxide synthase (</w:t>
      </w:r>
      <w:r w:rsidR="00015BDF" w:rsidRPr="00070602">
        <w:rPr>
          <w:rFonts w:ascii="Times New Roman" w:hAnsi="Times New Roman" w:cs="Times New Roman"/>
        </w:rPr>
        <w:t>NOS</w:t>
      </w:r>
      <w:r w:rsidR="00CE11F7">
        <w:rPr>
          <w:rFonts w:ascii="Times New Roman" w:hAnsi="Times New Roman" w:cs="Times New Roman"/>
        </w:rPr>
        <w:t xml:space="preserve">) </w:t>
      </w:r>
      <w:r w:rsidR="00015BDF" w:rsidRPr="00070602">
        <w:rPr>
          <w:rFonts w:ascii="Times New Roman" w:hAnsi="Times New Roman" w:cs="Times New Roman"/>
        </w:rPr>
        <w:t>activation resulting in</w:t>
      </w:r>
      <w:r w:rsidR="00CE11F7">
        <w:rPr>
          <w:rFonts w:ascii="Times New Roman" w:hAnsi="Times New Roman" w:cs="Times New Roman"/>
        </w:rPr>
        <w:t xml:space="preserve"> nitric oxide</w:t>
      </w:r>
      <w:r w:rsidR="00015BDF" w:rsidRPr="00070602">
        <w:rPr>
          <w:rFonts w:ascii="Times New Roman" w:hAnsi="Times New Roman" w:cs="Times New Roman"/>
        </w:rPr>
        <w:t xml:space="preserve"> </w:t>
      </w:r>
      <w:r w:rsidR="00CE11F7">
        <w:rPr>
          <w:rFonts w:ascii="Times New Roman" w:hAnsi="Times New Roman" w:cs="Times New Roman"/>
        </w:rPr>
        <w:t>(</w:t>
      </w:r>
      <w:r w:rsidR="00015BDF" w:rsidRPr="00070602">
        <w:rPr>
          <w:rFonts w:ascii="Times New Roman" w:hAnsi="Times New Roman" w:cs="Times New Roman"/>
        </w:rPr>
        <w:t>NO</w:t>
      </w:r>
      <w:r w:rsidR="00CE11F7">
        <w:rPr>
          <w:rFonts w:ascii="Times New Roman" w:hAnsi="Times New Roman" w:cs="Times New Roman"/>
        </w:rPr>
        <w:t xml:space="preserve">) </w:t>
      </w:r>
      <w:r w:rsidR="00015BDF" w:rsidRPr="00070602">
        <w:rPr>
          <w:rFonts w:ascii="Times New Roman" w:hAnsi="Times New Roman" w:cs="Times New Roman"/>
        </w:rPr>
        <w:t xml:space="preserve">production and activation of the </w:t>
      </w:r>
      <w:r w:rsidR="00595449">
        <w:rPr>
          <w:rFonts w:ascii="Times New Roman" w:hAnsi="Times New Roman" w:cs="Times New Roman"/>
        </w:rPr>
        <w:t>cyclic guano</w:t>
      </w:r>
      <w:r w:rsidR="00CE11F7">
        <w:rPr>
          <w:rFonts w:ascii="Times New Roman" w:hAnsi="Times New Roman" w:cs="Times New Roman"/>
        </w:rPr>
        <w:t>sine monophosphate (cGMP)</w:t>
      </w:r>
      <w:r w:rsidR="00015BDF" w:rsidRPr="00070602">
        <w:rPr>
          <w:rFonts w:ascii="Times New Roman" w:hAnsi="Times New Roman" w:cs="Times New Roman"/>
        </w:rPr>
        <w:t xml:space="preserve"> pathway in smooth muscle cells</w:t>
      </w:r>
      <w:r w:rsidR="008611D5" w:rsidRPr="00070602">
        <w:rPr>
          <w:rFonts w:ascii="Times New Roman" w:hAnsi="Times New Roman" w:cs="Times New Roman"/>
        </w:rPr>
        <w:t xml:space="preserve"> </w:t>
      </w:r>
      <w:r w:rsidR="008611D5"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"0006-8993", "PMID" : "9134957", "abstract" : "This study examined the role of glutamate receptor activation in the regulation of microvascular tone in the hippocampus and neocortex of the rat. Microvascular and neuronal responses were simultaneously recorded in brain slices using videomicroscopic analysis in conjunction with electrophysiological recording. Glutamate and other glutamate receptor agonists, including NMDA, kainic acid, and ACPD elicited dose-dependent dilation in preconstricted hippocampal microvessels. The lower concentrations of NMDA elicited dilation with an increase in neuronal excitability while dilatory responses to other agonists were associated with substantial depolarization. NMDA-mediated dilation was inhibited completely with a sodium channel blocker (TTX), an NOS inhibitor (L-NNA), or a specific inhibitor of neuronal NOS (7-NI). Inhibition of the GABA(A) or the A2 adenosine receptor did not attenuate the NMDA-induced dilation. The role of spontaneous glutamate receptor activation by endogenous glutamate in the regulation of resting dilatory tone was also examined. Blocking AMPA or metabotropic glutamate receptors did not induce significant responses in resting hippocampal vessels. However, the NMDA receptor antagonist, APV, elicited a dose-dependent constriction. In surface vessels of the neocortex, NMDA elicited a comparable dose-dependent dilation, and APV elicited a significantly smaller dose-dependent constriction. A 60 min period of hypoxia elicited a significant dilation of preconstricted hippocampal microvessels. APV did not significantly influence this dilatory response indicating that hypoxia-induced dilation is not mediated by NMDA receptor activation. Taken together, these results indicate that glutamate contributes to the dilatory tone of cerebral microvessels under physiologic conditions and that this effect is mediated by NMDA receptors. Glutamatergic vasodilation is dependent on neuronal discharge activity and the neuronal production of NO. The tonic influence is more pronounced in hippocampal microvessels than in neocortical vessels suggesting that the contribution of NMDA receptor activation to resting dilatory tone is dependent on the location of vessels within the brain.", "author" : [ { "dropping-particle" : "", "family" : "Fergus", "given" : "A", "non-dropping-particle" : "", "parse-names" : false, "suffix" : "" }, { "dropping-particle" : "", "family" : "Lee", "given" : "K S", "non-dropping-particle" : "", "parse-names" : false, "suffix" : "" } ], "container-title" : "Brain research", "id" : "ITEM-1", "issue" : "1-2", "issued" : { "date-parts" : [ [ "1997", "4", "18" ] ] }, "page" : "35-45", "title" : "Regulation of cerebral microvessels by glutamatergic mechanisms.", "type" : "article-journal", "volume" : "754" }, "uris" : [ "http://www.mendeley.com/documents/?uuid=c218fc15-0377-4d02-9857-9472beb358f1" ] } ], "mendeley" : { "formattedCitation" : "(Fergus &amp; Lee 1997)", "plainTextFormattedCitation" : "(Fergus &amp; Lee 1997)", "previouslyFormattedCitation" : "(Fergus &amp; Lee 1997)" }, "properties" : { "noteIndex" : 0 }, "schema" : "https://github.com/citation-style-language/schema/raw/master/csl-citation.json" }</w:instrText>
      </w:r>
      <w:r w:rsidR="008611D5" w:rsidRPr="00070602">
        <w:rPr>
          <w:rFonts w:ascii="Times New Roman" w:hAnsi="Times New Roman" w:cs="Times New Roman"/>
        </w:rPr>
        <w:fldChar w:fldCharType="separate"/>
      </w:r>
      <w:r w:rsidR="00C148FC" w:rsidRPr="00C148FC">
        <w:rPr>
          <w:rFonts w:ascii="Times New Roman" w:hAnsi="Times New Roman" w:cs="Times New Roman"/>
          <w:noProof/>
        </w:rPr>
        <w:t>(Fergus &amp; Lee 1997)</w:t>
      </w:r>
      <w:r w:rsidR="008611D5" w:rsidRPr="00070602">
        <w:rPr>
          <w:rFonts w:ascii="Times New Roman" w:hAnsi="Times New Roman" w:cs="Times New Roman"/>
        </w:rPr>
        <w:fldChar w:fldCharType="end"/>
      </w:r>
      <w:r w:rsidR="00015BDF" w:rsidRPr="00070602">
        <w:rPr>
          <w:rFonts w:ascii="Times New Roman" w:hAnsi="Times New Roman" w:cs="Times New Roman"/>
        </w:rPr>
        <w:t xml:space="preserve">. </w:t>
      </w:r>
      <w:r w:rsidR="00CE11F7">
        <w:rPr>
          <w:rFonts w:ascii="Times New Roman" w:hAnsi="Times New Roman" w:cs="Times New Roman"/>
        </w:rPr>
        <w:t>Astrocytes are also able to regulate blood flow due to clo</w:t>
      </w:r>
      <w:r w:rsidR="006F53F2">
        <w:rPr>
          <w:rFonts w:ascii="Times New Roman" w:hAnsi="Times New Roman" w:cs="Times New Roman"/>
        </w:rPr>
        <w:t>se apposition of astrocytic end-</w:t>
      </w:r>
      <w:r w:rsidR="00CE11F7">
        <w:rPr>
          <w:rFonts w:ascii="Times New Roman" w:hAnsi="Times New Roman" w:cs="Times New Roman"/>
        </w:rPr>
        <w:t>feet with the vasculature.</w:t>
      </w:r>
      <w:r w:rsidR="00A07FBA" w:rsidRPr="00070602">
        <w:rPr>
          <w:rFonts w:ascii="Times New Roman" w:hAnsi="Times New Roman" w:cs="Times New Roman"/>
        </w:rPr>
        <w:t xml:space="preserve"> </w:t>
      </w:r>
      <w:r w:rsidR="003A57D6">
        <w:rPr>
          <w:rFonts w:ascii="Times New Roman" w:hAnsi="Times New Roman" w:cs="Times New Roman"/>
        </w:rPr>
        <w:t>Typically it is thought that n</w:t>
      </w:r>
      <w:r w:rsidR="00F83CE8" w:rsidRPr="00070602">
        <w:rPr>
          <w:rFonts w:ascii="Times New Roman" w:hAnsi="Times New Roman" w:cs="Times New Roman"/>
        </w:rPr>
        <w:t xml:space="preserve">euronally derived glutamate can bind to </w:t>
      </w:r>
      <w:r w:rsidR="00CE11F7">
        <w:rPr>
          <w:rFonts w:ascii="Times New Roman" w:hAnsi="Times New Roman" w:cs="Times New Roman"/>
        </w:rPr>
        <w:t>astrocytic mGluR receptors, triggering</w:t>
      </w:r>
      <w:r w:rsidR="00F83CE8" w:rsidRPr="00070602">
        <w:rPr>
          <w:rFonts w:ascii="Times New Roman" w:hAnsi="Times New Roman" w:cs="Times New Roman"/>
        </w:rPr>
        <w:t xml:space="preserve"> calcium dependent phospholipase A2 to catalyse the conversion of arachidonic acid to prostaglandin E</w:t>
      </w:r>
      <w:r w:rsidR="00F83CE8" w:rsidRPr="00070602">
        <w:rPr>
          <w:rFonts w:ascii="Times New Roman" w:hAnsi="Times New Roman" w:cs="Times New Roman"/>
          <w:vertAlign w:val="subscript"/>
        </w:rPr>
        <w:t>2</w:t>
      </w:r>
      <w:r w:rsidR="00F83CE8" w:rsidRPr="00070602">
        <w:rPr>
          <w:rFonts w:ascii="Times New Roman" w:hAnsi="Times New Roman" w:cs="Times New Roman"/>
        </w:rPr>
        <w:t xml:space="preserve"> and epoxyeicosatrienoic acid</w:t>
      </w:r>
      <w:r w:rsidR="00CA7604" w:rsidRPr="00070602">
        <w:rPr>
          <w:rFonts w:ascii="Times New Roman" w:hAnsi="Times New Roman" w:cs="Times New Roman"/>
        </w:rPr>
        <w:t xml:space="preserve"> </w:t>
      </w:r>
      <w:r w:rsidR="00CA7604"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"10.1038/nn980", "ISSN" : "1097-6256", "PMID" : "12469126", "abstract" : "The cellular mechanisms underlying functional hyperemia--the coupling of neuronal activation to cerebral blood vessel responses--are not yet known. Here we show in rat cortical slices that the dilation of arterioles triggered by neuronal activity is dependent on glutamate-mediated [Ca(2+)](i) oscillations in astrocytes. Inhibition of these Ca(2+) responses resulted in the impairment of activity-dependent vasodilation, whereas selective activation--by patch pipette--of single astrocytes that were in contact with arterioles triggered vessel relaxation. We also found that a cyclooxygenase product is centrally involved in this astrocyte-mediated control of arterioles. In vivo blockade of glutamate-mediated [Ca(2+)](i) elevations in astrocytes reduced the blood flow increase in the somatosensory cortex during contralateral forepaw stimulation. Taken together, our findings show that neuron-to-astrocyte signaling is a key mechanism in functional hyperemia.", "author" : [ { "dropping-particle" : "", "family" : "Zonta", "given" : "Micaela", "non-dropping-particle" : "", "parse-names" : false, "suffix" : "" }, { "dropping-particle" : "", "family" : "Angulo", "given" : "Mar\u00eda Cecilia", "non-dropping-particle" : "", "parse-names" : false, "suffix" : "" }, { "dropping-particle" : "", "family" : "Gobbo", "given" : "Sara", "non-dropping-particle" : "", "parse-names" : false, "suffix" : "" }, { "dropping-particle" : "", "family" : "Rosengarten", "given" : "Bernhard", "non-dropping-particle" : "", "parse-names" : false, "suffix" : "" }, { "dropping-particle" : "", "family" : "Hossmann", "given" : "Konstantin-A", "non-dropping-particle" : "", "parse-names" : false, "suffix" : "" }, { "dropping-particle" : "", "family" : "Pozzan", "given" : "Tullio", "non-dropping-particle" : "", "parse-names" : false, "suffix" : "" }, { "dropping-particle" : "", "family" : "Carmignoto", "given" : "Giorgio", "non-dropping-particle" : "", "parse-names" : false, "suffix" : "" } ], "container-title" : "Nature neuroscience", "id" : "ITEM-1", "issue" : "1", "issued" : { "date-parts" : [ [ "2003", "1" ] ] }, "page" : "43-50", "title" : "Neuron-to-astrocyte signaling is central to the dynamic control of brain microcirculation.", "title-short" : "Nat Neurosci", "type" : "article-journal", "volume" : "6" }, "uris" : [ "http://www.mendeley.com/documents/?uuid=a69ab627-9e30-433e-9a33-ee61bcad7ede" ] } ], "mendeley" : { "formattedCitation" : "(Zonta et al. 2003)", "plainTextFormattedCitation" : "(Zonta et al. 2003)", "previouslyFormattedCitation" : "(Zonta et al. 2003)" }, "properties" : { "noteIndex" : 0 }, "schema" : "https://github.com/citation-style-language/schema/raw/master/csl-citation.json" }</w:instrText>
      </w:r>
      <w:r w:rsidR="00CA7604" w:rsidRPr="00070602">
        <w:rPr>
          <w:rFonts w:ascii="Times New Roman" w:hAnsi="Times New Roman" w:cs="Times New Roman"/>
        </w:rPr>
        <w:fldChar w:fldCharType="separate"/>
      </w:r>
      <w:r w:rsidR="00C148FC" w:rsidRPr="00C148FC">
        <w:rPr>
          <w:rFonts w:ascii="Times New Roman" w:hAnsi="Times New Roman" w:cs="Times New Roman"/>
          <w:noProof/>
        </w:rPr>
        <w:t>(Zonta et al. 2003)</w:t>
      </w:r>
      <w:r w:rsidR="00CA7604" w:rsidRPr="00070602">
        <w:rPr>
          <w:rFonts w:ascii="Times New Roman" w:hAnsi="Times New Roman" w:cs="Times New Roman"/>
        </w:rPr>
        <w:fldChar w:fldCharType="end"/>
      </w:r>
      <w:r w:rsidR="00F83CE8" w:rsidRPr="00070602">
        <w:rPr>
          <w:rFonts w:ascii="Times New Roman" w:hAnsi="Times New Roman" w:cs="Times New Roman"/>
        </w:rPr>
        <w:t xml:space="preserve">. </w:t>
      </w:r>
      <w:r w:rsidR="00CE11F7">
        <w:rPr>
          <w:rFonts w:ascii="Times New Roman" w:hAnsi="Times New Roman" w:cs="Times New Roman"/>
        </w:rPr>
        <w:t xml:space="preserve">The release of these metabolites from </w:t>
      </w:r>
      <w:r w:rsidR="006F53F2">
        <w:rPr>
          <w:rFonts w:ascii="Times New Roman" w:hAnsi="Times New Roman" w:cs="Times New Roman"/>
        </w:rPr>
        <w:t>astrocytic end-</w:t>
      </w:r>
      <w:r w:rsidR="00F83CE8" w:rsidRPr="00070602">
        <w:rPr>
          <w:rFonts w:ascii="Times New Roman" w:hAnsi="Times New Roman" w:cs="Times New Roman"/>
        </w:rPr>
        <w:t>feet activate</w:t>
      </w:r>
      <w:r w:rsidR="00CE11F7">
        <w:rPr>
          <w:rFonts w:ascii="Times New Roman" w:hAnsi="Times New Roman" w:cs="Times New Roman"/>
        </w:rPr>
        <w:t>s</w:t>
      </w:r>
      <w:r w:rsidR="00F83CE8" w:rsidRPr="00070602">
        <w:rPr>
          <w:rFonts w:ascii="Times New Roman" w:hAnsi="Times New Roman" w:cs="Times New Roman"/>
        </w:rPr>
        <w:t xml:space="preserve"> potassium channels in smooth muscle cells resulting in dilation of blood vessels.</w:t>
      </w:r>
      <w:r w:rsidR="00595449">
        <w:rPr>
          <w:rFonts w:ascii="Times New Roman" w:hAnsi="Times New Roman" w:cs="Times New Roman"/>
        </w:rPr>
        <w:t xml:space="preserve"> Arachi</w:t>
      </w:r>
      <w:r w:rsidR="00CA72D7" w:rsidRPr="00070602">
        <w:rPr>
          <w:rFonts w:ascii="Times New Roman" w:hAnsi="Times New Roman" w:cs="Times New Roman"/>
        </w:rPr>
        <w:t>donic acid can also induce</w:t>
      </w:r>
      <w:r w:rsidR="00D25685" w:rsidRPr="00070602">
        <w:rPr>
          <w:rFonts w:ascii="Times New Roman" w:hAnsi="Times New Roman" w:cs="Times New Roman"/>
        </w:rPr>
        <w:t xml:space="preserve"> format</w:t>
      </w:r>
      <w:r w:rsidR="00051E08" w:rsidRPr="00070602">
        <w:rPr>
          <w:rFonts w:ascii="Times New Roman" w:hAnsi="Times New Roman" w:cs="Times New Roman"/>
        </w:rPr>
        <w:t xml:space="preserve">ion of 20-HETE </w:t>
      </w:r>
      <w:r w:rsidR="00395AEA">
        <w:rPr>
          <w:rFonts w:ascii="Times New Roman" w:hAnsi="Times New Roman" w:cs="Times New Roman"/>
        </w:rPr>
        <w:t xml:space="preserve">(20-hydroxyeicosatetraenoic acid) </w:t>
      </w:r>
      <w:r w:rsidR="00051E08" w:rsidRPr="00070602">
        <w:rPr>
          <w:rFonts w:ascii="Times New Roman" w:hAnsi="Times New Roman" w:cs="Times New Roman"/>
        </w:rPr>
        <w:t>in smooth muscle</w:t>
      </w:r>
      <w:r w:rsidR="00D25685" w:rsidRPr="00070602">
        <w:rPr>
          <w:rFonts w:ascii="Times New Roman" w:hAnsi="Times New Roman" w:cs="Times New Roman"/>
        </w:rPr>
        <w:t xml:space="preserve"> cells, </w:t>
      </w:r>
      <w:r w:rsidR="00CE11F7">
        <w:rPr>
          <w:rFonts w:ascii="Times New Roman" w:hAnsi="Times New Roman" w:cs="Times New Roman"/>
        </w:rPr>
        <w:t>resulting</w:t>
      </w:r>
      <w:r w:rsidR="00051E08" w:rsidRPr="00070602">
        <w:rPr>
          <w:rFonts w:ascii="Times New Roman" w:hAnsi="Times New Roman" w:cs="Times New Roman"/>
        </w:rPr>
        <w:t xml:space="preserve"> in vasoconstriction</w:t>
      </w:r>
      <w:r w:rsidR="00D25685" w:rsidRPr="00070602">
        <w:rPr>
          <w:rFonts w:ascii="Times New Roman" w:hAnsi="Times New Roman" w:cs="Times New Roman"/>
        </w:rPr>
        <w:t>.</w:t>
      </w:r>
      <w:r w:rsidR="00062456">
        <w:rPr>
          <w:rFonts w:ascii="Times New Roman" w:hAnsi="Times New Roman" w:cs="Times New Roman"/>
        </w:rPr>
        <w:t xml:space="preserve"> Therefore release of astrocyte-derived metabolites can regulate vascular tone.</w:t>
      </w:r>
      <w:r w:rsidR="003A57D6">
        <w:rPr>
          <w:rFonts w:ascii="Times New Roman" w:hAnsi="Times New Roman" w:cs="Times New Roman"/>
        </w:rPr>
        <w:t xml:space="preserve"> </w:t>
      </w:r>
      <w:r w:rsidR="003A57D6" w:rsidRPr="003A57D6">
        <w:rPr>
          <w:rFonts w:ascii="Times New Roman" w:hAnsi="Times New Roman" w:cs="Times New Roman"/>
        </w:rPr>
        <w:t>However, specifically blocking mGluR5 did not affect the hemodynamic response following whisker stimulation in mice, which suggests that astrocytes have alternative ways of responding to glutamatergic neurotransmissio</w:t>
      </w:r>
      <w:r w:rsidR="00A31DBE">
        <w:rPr>
          <w:rFonts w:ascii="Times New Roman" w:hAnsi="Times New Roman" w:cs="Times New Roman"/>
        </w:rPr>
        <w:t xml:space="preserve">n </w:t>
      </w:r>
      <w:r w:rsidR="00A31DBE">
        <w:rPr>
          <w:rFonts w:ascii="Times New Roman" w:hAnsi="Times New Roman" w:cs="Times New Roman"/>
        </w:rPr>
        <w:fldChar w:fldCharType="begin" w:fldLock="1"/>
      </w:r>
      <w:r w:rsidR="00DB5698">
        <w:rPr>
          <w:rFonts w:ascii="Times New Roman" w:hAnsi="Times New Roman" w:cs="Times New Roman"/>
        </w:rPr>
        <w:instrText>ADDIN CSL_CITATION { "citationItems" : [ { "id" : "ITEM-1", "itemData" : { "DOI" : "10.1038/jcbfm.2011.96", "ISSN" : "1559-7016", "PMID" : "21731033", "abstract" : "Activation of astrocytic metabotropic glutamate receptor 5 (mGluR5) is postulated to elicit calcium transients, triggering a chain of events that ultimately regulates cerebral blood flow by changing the tone of smooth muscle cells of nearby arterioles. Using concurrent in vivo optical imaging and determination of receptor occupancy with (11)C-ABP688, we report here that blocking \u223c80% of mGluR5 in vivo does not affect transient hemodynamic responses on brief whisker stimulations while transiently reducing neuronal activity as measured by voltage-sensitive dye imaging. Our results show that mechanisms other than activation of mGluR5 are required to trigger the initial hemodynamic response in normal physiological conditions.", "author" : [ { "dropping-particle" : "", "family" : "Calcinaghi", "given" : "Novella", "non-dropping-particle" : "", "parse-names" : false, "suffix" : "" }, { "dropping-particle" : "", "family" : "Jolivet", "given" : "Renaud", "non-dropping-particle" : "", "parse-names" : false, "suffix" : "" }, { "dropping-particle" : "", "family" : "Wyss", "given" : "Matthias T", "non-dropping-particle" : "", "parse-names" : false, "suffix" : "" }, { "dropping-particle" : "", "family" : "Ametamey", "given" : "Simon M", "non-dropping-particle" : "", "parse-names" : false, "suffix" : "" }, { "dropping-particle" : "", "family" : "Gasparini", "given" : "Fabrizio", "non-dropping-particle" : "", "parse-names" : false, "suffix" : "" }, { "dropping-particle" : "", "family" : "Buck", "given" : "Alfred", "non-dropping-particle" : "", "parse-names" : false, "suffix" : "" }, { "dropping-particle" : "", "family" : "Weber", "given" : "Bruno", "non-dropping-particle" : "", "parse-names" : false, "suffix" : "" } ], "container-title" : "Journal of cerebral blood flow and metabolism : official journal of the International Society of Cerebral Blood Flow and Metabolism", "id" : "ITEM-1", "issue" : "9", "issued" : { "date-parts" : [ [ "2011", "9" ] ] }, "page" : "e1-10", "publisher" : "SAGE Publications", "title" : "Metabotropic glutamate receptor mGluR5 is not involved in the early hemodynamic response.", "type" : "article-journal", "volume" : "31" }, "uris" : [ "http://www.mendeley.com/documents/?uuid=176ba777-972a-30ad-9090-f53cf92ce49d" ] } ], "mendeley" : { "formattedCitation" : "(Calcinaghi et al. 2011)", "plainTextFormattedCitation" : "(Calcinaghi et al. 2011)", "previouslyFormattedCitation" : "(Calcinaghi et al. 2011)" }, "properties" : { "noteIndex" : 0 }, "schema" : "https://github.com/citation-style-language/schema/raw/master/csl-citation.json" }</w:instrText>
      </w:r>
      <w:r w:rsidR="00A31DBE">
        <w:rPr>
          <w:rFonts w:ascii="Times New Roman" w:hAnsi="Times New Roman" w:cs="Times New Roman"/>
        </w:rPr>
        <w:fldChar w:fldCharType="separate"/>
      </w:r>
      <w:r w:rsidR="00A31DBE" w:rsidRPr="00A31DBE">
        <w:rPr>
          <w:rFonts w:ascii="Times New Roman" w:hAnsi="Times New Roman" w:cs="Times New Roman"/>
          <w:noProof/>
        </w:rPr>
        <w:t>(Calcinaghi et al. 2011)</w:t>
      </w:r>
      <w:r w:rsidR="00A31DBE">
        <w:rPr>
          <w:rFonts w:ascii="Times New Roman" w:hAnsi="Times New Roman" w:cs="Times New Roman"/>
        </w:rPr>
        <w:fldChar w:fldCharType="end"/>
      </w:r>
      <w:r w:rsidR="00A31DBE">
        <w:rPr>
          <w:rFonts w:ascii="Times New Roman" w:hAnsi="Times New Roman" w:cs="Times New Roman"/>
        </w:rPr>
        <w:t>.</w:t>
      </w:r>
    </w:p>
    <w:p w14:paraId="633BC155" w14:textId="77777777" w:rsidR="00595449" w:rsidRDefault="00595449" w:rsidP="00103AAC">
      <w:pPr>
        <w:spacing w:line="360" w:lineRule="auto"/>
        <w:rPr>
          <w:rFonts w:ascii="Times New Roman" w:hAnsi="Times New Roman" w:cs="Times New Roman"/>
        </w:rPr>
      </w:pPr>
      <w:r>
        <w:rPr>
          <w:rFonts w:ascii="Times New Roman" w:hAnsi="Times New Roman" w:cs="Times New Roman"/>
        </w:rPr>
        <w:t xml:space="preserve"> </w:t>
      </w:r>
    </w:p>
    <w:p w14:paraId="3B1E2251" w14:textId="51084A25" w:rsidR="003A57D6" w:rsidRPr="00E80663" w:rsidRDefault="00062456" w:rsidP="003A57D6">
      <w:pPr>
        <w:spacing w:line="360" w:lineRule="auto"/>
        <w:jc w:val="both"/>
        <w:rPr>
          <w:rFonts w:ascii="Times New Roman" w:hAnsi="Times New Roman" w:cs="Times New Roman"/>
          <w:color w:val="FF0000"/>
        </w:rPr>
      </w:pPr>
      <w:r>
        <w:rPr>
          <w:rFonts w:ascii="Times New Roman" w:hAnsi="Times New Roman" w:cs="Times New Roman"/>
        </w:rPr>
        <w:t>Other ch</w:t>
      </w:r>
      <w:r w:rsidR="003A57D6">
        <w:rPr>
          <w:rFonts w:ascii="Times New Roman" w:hAnsi="Times New Roman" w:cs="Times New Roman"/>
        </w:rPr>
        <w:t>anges that regulate hemodynamic control</w:t>
      </w:r>
      <w:r>
        <w:rPr>
          <w:rFonts w:ascii="Times New Roman" w:hAnsi="Times New Roman" w:cs="Times New Roman"/>
        </w:rPr>
        <w:t xml:space="preserve"> include oxygen and various changes in ion concentration. For example, an increased oxygen supply</w:t>
      </w:r>
      <w:r w:rsidR="00CE11F7" w:rsidRPr="00070602">
        <w:rPr>
          <w:rFonts w:ascii="Times New Roman" w:hAnsi="Times New Roman" w:cs="Times New Roman"/>
        </w:rPr>
        <w:t xml:space="preserve"> induce</w:t>
      </w:r>
      <w:r>
        <w:rPr>
          <w:rFonts w:ascii="Times New Roman" w:hAnsi="Times New Roman" w:cs="Times New Roman"/>
        </w:rPr>
        <w:t>s</w:t>
      </w:r>
      <w:r w:rsidR="00CE11F7" w:rsidRPr="00070602">
        <w:rPr>
          <w:rFonts w:ascii="Times New Roman" w:hAnsi="Times New Roman" w:cs="Times New Roman"/>
        </w:rPr>
        <w:t xml:space="preserve"> the conve</w:t>
      </w:r>
      <w:r w:rsidR="00CE11F7">
        <w:rPr>
          <w:rFonts w:ascii="Times New Roman" w:hAnsi="Times New Roman" w:cs="Times New Roman"/>
        </w:rPr>
        <w:t>rsion of arachidonic acid to 20-</w:t>
      </w:r>
      <w:r w:rsidR="00CE11F7" w:rsidRPr="00070602">
        <w:rPr>
          <w:rFonts w:ascii="Times New Roman" w:hAnsi="Times New Roman" w:cs="Times New Roman"/>
        </w:rPr>
        <w:t>HETE, lead</w:t>
      </w:r>
      <w:r w:rsidR="000C32AC">
        <w:rPr>
          <w:rFonts w:ascii="Times New Roman" w:hAnsi="Times New Roman" w:cs="Times New Roman"/>
        </w:rPr>
        <w:t>ing</w:t>
      </w:r>
      <w:r w:rsidR="00CE11F7" w:rsidRPr="00070602">
        <w:rPr>
          <w:rFonts w:ascii="Times New Roman" w:hAnsi="Times New Roman" w:cs="Times New Roman"/>
        </w:rPr>
        <w:t xml:space="preserve"> to vessel constriction, whereas low levels of oxygen trigger vessel dilation</w:t>
      </w:r>
      <w:r w:rsidR="001245A1">
        <w:rPr>
          <w:rFonts w:ascii="Times New Roman" w:hAnsi="Times New Roman" w:cs="Times New Roman"/>
        </w:rPr>
        <w:t xml:space="preserve"> </w:t>
      </w:r>
      <w:r w:rsidR="001245A1">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"10.3389/fnins.2014.00103", "ISSN" : "1662-4548", "PMID" : "24847203", "abstract" : "In order to maintain normal brain function, it is critical that cerebral blood flow (CBF) is matched to neuronal metabolic needs. Accordingly, blood flow is increased to areas where neurons are more active (a response termed functional hyperemia). The tight relationships between neuronal activation, glial cell activity, cerebral energy metabolism, and the cerebral vasculature, known as neurometabolic and neurovascular coupling, underpin functional MRI (fMRI) signals but are incompletely understood. As functional imaging techniques, particularly BOLD fMRI, become more widely used, their utility hinges on our ability to accurately and reliably interpret the findings. A growing body of data demonstrates that astrocytes can serve as a \"bridge,\" relaying information on the level of neural activity to blood vessels in order to coordinate oxygen and glucose delivery with the energy demands of the tissue. It is widely assumed that calcium-dependent release of vasoactive substances by astrocytes results in arteriole dilation and the increased blood flow which accompanies neuronal activity. However, the signaling molecules responsible for this communication between astrocytes and blood vessels are yet to be definitively confirmed. Indeed, there is controversy over whether activity-induced changes in astrocyte calcium are widespread and fast enough to elicit such functional hyperemia responses. In this review, I will summarize the evidence which has convincingly demonstrated that astrocytes are able to modify the diameter of cerebral arterioles. I will discuss the prevalence, presence, and timing of stimulus-induced astrocyte calcium transients and describe the evidence for and against the role of calcium-dependent formation and release of vasoactive substances by astrocytes. I will also review alternative mechanisms of astrocyte-evoked changes in arteriole diameter and consider the questions which remain to be answered in this exciting area of research.", "author" : [ { "dropping-particle" : "", "family" : "Howarth", "given" : "Clare", "non-dropping-particle" : "", "parse-names" : false, "suffix" : "" } ], "container-title" : "Frontiers in neuroscience", "id" : "ITEM-1", "issued" : { "date-parts" : [ [ "2014" ] ] }, "page" : "103", "publisher" : "Frontiers Media SA", "title" : "The contribution of astrocytes to the regulation of cerebral blood flow.", "type" : "article-journal", "volume" : "8" }, "uris" : [ "http://www.mendeley.com/documents/?uuid=31f7622d-01c3-3ef5-8841-026d08a22fe3" ] } ], "mendeley" : { "formattedCitation" : "(Howarth 2014)", "plainTextFormattedCitation" : "(Howarth 2014)", "previouslyFormattedCitation" : "(Howarth 2014)" }, "properties" : { "noteIndex" : 0 }, "schema" : "https://github.com/citation-style-language/schema/raw/master/csl-citation.json" }</w:instrText>
      </w:r>
      <w:r w:rsidR="001245A1">
        <w:rPr>
          <w:rFonts w:ascii="Times New Roman" w:hAnsi="Times New Roman" w:cs="Times New Roman"/>
        </w:rPr>
        <w:fldChar w:fldCharType="separate"/>
      </w:r>
      <w:r w:rsidR="00C148FC" w:rsidRPr="00C148FC">
        <w:rPr>
          <w:rFonts w:ascii="Times New Roman" w:hAnsi="Times New Roman" w:cs="Times New Roman"/>
          <w:noProof/>
        </w:rPr>
        <w:t>(Howarth 2014)</w:t>
      </w:r>
      <w:r w:rsidR="001245A1">
        <w:rPr>
          <w:rFonts w:ascii="Times New Roman" w:hAnsi="Times New Roman" w:cs="Times New Roman"/>
        </w:rPr>
        <w:fldChar w:fldCharType="end"/>
      </w:r>
      <w:r w:rsidR="001245A1">
        <w:rPr>
          <w:rFonts w:ascii="Times New Roman" w:hAnsi="Times New Roman" w:cs="Times New Roman"/>
        </w:rPr>
        <w:t>.</w:t>
      </w:r>
      <w:r w:rsidR="00CE11F7" w:rsidRPr="00070602">
        <w:rPr>
          <w:rFonts w:ascii="Times New Roman" w:hAnsi="Times New Roman" w:cs="Times New Roman"/>
        </w:rPr>
        <w:t xml:space="preserve"> Potassium released by astrocytes can also trigger vessel dilation by passing through inwardly rectifying potassium channels on sm</w:t>
      </w:r>
      <w:r w:rsidR="00524626">
        <w:rPr>
          <w:rFonts w:ascii="Times New Roman" w:hAnsi="Times New Roman" w:cs="Times New Roman"/>
        </w:rPr>
        <w:t xml:space="preserve">ooth muscle cells resulting in </w:t>
      </w:r>
      <w:r w:rsidR="00CE11F7" w:rsidRPr="00070602">
        <w:rPr>
          <w:rFonts w:ascii="Times New Roman" w:hAnsi="Times New Roman" w:cs="Times New Roman"/>
        </w:rPr>
        <w:t>Na</w:t>
      </w:r>
      <w:r w:rsidR="00CE11F7" w:rsidRPr="00070602">
        <w:rPr>
          <w:rFonts w:ascii="Times New Roman" w:hAnsi="Times New Roman" w:cs="Times New Roman"/>
          <w:vertAlign w:val="superscript"/>
        </w:rPr>
        <w:t>+</w:t>
      </w:r>
      <w:r w:rsidR="00CE11F7" w:rsidRPr="00070602">
        <w:rPr>
          <w:rFonts w:ascii="Times New Roman" w:hAnsi="Times New Roman" w:cs="Times New Roman"/>
        </w:rPr>
        <w:t>K</w:t>
      </w:r>
      <w:r w:rsidR="00CE11F7" w:rsidRPr="00070602">
        <w:rPr>
          <w:rFonts w:ascii="Times New Roman" w:hAnsi="Times New Roman" w:cs="Times New Roman"/>
          <w:vertAlign w:val="superscript"/>
        </w:rPr>
        <w:t>+</w:t>
      </w:r>
      <w:r w:rsidR="00CE11F7" w:rsidRPr="00070602">
        <w:rPr>
          <w:rFonts w:ascii="Times New Roman" w:hAnsi="Times New Roman" w:cs="Times New Roman"/>
        </w:rPr>
        <w:t xml:space="preserve"> ATPase activation and hyperpolar</w:t>
      </w:r>
      <w:r w:rsidR="006F53F2">
        <w:rPr>
          <w:rFonts w:ascii="Times New Roman" w:hAnsi="Times New Roman" w:cs="Times New Roman"/>
        </w:rPr>
        <w:t>is</w:t>
      </w:r>
      <w:r w:rsidR="00CE11F7" w:rsidRPr="00070602">
        <w:rPr>
          <w:rFonts w:ascii="Times New Roman" w:hAnsi="Times New Roman" w:cs="Times New Roman"/>
        </w:rPr>
        <w:t xml:space="preserve">ation. In addition, increased calcium in astrocytes can trigger the release of ATP, which binds to P2XY receptors on arterioles resulting in vessel constriction </w:t>
      </w:r>
      <w:r w:rsidR="00CE11F7"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"10.1101/cshperspect.a020388", "ISSN" : "1943-0264", "PMID" : "25818565", "abstract" : "Neuronal activity results in increased blood flow in the brain, a response named functional hyperemia. Astrocytes play an important role in mediating this response. Neurotransmitters released from active neurons evoke Ca(2+) increases in astrocytes, leading to the release of vasoactive metabolites of arachidonic acid from astrocyte endfeet onto blood vessels. Synthesis of prostaglandin E2 (PGE2) and epoxyeicosatrienoic acids (EETs) dilate blood vessels, whereas 20-hydroxyeicosatetraenoic acid (20-HETE) constricts vessels. The release of K(+) from astrocyte endfeet may also contribute to vasodilation. Oxygen modulates astrocyte regulation of blood flow. Under normoxic conditions, astrocytic Ca(2+) signaling results in vasodilation, whereas under hyperoxic conditions, vasoconstriction is favored. Astrocytes also contribute to the generation of vascular tone. Tonic release of both 20-HETE and ATP from astrocytes constricts vascular smooth muscle cells, generating vessel tone. Under pathological conditions, including Alzheimer's disease and diabetic retinopathy, disruption of normal astrocyte physiology can compromise the regulation of blood flow.", "author" : [ { "dropping-particle" : "", "family" : "MacVicar", "given" : "Brian A", "non-dropping-particle" : "", "parse-names" : false, "suffix" : "" }, { "dropping-particle" : "", "family" : "Newman", "given" : "Eric A", "non-dropping-particle" : "", "parse-names" : false, "suffix" : "" } ], "container-title" : "Cold Spring Harbor perspectives in biology", "id" : "ITEM-1", "issue" : "5", "issued" : { "date-parts" : [ [ "2015", "5", "1" ] ] }, "page" : "a020388-", "title" : "Astrocyte regulation of blood flow in the brain.", "type" : "article-journal", "volume" : "7" }, "uris" : [ "http://www.mendeley.com/documents/?uuid=2f23bfa8-7ad2-4c83-85f1-528cfd744968" ] } ], "mendeley" : { "formattedCitation" : "(MacVicar &amp; Newman 2015)", "plainTextFormattedCitation" : "(MacVicar &amp; Newman 2015)", "previouslyFormattedCitation" : "(MacVicar &amp; Newman 2015)" }, "properties" : { "noteIndex" : 0 }, "schema" : "https://github.com/citation-style-language/schema/raw/master/csl-citation.json" }</w:instrText>
      </w:r>
      <w:r w:rsidR="00CE11F7" w:rsidRPr="00070602">
        <w:rPr>
          <w:rFonts w:ascii="Times New Roman" w:hAnsi="Times New Roman" w:cs="Times New Roman"/>
        </w:rPr>
        <w:fldChar w:fldCharType="separate"/>
      </w:r>
      <w:r w:rsidR="00C148FC" w:rsidRPr="00C148FC">
        <w:rPr>
          <w:rFonts w:ascii="Times New Roman" w:hAnsi="Times New Roman" w:cs="Times New Roman"/>
          <w:noProof/>
        </w:rPr>
        <w:t>(MacVicar &amp; Newman 2015)</w:t>
      </w:r>
      <w:r w:rsidR="00CE11F7" w:rsidRPr="00070602">
        <w:rPr>
          <w:rFonts w:ascii="Times New Roman" w:hAnsi="Times New Roman" w:cs="Times New Roman"/>
        </w:rPr>
        <w:fldChar w:fldCharType="end"/>
      </w:r>
      <w:r w:rsidR="00CE11F7" w:rsidRPr="00070602">
        <w:rPr>
          <w:rFonts w:ascii="Times New Roman" w:hAnsi="Times New Roman" w:cs="Times New Roman"/>
        </w:rPr>
        <w:t xml:space="preserve">. Therefore, there are a number of ways astrocytes can modulate vascular tone and </w:t>
      </w:r>
      <w:r w:rsidR="00CE11F7">
        <w:rPr>
          <w:rFonts w:ascii="Times New Roman" w:hAnsi="Times New Roman" w:cs="Times New Roman"/>
        </w:rPr>
        <w:t xml:space="preserve">rates of </w:t>
      </w:r>
      <w:r>
        <w:rPr>
          <w:rFonts w:ascii="Times New Roman" w:hAnsi="Times New Roman" w:cs="Times New Roman"/>
        </w:rPr>
        <w:t>blood flow, which are influenced by external factors in the blood and release</w:t>
      </w:r>
      <w:r w:rsidR="003A0972">
        <w:rPr>
          <w:rFonts w:ascii="Times New Roman" w:hAnsi="Times New Roman" w:cs="Times New Roman"/>
        </w:rPr>
        <w:t>d</w:t>
      </w:r>
      <w:r>
        <w:rPr>
          <w:rFonts w:ascii="Times New Roman" w:hAnsi="Times New Roman" w:cs="Times New Roman"/>
        </w:rPr>
        <w:t xml:space="preserve"> by neurons. </w:t>
      </w:r>
      <w:r w:rsidR="003A57D6" w:rsidRPr="003A57D6">
        <w:rPr>
          <w:rFonts w:ascii="Times New Roman" w:hAnsi="Times New Roman" w:cs="Times New Roman"/>
        </w:rPr>
        <w:t>However, recent evidence has questioned the role of astrocytes in regulating cerebral blood flow. Studies have shown that arteriole dilations resulting from neural activity precede calcium signalling in astrocytes</w:t>
      </w:r>
      <w:r w:rsidR="00DB5698">
        <w:rPr>
          <w:rFonts w:ascii="Times New Roman" w:hAnsi="Times New Roman" w:cs="Times New Roman"/>
        </w:rPr>
        <w:t xml:space="preserve"> </w:t>
      </w:r>
      <w:r w:rsidR="00DB5698">
        <w:rPr>
          <w:rFonts w:ascii="Times New Roman" w:hAnsi="Times New Roman" w:cs="Times New Roman"/>
        </w:rPr>
        <w:fldChar w:fldCharType="begin" w:fldLock="1"/>
      </w:r>
      <w:r w:rsidR="00DB5698">
        <w:rPr>
          <w:rFonts w:ascii="Times New Roman" w:hAnsi="Times New Roman" w:cs="Times New Roman"/>
        </w:rPr>
        <w:instrText>ADDIN CSL_CITATION { "citationItems" : [ { "id" : "ITEM-1", "itemData" : { "DOI" : "10.1523/JNEUROSCI.3285-12.2013", "ISSN" : "1529-2401", "PMID" : "23658179", "abstract" : "Calcium-dependent release of vasoactive gliotransmitters is widely assumed to trigger vasodilation associated with rapid increases in neuronal activity. Inconsistent with this hypothesis, intact stimulus-induced vasodilation was observed in inositol 1,4,5-triphosphate (IP3) type-2 receptor (R2) knock-out (KO) mice, in which the primary mechanism of astrocytic calcium increase-the release of calcium from intracellular stores following activation of an IP3-dependent pathway-is lacking. Further, our results in wild-type (WT) mice indicate that in vivo onset of astrocytic calcium increase in response to sensory stimulus could be considerably delayed relative to the simultaneously measured onset of arteriolar dilation. Delayed calcium increases in WT mice were observed in both astrocytic cell bodies and perivascular endfeet. Thus, astrocytes may not play a role in the initiation of blood flow response, at least not via calcium-dependent mechanisms. Moreover, an increase in astrocytic intracellular calcium was not required for normal vasodilation in the IP3R2-KO animals.", "author" : [ { "dropping-particle" : "", "family" : "Nizar", "given" : "Krystal", "non-dropping-particle" : "", "parse-names" : false, "suffix" : "" }, { "dropping-particle" : "", "family" : "Uhlirova", "given" : "Hana", "non-dropping-particle" : "", "parse-names" : false, "suffix" : "" }, { "dropping-particle" : "", "family" : "Tian", "given" : "Peifang", "non-dropping-particle" : "", "parse-names" : false, "suffix" : "" }, { "dropping-particle" : "", "family" : "Saisan", "given" : "Payam A", "non-dropping-particle" : "", "parse-names" : false, "suffix" : "" }, { "dropping-particle" : "", "family" : "Cheng", "given" : "Qun", "non-dropping-particle" : "", "parse-names" : false, "suffix" : "" }, { "dropping-particle" : "", "family" : "Reznichenko", "given" : "Lidia", "non-dropping-particle" : "", "parse-names" : false, "suffix" : "" }, { "dropping-particle" : "", "family" : "Weldy", "given" : "Kimberly L", "non-dropping-particle" : "", "parse-names" : false, "suffix" : "" }, { "dropping-particle" : "", "family" : "Steed", "given" : "Tyler C", "non-dropping-particle" : "", "parse-names" : false, "suffix" : "" }, { "dropping-particle" : "", "family" : "Sridhar", "given" : "Vishnu B", "non-dropping-particle" : "", "parse-names" : false, "suffix" : "" }, { "dropping-particle" : "", "family" : "MacDonald", "given" : "Christopher L", "non-dropping-particle" : "", "parse-names" : false, "suffix" : "" }, { "dropping-particle" : "", "family" : "Cui", "given" : "Jianxia", "non-dropping-particle" : "", "parse-names" : false, "suffix" : "" }, { "dropping-particle" : "", "family" : "Gratiy", "given" : "Sergey L", "non-dropping-particle" : "", "parse-names" : false, "suffix" : "" }, { "dropping-particle" : "", "family" : "Sakadzi\u0107", "given" : "Sava", "non-dropping-particle" : "", "parse-names" : false, "suffix" : "" }, { "dropping-particle" : "", "family" : "Boas", "given" : "David A", "non-dropping-particle" : "", "parse-names" : false, "suffix" : "" }, { "dropping-particle" : "", "family" : "Beka", "given" : "Thomas I", "non-dropping-particle" : "", "parse-names" : false, "suffix" : "" }, { "dropping-particle" : "", "family" : "Einevoll", "given" : "Gaute T", "non-dropping-particle" : "", "parse-names" : false, "suffix" : "" }, { "dropping-particle" : "", "family" : "Chen", "given" : "Ju", "non-dropping-particle" : "", "parse-names" : false, "suffix" : "" }, { "dropping-particle" : "", "family" : "Masliah", "given" : "Eliezer", "non-dropping-particle" : "", "parse-names" : false, "suffix" : "" }, { "dropping-particle" : "", "family" : "Dale", "given" : "Anders M", "non-dropping-particle" : "", "parse-names" : false, "suffix" : "" }, { "dropping-particle" : "", "family" : "Silva", "given" : "Gabriel A", "non-dropping-particle" : "", "parse-names" : false, "suffix" : "" }, { "dropping-particle" : "", "family" : "Devor", "given" : "Anna", "non-dropping-particle" : "", "parse-names" : false, "suffix" : "" } ], "container-title" : "The Journal of neuroscience : the official journal of the Society for Neuroscience", "id" : "ITEM-1", "issue" : "19", "issued" : { "date-parts" : [ [ "2013", "5", "8" ] ] }, "page" : "8411-22", "publisher" : "NIH Public Access", "title" : "In vivo stimulus-induced vasodilation occurs without IP3 receptor activation and may precede astrocytic calcium increase.", "type" : "article-journal", "volume" : "33" }, "uris" : [ "http://www.mendeley.com/documents/?uuid=6856af70-5dcd-3548-a5e0-039535f368db" ] } ], "mendeley" : { "formattedCitation" : "(Nizar et al. 2013)", "plainTextFormattedCitation" : "(Nizar et al. 2013)", "previouslyFormattedCitation" : "(Nizar et al. 2013)" }, "properties" : { "noteIndex" : 0 }, "schema" : "https://github.com/citation-style-language/schema/raw/master/csl-citation.json" }</w:instrText>
      </w:r>
      <w:r w:rsidR="00DB5698">
        <w:rPr>
          <w:rFonts w:ascii="Times New Roman" w:hAnsi="Times New Roman" w:cs="Times New Roman"/>
        </w:rPr>
        <w:fldChar w:fldCharType="separate"/>
      </w:r>
      <w:r w:rsidR="00DB5698" w:rsidRPr="00DB5698">
        <w:rPr>
          <w:rFonts w:ascii="Times New Roman" w:hAnsi="Times New Roman" w:cs="Times New Roman"/>
          <w:noProof/>
        </w:rPr>
        <w:t>(Nizar et al. 2013)</w:t>
      </w:r>
      <w:r w:rsidR="00DB5698">
        <w:rPr>
          <w:rFonts w:ascii="Times New Roman" w:hAnsi="Times New Roman" w:cs="Times New Roman"/>
        </w:rPr>
        <w:fldChar w:fldCharType="end"/>
      </w:r>
      <w:r w:rsidR="003A57D6">
        <w:rPr>
          <w:rFonts w:ascii="Times New Roman" w:hAnsi="Times New Roman" w:cs="Times New Roman"/>
          <w:color w:val="FF0000"/>
        </w:rPr>
        <w:t xml:space="preserve"> </w:t>
      </w:r>
      <w:r w:rsidR="003A57D6" w:rsidRPr="003A57D6">
        <w:rPr>
          <w:rFonts w:ascii="Times New Roman" w:hAnsi="Times New Roman" w:cs="Times New Roman"/>
        </w:rPr>
        <w:t>and can also occur in the absence of glial signals</w:t>
      </w:r>
      <w:r w:rsidR="00DB5698">
        <w:rPr>
          <w:rFonts w:ascii="Times New Roman" w:hAnsi="Times New Roman" w:cs="Times New Roman"/>
        </w:rPr>
        <w:t xml:space="preserve"> </w:t>
      </w:r>
      <w:r w:rsidR="00DB5698">
        <w:rPr>
          <w:rFonts w:ascii="Times New Roman" w:hAnsi="Times New Roman" w:cs="Times New Roman"/>
        </w:rPr>
        <w:fldChar w:fldCharType="begin" w:fldLock="1"/>
      </w:r>
      <w:r w:rsidR="006C5A85">
        <w:rPr>
          <w:rFonts w:ascii="Times New Roman" w:hAnsi="Times New Roman" w:cs="Times New Roman"/>
        </w:rPr>
        <w:instrText>ADDIN CSL_CITATION { "citationItems" : [ { "id" : "ITEM-1", "itemData" : { "DOI" : "10.1038/nmeth.2013", "ISSN" : "1548-7091", "author" : [ { "dropping-particle" : "", "family" : "Schulz", "given" : "Kristina", "non-dropping-particle" : "", "parse-names" : false, "suffix" : "" }, { "dropping-particle" : "", "family" : "Sydekum", "given" : "Esther", "non-dropping-particle" : "", "parse-names" : false, "suffix" : "" }, { "dropping-particle" : "", "family" : "Krueppel", "given" : "Roland", "non-dropping-particle" : "", "parse-names" : false, "suffix" : "" }, { "dropping-particle" : "", "family" : "Engelbrecht", "given" : "Christoph J", "non-dropping-particle" : "", "parse-names" : false, "suffix" : "" }, { "dropping-particle" : "", "family" : "Schlegel", "given" : "Felix", "non-dropping-particle" : "", "parse-names" : false, "suffix" : "" }, { "dropping-particle" : "", "family" : "Schr\u00f6ter", "given" : "Aileen", "non-dropping-particle" : "", "parse-names" : false, "suffix" : "" }, { "dropping-particle" : "", "family" : "Rudin", "given" : "Markus", "non-dropping-particle" : "", "parse-names" : false, "suffix" : "" }, { "dropping-particle" : "", "family" : "Helmchen", "given" : "Fritjof", "non-dropping-particle" : "", "parse-names" : false, "suffix" : "" } ], "container-title" : "Nature Methods", "id" : "ITEM-1", "issue" : "6", "issued" : { "date-parts" : [ [ "2012", "5", "6" ] ] }, "page" : "597-602", "publisher" : "Nature Research", "title" : "Simultaneous BOLD fMRI and fiber-optic calcium recording in rat neocortex", "type" : "article-journal", "volume" : "9" }, "uris" : [ "http://www.mendeley.com/documents/?uuid=7bb7d957-4c1d-310a-a35c-6a6fddc64fec" ] } ], "mendeley" : { "formattedCitation" : "(Schulz et al. 2012)", "plainTextFormattedCitation" : "(Schulz et al. 2012)", "previouslyFormattedCitation" : "(Schulz et al. 2012)" }, "properties" : { "noteIndex" : 0 }, "schema" : "https://github.com/citation-style-language/schema/raw/master/csl-citation.json" }</w:instrText>
      </w:r>
      <w:r w:rsidR="00DB5698">
        <w:rPr>
          <w:rFonts w:ascii="Times New Roman" w:hAnsi="Times New Roman" w:cs="Times New Roman"/>
        </w:rPr>
        <w:fldChar w:fldCharType="separate"/>
      </w:r>
      <w:r w:rsidR="00DB5698" w:rsidRPr="00DB5698">
        <w:rPr>
          <w:rFonts w:ascii="Times New Roman" w:hAnsi="Times New Roman" w:cs="Times New Roman"/>
          <w:noProof/>
        </w:rPr>
        <w:t>(Schulz et al. 2012)</w:t>
      </w:r>
      <w:r w:rsidR="00DB5698">
        <w:rPr>
          <w:rFonts w:ascii="Times New Roman" w:hAnsi="Times New Roman" w:cs="Times New Roman"/>
        </w:rPr>
        <w:fldChar w:fldCharType="end"/>
      </w:r>
      <w:r w:rsidR="003A57D6" w:rsidRPr="00DB5698">
        <w:rPr>
          <w:rFonts w:ascii="Times New Roman" w:hAnsi="Times New Roman" w:cs="Times New Roman"/>
        </w:rPr>
        <w:t xml:space="preserve">, </w:t>
      </w:r>
      <w:r w:rsidR="003A57D6" w:rsidRPr="003A57D6">
        <w:rPr>
          <w:rFonts w:ascii="Times New Roman" w:hAnsi="Times New Roman" w:cs="Times New Roman"/>
        </w:rPr>
        <w:t xml:space="preserve">although fast and slow calcium responses have been identified in astrocytes in response to neurotransmission that may resolve this controversy </w:t>
      </w:r>
      <w:r w:rsidR="006C5A85">
        <w:rPr>
          <w:rFonts w:ascii="Times New Roman" w:hAnsi="Times New Roman" w:cs="Times New Roman"/>
        </w:rPr>
        <w:fldChar w:fldCharType="begin" w:fldLock="1"/>
      </w:r>
      <w:r w:rsidR="008438C0">
        <w:rPr>
          <w:rFonts w:ascii="Times New Roman" w:hAnsi="Times New Roman" w:cs="Times New Roman"/>
        </w:rPr>
        <w:instrText>ADDIN CSL_CITATION { "citationItems" : [ { "id" : "ITEM-1", "itemData" : { "DOI" : "10.1073/pnas.1310065110", "ISSN" : "0027-8424", "PMID" : "24218625", "abstract" : "Increased neuron and astrocyte activity triggers increased brain blood flow, but controversy exists over whether stimulation-induced changes in astrocyte activity are rapid and widespread enough to contribute to brain blood flow control. Here, we provide evidence for stimulus-evoked Ca(2+) elevations with rapid onset and short duration in a large proportion of cortical astrocytes in the adult mouse somatosensory cortex. Our improved detection of the fast Ca(2+) signals is due to a signal-enhancing analysis of the Ca(2+) activity. The rapid stimulation-evoked Ca(2+) increases identified in astrocyte somas, processes, and end-feet preceded local vasodilatation. Fast Ca(2+) responses in both neurons and astrocytes correlated with synaptic activity, but only the astrocytic responses correlated with the hemodynamic shifts. These data establish that a large proportion of cortical astrocytes have brief Ca(2+) responses with a rapid onset in vivo, fast enough to initiate hemodynamic responses or influence synaptic activity.", "author" : [ { "dropping-particle" : "", "family" : "Lind", "given" : "B. L.", "non-dropping-particle" : "", "parse-names" : false, "suffix" : "" }, { "dropping-particle" : "", "family" : "Brazhe", "given" : "A. R.", "non-dropping-particle" : "", "parse-names" : false, "suffix" : "" }, { "dropping-particle" : "", "family" : "Jessen", "given" : "S. B.", "non-dropping-particle" : "", "parse-names" : false, "suffix" : "" }, { "dropping-particle" : "", "family" : "Tan", "given" : "F. C. C.", "non-dropping-particle" : "", "parse-names" : false, "suffix" : "" }, { "dropping-particle" : "", "family" : "Lauritzen", "given" : "M. J.", "non-dropping-particle" : "", "parse-names" : false, "suffix" : "" } ], "container-title" : "Proceedings of the National Academy of Sciences", "id" : "ITEM-1", "issue" : "48", "issued" : { "date-parts" : [ [ "2013", "11", "26" ] ] }, "page" : "E4678-E4687", "title" : "Rapid stimulus-evoked astrocyte Ca2+ elevations and hemodynamic responses in mouse somatosensory cortex in vivo", "type" : "article-journal", "volume" : "110" }, "uris" : [ "http://www.mendeley.com/documents/?uuid=c5b43d4c-65ee-3b97-aa4d-e919be71a1e8" ] } ], "mendeley" : { "formattedCitation" : "(Lind et al. 2013)", "plainTextFormattedCitation" : "(Lind et al. 2013)", "previouslyFormattedCitation" : "(Lind et al. 2013)" }, "properties" : { "noteIndex" : 0 }, "schema" : "https://github.com/citation-style-language/schema/raw/master/csl-citation.json" }</w:instrText>
      </w:r>
      <w:r w:rsidR="006C5A85">
        <w:rPr>
          <w:rFonts w:ascii="Times New Roman" w:hAnsi="Times New Roman" w:cs="Times New Roman"/>
        </w:rPr>
        <w:fldChar w:fldCharType="separate"/>
      </w:r>
      <w:r w:rsidR="006C5A85" w:rsidRPr="006C5A85">
        <w:rPr>
          <w:rFonts w:ascii="Times New Roman" w:hAnsi="Times New Roman" w:cs="Times New Roman"/>
          <w:noProof/>
        </w:rPr>
        <w:t>(Lind et al. 2013)</w:t>
      </w:r>
      <w:r w:rsidR="006C5A85">
        <w:rPr>
          <w:rFonts w:ascii="Times New Roman" w:hAnsi="Times New Roman" w:cs="Times New Roman"/>
        </w:rPr>
        <w:fldChar w:fldCharType="end"/>
      </w:r>
      <w:r w:rsidR="006C5A85">
        <w:rPr>
          <w:rFonts w:ascii="Times New Roman" w:hAnsi="Times New Roman" w:cs="Times New Roman"/>
        </w:rPr>
        <w:t>.</w:t>
      </w:r>
      <w:r w:rsidR="003A57D6">
        <w:rPr>
          <w:rFonts w:ascii="Times New Roman" w:hAnsi="Times New Roman" w:cs="Times New Roman"/>
          <w:color w:val="FF0000"/>
        </w:rPr>
        <w:t xml:space="preserve"> </w:t>
      </w:r>
    </w:p>
    <w:p w14:paraId="15AC20BD" w14:textId="426B8B3D" w:rsidR="00CE11F7" w:rsidRDefault="00CE11F7" w:rsidP="00B07212">
      <w:pPr>
        <w:spacing w:line="360" w:lineRule="auto"/>
        <w:jc w:val="both"/>
        <w:rPr>
          <w:rFonts w:ascii="Times New Roman" w:hAnsi="Times New Roman" w:cs="Times New Roman"/>
        </w:rPr>
      </w:pPr>
    </w:p>
    <w:p w14:paraId="6F6785C3" w14:textId="77777777" w:rsidR="000C32AC" w:rsidRDefault="000C32AC" w:rsidP="00103AAC">
      <w:pPr>
        <w:spacing w:line="360" w:lineRule="auto"/>
        <w:rPr>
          <w:rFonts w:ascii="Times New Roman" w:hAnsi="Times New Roman" w:cs="Times New Roman"/>
          <w:b/>
          <w:i/>
          <w:u w:val="single"/>
        </w:rPr>
      </w:pPr>
    </w:p>
    <w:p w14:paraId="716A43ED" w14:textId="6FDC57C3" w:rsidR="00CE11F7" w:rsidRPr="00F37105" w:rsidRDefault="00F37105" w:rsidP="00C25727">
      <w:pPr>
        <w:rPr>
          <w:rFonts w:ascii="Times New Roman" w:hAnsi="Times New Roman" w:cs="Times New Roman"/>
          <w:b/>
          <w:i/>
          <w:u w:val="single"/>
        </w:rPr>
      </w:pPr>
      <w:r>
        <w:rPr>
          <w:rFonts w:ascii="Times New Roman" w:hAnsi="Times New Roman" w:cs="Times New Roman"/>
          <w:b/>
          <w:i/>
          <w:u w:val="single"/>
        </w:rPr>
        <w:t>Glucose transport</w:t>
      </w:r>
    </w:p>
    <w:p w14:paraId="1706679F" w14:textId="08FC31A0" w:rsidR="00D6150F" w:rsidRPr="00E4156E" w:rsidRDefault="00A83DFF" w:rsidP="00B07212">
      <w:pPr>
        <w:spacing w:line="360" w:lineRule="auto"/>
        <w:jc w:val="both"/>
        <w:rPr>
          <w:rFonts w:ascii="Times New Roman" w:hAnsi="Times New Roman" w:cs="Times New Roman"/>
        </w:rPr>
      </w:pPr>
      <w:r>
        <w:rPr>
          <w:rFonts w:ascii="Times New Roman" w:hAnsi="Times New Roman" w:cs="Times New Roman"/>
        </w:rPr>
        <w:t>Glucose is transported</w:t>
      </w:r>
      <w:r w:rsidR="00595449">
        <w:rPr>
          <w:rFonts w:ascii="Times New Roman" w:hAnsi="Times New Roman" w:cs="Times New Roman"/>
        </w:rPr>
        <w:t xml:space="preserve"> into astrocytes</w:t>
      </w:r>
      <w:r>
        <w:rPr>
          <w:rFonts w:ascii="Times New Roman" w:hAnsi="Times New Roman" w:cs="Times New Roman"/>
        </w:rPr>
        <w:t xml:space="preserve"> </w:t>
      </w:r>
      <w:r w:rsidR="00595449">
        <w:rPr>
          <w:rFonts w:ascii="Times New Roman" w:hAnsi="Times New Roman" w:cs="Times New Roman"/>
        </w:rPr>
        <w:t>by the glucose transporter GLUT1</w:t>
      </w:r>
      <w:r w:rsidR="00E4156E">
        <w:rPr>
          <w:rFonts w:ascii="Times New Roman" w:hAnsi="Times New Roman" w:cs="Times New Roman"/>
        </w:rPr>
        <w:t xml:space="preserve">. </w:t>
      </w:r>
      <w:r w:rsidR="001C5246">
        <w:rPr>
          <w:rFonts w:ascii="Times New Roman" w:hAnsi="Times New Roman" w:cs="Times New Roman"/>
        </w:rPr>
        <w:t xml:space="preserve">Neurons do not express GLUT1, whereas a 55kDa isoform of GLUT1 is found in brain endothelial cells and a shorter 44kDa isoform of </w:t>
      </w:r>
      <w:r w:rsidR="006F53F2">
        <w:rPr>
          <w:rFonts w:ascii="Times New Roman" w:hAnsi="Times New Roman" w:cs="Times New Roman"/>
        </w:rPr>
        <w:t>GLUT1 is expressed in astrocyte end-</w:t>
      </w:r>
      <w:r w:rsidR="001C5246">
        <w:rPr>
          <w:rFonts w:ascii="Times New Roman" w:hAnsi="Times New Roman" w:cs="Times New Roman"/>
        </w:rPr>
        <w:t xml:space="preserve">feet. </w:t>
      </w:r>
      <w:r w:rsidR="00E4156E">
        <w:rPr>
          <w:rFonts w:ascii="Times New Roman" w:hAnsi="Times New Roman" w:cs="Times New Roman"/>
          <w:i/>
        </w:rPr>
        <w:t>In vitro</w:t>
      </w:r>
      <w:r w:rsidR="00E4156E">
        <w:rPr>
          <w:rFonts w:ascii="Times New Roman" w:hAnsi="Times New Roman" w:cs="Times New Roman"/>
        </w:rPr>
        <w:t xml:space="preserve"> experiments have demonstrated that astrocytes</w:t>
      </w:r>
      <w:r w:rsidR="00655D94">
        <w:rPr>
          <w:rFonts w:ascii="Times New Roman" w:hAnsi="Times New Roman" w:cs="Times New Roman"/>
        </w:rPr>
        <w:t xml:space="preserve"> starved of glucose</w:t>
      </w:r>
      <w:r w:rsidR="00E4156E">
        <w:rPr>
          <w:rFonts w:ascii="Times New Roman" w:hAnsi="Times New Roman" w:cs="Times New Roman"/>
        </w:rPr>
        <w:t xml:space="preserve"> can upregulate GLUT1 </w:t>
      </w:r>
      <w:r w:rsidR="00655D94">
        <w:rPr>
          <w:rFonts w:ascii="Times New Roman" w:hAnsi="Times New Roman" w:cs="Times New Roman"/>
        </w:rPr>
        <w:t xml:space="preserve">expression in </w:t>
      </w:r>
      <w:r w:rsidR="005658DB">
        <w:rPr>
          <w:rFonts w:ascii="Times New Roman" w:hAnsi="Times New Roman" w:cs="Times New Roman"/>
        </w:rPr>
        <w:t>endothelial cells by releasing</w:t>
      </w:r>
      <w:r w:rsidR="00655D94">
        <w:rPr>
          <w:rFonts w:ascii="Times New Roman" w:hAnsi="Times New Roman" w:cs="Times New Roman"/>
        </w:rPr>
        <w:t xml:space="preserve"> soluble factors </w:t>
      </w:r>
      <w:r w:rsidR="00655D94">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"10.1016/S0167-4889(01)00133-1", "ISSN" : "01674889", "abstract" : "Glucose transporter (GLUT) expression and regulation were studied in rat brain endothelial cells in primary culture (RBEC) and in immortalised RBE4 cells. Immunoblotting analysis showed a low expression of the endothelium-specific GLUT1 in RBEC and RBE4 cells compared to isolated brain capillaries. RBEC and RBE4 cells also expressed the GLUT3 isoform, whereas it was not present in isolated brain capillaries. No change in GLUT expression was observed in endothelial cells treated with astrocyte-conditioned medium. However, treatment with conditioned medium obtained from glucose-deprived astrocytes increased endothelial GLUT1 expression and glucose uptake. These results suggest that astrocytes submitted to hypoglycaemic conditions may release factor(s) that increase glucose uptake through the blood\u2013brain barrier.", "author" : [ { "dropping-particle" : "", "family" : "R\u00e9gina", "given" : "Anthony", "non-dropping-particle" : "", "parse-names" : false, "suffix" : "" }, { "dropping-particle" : "", "family" : "Morchoisne", "given" : "Stephanie", "non-dropping-particle" : "", "parse-names" : false, "suffix" : "" }, { "dropping-particle" : "", "family" : "Borson", "given" : "Nancy D", "non-dropping-particle" : "", "parse-names" : false, "suffix" : "" }, { "dropping-particle" : "", "family" : "McCall", "given" : "Anthony L", "non-dropping-particle" : "", "parse-names" : false, "suffix" : "" }, { "dropping-particle" : "", "family" : "Drewes", "given" : "Lester R", "non-dropping-particle" : "", "parse-names" : false, "suffix" : "" }, { "dropping-particle" : "", "family" : "Roux", "given" : "Fran\u00e7oise", "non-dropping-particle" : "", "parse-names" : false, "suffix" : "" } ], "container-title" : "Biochimica et Biophysica Acta (BBA) - Molecular Cell Research", "id" : "ITEM-1", "issue" : "3", "issued" : { "date-parts" : [ [ "2001" ] ] }, "page" : "233-242", "title" : "Factor(s) released by glucose-deprived astrocytes enhance glucose transporter expression and activity in rat brain endothelial cells", "type" : "article-journal", "volume" : "1540" }, "uris" : [ "http://www.mendeley.com/documents/?uuid=4d4cf108-0bcf-3190-a033-55396bfe48c5" ] } ], "mendeley" : { "formattedCitation" : "(R\u00e9gina et al. 2001)", "plainTextFormattedCitation" : "(R\u00e9gina et al. 2001)", "previouslyFormattedCitation" : "(R\u00e9gina et al. 2001)" }, "properties" : { "noteIndex" : 0 }, "schema" : "https://github.com/citation-style-language/schema/raw/master/csl-citation.json" }</w:instrText>
      </w:r>
      <w:r w:rsidR="00655D94">
        <w:rPr>
          <w:rFonts w:ascii="Times New Roman" w:hAnsi="Times New Roman" w:cs="Times New Roman"/>
        </w:rPr>
        <w:fldChar w:fldCharType="separate"/>
      </w:r>
      <w:r w:rsidR="00C148FC" w:rsidRPr="00C148FC">
        <w:rPr>
          <w:rFonts w:ascii="Times New Roman" w:hAnsi="Times New Roman" w:cs="Times New Roman"/>
          <w:noProof/>
        </w:rPr>
        <w:t>(Régina et al. 2001)</w:t>
      </w:r>
      <w:r w:rsidR="00655D94">
        <w:rPr>
          <w:rFonts w:ascii="Times New Roman" w:hAnsi="Times New Roman" w:cs="Times New Roman"/>
        </w:rPr>
        <w:fldChar w:fldCharType="end"/>
      </w:r>
      <w:r w:rsidR="00655D94">
        <w:rPr>
          <w:rFonts w:ascii="Times New Roman" w:hAnsi="Times New Roman" w:cs="Times New Roman"/>
        </w:rPr>
        <w:t>.</w:t>
      </w:r>
      <w:r w:rsidR="00E4156E">
        <w:rPr>
          <w:rFonts w:ascii="Times New Roman" w:hAnsi="Times New Roman" w:cs="Times New Roman"/>
        </w:rPr>
        <w:t xml:space="preserve"> </w:t>
      </w:r>
      <w:r w:rsidR="00595B7A">
        <w:rPr>
          <w:rFonts w:ascii="Times New Roman" w:hAnsi="Times New Roman" w:cs="Times New Roman"/>
        </w:rPr>
        <w:t xml:space="preserve">Loss of GLUT1 </w:t>
      </w:r>
      <w:r w:rsidR="005C7D01">
        <w:rPr>
          <w:rFonts w:ascii="Times New Roman" w:hAnsi="Times New Roman" w:cs="Times New Roman"/>
        </w:rPr>
        <w:t>in the brain endothelia rather than in astrocytes of an AD mouse model</w:t>
      </w:r>
      <w:r w:rsidR="00595B7A">
        <w:rPr>
          <w:rFonts w:ascii="Times New Roman" w:hAnsi="Times New Roman" w:cs="Times New Roman"/>
        </w:rPr>
        <w:t xml:space="preserve"> has been shown to exacerbate </w:t>
      </w:r>
      <w:r w:rsidR="00105F23">
        <w:rPr>
          <w:rFonts w:ascii="Times New Roman" w:hAnsi="Times New Roman" w:cs="Times New Roman"/>
        </w:rPr>
        <w:t>AD</w:t>
      </w:r>
      <w:r w:rsidR="00595B7A">
        <w:rPr>
          <w:rFonts w:ascii="Times New Roman" w:hAnsi="Times New Roman" w:cs="Times New Roman"/>
        </w:rPr>
        <w:t xml:space="preserve"> </w:t>
      </w:r>
      <w:r w:rsidR="002604C8">
        <w:rPr>
          <w:rFonts w:ascii="Times New Roman" w:hAnsi="Times New Roman" w:cs="Times New Roman"/>
        </w:rPr>
        <w:t>by ac</w:t>
      </w:r>
      <w:r w:rsidR="000C32AC">
        <w:rPr>
          <w:rFonts w:ascii="Times New Roman" w:hAnsi="Times New Roman" w:cs="Times New Roman"/>
        </w:rPr>
        <w:t>celerating</w:t>
      </w:r>
      <w:r w:rsidR="002604C8">
        <w:rPr>
          <w:rFonts w:ascii="Times New Roman" w:hAnsi="Times New Roman" w:cs="Times New Roman"/>
        </w:rPr>
        <w:t xml:space="preserve"> β-amyloidosis and neuronal dysfunction </w:t>
      </w:r>
      <w:r w:rsidR="00595B7A">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"10.1038/nn.3966", "ISSN" : "1546-1726", "PMID" : "25730668", "abstract" : "The glucose transporter GLUT1 at the blood-brain barrier (BBB) mediates glucose transport into the brain. Alzheimer's disease is characterized by early reductions in glucose transport associated with diminished GLUT1 expression at the BBB. Whether GLUT1 reduction influences disease pathogenesis remains, however, elusive. Here we show that GLUT1 deficiency in mice overexpressing amyloid \u03b2-peptide (A\u03b2) precursor protein leads to early cerebral microvascular degeneration, blood flow reductions and dysregulation and BBB breakdown, and to accelerated amyloid \u03b2-peptide (A\u03b2) pathology, reduced A\u03b2 clearance, diminished neuronal activity, behavioral deficits, and progressive neuronal loss and neurodegeneration that develop after initial cerebrovascular degenerative changes. We also show that GLUT1 deficiency in endothelium, but not in astrocytes, initiates the vascular phenotype as shown by BBB breakdown. Thus, reduced BBB GLUT1 expression worsens Alzheimer's disease cerebrovascular degeneration, neuropathology and cognitive function, suggesting that GLUT1 may represent a therapeutic target for Alzheimer's disease vasculo-neuronal dysfunction and degeneration.", "author" : [ { "dropping-particle" : "", "family" : "Winkler", "given" : "Ethan A", "non-dropping-particle" : "", "parse-names" : false, "suffix" : "" }, { "dropping-particle" : "", "family" : "Nishida", "given" : "Yoichiro", "non-dropping-particle" : "", "parse-names" : false, "suffix" : "" }, { "dropping-particle" : "", "family" : "Sagare", "given" : "Abhay P", "non-dropping-particle" : "", "parse-names" : false, "suffix" : "" }, { "dropping-particle" : "V", "family" : "Rege", "given" : "Sanket", "non-dropping-particle" : "", "parse-names" : false, "suffix" : "" }, { "dropping-particle" : "", "family" : "Bell", "given" : "Robert D", "non-dropping-particle" : "", "parse-names" : false, "suffix" : "" }, { "dropping-particle" : "", "family" : "Perlmutter", "given" : "David", "non-dropping-particle" : "", "parse-names" : false, "suffix" : "" }, { "dropping-particle" : "", "family" : "Sengillo", "given" : "Jesse D", "non-dropping-particle" : "", "parse-names" : false, "suffix" : "" }, { "dropping-particle" : "", "family" : "Hillman", "given" : "Sara", "non-dropping-particle" : "", "parse-names" : false, "suffix" : "" }, { "dropping-particle" : "", "family" : "Kong", "given" : "Pan", "non-dropping-particle" : "", "parse-names" : false, "suffix" : "" }, { "dropping-particle" : "", "family" : "Nelson", "given" : "Amy R", "non-dropping-particle" : "", "parse-names" : false, "suffix" : "" }, { "dropping-particle" : "", "family" : "Sullivan", "given" : "John S", "non-dropping-particle" : "", "parse-names" : false, "suffix" : "" }, { "dropping-particle" : "", "family" : "Zhao", "given" : "Zhen", "non-dropping-particle" : "", "parse-names" : false, "suffix" : "" }, { "dropping-particle" : "", "family" : "Meiselman", "given" : "Herbert J", "non-dropping-particle" : "", "parse-names" : false, "suffix" : "" }, { "dropping-particle" : "", "family" : "Wenby", "given" : "Rosalinda B", "non-dropping-particle" : "", "parse-names" : false, "suffix" : "" }, { "dropping-particle" : "", "family" : "Soto", "given" : "Jamie", "non-dropping-particle" : "", "parse-names" : false, "suffix" : "" }, { "dropping-particle" : "", "family" : "Abel", "given" : "E Dale", "non-dropping-particle" : "", "parse-names" : false, "suffix" : "" }, { "dropping-particle" : "", "family" : "Makshanoff", "given" : "Jacob", "non-dropping-particle" : "", "parse-names" : false, "suffix" : "" }, { "dropping-particle" : "", "family" : "Zuniga", "given" : "Edward", "non-dropping-particle" : "", "parse-names" : false, "suffix" : "" }, { "dropping-particle" : "", "family" : "Vivo", "given" : "Darryl C", "non-dropping-particle" : "De", "parse-names" : false, "suffix" : "" }, { "dropping-particle" : "V", "family" : "Zlokovic", "given" : "Berislav", "non-dropping-particle" : "", "parse-names" : false, "suffix" : "" } ], "container-title" : "Nature neuroscience", "id" : "ITEM-1", "issue" : "4", "issued" : { "date-parts" : [ [ "2015", "4" ] ] }, "page" : "521-30", "title" : "GLUT1 reductions exacerbate Alzheimer's disease vasculo-neuronal dysfunction and degeneration.", "type" : "article-journal", "volume" : "18" }, "uris" : [ "http://www.mendeley.com/documents/?uuid=f03e2547-5844-3a43-86b9-f447af154efb" ] } ], "mendeley" : { "formattedCitation" : "(Winkler et al. 2015)", "plainTextFormattedCitation" : "(Winkler et al. 2015)", "previouslyFormattedCitation" : "(Winkler et al. 2015)" }, "properties" : { "noteIndex" : 0 }, "schema" : "https://github.com/citation-style-language/schema/raw/master/csl-citation.json" }</w:instrText>
      </w:r>
      <w:r w:rsidR="00595B7A">
        <w:rPr>
          <w:rFonts w:ascii="Times New Roman" w:hAnsi="Times New Roman" w:cs="Times New Roman"/>
        </w:rPr>
        <w:fldChar w:fldCharType="separate"/>
      </w:r>
      <w:r w:rsidR="00C148FC" w:rsidRPr="00C148FC">
        <w:rPr>
          <w:rFonts w:ascii="Times New Roman" w:hAnsi="Times New Roman" w:cs="Times New Roman"/>
          <w:noProof/>
        </w:rPr>
        <w:t>(Winkler et al. 2015)</w:t>
      </w:r>
      <w:r w:rsidR="00595B7A">
        <w:rPr>
          <w:rFonts w:ascii="Times New Roman" w:hAnsi="Times New Roman" w:cs="Times New Roman"/>
        </w:rPr>
        <w:fldChar w:fldCharType="end"/>
      </w:r>
      <w:r w:rsidR="00595B7A">
        <w:rPr>
          <w:rFonts w:ascii="Times New Roman" w:hAnsi="Times New Roman" w:cs="Times New Roman"/>
        </w:rPr>
        <w:t>.</w:t>
      </w:r>
      <w:r w:rsidR="00595449">
        <w:rPr>
          <w:rFonts w:ascii="Times New Roman" w:hAnsi="Times New Roman" w:cs="Times New Roman"/>
        </w:rPr>
        <w:t xml:space="preserve"> Although </w:t>
      </w:r>
      <w:r w:rsidR="002604C8">
        <w:rPr>
          <w:rFonts w:ascii="Times New Roman" w:hAnsi="Times New Roman" w:cs="Times New Roman"/>
        </w:rPr>
        <w:t>loss of GLUT1 in endothelial cells resulted in an increase in the expression of GLUT2 and GLUT3 in neurons, suggesting that compensatory responses exist in an attempt to restore brain energy metabolism.</w:t>
      </w:r>
    </w:p>
    <w:p w14:paraId="2EBBE3BA" w14:textId="77777777" w:rsidR="000C32AC" w:rsidRDefault="00C710F5" w:rsidP="001950B5">
      <w:pPr>
        <w:spacing w:line="360" w:lineRule="auto"/>
        <w:rPr>
          <w:rFonts w:ascii="Times New Roman" w:hAnsi="Times New Roman" w:cs="Times New Roman"/>
        </w:rPr>
      </w:pPr>
      <w:r w:rsidRPr="00070602">
        <w:rPr>
          <w:rFonts w:ascii="Times New Roman" w:hAnsi="Times New Roman" w:cs="Times New Roman"/>
        </w:rPr>
        <w:t xml:space="preserve">   </w:t>
      </w:r>
    </w:p>
    <w:p w14:paraId="2ECEC4C9" w14:textId="4B435901" w:rsidR="00012DF5" w:rsidRDefault="00CA72D7" w:rsidP="00B07212">
      <w:pPr>
        <w:spacing w:line="360" w:lineRule="auto"/>
        <w:jc w:val="both"/>
        <w:rPr>
          <w:rFonts w:ascii="Times New Roman" w:hAnsi="Times New Roman" w:cs="Times New Roman"/>
        </w:rPr>
      </w:pPr>
      <w:r w:rsidRPr="00070602">
        <w:rPr>
          <w:rFonts w:ascii="Times New Roman" w:hAnsi="Times New Roman" w:cs="Times New Roman"/>
        </w:rPr>
        <w:t>In certain neurological conditions such as ische</w:t>
      </w:r>
      <w:r w:rsidR="00954D51" w:rsidRPr="00070602">
        <w:rPr>
          <w:rFonts w:ascii="Times New Roman" w:hAnsi="Times New Roman" w:cs="Times New Roman"/>
        </w:rPr>
        <w:t xml:space="preserve">mia or after a brain injury, </w:t>
      </w:r>
      <w:r w:rsidRPr="00070602">
        <w:rPr>
          <w:rFonts w:ascii="Times New Roman" w:hAnsi="Times New Roman" w:cs="Times New Roman"/>
        </w:rPr>
        <w:t xml:space="preserve">neurovascular coupling can </w:t>
      </w:r>
      <w:r w:rsidR="00954D51" w:rsidRPr="00070602">
        <w:rPr>
          <w:rFonts w:ascii="Times New Roman" w:hAnsi="Times New Roman" w:cs="Times New Roman"/>
        </w:rPr>
        <w:t>become inverted, which means loss of</w:t>
      </w:r>
      <w:r w:rsidRPr="00070602">
        <w:rPr>
          <w:rFonts w:ascii="Times New Roman" w:hAnsi="Times New Roman" w:cs="Times New Roman"/>
        </w:rPr>
        <w:t xml:space="preserve"> neuronal activity is accompanied by</w:t>
      </w:r>
      <w:r w:rsidR="008464BE" w:rsidRPr="00070602">
        <w:rPr>
          <w:rFonts w:ascii="Times New Roman" w:hAnsi="Times New Roman" w:cs="Times New Roman"/>
        </w:rPr>
        <w:t xml:space="preserve"> a drop in cerebral blood flow </w:t>
      </w:r>
      <w:r w:rsidR="008464BE"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"10.1016/j.neuron.2011.08.009", "ISSN" : "1097-4199", "PMID" : "21903073", "abstract" : "Neural activity is intimately tied to blood flow in the brain. This coupling is specific enough in space and time that modern imaging methods use local hemodynamics as a measure of brain activity. In this review, we discuss recent evidence indicating that neuronal activity is coupled to local blood flow changes through an intermediary, the astrocyte. We highlight unresolved issues regarding the role of astrocytes and propose ways to address them using novel techniques. Our focus is on cellular level analysis in\u00a0vivo, but we also relate mechanistic insights gained from ex\u00a0vivo experiments to native tissue. We also review some strategies to harness advances in optical and genetic methods to study neurovascular coupling in the intact brain.", "author" : [ { "dropping-particle" : "", "family" : "Petzold", "given" : "Gabor C", "non-dropping-particle" : "", "parse-names" : false, "suffix" : "" }, { "dropping-particle" : "", "family" : "Murthy", "given" : "Venkatesh N", "non-dropping-particle" : "", "parse-names" : false, "suffix" : "" } ], "container-title" : "Neuron", "id" : "ITEM-1", "issue" : "5", "issued" : { "date-parts" : [ [ "2011", "9", "8" ] ] }, "language" : "English", "page" : "782-97", "publisher" : "Elsevier", "title" : "Role of astrocytes in neurovascular coupling.", "type" : "article-journal", "volume" : "71" }, "uris" : [ "http://www.mendeley.com/documents/?uuid=5ecd64bd-a2d5-4ead-a3e0-77c36f1eb050" ] } ], "mendeley" : { "formattedCitation" : "(Petzold &amp; Murthy 2011)", "plainTextFormattedCitation" : "(Petzold &amp; Murthy 2011)", "previouslyFormattedCitation" : "(Petzold &amp; Murthy 2011)" }, "properties" : { "noteIndex" : 0 }, "schema" : "https://github.com/citation-style-language/schema/raw/master/csl-citation.json" }</w:instrText>
      </w:r>
      <w:r w:rsidR="008464BE" w:rsidRPr="00070602">
        <w:rPr>
          <w:rFonts w:ascii="Times New Roman" w:hAnsi="Times New Roman" w:cs="Times New Roman"/>
        </w:rPr>
        <w:fldChar w:fldCharType="separate"/>
      </w:r>
      <w:r w:rsidR="00C148FC" w:rsidRPr="00C148FC">
        <w:rPr>
          <w:rFonts w:ascii="Times New Roman" w:hAnsi="Times New Roman" w:cs="Times New Roman"/>
          <w:noProof/>
        </w:rPr>
        <w:t>(Petzold &amp; Murthy 2011)</w:t>
      </w:r>
      <w:r w:rsidR="008464BE" w:rsidRPr="00070602">
        <w:rPr>
          <w:rFonts w:ascii="Times New Roman" w:hAnsi="Times New Roman" w:cs="Times New Roman"/>
        </w:rPr>
        <w:fldChar w:fldCharType="end"/>
      </w:r>
      <w:r w:rsidR="008464BE" w:rsidRPr="00070602">
        <w:rPr>
          <w:rFonts w:ascii="Times New Roman" w:hAnsi="Times New Roman" w:cs="Times New Roman"/>
        </w:rPr>
        <w:t>.</w:t>
      </w:r>
      <w:r w:rsidR="00062638" w:rsidRPr="00070602">
        <w:rPr>
          <w:rFonts w:ascii="Times New Roman" w:hAnsi="Times New Roman" w:cs="Times New Roman"/>
        </w:rPr>
        <w:t xml:space="preserve"> Soluble and insoluble forms of </w:t>
      </w:r>
      <w:r w:rsidR="0091064B" w:rsidRPr="00EF2AF4">
        <w:rPr>
          <w:rFonts w:ascii="Times New Roman" w:hAnsi="Times New Roman" w:cs="Times New Roman"/>
        </w:rPr>
        <w:t>Aβ</w:t>
      </w:r>
      <w:r w:rsidR="0091064B">
        <w:rPr>
          <w:rFonts w:ascii="Times New Roman" w:hAnsi="Times New Roman" w:cs="Times New Roman"/>
        </w:rPr>
        <w:t xml:space="preserve"> </w:t>
      </w:r>
      <w:r w:rsidR="00062638" w:rsidRPr="00070602">
        <w:rPr>
          <w:rFonts w:ascii="Times New Roman" w:hAnsi="Times New Roman" w:cs="Times New Roman"/>
        </w:rPr>
        <w:t xml:space="preserve">have been shown to reduce functional </w:t>
      </w:r>
      <w:r w:rsidR="00062638" w:rsidRPr="00722DA4">
        <w:rPr>
          <w:rFonts w:ascii="Times New Roman" w:hAnsi="Times New Roman" w:cs="Times New Roman"/>
        </w:rPr>
        <w:t>hyperemia</w:t>
      </w:r>
      <w:r w:rsidR="00704638" w:rsidRPr="00722DA4">
        <w:rPr>
          <w:rFonts w:ascii="Times New Roman" w:hAnsi="Times New Roman" w:cs="Times New Roman"/>
        </w:rPr>
        <w:t xml:space="preserve"> </w:t>
      </w:r>
      <w:r w:rsidR="001245A1" w:rsidRPr="00722DA4">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"0027-8424", "PMID" : "10944232", "abstract" : "Peptides derived from proteolytic processing of the beta-amyloid precursor protein (APP), including the amyloid-beta peptide (Abeta), play a critical role in the pathogenesis of Alzheimer's dementia. We report that transgenic mice overexpressing APP and Abeta have a profound attenuation in the increase in neocortical blood flow elicited by somatosensory activation. The impairment is highly correlated with brain Abeta concentration and is reproduced in normal mice by topical neocortical application of exogenous Abeta1-40 but not Abeta1-42. Overexpression of M146L mutant presenilin-1 in APP mice enhances the production of Abeta1-42 severalfold, but it does not produce a commensurate attenuation of the hyperemic response. APP and Abeta overexpression do not diminish the intensity of neural activation, as reflected by the increase in somatosensory cortex glucose usage. Thus, Abeta-induced alterations in functional hyperemia produce a potentially deleterious mismatch between substrate delivery and energy demands imposed by neural activity.", "author" : [ { "dropping-particle" : "", "family" : "Niwa", "given" : "K", "non-dropping-particle" : "", "parse-names" : false, "suffix" : "" }, { "dropping-particle" : "", "family" : "Younkin", "given" : "L", "non-dropping-particle" : "", "parse-names" : false, "suffix" : "" }, { "dropping-particle" : "", "family" : "Ebeling", "given" : "C", "non-dropping-particle" : "", "parse-names" : false, "suffix" : "" }, { "dropping-particle" : "", "family" : "Turner", "given" : "S K", "non-dropping-particle" : "", "parse-names" : false, "suffix" : "" }, { "dropping-particle" : "", "family" : "Westaway", "given" : "D", "non-dropping-particle" : "", "parse-names" : false, "suffix" : "" }, { "dropping-particle" : "", "family" : "Younkin", "given" : "S", "non-dropping-particle" : "", "parse-names" : false, "suffix" : "" }, { "dropping-particle" : "", "family" : "Ashe", "given" : "K H", "non-dropping-particle" : "", "parse-names" : false, "suffix" : "" }, { "dropping-particle" : "", "family" : "Carlson", "given" : "G A", "non-dropping-particle" : "", "parse-names" : false, "suffix" : "" }, { "dropping-particle" : "", "family" : "Iadecola", "given" : "C", "non-dropping-particle" : "", "parse-names" : false, "suffix" : "" } ], "container-title" : "Proceedings of the National Academy of Sciences of the United States of America", "id" : "ITEM-1", "issue" : "17", "issued" : { "date-parts" : [ [ "2000", "8", "15" ] ] }, "page" : "9735-40", "publisher" : "National Academy of Sciences", "title" : "Abeta 1-40-related reduction in functional hyperemia in mouse neocortex during somatosensory activation.", "type" : "article-journal", "volume" : "97" }, "uris" : [ "http://www.mendeley.com/documents/?uuid=0acbe4f1-1dc3-3141-92da-f623def74b8d" ] } ], "mendeley" : { "formattedCitation" : "(Niwa et al. 2000)", "plainTextFormattedCitation" : "(Niwa et al. 2000)", "previouslyFormattedCitation" : "(Niwa et al. 2000)" }, "properties" : { "noteIndex" : 0 }, "schema" : "https://github.com/citation-style-language/schema/raw/master/csl-citation.json" }</w:instrText>
      </w:r>
      <w:r w:rsidR="001245A1" w:rsidRPr="00722DA4">
        <w:rPr>
          <w:rFonts w:ascii="Times New Roman" w:hAnsi="Times New Roman" w:cs="Times New Roman"/>
        </w:rPr>
        <w:fldChar w:fldCharType="separate"/>
      </w:r>
      <w:r w:rsidR="00C148FC" w:rsidRPr="00C148FC">
        <w:rPr>
          <w:rFonts w:ascii="Times New Roman" w:hAnsi="Times New Roman" w:cs="Times New Roman"/>
          <w:noProof/>
        </w:rPr>
        <w:t>(Niwa et al. 2000)</w:t>
      </w:r>
      <w:r w:rsidR="001245A1" w:rsidRPr="00722DA4">
        <w:rPr>
          <w:rFonts w:ascii="Times New Roman" w:hAnsi="Times New Roman" w:cs="Times New Roman"/>
        </w:rPr>
        <w:fldChar w:fldCharType="end"/>
      </w:r>
      <w:r w:rsidR="00062638" w:rsidRPr="00070602">
        <w:rPr>
          <w:rFonts w:ascii="Times New Roman" w:hAnsi="Times New Roman" w:cs="Times New Roman"/>
        </w:rPr>
        <w:t xml:space="preserve">, which </w:t>
      </w:r>
      <w:r w:rsidR="006042E8" w:rsidRPr="00070602">
        <w:rPr>
          <w:rFonts w:ascii="Times New Roman" w:hAnsi="Times New Roman" w:cs="Times New Roman"/>
        </w:rPr>
        <w:t>together with</w:t>
      </w:r>
      <w:r w:rsidR="00C97D14">
        <w:rPr>
          <w:rFonts w:ascii="Times New Roman" w:hAnsi="Times New Roman" w:cs="Times New Roman"/>
        </w:rPr>
        <w:t xml:space="preserve"> reported</w:t>
      </w:r>
      <w:r w:rsidR="006A36A7" w:rsidRPr="00070602">
        <w:rPr>
          <w:rFonts w:ascii="Times New Roman" w:hAnsi="Times New Roman" w:cs="Times New Roman"/>
        </w:rPr>
        <w:t xml:space="preserve"> disruption</w:t>
      </w:r>
      <w:r w:rsidR="00C97D14">
        <w:rPr>
          <w:rFonts w:ascii="Times New Roman" w:hAnsi="Times New Roman" w:cs="Times New Roman"/>
        </w:rPr>
        <w:t>s</w:t>
      </w:r>
      <w:r w:rsidR="00FF3BFF">
        <w:rPr>
          <w:rFonts w:ascii="Times New Roman" w:hAnsi="Times New Roman" w:cs="Times New Roman"/>
        </w:rPr>
        <w:t xml:space="preserve"> in</w:t>
      </w:r>
      <w:r w:rsidR="006A36A7" w:rsidRPr="00070602">
        <w:rPr>
          <w:rFonts w:ascii="Times New Roman" w:hAnsi="Times New Roman" w:cs="Times New Roman"/>
        </w:rPr>
        <w:t xml:space="preserve"> calciu</w:t>
      </w:r>
      <w:r w:rsidR="009F498B" w:rsidRPr="00070602">
        <w:rPr>
          <w:rFonts w:ascii="Times New Roman" w:hAnsi="Times New Roman" w:cs="Times New Roman"/>
        </w:rPr>
        <w:t>m homeostasis may exacerbate the loss of</w:t>
      </w:r>
      <w:r w:rsidR="006A36A7" w:rsidRPr="00070602">
        <w:rPr>
          <w:rFonts w:ascii="Times New Roman" w:hAnsi="Times New Roman" w:cs="Times New Roman"/>
        </w:rPr>
        <w:t xml:space="preserve"> </w:t>
      </w:r>
      <w:r w:rsidR="00C97D14">
        <w:rPr>
          <w:rFonts w:ascii="Times New Roman" w:hAnsi="Times New Roman" w:cs="Times New Roman"/>
        </w:rPr>
        <w:t>hyperemia and</w:t>
      </w:r>
      <w:r w:rsidR="006A36A7" w:rsidRPr="00070602">
        <w:rPr>
          <w:rFonts w:ascii="Times New Roman" w:hAnsi="Times New Roman" w:cs="Times New Roman"/>
        </w:rPr>
        <w:t xml:space="preserve"> </w:t>
      </w:r>
      <w:r w:rsidR="006042E8" w:rsidRPr="00070602">
        <w:rPr>
          <w:rFonts w:ascii="Times New Roman" w:hAnsi="Times New Roman" w:cs="Times New Roman"/>
        </w:rPr>
        <w:t xml:space="preserve">drive </w:t>
      </w:r>
      <w:r w:rsidR="00105F23">
        <w:rPr>
          <w:rFonts w:ascii="Times New Roman" w:hAnsi="Times New Roman" w:cs="Times New Roman"/>
        </w:rPr>
        <w:t>AD</w:t>
      </w:r>
      <w:r w:rsidR="006042E8" w:rsidRPr="00070602">
        <w:rPr>
          <w:rFonts w:ascii="Times New Roman" w:hAnsi="Times New Roman" w:cs="Times New Roman"/>
        </w:rPr>
        <w:t xml:space="preserve"> progression.</w:t>
      </w:r>
      <w:bookmarkStart w:id="170" w:name="_Toc328301083"/>
      <w:bookmarkStart w:id="171" w:name="_Toc329593374"/>
      <w:bookmarkStart w:id="172" w:name="_Toc331425876"/>
      <w:bookmarkStart w:id="173" w:name="_Toc331427063"/>
      <w:bookmarkStart w:id="174" w:name="_Toc331427435"/>
      <w:bookmarkStart w:id="175" w:name="_Toc331427577"/>
    </w:p>
    <w:p w14:paraId="25F5E8B0" w14:textId="77777777" w:rsidR="00105F23" w:rsidRDefault="00105F23" w:rsidP="001B1D82">
      <w:pPr>
        <w:pStyle w:val="Heading3"/>
      </w:pPr>
      <w:bookmarkStart w:id="176" w:name="_Toc332972581"/>
      <w:bookmarkStart w:id="177" w:name="_Toc333046861"/>
    </w:p>
    <w:p w14:paraId="71F0A6F1" w14:textId="1730B016" w:rsidR="00904980" w:rsidRDefault="003A2584" w:rsidP="001B1D82">
      <w:pPr>
        <w:pStyle w:val="Heading3"/>
      </w:pPr>
      <w:bookmarkStart w:id="178" w:name="_Toc333477208"/>
      <w:bookmarkStart w:id="179" w:name="_Toc333477978"/>
      <w:bookmarkStart w:id="180" w:name="_Toc333644878"/>
      <w:r w:rsidRPr="00070602">
        <w:t xml:space="preserve">1.3.3 </w:t>
      </w:r>
      <w:r w:rsidR="000D57B9" w:rsidRPr="00070602">
        <w:t>Regulation of neuronal metabolism</w:t>
      </w:r>
      <w:bookmarkEnd w:id="170"/>
      <w:bookmarkEnd w:id="171"/>
      <w:bookmarkEnd w:id="172"/>
      <w:bookmarkEnd w:id="173"/>
      <w:bookmarkEnd w:id="174"/>
      <w:bookmarkEnd w:id="175"/>
      <w:bookmarkEnd w:id="176"/>
      <w:bookmarkEnd w:id="177"/>
      <w:bookmarkEnd w:id="178"/>
      <w:bookmarkEnd w:id="179"/>
      <w:bookmarkEnd w:id="180"/>
    </w:p>
    <w:p w14:paraId="49D0CDF6" w14:textId="77777777" w:rsidR="00921DF0" w:rsidRDefault="00921DF0" w:rsidP="00103AAC">
      <w:pPr>
        <w:spacing w:line="360" w:lineRule="auto"/>
        <w:rPr>
          <w:rFonts w:ascii="Times New Roman" w:hAnsi="Times New Roman" w:cs="Times New Roman"/>
        </w:rPr>
      </w:pPr>
    </w:p>
    <w:p w14:paraId="6A7A2EA1" w14:textId="3A6B6F6B" w:rsidR="00921DF0" w:rsidRDefault="00921DF0" w:rsidP="00103AAC">
      <w:pPr>
        <w:spacing w:line="360" w:lineRule="auto"/>
        <w:rPr>
          <w:rFonts w:ascii="Times New Roman" w:hAnsi="Times New Roman" w:cs="Times New Roman"/>
        </w:rPr>
      </w:pPr>
      <w:r>
        <w:rPr>
          <w:rFonts w:ascii="Times New Roman" w:hAnsi="Times New Roman" w:cs="Times New Roman"/>
        </w:rPr>
        <w:t>Astrocytes act as energy reserves for neurons and are able to respond to local neuronal activity in order to provide them with energy substrates necessary to support and maintain proper function.</w:t>
      </w:r>
    </w:p>
    <w:p w14:paraId="7538FB7D" w14:textId="77777777" w:rsidR="00921DF0" w:rsidRDefault="00921DF0" w:rsidP="00103AAC">
      <w:pPr>
        <w:spacing w:line="360" w:lineRule="auto"/>
        <w:rPr>
          <w:color w:val="FF0000"/>
        </w:rPr>
      </w:pPr>
    </w:p>
    <w:p w14:paraId="7AE9E58D" w14:textId="7A183C65" w:rsidR="00623A75" w:rsidRPr="00623A75" w:rsidRDefault="00623A75" w:rsidP="00C25727">
      <w:pPr>
        <w:rPr>
          <w:rFonts w:ascii="Times New Roman" w:hAnsi="Times New Roman" w:cs="Times New Roman"/>
          <w:b/>
          <w:i/>
          <w:u w:val="single"/>
        </w:rPr>
      </w:pPr>
      <w:r>
        <w:rPr>
          <w:rFonts w:ascii="Times New Roman" w:hAnsi="Times New Roman" w:cs="Times New Roman"/>
          <w:b/>
          <w:i/>
          <w:u w:val="single"/>
        </w:rPr>
        <w:t>Glycogenolysis</w:t>
      </w:r>
    </w:p>
    <w:p w14:paraId="748AF650" w14:textId="50BA9ACC" w:rsidR="00827156" w:rsidRDefault="00827156" w:rsidP="00B07212">
      <w:pPr>
        <w:spacing w:line="360" w:lineRule="auto"/>
        <w:jc w:val="both"/>
        <w:rPr>
          <w:rFonts w:ascii="Times New Roman" w:hAnsi="Times New Roman" w:cs="Times New Roman"/>
        </w:rPr>
      </w:pPr>
      <w:r w:rsidRPr="00070602">
        <w:rPr>
          <w:rFonts w:ascii="Times New Roman" w:hAnsi="Times New Roman" w:cs="Times New Roman"/>
        </w:rPr>
        <w:t>Glycogen is a</w:t>
      </w:r>
      <w:r w:rsidR="00F75A5E" w:rsidRPr="00070602">
        <w:rPr>
          <w:rFonts w:ascii="Times New Roman" w:hAnsi="Times New Roman" w:cs="Times New Roman"/>
        </w:rPr>
        <w:t>n important</w:t>
      </w:r>
      <w:r w:rsidRPr="00070602">
        <w:rPr>
          <w:rFonts w:ascii="Times New Roman" w:hAnsi="Times New Roman" w:cs="Times New Roman"/>
        </w:rPr>
        <w:t xml:space="preserve"> energy store in the brain </w:t>
      </w:r>
      <w:r w:rsidR="00261349" w:rsidRPr="00070602">
        <w:rPr>
          <w:rFonts w:ascii="Times New Roman" w:hAnsi="Times New Roman" w:cs="Times New Roman"/>
        </w:rPr>
        <w:t>that under conditions of hypoglycemia will</w:t>
      </w:r>
      <w:r w:rsidR="00687381" w:rsidRPr="00070602">
        <w:rPr>
          <w:rFonts w:ascii="Times New Roman" w:hAnsi="Times New Roman" w:cs="Times New Roman"/>
        </w:rPr>
        <w:t xml:space="preserve"> rapidly</w:t>
      </w:r>
      <w:r w:rsidR="00261349" w:rsidRPr="00070602">
        <w:rPr>
          <w:rFonts w:ascii="Times New Roman" w:hAnsi="Times New Roman" w:cs="Times New Roman"/>
        </w:rPr>
        <w:t xml:space="preserve"> undergo glycogenolysis to provide an energy supply for neurons</w:t>
      </w:r>
      <w:r w:rsidRPr="00070602">
        <w:rPr>
          <w:rFonts w:ascii="Times New Roman" w:hAnsi="Times New Roman" w:cs="Times New Roman"/>
        </w:rPr>
        <w:t>. During brain development, glycogen resides in neurons and glia but as the brain matures glycogen stores diminish in neurons and in adults glycogen is only found in astrocytes</w:t>
      </w:r>
      <w:r w:rsidR="00C7709F" w:rsidRPr="00070602">
        <w:rPr>
          <w:rFonts w:ascii="Times New Roman" w:hAnsi="Times New Roman" w:cs="Times New Roman"/>
        </w:rPr>
        <w:t xml:space="preserve"> </w:t>
      </w:r>
      <w:r w:rsidR="00C7709F"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"10.1002/glia.20557", "ISSN" : "0894-1491", "PMID" : "17659525", "abstract" : "The brain contains glycogen but at low concentration compared with liver and muscle. In the adult brain, glycogen is found predominantly in astrocytes. Astrocyte glycogen content is modulated by a number of factors including some neurotransmitters and ambient glucose concentration. Compelling evidence indicates that astrocyte glycogen breaks down during hypoglycemia to lactate that is transferred to adjacent neurons or axons where it is used aerobically as fuel. In the case of CNS white matter, this source of energy can extend axon function for 20 min or longer. Likewise, during periods of intense neural activity when energy demand exceeds glucose supply, astrocyte glycogen is degraded to lactate, a portion of which is transferred to axons for fuel. Astrocyte glycogen, therefore, offers some protection against hypoglycemic neural injury and ensures that neurons and axons can maintain their function during very intense periods of activation. These emerging principles about the roles of astrocyte glycogen contradict the long held belief that this metabolic pool has little or no functional significance.", "author" : [ { "dropping-particle" : "", "family" : "Brown", "given" : "Angus M", "non-dropping-particle" : "", "parse-names" : false, "suffix" : "" }, { "dropping-particle" : "", "family" : "Ransom", "given" : "Bruce R", "non-dropping-particle" : "", "parse-names" : false, "suffix" : "" } ], "container-title" : "Glia", "id" : "ITEM-1", "issue" : "12", "issued" : { "date-parts" : [ [ "2007", "9" ] ] }, "page" : "1263-71", "title" : "Astrocyte glycogen and brain energy metabolism.", "type" : "article-journal", "volume" : "55" }, "uris" : [ "http://www.mendeley.com/documents/?uuid=80cb450a-3bb1-442a-bb2e-20b6298db0c3" ] } ], "mendeley" : { "formattedCitation" : "(Brown &amp; Ransom 2007)", "plainTextFormattedCitation" : "(Brown &amp; Ransom 2007)", "previouslyFormattedCitation" : "(Brown &amp; Ransom 2007)" }, "properties" : { "noteIndex" : 0 }, "schema" : "https://github.com/citation-style-language/schema/raw/master/csl-citation.json" }</w:instrText>
      </w:r>
      <w:r w:rsidR="00C7709F" w:rsidRPr="00070602">
        <w:rPr>
          <w:rFonts w:ascii="Times New Roman" w:hAnsi="Times New Roman" w:cs="Times New Roman"/>
        </w:rPr>
        <w:fldChar w:fldCharType="separate"/>
      </w:r>
      <w:r w:rsidR="00C148FC" w:rsidRPr="00C148FC">
        <w:rPr>
          <w:rFonts w:ascii="Times New Roman" w:hAnsi="Times New Roman" w:cs="Times New Roman"/>
          <w:noProof/>
        </w:rPr>
        <w:t>(Brown &amp; Ransom 2007)</w:t>
      </w:r>
      <w:r w:rsidR="00C7709F" w:rsidRPr="00070602">
        <w:rPr>
          <w:rFonts w:ascii="Times New Roman" w:hAnsi="Times New Roman" w:cs="Times New Roman"/>
        </w:rPr>
        <w:fldChar w:fldCharType="end"/>
      </w:r>
      <w:r w:rsidRPr="00070602">
        <w:rPr>
          <w:rFonts w:ascii="Times New Roman" w:hAnsi="Times New Roman" w:cs="Times New Roman"/>
        </w:rPr>
        <w:t>.</w:t>
      </w:r>
      <w:r w:rsidR="00B06AFE" w:rsidRPr="00070602">
        <w:rPr>
          <w:rFonts w:ascii="Times New Roman" w:hAnsi="Times New Roman" w:cs="Times New Roman"/>
        </w:rPr>
        <w:t xml:space="preserve"> Unlike endothelial cells, astrocytes and neurons have higher metabolic rates and can phosphorylate glucose to form glucose-6-phosphate, which is trapped inside these cells. Astrocytes</w:t>
      </w:r>
      <w:r w:rsidR="00623A75">
        <w:rPr>
          <w:rFonts w:ascii="Times New Roman" w:hAnsi="Times New Roman" w:cs="Times New Roman"/>
        </w:rPr>
        <w:t xml:space="preserve"> convert glucose-6-phosphate to glycogen using glycogen synthase. Neuronal levels of glycogen synthase are much lower</w:t>
      </w:r>
      <w:r w:rsidR="00B06AFE" w:rsidRPr="00070602">
        <w:rPr>
          <w:rFonts w:ascii="Times New Roman" w:hAnsi="Times New Roman" w:cs="Times New Roman"/>
        </w:rPr>
        <w:t xml:space="preserve"> </w:t>
      </w:r>
      <w:r w:rsidR="00E302F7"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"10.1016/0169-328X(95)00305-C", "ISSN" : "0169328X", "abstract" : "The cDNA for mouse brain glycogen synthase has been isolated by screening a mouse cerebral cortical astrocyte \u03bb ZAP II cDNA library. The mouse brain glycogen synthase cDNA is 3.5 kilobases in length and encodes a protein of 737 amino acids. The coding sequence of mouse brain glycogen synthase cDNA shares \u223c 87% nucleotide identity and \u223c 96% amino acid identity with the muscle isozyme, while the degree of identity is lower with the liver isozyme. The regional distribution of glycogen synthase mRNA determined by in situ hybridization in the mouse brain reveals a wide distribution throughout the central nervous system with highest densities observed in the cerebellum, hippocampus and olfactory bulb. At the cellular level the expression of brain glycogen synthase mRNA is localized both in astrocytes and neurons with, however, the higher levels observed in astrocytes. Vasoactive intestinal peptide and noradrenaline, two neurotransmitters previously shown to induce a glycogen resynthesis in cultured astrocytes, upregulate the expression of glycogen synthase mRNA in this cell type but not in neurons.", "author" : [ { "dropping-particle" : "", "family" : "Pellegri", "given" : "Giovanni", "non-dropping-particle" : "", "parse-names" : false, "suffix" : "" }, { "dropping-particle" : "", "family" : "Rossier", "given" : "Colette", "non-dropping-particle" : "", "parse-names" : false, "suffix" : "" }, { "dropping-particle" : "", "family" : "Magistretti", "given" : "Pierre J.", "non-dropping-particle" : "", "parse-names" : false, "suffix" : "" }, { "dropping-particle" : "", "family" : "Martin", "given" : "Jean-Luc", "non-dropping-particle" : "", "parse-names" : false, "suffix" : "" } ], "container-title" : "Molecular Brain Research", "id" : "ITEM-1", "issue" : "2", "issued" : { "date-parts" : [ [ "1996", "6" ] ] }, "page" : "191-199", "title" : "Cloning, localization and induction of mouse brain glycogen synthase", "type" : "article-journal", "volume" : "38" }, "uris" : [ "http://www.mendeley.com/documents/?uuid=496944f9-68f4-4e92-8d87-1f0fd5dc02e5" ] } ], "mendeley" : { "formattedCitation" : "(Pellegri et al. 1996)", "plainTextFormattedCitation" : "(Pellegri et al. 1996)", "previouslyFormattedCitation" : "(Pellegri et al. 1996)" }, "properties" : { "noteIndex" : 0 }, "schema" : "https://github.com/citation-style-language/schema/raw/master/csl-citation.json" }</w:instrText>
      </w:r>
      <w:r w:rsidR="00E302F7" w:rsidRPr="00070602">
        <w:rPr>
          <w:rFonts w:ascii="Times New Roman" w:hAnsi="Times New Roman" w:cs="Times New Roman"/>
        </w:rPr>
        <w:fldChar w:fldCharType="separate"/>
      </w:r>
      <w:r w:rsidR="00C148FC" w:rsidRPr="00C148FC">
        <w:rPr>
          <w:rFonts w:ascii="Times New Roman" w:hAnsi="Times New Roman" w:cs="Times New Roman"/>
          <w:noProof/>
        </w:rPr>
        <w:t>(Pellegri et al. 1996)</w:t>
      </w:r>
      <w:r w:rsidR="00E302F7" w:rsidRPr="00070602">
        <w:rPr>
          <w:rFonts w:ascii="Times New Roman" w:hAnsi="Times New Roman" w:cs="Times New Roman"/>
        </w:rPr>
        <w:fldChar w:fldCharType="end"/>
      </w:r>
      <w:r w:rsidR="00623A75">
        <w:rPr>
          <w:rFonts w:ascii="Times New Roman" w:hAnsi="Times New Roman" w:cs="Times New Roman"/>
        </w:rPr>
        <w:t>,</w:t>
      </w:r>
      <w:r w:rsidR="00DF3131" w:rsidRPr="00070602">
        <w:rPr>
          <w:rFonts w:ascii="Times New Roman" w:hAnsi="Times New Roman" w:cs="Times New Roman"/>
        </w:rPr>
        <w:t xml:space="preserve"> in part d</w:t>
      </w:r>
      <w:r w:rsidR="00F373AB" w:rsidRPr="00070602">
        <w:rPr>
          <w:rFonts w:ascii="Times New Roman" w:hAnsi="Times New Roman" w:cs="Times New Roman"/>
        </w:rPr>
        <w:t xml:space="preserve">ue to </w:t>
      </w:r>
      <w:r w:rsidR="001F36A1">
        <w:rPr>
          <w:rFonts w:ascii="Times New Roman" w:hAnsi="Times New Roman" w:cs="Times New Roman"/>
        </w:rPr>
        <w:t xml:space="preserve">the </w:t>
      </w:r>
      <w:r w:rsidR="00F373AB" w:rsidRPr="00070602">
        <w:rPr>
          <w:rFonts w:ascii="Times New Roman" w:hAnsi="Times New Roman" w:cs="Times New Roman"/>
        </w:rPr>
        <w:t>malin-forin complex causing</w:t>
      </w:r>
      <w:r w:rsidR="00DF3131" w:rsidRPr="00070602">
        <w:rPr>
          <w:rFonts w:ascii="Times New Roman" w:hAnsi="Times New Roman" w:cs="Times New Roman"/>
        </w:rPr>
        <w:t xml:space="preserve"> permanent degradation of glycogen synthase b</w:t>
      </w:r>
      <w:r w:rsidR="001F36A1">
        <w:rPr>
          <w:rFonts w:ascii="Times New Roman" w:hAnsi="Times New Roman" w:cs="Times New Roman"/>
        </w:rPr>
        <w:t>ut also residual activity of this</w:t>
      </w:r>
      <w:r w:rsidR="00DF3131" w:rsidRPr="00070602">
        <w:rPr>
          <w:rFonts w:ascii="Times New Roman" w:hAnsi="Times New Roman" w:cs="Times New Roman"/>
        </w:rPr>
        <w:t xml:space="preserve"> enzyme is prevented by phosphorylation</w:t>
      </w:r>
      <w:r w:rsidR="001259AD" w:rsidRPr="00070602">
        <w:rPr>
          <w:rFonts w:ascii="Times New Roman" w:hAnsi="Times New Roman" w:cs="Times New Roman"/>
        </w:rPr>
        <w:t xml:space="preserve"> </w:t>
      </w:r>
      <w:r w:rsidR="001259AD"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"10.1038/nn1998", "ISSN" : "1097-6256", "PMID" : "17952067", "abstract" : "Glycogen synthesis is normally absent in neurons. However, inclusion bodies resembling abnormal glycogen accumulate in several neurological diseases, particularly in progressive myoclonus epilepsy or Lafora disease. We show here that mouse neurons have the enzymatic machinery for synthesizing glycogen, but that it is suppressed by retention of muscle glycogen synthase (MGS) in the phosphorylated, inactive state. This suppression was further ensured by a complex of laforin and malin, which are the two proteins whose mutations cause Lafora disease. The laforin-malin complex caused proteasome-dependent degradation both of the adaptor protein targeting to glycogen, PTG, which brings protein phosphatase 1 to MGS for activation, and of MGS itself. Enforced expression of PTG led to glycogen deposition in neurons and caused apoptosis. Therefore, the malin-laforin complex ensures a blockade of neuronal glycogen synthesis even under intense glycogenic conditions. Here we explain the formation of polyglucosan inclusions in Lafora disease by demonstrating a crucial role for laforin and malin in glycogen synthesis.", "author" : [ { "dropping-particle" : "", "family" : "Vilchez", "given" : "David", "non-dropping-particle" : "", "parse-names" : false, "suffix" : "" }, { "dropping-particle" : "", "family" : "Ros", "given" : "Susana", "non-dropping-particle" : "", "parse-names" : false, "suffix" : "" }, { "dropping-particle" : "", "family" : "Cifuentes", "given" : "Daniel", "non-dropping-particle" : "", "parse-names" : false, "suffix" : "" }, { "dropping-particle" : "", "family" : "Pujadas", "given" : "Llu\u00eds", "non-dropping-particle" : "", "parse-names" : false, "suffix" : "" }, { "dropping-particle" : "", "family" : "Vall\u00e8s", "given" : "Jordi", "non-dropping-particle" : "", "parse-names" : false, "suffix" : "" }, { "dropping-particle" : "", "family" : "Garc\u00eda-Fojeda", "given" : "Bel\u00e9n", "non-dropping-particle" : "", "parse-names" : false, "suffix" : "" }, { "dropping-particle" : "", "family" : "Criado-Garc\u00eda", "given" : "Olga", "non-dropping-particle" : "", "parse-names" : false, "suffix" : "" }, { "dropping-particle" : "", "family" : "Fern\u00e1ndez-S\u00e1nchez", "given" : "Elena", "non-dropping-particle" : "", "parse-names" : false, "suffix" : "" }, { "dropping-particle" : "", "family" : "Medra\u00f1o-Fern\u00e1ndez", "given" : "Iria", "non-dropping-particle" : "", "parse-names" : false, "suffix" : "" }, { "dropping-particle" : "", "family" : "Dom\u00ednguez", "given" : "Jorge", "non-dropping-particle" : "", "parse-names" : false, "suffix" : "" }, { "dropping-particle" : "", "family" : "Garc\u00eda-Rocha", "given" : "Mar", "non-dropping-particle" : "", "parse-names" : false, "suffix" : "" }, { "dropping-particle" : "", "family" : "Soriano", "given" : "Eduardo", "non-dropping-particle" : "", "parse-names" : false, "suffix" : "" }, { "dropping-particle" : "", "family" : "Rodr\u00edguez de C\u00f3rdoba", "given" : "Santiago", "non-dropping-particle" : "", "parse-names" : false, "suffix" : "" }, { "dropping-particle" : "", "family" : "Guinovart", "given" : "Joan J", "non-dropping-particle" : "", "parse-names" : false, "suffix" : "" } ], "container-title" : "Nature neuroscience", "id" : "ITEM-1", "issue" : "11", "issued" : { "date-parts" : [ [ "2007", "11" ] ] }, "page" : "1407-13", "publisher" : "Nature Publishing Group", "title" : "Mechanism suppressing glycogen synthesis in neurons and its demise in progressive myoclonus epilepsy.", "title-short" : "Nat Neurosci", "type" : "article-journal", "volume" : "10" }, "uris" : [ "http://www.mendeley.com/documents/?uuid=93a64421-f466-4075-b684-acc21eafb1cd" ] } ], "mendeley" : { "formattedCitation" : "(Vilchez et al. 2007)", "plainTextFormattedCitation" : "(Vilchez et al. 2007)", "previouslyFormattedCitation" : "(Vilchez et al. 2007)" }, "properties" : { "noteIndex" : 0 }, "schema" : "https://github.com/citation-style-language/schema/raw/master/csl-citation.json" }</w:instrText>
      </w:r>
      <w:r w:rsidR="001259AD" w:rsidRPr="00070602">
        <w:rPr>
          <w:rFonts w:ascii="Times New Roman" w:hAnsi="Times New Roman" w:cs="Times New Roman"/>
        </w:rPr>
        <w:fldChar w:fldCharType="separate"/>
      </w:r>
      <w:r w:rsidR="00C148FC" w:rsidRPr="00C148FC">
        <w:rPr>
          <w:rFonts w:ascii="Times New Roman" w:hAnsi="Times New Roman" w:cs="Times New Roman"/>
          <w:noProof/>
        </w:rPr>
        <w:t>(Vilchez et al. 2007)</w:t>
      </w:r>
      <w:r w:rsidR="001259AD" w:rsidRPr="00070602">
        <w:rPr>
          <w:rFonts w:ascii="Times New Roman" w:hAnsi="Times New Roman" w:cs="Times New Roman"/>
        </w:rPr>
        <w:fldChar w:fldCharType="end"/>
      </w:r>
      <w:r w:rsidR="00B06AFE" w:rsidRPr="00070602">
        <w:rPr>
          <w:rFonts w:ascii="Times New Roman" w:hAnsi="Times New Roman" w:cs="Times New Roman"/>
        </w:rPr>
        <w:t xml:space="preserve">. Under hypoglycaemic conditions, astrocytes </w:t>
      </w:r>
      <w:r w:rsidR="00D8790A" w:rsidRPr="00070602">
        <w:rPr>
          <w:rFonts w:ascii="Times New Roman" w:hAnsi="Times New Roman" w:cs="Times New Roman"/>
        </w:rPr>
        <w:t xml:space="preserve">are unable to </w:t>
      </w:r>
      <w:r w:rsidR="00B06AFE" w:rsidRPr="00070602">
        <w:rPr>
          <w:rFonts w:ascii="Times New Roman" w:hAnsi="Times New Roman" w:cs="Times New Roman"/>
        </w:rPr>
        <w:t xml:space="preserve">pass glycogen to neurons </w:t>
      </w:r>
      <w:r w:rsidR="00623A75">
        <w:rPr>
          <w:rFonts w:ascii="Times New Roman" w:hAnsi="Times New Roman" w:cs="Times New Roman"/>
        </w:rPr>
        <w:t xml:space="preserve">because glycogen is too large and also because </w:t>
      </w:r>
      <w:r w:rsidR="00574452" w:rsidRPr="00070602">
        <w:rPr>
          <w:rFonts w:ascii="Times New Roman" w:hAnsi="Times New Roman" w:cs="Times New Roman"/>
        </w:rPr>
        <w:t>glucose-6-phosphatase</w:t>
      </w:r>
      <w:r w:rsidR="00F373AB" w:rsidRPr="00070602">
        <w:rPr>
          <w:rFonts w:ascii="Times New Roman" w:hAnsi="Times New Roman" w:cs="Times New Roman"/>
        </w:rPr>
        <w:t xml:space="preserve"> is not expressed in astrocytes</w:t>
      </w:r>
      <w:r w:rsidR="00704638">
        <w:rPr>
          <w:rFonts w:ascii="Times New Roman" w:hAnsi="Times New Roman" w:cs="Times New Roman"/>
        </w:rPr>
        <w:t xml:space="preserve"> </w:t>
      </w:r>
      <w:r w:rsidR="00B11BF7" w:rsidRPr="004564E6">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"0378-5866", "PMID" : "8940607", "abstract" : "The present paper examines the possible role of astrocytes in the delivery of glycogen-derived glucose for neuronal metabolism. Such a process would require astrocytic expression of glucose-6-phosphatase. The degree and significance of brain expression of glucose-6-phosphatase (EC 3.1.3.9) has been a subject of controversy. Published immunohistochemical data are consistent with expression of glucose-6-phosphatase by astrocytes, both in vivo and in vitro. In this paper additional confirmation of the expression of glucose-6-phosphatase mRNA in rat brain is presented. Although cultured astrocytes demonstrate glucose-6-phosphatase activity in vitro under assay conditions, there is very limited in vitro evidence that this activity confers a glucose-export capacity on astrocytes. Under most conditions in vitro, lactate export predominates, however this may relate to aspects of the in vitro phenotype. Data relating to astrocytic glucose and lactate export are considered in the context of hypotheses of trafficking by astrocytes of substrates for neuronal metabolism, hypotheses that imply and require compartmentation of these substances, in contrast with current formulations of glucose transport into and within brain that imply no glucose compartmentation. Microdialysis studies of the properties of the brain extracellular fluid (ECF) glucose pool in the freely moving rat were performed seeking evidence of glucose compartmentation. Results of these studies do imply compartmentalisation of brain glucose, and are consistent with a model envisaging the majority of glucose reaching the neuron via the astrocytic intracellular space and the ECF. In addition, such studies provide evidence that rises in ECF glucose concentration are not the direct result of local recruitment of cerebral blood flow, but suggest the influence of intermediate, astrocyte-based mechanisms. Astrocytic glucose-6-phosphatase may permit astrocytes to modulate the trans-astrocytic flux of glucose to adjacent neurons in response to signals reflecting increased neuronal demand.", "author" : [ { "dropping-particle" : "", "family" : "Forsyth", "given" : "R", "non-dropping-particle" : "", "parse-names" : false, "suffix" : "" }, { "dropping-particle" : "", "family" : "Fray", "given" : "A", "non-dropping-particle" : "", "parse-names" : false, "suffix" : "" }, { "dropping-particle" : "", "family" : "Boutelle", "given" : "M", "non-dropping-particle" : "", "parse-names" : false, "suffix" : "" }, { "dropping-particle" : "", "family" : "Fillenz", "given" : "M", "non-dropping-particle" : "", "parse-names" : false, "suffix" : "" }, { "dropping-particle" : "", "family" : "Middleditch", "given" : "C", "non-dropping-particle" : "", "parse-names" : false, "suffix" : "" }, { "dropping-particle" : "", "family" : "Burchell", "given" : "A", "non-dropping-particle" : "", "parse-names" : false, "suffix" : "" } ], "container-title" : "Developmental neuroscience", "id" : "ITEM-1", "issue" : "5-6", "issued" : { "date-parts" : [ [ "1996" ] ] }, "page" : "360-70", "title" : "A role for astrocytes in glucose delivery to neurons?", "type" : "article-journal", "volume" : "18" }, "uris" : [ "http://www.mendeley.com/documents/?uuid=64e87f1e-3b86-3de8-81a7-743a0e30fab8" ] } ], "mendeley" : { "formattedCitation" : "(Forsyth et al. 1996)", "plainTextFormattedCitation" : "(Forsyth et al. 1996)", "previouslyFormattedCitation" : "(Forsyth et al. 1996)" }, "properties" : { "noteIndex" : 0 }, "schema" : "https://github.com/citation-style-language/schema/raw/master/csl-citation.json" }</w:instrText>
      </w:r>
      <w:r w:rsidR="00B11BF7" w:rsidRPr="004564E6">
        <w:rPr>
          <w:rFonts w:ascii="Times New Roman" w:hAnsi="Times New Roman" w:cs="Times New Roman"/>
        </w:rPr>
        <w:fldChar w:fldCharType="separate"/>
      </w:r>
      <w:r w:rsidR="00C148FC" w:rsidRPr="00C148FC">
        <w:rPr>
          <w:rFonts w:ascii="Times New Roman" w:hAnsi="Times New Roman" w:cs="Times New Roman"/>
          <w:noProof/>
        </w:rPr>
        <w:t>(Forsyth et al. 1996)</w:t>
      </w:r>
      <w:r w:rsidR="00B11BF7" w:rsidRPr="004564E6">
        <w:rPr>
          <w:rFonts w:ascii="Times New Roman" w:hAnsi="Times New Roman" w:cs="Times New Roman"/>
        </w:rPr>
        <w:fldChar w:fldCharType="end"/>
      </w:r>
      <w:r w:rsidR="005B5661">
        <w:rPr>
          <w:rFonts w:ascii="Times New Roman" w:hAnsi="Times New Roman" w:cs="Times New Roman"/>
        </w:rPr>
        <w:t>. T</w:t>
      </w:r>
      <w:r w:rsidR="00623A75">
        <w:rPr>
          <w:rFonts w:ascii="Times New Roman" w:hAnsi="Times New Roman" w:cs="Times New Roman"/>
        </w:rPr>
        <w:t>herefore astrocytes</w:t>
      </w:r>
      <w:r w:rsidR="00574452" w:rsidRPr="00070602">
        <w:rPr>
          <w:rFonts w:ascii="Times New Roman" w:hAnsi="Times New Roman" w:cs="Times New Roman"/>
        </w:rPr>
        <w:t xml:space="preserve"> cannot provide free glucose</w:t>
      </w:r>
      <w:r w:rsidR="00D8790A" w:rsidRPr="00070602">
        <w:rPr>
          <w:rFonts w:ascii="Times New Roman" w:hAnsi="Times New Roman" w:cs="Times New Roman"/>
        </w:rPr>
        <w:t xml:space="preserve"> to neurons</w:t>
      </w:r>
      <w:r w:rsidR="00B06AFE" w:rsidRPr="00070602">
        <w:rPr>
          <w:rFonts w:ascii="Times New Roman" w:hAnsi="Times New Roman" w:cs="Times New Roman"/>
        </w:rPr>
        <w:t>. Instead, astrocytes</w:t>
      </w:r>
      <w:r w:rsidR="00105F23">
        <w:rPr>
          <w:rFonts w:ascii="Times New Roman" w:hAnsi="Times New Roman" w:cs="Times New Roman"/>
        </w:rPr>
        <w:t xml:space="preserve"> possess a unique isoform of lactate dehydrogenase (LDH) that is used to</w:t>
      </w:r>
      <w:r w:rsidR="00B06AFE" w:rsidRPr="00070602">
        <w:rPr>
          <w:rFonts w:ascii="Times New Roman" w:hAnsi="Times New Roman" w:cs="Times New Roman"/>
        </w:rPr>
        <w:t xml:space="preserve"> convert glucose to lactate</w:t>
      </w:r>
      <w:r w:rsidR="00105F23">
        <w:rPr>
          <w:rFonts w:ascii="Times New Roman" w:hAnsi="Times New Roman" w:cs="Times New Roman"/>
        </w:rPr>
        <w:t xml:space="preserve"> </w:t>
      </w:r>
      <w:r w:rsidR="00AB45BD">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"10.1097/00004647-199611000-00001", "ISSN" : "0271-678X", "PMID" : "8898679", "abstract" : "In vertebrates, the interconversion of lactate and pyruvate is catalyzed by the enzyme lactate dehydrogenase. Two distinct subunits combine to form the five tetrameric isoenzymes of lactate dehydrogenase. The LDH-5 subunit (muscle type) has higher maximal velocity (Vmax) and is present in glycolytic tissues, favoring the formation of lactate from pyruvate. The LDH-1 subunit (heart type) is inhibited by pyruvate and therefore preferentially drives the reaction toward the production of pyruvate. There is mounting evidence indicating that during activation the brain resorts to the transient glycolytic processing of glucose. Indeed, transient lactate formation during physiological stimulation has been shown by 1H-magnetic resonance spectroscopy. However, since whole-brain arteriovenous studies under basal conditions indicate a virtually complete oxidation of glucose, the vast proportion of the lactate transiently formed during activation is likely to be oxidized. These in vivo data suggest that lactate may be formed in certain cells and oxidized in others. We therefore set out to determine whether the two isoforms of lactate dehydrogenase are localized to selective cell types in the human brain. We report here the production and characterization of two rat antisera, specific for the LDH-5 and LDH-1 subunits of lactate dehydrogenase, respectively. Immunohistochemical, immunodot, and western-blot analyses show that these antisera specifically recognize their homologous antigens. Immunohistochemistry on 10 control cases demonstrated a differential cellular distribution between both subunits in the hippocampus and occipital cortex: neurons are exclusively stained with the anti-LDH1 subunit while astrocytes are stained by both antibodies. These observations support the notion of a regulated lactate flux between astrocytes and neurons.", "author" : [ { "dropping-particle" : "", "family" : "Bittar", "given" : "P G", "non-dropping-particle" : "", "parse-names" : false, "suffix" : "" }, { "dropping-particle" : "", "family" : "Charnay", "given" : "Y", "non-dropping-particle" : "", "parse-names" : false, "suffix" : "" }, { "dropping-particle" : "", "family" : "Pellerin", "given" : "L", "non-dropping-particle" : "", "parse-names" : false, "suffix" : "" }, { "dropping-particle" : "", "family" : "Bouras", "given" : "C", "non-dropping-particle" : "", "parse-names" : false, "suffix" : "" }, { "dropping-particle" : "", "family" : "Magistretti", "given" : "P J", "non-dropping-particle" : "", "parse-names" : false, "suffix" : "" } ], "container-title" : "Journal of cerebral blood flow and metabolism : official journal of the International Society of Cerebral Blood Flow and Metabolism", "id" : "ITEM-1", "issue" : "6", "issued" : { "date-parts" : [ [ "1996", "11" ] ] }, "page" : "1079-89", "title" : "Selective distribution of lactate dehydrogenase isoenzymes in neurons and astrocytes of human brain.", "type" : "article-journal", "volume" : "16" }, "uris" : [ "http://www.mendeley.com/documents/?uuid=c96b8ba2-0822-3171-9311-d2521d38b6f1" ] } ], "mendeley" : { "formattedCitation" : "(Bittar et al. 1996)", "plainTextFormattedCitation" : "(Bittar et al. 1996)", "previouslyFormattedCitation" : "(Bittar et al. 1996)" }, "properties" : { "noteIndex" : 0 }, "schema" : "https://github.com/citation-style-language/schema/raw/master/csl-citation.json" }</w:instrText>
      </w:r>
      <w:r w:rsidR="00AB45BD">
        <w:rPr>
          <w:rFonts w:ascii="Times New Roman" w:hAnsi="Times New Roman" w:cs="Times New Roman"/>
        </w:rPr>
        <w:fldChar w:fldCharType="separate"/>
      </w:r>
      <w:r w:rsidR="00C148FC" w:rsidRPr="00C148FC">
        <w:rPr>
          <w:rFonts w:ascii="Times New Roman" w:hAnsi="Times New Roman" w:cs="Times New Roman"/>
          <w:noProof/>
        </w:rPr>
        <w:t>(Bittar et al. 1996)</w:t>
      </w:r>
      <w:r w:rsidR="00AB45BD">
        <w:rPr>
          <w:rFonts w:ascii="Times New Roman" w:hAnsi="Times New Roman" w:cs="Times New Roman"/>
        </w:rPr>
        <w:fldChar w:fldCharType="end"/>
      </w:r>
      <w:r w:rsidR="00B06AFE" w:rsidRPr="00070602">
        <w:rPr>
          <w:rFonts w:ascii="Times New Roman" w:hAnsi="Times New Roman" w:cs="Times New Roman"/>
        </w:rPr>
        <w:t xml:space="preserve">. </w:t>
      </w:r>
      <w:r w:rsidR="00867921" w:rsidRPr="00070602">
        <w:rPr>
          <w:rFonts w:ascii="Times New Roman" w:hAnsi="Times New Roman" w:cs="Times New Roman"/>
        </w:rPr>
        <w:t>N</w:t>
      </w:r>
      <w:r w:rsidR="006D724C" w:rsidRPr="00070602">
        <w:rPr>
          <w:rFonts w:ascii="Times New Roman" w:hAnsi="Times New Roman" w:cs="Times New Roman"/>
        </w:rPr>
        <w:t xml:space="preserve">euronal survival is </w:t>
      </w:r>
      <w:r w:rsidR="00261349" w:rsidRPr="00070602">
        <w:rPr>
          <w:rFonts w:ascii="Times New Roman" w:hAnsi="Times New Roman" w:cs="Times New Roman"/>
        </w:rPr>
        <w:t>improved</w:t>
      </w:r>
      <w:r w:rsidR="006D724C" w:rsidRPr="00070602">
        <w:rPr>
          <w:rFonts w:ascii="Times New Roman" w:hAnsi="Times New Roman" w:cs="Times New Roman"/>
        </w:rPr>
        <w:t xml:space="preserve"> </w:t>
      </w:r>
      <w:r w:rsidR="00A41C37" w:rsidRPr="00070602">
        <w:rPr>
          <w:rFonts w:ascii="Times New Roman" w:hAnsi="Times New Roman" w:cs="Times New Roman"/>
        </w:rPr>
        <w:t>when in contact with</w:t>
      </w:r>
      <w:r w:rsidR="00867921" w:rsidRPr="00070602">
        <w:rPr>
          <w:rFonts w:ascii="Times New Roman" w:hAnsi="Times New Roman" w:cs="Times New Roman"/>
        </w:rPr>
        <w:t xml:space="preserve"> </w:t>
      </w:r>
      <w:r w:rsidR="00A41C37" w:rsidRPr="00070602">
        <w:rPr>
          <w:rFonts w:ascii="Times New Roman" w:hAnsi="Times New Roman" w:cs="Times New Roman"/>
        </w:rPr>
        <w:t>glia</w:t>
      </w:r>
      <w:r w:rsidR="00867921" w:rsidRPr="00070602">
        <w:rPr>
          <w:rFonts w:ascii="Times New Roman" w:hAnsi="Times New Roman" w:cs="Times New Roman"/>
        </w:rPr>
        <w:t xml:space="preserve"> </w:t>
      </w:r>
      <w:r w:rsidR="00867921"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"10.1111/j.1471-4159.1981.tb10833.x", "ISSN" : "0022-3042", "author" : [ { "dropping-particle" : "", "family" : "Whatley", "given" : "S. A.", "non-dropping-particle" : "", "parse-names" : false, "suffix" : "" }, { "dropping-particle" : "", "family" : "Hall", "given" : "C.", "non-dropping-particle" : "", "parse-names" : false, "suffix" : "" }, { "dropping-particle" : "", "family" : "Lim", "given" : "L.", "non-dropping-particle" : "", "parse-names" : false, "suffix" : "" } ], "container-title" : "Journal of Neurochemistry", "id" : "ITEM-1", "issue" : "6", "issued" : { "date-parts" : [ [ "1981", "6" ] ] }, "page" : "2052-2056", "title" : "Hypothalamic Neurons in Dissociated Cell Culture: The Mechanism of Increased Survival Times in the Presence of Non-Neuronal Cells", "type" : "article-journal", "volume" : "36" }, "uris" : [ "http://www.mendeley.com/documents/?uuid=16f96c57-68fc-4bb4-89cb-9cb5b5a98e43" ] } ], "mendeley" : { "formattedCitation" : "(Whatley et al. 1981)", "plainTextFormattedCitation" : "(Whatley et al. 1981)", "previouslyFormattedCitation" : "(Whatley et al. 1981)" }, "properties" : { "noteIndex" : 0 }, "schema" : "https://github.com/citation-style-language/schema/raw/master/csl-citation.json" }</w:instrText>
      </w:r>
      <w:r w:rsidR="00867921" w:rsidRPr="00070602">
        <w:rPr>
          <w:rFonts w:ascii="Times New Roman" w:hAnsi="Times New Roman" w:cs="Times New Roman"/>
        </w:rPr>
        <w:fldChar w:fldCharType="separate"/>
      </w:r>
      <w:r w:rsidR="00C148FC" w:rsidRPr="00C148FC">
        <w:rPr>
          <w:rFonts w:ascii="Times New Roman" w:hAnsi="Times New Roman" w:cs="Times New Roman"/>
          <w:noProof/>
        </w:rPr>
        <w:t>(Whatley et al. 1981)</w:t>
      </w:r>
      <w:r w:rsidR="00867921" w:rsidRPr="00070602">
        <w:rPr>
          <w:rFonts w:ascii="Times New Roman" w:hAnsi="Times New Roman" w:cs="Times New Roman"/>
        </w:rPr>
        <w:fldChar w:fldCharType="end"/>
      </w:r>
      <w:r w:rsidR="006D724C" w:rsidRPr="00070602">
        <w:rPr>
          <w:rFonts w:ascii="Times New Roman" w:hAnsi="Times New Roman" w:cs="Times New Roman"/>
        </w:rPr>
        <w:t xml:space="preserve">, which is </w:t>
      </w:r>
      <w:r w:rsidR="00261349" w:rsidRPr="00070602">
        <w:rPr>
          <w:rFonts w:ascii="Times New Roman" w:hAnsi="Times New Roman" w:cs="Times New Roman"/>
        </w:rPr>
        <w:t>due to</w:t>
      </w:r>
      <w:r w:rsidR="006D724C" w:rsidRPr="00070602">
        <w:rPr>
          <w:rFonts w:ascii="Times New Roman" w:hAnsi="Times New Roman" w:cs="Times New Roman"/>
        </w:rPr>
        <w:t xml:space="preserve"> astrocytic glycogen stores maintaining an energy supply </w:t>
      </w:r>
      <w:r w:rsidR="00261349" w:rsidRPr="00070602">
        <w:rPr>
          <w:rFonts w:ascii="Times New Roman" w:hAnsi="Times New Roman" w:cs="Times New Roman"/>
        </w:rPr>
        <w:t>to the neurons</w:t>
      </w:r>
      <w:r w:rsidR="00C30636" w:rsidRPr="00070602">
        <w:rPr>
          <w:rFonts w:ascii="Times New Roman" w:hAnsi="Times New Roman" w:cs="Times New Roman"/>
        </w:rPr>
        <w:t xml:space="preserve"> during glucose deprivation</w:t>
      </w:r>
      <w:r w:rsidR="00261349" w:rsidRPr="00070602">
        <w:rPr>
          <w:rFonts w:ascii="Times New Roman" w:hAnsi="Times New Roman" w:cs="Times New Roman"/>
        </w:rPr>
        <w:t xml:space="preserve"> </w:t>
      </w:r>
      <w:r w:rsidR="00C30636"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"10.1038/jcbfm.1993.19", "ISSN" : "0271-678X", "PMID" : "8417005", "abstract" : "Glia perform several energy-dependent functions that may aid neuronal survival under pathological conditions. Glycogen is the major energy reserve in brain, and it is localized almost exclusively to astrocytes. Using murine cortical cell cultures containing both glia and neurons, we examined the effect of altered glial glycogen stores on neuronal survival following glucose deprivation. As previously reported, cultures exposed for several hours to media lacking glucose developed widespread neuronal degeneration without glial degeneration. If glial astrocyte glycogen content was increased to 2-3 times control levels by a 24-h pretreatment with 1 microM insulin or 0.5 mM methionine sulfoximine (MSO), glucose deprivation-induced neuronal degeneration was attenuated. These protective effects were blocked if glycogen levels were reduced back to control levels by a 30-min exposure to 1 mM dibutyryl cyclic AMP or 20 microM norepinephrine prior to glucose deprivation. Astrocyte glycogen stores may be an important factor influencing neuronal survival under conditions of energy substrate limitation.", "author" : [ { "dropping-particle" : "", "family" : "Swanson", "given" : "R A", "non-dropping-particle" : "", "parse-names" : false, "suffix" : "" }, { "dropping-particle" : "", "family" : "Choi", "given" : "D W", "non-dropping-particle" : "", "parse-names" : false, "suffix" : "" } ], "container-title" : "Journal of cerebral blood flow and metabolism : official journal of the International Society of Cerebral Blood Flow and Metabolism", "id" : "ITEM-1", "issue" : "1", "issued" : { "date-parts" : [ [ "1993", "1", "1" ] ] }, "language" : "en", "page" : "162-9", "publisher" : "SAGE Publications", "title" : "Glial glycogen stores affect neuronal survival during glucose deprivation in vitro.", "type" : "article-journal", "volume" : "13" }, "uris" : [ "http://www.mendeley.com/documents/?uuid=45a2ced4-ab61-4d6c-bc95-226eee45d2a4" ] } ], "mendeley" : { "formattedCitation" : "(Swanson &amp; Choi 1993)", "plainTextFormattedCitation" : "(Swanson &amp; Choi 1993)", "previouslyFormattedCitation" : "(Swanson &amp; Choi 1993)" }, "properties" : { "noteIndex" : 0 }, "schema" : "https://github.com/citation-style-language/schema/raw/master/csl-citation.json" }</w:instrText>
      </w:r>
      <w:r w:rsidR="00C30636" w:rsidRPr="00070602">
        <w:rPr>
          <w:rFonts w:ascii="Times New Roman" w:hAnsi="Times New Roman" w:cs="Times New Roman"/>
        </w:rPr>
        <w:fldChar w:fldCharType="separate"/>
      </w:r>
      <w:r w:rsidR="00C148FC" w:rsidRPr="00C148FC">
        <w:rPr>
          <w:rFonts w:ascii="Times New Roman" w:hAnsi="Times New Roman" w:cs="Times New Roman"/>
          <w:noProof/>
        </w:rPr>
        <w:t>(Swanson &amp; Choi 1993)</w:t>
      </w:r>
      <w:r w:rsidR="00C30636" w:rsidRPr="00070602">
        <w:rPr>
          <w:rFonts w:ascii="Times New Roman" w:hAnsi="Times New Roman" w:cs="Times New Roman"/>
        </w:rPr>
        <w:fldChar w:fldCharType="end"/>
      </w:r>
      <w:r w:rsidR="00267782" w:rsidRPr="00070602">
        <w:rPr>
          <w:rFonts w:ascii="Times New Roman" w:hAnsi="Times New Roman" w:cs="Times New Roman"/>
        </w:rPr>
        <w:t xml:space="preserve">. </w:t>
      </w:r>
      <w:r w:rsidR="002F5473" w:rsidRPr="00070602">
        <w:rPr>
          <w:rFonts w:ascii="Times New Roman" w:hAnsi="Times New Roman" w:cs="Times New Roman"/>
        </w:rPr>
        <w:t xml:space="preserve">Lactate is </w:t>
      </w:r>
      <w:r w:rsidR="00C22EA5" w:rsidRPr="00070602">
        <w:rPr>
          <w:rFonts w:ascii="Times New Roman" w:hAnsi="Times New Roman" w:cs="Times New Roman"/>
        </w:rPr>
        <w:t>then exported through the monoca</w:t>
      </w:r>
      <w:r w:rsidR="001259AD" w:rsidRPr="00070602">
        <w:rPr>
          <w:rFonts w:ascii="Times New Roman" w:hAnsi="Times New Roman" w:cs="Times New Roman"/>
        </w:rPr>
        <w:t>r</w:t>
      </w:r>
      <w:r w:rsidR="00C22EA5" w:rsidRPr="00070602">
        <w:rPr>
          <w:rFonts w:ascii="Times New Roman" w:hAnsi="Times New Roman" w:cs="Times New Roman"/>
        </w:rPr>
        <w:t xml:space="preserve">boxylate transporter, </w:t>
      </w:r>
      <w:r w:rsidR="00D664F1" w:rsidRPr="00070602">
        <w:rPr>
          <w:rFonts w:ascii="Times New Roman" w:hAnsi="Times New Roman" w:cs="Times New Roman"/>
        </w:rPr>
        <w:t>MCT1</w:t>
      </w:r>
      <w:r w:rsidR="00C22EA5" w:rsidRPr="00070602">
        <w:rPr>
          <w:rFonts w:ascii="Times New Roman" w:hAnsi="Times New Roman" w:cs="Times New Roman"/>
        </w:rPr>
        <w:t>,</w:t>
      </w:r>
      <w:r w:rsidR="002F5473" w:rsidRPr="00070602">
        <w:rPr>
          <w:rFonts w:ascii="Times New Roman" w:hAnsi="Times New Roman" w:cs="Times New Roman"/>
        </w:rPr>
        <w:t xml:space="preserve"> and </w:t>
      </w:r>
      <w:r w:rsidR="00C30636" w:rsidRPr="00070602">
        <w:rPr>
          <w:rFonts w:ascii="Times New Roman" w:hAnsi="Times New Roman" w:cs="Times New Roman"/>
        </w:rPr>
        <w:t xml:space="preserve">shuttled across to neurons </w:t>
      </w:r>
      <w:r w:rsidR="00DB7026"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"0027-8424", "PMID" : "7938003", "abstract" : "Glutamate, released at a majority of excitatory synapses in the central nervous system, depolarizes neurons by acting at specific receptors. Its action is terminated by removal from the synaptic cleft mostly via Na(+)-dependent uptake systems located on both neurons and astrocytes. Here we report that glutamate, in addition to its receptor-mediated actions on neuronal excitability, stimulates glycolysis--i.e., glucose utilization and lactate production--in astrocytes. This metabolic action is mediated by activation of a Na(+)-dependent uptake system and not by interaction with receptors. The mechanism involves the Na+/K(+)-ATPase, which is activated by an increase in the intracellular concentration of Na+ cotransported with glutamate by the electrogenic uptake system. Thus, when glutamate is released from active synapses and taken up by astrocytes, the newly identified signaling pathway described here would provide a simple and direct mechanism to tightly couple neuronal activity to glucose utilization. In addition, glutamate-stimulated glycolysis is consistent with data obtained from functional brain imaging studies indicating local nonoxidative glucose utilization during physiological activation.", "author" : [ { "dropping-particle" : "", "family" : "Pellerin", "given" : "L", "non-dropping-particle" : "", "parse-names" : false, "suffix" : "" }, { "dropping-particle" : "", "family" : "Magistretti", "given" : "P J", "non-dropping-particle" : "", "parse-names" : false, "suffix" : "" } ], "container-title" : "Proceedings of the National Academy of Sciences of the United States of America", "id" : "ITEM-1", "issue" : "22", "issued" : { "date-parts" : [ [ "1994", "10", "25" ] ] }, "page" : "10625-9", "title" : "Glutamate uptake into astrocytes stimulates aerobic glycolysis: a mechanism coupling neuronal activity to glucose utilization.", "type" : "article-journal", "volume" : "91" }, "uris" : [ "http://www.mendeley.com/documents/?uuid=48c137c0-934a-4aef-9569-807e0d798687" ] } ], "mendeley" : { "formattedCitation" : "(Pellerin &amp; Magistretti 1994)", "plainTextFormattedCitation" : "(Pellerin &amp; Magistretti 1994)", "previouslyFormattedCitation" : "(Pellerin &amp; Magistretti 1994)" }, "properties" : { "noteIndex" : 0 }, "schema" : "https://github.com/citation-style-language/schema/raw/master/csl-citation.json" }</w:instrText>
      </w:r>
      <w:r w:rsidR="00DB7026" w:rsidRPr="00070602">
        <w:rPr>
          <w:rFonts w:ascii="Times New Roman" w:hAnsi="Times New Roman" w:cs="Times New Roman"/>
        </w:rPr>
        <w:fldChar w:fldCharType="separate"/>
      </w:r>
      <w:r w:rsidR="00C148FC" w:rsidRPr="00C148FC">
        <w:rPr>
          <w:rFonts w:ascii="Times New Roman" w:hAnsi="Times New Roman" w:cs="Times New Roman"/>
          <w:noProof/>
        </w:rPr>
        <w:t>(Pellerin &amp; Magistretti 1994)</w:t>
      </w:r>
      <w:r w:rsidR="00DB7026" w:rsidRPr="00070602">
        <w:rPr>
          <w:rFonts w:ascii="Times New Roman" w:hAnsi="Times New Roman" w:cs="Times New Roman"/>
        </w:rPr>
        <w:fldChar w:fldCharType="end"/>
      </w:r>
      <w:r w:rsidR="002F5473" w:rsidRPr="00070602">
        <w:rPr>
          <w:rFonts w:ascii="Times New Roman" w:hAnsi="Times New Roman" w:cs="Times New Roman"/>
        </w:rPr>
        <w:t xml:space="preserve"> where it is taken up by the</w:t>
      </w:r>
      <w:r w:rsidR="00C22EA5" w:rsidRPr="00070602">
        <w:rPr>
          <w:rFonts w:ascii="Times New Roman" w:hAnsi="Times New Roman" w:cs="Times New Roman"/>
        </w:rPr>
        <w:t xml:space="preserve"> monocarboxylate</w:t>
      </w:r>
      <w:r w:rsidR="002F5473" w:rsidRPr="00070602">
        <w:rPr>
          <w:rFonts w:ascii="Times New Roman" w:hAnsi="Times New Roman" w:cs="Times New Roman"/>
        </w:rPr>
        <w:t xml:space="preserve"> transporter</w:t>
      </w:r>
      <w:r w:rsidR="00C22EA5" w:rsidRPr="00070602">
        <w:rPr>
          <w:rFonts w:ascii="Times New Roman" w:hAnsi="Times New Roman" w:cs="Times New Roman"/>
        </w:rPr>
        <w:t>,</w:t>
      </w:r>
      <w:r w:rsidR="002F5473" w:rsidRPr="00070602">
        <w:rPr>
          <w:rFonts w:ascii="Times New Roman" w:hAnsi="Times New Roman" w:cs="Times New Roman"/>
        </w:rPr>
        <w:t xml:space="preserve"> MCT2</w:t>
      </w:r>
      <w:r w:rsidR="00D664F1" w:rsidRPr="00070602">
        <w:rPr>
          <w:rFonts w:ascii="Times New Roman" w:hAnsi="Times New Roman" w:cs="Times New Roman"/>
        </w:rPr>
        <w:t xml:space="preserve"> </w:t>
      </w:r>
      <w:r w:rsidR="00D664F1"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"10.1016/S0306-4522(00)00294-3", "ISSN" : "03064522", "abstract" : "Recent evidence suggests that lactate could be a preferential energy substrate transferred from astrocytes to neurons. This would imply the presence of specific transporters for lactate on both cell types. We have investigated the immunohistochemical localization of two monocarboxylate transporters, MCT1 and MCT2, in the adult mouse brain. Using specific antibodies raised against MCT1 and MCT2, we found strong immunoreactivity for each transporter in glia limitans, ependymocytes and several microvessel-like elements. In addition, small processes distributed throughout the cerebral parenchyma were immunolabeled for monocarboxylate transporters. Double immunofluorescent labeling and confocal microscopy examination of these small processes revealed no co-localization between glial fibrillary acidic protein and monocarboxylate transporters, although many glial fibrillary acidic protein-positive processes were often in close apposition to elements labeled for monocarboxylate transporters. In contrast, several elements expressing the S100\u03b2 protein, another astrocytic marker found to be located in distinct parts of the same cell when compared with glial fibrillary acidic protein, were also strongly immunoreactive for MCT1, suggesting expression of this transporter by astrocytes. In contrast, MCT2 was expressed in a small subset of microtubule-associated protein-2-positive elements, indicating a neuronal localization. In conclusion, these observations are consistent with the possibility that lactate, produced and released by astrocytes (via MCT1), could be taken up (via MCT2) and used by neurons as an energy substrate.", "author" : [ { "dropping-particle" : "", "family" : "Pierre", "given" : "K", "non-dropping-particle" : "", "parse-names" : false, "suffix" : "" }, { "dropping-particle" : "", "family" : "Pellerin", "given" : "L", "non-dropping-particle" : "", "parse-names" : false, "suffix" : "" }, { "dropping-particle" : "", "family" : "Debernardi", "given" : "R", "non-dropping-particle" : "", "parse-names" : false, "suffix" : "" }, { "dropping-particle" : "", "family" : "Riederer", "given" : "B.M", "non-dropping-particle" : "", "parse-names" : false, "suffix" : "" }, { "dropping-particle" : "", "family" : "Magistretti", "given" : "P.J", "non-dropping-particle" : "", "parse-names" : false, "suffix" : "" } ], "container-title" : "Neuroscience", "id" : "ITEM-1", "issue" : "3", "issued" : { "date-parts" : [ [ "2000", "9" ] ] }, "page" : "617-627", "title" : "Cell-specific localization of monocarboxylate transporters, MCT1 and MCT2, in the adult mouse brain revealed by double immunohistochemical labeling and confocal microscopy", "type" : "article-journal", "volume" : "100" }, "uris" : [ "http://www.mendeley.com/documents/?uuid=f6f7200f-2482-41df-8438-c6c076420282" ] } ], "mendeley" : { "formattedCitation" : "(Pierre et al. 2000)", "plainTextFormattedCitation" : "(Pierre et al. 2000)", "previouslyFormattedCitation" : "(Pierre et al. 2000)" }, "properties" : { "noteIndex" : 0 }, "schema" : "https://github.com/citation-style-language/schema/raw/master/csl-citation.json" }</w:instrText>
      </w:r>
      <w:r w:rsidR="00D664F1" w:rsidRPr="00070602">
        <w:rPr>
          <w:rFonts w:ascii="Times New Roman" w:hAnsi="Times New Roman" w:cs="Times New Roman"/>
        </w:rPr>
        <w:fldChar w:fldCharType="separate"/>
      </w:r>
      <w:r w:rsidR="00C148FC" w:rsidRPr="00C148FC">
        <w:rPr>
          <w:rFonts w:ascii="Times New Roman" w:hAnsi="Times New Roman" w:cs="Times New Roman"/>
          <w:noProof/>
        </w:rPr>
        <w:t>(Pierre et al. 2000)</w:t>
      </w:r>
      <w:r w:rsidR="00D664F1" w:rsidRPr="00070602">
        <w:rPr>
          <w:rFonts w:ascii="Times New Roman" w:hAnsi="Times New Roman" w:cs="Times New Roman"/>
        </w:rPr>
        <w:fldChar w:fldCharType="end"/>
      </w:r>
      <w:r w:rsidR="002F5473" w:rsidRPr="00070602">
        <w:rPr>
          <w:rFonts w:ascii="Times New Roman" w:hAnsi="Times New Roman" w:cs="Times New Roman"/>
        </w:rPr>
        <w:t xml:space="preserve"> and converted to pyruvate for re-entry into oxidative phosphorylation. </w:t>
      </w:r>
    </w:p>
    <w:p w14:paraId="7DD3C385" w14:textId="77777777" w:rsidR="00012DF5" w:rsidRDefault="00012DF5" w:rsidP="00103AAC">
      <w:pPr>
        <w:spacing w:line="360" w:lineRule="auto"/>
        <w:rPr>
          <w:rFonts w:ascii="Times New Roman" w:hAnsi="Times New Roman" w:cs="Times New Roman"/>
          <w:b/>
          <w:i/>
          <w:u w:val="single"/>
        </w:rPr>
      </w:pPr>
    </w:p>
    <w:p w14:paraId="505A464F" w14:textId="121B0493" w:rsidR="00623A75" w:rsidRPr="00623A75" w:rsidRDefault="008E3664" w:rsidP="00C25727">
      <w:pPr>
        <w:rPr>
          <w:rFonts w:ascii="Times New Roman" w:hAnsi="Times New Roman" w:cs="Times New Roman"/>
          <w:b/>
          <w:i/>
          <w:u w:val="single"/>
        </w:rPr>
      </w:pPr>
      <w:r>
        <w:rPr>
          <w:rFonts w:ascii="Times New Roman" w:hAnsi="Times New Roman" w:cs="Times New Roman"/>
          <w:b/>
          <w:i/>
          <w:u w:val="single"/>
        </w:rPr>
        <w:t>Lactate and the a</w:t>
      </w:r>
      <w:r w:rsidR="00623A75">
        <w:rPr>
          <w:rFonts w:ascii="Times New Roman" w:hAnsi="Times New Roman" w:cs="Times New Roman"/>
          <w:b/>
          <w:i/>
          <w:u w:val="single"/>
        </w:rPr>
        <w:t>strocyte-neuron lactate shuttle hypothesis</w:t>
      </w:r>
    </w:p>
    <w:p w14:paraId="39A2B01A" w14:textId="766E423E" w:rsidR="00623A75" w:rsidRDefault="00623A75" w:rsidP="00B07212">
      <w:pPr>
        <w:spacing w:line="360" w:lineRule="auto"/>
        <w:jc w:val="both"/>
        <w:rPr>
          <w:rFonts w:ascii="Times New Roman" w:hAnsi="Times New Roman" w:cs="Times New Roman"/>
        </w:rPr>
      </w:pPr>
      <w:r w:rsidRPr="00070602">
        <w:rPr>
          <w:rFonts w:ascii="Times New Roman" w:hAnsi="Times New Roman" w:cs="Times New Roman"/>
        </w:rPr>
        <w:t xml:space="preserve">Lactate is the preferred energy substrate in neurons </w:t>
      </w:r>
      <w:r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"10.1073/pnas.0831078100", "ISSN" : "0027-8424", "PMID" : "12668764", "abstract" : "Neuronal cultures in vitro readily oxidized both D-[(14)C]glucose and l-[(14)C]lactate to (14)CO(2), whereas astroglial cultures oxidized both substrates sparingly and metabolized glucose predominantly to lactate and released it into the medium. [(14)C]Glucose oxidation to (14)CO(2) varied inversely with unlabeled lactate concentration in the medium, particularly in neurons, and increased progressively with decreasing lactate concentration. Adding unlabeled glucose to the medium inhibited [(14)C]lactate oxidation to (14)CO(2) only in astroglia but not in neurons, indicating a kinetic preference in neurons for oxidation of extracellular lactate over intracellular pyruvatelactate produced by glycolysis. Protein kinase-catalyzed phosphorylation inactivates pyruvate dehydrogenase (PDH), which regulates pyruvate entry into the tricarboxylic acid cycle. Dichloroacetate inhibits this kinase, thus enhancing PDH activity. In vitro dichloroacetate stimulated glucose and lactate oxidation to CO(2) and reduced lactate release mainly in astroglia, indicating that limitations in glucose and lactate oxidation by astroglia may be due to a greater balance of PDH toward the inactive form. To assess the significance of astroglial export of lactate to neurons in vivo, we attempted to diminish this traffic in rats by administering dichloroacetate (50 mgkg) intravenously to stimulate astroglial lactate oxidation and then examined the effects on baseline and functionally activated local cerebral glucose utilization (lCMR(glc)). Dichloroacetate raised baseline lCMR(glc) throughout the brain and decreased the percent increases in lCMR(glc) evoked by functional activation. These studies provide evidence in support of the compartmentalization of glucose metabolism between astroglia and neurons but indicate that the compartmentalization may be neither complete nor entirely obligatory.", "author" : [ { "dropping-particle" : "", "family" : "Itoh", "given" : "Yoshiaki", "non-dropping-particle" : "", "parse-names" : false, "suffix" : "" }, { "dropping-particle" : "", "family" : "Esaki", "given" : "Takanori", "non-dropping-particle" : "", "parse-names" : false, "suffix" : "" }, { "dropping-particle" : "", "family" : "Shimoji", "given" : "Kazuaki", "non-dropping-particle" : "", "parse-names" : false, "suffix" : "" }, { "dropping-particle" : "", "family" : "Cook", "given" : "Michelle", "non-dropping-particle" : "", "parse-names" : false, "suffix" : "" }, { "dropping-particle" : "", "family" : "Law", "given" : "Mona J", "non-dropping-particle" : "", "parse-names" : false, "suffix" : "" }, { "dropping-particle" : "", "family" : "Kaufman", "given" : "Elaine", "non-dropping-particle" : "", "parse-names" : false, "suffix" : "" }, { "dropping-particle" : "", "family" : "Sokoloff", "given" : "Louis", "non-dropping-particle" : "", "parse-names" : false, "suffix" : "" } ], "container-title" : "Proceedings of the National Academy of Sciences of the United States of America", "id" : "ITEM-1", "issue" : "8", "issued" : { "date-parts" : [ [ "2003", "4", "15" ] ] }, "language" : "en", "page" : "4879-84", "publisher" : "National Academy of Sciences", "title" : "Dichloroacetate effects on glucose and lactate oxidation by neurons and astroglia in vitro and on glucose utilization by brain in vivo.", "type" : "article-journal", "volume" : "100" }, "uris" : [ "http://www.mendeley.com/documents/?uuid=8100df4a-81d7-4146-b218-42e975b96045" ] } ], "mendeley" : { "formattedCitation" : "(Itoh et al. 2003)", "plainTextFormattedCitation" : "(Itoh et al. 2003)", "previouslyFormattedCitation" : "(Itoh et al. 2003)" }, "properties" : { "noteIndex" : 0 }, "schema" : "https://github.com/citation-style-language/schema/raw/master/csl-citation.json" }</w:instrText>
      </w:r>
      <w:r w:rsidRPr="00070602">
        <w:rPr>
          <w:rFonts w:ascii="Times New Roman" w:hAnsi="Times New Roman" w:cs="Times New Roman"/>
        </w:rPr>
        <w:fldChar w:fldCharType="separate"/>
      </w:r>
      <w:r w:rsidR="00C148FC" w:rsidRPr="00C148FC">
        <w:rPr>
          <w:rFonts w:ascii="Times New Roman" w:hAnsi="Times New Roman" w:cs="Times New Roman"/>
          <w:noProof/>
        </w:rPr>
        <w:t>(Itoh et al. 2003)</w:t>
      </w:r>
      <w:r w:rsidRPr="00070602">
        <w:rPr>
          <w:rFonts w:ascii="Times New Roman" w:hAnsi="Times New Roman" w:cs="Times New Roman"/>
        </w:rPr>
        <w:fldChar w:fldCharType="end"/>
      </w:r>
      <w:r w:rsidRPr="00070602">
        <w:rPr>
          <w:rFonts w:ascii="Times New Roman" w:hAnsi="Times New Roman" w:cs="Times New Roman"/>
        </w:rPr>
        <w:t xml:space="preserve"> and important to sustain a number of neurophysiological mechanisms. Recently, the importanc</w:t>
      </w:r>
      <w:r w:rsidR="00012DF5">
        <w:rPr>
          <w:rFonts w:ascii="Times New Roman" w:hAnsi="Times New Roman" w:cs="Times New Roman"/>
        </w:rPr>
        <w:t>e of l-lactate has been recognis</w:t>
      </w:r>
      <w:r w:rsidRPr="00070602">
        <w:rPr>
          <w:rFonts w:ascii="Times New Roman" w:hAnsi="Times New Roman" w:cs="Times New Roman"/>
        </w:rPr>
        <w:t>ed in protecting neurons from glutamate mediated neurotoxicity and has been shown to exert it’s protective effects through activation of the PI3K-Akt pathway and K</w:t>
      </w:r>
      <w:r w:rsidRPr="00757195">
        <w:rPr>
          <w:rFonts w:ascii="Times New Roman" w:hAnsi="Times New Roman" w:cs="Times New Roman"/>
          <w:vertAlign w:val="superscript"/>
        </w:rPr>
        <w:t>+</w:t>
      </w:r>
      <w:r w:rsidRPr="00070602">
        <w:rPr>
          <w:rFonts w:ascii="Times New Roman" w:hAnsi="Times New Roman" w:cs="Times New Roman"/>
        </w:rPr>
        <w:t xml:space="preserve">ATP channels in neurons </w:t>
      </w:r>
      <w:r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"10.1038/srep21250", "ISSN" : "2045-2322", "PMID" : "26893204", "abstract" : "Converging experimental data indicate a neuroprotective action of L-Lactate. Using Digital Holographic Microscopy, we observe that transient application of glutamate (100\u2009\u03bcM; 2\u2009min) elicits a NMDA-dependent death in 65% of mouse cortical neurons in culture. In the presence of L-Lactate (or Pyruvate), the percentage of neuronal death decreases to 32%. UK5099, a blocker of the Mitochondrial Pyruvate Carrier, fully prevents L-Lactate-mediated neuroprotection. In addition, L-Lactate-induced neuroprotection is not only inhibited by probenicid and carbenoxolone, two blockers of ATP channel pannexins, but also abolished by apyrase, an enzyme degrading ATP, suggesting that ATP produced by the Lactate/Pyruvate pathway is released to act on purinergic receptors in an autocrine/paracrine manner. Finally, pharmacological approaches support the involvement of the P2Y receptors associated to the PI3-kinase pathway, leading to activation of KATP channels. This set of results indicates that L-Lactate acts as a signalling molecule for neuroprotection against excitotoxicity through coordinated cellular pathways involving ATP production, release and activation of a P2Y/KATP cascade.", "author" : [ { "dropping-particle" : "", "family" : "Jourdain", "given" : "P", "non-dropping-particle" : "", "parse-names" : false, "suffix" : "" }, { "dropping-particle" : "", "family" : "Allaman", "given" : "I", "non-dropping-particle" : "", "parse-names" : false, "suffix" : "" }, { "dropping-particle" : "", "family" : "Rothenfusser", "given" : "K", "non-dropping-particle" : "", "parse-names" : false, "suffix" : "" }, { "dropping-particle" : "", "family" : "Fiumelli", "given" : "H", "non-dropping-particle" : "", "parse-names" : false, "suffix" : "" }, { "dropping-particle" : "", "family" : "Marquet", "given" : "P", "non-dropping-particle" : "", "parse-names" : false, "suffix" : "" }, { "dropping-particle" : "", "family" : "Magistretti", "given" : "P J", "non-dropping-particle" : "", "parse-names" : false, "suffix" : "" } ], "container-title" : "Scientific reports", "id" : "ITEM-1", "issued" : { "date-parts" : [ [ "2016", "1" ] ] }, "page" : "21250", "title" : "L-Lactate protects neurons against excitotoxicity: implication of an ATP-mediated signaling cascade.", "type" : "article-journal", "volume" : "6" }, "uris" : [ "http://www.mendeley.com/documents/?uuid=1afec693-2289-4a16-b485-c308f38df367" ] } ], "mendeley" : { "formattedCitation" : "(Jourdain et al. 2016)", "plainTextFormattedCitation" : "(Jourdain et al. 2016)", "previouslyFormattedCitation" : "(Jourdain et al. 2016)" }, "properties" : { "noteIndex" : 0 }, "schema" : "https://github.com/citation-style-language/schema/raw/master/csl-citation.json" }</w:instrText>
      </w:r>
      <w:r w:rsidRPr="00070602">
        <w:rPr>
          <w:rFonts w:ascii="Times New Roman" w:hAnsi="Times New Roman" w:cs="Times New Roman"/>
        </w:rPr>
        <w:fldChar w:fldCharType="separate"/>
      </w:r>
      <w:r w:rsidR="00C148FC" w:rsidRPr="00C148FC">
        <w:rPr>
          <w:rFonts w:ascii="Times New Roman" w:hAnsi="Times New Roman" w:cs="Times New Roman"/>
          <w:noProof/>
        </w:rPr>
        <w:t>(Jourdain et al. 2016)</w:t>
      </w:r>
      <w:r w:rsidRPr="00070602">
        <w:rPr>
          <w:rFonts w:ascii="Times New Roman" w:hAnsi="Times New Roman" w:cs="Times New Roman"/>
        </w:rPr>
        <w:fldChar w:fldCharType="end"/>
      </w:r>
      <w:r w:rsidRPr="00070602">
        <w:rPr>
          <w:rFonts w:ascii="Times New Roman" w:hAnsi="Times New Roman" w:cs="Times New Roman"/>
        </w:rPr>
        <w:t>.</w:t>
      </w:r>
    </w:p>
    <w:p w14:paraId="35E75446" w14:textId="77777777" w:rsidR="00233453" w:rsidRDefault="00623A75" w:rsidP="00103AAC">
      <w:pPr>
        <w:spacing w:line="360" w:lineRule="auto"/>
        <w:rPr>
          <w:rFonts w:ascii="Times New Roman" w:hAnsi="Times New Roman" w:cs="Times New Roman"/>
        </w:rPr>
      </w:pPr>
      <w:r>
        <w:rPr>
          <w:rFonts w:ascii="Times New Roman" w:hAnsi="Times New Roman" w:cs="Times New Roman"/>
        </w:rPr>
        <w:t xml:space="preserve">    </w:t>
      </w:r>
    </w:p>
    <w:p w14:paraId="4318BE33" w14:textId="3462EDFE" w:rsidR="00593AF3" w:rsidRPr="00070602" w:rsidRDefault="00261349" w:rsidP="00B07212">
      <w:pPr>
        <w:spacing w:line="360" w:lineRule="auto"/>
        <w:jc w:val="both"/>
        <w:rPr>
          <w:rFonts w:ascii="Times New Roman" w:hAnsi="Times New Roman" w:cs="Times New Roman"/>
        </w:rPr>
      </w:pPr>
      <w:r w:rsidRPr="00070602">
        <w:rPr>
          <w:rFonts w:ascii="Times New Roman" w:hAnsi="Times New Roman" w:cs="Times New Roman"/>
        </w:rPr>
        <w:t xml:space="preserve">Lactate production in astrocytes is also modulated by neurotransmission, particularly </w:t>
      </w:r>
      <w:r w:rsidR="006D0E6D" w:rsidRPr="00070602">
        <w:rPr>
          <w:rFonts w:ascii="Times New Roman" w:hAnsi="Times New Roman" w:cs="Times New Roman"/>
        </w:rPr>
        <w:t>after</w:t>
      </w:r>
      <w:r w:rsidR="001923E2" w:rsidRPr="00070602">
        <w:rPr>
          <w:rFonts w:ascii="Times New Roman" w:hAnsi="Times New Roman" w:cs="Times New Roman"/>
        </w:rPr>
        <w:t xml:space="preserve"> neuronal</w:t>
      </w:r>
      <w:r w:rsidR="006D0E6D" w:rsidRPr="00070602">
        <w:rPr>
          <w:rFonts w:ascii="Times New Roman" w:hAnsi="Times New Roman" w:cs="Times New Roman"/>
        </w:rPr>
        <w:t xml:space="preserve"> </w:t>
      </w:r>
      <w:r w:rsidRPr="00070602">
        <w:rPr>
          <w:rFonts w:ascii="Times New Roman" w:hAnsi="Times New Roman" w:cs="Times New Roman"/>
        </w:rPr>
        <w:t xml:space="preserve">release of </w:t>
      </w:r>
      <w:r w:rsidRPr="00BB616F">
        <w:rPr>
          <w:rFonts w:ascii="Times New Roman" w:hAnsi="Times New Roman" w:cs="Times New Roman"/>
        </w:rPr>
        <w:t>glutamate</w:t>
      </w:r>
      <w:r w:rsidR="00B11BF7" w:rsidRPr="00BB616F">
        <w:rPr>
          <w:rFonts w:ascii="Times New Roman" w:hAnsi="Times New Roman" w:cs="Times New Roman"/>
        </w:rPr>
        <w:t xml:space="preserve"> </w:t>
      </w:r>
      <w:r w:rsidR="00B11BF7" w:rsidRPr="00BB616F">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"0027-8424", "PMID" : "7938003", "abstract" : "Glutamate, released at a majority of excitatory synapses in the central nervous system, depolarizes neurons by acting at specific receptors. Its action is terminated by removal from the synaptic cleft mostly via Na(+)-dependent uptake systems located on both neurons and astrocytes. Here we report that glutamate, in addition to its receptor-mediated actions on neuronal excitability, stimulates glycolysis--i.e., glucose utilization and lactate production--in astrocytes. This metabolic action is mediated by activation of a Na(+)-dependent uptake system and not by interaction with receptors. The mechanism involves the Na+/K(+)-ATPase, which is activated by an increase in the intracellular concentration of Na+ cotransported with glutamate by the electrogenic uptake system. Thus, when glutamate is released from active synapses and taken up by astrocytes, the newly identified signaling pathway described here would provide a simple and direct mechanism to tightly couple neuronal activity to glucose utilization. In addition, glutamate-stimulated glycolysis is consistent with data obtained from functional brain imaging studies indicating local nonoxidative glucose utilization during physiological activation.", "author" : [ { "dropping-particle" : "", "family" : "Pellerin", "given" : "L", "non-dropping-particle" : "", "parse-names" : false, "suffix" : "" }, { "dropping-particle" : "", "family" : "Magistretti", "given" : "P J", "non-dropping-particle" : "", "parse-names" : false, "suffix" : "" } ], "container-title" : "Proceedings of the National Academy of Sciences of the United States of America", "id" : "ITEM-1", "issue" : "22", "issued" : { "date-parts" : [ [ "1994", "10", "25" ] ] }, "page" : "10625-9", "title" : "Glutamate uptake into astrocytes stimulates aerobic glycolysis: a mechanism coupling neuronal activity to glucose utilization.", "type" : "article-journal", "volume" : "91" }, "uris" : [ "http://www.mendeley.com/documents/?uuid=48c137c0-934a-4aef-9569-807e0d798687" ] } ], "mendeley" : { "formattedCitation" : "(Pellerin &amp; Magistretti 1994)", "plainTextFormattedCitation" : "(Pellerin &amp; Magistretti 1994)", "previouslyFormattedCitation" : "(Pellerin &amp; Magistretti 1994)" }, "properties" : { "noteIndex" : 0 }, "schema" : "https://github.com/citation-style-language/schema/raw/master/csl-citation.json" }</w:instrText>
      </w:r>
      <w:r w:rsidR="00B11BF7" w:rsidRPr="00BB616F">
        <w:rPr>
          <w:rFonts w:ascii="Times New Roman" w:hAnsi="Times New Roman" w:cs="Times New Roman"/>
        </w:rPr>
        <w:fldChar w:fldCharType="separate"/>
      </w:r>
      <w:r w:rsidR="00C148FC" w:rsidRPr="00C148FC">
        <w:rPr>
          <w:rFonts w:ascii="Times New Roman" w:hAnsi="Times New Roman" w:cs="Times New Roman"/>
          <w:noProof/>
        </w:rPr>
        <w:t>(Pellerin &amp; Magistretti 1994)</w:t>
      </w:r>
      <w:r w:rsidR="00B11BF7" w:rsidRPr="00BB616F">
        <w:rPr>
          <w:rFonts w:ascii="Times New Roman" w:hAnsi="Times New Roman" w:cs="Times New Roman"/>
        </w:rPr>
        <w:fldChar w:fldCharType="end"/>
      </w:r>
      <w:r w:rsidRPr="00BB616F">
        <w:rPr>
          <w:rFonts w:ascii="Times New Roman" w:hAnsi="Times New Roman" w:cs="Times New Roman"/>
        </w:rPr>
        <w:t>.</w:t>
      </w:r>
      <w:r w:rsidRPr="00070602">
        <w:rPr>
          <w:rFonts w:ascii="Times New Roman" w:hAnsi="Times New Roman" w:cs="Times New Roman"/>
        </w:rPr>
        <w:t xml:space="preserve"> </w:t>
      </w:r>
      <w:r w:rsidR="001923E2" w:rsidRPr="00070602">
        <w:rPr>
          <w:rFonts w:ascii="Times New Roman" w:hAnsi="Times New Roman" w:cs="Times New Roman"/>
        </w:rPr>
        <w:t xml:space="preserve">Astrocytic processes are decorated with glutamate transporters, which </w:t>
      </w:r>
      <w:r w:rsidR="00F104EF" w:rsidRPr="00070602">
        <w:rPr>
          <w:rFonts w:ascii="Times New Roman" w:hAnsi="Times New Roman" w:cs="Times New Roman"/>
        </w:rPr>
        <w:t>are</w:t>
      </w:r>
      <w:r w:rsidR="003777CF">
        <w:rPr>
          <w:rFonts w:ascii="Times New Roman" w:hAnsi="Times New Roman" w:cs="Times New Roman"/>
        </w:rPr>
        <w:t xml:space="preserve"> involved in glutamate uptake and can</w:t>
      </w:r>
      <w:r w:rsidR="001923E2" w:rsidRPr="00070602">
        <w:rPr>
          <w:rFonts w:ascii="Times New Roman" w:hAnsi="Times New Roman" w:cs="Times New Roman"/>
        </w:rPr>
        <w:t xml:space="preserve"> prevent glutamate-induced neurotoxicity</w:t>
      </w:r>
      <w:r w:rsidR="00704638">
        <w:rPr>
          <w:rFonts w:ascii="Times New Roman" w:hAnsi="Times New Roman" w:cs="Times New Roman"/>
        </w:rPr>
        <w:t xml:space="preserve"> </w:t>
      </w:r>
      <w:r w:rsidR="00B11BF7" w:rsidRPr="00BB616F">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"10.1016/j.neuint.2005.12.001", "ISSN" : "01970186", "abstract" : "Glutamate excitotoxicity plays an important role in the development of secondary injuries that occur following traumatic brain injury (TBI), and contributes significantly to expansion of the total volume of injury. Acute increases in extracellular glutamate levels have been detected in both experimental brain trauma models and in human patients, and can lead to over-stimulation of glutamate receptors, resulting in a cascade of excitotoxic-related mechanisms culminating in neuronal damage. These elevated levels of glutamate can be effectively controlled by the astrocytic glutamate transporters GLAST (EAAT1) and GLT-1 (EAAT2). However, evidence indicate these transporters and splice variant are downregulated shortly following the insult, which then precipitates glutamate-mediated excitotoxic conditions. Lack of success with glutamate receptor antagonists as a potential source of clinical intervention treatment following TBI has resulted in the necessity for a better understanding of the mechanisms that underlie the process of excitotoxicity, including the function and regulation of glutamate transporters. Such new insight should improve the likelihood of development of novel avenues for therapeutic intervention following TBI.", "author" : [ { "dropping-particle" : "", "family" : "Yi", "given" : "Jae-Hyuk", "non-dropping-particle" : "", "parse-names" : false, "suffix" : "" }, { "dropping-particle" : "", "family" : "Hazell", "given" : "Alan S.", "non-dropping-particle" : "", "parse-names" : false, "suffix" : "" } ], "container-title" : "Neurochemistry International", "id" : "ITEM-1", "issue" : "5", "issued" : { "date-parts" : [ [ "2006" ] ] }, "page" : "394-403", "title" : "Excitotoxic mechanisms and the role of astrocytic glutamate transporters in traumatic brain injury", "type" : "article-journal", "volume" : "48" }, "uris" : [ "http://www.mendeley.com/documents/?uuid=76c57d97-7b32-3113-bf55-52d96b3f07b2" ] } ], "mendeley" : { "formattedCitation" : "(Yi &amp; Hazell 2006)", "plainTextFormattedCitation" : "(Yi &amp; Hazell 2006)", "previouslyFormattedCitation" : "(Yi &amp; Hazell 2006)" }, "properties" : { "noteIndex" : 0 }, "schema" : "https://github.com/citation-style-language/schema/raw/master/csl-citation.json" }</w:instrText>
      </w:r>
      <w:r w:rsidR="00B11BF7" w:rsidRPr="00BB616F">
        <w:rPr>
          <w:rFonts w:ascii="Times New Roman" w:hAnsi="Times New Roman" w:cs="Times New Roman"/>
        </w:rPr>
        <w:fldChar w:fldCharType="separate"/>
      </w:r>
      <w:r w:rsidR="00C148FC" w:rsidRPr="00C148FC">
        <w:rPr>
          <w:rFonts w:ascii="Times New Roman" w:hAnsi="Times New Roman" w:cs="Times New Roman"/>
          <w:noProof/>
        </w:rPr>
        <w:t>(Yi &amp; Hazell 2006)</w:t>
      </w:r>
      <w:r w:rsidR="00B11BF7" w:rsidRPr="00BB616F">
        <w:rPr>
          <w:rFonts w:ascii="Times New Roman" w:hAnsi="Times New Roman" w:cs="Times New Roman"/>
        </w:rPr>
        <w:fldChar w:fldCharType="end"/>
      </w:r>
      <w:r w:rsidR="001923E2" w:rsidRPr="00070602">
        <w:rPr>
          <w:rFonts w:ascii="Times New Roman" w:hAnsi="Times New Roman" w:cs="Times New Roman"/>
        </w:rPr>
        <w:t xml:space="preserve">. </w:t>
      </w:r>
      <w:r w:rsidR="00666E17" w:rsidRPr="00070602">
        <w:rPr>
          <w:rFonts w:ascii="Times New Roman" w:hAnsi="Times New Roman" w:cs="Times New Roman"/>
        </w:rPr>
        <w:t>Glutamate transporters are dependent on transmembrane K</w:t>
      </w:r>
      <w:r w:rsidR="00666E17" w:rsidRPr="00757195">
        <w:rPr>
          <w:rFonts w:ascii="Times New Roman" w:hAnsi="Times New Roman" w:cs="Times New Roman"/>
          <w:vertAlign w:val="superscript"/>
        </w:rPr>
        <w:t>+</w:t>
      </w:r>
      <w:r w:rsidR="00666E17" w:rsidRPr="00070602">
        <w:rPr>
          <w:rFonts w:ascii="Times New Roman" w:hAnsi="Times New Roman" w:cs="Times New Roman"/>
        </w:rPr>
        <w:t xml:space="preserve"> gradients and for every glutamate th</w:t>
      </w:r>
      <w:r w:rsidR="0017013C" w:rsidRPr="00070602">
        <w:rPr>
          <w:rFonts w:ascii="Times New Roman" w:hAnsi="Times New Roman" w:cs="Times New Roman"/>
        </w:rPr>
        <w:t>at is transported into the astr</w:t>
      </w:r>
      <w:r w:rsidR="00666E17" w:rsidRPr="00070602">
        <w:rPr>
          <w:rFonts w:ascii="Times New Roman" w:hAnsi="Times New Roman" w:cs="Times New Roman"/>
        </w:rPr>
        <w:t>ocyte, there</w:t>
      </w:r>
      <w:r w:rsidR="00710F5B" w:rsidRPr="00070602">
        <w:rPr>
          <w:rFonts w:ascii="Times New Roman" w:hAnsi="Times New Roman" w:cs="Times New Roman"/>
        </w:rPr>
        <w:t xml:space="preserve"> is also co-transport of 3Na+ in exchange for 1K</w:t>
      </w:r>
      <w:r w:rsidR="00710F5B" w:rsidRPr="00757195">
        <w:rPr>
          <w:rFonts w:ascii="Times New Roman" w:hAnsi="Times New Roman" w:cs="Times New Roman"/>
          <w:vertAlign w:val="superscript"/>
        </w:rPr>
        <w:t>+</w:t>
      </w:r>
      <w:r w:rsidR="00710F5B" w:rsidRPr="00070602">
        <w:rPr>
          <w:rFonts w:ascii="Times New Roman" w:hAnsi="Times New Roman" w:cs="Times New Roman"/>
        </w:rPr>
        <w:t xml:space="preserve"> that is pumped out. </w:t>
      </w:r>
      <w:r w:rsidR="0076226A" w:rsidRPr="00070602">
        <w:rPr>
          <w:rFonts w:ascii="Times New Roman" w:hAnsi="Times New Roman" w:cs="Times New Roman"/>
        </w:rPr>
        <w:t>This is an energetically demanding process, which res</w:t>
      </w:r>
      <w:r w:rsidR="006F53F2">
        <w:rPr>
          <w:rFonts w:ascii="Times New Roman" w:hAnsi="Times New Roman" w:cs="Times New Roman"/>
        </w:rPr>
        <w:t>ults in increased glucose utilis</w:t>
      </w:r>
      <w:r w:rsidR="0076226A" w:rsidRPr="00070602">
        <w:rPr>
          <w:rFonts w:ascii="Times New Roman" w:hAnsi="Times New Roman" w:cs="Times New Roman"/>
        </w:rPr>
        <w:t>ation</w:t>
      </w:r>
      <w:r w:rsidR="0022155C" w:rsidRPr="00070602">
        <w:rPr>
          <w:rFonts w:ascii="Times New Roman" w:hAnsi="Times New Roman" w:cs="Times New Roman"/>
        </w:rPr>
        <w:t xml:space="preserve"> and lactate production through glycolysis. This process </w:t>
      </w:r>
      <w:r w:rsidR="00623A75">
        <w:rPr>
          <w:rFonts w:ascii="Times New Roman" w:hAnsi="Times New Roman" w:cs="Times New Roman"/>
        </w:rPr>
        <w:t>produces</w:t>
      </w:r>
      <w:r w:rsidR="0022155C" w:rsidRPr="00070602">
        <w:rPr>
          <w:rFonts w:ascii="Times New Roman" w:hAnsi="Times New Roman" w:cs="Times New Roman"/>
        </w:rPr>
        <w:t xml:space="preserve"> ATP, which</w:t>
      </w:r>
      <w:r w:rsidR="0076226A" w:rsidRPr="00070602">
        <w:rPr>
          <w:rFonts w:ascii="Times New Roman" w:hAnsi="Times New Roman" w:cs="Times New Roman"/>
        </w:rPr>
        <w:t xml:space="preserve"> </w:t>
      </w:r>
      <w:r w:rsidR="008448E5" w:rsidRPr="00070602">
        <w:rPr>
          <w:rFonts w:ascii="Times New Roman" w:hAnsi="Times New Roman" w:cs="Times New Roman"/>
        </w:rPr>
        <w:t>facilitate</w:t>
      </w:r>
      <w:r w:rsidR="0022155C" w:rsidRPr="00070602">
        <w:rPr>
          <w:rFonts w:ascii="Times New Roman" w:hAnsi="Times New Roman" w:cs="Times New Roman"/>
        </w:rPr>
        <w:t>s</w:t>
      </w:r>
      <w:r w:rsidR="008448E5" w:rsidRPr="00070602">
        <w:rPr>
          <w:rFonts w:ascii="Times New Roman" w:hAnsi="Times New Roman" w:cs="Times New Roman"/>
        </w:rPr>
        <w:t xml:space="preserve"> glutamate transport</w:t>
      </w:r>
      <w:r w:rsidR="0076226A" w:rsidRPr="00070602">
        <w:rPr>
          <w:rFonts w:ascii="Times New Roman" w:hAnsi="Times New Roman" w:cs="Times New Roman"/>
        </w:rPr>
        <w:t xml:space="preserve"> and conversion of glutamate to glutamine</w:t>
      </w:r>
      <w:r w:rsidR="001A1778" w:rsidRPr="00070602">
        <w:rPr>
          <w:rFonts w:ascii="Times New Roman" w:hAnsi="Times New Roman" w:cs="Times New Roman"/>
        </w:rPr>
        <w:t xml:space="preserve"> (mentioned previously).</w:t>
      </w:r>
      <w:r w:rsidR="0022155C" w:rsidRPr="00070602">
        <w:rPr>
          <w:rFonts w:ascii="Times New Roman" w:hAnsi="Times New Roman" w:cs="Times New Roman"/>
        </w:rPr>
        <w:t xml:space="preserve"> The</w:t>
      </w:r>
      <w:r w:rsidR="0017013C" w:rsidRPr="00070602">
        <w:rPr>
          <w:rFonts w:ascii="Times New Roman" w:hAnsi="Times New Roman" w:cs="Times New Roman"/>
        </w:rPr>
        <w:t xml:space="preserve"> series of</w:t>
      </w:r>
      <w:r w:rsidR="0022155C" w:rsidRPr="00070602">
        <w:rPr>
          <w:rFonts w:ascii="Times New Roman" w:hAnsi="Times New Roman" w:cs="Times New Roman"/>
        </w:rPr>
        <w:t xml:space="preserve"> steps taken </w:t>
      </w:r>
      <w:r w:rsidR="0017013C" w:rsidRPr="00070602">
        <w:rPr>
          <w:rFonts w:ascii="Times New Roman" w:hAnsi="Times New Roman" w:cs="Times New Roman"/>
        </w:rPr>
        <w:t xml:space="preserve">by astrocytes </w:t>
      </w:r>
      <w:r w:rsidR="0022155C" w:rsidRPr="00070602">
        <w:rPr>
          <w:rFonts w:ascii="Times New Roman" w:hAnsi="Times New Roman" w:cs="Times New Roman"/>
        </w:rPr>
        <w:t>to provide lactate to neurons is called the astrocyte-neuron lactate shuttle (ANLS) and was first prop</w:t>
      </w:r>
      <w:r w:rsidR="00262340">
        <w:rPr>
          <w:rFonts w:ascii="Times New Roman" w:hAnsi="Times New Roman" w:cs="Times New Roman"/>
        </w:rPr>
        <w:t>o</w:t>
      </w:r>
      <w:r w:rsidR="0022155C" w:rsidRPr="00070602">
        <w:rPr>
          <w:rFonts w:ascii="Times New Roman" w:hAnsi="Times New Roman" w:cs="Times New Roman"/>
        </w:rPr>
        <w:t>sed by Perrellin and Magestretti in 1994.</w:t>
      </w:r>
      <w:r w:rsidR="006278FA">
        <w:rPr>
          <w:rFonts w:ascii="Times New Roman" w:hAnsi="Times New Roman" w:cs="Times New Roman"/>
        </w:rPr>
        <w:t xml:space="preserve"> </w:t>
      </w:r>
      <w:r w:rsidR="006D0E6D" w:rsidRPr="00070602">
        <w:rPr>
          <w:rFonts w:ascii="Times New Roman" w:hAnsi="Times New Roman" w:cs="Times New Roman"/>
        </w:rPr>
        <w:t>Loss of the glutamate transporter GLAST from the somato</w:t>
      </w:r>
      <w:r w:rsidR="0017013C" w:rsidRPr="00070602">
        <w:rPr>
          <w:rFonts w:ascii="Times New Roman" w:hAnsi="Times New Roman" w:cs="Times New Roman"/>
        </w:rPr>
        <w:t>sensory cortex in rats, results</w:t>
      </w:r>
      <w:r w:rsidR="006D0E6D" w:rsidRPr="00070602">
        <w:rPr>
          <w:rFonts w:ascii="Times New Roman" w:hAnsi="Times New Roman" w:cs="Times New Roman"/>
        </w:rPr>
        <w:t xml:space="preserve"> in a 50% reduction in glucose metabolism following activation of the whisker-to-barrel pathway </w:t>
      </w:r>
      <w:r w:rsidR="006D0E6D"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"10.1097/00004647-200104000-00009", "ISSN" : "0271-678X", "PMID" : "11323526", "abstract" : "The mechanisms responsible for the local increase in brain glucose utilization during functional activation remain unknown. Recent in vitro studies have identified a new signaling pathway involving an activation of glial glutamate transporters and enhancement of neuron-astrocyte metabolic interactions that suggest a putative coupling mechanism. The aim of the present study was to determine whether one of the glutamate transporters exclusively expressed in astrocytes, GLAST, is involved in the neurometabolic coupling in vivo. For this purpose, rats were microinjected into the posteromedial barrel subfield (PMBSF) of the somatosensory cortex with GLAST antisense or random phosphorothioate oligonucleotides. The physiologic activation was performed by stimulating the whisker-to-barrel pathway in anesthetized rats while measuring local cerebral glucose utilization by quantitative autoradiography in the PMBSF. Twenty-four hours after injection of two different antisense GLAST oligonucleotide sequences, and despite the presence of normal whisker-related neuronal activity in the PMBSF, the metabolic response to whisker stimulation was decreased by more than 50%. Injection of the corresponding random sequences still allowed a significant increase in glucose utilization in the activated area. The present study highlights the contribution of astrocytes to neurometabolic coupling in vivo. It provides evidence that glial glutamate transporters are key molecular components of this coupling and that neuronal glutamatergic activity is an important determinant of energy utilization. Results indicate that astrocytes should also be considered as possible sources of altered brain metabolism that could explain the distinct imaging signals observed in some pathologic situations.", "author" : [ { "dropping-particle" : "", "family" : "Cholet", "given" : "N", "non-dropping-particle" : "", "parse-names" : false, "suffix" : "" }, { "dropping-particle" : "", "family" : "Pellerin", "given" : "L", "non-dropping-particle" : "", "parse-names" : false, "suffix" : "" }, { "dropping-particle" : "", "family" : "Welker", "given" : "E", "non-dropping-particle" : "", "parse-names" : false, "suffix" : "" }, { "dropping-particle" : "", "family" : "Lacombe", "given" : "P", "non-dropping-particle" : "", "parse-names" : false, "suffix" : "" }, { "dropping-particle" : "", "family" : "Seylaz", "given" : "J", "non-dropping-particle" : "", "parse-names" : false, "suffix" : "" }, { "dropping-particle" : "", "family" : "Magistretti", "given" : "P", "non-dropping-particle" : "", "parse-names" : false, "suffix" : "" }, { "dropping-particle" : "", "family" : "Bonvento", "given" : "G", "non-dropping-particle" : "", "parse-names" : false, "suffix" : "" } ], "container-title" : "Journal of cerebral blood flow and metabolism : official journal of the International Society of Cerebral Blood Flow and Metabolism", "id" : "ITEM-1", "issue" : "4", "issued" : { "date-parts" : [ [ "2001", "4", "1" ] ] }, "language" : "en", "page" : "404-12", "publisher" : "SAGE Publications", "title" : "Local injection of antisense oligonucleotides targeted to the glial glutamate transporter GLAST decreases the metabolic response to somatosensory activation.", "type" : "article-journal", "volume" : "21" }, "uris" : [ "http://www.mendeley.com/documents/?uuid=f05d2063-cc9c-437f-9be5-c37045060d2b" ] } ], "mendeley" : { "formattedCitation" : "(Cholet et al. 2001)", "plainTextFormattedCitation" : "(Cholet et al. 2001)", "previouslyFormattedCitation" : "(Cholet et al. 2001)" }, "properties" : { "noteIndex" : 0 }, "schema" : "https://github.com/citation-style-language/schema/raw/master/csl-citation.json" }</w:instrText>
      </w:r>
      <w:r w:rsidR="006D0E6D" w:rsidRPr="00070602">
        <w:rPr>
          <w:rFonts w:ascii="Times New Roman" w:hAnsi="Times New Roman" w:cs="Times New Roman"/>
        </w:rPr>
        <w:fldChar w:fldCharType="separate"/>
      </w:r>
      <w:r w:rsidR="00C148FC" w:rsidRPr="00C148FC">
        <w:rPr>
          <w:rFonts w:ascii="Times New Roman" w:hAnsi="Times New Roman" w:cs="Times New Roman"/>
          <w:noProof/>
        </w:rPr>
        <w:t>(Cholet et al. 2001)</w:t>
      </w:r>
      <w:r w:rsidR="006D0E6D" w:rsidRPr="00070602">
        <w:rPr>
          <w:rFonts w:ascii="Times New Roman" w:hAnsi="Times New Roman" w:cs="Times New Roman"/>
        </w:rPr>
        <w:fldChar w:fldCharType="end"/>
      </w:r>
      <w:r w:rsidR="0017013C" w:rsidRPr="00070602">
        <w:rPr>
          <w:rFonts w:ascii="Times New Roman" w:hAnsi="Times New Roman" w:cs="Times New Roman"/>
        </w:rPr>
        <w:t>. This provides</w:t>
      </w:r>
      <w:r w:rsidR="006D0E6D" w:rsidRPr="00070602">
        <w:rPr>
          <w:rFonts w:ascii="Times New Roman" w:hAnsi="Times New Roman" w:cs="Times New Roman"/>
        </w:rPr>
        <w:t xml:space="preserve"> evidence that </w:t>
      </w:r>
      <w:r w:rsidR="0022155C" w:rsidRPr="00070602">
        <w:rPr>
          <w:rFonts w:ascii="Times New Roman" w:hAnsi="Times New Roman" w:cs="Times New Roman"/>
        </w:rPr>
        <w:t>a</w:t>
      </w:r>
      <w:r w:rsidR="0017013C" w:rsidRPr="00070602">
        <w:rPr>
          <w:rFonts w:ascii="Times New Roman" w:hAnsi="Times New Roman" w:cs="Times New Roman"/>
        </w:rPr>
        <w:t>strocytic uptake of glutamate is</w:t>
      </w:r>
      <w:r w:rsidR="006D0E6D" w:rsidRPr="00070602">
        <w:rPr>
          <w:rFonts w:ascii="Times New Roman" w:hAnsi="Times New Roman" w:cs="Times New Roman"/>
        </w:rPr>
        <w:t xml:space="preserve"> </w:t>
      </w:r>
      <w:r w:rsidR="0022155C" w:rsidRPr="00070602">
        <w:rPr>
          <w:rFonts w:ascii="Times New Roman" w:hAnsi="Times New Roman" w:cs="Times New Roman"/>
        </w:rPr>
        <w:t>directly coupled to</w:t>
      </w:r>
      <w:r w:rsidR="0017013C" w:rsidRPr="00070602">
        <w:rPr>
          <w:rFonts w:ascii="Times New Roman" w:hAnsi="Times New Roman" w:cs="Times New Roman"/>
        </w:rPr>
        <w:t xml:space="preserve"> brain metabolism and provides </w:t>
      </w:r>
      <w:r w:rsidR="00704638">
        <w:rPr>
          <w:rFonts w:ascii="Times New Roman" w:hAnsi="Times New Roman" w:cs="Times New Roman"/>
        </w:rPr>
        <w:t xml:space="preserve">further </w:t>
      </w:r>
      <w:r w:rsidR="0017013C" w:rsidRPr="00070602">
        <w:rPr>
          <w:rFonts w:ascii="Times New Roman" w:hAnsi="Times New Roman" w:cs="Times New Roman"/>
        </w:rPr>
        <w:t>support for</w:t>
      </w:r>
      <w:r w:rsidR="0022155C" w:rsidRPr="00070602">
        <w:rPr>
          <w:rFonts w:ascii="Times New Roman" w:hAnsi="Times New Roman" w:cs="Times New Roman"/>
        </w:rPr>
        <w:t xml:space="preserve"> the ANLS hypothesis </w:t>
      </w:r>
      <w:r w:rsidR="0022155C"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"0027-8424", "PMID" : "7938003", "abstract" : "Glutamate, released at a majority of excitatory synapses in the central nervous system, depolarizes neurons by acting at specific receptors. Its action is terminated by removal from the synaptic cleft mostly via Na(+)-dependent uptake systems located on both neurons and astrocytes. Here we report that glutamate, in addition to its receptor-mediated actions on neuronal excitability, stimulates glycolysis--i.e., glucose utilization and lactate production--in astrocytes. This metabolic action is mediated by activation of a Na(+)-dependent uptake system and not by interaction with receptors. The mechanism involves the Na+/K(+)-ATPase, which is activated by an increase in the intracellular concentration of Na+ cotransported with glutamate by the electrogenic uptake system. Thus, when glutamate is released from active synapses and taken up by astrocytes, the newly identified signaling pathway described here would provide a simple and direct mechanism to tightly couple neuronal activity to glucose utilization. In addition, glutamate-stimulated glycolysis is consistent with data obtained from functional brain imaging studies indicating local nonoxidative glucose utilization during physiological activation.", "author" : [ { "dropping-particle" : "", "family" : "Pellerin", "given" : "L", "non-dropping-particle" : "", "parse-names" : false, "suffix" : "" }, { "dropping-particle" : "", "family" : "Magistretti", "given" : "P J", "non-dropping-particle" : "", "parse-names" : false, "suffix" : "" } ], "container-title" : "Proceedings of the National Academy of Sciences of the United States of America", "id" : "ITEM-1", "issue" : "22", "issued" : { "date-parts" : [ [ "1994", "10", "25" ] ] }, "page" : "10625-9", "title" : "Glutamate uptake into astrocytes stimulates aerobic glycolysis: a mechanism coupling neuronal activity to glucose utilization.", "type" : "article-journal", "volume" : "91" }, "uris" : [ "http://www.mendeley.com/documents/?uuid=48c137c0-934a-4aef-9569-807e0d798687" ] } ], "mendeley" : { "formattedCitation" : "(Pellerin &amp; Magistretti 1994)", "plainTextFormattedCitation" : "(Pellerin &amp; Magistretti 1994)", "previouslyFormattedCitation" : "(Pellerin &amp; Magistretti 1994)" }, "properties" : { "noteIndex" : 0 }, "schema" : "https://github.com/citation-style-language/schema/raw/master/csl-citation.json" }</w:instrText>
      </w:r>
      <w:r w:rsidR="0022155C" w:rsidRPr="00070602">
        <w:rPr>
          <w:rFonts w:ascii="Times New Roman" w:hAnsi="Times New Roman" w:cs="Times New Roman"/>
        </w:rPr>
        <w:fldChar w:fldCharType="separate"/>
      </w:r>
      <w:r w:rsidR="00C148FC" w:rsidRPr="00C148FC">
        <w:rPr>
          <w:rFonts w:ascii="Times New Roman" w:hAnsi="Times New Roman" w:cs="Times New Roman"/>
          <w:noProof/>
        </w:rPr>
        <w:t>(Pellerin &amp; Magistretti 1994)</w:t>
      </w:r>
      <w:r w:rsidR="0022155C" w:rsidRPr="00070602">
        <w:rPr>
          <w:rFonts w:ascii="Times New Roman" w:hAnsi="Times New Roman" w:cs="Times New Roman"/>
        </w:rPr>
        <w:fldChar w:fldCharType="end"/>
      </w:r>
      <w:r w:rsidR="0022155C" w:rsidRPr="00070602">
        <w:rPr>
          <w:rFonts w:ascii="Times New Roman" w:hAnsi="Times New Roman" w:cs="Times New Roman"/>
        </w:rPr>
        <w:t>.</w:t>
      </w:r>
    </w:p>
    <w:p w14:paraId="3C2693D2" w14:textId="77777777" w:rsidR="00567751" w:rsidRDefault="00567751" w:rsidP="00B07212">
      <w:pPr>
        <w:spacing w:line="360" w:lineRule="auto"/>
        <w:jc w:val="both"/>
        <w:rPr>
          <w:rFonts w:ascii="Times New Roman" w:hAnsi="Times New Roman" w:cs="Times New Roman"/>
        </w:rPr>
      </w:pPr>
    </w:p>
    <w:p w14:paraId="0F905868" w14:textId="511C9144" w:rsidR="0053035F" w:rsidRDefault="00A77BC2" w:rsidP="00B07212">
      <w:pPr>
        <w:spacing w:line="360" w:lineRule="auto"/>
        <w:jc w:val="both"/>
        <w:rPr>
          <w:rFonts w:ascii="Times New Roman" w:hAnsi="Times New Roman" w:cs="Times New Roman"/>
        </w:rPr>
      </w:pPr>
      <w:r w:rsidRPr="00070602">
        <w:rPr>
          <w:rFonts w:ascii="Times New Roman" w:hAnsi="Times New Roman" w:cs="Times New Roman"/>
        </w:rPr>
        <w:t>The metabolic link between astrocytes and neurons through lactate has been demonstrated in brain slices and</w:t>
      </w:r>
      <w:r w:rsidR="00B359C1" w:rsidRPr="00070602">
        <w:rPr>
          <w:rFonts w:ascii="Times New Roman" w:hAnsi="Times New Roman" w:cs="Times New Roman"/>
        </w:rPr>
        <w:t xml:space="preserve"> primary neurons and astrocytes from </w:t>
      </w:r>
      <w:r w:rsidR="001259AD" w:rsidRPr="00070602">
        <w:rPr>
          <w:rFonts w:ascii="Times New Roman" w:hAnsi="Times New Roman" w:cs="Times New Roman"/>
        </w:rPr>
        <w:t>different non-human specie</w:t>
      </w:r>
      <w:r w:rsidR="0055469B">
        <w:rPr>
          <w:rFonts w:ascii="Times New Roman" w:hAnsi="Times New Roman" w:cs="Times New Roman"/>
        </w:rPr>
        <w:t xml:space="preserve">s </w:t>
      </w:r>
      <w:r w:rsidR="0055469B">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"10.1016/S0197-0186(03)00020-2", "ISSN" : "01970186", "abstract" : "Lactate has been considered for a long time as a metabolic waste and/or a sign of hypoxia in the central nervous system. Nevertheless, clear evidence that lactate can constitute an adequate energy substrate for brain tissue has been provided as early as in the 1950s with the pioneering work of McIlwain in brain slices. Over the years, several studies using different approaches have confirmed that lactate is efficiently oxidized by brain cells in vitro. Moreover, lactate has been shown under certain circumstances to have a neuroprotective effect and support neuronal activity. Similar confirmation of lactate utilization in vivo as well as putative neuroprotection in various excitotoxic models has been provided. Lactate was even shown to restore cognitive performance upon an hypoglycemic episode in humans. More recently, it was proposed that lactate could be produced by astrocytes and released in the extracellular space to form a pool readily available for neurons in case of high energy demands. Several elements support the concept of a lactate shuttle between astrocytes and neurons in the central nervous system. Among them, the description of specific monocarboxylate transporters found on both astrocytes and neurons is an important observation consistent with this concept. Interestingly, lactate shuttles between different cell types within the same organ have been described outside the central nervous system, notably in muscle and testis. Thus, lactate is emerging as a valuable intercellular exchange molecule in different systems including the brain where it might be an essential element of neuron\u2013glia metabolic interactions.", "author" : [ { "dropping-particle" : "", "family" : "Pellerin", "given" : "Luc", "non-dropping-particle" : "", "parse-names" : false, "suffix" : "" } ], "container-title" : "Neurochemistry International", "id" : "ITEM-1", "issue" : "4", "issued" : { "date-parts" : [ [ "2003" ] ] }, "page" : "331-338", "title" : "Lactate as a pivotal element in neuron\u2013glia metabolic cooperation", "type" : "article-journal", "volume" : "43" }, "uris" : [ "http://www.mendeley.com/documents/?uuid=022dc9de-2408-31c3-a62d-aaa172af29e2" ] } ], "mendeley" : { "formattedCitation" : "(Pellerin 2003)", "plainTextFormattedCitation" : "(Pellerin 2003)", "previouslyFormattedCitation" : "(Pellerin 2003)" }, "properties" : { "noteIndex" : 0 }, "schema" : "https://github.com/citation-style-language/schema/raw/master/csl-citation.json" }</w:instrText>
      </w:r>
      <w:r w:rsidR="0055469B">
        <w:rPr>
          <w:rFonts w:ascii="Times New Roman" w:hAnsi="Times New Roman" w:cs="Times New Roman"/>
        </w:rPr>
        <w:fldChar w:fldCharType="separate"/>
      </w:r>
      <w:r w:rsidR="00C148FC" w:rsidRPr="00C148FC">
        <w:rPr>
          <w:rFonts w:ascii="Times New Roman" w:hAnsi="Times New Roman" w:cs="Times New Roman"/>
          <w:noProof/>
        </w:rPr>
        <w:t>(Pellerin 2003)</w:t>
      </w:r>
      <w:r w:rsidR="0055469B">
        <w:rPr>
          <w:rFonts w:ascii="Times New Roman" w:hAnsi="Times New Roman" w:cs="Times New Roman"/>
        </w:rPr>
        <w:fldChar w:fldCharType="end"/>
      </w:r>
      <w:r w:rsidR="00B359C1" w:rsidRPr="00070602">
        <w:rPr>
          <w:rFonts w:ascii="Times New Roman" w:hAnsi="Times New Roman" w:cs="Times New Roman"/>
        </w:rPr>
        <w:t xml:space="preserve">. </w:t>
      </w:r>
      <w:r w:rsidRPr="00070602">
        <w:rPr>
          <w:rFonts w:ascii="Times New Roman" w:hAnsi="Times New Roman" w:cs="Times New Roman"/>
        </w:rPr>
        <w:t>More recently,</w:t>
      </w:r>
      <w:r w:rsidR="00B359C1" w:rsidRPr="00070602">
        <w:rPr>
          <w:rFonts w:ascii="Times New Roman" w:hAnsi="Times New Roman" w:cs="Times New Roman"/>
        </w:rPr>
        <w:t xml:space="preserve"> this system </w:t>
      </w:r>
      <w:r w:rsidRPr="00070602">
        <w:rPr>
          <w:rFonts w:ascii="Times New Roman" w:hAnsi="Times New Roman" w:cs="Times New Roman"/>
        </w:rPr>
        <w:t>was</w:t>
      </w:r>
      <w:r w:rsidR="00B359C1" w:rsidRPr="00070602">
        <w:rPr>
          <w:rFonts w:ascii="Times New Roman" w:hAnsi="Times New Roman" w:cs="Times New Roman"/>
        </w:rPr>
        <w:t xml:space="preserve"> demonstrated </w:t>
      </w:r>
      <w:r w:rsidR="00A020A1" w:rsidRPr="00070602">
        <w:rPr>
          <w:rFonts w:ascii="Times New Roman" w:hAnsi="Times New Roman" w:cs="Times New Roman"/>
        </w:rPr>
        <w:t>in a human</w:t>
      </w:r>
      <w:r w:rsidR="005D5AA9" w:rsidRPr="00070602">
        <w:rPr>
          <w:rFonts w:ascii="Times New Roman" w:hAnsi="Times New Roman" w:cs="Times New Roman"/>
        </w:rPr>
        <w:t xml:space="preserve"> stem cell derived</w:t>
      </w:r>
      <w:r w:rsidR="00A020A1" w:rsidRPr="00070602">
        <w:rPr>
          <w:rFonts w:ascii="Times New Roman" w:hAnsi="Times New Roman" w:cs="Times New Roman"/>
        </w:rPr>
        <w:t xml:space="preserve"> astrocyte-</w:t>
      </w:r>
      <w:r w:rsidR="005D5AA9" w:rsidRPr="00070602">
        <w:rPr>
          <w:rFonts w:ascii="Times New Roman" w:hAnsi="Times New Roman" w:cs="Times New Roman"/>
        </w:rPr>
        <w:t>neuron co-cultu</w:t>
      </w:r>
      <w:r w:rsidR="00127BB2">
        <w:rPr>
          <w:rFonts w:ascii="Times New Roman" w:hAnsi="Times New Roman" w:cs="Times New Roman"/>
        </w:rPr>
        <w:t xml:space="preserve">re model. </w:t>
      </w:r>
      <w:r w:rsidR="001F36A1">
        <w:rPr>
          <w:rFonts w:ascii="Times New Roman" w:hAnsi="Times New Roman" w:cs="Times New Roman"/>
        </w:rPr>
        <w:t>In this</w:t>
      </w:r>
      <w:r w:rsidR="00127BB2">
        <w:rPr>
          <w:rFonts w:ascii="Times New Roman" w:hAnsi="Times New Roman" w:cs="Times New Roman"/>
        </w:rPr>
        <w:t xml:space="preserve"> model </w:t>
      </w:r>
      <w:r w:rsidR="00B359C1" w:rsidRPr="00070602">
        <w:rPr>
          <w:rFonts w:ascii="Times New Roman" w:hAnsi="Times New Roman" w:cs="Times New Roman"/>
        </w:rPr>
        <w:t>the complexity of ANLS</w:t>
      </w:r>
      <w:r w:rsidR="001F36A1">
        <w:rPr>
          <w:rFonts w:ascii="Times New Roman" w:hAnsi="Times New Roman" w:cs="Times New Roman"/>
        </w:rPr>
        <w:t xml:space="preserve"> was </w:t>
      </w:r>
      <w:r w:rsidR="007371D1">
        <w:rPr>
          <w:rFonts w:ascii="Times New Roman" w:hAnsi="Times New Roman" w:cs="Times New Roman"/>
        </w:rPr>
        <w:t>revealed</w:t>
      </w:r>
      <w:r w:rsidR="00B359C1" w:rsidRPr="00070602">
        <w:rPr>
          <w:rFonts w:ascii="Times New Roman" w:hAnsi="Times New Roman" w:cs="Times New Roman"/>
        </w:rPr>
        <w:t xml:space="preserve">, </w:t>
      </w:r>
      <w:r w:rsidR="007371D1">
        <w:rPr>
          <w:rFonts w:ascii="Times New Roman" w:hAnsi="Times New Roman" w:cs="Times New Roman"/>
        </w:rPr>
        <w:t>as</w:t>
      </w:r>
      <w:r w:rsidR="00A020A1" w:rsidRPr="00070602">
        <w:rPr>
          <w:rFonts w:ascii="Times New Roman" w:hAnsi="Times New Roman" w:cs="Times New Roman"/>
        </w:rPr>
        <w:t xml:space="preserve"> lactate production</w:t>
      </w:r>
      <w:r w:rsidR="007371D1">
        <w:rPr>
          <w:rFonts w:ascii="Times New Roman" w:hAnsi="Times New Roman" w:cs="Times New Roman"/>
        </w:rPr>
        <w:t xml:space="preserve"> occurred</w:t>
      </w:r>
      <w:r w:rsidR="00A020A1" w:rsidRPr="00070602">
        <w:rPr>
          <w:rFonts w:ascii="Times New Roman" w:hAnsi="Times New Roman" w:cs="Times New Roman"/>
        </w:rPr>
        <w:t xml:space="preserve"> in astrocytes</w:t>
      </w:r>
      <w:r w:rsidR="005D5AA9" w:rsidRPr="00070602">
        <w:rPr>
          <w:rFonts w:ascii="Times New Roman" w:hAnsi="Times New Roman" w:cs="Times New Roman"/>
        </w:rPr>
        <w:t xml:space="preserve"> following</w:t>
      </w:r>
      <w:r w:rsidR="00A020A1" w:rsidRPr="00070602">
        <w:rPr>
          <w:rFonts w:ascii="Times New Roman" w:hAnsi="Times New Roman" w:cs="Times New Roman"/>
        </w:rPr>
        <w:t xml:space="preserve"> neu</w:t>
      </w:r>
      <w:r w:rsidR="0003743E" w:rsidRPr="00070602">
        <w:rPr>
          <w:rFonts w:ascii="Times New Roman" w:hAnsi="Times New Roman" w:cs="Times New Roman"/>
        </w:rPr>
        <w:t>rotransmission and hypoglycemia</w:t>
      </w:r>
      <w:r w:rsidR="00182EB8" w:rsidRPr="00070602">
        <w:rPr>
          <w:rFonts w:ascii="Times New Roman" w:hAnsi="Times New Roman" w:cs="Times New Roman"/>
        </w:rPr>
        <w:t xml:space="preserve"> </w:t>
      </w:r>
      <w:r w:rsidR="00182EB8"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"10.1038/jcbfm.2013.81", "ISSN" : "1559-7016", "PMID" : "23715062", "abstract" : "The NT2.D1 cell line is one of the most well-documented embryocarcinoma cell lines, and can be differentiated into neurons and astrocytes. Great focus has also been placed on defining the electrophysiological properties of the neuronal cells, and more recently we have investigated the functional properties of their associated astrocytes. We now show for the first time that human stem cell-derived astrocytes produce glycogen and that co-cultures of these cells demonstrate a functional astrocyte-neuron lactate shuttle (ANLS). The ANLS hypothesis proposes that during neuronal activity, glutamate released into the synaptic cleft is taken up by astrocytes and triggers glucose uptake, which is converted into lactate and released via monocarboxylate transporters for neuronal use. Using mixed cultures of NT2-derived neurons and astrocytes, we have shown that these cells modulate their glucose uptake in response to glutamate. Additionally, we demonstrate that in response to increased neuronal activity and under hypoglycaemic conditions, co-cultures modulate glycogen turnover and increase lactate production. Similar results were also shown after treatment with glutamate, potassium, isoproterenol, and dbcAMP. Together, these results demonstrate for the first time a functional ANLS in a human stem cell-derived co-culture.", "author" : [ { "dropping-particle" : "", "family" : "Tarczyluk", "given" : "Marta A", "non-dropping-particle" : "", "parse-names" : false, "suffix" : "" }, { "dropping-particle" : "", "family" : "Nagel", "given" : "David A", "non-dropping-particle" : "", "parse-names" : false, "suffix" : "" }, { "dropping-particle" : "", "family" : "O'Neil", "given" : "John D", "non-dropping-particle" : "", "parse-names" : false, "suffix" : "" }, { "dropping-particle" : "", "family" : "Parri", "given" : "H Rheinallt", "non-dropping-particle" : "", "parse-names" : false, "suffix" : "" }, { "dropping-particle" : "", "family" : "Tse", "given" : "Erin H Y", "non-dropping-particle" : "", "parse-names" : false, "suffix" : "" }, { "dropping-particle" : "", "family" : "Coleman", "given" : "Michael D", "non-dropping-particle" : "", "parse-names" : false, "suffix" : "" }, { "dropping-particle" : "", "family" : "Hill", "given" : "Eric J", "non-dropping-particle" : "", "parse-names" : false, "suffix" : "" } ], "container-title" : "Journal of cerebral blood flow and metabolism : official journal of the International Society of Cerebral Blood Flow and Metabolism", "id" : "ITEM-1", "issue" : "9", "issued" : { "date-parts" : [ [ "2013", "9" ] ] }, "page" : "1386-93", "title" : "Functional astrocyte-neuron lactate shuttle in a human stem cell-derived neuronal network.", "type" : "article-journal", "volume" : "33" }, "uris" : [ "http://www.mendeley.com/documents/?uuid=31edeae0-1cc0-47f9-8e6d-992b57f23aa5" ] } ], "mendeley" : { "formattedCitation" : "(Tarczyluk et al. 2013)", "plainTextFormattedCitation" : "(Tarczyluk et al. 2013)", "previouslyFormattedCitation" : "(Tarczyluk et al. 2013)" }, "properties" : { "noteIndex" : 0 }, "schema" : "https://github.com/citation-style-language/schema/raw/master/csl-citation.json" }</w:instrText>
      </w:r>
      <w:r w:rsidR="00182EB8" w:rsidRPr="00070602">
        <w:rPr>
          <w:rFonts w:ascii="Times New Roman" w:hAnsi="Times New Roman" w:cs="Times New Roman"/>
        </w:rPr>
        <w:fldChar w:fldCharType="separate"/>
      </w:r>
      <w:r w:rsidR="00C148FC" w:rsidRPr="00C148FC">
        <w:rPr>
          <w:rFonts w:ascii="Times New Roman" w:hAnsi="Times New Roman" w:cs="Times New Roman"/>
          <w:noProof/>
        </w:rPr>
        <w:t>(Tarczyluk et al. 2013)</w:t>
      </w:r>
      <w:r w:rsidR="00182EB8" w:rsidRPr="00070602">
        <w:rPr>
          <w:rFonts w:ascii="Times New Roman" w:hAnsi="Times New Roman" w:cs="Times New Roman"/>
        </w:rPr>
        <w:fldChar w:fldCharType="end"/>
      </w:r>
      <w:r w:rsidR="005D5AA9" w:rsidRPr="00070602">
        <w:rPr>
          <w:rFonts w:ascii="Times New Roman" w:hAnsi="Times New Roman" w:cs="Times New Roman"/>
        </w:rPr>
        <w:t>. In addition, the</w:t>
      </w:r>
      <w:r w:rsidR="0003743E" w:rsidRPr="00070602">
        <w:rPr>
          <w:rFonts w:ascii="Times New Roman" w:hAnsi="Times New Roman" w:cs="Times New Roman"/>
        </w:rPr>
        <w:t xml:space="preserve"> study highlighted the importance of glutamate uptake</w:t>
      </w:r>
      <w:r w:rsidR="005D5AA9" w:rsidRPr="00070602">
        <w:rPr>
          <w:rFonts w:ascii="Times New Roman" w:hAnsi="Times New Roman" w:cs="Times New Roman"/>
        </w:rPr>
        <w:t xml:space="preserve"> through </w:t>
      </w:r>
      <w:r w:rsidR="0003743E" w:rsidRPr="00070602">
        <w:rPr>
          <w:rFonts w:ascii="Times New Roman" w:hAnsi="Times New Roman" w:cs="Times New Roman"/>
        </w:rPr>
        <w:t>transporters</w:t>
      </w:r>
      <w:r w:rsidRPr="00070602">
        <w:rPr>
          <w:rFonts w:ascii="Times New Roman" w:hAnsi="Times New Roman" w:cs="Times New Roman"/>
        </w:rPr>
        <w:t xml:space="preserve"> as opposed to activation of glutamate receptors</w:t>
      </w:r>
      <w:r w:rsidR="0003743E" w:rsidRPr="00070602">
        <w:rPr>
          <w:rFonts w:ascii="Times New Roman" w:hAnsi="Times New Roman" w:cs="Times New Roman"/>
        </w:rPr>
        <w:t xml:space="preserve"> </w:t>
      </w:r>
      <w:r w:rsidR="005D5AA9" w:rsidRPr="00070602">
        <w:rPr>
          <w:rFonts w:ascii="Times New Roman" w:hAnsi="Times New Roman" w:cs="Times New Roman"/>
        </w:rPr>
        <w:t xml:space="preserve">and </w:t>
      </w:r>
      <w:r w:rsidRPr="00070602">
        <w:rPr>
          <w:rFonts w:ascii="Times New Roman" w:hAnsi="Times New Roman" w:cs="Times New Roman"/>
        </w:rPr>
        <w:t xml:space="preserve">showed </w:t>
      </w:r>
      <w:r w:rsidR="005D5AA9" w:rsidRPr="00070602">
        <w:rPr>
          <w:rFonts w:ascii="Times New Roman" w:hAnsi="Times New Roman" w:cs="Times New Roman"/>
        </w:rPr>
        <w:t xml:space="preserve">stimulation of </w:t>
      </w:r>
      <w:r w:rsidR="007C5EA5" w:rsidRPr="00070602">
        <w:rPr>
          <w:rFonts w:ascii="Times New Roman" w:hAnsi="Times New Roman" w:cs="Times New Roman"/>
        </w:rPr>
        <w:t>Na</w:t>
      </w:r>
      <w:r w:rsidR="007C5EA5" w:rsidRPr="00757195">
        <w:rPr>
          <w:rFonts w:ascii="Times New Roman" w:hAnsi="Times New Roman" w:cs="Times New Roman"/>
          <w:vertAlign w:val="superscript"/>
        </w:rPr>
        <w:t>+</w:t>
      </w:r>
      <w:r w:rsidR="007C5EA5" w:rsidRPr="00070602">
        <w:rPr>
          <w:rFonts w:ascii="Times New Roman" w:hAnsi="Times New Roman" w:cs="Times New Roman"/>
        </w:rPr>
        <w:t>K</w:t>
      </w:r>
      <w:r w:rsidR="007C5EA5" w:rsidRPr="00757195">
        <w:rPr>
          <w:rFonts w:ascii="Times New Roman" w:hAnsi="Times New Roman" w:cs="Times New Roman"/>
          <w:vertAlign w:val="superscript"/>
        </w:rPr>
        <w:t>+</w:t>
      </w:r>
      <w:r w:rsidR="007C5EA5" w:rsidRPr="00070602">
        <w:rPr>
          <w:rFonts w:ascii="Times New Roman" w:hAnsi="Times New Roman" w:cs="Times New Roman"/>
        </w:rPr>
        <w:t xml:space="preserve"> ATPase by K+ </w:t>
      </w:r>
      <w:r w:rsidRPr="00070602">
        <w:rPr>
          <w:rFonts w:ascii="Times New Roman" w:hAnsi="Times New Roman" w:cs="Times New Roman"/>
        </w:rPr>
        <w:t>was required</w:t>
      </w:r>
      <w:r w:rsidR="00B359C1" w:rsidRPr="00070602">
        <w:rPr>
          <w:rFonts w:ascii="Times New Roman" w:hAnsi="Times New Roman" w:cs="Times New Roman"/>
        </w:rPr>
        <w:t xml:space="preserve"> to</w:t>
      </w:r>
      <w:r w:rsidR="005D5AA9" w:rsidRPr="00070602">
        <w:rPr>
          <w:rFonts w:ascii="Times New Roman" w:hAnsi="Times New Roman" w:cs="Times New Roman"/>
        </w:rPr>
        <w:t xml:space="preserve"> drive lactate production in </w:t>
      </w:r>
      <w:r w:rsidR="005D5AA9" w:rsidRPr="00127BB2">
        <w:rPr>
          <w:rFonts w:ascii="Times New Roman" w:hAnsi="Times New Roman" w:cs="Times New Roman"/>
        </w:rPr>
        <w:t>astrocytes.</w:t>
      </w:r>
      <w:r w:rsidR="002237A9">
        <w:rPr>
          <w:rFonts w:ascii="Times New Roman" w:hAnsi="Times New Roman" w:cs="Times New Roman"/>
        </w:rPr>
        <w:t xml:space="preserve"> However, there is also evidence that neuronal activity does not rely solely on lactate as a metabolic substrate for oxidative phosphorylation</w:t>
      </w:r>
      <w:r w:rsidR="00A012CB">
        <w:rPr>
          <w:rFonts w:ascii="Times New Roman" w:hAnsi="Times New Roman" w:cs="Times New Roman"/>
        </w:rPr>
        <w:t xml:space="preserve">, since inhibition of the enzyme that converts pyruvate to lactate, lactate dehydrogenase (LDH), does not alter extracellular oxygen or NADH levels in rat hippocampal slices </w:t>
      </w:r>
      <w:r w:rsidR="006F0513">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"10.1523/JNEUROSCI.0026-12.2012", "ISSN" : "1529-2401", "PMID" : "22745494", "abstract" : "Neural activity has been suggested to initially trigger ATP production by glycolysis, rather than oxidative phosphorylation, for three reasons: glycolytic enzymes are associated with ion pumps; neurons may increase their energy supply by activating glycolysis in astrocytes to generate lactate; and activity increases glucose uptake more than O\u2082 uptake. In rat hippocampal slices, neuronal activity rapidly decreased the levels of extracellular O\u2082 and intracellular NADH (reduced nicotinamide adenine dinucleotide), even with lactate dehydrogenase blocked to prevent lactate generation, or with only 20% superfused O\u2082 to mimic physiological O\u2082 levels. Pharmacological analysis revealed an energy budget in which 11% of O\u2082 use was on presynaptic action potentials, 17% was on presynaptic Ca\u00b2\u207a entry and transmitter release, 46% was on postsynaptic glutamate receptors, and 26% was on postsynaptic action potentials, in approximate accord with theoretical brain energy budgets. Thus, the major mechanisms mediating brain information processing are all initially powered by oxidative phosphorylation, and an astrocyte-neuron lactate shuttle is not needed for this to occur.", "author" : [ { "dropping-particle" : "", "family" : "Hall", "given" : "Catherine N", "non-dropping-particle" : "", "parse-names" : false, "suffix" : "" }, { "dropping-particle" : "", "family" : "Klein-Fl\u00fcgge", "given" : "Miriam C", "non-dropping-particle" : "", "parse-names" : false, "suffix" : "" }, { "dropping-particle" : "", "family" : "Howarth", "given" : "Clare", "non-dropping-particle" : "", "parse-names" : false, "suffix" : "" }, { "dropping-particle" : "", "family" : "Attwell", "given" : "David", "non-dropping-particle" : "", "parse-names" : false, "suffix" : "" } ], "container-title" : "The Journal of neuroscience : the official journal of the Society for Neuroscience", "id" : "ITEM-1", "issue" : "26", "issued" : { "date-parts" : [ [ "2012", "6", "27" ] ] }, "page" : "8940-51", "publisher" : "Europe PMC Funders", "title" : "Oxidative phosphorylation, not glycolysis, powers presynaptic and postsynaptic mechanisms underlying brain information processing.", "type" : "article-journal", "volume" : "32" }, "uris" : [ "http://www.mendeley.com/documents/?uuid=e3590304-b17d-321d-8217-f1d9dfcf15a8" ] } ], "mendeley" : { "formattedCitation" : "(Hall et al. 2012)", "plainTextFormattedCitation" : "(Hall et al. 2012)", "previouslyFormattedCitation" : "(Hall et al. 2012)" }, "properties" : { "noteIndex" : 0 }, "schema" : "https://github.com/citation-style-language/schema/raw/master/csl-citation.json" }</w:instrText>
      </w:r>
      <w:r w:rsidR="006F0513">
        <w:rPr>
          <w:rFonts w:ascii="Times New Roman" w:hAnsi="Times New Roman" w:cs="Times New Roman"/>
        </w:rPr>
        <w:fldChar w:fldCharType="separate"/>
      </w:r>
      <w:r w:rsidR="00C148FC" w:rsidRPr="00C148FC">
        <w:rPr>
          <w:rFonts w:ascii="Times New Roman" w:hAnsi="Times New Roman" w:cs="Times New Roman"/>
          <w:noProof/>
        </w:rPr>
        <w:t>(Hall et al. 2012)</w:t>
      </w:r>
      <w:r w:rsidR="006F0513">
        <w:rPr>
          <w:rFonts w:ascii="Times New Roman" w:hAnsi="Times New Roman" w:cs="Times New Roman"/>
        </w:rPr>
        <w:fldChar w:fldCharType="end"/>
      </w:r>
      <w:r w:rsidR="006F0513">
        <w:rPr>
          <w:rFonts w:ascii="Times New Roman" w:hAnsi="Times New Roman" w:cs="Times New Roman"/>
        </w:rPr>
        <w:t>.</w:t>
      </w:r>
    </w:p>
    <w:p w14:paraId="02F27CFE" w14:textId="77777777" w:rsidR="006F0513" w:rsidRDefault="006F0513" w:rsidP="00103AAC">
      <w:pPr>
        <w:spacing w:line="360" w:lineRule="auto"/>
        <w:rPr>
          <w:rFonts w:ascii="Times New Roman" w:hAnsi="Times New Roman" w:cs="Times New Roman"/>
        </w:rPr>
      </w:pPr>
    </w:p>
    <w:p w14:paraId="25B682FC" w14:textId="401C779C" w:rsidR="000D57B9" w:rsidRDefault="003A2584" w:rsidP="001B1D82">
      <w:pPr>
        <w:pStyle w:val="Heading3"/>
      </w:pPr>
      <w:bookmarkStart w:id="181" w:name="_Toc331425877"/>
      <w:bookmarkStart w:id="182" w:name="_Toc331427064"/>
      <w:bookmarkStart w:id="183" w:name="_Toc331427436"/>
      <w:bookmarkStart w:id="184" w:name="_Toc331427578"/>
      <w:bookmarkStart w:id="185" w:name="_Toc332972582"/>
      <w:bookmarkStart w:id="186" w:name="_Toc333046862"/>
      <w:bookmarkStart w:id="187" w:name="_Toc333477209"/>
      <w:bookmarkStart w:id="188" w:name="_Toc333477979"/>
      <w:bookmarkStart w:id="189" w:name="_Toc333644879"/>
      <w:bookmarkStart w:id="190" w:name="_Toc328301084"/>
      <w:bookmarkStart w:id="191" w:name="_Toc329593375"/>
      <w:r w:rsidRPr="00070602">
        <w:t>1.3.4</w:t>
      </w:r>
      <w:r w:rsidR="00623A75">
        <w:t xml:space="preserve"> Astrocytes and neuroinflammation</w:t>
      </w:r>
      <w:bookmarkEnd w:id="181"/>
      <w:bookmarkEnd w:id="182"/>
      <w:bookmarkEnd w:id="183"/>
      <w:bookmarkEnd w:id="184"/>
      <w:bookmarkEnd w:id="185"/>
      <w:bookmarkEnd w:id="186"/>
      <w:bookmarkEnd w:id="187"/>
      <w:bookmarkEnd w:id="188"/>
      <w:bookmarkEnd w:id="189"/>
      <w:r w:rsidRPr="00070602">
        <w:t xml:space="preserve"> </w:t>
      </w:r>
      <w:bookmarkEnd w:id="190"/>
      <w:bookmarkEnd w:id="191"/>
    </w:p>
    <w:p w14:paraId="45DD510A" w14:textId="77777777" w:rsidR="00127BB2" w:rsidRPr="00127BB2" w:rsidRDefault="00127BB2" w:rsidP="00127BB2"/>
    <w:p w14:paraId="3119EBA6" w14:textId="13C5EE70" w:rsidR="00184987" w:rsidRPr="0062609A" w:rsidRDefault="00184987" w:rsidP="00C25727">
      <w:pPr>
        <w:rPr>
          <w:rFonts w:ascii="Times New Roman" w:hAnsi="Times New Roman" w:cs="Times New Roman"/>
          <w:b/>
          <w:i/>
          <w:u w:val="single"/>
        </w:rPr>
      </w:pPr>
      <w:r w:rsidRPr="00B3159A">
        <w:rPr>
          <w:rFonts w:ascii="Times New Roman" w:hAnsi="Times New Roman" w:cs="Times New Roman"/>
          <w:b/>
          <w:i/>
          <w:u w:val="single"/>
        </w:rPr>
        <w:t>Inflammatory role of astrocytes</w:t>
      </w:r>
    </w:p>
    <w:p w14:paraId="38B327AE" w14:textId="601E29D8" w:rsidR="0048369F" w:rsidRDefault="00B3159A" w:rsidP="00B07212">
      <w:pPr>
        <w:spacing w:line="360" w:lineRule="auto"/>
        <w:jc w:val="both"/>
        <w:rPr>
          <w:rFonts w:ascii="Times New Roman" w:hAnsi="Times New Roman" w:cs="Times New Roman"/>
        </w:rPr>
      </w:pPr>
      <w:r>
        <w:rPr>
          <w:rFonts w:ascii="Times New Roman" w:hAnsi="Times New Roman" w:cs="Times New Roman"/>
        </w:rPr>
        <w:t xml:space="preserve">Astrocytes can have anti-inflammatory or pro-inflammatory roles in the brain. This has been demonstrated </w:t>
      </w:r>
      <w:r w:rsidR="00105F23">
        <w:rPr>
          <w:rFonts w:ascii="Times New Roman" w:hAnsi="Times New Roman" w:cs="Times New Roman"/>
        </w:rPr>
        <w:t>by</w:t>
      </w:r>
      <w:r>
        <w:rPr>
          <w:rFonts w:ascii="Times New Roman" w:hAnsi="Times New Roman" w:cs="Times New Roman"/>
        </w:rPr>
        <w:t xml:space="preserve"> looking at the transcriptomic profile of astrocytes under different cytotoxic stress</w:t>
      </w:r>
      <w:r w:rsidR="00105F23">
        <w:rPr>
          <w:rFonts w:ascii="Times New Roman" w:hAnsi="Times New Roman" w:cs="Times New Roman"/>
        </w:rPr>
        <w:t>ors</w:t>
      </w:r>
      <w:r>
        <w:rPr>
          <w:rFonts w:ascii="Times New Roman" w:hAnsi="Times New Roman" w:cs="Times New Roman"/>
        </w:rPr>
        <w:t xml:space="preserve">. Both </w:t>
      </w:r>
      <w:r>
        <w:rPr>
          <w:rFonts w:ascii="Times New Roman" w:hAnsi="Times New Roman" w:cs="Times New Roman"/>
          <w:i/>
        </w:rPr>
        <w:t>in vitro</w:t>
      </w:r>
      <w:r>
        <w:rPr>
          <w:rFonts w:ascii="Times New Roman" w:hAnsi="Times New Roman" w:cs="Times New Roman"/>
        </w:rPr>
        <w:t xml:space="preserve"> and </w:t>
      </w:r>
      <w:r w:rsidR="00105F23">
        <w:rPr>
          <w:rFonts w:ascii="Times New Roman" w:hAnsi="Times New Roman" w:cs="Times New Roman"/>
          <w:i/>
        </w:rPr>
        <w:t>in vivo</w:t>
      </w:r>
      <w:r>
        <w:rPr>
          <w:rFonts w:ascii="Times New Roman" w:hAnsi="Times New Roman" w:cs="Times New Roman"/>
          <w:i/>
        </w:rPr>
        <w:t xml:space="preserve"> </w:t>
      </w:r>
      <w:r>
        <w:rPr>
          <w:rFonts w:ascii="Times New Roman" w:hAnsi="Times New Roman" w:cs="Times New Roman"/>
        </w:rPr>
        <w:t>treatment with LPS or cytokines produces a shift towards a more proinfl</w:t>
      </w:r>
      <w:r w:rsidR="00A22A46">
        <w:rPr>
          <w:rFonts w:ascii="Times New Roman" w:hAnsi="Times New Roman" w:cs="Times New Roman"/>
        </w:rPr>
        <w:t xml:space="preserve">ammatory, cytotoxic profile </w:t>
      </w:r>
      <w:r w:rsidR="00A22A46">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"10.1523/JNEUROSCI.1256-12.2012", "ISSN" : "0270-6474", "author" : [ { "dropping-particle" : "", "family" : "Hamby", "given" : "M. E.", "non-dropping-particle" : "", "parse-names" : false, "suffix" : "" }, { "dropping-particle" : "", "family" : "Coppola", "given" : "G.", "non-dropping-particle" : "", "parse-names" : false, "suffix" : "" }, { "dropping-particle" : "", "family" : "Ao", "given" : "Y.", "non-dropping-particle" : "", "parse-names" : false, "suffix" : "" }, { "dropping-particle" : "", "family" : "Geschwind", "given" : "D. H.", "non-dropping-particle" : "", "parse-names" : false, "suffix" : "" }, { "dropping-particle" : "", "family" : "Khakh", "given" : "B. S.", "non-dropping-particle" : "", "parse-names" : false, "suffix" : "" }, { "dropping-particle" : "V.", "family" : "Sofroniew", "given" : "M.", "non-dropping-particle" : "", "parse-names" : false, "suffix" : "" } ], "container-title" : "Journal of Neuroscience", "id" : "ITEM-1", "issue" : "42", "issued" : { "date-parts" : [ [ "2012", "10", "17" ] ] }, "page" : "14489-14510", "publisher" : "Society for Neuroscience", "title" : "Inflammatory Mediators Alter the Astrocyte Transcriptome and Calcium Signaling Elicited by Multiple G-Protein-Coupled Receptors", "type" : "article-journal", "volume" : "32" }, "uris" : [ "http://www.mendeley.com/documents/?uuid=ce99c583-5374-3ff3-a603-633e90353b68" ] }, { "id" : "ITEM-2", "itemData" : { "DOI" : "10.1002/glia.20109", "ISSN" : "0894-1491", "PMID" : "15472994", "abstract" : "In the central nervous system (CNS), the cellular processes of astrocytes make intimate contact with essentially all areas of the brain. They have also been shown to be functionally coupled to neurons, oligodendrocytes, and other astrocytes via both contact-dependent and non-contact-dependent pathways. These observations have led to the suggestion that a major function of astrocytes in the CNS is to maintain the homeostatic environment, thus promoting the proper functioning of the neuronal network. Inflammation in the CNS disrupts this process either transiently or permanently and, as such, is thought to be tightly regulated by both astrocytes and microglia. The remarkable role that single cytokines, such as TNF and IL-1, may play in this process has now been well accepted, but the extent of the reprogramming of the transcriptional machinery initiated by these factors remains to be fully appreciated. With the advent of microarray technology, a more comprehensive analysis of this process is now available. In this report we review data obtained with this technology to provide an overview of the extent of changes induced in astrocytes by the cytokine IL-1.", "author" : [ { "dropping-particle" : "", "family" : "John", "given" : "Gareth R", "non-dropping-particle" : "", "parse-names" : false, "suffix" : "" }, { "dropping-particle" : "", "family" : "Lee", "given" : "Sunhee C", "non-dropping-particle" : "", "parse-names" : false, "suffix" : "" }, { "dropping-particle" : "", "family" : "Song", "given" : "Xianyuan", "non-dropping-particle" : "", "parse-names" : false, "suffix" : "" }, { "dropping-particle" : "", "family" : "Rivieccio", "given" : "Mark", "non-dropping-particle" : "", "parse-names" : false, "suffix" : "" }, { "dropping-particle" : "", "family" : "Brosnan", "given" : "Celia F", "non-dropping-particle" : "", "parse-names" : false, "suffix" : "" } ], "container-title" : "Glia", "id" : "ITEM-2", "issue" : "2", "issued" : { "date-parts" : [ [ "2005", "1", "15" ] ] }, "page" : "161-76", "title" : "IL-1-regulated responses in astrocytes: relevance to injury and recovery.", "type" : "article-journal", "volume" : "49" }, "uris" : [ "http://www.mendeley.com/documents/?uuid=07fdbae3-583d-32c0-82b1-853bc3d3a080" ] } ], "mendeley" : { "formattedCitation" : "(Hamby et al. 2012; John et al. 2005)", "plainTextFormattedCitation" : "(Hamby et al. 2012; John et al. 2005)", "previouslyFormattedCitation" : "(Hamby et al. 2012; John et al. 2005)" }, "properties" : { "noteIndex" : 0 }, "schema" : "https://github.com/citation-style-language/schema/raw/master/csl-citation.json" }</w:instrText>
      </w:r>
      <w:r w:rsidR="00A22A46">
        <w:rPr>
          <w:rFonts w:ascii="Times New Roman" w:hAnsi="Times New Roman" w:cs="Times New Roman"/>
        </w:rPr>
        <w:fldChar w:fldCharType="separate"/>
      </w:r>
      <w:r w:rsidR="00C148FC" w:rsidRPr="00C148FC">
        <w:rPr>
          <w:rFonts w:ascii="Times New Roman" w:hAnsi="Times New Roman" w:cs="Times New Roman"/>
          <w:noProof/>
        </w:rPr>
        <w:t>(Hamby et al. 2012; John et al. 2005)</w:t>
      </w:r>
      <w:r w:rsidR="00A22A46">
        <w:rPr>
          <w:rFonts w:ascii="Times New Roman" w:hAnsi="Times New Roman" w:cs="Times New Roman"/>
        </w:rPr>
        <w:fldChar w:fldCharType="end"/>
      </w:r>
      <w:r>
        <w:rPr>
          <w:rFonts w:ascii="Times New Roman" w:hAnsi="Times New Roman" w:cs="Times New Roman"/>
        </w:rPr>
        <w:t>, whereas mimicking stroke in the brain creates a more neuroprotec</w:t>
      </w:r>
      <w:r w:rsidR="004567C9">
        <w:rPr>
          <w:rFonts w:ascii="Times New Roman" w:hAnsi="Times New Roman" w:cs="Times New Roman"/>
        </w:rPr>
        <w:t xml:space="preserve">tive transcriptomic profile </w:t>
      </w:r>
      <w:r w:rsidR="004567C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"10.1523/JNEUROSCI.6221-11.2012", "ISSN" : "0270-6474", "author" : [ { "dropping-particle" : "", "family" : "Zamanian", "given" : "J. L.", "non-dropping-particle" : "", "parse-names" : false, "suffix" : "" }, { "dropping-particle" : "", "family" : "Xu", "given" : "L.", "non-dropping-particle" : "", "parse-names" : false, "suffix" : "" }, { "dropping-particle" : "", "family" : "Foo", "given" : "L. C.", "non-dropping-particle" : "", "parse-names" : false, "suffix" : "" }, { "dropping-particle" : "", "family" : "Nouri", "given" : "N.", "non-dropping-particle" : "", "parse-names" : false, "suffix" : "" }, { "dropping-particle" : "", "family" : "Zhou", "given" : "L.", "non-dropping-particle" : "", "parse-names" : false, "suffix" : "" }, { "dropping-particle" : "", "family" : "Giffard", "given" : "R. G.", "non-dropping-particle" : "", "parse-names" : false, "suffix" : "" }, { "dropping-particle" : "", "family" : "Barres", "given" : "B. A.", "non-dropping-particle" : "", "parse-names" : false, "suffix" : "" } ], "container-title" : "Journal of Neuroscience", "id" : "ITEM-1", "issue" : "18", "issued" : { "date-parts" : [ [ "2012", "5", "2" ] ] }, "page" : "6391-6410", "publisher" : "Society for Neuroscience", "title" : "Genomic Analysis of Reactive Astrogliosis", "type" : "article-journal", "volume" : "32" }, "uris" : [ "http://www.mendeley.com/documents/?uuid=3ccb988f-3ee1-3a93-9432-edbad38c5e2e" ] } ], "mendeley" : { "formattedCitation" : "(Zamanian et al. 2012)", "plainTextFormattedCitation" : "(Zamanian et al. 2012)", "previouslyFormattedCitation" : "(Zamanian et al. 2012)" }, "properties" : { "noteIndex" : 0 }, "schema" : "https://github.com/citation-style-language/schema/raw/master/csl-citation.json" }</w:instrText>
      </w:r>
      <w:r w:rsidR="004567C9">
        <w:rPr>
          <w:rFonts w:ascii="Times New Roman" w:hAnsi="Times New Roman" w:cs="Times New Roman"/>
        </w:rPr>
        <w:fldChar w:fldCharType="separate"/>
      </w:r>
      <w:r w:rsidR="00C148FC" w:rsidRPr="00C148FC">
        <w:rPr>
          <w:rFonts w:ascii="Times New Roman" w:hAnsi="Times New Roman" w:cs="Times New Roman"/>
          <w:noProof/>
        </w:rPr>
        <w:t>(Zamanian et al. 2012)</w:t>
      </w:r>
      <w:r w:rsidR="004567C9">
        <w:rPr>
          <w:rFonts w:ascii="Times New Roman" w:hAnsi="Times New Roman" w:cs="Times New Roman"/>
        </w:rPr>
        <w:fldChar w:fldCharType="end"/>
      </w:r>
      <w:r>
        <w:rPr>
          <w:rFonts w:ascii="Times New Roman" w:hAnsi="Times New Roman" w:cs="Times New Roman"/>
        </w:rPr>
        <w:t xml:space="preserve">. Astrocytes can respond to lesions or foreign matter in the brain by </w:t>
      </w:r>
      <w:r w:rsidR="00140647">
        <w:rPr>
          <w:rFonts w:ascii="Times New Roman" w:hAnsi="Times New Roman" w:cs="Times New Roman"/>
        </w:rPr>
        <w:t xml:space="preserve">becoming reactive and </w:t>
      </w:r>
      <w:r>
        <w:rPr>
          <w:rFonts w:ascii="Times New Roman" w:hAnsi="Times New Roman" w:cs="Times New Roman"/>
        </w:rPr>
        <w:t>forming a functional barrier</w:t>
      </w:r>
      <w:r w:rsidR="00947729">
        <w:rPr>
          <w:rFonts w:ascii="Times New Roman" w:hAnsi="Times New Roman" w:cs="Times New Roman"/>
        </w:rPr>
        <w:t xml:space="preserve"> called a glial scar</w:t>
      </w:r>
      <w:r>
        <w:rPr>
          <w:rFonts w:ascii="Times New Roman" w:hAnsi="Times New Roman" w:cs="Times New Roman"/>
        </w:rPr>
        <w:t>, which regulates entry of other inflammatory cells such as leukocyte or microglia.</w:t>
      </w:r>
      <w:r w:rsidR="00947729">
        <w:rPr>
          <w:rFonts w:ascii="Times New Roman" w:hAnsi="Times New Roman" w:cs="Times New Roman"/>
        </w:rPr>
        <w:t xml:space="preserve"> Loss of </w:t>
      </w:r>
      <w:r w:rsidR="00140647">
        <w:rPr>
          <w:rFonts w:ascii="Times New Roman" w:hAnsi="Times New Roman" w:cs="Times New Roman"/>
        </w:rPr>
        <w:t>astrocyte reactivity</w:t>
      </w:r>
      <w:r w:rsidR="00947729">
        <w:rPr>
          <w:rFonts w:ascii="Times New Roman" w:hAnsi="Times New Roman" w:cs="Times New Roman"/>
        </w:rPr>
        <w:t xml:space="preserve"> reduces scar formation and has been shown to exacerbate </w:t>
      </w:r>
      <w:r w:rsidR="00947729" w:rsidRPr="00FE14C1">
        <w:rPr>
          <w:rFonts w:ascii="Times New Roman" w:hAnsi="Times New Roman" w:cs="Times New Roman"/>
        </w:rPr>
        <w:t>inflammation</w:t>
      </w:r>
      <w:r w:rsidR="00347260" w:rsidRPr="00FE14C1">
        <w:rPr>
          <w:rFonts w:ascii="Times New Roman" w:hAnsi="Times New Roman" w:cs="Times New Roman"/>
        </w:rPr>
        <w:t xml:space="preserve"> </w:t>
      </w:r>
      <w:r w:rsidR="001C7712" w:rsidRPr="00FE14C1">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"10.1016/S0896-6273(00)80781-3", "ISSN" : "08966273", "author" : [ { "dropping-particle" : "", "family" : "Bush", "given" : "Toby G", "non-dropping-particle" : "", "parse-names" : false, "suffix" : "" }, { "dropping-particle" : "", "family" : "Puvanachandra", "given" : "Narman", "non-dropping-particle" : "", "parse-names" : false, "suffix" : "" }, { "dropping-particle" : "", "family" : "Horner", "given" : "Catherine H", "non-dropping-particle" : "", "parse-names" : false, "suffix" : "" }, { "dropping-particle" : "", "family" : "Polito", "given" : "Anabella", "non-dropping-particle" : "", "parse-names" : false, "suffix" : "" }, { "dropping-particle" : "", "family" : "Ostenfeld", "given" : "Thor", "non-dropping-particle" : "", "parse-names" : false, "suffix" : "" }, { "dropping-particle" : "", "family" : "Svendsen", "given" : "Clive N", "non-dropping-particle" : "", "parse-names" : false, "suffix" : "" }, { "dropping-particle" : "", "family" : "Mucke", "given" : "Lennart", "non-dropping-particle" : "", "parse-names" : false, "suffix" : "" }, { "dropping-particle" : "", "family" : "Johnson", "given" : "Martin H", "non-dropping-particle" : "", "parse-names" : false, "suffix" : "" }, { "dropping-particle" : "V", "family" : "Sofroniew", "given" : "Michael", "non-dropping-particle" : "", "parse-names" : false, "suffix" : "" }, { "dropping-particle" : "", "family" : "Acarin", "given" : "L", "non-dropping-particle" : "", "parse-names" : false, "suffix" : "" }, { "dropping-particle" : "", "family" : "Gonzalez", "given" : "B", "non-dropping-particle" : "", "parse-names" : false, "suffix" : "" }, { "dropping-particle" : "", "family" : "Castellano", "given" : "B", "non-dropping-particle" : "", "parse-names" : false, "suffix" : "" }, { "dropping-particle" : "", "family" : "Castro", "given" : "A.J", "non-dropping-particle" : "", "parse-names" : false, "suffix" : "" }, { "dropping-particle" : "", "family" : "Amat", "given" : "J.A", "non-dropping-particle" : "", "parse-names" : false, "suffix" : "" }, { "dropping-particle" : "", "family" : "Ishiguro", "given" : "H", "non-dropping-particle" : "", "parse-names" : false, "suffix" : "" }, { "dropping-particle" : "", "family" : "Nakamura", "given" : "K", "non-dropping-particle" : "", "parse-names" : false, "suffix" : "" }, { "dropping-particle" : "", "family" : "Norton", "given" : "W.T", "non-dropping-particle" : "", "parse-names" : false, "suffix" : "" }, { "dropping-particle" : "", "family" : "Andersson", "given" : "P.B", "non-dropping-particle" : "", "parse-names" : false, "suffix" : "" }, { "dropping-particle" : "", "family" : "Perry", "given" : "V.H", "non-dropping-particle" : "", "parse-names" : false, "suffix" : "" }, { "dropping-particle" : "", "family" : "Gordon", "given" : "S", "non-dropping-particle" : "", "parse-names" : false, "suffix" : "" }, { "dropping-particle" : "", "family" : "Banker", "given" : "G.A", "non-dropping-particle" : "", "parse-names" : false, "suffix" : "" }, { "dropping-particle" : "", "family" : "Blakemore", "given" : "W.F", "non-dropping-particle" : "", "parse-names" : false, "suffix" : "" }, { "dropping-particle" : "", "family" : "Crang", "given" : "A.J", "non-dropping-particle" : "", "parse-names" : false, "suffix" : "" }, { "dropping-particle" : "", "family" : "Borrelli", "given" : "E", "non-dropping-particle" : "", "parse-names" : false, "suffix" : "" }, { "dropping-particle" : "", "family" : "Heyman", "given" : "R.A", "non-dropping-particle" : "", "parse-names" : false, "suffix" : "" }, { "dropping-particle" : "", "family" : "Arias", "given" : "C", "non-dropping-particle" : "", "parse-names" : false, "suffix" : "" }, { "dropping-particle" : "", "family" : "Sawchenko", "given" : "P.E", "non-dropping-particle" : "", "parse-names" : false, "suffix" : "" }, { "dropping-particle" : "", "family" : "Evans", "given" : "R.M", "non-dropping-particle" : "", "parse-names" : false, "suffix" : "" }, { "dropping-particle" : "", "family" : "Brewster", "given" : "M.E", "non-dropping-particle" : "", "parse-names" : false, "suffix" : "" }, { "dropping-particle" : "", "family" : "Raghavan", "given" : "K", "non-dropping-particle" : "", "parse-names" : false, "suffix" : "" }, { "dropping-particle" : "", "family" : "Pop", "given" : "E", "non-dropping-particle" : "", "parse-names" : false, "suffix" : "" }, { "dropping-particle" : "", "family" : "Bodor", "given" : "N", "non-dropping-particle" : "", "parse-names" : false, "suffix" : "" }, { "dropping-particle" : "", "family" : "Brightman", "given" : "M.W", "non-dropping-particle" : "", "parse-names" : false, "suffix" : "" }, { "dropping-particle" : "", "family" : "Reese", "given" : "T.S", "non-dropping-particle" : "", "parse-names" : false, "suffix" : "" }, { "dropping-particle" : "", "family" : "Broadwell", "given" : "R.D", "non-dropping-particle" : "", "parse-names" : false, "suffix" : "" }, { "dropping-particle" : "", "family" : "Brightman", "given" : "M.W", "non-dropping-particle" : "", "parse-names" : false, "suffix" : "" }, { "dropping-particle" : "", "family" : "Broadwell", "given" : "R.D", "non-dropping-particle" : "", "parse-names" : false, "suffix" : "" }, { "dropping-particle" : "", "family" : "Sofroniew", "given" : "M.V", "non-dropping-particle" : "", "parse-names" : false, "suffix" : "" }, { "dropping-particle" : "", "family" : "Buchanan", "given" : "R.L", "non-dropping-particle" : "", "parse-names" : false, "suffix" : "" }, { "dropping-particle" : "", "family" : "Benzer", "given" : "S", "non-dropping-particle" : "", "parse-names" : false, "suffix" : "" }, { "dropping-particle" : "", "family" : "Budd", "given" : "S.L", "non-dropping-particle" : "", "parse-names" : false, "suffix" : "" }, { "dropping-particle" : "", "family" : "Lipton", "given" : "S.A", "non-dropping-particle" : "", "parse-names" : false, "suffix" : "" }, { "dropping-particle" : "", "family" : "Bush", "given" : "T.G", "non-dropping-particle" : "", "parse-names" : false, "suffix" : "" }, { "dropping-particle" : "", "family" : "Savidge", "given" : "T.C", "non-dropping-particle" : "", "parse-names" : false, "suffix" : "" }, { "dropping-particle" : "", "family" : "Freeman", "given" : "T.C", "non-dropping-particle" : "", "parse-names" : false, "suffix" : "" }, { "dropping-particle" : "", "family" : "Cox", "given" : "H.J", "non-dropping-particle" : "", "parse-names" : false, "suffix" : "" }, { "dropping-particle" : "", "family" : "Campbell", "given" : "E.A", "non-dropping-particle" : "", "parse-names" : false, "suffix" : "" }, { "dropping-particle" : "", "family" : "Mucke", "given" : "L", "non-dropping-particle" : "", "parse-names" : false, "suffix" : "" }, { "dropping-particle" : "", "family" : "Johnson", "given" : "M.H", "non-dropping-particle" : "", "parse-names" : false, "suffix" : "" }, { "dropping-particle" : "", "family" : "Sofroniew", "given" : "M.V", "non-dropping-particle" : "", "parse-names" : false, "suffix" : "" }, { "dropping-particle" : "", "family" : "Carson", "given" : "M.J", "non-dropping-particle" : "", "parse-names" : false, "suffix" : "" }, { "dropping-particle" : "", "family" : "Sutcliffe", "given" : "J.G", "non-dropping-particle" : "", "parse-names" : false, "suffix" : "" }, { "dropping-particle" : "", "family" : "Cheng", "given" : "Y.-C", "non-dropping-particle" : "", "parse-names" : false, "suffix" : "" }, { "dropping-particle" : "", "family" : "Huang", "given" : "E.-S", "non-dropping-particle" : "", "parse-names" : false, "suffix" : "" }, { "dropping-particle" : "", "family" : "Lin", "given" : "J.-C", "non-dropping-particle" : "", "parse-names" : false, "suffix" : "" }, { "dropping-particle" : "", "family" : "Mar", "given" : "E.-C", "non-dropping-particle" : "", "parse-names" : false, "suffix" : "" }, { "dropping-particle" : "", "family" : "Pagano", "given" : "J.S", "non-dropping-particle" : "", "parse-names" : false, "suffix" : "" }, { "dropping-particle" : "", "family" : "Dutschman", "given" : "G.E", "non-dropping-particle" : "", "parse-names" : false, "suffix" : "" }, { "dropping-particle" : "", "family" : "Grill", "given" : "S.P", "non-dropping-particle" : "", "parse-names" : false, "suffix" : "" }, { "dropping-particle" : "", "family" : "Choi", "given" : "D.W", "non-dropping-particle" : "", "parse-names" : false, "suffix" : "" }, { "dropping-particle" : "", "family" : "Davies", "given" : "S.J.A", "non-dropping-particle" : "", "parse-names" : false, "suffix" : "" }, { "dropping-particle" : "", "family" : "Fitch", "given" : "M.T", "non-dropping-particle" : "", "parse-names" : false, "suffix" : "" }, { "dropping-particle" : "", "family" : "Memberg", "given" : "S.P", "non-dropping-particle" : "", "parse-names" : false, "suffix" : "" }, { "dropping-particle" : "", "family" : "Hall", "given" : "A.K", "non-dropping-particle" : "", "parse-names" : false, "suffix" : "" }, { "dropping-particle" : "", "family" : "Raisman", "given" : "G", "non-dropping-particle" : "", "parse-names" : false, "suffix" : "" }, { "dropping-particle" : "", "family" : "Silver", "given" : "J", "non-dropping-particle" : "", "parse-names" : false, "suffix" : "" }, { "dropping-particle" : "", "family" : "Delaney", "given" : "C.L", "non-dropping-particle" : "", "parse-names" : false, "suffix" : "" }, { "dropping-particle" : "", "family" : "Brenner", "given" : "M", "non-dropping-particle" : "", "parse-names" : false, "suffix" : "" }, { "dropping-particle" : "", "family" : "Messing", "given" : "A", "non-dropping-particle" : "", "parse-names" : false, "suffix" : "" }, { "dropping-particle" : "", "family" : "Dowding", "given" : "A.J", "non-dropping-particle" : "", "parse-names" : false, "suffix" : "" }, { "dropping-particle" : "", "family" : "Scholes", "given" : "J", "non-dropping-particle" : "", "parse-names" : false, "suffix" : "" }, { "dropping-particle" : "", "family" : "Eddleston", "given" : "M", "non-dropping-particle" : "", "parse-names" : false, "suffix" : "" }, { "dropping-particle" : "", "family" : "Mucke", "given" : "L", "non-dropping-particle" : "", "parse-names" : false, "suffix" : "" }, { "dropping-particle" : "", "family" : "Faden", "given" : "A.I", "non-dropping-particle" : "", "parse-names" : false, "suffix" : "" }, { "dropping-particle" : "", "family" : "Demediuk", "given" : "P", "non-dropping-particle" : "", "parse-names" : false, "suffix" : "" }, { "dropping-particle" : "", "family" : "Panter", "given" : "S Scott", "non-dropping-particle" : "", "parse-names" : false, "suffix" : "" }, { "dropping-particle" : "", "family" : "Vink", "given" : "R", "non-dropping-particle" : "", "parse-names" : false, "suffix" : "" }, { "dropping-particle" : "", "family" : "Fawcett", "given" : "J.W", "non-dropping-particle" : "", "parse-names" : false, "suffix" : "" }, { "dropping-particle" : "", "family" : "Housden", "given" : "E", "non-dropping-particle" : "", "parse-names" : false, "suffix" : "" }, { "dropping-particle" : "", "family" : "Smith-Thomas", "given" : "L", "non-dropping-particle" : "", "parse-names" : false, "suffix" : "" }, { "dropping-particle" : "", "family" : "Meyer", "given" : "R.L", "non-dropping-particle" : "", "parse-names" : false, "suffix" : "" }, { "dropping-particle" : "", "family" : "Frank", "given" : "K.B", "non-dropping-particle" : "", "parse-names" : false, "suffix" : "" }, { "dropping-particle" : "", "family" : "Chiou", "given" : "J.-F", "non-dropping-particle" : "", "parse-names" : false, "suffix" : "" }, { "dropping-particle" : "", "family" : "Cheng", "given" : "Y.-C", "non-dropping-particle" : "", "parse-names" : false, "suffix" : "" }, { "dropping-particle" : "", "family" : "Gage", "given" : "F.H", "non-dropping-particle" : "", "parse-names" : false, "suffix" : "" }, { "dropping-particle" : "", "family" : "Olejniczak", "given" : "P", "non-dropping-particle" : "", "parse-names" : false, "suffix" : "" }, { "dropping-particle" : "", "family" : "Armstrong", "given" : "D.M", "non-dropping-particle" : "", "parse-names" : false, "suffix" : "" }, { "dropping-particle" : "", "family" : "Grumet", "given" : "M", "non-dropping-particle" : "", "parse-names" : false, "suffix" : "" }, { "dropping-particle" : "", "family" : "Flaccus", "given" : "A", "non-dropping-particle" : "", "parse-names" : false, "suffix" : "" }, { "dropping-particle" : "", "family" : "Margolis", "given" : "R.U", "non-dropping-particle" : "", "parse-names" : false, "suffix" : "" }, { "dropping-particle" : "", "family" : "Gundersen", "given" : "H.J.G", "non-dropping-particle" : "", "parse-names" : false, "suffix" : "" }, { "dropping-particle" : "", "family" : "Bendtsen", "given" : "T.F", "non-dropping-particle" : "", "parse-names" : false, "suffix" : "" }, { "dropping-particle" : "", "family" : "Korbo", "given" : "L", "non-dropping-particle" : "", "parse-names" : false, "suffix" : "" }, { "dropping-particle" : "", "family" : "Marcussen", "given" : "N", "non-dropping-particle" : "", "parse-names" : false, "suffix" : "" }, { "dropping-particle" : "", "family" : "Moller", "given" : "A", "non-dropping-particle" : "", "parse-names" : false, "suffix" : "" }, { "dropping-particle" : "", "family" : "Nielsen", "given" : "K", "non-dropping-particle" : "", "parse-names" : false, "suffix" : "" }, { "dropping-particle" : "", "family" : "Nyengaard", "given" : "J.R", "non-dropping-particle" : "", "parse-names" : false, "suffix" : "" }, { "dropping-particle" : "", "family" : "Pakkenberg", "given" : "B", "non-dropping-particle" : "", "parse-names" : false, "suffix" : "" }, { "dropping-particle" : "", "family" : "Sorensen", "given" : "F.B", "non-dropping-particle" : "", "parse-names" : false, "suffix" : "" }, { "dropping-particle" : "", "family" : "Vesterby", "given" : "A", "non-dropping-particle" : "", "parse-names" : false, "suffix" : "" }, { "dropping-particle" : "", "family" : "West", "given" : "M.J", "non-dropping-particle" : "", "parse-names" : false, "suffix" : "" }, { "dropping-particle" : "", "family" : "Hatten", "given" : "M.E", "non-dropping-particle" : "", "parse-names" : false, "suffix" : "" }, { "dropping-particle" : "", "family" : "Liem", "given" : "R.K.H", "non-dropping-particle" : "", "parse-names" : false, "suffix" : "" }, { "dropping-particle" : "", "family" : "Shwlanski", "given" : "M.L", "non-dropping-particle" : "", "parse-names" : false, "suffix" : "" }, { "dropping-particle" : "", "family" : "Mason", "given" : "S.A", "non-dropping-particle" : "", "parse-names" : false, "suffix" : "" }, { "dropping-particle" : "", "family" : "Heyman", "given" : "R.A", "non-dropping-particle" : "", "parse-names" : false, "suffix" : "" }, { "dropping-particle" : "", "family" : "Borrelli", "given" : "E", "non-dropping-particle" : "", "parse-names" : false, "suffix" : "" }, { "dropping-particle" : "", "family" : "Lesley", "given" : "J", "non-dropping-particle" : "", "parse-names" : false, "suffix" : "" }, { "dropping-particle" : "", "family" : "Anderson", "given" : "D", "non-dropping-particle" : "", "parse-names" : false, "suffix" : "" }, { "dropping-particle" : "", "family" : "Richman", "given" : "D.D", "non-dropping-particle" : "", "parse-names" : false, "suffix" : "" }, { "dropping-particle" : "", "family" : "Baird", "given" : "S.M", "non-dropping-particle" : "", "parse-names" : false, "suffix" : "" }, { "dropping-particle" : "", "family" : "Hirschberg", "given" : "D.L", "non-dropping-particle" : "", "parse-names" : false, "suffix" : "" }, { "dropping-particle" : "", "family" : "Schwartz", "given" : "M", "non-dropping-particle" : "", "parse-names" : false, "suffix" : "" }, { "dropping-particle" : "", "family" : "Holash", "given" : "J.A", "non-dropping-particle" : "", "parse-names" : false, "suffix" : "" }, { "dropping-particle" : "", "family" : "Noden", "given" : "D.M", "non-dropping-particle" : "", "parse-names" : false, "suffix" : "" }, { "dropping-particle" : "", "family" : "Stewart", "given" : "P.A", "non-dropping-particle" : "", "parse-names" : false, "suffix" : "" }, { "dropping-particle" : "", "family" : "Hurst", "given" : "R.D", "non-dropping-particle" : "", "parse-names" : false, "suffix" : "" }, { "dropping-particle" : "", "family" : "Fritz", "given" : "I.B", "non-dropping-particle" : "", "parse-names" : false, "suffix" : "" }, { "dropping-particle" : "", "family" : "Janzer", "given" : "R.C", "non-dropping-particle" : "", "parse-names" : false, "suffix" : "" }, { "dropping-particle" : "", "family" : "Raff", "given" : "M.C", "non-dropping-particle" : "", "parse-names" : false, "suffix" : "" }, { "dropping-particle" : "", "family" : "Kawaja", "given" : "M.D", "non-dropping-particle" : "", "parse-names" : false, "suffix" : "" }, { "dropping-particle" : "", "family" : "Gage", "given" : "F.H", "non-dropping-particle" : "", "parse-names" : false, "suffix" : "" }, { "dropping-particle" : "", "family" : "Kettenmann", "given" : "H", "non-dropping-particle" : "", "parse-names" : false, "suffix" : "" }, { "dropping-particle" : "", "family" : "Ransom", "given" : "B.R", "non-dropping-particle" : "", "parse-names" : false, "suffix" : "" }, { "dropping-particle" : "", "family" : "Klatzo", "given" : "I", "non-dropping-particle" : "", "parse-names" : false, "suffix" : "" }, { "dropping-particle" : "", "family" : "Krum", "given" : "J.M", "non-dropping-particle" : "", "parse-names" : false, "suffix" : "" }, { "dropping-particle" : "", "family" : "Largo", "given" : "C", "non-dropping-particle" : "", "parse-names" : false, "suffix" : "" }, { "dropping-particle" : "", "family" : "Cuevas", "given" : "P", "non-dropping-particle" : "", "parse-names" : false, "suffix" : "" }, { "dropping-particle" : "", "family" : "Somjen", "given" : "G.G", "non-dropping-particle" : "", "parse-names" : false, "suffix" : "" }, { "dropping-particle" : "del", "family" : "Rio", "given" : "R Martin", "non-dropping-particle" : "", "parse-names" : false, "suffix" : "" }, { "dropping-particle" : "", "family" : "Herreras", "given" : "O", "non-dropping-particle" : "", "parse-names" : false, "suffix" : "" }, { "dropping-particle" : "", "family" : "Larner", "given" : "A.J", "non-dropping-particle" : "", "parse-names" : false, "suffix" : "" }, { "dropping-particle" : "", "family" : "Johnson", "given" : "A.R", "non-dropping-particle" : "", "parse-names" : false, "suffix" : "" }, { "dropping-particle" : "", "family" : "Keynes", "given" : "R.J", "non-dropping-particle" : "", "parse-names" : false, "suffix" : "" }, { "dropping-particle" : "", "family" : "Lin", "given" : "J.H.-C", "non-dropping-particle" : "", "parse-names" : false, "suffix" : "" }, { "dropping-particle" : "", "family" : "Weigel", "given" : "H", "non-dropping-particle" : "", "parse-names" : false, "suffix" : "" }, { "dropping-particle" : "", "family" : "Cotrina", "given" : "M.L", "non-dropping-particle" : "", "parse-names" : false, "suffix" : "" }, { "dropping-particle" : "", "family" : "Liu", "given" : "S", "non-dropping-particle" : "", "parse-names" : false, "suffix" : "" }, { "dropping-particle" : "", "family" : "Bueno", "given" : "E", "non-dropping-particle" : "", "parse-names" : false, "suffix" : "" }, { "dropping-particle" : "", "family" : "Hansen", "given" : "A.J", "non-dropping-particle" : "", "parse-names" : false, "suffix" : "" }, { "dropping-particle" : "", "family" : "Hansen", "given" : "T.W", "non-dropping-particle" : "", "parse-names" : false, "suffix" : "" }, { "dropping-particle" : "", "family" : "Goldman", "given" : "S", "non-dropping-particle" : "", "parse-names" : false, "suffix" : "" }, { "dropping-particle" : "", "family" : "Nedergaard", "given" : "M", "non-dropping-particle" : "", "parse-names" : false, "suffix" : "" }, { "dropping-particle" : "", "family" : "Liuzzi", "given" : "F.J", "non-dropping-particle" : "", "parse-names" : false, "suffix" : "" }, { "dropping-particle" : "", "family" : "Lasek", "given" : "R.J", "non-dropping-particle" : "", "parse-names" : false, "suffix" : "" }, { "dropping-particle" : "", "family" : "Perry", "given" : "V.H", "non-dropping-particle" : "", "parse-names" : false, "suffix" : "" }, { "dropping-particle" : "", "family" : "Andersson", "given" : "P.B", "non-dropping-particle" : "", "parse-names" : false, "suffix" : "" }, { "dropping-particle" : "", "family" : "Gordon", "given" : "S", "non-dropping-particle" : "", "parse-names" : false, "suffix" : "" }, { "dropping-particle" : "", "family" : "Raivich", "given" : "G", "non-dropping-particle" : "", "parse-names" : false, "suffix" : "" }, { "dropping-particle" : "", "family" : "Jones", "given" : "L.L", "non-dropping-particle" : "", "parse-names" : false, "suffix" : "" }, { "dropping-particle" : "", "family" : "Kloss", "given" : "C.U.A", "non-dropping-particle" : "", "parse-names" : false, "suffix" : "" }, { "dropping-particle" : "", "family" : "Werner", "given" : "A", "non-dropping-particle" : "", "parse-names" : false, "suffix" : "" }, { "dropping-particle" : "", "family" : "Neumann", "given" : "H", "non-dropping-particle" : "", "parse-names" : false, "suffix" : "" }, { "dropping-particle" : "", "family" : "Kreutzberg", "given" : "G.W", "non-dropping-particle" : "", "parse-names" : false, "suffix" : "" }, { "dropping-particle" : "", "family" : "Ransohoff", "given" : "R.M", "non-dropping-particle" : "", "parse-names" : false, "suffix" : "" }, { "dropping-particle" : "", "family" : "Tani", "given" : "M", "non-dropping-particle" : "", "parse-names" : false, "suffix" : "" }, { "dropping-particle" : "", "family" : "Reier", "given" : "P.J", "non-dropping-particle" : "", "parse-names" : false, "suffix" : "" }, { "dropping-particle" : "", "family" : "Stensaas", "given" : "L.J", "non-dropping-particle" : "", "parse-names" : false, "suffix" : "" }, { "dropping-particle" : "", "family" : "Guth", "given" : "J", "non-dropping-particle" : "", "parse-names" : false, "suffix" : "" }, { "dropping-particle" : "", "family" : "Ridet", "given" : "J.L", "non-dropping-particle" : "", "parse-names" : false, "suffix" : "" }, { "dropping-particle" : "", "family" : "Malhotra", "given" : "S.K", "non-dropping-particle" : "", "parse-names" : false, "suffix" : "" }, { "dropping-particle" : "", "family" : "Privat", "given" : "A", "non-dropping-particle" : "", "parse-names" : false, "suffix" : "" }, { "dropping-particle" : "", "family" : "Gage", "given" : "F.H", "non-dropping-particle" : "", "parse-names" : false, "suffix" : "" }, { "dropping-particle" : "", "family" : "Riva-Depaty", "given" : "I", "non-dropping-particle" : "", "parse-names" : false, "suffix" : "" }, { "dropping-particle" : "", "family" : "Fardeau", "given" : "C", "non-dropping-particle" : "", "parse-names" : false, "suffix" : "" }, { "dropping-particle" : "", "family" : "Mariani", "given" : "J", "non-dropping-particle" : "", "parse-names" : false, "suffix" : "" }, { "dropping-particle" : "", "family" : "Bouchaud", "given" : "C", "non-dropping-particle" : "", "parse-names" : false, "suffix" : "" }, { "dropping-particle" : "", "family" : "Delhaye", "given" : "B.N", "non-dropping-particle" : "", "parse-names" : false, "suffix" : "" }, { "dropping-particle" : "", "family" : "Rothstein", "given" : "J.D", "non-dropping-particle" : "", "parse-names" : false, "suffix" : "" }, { "dropping-particle" : "", "family" : "Dykes-Hoberg", "given" : "M", "non-dropping-particle" : "", "parse-names" : false, "suffix" : "" }, { "dropping-particle" : "", "family" : "Pardo", "given" : "C.A", "non-dropping-particle" : "", "parse-names" : false, "suffix" : "" }, { "dropping-particle" : "", "family" : "Bristol", "given" : "L.A", "non-dropping-particle" : "", "parse-names" : false, "suffix" : "" }, { "dropping-particle" : "", "family" : "Jin", "given" : "L", "non-dropping-particle" : "", "parse-names" : false, "suffix" : "" }, { "dropping-particle" : "", "family" : "Kunci", "given" : "R.W", "non-dropping-particle" : "", "parse-names" : false, "suffix" : "" }, { "dropping-particle" : "", "family" : "Kanai", "given" : "Y", "non-dropping-particle" : "", "parse-names" : false, "suffix" : "" }, { "dropping-particle" : "", "family" : "Hediger", "given" : "M.A", "non-dropping-particle" : "", "parse-names" : false, "suffix" : "" }, { "dropping-particle" : "", "family" : "Wang", "given" : "Y", "non-dropping-particle" : "", "parse-names" : false, "suffix" : "" }, { "dropping-particle" : "", "family" : "Schielke", "given" : "J.P", "non-dropping-particle" : "", "parse-names" : false, "suffix" : "" }, { "dropping-particle" : "", "family" : "Welty", "given" : "D.F", "non-dropping-particle" : "", "parse-names" : false, "suffix" : "" }, { "dropping-particle" : "", "family" : "Rubbin", "given" : "L.L", "non-dropping-particle" : "", "parse-names" : false, "suffix" : "" }, { "dropping-particle" : "", "family" : "Staddon", "given" : "J.M", "non-dropping-particle" : "", "parse-names" : false, "suffix" : "" }, { "dropping-particle" : "", "family" : "Rudge", "given" : "J.S", "non-dropping-particle" : "", "parse-names" : false, "suffix" : "" }, { "dropping-particle" : "", "family" : "Silver", "given" : "J", "non-dropping-particle" : "", "parse-names" : false, "suffix" : "" }, { "dropping-particle" : "", "family" : "Springer", "given" : "T.A", "non-dropping-particle" : "", "parse-names" : false, "suffix" : "" }, { "dropping-particle" : "", "family" : "Stewart", "given" : "P.A", "non-dropping-particle" : "", "parse-names" : false, "suffix" : "" }, { "dropping-particle" : "", "family" : "Wiley", "given" : "M.J", "non-dropping-particle" : "", "parse-names" : false, "suffix" : "" }, { "dropping-particle" : "", "family" : "Streit", "given" : "W.J", "non-dropping-particle" : "", "parse-names" : false, "suffix" : "" }, { "dropping-particle" : "", "family" : "Kreutzberg", "given" : "G.W", "non-dropping-particle" : "", "parse-names" : false, "suffix" : "" }, { "dropping-particle" : "", "family" : "Toggas", "given" : "S.M", "non-dropping-particle" : "", "parse-names" : false, "suffix" : "" }, { "dropping-particle" : "", "family" : "Masliah", "given" : "E", "non-dropping-particle" : "", "parse-names" : false, "suffix" : "" }, { "dropping-particle" : "", "family" : "Mucke", "given" : "L", "non-dropping-particle" : "", "parse-names" : false, "suffix" : "" }, { "dropping-particle" : "", "family" : "Tsacppoulos", "given" : "M", "non-dropping-particle" : "", "parse-names" : false, "suffix" : "" }, { "dropping-particle" : "", "family" : "Magistretti", "given" : "P.J", "non-dropping-particle" : "", "parse-names" : false, "suffix" : "" }, { "dropping-particle" : "", "family" : "Veronesi", "given" : "B", "non-dropping-particle" : "", "parse-names" : false, "suffix" : "" }, { "dropping-particle" : "", "family" : "Wallace", "given" : "H", "non-dropping-particle" : "", "parse-names" : false, "suffix" : "" }, { "dropping-particle" : "", "family" : "Ledent", "given" : "C", "non-dropping-particle" : "", "parse-names" : false, "suffix" : "" }, { "dropping-particle" : "", "family" : "Vassart", "given" : "G", "non-dropping-particle" : "", "parse-names" : false, "suffix" : "" }, { "dropping-particle" : "", "family" : "Bishop", "given" : "J.O", "non-dropping-particle" : "", "parse-names" : false, "suffix" : "" }, { "dropping-particle" : "", "family" : "Al-Shawi", "given" : "R", "non-dropping-particle" : "", "parse-names" : false, "suffix" : "" } ], "container-title" : "Neuron", "id" : "ITEM-1", "issue" : "2", "issued" : { "date-parts" : [ [ "1999", "6" ] ] }, "page" : "297-308", "publisher" : "Elsevier", "title" : "Leukocyte Infiltration, Neuronal Degeneration, and Neurite Outgrowth after Ablation of Scar-Forming, Reactive Astrocytes in Adult Transgenic Mice", "type" : "article-journal", "volume" : "23" }, "uris" : [ "http://www.mendeley.com/documents/?uuid=d6b1b2a1-b10f-3679-9932-b92a3e583475" ] } ], "mendeley" : { "formattedCitation" : "(Bush et al. 1999)", "plainTextFormattedCitation" : "(Bush et al. 1999)", "previouslyFormattedCitation" : "(Bush et al. 1999)" }, "properties" : { "noteIndex" : 0 }, "schema" : "https://github.com/citation-style-language/schema/raw/master/csl-citation.json" }</w:instrText>
      </w:r>
      <w:r w:rsidR="001C7712" w:rsidRPr="00FE14C1">
        <w:rPr>
          <w:rFonts w:ascii="Times New Roman" w:hAnsi="Times New Roman" w:cs="Times New Roman"/>
        </w:rPr>
        <w:fldChar w:fldCharType="separate"/>
      </w:r>
      <w:r w:rsidR="00C148FC" w:rsidRPr="00C148FC">
        <w:rPr>
          <w:rFonts w:ascii="Times New Roman" w:hAnsi="Times New Roman" w:cs="Times New Roman"/>
          <w:noProof/>
        </w:rPr>
        <w:t>(Bush et al. 1999)</w:t>
      </w:r>
      <w:r w:rsidR="001C7712" w:rsidRPr="00FE14C1">
        <w:rPr>
          <w:rFonts w:ascii="Times New Roman" w:hAnsi="Times New Roman" w:cs="Times New Roman"/>
        </w:rPr>
        <w:fldChar w:fldCharType="end"/>
      </w:r>
      <w:r w:rsidR="00947729" w:rsidRPr="00FE14C1">
        <w:rPr>
          <w:rFonts w:ascii="Times New Roman" w:hAnsi="Times New Roman" w:cs="Times New Roman"/>
        </w:rPr>
        <w:t>.</w:t>
      </w:r>
      <w:r>
        <w:rPr>
          <w:rFonts w:ascii="Times New Roman" w:hAnsi="Times New Roman" w:cs="Times New Roman"/>
        </w:rPr>
        <w:t xml:space="preserve"> </w:t>
      </w:r>
      <w:r w:rsidR="0017397B">
        <w:rPr>
          <w:rFonts w:ascii="Times New Roman" w:hAnsi="Times New Roman" w:cs="Times New Roman"/>
        </w:rPr>
        <w:t xml:space="preserve">Astrocytes </w:t>
      </w:r>
      <w:r w:rsidR="00947729">
        <w:rPr>
          <w:rFonts w:ascii="Times New Roman" w:hAnsi="Times New Roman" w:cs="Times New Roman"/>
        </w:rPr>
        <w:t xml:space="preserve">are able to </w:t>
      </w:r>
      <w:r w:rsidR="0017397B">
        <w:rPr>
          <w:rFonts w:ascii="Times New Roman" w:hAnsi="Times New Roman" w:cs="Times New Roman"/>
        </w:rPr>
        <w:t xml:space="preserve">regulate BBB permeability and thereby control movement of leukocytes into the CNS. For example, stimulation of astrocytes with IL1β, increases </w:t>
      </w:r>
      <w:r w:rsidR="00105F23">
        <w:rPr>
          <w:rFonts w:ascii="Times New Roman" w:hAnsi="Times New Roman" w:cs="Times New Roman"/>
        </w:rPr>
        <w:t>vascular endothelial growth factor (</w:t>
      </w:r>
      <w:r w:rsidR="0017397B">
        <w:rPr>
          <w:rFonts w:ascii="Times New Roman" w:hAnsi="Times New Roman" w:cs="Times New Roman"/>
        </w:rPr>
        <w:t>VEGF</w:t>
      </w:r>
      <w:r w:rsidR="00105F23">
        <w:rPr>
          <w:rFonts w:ascii="Times New Roman" w:hAnsi="Times New Roman" w:cs="Times New Roman"/>
        </w:rPr>
        <w:t>)</w:t>
      </w:r>
      <w:r w:rsidR="0017397B">
        <w:rPr>
          <w:rFonts w:ascii="Times New Roman" w:hAnsi="Times New Roman" w:cs="Times New Roman"/>
        </w:rPr>
        <w:t xml:space="preserve"> production causing disruption of BBB a</w:t>
      </w:r>
      <w:r w:rsidR="00947729">
        <w:rPr>
          <w:rFonts w:ascii="Times New Roman" w:hAnsi="Times New Roman" w:cs="Times New Roman"/>
        </w:rPr>
        <w:t>nd e</w:t>
      </w:r>
      <w:r w:rsidR="00045434">
        <w:rPr>
          <w:rFonts w:ascii="Times New Roman" w:hAnsi="Times New Roman" w:cs="Times New Roman"/>
        </w:rPr>
        <w:t xml:space="preserve">xtravasation of leukocytes </w:t>
      </w:r>
      <w:r w:rsidR="00045434" w:rsidRPr="00E231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"10.1172/JCI60842", "ISSN" : "1558-8238", "PMID" : "22653056", "abstract" : "In inflammatory CNS conditions such as multiple sclerosis (MS), current options to treat clinical relapse are limited, and more selective agents are needed. Disruption of the blood-brain barrier (BBB) is an early feature of lesion formation that correlates with clinical exacerbation, leading to edema, excitotoxicity, and entry of serum proteins and inflammatory cells. Here, we identify astrocytic expression of VEGF-A as a key driver of BBB permeability in mice. Inactivation of astrocytic Vegfa expression reduced BBB breakdown, decreased lymphocyte infiltration and neuropathology in inflammatory and demyelinating lesions, and reduced paralysis in a mouse model of MS. Knockdown studies in CNS endothelium indicated activation of the downstream effector eNOS as the principal mechanism underlying the effects of VEGF-A on the BBB. Systemic administration of the selective eNOS inhibitor cavtratin in mice abrogated VEGF-A-induced BBB disruption and pathology and protected against neurologic deficit in the MS model system. Collectively, these data identify blockade of VEGF-A signaling as a protective strategy to treat inflammatory CNS disease.", "author" : [ { "dropping-particle" : "", "family" : "Argaw", "given" : "Azeb Tadesse", "non-dropping-particle" : "", "parse-names" : false, "suffix" : "" }, { "dropping-particle" : "", "family" : "Asp", "given" : "Linnea", "non-dropping-particle" : "", "parse-names" : false, "suffix" : "" }, { "dropping-particle" : "", "family" : "Zhang", "given" : "Jingya", "non-dropping-particle" : "", "parse-names" : false, "suffix" : "" }, { "dropping-particle" : "", "family" : "Navrazhina", "given" : "Kristina", "non-dropping-particle" : "", "parse-names" : false, "suffix" : "" }, { "dropping-particle" : "", "family" : "Pham", "given" : "Trinh", "non-dropping-particle" : "", "parse-names" : false, "suffix" : "" }, { "dropping-particle" : "", "family" : "Mariani", "given" : "John N", "non-dropping-particle" : "", "parse-names" : false, "suffix" : "" }, { "dropping-particle" : "", "family" : "Mahase", "given" : "Sean", "non-dropping-particle" : "", "parse-names" : false, "suffix" : "" }, { "dropping-particle" : "", "family" : "Dutta", "given" : "Dipankar J", "non-dropping-particle" : "", "parse-names" : false, "suffix" : "" }, { "dropping-particle" : "", "family" : "Seto", "given" : "Jeremy", "non-dropping-particle" : "", "parse-names" : false, "suffix" : "" }, { "dropping-particle" : "", "family" : "Kramer", "given" : "Elisabeth G", "non-dropping-particle" : "", "parse-names" : false, "suffix" : "" }, { "dropping-particle" : "", "family" : "Ferrara", "given" : "Napoleone", "non-dropping-particle" : "", "parse-names" : false, "suffix" : "" }, { "dropping-particle" : "V", "family" : "Sofroniew", "given" : "Michael", "non-dropping-particle" : "", "parse-names" : false, "suffix" : "" }, { "dropping-particle" : "", "family" : "John", "given" : "Gareth R", "non-dropping-particle" : "", "parse-names" : false, "suffix" : "" } ], "container-title" : "The Journal of clinical investigation", "id" : "ITEM-1", "issue" : "7", "issued" : { "date-parts" : [ [ "2012", "7" ] ] }, "page" : "2454-68", "title" : "Astrocyte-derived VEGF-A drives blood-brain barrier disruption in CNS inflammatory disease.", "type" : "article-journal", "volume" : "122" }, "uris" : [ "http://www.mendeley.com/documents/?uuid=8628484c-7b7d-3077-9139-03efadc6b534" ] } ], "mendeley" : { "formattedCitation" : "(Argaw et al. 2012)", "plainTextFormattedCitation" : "(Argaw et al. 2012)", "previouslyFormattedCitation" : "(Argaw et al. 2012)" }, "properties" : { "noteIndex" : 0 }, "schema" : "https://github.com/citation-style-language/schema/raw/master/csl-citation.json" }</w:instrText>
      </w:r>
      <w:r w:rsidR="00045434" w:rsidRPr="00E23102">
        <w:rPr>
          <w:rFonts w:ascii="Times New Roman" w:hAnsi="Times New Roman" w:cs="Times New Roman"/>
        </w:rPr>
        <w:fldChar w:fldCharType="separate"/>
      </w:r>
      <w:r w:rsidR="00C148FC" w:rsidRPr="00C148FC">
        <w:rPr>
          <w:rFonts w:ascii="Times New Roman" w:hAnsi="Times New Roman" w:cs="Times New Roman"/>
          <w:noProof/>
        </w:rPr>
        <w:t>(Argaw et al. 2012)</w:t>
      </w:r>
      <w:r w:rsidR="00045434" w:rsidRPr="00E23102">
        <w:rPr>
          <w:rFonts w:ascii="Times New Roman" w:hAnsi="Times New Roman" w:cs="Times New Roman"/>
        </w:rPr>
        <w:fldChar w:fldCharType="end"/>
      </w:r>
      <w:r w:rsidR="00947729">
        <w:rPr>
          <w:rFonts w:ascii="Times New Roman" w:hAnsi="Times New Roman" w:cs="Times New Roman"/>
        </w:rPr>
        <w:t>. Alternatively, secretion of sonic hedgehog (SHH) can promote repair of BBB and reduce</w:t>
      </w:r>
      <w:r w:rsidR="00874657">
        <w:rPr>
          <w:rFonts w:ascii="Times New Roman" w:hAnsi="Times New Roman" w:cs="Times New Roman"/>
        </w:rPr>
        <w:t xml:space="preserve"> the</w:t>
      </w:r>
      <w:r w:rsidR="00947729">
        <w:rPr>
          <w:rFonts w:ascii="Times New Roman" w:hAnsi="Times New Roman" w:cs="Times New Roman"/>
        </w:rPr>
        <w:t xml:space="preserve"> inflammatory </w:t>
      </w:r>
      <w:r w:rsidR="00947729" w:rsidRPr="00246A5F">
        <w:rPr>
          <w:rFonts w:ascii="Times New Roman" w:hAnsi="Times New Roman" w:cs="Times New Roman"/>
        </w:rPr>
        <w:t>response</w:t>
      </w:r>
      <w:r w:rsidR="00246A5F">
        <w:rPr>
          <w:rFonts w:ascii="Times New Roman" w:hAnsi="Times New Roman" w:cs="Times New Roman"/>
        </w:rPr>
        <w:t xml:space="preserve"> </w:t>
      </w:r>
      <w:r w:rsidR="00246A5F" w:rsidRPr="003908A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"10.1126/science.1206936", "ISSN" : "1095-9203", "PMID" : "22144466", "abstract" : "The blood-brain barrier (BBB) is composed of tightly bound endothelial cells (ECs) and perivascular astrocytes that regulate central nervous system (CNS) homeostasis. We showed that astrocytes secrete Sonic hedgehog and that BBB ECs express Hedgehog (Hh) receptors, which together promote BBB formation and integrity during embryonic development and adulthood. Using pharmacological inhibition and genetic inactivation of the Hh signaling pathway in ECs, we also demonstrated a critical role of the Hh pathway in promoting the immune quiescence of BBB ECs by decreasing the expression of proinflammatory mediators and the adhesion and migration of leukocytes, in vivo and in vitro. Overall, the Hh pathway provides a barrier-promoting effect and an endogenous anti-inflammatory balance to CNS-directed immune attacks, as occurs in multiple sclerosis.", "author" : [ { "dropping-particle" : "", "family" : "Alvarez", "given" : "Jorge Ivan", "non-dropping-particle" : "", "parse-names" : false, "suffix" : "" }, { "dropping-particle" : "", "family" : "Dodelet-Devillers", "given" : "Aurore", "non-dropping-particle" : "", "parse-names" : false, "suffix" : "" }, { "dropping-particle" : "", "family" : "Kebir", "given" : "Hania", "non-dropping-particle" : "", "parse-names" : false, "suffix" : "" }, { "dropping-particle" : "", "family" : "Ifergan", "given" : "Igal", "non-dropping-particle" : "", "parse-names" : false, "suffix" : "" }, { "dropping-particle" : "", "family" : "Fabre", "given" : "Pierre J", "non-dropping-particle" : "", "parse-names" : false, "suffix" : "" }, { "dropping-particle" : "", "family" : "Terouz", "given" : "Simone", "non-dropping-particle" : "", "parse-names" : false, "suffix" : "" }, { "dropping-particle" : "", "family" : "Sabbagh", "given" : "Mike", "non-dropping-particle" : "", "parse-names" : false, "suffix" : "" }, { "dropping-particle" : "", "family" : "Wosik", "given" : "Karolina", "non-dropping-particle" : "", "parse-names" : false, "suffix" : "" }, { "dropping-particle" : "", "family" : "Bourbonni\u00e8re", "given" : "Lyne", "non-dropping-particle" : "", "parse-names" : false, "suffix" : "" }, { "dropping-particle" : "", "family" : "Bernard", "given" : "Monique", "non-dropping-particle" : "", "parse-names" : false, "suffix" : "" }, { "dropping-particle" : "", "family" : "Horssen", "given" : "Jack", "non-dropping-particle" : "van", "parse-names" : false, "suffix" : "" }, { "dropping-particle" : "", "family" : "Vries", "given" : "Helga E", "non-dropping-particle" : "de", "parse-names" : false, "suffix" : "" }, { "dropping-particle" : "", "family" : "Charron", "given" : "Fr\u00e9d\u00e9ric", "non-dropping-particle" : "", "parse-names" : false, "suffix" : "" }, { "dropping-particle" : "", "family" : "Prat", "given" : "Alexandre", "non-dropping-particle" : "", "parse-names" : false, "suffix" : "" } ], "container-title" : "Science (New York, N.Y.)", "id" : "ITEM-1", "issue" : "6063", "issued" : { "date-parts" : [ [ "2011", "12", "23" ] ] }, "page" : "1727-31", "title" : "The Hedgehog pathway promotes blood-brain barrier integrity and CNS immune quiescence.", "type" : "article-journal", "volume" : "334" }, "uris" : [ "http://www.mendeley.com/documents/?uuid=3ee34d73-1d79-3d17-9380-280c46ac5df6" ] } ], "mendeley" : { "formattedCitation" : "(Alvarez et al. 2011)", "plainTextFormattedCitation" : "(Alvarez et al. 2011)", "previouslyFormattedCitation" : "(Alvarez et al. 2011)" }, "properties" : { "noteIndex" : 0 }, "schema" : "https://github.com/citation-style-language/schema/raw/master/csl-citation.json" }</w:instrText>
      </w:r>
      <w:r w:rsidR="00246A5F" w:rsidRPr="003908A2">
        <w:rPr>
          <w:rFonts w:ascii="Times New Roman" w:hAnsi="Times New Roman" w:cs="Times New Roman"/>
        </w:rPr>
        <w:fldChar w:fldCharType="separate"/>
      </w:r>
      <w:r w:rsidR="00C148FC" w:rsidRPr="00C148FC">
        <w:rPr>
          <w:rFonts w:ascii="Times New Roman" w:hAnsi="Times New Roman" w:cs="Times New Roman"/>
          <w:noProof/>
        </w:rPr>
        <w:t>(Alvarez et al. 2011)</w:t>
      </w:r>
      <w:r w:rsidR="00246A5F" w:rsidRPr="003908A2">
        <w:rPr>
          <w:rFonts w:ascii="Times New Roman" w:hAnsi="Times New Roman" w:cs="Times New Roman"/>
        </w:rPr>
        <w:fldChar w:fldCharType="end"/>
      </w:r>
      <w:r w:rsidR="003908A2" w:rsidRPr="003908A2">
        <w:rPr>
          <w:rFonts w:ascii="Times New Roman" w:hAnsi="Times New Roman" w:cs="Times New Roman"/>
        </w:rPr>
        <w:t>.</w:t>
      </w:r>
      <w:r w:rsidR="003908A2">
        <w:rPr>
          <w:rFonts w:ascii="Times New Roman" w:hAnsi="Times New Roman" w:cs="Times New Roman"/>
        </w:rPr>
        <w:t xml:space="preserve"> </w:t>
      </w:r>
      <w:r w:rsidR="00C64D35" w:rsidRPr="00246A5F">
        <w:rPr>
          <w:rFonts w:ascii="Times New Roman" w:hAnsi="Times New Roman" w:cs="Times New Roman"/>
        </w:rPr>
        <w:t>When</w:t>
      </w:r>
      <w:r w:rsidR="00C64D35">
        <w:rPr>
          <w:rFonts w:ascii="Times New Roman" w:hAnsi="Times New Roman" w:cs="Times New Roman"/>
        </w:rPr>
        <w:t xml:space="preserve"> astrocytes are presented with foreign matter, demonstrated by </w:t>
      </w:r>
      <w:r w:rsidR="00C64D35" w:rsidRPr="001933B4">
        <w:rPr>
          <w:rFonts w:ascii="Times New Roman" w:hAnsi="Times New Roman" w:cs="Times New Roman"/>
        </w:rPr>
        <w:t>Aβ</w:t>
      </w:r>
      <w:r w:rsidR="00C64D35">
        <w:rPr>
          <w:rFonts w:ascii="Times New Roman" w:hAnsi="Times New Roman" w:cs="Times New Roman"/>
        </w:rPr>
        <w:t xml:space="preserve"> treatment of rat astrocytes, the levels of chemoattractant necessary to recruit microglia and levels of proinflammatory cytokines increase</w:t>
      </w:r>
      <w:r w:rsidR="0048369F">
        <w:rPr>
          <w:rFonts w:ascii="Times New Roman" w:hAnsi="Times New Roman" w:cs="Times New Roman"/>
        </w:rPr>
        <w:t xml:space="preserve"> </w:t>
      </w:r>
      <w:r w:rsidR="0048369F">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"10.1016/S0165-5728(98)00226-4", "ISSN" : "01655728", "abstract" : "Alzheimer's disease (AD) is the commonest form of adult onset dementia and is characterised neuropathologically by the accumulation of plaques containing \u03b2-amyloid (A\u03b2) fibrils, reactive astrocytes, activated microglia, and leukocytes. A\u03b2 plays a role in the pathology of AD by directly causing neuronal cytotoxicity and stimulating microglia to secrete cytokines and reactive oxygen species (ROS) which also damage neurons. Here, we demonstrate that A\u03b2 activates astrocytes and oligodendrocytes (the most common cell types in the brain) to produce chemokines, in particular MCP-1 and RANTES, which serve as potent in vitro microglial and macrophage chemoattractants. Furthermore, we have shown that A\u03b2 activates astrocytes to upregulate pro-inflammatory cytokine expression and enhances the production of ROS. We propose therefore that A\u03b2-mediated astrocyte activation initiates an inflammatory cascade which could be targeted for therapeutic intervention in AD.", "author" : [ { "dropping-particle" : "", "family" : "Johnstone", "given" : "Mandy", "non-dropping-particle" : "", "parse-names" : false, "suffix" : "" }, { "dropping-particle" : "", "family" : "Gearing", "given" : "Andrew J.H", "non-dropping-particle" : "", "parse-names" : false, "suffix" : "" }, { "dropping-particle" : "", "family" : "Miller", "given" : "Karen M", "non-dropping-particle" : "", "parse-names" : false, "suffix" : "" } ], "container-title" : "Journal of Neuroimmunology", "id" : "ITEM-1", "issue" : "1", "issued" : { "date-parts" : [ [ "1999" ] ] }, "page" : "182-193", "title" : "A central role for astrocytes in the inflammatory response to \u03b2-amyloid; chemokines, cytokines and reactive oxygen species are produced", "type" : "article-journal", "volume" : "93" }, "uris" : [ "http://www.mendeley.com/documents/?uuid=dba88833-2064-355b-9917-625d4df94f3e" ] } ], "mendeley" : { "formattedCitation" : "(Johnstone et al. 1999)", "plainTextFormattedCitation" : "(Johnstone et al. 1999)", "previouslyFormattedCitation" : "(Johnstone et al. 1999)" }, "properties" : { "noteIndex" : 0 }, "schema" : "https://github.com/citation-style-language/schema/raw/master/csl-citation.json" }</w:instrText>
      </w:r>
      <w:r w:rsidR="0048369F">
        <w:rPr>
          <w:rFonts w:ascii="Times New Roman" w:hAnsi="Times New Roman" w:cs="Times New Roman"/>
        </w:rPr>
        <w:fldChar w:fldCharType="separate"/>
      </w:r>
      <w:r w:rsidR="00C148FC" w:rsidRPr="00C148FC">
        <w:rPr>
          <w:rFonts w:ascii="Times New Roman" w:hAnsi="Times New Roman" w:cs="Times New Roman"/>
          <w:noProof/>
        </w:rPr>
        <w:t>(Johnstone et al. 1999)</w:t>
      </w:r>
      <w:r w:rsidR="0048369F">
        <w:rPr>
          <w:rFonts w:ascii="Times New Roman" w:hAnsi="Times New Roman" w:cs="Times New Roman"/>
        </w:rPr>
        <w:fldChar w:fldCharType="end"/>
      </w:r>
      <w:r w:rsidR="00C64D35">
        <w:rPr>
          <w:rFonts w:ascii="Times New Roman" w:hAnsi="Times New Roman" w:cs="Times New Roman"/>
        </w:rPr>
        <w:t>.</w:t>
      </w:r>
      <w:r w:rsidR="0048369F">
        <w:rPr>
          <w:rFonts w:ascii="Times New Roman" w:hAnsi="Times New Roman" w:cs="Times New Roman"/>
        </w:rPr>
        <w:t xml:space="preserve"> Furthermore, activation of the</w:t>
      </w:r>
      <w:r w:rsidR="00874657">
        <w:rPr>
          <w:rFonts w:ascii="Times New Roman" w:hAnsi="Times New Roman" w:cs="Times New Roman"/>
        </w:rPr>
        <w:t xml:space="preserve"> toll-like receptor (</w:t>
      </w:r>
      <w:r w:rsidR="0048369F">
        <w:rPr>
          <w:rFonts w:ascii="Times New Roman" w:hAnsi="Times New Roman" w:cs="Times New Roman"/>
        </w:rPr>
        <w:t>TLR</w:t>
      </w:r>
      <w:r w:rsidR="00874657">
        <w:rPr>
          <w:rFonts w:ascii="Times New Roman" w:hAnsi="Times New Roman" w:cs="Times New Roman"/>
        </w:rPr>
        <w:t>)</w:t>
      </w:r>
      <w:r w:rsidR="0048369F">
        <w:rPr>
          <w:rFonts w:ascii="Times New Roman" w:hAnsi="Times New Roman" w:cs="Times New Roman"/>
        </w:rPr>
        <w:t xml:space="preserve"> pathway, which determines pathogen presentation, increases the pro-inflammatory response in mouse astrocytes and induces neuronal death, which is not observed when the TLR pathway is activ</w:t>
      </w:r>
      <w:r w:rsidR="004D307A">
        <w:rPr>
          <w:rFonts w:ascii="Times New Roman" w:hAnsi="Times New Roman" w:cs="Times New Roman"/>
        </w:rPr>
        <w:t xml:space="preserve">ated in neurons alone </w:t>
      </w:r>
      <w:r w:rsidR="0048369F">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"10.1016/j.jneuroim.2012.08.010", "ISSN" : "1872-8421", "PMID" : "22999806", "abstract" : "Toll-like receptors (TLRs) are key molecules in the innate immune system in the central nervous system. Although astrocytes are believed to play physiological roles in regulating neuronal activity and synaptic transmission, activated astrocytes may also be toxic to neurons. Here, we show that the ligands for TLRs 2, 4, 5 and 6 induce neuronal cell death in neuron-astrocytes co-cultures through the production of reactive oxygen species (ROS). Inhibition of ROS production by NADPH oxidase inhibitor apocynin significantly suppresses neuronal cell death. ROS induced in astrocytes via TLRs may be involved in neuroinflammation and a therapeutic target for neurotoxicity by activated astrocytes.", "author" : [ { "dropping-particle" : "", "family" : "Ma", "given" : "Di", "non-dropping-particle" : "", "parse-names" : false, "suffix" : "" }, { "dropping-particle" : "", "family" : "Jin", "given" : "Shijie", "non-dropping-particle" : "", "parse-names" : false, "suffix" : "" }, { "dropping-particle" : "", "family" : "Li", "given" : "Endong", "non-dropping-particle" : "", "parse-names" : false, "suffix" : "" }, { "dropping-particle" : "", "family" : "Doi", "given" : "Yukiko", "non-dropping-particle" : "", "parse-names" : false, "suffix" : "" }, { "dropping-particle" : "", "family" : "Parajuli", "given" : "Bijiya", "non-dropping-particle" : "", "parse-names" : false, "suffix" : "" }, { "dropping-particle" : "", "family" : "Noda", "given" : "Mariko", "non-dropping-particle" : "", "parse-names" : false, "suffix" : "" }, { "dropping-particle" : "", "family" : "Sonobe", "given" : "Yoshifumi", "non-dropping-particle" : "", "parse-names" : false, "suffix" : "" }, { "dropping-particle" : "", "family" : "Mizuno", "given" : "Tetsuya", "non-dropping-particle" : "", "parse-names" : false, "suffix" : "" }, { "dropping-particle" : "", "family" : "Suzumura", "given" : "Akio", "non-dropping-particle" : "", "parse-names" : false, "suffix" : "" }, { "dropping-particle" : "", "family" : "Ansari", "given" : "M.A.", "non-dropping-particle" : "", "parse-names" : false, "suffix" : "" }, { "dropping-particle" : "", "family" : "Scheff", "given" : "S.W.", "non-dropping-particle" : "", "parse-names" : false, "suffix" : "" }, { "dropping-particle" : "", "family" : "Barakat", "given" : "D.J.", "non-dropping-particle" : "", "parse-names" : false, "suffix" : "" }, { "dropping-particle" : "", "family" : "Dvoriantchikova", "given" : "G.", "non-dropping-particle" : "", "parse-names" : false, "suffix" : "" }, { "dropping-particle" : "", "family" : "Ivanov", "given" : "D.", "non-dropping-particle" : "", "parse-names" : false, "suffix" : "" }, { "dropping-particle" : "", "family" : "Shestopalov", "given" : "V.I.", "non-dropping-particle" : "", "parse-names" : false, "suffix" : "" }, { "dropping-particle" : "", "family" : "Bruijn", "given" : "L.I.", "non-dropping-particle" : "", "parse-names" : false, "suffix" : "" }, { "dropping-particle" : "", "family" : "Miller", "given" : "T.M.", "non-dropping-particle" : "", "parse-names" : false, "suffix" : "" }, { "dropping-particle" : "", "family" : "Cleveland", "given" : "D.W.", "non-dropping-particle" : "", "parse-names" : false, "suffix" : "" }, { "dropping-particle" : "", "family" : "Bsibsi", "given" : "M.", "non-dropping-particle" : "", "parse-names" : false, "suffix" : "" }, { "dropping-particle" : "", "family" : "Ravid", "given" : "R.", "non-dropping-particle" : "", "parse-names" : false, "suffix" : "" }, { "dropping-particle" : "", "family" : "Gveric", "given" : "D.", "non-dropping-particle" : "", "parse-names" : false, "suffix" : "" }, { "dropping-particle" : "van", "family" : "Noort", "given" : "J.M.", "non-dropping-particle" : "", "parse-names" : false, "suffix" : "" }, { "dropping-particle" : "", "family" : "Cameron", "given" : "J.S.", "non-dropping-particle" : "", "parse-names" : false, "suffix" : "" }, { "dropping-particle" : "", "family" : "Alexopoulou", "given" : "L.", "non-dropping-particle" : "", "parse-names" : false, "suffix" : "" }, { "dropping-particle" : "", "family" : "Sloane", "given" : "J.A.", "non-dropping-particle" : "", "parse-names" : false, "suffix" : "" }, { "dropping-particle" : "", "family" : "DiBernardo", "given" : "A.B.", "non-dropping-particle" : "", "parse-names" : false, "suffix" : "" }, { "dropping-particle" : "", "family" : "Ma", "given" : "Y.", "non-dropping-particle" : "", "parse-names" : false, "suffix" : "" }, { "dropping-particle" : "", "family" : "Kosaras", "given" : "B.", "non-dropping-particle" : "", "parse-names" : false, "suffix" : "" }, { "dropping-particle" : "", "family" : "Flavell", "given" : "R.", "non-dropping-particle" : "", "parse-names" : false, "suffix" : "" }, { "dropping-particle" : "", "family" : "Strittmatter", "given" : "S.M.", "non-dropping-particle" : "", "parse-names" : false, "suffix" : "" }, { "dropping-particle" : "", "family" : "Volpe", "given" : "J.", "non-dropping-particle" : "", "parse-names" : false, "suffix" : "" }, { "dropping-particle" : "", "family" : "Sidman", "given" : "R.", "non-dropping-particle" : "", "parse-names" : false, "suffix" : "" }, { "dropping-particle" : "", "family" : "Vartanian", "given" : "T.", "non-dropping-particle" : "", "parse-names" : false, "suffix" : "" }, { "dropping-particle" : "De", "family" : "Felice", "given" : "F.G.", "non-dropping-particle" : "", "parse-names" : false, "suffix" : "" }, { "dropping-particle" : "", "family" : "Velasco", "given" : "P.T.", "non-dropping-particle" : "", "parse-names" : false, "suffix" : "" }, { "dropping-particle" : "", "family" : "Lambert", "given" : "M.P.", "non-dropping-particle" : "", "parse-names" : false, "suffix" : "" }, { "dropping-particle" : "", "family" : "Viola", "given" : "K.", "non-dropping-particle" : "", "parse-names" : false, "suffix" : "" }, { "dropping-particle" : "", "family" : "Fernandez", "given" : "S.J.", "non-dropping-particle" : "", "parse-names" : false, "suffix" : "" }, { "dropping-particle" : "", "family" : "Ferreira", "given" : "S.T.", "non-dropping-particle" : "", "parse-names" : false, "suffix" : "" }, { "dropping-particle" : "", "family" : "Klein", "given" : "W.L.", "non-dropping-particle" : "", "parse-names" : false, "suffix" : "" }, { "dropping-particle" : "", "family" : "Doi", "given" : "Y.", "non-dropping-particle" : "", "parse-names" : false, "suffix" : "" }, { "dropping-particle" : "", "family" : "Mizuno", "given" : "T.", "non-dropping-particle" : "", "parse-names" : false, "suffix" : "" }, { "dropping-particle" : "", "family" : "Maki", "given" : "Y.", "non-dropping-particle" : "", "parse-names" : false, "suffix" : "" }, { "dropping-particle" : "", "family" : "Jin", "given" : "S.", "non-dropping-particle" : "", "parse-names" : false, "suffix" : "" }, { "dropping-particle" : "", "family" : "Mizoguchi", "given" : "H.", "non-dropping-particle" : "", "parse-names" : false, "suffix" : "" }, { "dropping-particle" : "", "family" : "Ikeyama", "given" : "M.", "non-dropping-particle" : "", "parse-names" : false, "suffix" : "" }, { "dropping-particle" : "", "family" : "Doi", "given" : "M.", "non-dropping-particle" : "", "parse-names" : false, "suffix" : "" }, { "dropping-particle" : "", "family" : "Michikawa", "given" : "M.", "non-dropping-particle" : "", "parse-names" : false, "suffix" : "" }, { "dropping-particle" : "", "family" : "Takeuchi", "given" : "H.", "non-dropping-particle" : "", "parse-names" : false, "suffix" : "" }, { "dropping-particle" : "", "family" : "Suzumura", "given" : "A.", "non-dropping-particle" : "", "parse-names" : false, "suffix" : "" }, { "dropping-particle" : "", "family" : "Farina", "given" : "C.", "non-dropping-particle" : "", "parse-names" : false, "suffix" : "" }, { "dropping-particle" : "", "family" : "Aloisi", "given" : "F.", "non-dropping-particle" : "", "parse-names" : false, "suffix" : "" }, { "dropping-particle" : "", "family" : "Meinl", "given" : "E.", "non-dropping-particle" : "", "parse-names" : false, "suffix" : "" }, { "dropping-particle" : "", "family" : "Johnstone", "given" : "M.", "non-dropping-particle" : "", "parse-names" : false, "suffix" : "" }, { "dropping-particle" : "", "family" : "Gearing", "given" : "A.J.", "non-dropping-particle" : "", "parse-names" : false, "suffix" : "" }, { "dropping-particle" : "", "family" : "Miller", "given" : "K.M.", "non-dropping-particle" : "", "parse-names" : false, "suffix" : "" }, { "dropping-particle" : "", "family" : "Kuno", "given" : "R.", "non-dropping-particle" : "", "parse-names" : false, "suffix" : "" }, { "dropping-particle" : "", "family" : "Yoshida", "given" : "Y.", "non-dropping-particle" : "", "parse-names" : false, "suffix" : "" }, { "dropping-particle" : "", "family" : "Nitta", "given" : "A.", "non-dropping-particle" : "", "parse-names" : false, "suffix" : "" }, { "dropping-particle" : "", "family" : "Nabeshima", "given" : "T.", "non-dropping-particle" : "", "parse-names" : false, "suffix" : "" }, { "dropping-particle" : "", "family" : "Wang", "given" : "J.", "non-dropping-particle" : "", "parse-names" : false, "suffix" : "" }, { "dropping-particle" : "", "family" : "Sonobe", "given" : "Y.", "non-dropping-particle" : "", "parse-names" : false, "suffix" : "" }, { "dropping-particle" : "", "family" : "Kawanokuchi", "given" : "J.", "non-dropping-particle" : "", "parse-names" : false, "suffix" : "" }, { "dropping-particle" : "", "family" : "Takeuchi", "given" : "H.", "non-dropping-particle" : "", "parse-names" : false, "suffix" : "" }, { "dropping-particle" : "", "family" : "Mizuno", "given" : "T.", "non-dropping-particle" : "", "parse-names" : false, "suffix" : "" }, { "dropping-particle" : "", "family" : "Suzumura", "given" : "A.", "non-dropping-particle" : "", "parse-names" : false, "suffix" : "" }, { "dropping-particle" : "", "family" : "Ma", "given" : "Y.", "non-dropping-particle" : "", "parse-names" : false, "suffix" : "" }, { "dropping-particle" : "", "family" : "Li", "given" : "J.", "non-dropping-particle" : "", "parse-names" : false, "suffix" : "" }, { "dropping-particle" : "", "family" : "Chiu", "given" : "I.", "non-dropping-particle" : "", "parse-names" : false, "suffix" : "" }, { "dropping-particle" : "", "family" : "Wang", "given" : "Y.", "non-dropping-particle" : "", "parse-names" : false, "suffix" : "" }, { "dropping-particle" : "", "family" : "Sloane", "given" : "J.A.", "non-dropping-particle" : "", "parse-names" : false, "suffix" : "" }, { "dropping-particle" : "", "family" : "L\u00fc", "given" : "J.", "non-dropping-particle" : "", "parse-names" : false, "suffix" : "" }, { "dropping-particle" : "", "family" : "Kosaras", "given" : "B.", "non-dropping-particle" : "", "parse-names" : false, "suffix" : "" }, { "dropping-particle" : "", "family" : "Sidman", "given" : "R.L.", "non-dropping-particle" : "", "parse-names" : false, "suffix" : "" }, { "dropping-particle" : "", "family" : "Volpe", "given" : "J.J.", "non-dropping-particle" : "", "parse-names" : false, "suffix" : "" }, { "dropping-particle" : "", "family" : "Vartanian", "given" : "T.", "non-dropping-particle" : "", "parse-names" : false, "suffix" : "" }, { "dropping-particle" : "", "family" : "Medzhitov", "given" : "R.", "non-dropping-particle" : "", "parse-names" : false, "suffix" : "" }, { "dropping-particle" : "", "family" : "Janeway", "given" : "C.", "non-dropping-particle" : "", "parse-names" : false, "suffix" : "" }, { "dropping-particle" : "", "family" : "Miller", "given" : "Y.I.", "non-dropping-particle" : "", "parse-names" : false, "suffix" : "" }, { "dropping-particle" : "", "family" : "Choi", "given" : "S.H.", "non-dropping-particle" : "", "parse-names" : false, "suffix" : "" }, { "dropping-particle" : "", "family" : "Wiesner", "given" : "P.", "non-dropping-particle" : "", "parse-names" : false, "suffix" : "" }, { "dropping-particle" : "", "family" : "Bae", "given" : "Y.S.", "non-dropping-particle" : "", "parse-names" : false, "suffix" : "" }, { "dropping-particle" : "", "family" : "Mizuno", "given" : "T.", "non-dropping-particle" : "", "parse-names" : false, "suffix" : "" }, { "dropping-particle" : "", "family" : "Kuno", "given" : "R.", "non-dropping-particle" : "", "parse-names" : false, "suffix" : "" }, { "dropping-particle" : "", "family" : "Nitta", "given" : "A.", "non-dropping-particle" : "", "parse-names" : false, "suffix" : "" }, { "dropping-particle" : "", "family" : "Nabeshima", "given" : "T.", "non-dropping-particle" : "", "parse-names" : false, "suffix" : "" }, { "dropping-particle" : "", "family" : "Zhang", "given" : "G.", "non-dropping-particle" : "", "parse-names" : false, "suffix" : "" }, { "dropping-particle" : "", "family" : "Kawanokuchi", "given" : "J.", "non-dropping-particle" : "", "parse-names" : false, "suffix" : "" }, { "dropping-particle" : "", "family" : "Wang", "given" : "J.", "non-dropping-particle" : "", "parse-names" : false, "suffix" : "" }, { "dropping-particle" : "", "family" : "Jin", "given" : "S.", "non-dropping-particle" : "", "parse-names" : false, "suffix" : "" }, { "dropping-particle" : "", "family" : "Takeuchi", "given" : "H.", "non-dropping-particle" : "", "parse-names" : false, "suffix" : "" }, { "dropping-particle" : "", "family" : "Suzumura", "given" : "A.", "non-dropping-particle" : "", "parse-names" : false, "suffix" : "" }, { "dropping-particle" : "", "family" : "Polazzi", "given" : "E.", "non-dropping-particle" : "", "parse-names" : false, "suffix" : "" }, { "dropping-particle" : "", "family" : "Contestabile", "given" : "A.J.", "non-dropping-particle" : "", "parse-names" : false, "suffix" : "" }, { "dropping-particle" : "", "family" : "Prow", "given" : "N.A.", "non-dropping-particle" : "", "parse-names" : false, "suffix" : "" }, { "dropping-particle" : "", "family" : "Irani", "given" : "D.N.", "non-dropping-particle" : "", "parse-names" : false, "suffix" : "" }, { "dropping-particle" : "", "family" : "Rojo", "given" : "A.I.", "non-dropping-particle" : "", "parse-names" : false, "suffix" : "" }, { "dropping-particle" : "", "family" : "Innamorato", "given" : "N.G.", "non-dropping-particle" : "", "parse-names" : false, "suffix" : "" }, { "dropping-particle" : "", "family" : "Mart\u00edn-Moreno", "given" : "A.M.", "non-dropping-particle" : "", "parse-names" : false, "suffix" : "" }, { "dropping-particle" : "De", "family" : "Ceballos", "given" : "M.L.", "non-dropping-particle" : "", "parse-names" : false, "suffix" : "" }, { "dropping-particle" : "", "family" : "Yamamoto", "given" : "M.", "non-dropping-particle" : "", "parse-names" : false, "suffix" : "" }, { "dropping-particle" : "", "family" : "Cuadrado", "given" : "A.", "non-dropping-particle" : "", "parse-names" : false, "suffix" : "" }, { "dropping-particle" : "", "family" : "Sawada", "given" : "M.", "non-dropping-particle" : "", "parse-names" : false, "suffix" : "" }, { "dropping-particle" : "", "family" : "Suzumura", "given" : "A.", "non-dropping-particle" : "", "parse-names" : false, "suffix" : "" }, { "dropping-particle" : "", "family" : "Marunouchi", "given" : "T.", "non-dropping-particle" : "", "parse-names" : false, "suffix" : "" }, { "dropping-particle" : "", "family" : "Schwartz", "given" : "M.", "non-dropping-particle" : "", "parse-names" : false, "suffix" : "" }, { "dropping-particle" : "", "family" : "Shaked", "given" : "I.", "non-dropping-particle" : "", "parse-names" : false, "suffix" : "" }, { "dropping-particle" : "", "family" : "Fisher", "given" : "J.", "non-dropping-particle" : "", "parse-names" : false, "suffix" : "" }, { "dropping-particle" : "", "family" : "Mizrahi", "given" : "T.", "non-dropping-particle" : "", "parse-names" : false, "suffix" : "" }, { "dropping-particle" : "", "family" : "Schori", "given" : "H.", "non-dropping-particle" : "", "parse-names" : false, "suffix" : "" }, { "dropping-particle" : "", "family" : "Sidoryk-Wegrzynowicz", "given" : "M.", "non-dropping-particle" : "", "parse-names" : false, "suffix" : "" }, { "dropping-particle" : "", "family" : "Wegrzynowicz", "given" : "M.", "non-dropping-particle" : "", "parse-names" : false, "suffix" : "" }, { "dropping-particle" : "", "family" : "Lee", "given" : "E.", "non-dropping-particle" : "", "parse-names" : false, "suffix" : "" }, { "dropping-particle" : "", "family" : "Bowman", "given" : "A.B.", "non-dropping-particle" : "", "parse-names" : false, "suffix" : "" }, { "dropping-particle" : "", "family" : "Aschner", "given" : "M.", "non-dropping-particle" : "", "parse-names" : false, "suffix" : "" }, { "dropping-particle" : "", "family" : "Suzumura", "given" : "A.", "non-dropping-particle" : "", "parse-names" : false, "suffix" : "" }, { "dropping-particle" : "", "family" : "Mezitis", "given" : "S.G.", "non-dropping-particle" : "", "parse-names" : false, "suffix" : "" }, { "dropping-particle" : "", "family" : "Gonatas", "given" : "N.K.", "non-dropping-particle" : "", "parse-names" : false, "suffix" : "" }, { "dropping-particle" : "", "family" : "Silberberg", "given" : "D.H.", "non-dropping-particle" : "", "parse-names" : false, "suffix" : "" }, { "dropping-particle" : "", "family" : "Takeuchi", "given" : "H.", "non-dropping-particle" : "", "parse-names" : false, "suffix" : "" }, { "dropping-particle" : "", "family" : "Mizuno", "given" : "T.", "non-dropping-particle" : "", "parse-names" : false, "suffix" : "" }, { "dropping-particle" : "", "family" : "Zhang", "given" : "G.", "non-dropping-particle" : "", "parse-names" : false, "suffix" : "" }, { "dropping-particle" : "", "family" : "Wang", "given" : "J.", "non-dropping-particle" : "", "parse-names" : false, "suffix" : "" }, { "dropping-particle" : "", "family" : "Kawanokuchi", "given" : "J.", "non-dropping-particle" : "", "parse-names" : false, "suffix" : "" }, { "dropping-particle" : "", "family" : "Kuno", "given" : "R.", "non-dropping-particle" : "", "parse-names" : false, "suffix" : "" }, { "dropping-particle" : "", "family" : "Suzumura", "given" : "A.", "non-dropping-particle" : "", "parse-names" : false, "suffix" : "" }, { "dropping-particle" : "", "family" : "Tang", "given" : "S.C.", "non-dropping-particle" : "", "parse-names" : false, "suffix" : "" }, { "dropping-particle" : "", "family" : "Arumugam", "given" : "T.V.", "non-dropping-particle" : "", "parse-names" : false, "suffix" : "" }, { "dropping-particle" : "", "family" : "Xu", "given" : "X.", "non-dropping-particle" : "", "parse-names" : false, "suffix" : "" }, { "dropping-particle" : "", "family" : "Cheng", "given" : "A.", "non-dropping-particle" : "", "parse-names" : false, "suffix" : "" }, { "dropping-particle" : "", "family" : "Mughal", "given" : "M.R.", "non-dropping-particle" : "", "parse-names" : false, "suffix" : "" }, { "dropping-particle" : "", "family" : "Jo", "given" : "D.G.", "non-dropping-particle" : "", "parse-names" : false, "suffix" : "" }, { "dropping-particle" : "", "family" : "Lathia", "given" : "J.D.", "non-dropping-particle" : "", "parse-names" : false, "suffix" : "" }, { "dropping-particle" : "", "family" : "Siler", "given" : "D.A.", "non-dropping-particle" : "", "parse-names" : false, "suffix" : "" }, { "dropping-particle" : "", "family" : "Chigurupati", "given" : "S.", "non-dropping-particle" : "", "parse-names" : false, "suffix" : "" }, { "dropping-particle" : "", "family" : "Ouyang", "given" : "X.", "non-dropping-particle" : "", "parse-names" : false, "suffix" : "" }, { "dropping-particle" : "", "family" : "Magnus", "given" : "T.", "non-dropping-particle" : "", "parse-names" : false, "suffix" : "" }, { "dropping-particle" : "", "family" : "Camandola", "given" : "S.", "non-dropping-particle" : "", "parse-names" : false, "suffix" : "" }, { "dropping-particle" : "", "family" : "Mattson", "given" : "M.P.", "non-dropping-particle" : "", "parse-names" : false, "suffix" : "" }, { "dropping-particle" : "", "family" : "Tolosa", "given" : "L.", "non-dropping-particle" : "", "parse-names" : false, "suffix" : "" }, { "dropping-particle" : "", "family" : "Caraballo-Miralles", "given" : "V.", "non-dropping-particle" : "", "parse-names" : false, "suffix" : "" }, { "dropping-particle" : "", "family" : "Olmos", "given" : "G.", "non-dropping-particle" : "", "parse-names" : false, "suffix" : "" }, { "dropping-particle" : "", "family" : "Llad\u00f3", "given" : "J.", "non-dropping-particle" : "", "parse-names" : false, "suffix" : "" }, { "dropping-particle" : "", "family" : "Tretter", "given" : "L.", "non-dropping-particle" : "", "parse-names" : false, "suffix" : "" }, { "dropping-particle" : "", "family" : "Sipos", "given" : "I.", "non-dropping-particle" : "", "parse-names" : false, "suffix" : "" }, { "dropping-particle" : "", "family" : "Adam-Vizi", "given" : "V.", "non-dropping-particle" : "", "parse-names" : false, "suffix" : "" }, { "dropping-particle" : "van", "family" : "Noort", "given" : "J.M.", "non-dropping-particle" : "", "parse-names" : false, "suffix" : "" }, { "dropping-particle" : "", "family" : "Bsibsi", "given" : "M.", "non-dropping-particle" : "", "parse-names" : false, "suffix" : "" }, { "dropping-particle" : "", "family" : "Welser", "given" : "J.V.", "non-dropping-particle" : "", "parse-names" : false, "suffix" : "" }, { "dropping-particle" : "", "family" : "Milner", "given" : "R.", "non-dropping-particle" : "", "parse-names" : false, "suffix" : "" }, { "dropping-particle" : "", "family" : "Yang", "given" : "S.", "non-dropping-particle" : "", "parse-names" : false, "suffix" : "" }, { "dropping-particle" : "", "family" : "Zhang", "given" : "D.", "non-dropping-particle" : "", "parse-names" : false, "suffix" : "" }, { "dropping-particle" : "", "family" : "Yang", "given" : "Z.", "non-dropping-particle" : "", "parse-names" : false, "suffix" : "" }, { "dropping-particle" : "", "family" : "Hu", "given" : "X.", "non-dropping-particle" : "", "parse-names" : false, "suffix" : "" }, { "dropping-particle" : "", "family" : "Qian", "given" : "S.", "non-dropping-particle" : "", "parse-names" : false, "suffix" : "" }, { "dropping-particle" : "", "family" : "Liu", "given" : "J.", "non-dropping-particle" : "", "parse-names" : false, "suffix" : "" }, { "dropping-particle" : "", "family" : "Wilson", "given" : "B.", "non-dropping-particle" : "", "parse-names" : false, "suffix" : "" }, { "dropping-particle" : "", "family" : "Block", "given" : "M.", "non-dropping-particle" : "", "parse-names" : false, "suffix" : "" }, { "dropping-particle" : "", "family" : "Hong", "given" : "J.S.", "non-dropping-particle" : "", "parse-names" : false, "suffix" : "" }, { "dropping-particle" : "", "family" : "Yu", "given" : "P.", "non-dropping-particle" : "", "parse-names" : false, "suffix" : "" }, { "dropping-particle" : "", "family" : "Wang", "given" : "H.", "non-dropping-particle" : "", "parse-names" : false, "suffix" : "" }, { "dropping-particle" : "", "family" : "Katagiri", "given" : "Y.", "non-dropping-particle" : "", "parse-names" : false, "suffix" : "" }, { "dropping-particle" : "", "family" : "Geller", "given" : "H.M.", "non-dropping-particle" : "", "parse-names" : false, "suffix" : "" }, { "dropping-particle" : "", "family" : "Zhao", "given" : "J.", "non-dropping-particle" : "", "parse-names" : false, "suffix" : "" }, { "dropping-particle" : "", "family" : "O'Connor", "given" : "T.", "non-dropping-particle" : "", "parse-names" : false, "suffix" : "" }, { "dropping-particle" : "", "family" : "Vassar", "given" : "R.", "non-dropping-particle" : "", "parse-names" : false, "suffix" : "" } ], "container-title" : "Journal of neuroimmunology", "id" : "ITEM-1", "issue" : "1-2", "issued" : { "date-parts" : [ [ "2013", "1", "15" ] ] }, "page" : "10-8", "publisher" : "Elsevier", "title" : "The neurotoxic effect of astrocytes activated with toll-like receptor ligands.", "type" : "article-journal", "volume" : "254" }, "uris" : [ "http://www.mendeley.com/documents/?uuid=b740d3d7-9e0e-3f95-92ec-1cfc6191cb00" ] } ], "mendeley" : { "formattedCitation" : "(Ma et al. 2013)", "plainTextFormattedCitation" : "(Ma et al. 2013)", "previouslyFormattedCitation" : "(Ma et al. 2013)" }, "properties" : { "noteIndex" : 0 }, "schema" : "https://github.com/citation-style-language/schema/raw/master/csl-citation.json" }</w:instrText>
      </w:r>
      <w:r w:rsidR="0048369F">
        <w:rPr>
          <w:rFonts w:ascii="Times New Roman" w:hAnsi="Times New Roman" w:cs="Times New Roman"/>
        </w:rPr>
        <w:fldChar w:fldCharType="separate"/>
      </w:r>
      <w:r w:rsidR="00C148FC" w:rsidRPr="00C148FC">
        <w:rPr>
          <w:rFonts w:ascii="Times New Roman" w:hAnsi="Times New Roman" w:cs="Times New Roman"/>
          <w:noProof/>
        </w:rPr>
        <w:t>(Ma et al. 2013)</w:t>
      </w:r>
      <w:r w:rsidR="0048369F">
        <w:rPr>
          <w:rFonts w:ascii="Times New Roman" w:hAnsi="Times New Roman" w:cs="Times New Roman"/>
        </w:rPr>
        <w:fldChar w:fldCharType="end"/>
      </w:r>
      <w:r w:rsidR="0048369F">
        <w:rPr>
          <w:rFonts w:ascii="Times New Roman" w:hAnsi="Times New Roman" w:cs="Times New Roman"/>
        </w:rPr>
        <w:t>.</w:t>
      </w:r>
    </w:p>
    <w:p w14:paraId="6CEEFDC6" w14:textId="77777777" w:rsidR="00567751" w:rsidRDefault="00567751" w:rsidP="00B07212">
      <w:pPr>
        <w:spacing w:line="360" w:lineRule="auto"/>
        <w:jc w:val="both"/>
        <w:rPr>
          <w:rFonts w:ascii="Times New Roman" w:hAnsi="Times New Roman" w:cs="Times New Roman"/>
        </w:rPr>
      </w:pPr>
    </w:p>
    <w:p w14:paraId="711A3E78" w14:textId="2F01A3A0" w:rsidR="00B3159A" w:rsidRDefault="00947729" w:rsidP="00B07212">
      <w:pPr>
        <w:spacing w:line="360" w:lineRule="auto"/>
        <w:jc w:val="both"/>
        <w:rPr>
          <w:rFonts w:ascii="Times New Roman" w:hAnsi="Times New Roman" w:cs="Times New Roman"/>
        </w:rPr>
      </w:pPr>
      <w:r>
        <w:rPr>
          <w:rFonts w:ascii="Times New Roman" w:hAnsi="Times New Roman" w:cs="Times New Roman"/>
        </w:rPr>
        <w:t>Therefore, context-dependent activation of different signalling cascades in astrocytes will determine whether the response is pro- or anti-inflammatory</w:t>
      </w:r>
      <w:r w:rsidR="00575932">
        <w:rPr>
          <w:rFonts w:ascii="Times New Roman" w:hAnsi="Times New Roman" w:cs="Times New Roman"/>
        </w:rPr>
        <w:t xml:space="preserve"> and whether other inflammatory cells are recruited</w:t>
      </w:r>
      <w:r>
        <w:rPr>
          <w:rFonts w:ascii="Times New Roman" w:hAnsi="Times New Roman" w:cs="Times New Roman"/>
        </w:rPr>
        <w:t xml:space="preserve">. </w:t>
      </w:r>
    </w:p>
    <w:p w14:paraId="399F05A6" w14:textId="77777777" w:rsidR="00595449" w:rsidRDefault="00595449" w:rsidP="00103AAC">
      <w:pPr>
        <w:spacing w:line="360" w:lineRule="auto"/>
        <w:rPr>
          <w:rFonts w:ascii="Times New Roman" w:hAnsi="Times New Roman" w:cs="Times New Roman"/>
          <w:b/>
          <w:i/>
          <w:u w:val="single"/>
        </w:rPr>
      </w:pPr>
    </w:p>
    <w:p w14:paraId="0860F608" w14:textId="0ACB376C" w:rsidR="00184987" w:rsidRPr="00184987" w:rsidRDefault="00184987" w:rsidP="00C25727">
      <w:pPr>
        <w:rPr>
          <w:rFonts w:ascii="Times New Roman" w:hAnsi="Times New Roman" w:cs="Times New Roman"/>
          <w:b/>
          <w:i/>
          <w:u w:val="single"/>
        </w:rPr>
      </w:pPr>
      <w:r>
        <w:rPr>
          <w:rFonts w:ascii="Times New Roman" w:hAnsi="Times New Roman" w:cs="Times New Roman"/>
          <w:b/>
          <w:i/>
          <w:u w:val="single"/>
        </w:rPr>
        <w:t>Interaction with microglia</w:t>
      </w:r>
    </w:p>
    <w:p w14:paraId="5F35B23A" w14:textId="59957B41" w:rsidR="001041A6" w:rsidRPr="00070602" w:rsidRDefault="00623A75" w:rsidP="00B07212">
      <w:pPr>
        <w:spacing w:line="360" w:lineRule="auto"/>
        <w:jc w:val="both"/>
        <w:rPr>
          <w:rFonts w:ascii="Times New Roman" w:hAnsi="Times New Roman" w:cs="Times New Roman"/>
        </w:rPr>
      </w:pPr>
      <w:r>
        <w:rPr>
          <w:rFonts w:ascii="Times New Roman" w:hAnsi="Times New Roman" w:cs="Times New Roman"/>
        </w:rPr>
        <w:t>A</w:t>
      </w:r>
      <w:r w:rsidR="00157323" w:rsidRPr="00070602">
        <w:rPr>
          <w:rFonts w:ascii="Times New Roman" w:hAnsi="Times New Roman" w:cs="Times New Roman"/>
        </w:rPr>
        <w:t xml:space="preserve">strocytes also </w:t>
      </w:r>
      <w:r w:rsidR="007F5038" w:rsidRPr="00070602">
        <w:rPr>
          <w:rFonts w:ascii="Times New Roman" w:hAnsi="Times New Roman" w:cs="Times New Roman"/>
        </w:rPr>
        <w:t>com</w:t>
      </w:r>
      <w:r w:rsidR="00836D6A" w:rsidRPr="00070602">
        <w:rPr>
          <w:rFonts w:ascii="Times New Roman" w:hAnsi="Times New Roman" w:cs="Times New Roman"/>
        </w:rPr>
        <w:t>municate</w:t>
      </w:r>
      <w:r w:rsidR="00B1644B" w:rsidRPr="00070602">
        <w:rPr>
          <w:rFonts w:ascii="Times New Roman" w:hAnsi="Times New Roman" w:cs="Times New Roman"/>
        </w:rPr>
        <w:t xml:space="preserve"> with microglia, which are the brain’s resident immune cells.</w:t>
      </w:r>
      <w:r w:rsidR="001D120B" w:rsidRPr="00070602">
        <w:rPr>
          <w:rFonts w:ascii="Times New Roman" w:hAnsi="Times New Roman" w:cs="Times New Roman"/>
        </w:rPr>
        <w:t xml:space="preserve"> Microglia survey the brain </w:t>
      </w:r>
      <w:r w:rsidR="0007214D" w:rsidRPr="00070602">
        <w:rPr>
          <w:rFonts w:ascii="Times New Roman" w:hAnsi="Times New Roman" w:cs="Times New Roman"/>
        </w:rPr>
        <w:t xml:space="preserve">for accumulation of foreign matter or changes in the </w:t>
      </w:r>
      <w:r w:rsidR="00CC7E6D">
        <w:rPr>
          <w:rFonts w:ascii="Times New Roman" w:hAnsi="Times New Roman" w:cs="Times New Roman"/>
        </w:rPr>
        <w:t>brain</w:t>
      </w:r>
      <w:r w:rsidR="0007214D" w:rsidRPr="00070602">
        <w:rPr>
          <w:rFonts w:ascii="Times New Roman" w:hAnsi="Times New Roman" w:cs="Times New Roman"/>
        </w:rPr>
        <w:t xml:space="preserve"> microenvironment. They are able to rapidly respond to changes and ach</w:t>
      </w:r>
      <w:r w:rsidR="00595449">
        <w:rPr>
          <w:rFonts w:ascii="Times New Roman" w:hAnsi="Times New Roman" w:cs="Times New Roman"/>
        </w:rPr>
        <w:t>ieve this much more quickly than</w:t>
      </w:r>
      <w:r w:rsidR="0007214D" w:rsidRPr="00070602">
        <w:rPr>
          <w:rFonts w:ascii="Times New Roman" w:hAnsi="Times New Roman" w:cs="Times New Roman"/>
        </w:rPr>
        <w:t xml:space="preserve"> astrocytes are able to</w:t>
      </w:r>
      <w:r w:rsidR="00704638">
        <w:rPr>
          <w:rFonts w:ascii="Times New Roman" w:hAnsi="Times New Roman" w:cs="Times New Roman"/>
        </w:rPr>
        <w:t xml:space="preserve"> </w:t>
      </w:r>
      <w:r w:rsidR="00B11BF7" w:rsidRPr="004564E6">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"10.1002/glia.21153", "ISSN" : "1098-1136", "PMID" : "21351162", "abstract" : "As the two major glial cell types in the brain, astrocytes and microglia play pivotal but different roles in maintaining optimal brain function. Although both cell types have been implicated as major targets of methylmercury (MeHg), their sensitivities and adaptive responses to this metal can vary given their distinctive properties and physiological functions. This study was carried out to compare the responses of astrocytes and microglia following MeHg treatment, specifically addressing the effects of MeHg on cell viability, reactive oxygen species (ROS) generation and glutathione (GSH) levels, as well as mercury (Hg) uptake and the expression of NF-E2-related factor 2 (Nrf2). Results showed that microglia are more sensitive to MeHg than astrocytes, a finding that is consistent with their higher Hg uptake and lower basal GSH levels. Microglia also demonstrated higher ROS generation compared with astrocytes. Nrf2 and its downstream genes were upregulated in both cell types, but with different kinetics (much faster in microglia). In summary, microglia and astrocytes each exhibit a distinct sensitivity to MeHg, resulting in their differential temporal adaptive responses. These unique sensitivities appear to be dependent on the cellular thiol status of the particular cell type.", "author" : [ { "dropping-particle" : "", "family" : "Ni", "given" : "Mingwei", "non-dropping-particle" : "", "parse-names" : false, "suffix" : "" }, { "dropping-particle" : "", "family" : "Li", "given" : "Xin", "non-dropping-particle" : "", "parse-names" : false, "suffix" : "" }, { "dropping-particle" : "", "family" : "Yin", "given" : "Zhaobao", "non-dropping-particle" : "", "parse-names" : false, "suffix" : "" }, { "dropping-particle" : "", "family" : "Sidoryk-W\u0119grzynowicz", "given" : "Marta", "non-dropping-particle" : "", "parse-names" : false, "suffix" : "" }, { "dropping-particle" : "", "family" : "Jiang", "given" : "Haiyan", "non-dropping-particle" : "", "parse-names" : false, "suffix" : "" }, { "dropping-particle" : "", "family" : "Farina", "given" : "Marcelo", "non-dropping-particle" : "", "parse-names" : false, "suffix" : "" }, { "dropping-particle" : "", "family" : "Rocha", "given" : "Joao B T", "non-dropping-particle" : "", "parse-names" : false, "suffix" : "" }, { "dropping-particle" : "", "family" : "Syversen", "given" : "Tore", "non-dropping-particle" : "", "parse-names" : false, "suffix" : "" }, { "dropping-particle" : "", "family" : "Aschner", "given" : "Michael", "non-dropping-particle" : "", "parse-names" : false, "suffix" : "" } ], "container-title" : "Glia", "id" : "ITEM-1", "issue" : "5", "issued" : { "date-parts" : [ [ "2011", "5" ] ] }, "page" : "810-20", "title" : "Comparative study on the response of rat primary astrocytes and microglia to methylmercury toxicity.", "type" : "article-journal", "volume" : "59" }, "uris" : [ "http://www.mendeley.com/documents/?uuid=03ded2d8-1dbf-31b0-a1c5-82fa7e76b6f3" ] } ], "mendeley" : { "formattedCitation" : "(Ni et al. 2011)", "plainTextFormattedCitation" : "(Ni et al. 2011)", "previouslyFormattedCitation" : "(Ni et al. 2011)" }, "properties" : { "noteIndex" : 0 }, "schema" : "https://github.com/citation-style-language/schema/raw/master/csl-citation.json" }</w:instrText>
      </w:r>
      <w:r w:rsidR="00B11BF7" w:rsidRPr="004564E6">
        <w:rPr>
          <w:rFonts w:ascii="Times New Roman" w:hAnsi="Times New Roman" w:cs="Times New Roman"/>
        </w:rPr>
        <w:fldChar w:fldCharType="separate"/>
      </w:r>
      <w:r w:rsidR="00C148FC" w:rsidRPr="00C148FC">
        <w:rPr>
          <w:rFonts w:ascii="Times New Roman" w:hAnsi="Times New Roman" w:cs="Times New Roman"/>
          <w:noProof/>
        </w:rPr>
        <w:t>(Ni et al. 2011)</w:t>
      </w:r>
      <w:r w:rsidR="00B11BF7" w:rsidRPr="004564E6">
        <w:rPr>
          <w:rFonts w:ascii="Times New Roman" w:hAnsi="Times New Roman" w:cs="Times New Roman"/>
        </w:rPr>
        <w:fldChar w:fldCharType="end"/>
      </w:r>
      <w:r w:rsidR="0007214D" w:rsidRPr="004564E6">
        <w:rPr>
          <w:rFonts w:ascii="Times New Roman" w:hAnsi="Times New Roman" w:cs="Times New Roman"/>
        </w:rPr>
        <w:t>.</w:t>
      </w:r>
      <w:r w:rsidR="0007214D" w:rsidRPr="00070602">
        <w:rPr>
          <w:rFonts w:ascii="Times New Roman" w:hAnsi="Times New Roman" w:cs="Times New Roman"/>
        </w:rPr>
        <w:t xml:space="preserve"> These changes in the microglia are then relayed to astrocytes, which adjust their </w:t>
      </w:r>
      <w:r w:rsidR="006278FA">
        <w:rPr>
          <w:rFonts w:ascii="Times New Roman" w:hAnsi="Times New Roman" w:cs="Times New Roman"/>
        </w:rPr>
        <w:t>physiology</w:t>
      </w:r>
      <w:r w:rsidR="0007214D" w:rsidRPr="00070602">
        <w:rPr>
          <w:rFonts w:ascii="Times New Roman" w:hAnsi="Times New Roman" w:cs="Times New Roman"/>
        </w:rPr>
        <w:t xml:space="preserve"> to</w:t>
      </w:r>
      <w:r w:rsidR="006278FA">
        <w:rPr>
          <w:rFonts w:ascii="Times New Roman" w:hAnsi="Times New Roman" w:cs="Times New Roman"/>
        </w:rPr>
        <w:t xml:space="preserve"> maintain homeostasis and thereby</w:t>
      </w:r>
      <w:r w:rsidR="0007214D" w:rsidRPr="00070602">
        <w:rPr>
          <w:rFonts w:ascii="Times New Roman" w:hAnsi="Times New Roman" w:cs="Times New Roman"/>
        </w:rPr>
        <w:t xml:space="preserve"> preserve support for neuronal networks. </w:t>
      </w:r>
      <w:r w:rsidR="00E86892" w:rsidRPr="00070602">
        <w:rPr>
          <w:rFonts w:ascii="Times New Roman" w:hAnsi="Times New Roman" w:cs="Times New Roman"/>
        </w:rPr>
        <w:t>This has been demonstrated in microglia challenged with the neurotoxicant methyl mercury, which</w:t>
      </w:r>
      <w:r w:rsidR="001644BC" w:rsidRPr="00070602">
        <w:rPr>
          <w:rFonts w:ascii="Times New Roman" w:hAnsi="Times New Roman" w:cs="Times New Roman"/>
        </w:rPr>
        <w:t xml:space="preserve"> respond</w:t>
      </w:r>
      <w:r w:rsidR="00E86892" w:rsidRPr="00070602">
        <w:rPr>
          <w:rFonts w:ascii="Times New Roman" w:hAnsi="Times New Roman" w:cs="Times New Roman"/>
        </w:rPr>
        <w:t xml:space="preserve"> by increasing exocytosis of ATP and stimulating P2Y1 </w:t>
      </w:r>
      <w:r w:rsidR="00E04175">
        <w:rPr>
          <w:rFonts w:ascii="Times New Roman" w:hAnsi="Times New Roman" w:cs="Times New Roman"/>
        </w:rPr>
        <w:t xml:space="preserve">(purinoreceptor 1) </w:t>
      </w:r>
      <w:r w:rsidR="00E86892" w:rsidRPr="00070602">
        <w:rPr>
          <w:rFonts w:ascii="Times New Roman" w:hAnsi="Times New Roman" w:cs="Times New Roman"/>
        </w:rPr>
        <w:t>receptors on astrocytes r</w:t>
      </w:r>
      <w:r w:rsidR="00944D0F" w:rsidRPr="00070602">
        <w:rPr>
          <w:rFonts w:ascii="Times New Roman" w:hAnsi="Times New Roman" w:cs="Times New Roman"/>
        </w:rPr>
        <w:t>esulting in</w:t>
      </w:r>
      <w:r w:rsidR="00D4716A">
        <w:rPr>
          <w:rFonts w:ascii="Times New Roman" w:hAnsi="Times New Roman" w:cs="Times New Roman"/>
        </w:rPr>
        <w:t xml:space="preserve"> the</w:t>
      </w:r>
      <w:r w:rsidR="00944D0F" w:rsidRPr="00070602">
        <w:rPr>
          <w:rFonts w:ascii="Times New Roman" w:hAnsi="Times New Roman" w:cs="Times New Roman"/>
        </w:rPr>
        <w:t xml:space="preserve"> release of IL6</w:t>
      </w:r>
      <w:r w:rsidR="00E04175">
        <w:rPr>
          <w:rFonts w:ascii="Times New Roman" w:hAnsi="Times New Roman" w:cs="Times New Roman"/>
        </w:rPr>
        <w:t xml:space="preserve"> (interleukin 6)</w:t>
      </w:r>
      <w:r w:rsidR="00944D0F" w:rsidRPr="00070602">
        <w:rPr>
          <w:rFonts w:ascii="Times New Roman" w:hAnsi="Times New Roman" w:cs="Times New Roman"/>
        </w:rPr>
        <w:t xml:space="preserve"> for</w:t>
      </w:r>
      <w:r w:rsidR="00E86892" w:rsidRPr="00070602">
        <w:rPr>
          <w:rFonts w:ascii="Times New Roman" w:hAnsi="Times New Roman" w:cs="Times New Roman"/>
        </w:rPr>
        <w:t xml:space="preserve"> protection</w:t>
      </w:r>
      <w:r w:rsidR="00944D0F" w:rsidRPr="00070602">
        <w:rPr>
          <w:rFonts w:ascii="Times New Roman" w:hAnsi="Times New Roman" w:cs="Times New Roman"/>
        </w:rPr>
        <w:t xml:space="preserve"> of neurons</w:t>
      </w:r>
      <w:r w:rsidR="001644BC" w:rsidRPr="00070602">
        <w:rPr>
          <w:rFonts w:ascii="Times New Roman" w:hAnsi="Times New Roman" w:cs="Times New Roman"/>
        </w:rPr>
        <w:t xml:space="preserve"> </w:t>
      </w:r>
      <w:r w:rsidR="001644BC"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"10.1038/srep04329", "ISSN" : "2045-2322", "PMID" : "24710318", "abstract" : "Microglia are highly sensitive to even small changes in the brain environment, such as invasion of non-hazardous toxicants or the presymptomatic state of diseases. However, the physiological or pathophysiological consequences of their responses remain unknown. Here, we report that cultured microglia sense low concentrations of the neurotoxicant methylmercury (MeHg(low)) and provide neuroprotection against MeHg, for which astrocytes are also required. When exposed to MeHg(low), microglia exocytosed ATP via p38 MAPK- and vesicular nucleotide transporter (VNUT)-dependent mechanisms. Astrocytes responded to the microglia-derived ATP via P2Y1 receptors and released interleukin-6 (IL-6), thereby protecting neurons against MeHg(low). These neuroprotective actions were also observed in organotypic hippocampal slices from wild-type mice, but not in slices prepared from VNUT knockout or P2Y1 receptor knockout mice. These findings suggest that microglia sense and respond to even non-hazardous toxicants such as MeHg(low) and change their phenotype into a neuroprotective one, for which astrocytic support is required.", "author" : [ { "dropping-particle" : "", "family" : "Shinozaki", "given" : "Youichi", "non-dropping-particle" : "", "parse-names" : false, "suffix" : "" }, { "dropping-particle" : "", "family" : "Nomura", "given" : "Masatoshi", "non-dropping-particle" : "", "parse-names" : false, "suffix" : "" }, { "dropping-particle" : "", "family" : "Iwatsuki", "given" : "Ken", "non-dropping-particle" : "", "parse-names" : false, "suffix" : "" }, { "dropping-particle" : "", "family" : "Moriyama", "given" : "Yoshinori", "non-dropping-particle" : "", "parse-names" : false, "suffix" : "" }, { "dropping-particle" : "", "family" : "Gachet", "given" : "Christian", "non-dropping-particle" : "", "parse-names" : false, "suffix" : "" }, { "dropping-particle" : "", "family" : "Koizumi", "given" : "Schuichi", "non-dropping-particle" : "", "parse-names" : false, "suffix" : "" } ], "container-title" : "Scientific reports", "id" : "ITEM-1", "issued" : { "date-parts" : [ [ "2014", "1", "10" ] ] }, "language" : "en", "page" : "4329", "publisher" : "Nature Publishing Group", "title" : "Microglia trigger astrocyte-mediated neuroprotection via purinergic gliotransmission.", "type" : "article-journal", "volume" : "4" }, "uris" : [ "http://www.mendeley.com/documents/?uuid=469f43e3-a733-4670-b3f7-c97b6da21f01" ] } ], "mendeley" : { "formattedCitation" : "(Shinozaki et al. 2014)", "plainTextFormattedCitation" : "(Shinozaki et al. 2014)", "previouslyFormattedCitation" : "(Shinozaki et al. 2014)" }, "properties" : { "noteIndex" : 0 }, "schema" : "https://github.com/citation-style-language/schema/raw/master/csl-citation.json" }</w:instrText>
      </w:r>
      <w:r w:rsidR="001644BC" w:rsidRPr="00070602">
        <w:rPr>
          <w:rFonts w:ascii="Times New Roman" w:hAnsi="Times New Roman" w:cs="Times New Roman"/>
        </w:rPr>
        <w:fldChar w:fldCharType="separate"/>
      </w:r>
      <w:r w:rsidR="00C148FC" w:rsidRPr="00C148FC">
        <w:rPr>
          <w:rFonts w:ascii="Times New Roman" w:hAnsi="Times New Roman" w:cs="Times New Roman"/>
          <w:noProof/>
        </w:rPr>
        <w:t>(Shinozaki et al. 2014)</w:t>
      </w:r>
      <w:r w:rsidR="001644BC" w:rsidRPr="00070602">
        <w:rPr>
          <w:rFonts w:ascii="Times New Roman" w:hAnsi="Times New Roman" w:cs="Times New Roman"/>
        </w:rPr>
        <w:fldChar w:fldCharType="end"/>
      </w:r>
      <w:r w:rsidR="001644BC" w:rsidRPr="00070602">
        <w:rPr>
          <w:rFonts w:ascii="Times New Roman" w:hAnsi="Times New Roman" w:cs="Times New Roman"/>
        </w:rPr>
        <w:t>.</w:t>
      </w:r>
      <w:r w:rsidR="00E86892" w:rsidRPr="00070602">
        <w:rPr>
          <w:rFonts w:ascii="Times New Roman" w:hAnsi="Times New Roman" w:cs="Times New Roman"/>
        </w:rPr>
        <w:t xml:space="preserve"> </w:t>
      </w:r>
      <w:r w:rsidR="00F13C1D" w:rsidRPr="00070602">
        <w:rPr>
          <w:rFonts w:ascii="Times New Roman" w:hAnsi="Times New Roman" w:cs="Times New Roman"/>
        </w:rPr>
        <w:t>In another study, activation of microglia following LPS (lipopolysaccharide, a proinflammatory molecule) treatment</w:t>
      </w:r>
      <w:r w:rsidR="0021347D" w:rsidRPr="00070602">
        <w:rPr>
          <w:rFonts w:ascii="Times New Roman" w:hAnsi="Times New Roman" w:cs="Times New Roman"/>
        </w:rPr>
        <w:t xml:space="preserve"> </w:t>
      </w:r>
      <w:r w:rsidR="00F13C1D" w:rsidRPr="00070602">
        <w:rPr>
          <w:rFonts w:ascii="Times New Roman" w:hAnsi="Times New Roman" w:cs="Times New Roman"/>
        </w:rPr>
        <w:t>resulted in the</w:t>
      </w:r>
      <w:r w:rsidR="0021347D" w:rsidRPr="00070602">
        <w:rPr>
          <w:rFonts w:ascii="Times New Roman" w:hAnsi="Times New Roman" w:cs="Times New Roman"/>
        </w:rPr>
        <w:t xml:space="preserve"> release </w:t>
      </w:r>
      <w:r w:rsidR="00F13C1D" w:rsidRPr="00070602">
        <w:rPr>
          <w:rFonts w:ascii="Times New Roman" w:hAnsi="Times New Roman" w:cs="Times New Roman"/>
        </w:rPr>
        <w:t xml:space="preserve">of </w:t>
      </w:r>
      <w:r w:rsidR="0021347D" w:rsidRPr="00070602">
        <w:rPr>
          <w:rFonts w:ascii="Times New Roman" w:hAnsi="Times New Roman" w:cs="Times New Roman"/>
        </w:rPr>
        <w:t>AT</w:t>
      </w:r>
      <w:r w:rsidR="00F13C1D" w:rsidRPr="00070602">
        <w:rPr>
          <w:rFonts w:ascii="Times New Roman" w:hAnsi="Times New Roman" w:cs="Times New Roman"/>
        </w:rPr>
        <w:t>P, triggering</w:t>
      </w:r>
      <w:r w:rsidR="0021347D" w:rsidRPr="00070602">
        <w:rPr>
          <w:rFonts w:ascii="Times New Roman" w:hAnsi="Times New Roman" w:cs="Times New Roman"/>
        </w:rPr>
        <w:t xml:space="preserve"> glutamate</w:t>
      </w:r>
      <w:r w:rsidR="00F13C1D" w:rsidRPr="00070602">
        <w:rPr>
          <w:rFonts w:ascii="Times New Roman" w:hAnsi="Times New Roman" w:cs="Times New Roman"/>
        </w:rPr>
        <w:t xml:space="preserve"> export</w:t>
      </w:r>
      <w:r w:rsidR="0021347D" w:rsidRPr="00070602">
        <w:rPr>
          <w:rFonts w:ascii="Times New Roman" w:hAnsi="Times New Roman" w:cs="Times New Roman"/>
        </w:rPr>
        <w:t xml:space="preserve"> from astrocytes that binds to metabotropic glutamate receptor 5 and thereby modulates neuronal activity </w:t>
      </w:r>
      <w:r w:rsidR="0021347D"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"10.1073/pnas.1111098109", "ISSN" : "1091-6490", "PMID" : "22167804", "abstract" : "Fine control of neuronal activity is crucial to rapidly adjust to subtle changes of the environment. This fine tuning was thought to be purely neuronal until the discovery that astrocytes are active players of synaptic transmission. In the adult hippocampus, microglia are the other major glial cell type. Microglia are highly dynamic and closely associated with neurons and astrocytes. They react rapidly to modifications of their environment and are able to release molecules known to control neuronal function and synaptic transmission. Therefore, microglia display functional features of synaptic partners, but their involvement in the regulation of synaptic transmission has not yet been addressed. We have used a combination of pharmacological approaches with electrophysiological analysis on acute hippocampal slices and ATP assays in purified cell cultures to show that activation of microglia induces a rapid increase of spontaneous excitatory postsynaptic currents. We found that this modulation is mediated by binding of ATP to P2Y1R located on astrocytes and is independent of TNF\u03b1 or NOS2. Our data indicate that, on activation, microglia cells rapidly release small amounts of ATP, and astrocytes, in turn, amplified this release. Finally, P2Y1 stimulation of astrocytes increased excitatory postsynaptic current frequency through a metabotropic glutamate receptor 5-dependent mechanism. These results indicate that microglia are genuine regulators of neurotransmission and place microglia as upstream partners of astrocytes. Because pathological activation of microglia and alteration of neurotransmission are two early symptoms of most brain diseases, our work also provides a basis for understanding synaptic dysfunction in neuronal diseases.", "author" : [ { "dropping-particle" : "", "family" : "Pascual", "given" : "Olivier", "non-dropping-particle" : "", "parse-names" : false, "suffix" : "" }, { "dropping-particle" : "", "family" : "Achour", "given" : "Sarrah", "non-dropping-particle" : "Ben", "parse-names" : false, "suffix" : "" }, { "dropping-particle" : "", "family" : "Rostaing", "given" : "Philippe", "non-dropping-particle" : "", "parse-names" : false, "suffix" : "" }, { "dropping-particle" : "", "family" : "Triller", "given" : "Antoine", "non-dropping-particle" : "", "parse-names" : false, "suffix" : "" }, { "dropping-particle" : "", "family" : "Bessis", "given" : "Alain", "non-dropping-particle" : "", "parse-names" : false, "suffix" : "" } ], "container-title" : "Proceedings of the National Academy of Sciences of the United States of America", "id" : "ITEM-1", "issue" : "4", "issued" : { "date-parts" : [ [ "2012", "1", "24" ] ] }, "page" : "E197-205", "title" : "Microglia activation triggers astrocyte-mediated modulation of excitatory neurotransmission.", "type" : "article-journal", "volume" : "109" }, "uris" : [ "http://www.mendeley.com/documents/?uuid=ac5bd72a-3b12-48a4-8e44-bb91b97e5860" ] } ], "mendeley" : { "formattedCitation" : "(Pascual et al. 2012)", "plainTextFormattedCitation" : "(Pascual et al. 2012)", "previouslyFormattedCitation" : "(Pascual et al. 2012)" }, "properties" : { "noteIndex" : 0 }, "schema" : "https://github.com/citation-style-language/schema/raw/master/csl-citation.json" }</w:instrText>
      </w:r>
      <w:r w:rsidR="0021347D" w:rsidRPr="00070602">
        <w:rPr>
          <w:rFonts w:ascii="Times New Roman" w:hAnsi="Times New Roman" w:cs="Times New Roman"/>
        </w:rPr>
        <w:fldChar w:fldCharType="separate"/>
      </w:r>
      <w:r w:rsidR="00C148FC" w:rsidRPr="00C148FC">
        <w:rPr>
          <w:rFonts w:ascii="Times New Roman" w:hAnsi="Times New Roman" w:cs="Times New Roman"/>
          <w:noProof/>
        </w:rPr>
        <w:t>(Pascual et al. 2012)</w:t>
      </w:r>
      <w:r w:rsidR="0021347D" w:rsidRPr="00070602">
        <w:rPr>
          <w:rFonts w:ascii="Times New Roman" w:hAnsi="Times New Roman" w:cs="Times New Roman"/>
        </w:rPr>
        <w:fldChar w:fldCharType="end"/>
      </w:r>
      <w:r w:rsidR="0021347D" w:rsidRPr="00070602">
        <w:rPr>
          <w:rFonts w:ascii="Times New Roman" w:hAnsi="Times New Roman" w:cs="Times New Roman"/>
        </w:rPr>
        <w:t>.</w:t>
      </w:r>
      <w:r w:rsidR="00F13C1D" w:rsidRPr="00070602">
        <w:rPr>
          <w:rFonts w:ascii="Times New Roman" w:hAnsi="Times New Roman" w:cs="Times New Roman"/>
        </w:rPr>
        <w:t xml:space="preserve"> </w:t>
      </w:r>
      <w:r w:rsidR="00B51FA7">
        <w:rPr>
          <w:rFonts w:ascii="Times New Roman" w:hAnsi="Times New Roman" w:cs="Times New Roman"/>
        </w:rPr>
        <w:t>Microglia</w:t>
      </w:r>
      <w:r w:rsidR="00F13C1D" w:rsidRPr="00070602">
        <w:rPr>
          <w:rFonts w:ascii="Times New Roman" w:hAnsi="Times New Roman" w:cs="Times New Roman"/>
        </w:rPr>
        <w:t xml:space="preserve"> not only relay information to astrocytes, but can also receive messages. Calcium signalling in astrocytes can be triggered following </w:t>
      </w:r>
      <w:r w:rsidR="00D4716A">
        <w:rPr>
          <w:rFonts w:ascii="Times New Roman" w:hAnsi="Times New Roman" w:cs="Times New Roman"/>
        </w:rPr>
        <w:t>neuronal glutamate release and there is</w:t>
      </w:r>
      <w:r w:rsidR="00F13C1D" w:rsidRPr="00070602">
        <w:rPr>
          <w:rFonts w:ascii="Times New Roman" w:hAnsi="Times New Roman" w:cs="Times New Roman"/>
        </w:rPr>
        <w:t xml:space="preserve"> evidence</w:t>
      </w:r>
      <w:r w:rsidR="00D4716A">
        <w:rPr>
          <w:rFonts w:ascii="Times New Roman" w:hAnsi="Times New Roman" w:cs="Times New Roman"/>
        </w:rPr>
        <w:t xml:space="preserve"> to suggest</w:t>
      </w:r>
      <w:r w:rsidR="00F13C1D" w:rsidRPr="00070602">
        <w:rPr>
          <w:rFonts w:ascii="Times New Roman" w:hAnsi="Times New Roman" w:cs="Times New Roman"/>
        </w:rPr>
        <w:t xml:space="preserve"> that calcium waves are propagated to microglia as ATP. ATP binds to the purinoreceptor P2X7, but </w:t>
      </w:r>
      <w:r w:rsidR="00D4716A">
        <w:rPr>
          <w:rFonts w:ascii="Times New Roman" w:hAnsi="Times New Roman" w:cs="Times New Roman"/>
        </w:rPr>
        <w:t>as a result</w:t>
      </w:r>
      <w:r w:rsidR="00B51FA7">
        <w:rPr>
          <w:rFonts w:ascii="Times New Roman" w:hAnsi="Times New Roman" w:cs="Times New Roman"/>
        </w:rPr>
        <w:t xml:space="preserve"> can cause</w:t>
      </w:r>
      <w:r w:rsidR="00F13C1D" w:rsidRPr="00070602">
        <w:rPr>
          <w:rFonts w:ascii="Times New Roman" w:hAnsi="Times New Roman" w:cs="Times New Roman"/>
        </w:rPr>
        <w:t xml:space="preserve"> an imbalance in</w:t>
      </w:r>
      <w:r w:rsidR="00B51FA7">
        <w:rPr>
          <w:rFonts w:ascii="Times New Roman" w:hAnsi="Times New Roman" w:cs="Times New Roman"/>
        </w:rPr>
        <w:t xml:space="preserve"> calcium homeostasis and induce</w:t>
      </w:r>
      <w:r w:rsidR="00F13C1D" w:rsidRPr="00070602">
        <w:rPr>
          <w:rFonts w:ascii="Times New Roman" w:hAnsi="Times New Roman" w:cs="Times New Roman"/>
        </w:rPr>
        <w:t xml:space="preserve"> microglial death </w:t>
      </w:r>
      <w:r w:rsidR="00F13C1D"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"10.4049/jimmunol.166.10.6383", "ISSN" : "0022-1767", "PMID" : "11342663", "abstract" : "Calcium-mediated intercellular communication is a mechanism by which astrocytes communicate with each other and modulate the activity of adjacent cells, including neurons and oligodendrocytes. We have investigated whether microglia, the immune effector cells involved in several diseases of the CNS, are actively involved in this communication network. To address this issue, we analyzed calcium dynamics in fura-2-loaded cocultures of astrocytes and microglia under physiological conditions and in the presence of the inflammatory cytokine IFN-gamma. The intracellular calcium increases in astrocytes, occurring spontaneously or as a result of mechanical or bradykinin stimulation, induced the release of ATP, which, in turn, was responsible for triggering a delayed calcium response in microglial cells. Repeated stimulations of microglial cells by astrocyte-released ATP activated P2X(7) purinergic receptor on microglial cells and greatly increased membrane permeability, eventually leading to microglial apoptosis. IFN-gamma increased ATP release and potentiated the P2X(7)-mediated cytolytic effect. This is the first study showing that ATP mediates a form of calcium signaling between astrocytes and microglia. This mechanism of intercellular communication may be involved in controlling the number and function of microglial cells under pathophysiologic CNS conditions.", "author" : [ { "dropping-particle" : "", "family" : "Verderio", "given" : "C.", "non-dropping-particle" : "", "parse-names" : false, "suffix" : "" }, { "dropping-particle" : "", "family" : "Matteoli", "given" : "M.", "non-dropping-particle" : "", "parse-names" : false, "suffix" : "" } ], "container-title" : "The Journal of Immunology", "id" : "ITEM-1", "issue" : "10", "issued" : { "date-parts" : [ [ "2001", "5", "15" ] ] }, "language" : "en", "page" : "6383-6391", "publisher" : "American Association of Immunologists", "title" : "ATP Mediates Calcium Signaling Between Astrocytes and Microglial Cells: Modulation by IFN-\u00a0", "type" : "article-journal", "volume" : "166" }, "uris" : [ "http://www.mendeley.com/documents/?uuid=083b21b3-4485-4a38-85de-3ee7517087b4" ] } ], "mendeley" : { "formattedCitation" : "(Verderio &amp; Matteoli 2001)", "plainTextFormattedCitation" : "(Verderio &amp; Matteoli 2001)", "previouslyFormattedCitation" : "(Verderio &amp; Matteoli 2001)" }, "properties" : { "noteIndex" : 0 }, "schema" : "https://github.com/citation-style-language/schema/raw/master/csl-citation.json" }</w:instrText>
      </w:r>
      <w:r w:rsidR="00F13C1D" w:rsidRPr="00070602">
        <w:rPr>
          <w:rFonts w:ascii="Times New Roman" w:hAnsi="Times New Roman" w:cs="Times New Roman"/>
        </w:rPr>
        <w:fldChar w:fldCharType="separate"/>
      </w:r>
      <w:r w:rsidR="00C148FC" w:rsidRPr="00C148FC">
        <w:rPr>
          <w:rFonts w:ascii="Times New Roman" w:hAnsi="Times New Roman" w:cs="Times New Roman"/>
          <w:noProof/>
        </w:rPr>
        <w:t>(Verderio &amp; Matteoli 2001)</w:t>
      </w:r>
      <w:r w:rsidR="00F13C1D" w:rsidRPr="00070602">
        <w:rPr>
          <w:rFonts w:ascii="Times New Roman" w:hAnsi="Times New Roman" w:cs="Times New Roman"/>
        </w:rPr>
        <w:fldChar w:fldCharType="end"/>
      </w:r>
      <w:r w:rsidR="00F13C1D" w:rsidRPr="00070602">
        <w:rPr>
          <w:rFonts w:ascii="Times New Roman" w:hAnsi="Times New Roman" w:cs="Times New Roman"/>
        </w:rPr>
        <w:t>.</w:t>
      </w:r>
    </w:p>
    <w:p w14:paraId="108D067B" w14:textId="77777777" w:rsidR="00567751" w:rsidRDefault="00567751" w:rsidP="009D1747">
      <w:pPr>
        <w:spacing w:line="360" w:lineRule="auto"/>
        <w:rPr>
          <w:rFonts w:ascii="Times New Roman" w:hAnsi="Times New Roman" w:cs="Times New Roman"/>
        </w:rPr>
      </w:pPr>
      <w:r>
        <w:rPr>
          <w:rFonts w:ascii="Times New Roman" w:hAnsi="Times New Roman" w:cs="Times New Roman"/>
        </w:rPr>
        <w:t xml:space="preserve"> </w:t>
      </w:r>
    </w:p>
    <w:p w14:paraId="20AB0A13" w14:textId="56CF56C2" w:rsidR="007E1F1F" w:rsidRDefault="005B2C45" w:rsidP="00B07212">
      <w:pPr>
        <w:spacing w:line="360" w:lineRule="auto"/>
        <w:jc w:val="both"/>
        <w:rPr>
          <w:rFonts w:ascii="Times New Roman" w:hAnsi="Times New Roman" w:cs="Times New Roman"/>
        </w:rPr>
      </w:pPr>
      <w:r w:rsidRPr="00070602">
        <w:rPr>
          <w:rFonts w:ascii="Times New Roman" w:hAnsi="Times New Roman" w:cs="Times New Roman"/>
        </w:rPr>
        <w:t>Microglia</w:t>
      </w:r>
      <w:r w:rsidR="00701858" w:rsidRPr="00070602">
        <w:rPr>
          <w:rFonts w:ascii="Times New Roman" w:hAnsi="Times New Roman" w:cs="Times New Roman"/>
        </w:rPr>
        <w:t>, like astrocytes, have been shown to</w:t>
      </w:r>
      <w:r w:rsidRPr="00070602">
        <w:rPr>
          <w:rFonts w:ascii="Times New Roman" w:hAnsi="Times New Roman" w:cs="Times New Roman"/>
        </w:rPr>
        <w:t xml:space="preserve"> </w:t>
      </w:r>
      <w:r w:rsidR="00701858" w:rsidRPr="00070602">
        <w:rPr>
          <w:rFonts w:ascii="Times New Roman" w:hAnsi="Times New Roman" w:cs="Times New Roman"/>
        </w:rPr>
        <w:t>establish contact with synapses, which has led to a new term being adopted to descri</w:t>
      </w:r>
      <w:r w:rsidR="00D67AC0" w:rsidRPr="00070602">
        <w:rPr>
          <w:rFonts w:ascii="Times New Roman" w:hAnsi="Times New Roman" w:cs="Times New Roman"/>
        </w:rPr>
        <w:t>be th</w:t>
      </w:r>
      <w:r w:rsidR="00F13C1D" w:rsidRPr="00070602">
        <w:rPr>
          <w:rFonts w:ascii="Times New Roman" w:hAnsi="Times New Roman" w:cs="Times New Roman"/>
        </w:rPr>
        <w:t>e functional elements present at</w:t>
      </w:r>
      <w:r w:rsidR="00D67AC0" w:rsidRPr="00070602">
        <w:rPr>
          <w:rFonts w:ascii="Times New Roman" w:hAnsi="Times New Roman" w:cs="Times New Roman"/>
        </w:rPr>
        <w:t xml:space="preserve"> a </w:t>
      </w:r>
      <w:r w:rsidR="00701858" w:rsidRPr="00070602">
        <w:rPr>
          <w:rFonts w:ascii="Times New Roman" w:hAnsi="Times New Roman" w:cs="Times New Roman"/>
        </w:rPr>
        <w:t>synapse, this is the “quadpartite synapse”.</w:t>
      </w:r>
      <w:r w:rsidR="00D432F9" w:rsidRPr="00070602">
        <w:rPr>
          <w:rFonts w:ascii="Times New Roman" w:hAnsi="Times New Roman" w:cs="Times New Roman"/>
        </w:rPr>
        <w:t xml:space="preserve"> </w:t>
      </w:r>
      <w:r w:rsidR="008E4C27" w:rsidRPr="00070602">
        <w:rPr>
          <w:rFonts w:ascii="Times New Roman" w:hAnsi="Times New Roman" w:cs="Times New Roman"/>
        </w:rPr>
        <w:t xml:space="preserve">Microglia are highly motile cells that can increase the frequency of contacts made with synaptic elements based on levels of neuronal activity </w:t>
      </w:r>
      <w:r w:rsidR="008D0853"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"10.1371/journal.pbio.1000527", "ISBN" : "10.1371/journal.pbio.1000527", "ISSN" : "1545-7885", "PMID" : "21072242", "abstract" : "Microglia are the immune cells of the brain. In the absence of pathological insult, their highly motile processes continually survey the brain parenchyma and transiently contact synaptic elements. Aside from monitoring, their physiological roles at synapses are not known. To gain insight into possible roles of microglia in the modification of synaptic structures, we used immunocytochemical electron microscopy, serial section electron microscopy with three-dimensional reconstructions, and two-photon in vivo imaging to characterize microglial interactions with synapses during normal and altered sensory experience, in the visual cortex of juvenile mice. During normal visual experience, most microglial processes displayed direct apposition with multiple synapse-associated elements, including synaptic clefts. Microglial processes were also distinctively surrounded by pockets of extracellular space. In terms of dynamics, microglial processes localized to the vicinity of small and transiently growing dendritic spines, which were typically lost over 2 d. When experience was manipulated through light deprivation and reexposure, microglial processes changed their morphology, showed altered distributions of extracellular space, displayed phagocytic structures, apposed synaptic clefts more frequently, and enveloped synapse-associated elements more extensively. While light deprivation induced microglia to become less motile and changed their preference of localization to the vicinity of a subset of larger dendritic spines that persistently shrank, light reexposure reversed these behaviors. Taken together, these findings reveal different modalities of microglial interactions with synapses that are subtly altered by sensory experience. These findings suggest that microglia may actively contribute to the experience-dependent modification or elimination of a specific subset of synapses in the healthy brain.", "author" : [ { "dropping-particle" : "", "family" : "Tremblay", "given" : "Marie-\u00c8ve", "non-dropping-particle" : "", "parse-names" : false, "suffix" : "" }, { "dropping-particle" : "", "family" : "Lowery", "given" : "Rebecca L", "non-dropping-particle" : "", "parse-names" : false, "suffix" : "" }, { "dropping-particle" : "", "family" : "Majewska", "given" : "Ania K", "non-dropping-particle" : "", "parse-names" : false, "suffix" : "" } ], "container-title" : "PLoS biology", "id" : "ITEM-1", "issue" : "11", "issued" : { "date-parts" : [ [ "2010", "1", "2" ] ] }, "page" : "e1000527", "publisher" : "Public Library of Science", "title" : "Microglial interactions with synapses are modulated by visual experience.", "type" : "article-journal", "volume" : "8" }, "uris" : [ "http://www.mendeley.com/documents/?uuid=4d3cad56-c760-4d86-9a46-e3147d3a4ff2" ] } ], "mendeley" : { "formattedCitation" : "(Tremblay et al. 2010)", "plainTextFormattedCitation" : "(Tremblay et al. 2010)", "previouslyFormattedCitation" : "(Tremblay et al. 2010)" }, "properties" : { "noteIndex" : 0 }, "schema" : "https://github.com/citation-style-language/schema/raw/master/csl-citation.json" }</w:instrText>
      </w:r>
      <w:r w:rsidR="008D0853" w:rsidRPr="00070602">
        <w:rPr>
          <w:rFonts w:ascii="Times New Roman" w:hAnsi="Times New Roman" w:cs="Times New Roman"/>
        </w:rPr>
        <w:fldChar w:fldCharType="separate"/>
      </w:r>
      <w:r w:rsidR="00C148FC" w:rsidRPr="00C148FC">
        <w:rPr>
          <w:rFonts w:ascii="Times New Roman" w:hAnsi="Times New Roman" w:cs="Times New Roman"/>
          <w:noProof/>
        </w:rPr>
        <w:t>(Tremblay et al. 2010)</w:t>
      </w:r>
      <w:r w:rsidR="008D0853" w:rsidRPr="00070602">
        <w:rPr>
          <w:rFonts w:ascii="Times New Roman" w:hAnsi="Times New Roman" w:cs="Times New Roman"/>
        </w:rPr>
        <w:fldChar w:fldCharType="end"/>
      </w:r>
      <w:r w:rsidR="00C221E4" w:rsidRPr="00070602">
        <w:rPr>
          <w:rFonts w:ascii="Times New Roman" w:hAnsi="Times New Roman" w:cs="Times New Roman"/>
        </w:rPr>
        <w:t xml:space="preserve"> and as they are </w:t>
      </w:r>
      <w:r w:rsidR="00ED2398" w:rsidRPr="00070602">
        <w:rPr>
          <w:rFonts w:ascii="Times New Roman" w:hAnsi="Times New Roman" w:cs="Times New Roman"/>
        </w:rPr>
        <w:t xml:space="preserve">phagocytic cells, they </w:t>
      </w:r>
      <w:r w:rsidR="00C221E4" w:rsidRPr="00070602">
        <w:rPr>
          <w:rFonts w:ascii="Times New Roman" w:hAnsi="Times New Roman" w:cs="Times New Roman"/>
        </w:rPr>
        <w:t xml:space="preserve">are involved in </w:t>
      </w:r>
      <w:r w:rsidR="00ED2398" w:rsidRPr="00070602">
        <w:rPr>
          <w:rFonts w:ascii="Times New Roman" w:hAnsi="Times New Roman" w:cs="Times New Roman"/>
        </w:rPr>
        <w:t>pruning synapses during brain matura</w:t>
      </w:r>
      <w:r w:rsidR="00DC49E6" w:rsidRPr="00070602">
        <w:rPr>
          <w:rFonts w:ascii="Times New Roman" w:hAnsi="Times New Roman" w:cs="Times New Roman"/>
        </w:rPr>
        <w:t>tion</w:t>
      </w:r>
      <w:r w:rsidR="00595449">
        <w:rPr>
          <w:rFonts w:ascii="Times New Roman" w:hAnsi="Times New Roman" w:cs="Times New Roman"/>
        </w:rPr>
        <w:t xml:space="preserve"> and may also have a role in synaptic </w:t>
      </w:r>
      <w:r w:rsidR="00595449" w:rsidRPr="00DE1954">
        <w:rPr>
          <w:rFonts w:ascii="Times New Roman" w:hAnsi="Times New Roman" w:cs="Times New Roman"/>
        </w:rPr>
        <w:t xml:space="preserve">turnover </w:t>
      </w:r>
      <w:r w:rsidR="00EF742C" w:rsidRPr="00DE1954">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"10.1126/science.1202529", "ISSN" : "1095-9203", "PMID" : "21778362", "abstract" : "Microglia are highly motile phagocytic cells that infiltrate and take up residence in the developing brain, where they are thought to provide a surveillance and scavenging function. However, although microglia have been shown to engulf and clear damaged cellular debris after brain insult, it remains less clear what role microglia play in the uninjured brain. Here, we show that microglia actively engulf synaptic material and play a major role in synaptic pruning during postnatal development in mice. These findings link microglia surveillance to synaptic maturation and suggest that deficits in microglia function may contribute to synaptic abnormalities seen in some neurodevelopmental disorders.", "author" : [ { "dropping-particle" : "", "family" : "Paolicelli", "given" : "Rosa C", "non-dropping-particle" : "", "parse-names" : false, "suffix" : "" }, { "dropping-particle" : "", "family" : "Bolasco", "given" : "Giulia", "non-dropping-particle" : "", "parse-names" : false, "suffix" : "" }, { "dropping-particle" : "", "family" : "Pagani", "given" : "Francesca", "non-dropping-particle" : "", "parse-names" : false, "suffix" : "" }, { "dropping-particle" : "", "family" : "Maggi", "given" : "Laura", "non-dropping-particle" : "", "parse-names" : false, "suffix" : "" }, { "dropping-particle" : "", "family" : "Scianni", "given" : "Maria", "non-dropping-particle" : "", "parse-names" : false, "suffix" : "" }, { "dropping-particle" : "", "family" : "Panzanelli", "given" : "Patrizia", "non-dropping-particle" : "", "parse-names" : false, "suffix" : "" }, { "dropping-particle" : "", "family" : "Giustetto", "given" : "Maurizio", "non-dropping-particle" : "", "parse-names" : false, "suffix" : "" }, { "dropping-particle" : "", "family" : "Ferreira", "given" : "Tiago Alves", "non-dropping-particle" : "", "parse-names" : false, "suffix" : "" }, { "dropping-particle" : "", "family" : "Guiducci", "given" : "Eva", "non-dropping-particle" : "", "parse-names" : false, "suffix" : "" }, { "dropping-particle" : "", "family" : "Dumas", "given" : "Laura", "non-dropping-particle" : "", "parse-names" : false, "suffix" : "" }, { "dropping-particle" : "", "family" : "Ragozzino", "given" : "Davide", "non-dropping-particle" : "", "parse-names" : false, "suffix" : "" }, { "dropping-particle" : "", "family" : "Gross", "given" : "Cornelius T", "non-dropping-particle" : "", "parse-names" : false, "suffix" : "" } ], "container-title" : "Science (New York, N.Y.)", "id" : "ITEM-1", "issue" : "6048", "issued" : { "date-parts" : [ [ "2011", "9", "9" ] ] }, "page" : "1456-8", "title" : "Synaptic pruning by microglia is necessary for normal brain development.", "type" : "article-journal", "volume" : "333" }, "uris" : [ "http://www.mendeley.com/documents/?uuid=53b15081-0018-3927-a5cc-5d5efe33507a" ] } ], "mendeley" : { "formattedCitation" : "(Paolicelli et al. 2011)", "plainTextFormattedCitation" : "(Paolicelli et al. 2011)", "previouslyFormattedCitation" : "(Paolicelli et al. 2011)" }, "properties" : { "noteIndex" : 0 }, "schema" : "https://github.com/citation-style-language/schema/raw/master/csl-citation.json" }</w:instrText>
      </w:r>
      <w:r w:rsidR="00EF742C" w:rsidRPr="00DE1954">
        <w:rPr>
          <w:rFonts w:ascii="Times New Roman" w:hAnsi="Times New Roman" w:cs="Times New Roman"/>
        </w:rPr>
        <w:fldChar w:fldCharType="separate"/>
      </w:r>
      <w:r w:rsidR="00C148FC" w:rsidRPr="00C148FC">
        <w:rPr>
          <w:rFonts w:ascii="Times New Roman" w:hAnsi="Times New Roman" w:cs="Times New Roman"/>
          <w:noProof/>
        </w:rPr>
        <w:t>(Paolicelli et al. 2011)</w:t>
      </w:r>
      <w:r w:rsidR="00EF742C" w:rsidRPr="00DE1954">
        <w:rPr>
          <w:rFonts w:ascii="Times New Roman" w:hAnsi="Times New Roman" w:cs="Times New Roman"/>
        </w:rPr>
        <w:fldChar w:fldCharType="end"/>
      </w:r>
      <w:r w:rsidR="00DC49E6" w:rsidRPr="00DE1954">
        <w:rPr>
          <w:rFonts w:ascii="Times New Roman" w:hAnsi="Times New Roman" w:cs="Times New Roman"/>
        </w:rPr>
        <w:t>.</w:t>
      </w:r>
      <w:r w:rsidR="00DC49E6" w:rsidRPr="00070602">
        <w:rPr>
          <w:rFonts w:ascii="Times New Roman" w:hAnsi="Times New Roman" w:cs="Times New Roman"/>
        </w:rPr>
        <w:t xml:space="preserve"> </w:t>
      </w:r>
      <w:r w:rsidR="00C221E4" w:rsidRPr="00070602">
        <w:rPr>
          <w:rFonts w:ascii="Times New Roman" w:hAnsi="Times New Roman" w:cs="Times New Roman"/>
        </w:rPr>
        <w:t xml:space="preserve">Microglia </w:t>
      </w:r>
      <w:r w:rsidR="008A40D1" w:rsidRPr="00070602">
        <w:rPr>
          <w:rFonts w:ascii="Times New Roman" w:hAnsi="Times New Roman" w:cs="Times New Roman"/>
        </w:rPr>
        <w:t xml:space="preserve">are able to exert control of synapses directly or </w:t>
      </w:r>
      <w:r w:rsidR="00410A95" w:rsidRPr="00070602">
        <w:rPr>
          <w:rFonts w:ascii="Times New Roman" w:hAnsi="Times New Roman" w:cs="Times New Roman"/>
        </w:rPr>
        <w:t xml:space="preserve">indirectly </w:t>
      </w:r>
      <w:r w:rsidR="008A40D1" w:rsidRPr="00070602">
        <w:rPr>
          <w:rFonts w:ascii="Times New Roman" w:hAnsi="Times New Roman" w:cs="Times New Roman"/>
        </w:rPr>
        <w:t>through</w:t>
      </w:r>
      <w:r w:rsidR="00410A95" w:rsidRPr="00070602">
        <w:rPr>
          <w:rFonts w:ascii="Times New Roman" w:hAnsi="Times New Roman" w:cs="Times New Roman"/>
        </w:rPr>
        <w:t xml:space="preserve"> regulating astrocyte homeostasis</w:t>
      </w:r>
      <w:r w:rsidR="008A40D1" w:rsidRPr="00070602">
        <w:rPr>
          <w:rFonts w:ascii="Times New Roman" w:hAnsi="Times New Roman" w:cs="Times New Roman"/>
        </w:rPr>
        <w:t xml:space="preserve">. However, during </w:t>
      </w:r>
      <w:r w:rsidR="00C94ABD" w:rsidRPr="00070602">
        <w:rPr>
          <w:rFonts w:ascii="Times New Roman" w:hAnsi="Times New Roman" w:cs="Times New Roman"/>
        </w:rPr>
        <w:t>an immune response</w:t>
      </w:r>
      <w:r w:rsidR="0050067B">
        <w:rPr>
          <w:rFonts w:ascii="Times New Roman" w:hAnsi="Times New Roman" w:cs="Times New Roman"/>
        </w:rPr>
        <w:t xml:space="preserve"> cross</w:t>
      </w:r>
      <w:r w:rsidR="008A40D1" w:rsidRPr="00070602">
        <w:rPr>
          <w:rFonts w:ascii="Times New Roman" w:hAnsi="Times New Roman" w:cs="Times New Roman"/>
        </w:rPr>
        <w:t xml:space="preserve">talk between microglia, astrocytes and neurons can be disrupted resulting </w:t>
      </w:r>
      <w:r w:rsidR="00C94ABD" w:rsidRPr="00070602">
        <w:rPr>
          <w:rFonts w:ascii="Times New Roman" w:hAnsi="Times New Roman" w:cs="Times New Roman"/>
        </w:rPr>
        <w:t>in altered functioning of these cells</w:t>
      </w:r>
      <w:r w:rsidR="008A40D1" w:rsidRPr="00070602">
        <w:rPr>
          <w:rFonts w:ascii="Times New Roman" w:hAnsi="Times New Roman" w:cs="Times New Roman"/>
        </w:rPr>
        <w:t xml:space="preserve">. </w:t>
      </w:r>
      <w:r w:rsidR="00410A95" w:rsidRPr="00070602">
        <w:rPr>
          <w:rFonts w:ascii="Times New Roman" w:hAnsi="Times New Roman" w:cs="Times New Roman"/>
        </w:rPr>
        <w:t xml:space="preserve">For example, </w:t>
      </w:r>
      <w:r w:rsidR="005A16BF" w:rsidRPr="00070602">
        <w:rPr>
          <w:rFonts w:ascii="Times New Roman" w:hAnsi="Times New Roman" w:cs="Times New Roman"/>
        </w:rPr>
        <w:t>st</w:t>
      </w:r>
      <w:r w:rsidR="00706AA6">
        <w:rPr>
          <w:rFonts w:ascii="Times New Roman" w:hAnsi="Times New Roman" w:cs="Times New Roman"/>
        </w:rPr>
        <w:t>imulation of microglia with LPS</w:t>
      </w:r>
      <w:r w:rsidR="005A16BF" w:rsidRPr="00070602">
        <w:rPr>
          <w:rFonts w:ascii="Times New Roman" w:hAnsi="Times New Roman" w:cs="Times New Roman"/>
        </w:rPr>
        <w:t xml:space="preserve"> </w:t>
      </w:r>
      <w:r w:rsidR="00410A95" w:rsidRPr="00070602">
        <w:rPr>
          <w:rFonts w:ascii="Times New Roman" w:hAnsi="Times New Roman" w:cs="Times New Roman"/>
        </w:rPr>
        <w:t>causes</w:t>
      </w:r>
      <w:r w:rsidR="00D4716A">
        <w:rPr>
          <w:rFonts w:ascii="Times New Roman" w:hAnsi="Times New Roman" w:cs="Times New Roman"/>
        </w:rPr>
        <w:t xml:space="preserve"> release of l</w:t>
      </w:r>
      <w:r w:rsidR="005A16BF" w:rsidRPr="00070602">
        <w:rPr>
          <w:rFonts w:ascii="Times New Roman" w:hAnsi="Times New Roman" w:cs="Times New Roman"/>
        </w:rPr>
        <w:t>-glutamate</w:t>
      </w:r>
      <w:r w:rsidR="00410A95" w:rsidRPr="00070602">
        <w:rPr>
          <w:rFonts w:ascii="Times New Roman" w:hAnsi="Times New Roman" w:cs="Times New Roman"/>
        </w:rPr>
        <w:t xml:space="preserve"> from microglia and</w:t>
      </w:r>
      <w:r w:rsidR="005A16BF" w:rsidRPr="00070602">
        <w:rPr>
          <w:rFonts w:ascii="Times New Roman" w:hAnsi="Times New Roman" w:cs="Times New Roman"/>
        </w:rPr>
        <w:t xml:space="preserve"> </w:t>
      </w:r>
      <w:r w:rsidR="00410A95" w:rsidRPr="00070602">
        <w:rPr>
          <w:rFonts w:ascii="Times New Roman" w:hAnsi="Times New Roman" w:cs="Times New Roman"/>
        </w:rPr>
        <w:t>simultaneous</w:t>
      </w:r>
      <w:r w:rsidR="005A16BF" w:rsidRPr="00070602">
        <w:rPr>
          <w:rFonts w:ascii="Times New Roman" w:hAnsi="Times New Roman" w:cs="Times New Roman"/>
        </w:rPr>
        <w:t xml:space="preserve"> loss of l-glutamate transporters in astrocytes. Loss of glutamate uptake by astrocytes and an additional glutamate load</w:t>
      </w:r>
      <w:r w:rsidR="00410A95" w:rsidRPr="00070602">
        <w:rPr>
          <w:rFonts w:ascii="Times New Roman" w:hAnsi="Times New Roman" w:cs="Times New Roman"/>
        </w:rPr>
        <w:t xml:space="preserve"> is thought to result in </w:t>
      </w:r>
      <w:r w:rsidR="001F53FD" w:rsidRPr="00070602">
        <w:rPr>
          <w:rFonts w:ascii="Times New Roman" w:hAnsi="Times New Roman" w:cs="Times New Roman"/>
        </w:rPr>
        <w:t>excessive stimulation of l-glutamate receptors and neurotoxicity</w:t>
      </w:r>
      <w:r w:rsidR="00410A95" w:rsidRPr="00070602">
        <w:rPr>
          <w:rFonts w:ascii="Times New Roman" w:hAnsi="Times New Roman" w:cs="Times New Roman"/>
        </w:rPr>
        <w:t xml:space="preserve"> </w:t>
      </w:r>
      <w:r w:rsidR="005A16BF" w:rsidRPr="000706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"10.1186/1742-2094-9-275", "ISBN" : "10.1186/1742-2094-9-275", "ISSN" : "1742-2094", "PMID" : "23259598", "abstract" : "BACKGROUND: In the central nervous system, astrocytic L-glutamate (L-Glu) transporters maintain extracellular L-Glu below neurotoxic levels, but their function is impaired with neuroinflammation. Microglia become activated with inflammation; however, the correlation between activated microglia and the impairment of L-Glu transporters is unknown.\n\nMETHODS: We used a mixed culture composed of astrocytes, microglia, and neurons. To quantify L-Glu transporter function, we measured the extracellular L-Glu that remained 30 min after an application of L-Glu to the medium (the starting concentration was 100 \u03bcM). We determined the optimal conditions of lipopolysaccharide (LPS) treatment to establish an inflammation model without cell death. We examined the predominant subtypes of L-Glu transporters and the changes in the expression levels of these transporters in this inflammation model. We then investigated the role of activated microglia in the changes in L-Glu transporter expression and the underlying mechanisms in this inflammation model.\n\nRESULTS: Because LPS (10 ng/mL, 72 h) caused a significant increase in the levels of L-Glu remaining but did not affect cell viability, we adopted this condition for our inflammation model without cell death. GLAST was the predominant L-Glu transporter subtype, and its expression decreased in this inflammation model. As a result of their release of L-Glu, activated microglia were shown to be essential for the significant decrease in L-Glu uptake. The serial application of L-Glu caused a significant decrease in L-Glu uptake and GLAST expression in the astrocyte culture. The hemichannel inhibitor carbenoxolone (CBX) inhibited L-Glu release from activated microglia and ameliorated the decrease in GLAST expression in the inflammation model. In addition, the elevation of the astrocytic intracellular L-Glu itself caused the downregulation of GLAST.\n\nCONCLUSIONS: Our findings suggest that activated microglia trigger the elevation of extracellular L-Glu through their own release of L-Glu, and astrocyte L-Glu transporters are downregulated as a result of the elevation of astrocytic intracellular L-Glu levels, causing a further increase of extracellular L-Glu. Our data suggest the new hypothesis that activated microglia collude with astrocytes to cause the elevation of extracellular L-Glu in the early stages of neuroinflammation.", "author" : [ { "dropping-particle" : "", "family" : "Takaki", "given" : "Junpei", "non-dropping-particle" : "", "parse-names" : false, "suffix" : "" }, { "dropping-particle" : "", "family" : "Fujimori", "given" : "Koki", "non-dropping-particle" : "", "parse-names" : false, "suffix" : "" }, { "dropping-particle" : "", "family" : "Miura", "given" : "Marie", "non-dropping-particle" : "", "parse-names" : false, "suffix" : "" }, { "dropping-particle" : "", "family" : "Suzuki", "given" : "Takeshi", "non-dropping-particle" : "", "parse-names" : false, "suffix" : "" }, { "dropping-particle" : "", "family" : "Sekino", "given" : "Yuko", "non-dropping-particle" : "", "parse-names" : false, "suffix" : "" }, { "dropping-particle" : "", "family" : "Sato", "given" : "Kaoru", "non-dropping-particle" : "", "parse-names" : false, "suffix" : "" } ], "container-title" : "Journal of neuroinflammation", "id" : "ITEM-1", "issue" : "1", "issued" : { "date-parts" : [ [ "2012", "1", "23" ] ] }, "language" : "En", "page" : "275", "publisher" : "BioMed Central", "title" : "L-glutamate released from activated microglia downregulates astrocytic L-glutamate transporter expression in neuroinflammation: the 'collusion' hypothesis for increased extracellular L-glutamate concentration in neuroinflammation.", "type" : "article-journal", "volume" : "9" }, "uris" : [ "http://www.mendeley.com/documents/?uuid=b5cea840-aab7-49cc-b00d-5212a3c6fbc2" ] } ], "mendeley" : { "formattedCitation" : "(Takaki et al. 2012)", "plainTextFormattedCitation" : "(Takaki et al. 2012)", "previouslyFormattedCitation" : "(Takaki et al. 2012)" }, "properties" : { "noteIndex" : 0 }, "schema" : "https://github.com/citation-style-language/schema/raw/master/csl-citation.json" }</w:instrText>
      </w:r>
      <w:r w:rsidR="005A16BF" w:rsidRPr="00070602">
        <w:rPr>
          <w:rFonts w:ascii="Times New Roman" w:hAnsi="Times New Roman" w:cs="Times New Roman"/>
        </w:rPr>
        <w:fldChar w:fldCharType="separate"/>
      </w:r>
      <w:r w:rsidR="00C148FC" w:rsidRPr="00C148FC">
        <w:rPr>
          <w:rFonts w:ascii="Times New Roman" w:hAnsi="Times New Roman" w:cs="Times New Roman"/>
          <w:noProof/>
        </w:rPr>
        <w:t>(Takaki et al. 2012)</w:t>
      </w:r>
      <w:r w:rsidR="005A16BF" w:rsidRPr="00070602">
        <w:rPr>
          <w:rFonts w:ascii="Times New Roman" w:hAnsi="Times New Roman" w:cs="Times New Roman"/>
        </w:rPr>
        <w:fldChar w:fldCharType="end"/>
      </w:r>
      <w:r w:rsidR="00B86760" w:rsidRPr="00070602">
        <w:rPr>
          <w:rFonts w:ascii="Times New Roman" w:hAnsi="Times New Roman" w:cs="Times New Roman"/>
        </w:rPr>
        <w:t xml:space="preserve">, this process is now referred to as the “collusion” </w:t>
      </w:r>
      <w:r w:rsidR="00B86760" w:rsidRPr="00C30207">
        <w:rPr>
          <w:rFonts w:ascii="Times New Roman" w:hAnsi="Times New Roman" w:cs="Times New Roman"/>
        </w:rPr>
        <w:t xml:space="preserve">theory and </w:t>
      </w:r>
      <w:r w:rsidR="00410A95" w:rsidRPr="00C30207">
        <w:rPr>
          <w:rFonts w:ascii="Times New Roman" w:hAnsi="Times New Roman" w:cs="Times New Roman"/>
        </w:rPr>
        <w:t>could</w:t>
      </w:r>
      <w:r w:rsidR="00B86760" w:rsidRPr="00C30207">
        <w:rPr>
          <w:rFonts w:ascii="Times New Roman" w:hAnsi="Times New Roman" w:cs="Times New Roman"/>
        </w:rPr>
        <w:t xml:space="preserve"> represent early stages in neuroinflammation.</w:t>
      </w:r>
      <w:r w:rsidR="00B86760" w:rsidRPr="009E10B0">
        <w:rPr>
          <w:rFonts w:ascii="Times New Roman" w:hAnsi="Times New Roman" w:cs="Times New Roman"/>
        </w:rPr>
        <w:t xml:space="preserve"> </w:t>
      </w:r>
      <w:bookmarkStart w:id="192" w:name="_Toc328301085"/>
    </w:p>
    <w:p w14:paraId="26DF6808" w14:textId="77777777" w:rsidR="00C2382D" w:rsidRDefault="00C2382D" w:rsidP="001B1D82">
      <w:pPr>
        <w:pStyle w:val="Heading3"/>
      </w:pPr>
      <w:bookmarkStart w:id="193" w:name="_Toc329593376"/>
      <w:bookmarkStart w:id="194" w:name="_Toc331425878"/>
      <w:bookmarkStart w:id="195" w:name="_Toc331427065"/>
      <w:bookmarkStart w:id="196" w:name="_Toc331427437"/>
      <w:bookmarkStart w:id="197" w:name="_Toc331427579"/>
    </w:p>
    <w:p w14:paraId="65CBD656" w14:textId="471ADE74" w:rsidR="000D57B9" w:rsidRDefault="003A2584" w:rsidP="001B1D82">
      <w:pPr>
        <w:pStyle w:val="Heading3"/>
      </w:pPr>
      <w:bookmarkStart w:id="198" w:name="_Toc332972583"/>
      <w:bookmarkStart w:id="199" w:name="_Toc333046863"/>
      <w:bookmarkStart w:id="200" w:name="_Toc333477210"/>
      <w:bookmarkStart w:id="201" w:name="_Toc333477980"/>
      <w:bookmarkStart w:id="202" w:name="_Toc333644880"/>
      <w:r w:rsidRPr="00070602">
        <w:t xml:space="preserve">1.3.5 </w:t>
      </w:r>
      <w:r w:rsidR="000D57B9" w:rsidRPr="00070602">
        <w:t>Antioxidant capacity</w:t>
      </w:r>
      <w:bookmarkEnd w:id="192"/>
      <w:bookmarkEnd w:id="193"/>
      <w:bookmarkEnd w:id="194"/>
      <w:bookmarkEnd w:id="195"/>
      <w:bookmarkEnd w:id="196"/>
      <w:bookmarkEnd w:id="197"/>
      <w:bookmarkEnd w:id="198"/>
      <w:bookmarkEnd w:id="199"/>
      <w:bookmarkEnd w:id="200"/>
      <w:bookmarkEnd w:id="201"/>
      <w:bookmarkEnd w:id="202"/>
    </w:p>
    <w:p w14:paraId="424765BE" w14:textId="77777777" w:rsidR="00756E88" w:rsidRDefault="00756E88" w:rsidP="00103AAC">
      <w:pPr>
        <w:spacing w:line="360" w:lineRule="auto"/>
      </w:pPr>
    </w:p>
    <w:p w14:paraId="533F0DA8" w14:textId="011712A6" w:rsidR="009D1747" w:rsidRDefault="0039557A" w:rsidP="00B07212">
      <w:pPr>
        <w:spacing w:line="360" w:lineRule="auto"/>
        <w:jc w:val="both"/>
        <w:rPr>
          <w:rFonts w:ascii="Times New Roman" w:hAnsi="Times New Roman" w:cs="Times New Roman"/>
        </w:rPr>
      </w:pPr>
      <w:r w:rsidRPr="00070602">
        <w:rPr>
          <w:rFonts w:ascii="Times New Roman" w:hAnsi="Times New Roman" w:cs="Times New Roman"/>
        </w:rPr>
        <w:t>Oxidative stress occurs when there is an imbalance between pro-oxid</w:t>
      </w:r>
      <w:r w:rsidR="00F73D4F">
        <w:rPr>
          <w:rFonts w:ascii="Times New Roman" w:hAnsi="Times New Roman" w:cs="Times New Roman"/>
        </w:rPr>
        <w:t>ants (such as hydrogen peroxide</w:t>
      </w:r>
      <w:r w:rsidR="004C1CF7">
        <w:rPr>
          <w:rFonts w:ascii="Times New Roman" w:hAnsi="Times New Roman" w:cs="Times New Roman"/>
        </w:rPr>
        <w:t xml:space="preserve"> [H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2</w:t>
      </w:r>
      <w:r w:rsidR="004C1CF7">
        <w:rPr>
          <w:rFonts w:ascii="Times New Roman" w:hAnsi="Times New Roman" w:cs="Times New Roman"/>
        </w:rPr>
        <w:t>]</w:t>
      </w:r>
      <w:r w:rsidR="00F73D4F">
        <w:rPr>
          <w:rFonts w:ascii="Times New Roman" w:hAnsi="Times New Roman" w:cs="Times New Roman"/>
        </w:rPr>
        <w:t xml:space="preserve"> and </w:t>
      </w:r>
      <w:r w:rsidR="001A7AF4" w:rsidRPr="00070602">
        <w:rPr>
          <w:rFonts w:ascii="Times New Roman" w:hAnsi="Times New Roman" w:cs="Times New Roman"/>
        </w:rPr>
        <w:t>transition metals</w:t>
      </w:r>
      <w:r w:rsidRPr="00070602">
        <w:rPr>
          <w:rFonts w:ascii="Times New Roman" w:hAnsi="Times New Roman" w:cs="Times New Roman"/>
        </w:rPr>
        <w:t xml:space="preserve">) and </w:t>
      </w:r>
      <w:r w:rsidR="001A7AF4" w:rsidRPr="00070602">
        <w:rPr>
          <w:rFonts w:ascii="Times New Roman" w:hAnsi="Times New Roman" w:cs="Times New Roman"/>
        </w:rPr>
        <w:t xml:space="preserve">antioxidative </w:t>
      </w:r>
      <w:r w:rsidRPr="00070602">
        <w:rPr>
          <w:rFonts w:ascii="Times New Roman" w:hAnsi="Times New Roman" w:cs="Times New Roman"/>
        </w:rPr>
        <w:t xml:space="preserve">mechanisms </w:t>
      </w:r>
      <w:r w:rsidR="001A7AF4" w:rsidRPr="00070602">
        <w:rPr>
          <w:rFonts w:ascii="Times New Roman" w:hAnsi="Times New Roman" w:cs="Times New Roman"/>
        </w:rPr>
        <w:t>required to</w:t>
      </w:r>
      <w:r w:rsidRPr="00070602">
        <w:rPr>
          <w:rFonts w:ascii="Times New Roman" w:hAnsi="Times New Roman" w:cs="Times New Roman"/>
        </w:rPr>
        <w:t xml:space="preserve"> </w:t>
      </w:r>
      <w:r w:rsidR="006E40FE" w:rsidRPr="00070602">
        <w:rPr>
          <w:rFonts w:ascii="Times New Roman" w:hAnsi="Times New Roman" w:cs="Times New Roman"/>
        </w:rPr>
        <w:t>remove</w:t>
      </w:r>
      <w:r w:rsidR="001A7AF4" w:rsidRPr="00070602">
        <w:rPr>
          <w:rFonts w:ascii="Times New Roman" w:hAnsi="Times New Roman" w:cs="Times New Roman"/>
        </w:rPr>
        <w:t xml:space="preserve"> reactive </w:t>
      </w:r>
      <w:r w:rsidR="00106952" w:rsidRPr="00070602">
        <w:rPr>
          <w:rFonts w:ascii="Times New Roman" w:hAnsi="Times New Roman" w:cs="Times New Roman"/>
        </w:rPr>
        <w:t xml:space="preserve">oxygen </w:t>
      </w:r>
      <w:r w:rsidR="001A7AF4" w:rsidRPr="00070602">
        <w:rPr>
          <w:rFonts w:ascii="Times New Roman" w:hAnsi="Times New Roman" w:cs="Times New Roman"/>
        </w:rPr>
        <w:t>species</w:t>
      </w:r>
      <w:r w:rsidR="00F73D4F">
        <w:rPr>
          <w:rFonts w:ascii="Times New Roman" w:hAnsi="Times New Roman" w:cs="Times New Roman"/>
        </w:rPr>
        <w:t xml:space="preserve"> (ROS)</w:t>
      </w:r>
      <w:r w:rsidR="001A7AF4" w:rsidRPr="00070602">
        <w:rPr>
          <w:rFonts w:ascii="Times New Roman" w:hAnsi="Times New Roman" w:cs="Times New Roman"/>
        </w:rPr>
        <w:t xml:space="preserve">. </w:t>
      </w:r>
      <w:r w:rsidRPr="00070602">
        <w:rPr>
          <w:rFonts w:ascii="Times New Roman" w:hAnsi="Times New Roman" w:cs="Times New Roman"/>
        </w:rPr>
        <w:t>The brain is especially suscept</w:t>
      </w:r>
      <w:r w:rsidR="00E75EEB" w:rsidRPr="00070602">
        <w:rPr>
          <w:rFonts w:ascii="Times New Roman" w:hAnsi="Times New Roman" w:cs="Times New Roman"/>
        </w:rPr>
        <w:t xml:space="preserve">ible to oxidative stress on account of its </w:t>
      </w:r>
      <w:r w:rsidR="004007B1" w:rsidRPr="00070602">
        <w:rPr>
          <w:rFonts w:ascii="Times New Roman" w:hAnsi="Times New Roman" w:cs="Times New Roman"/>
        </w:rPr>
        <w:t>high</w:t>
      </w:r>
      <w:r w:rsidR="0050067B">
        <w:rPr>
          <w:rFonts w:ascii="Times New Roman" w:hAnsi="Times New Roman" w:cs="Times New Roman"/>
        </w:rPr>
        <w:t xml:space="preserve"> oxygen utilis</w:t>
      </w:r>
      <w:r w:rsidR="00E75EEB" w:rsidRPr="00070602">
        <w:rPr>
          <w:rFonts w:ascii="Times New Roman" w:hAnsi="Times New Roman" w:cs="Times New Roman"/>
        </w:rPr>
        <w:t xml:space="preserve">ation necessary to drive oxidative metabolism and </w:t>
      </w:r>
      <w:r w:rsidR="00F61207" w:rsidRPr="00070602">
        <w:rPr>
          <w:rFonts w:ascii="Times New Roman" w:hAnsi="Times New Roman" w:cs="Times New Roman"/>
        </w:rPr>
        <w:t xml:space="preserve">the </w:t>
      </w:r>
      <w:r w:rsidR="00E75EEB" w:rsidRPr="00070602">
        <w:rPr>
          <w:rFonts w:ascii="Times New Roman" w:hAnsi="Times New Roman" w:cs="Times New Roman"/>
        </w:rPr>
        <w:t>large amounts of oxidation-prone</w:t>
      </w:r>
      <w:r w:rsidR="001A7AF4" w:rsidRPr="00070602">
        <w:rPr>
          <w:rFonts w:ascii="Times New Roman" w:hAnsi="Times New Roman" w:cs="Times New Roman"/>
        </w:rPr>
        <w:t xml:space="preserve"> </w:t>
      </w:r>
      <w:r w:rsidR="00E75EEB" w:rsidRPr="00070602">
        <w:rPr>
          <w:rFonts w:ascii="Times New Roman" w:hAnsi="Times New Roman" w:cs="Times New Roman"/>
        </w:rPr>
        <w:t>polyunsaturated fatty acids</w:t>
      </w:r>
      <w:r w:rsidR="00F61207" w:rsidRPr="00070602">
        <w:rPr>
          <w:rFonts w:ascii="Times New Roman" w:hAnsi="Times New Roman" w:cs="Times New Roman"/>
        </w:rPr>
        <w:t xml:space="preserve"> found in the lipid membranes of neurons</w:t>
      </w:r>
      <w:r w:rsidR="009D1747">
        <w:rPr>
          <w:rFonts w:ascii="Times New Roman" w:hAnsi="Times New Roman" w:cs="Times New Roman"/>
        </w:rPr>
        <w:t xml:space="preserve"> </w:t>
      </w:r>
      <w:r w:rsidR="003E7BDB">
        <w:rPr>
          <w:rFonts w:ascii="Times New Roman" w:hAnsi="Times New Roman" w:cs="Times New Roman"/>
        </w:rPr>
        <w:fldChar w:fldCharType="begin" w:fldLock="1"/>
      </w:r>
      <w:r w:rsidR="00253037">
        <w:rPr>
          <w:rFonts w:ascii="Times New Roman" w:hAnsi="Times New Roman" w:cs="Times New Roman"/>
        </w:rPr>
        <w:instrText>ADDIN CSL_CITATION { "citationItems" : [ { "id" : "ITEM-1", "itemData" : { "DOI" : "10.1007/978-1-60327-514-9_2", "author" : [ { "dropping-particle" : "", "family" : "Friedman", "given" : "Joseph", "non-dropping-particle" : "", "parse-names" : false, "suffix" : "" } ], "container-title" : "Oxidative Stress and Free Radical Damage in Neurology", "id" : "ITEM-1", "issued" : { "date-parts" : [ [ "2011" ] ] }, "page" : "19-27", "publisher" : "Humana Press", "publisher-place" : "Totowa, NJ", "title" : "Why Is the Nervous System Vulnerable to Oxidative Stress?", "type" : "chapter" }, "uris" : [ "http://www.mendeley.com/documents/?uuid=f87f9934-c5b9-30ea-a3c9-c23ed4107e7b" ] } ], "mendeley" : { "formattedCitation" : "(Friedman 2011)", "plainTextFormattedCitation" : "(Friedman 2011)", "previouslyFormattedCitation" : "(Friedman 2011)" }, "properties" : { "noteIndex" : 0 }, "schema" : "https://github.com/citation-style-language/schema/raw/master/csl-citation.json" }</w:instrText>
      </w:r>
      <w:r w:rsidR="003E7BDB">
        <w:rPr>
          <w:rFonts w:ascii="Times New Roman" w:hAnsi="Times New Roman" w:cs="Times New Roman"/>
        </w:rPr>
        <w:fldChar w:fldCharType="separate"/>
      </w:r>
      <w:r w:rsidR="003E7BDB" w:rsidRPr="003E7BDB">
        <w:rPr>
          <w:rFonts w:ascii="Times New Roman" w:hAnsi="Times New Roman" w:cs="Times New Roman"/>
          <w:noProof/>
        </w:rPr>
        <w:t>(Friedman 2011)</w:t>
      </w:r>
      <w:r w:rsidR="003E7BDB">
        <w:rPr>
          <w:rFonts w:ascii="Times New Roman" w:hAnsi="Times New Roman" w:cs="Times New Roman"/>
        </w:rPr>
        <w:fldChar w:fldCharType="end"/>
      </w:r>
      <w:r w:rsidR="003E7BDB">
        <w:rPr>
          <w:rFonts w:ascii="Times New Roman" w:hAnsi="Times New Roman" w:cs="Times New Roman"/>
        </w:rPr>
        <w:t xml:space="preserve">. </w:t>
      </w:r>
      <w:r w:rsidR="001A7AF4" w:rsidRPr="00070602">
        <w:rPr>
          <w:rFonts w:ascii="Times New Roman" w:hAnsi="Times New Roman" w:cs="Times New Roman"/>
        </w:rPr>
        <w:t xml:space="preserve">“The Free Radical Theory of Ageing” (Harman, 1956) </w:t>
      </w:r>
      <w:r w:rsidR="005D2738" w:rsidRPr="00070602">
        <w:rPr>
          <w:rFonts w:ascii="Times New Roman" w:hAnsi="Times New Roman" w:cs="Times New Roman"/>
        </w:rPr>
        <w:t>suggests that oxidative metabolism, a system</w:t>
      </w:r>
      <w:r w:rsidR="006E40FE" w:rsidRPr="00070602">
        <w:rPr>
          <w:rFonts w:ascii="Times New Roman" w:hAnsi="Times New Roman" w:cs="Times New Roman"/>
        </w:rPr>
        <w:t xml:space="preserve"> designed by nature</w:t>
      </w:r>
      <w:r w:rsidR="005D2738" w:rsidRPr="00070602">
        <w:rPr>
          <w:rFonts w:ascii="Times New Roman" w:hAnsi="Times New Roman" w:cs="Times New Roman"/>
        </w:rPr>
        <w:t xml:space="preserve"> to support cell survival, is ultimately </w:t>
      </w:r>
      <w:r w:rsidR="006E40FE" w:rsidRPr="00070602">
        <w:rPr>
          <w:rFonts w:ascii="Times New Roman" w:hAnsi="Times New Roman" w:cs="Times New Roman"/>
        </w:rPr>
        <w:t>the process that results in cellular</w:t>
      </w:r>
      <w:r w:rsidR="005D2738" w:rsidRPr="00070602">
        <w:rPr>
          <w:rFonts w:ascii="Times New Roman" w:hAnsi="Times New Roman" w:cs="Times New Roman"/>
        </w:rPr>
        <w:t xml:space="preserve"> degeneration due to the release of free radica</w:t>
      </w:r>
      <w:r w:rsidR="006E40FE" w:rsidRPr="00070602">
        <w:rPr>
          <w:rFonts w:ascii="Times New Roman" w:hAnsi="Times New Roman" w:cs="Times New Roman"/>
        </w:rPr>
        <w:t>l</w:t>
      </w:r>
      <w:r w:rsidR="00CC36BA" w:rsidRPr="00070602">
        <w:rPr>
          <w:rFonts w:ascii="Times New Roman" w:hAnsi="Times New Roman" w:cs="Times New Roman"/>
        </w:rPr>
        <w:t>s that induce oxidative damage</w:t>
      </w:r>
      <w:r w:rsidR="009D1747">
        <w:rPr>
          <w:rFonts w:ascii="Times New Roman" w:hAnsi="Times New Roman" w:cs="Times New Roman"/>
        </w:rPr>
        <w:t xml:space="preserve"> </w:t>
      </w:r>
      <w:r w:rsidR="00D323BE">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"10.1016/S0891-5849(00)00317-8", "ISSN" : "08915849", "abstract" : "Mitochondria have been described as \u201cthe powerhouses of the cell\u201d because they link the energy-releasing activities of electron transport and proton pumping with the energy conserving process of oxidative phosphorylation, to harness the value of foods in the form of ATP. Such energetic processes are not without dangers, however, and the electron transport chain has proved to be somewhat \u201cleaky.\u201d Such side reactions of the mitochondrial electron transport chain with molecular oxygen directly generate the superoxide anion radical (O2\u2022\u2212), which dismutates to form hydrogen peroxide (H2O2), which can further react to form the hydroxyl radical (HO). In addition to these toxic electron transport chain reactions of the inner mitochondrial membrane, the mitochondrial outer membrane enzyme monoamine oxidase catalyzes the oxidative deamination of biogenic amines and is a quantitatively large source of H2O2 that contributes to an increase in the steady state concentrations of reactive species within both the mitochondrial matrix and cytosol. In this article we review the mitochondrial rates of production and steady state levels of these reactive oxygen species. Reactive oxygen species generated by mitochondria, or from other sites within or outside the cell, cause damage to mitochondrial components and initiate degradative processes. Such toxic reactions contribute significantly to the aging process and form the central dogma of \u201cThe Free Radical Theory of Aging.\u201d In this article we review current understandings of mitochondrial DNA, RNA, and protein modifications by oxidative stress and the enzymatic removal of oxidatively damaged products by nucleases and proteases. The possible contributions of mitochondrial oxidative polynucleotide and protein turnover to apoptosis and aging are explored.", "author" : [ { "dropping-particle" : "", "family" : "Cadenas", "given" : "Enrique", "non-dropping-particle" : "", "parse-names" : false, "suffix" : "" }, { "dropping-particle" : "", "family" : "Davies", "given" : "Kelvin J.A.", "non-dropping-particle" : "", "parse-names" : false, "suffix" : "" } ], "container-title" : "Free Radical Biology and Medicine", "id" : "ITEM-1", "issue" : "3", "issued" : { "date-parts" : [ [ "2000" ] ] }, "page" : "222-230", "title" : "Mitochondrial free radical generation, oxidative stress, and aging", "type" : "article-journal", "volume" : "29" }, "uris" : [ "http://www.mendeley.com/documents/?uuid=06c6c841-43dd-31f0-a227-5b82a8a79ad6" ] } ], "mendeley" : { "formattedCitation" : "(Cadenas &amp; Davies 2000)", "plainTextFormattedCitation" : "(Cadenas &amp; Davies 2000)", "previouslyFormattedCitation" : "(Cadenas &amp; Davies 2000)" }, "properties" : { "noteIndex" : 0 }, "schema" : "https://github.com/citation-style-language/schema/raw/master/csl-citation.json" }</w:instrText>
      </w:r>
      <w:r w:rsidR="00D323BE">
        <w:rPr>
          <w:rFonts w:ascii="Times New Roman" w:hAnsi="Times New Roman" w:cs="Times New Roman"/>
        </w:rPr>
        <w:fldChar w:fldCharType="separate"/>
      </w:r>
      <w:r w:rsidR="00C148FC" w:rsidRPr="00C148FC">
        <w:rPr>
          <w:rFonts w:ascii="Times New Roman" w:hAnsi="Times New Roman" w:cs="Times New Roman"/>
          <w:noProof/>
        </w:rPr>
        <w:t>(Cadenas &amp; Davies 2000)</w:t>
      </w:r>
      <w:r w:rsidR="00D323BE">
        <w:rPr>
          <w:rFonts w:ascii="Times New Roman" w:hAnsi="Times New Roman" w:cs="Times New Roman"/>
        </w:rPr>
        <w:fldChar w:fldCharType="end"/>
      </w:r>
      <w:r w:rsidR="00D323BE">
        <w:rPr>
          <w:rFonts w:ascii="Times New Roman" w:hAnsi="Times New Roman" w:cs="Times New Roman"/>
        </w:rPr>
        <w:t>.</w:t>
      </w:r>
      <w:r w:rsidR="00CC36BA" w:rsidRPr="00070602">
        <w:rPr>
          <w:rFonts w:ascii="Times New Roman" w:hAnsi="Times New Roman" w:cs="Times New Roman"/>
        </w:rPr>
        <w:t xml:space="preserve"> </w:t>
      </w:r>
    </w:p>
    <w:p w14:paraId="376751EB" w14:textId="77777777" w:rsidR="009D1747" w:rsidRDefault="009D1747" w:rsidP="00103AAC">
      <w:pPr>
        <w:spacing w:line="360" w:lineRule="auto"/>
        <w:rPr>
          <w:rFonts w:ascii="Times New Roman" w:hAnsi="Times New Roman" w:cs="Times New Roman"/>
        </w:rPr>
      </w:pPr>
    </w:p>
    <w:p w14:paraId="21CC1AE7" w14:textId="7D645DEB" w:rsidR="009D1747" w:rsidRDefault="009D1747" w:rsidP="007028AC">
      <w:pPr>
        <w:widowControl w:val="0"/>
        <w:autoSpaceDE w:val="0"/>
        <w:autoSpaceDN w:val="0"/>
        <w:adjustRightInd w:val="0"/>
        <w:spacing w:line="360" w:lineRule="auto"/>
        <w:ind w:left="480" w:hanging="480"/>
        <w:rPr>
          <w:rFonts w:ascii="Times New Roman" w:hAnsi="Times New Roman" w:cs="Times New Roman"/>
        </w:rPr>
      </w:pPr>
      <w:r>
        <w:rPr>
          <w:rFonts w:ascii="Times New Roman" w:hAnsi="Times New Roman" w:cs="Times New Roman"/>
        </w:rPr>
        <w:t>Despite neurons being more metabolically active and having higher levels of ROS, the</w:t>
      </w:r>
    </w:p>
    <w:p w14:paraId="275865F2" w14:textId="77777777" w:rsidR="009D1747" w:rsidRDefault="009D1747" w:rsidP="007028AC">
      <w:pPr>
        <w:widowControl w:val="0"/>
        <w:autoSpaceDE w:val="0"/>
        <w:autoSpaceDN w:val="0"/>
        <w:adjustRightInd w:val="0"/>
        <w:spacing w:line="360" w:lineRule="auto"/>
        <w:ind w:left="480" w:hanging="480"/>
        <w:rPr>
          <w:rFonts w:ascii="Times New Roman" w:hAnsi="Times New Roman" w:cs="Times New Roman"/>
        </w:rPr>
      </w:pPr>
      <w:r>
        <w:rPr>
          <w:rFonts w:ascii="Times New Roman" w:hAnsi="Times New Roman" w:cs="Times New Roman"/>
        </w:rPr>
        <w:t xml:space="preserve">antioxidant levels in these cells are low. As neurons are post-mitotic and cannot </w:t>
      </w:r>
    </w:p>
    <w:p w14:paraId="14E81624" w14:textId="77777777" w:rsidR="009D1747" w:rsidRDefault="009D1747" w:rsidP="007028AC">
      <w:pPr>
        <w:widowControl w:val="0"/>
        <w:autoSpaceDE w:val="0"/>
        <w:autoSpaceDN w:val="0"/>
        <w:adjustRightInd w:val="0"/>
        <w:spacing w:line="360" w:lineRule="auto"/>
        <w:ind w:left="480" w:hanging="480"/>
        <w:rPr>
          <w:rFonts w:ascii="Times New Roman" w:hAnsi="Times New Roman" w:cs="Times New Roman"/>
        </w:rPr>
      </w:pPr>
      <w:r>
        <w:rPr>
          <w:rFonts w:ascii="Times New Roman" w:hAnsi="Times New Roman" w:cs="Times New Roman"/>
        </w:rPr>
        <w:t xml:space="preserve">regenerate, they depend upon the protective capacity of astrocytes to survive years of </w:t>
      </w:r>
    </w:p>
    <w:p w14:paraId="33701CFF" w14:textId="77777777" w:rsidR="009D1747" w:rsidRDefault="009D1747" w:rsidP="007028AC">
      <w:pPr>
        <w:widowControl w:val="0"/>
        <w:autoSpaceDE w:val="0"/>
        <w:autoSpaceDN w:val="0"/>
        <w:adjustRightInd w:val="0"/>
        <w:spacing w:line="360" w:lineRule="auto"/>
        <w:ind w:left="480" w:hanging="480"/>
        <w:rPr>
          <w:rFonts w:ascii="Times New Roman" w:hAnsi="Times New Roman" w:cs="Times New Roman"/>
        </w:rPr>
      </w:pPr>
      <w:r>
        <w:rPr>
          <w:rFonts w:ascii="Times New Roman" w:hAnsi="Times New Roman" w:cs="Times New Roman"/>
        </w:rPr>
        <w:t xml:space="preserve">exposure to oxidative stress. </w:t>
      </w:r>
      <w:r w:rsidR="00E75EEB" w:rsidRPr="00070602">
        <w:rPr>
          <w:rFonts w:ascii="Times New Roman" w:hAnsi="Times New Roman" w:cs="Times New Roman"/>
        </w:rPr>
        <w:t>In order t</w:t>
      </w:r>
      <w:r w:rsidR="00CC36BA" w:rsidRPr="00070602">
        <w:rPr>
          <w:rFonts w:ascii="Times New Roman" w:hAnsi="Times New Roman" w:cs="Times New Roman"/>
        </w:rPr>
        <w:t xml:space="preserve">o </w:t>
      </w:r>
      <w:r w:rsidR="00E75EEB" w:rsidRPr="00070602">
        <w:rPr>
          <w:rFonts w:ascii="Times New Roman" w:hAnsi="Times New Roman" w:cs="Times New Roman"/>
        </w:rPr>
        <w:t xml:space="preserve">preserve brain function in the presence of </w:t>
      </w:r>
      <w:r w:rsidR="00CC36BA" w:rsidRPr="00070602">
        <w:rPr>
          <w:rFonts w:ascii="Times New Roman" w:hAnsi="Times New Roman" w:cs="Times New Roman"/>
        </w:rPr>
        <w:t xml:space="preserve">high </w:t>
      </w:r>
    </w:p>
    <w:p w14:paraId="1B175901" w14:textId="77777777" w:rsidR="009D1747" w:rsidRDefault="00CC36BA" w:rsidP="007028AC">
      <w:pPr>
        <w:widowControl w:val="0"/>
        <w:autoSpaceDE w:val="0"/>
        <w:autoSpaceDN w:val="0"/>
        <w:adjustRightInd w:val="0"/>
        <w:spacing w:line="360" w:lineRule="auto"/>
        <w:ind w:left="480" w:hanging="480"/>
        <w:rPr>
          <w:rFonts w:ascii="Times New Roman" w:hAnsi="Times New Roman" w:cs="Times New Roman"/>
        </w:rPr>
      </w:pPr>
      <w:r w:rsidRPr="00070602">
        <w:rPr>
          <w:rFonts w:ascii="Times New Roman" w:hAnsi="Times New Roman" w:cs="Times New Roman"/>
        </w:rPr>
        <w:t xml:space="preserve">levels of </w:t>
      </w:r>
      <w:r w:rsidR="00F73D4F">
        <w:rPr>
          <w:rFonts w:ascii="Times New Roman" w:hAnsi="Times New Roman" w:cs="Times New Roman"/>
        </w:rPr>
        <w:t>ROS</w:t>
      </w:r>
      <w:r w:rsidR="009C05EF">
        <w:rPr>
          <w:rFonts w:ascii="Times New Roman" w:hAnsi="Times New Roman" w:cs="Times New Roman"/>
        </w:rPr>
        <w:t>,</w:t>
      </w:r>
      <w:r w:rsidRPr="00070602">
        <w:rPr>
          <w:rFonts w:ascii="Times New Roman" w:hAnsi="Times New Roman" w:cs="Times New Roman"/>
        </w:rPr>
        <w:t xml:space="preserve"> </w:t>
      </w:r>
      <w:r w:rsidR="00E75EEB" w:rsidRPr="00070602">
        <w:rPr>
          <w:rFonts w:ascii="Times New Roman" w:hAnsi="Times New Roman" w:cs="Times New Roman"/>
        </w:rPr>
        <w:t xml:space="preserve">astrocytes </w:t>
      </w:r>
      <w:r w:rsidR="00EA3E23" w:rsidRPr="00070602">
        <w:rPr>
          <w:rFonts w:ascii="Times New Roman" w:hAnsi="Times New Roman" w:cs="Times New Roman"/>
        </w:rPr>
        <w:t>are</w:t>
      </w:r>
      <w:r w:rsidR="00E75EEB" w:rsidRPr="00070602">
        <w:rPr>
          <w:rFonts w:ascii="Times New Roman" w:hAnsi="Times New Roman" w:cs="Times New Roman"/>
        </w:rPr>
        <w:t xml:space="preserve"> </w:t>
      </w:r>
      <w:r w:rsidR="003020D2" w:rsidRPr="00070602">
        <w:rPr>
          <w:rFonts w:ascii="Times New Roman" w:hAnsi="Times New Roman" w:cs="Times New Roman"/>
        </w:rPr>
        <w:t>equipped</w:t>
      </w:r>
      <w:r w:rsidR="005D545E" w:rsidRPr="00070602">
        <w:rPr>
          <w:rFonts w:ascii="Times New Roman" w:hAnsi="Times New Roman" w:cs="Times New Roman"/>
        </w:rPr>
        <w:t xml:space="preserve"> with antioxidant defens</w:t>
      </w:r>
      <w:r w:rsidR="00E75EEB" w:rsidRPr="00070602">
        <w:rPr>
          <w:rFonts w:ascii="Times New Roman" w:hAnsi="Times New Roman" w:cs="Times New Roman"/>
        </w:rPr>
        <w:t xml:space="preserve">e mechanisms. </w:t>
      </w:r>
    </w:p>
    <w:p w14:paraId="44958C0C" w14:textId="77777777" w:rsidR="009D1747" w:rsidRDefault="003020D2" w:rsidP="007028AC">
      <w:pPr>
        <w:widowControl w:val="0"/>
        <w:autoSpaceDE w:val="0"/>
        <w:autoSpaceDN w:val="0"/>
        <w:adjustRightInd w:val="0"/>
        <w:spacing w:line="360" w:lineRule="auto"/>
        <w:ind w:left="480" w:hanging="480"/>
        <w:rPr>
          <w:rFonts w:ascii="Times New Roman" w:hAnsi="Times New Roman" w:cs="Times New Roman"/>
        </w:rPr>
      </w:pPr>
      <w:r w:rsidRPr="00070602">
        <w:rPr>
          <w:rFonts w:ascii="Times New Roman" w:hAnsi="Times New Roman" w:cs="Times New Roman"/>
        </w:rPr>
        <w:t>Astrocytes</w:t>
      </w:r>
      <w:r w:rsidR="005D545E" w:rsidRPr="00070602">
        <w:rPr>
          <w:rFonts w:ascii="Times New Roman" w:hAnsi="Times New Roman" w:cs="Times New Roman"/>
        </w:rPr>
        <w:t xml:space="preserve"> have the highest concentration of antioxidants in the brain, which makes </w:t>
      </w:r>
    </w:p>
    <w:p w14:paraId="51EE6EE8" w14:textId="77777777" w:rsidR="009D1747" w:rsidRDefault="005D545E" w:rsidP="007028AC">
      <w:pPr>
        <w:widowControl w:val="0"/>
        <w:autoSpaceDE w:val="0"/>
        <w:autoSpaceDN w:val="0"/>
        <w:adjustRightInd w:val="0"/>
        <w:spacing w:line="360" w:lineRule="auto"/>
        <w:ind w:left="480" w:hanging="480"/>
        <w:rPr>
          <w:rFonts w:ascii="Times New Roman" w:hAnsi="Times New Roman" w:cs="Times New Roman"/>
        </w:rPr>
      </w:pPr>
      <w:r w:rsidRPr="00070602">
        <w:rPr>
          <w:rFonts w:ascii="Times New Roman" w:hAnsi="Times New Roman" w:cs="Times New Roman"/>
        </w:rPr>
        <w:t>them both resi</w:t>
      </w:r>
      <w:r w:rsidR="0054516C" w:rsidRPr="00070602">
        <w:rPr>
          <w:rFonts w:ascii="Times New Roman" w:hAnsi="Times New Roman" w:cs="Times New Roman"/>
        </w:rPr>
        <w:t>lient</w:t>
      </w:r>
      <w:r w:rsidRPr="00070602">
        <w:rPr>
          <w:rFonts w:ascii="Times New Roman" w:hAnsi="Times New Roman" w:cs="Times New Roman"/>
        </w:rPr>
        <w:t xml:space="preserve"> to oxidative stress and capable of supporting other brain cells in the </w:t>
      </w:r>
    </w:p>
    <w:p w14:paraId="6809532D" w14:textId="6EDCD3ED" w:rsidR="00CC36BA" w:rsidRDefault="005D545E" w:rsidP="007028AC">
      <w:pPr>
        <w:widowControl w:val="0"/>
        <w:autoSpaceDE w:val="0"/>
        <w:autoSpaceDN w:val="0"/>
        <w:adjustRightInd w:val="0"/>
        <w:spacing w:line="360" w:lineRule="auto"/>
        <w:ind w:left="480" w:hanging="480"/>
        <w:rPr>
          <w:rFonts w:ascii="Times New Roman" w:hAnsi="Times New Roman" w:cs="Times New Roman"/>
        </w:rPr>
      </w:pPr>
      <w:r w:rsidRPr="00070602">
        <w:rPr>
          <w:rFonts w:ascii="Times New Roman" w:hAnsi="Times New Roman" w:cs="Times New Roman"/>
        </w:rPr>
        <w:t>event of an oxidative insult</w:t>
      </w:r>
      <w:r w:rsidR="00AE1902">
        <w:rPr>
          <w:rFonts w:ascii="Times New Roman" w:hAnsi="Times New Roman" w:cs="Times New Roman"/>
        </w:rPr>
        <w:t xml:space="preserve"> </w:t>
      </w:r>
      <w:r w:rsidR="00AE19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"0270-6474", "PMID" : "8786431", "abstract" : "Recent reports indicate that neurons are particularly sensitive to hydrogen peroxide (H2O2). The present study was undertaken to investigate the putative role of astrocytes in the modulation of the neurotoxic effect of H2O2. The exposure to H2O2 of cultured striatal neurons from mouse embryos induced a concentration-dependent (10-1000 microM) cell death as estimated 24 hr later. Two methods were used to estimate neuronal survival: the 3-[4,5-dimethylthiazol-2-yl]-2,5-diphenyltetrazolium bromide assay or an enzyme-linked immunosorbent assay with antibodies directed against an antigen located in neurons (microtubule-associated protein-2). The neurotoxic effect of H2O2 on neurons cocultured with astrocytes was strongly attenuated compared with that observed on a pure population of neurons seeded at the same density. Moreover, the protective effect of astrocytes depended on the astrocytes/neurons ratio, a significant neuroprotection being detectable for 1 astrocyte to 20 neurons. Catalase seems to be the main hydrogen peroxidase activity involved in the neuroprotective effect of astrocytes. Indeed, in the culture conditions used, this enzymatic activity was enriched in this cell type compared with neurons; its inhibition, and not that of glutathione peroxidase, reduced the disappearance rate of the oxidant. On the contrary, glutathione peroxidase appeared to be the main enzymatic activity involved in the neuronal defense against H2O2 toxicity. Therefore, astrocytes could delay neuronal death in pathological situations in which H2O2 has been, at least partially, demonstrated to be involved.", "author" : [ { "dropping-particle" : "", "family" : "Desagher", "given" : "S", "non-dropping-particle" : "", "parse-names" : false, "suffix" : "" }, { "dropping-particle" : "", "family" : "Glowinski", "given" : "J", "non-dropping-particle" : "", "parse-names" : false, "suffix" : "" }, { "dropping-particle" : "", "family" : "Premont", "given" : "J", "non-dropping-particle" : "", "parse-names" : false, "suffix" : "" } ], "container-title" : "The Journal of neuroscience : the official journal of the Society for Neuroscience", "id" : "ITEM-1", "issue" : "8", "issued" : { "date-parts" : [ [ "1996", "4", "15" ] ] }, "page" : "2553-62", "title" : "Astrocytes protect neurons from hydrogen peroxide toxicity.", "type" : "article-journal", "volume" : "16" }, "uris" : [ "http://www.mendeley.com/documents/?uuid=a4fb3ead-4cf3-4d18-a5ef-1c86c2a6ed62" ] } ], "mendeley" : { "formattedCitation" : "(Desagher et al. 1996b)", "manualFormatting" : "(Desagher, Glowinski, &amp; Premont, 1996)", "plainTextFormattedCitation" : "(Desagher et al. 1996b)", "previouslyFormattedCitation" : "(Desagher et al. 1996b)" }, "properties" : { "noteIndex" : 0 }, "schema" : "https://github.com/citation-style-language/schema/raw/master/csl-citation.json" }</w:instrText>
      </w:r>
      <w:r w:rsidR="00AE1902">
        <w:rPr>
          <w:rFonts w:ascii="Times New Roman" w:hAnsi="Times New Roman" w:cs="Times New Roman"/>
        </w:rPr>
        <w:fldChar w:fldCharType="separate"/>
      </w:r>
      <w:r w:rsidR="00AE1902" w:rsidRPr="00AE1902">
        <w:rPr>
          <w:rFonts w:ascii="Times New Roman" w:hAnsi="Times New Roman" w:cs="Times New Roman"/>
          <w:noProof/>
        </w:rPr>
        <w:t>(Desag</w:t>
      </w:r>
      <w:r w:rsidR="00AE1902">
        <w:rPr>
          <w:rFonts w:ascii="Times New Roman" w:hAnsi="Times New Roman" w:cs="Times New Roman"/>
          <w:noProof/>
        </w:rPr>
        <w:t>her, Glowinski, &amp; Premont, 1996</w:t>
      </w:r>
      <w:r w:rsidR="00AE1902" w:rsidRPr="00AE1902">
        <w:rPr>
          <w:rFonts w:ascii="Times New Roman" w:hAnsi="Times New Roman" w:cs="Times New Roman"/>
          <w:noProof/>
        </w:rPr>
        <w:t>)</w:t>
      </w:r>
      <w:r w:rsidR="00AE1902">
        <w:rPr>
          <w:rFonts w:ascii="Times New Roman" w:hAnsi="Times New Roman" w:cs="Times New Roman"/>
        </w:rPr>
        <w:fldChar w:fldCharType="end"/>
      </w:r>
      <w:r w:rsidRPr="00070602">
        <w:rPr>
          <w:rFonts w:ascii="Times New Roman" w:hAnsi="Times New Roman" w:cs="Times New Roman"/>
        </w:rPr>
        <w:t xml:space="preserve">. </w:t>
      </w:r>
    </w:p>
    <w:p w14:paraId="79BDC09F" w14:textId="77777777" w:rsidR="009D1747" w:rsidRDefault="009D1747" w:rsidP="009D1747">
      <w:pPr>
        <w:widowControl w:val="0"/>
        <w:autoSpaceDE w:val="0"/>
        <w:autoSpaceDN w:val="0"/>
        <w:adjustRightInd w:val="0"/>
        <w:spacing w:line="360" w:lineRule="auto"/>
        <w:ind w:left="480" w:hanging="480"/>
        <w:rPr>
          <w:rFonts w:ascii="Times New Roman" w:hAnsi="Times New Roman" w:cs="Times New Roman"/>
        </w:rPr>
      </w:pPr>
    </w:p>
    <w:p w14:paraId="7F938905" w14:textId="59FC8F5C" w:rsidR="009D1747" w:rsidRPr="009D1747" w:rsidRDefault="009D1747" w:rsidP="00C25727">
      <w:pPr>
        <w:widowControl w:val="0"/>
        <w:autoSpaceDE w:val="0"/>
        <w:autoSpaceDN w:val="0"/>
        <w:adjustRightInd w:val="0"/>
        <w:ind w:left="482" w:hanging="482"/>
        <w:rPr>
          <w:rFonts w:ascii="Times New Roman" w:hAnsi="Times New Roman" w:cs="Times New Roman"/>
          <w:b/>
          <w:i/>
          <w:u w:val="single"/>
        </w:rPr>
      </w:pPr>
      <w:r>
        <w:rPr>
          <w:rFonts w:ascii="Times New Roman" w:hAnsi="Times New Roman" w:cs="Times New Roman"/>
          <w:b/>
          <w:i/>
          <w:u w:val="single"/>
        </w:rPr>
        <w:t>Glutathione System</w:t>
      </w:r>
    </w:p>
    <w:p w14:paraId="3A7791E3" w14:textId="17A55380" w:rsidR="00FA383E" w:rsidRPr="00B51FA7" w:rsidRDefault="000F72AD" w:rsidP="003E7BDB">
      <w:pPr>
        <w:spacing w:line="360" w:lineRule="auto"/>
        <w:jc w:val="both"/>
        <w:rPr>
          <w:rFonts w:ascii="Times New Roman" w:hAnsi="Times New Roman" w:cs="Times New Roman"/>
          <w:color w:val="FF0000"/>
        </w:rPr>
      </w:pPr>
      <w:r w:rsidRPr="00070602">
        <w:rPr>
          <w:rFonts w:ascii="Times New Roman" w:hAnsi="Times New Roman" w:cs="Times New Roman"/>
        </w:rPr>
        <w:t>The</w:t>
      </w:r>
      <w:r w:rsidR="00EA3E23" w:rsidRPr="00070602">
        <w:rPr>
          <w:rFonts w:ascii="Times New Roman" w:hAnsi="Times New Roman" w:cs="Times New Roman"/>
        </w:rPr>
        <w:t xml:space="preserve"> glutathione </w:t>
      </w:r>
      <w:r w:rsidRPr="00070602">
        <w:rPr>
          <w:rFonts w:ascii="Times New Roman" w:hAnsi="Times New Roman" w:cs="Times New Roman"/>
        </w:rPr>
        <w:t>system</w:t>
      </w:r>
      <w:r w:rsidR="00EA3E23" w:rsidRPr="00070602">
        <w:rPr>
          <w:rFonts w:ascii="Times New Roman" w:hAnsi="Times New Roman" w:cs="Times New Roman"/>
        </w:rPr>
        <w:t xml:space="preserve"> is the main way</w:t>
      </w:r>
      <w:r w:rsidRPr="00070602">
        <w:rPr>
          <w:rFonts w:ascii="Times New Roman" w:hAnsi="Times New Roman" w:cs="Times New Roman"/>
        </w:rPr>
        <w:t xml:space="preserve"> </w:t>
      </w:r>
      <w:r w:rsidR="00EA3E23" w:rsidRPr="00070602">
        <w:rPr>
          <w:rFonts w:ascii="Times New Roman" w:hAnsi="Times New Roman" w:cs="Times New Roman"/>
        </w:rPr>
        <w:t>that</w:t>
      </w:r>
      <w:r w:rsidRPr="00070602">
        <w:rPr>
          <w:rFonts w:ascii="Times New Roman" w:hAnsi="Times New Roman" w:cs="Times New Roman"/>
        </w:rPr>
        <w:t xml:space="preserve"> </w:t>
      </w:r>
      <w:r w:rsidR="00E75EEB" w:rsidRPr="00070602">
        <w:rPr>
          <w:rFonts w:ascii="Times New Roman" w:hAnsi="Times New Roman" w:cs="Times New Roman"/>
        </w:rPr>
        <w:t>astrocytes</w:t>
      </w:r>
      <w:r w:rsidR="00EA3E23" w:rsidRPr="00070602">
        <w:rPr>
          <w:rFonts w:ascii="Times New Roman" w:hAnsi="Times New Roman" w:cs="Times New Roman"/>
        </w:rPr>
        <w:t xml:space="preserve"> can </w:t>
      </w:r>
      <w:r w:rsidR="00E75EEB" w:rsidRPr="00070602">
        <w:rPr>
          <w:rFonts w:ascii="Times New Roman" w:hAnsi="Times New Roman" w:cs="Times New Roman"/>
        </w:rPr>
        <w:t>dispose of pro-oxidants</w:t>
      </w:r>
      <w:r w:rsidRPr="00070602">
        <w:rPr>
          <w:rFonts w:ascii="Times New Roman" w:hAnsi="Times New Roman" w:cs="Times New Roman"/>
        </w:rPr>
        <w:t>.</w:t>
      </w:r>
      <w:r w:rsidR="005D545E" w:rsidRPr="00070602">
        <w:rPr>
          <w:rFonts w:ascii="Times New Roman" w:hAnsi="Times New Roman" w:cs="Times New Roman"/>
        </w:rPr>
        <w:t xml:space="preserve"> </w:t>
      </w:r>
      <w:r w:rsidR="00525667" w:rsidRPr="00070602">
        <w:rPr>
          <w:rFonts w:ascii="Times New Roman" w:hAnsi="Times New Roman" w:cs="Times New Roman"/>
        </w:rPr>
        <w:t>In this process, g</w:t>
      </w:r>
      <w:r w:rsidR="005D545E" w:rsidRPr="00070602">
        <w:rPr>
          <w:rFonts w:ascii="Times New Roman" w:hAnsi="Times New Roman" w:cs="Times New Roman"/>
        </w:rPr>
        <w:t>lutathione</w:t>
      </w:r>
      <w:r w:rsidR="00501AAC" w:rsidRPr="00070602">
        <w:rPr>
          <w:rFonts w:ascii="Times New Roman" w:hAnsi="Times New Roman" w:cs="Times New Roman"/>
        </w:rPr>
        <w:t xml:space="preserve"> (GSH)</w:t>
      </w:r>
      <w:r w:rsidR="00525667" w:rsidRPr="00070602">
        <w:rPr>
          <w:rFonts w:ascii="Times New Roman" w:hAnsi="Times New Roman" w:cs="Times New Roman"/>
        </w:rPr>
        <w:t xml:space="preserve"> serves as a substrate for an electrophile, antioxidant or scavenging enzyme. </w:t>
      </w:r>
      <w:r w:rsidR="00C32C08" w:rsidRPr="00070602">
        <w:rPr>
          <w:rFonts w:ascii="Times New Roman" w:hAnsi="Times New Roman" w:cs="Times New Roman"/>
        </w:rPr>
        <w:t>Typically glutathione peroxidase</w:t>
      </w:r>
      <w:r w:rsidR="00F04003">
        <w:rPr>
          <w:rFonts w:ascii="Times New Roman" w:hAnsi="Times New Roman" w:cs="Times New Roman"/>
        </w:rPr>
        <w:t xml:space="preserve"> catalyses the removal of</w:t>
      </w:r>
      <w:r w:rsidR="00C32C08" w:rsidRPr="00070602">
        <w:rPr>
          <w:rFonts w:ascii="Times New Roman" w:hAnsi="Times New Roman" w:cs="Times New Roman"/>
        </w:rPr>
        <w:t xml:space="preserve"> an electron</w:t>
      </w:r>
      <w:r w:rsidR="00614C0A">
        <w:rPr>
          <w:rFonts w:ascii="Times New Roman" w:hAnsi="Times New Roman" w:cs="Times New Roman"/>
        </w:rPr>
        <w:t xml:space="preserve"> and hydrogen ion</w:t>
      </w:r>
      <w:r w:rsidR="00C32C08" w:rsidRPr="00070602">
        <w:rPr>
          <w:rFonts w:ascii="Times New Roman" w:hAnsi="Times New Roman" w:cs="Times New Roman"/>
        </w:rPr>
        <w:t xml:space="preserve"> from glutathione in order to reduce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 xml:space="preserve">2 </w:t>
      </w:r>
      <w:r w:rsidR="00C32C08" w:rsidRPr="00070602">
        <w:rPr>
          <w:rFonts w:ascii="Times New Roman" w:hAnsi="Times New Roman" w:cs="Times New Roman"/>
        </w:rPr>
        <w:t>to water</w:t>
      </w:r>
      <w:r w:rsidR="009D1747">
        <w:rPr>
          <w:rFonts w:ascii="Times New Roman" w:hAnsi="Times New Roman" w:cs="Times New Roman"/>
        </w:rPr>
        <w:t xml:space="preserve"> </w:t>
      </w:r>
      <w:r w:rsidR="005C235F">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"0891-5849", "PMID" : "10754271", "abstract" : "Oxidative stress resulting from mitochondrially derived reactive oxygen species (ROS) has been hypothesized to damage mitochondrial oxidative phosphorylation (OXPHOS) and to be a factor in aging and degenerative disease. If this hypothesis is correct, then genetically inactivating potential mitochondrial antioxidant enzymes such as glutathione peroxidase-1 (Gpx1; EC 1.11.1.9) should increase mitochondrial ROS production and decrease OXPHOS function. To determine the expression pattern of Gpx1, isoform-specific antibodies were generated and mutant mice were prepared in which the Gpx1 protein was substituted for by beta-galactosidase, driven by the Gpx1 promoter. These experiments revealed that Gpx1 is highly expressed in both the mitochondria and the cytosol of the liver and kidney, but poorly expressed in heart and muscle. To determine the physiological importance of Gpx1, mice lacking Gpx1 were generated by targeted mutagenesis in mouse ES cells. Homozygous mutant Gpx1(tm1Mgr) mice have 20% less body weight than normal animals and increased levels of lipid peroxides in the liver. Moreover, the liver mitochondria were found to release markedly increased hydrogen peroxide, a Gpx1 substrate, and have decreased mitochondrial respiratory control ratio and power output index. Hence, genetic inactivation of Gpx1 resulted in growth retardation, presumably due in part to reduced mitochondrial energy production as a product of increased oxidative stress.", "author" : [ { "dropping-particle" : "", "family" : "Esposito", "given" : "L A", "non-dropping-particle" : "", "parse-names" : false, "suffix" : "" }, { "dropping-particle" : "", "family" : "Kokoszka", "given" : "J E", "non-dropping-particle" : "", "parse-names" : false, "suffix" : "" }, { "dropping-particle" : "", "family" : "Waymire", "given" : "K G", "non-dropping-particle" : "", "parse-names" : false, "suffix" : "" }, { "dropping-particle" : "", "family" : "Cottrell", "given" : "B", "non-dropping-particle" : "", "parse-names" : false, "suffix" : "" }, { "dropping-particle" : "", "family" : "MacGregor", "given" : "G R", "non-dropping-particle" : "", "parse-names" : false, "suffix" : "" }, { "dropping-particle" : "", "family" : "Wallace", "given" : "D C", "non-dropping-particle" : "", "parse-names" : false, "suffix" : "" } ], "container-title" : "Free radical biology &amp; medicine", "id" : "ITEM-1", "issue" : "5", "issued" : { "date-parts" : [ [ "2000", "3", "1" ] ] }, "page" : "754-66", "publisher" : "NIH Public Access", "title" : "Mitochondrial oxidative stress in mice lacking the glutathione peroxidase-1 gene.", "type" : "article-journal", "volume" : "28" }, "uris" : [ "http://www.mendeley.com/documents/?uuid=dc4013f5-c186-3188-a8fb-5aad23b08448" ] } ], "mendeley" : { "formattedCitation" : "(Esposito et al. 2000)", "plainTextFormattedCitation" : "(Esposito et al. 2000)", "previouslyFormattedCitation" : "(Esposito et al. 2000)" }, "properties" : { "noteIndex" : 0 }, "schema" : "https://github.com/citation-style-language/schema/raw/master/csl-citation.json" }</w:instrText>
      </w:r>
      <w:r w:rsidR="005C235F">
        <w:rPr>
          <w:rFonts w:ascii="Times New Roman" w:hAnsi="Times New Roman" w:cs="Times New Roman"/>
        </w:rPr>
        <w:fldChar w:fldCharType="separate"/>
      </w:r>
      <w:r w:rsidR="00C148FC" w:rsidRPr="00C148FC">
        <w:rPr>
          <w:rFonts w:ascii="Times New Roman" w:hAnsi="Times New Roman" w:cs="Times New Roman"/>
          <w:noProof/>
        </w:rPr>
        <w:t>(Esposito et al. 2000)</w:t>
      </w:r>
      <w:r w:rsidR="005C235F">
        <w:rPr>
          <w:rFonts w:ascii="Times New Roman" w:hAnsi="Times New Roman" w:cs="Times New Roman"/>
        </w:rPr>
        <w:fldChar w:fldCharType="end"/>
      </w:r>
      <w:r w:rsidR="00C32C08" w:rsidRPr="00070602">
        <w:rPr>
          <w:rFonts w:ascii="Times New Roman" w:hAnsi="Times New Roman" w:cs="Times New Roman"/>
        </w:rPr>
        <w:t>.</w:t>
      </w:r>
      <w:r w:rsidR="00F04003">
        <w:rPr>
          <w:rFonts w:ascii="Times New Roman" w:hAnsi="Times New Roman" w:cs="Times New Roman"/>
        </w:rPr>
        <w:t xml:space="preserve"> This causes glutathione to react with another molecule of glutathione forming</w:t>
      </w:r>
      <w:r w:rsidR="00614C0A">
        <w:rPr>
          <w:rFonts w:ascii="Times New Roman" w:hAnsi="Times New Roman" w:cs="Times New Roman"/>
        </w:rPr>
        <w:t xml:space="preserve"> a more stable</w:t>
      </w:r>
      <w:r w:rsidR="00F04003">
        <w:rPr>
          <w:rFonts w:ascii="Times New Roman" w:hAnsi="Times New Roman" w:cs="Times New Roman"/>
        </w:rPr>
        <w:t xml:space="preserve"> glutathione disulphide (GSSG).</w:t>
      </w:r>
      <w:r w:rsidR="00614C0A">
        <w:rPr>
          <w:rFonts w:ascii="Times New Roman" w:hAnsi="Times New Roman" w:cs="Times New Roman"/>
        </w:rPr>
        <w:t xml:space="preserve"> Glutathione reductase is involved in regenerating reduced GSH from GSSG by using</w:t>
      </w:r>
      <w:r w:rsidR="009D1747">
        <w:rPr>
          <w:rFonts w:ascii="Times New Roman" w:hAnsi="Times New Roman" w:cs="Times New Roman"/>
        </w:rPr>
        <w:t xml:space="preserve"> nicotinamide adenine dinucleotide phosphate</w:t>
      </w:r>
      <w:r w:rsidR="00614C0A">
        <w:rPr>
          <w:rFonts w:ascii="Times New Roman" w:hAnsi="Times New Roman" w:cs="Times New Roman"/>
        </w:rPr>
        <w:t xml:space="preserve"> </w:t>
      </w:r>
      <w:r w:rsidR="009D1747">
        <w:rPr>
          <w:rFonts w:ascii="Times New Roman" w:hAnsi="Times New Roman" w:cs="Times New Roman"/>
        </w:rPr>
        <w:t>(</w:t>
      </w:r>
      <w:r w:rsidR="00614C0A">
        <w:rPr>
          <w:rFonts w:ascii="Times New Roman" w:hAnsi="Times New Roman" w:cs="Times New Roman"/>
        </w:rPr>
        <w:t>NADPH</w:t>
      </w:r>
      <w:r w:rsidR="009D1747">
        <w:rPr>
          <w:rFonts w:ascii="Times New Roman" w:hAnsi="Times New Roman" w:cs="Times New Roman"/>
        </w:rPr>
        <w:t>)</w:t>
      </w:r>
      <w:r w:rsidR="00614C0A">
        <w:rPr>
          <w:rFonts w:ascii="Times New Roman" w:hAnsi="Times New Roman" w:cs="Times New Roman"/>
        </w:rPr>
        <w:t xml:space="preserve"> as an electron donor.</w:t>
      </w:r>
      <w:r w:rsidR="00C32C08" w:rsidRPr="00070602">
        <w:rPr>
          <w:rFonts w:ascii="Times New Roman" w:hAnsi="Times New Roman" w:cs="Times New Roman"/>
        </w:rPr>
        <w:t xml:space="preserve"> However, cysteine rich proteins are also liable to oxidation, which can result in irreversible damage and protein degradation. </w:t>
      </w:r>
      <w:r w:rsidR="00553B1C" w:rsidRPr="00070602">
        <w:rPr>
          <w:rFonts w:ascii="Times New Roman" w:hAnsi="Times New Roman" w:cs="Times New Roman"/>
        </w:rPr>
        <w:t>Astrocytes avoid this by using</w:t>
      </w:r>
      <w:r w:rsidR="00C32C08" w:rsidRPr="00070602">
        <w:rPr>
          <w:rFonts w:ascii="Times New Roman" w:hAnsi="Times New Roman" w:cs="Times New Roman"/>
        </w:rPr>
        <w:t xml:space="preserve"> an enzyme called glut</w:t>
      </w:r>
      <w:r w:rsidR="00553B1C" w:rsidRPr="00070602">
        <w:rPr>
          <w:rFonts w:ascii="Times New Roman" w:hAnsi="Times New Roman" w:cs="Times New Roman"/>
        </w:rPr>
        <w:t>athione-s-transferase, which employs GSH to add a di</w:t>
      </w:r>
      <w:r w:rsidR="009C67BA">
        <w:rPr>
          <w:rFonts w:ascii="Times New Roman" w:hAnsi="Times New Roman" w:cs="Times New Roman"/>
        </w:rPr>
        <w:t>sulphide group to the protein, thereby increasing</w:t>
      </w:r>
      <w:r w:rsidR="00553B1C" w:rsidRPr="00070602">
        <w:rPr>
          <w:rFonts w:ascii="Times New Roman" w:hAnsi="Times New Roman" w:cs="Times New Roman"/>
        </w:rPr>
        <w:t xml:space="preserve"> protein </w:t>
      </w:r>
      <w:r w:rsidR="00F73D4F">
        <w:rPr>
          <w:rFonts w:ascii="Times New Roman" w:hAnsi="Times New Roman" w:cs="Times New Roman"/>
        </w:rPr>
        <w:t>stability. Glutaredoxin will restore</w:t>
      </w:r>
      <w:r w:rsidR="00553B1C" w:rsidRPr="00070602">
        <w:rPr>
          <w:rFonts w:ascii="Times New Roman" w:hAnsi="Times New Roman" w:cs="Times New Roman"/>
        </w:rPr>
        <w:t xml:space="preserve"> the protein back to its active state when oxidative stress subsides and thus GSH is made accessi</w:t>
      </w:r>
      <w:r w:rsidR="00EA3E23" w:rsidRPr="00070602">
        <w:rPr>
          <w:rFonts w:ascii="Times New Roman" w:hAnsi="Times New Roman" w:cs="Times New Roman"/>
        </w:rPr>
        <w:t>ble</w:t>
      </w:r>
      <w:r w:rsidR="00B51FA7">
        <w:rPr>
          <w:rFonts w:ascii="Times New Roman" w:hAnsi="Times New Roman" w:cs="Times New Roman"/>
        </w:rPr>
        <w:t xml:space="preserve"> again in it</w:t>
      </w:r>
      <w:r w:rsidR="00696A75">
        <w:rPr>
          <w:rFonts w:ascii="Times New Roman" w:hAnsi="Times New Roman" w:cs="Times New Roman"/>
        </w:rPr>
        <w:t>s reduced form (</w:t>
      </w:r>
      <w:r w:rsidR="0006097D">
        <w:rPr>
          <w:rFonts w:ascii="Times New Roman" w:hAnsi="Times New Roman" w:cs="Times New Roman"/>
        </w:rPr>
        <w:t>t</w:t>
      </w:r>
      <w:r w:rsidR="0050067B">
        <w:rPr>
          <w:rFonts w:ascii="Times New Roman" w:hAnsi="Times New Roman" w:cs="Times New Roman"/>
        </w:rPr>
        <w:t>he glutathione cycle is summaris</w:t>
      </w:r>
      <w:r w:rsidR="0006097D">
        <w:rPr>
          <w:rFonts w:ascii="Times New Roman" w:hAnsi="Times New Roman" w:cs="Times New Roman"/>
        </w:rPr>
        <w:t xml:space="preserve">ed in </w:t>
      </w:r>
      <w:r w:rsidR="00696A75" w:rsidRPr="00696A75">
        <w:rPr>
          <w:rFonts w:ascii="Times New Roman" w:hAnsi="Times New Roman" w:cs="Times New Roman"/>
          <w:b/>
        </w:rPr>
        <w:t>Fig</w:t>
      </w:r>
      <w:r w:rsidR="00965A87">
        <w:rPr>
          <w:rFonts w:ascii="Times New Roman" w:hAnsi="Times New Roman" w:cs="Times New Roman"/>
          <w:b/>
        </w:rPr>
        <w:t>ure</w:t>
      </w:r>
      <w:r w:rsidR="009C67BA" w:rsidRPr="00696A75">
        <w:rPr>
          <w:rFonts w:ascii="Times New Roman" w:hAnsi="Times New Roman" w:cs="Times New Roman"/>
          <w:b/>
        </w:rPr>
        <w:t xml:space="preserve"> 1.</w:t>
      </w:r>
      <w:r w:rsidR="0099050D">
        <w:rPr>
          <w:rFonts w:ascii="Times New Roman" w:hAnsi="Times New Roman" w:cs="Times New Roman"/>
          <w:b/>
        </w:rPr>
        <w:t>2</w:t>
      </w:r>
      <w:r w:rsidR="00EA3E23" w:rsidRPr="00070602">
        <w:rPr>
          <w:rFonts w:ascii="Times New Roman" w:hAnsi="Times New Roman" w:cs="Times New Roman"/>
        </w:rPr>
        <w:t>).</w:t>
      </w:r>
      <w:r w:rsidR="009C05EF">
        <w:rPr>
          <w:rFonts w:ascii="Times New Roman" w:hAnsi="Times New Roman" w:cs="Times New Roman"/>
        </w:rPr>
        <w:t xml:space="preserve"> Glutathionylation of the 20S proteasome can occur in response to oxidative stress. However instead of offering protection, this modification inhibits protein degradation</w:t>
      </w:r>
      <w:r w:rsidR="005C2045">
        <w:rPr>
          <w:rFonts w:ascii="Times New Roman" w:hAnsi="Times New Roman" w:cs="Times New Roman"/>
        </w:rPr>
        <w:t xml:space="preserve"> that</w:t>
      </w:r>
      <w:r w:rsidR="009C05EF">
        <w:rPr>
          <w:rFonts w:ascii="Times New Roman" w:hAnsi="Times New Roman" w:cs="Times New Roman"/>
        </w:rPr>
        <w:t xml:space="preserve"> could result in increased protein aggregation</w:t>
      </w:r>
      <w:r w:rsidR="005C235F">
        <w:rPr>
          <w:rFonts w:ascii="Times New Roman" w:hAnsi="Times New Roman" w:cs="Times New Roman"/>
        </w:rPr>
        <w:t xml:space="preserve"> </w:t>
      </w:r>
      <w:r w:rsidR="005C235F">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"10.1016/j.redox.2013.12.029", "ISSN" : "2213-2317", "PMID" : "24563857", "abstract" : "Here, we review shortly the current knowledge on the regulation of the proteasomal system during and after oxidative stress. After addressing the components of the proteasomal system and the degradation of oxidatively damaged proteins in part I and II of this series, we address here which changes in activity undergo the proteasome and the ubiquitin-proteasomal system itself under oxidative conditions. While several components of the proteasomal system undergo direct oxidative modification, a number of redox-regulated events are modulating the proteasomal activity in a way it can address the major tasks in an oxidative stress situation: the removal of oxidized proteins and the adaptation of the cellular metabolism to the stress situation.", "author" : [ { "dropping-particle" : "", "family" : "H\u00f6hn", "given" : "Tobias Jung Annika", "non-dropping-particle" : "", "parse-names" : false, "suffix" : "" }, { "dropping-particle" : "", "family" : "Grune", "given" : "Tilman", "non-dropping-particle" : "", "parse-names" : false, "suffix" : "" } ], "container-title" : "Redox biology", "id" : "ITEM-1", "issued" : { "date-parts" : [ [ "2014" ] ] }, "page" : "388-94", "publisher" : "Elsevier", "title" : "The proteasome and the degradation of oxidized proteins: part III-Redox regulation of the proteasomal system.", "type" : "article-journal", "volume" : "2" }, "uris" : [ "http://www.mendeley.com/documents/?uuid=0e188423-1f79-3caf-a57f-62776ea8f5b2" ] } ], "mendeley" : { "formattedCitation" : "(H\u00f6hn &amp; Grune 2014)", "plainTextFormattedCitation" : "(H\u00f6hn &amp; Grune 2014)", "previouslyFormattedCitation" : "(H\u00f6hn &amp; Grune 2014)" }, "properties" : { "noteIndex" : 0 }, "schema" : "https://github.com/citation-style-language/schema/raw/master/csl-citation.json" }</w:instrText>
      </w:r>
      <w:r w:rsidR="005C235F">
        <w:rPr>
          <w:rFonts w:ascii="Times New Roman" w:hAnsi="Times New Roman" w:cs="Times New Roman"/>
        </w:rPr>
        <w:fldChar w:fldCharType="separate"/>
      </w:r>
      <w:r w:rsidR="00C148FC" w:rsidRPr="00C148FC">
        <w:rPr>
          <w:rFonts w:ascii="Times New Roman" w:hAnsi="Times New Roman" w:cs="Times New Roman"/>
          <w:noProof/>
        </w:rPr>
        <w:t>(Höhn &amp; Grune 2014)</w:t>
      </w:r>
      <w:r w:rsidR="005C235F">
        <w:rPr>
          <w:rFonts w:ascii="Times New Roman" w:hAnsi="Times New Roman" w:cs="Times New Roman"/>
        </w:rPr>
        <w:fldChar w:fldCharType="end"/>
      </w:r>
      <w:r w:rsidR="009C05EF">
        <w:rPr>
          <w:rFonts w:ascii="Times New Roman" w:hAnsi="Times New Roman" w:cs="Times New Roman"/>
        </w:rPr>
        <w:t xml:space="preserve">. </w:t>
      </w:r>
      <w:r w:rsidR="00A570B6">
        <w:rPr>
          <w:rFonts w:ascii="Times New Roman" w:hAnsi="Times New Roman" w:cs="Times New Roman"/>
        </w:rPr>
        <w:t>This could provide t</w:t>
      </w:r>
      <w:r w:rsidR="00B51FA7">
        <w:rPr>
          <w:rFonts w:ascii="Times New Roman" w:hAnsi="Times New Roman" w:cs="Times New Roman"/>
        </w:rPr>
        <w:t>he link between oxidative stress and accumulation of A</w:t>
      </w:r>
      <w:r w:rsidR="00DC05F2">
        <w:rPr>
          <w:rFonts w:ascii="Times New Roman" w:hAnsi="Times New Roman" w:cs="Times New Roman"/>
        </w:rPr>
        <w:t>β observed in AD</w:t>
      </w:r>
      <w:r w:rsidR="00A570B6">
        <w:rPr>
          <w:rFonts w:ascii="Times New Roman" w:hAnsi="Times New Roman" w:cs="Times New Roman"/>
        </w:rPr>
        <w:t>.</w:t>
      </w:r>
    </w:p>
    <w:p w14:paraId="7AA76252" w14:textId="45090DDB" w:rsidR="0027102E" w:rsidRDefault="007E1F1F" w:rsidP="00EA3754">
      <w:pPr>
        <w:spacing w:line="360" w:lineRule="auto"/>
        <w:rPr>
          <w:rFonts w:ascii="Times New Roman" w:hAnsi="Times New Roman" w:cs="Times New Roman"/>
        </w:rPr>
      </w:pPr>
      <w:r>
        <w:rPr>
          <w:rFonts w:ascii="Times New Roman" w:hAnsi="Times New Roman" w:cs="Times New Roman"/>
        </w:rPr>
        <w:t xml:space="preserve">       </w:t>
      </w:r>
      <w:r w:rsidR="009D2DF3">
        <w:rPr>
          <w:rFonts w:ascii="Times New Roman" w:hAnsi="Times New Roman" w:cs="Times New Roman"/>
        </w:rPr>
        <w:t xml:space="preserve">           </w:t>
      </w:r>
      <w:r>
        <w:rPr>
          <w:rFonts w:ascii="Times New Roman" w:hAnsi="Times New Roman" w:cs="Times New Roman"/>
        </w:rPr>
        <w:t xml:space="preserve">        </w:t>
      </w:r>
      <w:r>
        <w:rPr>
          <w:rFonts w:ascii="Times New Roman" w:hAnsi="Times New Roman" w:cs="Times New Roman"/>
          <w:noProof/>
        </w:rPr>
        <w:drawing>
          <wp:inline distT="0" distB="0" distL="0" distR="0" wp14:anchorId="0B5D4B2B" wp14:editId="14BA2ACF">
            <wp:extent cx="4227830" cy="4229699"/>
            <wp:effectExtent l="0" t="0" r="0" b="12700"/>
            <wp:docPr id="1073741829" name="Picture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11">
                      <a:extLst>
                        <a:ext uri="{28A0092B-C50C-407E-A947-70E740481C1C}">
                          <a14:useLocalDpi xmlns:a14="http://schemas.microsoft.com/office/drawing/2010/main" val="0"/>
                        </a:ext>
                      </a:extLst>
                    </a:blip>
                    <a:srcRect l="10429" r="14622"/>
                    <a:stretch/>
                  </pic:blipFill>
                  <pic:spPr bwMode="auto">
                    <a:xfrm>
                      <a:off x="0" y="0"/>
                      <a:ext cx="4229780" cy="4231650"/>
                    </a:xfrm>
                    <a:prstGeom prst="rect">
                      <a:avLst/>
                    </a:prstGeom>
                    <a:ln>
                      <a:noFill/>
                    </a:ln>
                    <a:extLst>
                      <a:ext uri="{53640926-AAD7-44d8-BBD7-CCE9431645EC}">
                        <a14:shadowObscured xmlns:a14="http://schemas.microsoft.com/office/drawing/2010/main"/>
                      </a:ext>
                    </a:extLst>
                  </pic:spPr>
                </pic:pic>
              </a:graphicData>
            </a:graphic>
          </wp:inline>
        </w:drawing>
      </w:r>
    </w:p>
    <w:p w14:paraId="66A2C687" w14:textId="77777777" w:rsidR="004F3594" w:rsidRDefault="00232FF0" w:rsidP="003B096D">
      <w:pPr>
        <w:pStyle w:val="Caption"/>
      </w:pPr>
      <w:bookmarkStart w:id="203" w:name="_Toc333566207"/>
      <w:bookmarkStart w:id="204" w:name="_Toc333569041"/>
      <w:bookmarkStart w:id="205" w:name="_Toc333569266"/>
      <w:bookmarkStart w:id="206" w:name="_Toc333570820"/>
      <w:bookmarkStart w:id="207" w:name="_Toc333582203"/>
      <w:bookmarkStart w:id="208" w:name="_Toc333582323"/>
      <w:bookmarkStart w:id="209" w:name="_Toc333582735"/>
      <w:bookmarkStart w:id="210" w:name="_Toc333583105"/>
      <w:bookmarkStart w:id="211" w:name="_Toc333583456"/>
      <w:bookmarkStart w:id="212" w:name="_Toc333584073"/>
      <w:bookmarkStart w:id="213" w:name="_Toc333585207"/>
      <w:bookmarkStart w:id="214" w:name="_Toc333586759"/>
      <w:bookmarkStart w:id="215" w:name="_Toc333644458"/>
      <w:bookmarkStart w:id="216" w:name="_Toc333644752"/>
      <w:r>
        <w:t xml:space="preserve">Figure </w:t>
      </w:r>
      <w:r w:rsidR="009C67BA">
        <w:t>1.</w:t>
      </w:r>
      <w:r w:rsidR="0099050D">
        <w:t>2</w:t>
      </w:r>
      <w:r w:rsidR="0052651A">
        <w:t>.</w:t>
      </w:r>
      <w:r w:rsidR="00640C64">
        <w:t xml:space="preserve"> </w:t>
      </w:r>
      <w:r w:rsidR="00640C64" w:rsidRPr="009C67BA">
        <w:t>Glutathion</w:t>
      </w:r>
      <w:r w:rsidR="007E1F1F">
        <w:t>e cycle</w:t>
      </w:r>
      <w:r w:rsidR="009C67BA">
        <w:t>.</w:t>
      </w:r>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r w:rsidR="009C67BA">
        <w:t xml:space="preserve"> </w:t>
      </w:r>
    </w:p>
    <w:p w14:paraId="0761E288" w14:textId="0DA7050F" w:rsidR="00640C64" w:rsidRPr="009C67BA" w:rsidRDefault="007E1F1F" w:rsidP="004F3594">
      <w:pPr>
        <w:spacing w:line="360" w:lineRule="auto"/>
        <w:jc w:val="both"/>
        <w:rPr>
          <w:rFonts w:ascii="Times New Roman" w:hAnsi="Times New Roman" w:cs="Times New Roman"/>
        </w:rPr>
      </w:pPr>
      <w:r>
        <w:rPr>
          <w:rFonts w:ascii="Times New Roman" w:hAnsi="Times New Roman" w:cs="Times New Roman"/>
        </w:rPr>
        <w:t>Hydrogen peroxide can be reduced by glutathione</w:t>
      </w:r>
      <w:r w:rsidR="0006097D">
        <w:rPr>
          <w:rFonts w:ascii="Times New Roman" w:hAnsi="Times New Roman" w:cs="Times New Roman"/>
        </w:rPr>
        <w:t xml:space="preserve"> using glutathione peroxidase. Electrons donated by NADPH are used to recycle oxidised </w:t>
      </w:r>
      <w:r w:rsidR="001B7077">
        <w:rPr>
          <w:rFonts w:ascii="Times New Roman" w:hAnsi="Times New Roman" w:cs="Times New Roman"/>
        </w:rPr>
        <w:t>glutathione disulphide (</w:t>
      </w:r>
      <w:r w:rsidR="0006097D">
        <w:rPr>
          <w:rFonts w:ascii="Times New Roman" w:hAnsi="Times New Roman" w:cs="Times New Roman"/>
        </w:rPr>
        <w:t>GSSG</w:t>
      </w:r>
      <w:r w:rsidR="001B7077">
        <w:rPr>
          <w:rFonts w:ascii="Times New Roman" w:hAnsi="Times New Roman" w:cs="Times New Roman"/>
        </w:rPr>
        <w:t>)</w:t>
      </w:r>
      <w:r w:rsidR="0006097D">
        <w:rPr>
          <w:rFonts w:ascii="Times New Roman" w:hAnsi="Times New Roman" w:cs="Times New Roman"/>
        </w:rPr>
        <w:t xml:space="preserve"> back to reduced </w:t>
      </w:r>
      <w:r w:rsidR="001B7077">
        <w:rPr>
          <w:rFonts w:ascii="Times New Roman" w:hAnsi="Times New Roman" w:cs="Times New Roman"/>
        </w:rPr>
        <w:t>glutathione (</w:t>
      </w:r>
      <w:r w:rsidR="0006097D">
        <w:rPr>
          <w:rFonts w:ascii="Times New Roman" w:hAnsi="Times New Roman" w:cs="Times New Roman"/>
        </w:rPr>
        <w:t>GSH</w:t>
      </w:r>
      <w:r w:rsidR="001B7077">
        <w:rPr>
          <w:rFonts w:ascii="Times New Roman" w:hAnsi="Times New Roman" w:cs="Times New Roman"/>
        </w:rPr>
        <w:t>), catalys</w:t>
      </w:r>
      <w:r w:rsidR="0006097D">
        <w:rPr>
          <w:rFonts w:ascii="Times New Roman" w:hAnsi="Times New Roman" w:cs="Times New Roman"/>
        </w:rPr>
        <w:t xml:space="preserve">ed by glutathione reductase. </w:t>
      </w:r>
      <w:r w:rsidR="009C67BA">
        <w:rPr>
          <w:rFonts w:ascii="Times New Roman" w:hAnsi="Times New Roman" w:cs="Times New Roman"/>
        </w:rPr>
        <w:t xml:space="preserve">Proteins can </w:t>
      </w:r>
      <w:r w:rsidR="005C2045">
        <w:rPr>
          <w:rFonts w:ascii="Times New Roman" w:hAnsi="Times New Roman" w:cs="Times New Roman"/>
        </w:rPr>
        <w:t>be</w:t>
      </w:r>
      <w:r w:rsidR="009C67BA">
        <w:rPr>
          <w:rFonts w:ascii="Times New Roman" w:hAnsi="Times New Roman" w:cs="Times New Roman"/>
        </w:rPr>
        <w:t xml:space="preserve"> oxidised under conditions of oxidative stress. Glutathione-s-transferase incorporates a disulphide group from reduced glutathione</w:t>
      </w:r>
      <w:r w:rsidR="009569A7">
        <w:rPr>
          <w:rFonts w:ascii="Times New Roman" w:hAnsi="Times New Roman" w:cs="Times New Roman"/>
        </w:rPr>
        <w:t xml:space="preserve"> to a reactive cysteine group</w:t>
      </w:r>
      <w:r w:rsidR="009C67BA">
        <w:rPr>
          <w:rFonts w:ascii="Times New Roman" w:hAnsi="Times New Roman" w:cs="Times New Roman"/>
        </w:rPr>
        <w:t xml:space="preserve">. </w:t>
      </w:r>
      <w:r w:rsidR="005C2045">
        <w:rPr>
          <w:rFonts w:ascii="Times New Roman" w:hAnsi="Times New Roman" w:cs="Times New Roman"/>
        </w:rPr>
        <w:t>When stress subsides, o</w:t>
      </w:r>
      <w:r w:rsidR="009C67BA">
        <w:rPr>
          <w:rFonts w:ascii="Times New Roman" w:hAnsi="Times New Roman" w:cs="Times New Roman"/>
        </w:rPr>
        <w:t>xidised glutathione</w:t>
      </w:r>
      <w:r w:rsidR="005C2045">
        <w:rPr>
          <w:rFonts w:ascii="Times New Roman" w:hAnsi="Times New Roman" w:cs="Times New Roman"/>
        </w:rPr>
        <w:t xml:space="preserve"> </w:t>
      </w:r>
      <w:r w:rsidR="009C67BA">
        <w:rPr>
          <w:rFonts w:ascii="Times New Roman" w:hAnsi="Times New Roman" w:cs="Times New Roman"/>
        </w:rPr>
        <w:t>is r</w:t>
      </w:r>
      <w:r w:rsidR="0006097D">
        <w:rPr>
          <w:rFonts w:ascii="Times New Roman" w:hAnsi="Times New Roman" w:cs="Times New Roman"/>
        </w:rPr>
        <w:t xml:space="preserve">ecycled back to reduced GSH </w:t>
      </w:r>
      <w:r w:rsidR="009C67BA">
        <w:rPr>
          <w:rFonts w:ascii="Times New Roman" w:hAnsi="Times New Roman" w:cs="Times New Roman"/>
        </w:rPr>
        <w:t>using enzymes such as glutaredoxin, peroxiredoxin and thioredoxin.</w:t>
      </w:r>
    </w:p>
    <w:p w14:paraId="10CB95CF" w14:textId="77777777" w:rsidR="00567751" w:rsidRDefault="00567751" w:rsidP="00CE5A67">
      <w:pPr>
        <w:spacing w:line="360" w:lineRule="auto"/>
        <w:rPr>
          <w:rFonts w:ascii="Times New Roman" w:hAnsi="Times New Roman" w:cs="Times New Roman"/>
        </w:rPr>
      </w:pPr>
    </w:p>
    <w:p w14:paraId="5B7B9D9A" w14:textId="6C588DC5" w:rsidR="006B2E89" w:rsidRPr="00CE5A67" w:rsidRDefault="00175823" w:rsidP="003E7BDB">
      <w:pPr>
        <w:spacing w:line="360" w:lineRule="auto"/>
        <w:jc w:val="both"/>
        <w:rPr>
          <w:rFonts w:ascii="Times New Roman" w:hAnsi="Times New Roman" w:cs="Times New Roman"/>
          <w:color w:val="008000"/>
        </w:rPr>
      </w:pPr>
      <w:r w:rsidRPr="00070602">
        <w:rPr>
          <w:rFonts w:ascii="Times New Roman" w:hAnsi="Times New Roman" w:cs="Times New Roman"/>
        </w:rPr>
        <w:t>Glutathione is present in astrocytes at high concentrations but not in neurons</w:t>
      </w:r>
      <w:r w:rsidR="006B2E89">
        <w:rPr>
          <w:rFonts w:ascii="Times New Roman" w:hAnsi="Times New Roman" w:cs="Times New Roman"/>
        </w:rPr>
        <w:t xml:space="preserve"> </w:t>
      </w:r>
    </w:p>
    <w:p w14:paraId="6DD7305F" w14:textId="77777777" w:rsidR="0050067B" w:rsidRDefault="006B2E89" w:rsidP="0050067B">
      <w:pPr>
        <w:widowControl w:val="0"/>
        <w:autoSpaceDE w:val="0"/>
        <w:autoSpaceDN w:val="0"/>
        <w:adjustRightInd w:val="0"/>
        <w:spacing w:line="360" w:lineRule="auto"/>
        <w:ind w:left="480" w:hanging="480"/>
        <w:jc w:val="both"/>
        <w:rPr>
          <w:rFonts w:ascii="Times New Roman" w:hAnsi="Times New Roman" w:cs="Times New Roman"/>
        </w:rPr>
      </w:pP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"0006-8993", "PMID" : "2765907", "abstract" : "The levels of the antioxidants, glutathione and ascorbate were measured in primary cultures of murine astrocytes and neurons. The concentration of glutathione (reduced, GSH + oxidized, GSSG) was high in cultured, differentiated (i.e. treated with dBcAMP) and undifferentiated (i.e. untreated) astrocytes: approximately 25 (n = 2) and 16.0 +/- 5.0 (n = 7) nmol/mg protein, respectively. In contrast, glutathione levels in neurons were low: less than or equal to 1.0 (n = 7) nmol/mg protein. Ascorbate could not be detected (less than 2 nmol/mg protein) in either cell type. The apparent lack of defense mechanisms against oxidative stress may in part account for the 'fragility' of neurons in culture. The physiological implications of glutathione compartmentation in brain are discussed.", "author" : [ { "dropping-particle" : "", "family" : "Raps", "given" : "S P", "non-dropping-particle" : "", "parse-names" : false, "suffix" : "" }, { "dropping-particle" : "", "family" : "Lai", "given" : "J C", "non-dropping-particle" : "", "parse-names" : false, "suffix" : "" }, { "dropping-particle" : "", "family" : "Hertz", "given" : "L", "non-dropping-particle" : "", "parse-names" : false, "suffix" : "" }, { "dropping-particle" : "", "family" : "Cooper", "given" : "A J", "non-dropping-particle" : "", "parse-names" : false, "suffix" : "" } ], "container-title" : "Brain research", "id" : "ITEM-1", "issue" : "2", "issued" : { "date-parts" : [ [ "1989", "7", "31" ] ] }, "page" : "398-401", "title" : "Glutathione is present in high concentrations in cultured astrocytes but not in cultured neurons.", "type" : "article-journal", "volume" : "493" }, "uris" : [ "http://www.mendeley.com/documents/?uuid=f96a9aeb-0678-40ae-b65c-69359a95c151" ] } ], "mendeley" : { "formattedCitation" : "(Raps et al. 1989)", "plainTextFormattedCitation" : "(Raps et al. 1989)", "previouslyFormattedCitation" : "(Raps et al. 1989)"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(Raps et al. 1989)</w:t>
      </w:r>
      <w:r>
        <w:rPr>
          <w:rFonts w:ascii="Times New Roman" w:hAnsi="Times New Roman" w:cs="Times New Roman"/>
        </w:rPr>
        <w:fldChar w:fldCharType="end"/>
      </w:r>
      <w:r w:rsidR="008078F9">
        <w:rPr>
          <w:rFonts w:ascii="Times New Roman" w:hAnsi="Times New Roman" w:cs="Times New Roman"/>
        </w:rPr>
        <w:t>.</w:t>
      </w:r>
      <w:r w:rsidR="003E7BDB">
        <w:rPr>
          <w:rFonts w:ascii="Times New Roman" w:hAnsi="Times New Roman" w:cs="Times New Roman"/>
        </w:rPr>
        <w:t xml:space="preserve"> </w:t>
      </w:r>
      <w:r w:rsidR="00175823" w:rsidRPr="00070602">
        <w:rPr>
          <w:rFonts w:ascii="Times New Roman" w:hAnsi="Times New Roman" w:cs="Times New Roman"/>
        </w:rPr>
        <w:t xml:space="preserve">The lack of glutathione in neurons means that they </w:t>
      </w:r>
      <w:r w:rsidR="0050067B">
        <w:rPr>
          <w:rFonts w:ascii="Times New Roman" w:hAnsi="Times New Roman" w:cs="Times New Roman"/>
        </w:rPr>
        <w:t>heavily rely on</w:t>
      </w:r>
    </w:p>
    <w:p w14:paraId="125EE26E" w14:textId="77777777" w:rsidR="0050067B" w:rsidRDefault="00175823" w:rsidP="0050067B">
      <w:pPr>
        <w:widowControl w:val="0"/>
        <w:autoSpaceDE w:val="0"/>
        <w:autoSpaceDN w:val="0"/>
        <w:adjustRightInd w:val="0"/>
        <w:spacing w:line="360" w:lineRule="auto"/>
        <w:ind w:left="480" w:hanging="480"/>
        <w:jc w:val="both"/>
        <w:rPr>
          <w:rFonts w:ascii="Times New Roman" w:hAnsi="Times New Roman" w:cs="Times New Roman"/>
        </w:rPr>
      </w:pPr>
      <w:r w:rsidRPr="00070602">
        <w:rPr>
          <w:rFonts w:ascii="Times New Roman" w:hAnsi="Times New Roman" w:cs="Times New Roman"/>
        </w:rPr>
        <w:t>astroc</w:t>
      </w:r>
      <w:r w:rsidR="006B2E89">
        <w:rPr>
          <w:rFonts w:ascii="Times New Roman" w:hAnsi="Times New Roman" w:cs="Times New Roman"/>
        </w:rPr>
        <w:t xml:space="preserve">ytes for </w:t>
      </w:r>
      <w:r w:rsidRPr="00070602">
        <w:rPr>
          <w:rFonts w:ascii="Times New Roman" w:hAnsi="Times New Roman" w:cs="Times New Roman"/>
        </w:rPr>
        <w:t xml:space="preserve">support during periods of oxidative stress. However, astrocytes are also </w:t>
      </w:r>
    </w:p>
    <w:p w14:paraId="0E475B4E" w14:textId="77777777" w:rsidR="0050067B" w:rsidRDefault="00175823" w:rsidP="0050067B">
      <w:pPr>
        <w:widowControl w:val="0"/>
        <w:autoSpaceDE w:val="0"/>
        <w:autoSpaceDN w:val="0"/>
        <w:adjustRightInd w:val="0"/>
        <w:spacing w:line="360" w:lineRule="auto"/>
        <w:ind w:left="480" w:hanging="480"/>
        <w:jc w:val="both"/>
        <w:rPr>
          <w:rFonts w:ascii="Times New Roman" w:hAnsi="Times New Roman" w:cs="Times New Roman"/>
        </w:rPr>
      </w:pPr>
      <w:r w:rsidRPr="00070602">
        <w:rPr>
          <w:rFonts w:ascii="Times New Roman" w:hAnsi="Times New Roman" w:cs="Times New Roman"/>
        </w:rPr>
        <w:t xml:space="preserve">capable of supplying neurons with their own glutathione so that they can establish their </w:t>
      </w:r>
    </w:p>
    <w:p w14:paraId="3193C2FC" w14:textId="77777777" w:rsidR="0050067B" w:rsidRDefault="00175823" w:rsidP="0050067B">
      <w:pPr>
        <w:widowControl w:val="0"/>
        <w:autoSpaceDE w:val="0"/>
        <w:autoSpaceDN w:val="0"/>
        <w:adjustRightInd w:val="0"/>
        <w:spacing w:line="360" w:lineRule="auto"/>
        <w:ind w:left="480" w:hanging="480"/>
        <w:jc w:val="both"/>
        <w:rPr>
          <w:rFonts w:ascii="Times New Roman" w:hAnsi="Times New Roman" w:cs="Times New Roman"/>
        </w:rPr>
      </w:pPr>
      <w:r w:rsidRPr="00070602">
        <w:rPr>
          <w:rFonts w:ascii="Times New Roman" w:hAnsi="Times New Roman" w:cs="Times New Roman"/>
        </w:rPr>
        <w:t xml:space="preserve">own antioxidant reserve. </w:t>
      </w:r>
      <w:r w:rsidR="00FF67E3" w:rsidRPr="00070602">
        <w:rPr>
          <w:rFonts w:ascii="Times New Roman" w:hAnsi="Times New Roman" w:cs="Times New Roman"/>
        </w:rPr>
        <w:t xml:space="preserve">Glutathione is released by ectoenzymes that </w:t>
      </w:r>
      <w:r w:rsidR="00595449">
        <w:rPr>
          <w:rFonts w:ascii="Times New Roman" w:hAnsi="Times New Roman" w:cs="Times New Roman"/>
        </w:rPr>
        <w:t>re-constitute</w:t>
      </w:r>
      <w:r w:rsidR="0050067B">
        <w:rPr>
          <w:rFonts w:ascii="Times New Roman" w:hAnsi="Times New Roman" w:cs="Times New Roman"/>
        </w:rPr>
        <w:t xml:space="preserve"> the</w:t>
      </w:r>
    </w:p>
    <w:p w14:paraId="4FB77772" w14:textId="77777777" w:rsidR="0050067B" w:rsidRDefault="00FF67E3" w:rsidP="0050067B">
      <w:pPr>
        <w:widowControl w:val="0"/>
        <w:autoSpaceDE w:val="0"/>
        <w:autoSpaceDN w:val="0"/>
        <w:adjustRightInd w:val="0"/>
        <w:spacing w:line="360" w:lineRule="auto"/>
        <w:ind w:left="480" w:hanging="480"/>
        <w:jc w:val="both"/>
        <w:rPr>
          <w:rFonts w:ascii="Times New Roman" w:hAnsi="Times New Roman" w:cs="Times New Roman"/>
        </w:rPr>
      </w:pPr>
      <w:r w:rsidRPr="00070602">
        <w:rPr>
          <w:rFonts w:ascii="Times New Roman" w:hAnsi="Times New Roman" w:cs="Times New Roman"/>
        </w:rPr>
        <w:t xml:space="preserve">molecule into glutamate, glycine, amino acids and cysteine. Neurons are then capable of </w:t>
      </w:r>
    </w:p>
    <w:p w14:paraId="5F523939" w14:textId="2A268266" w:rsidR="0050067B" w:rsidRDefault="00FF67E3" w:rsidP="0050067B">
      <w:pPr>
        <w:widowControl w:val="0"/>
        <w:autoSpaceDE w:val="0"/>
        <w:autoSpaceDN w:val="0"/>
        <w:adjustRightInd w:val="0"/>
        <w:spacing w:line="360" w:lineRule="auto"/>
        <w:ind w:left="480" w:hanging="480"/>
        <w:jc w:val="both"/>
        <w:rPr>
          <w:rFonts w:ascii="Times New Roman" w:hAnsi="Times New Roman" w:cs="Times New Roman"/>
          <w:noProof/>
        </w:rPr>
      </w:pPr>
      <w:r w:rsidRPr="00070602">
        <w:rPr>
          <w:rFonts w:ascii="Times New Roman" w:hAnsi="Times New Roman" w:cs="Times New Roman"/>
        </w:rPr>
        <w:t xml:space="preserve">taking up </w:t>
      </w:r>
      <w:r w:rsidR="008078F9">
        <w:rPr>
          <w:rFonts w:ascii="Times New Roman" w:hAnsi="Times New Roman" w:cs="Times New Roman"/>
        </w:rPr>
        <w:t>these components and resynthesis</w:t>
      </w:r>
      <w:r w:rsidRPr="00070602">
        <w:rPr>
          <w:rFonts w:ascii="Times New Roman" w:hAnsi="Times New Roman" w:cs="Times New Roman"/>
        </w:rPr>
        <w:t xml:space="preserve">ing glutathione </w:t>
      </w:r>
      <w:r w:rsidR="0015676D">
        <w:rPr>
          <w:rFonts w:ascii="Times New Roman" w:hAnsi="Times New Roman" w:cs="Times New Roman"/>
        </w:rPr>
        <w:fldChar w:fldCharType="begin" w:fldLock="1"/>
      </w:r>
      <w:r w:rsidR="00253037">
        <w:rPr>
          <w:rFonts w:ascii="Times New Roman" w:hAnsi="Times New Roman" w:cs="Times New Roman"/>
        </w:rPr>
        <w:instrText>ADDIN CSL_CITATION { "citationItems" : [ { "id" : "ITEM-1", "itemData" : { "DOI" : "10.1016/j.brainresrev.2009.10.003", "ISSN" : "1872-6321", "PMID" : "19883686", "abstract" : "Astrocytes have important functions in the metabolism of the brain. These cells provide neurons with metabolic substrates for energy production as well as with precursors for neurotransmitter and glutathione synthesis. Both the metabolism of astrocytes and the subsequent supply of metabolites from astrocytes to neurons are strongly affected by alterations in the cellular redox state. The cytosolic redox state of astrocytes depends predominantly on the ratios of the oxidised and reduced partners of the redox pairs NADH/NAD(+), NADPH/NADP(+) and GSH/GSSG. The NADH/NAD(+) pair is predominately in the oxidised state to accept electrons that are produced during glycolysis. In contrast, the redox pairs NADPH/NADP(+) and GSH/GSSG are biased towards the reduced state under unstressed conditions to provide electrons for reductive biosyntheses and antioxidative processes, respectively. In this review article we describe the metabolic processes that maintain the redox pairs in their desired redox states in the cytosol of astrocytes and discuss the consequences of alterations of the normal redox state for the regulation of cellular processes and for metabolite trafficking from astrocytes to neurons.", "author" : [ { "dropping-particle" : "", "family" : "Hirrlinger", "given" : "Johannes", "non-dropping-particle" : "", "parse-names" : false, "suffix" : "" }, { "dropping-particle" : "", "family" : "Dringen", "given" : "Ralf", "non-dropping-particle" : "", "parse-names" : false, "suffix" : "" } ], "container-title" : "Brain research reviews", "id" : "ITEM-1", "issue" : "1-2", "issued" : { "date-parts" : [ [ "2010", "5" ] ] }, "page" : "177-88", "title" : "The cytosolic redox state of astrocytes: Maintenance, regulation and functional implications for metabolite trafficking.", "type" : "article-journal", "volume" : "63" }, "uris" : [ "http://www.mendeley.com/documents/?uuid=4d54375e-acec-4151-9247-4ecd5dac77cb" ] } ], "mendeley" : { "formattedCitation" : "(Hirrlinger &amp; Dringen 2010)", "manualFormatting" : "(Hirrlinger &amp; Dringen \r2010)", "plainTextFormattedCitation" : "(Hirrlinger &amp; Dringen 2010)", "previouslyFormattedCitation" : "(Hirrlinger &amp; Dringen 2010)" }, "properties" : { "noteIndex" : 0 }, "schema" : "https://github.com/citation-style-language/schema/raw/master/csl-citation.json" }</w:instrText>
      </w:r>
      <w:r w:rsidR="0015676D">
        <w:rPr>
          <w:rFonts w:ascii="Times New Roman" w:hAnsi="Times New Roman" w:cs="Times New Roman"/>
        </w:rPr>
        <w:fldChar w:fldCharType="separate"/>
      </w:r>
      <w:r w:rsidR="00C148FC" w:rsidRPr="00C148FC">
        <w:rPr>
          <w:rFonts w:ascii="Times New Roman" w:hAnsi="Times New Roman" w:cs="Times New Roman"/>
          <w:noProof/>
        </w:rPr>
        <w:t xml:space="preserve">(Hirrlinger &amp; Dringen </w:t>
      </w:r>
    </w:p>
    <w:p w14:paraId="74546663" w14:textId="77777777" w:rsidR="0050067B" w:rsidRDefault="00C148FC" w:rsidP="0050067B">
      <w:pPr>
        <w:widowControl w:val="0"/>
        <w:autoSpaceDE w:val="0"/>
        <w:autoSpaceDN w:val="0"/>
        <w:adjustRightInd w:val="0"/>
        <w:spacing w:line="360" w:lineRule="auto"/>
        <w:ind w:left="480" w:hanging="480"/>
        <w:jc w:val="both"/>
        <w:rPr>
          <w:rFonts w:ascii="Times New Roman" w:hAnsi="Times New Roman" w:cs="Times New Roman"/>
        </w:rPr>
      </w:pPr>
      <w:r w:rsidRPr="00C148FC">
        <w:rPr>
          <w:rFonts w:ascii="Times New Roman" w:hAnsi="Times New Roman" w:cs="Times New Roman"/>
          <w:noProof/>
        </w:rPr>
        <w:t>2010)</w:t>
      </w:r>
      <w:r w:rsidR="0015676D">
        <w:rPr>
          <w:rFonts w:ascii="Times New Roman" w:hAnsi="Times New Roman" w:cs="Times New Roman"/>
        </w:rPr>
        <w:fldChar w:fldCharType="end"/>
      </w:r>
      <w:r w:rsidR="0015676D">
        <w:rPr>
          <w:rFonts w:ascii="Times New Roman" w:hAnsi="Times New Roman" w:cs="Times New Roman"/>
        </w:rPr>
        <w:t xml:space="preserve">. </w:t>
      </w:r>
      <w:r w:rsidR="00177D4D" w:rsidRPr="00070602">
        <w:rPr>
          <w:rFonts w:ascii="Times New Roman" w:hAnsi="Times New Roman" w:cs="Times New Roman"/>
        </w:rPr>
        <w:t xml:space="preserve">In addition, glutathione </w:t>
      </w:r>
      <w:r w:rsidR="00595449">
        <w:rPr>
          <w:rFonts w:ascii="Times New Roman" w:hAnsi="Times New Roman" w:cs="Times New Roman"/>
        </w:rPr>
        <w:t>can be</w:t>
      </w:r>
      <w:r w:rsidR="00177D4D" w:rsidRPr="00070602">
        <w:rPr>
          <w:rFonts w:ascii="Times New Roman" w:hAnsi="Times New Roman" w:cs="Times New Roman"/>
        </w:rPr>
        <w:t xml:space="preserve"> exported from the astrocyte and in culture</w:t>
      </w:r>
      <w:r w:rsidR="0050067B">
        <w:rPr>
          <w:rFonts w:ascii="Times New Roman" w:hAnsi="Times New Roman" w:cs="Times New Roman"/>
        </w:rPr>
        <w:t xml:space="preserve"> is</w:t>
      </w:r>
    </w:p>
    <w:p w14:paraId="524A227C" w14:textId="12B83DF4" w:rsidR="00044A22" w:rsidRDefault="00F73D4F" w:rsidP="0050067B">
      <w:pPr>
        <w:widowControl w:val="0"/>
        <w:autoSpaceDE w:val="0"/>
        <w:autoSpaceDN w:val="0"/>
        <w:adjustRightInd w:val="0"/>
        <w:spacing w:line="360" w:lineRule="auto"/>
        <w:ind w:left="480" w:hanging="480"/>
        <w:jc w:val="both"/>
        <w:rPr>
          <w:rFonts w:ascii="Times New Roman" w:hAnsi="Times New Roman" w:cs="Times New Roman"/>
        </w:rPr>
      </w:pPr>
      <w:r>
        <w:rPr>
          <w:rFonts w:ascii="Times New Roman" w:hAnsi="Times New Roman" w:cs="Times New Roman"/>
        </w:rPr>
        <w:t>released in vast quantities</w:t>
      </w:r>
      <w:r w:rsidR="00177D4D" w:rsidRPr="00070602">
        <w:rPr>
          <w:rFonts w:ascii="Times New Roman" w:hAnsi="Times New Roman" w:cs="Times New Roman"/>
        </w:rPr>
        <w:t xml:space="preserve"> </w:t>
      </w:r>
      <w:r w:rsidR="0070791C">
        <w:rPr>
          <w:rFonts w:ascii="Times New Roman" w:hAnsi="Times New Roman" w:cs="Times New Roman"/>
        </w:rPr>
        <w:fldChar w:fldCharType="begin" w:fldLock="1"/>
      </w:r>
      <w:r w:rsidR="00253037">
        <w:rPr>
          <w:rFonts w:ascii="Times New Roman" w:hAnsi="Times New Roman" w:cs="Times New Roman"/>
        </w:rPr>
        <w:instrText>ADDIN CSL_CITATION { "citationItems" : [ { "id" : "ITEM-1", "itemData" : { "DOI" : "10.1002/jnr.10308", "ISSN" : "0360-4012", "PMID" : "12125073", "abstract" : "To investigate the release of glutathione (GSH) from brain cells, cultures enriched for astroglial cells, neurons, oligodendroglial cells, and microglial cells derived from rat brain were studied. During incubation of astroglial cultures, GSH accumulated in the medium with a rate of 3.1 +/- 0.6 nmol x h(-1) x mg protein(-1). In contrast, only marginal amounts of extracellular GSH were detectable in the media of the other brain cell cultures investigated. The mechanism of GSH release from astroglial cells, as yet, has not been reported. Multidrug resistance protein 1 (Mrp1), a transport protein known to mediate cellular export of glutathione disulfide and glutathione conjugates, is expressed in astroglial cultures. Inhibitors of Mrp1 were used to test for a function of this transporter in mediating GSH release from astroglial cells. The presence of the competitive Mrp1 inhibitor MK571 at a concentration of 50 microM inhibited the rate of GSH release by 63%. In contrast, the low concentration of 1 microM of MK571 increased the rate of GSH release by 83%. This bimodal concentration-dependent effect of MK571 is in accord with literature data for the effects of Mrp1 substrates on GSH release from cells. In addition, the presence of cyclosporin A (10 microM) reduced the GSH release rate significantly and completely blocked the stimulating effect of 1 microM MK571 on the release of GSH from astroglial cells. In conclusion, the data presented are a strong indication that Mrp1 participates in the release of GSH from astroglial cells.", "author" : [ { "dropping-particle" : "", "family" : "Hirrlinger", "given" : "Johannes", "non-dropping-particle" : "", "parse-names" : false, "suffix" : "" }, { "dropping-particle" : "", "family" : "Schulz", "given" : "J\u00f6rg B", "non-dropping-particle" : "", "parse-names" : false, "suffix" : "" }, { "dropping-particle" : "", "family" : "Dringen", "given" : "Ralf", "non-dropping-particle" : "", "parse-names" : false, "suffix" : "" } ], "container-title" : "Journal of neuroscience research", "id" : "ITEM-1", "issue" : "3", "issued" : { "date-parts" : [ [ "2002", "8", "1" ] ] }, "page" : "318-26", "title" : "Glutathione release from cultured brain cells: multidrug resistance protein 1 mediates the release of GSH from rat astroglial cells.", "type" : "article-journal", "volume" : "69" }, "uris" : [ "http://www.mendeley.com/documents/?uuid=36e1a8c6-3463-404a-82fd-38e5bf20e99c" ] }, { "id" : "ITEM-2", "itemData" : { "DOI" : "10.1111/j.1471-4159.2006.03737.x", "ISSN" : "0022-3042", "PMID" : "16539673", "abstract" : "Astrocytes play an important role in the glutathione (GSH) metabolism of the brain. To test for an involvement of multidrug resistance protein (Mrp) 1 and 5 in the release of GSH and glutathione disulfide (GSSG) from astrocytes, we used astrocyte cultures from wild-type, Mrp1-deficient [Mrp1(-/-)] and Mrp5-deficient [Mrp5(-/-)] mice. During incubation of wild-type or Mrp5(-/-) astrocytes, GSH accumulated in the medium at a rate of about 3 nmol/(h.mg), whereas the export of GSH from Mrp1(-/-) astrocytes was only one-third of that. In addition, Mrp1(-/-) astrocytes had a 50% higher specific GSH content than wild-type or Mrp5(-/-) cells. The presence of 50 microm of the Mrp inhibitor MK571 inhibited the rate of GSH release from wild-type and Mrp5(-/-) astrocytes by 60%, but stimulated at the low concentration of 1 microm GSH release by 40%. In contrast, both concentrations of MK571 did not affect GSH export from Mrp1(-/-) astrocytes. Moreover, in contrast to wild-type and Mrp5(-/-) cells, GSSG export during H(2)O(2) stress was not observed for Mrp1(-/-) astrocytes. These data demonstrate that in astrocytes Mrp1 mediates 60% of the GSH export, that Mrp1 is exclusively responsible for GSSG export and that Mrp5 does not contribute to these transport processes.", "author" : [ { "dropping-particle" : "", "family" : "Minich", "given" : "Tobias", "non-dropping-particle" : "", "parse-names" : false, "suffix" : "" }, { "dropping-particle" : "", "family" : "Riemer", "given" : "Jan", "non-dropping-particle" : "", "parse-names" : false, "suffix" : "" }, { "dropping-particle" : "", "family" : "Schulz", "given" : "J\u00f6rg B", "non-dropping-particle" : "", "parse-names" : false, "suffix" : "" }, { "dropping-particle" : "", "family" : "Wielinga", "given" : "Peter", "non-dropping-particle" : "", "parse-names" : false, "suffix" : "" }, { "dropping-particle" : "", "family" : "Wijnholds", "given" : "Jan", "non-dropping-particle" : "", "parse-names" : false, "suffix" : "" }, { "dropping-particle" : "", "family" : "Dringen", "given" : "Ralf", "non-dropping-particle" : "", "parse-names" : false, "suffix" : "" } ], "container-title" : "Journal of neurochemistry", "id" : "ITEM-2", "issue" : "2", "issued" : { "date-parts" : [ [ "2006", "5" ] ] }, "page" : "373-84", "title" : "The multidrug resistance protein 1 (Mrp1), but not Mrp5, mediates export of glutathione and glutathione disulfide from brain astrocytes.", "type" : "article-journal", "volume" : "97" }, "uris" : [ "http://www.mendeley.com/documents/?uuid=a9cb92b4-7514-4414-a46f-ad6f606914af" ] } ], "mendeley" : { "formattedCitation" : "(Hirrlinger et al. 2002; Minich et al. 2006)", "manualFormatting" : "(Hirrlinger, Schulz, &amp; Dringen, 2002; Minich et al., 2006)", "plainTextFormattedCitation" : "(Hirrlinger et al. 2002; Minich et al. 2006)", "previouslyFormattedCitation" : "(Hirrlinger et al. 2002; Minich et al. 2006)" }, "properties" : { "noteIndex" : 0 }, "schema" : "https://github.com/citation-style-language/schema/raw/master/csl-citation.json" }</w:instrText>
      </w:r>
      <w:r w:rsidR="0070791C">
        <w:rPr>
          <w:rFonts w:ascii="Times New Roman" w:hAnsi="Times New Roman" w:cs="Times New Roman"/>
        </w:rPr>
        <w:fldChar w:fldCharType="separate"/>
      </w:r>
      <w:r w:rsidR="0039069B" w:rsidRPr="0039069B">
        <w:rPr>
          <w:rFonts w:ascii="Times New Roman" w:hAnsi="Times New Roman" w:cs="Times New Roman"/>
          <w:noProof/>
        </w:rPr>
        <w:t>(Hirrlinger, Schulz, &amp; Dringen, 2002; Minich et al., 2006)</w:t>
      </w:r>
      <w:r w:rsidR="0070791C">
        <w:rPr>
          <w:rFonts w:ascii="Times New Roman" w:hAnsi="Times New Roman" w:cs="Times New Roman"/>
        </w:rPr>
        <w:fldChar w:fldCharType="end"/>
      </w:r>
      <w:r w:rsidR="0070791C">
        <w:rPr>
          <w:rFonts w:ascii="Times New Roman" w:hAnsi="Times New Roman" w:cs="Times New Roman"/>
        </w:rPr>
        <w:t>.</w:t>
      </w:r>
      <w:r w:rsidR="00044A22" w:rsidRPr="00044A22">
        <w:rPr>
          <w:rFonts w:ascii="Times New Roman" w:hAnsi="Times New Roman" w:cs="Times New Roman"/>
        </w:rPr>
        <w:t xml:space="preserve"> </w:t>
      </w:r>
    </w:p>
    <w:p w14:paraId="1F780E43" w14:textId="77777777" w:rsidR="009D1747" w:rsidRDefault="009D1747" w:rsidP="00A62610">
      <w:pPr>
        <w:widowControl w:val="0"/>
        <w:autoSpaceDE w:val="0"/>
        <w:autoSpaceDN w:val="0"/>
        <w:adjustRightInd w:val="0"/>
        <w:spacing w:line="360" w:lineRule="auto"/>
        <w:ind w:left="480" w:hanging="480"/>
        <w:rPr>
          <w:rFonts w:ascii="Times New Roman" w:hAnsi="Times New Roman" w:cs="Times New Roman"/>
        </w:rPr>
      </w:pPr>
    </w:p>
    <w:p w14:paraId="5BC7E606" w14:textId="1ED04B2C" w:rsidR="009D1747" w:rsidRPr="009D1747" w:rsidRDefault="009D1747" w:rsidP="00C25727">
      <w:pPr>
        <w:widowControl w:val="0"/>
        <w:autoSpaceDE w:val="0"/>
        <w:autoSpaceDN w:val="0"/>
        <w:adjustRightInd w:val="0"/>
        <w:ind w:left="482" w:hanging="482"/>
        <w:rPr>
          <w:rFonts w:ascii="Times New Roman" w:hAnsi="Times New Roman" w:cs="Times New Roman"/>
          <w:b/>
          <w:i/>
          <w:u w:val="single"/>
        </w:rPr>
      </w:pPr>
      <w:r>
        <w:rPr>
          <w:rFonts w:ascii="Times New Roman" w:hAnsi="Times New Roman" w:cs="Times New Roman"/>
          <w:b/>
          <w:i/>
          <w:u w:val="single"/>
        </w:rPr>
        <w:t>Nuclear factor erythroid 2 factor</w:t>
      </w:r>
    </w:p>
    <w:p w14:paraId="56F72A38" w14:textId="64D64223" w:rsidR="00044A22" w:rsidRDefault="00A83DA2" w:rsidP="003E7BDB">
      <w:pPr>
        <w:widowControl w:val="0"/>
        <w:autoSpaceDE w:val="0"/>
        <w:autoSpaceDN w:val="0"/>
        <w:adjustRightInd w:val="0"/>
        <w:spacing w:line="360" w:lineRule="auto"/>
        <w:ind w:left="480" w:hanging="480"/>
        <w:jc w:val="both"/>
        <w:rPr>
          <w:rFonts w:ascii="Times New Roman" w:hAnsi="Times New Roman" w:cs="Times New Roman"/>
        </w:rPr>
      </w:pPr>
      <w:r>
        <w:rPr>
          <w:rFonts w:ascii="Times New Roman" w:hAnsi="Times New Roman" w:cs="Times New Roman"/>
        </w:rPr>
        <w:t>Nuclear</w:t>
      </w:r>
      <w:r w:rsidR="00F7734C">
        <w:rPr>
          <w:rFonts w:ascii="Times New Roman" w:hAnsi="Times New Roman" w:cs="Times New Roman"/>
        </w:rPr>
        <w:t xml:space="preserve"> factor</w:t>
      </w:r>
      <w:r>
        <w:rPr>
          <w:rFonts w:ascii="Times New Roman" w:hAnsi="Times New Roman" w:cs="Times New Roman"/>
        </w:rPr>
        <w:t xml:space="preserve"> erythroid</w:t>
      </w:r>
      <w:r w:rsidR="00F7734C">
        <w:rPr>
          <w:rFonts w:ascii="Times New Roman" w:hAnsi="Times New Roman" w:cs="Times New Roman"/>
        </w:rPr>
        <w:t xml:space="preserve"> 2</w:t>
      </w:r>
      <w:r w:rsidR="00044A22">
        <w:rPr>
          <w:rFonts w:ascii="Times New Roman" w:hAnsi="Times New Roman" w:cs="Times New Roman"/>
        </w:rPr>
        <w:t xml:space="preserve"> related factor 2 (NRF2) is the master regulator of many </w:t>
      </w:r>
    </w:p>
    <w:p w14:paraId="7DCBFB6D" w14:textId="77777777" w:rsidR="00004828" w:rsidRDefault="00044A22" w:rsidP="003E7BDB">
      <w:pPr>
        <w:widowControl w:val="0"/>
        <w:autoSpaceDE w:val="0"/>
        <w:autoSpaceDN w:val="0"/>
        <w:adjustRightInd w:val="0"/>
        <w:spacing w:line="360" w:lineRule="auto"/>
        <w:ind w:left="480" w:hanging="480"/>
        <w:jc w:val="both"/>
        <w:rPr>
          <w:rFonts w:ascii="Times New Roman" w:hAnsi="Times New Roman" w:cs="Times New Roman"/>
        </w:rPr>
      </w:pPr>
      <w:r>
        <w:rPr>
          <w:rFonts w:ascii="Times New Roman" w:hAnsi="Times New Roman" w:cs="Times New Roman"/>
        </w:rPr>
        <w:t xml:space="preserve">antioxidant genes, including those involved in the glutathione system. </w:t>
      </w:r>
      <w:r w:rsidR="00004828">
        <w:rPr>
          <w:rFonts w:ascii="Times New Roman" w:hAnsi="Times New Roman" w:cs="Times New Roman"/>
        </w:rPr>
        <w:t xml:space="preserve">Under basal </w:t>
      </w:r>
    </w:p>
    <w:p w14:paraId="220D83A9" w14:textId="77777777" w:rsidR="00004828" w:rsidRDefault="00004828" w:rsidP="003E7BDB">
      <w:pPr>
        <w:widowControl w:val="0"/>
        <w:autoSpaceDE w:val="0"/>
        <w:autoSpaceDN w:val="0"/>
        <w:adjustRightInd w:val="0"/>
        <w:spacing w:line="360" w:lineRule="auto"/>
        <w:ind w:left="480" w:hanging="480"/>
        <w:jc w:val="both"/>
        <w:rPr>
          <w:rFonts w:ascii="Times New Roman" w:hAnsi="Times New Roman" w:cs="Times New Roman"/>
        </w:rPr>
      </w:pPr>
      <w:r>
        <w:rPr>
          <w:rFonts w:ascii="Times New Roman" w:hAnsi="Times New Roman" w:cs="Times New Roman"/>
        </w:rPr>
        <w:t xml:space="preserve">conditions, NRF2 is targeted for proteosomal degradation, however when oxidative </w:t>
      </w:r>
    </w:p>
    <w:p w14:paraId="3D21276A" w14:textId="77777777" w:rsidR="00004828" w:rsidRDefault="00004828" w:rsidP="003E7BDB">
      <w:pPr>
        <w:widowControl w:val="0"/>
        <w:autoSpaceDE w:val="0"/>
        <w:autoSpaceDN w:val="0"/>
        <w:adjustRightInd w:val="0"/>
        <w:spacing w:line="360" w:lineRule="auto"/>
        <w:ind w:left="480" w:hanging="480"/>
        <w:jc w:val="both"/>
        <w:rPr>
          <w:rFonts w:ascii="Times New Roman" w:hAnsi="Times New Roman" w:cs="Times New Roman"/>
        </w:rPr>
      </w:pPr>
      <w:r>
        <w:rPr>
          <w:rFonts w:ascii="Times New Roman" w:hAnsi="Times New Roman" w:cs="Times New Roman"/>
        </w:rPr>
        <w:t xml:space="preserve">stress occurs NRF2 translocates to the nucleus where it increases the transcription of </w:t>
      </w:r>
    </w:p>
    <w:p w14:paraId="2BF68B15" w14:textId="0CC6D6BC" w:rsidR="003D75EE" w:rsidRDefault="00004828" w:rsidP="003E7BDB">
      <w:pPr>
        <w:widowControl w:val="0"/>
        <w:autoSpaceDE w:val="0"/>
        <w:autoSpaceDN w:val="0"/>
        <w:adjustRightInd w:val="0"/>
        <w:spacing w:line="360" w:lineRule="auto"/>
        <w:ind w:left="480" w:hanging="480"/>
        <w:jc w:val="both"/>
        <w:rPr>
          <w:rFonts w:ascii="Times New Roman" w:hAnsi="Times New Roman" w:cs="Times New Roman"/>
          <w:noProof/>
        </w:rPr>
      </w:pPr>
      <w:r>
        <w:rPr>
          <w:rFonts w:ascii="Times New Roman" w:hAnsi="Times New Roman" w:cs="Times New Roman"/>
        </w:rPr>
        <w:t>genes incorporating the antioxidant response element (ARE)</w:t>
      </w:r>
      <w:r w:rsidR="003D75EE">
        <w:rPr>
          <w:rFonts w:ascii="Times New Roman" w:hAnsi="Times New Roman" w:cs="Times New Roman"/>
        </w:rPr>
        <w:t xml:space="preserve"> </w:t>
      </w:r>
      <w:r w:rsidR="003D75EE">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"10.1074/jbc.R900010200", "ISSN" : "0021-9258", "author" : [ { "dropping-particle" : "", "family" : "Nguyen", "given" : "T.", "non-dropping-particle" : "", "parse-names" : false, "suffix" : "" }, { "dropping-particle" : "", "family" : "Nioi", "given" : "P.", "non-dropping-particle" : "", "parse-names" : false, "suffix" : "" }, { "dropping-particle" : "", "family" : "Pickett", "given" : "C. B.", "non-dropping-particle" : "", "parse-names" : false, "suffix" : "" } ], "container-title" : "Journal of Biological Chemistry", "id" : "ITEM-1", "issue" : "20", "issued" : { "date-parts" : [ [ "2009", "5", "15" ] ] }, "page" : "13291-13295", "publisher" : "American Society for Biochemistry and Molecular Biology", "title" : "The Nrf2-Antioxidant Response Element Signaling Pathway and Its Activation by Oxidative Stress", "type" : "article-journal", "volume" : "284" }, "uris" : [ "http://www.mendeley.com/documents/?uuid=740645cc-7390-3cd8-9191-0822c127a1e8" ] } ], "mendeley" : { "formattedCitation" : "(Nguyen et al. 2009)", "manualFormatting" : "(Nguyen, Nioi, &amp; Pickett,\r2009)", "plainTextFormattedCitation" : "(Nguyen et al. 2009)", "previouslyFormattedCitation" : "(Nguyen et al. 2009)" }, "properties" : { "noteIndex" : 0 }, "schema" : "https://github.com/citation-style-language/schema/raw/master/csl-citation.json" }</w:instrText>
      </w:r>
      <w:r w:rsidR="003D75EE">
        <w:rPr>
          <w:rFonts w:ascii="Times New Roman" w:hAnsi="Times New Roman" w:cs="Times New Roman"/>
        </w:rPr>
        <w:fldChar w:fldCharType="separate"/>
      </w:r>
      <w:r w:rsidR="003D75EE">
        <w:rPr>
          <w:rFonts w:ascii="Times New Roman" w:hAnsi="Times New Roman" w:cs="Times New Roman"/>
          <w:noProof/>
        </w:rPr>
        <w:t>(Nguyen, Nioi, &amp; Pickett,</w:t>
      </w:r>
    </w:p>
    <w:p w14:paraId="505F5697" w14:textId="2C427FAB" w:rsidR="009D1747" w:rsidRDefault="003D75EE" w:rsidP="003E7BDB">
      <w:pPr>
        <w:widowControl w:val="0"/>
        <w:autoSpaceDE w:val="0"/>
        <w:autoSpaceDN w:val="0"/>
        <w:adjustRightInd w:val="0"/>
        <w:spacing w:line="360" w:lineRule="auto"/>
        <w:ind w:left="480" w:hanging="480"/>
        <w:jc w:val="both"/>
        <w:rPr>
          <w:rFonts w:ascii="Times New Roman" w:hAnsi="Times New Roman" w:cs="Times New Roman"/>
        </w:rPr>
      </w:pPr>
      <w:r w:rsidRPr="003D75EE">
        <w:rPr>
          <w:rFonts w:ascii="Times New Roman" w:hAnsi="Times New Roman" w:cs="Times New Roman"/>
          <w:noProof/>
        </w:rPr>
        <w:t>2009)</w:t>
      </w:r>
      <w:r>
        <w:rPr>
          <w:rFonts w:ascii="Times New Roman" w:hAnsi="Times New Roman" w:cs="Times New Roman"/>
        </w:rPr>
        <w:fldChar w:fldCharType="end"/>
      </w:r>
      <w:r w:rsidR="00004828">
        <w:rPr>
          <w:rFonts w:ascii="Times New Roman" w:hAnsi="Times New Roman" w:cs="Times New Roman"/>
        </w:rPr>
        <w:t xml:space="preserve">. </w:t>
      </w:r>
    </w:p>
    <w:p w14:paraId="37E0AC67" w14:textId="77777777" w:rsidR="009D1747" w:rsidRDefault="009D1747" w:rsidP="007028AC">
      <w:pPr>
        <w:widowControl w:val="0"/>
        <w:autoSpaceDE w:val="0"/>
        <w:autoSpaceDN w:val="0"/>
        <w:adjustRightInd w:val="0"/>
        <w:spacing w:line="360" w:lineRule="auto"/>
        <w:ind w:left="480" w:hanging="480"/>
        <w:jc w:val="both"/>
        <w:rPr>
          <w:rFonts w:ascii="Times New Roman" w:hAnsi="Times New Roman" w:cs="Times New Roman"/>
        </w:rPr>
      </w:pPr>
    </w:p>
    <w:p w14:paraId="598D421F" w14:textId="33133D61" w:rsidR="009C0258" w:rsidRDefault="00CD304E" w:rsidP="007028AC">
      <w:pPr>
        <w:widowControl w:val="0"/>
        <w:autoSpaceDE w:val="0"/>
        <w:autoSpaceDN w:val="0"/>
        <w:adjustRightInd w:val="0"/>
        <w:spacing w:line="360" w:lineRule="auto"/>
        <w:ind w:left="480" w:hanging="480"/>
        <w:jc w:val="both"/>
        <w:rPr>
          <w:rFonts w:ascii="Times New Roman" w:hAnsi="Times New Roman" w:cs="Times New Roman"/>
        </w:rPr>
      </w:pPr>
      <w:r>
        <w:rPr>
          <w:rFonts w:ascii="Times New Roman" w:hAnsi="Times New Roman" w:cs="Times New Roman"/>
        </w:rPr>
        <w:t>During early d</w:t>
      </w:r>
      <w:r w:rsidR="007A139E">
        <w:rPr>
          <w:rFonts w:ascii="Times New Roman" w:hAnsi="Times New Roman" w:cs="Times New Roman"/>
        </w:rPr>
        <w:t>evelopment, the NRF2 promoter i</w:t>
      </w:r>
      <w:r>
        <w:rPr>
          <w:rFonts w:ascii="Times New Roman" w:hAnsi="Times New Roman" w:cs="Times New Roman"/>
        </w:rPr>
        <w:t>s epigenetically repressed</w:t>
      </w:r>
      <w:r w:rsidR="009C0258">
        <w:rPr>
          <w:rFonts w:ascii="Times New Roman" w:hAnsi="Times New Roman" w:cs="Times New Roman"/>
        </w:rPr>
        <w:t xml:space="preserve"> so </w:t>
      </w:r>
    </w:p>
    <w:p w14:paraId="6172A5E8" w14:textId="57080BC2" w:rsidR="009C0258" w:rsidRDefault="009C0258" w:rsidP="007028AC">
      <w:pPr>
        <w:widowControl w:val="0"/>
        <w:autoSpaceDE w:val="0"/>
        <w:autoSpaceDN w:val="0"/>
        <w:adjustRightInd w:val="0"/>
        <w:spacing w:line="360" w:lineRule="auto"/>
        <w:ind w:left="480" w:hanging="480"/>
        <w:jc w:val="both"/>
        <w:rPr>
          <w:rFonts w:ascii="Times New Roman" w:hAnsi="Times New Roman" w:cs="Times New Roman"/>
        </w:rPr>
      </w:pPr>
      <w:r>
        <w:rPr>
          <w:rFonts w:ascii="Times New Roman" w:hAnsi="Times New Roman" w:cs="Times New Roman"/>
        </w:rPr>
        <w:t xml:space="preserve">that redox sensitive pathways JNK and WNT </w:t>
      </w:r>
      <w:r w:rsidR="009D1747">
        <w:rPr>
          <w:rFonts w:ascii="Times New Roman" w:hAnsi="Times New Roman" w:cs="Times New Roman"/>
        </w:rPr>
        <w:t>are</w:t>
      </w:r>
      <w:r>
        <w:rPr>
          <w:rFonts w:ascii="Times New Roman" w:hAnsi="Times New Roman" w:cs="Times New Roman"/>
        </w:rPr>
        <w:t xml:space="preserve"> activated appropriately allowing </w:t>
      </w:r>
    </w:p>
    <w:p w14:paraId="723CE156" w14:textId="2DD2F141" w:rsidR="009D1747" w:rsidRDefault="009C0258" w:rsidP="007028AC">
      <w:pPr>
        <w:widowControl w:val="0"/>
        <w:autoSpaceDE w:val="0"/>
        <w:autoSpaceDN w:val="0"/>
        <w:adjustRightInd w:val="0"/>
        <w:spacing w:line="360" w:lineRule="auto"/>
        <w:ind w:left="480" w:hanging="480"/>
        <w:jc w:val="both"/>
        <w:rPr>
          <w:rFonts w:ascii="Times New Roman" w:hAnsi="Times New Roman" w:cs="Times New Roman"/>
        </w:rPr>
      </w:pPr>
      <w:r>
        <w:rPr>
          <w:rFonts w:ascii="Times New Roman" w:hAnsi="Times New Roman" w:cs="Times New Roman"/>
        </w:rPr>
        <w:t xml:space="preserve">proper neuronal development. </w:t>
      </w:r>
      <w:r w:rsidR="00CD304E">
        <w:rPr>
          <w:rFonts w:ascii="Times New Roman" w:hAnsi="Times New Roman" w:cs="Times New Roman"/>
        </w:rPr>
        <w:t xml:space="preserve"> </w:t>
      </w:r>
      <w:r>
        <w:rPr>
          <w:rFonts w:ascii="Times New Roman" w:hAnsi="Times New Roman" w:cs="Times New Roman"/>
        </w:rPr>
        <w:t xml:space="preserve">However, this </w:t>
      </w:r>
      <w:r w:rsidR="00CD304E">
        <w:rPr>
          <w:rFonts w:ascii="Times New Roman" w:hAnsi="Times New Roman" w:cs="Times New Roman"/>
        </w:rPr>
        <w:t>means that</w:t>
      </w:r>
      <w:r>
        <w:rPr>
          <w:rFonts w:ascii="Times New Roman" w:hAnsi="Times New Roman" w:cs="Times New Roman"/>
        </w:rPr>
        <w:t xml:space="preserve"> </w:t>
      </w:r>
      <w:r w:rsidR="009D1747">
        <w:rPr>
          <w:rFonts w:ascii="Times New Roman" w:hAnsi="Times New Roman" w:cs="Times New Roman"/>
        </w:rPr>
        <w:t>there are low levels of</w:t>
      </w:r>
    </w:p>
    <w:p w14:paraId="5E11BE2E" w14:textId="6597D1CE" w:rsidR="00026883" w:rsidRDefault="00CD304E" w:rsidP="007028AC">
      <w:pPr>
        <w:widowControl w:val="0"/>
        <w:autoSpaceDE w:val="0"/>
        <w:autoSpaceDN w:val="0"/>
        <w:adjustRightInd w:val="0"/>
        <w:spacing w:line="360" w:lineRule="auto"/>
        <w:jc w:val="both"/>
        <w:rPr>
          <w:rFonts w:ascii="Times New Roman" w:hAnsi="Times New Roman" w:cs="Times New Roman"/>
        </w:rPr>
      </w:pPr>
      <w:r>
        <w:rPr>
          <w:rFonts w:ascii="Times New Roman" w:hAnsi="Times New Roman" w:cs="Times New Roman"/>
        </w:rPr>
        <w:t>activated NRF2</w:t>
      </w:r>
      <w:r w:rsidR="009D1747">
        <w:rPr>
          <w:rFonts w:ascii="Times New Roman" w:hAnsi="Times New Roman" w:cs="Times New Roman"/>
        </w:rPr>
        <w:t xml:space="preserve"> in neurons even after oxidative stress</w:t>
      </w:r>
      <w:r>
        <w:rPr>
          <w:rFonts w:ascii="Times New Roman" w:hAnsi="Times New Roman" w:cs="Times New Roman"/>
        </w:rPr>
        <w:t xml:space="preserve">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"10.1038/ncomms8066", "ISSN" : "2041-1723", "author" : [ { "dropping-particle" : "", "family" : "Bell", "given" : "Karen F.S.", "non-dropping-particle" : "", "parse-names" : false, "suffix" : "" }, { "dropping-particle" : "", "family" : "Al-Mubarak", "given" : "Bashayer", "non-dropping-particle" : "", "parse-names" : false, "suffix" : "" }, { "dropping-particle" : "", "family" : "Martel", "given" : "Marc-Andr\u00e9", "non-dropping-particle" : "", "parse-names" : false, "suffix" : "" }, { "dropping-particle" : "", "family" : "McKay", "given" : "Sean", "non-dropping-particle" : "", "parse-names" : false, "suffix" : "" }, { "dropping-particle" : "", "family" : "Wheelan", "given" : "Nicola", "non-dropping-particle" : "", "parse-names" : false, "suffix" : "" }, { "dropping-particle" : "", "family" : "Hasel", "given" : "Philip", "non-dropping-particle" : "", "parse-names" : false, "suffix" : "" }, { "dropping-particle" : "", "family" : "M\u00e1rkus", "given" : "N\u00f3ra M.", "non-dropping-particle" : "", "parse-names" : false, "suffix" : "" }, { "dropping-particle" : "", "family" : "Baxter", "given" : "Paul", "non-dropping-particle" : "", "parse-names" : false, "suffix" : "" }, { "dropping-particle" : "", "family" : "Deighton", "given" : "Ruth F.", "non-dropping-particle" : "", "parse-names" : false, "suffix" : "" }, { "dropping-particle" : "", "family" : "Serio", "given" : "Andrea", "non-dropping-particle" : "", "parse-names" : false, "suffix" : "" }, { "dropping-particle" : "", "family" : "Bilican", "given" : "Bilada", "non-dropping-particle" : "", "parse-names" : false, "suffix" : "" }, { "dropping-particle" : "", "family" : "Chowdhry", "given" : "Sudhir", "non-dropping-particle" : "", "parse-names" : false, "suffix" : "" }, { "dropping-particle" : "", "family" : "Meakin", "given" : "Paul J.", "non-dropping-particle" : "", "parse-names" : false, "suffix" : "" }, { "dropping-particle" : "", "family" : "Ashford", "given" : "Michael L.J.", "non-dropping-particle" : "", "parse-names" : false, "suffix" : "" }, { "dropping-particle" : "", "family" : "Wyllie", "given" : "David J.A.", "non-dropping-particle" : "", "parse-names" : false, "suffix" : "" }, { "dropping-particle" : "", "family" : "Scannevin", "given" : "Robert H.", "non-dropping-particle" : "", "parse-names" : false, "suffix" : "" }, { "dropping-particle" : "", "family" : "Chandran", "given" : "Siddharthan", "non-dropping-particle" : "", "parse-names" : false, "suffix" : "" }, { "dropping-particle" : "", "family" : "Hayes", "given" : "John D.", "non-dropping-particle" : "", "parse-names" : false, "suffix" : "" }, { "dropping-particle" : "", "family" : "Hardingham", "given" : "Giles E.", "non-dropping-particle" : "", "parse-names" : false, "suffix" : "" } ], "container-title" : "Nature Communications", "id" : "ITEM-1", "issued" : { "date-parts" : [ [ "2015", "5", "13" ] ] }, "page" : "7066", "publisher" : "Nature Publishing Group", "title" : "Neuronal development is promoted by weakened intrinsic antioxidant defences due to epigenetic repression of Nrf2", "type" : "article-journal", "volume" : "6" }, "uris" : [ "http://www.mendeley.com/documents/?uuid=11aeb0c6-9146-3c93-a059-2900de7cda46" ] } ], "mendeley" : { "formattedCitation" : "(Bell et al. 2015)", "plainTextFormattedCitation" : "(Bell et al. 2015)", "previouslyFormattedCitation" : "(Bell et al. 2015)"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(Bell et al. 2015)</w:t>
      </w:r>
      <w:r>
        <w:rPr>
          <w:rFonts w:ascii="Times New Roman" w:hAnsi="Times New Roman" w:cs="Times New Roman"/>
        </w:rPr>
        <w:fldChar w:fldCharType="end"/>
      </w:r>
      <w:r>
        <w:rPr>
          <w:rFonts w:ascii="Times New Roman" w:hAnsi="Times New Roman" w:cs="Times New Roman"/>
        </w:rPr>
        <w:t xml:space="preserve">. </w:t>
      </w:r>
      <w:r w:rsidR="009C0258">
        <w:rPr>
          <w:rFonts w:ascii="Times New Roman" w:hAnsi="Times New Roman" w:cs="Times New Roman"/>
        </w:rPr>
        <w:t>Therefore loss of</w:t>
      </w:r>
      <w:r w:rsidR="009D1747">
        <w:rPr>
          <w:rFonts w:ascii="Times New Roman" w:hAnsi="Times New Roman" w:cs="Times New Roman"/>
        </w:rPr>
        <w:t xml:space="preserve"> </w:t>
      </w:r>
      <w:r w:rsidR="00802DA8">
        <w:rPr>
          <w:rFonts w:ascii="Times New Roman" w:hAnsi="Times New Roman" w:cs="Times New Roman"/>
        </w:rPr>
        <w:t>NRF2 from neurons does not increase susceptibility t</w:t>
      </w:r>
      <w:r w:rsidR="009C0258">
        <w:rPr>
          <w:rFonts w:ascii="Times New Roman" w:hAnsi="Times New Roman" w:cs="Times New Roman"/>
        </w:rPr>
        <w:t xml:space="preserve">o </w:t>
      </w:r>
      <w:r w:rsidR="004C1CF7" w:rsidRPr="004C1CF7">
        <w:rPr>
          <w:rFonts w:ascii="Times New Roman" w:hAnsi="Times New Roman" w:cs="Times New Roman"/>
        </w:rPr>
        <w:t>H</w:t>
      </w:r>
      <w:r w:rsidR="004C1CF7" w:rsidRPr="004C1CF7">
        <w:rPr>
          <w:rFonts w:ascii="Times New Roman" w:hAnsi="Times New Roman" w:cs="Times New Roman"/>
          <w:vertAlign w:val="subscript"/>
        </w:rPr>
        <w:t>2</w:t>
      </w:r>
      <w:r w:rsidR="004C1CF7" w:rsidRPr="004C1CF7">
        <w:rPr>
          <w:rFonts w:ascii="Times New Roman" w:hAnsi="Times New Roman" w:cs="Times New Roman"/>
        </w:rPr>
        <w:t>O</w:t>
      </w:r>
      <w:r w:rsidR="004C1CF7" w:rsidRPr="004C1CF7">
        <w:rPr>
          <w:rFonts w:ascii="Times New Roman" w:hAnsi="Times New Roman" w:cs="Times New Roman"/>
          <w:vertAlign w:val="subscript"/>
        </w:rPr>
        <w:t>2</w:t>
      </w:r>
      <w:r w:rsidR="004C1CF7">
        <w:rPr>
          <w:rFonts w:ascii="Times New Roman" w:hAnsi="Times New Roman" w:cs="Times New Roman"/>
        </w:rPr>
        <w:t xml:space="preserve">, </w:t>
      </w:r>
      <w:r w:rsidR="009C0258" w:rsidRPr="004C1CF7">
        <w:rPr>
          <w:rFonts w:ascii="Times New Roman" w:hAnsi="Times New Roman" w:cs="Times New Roman"/>
        </w:rPr>
        <w:t>wher</w:t>
      </w:r>
      <w:r w:rsidR="009D1747" w:rsidRPr="004C1CF7">
        <w:rPr>
          <w:rFonts w:ascii="Times New Roman" w:hAnsi="Times New Roman" w:cs="Times New Roman"/>
        </w:rPr>
        <w:t>eas</w:t>
      </w:r>
      <w:r w:rsidR="009D1747">
        <w:rPr>
          <w:rFonts w:ascii="Times New Roman" w:hAnsi="Times New Roman" w:cs="Times New Roman"/>
        </w:rPr>
        <w:t xml:space="preserve"> in</w:t>
      </w:r>
      <w:r w:rsidR="00802DA8">
        <w:rPr>
          <w:rFonts w:ascii="Times New Roman" w:hAnsi="Times New Roman" w:cs="Times New Roman"/>
        </w:rPr>
        <w:t xml:space="preserve"> astrocytes</w:t>
      </w:r>
      <w:r w:rsidR="009D1747">
        <w:rPr>
          <w:rFonts w:ascii="Times New Roman" w:hAnsi="Times New Roman" w:cs="Times New Roman"/>
        </w:rPr>
        <w:t xml:space="preserve"> it does</w:t>
      </w:r>
      <w:r w:rsidR="00802DA8">
        <w:rPr>
          <w:rFonts w:ascii="Times New Roman" w:hAnsi="Times New Roman" w:cs="Times New Roman"/>
        </w:rPr>
        <w:t xml:space="preserve">. </w:t>
      </w:r>
      <w:r w:rsidR="00E5567B">
        <w:rPr>
          <w:rFonts w:ascii="Times New Roman" w:hAnsi="Times New Roman" w:cs="Times New Roman"/>
        </w:rPr>
        <w:t>Further work has identified that</w:t>
      </w:r>
      <w:r w:rsidR="007A6C42">
        <w:rPr>
          <w:rFonts w:ascii="Times New Roman" w:hAnsi="Times New Roman" w:cs="Times New Roman"/>
        </w:rPr>
        <w:t xml:space="preserve"> histone deacetylase</w:t>
      </w:r>
      <w:r w:rsidR="009C0258">
        <w:rPr>
          <w:rFonts w:ascii="Times New Roman" w:hAnsi="Times New Roman" w:cs="Times New Roman"/>
        </w:rPr>
        <w:t xml:space="preserve"> </w:t>
      </w:r>
      <w:r w:rsidR="007A6C42">
        <w:rPr>
          <w:rFonts w:ascii="Times New Roman" w:hAnsi="Times New Roman" w:cs="Times New Roman"/>
        </w:rPr>
        <w:t>(</w:t>
      </w:r>
      <w:r w:rsidR="009C0258">
        <w:rPr>
          <w:rFonts w:ascii="Times New Roman" w:hAnsi="Times New Roman" w:cs="Times New Roman"/>
        </w:rPr>
        <w:t>HDAC</w:t>
      </w:r>
      <w:r w:rsidR="007A6C42">
        <w:rPr>
          <w:rFonts w:ascii="Times New Roman" w:hAnsi="Times New Roman" w:cs="Times New Roman"/>
        </w:rPr>
        <w:t>)</w:t>
      </w:r>
      <w:r w:rsidR="009C0258">
        <w:rPr>
          <w:rFonts w:ascii="Times New Roman" w:hAnsi="Times New Roman" w:cs="Times New Roman"/>
        </w:rPr>
        <w:t xml:space="preserve"> inhibitors can be used to</w:t>
      </w:r>
      <w:r w:rsidR="007A6C42">
        <w:rPr>
          <w:rFonts w:ascii="Times New Roman" w:hAnsi="Times New Roman" w:cs="Times New Roman"/>
        </w:rPr>
        <w:t xml:space="preserve"> </w:t>
      </w:r>
      <w:r w:rsidR="00E5567B">
        <w:rPr>
          <w:rFonts w:ascii="Times New Roman" w:hAnsi="Times New Roman" w:cs="Times New Roman"/>
        </w:rPr>
        <w:t xml:space="preserve">deacetylate the NRF2 promoter and </w:t>
      </w:r>
      <w:r w:rsidR="009C0258">
        <w:rPr>
          <w:rFonts w:ascii="Times New Roman" w:hAnsi="Times New Roman" w:cs="Times New Roman"/>
        </w:rPr>
        <w:t>s</w:t>
      </w:r>
      <w:r w:rsidR="00E5567B">
        <w:rPr>
          <w:rFonts w:ascii="Times New Roman" w:hAnsi="Times New Roman" w:cs="Times New Roman"/>
        </w:rPr>
        <w:t>ensitise neuronally derived NRF2 to oxidative</w:t>
      </w:r>
      <w:r w:rsidR="007A6C42">
        <w:rPr>
          <w:rFonts w:ascii="Times New Roman" w:hAnsi="Times New Roman" w:cs="Times New Roman"/>
        </w:rPr>
        <w:t xml:space="preserve"> </w:t>
      </w:r>
      <w:r w:rsidR="00E5567B">
        <w:rPr>
          <w:rFonts w:ascii="Times New Roman" w:hAnsi="Times New Roman" w:cs="Times New Roman"/>
        </w:rPr>
        <w:t>stress</w:t>
      </w:r>
      <w:r w:rsidR="009D1747">
        <w:rPr>
          <w:rFonts w:ascii="Times New Roman" w:hAnsi="Times New Roman" w:cs="Times New Roman"/>
        </w:rPr>
        <w:t xml:space="preserve"> </w:t>
      </w:r>
      <w:r w:rsidR="000D3B75">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"10.1038/ncomms8066", "ISSN" : "2041-1723", "author" : [ { "dropping-particle" : "", "family" : "Bell", "given" : "Karen F.S.", "non-dropping-particle" : "", "parse-names" : false, "suffix" : "" }, { "dropping-particle" : "", "family" : "Al-Mubarak", "given" : "Bashayer", "non-dropping-particle" : "", "parse-names" : false, "suffix" : "" }, { "dropping-particle" : "", "family" : "Martel", "given" : "Marc-Andr\u00e9", "non-dropping-particle" : "", "parse-names" : false, "suffix" : "" }, { "dropping-particle" : "", "family" : "McKay", "given" : "Sean", "non-dropping-particle" : "", "parse-names" : false, "suffix" : "" }, { "dropping-particle" : "", "family" : "Wheelan", "given" : "Nicola", "non-dropping-particle" : "", "parse-names" : false, "suffix" : "" }, { "dropping-particle" : "", "family" : "Hasel", "given" : "Philip", "non-dropping-particle" : "", "parse-names" : false, "suffix" : "" }, { "dropping-particle" : "", "family" : "M\u00e1rkus", "given" : "N\u00f3ra M.", "non-dropping-particle" : "", "parse-names" : false, "suffix" : "" }, { "dropping-particle" : "", "family" : "Baxter", "given" : "Paul", "non-dropping-particle" : "", "parse-names" : false, "suffix" : "" }, { "dropping-particle" : "", "family" : "Deighton", "given" : "Ruth F.", "non-dropping-particle" : "", "parse-names" : false, "suffix" : "" }, { "dropping-particle" : "", "family" : "Serio", "given" : "Andrea", "non-dropping-particle" : "", "parse-names" : false, "suffix" : "" }, { "dropping-particle" : "", "family" : "Bilican", "given" : "Bilada", "non-dropping-particle" : "", "parse-names" : false, "suffix" : "" }, { "dropping-particle" : "", "family" : "Chowdhry", "given" : "Sudhir", "non-dropping-particle" : "", "parse-names" : false, "suffix" : "" }, { "dropping-particle" : "", "family" : "Meakin", "given" : "Paul J.", "non-dropping-particle" : "", "parse-names" : false, "suffix" : "" }, { "dropping-particle" : "", "family" : "Ashford", "given" : "Michael L.J.", "non-dropping-particle" : "", "parse-names" : false, "suffix" : "" }, { "dropping-particle" : "", "family" : "Wyllie", "given" : "David J.A.", "non-dropping-particle" : "", "parse-names" : false, "suffix" : "" }, { "dropping-particle" : "", "family" : "Scannevin", "given" : "Robert H.", "non-dropping-particle" : "", "parse-names" : false, "suffix" : "" }, { "dropping-particle" : "", "family" : "Chandran", "given" : "Siddharthan", "non-dropping-particle" : "", "parse-names" : false, "suffix" : "" }, { "dropping-particle" : "", "family" : "Hayes", "given" : "John D.", "non-dropping-particle" : "", "parse-names" : false, "suffix" : "" }, { "dropping-particle" : "", "family" : "Hardingham", "given" : "Giles E.", "non-dropping-particle" : "", "parse-names" : false, "suffix" : "" } ], "container-title" : "Nature Communications", "id" : "ITEM-1", "issued" : { "date-parts" : [ [ "2015", "5", "13" ] ] }, "page" : "7066", "publisher" : "Nature Publishing Group", "title" : "Neuronal development is promoted by weakened intrinsic antioxidant defences due to epigenetic repression of Nrf2", "type" : "article-journal", "volume" : "6" }, "uris" : [ "http://www.mendeley.com/documents/?uuid=11aeb0c6-9146-3c93-a059-2900de7cda46" ] } ], "mendeley" : { "formattedCitation" : "(Bell et al. 2015)", "plainTextFormattedCitation" : "(Bell et al. 2015)", "previouslyFormattedCitation" : "(Bell et al. 2015)" }, "properties" : { "noteIndex" : 0 }, "schema" : "https://github.com/citation-style-language/schema/raw/master/csl-citation.json" }</w:instrText>
      </w:r>
      <w:r w:rsidR="000D3B75">
        <w:rPr>
          <w:rFonts w:ascii="Times New Roman" w:hAnsi="Times New Roman" w:cs="Times New Roman"/>
        </w:rPr>
        <w:fldChar w:fldCharType="separate"/>
      </w:r>
      <w:r w:rsidR="00C148FC" w:rsidRPr="00C148FC">
        <w:rPr>
          <w:rFonts w:ascii="Times New Roman" w:hAnsi="Times New Roman" w:cs="Times New Roman"/>
          <w:noProof/>
        </w:rPr>
        <w:t>(Bell et al. 2015)</w:t>
      </w:r>
      <w:r w:rsidR="000D3B75">
        <w:rPr>
          <w:rFonts w:ascii="Times New Roman" w:hAnsi="Times New Roman" w:cs="Times New Roman"/>
        </w:rPr>
        <w:fldChar w:fldCharType="end"/>
      </w:r>
      <w:r w:rsidR="00E5567B">
        <w:rPr>
          <w:rFonts w:ascii="Times New Roman" w:hAnsi="Times New Roman" w:cs="Times New Roman"/>
        </w:rPr>
        <w:t xml:space="preserve">. </w:t>
      </w:r>
      <w:r w:rsidR="00AF4911">
        <w:rPr>
          <w:rFonts w:ascii="Times New Roman" w:hAnsi="Times New Roman" w:cs="Times New Roman"/>
        </w:rPr>
        <w:t>As neurons have low antioxidant</w:t>
      </w:r>
      <w:r w:rsidR="000D3B75">
        <w:rPr>
          <w:rFonts w:ascii="Times New Roman" w:hAnsi="Times New Roman" w:cs="Times New Roman"/>
        </w:rPr>
        <w:t xml:space="preserve"> capacity, it is important that</w:t>
      </w:r>
      <w:r w:rsidR="007A6C42">
        <w:rPr>
          <w:rFonts w:ascii="Times New Roman" w:hAnsi="Times New Roman" w:cs="Times New Roman"/>
        </w:rPr>
        <w:t xml:space="preserve"> </w:t>
      </w:r>
      <w:r w:rsidR="00AF4911">
        <w:rPr>
          <w:rFonts w:ascii="Times New Roman" w:hAnsi="Times New Roman" w:cs="Times New Roman"/>
        </w:rPr>
        <w:t xml:space="preserve">they </w:t>
      </w:r>
      <w:r w:rsidR="009D1747">
        <w:rPr>
          <w:rFonts w:ascii="Times New Roman" w:hAnsi="Times New Roman" w:cs="Times New Roman"/>
        </w:rPr>
        <w:t>are able to</w:t>
      </w:r>
      <w:r w:rsidR="00AF4911">
        <w:rPr>
          <w:rFonts w:ascii="Times New Roman" w:hAnsi="Times New Roman" w:cs="Times New Roman"/>
        </w:rPr>
        <w:t xml:space="preserve"> influence the </w:t>
      </w:r>
      <w:r w:rsidR="002E440D">
        <w:rPr>
          <w:rFonts w:ascii="Times New Roman" w:hAnsi="Times New Roman" w:cs="Times New Roman"/>
        </w:rPr>
        <w:t xml:space="preserve">antioxidant status of </w:t>
      </w:r>
      <w:r w:rsidR="00AF4911">
        <w:rPr>
          <w:rFonts w:ascii="Times New Roman" w:hAnsi="Times New Roman" w:cs="Times New Roman"/>
        </w:rPr>
        <w:t>astrocytes</w:t>
      </w:r>
      <w:r w:rsidR="00A83DA2">
        <w:rPr>
          <w:rFonts w:ascii="Times New Roman" w:hAnsi="Times New Roman" w:cs="Times New Roman"/>
        </w:rPr>
        <w:t xml:space="preserve"> and </w:t>
      </w:r>
      <w:r w:rsidR="00F7734C">
        <w:rPr>
          <w:rFonts w:ascii="Times New Roman" w:hAnsi="Times New Roman" w:cs="Times New Roman"/>
        </w:rPr>
        <w:t>are able to</w:t>
      </w:r>
      <w:r w:rsidR="00A83DA2">
        <w:rPr>
          <w:rFonts w:ascii="Times New Roman" w:hAnsi="Times New Roman" w:cs="Times New Roman"/>
        </w:rPr>
        <w:t xml:space="preserve"> </w:t>
      </w:r>
      <w:r w:rsidR="00AF4911">
        <w:rPr>
          <w:rFonts w:ascii="Times New Roman" w:hAnsi="Times New Roman" w:cs="Times New Roman"/>
        </w:rPr>
        <w:t xml:space="preserve">regulate astrocytic NRF2 signalling </w:t>
      </w:r>
      <w:r w:rsidR="00A83DA2">
        <w:rPr>
          <w:rFonts w:ascii="Times New Roman" w:hAnsi="Times New Roman" w:cs="Times New Roman"/>
        </w:rPr>
        <w:t xml:space="preserve">through synaptic activity </w:t>
      </w:r>
      <w:r w:rsidR="0039069B">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"10.1073/pnas.1208764110", "ISSN" : "0027-8424", "author" : [ { "dropping-particle" : "", "family" : "Habas", "given" : "A.", "non-dropping-particle" : "", "parse-names" : false, "suffix" : "" }, { "dropping-particle" : "", "family" : "Hahn", "given" : "J.", "non-dropping-particle" : "", "parse-names" : false, "suffix" : "" }, { "dropping-particle" : "", "family" : "Wang", "given" : "X.", "non-dropping-particle" : "", "parse-names" : false, "suffix" : "" }, { "dropping-particle" : "", "family" : "Margeta", "given" : "M.", "non-dropping-particle" : "", "parse-names" : false, "suffix" : "" } ], "container-title" : "Proceedings of the National Academy of Sciences", "id" : "ITEM-1", "issue" : "45", "issued" : { "date-parts" : [ [ "2013", "11", "5" ] ] }, "page" : "18291-18296", "publisher" : "National Acad Sciences", "title" : "Neuronal activity regulates astrocytic Nrf2 signaling", "type" : "article-journal", "volume" : "110" }, "uris" : [ "http://www.mendeley.com/documents/?uuid=9cde54e9-40eb-3f56-9501-5db84a80d1ac" ] } ], "mendeley" : { "formattedCitation" : "(Habas et al. 2013)", "manualFormatting" : "(Habas, Hahn, Wang, &amp; Margeta, 2013)", "plainTextFormattedCitation" : "(Habas et al. 2013)", "previouslyFormattedCitation" : "(Habas et al. 2013)" }, "properties" : { "noteIndex" : 0 }, "schema" : "https://github.com/citation-style-language/schema/raw/master/csl-citation.json" }</w:instrText>
      </w:r>
      <w:r w:rsidR="0039069B">
        <w:rPr>
          <w:rFonts w:ascii="Times New Roman" w:hAnsi="Times New Roman" w:cs="Times New Roman"/>
        </w:rPr>
        <w:fldChar w:fldCharType="separate"/>
      </w:r>
      <w:r w:rsidR="000D3B75">
        <w:rPr>
          <w:rFonts w:ascii="Times New Roman" w:hAnsi="Times New Roman" w:cs="Times New Roman"/>
          <w:noProof/>
        </w:rPr>
        <w:t>(Habas, Hahn, Wang, &amp; Margeta,</w:t>
      </w:r>
      <w:r w:rsidR="007A6C42">
        <w:rPr>
          <w:rFonts w:ascii="Times New Roman" w:hAnsi="Times New Roman" w:cs="Times New Roman"/>
          <w:noProof/>
        </w:rPr>
        <w:t xml:space="preserve"> </w:t>
      </w:r>
      <w:r w:rsidR="00763D6E" w:rsidRPr="00763D6E">
        <w:rPr>
          <w:rFonts w:ascii="Times New Roman" w:hAnsi="Times New Roman" w:cs="Times New Roman"/>
          <w:noProof/>
        </w:rPr>
        <w:t>2013)</w:t>
      </w:r>
      <w:r w:rsidR="0039069B">
        <w:rPr>
          <w:rFonts w:ascii="Times New Roman" w:hAnsi="Times New Roman" w:cs="Times New Roman"/>
        </w:rPr>
        <w:fldChar w:fldCharType="end"/>
      </w:r>
      <w:r w:rsidR="0039069B">
        <w:rPr>
          <w:rFonts w:ascii="Times New Roman" w:hAnsi="Times New Roman" w:cs="Times New Roman"/>
        </w:rPr>
        <w:t>.</w:t>
      </w:r>
    </w:p>
    <w:p w14:paraId="06273172" w14:textId="77777777" w:rsidR="009D1747" w:rsidRDefault="009D1747" w:rsidP="009D1747">
      <w:pPr>
        <w:widowControl w:val="0"/>
        <w:autoSpaceDE w:val="0"/>
        <w:autoSpaceDN w:val="0"/>
        <w:adjustRightInd w:val="0"/>
        <w:spacing w:line="360" w:lineRule="auto"/>
        <w:ind w:left="480" w:hanging="480"/>
        <w:rPr>
          <w:rFonts w:ascii="Times New Roman" w:hAnsi="Times New Roman" w:cs="Times New Roman"/>
        </w:rPr>
      </w:pPr>
    </w:p>
    <w:p w14:paraId="28A089FA" w14:textId="31DA1210" w:rsidR="009D1747" w:rsidRPr="009D1747" w:rsidRDefault="009D1747" w:rsidP="00C25727">
      <w:pPr>
        <w:widowControl w:val="0"/>
        <w:autoSpaceDE w:val="0"/>
        <w:autoSpaceDN w:val="0"/>
        <w:adjustRightInd w:val="0"/>
        <w:ind w:left="482" w:hanging="482"/>
        <w:rPr>
          <w:rFonts w:ascii="Times New Roman" w:hAnsi="Times New Roman" w:cs="Times New Roman"/>
          <w:b/>
          <w:i/>
          <w:u w:val="single"/>
        </w:rPr>
      </w:pPr>
      <w:r>
        <w:rPr>
          <w:rFonts w:ascii="Times New Roman" w:hAnsi="Times New Roman" w:cs="Times New Roman"/>
          <w:b/>
          <w:i/>
          <w:u w:val="single"/>
        </w:rPr>
        <w:t>Other antioxidant mechanisms</w:t>
      </w:r>
    </w:p>
    <w:p w14:paraId="02837826" w14:textId="6679ECD7" w:rsidR="009D1747" w:rsidRDefault="009D1747" w:rsidP="003E7BDB">
      <w:pPr>
        <w:spacing w:line="360" w:lineRule="auto"/>
        <w:jc w:val="both"/>
        <w:rPr>
          <w:rFonts w:ascii="Times New Roman" w:hAnsi="Times New Roman" w:cs="Times New Roman"/>
        </w:rPr>
      </w:pPr>
      <w:r w:rsidRPr="00070602">
        <w:rPr>
          <w:rFonts w:ascii="Times New Roman" w:hAnsi="Times New Roman" w:cs="Times New Roman"/>
        </w:rPr>
        <w:t>In the event that the glutathione system is dysregulated, astrocyte</w:t>
      </w:r>
      <w:r>
        <w:rPr>
          <w:rFonts w:ascii="Times New Roman" w:hAnsi="Times New Roman" w:cs="Times New Roman"/>
        </w:rPr>
        <w:t>s</w:t>
      </w:r>
      <w:r w:rsidRPr="00070602">
        <w:rPr>
          <w:rFonts w:ascii="Times New Roman" w:hAnsi="Times New Roman" w:cs="Times New Roman"/>
        </w:rPr>
        <w:t xml:space="preserve"> will </w:t>
      </w:r>
      <w:r w:rsidR="00595449">
        <w:rPr>
          <w:rFonts w:ascii="Times New Roman" w:hAnsi="Times New Roman" w:cs="Times New Roman"/>
        </w:rPr>
        <w:t>use</w:t>
      </w:r>
      <w:r w:rsidRPr="00070602">
        <w:rPr>
          <w:rFonts w:ascii="Times New Roman" w:hAnsi="Times New Roman" w:cs="Times New Roman"/>
        </w:rPr>
        <w:t xml:space="preserve"> other antioxidant mechanisms. Catalase is often used to reduce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 xml:space="preserve">2 </w:t>
      </w:r>
      <w:r w:rsidRPr="00070602">
        <w:rPr>
          <w:rFonts w:ascii="Times New Roman" w:hAnsi="Times New Roman" w:cs="Times New Roman"/>
        </w:rPr>
        <w:t>to water. If both the glutathione and catalase antioxidant defense mechanisms are impaired, astrocyte</w:t>
      </w:r>
      <w:r>
        <w:rPr>
          <w:rFonts w:ascii="Times New Roman" w:hAnsi="Times New Roman" w:cs="Times New Roman"/>
        </w:rPr>
        <w:t>s are</w:t>
      </w:r>
      <w:r w:rsidR="008078F9">
        <w:rPr>
          <w:rFonts w:ascii="Times New Roman" w:hAnsi="Times New Roman" w:cs="Times New Roman"/>
        </w:rPr>
        <w:t xml:space="preserve"> still capable of neutralis</w:t>
      </w:r>
      <w:r w:rsidRPr="00070602">
        <w:rPr>
          <w:rFonts w:ascii="Times New Roman" w:hAnsi="Times New Roman" w:cs="Times New Roman"/>
        </w:rPr>
        <w:t xml:space="preserve">ing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2</w:t>
      </w:r>
      <w:r w:rsidRPr="00070602">
        <w:rPr>
          <w:rFonts w:ascii="Times New Roman" w:hAnsi="Times New Roman" w:cs="Times New Roman"/>
        </w:rPr>
        <w:t xml:space="preserve">.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 xml:space="preserve">2 </w:t>
      </w:r>
      <w:r w:rsidRPr="00070602">
        <w:rPr>
          <w:rFonts w:ascii="Times New Roman" w:hAnsi="Times New Roman" w:cs="Times New Roman"/>
        </w:rPr>
        <w:t xml:space="preserve">can react with pyruvate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"1529-2401", "PMID" : "11331361", "abstract" : "We have found previously that astrocytes can provide cysteine to neurons. However, cysteine has been reported to be neurotoxic although it plays a pivotal role in regulating intracellular levels of glutathione, the major cellular antioxidant. Here, we show that cysteine toxicity is a result of hydroxyl radicals generated during cysteine autoxidation. Transition metal ions are candidates to catalyze this process. Copper substantially accelerates the autoxidation rate of cysteine even at submicromolar levels, whereas iron and other transition metal ions, including manganese, chromium, and zinc, are less efficient. The autoxidation rate of cysteine in rat CSF is equal to that observed in the presence of approximately 0.2 microm copper. In tissue culture tests, we found that cysteine toxicity depends highly on its autoxidation rate and on the total amount of cysteine being oxidized, suggesting that the toxicity can be attributed to the free radicals produced from cysteine autoxidation, but not to cysteine itself. We have also explored the in vivo mechanisms that protect against cysteine toxicity. Catalase and pyruvate were each found to inhibit the production of hydroxyl radicals generated by cysteine autoxidation. In tissue culture, they both protected primary neurons against cysteine toxicity catalyzed by copper. This protection is attributed to their ability to react with hydrogen peroxide, preventing the formation of hydroxyl radicals. Pyruvate, but not catalase or glutathione peroxidase, was detected in astrocyte-conditioned medium and CSF. Our data therefore suggest that astrocytes can prevent cysteine toxicity by releasing pyruvate.", "author" : [ { "dropping-particle" : "", "family" : "Wang", "given" : "X F", "non-dropping-particle" : "", "parse-names" : false, "suffix" : "" }, { "dropping-particle" : "", "family" : "Cynader", "given" : "M S", "non-dropping-particle" : "", "parse-names" : false, "suffix" : "" } ], "container-title" : "The Journal of neuroscience : the official journal of the Society for Neuroscience", "id" : "ITEM-1", "issue" : "10", "issued" : { "date-parts" : [ [ "2001", "5", "15" ] ] }, "page" : "3322-31", "publisher" : "Society for Neuroscience", "title" : "Pyruvate released by astrocytes protects neurons from copper-catalyzed cysteine neurotoxicity.", "type" : "article-journal", "volume" : "21" }, "uris" : [ "http://www.mendeley.com/documents/?uuid=40ceb660-61aa-30c2-b546-7041878c97c8" ] }, { "id" : "ITEM-2", "itemData" : { "ISSN" : "0270-6474", "PMID" : "9364052", "abstract" : "Hydrogen peroxide (H2O2) is suspected to be involved in numerous brain pathologies such as neurodegenerative diseases or in acute injury such as ischemia or trauma. In this study, we examined the ability of pyruvate to improve the survival of cultured striatal neurons exposed for 30 min to H2O2, as estimated 24 hr later by the 3-[4,5-dimethylthiazol-2-yl]-2,5-diphenyltetrazoliumbromide assay. Pyruvate strongly protected neurons against both H2O2 added to the external medium and H2O2 endogenously produced through the redox cycling of the experimental quinone menadione. The neuroprotective effect of pyruvate appeared to result rather from the ability of alpha-ketoacids to undergo nonenzymatic decarboxylation in the presence of H2O2 than from an improvement of energy metabolism. Indeed, several other alpha-ketoacids, including alpha-ketobutyrate, which is not an energy substrate, reproduced the neuroprotective effect of pyruvate. In contrast, lactate, a neuronal energy substrate, did not protect neurons from H2O2. Optimal neuroprotection was achieved with relatively low concentrations of pyruvate (&lt;/=1 mM), whereas at high concentration (10 mM) pyruvate was ineffective. This paradox could result from the cytosolic acidification induced by the cotransport of pyruvate and protons into neurons. Indeed, cytosolic acidification both enhanced the H2O2-induced neurotoxicity and decreased the rate of pyruvate decarboxylation by H2O2. Together, these results indicate that pyruvate efficiently protects neurons against both exogenous and endogenous H2O2. Its low toxicity and its capacity to cross the blood-brain barrier open a new therapeutic perspective in brain pathologies in which H2O2 is involved.", "author" : [ { "dropping-particle" : "", "family" : "Desagher", "given" : "S", "non-dropping-particle" : "", "parse-names" : false, "suffix" : "" }, { "dropping-particle" : "", "family" : "Glowinski", "given" : "J", "non-dropping-particle" : "", "parse-names" : false, "suffix" : "" }, { "dropping-particle" : "", "family" : "Pr\u00e9mont", "given" : "J", "non-dropping-particle" : "", "parse-names" : false, "suffix" : "" } ], "container-title" : "The Journal of neuroscience : the official journal of the Society for Neuroscience", "id" : "ITEM-2", "issue" : "23", "issued" : { "date-parts" : [ [ "1997", "12", "1" ] ] }, "page" : "9060-7", "publisher" : "Society for Neuroscience", "title" : "Pyruvate protects neurons against hydrogen peroxide-induced toxicity.", "type" : "article-journal", "volume" : "17" }, "uris" : [ "http://www.mendeley.com/documents/?uuid=07c79f05-642b-386f-a406-4ae0f6de45bd" ] } ], "mendeley" : { "formattedCitation" : "(Wang &amp; Cynader 2001; Desagher et al. 1997)", "plainTextFormattedCitation" : "(Wang &amp; Cynader 2001; Desagher et al. 1997)", "previouslyFormattedCitation" : "(Wang &amp; Cynader 2001; Desagher et al. 1997)"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(Wang &amp; Cynader 2001; Desagher et al. 1997)</w:t>
      </w:r>
      <w:r>
        <w:rPr>
          <w:rFonts w:ascii="Times New Roman" w:hAnsi="Times New Roman" w:cs="Times New Roman"/>
        </w:rPr>
        <w:fldChar w:fldCharType="end"/>
      </w:r>
      <w:r>
        <w:rPr>
          <w:rFonts w:ascii="Times New Roman" w:hAnsi="Times New Roman" w:cs="Times New Roman"/>
        </w:rPr>
        <w:t xml:space="preserve"> </w:t>
      </w:r>
      <w:r w:rsidRPr="00070602">
        <w:rPr>
          <w:rFonts w:ascii="Times New Roman" w:hAnsi="Times New Roman" w:cs="Times New Roman"/>
        </w:rPr>
        <w:t xml:space="preserve">and the peroxiredoxin system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"10.1046/j.1471-4159.2003.01918.x", "ISSN" : "00223042", "author" : [ { "dropping-particle" : "", "family" : "Hattori", "given" : "Fumiyuki", "non-dropping-particle" : "", "parse-names" : false, "suffix" : "" }, { "dropping-particle" : "", "family" : "Murayama", "given" : "Norihito", "non-dropping-particle" : "", "parse-names" : false, "suffix" : "" }, { "dropping-particle" : "", "family" : "Noshita", "given" : "Takafumi", "non-dropping-particle" : "", "parse-names" : false, "suffix" : "" }, { "dropping-particle" : "", "family" : "Oikawa", "given" : "Shinzo", "non-dropping-particle" : "", "parse-names" : false, "suffix" : "" } ], "container-title" : "Journal of Neurochemistry", "id" : "ITEM-1", "issue" : "4", "issued" : { "date-parts" : [ [ "2003", "7", "28" ] ] }, "page" : "860-868", "publisher" : "Blackwell Science Ltd", "title" : "Mitochondrial peroxiredoxin-3 protects hippocampal neurons from excitotoxic injury in vivo", "type" : "article-journal", "volume" : "86" }, "uris" : [ "http://www.mendeley.com/documents/?uuid=64de4e88-0736-3366-8c38-555145d4a142" ] } ], "mendeley" : { "formattedCitation" : "(Hattori et al. 2003)", "plainTextFormattedCitation" : "(Hattori et al. 2003)", "previouslyFormattedCitation" : "(Hattori et al. 2003)"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(Hattori et al. 2003)</w:t>
      </w:r>
      <w:r>
        <w:rPr>
          <w:rFonts w:ascii="Times New Roman" w:hAnsi="Times New Roman" w:cs="Times New Roman"/>
        </w:rPr>
        <w:fldChar w:fldCharType="end"/>
      </w:r>
      <w:r>
        <w:rPr>
          <w:rFonts w:ascii="Times New Roman" w:hAnsi="Times New Roman" w:cs="Times New Roman"/>
        </w:rPr>
        <w:t>,</w:t>
      </w:r>
      <w:r w:rsidRPr="00070602">
        <w:rPr>
          <w:rFonts w:ascii="Times New Roman" w:hAnsi="Times New Roman" w:cs="Times New Roman"/>
        </w:rPr>
        <w:t xml:space="preserve"> suggesting that there are reserve antioxidant processes in place in astrocytes to deal with oxidative stress. </w:t>
      </w:r>
      <w:r>
        <w:rPr>
          <w:rFonts w:ascii="Times New Roman" w:hAnsi="Times New Roman" w:cs="Times New Roman"/>
        </w:rPr>
        <w:t xml:space="preserve">The antioxidant capacity of astrocytes is tightly coupled to neurotransmission. Astrocytes release the antioxidant anion ascorbate following stimulation with glutamate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"10.1016/S0006-8993(99)02433-6", "ISSN" : "00068993", "abstract" : "The concentrations of glutamate and ascorbate in brain extracellular fluid increase following seizure activity, trauma and ischemia. Extracellular ascorbate concentration also rises following intracerebral glutamate injection. We hypothesized that glutamate triggers the release of ascorbate from astrocytes. We observed in primary cultures of rat cerebral astrocytes that glutamate increased ascorbate efflux significantly within 30 min. The half-maximal effective concentration of glutamate was 180\u00b130 \u03bcM. Glutamate-stimulated efflux of ascorbate was attenuated by hypertonic media. 4,4\u2032-diisothiocyanatostilbene-2,2\u2032-disulfonic acid inhibited both Na+-dependent glutamate uptake and ascorbate efflux. Two other inhibitors of volume-sensitive organic anion channels (1,9-dideoxyforskolin and 5-nitro-2-(3-phenylpropylamino) benzoic acid) did not slow glutamate uptake but prevented stimulation of ascorbate efflux. Glutamate also stimulated the uptake of ascorbate by ascorbate-depleted astrocytes. In contrast, glutamate uptake was not affected by intracellular ascorbate, thus ruling out a putative glutamate-ascorbate heteroexchange mechanism. These results are consistent with activation by glutamate of ascorbate-permeant channels in astrocytes.", "author" : [ { "dropping-particle" : "", "family" : "Wilson", "given" : "John X", "non-dropping-particle" : "", "parse-names" : false, "suffix" : "" }, { "dropping-particle" : "", "family" : "Peters", "given" : "Caralei E", "non-dropping-particle" : "", "parse-names" : false, "suffix" : "" }, { "dropping-particle" : "", "family" : "Sitar", "given" : "Sandra M", "non-dropping-particle" : "", "parse-names" : false, "suffix" : "" }, { "dropping-particle" : "", "family" : "Daoust", "given" : "Patrick", "non-dropping-particle" : "", "parse-names" : false, "suffix" : "" }, { "dropping-particle" : "", "family" : "Gelb", "given" : "Adrian W", "non-dropping-particle" : "", "parse-names" : false, "suffix" : "" } ], "container-title" : "Brain Research", "id" : "ITEM-1", "issue" : "1", "issued" : { "date-parts" : [ [ "2000", "3" ] ] }, "page" : "61-66", "title" : "Glutamate stimulates ascorbate transport by astrocytes", "type" : "article-journal", "volume" : "858" }, "uris" : [ "http://www.mendeley.com/documents/?uuid=41576099-74d3-4631-be75-0785a7c62fda" ] } ], "mendeley" : { "formattedCitation" : "(Wilson et al. 2000)", "plainTextFormattedCitation" : "(Wilson et al. 2000)", "previouslyFormattedCitation" : "(Wilson et al. 2000)"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(Wilson et al. 2000)</w:t>
      </w:r>
      <w:r>
        <w:rPr>
          <w:rFonts w:ascii="Times New Roman" w:hAnsi="Times New Roman" w:cs="Times New Roman"/>
        </w:rPr>
        <w:fldChar w:fldCharType="end"/>
      </w:r>
      <w:r>
        <w:rPr>
          <w:rFonts w:ascii="Times New Roman" w:hAnsi="Times New Roman" w:cs="Times New Roman"/>
        </w:rPr>
        <w:t xml:space="preserve"> and under prolonged periods of oxidative stress will reduce </w:t>
      </w:r>
      <w:r w:rsidR="008078F9">
        <w:rPr>
          <w:rFonts w:ascii="Times New Roman" w:hAnsi="Times New Roman" w:cs="Times New Roman"/>
        </w:rPr>
        <w:t>glutamine synthetase (</w:t>
      </w:r>
      <w:r>
        <w:rPr>
          <w:rFonts w:ascii="Times New Roman" w:hAnsi="Times New Roman" w:cs="Times New Roman"/>
        </w:rPr>
        <w:t>GS</w:t>
      </w:r>
      <w:r w:rsidR="008078F9">
        <w:rPr>
          <w:rFonts w:ascii="Times New Roman" w:hAnsi="Times New Roman" w:cs="Times New Roman"/>
        </w:rPr>
        <w:t>)</w:t>
      </w:r>
      <w:r>
        <w:rPr>
          <w:rFonts w:ascii="Times New Roman" w:hAnsi="Times New Roman" w:cs="Times New Roman"/>
        </w:rPr>
        <w:t xml:space="preserve"> activity, especially in the absence of glutathione peroxidase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"10.1007/s00702-005-0389-y", "ISSN" : "0300-9564", "PMID" : "16463122", "abstract" : "Glutamine synthetase (GS) is an astrocytic enzyme that is essential for the glutamate-glutamine cycle between neurons and astrocytes. To measure the effects of oxidative stress on the activity of GS in astrocytes, astrocyte-rich primary cultures from the brains of wild-type and glutathione peroxidase-1 deficient mice (GPx1(-/-)) were exposed to a chronic hydrogen peroxide-generating system consisting of xanthine oxidase, hypoxanthine and superoxide dismutase. The specific activity of GS was strongly diminished by chronic exposure to hydrogen peroxide in astrocytes cultured from both mouse lines. After 60 min of oxidative stress in the presence of 5 mU/mL, 10 mU/mL and 20 mU/mL of xanthine oxidase, the specific GS activity of wild-type astrocytes was reduced to 47%, 22% and 13% of the initial activity, respectively. For all activities of xanthine oxidase applied, astrocytes from GPx1(-/-) mice experienced a significantly greater rate of GS inactivation compared to their wild-type counterparts. These results confirm that GS is sensitive to inactivation by chronic peroxide stress in viable astrocytes and show that glutathione peroxidase-1 helps to protect GS from inactivation by oxidative stress.", "author" : [ { "dropping-particle" : "", "family" : "Knorpp", "given" : "T", "non-dropping-particle" : "", "parse-names" : false, "suffix" : "" }, { "dropping-particle" : "", "family" : "Robinson", "given" : "S R", "non-dropping-particle" : "", "parse-names" : false, "suffix" : "" }, { "dropping-particle" : "", "family" : "Crack", "given" : "P J", "non-dropping-particle" : "", "parse-names" : false, "suffix" : "" }, { "dropping-particle" : "", "family" : "Dringen", "given" : "R", "non-dropping-particle" : "", "parse-names" : false, "suffix" : "" } ], "container-title" : "Journal of neural transmission (Vienna, Austria : 1996)", "id" : "ITEM-1", "issue" : "9", "issued" : { "date-parts" : [ [ "2006", "10" ] ] }, "page" : "1145-55", "title" : "Glutathione peroxidase-1 contributes to the protection of glutamine synthetase in astrocytes during oxidative stress.", "type" : "article-journal", "volume" : "113" }, "uris" : [ "http://www.mendeley.com/documents/?uuid=f9c1fd01-f4ac-4c3e-84db-efd7dc8f1b47" ] } ], "mendeley" : { "formattedCitation" : "(Knorpp et al. 2006)", "plainTextFormattedCitation" : "(Knorpp et al. 2006)", "previouslyFormattedCitation" : "(Knorpp et al. 2006)"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(Knorpp et al. 2006)</w:t>
      </w:r>
      <w:r>
        <w:rPr>
          <w:rFonts w:ascii="Times New Roman" w:hAnsi="Times New Roman" w:cs="Times New Roman"/>
        </w:rPr>
        <w:fldChar w:fldCharType="end"/>
      </w:r>
      <w:r>
        <w:rPr>
          <w:rFonts w:ascii="Times New Roman" w:hAnsi="Times New Roman" w:cs="Times New Roman"/>
        </w:rPr>
        <w:t xml:space="preserve">. </w:t>
      </w:r>
    </w:p>
    <w:p w14:paraId="36807656" w14:textId="77777777" w:rsidR="006746D9" w:rsidRDefault="006746D9" w:rsidP="009D1747">
      <w:pPr>
        <w:spacing w:line="360" w:lineRule="auto"/>
        <w:rPr>
          <w:rFonts w:ascii="Times New Roman" w:hAnsi="Times New Roman" w:cs="Times New Roman"/>
        </w:rPr>
      </w:pPr>
    </w:p>
    <w:p w14:paraId="08A5029B" w14:textId="7DB3728E" w:rsidR="009D1747" w:rsidRPr="009D1747" w:rsidRDefault="009D1747" w:rsidP="00C25727">
      <w:pPr>
        <w:rPr>
          <w:rFonts w:ascii="Times New Roman" w:hAnsi="Times New Roman" w:cs="Times New Roman"/>
          <w:b/>
          <w:i/>
          <w:u w:val="single"/>
        </w:rPr>
      </w:pPr>
      <w:r>
        <w:rPr>
          <w:rFonts w:ascii="Times New Roman" w:hAnsi="Times New Roman" w:cs="Times New Roman"/>
          <w:b/>
          <w:i/>
          <w:u w:val="single"/>
        </w:rPr>
        <w:t>Astrocytic antioxidant capacity in ag</w:t>
      </w:r>
      <w:r w:rsidR="00896802">
        <w:rPr>
          <w:rFonts w:ascii="Times New Roman" w:hAnsi="Times New Roman" w:cs="Times New Roman"/>
          <w:b/>
          <w:i/>
          <w:u w:val="single"/>
        </w:rPr>
        <w:t>e</w:t>
      </w:r>
      <w:r>
        <w:rPr>
          <w:rFonts w:ascii="Times New Roman" w:hAnsi="Times New Roman" w:cs="Times New Roman"/>
          <w:b/>
          <w:i/>
          <w:u w:val="single"/>
        </w:rPr>
        <w:t>ing</w:t>
      </w:r>
    </w:p>
    <w:p w14:paraId="25FBA96B" w14:textId="5541B385" w:rsidR="009D1747" w:rsidRPr="00070602" w:rsidRDefault="009D1747" w:rsidP="003E7BDB">
      <w:pPr>
        <w:spacing w:line="360" w:lineRule="auto"/>
        <w:jc w:val="both"/>
        <w:rPr>
          <w:rFonts w:ascii="Times New Roman" w:hAnsi="Times New Roman" w:cs="Times New Roman"/>
        </w:rPr>
      </w:pPr>
      <w:r w:rsidRPr="00070602">
        <w:rPr>
          <w:rFonts w:ascii="Times New Roman" w:hAnsi="Times New Roman" w:cs="Times New Roman"/>
        </w:rPr>
        <w:t>It has been postulated that during ageing the antioxidant capacity of astrocytes declines,</w:t>
      </w:r>
      <w:r>
        <w:rPr>
          <w:rFonts w:ascii="Times New Roman" w:hAnsi="Times New Roman" w:cs="Times New Roman"/>
        </w:rPr>
        <w:t xml:space="preserve"> meaning neurons are more susceptible to oxidative damage</w:t>
      </w:r>
      <w:r w:rsidR="00564E80">
        <w:rPr>
          <w:rFonts w:ascii="Times New Roman" w:hAnsi="Times New Roman" w:cs="Times New Roman"/>
        </w:rPr>
        <w:t xml:space="preserve">. This was demonstrated </w:t>
      </w:r>
      <w:r w:rsidR="00564E80">
        <w:rPr>
          <w:rFonts w:ascii="Times New Roman" w:hAnsi="Times New Roman" w:cs="Times New Roman"/>
          <w:i/>
        </w:rPr>
        <w:t>in vitro</w:t>
      </w:r>
      <w:r w:rsidR="00564E80">
        <w:rPr>
          <w:rFonts w:ascii="Times New Roman" w:hAnsi="Times New Roman" w:cs="Times New Roman"/>
        </w:rPr>
        <w:t xml:space="preserve"> in aged rat cortical astrocytes where astrocytes at a later passage had higher ROS levels, reduced mitochondrial activity and were more susceptible to oxidative stress</w:t>
      </w:r>
      <w:r>
        <w:rPr>
          <w:rFonts w:ascii="Times New Roman" w:hAnsi="Times New Roman" w:cs="Times New Roman"/>
        </w:rPr>
        <w:t xml:space="preserve"> </w:t>
      </w:r>
      <w:r w:rsidR="00564E8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"10.1111/j.1471-4159.2006.04369.x", "ISSN" : "0022-3042", "PMID" : "17250685", "abstract" : "Alterations in astrocyte function that may affect neuronal viability occur with brain aging. In this study, we evaluate the neuroprotective capacity of astrocytes in an experimental model of in vitro aging. Changes in oxidative stress, glutamate uptake and protein expression were evaluated in rat cortical astrocytes cultured for 10 and 90 days in vitro (DIV). Levels of glial fibrillary acidic protein and S100beta increased at 90 days when cells were positive for the senescence beta-galactosidase marker. In long-term astrocyte cultures, the generation of reactive oxygen species was enhanced and mitochondrial activity decreased. Simultaneously, there was an increase in proteins that stained positively for nitrotyrosine. The expression of Cu/Zn-superoxide dismutase (SOD-1) and haeme oxygenase-1 (HO-1) proteins and inducible nitric oxide synthase (iNOS) increased in aged astrocytes. Glutamate uptake in 90-DIV astrocytes was higher than in 10 DIV ones, and was more vulnerable to inhibition by H2O2 exposure. Enhanced glutamate uptake was probably because of up-regulation of the glutamate/aspartate transporter protein. Aged astrocytes had a reduced ability to maintain neuronal survival. These findings indicate that astrocytes may partially loose their neuroprotective ability during aging. The results also suggest that aged astrocytes may contribute to exacerbating neuronal injury in age-related neurodegenerative processes.", "author" : [ { "dropping-particle" : "", "family" : "Pertusa", "given" : "M", "non-dropping-particle" : "", "parse-names" : false, "suffix" : "" }, { "dropping-particle" : "", "family" : "Garc\u00eda-Matas", "given" : "S", "non-dropping-particle" : "", "parse-names" : false, "suffix" : "" }, { "dropping-particle" : "", "family" : "Rodr\u00edguez-Farr\u00e9", "given" : "E", "non-dropping-particle" : "", "parse-names" : false, "suffix" : "" }, { "dropping-particle" : "", "family" : "Sanfeliu", "given" : "C", "non-dropping-particle" : "", "parse-names" : false, "suffix" : "" }, { "dropping-particle" : "", "family" : "Crist\u00f2fol", "given" : "R", "non-dropping-particle" : "", "parse-names" : false, "suffix" : "" } ], "container-title" : "Journal of neurochemistry", "id" : "ITEM-1", "issue" : "3", "issued" : { "date-parts" : [ [ "2007", "5" ] ] }, "page" : "794-805", "title" : "Astrocytes aged in vitro show a decreased neuroprotective capacity.", "type" : "article-journal", "volume" : "101" }, "uris" : [ "http://www.mendeley.com/documents/?uuid=a350596c-680c-4a71-83f0-df7d9d7e0aff" ] } ], "mendeley" : { "formattedCitation" : "(Pertusa et al. 2007)", "plainTextFormattedCitation" : "(Pertusa et al. 2007)", "previouslyFormattedCitation" : "(Pertusa et al. 2007)" }, "properties" : { "noteIndex" : 0 }, "schema" : "https://github.com/citation-style-language/schema/raw/master/csl-citation.json" }</w:instrText>
      </w:r>
      <w:r w:rsidR="00564E80">
        <w:rPr>
          <w:rFonts w:ascii="Times New Roman" w:hAnsi="Times New Roman" w:cs="Times New Roman"/>
        </w:rPr>
        <w:fldChar w:fldCharType="separate"/>
      </w:r>
      <w:r w:rsidR="00C148FC" w:rsidRPr="00C148FC">
        <w:rPr>
          <w:rFonts w:ascii="Times New Roman" w:hAnsi="Times New Roman" w:cs="Times New Roman"/>
          <w:noProof/>
        </w:rPr>
        <w:t>(Pertusa et al. 2007)</w:t>
      </w:r>
      <w:r w:rsidR="00564E80">
        <w:rPr>
          <w:rFonts w:ascii="Times New Roman" w:hAnsi="Times New Roman" w:cs="Times New Roman"/>
        </w:rPr>
        <w:fldChar w:fldCharType="end"/>
      </w:r>
      <w:r w:rsidRPr="00070602">
        <w:rPr>
          <w:rFonts w:ascii="Times New Roman" w:hAnsi="Times New Roman" w:cs="Times New Roman"/>
        </w:rPr>
        <w:t>.</w:t>
      </w:r>
      <w:r w:rsidR="00564E80">
        <w:rPr>
          <w:rFonts w:ascii="Times New Roman" w:hAnsi="Times New Roman" w:cs="Times New Roman"/>
        </w:rPr>
        <w:t xml:space="preserve"> This was later supported by</w:t>
      </w:r>
      <w:r w:rsidRPr="00070602">
        <w:rPr>
          <w:rFonts w:ascii="Times New Roman" w:hAnsi="Times New Roman" w:cs="Times New Roman"/>
        </w:rPr>
        <w:t xml:space="preserve"> </w:t>
      </w:r>
      <w:r>
        <w:rPr>
          <w:rFonts w:ascii="Times New Roman" w:hAnsi="Times New Roman" w:cs="Times New Roman"/>
        </w:rPr>
        <w:t>a study</w:t>
      </w:r>
      <w:r w:rsidR="00564E80">
        <w:rPr>
          <w:rFonts w:ascii="Times New Roman" w:hAnsi="Times New Roman" w:cs="Times New Roman"/>
        </w:rPr>
        <w:t xml:space="preserve"> looking at the antioxidant profile of</w:t>
      </w:r>
      <w:r w:rsidRPr="00070602">
        <w:rPr>
          <w:rFonts w:ascii="Times New Roman" w:hAnsi="Times New Roman" w:cs="Times New Roman"/>
        </w:rPr>
        <w:t xml:space="preserve"> neonatal, mature, old and senescent</w:t>
      </w:r>
      <w:r>
        <w:rPr>
          <w:rFonts w:ascii="Times New Roman" w:hAnsi="Times New Roman" w:cs="Times New Roman"/>
        </w:rPr>
        <w:t xml:space="preserve"> </w:t>
      </w:r>
      <w:r w:rsidR="00596DF3">
        <w:rPr>
          <w:rFonts w:ascii="Times New Roman" w:hAnsi="Times New Roman" w:cs="Times New Roman"/>
        </w:rPr>
        <w:t>astrocytes</w:t>
      </w:r>
      <w:r w:rsidR="00564E80">
        <w:rPr>
          <w:rFonts w:ascii="Times New Roman" w:hAnsi="Times New Roman" w:cs="Times New Roman"/>
        </w:rPr>
        <w:t>, where it was shown that</w:t>
      </w:r>
      <w:r w:rsidR="00596DF3">
        <w:rPr>
          <w:rFonts w:ascii="Times New Roman" w:hAnsi="Times New Roman" w:cs="Times New Roman"/>
        </w:rPr>
        <w:t xml:space="preserve"> there was a significant reduction in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 xml:space="preserve">2 </w:t>
      </w:r>
      <w:r w:rsidR="00596DF3">
        <w:rPr>
          <w:rFonts w:ascii="Times New Roman" w:hAnsi="Times New Roman" w:cs="Times New Roman"/>
        </w:rPr>
        <w:t xml:space="preserve">clearance capacity between neonatal and mature astrocytes due to a reduction in glutaredoxin activity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"10.1002/glia.21024", "ISSN" : "08941491", "author" : [ { "dropping-particle" : "", "family" : "Liddell", "given" : "Jeff R.", "non-dropping-particle" : "", "parse-names" : false, "suffix" : "" }, { "dropping-particle" : "", "family" : "Robinson", "given" : "Stephen R.", "non-dropping-particle" : "", "parse-names" : false, "suffix" : "" }, { "dropping-particle" : "", "family" : "Dringen", "given" : "Ralf", "non-dropping-particle" : "", "parse-names" : false, "suffix" : "" }, { "dropping-particle" : "", "family" : "Bishop", "given" : "Glenda M.", "non-dropping-particle" : "", "parse-names" : false, "suffix" : "" } ], "container-title" : "Glia", "id" : "ITEM-1", "issue" : "12", "issued" : { "date-parts" : [ [ "2010" ] ] }, "page" : "n/a-n/a", "publisher" : "Wiley Subscription Services, Inc., A Wiley Company", "title" : "Astrocytes retain their antioxidant capacity into advanced old age", "type" : "article-journal", "volume" : "58" }, "uris" : [ "http://www.mendeley.com/documents/?uuid=cea95119-49bb-3872-b532-3107140bc4d7" ] } ], "mendeley" : { "formattedCitation" : "(Liddell et al. 2010)", "plainTextFormattedCitation" : "(Liddell et al. 2010)", "previouslyFormattedCitation" : "(Liddell et al. 2010)"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(Liddell et al. 2010)</w:t>
      </w:r>
      <w:r>
        <w:rPr>
          <w:rFonts w:ascii="Times New Roman" w:hAnsi="Times New Roman" w:cs="Times New Roman"/>
        </w:rPr>
        <w:fldChar w:fldCharType="end"/>
      </w:r>
      <w:r w:rsidRPr="00070602">
        <w:rPr>
          <w:rFonts w:ascii="Times New Roman" w:hAnsi="Times New Roman" w:cs="Times New Roman"/>
        </w:rPr>
        <w:t>.</w:t>
      </w:r>
      <w:r>
        <w:rPr>
          <w:rFonts w:ascii="Times New Roman" w:hAnsi="Times New Roman" w:cs="Times New Roman"/>
        </w:rPr>
        <w:t xml:space="preserve"> </w:t>
      </w:r>
      <w:r w:rsidR="00564E80">
        <w:rPr>
          <w:rFonts w:ascii="Times New Roman" w:hAnsi="Times New Roman" w:cs="Times New Roman"/>
        </w:rPr>
        <w:t xml:space="preserve">However, </w:t>
      </w:r>
      <w:r w:rsidRPr="00070602">
        <w:rPr>
          <w:rFonts w:ascii="Times New Roman" w:hAnsi="Times New Roman" w:cs="Times New Roman"/>
        </w:rPr>
        <w:t>antioxidant defe</w:t>
      </w:r>
      <w:r w:rsidR="00596DF3">
        <w:rPr>
          <w:rFonts w:ascii="Times New Roman" w:hAnsi="Times New Roman" w:cs="Times New Roman"/>
        </w:rPr>
        <w:t>nses were not compromised in</w:t>
      </w:r>
      <w:r w:rsidRPr="00070602">
        <w:rPr>
          <w:rFonts w:ascii="Times New Roman" w:hAnsi="Times New Roman" w:cs="Times New Roman"/>
        </w:rPr>
        <w:t xml:space="preserve"> older astrocytes and instead there was a trend towards increased antioxidative capacity. GSH efflux from older astrocytes increased, which suggests an increased demand on the astrocytes to supply GSH to the neurons possibly due to oxidative stress and an ability to respond to this demand. </w:t>
      </w:r>
    </w:p>
    <w:p w14:paraId="797CCB97" w14:textId="77777777" w:rsidR="009D1747" w:rsidRPr="00844F5B" w:rsidRDefault="009D1747" w:rsidP="009D1747">
      <w:pPr>
        <w:spacing w:line="360" w:lineRule="auto"/>
        <w:rPr>
          <w:rFonts w:ascii="Times New Roman" w:hAnsi="Times New Roman" w:cs="Times New Roman"/>
          <w:color w:val="FF0000"/>
        </w:rPr>
        <w:sectPr w:rsidR="009D1747" w:rsidRPr="00844F5B" w:rsidSect="00361C75">
          <w:headerReference w:type="default" r:id="rId12"/>
          <w:footerReference w:type="even" r:id="rId13"/>
          <w:footerReference w:type="default" r:id="rId14"/>
          <w:pgSz w:w="11900" w:h="16840"/>
          <w:pgMar w:top="1440" w:right="1134" w:bottom="1440" w:left="2268" w:header="709" w:footer="709" w:gutter="0"/>
          <w:cols w:space="708"/>
          <w:docGrid w:linePitch="360"/>
        </w:sectPr>
      </w:pPr>
    </w:p>
    <w:p w14:paraId="693AF8DA" w14:textId="488E5048" w:rsidR="00A5661D" w:rsidRDefault="000752FB" w:rsidP="00103AAC">
      <w:pPr>
        <w:spacing w:line="360" w:lineRule="auto"/>
        <w:rPr>
          <w:rFonts w:ascii="Times New Roman" w:hAnsi="Times New Roman" w:cs="Times New Roman"/>
          <w:noProof/>
        </w:rPr>
        <w:sectPr w:rsidR="00A5661D" w:rsidSect="00A5661D">
          <w:headerReference w:type="default" r:id="rId15"/>
          <w:pgSz w:w="16840" w:h="11900" w:orient="landscape"/>
          <w:pgMar w:top="2268" w:right="1440" w:bottom="1134" w:left="1440" w:header="709" w:footer="709" w:gutter="0"/>
          <w:cols w:space="708"/>
          <w:docGrid w:linePitch="360"/>
        </w:sectPr>
      </w:pPr>
      <w:r>
        <w:rPr>
          <w:rFonts w:ascii="Times New Roman" w:hAnsi="Times New Roman" w:cs="Times New Roman"/>
          <w:noProof/>
        </w:rPr>
        <w:t xml:space="preserve">                   </w:t>
      </w:r>
      <w:r w:rsidR="00533EBD">
        <w:rPr>
          <w:rFonts w:ascii="Times New Roman" w:hAnsi="Times New Roman" w:cs="Times New Roman"/>
          <w:noProof/>
        </w:rPr>
        <w:t xml:space="preserve">   </w:t>
      </w:r>
      <w:r>
        <w:rPr>
          <w:rFonts w:ascii="Times New Roman" w:hAnsi="Times New Roman" w:cs="Times New Roman"/>
          <w:noProof/>
        </w:rPr>
        <w:t xml:space="preserve">       </w:t>
      </w:r>
      <w:r w:rsidR="00B443C8">
        <w:rPr>
          <w:rFonts w:ascii="Times New Roman" w:hAnsi="Times New Roman" w:cs="Times New Roman"/>
          <w:noProof/>
        </w:rPr>
        <w:drawing>
          <wp:inline distT="0" distB="0" distL="0" distR="0" wp14:anchorId="26C2B9F0" wp14:editId="09A98CE1">
            <wp:extent cx="6918040" cy="5187462"/>
            <wp:effectExtent l="0" t="0" r="0" b="0"/>
            <wp:docPr id="1073741837" name="Picture 107374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6">
                      <a:extLst>
                        <a:ext uri="{28A0092B-C50C-407E-A947-70E740481C1C}">
                          <a14:useLocalDpi xmlns:a14="http://schemas.microsoft.com/office/drawing/2010/main" val="0"/>
                        </a:ext>
                      </a:extLst>
                    </a:blip>
                    <a:stretch>
                      <a:fillRect/>
                    </a:stretch>
                  </pic:blipFill>
                  <pic:spPr>
                    <a:xfrm>
                      <a:off x="0" y="0"/>
                      <a:ext cx="6918987" cy="5188172"/>
                    </a:xfrm>
                    <a:prstGeom prst="rect">
                      <a:avLst/>
                    </a:prstGeom>
                  </pic:spPr>
                </pic:pic>
              </a:graphicData>
            </a:graphic>
          </wp:inline>
        </w:drawing>
      </w:r>
    </w:p>
    <w:p w14:paraId="2A0EEFF1" w14:textId="77777777" w:rsidR="004F3594" w:rsidRDefault="00B443C8" w:rsidP="003B096D">
      <w:pPr>
        <w:pStyle w:val="Caption"/>
      </w:pPr>
      <w:bookmarkStart w:id="217" w:name="_Toc333569042"/>
      <w:bookmarkStart w:id="218" w:name="_Toc333569267"/>
      <w:bookmarkStart w:id="219" w:name="_Toc333570821"/>
      <w:bookmarkStart w:id="220" w:name="_Toc333582204"/>
      <w:bookmarkStart w:id="221" w:name="_Toc333582324"/>
      <w:bookmarkStart w:id="222" w:name="_Toc333582736"/>
      <w:bookmarkStart w:id="223" w:name="_Toc333583106"/>
      <w:bookmarkStart w:id="224" w:name="_Toc333583457"/>
      <w:bookmarkStart w:id="225" w:name="_Toc333584074"/>
      <w:bookmarkStart w:id="226" w:name="_Toc333585208"/>
      <w:bookmarkStart w:id="227" w:name="_Toc333586760"/>
      <w:bookmarkStart w:id="228" w:name="_Toc333644459"/>
      <w:bookmarkStart w:id="229" w:name="_Toc333644753"/>
      <w:r>
        <w:t xml:space="preserve">Figure </w:t>
      </w:r>
      <w:r w:rsidR="000E2183">
        <w:t>1.</w:t>
      </w:r>
      <w:r w:rsidR="0099050D">
        <w:t>3</w:t>
      </w:r>
      <w:r w:rsidR="00232FF0">
        <w:t>.</w:t>
      </w:r>
      <w:r w:rsidR="00544DB3">
        <w:t xml:space="preserve"> A schematic diagram displaying the many roles performed by astrocytes</w:t>
      </w:r>
      <w:r w:rsidR="005742B8">
        <w:t>.</w:t>
      </w:r>
      <w:bookmarkEnd w:id="217"/>
      <w:bookmarkEnd w:id="218"/>
      <w:bookmarkEnd w:id="219"/>
      <w:bookmarkEnd w:id="220"/>
      <w:bookmarkEnd w:id="221"/>
      <w:bookmarkEnd w:id="222"/>
      <w:bookmarkEnd w:id="223"/>
      <w:bookmarkEnd w:id="224"/>
      <w:bookmarkEnd w:id="225"/>
      <w:bookmarkEnd w:id="226"/>
      <w:bookmarkEnd w:id="227"/>
      <w:bookmarkEnd w:id="228"/>
      <w:bookmarkEnd w:id="229"/>
      <w:r w:rsidR="005742B8">
        <w:t xml:space="preserve"> </w:t>
      </w:r>
    </w:p>
    <w:p w14:paraId="077C50C6" w14:textId="1369E138" w:rsidR="00355BC2" w:rsidRDefault="005742B8" w:rsidP="004F3594">
      <w:pPr>
        <w:spacing w:line="360" w:lineRule="auto"/>
        <w:jc w:val="both"/>
        <w:rPr>
          <w:rFonts w:ascii="Times New Roman" w:hAnsi="Times New Roman" w:cs="Times New Roman"/>
        </w:rPr>
      </w:pPr>
      <w:r>
        <w:rPr>
          <w:rFonts w:ascii="Times New Roman" w:hAnsi="Times New Roman" w:cs="Times New Roman"/>
        </w:rPr>
        <w:t xml:space="preserve">Each hashed box represents a different astrocytic function and </w:t>
      </w:r>
      <w:r w:rsidR="000D3B75">
        <w:rPr>
          <w:rFonts w:ascii="Times New Roman" w:hAnsi="Times New Roman" w:cs="Times New Roman"/>
        </w:rPr>
        <w:t>each is</w:t>
      </w:r>
      <w:r>
        <w:rPr>
          <w:rFonts w:ascii="Times New Roman" w:hAnsi="Times New Roman" w:cs="Times New Roman"/>
        </w:rPr>
        <w:t xml:space="preserve"> labelled on the diagram numerically (</w:t>
      </w:r>
      <w:r w:rsidRPr="00917227">
        <w:rPr>
          <w:rFonts w:ascii="Times New Roman" w:hAnsi="Times New Roman" w:cs="Times New Roman"/>
          <w:b/>
        </w:rPr>
        <w:t>1-5</w:t>
      </w:r>
      <w:r>
        <w:rPr>
          <w:rFonts w:ascii="Times New Roman" w:hAnsi="Times New Roman" w:cs="Times New Roman"/>
        </w:rPr>
        <w:t xml:space="preserve">) according to the order in which they have been discussed in the text. </w:t>
      </w:r>
      <w:r w:rsidRPr="00917227">
        <w:rPr>
          <w:rFonts w:ascii="Times New Roman" w:hAnsi="Times New Roman" w:cs="Times New Roman"/>
          <w:b/>
        </w:rPr>
        <w:t>1</w:t>
      </w:r>
      <w:r w:rsidRPr="00355BC2">
        <w:rPr>
          <w:rFonts w:ascii="Times New Roman" w:hAnsi="Times New Roman" w:cs="Times New Roman"/>
        </w:rPr>
        <w:t xml:space="preserve">. </w:t>
      </w:r>
      <w:r w:rsidRPr="00524626">
        <w:rPr>
          <w:rFonts w:ascii="Times New Roman" w:hAnsi="Times New Roman" w:cs="Times New Roman"/>
          <w:b/>
        </w:rPr>
        <w:t>Gliotransmission</w:t>
      </w:r>
      <w:r w:rsidR="00917227">
        <w:rPr>
          <w:rFonts w:ascii="Times New Roman" w:hAnsi="Times New Roman" w:cs="Times New Roman"/>
        </w:rPr>
        <w:t>: Neurotransmitters bind to metabotropic/ionotropic receptors on astrocyte cell surface</w:t>
      </w:r>
      <w:r w:rsidR="00756E88">
        <w:rPr>
          <w:rFonts w:ascii="Times New Roman" w:hAnsi="Times New Roman" w:cs="Times New Roman"/>
        </w:rPr>
        <w:t>s</w:t>
      </w:r>
      <w:r w:rsidR="00917227">
        <w:rPr>
          <w:rFonts w:ascii="Times New Roman" w:hAnsi="Times New Roman" w:cs="Times New Roman"/>
        </w:rPr>
        <w:t>, which triggers calcium-mediated release of gliotransmitter that can modulate synaptic activity</w:t>
      </w:r>
      <w:r w:rsidRPr="00355BC2">
        <w:rPr>
          <w:rFonts w:ascii="Times New Roman" w:hAnsi="Times New Roman" w:cs="Times New Roman"/>
        </w:rPr>
        <w:t xml:space="preserve"> </w:t>
      </w:r>
      <w:r w:rsidR="00355BC2">
        <w:rPr>
          <w:rFonts w:ascii="Times New Roman" w:hAnsi="Times New Roman" w:cs="Times New Roman"/>
        </w:rPr>
        <w:t xml:space="preserve"> </w:t>
      </w:r>
      <w:r w:rsidRPr="00917227">
        <w:rPr>
          <w:rFonts w:ascii="Times New Roman" w:hAnsi="Times New Roman" w:cs="Times New Roman"/>
          <w:b/>
        </w:rPr>
        <w:t>2</w:t>
      </w:r>
      <w:r w:rsidRPr="00355BC2">
        <w:rPr>
          <w:rFonts w:ascii="Times New Roman" w:hAnsi="Times New Roman" w:cs="Times New Roman"/>
        </w:rPr>
        <w:t xml:space="preserve">. </w:t>
      </w:r>
      <w:r w:rsidRPr="00524626">
        <w:rPr>
          <w:rFonts w:ascii="Times New Roman" w:hAnsi="Times New Roman" w:cs="Times New Roman"/>
          <w:b/>
        </w:rPr>
        <w:t>Neurovascular coupling</w:t>
      </w:r>
      <w:r w:rsidR="006F5D6D">
        <w:rPr>
          <w:rFonts w:ascii="Times New Roman" w:hAnsi="Times New Roman" w:cs="Times New Roman"/>
        </w:rPr>
        <w:t>: Neurotransmission triggers calcium signalling</w:t>
      </w:r>
      <w:r w:rsidR="00524626">
        <w:rPr>
          <w:rFonts w:ascii="Times New Roman" w:hAnsi="Times New Roman" w:cs="Times New Roman"/>
        </w:rPr>
        <w:t xml:space="preserve">, which stimulates conversion of </w:t>
      </w:r>
      <w:r w:rsidR="00524626" w:rsidRPr="00070602">
        <w:rPr>
          <w:rFonts w:ascii="Times New Roman" w:hAnsi="Times New Roman" w:cs="Times New Roman"/>
        </w:rPr>
        <w:t>arachidonic acid to prostaglandin E</w:t>
      </w:r>
      <w:r w:rsidR="00524626" w:rsidRPr="00070602">
        <w:rPr>
          <w:rFonts w:ascii="Times New Roman" w:hAnsi="Times New Roman" w:cs="Times New Roman"/>
          <w:vertAlign w:val="subscript"/>
        </w:rPr>
        <w:t>2</w:t>
      </w:r>
      <w:r w:rsidR="00524626" w:rsidRPr="00070602">
        <w:rPr>
          <w:rFonts w:ascii="Times New Roman" w:hAnsi="Times New Roman" w:cs="Times New Roman"/>
        </w:rPr>
        <w:t xml:space="preserve"> and epoxyeicosatrienoic acid</w:t>
      </w:r>
      <w:r w:rsidR="00524626">
        <w:rPr>
          <w:rFonts w:ascii="Times New Roman" w:hAnsi="Times New Roman" w:cs="Times New Roman"/>
        </w:rPr>
        <w:t xml:space="preserve"> that cause vasodilation. Potassium, oxygen and ATP can regulate vascular tone and glucose enters from blood through</w:t>
      </w:r>
      <w:r w:rsidR="009F76F6">
        <w:rPr>
          <w:rFonts w:ascii="Times New Roman" w:hAnsi="Times New Roman" w:cs="Times New Roman"/>
        </w:rPr>
        <w:t xml:space="preserve"> glucose transporters</w:t>
      </w:r>
      <w:r w:rsidR="00524626">
        <w:rPr>
          <w:rFonts w:ascii="Times New Roman" w:hAnsi="Times New Roman" w:cs="Times New Roman"/>
        </w:rPr>
        <w:t xml:space="preserve"> </w:t>
      </w:r>
      <w:r w:rsidR="009F76F6">
        <w:rPr>
          <w:rFonts w:ascii="Times New Roman" w:hAnsi="Times New Roman" w:cs="Times New Roman"/>
        </w:rPr>
        <w:t>(</w:t>
      </w:r>
      <w:r w:rsidR="00524626">
        <w:rPr>
          <w:rFonts w:ascii="Times New Roman" w:hAnsi="Times New Roman" w:cs="Times New Roman"/>
        </w:rPr>
        <w:t>GLUT1</w:t>
      </w:r>
      <w:r w:rsidR="009F76F6">
        <w:rPr>
          <w:rFonts w:ascii="Times New Roman" w:hAnsi="Times New Roman" w:cs="Times New Roman"/>
        </w:rPr>
        <w:t>)</w:t>
      </w:r>
      <w:r w:rsidR="00F30272">
        <w:rPr>
          <w:rFonts w:ascii="Times New Roman" w:hAnsi="Times New Roman" w:cs="Times New Roman"/>
        </w:rPr>
        <w:t xml:space="preserve"> in astrocytic end-</w:t>
      </w:r>
      <w:r w:rsidR="00524626">
        <w:rPr>
          <w:rFonts w:ascii="Times New Roman" w:hAnsi="Times New Roman" w:cs="Times New Roman"/>
        </w:rPr>
        <w:t>feet.</w:t>
      </w:r>
    </w:p>
    <w:p w14:paraId="046ACFC5" w14:textId="1B578CC3" w:rsidR="00B443C8" w:rsidRDefault="005742B8" w:rsidP="003E7BDB">
      <w:pPr>
        <w:spacing w:line="360" w:lineRule="auto"/>
        <w:jc w:val="both"/>
        <w:rPr>
          <w:rFonts w:ascii="Times New Roman" w:hAnsi="Times New Roman" w:cs="Times New Roman"/>
        </w:rPr>
      </w:pPr>
      <w:r w:rsidRPr="00524626">
        <w:rPr>
          <w:rFonts w:ascii="Times New Roman" w:hAnsi="Times New Roman" w:cs="Times New Roman"/>
          <w:b/>
        </w:rPr>
        <w:t>3</w:t>
      </w:r>
      <w:r w:rsidRPr="00355BC2">
        <w:rPr>
          <w:rFonts w:ascii="Times New Roman" w:hAnsi="Times New Roman" w:cs="Times New Roman"/>
        </w:rPr>
        <w:t xml:space="preserve">. </w:t>
      </w:r>
      <w:r w:rsidRPr="00524626">
        <w:rPr>
          <w:rFonts w:ascii="Times New Roman" w:hAnsi="Times New Roman" w:cs="Times New Roman"/>
          <w:b/>
        </w:rPr>
        <w:t>Regulation of neuronal metabolism</w:t>
      </w:r>
      <w:r w:rsidR="00524626">
        <w:rPr>
          <w:rFonts w:ascii="Times New Roman" w:hAnsi="Times New Roman" w:cs="Times New Roman"/>
          <w:b/>
        </w:rPr>
        <w:t xml:space="preserve"> </w:t>
      </w:r>
      <w:r w:rsidR="00524626">
        <w:rPr>
          <w:rFonts w:ascii="Times New Roman" w:hAnsi="Times New Roman" w:cs="Times New Roman"/>
        </w:rPr>
        <w:t>Neurotransmission is coupled to glycolysis, producing the energy substrate lactate that can be shuttled across to neurons in the astrocyte neuron lactate shuttle (ANLS)</w:t>
      </w:r>
      <w:r w:rsidR="00144FA9">
        <w:rPr>
          <w:rFonts w:ascii="Times New Roman" w:hAnsi="Times New Roman" w:cs="Times New Roman"/>
        </w:rPr>
        <w:t>.</w:t>
      </w:r>
      <w:r w:rsidRPr="00355BC2">
        <w:rPr>
          <w:rFonts w:ascii="Times New Roman" w:hAnsi="Times New Roman" w:cs="Times New Roman"/>
        </w:rPr>
        <w:t xml:space="preserve"> </w:t>
      </w:r>
      <w:r w:rsidRPr="00524626">
        <w:rPr>
          <w:rFonts w:ascii="Times New Roman" w:hAnsi="Times New Roman" w:cs="Times New Roman"/>
          <w:b/>
        </w:rPr>
        <w:t>4. Interaction with microglia</w:t>
      </w:r>
      <w:r w:rsidRPr="00355BC2">
        <w:rPr>
          <w:rFonts w:ascii="Times New Roman" w:hAnsi="Times New Roman" w:cs="Times New Roman"/>
        </w:rPr>
        <w:t xml:space="preserve"> </w:t>
      </w:r>
      <w:r w:rsidR="00524626">
        <w:rPr>
          <w:rFonts w:ascii="Times New Roman" w:hAnsi="Times New Roman" w:cs="Times New Roman"/>
        </w:rPr>
        <w:t xml:space="preserve">Upstream signalling from microglia can influence gliotransmission </w:t>
      </w:r>
      <w:r w:rsidR="00406C12">
        <w:rPr>
          <w:rFonts w:ascii="Times New Roman" w:hAnsi="Times New Roman" w:cs="Times New Roman"/>
        </w:rPr>
        <w:t>and due to the high motility of processes are involved in synaptic pruning</w:t>
      </w:r>
      <w:r w:rsidR="00660F81">
        <w:rPr>
          <w:rFonts w:ascii="Times New Roman" w:hAnsi="Times New Roman" w:cs="Times New Roman"/>
        </w:rPr>
        <w:t xml:space="preserve">. </w:t>
      </w:r>
      <w:r w:rsidRPr="00524626">
        <w:rPr>
          <w:rFonts w:ascii="Times New Roman" w:hAnsi="Times New Roman" w:cs="Times New Roman"/>
          <w:b/>
        </w:rPr>
        <w:t>5. Antioxidant capacity</w:t>
      </w:r>
      <w:r w:rsidRPr="00355BC2">
        <w:rPr>
          <w:rFonts w:ascii="Times New Roman" w:hAnsi="Times New Roman" w:cs="Times New Roman"/>
        </w:rPr>
        <w:t>.</w:t>
      </w:r>
      <w:r w:rsidR="00544DB3" w:rsidRPr="00355BC2">
        <w:rPr>
          <w:rFonts w:ascii="Times New Roman" w:hAnsi="Times New Roman" w:cs="Times New Roman"/>
        </w:rPr>
        <w:t xml:space="preserve"> </w:t>
      </w:r>
      <w:r w:rsidR="00833FC8">
        <w:rPr>
          <w:rFonts w:ascii="Times New Roman" w:hAnsi="Times New Roman" w:cs="Times New Roman"/>
        </w:rPr>
        <w:t>Oxidative stress induces an NRF2 response, which provides an internal</w:t>
      </w:r>
      <w:r w:rsidR="00C575D1">
        <w:rPr>
          <w:rFonts w:ascii="Times New Roman" w:hAnsi="Times New Roman" w:cs="Times New Roman"/>
        </w:rPr>
        <w:t xml:space="preserve"> and</w:t>
      </w:r>
      <w:r w:rsidR="00833FC8">
        <w:rPr>
          <w:rFonts w:ascii="Times New Roman" w:hAnsi="Times New Roman" w:cs="Times New Roman"/>
        </w:rPr>
        <w:t xml:space="preserve"> external supply of the antioxidant glutathione. </w:t>
      </w:r>
      <w:r w:rsidR="00880F28">
        <w:rPr>
          <w:rFonts w:ascii="Times New Roman" w:hAnsi="Times New Roman" w:cs="Times New Roman"/>
        </w:rPr>
        <w:t>There are also compensatory and reserve antioxidant mechanisms present in astrocytes.</w:t>
      </w:r>
    </w:p>
    <w:p w14:paraId="463D252D" w14:textId="77777777" w:rsidR="00991A68" w:rsidRPr="00991A68" w:rsidRDefault="00991A68" w:rsidP="00991A68"/>
    <w:p w14:paraId="01FD11E5" w14:textId="7EB62F87" w:rsidR="002A7E74" w:rsidRPr="001B1D82" w:rsidRDefault="003A2584" w:rsidP="00862AF9">
      <w:pPr>
        <w:pStyle w:val="Heading2"/>
        <w:spacing w:line="360" w:lineRule="auto"/>
      </w:pPr>
      <w:bookmarkStart w:id="230" w:name="_Toc328301086"/>
      <w:bookmarkStart w:id="231" w:name="_Toc329593378"/>
      <w:bookmarkStart w:id="232" w:name="_Toc331425879"/>
      <w:bookmarkStart w:id="233" w:name="_Toc331427066"/>
      <w:bookmarkStart w:id="234" w:name="_Toc331427438"/>
      <w:bookmarkStart w:id="235" w:name="_Toc331427580"/>
      <w:bookmarkStart w:id="236" w:name="_Toc332972584"/>
      <w:bookmarkStart w:id="237" w:name="_Toc333046864"/>
      <w:bookmarkStart w:id="238" w:name="_Toc333477211"/>
      <w:bookmarkStart w:id="239" w:name="_Toc333477981"/>
      <w:bookmarkStart w:id="240" w:name="_Toc333644881"/>
      <w:r w:rsidRPr="001B1D82">
        <w:t xml:space="preserve">1.4 </w:t>
      </w:r>
      <w:r w:rsidR="002A7E74" w:rsidRPr="001B1D82">
        <w:t>How astrocytes are involved in</w:t>
      </w:r>
      <w:r w:rsidR="000D57B9" w:rsidRPr="001B1D82">
        <w:t xml:space="preserve"> neurodegeneration and</w:t>
      </w:r>
      <w:r w:rsidR="002A7E74" w:rsidRPr="001B1D82">
        <w:t xml:space="preserve"> AD progression</w:t>
      </w:r>
      <w:bookmarkEnd w:id="230"/>
      <w:bookmarkEnd w:id="231"/>
      <w:bookmarkEnd w:id="232"/>
      <w:bookmarkEnd w:id="233"/>
      <w:bookmarkEnd w:id="234"/>
      <w:bookmarkEnd w:id="235"/>
      <w:bookmarkEnd w:id="236"/>
      <w:bookmarkEnd w:id="237"/>
      <w:bookmarkEnd w:id="238"/>
      <w:bookmarkEnd w:id="239"/>
      <w:bookmarkEnd w:id="240"/>
    </w:p>
    <w:p w14:paraId="72FACFA1" w14:textId="77777777" w:rsidR="00337DDD" w:rsidRDefault="00337DDD" w:rsidP="003E7BDB">
      <w:pPr>
        <w:jc w:val="both"/>
        <w:rPr>
          <w:rFonts w:ascii="Times New Roman" w:hAnsi="Times New Roman" w:cs="Times New Roman"/>
        </w:rPr>
      </w:pPr>
    </w:p>
    <w:p w14:paraId="1AFC503F" w14:textId="26EC6063" w:rsidR="00337DDD" w:rsidRDefault="00337DDD" w:rsidP="003E7BDB">
      <w:pPr>
        <w:spacing w:line="360" w:lineRule="auto"/>
        <w:jc w:val="both"/>
        <w:rPr>
          <w:rFonts w:ascii="Times New Roman" w:hAnsi="Times New Roman" w:cs="Times New Roman"/>
        </w:rPr>
      </w:pPr>
      <w:r>
        <w:rPr>
          <w:rFonts w:ascii="Times New Roman" w:hAnsi="Times New Roman" w:cs="Times New Roman"/>
        </w:rPr>
        <w:t>Neurodegenerative diseases such as Parkinson’s</w:t>
      </w:r>
      <w:r w:rsidR="008746CB">
        <w:rPr>
          <w:rFonts w:ascii="Times New Roman" w:hAnsi="Times New Roman" w:cs="Times New Roman"/>
        </w:rPr>
        <w:t xml:space="preserve"> Disease (PD)</w:t>
      </w:r>
      <w:r>
        <w:rPr>
          <w:rFonts w:ascii="Times New Roman" w:hAnsi="Times New Roman" w:cs="Times New Roman"/>
        </w:rPr>
        <w:t xml:space="preserve">, </w:t>
      </w:r>
      <w:r w:rsidR="008746CB">
        <w:rPr>
          <w:rFonts w:ascii="Times New Roman" w:hAnsi="Times New Roman" w:cs="Times New Roman"/>
        </w:rPr>
        <w:t>Amylotrophic Lateral Sclerosis (</w:t>
      </w:r>
      <w:r>
        <w:rPr>
          <w:rFonts w:ascii="Times New Roman" w:hAnsi="Times New Roman" w:cs="Times New Roman"/>
        </w:rPr>
        <w:t>ALS</w:t>
      </w:r>
      <w:r w:rsidR="008746CB">
        <w:rPr>
          <w:rFonts w:ascii="Times New Roman" w:hAnsi="Times New Roman" w:cs="Times New Roman"/>
        </w:rPr>
        <w:t>)</w:t>
      </w:r>
      <w:r>
        <w:rPr>
          <w:rFonts w:ascii="Times New Roman" w:hAnsi="Times New Roman" w:cs="Times New Roman"/>
        </w:rPr>
        <w:t xml:space="preserve"> and AD have long been attributed to neuronal dysfunction. However, the 1990’s marked a new era in neuroscience as discoveries of the cri</w:t>
      </w:r>
      <w:r w:rsidR="0066353F">
        <w:rPr>
          <w:rFonts w:ascii="Times New Roman" w:hAnsi="Times New Roman" w:cs="Times New Roman"/>
        </w:rPr>
        <w:t>tical roles played by neuroglia were made</w:t>
      </w:r>
      <w:r>
        <w:rPr>
          <w:rFonts w:ascii="Times New Roman" w:hAnsi="Times New Roman" w:cs="Times New Roman"/>
        </w:rPr>
        <w:t>, in particular the contributions</w:t>
      </w:r>
      <w:r w:rsidR="003A2C63">
        <w:rPr>
          <w:rFonts w:ascii="Times New Roman" w:hAnsi="Times New Roman" w:cs="Times New Roman"/>
        </w:rPr>
        <w:t xml:space="preserve"> of astrocytes in maintaining brain health</w:t>
      </w:r>
      <w:r>
        <w:rPr>
          <w:rFonts w:ascii="Times New Roman" w:hAnsi="Times New Roman" w:cs="Times New Roman"/>
        </w:rPr>
        <w:t xml:space="preserve">. </w:t>
      </w:r>
      <w:r w:rsidR="0066353F">
        <w:rPr>
          <w:rFonts w:ascii="Times New Roman" w:hAnsi="Times New Roman" w:cs="Times New Roman"/>
        </w:rPr>
        <w:t>These insights have generated new theories as to how neu</w:t>
      </w:r>
      <w:r w:rsidR="001D692A">
        <w:rPr>
          <w:rFonts w:ascii="Times New Roman" w:hAnsi="Times New Roman" w:cs="Times New Roman"/>
        </w:rPr>
        <w:t>rodegenerative diseases develop and a</w:t>
      </w:r>
      <w:r w:rsidR="008D4836">
        <w:rPr>
          <w:rFonts w:ascii="Times New Roman" w:hAnsi="Times New Roman" w:cs="Times New Roman"/>
        </w:rPr>
        <w:t>n increasingly popular idea</w:t>
      </w:r>
      <w:r w:rsidR="001D692A">
        <w:rPr>
          <w:rFonts w:ascii="Times New Roman" w:hAnsi="Times New Roman" w:cs="Times New Roman"/>
        </w:rPr>
        <w:t xml:space="preserve"> is</w:t>
      </w:r>
      <w:r w:rsidR="0066353F">
        <w:rPr>
          <w:rFonts w:ascii="Times New Roman" w:hAnsi="Times New Roman" w:cs="Times New Roman"/>
        </w:rPr>
        <w:t xml:space="preserve"> that neuronal dysfunction</w:t>
      </w:r>
      <w:r w:rsidR="004679DE">
        <w:rPr>
          <w:rFonts w:ascii="Times New Roman" w:hAnsi="Times New Roman" w:cs="Times New Roman"/>
        </w:rPr>
        <w:t xml:space="preserve"> may stem</w:t>
      </w:r>
      <w:r w:rsidR="0066353F">
        <w:rPr>
          <w:rFonts w:ascii="Times New Roman" w:hAnsi="Times New Roman" w:cs="Times New Roman"/>
        </w:rPr>
        <w:t xml:space="preserve"> from impaired astr</w:t>
      </w:r>
      <w:r w:rsidR="001D692A">
        <w:rPr>
          <w:rFonts w:ascii="Times New Roman" w:hAnsi="Times New Roman" w:cs="Times New Roman"/>
        </w:rPr>
        <w:t>ocytic function</w:t>
      </w:r>
      <w:r w:rsidR="00D83961">
        <w:rPr>
          <w:rFonts w:ascii="Times New Roman" w:hAnsi="Times New Roman" w:cs="Times New Roman"/>
        </w:rPr>
        <w:t xml:space="preserve"> or “astrodegeneration”</w:t>
      </w:r>
      <w:r w:rsidR="008D233F">
        <w:rPr>
          <w:rFonts w:ascii="Times New Roman" w:hAnsi="Times New Roman" w:cs="Times New Roman"/>
        </w:rPr>
        <w:t xml:space="preserve"> </w:t>
      </w:r>
      <w:r w:rsidR="006746D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"10.1007/s00401-015-1513-1", "ISSN" : "1432-0533", "PMID" : "26671410", "abstract" : "The neurone-centred view of the past disregarded or downplayed the role of astroglia as a primary component in the pathogenesis of neurological diseases. As this concept is changing, so is also the perceived role of astrocytes in the healthy and diseased brain and spinal cord. We have started to unravel the different signalling mechanisms that trigger specific molecular, morphological and functional changes in reactive astrocytes that are critical for repairing tissue and maintaining function in CNS pathologies, such as neurotrauma, stroke, or neurodegenerative diseases. An increasing body of evidence shows that the effects of astrogliosis on the neural tissue and its functions are not uniform or stereotypic, but vary in a context-specific manner from astrogliosis being an adaptive beneficial response under some circumstances to a maladaptive and deleterious process in another context. There is a growing support for the concept of astrocytopathies in which the disruption of normal astrocyte functions, astrodegeneration or dysfunctional/maladaptive astrogliosis are the primary cause or the main factor in neurological dysfunction and disease. This review describes the multiple roles of astrocytes in the healthy CNS, discusses the diversity of astroglial responses in neurological disorders and argues that targeting astrocytes may represent an effective therapeutic strategy for Alexander disease, neurotrauma, stroke, epilepsy and Alzheimer's disease as well as other neurodegenerative diseases.", "author" : [ { "dropping-particle" : "", "family" : "Pekny", "given" : "Milos", "non-dropping-particle" : "", "parse-names" : false, "suffix" : "" }, { "dropping-particle" : "", "family" : "Pekna", "given" : "Marcela", "non-dropping-particle" : "", "parse-names" : false, "suffix" : "" }, { "dropping-particle" : "", "family" : "Messing", "given" : "Albee", "non-dropping-particle" : "", "parse-names" : false, "suffix" : "" }, { "dropping-particle" : "", "family" : "Steinh\u00e4user", "given" : "Christian", "non-dropping-particle" : "", "parse-names" : false, "suffix" : "" }, { "dropping-particle" : "", "family" : "Lee", "given" : "Jin-Moo", "non-dropping-particle" : "", "parse-names" : false, "suffix" : "" }, { "dropping-particle" : "", "family" : "Parpura", "given" : "Vladimir", "non-dropping-particle" : "", "parse-names" : false, "suffix" : "" }, { "dropping-particle" : "", "family" : "Hol", "given" : "Elly M", "non-dropping-particle" : "", "parse-names" : false, "suffix" : "" }, { "dropping-particle" : "V", "family" : "Sofroniew", "given" : "Michael", "non-dropping-particle" : "", "parse-names" : false, "suffix" : "" }, { "dropping-particle" : "", "family" : "Verkhratsky", "given" : "Alexei", "non-dropping-particle" : "", "parse-names" : false, "suffix" : "" } ], "container-title" : "Acta neuropathologica", "id" : "ITEM-1", "issue" : "3", "issued" : { "date-parts" : [ [ "2016", "3" ] ] }, "page" : "323-45", "title" : "Astrocytes: a central element in neurological diseases.", "type" : "article-journal", "volume" : "131" }, "uris" : [ "http://www.mendeley.com/documents/?uuid=dc0de1d8-2fb3-3266-bb52-fe54c3430402" ] } ], "mendeley" : { "formattedCitation" : "(Pekny et al. 2016)", "plainTextFormattedCitation" : "(Pekny et al. 2016)", "previouslyFormattedCitation" : "(Pekny et al. 2016)" }, "properties" : { "noteIndex" : 0 }, "schema" : "https://github.com/citation-style-language/schema/raw/master/csl-citation.json" }</w:instrText>
      </w:r>
      <w:r w:rsidR="006746D9">
        <w:rPr>
          <w:rFonts w:ascii="Times New Roman" w:hAnsi="Times New Roman" w:cs="Times New Roman"/>
        </w:rPr>
        <w:fldChar w:fldCharType="separate"/>
      </w:r>
      <w:r w:rsidR="00C148FC" w:rsidRPr="00C148FC">
        <w:rPr>
          <w:rFonts w:ascii="Times New Roman" w:hAnsi="Times New Roman" w:cs="Times New Roman"/>
          <w:noProof/>
        </w:rPr>
        <w:t>(Pekny et al. 2016)</w:t>
      </w:r>
      <w:r w:rsidR="006746D9">
        <w:rPr>
          <w:rFonts w:ascii="Times New Roman" w:hAnsi="Times New Roman" w:cs="Times New Roman"/>
        </w:rPr>
        <w:fldChar w:fldCharType="end"/>
      </w:r>
      <w:r w:rsidR="001D692A">
        <w:rPr>
          <w:rFonts w:ascii="Times New Roman" w:hAnsi="Times New Roman" w:cs="Times New Roman"/>
        </w:rPr>
        <w:t xml:space="preserve">. This section </w:t>
      </w:r>
      <w:r w:rsidR="008D233F">
        <w:rPr>
          <w:rFonts w:ascii="Times New Roman" w:hAnsi="Times New Roman" w:cs="Times New Roman"/>
        </w:rPr>
        <w:t>focuses on the changes identified in astrocytes in</w:t>
      </w:r>
      <w:r w:rsidR="005A5A97">
        <w:rPr>
          <w:rFonts w:ascii="Times New Roman" w:hAnsi="Times New Roman" w:cs="Times New Roman"/>
        </w:rPr>
        <w:t xml:space="preserve"> the</w:t>
      </w:r>
      <w:r w:rsidR="008D233F">
        <w:rPr>
          <w:rFonts w:ascii="Times New Roman" w:hAnsi="Times New Roman" w:cs="Times New Roman"/>
        </w:rPr>
        <w:t xml:space="preserve"> AD brain and how these changes affect neuronal function</w:t>
      </w:r>
      <w:r w:rsidR="00737D07">
        <w:rPr>
          <w:rFonts w:ascii="Times New Roman" w:hAnsi="Times New Roman" w:cs="Times New Roman"/>
        </w:rPr>
        <w:t xml:space="preserve"> (summaris</w:t>
      </w:r>
      <w:r w:rsidR="003D4A26">
        <w:rPr>
          <w:rFonts w:ascii="Times New Roman" w:hAnsi="Times New Roman" w:cs="Times New Roman"/>
        </w:rPr>
        <w:t xml:space="preserve">ed in </w:t>
      </w:r>
      <w:r w:rsidR="003D4A26" w:rsidRPr="003D4A26">
        <w:rPr>
          <w:rFonts w:ascii="Times New Roman" w:hAnsi="Times New Roman" w:cs="Times New Roman"/>
          <w:b/>
        </w:rPr>
        <w:t>figure 1.</w:t>
      </w:r>
      <w:r w:rsidR="0099050D">
        <w:rPr>
          <w:rFonts w:ascii="Times New Roman" w:hAnsi="Times New Roman" w:cs="Times New Roman"/>
          <w:b/>
        </w:rPr>
        <w:t>4</w:t>
      </w:r>
      <w:r w:rsidR="003D4A26">
        <w:rPr>
          <w:rFonts w:ascii="Times New Roman" w:hAnsi="Times New Roman" w:cs="Times New Roman"/>
        </w:rPr>
        <w:t>).</w:t>
      </w:r>
    </w:p>
    <w:p w14:paraId="044D638C" w14:textId="77777777" w:rsidR="008D233F" w:rsidRPr="008D233F" w:rsidRDefault="008D233F" w:rsidP="00337DDD">
      <w:pPr>
        <w:spacing w:line="360" w:lineRule="auto"/>
        <w:rPr>
          <w:rFonts w:ascii="Times New Roman" w:hAnsi="Times New Roman" w:cs="Times New Roman"/>
        </w:rPr>
      </w:pPr>
    </w:p>
    <w:p w14:paraId="60D92EB1" w14:textId="77777777" w:rsidR="005A5A97" w:rsidRPr="005A5A97" w:rsidRDefault="005A5A97" w:rsidP="005A5A97"/>
    <w:p w14:paraId="5F267DFE" w14:textId="74BE5D8F" w:rsidR="005A5A97" w:rsidRDefault="008D233F" w:rsidP="003E7BDB">
      <w:pPr>
        <w:spacing w:line="360" w:lineRule="auto"/>
        <w:jc w:val="both"/>
        <w:rPr>
          <w:rFonts w:ascii="Times New Roman" w:hAnsi="Times New Roman" w:cs="Times New Roman"/>
        </w:rPr>
      </w:pPr>
      <w:r w:rsidRPr="008D233F">
        <w:rPr>
          <w:rFonts w:ascii="Times New Roman" w:hAnsi="Times New Roman" w:cs="Times New Roman"/>
        </w:rPr>
        <w:t xml:space="preserve">Increased glial reactivity is observed during ageing </w:t>
      </w:r>
      <w:r w:rsidRPr="008D233F">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"abstract" : "Glial fibrillary acidic protein (GFAP) mRNA was examined by RNA blot hybridization in three age groups of two cohorts of male F-344 rats and in 47 human postmortem brain samples. GFAP mRNA increased in the hippocampus and striatum of 24 versus 6- to 7-month-old rats. Another astrocytic molecular marker, glutamine synthetase mRNA, did not change with age in rat brain. Rat GFAP mRNA prevalence was inversely correlated with serum testosterone but not correlated with serum corticosterone. In human hippocampus, frontal and temporal cortex, GFAP mRNA also increased in older (60\u201379 years) compared with middle-aged (25\u201359 years) individuals. In contrast, mitochondrial cytochrome oxidase subunit 1 mRNA did not change between age groups in any region. By combining the three regions for further analysis, GFAP mRNA increased with age irregardless of gender, alcoholism in the middle-aged group, or whether brains were classified as normal or neuropathologic (excluding Alzheimer's disease pathology). These data indicate that increased GFAP protein or GFAP-immunoreactive astrocytes in rats and humans may result from transcriptional or post-transcriptional regulation and extend the number to three species (including mouse) showing an increase in GFAP mRNA with age. Factors that are known to regulate GFAP mRNA expression in young brains are considered as possible causes of age-related increases.", "author" : [ { "dropping-particle" : "", "family" : "Nichols", "given" : "Nancy R.", "non-dropping-particle" : "", "parse-names" : false, "suffix" : "" }, { "dropping-particle" : "", "family" : "Day", "given" : "Jonathan R.", "non-dropping-particle" : "", "parse-names" : false, "suffix" : "" }, { "dropping-particle" : "", "family" : "Laping", "given" : "Nicholas J.", "non-dropping-particle" : "", "parse-names" : false, "suffix" : "" }, { "dropping-particle" : "", "family" : "Johnson", "given" : "Steven A.", "non-dropping-particle" : "", "parse-names" : false, "suffix" : "" }, { "dropping-particle" : "", "family" : "Finch", "given" : "Caleb E.", "non-dropping-particle" : "", "parse-names" : false, "suffix" : "" } ], "container-title" : "Neurobiology of Aging", "id" : "ITEM-1", "issue" : "5", "issued" : { "date-parts" : [ [ "1993" ] ] }, "page" : "421-429", "title" : "GFAP mRNA increases with age in rat and human brain", "type" : "article-journal", "volume" : "14" }, "uris" : [ "http://www.mendeley.com/documents/?uuid=a10f57b5-ea09-4526-a1da-23f89e22c2f8" ] } ], "mendeley" : { "formattedCitation" : "(Nichols et al. 1993)", "plainTextFormattedCitation" : "(Nichols et al. 1993)", "previouslyFormattedCitation" : "(Nichols et al. 1993)" }, "properties" : { "noteIndex" : 0 }, "schema" : "https://github.com/citation-style-language/schema/raw/master/csl-citation.json" }</w:instrText>
      </w:r>
      <w:r w:rsidRPr="008D233F">
        <w:rPr>
          <w:rFonts w:ascii="Times New Roman" w:hAnsi="Times New Roman" w:cs="Times New Roman"/>
        </w:rPr>
        <w:fldChar w:fldCharType="separate"/>
      </w:r>
      <w:r w:rsidR="00C148FC" w:rsidRPr="00C148FC">
        <w:rPr>
          <w:rFonts w:ascii="Times New Roman" w:hAnsi="Times New Roman" w:cs="Times New Roman"/>
          <w:noProof/>
        </w:rPr>
        <w:t>(Nichols et al. 1993)</w:t>
      </w:r>
      <w:r w:rsidRPr="008D233F">
        <w:rPr>
          <w:rFonts w:ascii="Times New Roman" w:hAnsi="Times New Roman" w:cs="Times New Roman"/>
        </w:rPr>
        <w:fldChar w:fldCharType="end"/>
      </w:r>
      <w:r w:rsidR="00F427EA">
        <w:rPr>
          <w:rFonts w:ascii="Times New Roman" w:hAnsi="Times New Roman" w:cs="Times New Roman"/>
        </w:rPr>
        <w:t xml:space="preserve"> and has been shown to both precede and correlate with AD type pathology </w:t>
      </w:r>
      <w:r w:rsidRPr="008D233F">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"10.1016/j.ajpath.2011.05.047", "ISSN" : "1525-2191", "PMID" : "21777559", "abstract" : "Senile plaques are a prominent pathological feature of Alzheimer's disease (AD), but little is understood about the association of glial cells with plaques or about the dynamics of glial responses through the disease course. We investigated the progression of reactive glial cells and their relationship with AD pathological hallmarks to test whether glial cells are linked only to amyloid deposits or also to tangle deposition, thus integrating both lesions as a marker of disease severity. We conducted a quantitative stereology-based post-mortem study on the temporal neocortex of 15 control subjects without dementia and 91 patients with AD, including measures of amyloid load, neurofibrillary tangles, reactive astrocytes, and activated microglia. We also addressed the progression of glial responses in the vicinity (\u226450 \u03bcm) of dense-core plaques and tangles. Although the amyloid load reached a plateau early after symptom onset, astrocytosis and microgliosis increased linearly throughout the disease course. Moreover, glial responses correlated positively with tangle burden, whereas astrocytosis correlated negatively with cortical thickness. However, neither correlated with amyloid load. Glial responses increased linearly around existing plaques and in the vicinity of tangles. These results indicate that the progression of astrocytosis and microgliosis diverges from that of amyloid deposition, arguing against a straightforward relationship between glial cells and plaques. They also suggest that reactive glia might contribute to the ongoing neurodegeneration.", "author" : [ { "dropping-particle" : "", "family" : "Serrano-Pozo", "given" : "Alberto", "non-dropping-particle" : "", "parse-names" : false, "suffix" : "" }, { "dropping-particle" : "", "family" : "Mielke", "given" : "Matthew L", "non-dropping-particle" : "", "parse-names" : false, "suffix" : "" }, { "dropping-particle" : "", "family" : "G\u00f3mez-Isla", "given" : "Teresa", "non-dropping-particle" : "", "parse-names" : false, "suffix" : "" }, { "dropping-particle" : "", "family" : "Betensky", "given" : "Rebecca A", "non-dropping-particle" : "", "parse-names" : false, "suffix" : "" }, { "dropping-particle" : "", "family" : "Growdon", "given" : "John H", "non-dropping-particle" : "", "parse-names" : false, "suffix" : "" }, { "dropping-particle" : "", "family" : "Frosch", "given" : "Matthew P", "non-dropping-particle" : "", "parse-names" : false, "suffix" : "" }, { "dropping-particle" : "", "family" : "Hyman", "given" : "Bradley T", "non-dropping-particle" : "", "parse-names" : false, "suffix" : "" } ], "container-title" : "The American journal of pathology", "id" : "ITEM-1", "issue" : "3", "issued" : { "date-parts" : [ [ "2011", "9" ] ] }, "page" : "1373-84", "title" : "Reactive glia not only associates with plaques but also parallels tangles in Alzheimer's disease.", "type" : "article-journal", "volume" : "179" }, "uris" : [ "http://www.mendeley.com/documents/?uuid=5d017c0a-9f6f-4154-902c-fb14de6fd424" ] }, { "id" : "ITEM-2", "itemData" : { "DOI" : "10.1186/1742-2094-2-22", "ISSN" : "17422094", "abstract" : "Inflammation is suspected to contribute to the progression and severity of neurodegeneration in Alzheimer's disease (AD). Transgenic mice overexpressing the london mutant of amyloid precursor protein, APP [V717I], robustly recapitulate the amyloid pathology of AD. Early and late, temporal and spatial characteristics of inflammation were studied in APP [V717I] mice at 3 and 16 month of age. Glial activation and expression of inflammatory markers were determined by immunohistochemistry and RT-PCR. Amyloid deposition was assessed by immunohistochemistry, thioflavine S staining and western blot experiments. BACE1 activity was detected in brain lysates and in situ using the BACE1 activity kit from R&amp;D Systems, Wiesbaden, Germany. Foci of activated micro- and astroglia were already detected at age 3 months, before any amyloid deposition. Inflammation parameters comprised increased mRNA levels coding for interleukin-1\u03b2, interleukin-6, major histocompatibility complex II and macrophage-colony-stimulating-factor-receptor. Foci of CD11b-positive microglia expressed these cytokines and were neighbored by activated astrocytes. Remarkably, \u03b2-secretase (BACE1) mRNA, neuronal BACE1 protein at sites of focal inflammation and total BACE1 enzyme activity were increased in 3 month old APP transgenic mice, relative to age-matched non-transgenic mice. In aged APP transgenic mice, the mRNA of all inflammatory markers analysed was increased, accompanied by astroglial iNOS expression and NO-dependent peroxynitrite release, and with glial activation near almost all diffuse and senile A\u03b2 deposits. The early and focal glial activation, in conjunction with upregulated BACE1 mRNA, protein and activity in the presence of its substrate APP, is proposed to represent the earliest sites of amyloid deposition, likely evolving into amyloid plaques.", "author" : [ { "dropping-particle" : "", "family" : "Heneka", "given" : "Michael T", "non-dropping-particle" : "", "parse-names" : false, "suffix" : "" }, { "dropping-particle" : "", "family" : "Sastre", "given" : "Magdalena", "non-dropping-particle" : "", "parse-names" : false, "suffix" : "" }, { "dropping-particle" : "", "family" : "Dumitrescu-Ozimek", "given" : "Lucia", "non-dropping-particle" : "", "parse-names" : false, "suffix" : "" }, { "dropping-particle" : "", "family" : "Dewachter", "given" : "Ilse", "non-dropping-particle" : "", "parse-names" : false, "suffix" : "" }, { "dropping-particle" : "", "family" : "Walter", "given" : "Jochen", "non-dropping-particle" : "", "parse-names" : false, "suffix" : "" }, { "dropping-particle" : "", "family" : "Klockgether", "given" : "Thomas", "non-dropping-particle" : "", "parse-names" : false, "suffix" : "" }, { "dropping-particle" : "", "family" : "Leuven", "given" : "Fred", "non-dropping-particle" : "Van", "parse-names" : false, "suffix" : "" }, { "dropping-particle" : "", "family" : "Dingwall", "given" : "C", "non-dropping-particle" : "", "parse-names" : false, "suffix" : "" }, { "dropping-particle" : "", "family" : "Esler", "given" : "WP", "non-dropping-particle" : "", "parse-names" : false, "suffix" : "" }, { "dropping-particle" : "", "family" : "Wolfe", "given" : "MS", "non-dropping-particle" : "", "parse-names" : false, "suffix" : "" }, { "dropping-particle" : "", "family" : "Hsiao", "given" : "K", "non-dropping-particle" : "", "parse-names" : false, "suffix" : "" }, { "dropping-particle" : "", "family" : "Chapman", "given" : "P", "non-dropping-particle" : "", "parse-names" : false, "suffix" : "" }, { "dropping-particle" : "", "family" : "Nilsen", "given" : "S", "non-dropping-particle" : "", "parse-names" : false, "suffix" : "" }, { "dropping-particle" : "", "family" : "Eckman", "given" : "C", "non-dropping-particle" : "", "parse-names" : false, "suffix" : "" }, { "dropping-particle" : "", "family" : "Harigaya", "given" : "Y", "non-dropping-particle" : "", "parse-names" : false, "suffix" : "" }, { "dropping-particle" : "", "family" : "Younkin", "given" : "S", "non-dropping-particle" : "", "parse-names" : false, "suffix" : "" }, { "dropping-particle" : "", "family" : "Yang", "given" : "F", "non-dropping-particle" : "", "parse-names" : false, "suffix" : "" }, { "dropping-particle" : "", "family" : "Cole", "given" : "G", "non-dropping-particle" : "", "parse-names" : false, "suffix" : "" }, { "dropping-particle" : "", "family" : "Sturchler-Pierrat", "given" : "C", "non-dropping-particle" : "", "parse-names" : false, "suffix" : "" }, { "dropping-particle" : "", "family" : "Abramowski", "given" : "D", "non-dropping-particle" : "", "parse-names" : false, "suffix" : "" }, { "dropping-particle" : "", "family" : "Duke", "given" : "M", "non-dropping-particle" : "", "parse-names" : false, "suffix" : "" }, { "dropping-particle" : "", "family" : "Wiederhold", "given" : "KH", "non-dropping-particle" : "", "parse-names" : false, "suffix" : "" }, { "dropping-particle" : "", "family" : "Mistl", "given" : "C", "non-dropping-particle" : "", "parse-names" : false, "suffix" : "" }, { "dropping-particle" : "", "family" : "Rothacher", "given" : "S", "non-dropping-particle" : "", "parse-names" : false, "suffix" : "" }, { "dropping-particle" : "", "family" : "Ledermann", "given" : "B", "non-dropping-particle" : "", "parse-names" : false, "suffix" : "" }, { "dropping-particle" : "", "family" : "Burki", "given" : "K", "non-dropping-particle" : "", "parse-names" : false, "suffix" : "" }, { "dropping-particle" : "", "family" : "Frey", "given" : "P", "non-dropping-particle" : "", "parse-names" : false, "suffix" : "" }, { "dropping-particle" : "", "family" : "Paganetti", "given" : "PA", "non-dropping-particle" : "", "parse-names" : false, "suffix" : "" }, { "dropping-particle" : "", "family" : "Waridel", "given" : "C", "non-dropping-particle" : "", "parse-names" : false, "suffix" : "" }, { "dropping-particle" : "", "family" : "Calhoun", "given" : "ME", "non-dropping-particle" : "", "parse-names" : false, "suffix" : "" }, { "dropping-particle" : "", "family" : "Jucker", "given" : "M", "non-dropping-particle" : "", "parse-names" : false, "suffix" : "" }, { "dropping-particle" : "", "family" : "Probst", "given" : "A", "non-dropping-particle" : "", "parse-names" : false, "suffix" : "" }, { "dropping-particle" : "", "family" : "Staufenbiel", "given" : "M", "non-dropping-particle" : "", "parse-names" : false, "suffix" : "" }, { "dropping-particle" : "", "family" : "Sommer", "given" : "B", "non-dropping-particle" : "", "parse-names" : false, "suffix" : "" }, { "dropping-particle" : "", "family" : "Moechars", "given" : "D", "non-dropping-particle" : "", "parse-names" : false, "suffix" : "" }, { "dropping-particle" : "", "family" : "Dewachter", "given" : "I", "non-dropping-particle" : "", "parse-names" : false, "suffix" : "" }, { "dropping-particle" : "", "family" : "Lorent", "given" : "K", "non-dropping-particle" : "", "parse-names" : false, "suffix" : "" }, { "dropping-particle" : "", "family" : "Reverse", "given" : "D", "non-dropping-particle" : "", "parse-names" : false, "suffix" : "" }, { "dropping-particle" : "", "family" : "Baekelandt", "given" : "V", "non-dropping-particle" : "", "parse-names" : false, "suffix" : "" }, { "dropping-particle" : "", "family" : "Naidu", "given" : "A", "non-dropping-particle" : "", "parse-names" : false, "suffix" : "" }, { "dropping-particle" : "", "family" : "Tesseur", "given" : "I", "non-dropping-particle" : "", "parse-names" : false, "suffix" : "" }, { "dropping-particle" : "", "family" : "Spittaels", "given" : "K", "non-dropping-particle" : "", "parse-names" : false, "suffix" : "" }, { "dropping-particle" : "", "family" : "Haute", "given" : "CV", "non-dropping-particle" : "", "parse-names" : false, "suffix" : "" }, { "dropping-particle" : "", "family" : "Checler", "given" : "F", "non-dropping-particle" : "", "parse-names" : false, "suffix" : "" }, { "dropping-particle" : "", "family" : "Godaux", "given" : "E", "non-dropping-particle" : "", "parse-names" : false, "suffix" : "" }, { "dropping-particle" : "", "family" : "Cordell", "given" : "B", "non-dropping-particle" : "", "parse-names" : false, "suffix" : "" }, { "dropping-particle" : "Van", "family" : "Leuven", "given" : "F", "non-dropping-particle" : "", "parse-names" : false, "suffix" : "" }, { "dropping-particle" : "Van", "family" : "Dorpe", "given" : "J", "non-dropping-particle" : "", "parse-names" : false, "suffix" : "" }, { "dropping-particle" : "", "family" : "Smeijers", "given" : "L", "non-dropping-particle" : "", "parse-names" : false, "suffix" : "" }, { "dropping-particle" : "", "family" : "Dewachter", "given" : "I", "non-dropping-particle" : "", "parse-names" : false, "suffix" : "" }, { "dropping-particle" : "", "family" : "Nuyens", "given" : "D", "non-dropping-particle" : "", "parse-names" : false, "suffix" : "" }, { "dropping-particle" : "", "family" : "Spittaels", "given" : "K", "non-dropping-particle" : "", "parse-names" : false, "suffix" : "" }, { "dropping-particle" : "Van", "family" : "Den", "given" : "HC", "non-dropping-particle" : "", "parse-names" : false, "suffix" : "" }, { "dropping-particle" : "", "family" : "Mercken", "given" : "M", "non-dropping-particle" : "", "parse-names" : false, "suffix" : "" }, { "dropping-particle" : "", "family" : "Moechars", "given" : "D", "non-dropping-particle" : "", "parse-names" : false, "suffix" : "" }, { "dropping-particle" : "", "family" : "Laenen", "given" : "I", "non-dropping-particle" : "", "parse-names" : false, "suffix" : "" }, { "dropping-particle" : "", "family" : "Kuiperi", "given" : "C", "non-dropping-particle" : "", "parse-names" : false, "suffix" : "" }, { "dropping-particle" : "", "family" : "Bruynseels", "given" : "K", "non-dropping-particle" : "", "parse-names" : false, "suffix" : "" }, { "dropping-particle" : "", "family" : "Tesseur", "given" : "I", "non-dropping-particle" : "", "parse-names" : false, "suffix" : "" }, { "dropping-particle" : "", "family" : "Loos", "given" : "R", "non-dropping-particle" : "", "parse-names" : false, "suffix" : "" }, { "dropping-particle" : "", "family" : "Vanderstichele", "given" : "H", "non-dropping-particle" : "", "parse-names" : false, "suffix" : "" }, { "dropping-particle" : "", "family" : "Checler", "given" : "F", "non-dropping-particle" : "", "parse-names" : false, "suffix" : "" }, { "dropping-particle" : "", "family" : "Sciot", "given" : "R", "non-dropping-particle" : "", "parse-names" : false, "suffix" : "" }, { "dropping-particle" : "Van", "family" : "Leuven", "given" : "F", "non-dropping-particle" : "", "parse-names" : false, "suffix" : "" }, { "dropping-particle" : "", "family" : "Lamb", "given" : "BT", "non-dropping-particle" : "", "parse-names" : false, "suffix" : "" }, { "dropping-particle" : "", "family" : "Bardel", "given" : "KA", "non-dropping-particle" : "", "parse-names" : false, "suffix" : "" }, { "dropping-particle" : "", "family" : "Kulnane", "given" : "LS", "non-dropping-particle" : "", "parse-names" : false, "suffix" : "" }, { "dropping-particle" : "", "family" : "Anderson", "given" : "JJ", "non-dropping-particle" : "", "parse-names" : false, "suffix" : "" }, { "dropping-particle" : "", "family" : "Holtz", "given" : "G", "non-dropping-particle" : "", "parse-names" : false, "suffix" : "" }, { "dropping-particle" : "", "family" : "Wagner", "given" : "SL", "non-dropping-particle" : "", "parse-names" : false, "suffix" : "" }, { "dropping-particle" : "", "family" : "Sisodia", "given" : "SS", "non-dropping-particle" : "", "parse-names" : false, "suffix" : "" }, { "dropping-particle" : "", "family" : "Hoeger", "given" : "EJ", "non-dropping-particle" : "", "parse-names" : false, "suffix" : "" }, { "dropping-particle" : "", "family" : "McGeer", "given" : "PL", "non-dropping-particle" : "", "parse-names" : false, "suffix" : "" }, { "dropping-particle" : "", "family" : "Itagaki", "given" : "S", "non-dropping-particle" : "", "parse-names" : false, "suffix" : "" }, { "dropping-particle" : "", "family" : "Tago", "given" : "H", "non-dropping-particle" : "", "parse-names" : false, "suffix" : "" }, { "dropping-particle" : "", "family" : "McGeer", "given" : "EG", "non-dropping-particle" : "", "parse-names" : false, "suffix" : "" }, { "dropping-particle" : "", "family" : "Sastre", "given" : "M", "non-dropping-particle" : "", "parse-names" : false, "suffix" : "" }, { "dropping-particle" : "", "family" : "Dewachter", "given" : "I", "non-dropping-particle" : "", "parse-names" : false, "suffix" : "" }, { "dropping-particle" : "", "family" : "Landreth", "given" : "GE", "non-dropping-particle" : "", "parse-names" : false, "suffix" : "" }, { "dropping-particle" : "", "family" : "Willson", "given" : "TM", "non-dropping-particle" : "", "parse-names" : false, "suffix" : "" }, { "dropping-particle" : "", "family" : "Klockgether", "given" : "T", "non-dropping-particle" : "", "parse-names" : false, "suffix" : "" }, { "dropping-particle" : "Van", "family" : "Leuven", "given" : "F", "non-dropping-particle" : "", "parse-names" : false, "suffix" : "" }, { "dropping-particle" : "", "family" : "Heneka", "given" : "MT", "non-dropping-particle" : "", "parse-names" : false, "suffix" : "" }, { "dropping-particle" : "", "family" : "Fluhrer", "given" : "R", "non-dropping-particle" : "", "parse-names" : false, "suffix" : "" }, { "dropping-particle" : "", "family" : "Multhaup", "given" : "G", "non-dropping-particle" : "", "parse-names" : false, "suffix" : "" }, { "dropping-particle" : "", "family" : "Schlicksupp", "given" : "A", "non-dropping-particle" : "", "parse-names" : false, "suffix" : "" }, { "dropping-particle" : "", "family" : "Okochi", "given" : "M", "non-dropping-particle" : "", "parse-names" : false, "suffix" : "" }, { "dropping-particle" : "", "family" : "Takeda", "given" : "M", "non-dropping-particle" : "", "parse-names" : false, "suffix" : "" }, { "dropping-particle" : "", "family" : "Lammich", "given" : "S", "non-dropping-particle" : "", "parse-names" : false, "suffix" : "" }, { "dropping-particle" : "", "family" : "Willem", "given" : "M", "non-dropping-particle" : "", "parse-names" : false, "suffix" : "" }, { "dropping-particle" : "", "family" : "Westmeyer", "given" : "G", "non-dropping-particle" : "", "parse-names" : false, "suffix" : "" }, { "dropping-particle" : "", "family" : "Bode", "given" : "W", "non-dropping-particle" : "", "parse-names" : false, "suffix" : "" }, { "dropping-particle" : "", "family" : "Walter", "given" : "J", "non-dropping-particle" : "", "parse-names" : false, "suffix" : "" }, { "dropping-particle" : "", "family" : "Haass", "given" : "C", "non-dropping-particle" : "", "parse-names" : false, "suffix" : "" }, { "dropping-particle" : "", "family" : "Rossner", "given" : "S", "non-dropping-particle" : "", "parse-names" : false, "suffix" : "" }, { "dropping-particle" : "", "family" : "Apelt", "given" : "J", "non-dropping-particle" : "", "parse-names" : false, "suffix" : "" }, { "dropping-particle" : "", "family" : "Schliebs", "given" : "R", "non-dropping-particle" : "", "parse-names" : false, "suffix" : "" }, { "dropping-particle" : "", "family" : "Perez-Polo", "given" : "JR", "non-dropping-particle" : "", "parse-names" : false, "suffix" : "" }, { "dropping-particle" : "", "family" : "Bigl", "given" : "V", "non-dropping-particle" : "", "parse-names" : false, "suffix" : "" }, { "dropping-particle" : "", "family" : "Barger", "given" : "SW", "non-dropping-particle" : "", "parse-names" : false, "suffix" : "" }, { "dropping-particle" : "", "family" : "Harmon", "given" : "AD", "non-dropping-particle" : "", "parse-names" : false, "suffix" : "" }, { "dropping-particle" : "", "family" : "Blasko", "given" : "I", "non-dropping-particle" : "", "parse-names" : false, "suffix" : "" }, { "dropping-particle" : "", "family" : "Marx", "given" : "F", "non-dropping-particle" : "", "parse-names" : false, "suffix" : "" }, { "dropping-particle" : "", "family" : "Steiner", "given" : "E", "non-dropping-particle" : "", "parse-names" : false, "suffix" : "" }, { "dropping-particle" : "", "family" : "Hartmann", "given" : "T", "non-dropping-particle" : "", "parse-names" : false, "suffix" : "" }, { "dropping-particle" : "", "family" : "Grubeck-Loebenstein", "given" : "B", "non-dropping-particle" : "", "parse-names" : false, "suffix" : "" }, { "dropping-particle" : "", "family" : "Schenk", "given" : "D", "non-dropping-particle" : "", "parse-names" : false, "suffix" : "" }, { "dropping-particle" : "", "family" : "Barbour", "given" : "R", "non-dropping-particle" : "", "parse-names" : false, "suffix" : "" }, { "dropping-particle" : "", "family" : "Dunn", "given" : "W", "non-dropping-particle" : "", "parse-names" : false, "suffix" : "" }, { "dropping-particle" : "", "family" : "Gordon", "given" : "G", "non-dropping-particle" : "", "parse-names" : false, "suffix" : "" }, { "dropping-particle" : "", "family" : "Grajeda", "given" : "H", "non-dropping-particle" : "", "parse-names" : false, "suffix" : "" }, { "dropping-particle" : "", "family" : "Guido", "given" : "T", "non-dropping-particle" : "", "parse-names" : false, "suffix" : "" }, { "dropping-particle" : "", "family" : "Hu", "given" : "K", "non-dropping-particle" : "", "parse-names" : false, "suffix" : "" }, { "dropping-particle" : "", "family" : "Huang", "given" : "J", "non-dropping-particle" : "", "parse-names" : false, "suffix" : "" }, { "dropping-particle" : "", "family" : "Johnson-Wood", "given" : "K", "non-dropping-particle" : "", "parse-names" : false, "suffix" : "" }, { "dropping-particle" : "", "family" : "Khan", "given" : "K", "non-dropping-particle" : "", "parse-names" : false, "suffix" : "" }, { "dropping-particle" : "", "family" : "Kholodenko", "given" : "D", "non-dropping-particle" : "", "parse-names" : false, "suffix" : "" }, { "dropping-particle" : "", "family" : "Lee", "given" : "M", "non-dropping-particle" : "", "parse-names" : false, "suffix" : "" }, { "dropping-particle" : "", "family" : "Liao", "given" : "Z", "non-dropping-particle" : "", "parse-names" : false, "suffix" : "" }, { "dropping-particle" : "", "family" : "Lieberburg", "given" : "I", "non-dropping-particle" : "", "parse-names" : false, "suffix" : "" }, { "dropping-particle" : "", "family" : "Motter", "given" : "R", "non-dropping-particle" : "", "parse-names" : false, "suffix" : "" }, { "dropping-particle" : "", "family" : "Mutter", "given" : "L", "non-dropping-particle" : "", "parse-names" : false, "suffix" : "" }, { "dropping-particle" : "", "family" : "Soriano", "given" : "F", "non-dropping-particle" : "", "parse-names" : false, "suffix" : "" }, { "dropping-particle" : "", "family" : "Shopp", "given" : "G", "non-dropping-particle" : "", "parse-names" : false, "suffix" : "" }, { "dropping-particle" : "", "family" : "Vasquez", "given" : "N", "non-dropping-particle" : "", "parse-names" : false, "suffix" : "" }, { "dropping-particle" : "", "family" : "Vandevert", "given" : "C", "non-dropping-particle" : "", "parse-names" : false, "suffix" : "" }, { "dropping-particle" : "", "family" : "Walker", "given" : "S", "non-dropping-particle" : "", "parse-names" : false, "suffix" : "" }, { "dropping-particle" : "", "family" : "Wogulis", "given" : "M", "non-dropping-particle" : "", "parse-names" : false, "suffix" : "" }, { "dropping-particle" : "", "family" : "Yednock", "given" : "T", "non-dropping-particle" : "", "parse-names" : false, "suffix" : "" }, { "dropping-particle" : "", "family" : "Games", "given" : "D", "non-dropping-particle" : "", "parse-names" : false, "suffix" : "" }, { "dropping-particle" : "", "family" : "Seubert", "given" : "P", "non-dropping-particle" : "", "parse-names" : false, "suffix" : "" }, { "dropping-particle" : "", "family" : "Mehlhorn", "given" : "G", "non-dropping-particle" : "", "parse-names" : false, "suffix" : "" }, { "dropping-particle" : "", "family" : "Hollborn", "given" : "M", "non-dropping-particle" : "", "parse-names" : false, "suffix" : "" }, { "dropping-particle" : "", "family" : "Schliebs", "given" : "R", "non-dropping-particle" : "", "parse-names" : false, "suffix" : "" }, { "dropping-particle" : "", "family" : "Abbas", "given" : "N", "non-dropping-particle" : "", "parse-names" : false, "suffix" : "" }, { "dropping-particle" : "", "family" : "Bednar", "given" : "I", "non-dropping-particle" : "", "parse-names" : false, "suffix" : "" }, { "dropping-particle" : "", "family" : "Mix", "given" : "E", "non-dropping-particle" : "", "parse-names" : false, "suffix" : "" }, { "dropping-particle" : "", "family" : "Marie", "given" : "S", "non-dropping-particle" : "", "parse-names" : false, "suffix" : "" }, { "dropping-particle" : "", "family" : "Paterson", "given" : "D", "non-dropping-particle" : "", "parse-names" : false, "suffix" : "" }, { "dropping-particle" : "", "family" : "Ljungberg", "given" : "A", "non-dropping-particle" : "", "parse-names" : false, "suffix" : "" }, { "dropping-particle" : "", "family" : "Morris", "given" : "C", "non-dropping-particle" : "", "parse-names" : false, "suffix" : "" }, { "dropping-particle" : "", "family" : "Winblad", "given" : "B", "non-dropping-particle" : "", "parse-names" : false, "suffix" : "" }, { "dropping-particle" : "", "family" : "Nordberg", "given" : "A", "non-dropping-particle" : "", "parse-names" : false, "suffix" : "" }, { "dropping-particle" : "", "family" : "Zhu", "given" : "J", "non-dropping-particle" : "", "parse-names" : false, "suffix" : "" }, { "dropping-particle" : "", "family" : "Benzing", "given" : "WC", "non-dropping-particle" : "", "parse-names" : false, "suffix" : "" }, { "dropping-particle" : "", "family" : "Wujek", "given" : "JR", "non-dropping-particle" : "", "parse-names" : false, "suffix" : "" }, { "dropping-particle" : "", "family" : "Ward", "given" : "EK", "non-dropping-particle" : "", "parse-names" : false, "suffix" : "" }, { "dropping-particle" : "", "family" : "Shaffer", "given" : "D", "non-dropping-particle" : "", "parse-names" : false, "suffix" : "" }, { "dropping-particle" : "", "family" : "Ashe", "given" : "KH", "non-dropping-particle" : "", "parse-names" : false, "suffix" : "" }, { "dropping-particle" : "", "family" : "Younkin", "given" : "SG", "non-dropping-particle" : "", "parse-names" : false, "suffix" : "" }, { "dropping-particle" : "", "family" : "Brunden", "given" : "KR", "non-dropping-particle" : "", "parse-names" : false, "suffix" : "" }, { "dropping-particle" : "", "family" : "Apelt", "given" : "J", "non-dropping-particle" : "", "parse-names" : false, "suffix" : "" }, { "dropping-particle" : "", "family" : "Schliebs", "given" : "R", "non-dropping-particle" : "", "parse-names" : false, "suffix" : "" }, { "dropping-particle" : "", "family" : "Szczepanik", "given" : "AM", "non-dropping-particle" : "", "parse-names" : false, "suffix" : "" }, { "dropping-particle" : "", "family" : "Rampe", "given" : "D", "non-dropping-particle" : "", "parse-names" : false, "suffix" : "" }, { "dropping-particle" : "", "family" : "Ringheim", "given" : "GE", "non-dropping-particle" : "", "parse-names" : false, "suffix" : "" }, { "dropping-particle" : "", "family" : "Murray", "given" : "CA", "non-dropping-particle" : "", "parse-names" : false, "suffix" : "" }, { "dropping-particle" : "", "family" : "Lynch", "given" : "MA", "non-dropping-particle" : "", "parse-names" : false, "suffix" : "" }, { "dropping-particle" : "", "family" : "Tancredi", "given" : "V", "non-dropping-particle" : "", "parse-names" : false, "suffix" : "" }, { "dropping-particle" : "", "family" : "D", "given" : "M", "non-dropping-particle" : "", "parse-names" : false, "suffix" : "" }, { "dropping-particle" : "", "family" : "Graber", "given" : "HU", "non-dropping-particle" : "", "parse-names" : false, "suffix" : "" }, { "dropping-particle" : "", "family" : "Zurbriggen", "given" : "A", "non-dropping-particle" : "", "parse-names" : false, "suffix" : "" }, { "dropping-particle" : "", "family" : "Vandevelde", "given" : "M", "non-dropping-particle" : "", "parse-names" : false, "suffix" : "" }, { "dropping-particle" : "", "family" : "Bigl", "given" : "M", "non-dropping-particle" : "", "parse-names" : false, "suffix" : "" }, { "dropping-particle" : "", "family" : "Apelt", "given" : "J", "non-dropping-particle" : "", "parse-names" : false, "suffix" : "" }, { "dropping-particle" : "", "family" : "Luschekina", "given" : "EA", "non-dropping-particle" : "", "parse-names" : false, "suffix" : "" }, { "dropping-particle" : "", "family" : "Lange-Dohna", "given" : "C", "non-dropping-particle" : "", "parse-names" : false, "suffix" : "" }, { "dropping-particle" : "", "family" : "Rossner", "given" : "S", "non-dropping-particle" : "", "parse-names" : false, "suffix" : "" }, { "dropping-particle" : "", "family" : "Schliebs", "given" : "R", "non-dropping-particle" : "", "parse-names" : false, "suffix" : "" }, { "dropping-particle" : "", "family" : "Irizarry", "given" : "MC", "non-dropping-particle" : "", "parse-names" : false, "suffix" : "" }, { "dropping-particle" : "", "family" : "Locascio", "given" : "JJ", "non-dropping-particle" : "", "parse-names" : false, "suffix" : "" }, { "dropping-particle" : "", "family" : "Hyman", "given" : "BT", "non-dropping-particle" : "", "parse-names" : false, "suffix" : "" } ], "container-title" : "Journal of Neuroinflammation", "id" : "ITEM-2", "issue" : "1", "issued" : { "date-parts" : [ [ "2005" ] ] }, "page" : "22", "publisher" : "BioMed Central", "title" : "Focal glial activation coincides with increased BACE1 activation and precedes amyloid plaque deposition in APP[V717I] transgenic mice", "type" : "article-journal", "volume" : "2" }, "uris" : [ "http://www.mendeley.com/documents/?uuid=39bc724a-36d6-3758-8c90-2441b0ccb296" ] }, { "id" : "ITEM-3", "itemData" : { "DOI" : "10.2967/jnumed.110.087031", "ISSN" : "0161-5505", "author" : [ { "dropping-particle" : "", "family" : "Carter", "given" : "S. F.", "non-dropping-particle" : "", "parse-names" : false, "suffix" : "" }, { "dropping-particle" : "", "family" : "Scholl", "given" : "M.", "non-dropping-particle" : "", "parse-names" : false, "suffix" : "" }, { "dropping-particle" : "", "family" : "Almkvist", "given" : "O.", "non-dropping-particle" : "", "parse-names" : false, "suffix" : "" }, { "dropping-particle" : "", "family" : "Wall", "given" : "A.", "non-dropping-particle" : "", "parse-names" : false, "suffix" : "" }, { "dropping-particle" : "", "family" : "Engler", "given" : "H.", "non-dropping-particle" : "", "parse-names" : false, "suffix" : "" }, { "dropping-particle" : "", "family" : "Langstrom", "given" : "B.", "non-dropping-particle" : "", "parse-names" : false, "suffix" : "" }, { "dropping-particle" : "", "family" : "Nordberg", "given" : "A.", "non-dropping-particle" : "", "parse-names" : false, "suffix" : "" } ], "container-title" : "Journal of Nuclear Medicine", "id" : "ITEM-3", "issue" : "1", "issued" : { "date-parts" : [ [ "2012", "1", "1" ] ] }, "page" : "37-46", "publisher" : "Society of Nuclear Medicine", "title" : "Evidence for Astrocytosis in Prodromal Alzheimer Disease Provided by 11C-Deuterium-L-Deprenyl: A Multitracer PET Paradigm Combining 11C-Pittsburgh Compound B and 18F-FDG", "type" : "article-journal", "volume" : "53" }, "uris" : [ "http://www.mendeley.com/documents/?uuid=cefd35ca-3a3f-340f-b2b7-8eb8734e815e" ] } ], "mendeley" : { "formattedCitation" : "(Serrano-Pozo et al. 2011; Heneka et al. 2005; Carter et al. 2012)", "plainTextFormattedCitation" : "(Serrano-Pozo et al. 2011; Heneka et al. 2005; Carter et al. 2012)", "previouslyFormattedCitation" : "(Serrano-Pozo et al. 2011; Heneka et al. 2005; Carter et al. 2012)" }, "properties" : { "noteIndex" : 0 }, "schema" : "https://github.com/citation-style-language/schema/raw/master/csl-citation.json" }</w:instrText>
      </w:r>
      <w:r w:rsidRPr="008D233F">
        <w:rPr>
          <w:rFonts w:ascii="Times New Roman" w:hAnsi="Times New Roman" w:cs="Times New Roman"/>
        </w:rPr>
        <w:fldChar w:fldCharType="separate"/>
      </w:r>
      <w:r w:rsidR="00C148FC" w:rsidRPr="00C148FC">
        <w:rPr>
          <w:rFonts w:ascii="Times New Roman" w:hAnsi="Times New Roman" w:cs="Times New Roman"/>
          <w:noProof/>
        </w:rPr>
        <w:t>(Serrano-Pozo et al. 2011; Heneka et al. 2005; Carter et al. 2012)</w:t>
      </w:r>
      <w:r w:rsidRPr="008D233F">
        <w:rPr>
          <w:rFonts w:ascii="Times New Roman" w:hAnsi="Times New Roman" w:cs="Times New Roman"/>
        </w:rPr>
        <w:fldChar w:fldCharType="end"/>
      </w:r>
      <w:r w:rsidRPr="008D233F">
        <w:rPr>
          <w:rFonts w:ascii="Times New Roman" w:hAnsi="Times New Roman" w:cs="Times New Roman"/>
        </w:rPr>
        <w:t xml:space="preserve">. Interestingly, AD resilient subjects with normal cognitive function but high plaque and tangle burden have been shown to have a higher density of reactive astrocytes versus demented individuals with a high plaque and tangle density </w:t>
      </w:r>
      <w:r w:rsidRPr="008D233F">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"10.1016/j.neurobiolaging.2012.03.004", "ISSN" : "1558-1497", "PMID" : "22554416", "abstract" : "Although neuritic plaques and neurofibrillary tangles in older adults are correlated with cognitive impairment and severity of dementia, it has long been recognized that the relationship is imperfect, as some people exhibit normal cognition despite high levels of Alzheimer's disease (AD) pathology. We compared the cellular, synaptic, and biochemical composition of midfrontal cortices in female subjects from the Religious Orders Study who were stratified into three subgroups: (1) pathological AD with normal cognition (\"AD-Resilient\"), (2) pathological AD with AD-typical dementia (\"AD-Dementia\"), and (3) pathologically normal with normal cognition (\"Normal Comparison\"). The AD-Resilient group exhibited preserved densities of synaptophysin-labeled presynaptic terminals and synaptopodin-labeled dendritic spines compared with the AD-Dementia group, and increased densities of glial fibrillary acidic protein astrocytes compared with both the AD-Dementia and Normal Comparison groups. Further, in a discovery-type antibody microarray protein analysis, we identified a number of candidate protein abnormalities that were associated with a particular diagnostic group. These data characterize cellular and synaptic features and identify novel biochemical targets that may be associated with resilient cognitive brain aging in the setting of pathological AD.", "author" : [ { "dropping-particle" : "", "family" : "Arnold", "given" : "Steven E", "non-dropping-particle" : "", "parse-names" : false, "suffix" : "" }, { "dropping-particle" : "", "family" : "Louneva", "given" : "Natalia", "non-dropping-particle" : "", "parse-names" : false, "suffix" : "" }, { "dropping-particle" : "", "family" : "Cao", "given" : "Kajia", "non-dropping-particle" : "", "parse-names" : false, "suffix" : "" }, { "dropping-particle" : "", "family" : "Wang", "given" : "Li-San", "non-dropping-particle" : "", "parse-names" : false, "suffix" : "" }, { "dropping-particle" : "", "family" : "Han", "given" : "Li-Ying", "non-dropping-particle" : "", "parse-names" : false, "suffix" : "" }, { "dropping-particle" : "", "family" : "Wolk", "given" : "David A", "non-dropping-particle" : "", "parse-names" : false, "suffix" : "" }, { "dropping-particle" : "", "family" : "Negash", "given" : "Selamawit", "non-dropping-particle" : "", "parse-names" : false, "suffix" : "" }, { "dropping-particle" : "", "family" : "Leurgans", "given" : "Sue E", "non-dropping-particle" : "", "parse-names" : false, "suffix" : "" }, { "dropping-particle" : "", "family" : "Schneider", "given" : "Julie A", "non-dropping-particle" : "", "parse-names" : false, "suffix" : "" }, { "dropping-particle" : "", "family" : "Buchman", "given" : "Aron S", "non-dropping-particle" : "", "parse-names" : false, "suffix" : "" }, { "dropping-particle" : "", "family" : "Wilson", "given" : "Robert S", "non-dropping-particle" : "", "parse-names" : false, "suffix" : "" }, { "dropping-particle" : "", "family" : "Bennett", "given" : "David A", "non-dropping-particle" : "", "parse-names" : false, "suffix" : "" } ], "container-title" : "Neurobiology of aging", "id" : "ITEM-1", "issue" : "1", "issued" : { "date-parts" : [ [ "2013", "1", "1" ] ] }, "page" : "157-68", "publisher" : "Elsevier", "title" : "Cellular, synaptic, and biochemical features of resilient cognition in Alzheimer's disease.", "type" : "article-journal", "volume" : "34" }, "uris" : [ "http://www.mendeley.com/documents/?uuid=c3038a8a-bb1e-4d9f-b712-b00196dbc39c" ] } ], "mendeley" : { "formattedCitation" : "(Arnold et al. 2013)", "plainTextFormattedCitation" : "(Arnold et al. 2013)", "previouslyFormattedCitation" : "(Arnold et al. 2013)" }, "properties" : { "noteIndex" : 0 }, "schema" : "https://github.com/citation-style-language/schema/raw/master/csl-citation.json" }</w:instrText>
      </w:r>
      <w:r w:rsidRPr="008D233F">
        <w:rPr>
          <w:rFonts w:ascii="Times New Roman" w:hAnsi="Times New Roman" w:cs="Times New Roman"/>
        </w:rPr>
        <w:fldChar w:fldCharType="separate"/>
      </w:r>
      <w:r w:rsidR="00C148FC" w:rsidRPr="00C148FC">
        <w:rPr>
          <w:rFonts w:ascii="Times New Roman" w:hAnsi="Times New Roman" w:cs="Times New Roman"/>
          <w:noProof/>
        </w:rPr>
        <w:t>(Arnold et al. 2013)</w:t>
      </w:r>
      <w:r w:rsidRPr="008D233F">
        <w:rPr>
          <w:rFonts w:ascii="Times New Roman" w:hAnsi="Times New Roman" w:cs="Times New Roman"/>
        </w:rPr>
        <w:fldChar w:fldCharType="end"/>
      </w:r>
      <w:r w:rsidRPr="008D233F">
        <w:rPr>
          <w:rFonts w:ascii="Times New Roman" w:hAnsi="Times New Roman" w:cs="Times New Roman"/>
        </w:rPr>
        <w:t xml:space="preserve">. This suggests a neuroprotective capacity of the reactive astrocytes and also that there are age-related factors and changes in glia that add complexities to a once solely considered tangle and plaque causing disease.   </w:t>
      </w:r>
    </w:p>
    <w:p w14:paraId="345CEAFA" w14:textId="77777777" w:rsidR="00722323" w:rsidRDefault="00722323" w:rsidP="005A5A97">
      <w:pPr>
        <w:spacing w:line="360" w:lineRule="auto"/>
        <w:rPr>
          <w:rFonts w:ascii="Times New Roman" w:hAnsi="Times New Roman" w:cs="Times New Roman"/>
        </w:rPr>
      </w:pPr>
    </w:p>
    <w:p w14:paraId="4DAF74F3" w14:textId="77777777" w:rsidR="005A5A97" w:rsidRDefault="005A5A97" w:rsidP="005A5A97">
      <w:pPr>
        <w:pStyle w:val="Heading3"/>
      </w:pPr>
      <w:bookmarkStart w:id="241" w:name="_Toc331425880"/>
      <w:bookmarkStart w:id="242" w:name="_Toc331427067"/>
      <w:bookmarkStart w:id="243" w:name="_Toc331427439"/>
      <w:bookmarkStart w:id="244" w:name="_Toc331427581"/>
      <w:bookmarkStart w:id="245" w:name="_Toc332972585"/>
      <w:bookmarkStart w:id="246" w:name="_Toc333046865"/>
      <w:bookmarkStart w:id="247" w:name="_Toc333477212"/>
      <w:bookmarkStart w:id="248" w:name="_Toc333477982"/>
      <w:bookmarkStart w:id="249" w:name="_Toc333644882"/>
      <w:r>
        <w:t>1.4.1 Reactive astrocytes</w:t>
      </w:r>
      <w:bookmarkEnd w:id="241"/>
      <w:bookmarkEnd w:id="242"/>
      <w:bookmarkEnd w:id="243"/>
      <w:bookmarkEnd w:id="244"/>
      <w:bookmarkEnd w:id="245"/>
      <w:bookmarkEnd w:id="246"/>
      <w:bookmarkEnd w:id="247"/>
      <w:bookmarkEnd w:id="248"/>
      <w:bookmarkEnd w:id="249"/>
    </w:p>
    <w:p w14:paraId="53BCDDA8" w14:textId="77777777" w:rsidR="00055CE9" w:rsidRPr="00055CE9" w:rsidRDefault="00055CE9" w:rsidP="00055CE9"/>
    <w:p w14:paraId="5B25F0FF" w14:textId="081D1623" w:rsidR="008D233F" w:rsidRPr="004679DE" w:rsidRDefault="0080555C" w:rsidP="00EF2AF4">
      <w:pPr>
        <w:pStyle w:val="Body"/>
        <w:spacing w:line="360" w:lineRule="auto"/>
        <w:jc w:val="both"/>
        <w:rPr>
          <w:rFonts w:ascii="Times New Roman" w:hAnsi="Times New Roman" w:cs="Times New Roman"/>
          <w:color w:val="FF0000"/>
          <w:sz w:val="24"/>
          <w:szCs w:val="24"/>
        </w:rPr>
      </w:pPr>
      <w:r>
        <w:rPr>
          <w:rFonts w:ascii="Times New Roman" w:hAnsi="Times New Roman" w:cs="Times New Roman"/>
          <w:color w:val="auto"/>
          <w:sz w:val="24"/>
          <w:szCs w:val="24"/>
        </w:rPr>
        <w:t xml:space="preserve">Astrocytes are dynamic cells that undergo morphological and functional changes in response to </w:t>
      </w:r>
      <w:r w:rsidR="00BB4CEC">
        <w:rPr>
          <w:rFonts w:ascii="Times New Roman" w:hAnsi="Times New Roman" w:cs="Times New Roman"/>
          <w:color w:val="auto"/>
          <w:sz w:val="24"/>
          <w:szCs w:val="24"/>
        </w:rPr>
        <w:t>alterations</w:t>
      </w:r>
      <w:r>
        <w:rPr>
          <w:rFonts w:ascii="Times New Roman" w:hAnsi="Times New Roman" w:cs="Times New Roman"/>
          <w:color w:val="auto"/>
          <w:sz w:val="24"/>
          <w:szCs w:val="24"/>
        </w:rPr>
        <w:t xml:space="preserve"> in the extracellular environment. </w:t>
      </w:r>
      <w:r w:rsidR="00E916BE">
        <w:rPr>
          <w:rFonts w:ascii="Times New Roman" w:hAnsi="Times New Roman" w:cs="Times New Roman"/>
          <w:color w:val="auto"/>
          <w:sz w:val="24"/>
          <w:szCs w:val="24"/>
        </w:rPr>
        <w:t>This change to a “reactive” state is typically defined by</w:t>
      </w:r>
      <w:r w:rsidR="00733FFD">
        <w:rPr>
          <w:rFonts w:ascii="Times New Roman" w:hAnsi="Times New Roman" w:cs="Times New Roman"/>
          <w:color w:val="auto"/>
          <w:sz w:val="24"/>
          <w:szCs w:val="24"/>
        </w:rPr>
        <w:t xml:space="preserve"> increased expression of </w:t>
      </w:r>
      <w:r w:rsidR="00F21037">
        <w:rPr>
          <w:rFonts w:ascii="Times New Roman" w:hAnsi="Times New Roman" w:cs="Times New Roman"/>
          <w:color w:val="auto"/>
          <w:sz w:val="24"/>
          <w:szCs w:val="24"/>
        </w:rPr>
        <w:t xml:space="preserve">the </w:t>
      </w:r>
      <w:r w:rsidR="00733FFD">
        <w:rPr>
          <w:rFonts w:ascii="Times New Roman" w:hAnsi="Times New Roman" w:cs="Times New Roman"/>
          <w:color w:val="auto"/>
          <w:sz w:val="24"/>
          <w:szCs w:val="24"/>
        </w:rPr>
        <w:t xml:space="preserve">intermediate filaments </w:t>
      </w:r>
      <w:r w:rsidR="00D303A5">
        <w:rPr>
          <w:rFonts w:ascii="Times New Roman" w:hAnsi="Times New Roman" w:cs="Times New Roman"/>
          <w:color w:val="auto"/>
          <w:sz w:val="24"/>
          <w:szCs w:val="24"/>
        </w:rPr>
        <w:t>glial fibrillary acidic protein (</w:t>
      </w:r>
      <w:r w:rsidR="00733FFD">
        <w:rPr>
          <w:rFonts w:ascii="Times New Roman" w:hAnsi="Times New Roman" w:cs="Times New Roman"/>
          <w:color w:val="auto"/>
          <w:sz w:val="24"/>
          <w:szCs w:val="24"/>
        </w:rPr>
        <w:t>GFA</w:t>
      </w:r>
      <w:r w:rsidR="003607EE">
        <w:rPr>
          <w:rFonts w:ascii="Times New Roman" w:hAnsi="Times New Roman" w:cs="Times New Roman"/>
          <w:color w:val="auto"/>
          <w:sz w:val="24"/>
          <w:szCs w:val="24"/>
        </w:rPr>
        <w:t>P</w:t>
      </w:r>
      <w:r w:rsidR="00D303A5">
        <w:rPr>
          <w:rFonts w:ascii="Times New Roman" w:hAnsi="Times New Roman" w:cs="Times New Roman"/>
          <w:color w:val="auto"/>
          <w:sz w:val="24"/>
          <w:szCs w:val="24"/>
        </w:rPr>
        <w:t>)</w:t>
      </w:r>
      <w:r w:rsidR="00E030EB">
        <w:rPr>
          <w:rFonts w:ascii="Times New Roman" w:hAnsi="Times New Roman" w:cs="Times New Roman"/>
          <w:color w:val="auto"/>
          <w:sz w:val="24"/>
          <w:szCs w:val="24"/>
        </w:rPr>
        <w:t xml:space="preserve"> and </w:t>
      </w:r>
      <w:r w:rsidR="00E030EB" w:rsidRPr="002C4D5C">
        <w:rPr>
          <w:rFonts w:ascii="Times New Roman" w:hAnsi="Times New Roman" w:cs="Times New Roman"/>
          <w:color w:val="auto"/>
          <w:sz w:val="24"/>
          <w:szCs w:val="24"/>
        </w:rPr>
        <w:t>vimentin</w:t>
      </w:r>
      <w:r w:rsidR="002C4D5C" w:rsidRPr="002C4D5C">
        <w:rPr>
          <w:rFonts w:ascii="Times New Roman" w:hAnsi="Times New Roman" w:cs="Times New Roman"/>
          <w:color w:val="auto"/>
          <w:sz w:val="24"/>
          <w:szCs w:val="24"/>
        </w:rPr>
        <w:t xml:space="preserve"> </w:t>
      </w:r>
      <w:r w:rsidR="002C4D5C" w:rsidRPr="002C4D5C">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"10.1016/0306-4522(86)90050-3", "ISSN" : "03064522", "abstract" : "A rabbit antiserum against purified bovine brain S-100b protein was produced and characterized by immunoassay and immunoblot analysis of electrophoretically resolved soluble brain proteins. Fluorescent immunohistochemistry was conducted in order to determine the cellular localization of the S-100b immunoreactivity. Double immunohistofluorescent experiments on adult rat brain tissue sections with the rabbit antiserum to S-100b and a rat monoclonal antibody to the glial fibrillary acidic protein resulted in immunolabelling of the same cells. This finding determines a strict astroglial localization of the S-100b immunoreactivity. In addition, the immunolabelling of astrocyte perikarya and processes by the S-100b immunohistochemistry is consistant with a cytoplasmic location of S-100b. In contrast, the glial fibrillary acidic protein immunohistochemistry predominantly labeled the fine fibrillary processes of the cells. The present report suggests that S-100b immunohistochemistry is of use for the specific identification and morphological description of astrocytes in the rat brain.", "author" : [ { "dropping-particle" : "", "family" : "Boyes", "given" : "B.E.", "non-dropping-particle" : "", "parse-names" : false, "suffix" : "" }, { "dropping-particle" : "", "family" : "KiM", "given" : "S.U.", "non-dropping-particle" : "", "parse-names" : false, "suffix" : "" }, { "dropping-particle" : "", "family" : "Lee", "given" : "V.", "non-dropping-particle" : "", "parse-names" : false, "suffix" : "" }, { "dropping-particle" : "", "family" : "Sung", "given" : "S.C.", "non-dropping-particle" : "", "parse-names" : false, "suffix" : "" } ], "container-title" : "Neuroscience", "id" : "ITEM-1", "issue" : "3", "issued" : { "date-parts" : [ [ "1986" ] ] }, "page" : "857-865", "title" : "Immunohistochemical co-localization of S-100b and the glial fibrillary acidic protein in rat brain", "type" : "article-journal", "volume" : "17" }, "uris" : [ "http://www.mendeley.com/documents/?uuid=1cc78c80-e2ef-3cb7-8d97-f78f5f9a3854" ] }, { "id" : "ITEM-2", "itemData" : { "DOI" : "10.1016/S0166-2236(97)01139-9", "ISSN" : "01662236", "abstract" : "For several decades, the reactive gliosis that occurs after an injury to the CNS has been considered one of the major impediments to axonal regeneration. Nevertheless, recent studies have suggested that in certain conditions, reactive astrocytes may provide a permissive substratum to support axonal regrowth. The important criteria, allowing for the distinction between permissive and non-permissive gliosis, are the ultrastructural 3D organization of the scar and more importantly the recognition molecules expressed by reactive astrocytes. Reactive astrocytes express surface molecules and produce various neurotrophic factors and cytokines. The latter in turn might modulate the production of recognition molecules by reactive astrocytes, allowing them to support post-lesional axonal regrowth. Although numerous recent articles have focused on cytokines and cell adhesion molecules, scant attention has been paid to reactive astrocytes. Reactive astrocytes should be considered a key element, like neurons, of a dynamic environment, thus forming with neurons a functional unit involved in homeostasis, plasticity and neurotransmission. Attempts are in progress to identify molecular markers for reactive astrocytes.", "author" : [ { "dropping-particle" : "", "family" : "Ridet", "given" : "J.L.", "non-dropping-particle" : "", "parse-names" : false, "suffix" : "" }, { "dropping-particle" : "", "family" : "Privat", "given" : "A.", "non-dropping-particle" : "", "parse-names" : false, "suffix" : "" }, { "dropping-particle" : "", "family" : "Malhotra", "given" : "S.K.", "non-dropping-particle" : "", "parse-names" : false, "suffix" : "" }, { "dropping-particle" : "", "family" : "Gage", "given" : "F.H.", "non-dropping-particle" : "", "parse-names" : false, "suffix" : "" } ], "container-title" : "Trends in Neurosciences", "id" : "ITEM-2", "issue" : "12", "issued" : { "date-parts" : [ [ "1997" ] ] }, "page" : "570-577", "title" : "Reactive astrocytes: cellular and molecular cues to biological function", "type" : "article-journal", "volume" : "20" }, "uris" : [ "http://www.mendeley.com/documents/?uuid=aaf25a41-b8ee-3da2-b672-353386f8ce46" ] } ], "mendeley" : { "formattedCitation" : "(Boyes et al. 1986; Ridet et al. 1997)", "plainTextFormattedCitation" : "(Boyes et al. 1986; Ridet et al. 1997)", "previouslyFormattedCitation" : "(Boyes et al. 1986; Ridet et al. 1997)" }, "properties" : { "noteIndex" : 0 }, "schema" : "https://github.com/citation-style-language/schema/raw/master/csl-citation.json" }</w:instrText>
      </w:r>
      <w:r w:rsidR="002C4D5C" w:rsidRPr="002C4D5C">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(Boyes et al. 1986; Ridet et al. 1997)</w:t>
      </w:r>
      <w:r w:rsidR="002C4D5C" w:rsidRPr="002C4D5C">
        <w:rPr>
          <w:rFonts w:ascii="Times New Roman" w:hAnsi="Times New Roman" w:cs="Times New Roman"/>
          <w:color w:val="auto"/>
          <w:sz w:val="24"/>
          <w:szCs w:val="24"/>
        </w:rPr>
        <w:fldChar w:fldCharType="end"/>
      </w:r>
      <w:r w:rsidR="002C4D5C">
        <w:rPr>
          <w:rFonts w:ascii="Times New Roman" w:hAnsi="Times New Roman" w:cs="Times New Roman"/>
          <w:color w:val="auto"/>
          <w:sz w:val="24"/>
          <w:szCs w:val="24"/>
        </w:rPr>
        <w:t xml:space="preserve"> </w:t>
      </w:r>
      <w:r w:rsidR="00E030EB" w:rsidRPr="002C4D5C">
        <w:rPr>
          <w:rFonts w:ascii="Times New Roman" w:hAnsi="Times New Roman" w:cs="Times New Roman"/>
          <w:color w:val="auto"/>
          <w:sz w:val="24"/>
          <w:szCs w:val="24"/>
        </w:rPr>
        <w:t>as well as</w:t>
      </w:r>
      <w:r w:rsidR="003607EE" w:rsidRPr="002C4D5C">
        <w:rPr>
          <w:rFonts w:ascii="Times New Roman" w:hAnsi="Times New Roman" w:cs="Times New Roman"/>
          <w:color w:val="auto"/>
          <w:sz w:val="24"/>
          <w:szCs w:val="24"/>
        </w:rPr>
        <w:t xml:space="preserve"> hypertrophy</w:t>
      </w:r>
      <w:r w:rsidR="003B127B" w:rsidRPr="002C4D5C">
        <w:rPr>
          <w:rFonts w:ascii="Times New Roman" w:hAnsi="Times New Roman" w:cs="Times New Roman"/>
          <w:color w:val="auto"/>
          <w:sz w:val="24"/>
          <w:szCs w:val="24"/>
        </w:rPr>
        <w:t xml:space="preserve"> of the cell soma and processes</w:t>
      </w:r>
      <w:r w:rsidR="00E030EB" w:rsidRPr="002C4D5C">
        <w:rPr>
          <w:rFonts w:ascii="Times New Roman" w:hAnsi="Times New Roman" w:cs="Times New Roman"/>
          <w:color w:val="auto"/>
          <w:sz w:val="24"/>
          <w:szCs w:val="24"/>
        </w:rPr>
        <w:t xml:space="preserve"> (an increase in cell volume)</w:t>
      </w:r>
      <w:r w:rsidR="007B2E15" w:rsidRPr="002C4D5C">
        <w:rPr>
          <w:rFonts w:ascii="Times New Roman" w:hAnsi="Times New Roman" w:cs="Times New Roman"/>
          <w:color w:val="auto"/>
          <w:sz w:val="24"/>
          <w:szCs w:val="24"/>
        </w:rPr>
        <w:t xml:space="preserve">. </w:t>
      </w:r>
      <w:r w:rsidR="003607EE" w:rsidRPr="002C4D5C">
        <w:rPr>
          <w:rFonts w:ascii="Times New Roman" w:hAnsi="Times New Roman" w:cs="Times New Roman"/>
          <w:color w:val="auto"/>
          <w:sz w:val="24"/>
          <w:szCs w:val="24"/>
        </w:rPr>
        <w:t>There are sev</w:t>
      </w:r>
      <w:r w:rsidR="003607EE">
        <w:rPr>
          <w:rFonts w:ascii="Times New Roman" w:hAnsi="Times New Roman" w:cs="Times New Roman"/>
          <w:color w:val="auto"/>
          <w:sz w:val="24"/>
          <w:szCs w:val="24"/>
        </w:rPr>
        <w:t>eral levels of astrocyte reactivity depending on the type and extent of stimulus</w:t>
      </w:r>
      <w:r w:rsidR="00E55337">
        <w:rPr>
          <w:rFonts w:ascii="Times New Roman" w:hAnsi="Times New Roman" w:cs="Times New Roman"/>
          <w:color w:val="auto"/>
          <w:sz w:val="24"/>
          <w:szCs w:val="24"/>
        </w:rPr>
        <w:t xml:space="preserve"> </w:t>
      </w:r>
      <w:r w:rsidR="00E55337">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"10.1007/s00401-009-0619-8", "ISSN" : "1432-0533", "PMID" : "20012068", "abstract" : "Astrocytes are specialized glial cells that outnumber neurons by over fivefold. They contiguously tile the entire central nervous system (CNS) and exert many essential complex functions in the healthy CNS. Astrocytes respond to all forms of CNS insults through a process referred to as reactive astrogliosis, which has become a pathological hallmark of CNS structural lesions. Substantial progress has been made recently in determining functions and mechanisms of reactive astrogliosis and in identifying roles of astrocytes in CNS disorders and pathologies. A vast molecular arsenal at the disposal of reactive astrocytes is being defined. Transgenic mouse models are dissecting specific aspects of reactive astrocytosis and glial scar formation in vivo. Astrocyte involvement in specific clinicopathological entities is being defined. It is now clear that reactive astrogliosis is not a simple all-or-none phenomenon but is a finely gradated continuum of changes that occur in context-dependent manners regulated by specific signaling events. These changes range from reversible alterations in gene expression and cell hypertrophy with preservation of cellular domains and tissue structure, to long-lasting scar formation with rearrangement of tissue structure. Increasing evidence points towards the potential of reactive astrogliosis to play either primary or contributing roles in CNS disorders via loss of normal astrocyte functions or gain of abnormal effects. This article reviews (1) astrocyte functions in healthy CNS, (2) mechanisms and functions of reactive astrogliosis and glial scar formation, and (3) ways in which reactive astrocytes may cause or contribute to specific CNS disorders and lesions.", "author" : [ { "dropping-particle" : "V", "family" : "Sofroniew", "given" : "Michael", "non-dropping-particle" : "", "parse-names" : false, "suffix" : "" }, { "dropping-particle" : "V", "family" : "Vinters", "given" : "Harry", "non-dropping-particle" : "", "parse-names" : false, "suffix" : "" } ], "container-title" : "Acta neuropathologica", "id" : "ITEM-1", "issue" : "1", "issued" : { "date-parts" : [ [ "2010", "1" ] ] }, "page" : "7-35", "title" : "Astrocytes: biology and pathology.", "type" : "article-journal", "volume" : "119" }, "uris" : [ "http://www.mendeley.com/documents/?uuid=bf2ee37c-8e17-46aa-bdfc-f927d7b6a5a6" ] } ], "mendeley" : { "formattedCitation" : "(Sofroniew &amp; Vinters 2010)", "plainTextFormattedCitation" : "(Sofroniew &amp; Vinters 2010)", "previouslyFormattedCitation" : "(Sofroniew &amp; Vinters 2010)" }, "properties" : { "noteIndex" : 0 }, "schema" : "https://github.com/citation-style-language/schema/raw/master/csl-citation.json" }</w:instrText>
      </w:r>
      <w:r w:rsidR="00E55337">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(Sofroniew &amp; Vinters 2010)</w:t>
      </w:r>
      <w:r w:rsidR="00E55337">
        <w:rPr>
          <w:rFonts w:ascii="Times New Roman" w:hAnsi="Times New Roman" w:cs="Times New Roman"/>
          <w:color w:val="auto"/>
          <w:sz w:val="24"/>
          <w:szCs w:val="24"/>
        </w:rPr>
        <w:fldChar w:fldCharType="end"/>
      </w:r>
      <w:r w:rsidR="003607EE">
        <w:rPr>
          <w:rFonts w:ascii="Times New Roman" w:hAnsi="Times New Roman" w:cs="Times New Roman"/>
          <w:color w:val="auto"/>
          <w:sz w:val="24"/>
          <w:szCs w:val="24"/>
        </w:rPr>
        <w:t>. Moderate reactivity is often associated w</w:t>
      </w:r>
      <w:r w:rsidR="00F377A9">
        <w:rPr>
          <w:rFonts w:ascii="Times New Roman" w:hAnsi="Times New Roman" w:cs="Times New Roman"/>
          <w:color w:val="auto"/>
          <w:sz w:val="24"/>
          <w:szCs w:val="24"/>
        </w:rPr>
        <w:t>ith innate immune activation, it</w:t>
      </w:r>
      <w:r w:rsidR="003607EE">
        <w:rPr>
          <w:rFonts w:ascii="Times New Roman" w:hAnsi="Times New Roman" w:cs="Times New Roman"/>
          <w:color w:val="auto"/>
          <w:sz w:val="24"/>
          <w:szCs w:val="24"/>
        </w:rPr>
        <w:t xml:space="preserve"> involves little reor</w:t>
      </w:r>
      <w:r w:rsidR="00466AE8">
        <w:rPr>
          <w:rFonts w:ascii="Times New Roman" w:hAnsi="Times New Roman" w:cs="Times New Roman"/>
          <w:color w:val="auto"/>
          <w:sz w:val="24"/>
          <w:szCs w:val="24"/>
        </w:rPr>
        <w:t>ganis</w:t>
      </w:r>
      <w:r w:rsidR="003607EE">
        <w:rPr>
          <w:rFonts w:ascii="Times New Roman" w:hAnsi="Times New Roman" w:cs="Times New Roman"/>
          <w:color w:val="auto"/>
          <w:sz w:val="24"/>
          <w:szCs w:val="24"/>
        </w:rPr>
        <w:t>ation and proliferation of astrocytes and low expression of GFAP. More severe astrocyte reactivity occurs in response to chronic neurodegenerative triggers and</w:t>
      </w:r>
      <w:r w:rsidR="008277C1">
        <w:rPr>
          <w:rFonts w:ascii="Times New Roman" w:hAnsi="Times New Roman" w:cs="Times New Roman"/>
          <w:color w:val="auto"/>
          <w:sz w:val="24"/>
          <w:szCs w:val="24"/>
        </w:rPr>
        <w:t xml:space="preserve"> </w:t>
      </w:r>
      <w:r w:rsidR="00854958">
        <w:rPr>
          <w:rFonts w:ascii="Times New Roman" w:hAnsi="Times New Roman" w:cs="Times New Roman"/>
          <w:color w:val="auto"/>
          <w:sz w:val="24"/>
          <w:szCs w:val="24"/>
        </w:rPr>
        <w:t>when the</w:t>
      </w:r>
      <w:r w:rsidR="008277C1">
        <w:rPr>
          <w:rFonts w:ascii="Times New Roman" w:hAnsi="Times New Roman" w:cs="Times New Roman"/>
          <w:color w:val="auto"/>
          <w:sz w:val="24"/>
          <w:szCs w:val="24"/>
        </w:rPr>
        <w:t xml:space="preserve"> brain</w:t>
      </w:r>
      <w:r w:rsidR="00854958">
        <w:rPr>
          <w:rFonts w:ascii="Times New Roman" w:hAnsi="Times New Roman" w:cs="Times New Roman"/>
          <w:color w:val="auto"/>
          <w:sz w:val="24"/>
          <w:szCs w:val="24"/>
        </w:rPr>
        <w:t xml:space="preserve"> encounters</w:t>
      </w:r>
      <w:r w:rsidR="008277C1">
        <w:rPr>
          <w:rFonts w:ascii="Times New Roman" w:hAnsi="Times New Roman" w:cs="Times New Roman"/>
          <w:color w:val="auto"/>
          <w:sz w:val="24"/>
          <w:szCs w:val="24"/>
        </w:rPr>
        <w:t xml:space="preserve"> trauma</w:t>
      </w:r>
      <w:r w:rsidR="00854958">
        <w:rPr>
          <w:rFonts w:ascii="Times New Roman" w:hAnsi="Times New Roman" w:cs="Times New Roman"/>
          <w:color w:val="auto"/>
          <w:sz w:val="24"/>
          <w:szCs w:val="24"/>
        </w:rPr>
        <w:t xml:space="preserve"> it</w:t>
      </w:r>
      <w:r w:rsidR="003607EE">
        <w:rPr>
          <w:rFonts w:ascii="Times New Roman" w:hAnsi="Times New Roman" w:cs="Times New Roman"/>
          <w:color w:val="auto"/>
          <w:sz w:val="24"/>
          <w:szCs w:val="24"/>
        </w:rPr>
        <w:t xml:space="preserve"> can involve a long-lasting rearrangement and proliferation of </w:t>
      </w:r>
      <w:r w:rsidR="004165E7">
        <w:rPr>
          <w:rFonts w:ascii="Times New Roman" w:hAnsi="Times New Roman" w:cs="Times New Roman"/>
          <w:color w:val="auto"/>
          <w:sz w:val="24"/>
          <w:szCs w:val="24"/>
        </w:rPr>
        <w:t>GFAP-positive</w:t>
      </w:r>
      <w:r w:rsidR="00EB7052">
        <w:rPr>
          <w:rFonts w:ascii="Times New Roman" w:hAnsi="Times New Roman" w:cs="Times New Roman"/>
          <w:color w:val="auto"/>
          <w:sz w:val="24"/>
          <w:szCs w:val="24"/>
        </w:rPr>
        <w:t xml:space="preserve"> </w:t>
      </w:r>
      <w:r w:rsidR="003607EE">
        <w:rPr>
          <w:rFonts w:ascii="Times New Roman" w:hAnsi="Times New Roman" w:cs="Times New Roman"/>
          <w:color w:val="auto"/>
          <w:sz w:val="24"/>
          <w:szCs w:val="24"/>
        </w:rPr>
        <w:t xml:space="preserve">astrocytes </w:t>
      </w:r>
      <w:r w:rsidR="00EB7052">
        <w:rPr>
          <w:rFonts w:ascii="Times New Roman" w:hAnsi="Times New Roman" w:cs="Times New Roman"/>
          <w:color w:val="auto"/>
          <w:sz w:val="24"/>
          <w:szCs w:val="24"/>
        </w:rPr>
        <w:t>to form a glial scar</w:t>
      </w:r>
      <w:r w:rsidR="00AB3BDC">
        <w:rPr>
          <w:rFonts w:ascii="Times New Roman" w:hAnsi="Times New Roman" w:cs="Times New Roman"/>
          <w:color w:val="auto"/>
          <w:sz w:val="24"/>
          <w:szCs w:val="24"/>
        </w:rPr>
        <w:t xml:space="preserve">, which </w:t>
      </w:r>
      <w:r w:rsidR="00B70187">
        <w:rPr>
          <w:rFonts w:ascii="Times New Roman" w:hAnsi="Times New Roman" w:cs="Times New Roman"/>
          <w:color w:val="auto"/>
          <w:sz w:val="24"/>
          <w:szCs w:val="24"/>
        </w:rPr>
        <w:t xml:space="preserve">acts </w:t>
      </w:r>
      <w:r w:rsidR="00AB3BDC">
        <w:rPr>
          <w:rFonts w:ascii="Times New Roman" w:hAnsi="Times New Roman" w:cs="Times New Roman"/>
          <w:color w:val="auto"/>
          <w:sz w:val="24"/>
          <w:szCs w:val="24"/>
        </w:rPr>
        <w:t xml:space="preserve">as a barrier between </w:t>
      </w:r>
      <w:r w:rsidR="00F377A9">
        <w:rPr>
          <w:rFonts w:ascii="Times New Roman" w:hAnsi="Times New Roman" w:cs="Times New Roman"/>
          <w:color w:val="auto"/>
          <w:sz w:val="24"/>
          <w:szCs w:val="24"/>
        </w:rPr>
        <w:t>a</w:t>
      </w:r>
      <w:r w:rsidR="00AB3BDC">
        <w:rPr>
          <w:rFonts w:ascii="Times New Roman" w:hAnsi="Times New Roman" w:cs="Times New Roman"/>
          <w:color w:val="auto"/>
          <w:sz w:val="24"/>
          <w:szCs w:val="24"/>
        </w:rPr>
        <w:t xml:space="preserve"> lesion and healthy brain tissue</w:t>
      </w:r>
      <w:r w:rsidR="003607EE">
        <w:rPr>
          <w:rFonts w:ascii="Times New Roman" w:hAnsi="Times New Roman" w:cs="Times New Roman"/>
          <w:color w:val="auto"/>
          <w:sz w:val="24"/>
          <w:szCs w:val="24"/>
        </w:rPr>
        <w:t xml:space="preserve">. </w:t>
      </w:r>
    </w:p>
    <w:p w14:paraId="1CD379AA" w14:textId="5EE6F668" w:rsidR="00C2382D" w:rsidRDefault="008D233F" w:rsidP="00EF2AF4">
      <w:pPr>
        <w:pStyle w:val="Body"/>
        <w:spacing w:line="360" w:lineRule="auto"/>
        <w:jc w:val="both"/>
        <w:rPr>
          <w:rFonts w:ascii="Times New Roman" w:hAnsi="Times New Roman" w:cs="Times New Roman"/>
          <w:color w:val="auto"/>
          <w:sz w:val="24"/>
          <w:szCs w:val="24"/>
        </w:rPr>
      </w:pPr>
      <w:r>
        <w:rPr>
          <w:rFonts w:ascii="Times New Roman" w:hAnsi="Times New Roman" w:cs="Times New Roman"/>
          <w:color w:val="auto"/>
          <w:sz w:val="24"/>
          <w:szCs w:val="24"/>
        </w:rPr>
        <w:t>A</w:t>
      </w:r>
      <w:r w:rsidR="003607EE">
        <w:rPr>
          <w:rFonts w:ascii="Times New Roman" w:hAnsi="Times New Roman" w:cs="Times New Roman"/>
          <w:color w:val="auto"/>
          <w:sz w:val="24"/>
          <w:szCs w:val="24"/>
        </w:rPr>
        <w:t>strocyte reactivity (astrogliosis) was</w:t>
      </w:r>
      <w:r>
        <w:rPr>
          <w:rFonts w:ascii="Times New Roman" w:hAnsi="Times New Roman" w:cs="Times New Roman"/>
          <w:color w:val="auto"/>
          <w:sz w:val="24"/>
          <w:szCs w:val="24"/>
        </w:rPr>
        <w:t xml:space="preserve"> initially thought to be</w:t>
      </w:r>
      <w:r w:rsidR="003607EE">
        <w:rPr>
          <w:rFonts w:ascii="Times New Roman" w:hAnsi="Times New Roman" w:cs="Times New Roman"/>
          <w:color w:val="auto"/>
          <w:sz w:val="24"/>
          <w:szCs w:val="24"/>
        </w:rPr>
        <w:t xml:space="preserve"> detrimental to neuronal health as</w:t>
      </w:r>
      <w:r w:rsidR="00806875">
        <w:rPr>
          <w:rFonts w:ascii="Times New Roman" w:hAnsi="Times New Roman" w:cs="Times New Roman"/>
          <w:color w:val="auto"/>
          <w:sz w:val="24"/>
          <w:szCs w:val="24"/>
        </w:rPr>
        <w:t xml:space="preserve"> several</w:t>
      </w:r>
      <w:r w:rsidR="003607EE">
        <w:rPr>
          <w:rFonts w:ascii="Times New Roman" w:hAnsi="Times New Roman" w:cs="Times New Roman"/>
          <w:color w:val="auto"/>
          <w:sz w:val="24"/>
          <w:szCs w:val="24"/>
        </w:rPr>
        <w:t xml:space="preserve"> studies</w:t>
      </w:r>
      <w:r w:rsidR="00806875">
        <w:rPr>
          <w:rFonts w:ascii="Times New Roman" w:hAnsi="Times New Roman" w:cs="Times New Roman"/>
          <w:color w:val="auto"/>
          <w:sz w:val="24"/>
          <w:szCs w:val="24"/>
        </w:rPr>
        <w:t xml:space="preserve"> have shown</w:t>
      </w:r>
      <w:r w:rsidR="003607EE">
        <w:rPr>
          <w:rFonts w:ascii="Times New Roman" w:hAnsi="Times New Roman" w:cs="Times New Roman"/>
          <w:color w:val="auto"/>
          <w:sz w:val="24"/>
          <w:szCs w:val="24"/>
        </w:rPr>
        <w:t xml:space="preserve"> that glial scar formation</w:t>
      </w:r>
      <w:r w:rsidR="0011699C">
        <w:rPr>
          <w:rFonts w:ascii="Times New Roman" w:hAnsi="Times New Roman" w:cs="Times New Roman"/>
          <w:color w:val="auto"/>
          <w:sz w:val="24"/>
          <w:szCs w:val="24"/>
        </w:rPr>
        <w:t xml:space="preserve"> following trauma</w:t>
      </w:r>
      <w:r w:rsidR="003607EE">
        <w:rPr>
          <w:rFonts w:ascii="Times New Roman" w:hAnsi="Times New Roman" w:cs="Times New Roman"/>
          <w:color w:val="auto"/>
          <w:sz w:val="24"/>
          <w:szCs w:val="24"/>
        </w:rPr>
        <w:t xml:space="preserve"> i</w:t>
      </w:r>
      <w:r w:rsidR="00806875">
        <w:rPr>
          <w:rFonts w:ascii="Times New Roman" w:hAnsi="Times New Roman" w:cs="Times New Roman"/>
          <w:color w:val="auto"/>
          <w:sz w:val="24"/>
          <w:szCs w:val="24"/>
        </w:rPr>
        <w:t>nhibits</w:t>
      </w:r>
      <w:r w:rsidR="00F544E4">
        <w:rPr>
          <w:rFonts w:ascii="Times New Roman" w:hAnsi="Times New Roman" w:cs="Times New Roman"/>
          <w:color w:val="auto"/>
          <w:sz w:val="24"/>
          <w:szCs w:val="24"/>
        </w:rPr>
        <w:t xml:space="preserve"> axon regeneration </w:t>
      </w:r>
      <w:r w:rsidR="00F544E4">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"10.1016/S0361-9230(99)00072-6", "ISSN" : "03619230", "abstract" : "Damage to the central nervous system (CNS) results in a glial reaction, leading eventually to the formation of a glial scar. In this environment, axon regeneration fails, and remyelination may also be unsuccessful. The glial reaction to injury recruits microglia, oligodendrocyte precursors, meningeal cells, astrocytes and stem cells. Damaged CNS also contains oligodendrocytes and myelin debris. Most of these cell types produce molecules that have been shown to be inhibitory to axon regeneration. Oligodendrocytes produce NI250, myelin-associated glycoprotein (MAG), and tenascin-R, oligodendrocyte precursors produce NG2 DSD-1/phosphacan and versican, astrocytes produce tenascin, brevican, and neurocan, and can be stimulated to produce NG2, meningeal cells produce NG2 and other proteoglycans, and acitivated microglia produce free radicals, nitric oxide, and arachidonic acid derivatives. Many of these molecules must participate in rendering the damaged CNS inhibitory for axon regeneration. Demyelinated plaques in multiple sclerosis consists mostly of scar-type astrocytes and naked axons. The extent to which the astrocytosis is responsible for blocking remyelination is not established, but astrocytes inhibit the migration of both oligodendrocyte precursors and Schwann cells which must restrict their access to demyelinated axons.", "author" : [ { "dropping-particle" : "", "family" : "Fawcett", "given" : "James W", "non-dropping-particle" : "", "parse-names" : false, "suffix" : "" }, { "dropping-particle" : "", "family" : "Asher", "given" : "Richard.A", "non-dropping-particle" : "", "parse-names" : false, "suffix" : "" } ], "container-title" : "Brain Research Bulletin", "id" : "ITEM-1", "issue" : "6", "issued" : { "date-parts" : [ [ "1999", "8" ] ] }, "page" : "377-391", "title" : "The glial scar and central nervous system repair", "type" : "article-journal", "volume" : "49" }, "uris" : [ "http://www.mendeley.com/documents/?uuid=eaadbf62-70d9-411e-9ffe-adaaab1cec36" ] }, { "id" : "ITEM-2", "itemData" : { "author" : [ { "dropping-particle" : "", "family" : "Mckeon", "given" : "Robert J", "non-dropping-particle" : "", "parse-names" : false, "suffix" : "" }, { "dropping-particle" : "", "family" : "Schreiber", "given" : "Rebecca C", "non-dropping-particle" : "", "parse-names" : false, "suffix" : "" }, { "dropping-particle" : "", "family" : "Rudge", "given" : "John S", "non-dropping-particle" : "", "parse-names" : false, "suffix" : "" }, { "dropping-particle" : "", "family" : "Silver '", "given" : "Jerry", "non-dropping-particle" : "", "parse-names" : false, "suffix" : "" } ], "container-title" : "The Journal of Neuroscience", "id" : "ITEM-2", "issue" : "711", "issued" : { "date-parts" : [ [ "1991" ] ] }, "title" : "Reduction of Neurite Outgrowth in a Model of Glial Scarring following CNS Injury Is Correlated with the Expression of Inhibitory Molecules on Reactive Astrocytes", "type" : "article-journal", "volume" : "7" }, "uris" : [ "http://www.mendeley.com/documents/?uuid=18416eee-eba4-3266-84b2-697907585e8b" ] } ], "mendeley" : { "formattedCitation" : "(Fawcett &amp; Asher 1999; Mckeon et al. 1991)", "manualFormatting" : "(Fawcett &amp; Asher, 1999; Mckeon, Schreiber, Rudge, &amp; Silver, 1991)", "plainTextFormattedCitation" : "(Fawcett &amp; Asher 1999; Mckeon et al. 1991)", "previouslyFormattedCitation" : "(Fawcett &amp; Asher 1999; Mckeon et al. 1991)" }, "properties" : { "noteIndex" : 0 }, "schema" : "https://github.com/citation-style-language/schema/raw/master/csl-citation.json" }</w:instrText>
      </w:r>
      <w:r w:rsidR="00F544E4">
        <w:rPr>
          <w:rFonts w:ascii="Times New Roman" w:hAnsi="Times New Roman" w:cs="Times New Roman"/>
          <w:color w:val="auto"/>
          <w:sz w:val="24"/>
          <w:szCs w:val="24"/>
        </w:rPr>
        <w:fldChar w:fldCharType="separate"/>
      </w:r>
      <w:r w:rsidR="0011699C" w:rsidRPr="0011699C">
        <w:rPr>
          <w:rFonts w:ascii="Times New Roman" w:hAnsi="Times New Roman" w:cs="Times New Roman"/>
          <w:noProof/>
          <w:color w:val="auto"/>
          <w:sz w:val="24"/>
          <w:szCs w:val="24"/>
        </w:rPr>
        <w:t>(Fawcett &amp; Asher, 1999; Mcke</w:t>
      </w:r>
      <w:r w:rsidR="0011699C">
        <w:rPr>
          <w:rFonts w:ascii="Times New Roman" w:hAnsi="Times New Roman" w:cs="Times New Roman"/>
          <w:noProof/>
          <w:color w:val="auto"/>
          <w:sz w:val="24"/>
          <w:szCs w:val="24"/>
        </w:rPr>
        <w:t>on, Schreiber, Rudge, &amp; Silver</w:t>
      </w:r>
      <w:r w:rsidR="0011699C" w:rsidRPr="0011699C">
        <w:rPr>
          <w:rFonts w:ascii="Times New Roman" w:hAnsi="Times New Roman" w:cs="Times New Roman"/>
          <w:noProof/>
          <w:color w:val="auto"/>
          <w:sz w:val="24"/>
          <w:szCs w:val="24"/>
        </w:rPr>
        <w:t>, 1991)</w:t>
      </w:r>
      <w:r w:rsidR="00F544E4">
        <w:rPr>
          <w:rFonts w:ascii="Times New Roman" w:hAnsi="Times New Roman" w:cs="Times New Roman"/>
          <w:color w:val="auto"/>
          <w:sz w:val="24"/>
          <w:szCs w:val="24"/>
        </w:rPr>
        <w:fldChar w:fldCharType="end"/>
      </w:r>
      <w:r w:rsidR="0011699C">
        <w:rPr>
          <w:rFonts w:ascii="Times New Roman" w:hAnsi="Times New Roman" w:cs="Times New Roman"/>
          <w:color w:val="auto"/>
          <w:sz w:val="24"/>
          <w:szCs w:val="24"/>
        </w:rPr>
        <w:t xml:space="preserve">. </w:t>
      </w:r>
      <w:r>
        <w:rPr>
          <w:rFonts w:ascii="Times New Roman" w:hAnsi="Times New Roman" w:cs="Times New Roman"/>
          <w:color w:val="auto"/>
          <w:sz w:val="24"/>
          <w:szCs w:val="24"/>
        </w:rPr>
        <w:t>In</w:t>
      </w:r>
      <w:r w:rsidR="00B70187">
        <w:rPr>
          <w:rFonts w:ascii="Times New Roman" w:hAnsi="Times New Roman" w:cs="Times New Roman"/>
          <w:color w:val="auto"/>
          <w:sz w:val="24"/>
          <w:szCs w:val="24"/>
        </w:rPr>
        <w:t xml:space="preserve"> GFAP-v</w:t>
      </w:r>
      <w:r w:rsidR="00C95030">
        <w:rPr>
          <w:rFonts w:ascii="Times New Roman" w:hAnsi="Times New Roman" w:cs="Times New Roman"/>
          <w:color w:val="auto"/>
          <w:sz w:val="24"/>
          <w:szCs w:val="24"/>
        </w:rPr>
        <w:t xml:space="preserve">imentin double knockout </w:t>
      </w:r>
      <w:r>
        <w:rPr>
          <w:rFonts w:ascii="Times New Roman" w:hAnsi="Times New Roman" w:cs="Times New Roman"/>
          <w:color w:val="auto"/>
          <w:sz w:val="24"/>
          <w:szCs w:val="24"/>
        </w:rPr>
        <w:t>mice,</w:t>
      </w:r>
      <w:r w:rsidR="00C95030">
        <w:rPr>
          <w:rFonts w:ascii="Times New Roman" w:hAnsi="Times New Roman" w:cs="Times New Roman"/>
          <w:color w:val="auto"/>
          <w:sz w:val="24"/>
          <w:szCs w:val="24"/>
        </w:rPr>
        <w:t xml:space="preserve"> astrocytes undergo less hypertrophy and </w:t>
      </w:r>
      <w:r>
        <w:rPr>
          <w:rFonts w:ascii="Times New Roman" w:hAnsi="Times New Roman" w:cs="Times New Roman"/>
          <w:color w:val="auto"/>
          <w:sz w:val="24"/>
          <w:szCs w:val="24"/>
        </w:rPr>
        <w:t>show</w:t>
      </w:r>
      <w:r w:rsidR="00C95030">
        <w:rPr>
          <w:rFonts w:ascii="Times New Roman" w:hAnsi="Times New Roman" w:cs="Times New Roman"/>
          <w:color w:val="auto"/>
          <w:sz w:val="24"/>
          <w:szCs w:val="24"/>
        </w:rPr>
        <w:t xml:space="preserve"> increased neuronal regeneration following trauma </w:t>
      </w:r>
      <w:r w:rsidR="00C95030">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"10.1523/JNEUROSCI.0820-04.2004", "ISSN" : "1529-2401", "PMID" : "15163694", "abstract" : "The regenerative capacity of the CNS is extremely limited. The reason for this is unclear, but glial cell involvement has been suspected, and oligodendrocytes have been implicated as inhibitors of neuroregeneration (Chen et al., 2000, GrandPre et al., 2000; Fournier et al., 2001). The role of astrocytes in this process was proposed but remains incompletely understood (Silver and Miller, 2004). Astrocyte activation (reactive gliosis) accompanies neurotrauma, stroke, neurodegenerative diseases, or tumors. Two prominent hallmarks of reactive gliosis are hypertrophy of astrocytic processes and upregulation of intermediate filaments. Using the entorhinal cortex lesion model in mice, we found that reactive astrocytes devoid of the intermediate filament proteins glial fibrillary acidic protein and vimentin (GFAP-/-Vim-/-), and consequently lacking intermediate filaments (Colucci-Guyon et al., 1994; Pekny et al., 1995; Eliasson et al., 1999), showed only a limited hypertrophy of cell processes. Instead, many processes were shorter and not straight, albeit the volume of neuropil reached by a single astrocyte was the same as in wild-type mice. This was accompanied by remarkable synaptic regeneration in the hippocampus. On a molecular level, GFAP-/-Vim-/- reactive astrocytes could not upregulate endothelin B receptors, suggesting that the upregulation is intermediate filament dependent. These findings show a novel role for intermediate filaments in astrocytes and implicate reactive astrocytes as potent inhibitors of neuroregeneration.", "author" : [ { "dropping-particle" : "", "family" : "Wilhelmsson", "given" : "Ulrika", "non-dropping-particle" : "", "parse-names" : false, "suffix" : "" }, { "dropping-particle" : "", "family" : "Li", "given" : "Lizhen", "non-dropping-particle" : "", "parse-names" : false, "suffix" : "" }, { "dropping-particle" : "", "family" : "Pekna", "given" : "Marcela", "non-dropping-particle" : "", "parse-names" : false, "suffix" : "" }, { "dropping-particle" : "", "family" : "Berthold", "given" : "Claes-Henric", "non-dropping-particle" : "", "parse-names" : false, "suffix" : "" }, { "dropping-particle" : "", "family" : "Blom", "given" : "Sofia", "non-dropping-particle" : "", "parse-names" : false, "suffix" : "" }, { "dropping-particle" : "", "family" : "Eliasson", "given" : "Camilla", "non-dropping-particle" : "", "parse-names" : false, "suffix" : "" }, { "dropping-particle" : "", "family" : "Renner", "given" : "Oliver", "non-dropping-particle" : "", "parse-names" : false, "suffix" : "" }, { "dropping-particle" : "", "family" : "Bushong", "given" : "Eric", "non-dropping-particle" : "", "parse-names" : false, "suffix" : "" }, { "dropping-particle" : "", "family" : "Ellisman", "given" : "Mark", "non-dropping-particle" : "", "parse-names" : false, "suffix" : "" }, { "dropping-particle" : "", "family" : "Morgan", "given" : "Todd E", "non-dropping-particle" : "", "parse-names" : false, "suffix" : "" }, { "dropping-particle" : "", "family" : "Pekny", "given" : "Milos", "non-dropping-particle" : "", "parse-names" : false, "suffix" : "" } ], "container-title" : "The Journal of neuroscience : the official journal of the Society for Neuroscience", "id" : "ITEM-1", "issue" : "21", "issued" : { "date-parts" : [ [ "2004", "5", "26" ] ] }, "page" : "5016-21", "title" : "Absence of glial fibrillary acidic protein and vimentin prevents hypertrophy of astrocytic processes and improves post-traumatic regeneration.", "type" : "article-journal", "volume" : "24" }, "uris" : [ "http://www.mendeley.com/documents/?uuid=ec818f07-3865-49cb-9ddc-3bb6e56e19de" ] } ], "mendeley" : { "formattedCitation" : "(Wilhelmsson et al. 2004)", "plainTextFormattedCitation" : "(Wilhelmsson et al. 2004)", "previouslyFormattedCitation" : "(Wilhelmsson et al. 2004)" }, "properties" : { "noteIndex" : 0 }, "schema" : "https://github.com/citation-style-language/schema/raw/master/csl-citation.json" }</w:instrText>
      </w:r>
      <w:r w:rsidR="00C95030">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(Wilhelmsson et al. 2004)</w:t>
      </w:r>
      <w:r w:rsidR="00C95030">
        <w:rPr>
          <w:rFonts w:ascii="Times New Roman" w:hAnsi="Times New Roman" w:cs="Times New Roman"/>
          <w:color w:val="auto"/>
          <w:sz w:val="24"/>
          <w:szCs w:val="24"/>
        </w:rPr>
        <w:fldChar w:fldCharType="end"/>
      </w:r>
      <w:r w:rsidR="00C95030">
        <w:rPr>
          <w:rFonts w:ascii="Times New Roman" w:hAnsi="Times New Roman" w:cs="Times New Roman"/>
          <w:color w:val="auto"/>
          <w:sz w:val="24"/>
          <w:szCs w:val="24"/>
        </w:rPr>
        <w:t>.</w:t>
      </w:r>
      <w:r w:rsidR="003607EE">
        <w:rPr>
          <w:rFonts w:ascii="Times New Roman" w:hAnsi="Times New Roman" w:cs="Times New Roman"/>
          <w:color w:val="auto"/>
          <w:sz w:val="24"/>
          <w:szCs w:val="24"/>
        </w:rPr>
        <w:t xml:space="preserve"> </w:t>
      </w:r>
      <w:r w:rsidR="00E030EB">
        <w:rPr>
          <w:rFonts w:ascii="Times New Roman" w:hAnsi="Times New Roman" w:cs="Times New Roman"/>
          <w:color w:val="auto"/>
          <w:sz w:val="24"/>
          <w:szCs w:val="24"/>
        </w:rPr>
        <w:t xml:space="preserve">However, </w:t>
      </w:r>
      <w:r w:rsidR="0022342E">
        <w:rPr>
          <w:rFonts w:ascii="Times New Roman" w:hAnsi="Times New Roman" w:cs="Times New Roman"/>
          <w:color w:val="auto"/>
          <w:sz w:val="24"/>
          <w:szCs w:val="24"/>
        </w:rPr>
        <w:t>there is</w:t>
      </w:r>
      <w:r w:rsidR="00E030EB">
        <w:rPr>
          <w:rFonts w:ascii="Times New Roman" w:hAnsi="Times New Roman" w:cs="Times New Roman"/>
          <w:color w:val="auto"/>
          <w:sz w:val="24"/>
          <w:szCs w:val="24"/>
        </w:rPr>
        <w:t xml:space="preserve"> now</w:t>
      </w:r>
      <w:r w:rsidR="003607EE">
        <w:rPr>
          <w:rFonts w:ascii="Times New Roman" w:hAnsi="Times New Roman" w:cs="Times New Roman"/>
          <w:color w:val="auto"/>
          <w:sz w:val="24"/>
          <w:szCs w:val="24"/>
        </w:rPr>
        <w:t xml:space="preserve"> considerable evidence showing that </w:t>
      </w:r>
      <w:r w:rsidR="0022342E">
        <w:rPr>
          <w:rFonts w:ascii="Times New Roman" w:hAnsi="Times New Roman" w:cs="Times New Roman"/>
          <w:color w:val="auto"/>
          <w:sz w:val="24"/>
          <w:szCs w:val="24"/>
        </w:rPr>
        <w:t>astrogliosis is part of the</w:t>
      </w:r>
      <w:r w:rsidR="003607EE">
        <w:rPr>
          <w:rFonts w:ascii="Times New Roman" w:hAnsi="Times New Roman" w:cs="Times New Roman"/>
          <w:color w:val="auto"/>
          <w:sz w:val="24"/>
          <w:szCs w:val="24"/>
        </w:rPr>
        <w:t xml:space="preserve"> </w:t>
      </w:r>
      <w:r w:rsidR="007A6C42">
        <w:rPr>
          <w:rFonts w:ascii="Times New Roman" w:hAnsi="Times New Roman" w:cs="Times New Roman"/>
          <w:color w:val="auto"/>
          <w:sz w:val="24"/>
          <w:szCs w:val="24"/>
        </w:rPr>
        <w:t>cell</w:t>
      </w:r>
      <w:r w:rsidR="0080083F">
        <w:rPr>
          <w:rFonts w:ascii="Times New Roman" w:hAnsi="Times New Roman" w:cs="Times New Roman"/>
          <w:color w:val="auto"/>
          <w:sz w:val="24"/>
          <w:szCs w:val="24"/>
        </w:rPr>
        <w:t xml:space="preserve">s </w:t>
      </w:r>
      <w:r w:rsidR="003607EE">
        <w:rPr>
          <w:rFonts w:ascii="Times New Roman" w:hAnsi="Times New Roman" w:cs="Times New Roman"/>
          <w:color w:val="auto"/>
          <w:sz w:val="24"/>
          <w:szCs w:val="24"/>
        </w:rPr>
        <w:t xml:space="preserve">normal </w:t>
      </w:r>
      <w:r w:rsidR="00E030EB">
        <w:rPr>
          <w:rFonts w:ascii="Times New Roman" w:hAnsi="Times New Roman" w:cs="Times New Roman"/>
          <w:color w:val="auto"/>
          <w:sz w:val="24"/>
          <w:szCs w:val="24"/>
        </w:rPr>
        <w:t>behaviour</w:t>
      </w:r>
      <w:r w:rsidR="003607EE">
        <w:rPr>
          <w:rFonts w:ascii="Times New Roman" w:hAnsi="Times New Roman" w:cs="Times New Roman"/>
          <w:color w:val="auto"/>
          <w:sz w:val="24"/>
          <w:szCs w:val="24"/>
        </w:rPr>
        <w:t xml:space="preserve"> and actually </w:t>
      </w:r>
      <w:r w:rsidR="0080083F">
        <w:rPr>
          <w:rFonts w:ascii="Times New Roman" w:hAnsi="Times New Roman" w:cs="Times New Roman"/>
          <w:color w:val="auto"/>
          <w:sz w:val="24"/>
          <w:szCs w:val="24"/>
        </w:rPr>
        <w:t>beneficial to</w:t>
      </w:r>
      <w:r w:rsidR="00F544E4">
        <w:rPr>
          <w:rFonts w:ascii="Times New Roman" w:hAnsi="Times New Roman" w:cs="Times New Roman"/>
          <w:color w:val="auto"/>
          <w:sz w:val="24"/>
          <w:szCs w:val="24"/>
        </w:rPr>
        <w:t xml:space="preserve"> many aspects that support</w:t>
      </w:r>
      <w:r w:rsidR="005A5A97">
        <w:rPr>
          <w:rFonts w:ascii="Times New Roman" w:hAnsi="Times New Roman" w:cs="Times New Roman"/>
          <w:color w:val="auto"/>
          <w:sz w:val="24"/>
          <w:szCs w:val="24"/>
        </w:rPr>
        <w:t xml:space="preserve"> neuronal function. A</w:t>
      </w:r>
      <w:r w:rsidR="00EA7E74">
        <w:rPr>
          <w:rFonts w:ascii="Times New Roman" w:hAnsi="Times New Roman" w:cs="Times New Roman"/>
          <w:color w:val="auto"/>
          <w:sz w:val="24"/>
          <w:szCs w:val="24"/>
        </w:rPr>
        <w:t xml:space="preserve">strocytes increase uptake of </w:t>
      </w:r>
      <w:r w:rsidR="00F544E4">
        <w:rPr>
          <w:rFonts w:ascii="Times New Roman" w:hAnsi="Times New Roman" w:cs="Times New Roman"/>
          <w:color w:val="auto"/>
          <w:sz w:val="24"/>
          <w:szCs w:val="24"/>
        </w:rPr>
        <w:t xml:space="preserve">potentially excitotoxic glutamate </w:t>
      </w:r>
      <w:r w:rsidR="00C2414B">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"10.1111/j.1471-4159.2005.03216.x", "ISSN" : "0022-3042", "PMID" : "15998291", "abstract" : "Excitatory transmission in the CNS necessitates the existence of dynamic controls of the glutamate uptake achieved by astrocytes, both in physiological conditions and under pathological circumstances characterized by gliosis. In this context, this study was aimed at evaluating the involvement of group I metabotropic glutamate receptors (mGluR) in the regulation of glutamate transport in a model of rat astrocytes undergoing in vitro activation using a cocktail of growth factors (G5 supplement). The vast majority of the cells were found to take up aspartate, mainly through the glutamate/aspartate transporter (GLAST), and at least 60% expressed functional mGluR5a. When exposed for 15 s to the selective group I mGluR agonist (S)-3,5-dihydroxyphenylglycine, reactive astrocytes showed a significant increase in their capacity to take up aspartate. This effect was confirmed at the single-cell level, since activation of mGluRs significantly increased the initial slope of aspartate-dependent Na+ entry associated with the activity of glutamate transporters. This up-regulation was inhibited by an antagonist of mGluR5 and, more importantly, was sensitive to a specific glutamate transporter 1 (GLT-1) blocker. The acute influence of mGluR5 on aspartate uptake was phospholipase C- and protein kinase C-dependent, and was mimicked by phorbol esters. We conclude that mGluR5a contributes to a dynamic control of GLT-1 function in activated astrocytes, acting as a glial sensor of the extracellular glutamate concentration in order to acutely regulate the excitatory transmission.", "author" : [ { "dropping-particle" : "", "family" : "Vermeiren", "given" : "C\u00e9line", "non-dropping-particle" : "", "parse-names" : false, "suffix" : "" }, { "dropping-particle" : "", "family" : "Najimi", "given" : "Mustapha", "non-dropping-particle" : "", "parse-names" : false, "suffix" : "" }, { "dropping-particle" : "", "family" : "Vanhoutte", "given" : "Nicolas", "non-dropping-particle" : "", "parse-names" : false, "suffix" : "" }, { "dropping-particle" : "", "family" : "Tilleux", "given" : "S\u00e9bastien", "non-dropping-particle" : "", "parse-names" : false, "suffix" : "" }, { "dropping-particle" : "", "family" : "Hemptinne", "given" : "Isabelle", "non-dropping-particle" : "de", "parse-names" : false, "suffix" : "" }, { "dropping-particle" : "", "family" : "Maloteaux", "given" : "Jean-Marie", "non-dropping-particle" : "", "parse-names" : false, "suffix" : "" }, { "dropping-particle" : "", "family" : "Hermans", "given" : "Emmanuel", "non-dropping-particle" : "", "parse-names" : false, "suffix" : "" } ], "container-title" : "Journal of neurochemistry", "id" : "ITEM-1", "issue" : "2", "issued" : { "date-parts" : [ [ "2005", "7" ] ] }, "page" : "405-16", "title" : "Acute up-regulation of glutamate uptake mediated by mGluR5a in reactive astrocytes.", "type" : "article-journal", "volume" : "94" }, "uris" : [ "http://www.mendeley.com/documents/?uuid=10dbc07a-c4d3-4d9e-b562-4df78ae7f092" ] } ], "mendeley" : { "formattedCitation" : "(Vermeiren et al. 2005)", "plainTextFormattedCitation" : "(Vermeiren et al. 2005)", "previouslyFormattedCitation" : "(Vermeiren et al. 2005)" }, "properties" : { "noteIndex" : 0 }, "schema" : "https://github.com/citation-style-language/schema/raw/master/csl-citation.json" }</w:instrText>
      </w:r>
      <w:r w:rsidR="00C2414B">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(Vermeiren et al. 2005)</w:t>
      </w:r>
      <w:r w:rsidR="00C2414B">
        <w:rPr>
          <w:rFonts w:ascii="Times New Roman" w:hAnsi="Times New Roman" w:cs="Times New Roman"/>
          <w:color w:val="auto"/>
          <w:sz w:val="24"/>
          <w:szCs w:val="24"/>
        </w:rPr>
        <w:fldChar w:fldCharType="end"/>
      </w:r>
      <w:r w:rsidR="00C40D04">
        <w:rPr>
          <w:rFonts w:ascii="Times New Roman" w:hAnsi="Times New Roman" w:cs="Times New Roman"/>
          <w:color w:val="auto"/>
          <w:sz w:val="24"/>
          <w:szCs w:val="24"/>
        </w:rPr>
        <w:t xml:space="preserve">, </w:t>
      </w:r>
      <w:r w:rsidR="00EA7E74">
        <w:rPr>
          <w:rFonts w:ascii="Times New Roman" w:hAnsi="Times New Roman" w:cs="Times New Roman"/>
          <w:color w:val="auto"/>
          <w:sz w:val="24"/>
          <w:szCs w:val="24"/>
        </w:rPr>
        <w:t>increase</w:t>
      </w:r>
      <w:r w:rsidR="008E2AF4">
        <w:rPr>
          <w:rFonts w:ascii="Times New Roman" w:hAnsi="Times New Roman" w:cs="Times New Roman"/>
          <w:color w:val="auto"/>
          <w:sz w:val="24"/>
          <w:szCs w:val="24"/>
        </w:rPr>
        <w:t xml:space="preserve"> glutathione</w:t>
      </w:r>
      <w:r w:rsidR="00466AE8">
        <w:rPr>
          <w:rFonts w:ascii="Times New Roman" w:hAnsi="Times New Roman" w:cs="Times New Roman"/>
          <w:color w:val="auto"/>
          <w:sz w:val="24"/>
          <w:szCs w:val="24"/>
        </w:rPr>
        <w:t xml:space="preserve"> levels</w:t>
      </w:r>
      <w:r w:rsidR="008E2AF4">
        <w:rPr>
          <w:rFonts w:ascii="Times New Roman" w:hAnsi="Times New Roman" w:cs="Times New Roman"/>
          <w:color w:val="auto"/>
          <w:sz w:val="24"/>
          <w:szCs w:val="24"/>
        </w:rPr>
        <w:t xml:space="preserve"> to protect from oxidative stress </w:t>
      </w:r>
      <w:r w:rsidR="0064624B">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"10.1523/JNEUROSCI.4099-08.2008", "ISSN" : "1529-2401", "PMID" : "19074031", "abstract" : "Activation of the transcription factor Nrf2 in astrocytes coordinates the upregulation of antioxidant defenses and confers protection to neighboring neurons. Dominant mutations in Cu/Zn-superoxide dismutase (SOD1) cause familial forms of amyotrophic lateral sclerosis (ALS), a fatal disorder characterized by the progressive loss of motor neurons. Non-neuronal cells, including astrocytes, shape motor neuron survival in ALS and are a potential target to prevent motor neuron degeneration. The protective effect of Nrf2 activation in astrocytes has never been examined in a chronic model of neurodegeneration. We generated transgenic mice over-expressing Nrf2 selectively in astrocytes using the glial fibrillary acidic protein (GFAP) promoter. The toxicity of astrocytes expressing ALS-linked mutant hSOD1 to cocultured motor neurons was reversed by Nrf2 over-expression. Motor neuron protection depended on increased glutathione secretion from astrocytes. This protective effect was also observed by crossing the GFAP-Nrf2 mice with two ALS-mouse models. Over-expression of Nrf2 in astrocytes significantly delayed onset and extended survival. These findings demonstrate that Nrf2 activation in astrocytes is a viable therapeutic target to prevent chronic neurodegeneration.", "author" : [ { "dropping-particle" : "", "family" : "Vargas", "given" : "Marcelo R", "non-dropping-particle" : "", "parse-names" : false, "suffix" : "" }, { "dropping-particle" : "", "family" : "Johnson", "given" : "Delinda A", "non-dropping-particle" : "", "parse-names" : false, "suffix" : "" }, { "dropping-particle" : "", "family" : "Sirkis", "given" : "Daniel W", "non-dropping-particle" : "", "parse-names" : false, "suffix" : "" }, { "dropping-particle" : "", "family" : "Messing", "given" : "Albee", "non-dropping-particle" : "", "parse-names" : false, "suffix" : "" }, { "dropping-particle" : "", "family" : "Johnson", "given" : "Jeffrey A", "non-dropping-particle" : "", "parse-names" : false, "suffix" : "" } ], "container-title" : "The Journal of neuroscience : the official journal of the Society for Neuroscience", "id" : "ITEM-1", "issue" : "50", "issued" : { "date-parts" : [ [ "2008", "12", "10" ] ] }, "page" : "13574-81", "title" : "Nrf2 activation in astrocytes protects against neurodegeneration in mouse models of familial amyotrophic lateral sclerosis.", "type" : "article-journal", "volume" : "28" }, "uris" : [ "http://www.mendeley.com/documents/?uuid=83822b32-2fd3-4460-8797-62c6da5e7c29" ] }, { "id" : "ITEM-2", "itemData" : { "abstract" : "Astrocytes have a higher antioxidant potential in comparison to neurons. Pathways associated with this selective advantage include the transcriptional regulation of antioxidant enzymes via the action of the Cap`n'Collar transcription factor Nrf2 at the antioxidant response element (ARE). Here we show that Nrf2 overexpression can reengineer neurons to express this glial pathway and enhance antioxidant gene expression. However, Nrf2-mediated protection from oxidative stress is conferred primarily by glia in mixed cultures. The antioxidant properties of Nrf2-overexpressing glia are more pronounced than those of neurons, and a relatively small number of these glia (&lt; 1% of total cell number added) could protect fully cocultured naive neurons from oxidative glutamate toxicity associated with glutathione (GSH) depletion. Microarray and biochemical analyses indicate a coordinated upregulation of enzymes involved in GSH biosynthesis (xCT cystine antiporter, [gamma]-glutamylcysteine synthetase, and GSH synthase), use (glutathione S-transferase and glutathione reductase), and export (multidrug resistance protein 1) with Nrf2 overexpression, leading to an increase in both media and intracellular GSH. Selective inhibition of glial GSH synthesis and the supplementation of media GSH indicated that an Nrf2-dependent increase in glial GSH synthesis was both necessary and sufficient for the protection of neurons, respectively. Neuroprotection was not limited to overexpression of Nrf2, because activation of endogenous glial Nrf2 by the small molecule ARE inducer, tert-butylhydroquinone, also protected against oxidative glutamate toxicity.\n", "author" : [ { "dropping-particle" : "", "family" : "Shih", "given" : "Andy Y.", "non-dropping-particle" : "", "parse-names" : false, "suffix" : "" }, { "dropping-particle" : "", "family" : "Johnson", "given" : "Delinda A.", "non-dropping-particle" : "", "parse-names" : false, "suffix" : "" }, { "dropping-particle" : "", "family" : "Wong", "given" : "Gloria", "non-dropping-particle" : "", "parse-names" : false, "suffix" : "" }, { "dropping-particle" : "", "family" : "Kraft", "given" : "Andrew D.", "non-dropping-particle" : "", "parse-names" : false, "suffix" : "" }, { "dropping-particle" : "", "family" : "Jiang", "given" : "Lei", "non-dropping-particle" : "", "parse-names" : false, "suffix" : "" }, { "dropping-particle" : "", "family" : "Erb", "given" : "Heidi", "non-dropping-particle" : "", "parse-names" : false, "suffix" : "" }, { "dropping-particle" : "", "family" : "Johnson", "given" : "Jeffrey A.", "non-dropping-particle" : "", "parse-names" : false, "suffix" : "" }, { "dropping-particle" : "", "family" : "Murphy", "given" : "Timothy H.", "non-dropping-particle" : "", "parse-names" : false, "suffix" : "" } ], "container-title" : "J. Neurosci.", "id" : "ITEM-2", "issue" : "8", "issued" : { "date-parts" : [ [ "2003", "4", "15" ] ] }, "page" : "3394-3406", "title" : "Coordinate Regulation of Glutathione Biosynthesis and Release by Nrf2-Expressing Glia Potently Protects Neurons from Oxidative Stress", "type" : "article-journal", "volume" : "23" }, "uris" : [ "http://www.mendeley.com/documents/?uuid=e164f685-bbe9-4aef-a893-fe8f5cafc922" ] } ], "mendeley" : { "formattedCitation" : "(Vargas et al. 2008; Shih et al. 2003)", "plainTextFormattedCitation" : "(Vargas et al. 2008; Shih et al. 2003)", "previouslyFormattedCitation" : "(Vargas et al. 2008; Shih et al. 2003)" }, "properties" : { "noteIndex" : 0 }, "schema" : "https://github.com/citation-style-language/schema/raw/master/csl-citation.json" }</w:instrText>
      </w:r>
      <w:r w:rsidR="0064624B">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(Vargas et al. 2008; Shih et al. 2003)</w:t>
      </w:r>
      <w:r w:rsidR="0064624B">
        <w:rPr>
          <w:rFonts w:ascii="Times New Roman" w:hAnsi="Times New Roman" w:cs="Times New Roman"/>
          <w:color w:val="auto"/>
          <w:sz w:val="24"/>
          <w:szCs w:val="24"/>
        </w:rPr>
        <w:fldChar w:fldCharType="end"/>
      </w:r>
      <w:r w:rsidR="00EA7E74">
        <w:rPr>
          <w:rFonts w:ascii="Times New Roman" w:hAnsi="Times New Roman" w:cs="Times New Roman"/>
          <w:color w:val="auto"/>
          <w:sz w:val="24"/>
          <w:szCs w:val="24"/>
        </w:rPr>
        <w:t xml:space="preserve"> and increase</w:t>
      </w:r>
      <w:r w:rsidR="00C40D04">
        <w:rPr>
          <w:rFonts w:ascii="Times New Roman" w:hAnsi="Times New Roman" w:cs="Times New Roman"/>
          <w:color w:val="auto"/>
          <w:sz w:val="24"/>
          <w:szCs w:val="24"/>
        </w:rPr>
        <w:t xml:space="preserve"> trophic support, </w:t>
      </w:r>
      <w:r w:rsidR="00EA7E74">
        <w:rPr>
          <w:rFonts w:ascii="Times New Roman" w:hAnsi="Times New Roman" w:cs="Times New Roman"/>
          <w:color w:val="auto"/>
          <w:sz w:val="24"/>
          <w:szCs w:val="24"/>
        </w:rPr>
        <w:t>which includes</w:t>
      </w:r>
      <w:r w:rsidR="00C40D04">
        <w:rPr>
          <w:rFonts w:ascii="Times New Roman" w:hAnsi="Times New Roman" w:cs="Times New Roman"/>
          <w:color w:val="auto"/>
          <w:sz w:val="24"/>
          <w:szCs w:val="24"/>
        </w:rPr>
        <w:t xml:space="preserve"> upregulation of IGF1 </w:t>
      </w:r>
      <w:r w:rsidR="00C40D04">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"ISSN" : "0306-4522", "PMID" : "8515840", "abstract" : "The central nervous system responds to diverse neurologic injuries with a vigorous activation of astrocytes. While this phenomenon is found in many different species, its function is obscure. Understanding the molecular profile characteristic of reactive astrocytes should help define their function. The purpose of this review is to provide a summary of molecules whose levels of expression differentiate activated from resting astrocytes and to use the molecular profile of reactive astrocytes as the basis for speculations on the functions of these cells. At present, reactive astrocytosis is defined primarily as an increase in the number and size of cells expressing glial fibrillary acidic protein. In vivo, this increase in glial fibrillary acidic protein-positive cells reflects predominantly phenotypic changes of resident astroglia rather than migration or proliferation of such cells. Upon activation, astrocytes upmodulate the expression of a large number of molecules. From this molecular profile it becomes apparent that reactive astrocytes may benefit the injured nervous system by participating in diverse biological processes. For example, upregulation of proteases and protease inhibitors could help remodel the extracellular matrix, regulate the concentration of different proteins in the neuropil and clear up debris from degenerating cells. Cytokines are key mediators of immunity and inflammation and could play a critical role in the regulation of the blood-central nervous system interface. Neurotrophic factors, transporter molecules and enzymes involved in the metabolism of excitotoxic amino acids or in the antioxidant pathway may help protect neurons and other brain cells by controlling neurotoxin levels and contributing to homeostasis within the central nervous system. Therefore, an impairment of astroglial performance has the potential to exacerbate neuronal dysfunction. Based on the synopsis of studies presented, a number of issues become apparent that deserve a more extensive analysis. Among them are the relative contribution of microglia and astrocytes to early wound repair, the characterization of astroglial subpopulations, the specificity of the astroglial response in different diseases as well as the analysis of reactive astrocytes with techniques that can resolve fast physiologic processes. Differences between reactive astrocytes in vivo and primary astrocytes in culture are discussed and underline the need for the development and exploitation\u2026", "author" : [ { "dropping-particle" : "", "family" : "Eddleston", "given" : "M", "non-dropping-particle" : "", "parse-names" : false, "suffix" : "" }, { "dropping-particle" : "", "family" : "Mucke", "given" : "L", "non-dropping-particle" : "", "parse-names" : false, "suffix" : "" } ], "container-title" : "Neuroscience", "id" : "ITEM-1", "issue" : "1", "issued" : { "date-parts" : [ [ "1993", "5" ] ] }, "page" : "15-36", "title" : "Molecular profile of reactive astrocytes--implications for their role in neurologic disease.", "type" : "article-journal", "volume" : "54" }, "uris" : [ "http://www.mendeley.com/documents/?uuid=b072602c-8982-4071-a76f-1fa23fdcbce6" ] } ], "mendeley" : { "formattedCitation" : "(Eddleston &amp; Mucke 1993)", "plainTextFormattedCitation" : "(Eddleston &amp; Mucke 1993)", "previouslyFormattedCitation" : "(Eddleston &amp; Mucke 1993)" }, "properties" : { "noteIndex" : 0 }, "schema" : "https://github.com/citation-style-language/schema/raw/master/csl-citation.json" }</w:instrText>
      </w:r>
      <w:r w:rsidR="00C40D04">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(Eddleston &amp; Mucke 1993)</w:t>
      </w:r>
      <w:r w:rsidR="00C40D04">
        <w:rPr>
          <w:rFonts w:ascii="Times New Roman" w:hAnsi="Times New Roman" w:cs="Times New Roman"/>
          <w:color w:val="auto"/>
          <w:sz w:val="24"/>
          <w:szCs w:val="24"/>
        </w:rPr>
        <w:fldChar w:fldCharType="end"/>
      </w:r>
      <w:r w:rsidR="008E2AF4">
        <w:rPr>
          <w:rFonts w:ascii="Times New Roman" w:hAnsi="Times New Roman" w:cs="Times New Roman"/>
          <w:color w:val="auto"/>
          <w:sz w:val="24"/>
          <w:szCs w:val="24"/>
        </w:rPr>
        <w:t>.</w:t>
      </w:r>
      <w:r w:rsidR="00F31786">
        <w:rPr>
          <w:rFonts w:ascii="Times New Roman" w:hAnsi="Times New Roman" w:cs="Times New Roman"/>
          <w:color w:val="auto"/>
          <w:sz w:val="24"/>
          <w:szCs w:val="24"/>
        </w:rPr>
        <w:t xml:space="preserve"> </w:t>
      </w:r>
      <w:r w:rsidR="00EE74EF">
        <w:rPr>
          <w:rFonts w:ascii="Times New Roman" w:hAnsi="Times New Roman" w:cs="Times New Roman"/>
          <w:color w:val="auto"/>
          <w:sz w:val="24"/>
          <w:szCs w:val="24"/>
        </w:rPr>
        <w:t xml:space="preserve">These changes </w:t>
      </w:r>
      <w:r w:rsidR="007A08A2">
        <w:rPr>
          <w:rFonts w:ascii="Times New Roman" w:hAnsi="Times New Roman" w:cs="Times New Roman"/>
          <w:color w:val="auto"/>
          <w:sz w:val="24"/>
          <w:szCs w:val="24"/>
        </w:rPr>
        <w:t xml:space="preserve">may reflect increased physiological demands on the astrocyte that </w:t>
      </w:r>
      <w:r w:rsidR="0064624B">
        <w:rPr>
          <w:rFonts w:ascii="Times New Roman" w:hAnsi="Times New Roman" w:cs="Times New Roman"/>
          <w:color w:val="auto"/>
          <w:sz w:val="24"/>
          <w:szCs w:val="24"/>
        </w:rPr>
        <w:t>may be</w:t>
      </w:r>
      <w:r w:rsidR="007A08A2">
        <w:rPr>
          <w:rFonts w:ascii="Times New Roman" w:hAnsi="Times New Roman" w:cs="Times New Roman"/>
          <w:color w:val="auto"/>
          <w:sz w:val="24"/>
          <w:szCs w:val="24"/>
        </w:rPr>
        <w:t xml:space="preserve"> met by increasing metabolism and protein synthesis</w:t>
      </w:r>
      <w:r w:rsidR="005A5A97">
        <w:rPr>
          <w:rFonts w:ascii="Times New Roman" w:hAnsi="Times New Roman" w:cs="Times New Roman"/>
          <w:color w:val="auto"/>
          <w:sz w:val="24"/>
          <w:szCs w:val="24"/>
        </w:rPr>
        <w:t>, such as GFAP</w:t>
      </w:r>
      <w:r w:rsidR="007A08A2">
        <w:rPr>
          <w:rFonts w:ascii="Times New Roman" w:hAnsi="Times New Roman" w:cs="Times New Roman"/>
          <w:color w:val="auto"/>
          <w:sz w:val="24"/>
          <w:szCs w:val="24"/>
        </w:rPr>
        <w:t xml:space="preserve">. </w:t>
      </w:r>
      <w:r w:rsidR="003A09A6">
        <w:rPr>
          <w:rFonts w:ascii="Times New Roman" w:hAnsi="Times New Roman" w:cs="Times New Roman"/>
          <w:color w:val="auto"/>
          <w:sz w:val="24"/>
          <w:szCs w:val="24"/>
        </w:rPr>
        <w:t>However, i</w:t>
      </w:r>
      <w:r w:rsidR="00F31786">
        <w:rPr>
          <w:rFonts w:ascii="Times New Roman" w:hAnsi="Times New Roman" w:cs="Times New Roman"/>
          <w:color w:val="auto"/>
          <w:sz w:val="24"/>
          <w:szCs w:val="24"/>
        </w:rPr>
        <w:t xml:space="preserve">ncreased </w:t>
      </w:r>
      <w:r w:rsidR="00252148">
        <w:rPr>
          <w:rFonts w:ascii="Times New Roman" w:hAnsi="Times New Roman" w:cs="Times New Roman"/>
          <w:color w:val="auto"/>
          <w:sz w:val="24"/>
          <w:szCs w:val="24"/>
        </w:rPr>
        <w:t xml:space="preserve">astrogliosis </w:t>
      </w:r>
      <w:r w:rsidR="00F21037">
        <w:rPr>
          <w:rFonts w:ascii="Times New Roman" w:hAnsi="Times New Roman" w:cs="Times New Roman"/>
          <w:color w:val="auto"/>
          <w:sz w:val="24"/>
          <w:szCs w:val="24"/>
        </w:rPr>
        <w:t xml:space="preserve">also correlates with different pathologies </w:t>
      </w:r>
      <w:r w:rsidR="00252148">
        <w:rPr>
          <w:rFonts w:ascii="Times New Roman" w:hAnsi="Times New Roman" w:cs="Times New Roman"/>
          <w:color w:val="auto"/>
          <w:sz w:val="24"/>
          <w:szCs w:val="24"/>
        </w:rPr>
        <w:t>found in neurodegenerative disorders,</w:t>
      </w:r>
      <w:r w:rsidR="004679DE">
        <w:rPr>
          <w:rFonts w:ascii="Times New Roman" w:hAnsi="Times New Roman" w:cs="Times New Roman"/>
          <w:color w:val="auto"/>
          <w:sz w:val="24"/>
          <w:szCs w:val="24"/>
        </w:rPr>
        <w:t xml:space="preserve"> including</w:t>
      </w:r>
      <w:r w:rsidR="00252148">
        <w:rPr>
          <w:rFonts w:ascii="Times New Roman" w:hAnsi="Times New Roman" w:cs="Times New Roman"/>
          <w:color w:val="auto"/>
          <w:sz w:val="24"/>
          <w:szCs w:val="24"/>
        </w:rPr>
        <w:t xml:space="preserve"> </w:t>
      </w:r>
      <w:r w:rsidR="004679DE">
        <w:rPr>
          <w:rFonts w:ascii="Times New Roman" w:hAnsi="Times New Roman" w:cs="Times New Roman"/>
          <w:color w:val="auto"/>
          <w:sz w:val="24"/>
          <w:szCs w:val="24"/>
        </w:rPr>
        <w:t>an</w:t>
      </w:r>
      <w:r w:rsidR="00591436">
        <w:rPr>
          <w:rFonts w:ascii="Times New Roman" w:hAnsi="Times New Roman" w:cs="Times New Roman"/>
          <w:color w:val="auto"/>
          <w:sz w:val="24"/>
          <w:szCs w:val="24"/>
        </w:rPr>
        <w:t xml:space="preserve"> association </w:t>
      </w:r>
      <w:r w:rsidR="00252148">
        <w:rPr>
          <w:rFonts w:ascii="Times New Roman" w:hAnsi="Times New Roman" w:cs="Times New Roman"/>
          <w:color w:val="auto"/>
          <w:sz w:val="24"/>
          <w:szCs w:val="24"/>
        </w:rPr>
        <w:t xml:space="preserve">with </w:t>
      </w:r>
      <w:r w:rsidR="003E168F">
        <w:rPr>
          <w:rFonts w:ascii="Times New Roman" w:hAnsi="Times New Roman" w:cs="Times New Roman"/>
          <w:color w:val="auto"/>
          <w:sz w:val="24"/>
          <w:szCs w:val="24"/>
        </w:rPr>
        <w:t>AD- type pathology</w:t>
      </w:r>
      <w:r w:rsidR="00BA1387">
        <w:rPr>
          <w:rFonts w:ascii="Times New Roman" w:hAnsi="Times New Roman" w:cs="Times New Roman"/>
          <w:color w:val="auto"/>
          <w:sz w:val="24"/>
          <w:szCs w:val="24"/>
        </w:rPr>
        <w:t xml:space="preserve">. </w:t>
      </w:r>
      <w:r w:rsidR="00E5091A">
        <w:rPr>
          <w:rFonts w:ascii="Times New Roman" w:hAnsi="Times New Roman" w:cs="Times New Roman"/>
          <w:color w:val="auto"/>
          <w:sz w:val="24"/>
          <w:szCs w:val="24"/>
        </w:rPr>
        <w:t>U</w:t>
      </w:r>
      <w:r w:rsidR="00BA1387">
        <w:rPr>
          <w:rFonts w:ascii="Times New Roman" w:hAnsi="Times New Roman" w:cs="Times New Roman"/>
          <w:color w:val="auto"/>
          <w:sz w:val="24"/>
          <w:szCs w:val="24"/>
        </w:rPr>
        <w:t xml:space="preserve">nfavourable changes in ECM (extracellular matrix) and inflammatory processes associated with astrogliosis </w:t>
      </w:r>
      <w:r w:rsidR="00E5091A">
        <w:rPr>
          <w:rFonts w:ascii="Times New Roman" w:hAnsi="Times New Roman" w:cs="Times New Roman"/>
          <w:color w:val="auto"/>
          <w:sz w:val="24"/>
          <w:szCs w:val="24"/>
        </w:rPr>
        <w:t>may</w:t>
      </w:r>
      <w:r w:rsidR="00BA1387">
        <w:rPr>
          <w:rFonts w:ascii="Times New Roman" w:hAnsi="Times New Roman" w:cs="Times New Roman"/>
          <w:color w:val="auto"/>
          <w:sz w:val="24"/>
          <w:szCs w:val="24"/>
        </w:rPr>
        <w:t xml:space="preserve"> contribute to</w:t>
      </w:r>
      <w:r w:rsidR="003E168F">
        <w:rPr>
          <w:rFonts w:ascii="Times New Roman" w:hAnsi="Times New Roman" w:cs="Times New Roman"/>
          <w:color w:val="auto"/>
          <w:sz w:val="24"/>
          <w:szCs w:val="24"/>
        </w:rPr>
        <w:t xml:space="preserve"> disease </w:t>
      </w:r>
      <w:r w:rsidR="003E168F" w:rsidRPr="000E10D6">
        <w:rPr>
          <w:rFonts w:ascii="Times New Roman" w:hAnsi="Times New Roman" w:cs="Times New Roman"/>
          <w:color w:val="auto"/>
          <w:sz w:val="24"/>
          <w:szCs w:val="24"/>
        </w:rPr>
        <w:t>progression</w:t>
      </w:r>
      <w:r w:rsidR="00B55408" w:rsidRPr="000E10D6">
        <w:rPr>
          <w:rFonts w:ascii="Times New Roman" w:hAnsi="Times New Roman" w:cs="Times New Roman"/>
          <w:color w:val="auto"/>
          <w:sz w:val="24"/>
          <w:szCs w:val="24"/>
        </w:rPr>
        <w:t xml:space="preserve"> </w:t>
      </w:r>
      <w:r w:rsidR="00B55408" w:rsidRPr="000E10D6">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"10.1186/1742-2094-3-15", "ISSN" : "1742-2094", "PMID" : "16808851", "abstract" : "The cytokines IL-1alpha and IL-1beta are induced rapidly after insults to the CNS, and their subsequent signaling through the type 1 IL-1 receptor (IL-1R1) has been regarded as essential for a normal astroglial and microglial/macrophage response. To determine whether abrogating signaling through the IL-1R1 will alter the cardinal astrocytic responses to injury, we analyzed molecules characteristic of activated astrocytes in response to a penetrating stab wound in wild type mice and mice with a targeted deletion of IL-1R1. Here we show that after a stab wound injury, glial fibrillary acidic protein (GFAP) induction on a per cell basis is delayed in the IL-1R1-null mice compared to wild type counterparts. However, the induction of chondroitin sulfate proteoglycans, tenascin, S-100B as well as glutamate transporter proteins, GLAST and GLT-1, and glutamine synthetase are independent of IL-1RI signaling. Cumulatively, our studies on gliosis in the IL-1R1-null mice indicate that abrogating IL-1R1 signaling delays some responses of astroglial activation; however, many of the important neuroprotective adaptations of astrocytes to brain trauma are preserved. These data recommend the continued development of therapeutics to abrogate IL-1R1 signaling to treat traumatic brain injuries. However, astroglial scar related proteins were induced irrespective of blocking IL-1R1 signaling and thus, other therapeutic strategies will be required to inhibit glial scarring.", "author" : [ { "dropping-particle" : "", "family" : "Lin", "given" : "Hsiao-Wen", "non-dropping-particle" : "", "parse-names" : false, "suffix" : "" }, { "dropping-particle" : "", "family" : "Basu", "given" : "Anirban", "non-dropping-particle" : "", "parse-names" : false, "suffix" : "" }, { "dropping-particle" : "", "family" : "Druckman", "given" : "Charles", "non-dropping-particle" : "", "parse-names" : false, "suffix" : "" }, { "dropping-particle" : "", "family" : "Cicchese", "given" : "Michael", "non-dropping-particle" : "", "parse-names" : false, "suffix" : "" }, { "dropping-particle" : "", "family" : "Krady", "given" : "J Kyle", "non-dropping-particle" : "", "parse-names" : false, "suffix" : "" }, { "dropping-particle" : "", "family" : "Levison", "given" : "Steven W", "non-dropping-particle" : "", "parse-names" : false, "suffix" : "" } ], "container-title" : "Journal of neuroinflammation", "id" : "ITEM-1", "issue" : "1", "issued" : { "date-parts" : [ [ "2006", "1" ] ] }, "page" : "15", "title" : "Astrogliosis is delayed in type 1 interleukin-1 receptor-null mice following a penetrating brain injury.", "type" : "article-journal", "volume" : "3" }, "uris" : [ "http://www.mendeley.com/documents/?uuid=bcc4ce1b-339a-466d-8f18-90de5ed14213" ] }, { "id" : "ITEM-2", "itemData" : { "DOI" : "10.1016/j.mcn.2010.03.013", "ISSN" : "1095-9327", "PMID" : "20380881", "abstract" : "The extracellular matrix (ECM) of the brain is essential for homeostasis and normal functions, but is rapidly remodelled during acute brain injury alongside the development of an inflammatory response driven by the cytokine interleukin (IL)-1. Whether the ECM regulates IL-1 actions in astrocytes is completely unknown. The aim of this study was to test the hypothesis that cellular attachment to the ECM is a critical mediator of IL-1beta-induced signalling pathways and development of reactive phenotype in astrocytes. Primary rat astrocytes adhered to fibronectin, laminin and fibrillin-1 in an integrin-dependent manner. Attachment to these ECM molecules significantly increased IL-1beta-induced activation of extracellular signal-regulated kinase 1/2 (ERK1/2) and inhibition of RhoA and Rho kinase (ROCK), coincident with loss of focal adhesions and cellular morphological changes. Our data demonstrate that the ECM regulates IL-1 actions in astrocytes via cross-talk mechanisms between ERK1/2 and RhoA/ROCK, which could have important implications in brain inflammatory disorders.", "author" : [ { "dropping-particle" : "", "family" : "Summers", "given" : "Lauren", "non-dropping-particle" : "", "parse-names" : false, "suffix" : "" }, { "dropping-particle" : "", "family" : "Kangwantas", "given" : "Korakoch", "non-dropping-particle" : "", "parse-names" : false, "suffix" : "" }, { "dropping-particle" : "", "family" : "Nguyen", "given" : "Loan", "non-dropping-particle" : "", "parse-names" : false, "suffix" : "" }, { "dropping-particle" : "", "family" : "Kielty", "given" : "Cay", "non-dropping-particle" : "", "parse-names" : false, "suffix" : "" }, { "dropping-particle" : "", "family" : "Pinteaux", "given" : "Emmanuel", "non-dropping-particle" : "", "parse-names" : false, "suffix" : "" } ], "container-title" : "Molecular and cellular neurosciences", "id" : "ITEM-2", "issue" : "3", "issued" : { "date-parts" : [ [ "2010", "7" ] ] }, "page" : "272-81", "publisher" : "Elsevier", "title" : "Adhesion to the extracellular matrix is required for interleukin-1 beta actions leading to reactive phenotype in rat astrocytes.", "type" : "article-journal", "volume" : "44" }, "uris" : [ "http://www.mendeley.com/documents/?uuid=8bbdfa28-a6b7-3ff6-b30e-b12f7cb4c19c" ] } ], "mendeley" : { "formattedCitation" : "(Lin et al. 2006; Summers et al. 2010)", "plainTextFormattedCitation" : "(Lin et al. 2006; Summers et al. 2010)", "previouslyFormattedCitation" : "(Lin et al. 2006; Summers et al. 2010)" }, "properties" : { "noteIndex" : 0 }, "schema" : "https://github.com/citation-style-language/schema/raw/master/csl-citation.json" }</w:instrText>
      </w:r>
      <w:r w:rsidR="00B55408" w:rsidRPr="000E10D6">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(Lin et al. 2006; Summers et al. 2010)</w:t>
      </w:r>
      <w:r w:rsidR="00B55408" w:rsidRPr="000E10D6">
        <w:rPr>
          <w:rFonts w:ascii="Times New Roman" w:hAnsi="Times New Roman" w:cs="Times New Roman"/>
          <w:color w:val="auto"/>
          <w:sz w:val="24"/>
          <w:szCs w:val="24"/>
        </w:rPr>
        <w:fldChar w:fldCharType="end"/>
      </w:r>
      <w:r w:rsidR="00B55408" w:rsidRPr="000E10D6">
        <w:rPr>
          <w:rFonts w:ascii="Times New Roman" w:hAnsi="Times New Roman" w:cs="Times New Roman"/>
          <w:color w:val="auto"/>
          <w:sz w:val="24"/>
          <w:szCs w:val="24"/>
        </w:rPr>
        <w:t>.</w:t>
      </w:r>
    </w:p>
    <w:p w14:paraId="40398C9C" w14:textId="77777777" w:rsidR="00722323" w:rsidRPr="00722323" w:rsidRDefault="00722323" w:rsidP="00EF2AF4">
      <w:pPr>
        <w:pStyle w:val="Body"/>
        <w:spacing w:line="360" w:lineRule="auto"/>
        <w:jc w:val="both"/>
        <w:rPr>
          <w:rFonts w:ascii="Times New Roman" w:hAnsi="Times New Roman" w:cs="Times New Roman"/>
          <w:color w:val="auto"/>
          <w:sz w:val="24"/>
          <w:szCs w:val="24"/>
        </w:rPr>
      </w:pPr>
    </w:p>
    <w:p w14:paraId="54A31224" w14:textId="77777777" w:rsidR="00233453" w:rsidRDefault="00EA7E74" w:rsidP="00233453">
      <w:pPr>
        <w:pStyle w:val="Body"/>
        <w:spacing w:line="240" w:lineRule="auto"/>
        <w:jc w:val="both"/>
        <w:rPr>
          <w:rFonts w:ascii="Times New Roman" w:hAnsi="Times New Roman" w:cs="Times New Roman"/>
          <w:b/>
          <w:i/>
          <w:color w:val="FF0000"/>
          <w:sz w:val="24"/>
          <w:szCs w:val="24"/>
          <w:u w:val="single"/>
        </w:rPr>
      </w:pPr>
      <w:r>
        <w:rPr>
          <w:rFonts w:ascii="Times New Roman" w:hAnsi="Times New Roman" w:cs="Times New Roman"/>
          <w:b/>
          <w:i/>
          <w:color w:val="auto"/>
          <w:sz w:val="24"/>
          <w:szCs w:val="24"/>
          <w:u w:val="single"/>
        </w:rPr>
        <w:t>Astrogliosis in AD</w:t>
      </w:r>
    </w:p>
    <w:p w14:paraId="1E555045" w14:textId="265A1F6E" w:rsidR="00EF2AF4" w:rsidRPr="00233453" w:rsidRDefault="00EF2AF4" w:rsidP="00EF2AF4">
      <w:pPr>
        <w:pStyle w:val="Body"/>
        <w:spacing w:line="360" w:lineRule="auto"/>
        <w:jc w:val="both"/>
        <w:rPr>
          <w:rFonts w:ascii="Times New Roman" w:hAnsi="Times New Roman" w:cs="Times New Roman"/>
          <w:b/>
          <w:i/>
          <w:color w:val="FF0000"/>
          <w:sz w:val="24"/>
          <w:szCs w:val="24"/>
          <w:u w:val="single"/>
        </w:rPr>
      </w:pPr>
      <w:r w:rsidRPr="00EF2AF4">
        <w:rPr>
          <w:rFonts w:ascii="Times New Roman" w:hAnsi="Times New Roman" w:cs="Times New Roman"/>
          <w:sz w:val="24"/>
          <w:szCs w:val="24"/>
        </w:rPr>
        <w:t>Using GFAP as the histological marker of astrogliosis, the relationship of reactive astrocytes to Alzheimer-type pathology has been examined. GFAP expression has been shown to correlate with increasing Braak</w:t>
      </w:r>
      <w:r w:rsidR="004679DE">
        <w:rPr>
          <w:rFonts w:ascii="Times New Roman" w:hAnsi="Times New Roman" w:cs="Times New Roman"/>
          <w:sz w:val="24"/>
          <w:szCs w:val="24"/>
        </w:rPr>
        <w:t xml:space="preserve"> neurofibrillary tangle</w:t>
      </w:r>
      <w:r w:rsidRPr="00EF2AF4">
        <w:rPr>
          <w:rFonts w:ascii="Times New Roman" w:hAnsi="Times New Roman" w:cs="Times New Roman"/>
          <w:sz w:val="24"/>
          <w:szCs w:val="24"/>
        </w:rPr>
        <w:t xml:space="preserve"> stage (tau burden) </w:t>
      </w:r>
      <w:r w:rsidR="000C30C3">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"10.1016/j.neurobiolaging.2008.05.015", "ISSN" : "1558-1497", "PMID" : "18586353", "abstract" : "Astrocyte pathology occurs in association with Alzheimer's disease (AD) and in brain ageing, but is poorly characterised. We sought to define the detailed cellular pathology of astrocytes, the extent of population variation and the relationship to Alzheimer-type changes in a population-based cohort. Three staining patterns were associated with GFAP and excitatory amino acid transporter 2 (EAAT2): minimal, moderate or extensive immunoreactivity. GFAP and EAAT2 expression were inversely related (p=0.015), with trends to increased expression of GFAP (p=0.019) and decreased expression of EAAT2 (p=ns) with increasing Braak stage. GFAP and EAAT2 correlated incompletely with beta-amyloid and tau immunoreactivity. However, gliosis increased with increasing burden of neuritic (p=0.011), but not diffuse (p=ns), plaques. Double-staining revealed distinct subsets of astrocytes; GFAP(+)EAAT(-), GFAP(-)EAAT(+), or GFAP(+)EAAT(+). In contrast to the variation in GFAP and EAAT2, levels of EAAT1 and S100B showed consistent staining patterns. Alzheimer-type pathology only partially explains the variation in gliosis and astrocyte functional markers, suggesting that other factors contribute to the population variance in astrocyte pathology.", "author" : [ { "dropping-particle" : "", "family" : "Simpson", "given" : "J E", "non-dropping-particle" : "", "parse-names" : false, "suffix" : "" }, { "dropping-particle" : "", "family" : "Ince", "given" : "P G", "non-dropping-particle" : "", "parse-names" : false, "suffix" : "" }, { "dropping-particle" : "", "family" : "Lace", "given" : "G", "non-dropping-particle" : "", "parse-names" : false, "suffix" : "" }, { "dropping-particle" : "", "family" : "Forster", "given" : "G", "non-dropping-particle" : "", "parse-names" : false, "suffix" : "" }, { "dropping-particle" : "", "family" : "Shaw", "given" : "P J", "non-dropping-particle" : "", "parse-names" : false, "suffix" : "" }, { "dropping-particle" : "", "family" : "Matthews", "given" : "F", "non-dropping-particle" : "", "parse-names" : false, "suffix" : "" }, { "dropping-particle" : "", "family" : "Savva", "given" : "G", "non-dropping-particle" : "", "parse-names" : false, "suffix" : "" }, { "dropping-particle" : "", "family" : "Brayne", "given" : "C", "non-dropping-particle" : "", "parse-names" : false, "suffix" : "" }, { "dropping-particle" : "", "family" : "Wharton", "given" : "S B", "non-dropping-particle" : "", "parse-names" : false, "suffix" : "" } ], "container-title" : "Neurobiology of aging", "id" : "ITEM-1", "issue" : "4", "issued" : { "date-parts" : [ [ "2010", "4" ] ] }, "page" : "578-90", "title" : "Astrocyte phenotype in relation to Alzheimer-type pathology in the ageing brain.", "type" : "article-journal", "volume" : "31" }, "uris" : [ "http://www.mendeley.com/documents/?uuid=777358ad-cb13-402e-b071-9f6976f101f9" ] } ], "mendeley" : { "formattedCitation" : "(J E Simpson, Ince, Lace, et al. 2010)", "plainTextFormattedCitation" : "(J E Simpson, Ince, Lace, et al. 2010)", "previouslyFormattedCitation" : "(J E Simpson, Ince, Lace, et al. 2010)" }, "properties" : { "noteIndex" : 0 }, "schema" : "https://github.com/citation-style-language/schema/raw/master/csl-citation.json" }</w:instrText>
      </w:r>
      <w:r w:rsidR="000C30C3">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(J E Simpson, Ince, Lace, et al. 2010)</w:t>
      </w:r>
      <w:r w:rsidR="000C30C3">
        <w:rPr>
          <w:rFonts w:ascii="Times New Roman" w:hAnsi="Times New Roman" w:cs="Times New Roman"/>
          <w:sz w:val="24"/>
          <w:szCs w:val="24"/>
        </w:rPr>
        <w:fldChar w:fldCharType="end"/>
      </w:r>
      <w:r w:rsidR="00F1646A">
        <w:rPr>
          <w:rFonts w:ascii="Times New Roman" w:hAnsi="Times New Roman" w:cs="Times New Roman"/>
          <w:sz w:val="24"/>
          <w:szCs w:val="24"/>
        </w:rPr>
        <w:t xml:space="preserve"> and higher levels of GFAP have been found in the </w:t>
      </w:r>
      <w:r w:rsidR="00D47D96">
        <w:rPr>
          <w:rFonts w:ascii="Times New Roman" w:hAnsi="Times New Roman" w:cs="Times New Roman"/>
          <w:sz w:val="24"/>
          <w:szCs w:val="24"/>
        </w:rPr>
        <w:t xml:space="preserve">CSF </w:t>
      </w:r>
      <w:r w:rsidR="00B70187">
        <w:rPr>
          <w:rFonts w:ascii="Times New Roman" w:hAnsi="Times New Roman" w:cs="Times New Roman"/>
          <w:sz w:val="24"/>
          <w:szCs w:val="24"/>
        </w:rPr>
        <w:t>of</w:t>
      </w:r>
      <w:r w:rsidR="00D47D96">
        <w:rPr>
          <w:rFonts w:ascii="Times New Roman" w:hAnsi="Times New Roman" w:cs="Times New Roman"/>
          <w:sz w:val="24"/>
          <w:szCs w:val="24"/>
        </w:rPr>
        <w:t xml:space="preserve"> AD patients </w:t>
      </w:r>
      <w:r w:rsidR="00D47D96">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"50753", "ISSN" : "0014-3022", "PMID" : "11455181", "abstract" : "To gain insight of the underlying mechanisms of astroglial response to Alzheimer's disease (AD), the level of glial fibrillary acidic protein (GFAP) in cerebrospinal fluid (CSF) from controls and AD subjects were immunochemically determined, and the correlation between that level and dementia severity of AD patients was evaluated. Means and SD of CSF levels of GFAP for the young control group (from 1 to 25 years, mean +/- SD 14.2 +/- 5.0, n = 13) adult control (from 26 to 55 years, 41.6 +/- 10.1, n = 9) and senescent control (older than 56 years, 65.4 +/- 8.0, n = 8) were 2.96 +/- 1.04, 2.80 +/- 1.46 and 3.99 +/- 1.55 ng/ml, respectively, and the CSF level of GFAP was not dependent on age (ANOVA, p = 0.17). While that of the AD patient group (n = 27, 70.8 +/- 8.0 years) was 8.96 +/- 7.80 ng/ml, significantly higher than that of both the all-control (3.19 +/- 1.39 ng/ml, t test, p &lt; 0.001) and age-matched senescent (3.99 +/- 1.55 ng/ml, t test, p &lt; 0.005) control groups. The receiver-operator characteristic (ROC) curve revealed that the GFAP concentration at 5 ng/ml in CSF could serve as a cutoff value. The CSF level of GFAP in the moderately to severely demented patients (MMSE &lt;/= 17, 13.2 +/- 9.10 ng/ml, n = 9) was approximately by two-fold higher than that of the mildly to moderately demented patients (MMSE &gt;/= 18, 6.85 +/- 5.76 ng/ml, n = 18; ANOVA, p &lt; 0.05). These findings together with our previous report on an increase in the CSF level of apolipoprotein E suggest that degeneration and stimulation of astrocytes takes place concurrently in the AD brain.", "author" : [ { "dropping-particle" : "", "family" : "Fukuyama", "given" : "R", "non-dropping-particle" : "", "parse-names" : false, "suffix" : "" }, { "dropping-particle" : "", "family" : "Izumoto", "given" : "T", "non-dropping-particle" : "", "parse-names" : false, "suffix" : "" }, { "dropping-particle" : "", "family" : "Fushiki", "given" : "S", "non-dropping-particle" : "", "parse-names" : false, "suffix" : "" } ], "container-title" : "European neurology", "id" : "ITEM-1", "issue" : "1", "issued" : { "date-parts" : [ [ "2001", "1" ] ] }, "page" : "35-8", "title" : "The cerebrospinal fluid level of glial fibrillary acidic protein is increased in cerebrospinal fluid from Alzheimer's disease patients and correlates with severity of dementia.", "type" : "article-journal", "volume" : "46" }, "uris" : [ "http://www.mendeley.com/documents/?uuid=4a2b4f91-bde7-4098-a6ec-dbf69707c650" ] } ], "mendeley" : { "formattedCitation" : "(Fukuyama et al. 2001)", "plainTextFormattedCitation" : "(Fukuyama et al. 2001)", "previouslyFormattedCitation" : "(Fukuyama et al. 2001)" }, "properties" : { "noteIndex" : 0 }, "schema" : "https://github.com/citation-style-language/schema/raw/master/csl-citation.json" }</w:instrText>
      </w:r>
      <w:r w:rsidR="00D47D96">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(Fukuyama et al. 2001)</w:t>
      </w:r>
      <w:r w:rsidR="00D47D96">
        <w:rPr>
          <w:rFonts w:ascii="Times New Roman" w:hAnsi="Times New Roman" w:cs="Times New Roman"/>
          <w:sz w:val="24"/>
          <w:szCs w:val="24"/>
        </w:rPr>
        <w:fldChar w:fldCharType="end"/>
      </w:r>
      <w:r w:rsidR="00F1646A">
        <w:rPr>
          <w:rFonts w:ascii="Times New Roman" w:hAnsi="Times New Roman" w:cs="Times New Roman"/>
          <w:sz w:val="24"/>
          <w:szCs w:val="24"/>
        </w:rPr>
        <w:t>.</w:t>
      </w:r>
      <w:r w:rsidRPr="00EF2AF4">
        <w:rPr>
          <w:rFonts w:ascii="Times New Roman" w:hAnsi="Times New Roman" w:cs="Times New Roman"/>
          <w:sz w:val="24"/>
          <w:szCs w:val="24"/>
        </w:rPr>
        <w:t xml:space="preserve"> </w:t>
      </w:r>
      <w:r w:rsidR="00F21037">
        <w:rPr>
          <w:rFonts w:ascii="Times New Roman" w:hAnsi="Times New Roman" w:cs="Times New Roman"/>
          <w:sz w:val="24"/>
          <w:szCs w:val="24"/>
        </w:rPr>
        <w:t>In addition, a</w:t>
      </w:r>
      <w:r w:rsidR="007C323C">
        <w:rPr>
          <w:rFonts w:ascii="Times New Roman" w:hAnsi="Times New Roman" w:cs="Times New Roman"/>
          <w:sz w:val="24"/>
          <w:szCs w:val="24"/>
        </w:rPr>
        <w:t xml:space="preserve"> recent proteomic study has shown elevated GFAP expression in the CA1 and subiculum of the hippocampus of </w:t>
      </w:r>
      <w:r w:rsidR="00105F23">
        <w:rPr>
          <w:rFonts w:ascii="Times New Roman" w:hAnsi="Times New Roman" w:cs="Times New Roman"/>
          <w:sz w:val="24"/>
          <w:szCs w:val="24"/>
        </w:rPr>
        <w:t>AD</w:t>
      </w:r>
      <w:r w:rsidR="007C323C">
        <w:rPr>
          <w:rFonts w:ascii="Times New Roman" w:hAnsi="Times New Roman" w:cs="Times New Roman"/>
          <w:sz w:val="24"/>
          <w:szCs w:val="24"/>
        </w:rPr>
        <w:t xml:space="preserve"> patients with increased </w:t>
      </w:r>
      <w:r w:rsidR="00B70187">
        <w:rPr>
          <w:rFonts w:ascii="Times New Roman" w:hAnsi="Times New Roman" w:cs="Times New Roman"/>
          <w:sz w:val="24"/>
          <w:szCs w:val="24"/>
        </w:rPr>
        <w:t>tau</w:t>
      </w:r>
      <w:r w:rsidR="007C323C">
        <w:rPr>
          <w:rFonts w:ascii="Times New Roman" w:hAnsi="Times New Roman" w:cs="Times New Roman"/>
          <w:sz w:val="24"/>
          <w:szCs w:val="24"/>
        </w:rPr>
        <w:t xml:space="preserve"> pathology </w:t>
      </w:r>
      <w:r w:rsidR="007C323C">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"10.1016/j.jalz.2015.11.002", "ISSN" : "1552-5279", "PMID" : "26772638", "abstract" : "INTRODUCTION: We performed a comprehensive quantitative proteomics study on human hippocampus tissue involving all Braak stages to assess changes in protein abundance over the various stages of Alzheimer's disease (AD).\n\nMETHODS: Hippocampal subareas CA1 and subiculum of 40 cases were isolated using laser capture microdissection and analyzed using mass spectrometry. Immunoblotting and immunohistochemistry were used for validation.\n\nRESULTS: Over the Braak stages, an altered expression was found for 372 proteins including changes in levels of extracellular matrix components, and in calcium-dependent signaling proteins. Early changes were observed in levels of proteins related to cytoskeletal dynamics and synaptic components including an increase in RIMS1 and GRIK4. Several synaptic proteins, such as BSN, LIN7A, DLG2, -3, and -4, exhibit an early-up, late-down expression pattern.\n\nDISCUSSION: This study provides new insight into AD-dependent changes in protein levels in the hippocampus during AD pathology, identifying potential novel therapeutic targets and biomarkers.", "author" : [ { "dropping-particle" : "", "family" : "Hondius", "given" : "David C", "non-dropping-particle" : "", "parse-names" : false, "suffix" : "" }, { "dropping-particle" : "", "family" : "Nierop", "given" : "Pim", "non-dropping-particle" : "van", "parse-names" : false, "suffix" : "" }, { "dropping-particle" : "", "family" : "Li", "given" : "Ka Wan", "non-dropping-particle" : "", "parse-names" : false, "suffix" : "" }, { "dropping-particle" : "", "family" : "Hoozemans", "given" : "Jeroen J M", "non-dropping-particle" : "", "parse-names" : false, "suffix" : "" }, { "dropping-particle" : "", "family" : "Schors", "given" : "Roel C", "non-dropping-particle" : "van der", "parse-names" : false, "suffix" : "" }, { "dropping-particle" : "", "family" : "Haastert", "given" : "Elise S", "non-dropping-particle" : "van", "parse-names" : false, "suffix" : "" }, { "dropping-particle" : "", "family" : "Vies", "given" : "Saskia M", "non-dropping-particle" : "van der", "parse-names" : false, "suffix" : "" }, { "dropping-particle" : "", "family" : "Rozemuller", "given" : "Annemieke J M", "non-dropping-particle" : "", "parse-names" : false, "suffix" : "" }, { "dropping-particle" : "", "family" : "Smit", "given" : "August B", "non-dropping-particle" : "", "parse-names" : false, "suffix" : "" } ], "container-title" : "Alzheimer's &amp; dementia : the journal of the Alzheimer's Association", "id" : "ITEM-1", "issued" : { "date-parts" : [ [ "2016", "1", "6" ] ] }, "language" : "English", "publisher" : "Elsevier", "title" : "Profiling the human hippocampal proteome at all pathologic stages of\u00a0Alzheimer's disease.", "type" : "article-journal" }, "uris" : [ "http://www.mendeley.com/documents/?uuid=26030ad5-0789-4f60-ab4d-ba6305a0616d" ] } ], "mendeley" : { "formattedCitation" : "(Hondius et al. 2016)", "plainTextFormattedCitation" : "(Hondius et al. 2016)", "previouslyFormattedCitation" : "(Hondius et al. 2016)" }, "properties" : { "noteIndex" : 0 }, "schema" : "https://github.com/citation-style-language/schema/raw/master/csl-citation.json" }</w:instrText>
      </w:r>
      <w:r w:rsidR="007C323C">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(Hondius et al. 2016)</w:t>
      </w:r>
      <w:r w:rsidR="007C323C">
        <w:rPr>
          <w:rFonts w:ascii="Times New Roman" w:hAnsi="Times New Roman" w:cs="Times New Roman"/>
          <w:sz w:val="24"/>
          <w:szCs w:val="24"/>
        </w:rPr>
        <w:fldChar w:fldCharType="end"/>
      </w:r>
      <w:r w:rsidR="007C323C">
        <w:rPr>
          <w:rFonts w:ascii="Times New Roman" w:hAnsi="Times New Roman" w:cs="Times New Roman"/>
          <w:sz w:val="24"/>
          <w:szCs w:val="24"/>
        </w:rPr>
        <w:t>.</w:t>
      </w:r>
      <w:r w:rsidR="00FF0204">
        <w:rPr>
          <w:rFonts w:ascii="Times New Roman" w:hAnsi="Times New Roman" w:cs="Times New Roman"/>
          <w:sz w:val="24"/>
          <w:szCs w:val="24"/>
        </w:rPr>
        <w:t xml:space="preserve"> </w:t>
      </w:r>
      <w:r w:rsidR="007511C6">
        <w:rPr>
          <w:rFonts w:ascii="Times New Roman" w:hAnsi="Times New Roman" w:cs="Times New Roman"/>
          <w:sz w:val="24"/>
          <w:szCs w:val="24"/>
        </w:rPr>
        <w:t>PET tracers have also identified</w:t>
      </w:r>
      <w:r w:rsidR="00A06F65">
        <w:rPr>
          <w:rFonts w:ascii="Times New Roman" w:hAnsi="Times New Roman" w:cs="Times New Roman"/>
          <w:sz w:val="24"/>
          <w:szCs w:val="24"/>
        </w:rPr>
        <w:t xml:space="preserve"> increased</w:t>
      </w:r>
      <w:r w:rsidR="007511C6">
        <w:rPr>
          <w:rFonts w:ascii="Times New Roman" w:hAnsi="Times New Roman" w:cs="Times New Roman"/>
          <w:sz w:val="24"/>
          <w:szCs w:val="24"/>
        </w:rPr>
        <w:t xml:space="preserve"> astrogliosis in the prodromal stage of AD </w:t>
      </w:r>
      <w:r w:rsidR="007511C6">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"10.2967/jnumed.110.087031", "ISSN" : "0161-5505", "author" : [ { "dropping-particle" : "", "family" : "Carter", "given" : "S. F.", "non-dropping-particle" : "", "parse-names" : false, "suffix" : "" }, { "dropping-particle" : "", "family" : "Scholl", "given" : "M.", "non-dropping-particle" : "", "parse-names" : false, "suffix" : "" }, { "dropping-particle" : "", "family" : "Almkvist", "given" : "O.", "non-dropping-particle" : "", "parse-names" : false, "suffix" : "" }, { "dropping-particle" : "", "family" : "Wall", "given" : "A.", "non-dropping-particle" : "", "parse-names" : false, "suffix" : "" }, { "dropping-particle" : "", "family" : "Engler", "given" : "H.", "non-dropping-particle" : "", "parse-names" : false, "suffix" : "" }, { "dropping-particle" : "", "family" : "Langstrom", "given" : "B.", "non-dropping-particle" : "", "parse-names" : false, "suffix" : "" }, { "dropping-particle" : "", "family" : "Nordberg", "given" : "A.", "non-dropping-particle" : "", "parse-names" : false, "suffix" : "" } ], "container-title" : "Journal of Nuclear Medicine", "id" : "ITEM-1", "issue" : "1", "issued" : { "date-parts" : [ [ "2012", "1", "1" ] ] }, "page" : "37-46", "publisher" : "Society of Nuclear Medicine", "title" : "Evidence for Astrocytosis in Prodromal Alzheimer Disease Provided by 11C-Deuterium-L-Deprenyl: A Multitracer PET Paradigm Combining 11C-Pittsburgh Compound B and 18F-FDG", "type" : "article-journal", "volume" : "53" }, "uris" : [ "http://www.mendeley.com/documents/?uuid=cefd35ca-3a3f-340f-b2b7-8eb8734e815e" ] } ], "mendeley" : { "formattedCitation" : "(Carter et al. 2012)", "plainTextFormattedCitation" : "(Carter et al. 2012)", "previouslyFormattedCitation" : "(Carter et al. 2012)" }, "properties" : { "noteIndex" : 0 }, "schema" : "https://github.com/citation-style-language/schema/raw/master/csl-citation.json" }</w:instrText>
      </w:r>
      <w:r w:rsidR="007511C6">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(Carter et al. 2012)</w:t>
      </w:r>
      <w:r w:rsidR="007511C6">
        <w:rPr>
          <w:rFonts w:ascii="Times New Roman" w:hAnsi="Times New Roman" w:cs="Times New Roman"/>
          <w:sz w:val="24"/>
          <w:szCs w:val="24"/>
        </w:rPr>
        <w:fldChar w:fldCharType="end"/>
      </w:r>
      <w:r w:rsidR="007511C6">
        <w:rPr>
          <w:rFonts w:ascii="Times New Roman" w:hAnsi="Times New Roman" w:cs="Times New Roman"/>
          <w:sz w:val="24"/>
          <w:szCs w:val="24"/>
        </w:rPr>
        <w:t xml:space="preserve">. </w:t>
      </w:r>
      <w:r w:rsidR="00FF0204">
        <w:rPr>
          <w:rFonts w:ascii="Times New Roman" w:hAnsi="Times New Roman" w:cs="Times New Roman"/>
          <w:sz w:val="24"/>
          <w:szCs w:val="24"/>
        </w:rPr>
        <w:t xml:space="preserve">Therefore, astrocyte reactivity </w:t>
      </w:r>
      <w:r w:rsidR="00387CCF">
        <w:rPr>
          <w:rFonts w:ascii="Times New Roman" w:hAnsi="Times New Roman" w:cs="Times New Roman"/>
          <w:sz w:val="24"/>
          <w:szCs w:val="24"/>
        </w:rPr>
        <w:t>has been</w:t>
      </w:r>
      <w:r w:rsidR="00A12833">
        <w:rPr>
          <w:rFonts w:ascii="Times New Roman" w:hAnsi="Times New Roman" w:cs="Times New Roman"/>
          <w:sz w:val="24"/>
          <w:szCs w:val="24"/>
        </w:rPr>
        <w:t xml:space="preserve"> </w:t>
      </w:r>
      <w:r w:rsidR="00F21037">
        <w:rPr>
          <w:rFonts w:ascii="Times New Roman" w:hAnsi="Times New Roman" w:cs="Times New Roman"/>
          <w:sz w:val="24"/>
          <w:szCs w:val="24"/>
        </w:rPr>
        <w:t>associated with</w:t>
      </w:r>
      <w:r w:rsidR="007511C6">
        <w:rPr>
          <w:rFonts w:ascii="Times New Roman" w:hAnsi="Times New Roman" w:cs="Times New Roman"/>
          <w:sz w:val="24"/>
          <w:szCs w:val="24"/>
        </w:rPr>
        <w:t xml:space="preserve"> AD, particularly at the</w:t>
      </w:r>
      <w:r w:rsidR="00F21037">
        <w:rPr>
          <w:rFonts w:ascii="Times New Roman" w:hAnsi="Times New Roman" w:cs="Times New Roman"/>
          <w:sz w:val="24"/>
          <w:szCs w:val="24"/>
        </w:rPr>
        <w:t xml:space="preserve"> </w:t>
      </w:r>
      <w:r w:rsidR="007511C6">
        <w:rPr>
          <w:rFonts w:ascii="Times New Roman" w:hAnsi="Times New Roman" w:cs="Times New Roman"/>
          <w:sz w:val="24"/>
          <w:szCs w:val="24"/>
        </w:rPr>
        <w:t>earliest</w:t>
      </w:r>
      <w:r w:rsidR="00A12833">
        <w:rPr>
          <w:rFonts w:ascii="Times New Roman" w:hAnsi="Times New Roman" w:cs="Times New Roman"/>
          <w:sz w:val="24"/>
          <w:szCs w:val="24"/>
        </w:rPr>
        <w:t xml:space="preserve"> stages </w:t>
      </w:r>
      <w:r w:rsidR="007511C6">
        <w:rPr>
          <w:rFonts w:ascii="Times New Roman" w:hAnsi="Times New Roman" w:cs="Times New Roman"/>
          <w:sz w:val="24"/>
          <w:szCs w:val="24"/>
        </w:rPr>
        <w:t xml:space="preserve">and there is a correlation with </w:t>
      </w:r>
      <w:r w:rsidR="00387CCF">
        <w:rPr>
          <w:rFonts w:ascii="Times New Roman" w:hAnsi="Times New Roman" w:cs="Times New Roman"/>
          <w:sz w:val="24"/>
          <w:szCs w:val="24"/>
        </w:rPr>
        <w:t>tau pathology</w:t>
      </w:r>
      <w:r w:rsidR="00A12833">
        <w:rPr>
          <w:rFonts w:ascii="Times New Roman" w:hAnsi="Times New Roman" w:cs="Times New Roman"/>
          <w:sz w:val="24"/>
          <w:szCs w:val="24"/>
        </w:rPr>
        <w:t xml:space="preserve">. </w:t>
      </w:r>
    </w:p>
    <w:p w14:paraId="58526AF1" w14:textId="0A0CE1CD" w:rsidR="00503AF0" w:rsidRDefault="00B70187" w:rsidP="00EF2AF4">
      <w:pPr>
        <w:pStyle w:val="Body"/>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relationship between astrocytes and plaques is not yet fully understood. </w:t>
      </w:r>
      <w:r w:rsidR="00EF2AF4" w:rsidRPr="00EF2AF4">
        <w:rPr>
          <w:rFonts w:ascii="Times New Roman" w:hAnsi="Times New Roman" w:cs="Times New Roman"/>
          <w:sz w:val="24"/>
          <w:szCs w:val="24"/>
        </w:rPr>
        <w:t xml:space="preserve">Astrocytes </w:t>
      </w:r>
      <w:r>
        <w:rPr>
          <w:rFonts w:ascii="Times New Roman" w:hAnsi="Times New Roman" w:cs="Times New Roman"/>
          <w:sz w:val="24"/>
          <w:szCs w:val="24"/>
        </w:rPr>
        <w:t xml:space="preserve">are able to </w:t>
      </w:r>
      <w:r w:rsidR="00EF2AF4" w:rsidRPr="00EF2AF4">
        <w:rPr>
          <w:rFonts w:ascii="Times New Roman" w:hAnsi="Times New Roman" w:cs="Times New Roman"/>
          <w:sz w:val="24"/>
          <w:szCs w:val="24"/>
        </w:rPr>
        <w:t xml:space="preserve">phagocytose Aβ associated with neuron specific proteins a7nAChR (alpha 7 nicotonic acetylcholine receptor) and ChAT (Choline Acetyltransferase) </w:t>
      </w:r>
      <w:r w:rsidR="000C30C3">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"10.1016/j.neurobiolaging.2004.01.007", "ISSN" : "0197-4580", "PMID" : "15172746", "abstract" : "Amyloid plaques appear early during Alzheimer's disease (AD), and their development is intimately linked to activated astrocytes and microglia. Astrocytes are capable of accumulating substantial amounts of neuron-derived, amyloid beta(1-42) (Abeta42)-positive material and other neuron-specific proteins as a consequence of their debris-clearing role in response to local neurodegeneration. Immunohistochemical analyses have suggested that astrocytes overburdened with these internalized materials can eventually undergo lysis, and radial dispersal of their cytoplasmic contents, including Abeta42, can lead to the deposition of a persistent residue in the form of small, GFAP-rich, astrocytic amyloid plaques, first appearing in the molecular layer of the cerebral cortex. Microglia, most of which appear to be derived from blood monocytes and recruited from local blood vessels, rapidly migrate into and congregate within neuritic and dense-core plaques, but not diffuse plaques. Instead of internalizing and removing Abeta from plaques, microglia appear to contribute to their morphological and chemical evolution by facilitating the conversion of existing soluble and oligomeric Abeta within plaques to the fibrillar form. Abeta fibrillogenesis may occur largely within tiny, tube-like invaginations in the surface plasma membrane of microglia. These results highlight the therapeutic potential of blocking the initial intracellular accumulation of Abeta42 in neurons and astrocytes and inhibiting microglia-mediated assembly of fibrillar Abeta, which is particularly resistant to degradation in Alzheimer brain.", "author" : [ { "dropping-particle" : "", "family" : "Nagele", "given" : "Robert G", "non-dropping-particle" : "", "parse-names" : false, "suffix" : "" }, { "dropping-particle" : "", "family" : "Wegiel", "given" : "Jerzy", "non-dropping-particle" : "", "parse-names" : false, "suffix" : "" }, { "dropping-particle" : "", "family" : "Venkataraman", "given" : "Venkat", "non-dropping-particle" : "", "parse-names" : false, "suffix" : "" }, { "dropping-particle" : "", "family" : "Imaki", "given" : "Humi", "non-dropping-particle" : "", "parse-names" : false, "suffix" : "" }, { "dropping-particle" : "", "family" : "Wang", "given" : "Kuo-Chiang", "non-dropping-particle" : "", "parse-names" : false, "suffix" : "" }, { "dropping-particle" : "", "family" : "Wegiel", "given" : "Jarek", "non-dropping-particle" : "", "parse-names" : false, "suffix" : "" } ], "container-title" : "Neurobiology of aging", "id" : "ITEM-1", "issue" : "5", "issued" : { "date-parts" : [ [ "2004", "1" ] ] }, "page" : "663-74", "title" : "Contribution of glial cells to the development of amyloid plaques in Alzheimer's disease.", "type" : "article-journal", "volume" : "25" }, "uris" : [ "http://www.mendeley.com/documents/?uuid=633eb787-4cac-4281-a358-9fc5f313e04d" ] } ], "mendeley" : { "formattedCitation" : "(Nagele et al. 2004)", "plainTextFormattedCitation" : "(Nagele et al. 2004)", "previouslyFormattedCitation" : "(Nagele et al. 2004)" }, "properties" : { "noteIndex" : 0 }, "schema" : "https://github.com/citation-style-language/schema/raw/master/csl-citation.json" }</w:instrText>
      </w:r>
      <w:r w:rsidR="000C30C3">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(Nagele et al. 2004)</w:t>
      </w:r>
      <w:r w:rsidR="000C30C3">
        <w:rPr>
          <w:rFonts w:ascii="Times New Roman" w:hAnsi="Times New Roman" w:cs="Times New Roman"/>
          <w:sz w:val="24"/>
          <w:szCs w:val="24"/>
        </w:rPr>
        <w:fldChar w:fldCharType="end"/>
      </w:r>
      <w:r>
        <w:rPr>
          <w:rFonts w:ascii="Times New Roman" w:hAnsi="Times New Roman" w:cs="Times New Roman"/>
          <w:sz w:val="24"/>
          <w:szCs w:val="24"/>
        </w:rPr>
        <w:t xml:space="preserve"> and </w:t>
      </w:r>
      <w:r w:rsidR="00F0484B">
        <w:rPr>
          <w:rFonts w:ascii="Times New Roman" w:hAnsi="Times New Roman" w:cs="Times New Roman"/>
          <w:sz w:val="24"/>
          <w:szCs w:val="24"/>
        </w:rPr>
        <w:t xml:space="preserve">these intracellular deposits of </w:t>
      </w:r>
      <w:r w:rsidR="00F0484B" w:rsidRPr="00EF2AF4">
        <w:rPr>
          <w:rFonts w:ascii="Times New Roman" w:hAnsi="Times New Roman" w:cs="Times New Roman"/>
          <w:sz w:val="24"/>
          <w:szCs w:val="24"/>
        </w:rPr>
        <w:t>Aβ</w:t>
      </w:r>
      <w:r w:rsidR="00F0484B">
        <w:rPr>
          <w:rFonts w:ascii="Times New Roman" w:hAnsi="Times New Roman" w:cs="Times New Roman"/>
          <w:sz w:val="24"/>
          <w:szCs w:val="24"/>
        </w:rPr>
        <w:t xml:space="preserve"> in astrocytes may cause cell lysis and impair neuronal support</w:t>
      </w:r>
      <w:r w:rsidR="00F0484B">
        <w:rPr>
          <w:rFonts w:ascii="Times New Roman" w:hAnsi="Times New Roman" w:cs="Times New Roman"/>
          <w:color w:val="FF0000"/>
          <w:sz w:val="24"/>
          <w:szCs w:val="24"/>
        </w:rPr>
        <w:t xml:space="preserve"> </w:t>
      </w:r>
      <w:r w:rsidR="00F0484B" w:rsidRPr="00F0484B">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"10.1016/S0006-8993(03)02361-8", "ISSN" : "00068993", "abstract" : "\u03b2-Amyloid(1-42) (A\u03b242), a major component of amyloid plaques, accumulates within pyramidal neurons in the brains of individuals with Alzheimer\u2019s disease (AD) and Down syndrome. In brain areas exhibiting AD pathology, A\u03b242-immunopositive material is observed in astrocytes. In the present study, single- and double-label immunohistochemistry were used to reveal the origin and fate of this material in astrocytes. Our findings suggest that astrocytes throughout the entorhinal cortex of AD patients gradually accumulate A\u03b242-positive material and that the amount of this material correlates positively with the extent of local AD pathology. A\u03b242-positive material within astrocytes appears to be of neuronal origin, most likely accumulated via phagocytosis of local degenerated dendrites and synapses, especially in the cortical molecular layer. The co-localization of neuron-specific proteins, alpha7 nicotinic acetylcholine receptor and choline acetyltransferase, in A\u03b242-burdened, activated astrocytes supports this possibility. Our results also suggest that some astrocytes containing A\u03b242-positive deposits undergo lysis, resulting in the formation of astrocyte-derived amyloid plaques in the cortical molecular layer in brain regions showing moderate to advanced AD pathology. These astrocytic plaques can be distinguished from those arising from neuronal lysis by virtue of their smaller size, their nearly exclusive localization in the subpial portion of the molecular layer of the cerebrocortex, and by their intense glial fibrillary acidic protein immunoreactivity. Overall, A\u03b242 accumulation and the selective lysis of A\u03b242-burdened neurons and astrocytes appear to make a major contribution to the observed amyloid plaques in AD brains.", "author" : [ { "dropping-particle" : "", "family" : "Nagele", "given" : "Robert G.", "non-dropping-particle" : "", "parse-names" : false, "suffix" : "" }, { "dropping-particle" : "", "family" : "D\u2019Andrea", "given" : "Michael R.", "non-dropping-particle" : "", "parse-names" : false, "suffix" : "" }, { "dropping-particle" : "", "family" : "Lee", "given" : "H.", "non-dropping-particle" : "", "parse-names" : false, "suffix" : "" }, { "dropping-particle" : "", "family" : "Venkataraman", "given" : "Venkateswar", "non-dropping-particle" : "", "parse-names" : false, "suffix" : "" }, { "dropping-particle" : "", "family" : "Wang", "given" : "Hoau-Yan", "non-dropping-particle" : "", "parse-names" : false, "suffix" : "" } ], "container-title" : "Brain Research", "id" : "ITEM-1", "issue" : "2", "issued" : { "date-parts" : [ [ "2003", "5" ] ] }, "page" : "197-209", "title" : "Astrocytes accumulate A\u03b242 and give rise to astrocytic amyloid plaques in Alzheimer disease brains", "type" : "article-journal", "volume" : "971" }, "uris" : [ "http://www.mendeley.com/documents/?uuid=36e52979-98df-45e1-98a1-351c55e4e17b" ] } ], "mendeley" : { "formattedCitation" : "(Nagele et al. 2003)", "plainTextFormattedCitation" : "(Nagele et al. 2003)", "previouslyFormattedCitation" : "(Nagele et al. 2003)" }, "properties" : { "noteIndex" : 0 }, "schema" : "https://github.com/citation-style-language/schema/raw/master/csl-citation.json" }</w:instrText>
      </w:r>
      <w:r w:rsidR="00F0484B" w:rsidRPr="00F0484B">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(Nagele et al. 2003)</w:t>
      </w:r>
      <w:r w:rsidR="00F0484B" w:rsidRPr="00F0484B">
        <w:rPr>
          <w:rFonts w:ascii="Times New Roman" w:hAnsi="Times New Roman" w:cs="Times New Roman"/>
          <w:color w:val="auto"/>
          <w:sz w:val="24"/>
          <w:szCs w:val="24"/>
        </w:rPr>
        <w:fldChar w:fldCharType="end"/>
      </w:r>
      <w:r w:rsidR="00F0484B" w:rsidRPr="00F0484B">
        <w:rPr>
          <w:rFonts w:ascii="Times New Roman" w:hAnsi="Times New Roman" w:cs="Times New Roman"/>
          <w:color w:val="auto"/>
          <w:sz w:val="24"/>
          <w:szCs w:val="24"/>
        </w:rPr>
        <w:t>.</w:t>
      </w:r>
      <w:r w:rsidR="00F0484B">
        <w:rPr>
          <w:rFonts w:ascii="Times New Roman" w:hAnsi="Times New Roman" w:cs="Times New Roman"/>
          <w:color w:val="FF0000"/>
          <w:sz w:val="24"/>
          <w:szCs w:val="24"/>
        </w:rPr>
        <w:t xml:space="preserve"> </w:t>
      </w:r>
      <w:r w:rsidR="001974D5">
        <w:rPr>
          <w:rFonts w:ascii="Times New Roman" w:hAnsi="Times New Roman" w:cs="Times New Roman"/>
          <w:sz w:val="24"/>
          <w:szCs w:val="24"/>
        </w:rPr>
        <w:t>Astrocytes</w:t>
      </w:r>
      <w:r w:rsidR="00EF2AF4" w:rsidRPr="00EF2AF4">
        <w:rPr>
          <w:rFonts w:ascii="Times New Roman" w:hAnsi="Times New Roman" w:cs="Times New Roman"/>
          <w:sz w:val="24"/>
          <w:szCs w:val="24"/>
        </w:rPr>
        <w:t xml:space="preserve"> also prolong neuroinflammation and overexpress BACE1, an amyloid precursor protein-processing enzyme </w:t>
      </w:r>
      <w:r w:rsidR="000C30C3">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"10.1111/j.1471-4159.2004.02857.x", "ISSN" : "0022-3042", "PMID" : "15663471", "abstract" : "The brains of Alzheimer's disease (AD) patients are morphologically characterized by neurofibrillar abnormalities and by parenchymal and cerebrovascular deposits of beta-amyloid peptides. The generation of beta-amyloid peptides by proteolytical processing of the amyloid precursor protein (APP) requires the enzymatic activity of the beta-site APP cleaving enzyme 1 (BACE1). The expression of this enzyme has been localized to the brain, in particular to neurons, indicating that neurons are the major source of beta-amyloid peptides in brain. Astrocytes, on the contrary, are known to be important for beta-amyloid clearance and degradation, for providing trophic support to neurons, and for forming a protective barrier between beta-amyloid deposits and neurons. However, under certain conditions related to chronic stress, the role of astrocytes may not be beneficial. Here we present evidence demonstrating that astrocytes are an alternative source of BACE1 and therefore may contribute to beta-amyloid plaque formation. While resting astroyctes in brain do not express BACE1 at detectable levels, cultured astrocytes display BACE1 promoter activity and express BACE1 mRNA and enzymatically active BACE1 protein. Additionally, in animal models of chronic gliosis and in brains of AD patients, there is BACE1 expression in reactive astrocytes. This would suggest that the mechanism for astrocyte activation plays a role in the development of AD and that therapeutic strategies that target astrocyte activation in brain may be beneficial for the treatment of AD. Also, there are differences in responses to chronic versus acute stress, suggesting that one consequence of chronic stress is an incremental shift to different phenotypic cellular states.", "author" : [ { "dropping-particle" : "", "family" : "Rossner", "given" : "Steffen", "non-dropping-particle" : "", "parse-names" : false, "suffix" : "" }, { "dropping-particle" : "", "family" : "Lange-Dohna", "given" : "Christine", "non-dropping-particle" : "", "parse-names" : false, "suffix" : "" }, { "dropping-particle" : "", "family" : "Zeitschel", "given" : "Ulrike", "non-dropping-particle" : "", "parse-names" : false, "suffix" : "" }, { "dropping-particle" : "", "family" : "Perez-Polo", "given" : "J Regino", "non-dropping-particle" : "", "parse-names" : false, "suffix" : "" } ], "container-title" : "Journal of neurochemistry", "id" : "ITEM-1", "issue" : "2", "issued" : { "date-parts" : [ [ "2005", "1" ] ] }, "page" : "226-34", "title" : "Alzheimer's disease beta-secretase BACE1 is not a neuron-specific enzyme.", "type" : "article-journal", "volume" : "92" }, "uris" : [ "http://www.mendeley.com/documents/?uuid=acdd36df-f726-4416-b08d-ddcc852973a9" ] } ], "mendeley" : { "formattedCitation" : "(Rossner et al. 2005)", "plainTextFormattedCitation" : "(Rossner et al. 2005)", "previouslyFormattedCitation" : "(Rossner et al. 2005)" }, "properties" : { "noteIndex" : 0 }, "schema" : "https://github.com/citation-style-language/schema/raw/master/csl-citation.json" }</w:instrText>
      </w:r>
      <w:r w:rsidR="000C30C3">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(Rossner et al. 2005)</w:t>
      </w:r>
      <w:r w:rsidR="000C30C3">
        <w:rPr>
          <w:rFonts w:ascii="Times New Roman" w:hAnsi="Times New Roman" w:cs="Times New Roman"/>
          <w:sz w:val="24"/>
          <w:szCs w:val="24"/>
        </w:rPr>
        <w:fldChar w:fldCharType="end"/>
      </w:r>
      <w:r w:rsidR="000C30C3">
        <w:rPr>
          <w:rFonts w:ascii="Times New Roman" w:hAnsi="Times New Roman" w:cs="Times New Roman"/>
          <w:sz w:val="24"/>
          <w:szCs w:val="24"/>
          <w:lang w:val="da-DK"/>
        </w:rPr>
        <w:t>.</w:t>
      </w:r>
      <w:r w:rsidR="00EF2AF4" w:rsidRPr="00EF2AF4">
        <w:rPr>
          <w:rFonts w:ascii="Times New Roman" w:hAnsi="Times New Roman" w:cs="Times New Roman"/>
          <w:sz w:val="24"/>
          <w:szCs w:val="24"/>
        </w:rPr>
        <w:t xml:space="preserve"> </w:t>
      </w:r>
      <w:r>
        <w:rPr>
          <w:rFonts w:ascii="Times New Roman" w:hAnsi="Times New Roman" w:cs="Times New Roman"/>
          <w:sz w:val="24"/>
          <w:szCs w:val="24"/>
        </w:rPr>
        <w:t xml:space="preserve">However, </w:t>
      </w:r>
      <w:r w:rsidR="00EF2AF4" w:rsidRPr="00EF2AF4">
        <w:rPr>
          <w:rFonts w:ascii="Times New Roman" w:hAnsi="Times New Roman" w:cs="Times New Roman"/>
          <w:sz w:val="24"/>
          <w:szCs w:val="24"/>
        </w:rPr>
        <w:t>two distinct astrocytic populations are believ</w:t>
      </w:r>
      <w:r w:rsidR="00C628C8">
        <w:rPr>
          <w:rFonts w:ascii="Times New Roman" w:hAnsi="Times New Roman" w:cs="Times New Roman"/>
          <w:sz w:val="24"/>
          <w:szCs w:val="24"/>
        </w:rPr>
        <w:t xml:space="preserve">ed to exist in proximity to </w:t>
      </w:r>
      <w:r w:rsidR="00EF2AF4" w:rsidRPr="00EF2AF4">
        <w:rPr>
          <w:rFonts w:ascii="Times New Roman" w:hAnsi="Times New Roman" w:cs="Times New Roman"/>
          <w:sz w:val="24"/>
          <w:szCs w:val="24"/>
        </w:rPr>
        <w:t>plaque</w:t>
      </w:r>
      <w:r w:rsidR="00C628C8">
        <w:rPr>
          <w:rFonts w:ascii="Times New Roman" w:hAnsi="Times New Roman" w:cs="Times New Roman"/>
          <w:sz w:val="24"/>
          <w:szCs w:val="24"/>
        </w:rPr>
        <w:t>s</w:t>
      </w:r>
      <w:r>
        <w:rPr>
          <w:rFonts w:ascii="Times New Roman" w:hAnsi="Times New Roman" w:cs="Times New Roman"/>
          <w:sz w:val="24"/>
          <w:szCs w:val="24"/>
        </w:rPr>
        <w:t>; t</w:t>
      </w:r>
      <w:r w:rsidR="00EF2AF4" w:rsidRPr="00EF2AF4">
        <w:rPr>
          <w:rFonts w:ascii="Times New Roman" w:hAnsi="Times New Roman" w:cs="Times New Roman"/>
          <w:sz w:val="24"/>
          <w:szCs w:val="24"/>
        </w:rPr>
        <w:t xml:space="preserve">hose &lt;50µm away from the plaque </w:t>
      </w:r>
      <w:r>
        <w:rPr>
          <w:rFonts w:ascii="Times New Roman" w:hAnsi="Times New Roman" w:cs="Times New Roman"/>
          <w:sz w:val="24"/>
          <w:szCs w:val="24"/>
        </w:rPr>
        <w:t xml:space="preserve">have been shown to </w:t>
      </w:r>
      <w:r w:rsidR="00EF2AF4" w:rsidRPr="00EF2AF4">
        <w:rPr>
          <w:rFonts w:ascii="Times New Roman" w:hAnsi="Times New Roman" w:cs="Times New Roman"/>
          <w:sz w:val="24"/>
          <w:szCs w:val="24"/>
        </w:rPr>
        <w:t xml:space="preserve">undergo hypertrophy, whilst astrocytes localised distantly &gt;50µm from plaque borders undergo atrophy </w:t>
      </w:r>
      <w:r w:rsidR="000C30C3">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"10.1002/glia.20967", "ISSN" : "1098-1136", "PMID" : "20140958", "abstract" : "Astrocytes are fundamental for brain homeostasis and are at the fulcrum of neurological diseases including Alzheimer's disease (AD). Here, we monitored changes in astroglia morphology throughout the age-dependent progression of AD. We used an immunohistochemical approach that allows us to determine the domain of glial cytoskeleton, by measuring the surface, volume, and the relationship between astrocytes and neuritic plaques. We investigated astroglia in the hippocampus of a triple transgenic mouse model of AD (3xTg-AD) that mimics the progression of the human disease. The numerical density of astrocytes is affected neither by AD nor by age. We found reduction of surface and volume of GFAP profiles from early ages (6 months; 43.84 and 52.76%, respectively), persisting at 12 (40.73 and 45.39%) and 18 months (64.80 and 71.95%) in the dentate gyrus (DG) of 3xTg-AD, whereas in CA1 it appears at 18 months (29.42 and 32.74%). This cytoskeleton atrophy is accompanied by a significant reduction of glial somata volume in DG at 12 and 18 months (40.46 and 75.55%, respectively), whereas in CA1 it is significant at 18 months (42.81%). However, while astroglial atrophy appears as a generalized process, astrocytes surrounding plaques are clearly hypertrophic as revealed by increased surface (48.06%; 66.66%), and volume (57.10%; 71.06%) of GFAP profiles in DG and CA1, respectively, at 18 months. We suggest differential effects of AD on astroglial populations depending on their association with plaques accounting for the progressive disruption of neural networks connectivity and neurotransmitters imbalance which underlie mnesic and cognitive impairments observed in AD.", "author" : [ { "dropping-particle" : "", "family" : "Olabarria", "given" : "Markel", "non-dropping-particle" : "", "parse-names" : false, "suffix" : "" }, { "dropping-particle" : "", "family" : "Noristani", "given" : "Harun N", "non-dropping-particle" : "", "parse-names" : false, "suffix" : "" }, { "dropping-particle" : "", "family" : "Verkhratsky", "given" : "Alexei", "non-dropping-particle" : "", "parse-names" : false, "suffix" : "" }, { "dropping-particle" : "", "family" : "Rodr\u00edguez", "given" : "Jos\u00e9 J", "non-dropping-particle" : "", "parse-names" : false, "suffix" : "" } ], "container-title" : "Glia", "id" : "ITEM-1", "issue" : "7", "issued" : { "date-parts" : [ [ "2010", "5" ] ] }, "page" : "831-8", "title" : "Concomitant astroglial atrophy and astrogliosis in a triple transgenic animal model of Alzheimer's disease.", "type" : "article-journal", "volume" : "58" }, "uris" : [ "http://www.mendeley.com/documents/?uuid=3b0da908-d239-4f0d-9109-9deb57e277b6" ] } ], "mendeley" : { "formattedCitation" : "(Olabarria et al. 2010)", "plainTextFormattedCitation" : "(Olabarria et al. 2010)", "previouslyFormattedCitation" : "(Olabarria et al. 2010)" }, "properties" : { "noteIndex" : 0 }, "schema" : "https://github.com/citation-style-language/schema/raw/master/csl-citation.json" }</w:instrText>
      </w:r>
      <w:r w:rsidR="000C30C3">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(Olabarria et al. 2010)</w:t>
      </w:r>
      <w:r w:rsidR="000C30C3">
        <w:rPr>
          <w:rFonts w:ascii="Times New Roman" w:hAnsi="Times New Roman" w:cs="Times New Roman"/>
          <w:sz w:val="24"/>
          <w:szCs w:val="24"/>
        </w:rPr>
        <w:fldChar w:fldCharType="end"/>
      </w:r>
      <w:r w:rsidR="000C30C3">
        <w:rPr>
          <w:rFonts w:ascii="Times New Roman" w:hAnsi="Times New Roman" w:cs="Times New Roman"/>
          <w:sz w:val="24"/>
          <w:szCs w:val="24"/>
        </w:rPr>
        <w:t>.</w:t>
      </w:r>
      <w:r w:rsidR="00AB3C9F">
        <w:rPr>
          <w:rFonts w:ascii="Times New Roman" w:hAnsi="Times New Roman" w:cs="Times New Roman"/>
          <w:sz w:val="24"/>
          <w:szCs w:val="24"/>
        </w:rPr>
        <w:t xml:space="preserve"> </w:t>
      </w:r>
      <w:r w:rsidR="00EF2AF4" w:rsidRPr="00EF2AF4">
        <w:rPr>
          <w:rFonts w:ascii="Times New Roman" w:hAnsi="Times New Roman" w:cs="Times New Roman"/>
          <w:sz w:val="24"/>
          <w:szCs w:val="24"/>
        </w:rPr>
        <w:t xml:space="preserve">Simpson </w:t>
      </w:r>
      <w:r w:rsidR="00EF2AF4" w:rsidRPr="00EF2AF4">
        <w:rPr>
          <w:rFonts w:ascii="Times New Roman" w:hAnsi="Times New Roman" w:cs="Times New Roman"/>
          <w:i/>
          <w:iCs/>
          <w:sz w:val="24"/>
          <w:szCs w:val="24"/>
        </w:rPr>
        <w:t xml:space="preserve">et al </w:t>
      </w:r>
      <w:r w:rsidR="00EF2AF4" w:rsidRPr="00EF2AF4">
        <w:rPr>
          <w:rFonts w:ascii="Times New Roman" w:hAnsi="Times New Roman" w:cs="Times New Roman"/>
          <w:sz w:val="24"/>
          <w:szCs w:val="24"/>
        </w:rPr>
        <w:t xml:space="preserve">(2010) </w:t>
      </w:r>
      <w:r w:rsidR="00C628C8">
        <w:rPr>
          <w:rFonts w:ascii="Times New Roman" w:hAnsi="Times New Roman" w:cs="Times New Roman"/>
          <w:sz w:val="24"/>
          <w:szCs w:val="24"/>
        </w:rPr>
        <w:t xml:space="preserve">also </w:t>
      </w:r>
      <w:r w:rsidR="00EF2AF4" w:rsidRPr="00EF2AF4">
        <w:rPr>
          <w:rFonts w:ascii="Times New Roman" w:hAnsi="Times New Roman" w:cs="Times New Roman"/>
          <w:sz w:val="24"/>
          <w:szCs w:val="24"/>
        </w:rPr>
        <w:t>show that astrogliosis is more specific to neuritic plaques than di</w:t>
      </w:r>
      <w:r w:rsidR="00BD3885">
        <w:rPr>
          <w:rFonts w:ascii="Times New Roman" w:hAnsi="Times New Roman" w:cs="Times New Roman"/>
          <w:sz w:val="24"/>
          <w:szCs w:val="24"/>
        </w:rPr>
        <w:t>ffuse plaques</w:t>
      </w:r>
      <w:r w:rsidR="004679DE">
        <w:rPr>
          <w:rFonts w:ascii="Times New Roman" w:hAnsi="Times New Roman" w:cs="Times New Roman"/>
          <w:sz w:val="24"/>
          <w:szCs w:val="24"/>
        </w:rPr>
        <w:t xml:space="preserve"> and </w:t>
      </w:r>
      <w:r w:rsidR="00854958">
        <w:rPr>
          <w:rFonts w:ascii="Times New Roman" w:hAnsi="Times New Roman" w:cs="Times New Roman"/>
          <w:sz w:val="24"/>
          <w:szCs w:val="24"/>
        </w:rPr>
        <w:t xml:space="preserve">that </w:t>
      </w:r>
      <w:r w:rsidR="00C628C8">
        <w:rPr>
          <w:rFonts w:ascii="Times New Roman" w:hAnsi="Times New Roman" w:cs="Times New Roman"/>
          <w:sz w:val="24"/>
          <w:szCs w:val="24"/>
        </w:rPr>
        <w:t xml:space="preserve">plaques and astrogliosis do not always co-exist. </w:t>
      </w:r>
      <w:r w:rsidR="006544CE" w:rsidRPr="009F1FE1">
        <w:rPr>
          <w:rFonts w:ascii="Times New Roman" w:hAnsi="Times New Roman" w:cs="Times New Roman"/>
          <w:sz w:val="24"/>
          <w:szCs w:val="24"/>
        </w:rPr>
        <w:t xml:space="preserve">Therefore, whilst astrocyte reactivity </w:t>
      </w:r>
      <w:r w:rsidR="006544CE">
        <w:rPr>
          <w:rFonts w:ascii="Times New Roman" w:hAnsi="Times New Roman" w:cs="Times New Roman"/>
          <w:sz w:val="24"/>
          <w:szCs w:val="24"/>
        </w:rPr>
        <w:t>is related to</w:t>
      </w:r>
      <w:r w:rsidR="006544CE" w:rsidRPr="009F1FE1">
        <w:rPr>
          <w:rFonts w:ascii="Times New Roman" w:hAnsi="Times New Roman" w:cs="Times New Roman"/>
          <w:sz w:val="24"/>
          <w:szCs w:val="24"/>
        </w:rPr>
        <w:t xml:space="preserve"> plaque deposition, there seem to be other factors that are responsible for triggering astrogliosis</w:t>
      </w:r>
      <w:r w:rsidR="00A06F65">
        <w:rPr>
          <w:rFonts w:ascii="Times New Roman" w:hAnsi="Times New Roman" w:cs="Times New Roman"/>
          <w:sz w:val="24"/>
          <w:szCs w:val="24"/>
        </w:rPr>
        <w:t>, as highlighted in an APP/PS1</w:t>
      </w:r>
      <w:r w:rsidR="00DE1B48">
        <w:rPr>
          <w:rFonts w:ascii="Times New Roman" w:hAnsi="Times New Roman" w:cs="Times New Roman"/>
          <w:sz w:val="24"/>
          <w:szCs w:val="24"/>
        </w:rPr>
        <w:t xml:space="preserve"> mouse model of AD where astrogliosis preceded</w:t>
      </w:r>
      <w:r w:rsidR="00F427EA">
        <w:rPr>
          <w:rFonts w:ascii="Times New Roman" w:hAnsi="Times New Roman" w:cs="Times New Roman"/>
          <w:sz w:val="24"/>
          <w:szCs w:val="24"/>
        </w:rPr>
        <w:t xml:space="preserve"> </w:t>
      </w:r>
      <w:r w:rsidR="00F427EA" w:rsidRPr="00EF2AF4">
        <w:rPr>
          <w:rFonts w:ascii="Times New Roman" w:hAnsi="Times New Roman" w:cs="Times New Roman"/>
          <w:sz w:val="24"/>
          <w:szCs w:val="24"/>
        </w:rPr>
        <w:t>Aβ</w:t>
      </w:r>
      <w:r w:rsidR="00F427EA">
        <w:rPr>
          <w:rFonts w:ascii="Times New Roman" w:hAnsi="Times New Roman" w:cs="Times New Roman"/>
          <w:sz w:val="24"/>
          <w:szCs w:val="24"/>
        </w:rPr>
        <w:t xml:space="preserve"> deposition </w:t>
      </w:r>
      <w:r w:rsidR="00F427EA">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"10.1186/1742-2094-2-22", "ISSN" : "17422094", "abstract" : "Inflammation is suspected to contribute to the progression and severity of neurodegeneration in Alzheimer's disease (AD). Transgenic mice overexpressing the london mutant of amyloid precursor protein, APP [V717I], robustly recapitulate the amyloid pathology of AD. Early and late, temporal and spatial characteristics of inflammation were studied in APP [V717I] mice at 3 and 16 month of age. Glial activation and expression of inflammatory markers were determined by immunohistochemistry and RT-PCR. Amyloid deposition was assessed by immunohistochemistry, thioflavine S staining and western blot experiments. BACE1 activity was detected in brain lysates and in situ using the BACE1 activity kit from R&amp;D Systems, Wiesbaden, Germany. Foci of activated micro- and astroglia were already detected at age 3 months, before any amyloid deposition. Inflammation parameters comprised increased mRNA levels coding for interleukin-1\u03b2, interleukin-6, major histocompatibility complex II and macrophage-colony-stimulating-factor-receptor. Foci of CD11b-positive microglia expressed these cytokines and were neighbored by activated astrocytes. Remarkably, \u03b2-secretase (BACE1) mRNA, neuronal BACE1 protein at sites of focal inflammation and total BACE1 enzyme activity were increased in 3 month old APP transgenic mice, relative to age-matched non-transgenic mice. In aged APP transgenic mice, the mRNA of all inflammatory markers analysed was increased, accompanied by astroglial iNOS expression and NO-dependent peroxynitrite release, and with glial activation near almost all diffuse and senile A\u03b2 deposits. The early and focal glial activation, in conjunction with upregulated BACE1 mRNA, protein and activity in the presence of its substrate APP, is proposed to represent the earliest sites of amyloid deposition, likely evolving into amyloid plaques.", "author" : [ { "dropping-particle" : "", "family" : "Heneka", "given" : "Michael T", "non-dropping-particle" : "", "parse-names" : false, "suffix" : "" }, { "dropping-particle" : "", "family" : "Sastre", "given" : "Magdalena", "non-dropping-particle" : "", "parse-names" : false, "suffix" : "" }, { "dropping-particle" : "", "family" : "Dumitrescu-Ozimek", "given" : "Lucia", "non-dropping-particle" : "", "parse-names" : false, "suffix" : "" }, { "dropping-particle" : "", "family" : "Dewachter", "given" : "Ilse", "non-dropping-particle" : "", "parse-names" : false, "suffix" : "" }, { "dropping-particle" : "", "family" : "Walter", "given" : "Jochen", "non-dropping-particle" : "", "parse-names" : false, "suffix" : "" }, { "dropping-particle" : "", "family" : "Klockgether", "given" : "Thomas", "non-dropping-particle" : "", "parse-names" : false, "suffix" : "" }, { "dropping-particle" : "", "family" : "Leuven", "given" : "Fred", "non-dropping-particle" : "Van", "parse-names" : false, "suffix" : "" }, { "dropping-particle" : "", "family" : "Dingwall", "given" : "C", "non-dropping-particle" : "", "parse-names" : false, "suffix" : "" }, { "dropping-particle" : "", "family" : "Esler", "given" : "WP", "non-dropping-particle" : "", "parse-names" : false, "suffix" : "" }, { "dropping-particle" : "", "family" : "Wolfe", "given" : "MS", "non-dropping-particle" : "", "parse-names" : false, "suffix" : "" }, { "dropping-particle" : "", "family" : "Hsiao", "given" : "K", "non-dropping-particle" : "", "parse-names" : false, "suffix" : "" }, { "dropping-particle" : "", "family" : "Chapman", "given" : "P", "non-dropping-particle" : "", "parse-names" : false, "suffix" : "" }, { "dropping-particle" : "", "family" : "Nilsen", "given" : "S", "non-dropping-particle" : "", "parse-names" : false, "suffix" : "" }, { "dropping-particle" : "", "family" : "Eckman", "given" : "C", "non-dropping-particle" : "", "parse-names" : false, "suffix" : "" }, { "dropping-particle" : "", "family" : "Harigaya", "given" : "Y", "non-dropping-particle" : "", "parse-names" : false, "suffix" : "" }, { "dropping-particle" : "", "family" : "Younkin", "given" : "S", "non-dropping-particle" : "", "parse-names" : false, "suffix" : "" }, { "dropping-particle" : "", "family" : "Yang", "given" : "F", "non-dropping-particle" : "", "parse-names" : false, "suffix" : "" }, { "dropping-particle" : "", "family" : "Cole", "given" : "G", "non-dropping-particle" : "", "parse-names" : false, "suffix" : "" }, { "dropping-particle" : "", "family" : "Sturchler-Pierrat", "given" : "C", "non-dropping-particle" : "", "parse-names" : false, "suffix" : "" }, { "dropping-particle" : "", "family" : "Abramowski", "given" : "D", "non-dropping-particle" : "", "parse-names" : false, "suffix" : "" }, { "dropping-particle" : "", "family" : "Duke", "given" : "M", "non-dropping-particle" : "", "parse-names" : false, "suffix" : "" }, { "dropping-particle" : "", "family" : "Wiederhold", "given" : "KH", "non-dropping-particle" : "", "parse-names" : false, "suffix" : "" }, { "dropping-particle" : "", "family" : "Mistl", "given" : "C", "non-dropping-particle" : "", "parse-names" : false, "suffix" : "" }, { "dropping-particle" : "", "family" : "Rothacher", "given" : "S", "non-dropping-particle" : "", "parse-names" : false, "suffix" : "" }, { "dropping-particle" : "", "family" : "Ledermann", "given" : "B", "non-dropping-particle" : "", "parse-names" : false, "suffix" : "" }, { "dropping-particle" : "", "family" : "Burki", "given" : "K", "non-dropping-particle" : "", "parse-names" : false, "suffix" : "" }, { "dropping-particle" : "", "family" : "Frey", "given" : "P", "non-dropping-particle" : "", "parse-names" : false, "suffix" : "" }, { "dropping-particle" : "", "family" : "Paganetti", "given" : "PA", "non-dropping-particle" : "", "parse-names" : false, "suffix" : "" }, { "dropping-particle" : "", "family" : "Waridel", "given" : "C", "non-dropping-particle" : "", "parse-names" : false, "suffix" : "" }, { "dropping-particle" : "", "family" : "Calhoun", "given" : "ME", "non-dropping-particle" : "", "parse-names" : false, "suffix" : "" }, { "dropping-particle" : "", "family" : "Jucker", "given" : "M", "non-dropping-particle" : "", "parse-names" : false, "suffix" : "" }, { "dropping-particle" : "", "family" : "Probst", "given" : "A", "non-dropping-particle" : "", "parse-names" : false, "suffix" : "" }, { "dropping-particle" : "", "family" : "Staufenbiel", "given" : "M", "non-dropping-particle" : "", "parse-names" : false, "suffix" : "" }, { "dropping-particle" : "", "family" : "Sommer", "given" : "B", "non-dropping-particle" : "", "parse-names" : false, "suffix" : "" }, { "dropping-particle" : "", "family" : "Moechars", "given" : "D", "non-dropping-particle" : "", "parse-names" : false, "suffix" : "" }, { "dropping-particle" : "", "family" : "Dewachter", "given" : "I", "non-dropping-particle" : "", "parse-names" : false, "suffix" : "" }, { "dropping-particle" : "", "family" : "Lorent", "given" : "K", "non-dropping-particle" : "", "parse-names" : false, "suffix" : "" }, { "dropping-particle" : "", "family" : "Reverse", "given" : "D", "non-dropping-particle" : "", "parse-names" : false, "suffix" : "" }, { "dropping-particle" : "", "family" : "Baekelandt", "given" : "V", "non-dropping-particle" : "", "parse-names" : false, "suffix" : "" }, { "dropping-particle" : "", "family" : "Naidu", "given" : "A", "non-dropping-particle" : "", "parse-names" : false, "suffix" : "" }, { "dropping-particle" : "", "family" : "Tesseur", "given" : "I", "non-dropping-particle" : "", "parse-names" : false, "suffix" : "" }, { "dropping-particle" : "", "family" : "Spittaels", "given" : "K", "non-dropping-particle" : "", "parse-names" : false, "suffix" : "" }, { "dropping-particle" : "", "family" : "Haute", "given" : "CV", "non-dropping-particle" : "", "parse-names" : false, "suffix" : "" }, { "dropping-particle" : "", "family" : "Checler", "given" : "F", "non-dropping-particle" : "", "parse-names" : false, "suffix" : "" }, { "dropping-particle" : "", "family" : "Godaux", "given" : "E", "non-dropping-particle" : "", "parse-names" : false, "suffix" : "" }, { "dropping-particle" : "", "family" : "Cordell", "given" : "B", "non-dropping-particle" : "", "parse-names" : false, "suffix" : "" }, { "dropping-particle" : "Van", "family" : "Leuven", "given" : "F", "non-dropping-particle" : "", "parse-names" : false, "suffix" : "" }, { "dropping-particle" : "Van", "family" : "Dorpe", "given" : "J", "non-dropping-particle" : "", "parse-names" : false, "suffix" : "" }, { "dropping-particle" : "", "family" : "Smeijers", "given" : "L", "non-dropping-particle" : "", "parse-names" : false, "suffix" : "" }, { "dropping-particle" : "", "family" : "Dewachter", "given" : "I", "non-dropping-particle" : "", "parse-names" : false, "suffix" : "" }, { "dropping-particle" : "", "family" : "Nuyens", "given" : "D", "non-dropping-particle" : "", "parse-names" : false, "suffix" : "" }, { "dropping-particle" : "", "family" : "Spittaels", "given" : "K", "non-dropping-particle" : "", "parse-names" : false, "suffix" : "" }, { "dropping-particle" : "Van", "family" : "Den", "given" : "HC", "non-dropping-particle" : "", "parse-names" : false, "suffix" : "" }, { "dropping-particle" : "", "family" : "Mercken", "given" : "M", "non-dropping-particle" : "", "parse-names" : false, "suffix" : "" }, { "dropping-particle" : "", "family" : "Moechars", "given" : "D", "non-dropping-particle" : "", "parse-names" : false, "suffix" : "" }, { "dropping-particle" : "", "family" : "Laenen", "given" : "I", "non-dropping-particle" : "", "parse-names" : false, "suffix" : "" }, { "dropping-particle" : "", "family" : "Kuiperi", "given" : "C", "non-dropping-particle" : "", "parse-names" : false, "suffix" : "" }, { "dropping-particle" : "", "family" : "Bruynseels", "given" : "K", "non-dropping-particle" : "", "parse-names" : false, "suffix" : "" }, { "dropping-particle" : "", "family" : "Tesseur", "given" : "I", "non-dropping-particle" : "", "parse-names" : false, "suffix" : "" }, { "dropping-particle" : "", "family" : "Loos", "given" : "R", "non-dropping-particle" : "", "parse-names" : false, "suffix" : "" }, { "dropping-particle" : "", "family" : "Vanderstichele", "given" : "H", "non-dropping-particle" : "", "parse-names" : false, "suffix" : "" }, { "dropping-particle" : "", "family" : "Checler", "given" : "F", "non-dropping-particle" : "", "parse-names" : false, "suffix" : "" }, { "dropping-particle" : "", "family" : "Sciot", "given" : "R", "non-dropping-particle" : "", "parse-names" : false, "suffix" : "" }, { "dropping-particle" : "Van", "family" : "Leuven", "given" : "F", "non-dropping-particle" : "", "parse-names" : false, "suffix" : "" }, { "dropping-particle" : "", "family" : "Lamb", "given" : "BT", "non-dropping-particle" : "", "parse-names" : false, "suffix" : "" }, { "dropping-particle" : "", "family" : "Bardel", "given" : "KA", "non-dropping-particle" : "", "parse-names" : false, "suffix" : "" }, { "dropping-particle" : "", "family" : "Kulnane", "given" : "LS", "non-dropping-particle" : "", "parse-names" : false, "suffix" : "" }, { "dropping-particle" : "", "family" : "Anderson", "given" : "JJ", "non-dropping-particle" : "", "parse-names" : false, "suffix" : "" }, { "dropping-particle" : "", "family" : "Holtz", "given" : "G", "non-dropping-particle" : "", "parse-names" : false, "suffix" : "" }, { "dropping-particle" : "", "family" : "Wagner", "given" : "SL", "non-dropping-particle" : "", "parse-names" : false, "suffix" : "" }, { "dropping-particle" : "", "family" : "Sisodia", "given" : "SS", "non-dropping-particle" : "", "parse-names" : false, "suffix" : "" }, { "dropping-particle" : "", "family" : "Hoeger", "given" : "EJ", "non-dropping-particle" : "", "parse-names" : false, "suffix" : "" }, { "dropping-particle" : "", "family" : "McGeer", "given" : "PL", "non-dropping-particle" : "", "parse-names" : false, "suffix" : "" }, { "dropping-particle" : "", "family" : "Itagaki", "given" : "S", "non-dropping-particle" : "", "parse-names" : false, "suffix" : "" }, { "dropping-particle" : "", "family" : "Tago", "given" : "H", "non-dropping-particle" : "", "parse-names" : false, "suffix" : "" }, { "dropping-particle" : "", "family" : "McGeer", "given" : "EG", "non-dropping-particle" : "", "parse-names" : false, "suffix" : "" }, { "dropping-particle" : "", "family" : "Sastre", "given" : "M", "non-dropping-particle" : "", "parse-names" : false, "suffix" : "" }, { "dropping-particle" : "", "family" : "Dewachter", "given" : "I", "non-dropping-particle" : "", "parse-names" : false, "suffix" : "" }, { "dropping-particle" : "", "family" : "Landreth", "given" : "GE", "non-dropping-particle" : "", "parse-names" : false, "suffix" : "" }, { "dropping-particle" : "", "family" : "Willson", "given" : "TM", "non-dropping-particle" : "", "parse-names" : false, "suffix" : "" }, { "dropping-particle" : "", "family" : "Klockgether", "given" : "T", "non-dropping-particle" : "", "parse-names" : false, "suffix" : "" }, { "dropping-particle" : "Van", "family" : "Leuven", "given" : "F", "non-dropping-particle" : "", "parse-names" : false, "suffix" : "" }, { "dropping-particle" : "", "family" : "Heneka", "given" : "MT", "non-dropping-particle" : "", "parse-names" : false, "suffix" : "" }, { "dropping-particle" : "", "family" : "Fluhrer", "given" : "R", "non-dropping-particle" : "", "parse-names" : false, "suffix" : "" }, { "dropping-particle" : "", "family" : "Multhaup", "given" : "G", "non-dropping-particle" : "", "parse-names" : false, "suffix" : "" }, { "dropping-particle" : "", "family" : "Schlicksupp", "given" : "A", "non-dropping-particle" : "", "parse-names" : false, "suffix" : "" }, { "dropping-particle" : "", "family" : "Okochi", "given" : "M", "non-dropping-particle" : "", "parse-names" : false, "suffix" : "" }, { "dropping-particle" : "", "family" : "Takeda", "given" : "M", "non-dropping-particle" : "", "parse-names" : false, "suffix" : "" }, { "dropping-particle" : "", "family" : "Lammich", "given" : "S", "non-dropping-particle" : "", "parse-names" : false, "suffix" : "" }, { "dropping-particle" : "", "family" : "Willem", "given" : "M", "non-dropping-particle" : "", "parse-names" : false, "suffix" : "" }, { "dropping-particle" : "", "family" : "Westmeyer", "given" : "G", "non-dropping-particle" : "", "parse-names" : false, "suffix" : "" }, { "dropping-particle" : "", "family" : "Bode", "given" : "W", "non-dropping-particle" : "", "parse-names" : false, "suffix" : "" }, { "dropping-particle" : "", "family" : "Walter", "given" : "J", "non-dropping-particle" : "", "parse-names" : false, "suffix" : "" }, { "dropping-particle" : "", "family" : "Haass", "given" : "C", "non-dropping-particle" : "", "parse-names" : false, "suffix" : "" }, { "dropping-particle" : "", "family" : "Rossner", "given" : "S", "non-dropping-particle" : "", "parse-names" : false, "suffix" : "" }, { "dropping-particle" : "", "family" : "Apelt", "given" : "J", "non-dropping-particle" : "", "parse-names" : false, "suffix" : "" }, { "dropping-particle" : "", "family" : "Schliebs", "given" : "R", "non-dropping-particle" : "", "parse-names" : false, "suffix" : "" }, { "dropping-particle" : "", "family" : "Perez-Polo", "given" : "JR", "non-dropping-particle" : "", "parse-names" : false, "suffix" : "" }, { "dropping-particle" : "", "family" : "Bigl", "given" : "V", "non-dropping-particle" : "", "parse-names" : false, "suffix" : "" }, { "dropping-particle" : "", "family" : "Barger", "given" : "SW", "non-dropping-particle" : "", "parse-names" : false, "suffix" : "" }, { "dropping-particle" : "", "family" : "Harmon", "given" : "AD", "non-dropping-particle" : "", "parse-names" : false, "suffix" : "" }, { "dropping-particle" : "", "family" : "Blasko", "given" : "I", "non-dropping-particle" : "", "parse-names" : false, "suffix" : "" }, { "dropping-particle" : "", "family" : "Marx", "given" : "F", "non-dropping-particle" : "", "parse-names" : false, "suffix" : "" }, { "dropping-particle" : "", "family" : "Steiner", "given" : "E", "non-dropping-particle" : "", "parse-names" : false, "suffix" : "" }, { "dropping-particle" : "", "family" : "Hartmann", "given" : "T", "non-dropping-particle" : "", "parse-names" : false, "suffix" : "" }, { "dropping-particle" : "", "family" : "Grubeck-Loebenstein", "given" : "B", "non-dropping-particle" : "", "parse-names" : false, "suffix" : "" }, { "dropping-particle" : "", "family" : "Schenk", "given" : "D", "non-dropping-particle" : "", "parse-names" : false, "suffix" : "" }, { "dropping-particle" : "", "family" : "Barbour", "given" : "R", "non-dropping-particle" : "", "parse-names" : false, "suffix" : "" }, { "dropping-particle" : "", "family" : "Dunn", "given" : "W", "non-dropping-particle" : "", "parse-names" : false, "suffix" : "" }, { "dropping-particle" : "", "family" : "Gordon", "given" : "G", "non-dropping-particle" : "", "parse-names" : false, "suffix" : "" }, { "dropping-particle" : "", "family" : "Grajeda", "given" : "H", "non-dropping-particle" : "", "parse-names" : false, "suffix" : "" }, { "dropping-particle" : "", "family" : "Guido", "given" : "T", "non-dropping-particle" : "", "parse-names" : false, "suffix" : "" }, { "dropping-particle" : "", "family" : "Hu", "given" : "K", "non-dropping-particle" : "", "parse-names" : false, "suffix" : "" }, { "dropping-particle" : "", "family" : "Huang", "given" : "J", "non-dropping-particle" : "", "parse-names" : false, "suffix" : "" }, { "dropping-particle" : "", "family" : "Johnson-Wood", "given" : "K", "non-dropping-particle" : "", "parse-names" : false, "suffix" : "" }, { "dropping-particle" : "", "family" : "Khan", "given" : "K", "non-dropping-particle" : "", "parse-names" : false, "suffix" : "" }, { "dropping-particle" : "", "family" : "Kholodenko", "given" : "D", "non-dropping-particle" : "", "parse-names" : false, "suffix" : "" }, { "dropping-particle" : "", "family" : "Lee", "given" : "M", "non-dropping-particle" : "", "parse-names" : false, "suffix" : "" }, { "dropping-particle" : "", "family" : "Liao", "given" : "Z", "non-dropping-particle" : "", "parse-names" : false, "suffix" : "" }, { "dropping-particle" : "", "family" : "Lieberburg", "given" : "I", "non-dropping-particle" : "", "parse-names" : false, "suffix" : "" }, { "dropping-particle" : "", "family" : "Motter", "given" : "R", "non-dropping-particle" : "", "parse-names" : false, "suffix" : "" }, { "dropping-particle" : "", "family" : "Mutter", "given" : "L", "non-dropping-particle" : "", "parse-names" : false, "suffix" : "" }, { "dropping-particle" : "", "family" : "Soriano", "given" : "F", "non-dropping-particle" : "", "parse-names" : false, "suffix" : "" }, { "dropping-particle" : "", "family" : "Shopp", "given" : "G", "non-dropping-particle" : "", "parse-names" : false, "suffix" : "" }, { "dropping-particle" : "", "family" : "Vasquez", "given" : "N", "non-dropping-particle" : "", "parse-names" : false, "suffix" : "" }, { "dropping-particle" : "", "family" : "Vandevert", "given" : "C", "non-dropping-particle" : "", "parse-names" : false, "suffix" : "" }, { "dropping-particle" : "", "family" : "Walker", "given" : "S", "non-dropping-particle" : "", "parse-names" : false, "suffix" : "" }, { "dropping-particle" : "", "family" : "Wogulis", "given" : "M", "non-dropping-particle" : "", "parse-names" : false, "suffix" : "" }, { "dropping-particle" : "", "family" : "Yednock", "given" : "T", "non-dropping-particle" : "", "parse-names" : false, "suffix" : "" }, { "dropping-particle" : "", "family" : "Games", "given" : "D", "non-dropping-particle" : "", "parse-names" : false, "suffix" : "" }, { "dropping-particle" : "", "family" : "Seubert", "given" : "P", "non-dropping-particle" : "", "parse-names" : false, "suffix" : "" }, { "dropping-particle" : "", "family" : "Mehlhorn", "given" : "G", "non-dropping-particle" : "", "parse-names" : false, "suffix" : "" }, { "dropping-particle" : "", "family" : "Hollborn", "given" : "M", "non-dropping-particle" : "", "parse-names" : false, "suffix" : "" }, { "dropping-particle" : "", "family" : "Schliebs", "given" : "R", "non-dropping-particle" : "", "parse-names" : false, "suffix" : "" }, { "dropping-particle" : "", "family" : "Abbas", "given" : "N", "non-dropping-particle" : "", "parse-names" : false, "suffix" : "" }, { "dropping-particle" : "", "family" : "Bednar", "given" : "I", "non-dropping-particle" : "", "parse-names" : false, "suffix" : "" }, { "dropping-particle" : "", "family" : "Mix", "given" : "E", "non-dropping-particle" : "", "parse-names" : false, "suffix" : "" }, { "dropping-particle" : "", "family" : "Marie", "given" : "S", "non-dropping-particle" : "", "parse-names" : false, "suffix" : "" }, { "dropping-particle" : "", "family" : "Paterson", "given" : "D", "non-dropping-particle" : "", "parse-names" : false, "suffix" : "" }, { "dropping-particle" : "", "family" : "Ljungberg", "given" : "A", "non-dropping-particle" : "", "parse-names" : false, "suffix" : "" }, { "dropping-particle" : "", "family" : "Morris", "given" : "C", "non-dropping-particle" : "", "parse-names" : false, "suffix" : "" }, { "dropping-particle" : "", "family" : "Winblad", "given" : "B", "non-dropping-particle" : "", "parse-names" : false, "suffix" : "" }, { "dropping-particle" : "", "family" : "Nordberg", "given" : "A", "non-dropping-particle" : "", "parse-names" : false, "suffix" : "" }, { "dropping-particle" : "", "family" : "Zhu", "given" : "J", "non-dropping-particle" : "", "parse-names" : false, "suffix" : "" }, { "dropping-particle" : "", "family" : "Benzing", "given" : "WC", "non-dropping-particle" : "", "parse-names" : false, "suffix" : "" }, { "dropping-particle" : "", "family" : "Wujek", "given" : "JR", "non-dropping-particle" : "", "parse-names" : false, "suffix" : "" }, { "dropping-particle" : "", "family" : "Ward", "given" : "EK", "non-dropping-particle" : "", "parse-names" : false, "suffix" : "" }, { "dropping-particle" : "", "family" : "Shaffer", "given" : "D", "non-dropping-particle" : "", "parse-names" : false, "suffix" : "" }, { "dropping-particle" : "", "family" : "Ashe", "given" : "KH", "non-dropping-particle" : "", "parse-names" : false, "suffix" : "" }, { "dropping-particle" : "", "family" : "Younkin", "given" : "SG", "non-dropping-particle" : "", "parse-names" : false, "suffix" : "" }, { "dropping-particle" : "", "family" : "Brunden", "given" : "KR", "non-dropping-particle" : "", "parse-names" : false, "suffix" : "" }, { "dropping-particle" : "", "family" : "Apelt", "given" : "J", "non-dropping-particle" : "", "parse-names" : false, "suffix" : "" }, { "dropping-particle" : "", "family" : "Schliebs", "given" : "R", "non-dropping-particle" : "", "parse-names" : false, "suffix" : "" }, { "dropping-particle" : "", "family" : "Szczepanik", "given" : "AM", "non-dropping-particle" : "", "parse-names" : false, "suffix" : "" }, { "dropping-particle" : "", "family" : "Rampe", "given" : "D", "non-dropping-particle" : "", "parse-names" : false, "suffix" : "" }, { "dropping-particle" : "", "family" : "Ringheim", "given" : "GE", "non-dropping-particle" : "", "parse-names" : false, "suffix" : "" }, { "dropping-particle" : "", "family" : "Murray", "given" : "CA", "non-dropping-particle" : "", "parse-names" : false, "suffix" : "" }, { "dropping-particle" : "", "family" : "Lynch", "given" : "MA", "non-dropping-particle" : "", "parse-names" : false, "suffix" : "" }, { "dropping-particle" : "", "family" : "Tancredi", "given" : "V", "non-dropping-particle" : "", "parse-names" : false, "suffix" : "" }, { "dropping-particle" : "", "family" : "D", "given" : "M", "non-dropping-particle" : "", "parse-names" : false, "suffix" : "" }, { "dropping-particle" : "", "family" : "Graber", "given" : "HU", "non-dropping-particle" : "", "parse-names" : false, "suffix" : "" }, { "dropping-particle" : "", "family" : "Zurbriggen", "given" : "A", "non-dropping-particle" : "", "parse-names" : false, "suffix" : "" }, { "dropping-particle" : "", "family" : "Vandevelde", "given" : "M", "non-dropping-particle" : "", "parse-names" : false, "suffix" : "" }, { "dropping-particle" : "", "family" : "Bigl", "given" : "M", "non-dropping-particle" : "", "parse-names" : false, "suffix" : "" }, { "dropping-particle" : "", "family" : "Apelt", "given" : "J", "non-dropping-particle" : "", "parse-names" : false, "suffix" : "" }, { "dropping-particle" : "", "family" : "Luschekina", "given" : "EA", "non-dropping-particle" : "", "parse-names" : false, "suffix" : "" }, { "dropping-particle" : "", "family" : "Lange-Dohna", "given" : "C", "non-dropping-particle" : "", "parse-names" : false, "suffix" : "" }, { "dropping-particle" : "", "family" : "Rossner", "given" : "S", "non-dropping-particle" : "", "parse-names" : false, "suffix" : "" }, { "dropping-particle" : "", "family" : "Schliebs", "given" : "R", "non-dropping-particle" : "", "parse-names" : false, "suffix" : "" }, { "dropping-particle" : "", "family" : "Irizarry", "given" : "MC", "non-dropping-particle" : "", "parse-names" : false, "suffix" : "" }, { "dropping-particle" : "", "family" : "Locascio", "given" : "JJ", "non-dropping-particle" : "", "parse-names" : false, "suffix" : "" }, { "dropping-particle" : "", "family" : "Hyman", "given" : "BT", "non-dropping-particle" : "", "parse-names" : false, "suffix" : "" } ], "container-title" : "Journal of Neuroinflammation", "id" : "ITEM-1", "issue" : "1", "issued" : { "date-parts" : [ [ "2005" ] ] }, "page" : "22", "publisher" : "BioMed Central", "title" : "Focal glial activation coincides with increased BACE1 activation and precedes amyloid plaque deposition in APP[V717I] transgenic mice", "type" : "article-journal", "volume" : "2" }, "uris" : [ "http://www.mendeley.com/documents/?uuid=39bc724a-36d6-3758-8c90-2441b0ccb296" ] } ], "mendeley" : { "formattedCitation" : "(Heneka et al. 2005)", "plainTextFormattedCitation" : "(Heneka et al. 2005)", "previouslyFormattedCitation" : "(Heneka et al. 2005)" }, "properties" : { "noteIndex" : 0 }, "schema" : "https://github.com/citation-style-language/schema/raw/master/csl-citation.json" }</w:instrText>
      </w:r>
      <w:r w:rsidR="00F427EA">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(Heneka et al. 2005)</w:t>
      </w:r>
      <w:r w:rsidR="00F427EA">
        <w:rPr>
          <w:rFonts w:ascii="Times New Roman" w:hAnsi="Times New Roman" w:cs="Times New Roman"/>
          <w:sz w:val="24"/>
          <w:szCs w:val="24"/>
        </w:rPr>
        <w:fldChar w:fldCharType="end"/>
      </w:r>
      <w:r w:rsidR="006544CE">
        <w:rPr>
          <w:rFonts w:ascii="Times New Roman" w:hAnsi="Times New Roman" w:cs="Times New Roman"/>
          <w:sz w:val="24"/>
          <w:szCs w:val="24"/>
        </w:rPr>
        <w:t>.</w:t>
      </w:r>
      <w:r w:rsidR="006544CE" w:rsidRPr="009F1FE1">
        <w:rPr>
          <w:rFonts w:ascii="Times New Roman" w:hAnsi="Times New Roman" w:cs="Times New Roman"/>
          <w:sz w:val="24"/>
          <w:szCs w:val="24"/>
        </w:rPr>
        <w:t xml:space="preserve"> </w:t>
      </w:r>
      <w:r w:rsidR="00034C2E">
        <w:rPr>
          <w:rFonts w:ascii="Times New Roman" w:hAnsi="Times New Roman" w:cs="Times New Roman"/>
          <w:sz w:val="24"/>
          <w:szCs w:val="24"/>
        </w:rPr>
        <w:t>However, s</w:t>
      </w:r>
      <w:r w:rsidR="00C628C8">
        <w:rPr>
          <w:rFonts w:ascii="Times New Roman" w:hAnsi="Times New Roman" w:cs="Times New Roman"/>
          <w:sz w:val="24"/>
          <w:szCs w:val="24"/>
        </w:rPr>
        <w:t>tudies have</w:t>
      </w:r>
      <w:r w:rsidR="00034C2E">
        <w:rPr>
          <w:rFonts w:ascii="Times New Roman" w:hAnsi="Times New Roman" w:cs="Times New Roman"/>
          <w:sz w:val="24"/>
          <w:szCs w:val="24"/>
        </w:rPr>
        <w:t xml:space="preserve"> also</w:t>
      </w:r>
      <w:r w:rsidR="00C628C8">
        <w:rPr>
          <w:rFonts w:ascii="Times New Roman" w:hAnsi="Times New Roman" w:cs="Times New Roman"/>
          <w:sz w:val="24"/>
          <w:szCs w:val="24"/>
        </w:rPr>
        <w:t xml:space="preserve"> revealed that </w:t>
      </w:r>
      <w:r w:rsidR="004679DE">
        <w:rPr>
          <w:rFonts w:ascii="Times New Roman" w:hAnsi="Times New Roman" w:cs="Times New Roman"/>
          <w:sz w:val="24"/>
          <w:szCs w:val="24"/>
        </w:rPr>
        <w:t>astrogliosis around</w:t>
      </w:r>
      <w:r w:rsidR="00C628C8">
        <w:rPr>
          <w:rFonts w:ascii="Times New Roman" w:hAnsi="Times New Roman" w:cs="Times New Roman"/>
          <w:sz w:val="24"/>
          <w:szCs w:val="24"/>
        </w:rPr>
        <w:t xml:space="preserve"> plaques can </w:t>
      </w:r>
      <w:r w:rsidR="00624FAB">
        <w:rPr>
          <w:rFonts w:ascii="Times New Roman" w:hAnsi="Times New Roman" w:cs="Times New Roman"/>
          <w:sz w:val="24"/>
          <w:szCs w:val="24"/>
        </w:rPr>
        <w:t>improve</w:t>
      </w:r>
      <w:r w:rsidR="009F1FE1">
        <w:rPr>
          <w:rFonts w:ascii="Times New Roman" w:hAnsi="Times New Roman" w:cs="Times New Roman"/>
          <w:sz w:val="24"/>
          <w:szCs w:val="24"/>
        </w:rPr>
        <w:t xml:space="preserve"> cognition, as indicated by </w:t>
      </w:r>
      <w:r w:rsidR="00C628C8">
        <w:rPr>
          <w:rFonts w:ascii="Times New Roman" w:hAnsi="Times New Roman" w:cs="Times New Roman"/>
          <w:sz w:val="24"/>
          <w:szCs w:val="24"/>
        </w:rPr>
        <w:t>low MMSE scores in patients</w:t>
      </w:r>
      <w:r w:rsidR="009F1FE1">
        <w:rPr>
          <w:rFonts w:ascii="Times New Roman" w:hAnsi="Times New Roman" w:cs="Times New Roman"/>
          <w:sz w:val="24"/>
          <w:szCs w:val="24"/>
        </w:rPr>
        <w:t>, which suggests a potential protective role of reactive astrocytes</w:t>
      </w:r>
      <w:r w:rsidR="00BD3885">
        <w:rPr>
          <w:rFonts w:ascii="Times New Roman" w:hAnsi="Times New Roman" w:cs="Times New Roman"/>
          <w:sz w:val="24"/>
          <w:szCs w:val="24"/>
        </w:rPr>
        <w:t xml:space="preserve"> </w:t>
      </w:r>
      <w:r w:rsidR="000C30C3" w:rsidRPr="009F1FE1">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"10.1016/j.neurobiolaging.2008.05.015", "ISSN" : "1558-1497", "PMID" : "18586353", "abstract" : "Astrocyte pathology occurs in association with Alzheimer's disease (AD) and in brain ageing, but is poorly characterised. We sought to define the detailed cellular pathology of astrocytes, the extent of population variation and the relationship to Alzheimer-type changes in a population-based cohort. Three staining patterns were associated with GFAP and excitatory amino acid transporter 2 (EAAT2): minimal, moderate or extensive immunoreactivity. GFAP and EAAT2 expression were inversely related (p=0.015), with trends to increased expression of GFAP (p=0.019) and decreased expression of EAAT2 (p=ns) with increasing Braak stage. GFAP and EAAT2 correlated incompletely with beta-amyloid and tau immunoreactivity. However, gliosis increased with increasing burden of neuritic (p=0.011), but not diffuse (p=ns), plaques. Double-staining revealed distinct subsets of astrocytes; GFAP(+)EAAT(-), GFAP(-)EAAT(+), or GFAP(+)EAAT(+). In contrast to the variation in GFAP and EAAT2, levels of EAAT1 and S100B showed consistent staining patterns. Alzheimer-type pathology only partially explains the variation in gliosis and astrocyte functional markers, suggesting that other factors contribute to the population variance in astrocyte pathology.", "author" : [ { "dropping-particle" : "", "family" : "Simpson", "given" : "J E", "non-dropping-particle" : "", "parse-names" : false, "suffix" : "" }, { "dropping-particle" : "", "family" : "Ince", "given" : "P G", "non-dropping-particle" : "", "parse-names" : false, "suffix" : "" }, { "dropping-particle" : "", "family" : "Lace", "given" : "G", "non-dropping-particle" : "", "parse-names" : false, "suffix" : "" }, { "dropping-particle" : "", "family" : "Forster", "given" : "G", "non-dropping-particle" : "", "parse-names" : false, "suffix" : "" }, { "dropping-particle" : "", "family" : "Shaw", "given" : "P J", "non-dropping-particle" : "", "parse-names" : false, "suffix" : "" }, { "dropping-particle" : "", "family" : "Matthews", "given" : "F", "non-dropping-particle" : "", "parse-names" : false, "suffix" : "" }, { "dropping-particle" : "", "family" : "Savva", "given" : "G", "non-dropping-particle" : "", "parse-names" : false, "suffix" : "" }, { "dropping-particle" : "", "family" : "Brayne", "given" : "C", "non-dropping-particle" : "", "parse-names" : false, "suffix" : "" }, { "dropping-particle" : "", "family" : "Wharton", "given" : "S B", "non-dropping-particle" : "", "parse-names" : false, "suffix" : "" } ], "container-title" : "Neurobiology of aging", "id" : "ITEM-1", "issue" : "4", "issued" : { "date-parts" : [ [ "2010", "4" ] ] }, "page" : "578-90", "title" : "Astrocyte phenotype in relation to Alzheimer-type pathology in the ageing brain.", "type" : "article-journal", "volume" : "31" }, "uris" : [ "http://www.mendeley.com/documents/?uuid=777358ad-cb13-402e-b071-9f6976f101f9" ] }, { "id" : "ITEM-2", "itemData" : { "DOI" : "10.1371/journal.pone.0118463", "ISSN" : "1932-6203", "PMID" : "25707004", "abstract" : "AIMS: \u03b2-amyloid (A\u03b2) plaques are a key feature of Alzheimer's disease pathology but correlate poorly with dementia. They are associated with astrocytes which may modulate the effect of A\u03b2-deposition on the neuropil. This study characterised the astrocyte response to A\u03b2 plaque subtypes, and investigated their association with cognitive impairment.\n\nMETHODS: A\u03b2 plaque subtypes were identified in the cingulate gyrus using dual labelling immunohistochemistry to A\u03b2 and GFAP+ astrocytes, and quantitated in two cortical areas: the area of densest plaque burden and the deep cortex near the white matter border (layer VI). Three subtypes were defined for both diffuse and compact plaques (also known as classical or core-plaques): A\u03b2 plaque with (1) no associated astrocytes, (2) focal astrogliosis or (3) circumferential astrogliosis.\n\nRESULTS: In the area of densest burden, diffuse plaques with no astrogliosis (\u03b2 = -0.05, p = 0.001) and with focal astrogliosis (\u03b2 = -0.27, p = 0.009) significantly associated with lower MMSE scores when controlling for sex and age at death. In the deep cortex (layer VI), both diffuse and compact plaques without astrogliosis associated with lower MMSE scores (\u03b2 = -0.15, p = 0.017 and \u03b2 = -0.81, p = 0.03, respectively). Diffuse plaques with no astrogliosis in layer VI related to dementia status (OR = 1.05, p = 0.025). In the area of densest burden, diffuse plaques with no astrogliosis or with focal astrogliosis associated with increasing Braak stage (\u03b2 = 0.01, p&lt;0.001 and \u03b2 = 0.07, p&lt;0.001, respectively), and ApoE\u03b54 genotype (OR = 1.02, p = 0.001 and OR = 1.10, p = 0.016, respectively). In layer VI all plaque subtypes associated with Braak stage, and compact amyloid plaques with little and no associated astrogliosis associated with ApoE\u03b54 genotype (OR = 1.50, p = 0.014 and OR = 0.10, p = 0.003, respectively).\n\nCONCLUSIONS: Reactive astrocytes in close proximity to either diffuse or compact plaques may have a neuroprotective role in the ageing brain, and possession of at least one copy of the ApoE\u03b54 allele impacts the astroglial response to A\u03b2 plaques.", "author" : [ { "dropping-particle" : "", "family" : "Mathur", "given" : "Ryan", "non-dropping-particle" : "", "parse-names" : false, "suffix" : "" }, { "dropping-particle" : "", "family" : "Ince", "given" : "Paul G", "non-dropping-particle" : "", "parse-names" : false, "suffix" : "" }, { "dropping-particle" : "", "family" : "Minett", "given" : "Thais", "non-dropping-particle" : "", "parse-names" : false, "suffix" : "" }, { "dropping-particle" : "", "family" : "Garwood", "given" : "Claire J", "non-dropping-particle" : "", "parse-names" : false, "suffix" : "" }, { "dropping-particle" : "", "family" : "Shaw", "given" : "Pamela J", "non-dropping-particle" : "", "parse-names" : false, "suffix" : "" }, { "dropping-particle" : "", "family" : "Matthews", "given" : "Fiona E", "non-dropping-particle" : "", "parse-names" : false, "suffix" : "" }, { "dropping-particle" : "", "family" : "Brayne", "given" : "Carol", "non-dropping-particle" : "", "parse-names" : false, "suffix" : "" }, { "dropping-particle" : "", "family" : "Simpson", "given" : "Julie E", "non-dropping-particle" : "", "parse-names" : false, "suffix" : "" }, { "dropping-particle" : "", "family" : "Wharton", "given" : "Stephen B", "non-dropping-particle" : "", "parse-names" : false, "suffix" : "" } ], "container-title" : "PloS one", "id" : "ITEM-2", "issue" : "2", "issued" : { "date-parts" : [ [ "2015", "1" ] ] }, "page" : "e0118463", "title" : "A reduced astrocyte response to \u03b2-amyloid plaques in the ageing brain associates with cognitive impairment.", "type" : "article-journal", "volume" : "10" }, "uris" : [ "http://www.mendeley.com/documents/?uuid=5f1be588-a6bd-471d-ac9d-293b522575ee" ] } ], "mendeley" : { "formattedCitation" : "(J E Simpson, Ince, Lace, et al. 2010; Mathur et al. 2015)", "plainTextFormattedCitation" : "(J E Simpson, Ince, Lace, et al. 2010; Mathur et al. 2015)", "previouslyFormattedCitation" : "(J E Simpson, Ince, Lace, et al. 2010; Mathur et al. 2015)" }, "properties" : { "noteIndex" : 0 }, "schema" : "https://github.com/citation-style-language/schema/raw/master/csl-citation.json" }</w:instrText>
      </w:r>
      <w:r w:rsidR="000C30C3" w:rsidRPr="009F1FE1">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(J E Simpson, Ince, Lace, et al. 2010; Mathur et al. 2015)</w:t>
      </w:r>
      <w:r w:rsidR="000C30C3" w:rsidRPr="009F1FE1">
        <w:rPr>
          <w:rFonts w:ascii="Times New Roman" w:hAnsi="Times New Roman" w:cs="Times New Roman"/>
          <w:sz w:val="24"/>
          <w:szCs w:val="24"/>
        </w:rPr>
        <w:fldChar w:fldCharType="end"/>
      </w:r>
      <w:r w:rsidR="00EF2AF4" w:rsidRPr="009F1FE1">
        <w:rPr>
          <w:rFonts w:ascii="Times New Roman" w:hAnsi="Times New Roman" w:cs="Times New Roman"/>
          <w:sz w:val="24"/>
          <w:szCs w:val="24"/>
        </w:rPr>
        <w:t>.</w:t>
      </w:r>
      <w:r w:rsidR="006544CE">
        <w:rPr>
          <w:rFonts w:ascii="Times New Roman" w:hAnsi="Times New Roman" w:cs="Times New Roman"/>
          <w:sz w:val="24"/>
          <w:szCs w:val="24"/>
        </w:rPr>
        <w:t xml:space="preserve"> In addition, genetic deletion of GFAP and vimentin from</w:t>
      </w:r>
      <w:r w:rsidR="00A06F65">
        <w:rPr>
          <w:rFonts w:ascii="Times New Roman" w:hAnsi="Times New Roman" w:cs="Times New Roman"/>
          <w:sz w:val="24"/>
          <w:szCs w:val="24"/>
        </w:rPr>
        <w:t xml:space="preserve"> APP/PS1 mice resulted</w:t>
      </w:r>
      <w:r w:rsidR="006544CE">
        <w:rPr>
          <w:rFonts w:ascii="Times New Roman" w:hAnsi="Times New Roman" w:cs="Times New Roman"/>
          <w:sz w:val="24"/>
          <w:szCs w:val="24"/>
        </w:rPr>
        <w:t xml:space="preserve"> in increased plaque load and dystrophic neurites, which adds support to the idea that astrogliosis is a protective response in AD</w:t>
      </w:r>
      <w:r w:rsidR="007511C6">
        <w:rPr>
          <w:rFonts w:ascii="Times New Roman" w:hAnsi="Times New Roman" w:cs="Times New Roman"/>
          <w:sz w:val="24"/>
          <w:szCs w:val="24"/>
        </w:rPr>
        <w:t xml:space="preserve"> </w:t>
      </w:r>
      <w:r w:rsidR="007511C6">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"10.1096/fj.12-208660", "ISSN" : "0892-6638", "author" : [ { "dropping-particle" : "", "family" : "Kraft", "given" : "A. W.", "non-dropping-particle" : "", "parse-names" : false, "suffix" : "" }, { "dropping-particle" : "", "family" : "Hu", "given" : "X.", "non-dropping-particle" : "", "parse-names" : false, "suffix" : "" }, { "dropping-particle" : "", "family" : "Yoon", "given" : "H.", "non-dropping-particle" : "", "parse-names" : false, "suffix" : "" }, { "dropping-particle" : "", "family" : "Yan", "given" : "P.", "non-dropping-particle" : "", "parse-names" : false, "suffix" : "" }, { "dropping-particle" : "", "family" : "Xiao", "given" : "Q.", "non-dropping-particle" : "", "parse-names" : false, "suffix" : "" }, { "dropping-particle" : "", "family" : "Wang", "given" : "Y.", "non-dropping-particle" : "", "parse-names" : false, "suffix" : "" }, { "dropping-particle" : "", "family" : "Gil", "given" : "S. C.", "non-dropping-particle" : "", "parse-names" : false, "suffix" : "" }, { "dropping-particle" : "", "family" : "Brown", "given" : "J.", "non-dropping-particle" : "", "parse-names" : false, "suffix" : "" }, { "dropping-particle" : "", "family" : "Wilhelmsson", "given" : "U.", "non-dropping-particle" : "", "parse-names" : false, "suffix" : "" }, { "dropping-particle" : "", "family" : "Restivo", "given" : "J. L.", "non-dropping-particle" : "", "parse-names" : false, "suffix" : "" }, { "dropping-particle" : "", "family" : "Cirrito", "given" : "J. R.", "non-dropping-particle" : "", "parse-names" : false, "suffix" : "" }, { "dropping-particle" : "", "family" : "Holtzman", "given" : "D. M.", "non-dropping-particle" : "", "parse-names" : false, "suffix" : "" }, { "dropping-particle" : "", "family" : "Kim", "given" : "J.", "non-dropping-particle" : "", "parse-names" : false, "suffix" : "" }, { "dropping-particle" : "", "family" : "Pekny", "given" : "M.", "non-dropping-particle" : "", "parse-names" : false, "suffix" : "" }, { "dropping-particle" : "", "family" : "Lee", "given" : "J.-M.", "non-dropping-particle" : "", "parse-names" : false, "suffix" : "" } ], "container-title" : "The FASEB Journal", "id" : "ITEM-1", "issue" : "1", "issued" : { "date-parts" : [ [ "2013", "1", "1" ] ] }, "page" : "187-198", "publisher" : "Federation of American Societies for Experimental Biology", "title" : "Attenuating astrocyte activation accelerates plaque pathogenesis in APP/PS1 mice", "type" : "article-journal", "volume" : "27" }, "uris" : [ "http://www.mendeley.com/documents/?uuid=3e12ece6-5e16-3ef3-b3e1-7cb5482ba41e" ] } ], "mendeley" : { "formattedCitation" : "(Kraft et al. 2013)", "plainTextFormattedCitation" : "(Kraft et al. 2013)", "previouslyFormattedCitation" : "(Kraft et al. 2013)" }, "properties" : { "noteIndex" : 0 }, "schema" : "https://github.com/citation-style-language/schema/raw/master/csl-citation.json" }</w:instrText>
      </w:r>
      <w:r w:rsidR="007511C6">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(Kraft et al. 2013)</w:t>
      </w:r>
      <w:r w:rsidR="007511C6">
        <w:rPr>
          <w:rFonts w:ascii="Times New Roman" w:hAnsi="Times New Roman" w:cs="Times New Roman"/>
          <w:sz w:val="24"/>
          <w:szCs w:val="24"/>
        </w:rPr>
        <w:fldChar w:fldCharType="end"/>
      </w:r>
      <w:r w:rsidR="00C628C8">
        <w:rPr>
          <w:rFonts w:ascii="Times New Roman" w:hAnsi="Times New Roman" w:cs="Times New Roman"/>
          <w:sz w:val="24"/>
          <w:szCs w:val="24"/>
        </w:rPr>
        <w:t xml:space="preserve">. </w:t>
      </w:r>
      <w:r w:rsidR="006544CE">
        <w:rPr>
          <w:rFonts w:ascii="Times New Roman" w:hAnsi="Times New Roman" w:cs="Times New Roman"/>
          <w:sz w:val="24"/>
          <w:szCs w:val="24"/>
        </w:rPr>
        <w:t>Furthermore</w:t>
      </w:r>
      <w:r w:rsidR="00374B5D">
        <w:rPr>
          <w:rFonts w:ascii="Times New Roman" w:hAnsi="Times New Roman" w:cs="Times New Roman"/>
          <w:sz w:val="24"/>
          <w:szCs w:val="24"/>
        </w:rPr>
        <w:t xml:space="preserve">, the </w:t>
      </w:r>
      <w:r w:rsidR="00374B5D" w:rsidRPr="00EF2AF4">
        <w:rPr>
          <w:rFonts w:ascii="Times New Roman" w:hAnsi="Times New Roman" w:cs="Times New Roman"/>
          <w:sz w:val="24"/>
          <w:szCs w:val="24"/>
        </w:rPr>
        <w:t>Aβ</w:t>
      </w:r>
      <w:r w:rsidR="00374B5D">
        <w:rPr>
          <w:rFonts w:ascii="Times New Roman" w:hAnsi="Times New Roman" w:cs="Times New Roman"/>
          <w:sz w:val="24"/>
          <w:szCs w:val="24"/>
        </w:rPr>
        <w:t xml:space="preserve"> deposition saturation model states that enhanced astrogliosis is considered a better indicator of AD progression than plaque load </w:t>
      </w:r>
      <w:r w:rsidR="000C30C3">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"10.1016/j.ajpath.2011.05.047", "ISSN" : "1525-2191", "PMID" : "21777559", "abstract" : "Senile plaques are a prominent pathological feature of Alzheimer's disease (AD), but little is understood about the association of glial cells with plaques or about the dynamics of glial responses through the disease course. We investigated the progression of reactive glial cells and their relationship with AD pathological hallmarks to test whether glial cells are linked only to amyloid deposits or also to tangle deposition, thus integrating both lesions as a marker of disease severity. We conducted a quantitative stereology-based post-mortem study on the temporal neocortex of 15 control subjects without dementia and 91 patients with AD, including measures of amyloid load, neurofibrillary tangles, reactive astrocytes, and activated microglia. We also addressed the progression of glial responses in the vicinity (\u226450 \u03bcm) of dense-core plaques and tangles. Although the amyloid load reached a plateau early after symptom onset, astrocytosis and microgliosis increased linearly throughout the disease course. Moreover, glial responses correlated positively with tangle burden, whereas astrocytosis correlated negatively with cortical thickness. However, neither correlated with amyloid load. Glial responses increased linearly around existing plaques and in the vicinity of tangles. These results indicate that the progression of astrocytosis and microgliosis diverges from that of amyloid deposition, arguing against a straightforward relationship between glial cells and plaques. They also suggest that reactive glia might contribute to the ongoing neurodegeneration.", "author" : [ { "dropping-particle" : "", "family" : "Serrano-Pozo", "given" : "Alberto", "non-dropping-particle" : "", "parse-names" : false, "suffix" : "" }, { "dropping-particle" : "", "family" : "Mielke", "given" : "Matthew L", "non-dropping-particle" : "", "parse-names" : false, "suffix" : "" }, { "dropping-particle" : "", "family" : "G\u00f3mez-Isla", "given" : "Teresa", "non-dropping-particle" : "", "parse-names" : false, "suffix" : "" }, { "dropping-particle" : "", "family" : "Betensky", "given" : "Rebecca A", "non-dropping-particle" : "", "parse-names" : false, "suffix" : "" }, { "dropping-particle" : "", "family" : "Growdon", "given" : "John H", "non-dropping-particle" : "", "parse-names" : false, "suffix" : "" }, { "dropping-particle" : "", "family" : "Frosch", "given" : "Matthew P", "non-dropping-particle" : "", "parse-names" : false, "suffix" : "" }, { "dropping-particle" : "", "family" : "Hyman", "given" : "Bradley T", "non-dropping-particle" : "", "parse-names" : false, "suffix" : "" } ], "container-title" : "The American journal of pathology", "id" : "ITEM-1", "issue" : "3", "issued" : { "date-parts" : [ [ "2011", "9" ] ] }, "page" : "1373-84", "title" : "Reactive glia not only associates with plaques but also parallels tangles in Alzheimer's disease.", "type" : "article-journal", "volume" : "179" }, "uris" : [ "http://www.mendeley.com/documents/?uuid=5d017c0a-9f6f-4154-902c-fb14de6fd424" ] } ], "mendeley" : { "formattedCitation" : "(Serrano-Pozo et al. 2011)", "plainTextFormattedCitation" : "(Serrano-Pozo et al. 2011)", "previouslyFormattedCitation" : "(Serrano-Pozo et al. 2011)" }, "properties" : { "noteIndex" : 0 }, "schema" : "https://github.com/citation-style-language/schema/raw/master/csl-citation.json" }</w:instrText>
      </w:r>
      <w:r w:rsidR="000C30C3">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(Serrano-Pozo et al. 2011)</w:t>
      </w:r>
      <w:r w:rsidR="000C30C3">
        <w:rPr>
          <w:rFonts w:ascii="Times New Roman" w:hAnsi="Times New Roman" w:cs="Times New Roman"/>
          <w:sz w:val="24"/>
          <w:szCs w:val="24"/>
        </w:rPr>
        <w:fldChar w:fldCharType="end"/>
      </w:r>
      <w:r w:rsidR="000C30C3">
        <w:rPr>
          <w:rFonts w:ascii="Times New Roman" w:hAnsi="Times New Roman" w:cs="Times New Roman"/>
          <w:sz w:val="24"/>
          <w:szCs w:val="24"/>
        </w:rPr>
        <w:t>.</w:t>
      </w:r>
      <w:r w:rsidR="00EF2AF4" w:rsidRPr="00EF2AF4">
        <w:rPr>
          <w:rFonts w:ascii="Times New Roman" w:hAnsi="Times New Roman" w:cs="Times New Roman"/>
          <w:sz w:val="24"/>
          <w:szCs w:val="24"/>
        </w:rPr>
        <w:t xml:space="preserve"> </w:t>
      </w:r>
      <w:r w:rsidR="009F1FE1">
        <w:rPr>
          <w:rFonts w:ascii="Times New Roman" w:hAnsi="Times New Roman" w:cs="Times New Roman"/>
          <w:sz w:val="24"/>
          <w:szCs w:val="24"/>
        </w:rPr>
        <w:t>However it is not yet fully understood whether t</w:t>
      </w:r>
      <w:r w:rsidR="00CA0DB5">
        <w:rPr>
          <w:rFonts w:ascii="Times New Roman" w:hAnsi="Times New Roman" w:cs="Times New Roman"/>
          <w:sz w:val="24"/>
          <w:szCs w:val="24"/>
        </w:rPr>
        <w:t>he increase in gliosis associated with AD pathology</w:t>
      </w:r>
      <w:r w:rsidR="00CF39D1">
        <w:rPr>
          <w:rFonts w:ascii="Times New Roman" w:hAnsi="Times New Roman" w:cs="Times New Roman"/>
          <w:sz w:val="24"/>
          <w:szCs w:val="24"/>
        </w:rPr>
        <w:t xml:space="preserve"> </w:t>
      </w:r>
      <w:r w:rsidR="009F1FE1">
        <w:rPr>
          <w:rFonts w:ascii="Times New Roman" w:hAnsi="Times New Roman" w:cs="Times New Roman"/>
          <w:sz w:val="24"/>
          <w:szCs w:val="24"/>
        </w:rPr>
        <w:t xml:space="preserve">is a </w:t>
      </w:r>
      <w:r w:rsidR="006544CE">
        <w:rPr>
          <w:rFonts w:ascii="Times New Roman" w:hAnsi="Times New Roman" w:cs="Times New Roman"/>
          <w:sz w:val="24"/>
          <w:szCs w:val="24"/>
        </w:rPr>
        <w:t xml:space="preserve">demonstration of </w:t>
      </w:r>
      <w:r w:rsidR="00CF39D1">
        <w:rPr>
          <w:rFonts w:ascii="Times New Roman" w:hAnsi="Times New Roman" w:cs="Times New Roman"/>
          <w:sz w:val="24"/>
          <w:szCs w:val="24"/>
        </w:rPr>
        <w:t xml:space="preserve">increased astrocytic support or development of </w:t>
      </w:r>
      <w:r w:rsidR="006544CE">
        <w:rPr>
          <w:rFonts w:ascii="Times New Roman" w:hAnsi="Times New Roman" w:cs="Times New Roman"/>
          <w:sz w:val="24"/>
          <w:szCs w:val="24"/>
        </w:rPr>
        <w:t xml:space="preserve">a toxic microenvironment </w:t>
      </w:r>
      <w:r w:rsidR="00CF39D1">
        <w:rPr>
          <w:rFonts w:ascii="Times New Roman" w:hAnsi="Times New Roman" w:cs="Times New Roman"/>
          <w:sz w:val="24"/>
          <w:szCs w:val="24"/>
        </w:rPr>
        <w:t xml:space="preserve">in the brain.  </w:t>
      </w:r>
    </w:p>
    <w:p w14:paraId="0B411811" w14:textId="366DAF0A" w:rsidR="00503AF0" w:rsidRPr="00020BB1" w:rsidRDefault="00020BB1" w:rsidP="00EF2AF4">
      <w:pPr>
        <w:pStyle w:val="Body"/>
        <w:spacing w:line="360" w:lineRule="auto"/>
        <w:jc w:val="both"/>
        <w:rPr>
          <w:rFonts w:ascii="Times New Roman" w:hAnsi="Times New Roman" w:cs="Times New Roman"/>
          <w:color w:val="FF0000"/>
          <w:sz w:val="24"/>
          <w:szCs w:val="24"/>
        </w:rPr>
      </w:pPr>
      <w:r>
        <w:rPr>
          <w:rFonts w:ascii="Times New Roman" w:hAnsi="Times New Roman" w:cs="Times New Roman"/>
          <w:sz w:val="24"/>
          <w:szCs w:val="24"/>
        </w:rPr>
        <w:t xml:space="preserve">In addition to tau and </w:t>
      </w:r>
      <w:r w:rsidRPr="00EF2AF4">
        <w:rPr>
          <w:rFonts w:ascii="Times New Roman" w:hAnsi="Times New Roman" w:cs="Times New Roman"/>
          <w:sz w:val="24"/>
          <w:szCs w:val="24"/>
        </w:rPr>
        <w:t>Aβ</w:t>
      </w:r>
      <w:r>
        <w:rPr>
          <w:rFonts w:ascii="Times New Roman" w:hAnsi="Times New Roman" w:cs="Times New Roman"/>
          <w:sz w:val="24"/>
          <w:szCs w:val="24"/>
        </w:rPr>
        <w:t xml:space="preserve"> pathology other mechanisms </w:t>
      </w:r>
      <w:r w:rsidR="00D007BC">
        <w:rPr>
          <w:rFonts w:ascii="Times New Roman" w:hAnsi="Times New Roman" w:cs="Times New Roman"/>
          <w:sz w:val="24"/>
          <w:szCs w:val="24"/>
        </w:rPr>
        <w:t xml:space="preserve">are involved in astrogliosis such as </w:t>
      </w:r>
      <w:r w:rsidR="0099643C">
        <w:rPr>
          <w:rFonts w:ascii="Times New Roman" w:hAnsi="Times New Roman" w:cs="Times New Roman"/>
          <w:sz w:val="24"/>
          <w:szCs w:val="24"/>
        </w:rPr>
        <w:t>the Ca</w:t>
      </w:r>
      <w:r w:rsidR="0099643C">
        <w:rPr>
          <w:rFonts w:ascii="Times New Roman" w:hAnsi="Times New Roman" w:cs="Times New Roman"/>
          <w:sz w:val="24"/>
          <w:szCs w:val="24"/>
          <w:vertAlign w:val="superscript"/>
        </w:rPr>
        <w:t>2+</w:t>
      </w:r>
      <w:r w:rsidR="0099643C">
        <w:rPr>
          <w:rFonts w:ascii="Times New Roman" w:hAnsi="Times New Roman" w:cs="Times New Roman"/>
          <w:sz w:val="24"/>
          <w:szCs w:val="24"/>
        </w:rPr>
        <w:t>/calmodulin dependent protein phosphatase</w:t>
      </w:r>
      <w:r w:rsidR="00C34755">
        <w:rPr>
          <w:rFonts w:ascii="Times New Roman" w:hAnsi="Times New Roman" w:cs="Times New Roman"/>
          <w:sz w:val="24"/>
          <w:szCs w:val="24"/>
        </w:rPr>
        <w:t xml:space="preserve"> </w:t>
      </w:r>
      <w:r w:rsidR="000A654D">
        <w:rPr>
          <w:rFonts w:ascii="Times New Roman" w:hAnsi="Times New Roman" w:cs="Times New Roman"/>
          <w:sz w:val="24"/>
          <w:szCs w:val="24"/>
        </w:rPr>
        <w:t>calcineurin</w:t>
      </w:r>
      <w:r w:rsidR="0099643C">
        <w:rPr>
          <w:rFonts w:ascii="Times New Roman" w:hAnsi="Times New Roman" w:cs="Times New Roman"/>
          <w:sz w:val="24"/>
          <w:szCs w:val="24"/>
        </w:rPr>
        <w:t>, which is involved in regulating inflammatory processes</w:t>
      </w:r>
      <w:r>
        <w:rPr>
          <w:rFonts w:ascii="Times New Roman" w:hAnsi="Times New Roman" w:cs="Times New Roman"/>
          <w:sz w:val="24"/>
          <w:szCs w:val="24"/>
        </w:rPr>
        <w:t>, increases with age and is frequently associated with plaques</w:t>
      </w:r>
      <w:r w:rsidR="00C34755">
        <w:rPr>
          <w:rFonts w:ascii="Times New Roman" w:hAnsi="Times New Roman" w:cs="Times New Roman"/>
          <w:sz w:val="24"/>
          <w:szCs w:val="24"/>
        </w:rPr>
        <w:t xml:space="preserve"> </w:t>
      </w:r>
      <w:r w:rsidR="00C34755">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"10.1523/JNEUROSCI.0365-05.2005", "ISSN" : "1529-2401", "PMID" : "15872113", "abstract" : "Astrocyte reactivity (i.e., activation) and associated neuroinflammation are increasingly thought to contribute to neurodegenerative disease. However, the mechanisms that trigger astrocyte activation are poorly understood. Here, we studied the Ca2+-dependent phosphatase calcineurin, which regulates inflammatory signaling pathways in immune cells, for a role in astrogliosis and brain neuroinflammation. Adenoviral transfer of activated calcineurin to primary rat hippocampal cultures resulted in pronounced thickening of astrocyte somata and processes compared with uninfected or virus control cultures, closely mimicking the activated hypertrophic phenotype. This effect was blocked by the calcineurin inhibitor cyclosporin A. Parallel microarray studies, validated by extensive statistical analyses, showed that calcineurin overexpression also induced genes and cellular pathways representing most major markers associated with astrocyte activation and recapitulated numerous changes in gene expression found previously in the hippocampus of normally aging rats or in Alzheimer's disease (AD). No genomic or morphologic evidence of apoptosis or damage to neurons was seen, indicating that the calcineurin effect was mediated by direct actions on astrocytes. Moreover, immunocytochemical studies of the hippocampus/neocortex in normal aging and AD model mice revealed intense calcineurin immunostaining that was highly selective for activated astrocytes. Together, these studies show that calcineurin overexpression is sufficient to trigger essentially the full genomic and phenotypic profiles associated with astrocyte activation and that hypertrophic astrocytes in aging and AD models exhibit dramatic upregulation of calcineurin. Thus, the data identify calcineurin upregulation in astrocytes as a novel candidate for an intracellular trigger of astrogliosis, particularly in aging and AD brain.", "author" : [ { "dropping-particle" : "", "family" : "Norris", "given" : "Christopher M", "non-dropping-particle" : "", "parse-names" : false, "suffix" : "" }, { "dropping-particle" : "", "family" : "Kadish", "given" : "Inga", "non-dropping-particle" : "", "parse-names" : false, "suffix" : "" }, { "dropping-particle" : "", "family" : "Blalock", "given" : "Eric M", "non-dropping-particle" : "", "parse-names" : false, "suffix" : "" }, { "dropping-particle" : "", "family" : "Chen", "given" : "Kuey-Chu", "non-dropping-particle" : "", "parse-names" : false, "suffix" : "" }, { "dropping-particle" : "", "family" : "Thibault", "given" : "Veronique", "non-dropping-particle" : "", "parse-names" : false, "suffix" : "" }, { "dropping-particle" : "", "family" : "Porter", "given" : "Nada M", "non-dropping-particle" : "", "parse-names" : false, "suffix" : "" }, { "dropping-particle" : "", "family" : "Landfield", "given" : "Philip W", "non-dropping-particle" : "", "parse-names" : false, "suffix" : "" }, { "dropping-particle" : "", "family" : "Kraner", "given" : "Susan D", "non-dropping-particle" : "", "parse-names" : false, "suffix" : "" } ], "container-title" : "The Journal of neuroscience : the official journal of the Society for Neuroscience", "id" : "ITEM-1", "issue" : "18", "issued" : { "date-parts" : [ [ "2005", "5", "4" ] ] }, "page" : "4649-58", "title" : "Calcineurin triggers reactive/inflammatory processes in astrocytes and is upregulated in aging and Alzheimer's models.", "type" : "article-journal", "volume" : "25" }, "uris" : [ "http://www.mendeley.com/documents/?uuid=8431c03f-cb14-4535-84d6-365403f86e82" ] } ], "mendeley" : { "formattedCitation" : "(Norris et al. 2005)", "plainTextFormattedCitation" : "(Norris et al. 2005)", "previouslyFormattedCitation" : "(Norris et al. 2005)" }, "properties" : { "noteIndex" : 0 }, "schema" : "https://github.com/citation-style-language/schema/raw/master/csl-citation.json" }</w:instrText>
      </w:r>
      <w:r w:rsidR="00C34755">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(Norris et al. 2005)</w:t>
      </w:r>
      <w:r w:rsidR="00C34755">
        <w:rPr>
          <w:rFonts w:ascii="Times New Roman" w:hAnsi="Times New Roman" w:cs="Times New Roman"/>
          <w:sz w:val="24"/>
          <w:szCs w:val="24"/>
        </w:rPr>
        <w:fldChar w:fldCharType="end"/>
      </w:r>
      <w:r w:rsidR="00C34755">
        <w:rPr>
          <w:rFonts w:ascii="Times New Roman" w:hAnsi="Times New Roman" w:cs="Times New Roman"/>
          <w:sz w:val="24"/>
          <w:szCs w:val="24"/>
        </w:rPr>
        <w:t>.</w:t>
      </w:r>
      <w:r w:rsidR="00F672FF">
        <w:rPr>
          <w:rFonts w:ascii="Times New Roman" w:hAnsi="Times New Roman" w:cs="Times New Roman"/>
          <w:sz w:val="24"/>
          <w:szCs w:val="24"/>
        </w:rPr>
        <w:t xml:space="preserve"> The JAK/STAT3 signalling pathway </w:t>
      </w:r>
      <w:r w:rsidR="007B424C">
        <w:rPr>
          <w:rFonts w:ascii="Times New Roman" w:hAnsi="Times New Roman" w:cs="Times New Roman"/>
          <w:sz w:val="24"/>
          <w:szCs w:val="24"/>
        </w:rPr>
        <w:t xml:space="preserve">is </w:t>
      </w:r>
      <w:r w:rsidR="00C70B76">
        <w:rPr>
          <w:rFonts w:ascii="Times New Roman" w:hAnsi="Times New Roman" w:cs="Times New Roman"/>
          <w:sz w:val="24"/>
          <w:szCs w:val="24"/>
        </w:rPr>
        <w:t>activated in reactive astrocytes in</w:t>
      </w:r>
      <w:r w:rsidR="00A0754B">
        <w:rPr>
          <w:rFonts w:ascii="Times New Roman" w:hAnsi="Times New Roman" w:cs="Times New Roman"/>
          <w:sz w:val="24"/>
          <w:szCs w:val="24"/>
        </w:rPr>
        <w:t xml:space="preserve"> mouse models of AD (APP/PS1 and 3xTg-AD) and Huntington’s disease (HD)</w:t>
      </w:r>
      <w:r w:rsidR="00F672FF">
        <w:rPr>
          <w:rFonts w:ascii="Times New Roman" w:hAnsi="Times New Roman" w:cs="Times New Roman"/>
          <w:sz w:val="24"/>
          <w:szCs w:val="24"/>
        </w:rPr>
        <w:t xml:space="preserve">. </w:t>
      </w:r>
      <w:r w:rsidR="00A0754B">
        <w:rPr>
          <w:rFonts w:ascii="Times New Roman" w:hAnsi="Times New Roman" w:cs="Times New Roman"/>
          <w:color w:val="auto"/>
          <w:sz w:val="24"/>
          <w:szCs w:val="24"/>
        </w:rPr>
        <w:t xml:space="preserve">Increasing </w:t>
      </w:r>
      <w:r w:rsidR="007B424C">
        <w:rPr>
          <w:rFonts w:ascii="Times New Roman" w:hAnsi="Times New Roman" w:cs="Times New Roman"/>
          <w:sz w:val="24"/>
          <w:szCs w:val="24"/>
        </w:rPr>
        <w:t>the expression of SOCS3 (</w:t>
      </w:r>
      <w:r w:rsidR="00F672FF">
        <w:rPr>
          <w:rFonts w:ascii="Times New Roman" w:hAnsi="Times New Roman" w:cs="Times New Roman"/>
          <w:sz w:val="24"/>
          <w:szCs w:val="24"/>
        </w:rPr>
        <w:t>a</w:t>
      </w:r>
      <w:r w:rsidR="007B424C">
        <w:rPr>
          <w:rFonts w:ascii="Times New Roman" w:hAnsi="Times New Roman" w:cs="Times New Roman"/>
          <w:sz w:val="24"/>
          <w:szCs w:val="24"/>
        </w:rPr>
        <w:t xml:space="preserve"> STAT inhibitor)</w:t>
      </w:r>
      <w:r w:rsidR="00F672FF">
        <w:rPr>
          <w:rFonts w:ascii="Times New Roman" w:hAnsi="Times New Roman" w:cs="Times New Roman"/>
          <w:sz w:val="24"/>
          <w:szCs w:val="24"/>
        </w:rPr>
        <w:t xml:space="preserve"> caused reactive astrocytes to return to a resting state</w:t>
      </w:r>
      <w:r w:rsidR="007B424C">
        <w:rPr>
          <w:rFonts w:ascii="Times New Roman" w:hAnsi="Times New Roman" w:cs="Times New Roman"/>
          <w:sz w:val="24"/>
          <w:szCs w:val="24"/>
        </w:rPr>
        <w:t>, reduced</w:t>
      </w:r>
      <w:r w:rsidR="00A170D4">
        <w:rPr>
          <w:rFonts w:ascii="Times New Roman" w:hAnsi="Times New Roman" w:cs="Times New Roman"/>
          <w:sz w:val="24"/>
          <w:szCs w:val="24"/>
        </w:rPr>
        <w:t xml:space="preserve"> microglial recruitment</w:t>
      </w:r>
      <w:r w:rsidR="00CD7700">
        <w:rPr>
          <w:rFonts w:ascii="Times New Roman" w:hAnsi="Times New Roman" w:cs="Times New Roman"/>
          <w:sz w:val="24"/>
          <w:szCs w:val="24"/>
        </w:rPr>
        <w:t xml:space="preserve"> and </w:t>
      </w:r>
      <w:r w:rsidR="00A0754B">
        <w:rPr>
          <w:rFonts w:ascii="Times New Roman" w:hAnsi="Times New Roman" w:cs="Times New Roman"/>
          <w:sz w:val="24"/>
          <w:szCs w:val="24"/>
        </w:rPr>
        <w:t xml:space="preserve">in the </w:t>
      </w:r>
      <w:r w:rsidR="008845E4">
        <w:rPr>
          <w:rFonts w:ascii="Times New Roman" w:hAnsi="Times New Roman" w:cs="Times New Roman"/>
          <w:sz w:val="24"/>
          <w:szCs w:val="24"/>
        </w:rPr>
        <w:t xml:space="preserve">HD mouse model </w:t>
      </w:r>
      <w:r w:rsidR="00562B41">
        <w:rPr>
          <w:rFonts w:ascii="Times New Roman" w:hAnsi="Times New Roman" w:cs="Times New Roman"/>
          <w:sz w:val="24"/>
          <w:szCs w:val="24"/>
        </w:rPr>
        <w:t xml:space="preserve">increased </w:t>
      </w:r>
      <w:r w:rsidR="00CD7700">
        <w:rPr>
          <w:rFonts w:ascii="Times New Roman" w:hAnsi="Times New Roman" w:cs="Times New Roman"/>
          <w:sz w:val="24"/>
          <w:szCs w:val="24"/>
        </w:rPr>
        <w:t xml:space="preserve">mutant huntingtin aggregates </w:t>
      </w:r>
      <w:r w:rsidR="00F672FF">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"10.1523/JNEUROSCI.3516-14.2015", "ISSN" : "1529-2401", "PMID" : "25673868", "abstract" : "Astrocyte reactivity is a hallmark of neurodegenerative diseases (ND), but its effects on disease outcomes remain highly debated. Elucidation of the signaling cascades inducing reactivity in astrocytes during ND would help characterize the function of these cells and identify novel molecular targets to modulate disease progression. The Janus kinase/signal transducer and activator of transcription 3 (JAK/STAT3) pathway is associated with reactive astrocytes in models of acute injury, but it is unknown whether this pathway is directly responsible for astrocyte reactivity in progressive pathological conditions such as ND. In this study, we examined whether the JAK/STAT3 pathway promotes astrocyte reactivity in several animal models of ND. The JAK/STAT3 pathway was activated in reactive astrocytes in two transgenic mouse models of Alzheimer's disease and in a mouse and a nonhuman primate lentiviral vector-based model of Huntington's disease (HD). To determine whether this cascade was instrumental for astrocyte reactivity, we used a lentiviral vector that specifically targets astrocytes in vivo to overexpress the endogenous inhibitor of the JAK/STAT3 pathway [suppressor of cytokine signaling 3 (SOCS3)]. SOCS3 significantly inhibited this pathway in astrocytes, prevented astrocyte reactivity, and decreased microglial activation in models of both diseases. Inhibition of the JAK/STAT3 pathway within reactive astrocytes also increased the number of huntingtin aggregates, a neuropathological hallmark of HD, but did not influence neuronal death. Our data demonstrate that the JAK/STAT3 pathway is a common mediator of astrocyte reactivity that is highly conserved between disease states, species, and brain regions. This universal signaling cascade represents a potent target to study the role of reactive astrocytes in ND.", "author" : [ { "dropping-particle" : "", "family" : "Haim", "given" : "Lucile", "non-dropping-particle" : "Ben", "parse-names" : false, "suffix" : "" }, { "dropping-particle" : "", "family" : "Ceyz\u00e9riat", "given" : "Kelly", "non-dropping-particle" : "", "parse-names" : false, "suffix" : "" }, { "dropping-particle" : "", "family" : "Carrillo-de Sauvage", "given" : "Maria Angeles", "non-dropping-particle" : "", "parse-names" : false, "suffix" : "" }, { "dropping-particle" : "", "family" : "Aubry", "given" : "Fabien", "non-dropping-particle" : "", "parse-names" : false, "suffix" : "" }, { "dropping-particle" : "", "family" : "Auregan", "given" : "Gwenna\u00eblle", "non-dropping-particle" : "", "parse-names" : false, "suffix" : "" }, { "dropping-particle" : "", "family" : "Guillermier", "given" : "Martine", "non-dropping-particle" : "", "parse-names" : false, "suffix" : "" }, { "dropping-particle" : "", "family" : "Ruiz", "given" : "Marta", "non-dropping-particle" : "", "parse-names" : false, "suffix" : "" }, { "dropping-particle" : "", "family" : "Petit", "given" : "Fanny", "non-dropping-particle" : "", "parse-names" : false, "suffix" : "" }, { "dropping-particle" : "", "family" : "Houitte", "given" : "Diane", "non-dropping-particle" : "", "parse-names" : false, "suffix" : "" }, { "dropping-particle" : "", "family" : "Faivre", "given" : "Emilie", "non-dropping-particle" : "", "parse-names" : false, "suffix" : "" }, { "dropping-particle" : "", "family" : "Vandesquille", "given" : "Matthias", "non-dropping-particle" : "", "parse-names" : false, "suffix" : "" }, { "dropping-particle" : "", "family" : "Aron-Badin", "given" : "Romina", "non-dropping-particle" : "", "parse-names" : false, "suffix" : "" }, { "dropping-particle" : "", "family" : "Dhenain", "given" : "Marc", "non-dropping-particle" : "", "parse-names" : false, "suffix" : "" }, { "dropping-particle" : "", "family" : "D\u00e9glon", "given" : "Nicole", "non-dropping-particle" : "", "parse-names" : false, "suffix" : "" }, { "dropping-particle" : "", "family" : "Hantraye", "given" : "Philippe", "non-dropping-particle" : "", "parse-names" : false, "suffix" : "" }, { "dropping-particle" : "", "family" : "Brouillet", "given" : "Emmanuel", "non-dropping-particle" : "", "parse-names" : false, "suffix" : "" }, { "dropping-particle" : "", "family" : "Bonvento", "given" : "Gilles", "non-dropping-particle" : "", "parse-names" : false, "suffix" : "" }, { "dropping-particle" : "", "family" : "Escartin", "given" : "Carole", "non-dropping-particle" : "", "parse-names" : false, "suffix" : "" } ], "container-title" : "The Journal of neuroscience : the official journal of the Society for Neuroscience", "id" : "ITEM-1", "issue" : "6", "issued" : { "date-parts" : [ [ "2015", "2", "11" ] ] }, "page" : "2817-29", "title" : "The JAK/STAT3 pathway is a common inducer of astrocyte reactivity in Alzheimer's and Huntington's diseases.", "type" : "article-journal", "volume" : "35" }, "uris" : [ "http://www.mendeley.com/documents/?uuid=4ae678f9-ec3a-4f53-80ef-d7a4aef588e1" ] } ], "mendeley" : { "formattedCitation" : "(Ben Haim et al. 2015)", "plainTextFormattedCitation" : "(Ben Haim et al. 2015)", "previouslyFormattedCitation" : "(Ben Haim et al. 2015)" }, "properties" : { "noteIndex" : 0 }, "schema" : "https://github.com/citation-style-language/schema/raw/master/csl-citation.json" }</w:instrText>
      </w:r>
      <w:r w:rsidR="00F672FF">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(Ben Haim et al. 2015)</w:t>
      </w:r>
      <w:r w:rsidR="00F672FF">
        <w:rPr>
          <w:rFonts w:ascii="Times New Roman" w:hAnsi="Times New Roman" w:cs="Times New Roman"/>
          <w:sz w:val="24"/>
          <w:szCs w:val="24"/>
        </w:rPr>
        <w:fldChar w:fldCharType="end"/>
      </w:r>
      <w:r w:rsidR="00F672FF">
        <w:rPr>
          <w:rFonts w:ascii="Times New Roman" w:hAnsi="Times New Roman" w:cs="Times New Roman"/>
          <w:sz w:val="24"/>
          <w:szCs w:val="24"/>
        </w:rPr>
        <w:t>.</w:t>
      </w:r>
      <w:r w:rsidR="007B424C">
        <w:rPr>
          <w:rFonts w:ascii="Times New Roman" w:hAnsi="Times New Roman" w:cs="Times New Roman"/>
          <w:sz w:val="24"/>
          <w:szCs w:val="24"/>
        </w:rPr>
        <w:t xml:space="preserve"> Therefore manipulation of either the calmodulin or JAK/STAT pathways may provide ways to regulate astrocyte reactivity and assess</w:t>
      </w:r>
      <w:r w:rsidR="007C63B7">
        <w:rPr>
          <w:rFonts w:ascii="Times New Roman" w:hAnsi="Times New Roman" w:cs="Times New Roman"/>
          <w:sz w:val="24"/>
          <w:szCs w:val="24"/>
        </w:rPr>
        <w:t xml:space="preserve"> it</w:t>
      </w:r>
      <w:r w:rsidR="00A0754B">
        <w:rPr>
          <w:rFonts w:ascii="Times New Roman" w:hAnsi="Times New Roman" w:cs="Times New Roman"/>
          <w:sz w:val="24"/>
          <w:szCs w:val="24"/>
        </w:rPr>
        <w:t>s contribution in neurodegenerative disease.</w:t>
      </w:r>
    </w:p>
    <w:p w14:paraId="2034159E" w14:textId="07656F6A" w:rsidR="00F54B6C" w:rsidRDefault="005E6195" w:rsidP="00EF2AF4">
      <w:pPr>
        <w:pStyle w:val="Body"/>
        <w:spacing w:line="360" w:lineRule="auto"/>
        <w:jc w:val="both"/>
        <w:rPr>
          <w:rFonts w:ascii="Times New Roman" w:hAnsi="Times New Roman" w:cs="Times New Roman"/>
          <w:sz w:val="24"/>
          <w:szCs w:val="24"/>
        </w:rPr>
      </w:pPr>
      <w:r w:rsidRPr="00EF2AF4">
        <w:rPr>
          <w:rFonts w:ascii="Times New Roman" w:eastAsia="Arial" w:hAnsi="Times New Roman" w:cs="Times New Roman"/>
          <w:b/>
          <w:bCs/>
          <w:sz w:val="24"/>
          <w:szCs w:val="24"/>
        </w:rPr>
        <w:t xml:space="preserve">          </w:t>
      </w:r>
    </w:p>
    <w:p w14:paraId="049CDC95" w14:textId="10C6FDDF" w:rsidR="00FC5299" w:rsidRDefault="00FC5299" w:rsidP="00FC5299">
      <w:pPr>
        <w:pStyle w:val="Heading3"/>
      </w:pPr>
      <w:bookmarkStart w:id="250" w:name="_Toc329593380"/>
      <w:bookmarkStart w:id="251" w:name="_Toc331425881"/>
      <w:bookmarkStart w:id="252" w:name="_Toc331427068"/>
      <w:bookmarkStart w:id="253" w:name="_Toc331427440"/>
      <w:bookmarkStart w:id="254" w:name="_Toc331427582"/>
      <w:bookmarkStart w:id="255" w:name="_Toc332972586"/>
      <w:bookmarkStart w:id="256" w:name="_Toc333046866"/>
      <w:bookmarkStart w:id="257" w:name="_Toc333477213"/>
      <w:bookmarkStart w:id="258" w:name="_Toc333477983"/>
      <w:bookmarkStart w:id="259" w:name="_Toc333644883"/>
      <w:r>
        <w:t>1.4.2 Astrodegeneration and morphological changes</w:t>
      </w:r>
      <w:bookmarkEnd w:id="250"/>
      <w:bookmarkEnd w:id="251"/>
      <w:bookmarkEnd w:id="252"/>
      <w:bookmarkEnd w:id="253"/>
      <w:bookmarkEnd w:id="254"/>
      <w:bookmarkEnd w:id="255"/>
      <w:bookmarkEnd w:id="256"/>
      <w:bookmarkEnd w:id="257"/>
      <w:bookmarkEnd w:id="258"/>
      <w:bookmarkEnd w:id="259"/>
    </w:p>
    <w:p w14:paraId="68F90168" w14:textId="77777777" w:rsidR="00FC5299" w:rsidRDefault="00FC5299" w:rsidP="00FC5299"/>
    <w:p w14:paraId="33B7CECB" w14:textId="5C46FCD7" w:rsidR="00FC5299" w:rsidRPr="002F705D" w:rsidRDefault="00F84C0C" w:rsidP="002F705D">
      <w:pPr>
        <w:spacing w:line="360" w:lineRule="auto"/>
        <w:rPr>
          <w:rFonts w:ascii="Times New Roman" w:hAnsi="Times New Roman" w:cs="Times New Roman"/>
        </w:rPr>
      </w:pPr>
      <w:r>
        <w:rPr>
          <w:rFonts w:ascii="Times New Roman" w:hAnsi="Times New Roman" w:cs="Times New Roman"/>
        </w:rPr>
        <w:t xml:space="preserve">In addition to astrocyte hypertrophy, studies have recently shown that there is evidence of astrocyte atrophy. </w:t>
      </w:r>
      <w:r w:rsidR="002F705D">
        <w:rPr>
          <w:rFonts w:ascii="Times New Roman" w:hAnsi="Times New Roman" w:cs="Times New Roman"/>
        </w:rPr>
        <w:t>Astrocyte atrophy has been shown to occur prior to plaque formation in</w:t>
      </w:r>
      <w:r w:rsidR="007677BF">
        <w:rPr>
          <w:rFonts w:ascii="Times New Roman" w:hAnsi="Times New Roman" w:cs="Times New Roman"/>
        </w:rPr>
        <w:t xml:space="preserve"> the</w:t>
      </w:r>
      <w:r w:rsidR="002F705D">
        <w:rPr>
          <w:rFonts w:ascii="Times New Roman" w:hAnsi="Times New Roman" w:cs="Times New Roman"/>
        </w:rPr>
        <w:t xml:space="preserve"> </w:t>
      </w:r>
      <w:r w:rsidR="007677BF">
        <w:rPr>
          <w:rFonts w:ascii="Times New Roman" w:hAnsi="Times New Roman" w:cs="Times New Roman"/>
        </w:rPr>
        <w:t xml:space="preserve">dentate gyrus of a triple transgenic AD mouse model </w:t>
      </w:r>
      <w:r w:rsidR="002F705D">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"10.1002/glia.20967", "ISSN" : "1098-1136", "PMID" : "20140958", "abstract" : "Astrocytes are fundamental for brain homeostasis and are at the fulcrum of neurological diseases including Alzheimer's disease (AD). Here, we monitored changes in astroglia morphology throughout the age-dependent progression of AD. We used an immunohistochemical approach that allows us to determine the domain of glial cytoskeleton, by measuring the surface, volume, and the relationship between astrocytes and neuritic plaques. We investigated astroglia in the hippocampus of a triple transgenic mouse model of AD (3xTg-AD) that mimics the progression of the human disease. The numerical density of astrocytes is affected neither by AD nor by age. We found reduction of surface and volume of GFAP profiles from early ages (6 months; 43.84 and 52.76%, respectively), persisting at 12 (40.73 and 45.39%) and 18 months (64.80 and 71.95%) in the dentate gyrus (DG) of 3xTg-AD, whereas in CA1 it appears at 18 months (29.42 and 32.74%). This cytoskeleton atrophy is accompanied by a significant reduction of glial somata volume in DG at 12 and 18 months (40.46 and 75.55%, respectively), whereas in CA1 it is significant at 18 months (42.81%). However, while astroglial atrophy appears as a generalized process, astrocytes surrounding plaques are clearly hypertrophic as revealed by increased surface (48.06%; 66.66%), and volume (57.10%; 71.06%) of GFAP profiles in DG and CA1, respectively, at 18 months. We suggest differential effects of AD on astroglial populations depending on their association with plaques accounting for the progressive disruption of neural networks connectivity and neurotransmitters imbalance which underlie mnesic and cognitive impairments observed in AD.", "author" : [ { "dropping-particle" : "", "family" : "Olabarria", "given" : "Markel", "non-dropping-particle" : "", "parse-names" : false, "suffix" : "" }, { "dropping-particle" : "", "family" : "Noristani", "given" : "Harun N", "non-dropping-particle" : "", "parse-names" : false, "suffix" : "" }, { "dropping-particle" : "", "family" : "Verkhratsky", "given" : "Alexei", "non-dropping-particle" : "", "parse-names" : false, "suffix" : "" }, { "dropping-particle" : "", "family" : "Rodr\u00edguez", "given" : "Jos\u00e9 J", "non-dropping-particle" : "", "parse-names" : false, "suffix" : "" } ], "container-title" : "Glia", "id" : "ITEM-1", "issue" : "7", "issued" : { "date-parts" : [ [ "2010", "5" ] ] }, "page" : "831-8", "title" : "Concomitant astroglial atrophy and astrogliosis in a triple transgenic animal model of Alzheimer's disease.", "type" : "article-journal", "volume" : "58" }, "uris" : [ "http://www.mendeley.com/documents/?uuid=3b0da908-d239-4f0d-9109-9deb57e277b6" ] } ], "mendeley" : { "formattedCitation" : "(Olabarria et al. 2010)", "plainTextFormattedCitation" : "(Olabarria et al. 2010)", "previouslyFormattedCitation" : "(Olabarria et al. 2010)" }, "properties" : { "noteIndex" : 0 }, "schema" : "https://github.com/citation-style-language/schema/raw/master/csl-citation.json" }</w:instrText>
      </w:r>
      <w:r w:rsidR="002F705D">
        <w:rPr>
          <w:rFonts w:ascii="Times New Roman" w:hAnsi="Times New Roman" w:cs="Times New Roman"/>
        </w:rPr>
        <w:fldChar w:fldCharType="separate"/>
      </w:r>
      <w:r w:rsidR="00C148FC" w:rsidRPr="00C148FC">
        <w:rPr>
          <w:rFonts w:ascii="Times New Roman" w:hAnsi="Times New Roman" w:cs="Times New Roman"/>
          <w:noProof/>
        </w:rPr>
        <w:t>(Olabarria et al. 2010)</w:t>
      </w:r>
      <w:r w:rsidR="002F705D">
        <w:rPr>
          <w:rFonts w:ascii="Times New Roman" w:hAnsi="Times New Roman" w:cs="Times New Roman"/>
        </w:rPr>
        <w:fldChar w:fldCharType="end"/>
      </w:r>
      <w:r>
        <w:rPr>
          <w:rFonts w:ascii="Times New Roman" w:hAnsi="Times New Roman" w:cs="Times New Roman"/>
        </w:rPr>
        <w:t xml:space="preserve"> and a </w:t>
      </w:r>
      <w:r w:rsidR="00135A35">
        <w:rPr>
          <w:rFonts w:ascii="Times New Roman" w:hAnsi="Times New Roman" w:cs="Times New Roman"/>
        </w:rPr>
        <w:t>reduction in primary and secondary astrocyte branches in the entorhinal cortex</w:t>
      </w:r>
      <w:r>
        <w:rPr>
          <w:rFonts w:ascii="Times New Roman" w:hAnsi="Times New Roman" w:cs="Times New Roman"/>
        </w:rPr>
        <w:t xml:space="preserve"> has also been observed in this mouse model</w:t>
      </w:r>
      <w:r w:rsidR="00E15D06">
        <w:rPr>
          <w:rFonts w:ascii="Times New Roman" w:hAnsi="Times New Roman" w:cs="Times New Roman"/>
        </w:rPr>
        <w:t xml:space="preserve"> </w:t>
      </w:r>
      <w:r w:rsidR="00E15D06">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"10.1042/AN20110025", "ISSN" : "1759-0914", "PMID" : "22103264", "abstract" : "The EC (entorhinal cortex) is fundamental for cognitive and mnesic functions. Thus damage to this area appears as a key element in the progression of AD (Alzheimer's disease), resulting in memory deficits arising from neuronal and synaptic alterations as well as glial malfunction. In this paper, we have performed an in-depth analysis of astroglial morphology in the EC by measuring the surface and volume of the GFAP (glial fibrillary acidic protein) profiles in a triple transgenic mouse model of AD [3xTg-AD (triple transgenic mice of AD)]. We found significant reduction in both the surface and volume of GFAP-labelled profiles in 3xTg-AD animals from very early ages (1 month) when compared with non-Tg (non-transgenic) controls (48 and 54%, reduction respectively), which was sustained for up to 12 months (33 and 45% reduction respectively). The appearance of A\u03b2 (amyloid \u03b2-peptide) depositions at 12 months of age did not trigger astroglial hypertrophy; nor did it result in the close association of astrocytes with senile plaques. Our results suggest that the AD progressive cognitive deterioration can be associated with an early reduction of astrocytic arborization and shrinkage of the astroglial domain, which may affect synaptic connectivity within the EC and between the EC and other brain regions. In addition, the EC seems to be particularly vulnerable to AD pathology because of the absence of evident astrogliosis in response to A\u03b2 accumulation. Thus we can consider that targeting astroglial atrophy may represent a therapeutic strategy which might slow down the progression of AD.", "author" : [ { "dropping-particle" : "", "family" : "Yeh", "given" : "Chia-Yu", "non-dropping-particle" : "", "parse-names" : false, "suffix" : "" }, { "dropping-particle" : "", "family" : "Vadhwana", "given" : "Bhamini", "non-dropping-particle" : "", "parse-names" : false, "suffix" : "" }, { "dropping-particle" : "", "family" : "Verkhratsky", "given" : "Alexei", "non-dropping-particle" : "", "parse-names" : false, "suffix" : "" }, { "dropping-particle" : "", "family" : "Rodr\u00edguez", "given" : "Jos\u00e9 J", "non-dropping-particle" : "", "parse-names" : false, "suffix" : "" } ], "container-title" : "ASN neuro", "id" : "ITEM-1", "issue" : "5", "issued" : { "date-parts" : [ [ "2011" ] ] }, "page" : "271-9", "publisher" : "SAGE Publications", "title" : "Early astrocytic atrophy in the entorhinal cortex of a triple transgenic animal model of Alzheimer's disease.", "type" : "article-journal", "volume" : "3" }, "uris" : [ "http://www.mendeley.com/documents/?uuid=0d3f7054-8373-30e2-aa4d-138e8ae73a20" ] } ], "mendeley" : { "formattedCitation" : "(Yeh et al. 2011)", "plainTextFormattedCitation" : "(Yeh et al. 2011)", "previouslyFormattedCitation" : "(Yeh et al. 2011)" }, "properties" : { "noteIndex" : 0 }, "schema" : "https://github.com/citation-style-language/schema/raw/master/csl-citation.json" }</w:instrText>
      </w:r>
      <w:r w:rsidR="00E15D06">
        <w:rPr>
          <w:rFonts w:ascii="Times New Roman" w:hAnsi="Times New Roman" w:cs="Times New Roman"/>
        </w:rPr>
        <w:fldChar w:fldCharType="separate"/>
      </w:r>
      <w:r w:rsidR="00C148FC" w:rsidRPr="00C148FC">
        <w:rPr>
          <w:rFonts w:ascii="Times New Roman" w:hAnsi="Times New Roman" w:cs="Times New Roman"/>
          <w:noProof/>
        </w:rPr>
        <w:t>(Yeh et al. 2011)</w:t>
      </w:r>
      <w:r w:rsidR="00E15D06">
        <w:rPr>
          <w:rFonts w:ascii="Times New Roman" w:hAnsi="Times New Roman" w:cs="Times New Roman"/>
        </w:rPr>
        <w:fldChar w:fldCharType="end"/>
      </w:r>
      <w:r w:rsidR="00135A35">
        <w:rPr>
          <w:rFonts w:ascii="Times New Roman" w:hAnsi="Times New Roman" w:cs="Times New Roman"/>
        </w:rPr>
        <w:t xml:space="preserve">. </w:t>
      </w:r>
      <w:r w:rsidR="007677BF">
        <w:rPr>
          <w:rFonts w:ascii="Times New Roman" w:hAnsi="Times New Roman" w:cs="Times New Roman"/>
        </w:rPr>
        <w:t xml:space="preserve"> </w:t>
      </w:r>
      <w:r w:rsidR="00135A35">
        <w:rPr>
          <w:rFonts w:ascii="Times New Roman" w:hAnsi="Times New Roman" w:cs="Times New Roman"/>
        </w:rPr>
        <w:t xml:space="preserve">It is suggested that a </w:t>
      </w:r>
      <w:r w:rsidR="002F705D">
        <w:rPr>
          <w:rFonts w:ascii="Times New Roman" w:hAnsi="Times New Roman" w:cs="Times New Roman"/>
        </w:rPr>
        <w:t>decrease in</w:t>
      </w:r>
      <w:r w:rsidR="00135A35">
        <w:rPr>
          <w:rFonts w:ascii="Times New Roman" w:hAnsi="Times New Roman" w:cs="Times New Roman"/>
        </w:rPr>
        <w:t xml:space="preserve"> astrocyte</w:t>
      </w:r>
      <w:r w:rsidR="002F705D">
        <w:rPr>
          <w:rFonts w:ascii="Times New Roman" w:hAnsi="Times New Roman" w:cs="Times New Roman"/>
        </w:rPr>
        <w:t xml:space="preserve"> surface area and complexity of processes </w:t>
      </w:r>
      <w:r w:rsidR="006F3818">
        <w:rPr>
          <w:rFonts w:ascii="Times New Roman" w:hAnsi="Times New Roman" w:cs="Times New Roman"/>
        </w:rPr>
        <w:t xml:space="preserve">early in AD progression </w:t>
      </w:r>
      <w:r w:rsidR="002F705D">
        <w:rPr>
          <w:rFonts w:ascii="Times New Roman" w:hAnsi="Times New Roman" w:cs="Times New Roman"/>
        </w:rPr>
        <w:t>reduces homeosta</w:t>
      </w:r>
      <w:r w:rsidR="00C670C4">
        <w:rPr>
          <w:rFonts w:ascii="Times New Roman" w:hAnsi="Times New Roman" w:cs="Times New Roman"/>
        </w:rPr>
        <w:t>tic support and ultimately results in failure to support synaptic activity</w:t>
      </w:r>
      <w:r w:rsidR="00CE37BA">
        <w:rPr>
          <w:rFonts w:ascii="Times New Roman" w:hAnsi="Times New Roman" w:cs="Times New Roman"/>
        </w:rPr>
        <w:t xml:space="preserve"> </w:t>
      </w:r>
      <w:r w:rsidR="00CE37BA">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"10.1016/j.nurt.2010.05.017", "ISSN" : "1878-7479", "PMID" : "20880504", "abstract" : "The circuitry of the human brain is formed by neuronal networks embedded into astroglial syncytia. The astrocytes perform numerous functions, providing for the overall brain homeostasis, assisting in neurogenesis, determining the micro-architecture of the grey matter, and defending the brain through evolutionary conserved astrogliosis programs. Astroglial cells are engaged in neurological diseases by determining the progression and outcome of neuropathological process. Astrocytes are specifically involved in various neurodegenerative diseases, including Alzheimer's disease, amyotrophic lateral sclerosis, Parkinson's disease, and various forms of dementia. Recent evidence suggest that early stages of neurodegenerative processes are associated with atrophy of astroglia, which causes disruptions in synaptic connectivity, disbalance in neurotransmitter homeostasis, and neuronal death through increased excitotoxicity. At the later stages, astrocytes become activated and contribute to the neuroinflammatory component of neurodegeneration.", "author" : [ { "dropping-particle" : "", "family" : "Verkhratsky", "given" : "Alexei", "non-dropping-particle" : "", "parse-names" : false, "suffix" : "" }, { "dropping-particle" : "", "family" : "Olabarria", "given" : "Markel", "non-dropping-particle" : "", "parse-names" : false, "suffix" : "" }, { "dropping-particle" : "", "family" : "Noristani", "given" : "Harun N", "non-dropping-particle" : "", "parse-names" : false, "suffix" : "" }, { "dropping-particle" : "", "family" : "Yeh", "given" : "Chia-Yu", "non-dropping-particle" : "", "parse-names" : false, "suffix" : "" }, { "dropping-particle" : "", "family" : "Rodriguez", "given" : "Jose Julio", "non-dropping-particle" : "", "parse-names" : false, "suffix" : "" } ], "container-title" : "Neurotherapeutics : the journal of the American Society for Experimental NeuroTherapeutics", "id" : "ITEM-1", "issue" : "4", "issued" : { "date-parts" : [ [ "2010", "10" ] ] }, "page" : "399-412", "publisher" : "Elsevier Inc.", "title" : "Astrocytes in Alzheimer's disease.", "type" : "article-journal", "volume" : "7" }, "uris" : [ "http://www.mendeley.com/documents/?uuid=d1ed2197-3475-409c-9b30-b6ee92a13fd1" ] } ], "mendeley" : { "formattedCitation" : "(Verkhratsky et al. 2010)", "plainTextFormattedCitation" : "(Verkhratsky et al. 2010)", "previouslyFormattedCitation" : "(Verkhratsky et al. 2010)" }, "properties" : { "noteIndex" : 0 }, "schema" : "https://github.com/citation-style-language/schema/raw/master/csl-citation.json" }</w:instrText>
      </w:r>
      <w:r w:rsidR="00CE37BA">
        <w:rPr>
          <w:rFonts w:ascii="Times New Roman" w:hAnsi="Times New Roman" w:cs="Times New Roman"/>
        </w:rPr>
        <w:fldChar w:fldCharType="separate"/>
      </w:r>
      <w:r w:rsidR="00C148FC" w:rsidRPr="00C148FC">
        <w:rPr>
          <w:rFonts w:ascii="Times New Roman" w:hAnsi="Times New Roman" w:cs="Times New Roman"/>
          <w:noProof/>
        </w:rPr>
        <w:t>(Verkhratsky et al. 2010)</w:t>
      </w:r>
      <w:r w:rsidR="00CE37BA">
        <w:rPr>
          <w:rFonts w:ascii="Times New Roman" w:hAnsi="Times New Roman" w:cs="Times New Roman"/>
        </w:rPr>
        <w:fldChar w:fldCharType="end"/>
      </w:r>
      <w:r w:rsidR="00C670C4">
        <w:rPr>
          <w:rFonts w:ascii="Times New Roman" w:hAnsi="Times New Roman" w:cs="Times New Roman"/>
        </w:rPr>
        <w:t xml:space="preserve">. </w:t>
      </w:r>
      <w:r w:rsidR="0070581E">
        <w:rPr>
          <w:rFonts w:ascii="Times New Roman" w:hAnsi="Times New Roman" w:cs="Times New Roman"/>
        </w:rPr>
        <w:t xml:space="preserve">Synaptic loss and reduced plasticity are better correlates of cognitive decline in AD than </w:t>
      </w:r>
      <w:r w:rsidR="00624FAB">
        <w:rPr>
          <w:rFonts w:ascii="Times New Roman" w:hAnsi="Times New Roman" w:cs="Times New Roman"/>
        </w:rPr>
        <w:t>Aβ plaques and NFT</w:t>
      </w:r>
      <w:r w:rsidR="00982323">
        <w:rPr>
          <w:rFonts w:ascii="Times New Roman" w:hAnsi="Times New Roman" w:cs="Times New Roman"/>
        </w:rPr>
        <w:t>s. Therefore it is predict</w:t>
      </w:r>
      <w:r w:rsidR="00624FAB">
        <w:rPr>
          <w:rFonts w:ascii="Times New Roman" w:hAnsi="Times New Roman" w:cs="Times New Roman"/>
        </w:rPr>
        <w:t>ed that astrocyte atrophy prece</w:t>
      </w:r>
      <w:r w:rsidR="00982323">
        <w:rPr>
          <w:rFonts w:ascii="Times New Roman" w:hAnsi="Times New Roman" w:cs="Times New Roman"/>
        </w:rPr>
        <w:t>d</w:t>
      </w:r>
      <w:r w:rsidR="00624FAB">
        <w:rPr>
          <w:rFonts w:ascii="Times New Roman" w:hAnsi="Times New Roman" w:cs="Times New Roman"/>
        </w:rPr>
        <w:t>e</w:t>
      </w:r>
      <w:r w:rsidR="007A6C42">
        <w:rPr>
          <w:rFonts w:ascii="Times New Roman" w:hAnsi="Times New Roman" w:cs="Times New Roman"/>
        </w:rPr>
        <w:t>s</w:t>
      </w:r>
      <w:r w:rsidR="00982323">
        <w:rPr>
          <w:rFonts w:ascii="Times New Roman" w:hAnsi="Times New Roman" w:cs="Times New Roman"/>
        </w:rPr>
        <w:t xml:space="preserve"> and is responsible for synaptic loss due to reduced synaptic coverage and </w:t>
      </w:r>
      <w:r w:rsidR="00135A35">
        <w:rPr>
          <w:rFonts w:ascii="Times New Roman" w:hAnsi="Times New Roman" w:cs="Times New Roman"/>
        </w:rPr>
        <w:t>reduced functional support</w:t>
      </w:r>
      <w:r>
        <w:rPr>
          <w:rFonts w:ascii="Times New Roman" w:hAnsi="Times New Roman" w:cs="Times New Roman"/>
        </w:rPr>
        <w:t xml:space="preserve"> </w:t>
      </w:r>
    </w:p>
    <w:p w14:paraId="2D851DAF" w14:textId="77777777" w:rsidR="00FC5299" w:rsidRPr="00FC5299" w:rsidRDefault="00FC5299" w:rsidP="00FC5299"/>
    <w:p w14:paraId="285B06BC" w14:textId="77777777" w:rsidR="002F0342" w:rsidRDefault="002F0342" w:rsidP="002F0342"/>
    <w:p w14:paraId="1E9C6CDF" w14:textId="4AD4D359" w:rsidR="002500E2" w:rsidRDefault="003945B4" w:rsidP="002500E2">
      <w:pPr>
        <w:pStyle w:val="Heading3"/>
      </w:pPr>
      <w:bookmarkStart w:id="260" w:name="_Toc328301089"/>
      <w:bookmarkStart w:id="261" w:name="_Toc329593382"/>
      <w:bookmarkStart w:id="262" w:name="_Toc331425882"/>
      <w:bookmarkStart w:id="263" w:name="_Toc331427069"/>
      <w:bookmarkStart w:id="264" w:name="_Toc331427441"/>
      <w:bookmarkStart w:id="265" w:name="_Toc331427583"/>
      <w:bookmarkStart w:id="266" w:name="_Toc332972587"/>
      <w:bookmarkStart w:id="267" w:name="_Toc333046867"/>
      <w:bookmarkStart w:id="268" w:name="_Toc333477214"/>
      <w:bookmarkStart w:id="269" w:name="_Toc333477984"/>
      <w:bookmarkStart w:id="270" w:name="_Toc333644884"/>
      <w:r>
        <w:t>1.4.3</w:t>
      </w:r>
      <w:r w:rsidR="002500E2">
        <w:t xml:space="preserve"> Physiological changes</w:t>
      </w:r>
      <w:bookmarkEnd w:id="260"/>
      <w:bookmarkEnd w:id="261"/>
      <w:bookmarkEnd w:id="262"/>
      <w:bookmarkEnd w:id="263"/>
      <w:bookmarkEnd w:id="264"/>
      <w:bookmarkEnd w:id="265"/>
      <w:bookmarkEnd w:id="266"/>
      <w:bookmarkEnd w:id="267"/>
      <w:bookmarkEnd w:id="268"/>
      <w:bookmarkEnd w:id="269"/>
      <w:bookmarkEnd w:id="270"/>
    </w:p>
    <w:p w14:paraId="6B5C157D" w14:textId="77777777" w:rsidR="000C73A0" w:rsidRDefault="000C73A0" w:rsidP="000C73A0">
      <w:pPr>
        <w:rPr>
          <w:b/>
          <w:i/>
          <w:u w:val="single"/>
        </w:rPr>
      </w:pPr>
    </w:p>
    <w:p w14:paraId="19C3CC9E" w14:textId="078D8139" w:rsidR="00DD370D" w:rsidRPr="00DD370D" w:rsidRDefault="00DD370D" w:rsidP="000C73A0">
      <w:pPr>
        <w:rPr>
          <w:rFonts w:ascii="Times New Roman" w:hAnsi="Times New Roman" w:cs="Times New Roman"/>
          <w:b/>
          <w:i/>
          <w:u w:val="single"/>
        </w:rPr>
      </w:pPr>
      <w:r w:rsidRPr="00DD370D">
        <w:rPr>
          <w:rFonts w:ascii="Times New Roman" w:hAnsi="Times New Roman" w:cs="Times New Roman"/>
          <w:b/>
          <w:i/>
          <w:u w:val="single"/>
        </w:rPr>
        <w:t xml:space="preserve">Changes in energy metabolism </w:t>
      </w:r>
    </w:p>
    <w:p w14:paraId="1D3E7061" w14:textId="449FE2C5" w:rsidR="005139A8" w:rsidRDefault="005139A8" w:rsidP="003E7BDB">
      <w:pPr>
        <w:spacing w:line="360" w:lineRule="auto"/>
        <w:jc w:val="both"/>
        <w:rPr>
          <w:rFonts w:ascii="Times New Roman" w:hAnsi="Times New Roman" w:cs="Times New Roman"/>
        </w:rPr>
      </w:pPr>
      <w:r>
        <w:rPr>
          <w:rFonts w:ascii="Times New Roman" w:hAnsi="Times New Roman" w:cs="Times New Roman"/>
        </w:rPr>
        <w:t xml:space="preserve">Brain energy metabolism has been shown to be impaired prior to plaque and tangle formation. This has been demonstrated by </w:t>
      </w:r>
      <w:r w:rsidR="00F84C0C">
        <w:rPr>
          <w:rFonts w:ascii="Times New Roman" w:hAnsi="Times New Roman" w:cs="Times New Roman"/>
        </w:rPr>
        <w:t>position emission tomography (</w:t>
      </w:r>
      <w:r>
        <w:rPr>
          <w:rFonts w:ascii="Times New Roman" w:hAnsi="Times New Roman" w:cs="Times New Roman"/>
        </w:rPr>
        <w:t>PET</w:t>
      </w:r>
      <w:r w:rsidR="00F84C0C">
        <w:rPr>
          <w:rFonts w:ascii="Times New Roman" w:hAnsi="Times New Roman" w:cs="Times New Roman"/>
        </w:rPr>
        <w:t>)</w:t>
      </w:r>
      <w:r>
        <w:rPr>
          <w:rFonts w:ascii="Times New Roman" w:hAnsi="Times New Roman" w:cs="Times New Roman"/>
        </w:rPr>
        <w:t xml:space="preserve"> imaging studies that show reduced glucose </w:t>
      </w:r>
      <w:r w:rsidR="00BB2A14">
        <w:rPr>
          <w:rFonts w:ascii="Times New Roman" w:hAnsi="Times New Roman" w:cs="Times New Roman"/>
        </w:rPr>
        <w:t>metabolism</w:t>
      </w:r>
      <w:r>
        <w:rPr>
          <w:rFonts w:ascii="Times New Roman" w:hAnsi="Times New Roman" w:cs="Times New Roman"/>
        </w:rPr>
        <w:t xml:space="preserve"> in the brains of individuals with AD </w:t>
      </w:r>
      <w:r w:rsidR="00BB2A14">
        <w:rPr>
          <w:rFonts w:ascii="Times New Roman" w:hAnsi="Times New Roman" w:cs="Times New Roman"/>
        </w:rPr>
        <w:t>and also demonstrated in individuals with ag</w:t>
      </w:r>
      <w:r w:rsidR="00896802">
        <w:rPr>
          <w:rFonts w:ascii="Times New Roman" w:hAnsi="Times New Roman" w:cs="Times New Roman"/>
        </w:rPr>
        <w:t>e</w:t>
      </w:r>
      <w:r w:rsidR="00BB2A14">
        <w:rPr>
          <w:rFonts w:ascii="Times New Roman" w:hAnsi="Times New Roman" w:cs="Times New Roman"/>
        </w:rPr>
        <w:t xml:space="preserve">ing-associated cognitive decline (AACD) prior to AD progression </w:t>
      </w:r>
      <w:r w:rsidR="00BB2A14">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"10.1016/j.pscychresns.2006.12.003", "ISSN" : "0165-1781", "PMID" : "17524628", "abstract" : "While significantly reduced glucose metabolism in fronto-temporo-parietal and cingulate cortices has been demonstrated in Alzheimer's disease (AD) compared with controls, cerebral glucose metabolism in patients with mild cognitive impairment who subsequently develop AD is less well-defined. In the present study we measured cerebral glucose metabolism by positron emission tomography (PET) with (18)F-2-fluoro-2-deoxy-D-glucose in 14 patients with aging-associated cognitive decline (AACD), 44 patients with AD, and 14 healthy control subjects at baseline. The AACD patients were clinically followed up, and conversion to AD was determined. Compared with controls, AACD patients had significantly reduced glucose metabolism in the right precuneus, posterior cingulate, right angular gyrus, and bilateral middle temporal cortices, while the respective deficits were more pronounced in AD patients and also involved the frontal cortices. AACD patients who subsequently converted to AD (AACD-converters) showed more extended metabolic changes which also involved the frontal and temporal cortices, right cingulate gyrus, right thalamus, and bilateral precuneus.", "author" : [ { "dropping-particle" : "", "family" : "Hunt", "given" : "Aoife", "non-dropping-particle" : "", "parse-names" : false, "suffix" : "" }, { "dropping-particle" : "", "family" : "Sch\u00f6nknecht", "given" : "Peter", "non-dropping-particle" : "", "parse-names" : false, "suffix" : "" }, { "dropping-particle" : "", "family" : "Henze", "given" : "Marcus", "non-dropping-particle" : "", "parse-names" : false, "suffix" : "" }, { "dropping-particle" : "", "family" : "Seidl", "given" : "Ulrich", "non-dropping-particle" : "", "parse-names" : false, "suffix" : "" }, { "dropping-particle" : "", "family" : "Haberkorn", "given" : "Uwe", "non-dropping-particle" : "", "parse-names" : false, "suffix" : "" }, { "dropping-particle" : "", "family" : "Schr\u00f6der", "given" : "Johannes", "non-dropping-particle" : "", "parse-names" : false, "suffix" : "" } ], "container-title" : "Psychiatry research", "id" : "ITEM-1", "issue" : "2", "issued" : { "date-parts" : [ [ "2007", "7", "15" ] ] }, "page" : "147-54", "title" : "Reduced cerebral glucose metabolism in patients at risk for Alzheimer's disease.", "type" : "article-journal", "volume" : "155" }, "uris" : [ "http://www.mendeley.com/documents/?uuid=1550c571-0d1e-466b-bab4-d0cd691a9c3e" ] } ], "mendeley" : { "formattedCitation" : "(Hunt et al. 2007)", "plainTextFormattedCitation" : "(Hunt et al. 2007)", "previouslyFormattedCitation" : "(Hunt et al. 2007)" }, "properties" : { "noteIndex" : 0 }, "schema" : "https://github.com/citation-style-language/schema/raw/master/csl-citation.json" }</w:instrText>
      </w:r>
      <w:r w:rsidR="00BB2A14">
        <w:rPr>
          <w:rFonts w:ascii="Times New Roman" w:hAnsi="Times New Roman" w:cs="Times New Roman"/>
        </w:rPr>
        <w:fldChar w:fldCharType="separate"/>
      </w:r>
      <w:r w:rsidR="00C148FC" w:rsidRPr="00C148FC">
        <w:rPr>
          <w:rFonts w:ascii="Times New Roman" w:hAnsi="Times New Roman" w:cs="Times New Roman"/>
          <w:noProof/>
        </w:rPr>
        <w:t>(Hunt et al. 2007)</w:t>
      </w:r>
      <w:r w:rsidR="00BB2A14">
        <w:rPr>
          <w:rFonts w:ascii="Times New Roman" w:hAnsi="Times New Roman" w:cs="Times New Roman"/>
        </w:rPr>
        <w:fldChar w:fldCharType="end"/>
      </w:r>
      <w:r>
        <w:rPr>
          <w:rFonts w:ascii="Times New Roman" w:hAnsi="Times New Roman" w:cs="Times New Roman"/>
        </w:rPr>
        <w:t>.</w:t>
      </w:r>
      <w:r w:rsidR="00D51651">
        <w:rPr>
          <w:rFonts w:ascii="Times New Roman" w:hAnsi="Times New Roman" w:cs="Times New Roman"/>
        </w:rPr>
        <w:t xml:space="preserve"> In addition, reduced expression of GLUT1 and 3</w:t>
      </w:r>
      <w:r w:rsidR="00560883">
        <w:rPr>
          <w:rFonts w:ascii="Times New Roman" w:hAnsi="Times New Roman" w:cs="Times New Roman"/>
        </w:rPr>
        <w:t xml:space="preserve"> (glucose transporters)</w:t>
      </w:r>
      <w:r w:rsidR="00D51651">
        <w:rPr>
          <w:rFonts w:ascii="Times New Roman" w:hAnsi="Times New Roman" w:cs="Times New Roman"/>
        </w:rPr>
        <w:t xml:space="preserve"> is observed in </w:t>
      </w:r>
      <w:r w:rsidR="00560883">
        <w:rPr>
          <w:rFonts w:ascii="Times New Roman" w:hAnsi="Times New Roman" w:cs="Times New Roman"/>
        </w:rPr>
        <w:t xml:space="preserve">the </w:t>
      </w:r>
      <w:r w:rsidR="00E16A19">
        <w:rPr>
          <w:rFonts w:ascii="Times New Roman" w:hAnsi="Times New Roman" w:cs="Times New Roman"/>
        </w:rPr>
        <w:t>cerebral cortex</w:t>
      </w:r>
      <w:r w:rsidR="00560883">
        <w:rPr>
          <w:rFonts w:ascii="Times New Roman" w:hAnsi="Times New Roman" w:cs="Times New Roman"/>
        </w:rPr>
        <w:t xml:space="preserve"> of </w:t>
      </w:r>
      <w:r w:rsidR="00D51651">
        <w:rPr>
          <w:rFonts w:ascii="Times New Roman" w:hAnsi="Times New Roman" w:cs="Times New Roman"/>
        </w:rPr>
        <w:t>AD patients</w:t>
      </w:r>
      <w:r>
        <w:rPr>
          <w:rFonts w:ascii="Times New Roman" w:hAnsi="Times New Roman" w:cs="Times New Roman"/>
        </w:rPr>
        <w:t xml:space="preserve"> </w:t>
      </w:r>
      <w:r w:rsidR="00560883">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"10.1002/ana.410350507", "ISSN" : "0364-5134", "PMID" : "8179300", "abstract" : "Glucose metabolism is depressed in the temporal and parietal regions of the cortex in patients with Alzheimer's disease. We measured the concentrations of two glucose transporters, GLUT1 and GLUT3, in six regions of brains from both control subjects and patients with Alzheimer's disease. The concentrations of both transporters were reduced in the cerebral cortex, with larger and highly significant reductions observed for GLUT3, the putative neuronal glucose transporter. The reductions in GLUT3 were greater than the loss of synapses, and should be considered as a potential cause of the deficits in glucose metabolism.", "author" : [ { "dropping-particle" : "", "family" : "Simpson", "given" : "I A", "non-dropping-particle" : "", "parse-names" : false, "suffix" : "" }, { "dropping-particle" : "", "family" : "Chundu", "given" : "K R", "non-dropping-particle" : "", "parse-names" : false, "suffix" : "" }, { "dropping-particle" : "", "family" : "Davies-Hill", "given" : "T", "non-dropping-particle" : "", "parse-names" : false, "suffix" : "" }, { "dropping-particle" : "", "family" : "Honer", "given" : "W G", "non-dropping-particle" : "", "parse-names" : false, "suffix" : "" }, { "dropping-particle" : "", "family" : "Davies", "given" : "P", "non-dropping-particle" : "", "parse-names" : false, "suffix" : "" } ], "container-title" : "Annals of neurology", "id" : "ITEM-1", "issue" : "5", "issued" : { "date-parts" : [ [ "1994", "5" ] ] }, "page" : "546-51", "title" : "Decreased concentrations of GLUT1 and GLUT3 glucose transporters in the brains of patients with Alzheimer's disease.", "type" : "article-journal", "volume" : "35" }, "uris" : [ "http://www.mendeley.com/documents/?uuid=689d090c-6e34-4ecd-8dc1-39d96992814d" ] } ], "mendeley" : { "formattedCitation" : "(Simpson et al. 1994)", "plainTextFormattedCitation" : "(Simpson et al. 1994)", "previouslyFormattedCitation" : "(Simpson et al. 1994)" }, "properties" : { "noteIndex" : 0 }, "schema" : "https://github.com/citation-style-language/schema/raw/master/csl-citation.json" }</w:instrText>
      </w:r>
      <w:r w:rsidR="00560883">
        <w:rPr>
          <w:rFonts w:ascii="Times New Roman" w:hAnsi="Times New Roman" w:cs="Times New Roman"/>
        </w:rPr>
        <w:fldChar w:fldCharType="separate"/>
      </w:r>
      <w:r w:rsidR="00C148FC" w:rsidRPr="00C148FC">
        <w:rPr>
          <w:rFonts w:ascii="Times New Roman" w:hAnsi="Times New Roman" w:cs="Times New Roman"/>
          <w:noProof/>
        </w:rPr>
        <w:t>(Simpson et al. 1994)</w:t>
      </w:r>
      <w:r w:rsidR="00560883">
        <w:rPr>
          <w:rFonts w:ascii="Times New Roman" w:hAnsi="Times New Roman" w:cs="Times New Roman"/>
        </w:rPr>
        <w:fldChar w:fldCharType="end"/>
      </w:r>
      <w:r w:rsidR="00560883">
        <w:rPr>
          <w:rFonts w:ascii="Times New Roman" w:hAnsi="Times New Roman" w:cs="Times New Roman"/>
        </w:rPr>
        <w:t xml:space="preserve">. </w:t>
      </w:r>
      <w:r>
        <w:rPr>
          <w:rFonts w:ascii="Times New Roman" w:hAnsi="Times New Roman" w:cs="Times New Roman"/>
        </w:rPr>
        <w:t xml:space="preserve">As astrocytes constitute approximately half of the brain’s mass, it is thought that </w:t>
      </w:r>
      <w:r w:rsidR="00BA4907">
        <w:rPr>
          <w:rFonts w:ascii="Times New Roman" w:hAnsi="Times New Roman" w:cs="Times New Roman"/>
        </w:rPr>
        <w:t xml:space="preserve">impaired </w:t>
      </w:r>
      <w:r>
        <w:rPr>
          <w:rFonts w:ascii="Times New Roman" w:hAnsi="Times New Roman" w:cs="Times New Roman"/>
        </w:rPr>
        <w:t>astrocytic glucose uptake is a feature of AD.</w:t>
      </w:r>
      <w:r w:rsidR="0096707F">
        <w:rPr>
          <w:rFonts w:ascii="Times New Roman" w:hAnsi="Times New Roman" w:cs="Times New Roman"/>
        </w:rPr>
        <w:t xml:space="preserve"> </w:t>
      </w:r>
      <w:r w:rsidR="00E16A19">
        <w:rPr>
          <w:rFonts w:ascii="Times New Roman" w:hAnsi="Times New Roman" w:cs="Times New Roman"/>
          <w:i/>
        </w:rPr>
        <w:t xml:space="preserve">In </w:t>
      </w:r>
      <w:r w:rsidR="00E16A19" w:rsidRPr="00E16A19">
        <w:rPr>
          <w:rFonts w:ascii="Times New Roman" w:hAnsi="Times New Roman" w:cs="Times New Roman"/>
          <w:i/>
        </w:rPr>
        <w:t>vitro</w:t>
      </w:r>
      <w:r w:rsidR="00E16A19">
        <w:rPr>
          <w:rFonts w:ascii="Times New Roman" w:hAnsi="Times New Roman" w:cs="Times New Roman"/>
        </w:rPr>
        <w:t xml:space="preserve"> studies have demonstrated that </w:t>
      </w:r>
      <w:r w:rsidR="00A56AC7" w:rsidRPr="00EF2AF4">
        <w:rPr>
          <w:rFonts w:ascii="Times New Roman" w:hAnsi="Times New Roman" w:cs="Times New Roman"/>
        </w:rPr>
        <w:t>Aβ</w:t>
      </w:r>
      <w:r w:rsidR="00A56AC7">
        <w:rPr>
          <w:rFonts w:ascii="Times New Roman" w:hAnsi="Times New Roman" w:cs="Times New Roman"/>
        </w:rPr>
        <w:t xml:space="preserve"> </w:t>
      </w:r>
      <w:r w:rsidR="00E16A19">
        <w:rPr>
          <w:rFonts w:ascii="Times New Roman" w:hAnsi="Times New Roman" w:cs="Times New Roman"/>
        </w:rPr>
        <w:t>reduces glucose uptake in rat hippocampal astrocytes and in tandem reduces</w:t>
      </w:r>
      <w:r w:rsidR="00305E69">
        <w:rPr>
          <w:rFonts w:ascii="Times New Roman" w:hAnsi="Times New Roman" w:cs="Times New Roman"/>
        </w:rPr>
        <w:t xml:space="preserve"> the incorporation of</w:t>
      </w:r>
      <w:r w:rsidR="00E16A19">
        <w:rPr>
          <w:rFonts w:ascii="Times New Roman" w:hAnsi="Times New Roman" w:cs="Times New Roman"/>
        </w:rPr>
        <w:t xml:space="preserve"> glutamate </w:t>
      </w:r>
      <w:r w:rsidR="00E16A1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"10.1016/S0006-8993(97)00043-7", "ISSN" : "00068993", "abstract" : "\u03b2-Amyloid is the primary protein component of neuritic plaques, which are degenerative foci in brains of patients with Alzheimer's disease (AD). The effects of this naturally occurring \u03b2-amyloid on the cells of the central nervous system have not been completely understood. \u03b2-Amyloid increases the vulnerability of cultured neurons to glutamate-induced excitotoxic damage. Because astrocytes play a key role in uptake of extracellular glutamate and glutamate uptake is ATP-dependent, we studied the effect of \u03b225\u201335 on glutamate and glucose uptake in cultured hippocampal astrocytes following 7 days of exposure to \u03b225\u201335. Astrocytic glutamate uptake was studied at 1, 5, 10, 15, 20, and 60 min following the addition of [3H]glutamate (5 nM) to the culture media, and astrocytic glucose uptake was assessed at 60 min after the addition of [14C]glucose (600 and 640 nM) to the media. Glutamate uptake by control astrocytes was time-dependent. Astrocytes exposed to \u03b225\u201335, however, showed significantly lower glutamate uptake at all sampling times. Similarly, [14C]glucose uptake by astrocytes was inhibited by \u03b225\u201335. When glucose uptake was blocked by phloretin (10 mM), astrocytic [3H]glutamate uptake was also blocked, suggesting that the inhibitory effect of \u03b2-amyloid on glutamate uptake is caused by diminished glucose uptake. Thus, our present study suggests a possible link between two proposed mechanisms of pathogenesis of the Alzheimer's disease: glutamate neurotoxicity and global defect in cerebral energy metabolism. \u00a91997 Elsevier Science B.V. All rights reserved.", "author" : [ { "dropping-particle" : "", "family" : "Parpura-Gill", "given" : "Aleksandra", "non-dropping-particle" : "", "parse-names" : false, "suffix" : "" }, { "dropping-particle" : "", "family" : "Beitz", "given" : "Donald", "non-dropping-particle" : "", "parse-names" : false, "suffix" : "" }, { "dropping-particle" : "", "family" : "Uemura", "given" : "Etsuro", "non-dropping-particle" : "", "parse-names" : false, "suffix" : "" } ], "container-title" : "Brain Research", "id" : "ITEM-1", "issue" : "1-2", "issued" : { "date-parts" : [ [ "1997", "4" ] ] }, "page" : "65-71", "title" : "The inhibitory effects of \u03b2-amyloid on glutamate and glucose uptakes by cultured astrocytes", "type" : "article-journal", "volume" : "754" }, "uris" : [ "http://www.mendeley.com/documents/?uuid=b8890a1d-ba22-4f81-8b07-fbc8ded6e583" ] } ], "mendeley" : { "formattedCitation" : "(Parpura-Gill et al. 1997)", "plainTextFormattedCitation" : "(Parpura-Gill et al. 1997)", "previouslyFormattedCitation" : "(Parpura-Gill et al. 1997)" }, "properties" : { "noteIndex" : 0 }, "schema" : "https://github.com/citation-style-language/schema/raw/master/csl-citation.json" }</w:instrText>
      </w:r>
      <w:r w:rsidR="00E16A19">
        <w:rPr>
          <w:rFonts w:ascii="Times New Roman" w:hAnsi="Times New Roman" w:cs="Times New Roman"/>
        </w:rPr>
        <w:fldChar w:fldCharType="separate"/>
      </w:r>
      <w:r w:rsidR="00C148FC" w:rsidRPr="00C148FC">
        <w:rPr>
          <w:rFonts w:ascii="Times New Roman" w:hAnsi="Times New Roman" w:cs="Times New Roman"/>
          <w:noProof/>
        </w:rPr>
        <w:t>(Parpura-Gill et al. 1997)</w:t>
      </w:r>
      <w:r w:rsidR="00E16A19">
        <w:rPr>
          <w:rFonts w:ascii="Times New Roman" w:hAnsi="Times New Roman" w:cs="Times New Roman"/>
        </w:rPr>
        <w:fldChar w:fldCharType="end"/>
      </w:r>
      <w:r w:rsidR="00A56AC7">
        <w:rPr>
          <w:rFonts w:ascii="Times New Roman" w:hAnsi="Times New Roman" w:cs="Times New Roman"/>
        </w:rPr>
        <w:t>, suggesting</w:t>
      </w:r>
      <w:r w:rsidR="00D11425">
        <w:rPr>
          <w:rFonts w:ascii="Times New Roman" w:hAnsi="Times New Roman" w:cs="Times New Roman"/>
        </w:rPr>
        <w:t xml:space="preserve"> a link between defective energy metabolism in astrocytes and propagation of glutamate neurotoxicity, both of which are features of AD.</w:t>
      </w:r>
    </w:p>
    <w:p w14:paraId="45C64ED7" w14:textId="77777777" w:rsidR="00A62610" w:rsidRDefault="00A62610" w:rsidP="00A35C7B">
      <w:pPr>
        <w:spacing w:line="360" w:lineRule="auto"/>
        <w:rPr>
          <w:rFonts w:ascii="Times New Roman" w:hAnsi="Times New Roman" w:cs="Times New Roman"/>
          <w:color w:val="FF0000"/>
        </w:rPr>
      </w:pPr>
    </w:p>
    <w:p w14:paraId="3649D575" w14:textId="498EC55E" w:rsidR="00A56AC7" w:rsidRPr="00A56AC7" w:rsidRDefault="00A56AC7" w:rsidP="00C25727">
      <w:pPr>
        <w:rPr>
          <w:rFonts w:ascii="Times New Roman" w:hAnsi="Times New Roman" w:cs="Times New Roman"/>
          <w:b/>
          <w:i/>
          <w:u w:val="single"/>
        </w:rPr>
      </w:pPr>
      <w:r>
        <w:rPr>
          <w:rFonts w:ascii="Times New Roman" w:hAnsi="Times New Roman" w:cs="Times New Roman"/>
          <w:b/>
          <w:i/>
          <w:u w:val="single"/>
        </w:rPr>
        <w:t>Glutamate</w:t>
      </w:r>
    </w:p>
    <w:p w14:paraId="72096F51" w14:textId="202F190D" w:rsidR="002500E2" w:rsidRDefault="007521D1" w:rsidP="003E7BDB">
      <w:pPr>
        <w:spacing w:line="360" w:lineRule="auto"/>
        <w:jc w:val="both"/>
        <w:rPr>
          <w:rFonts w:ascii="Times New Roman" w:hAnsi="Times New Roman" w:cs="Times New Roman"/>
        </w:rPr>
      </w:pPr>
      <w:r>
        <w:rPr>
          <w:rFonts w:ascii="Times New Roman" w:hAnsi="Times New Roman" w:cs="Times New Roman"/>
        </w:rPr>
        <w:t>One of the most important roles played by astrocytes is to regulate glutamate levels at the synapse.</w:t>
      </w:r>
      <w:r w:rsidR="002F21F0">
        <w:rPr>
          <w:rFonts w:ascii="Times New Roman" w:hAnsi="Times New Roman" w:cs="Times New Roman"/>
          <w:color w:val="FF0000"/>
        </w:rPr>
        <w:t xml:space="preserve"> </w:t>
      </w:r>
      <w:r w:rsidR="00A35C7B" w:rsidRPr="005139A8">
        <w:rPr>
          <w:rFonts w:ascii="Times New Roman" w:hAnsi="Times New Roman" w:cs="Times New Roman"/>
        </w:rPr>
        <w:t xml:space="preserve">Loss of glutamate uptake and </w:t>
      </w:r>
      <w:r w:rsidR="000F1AB5">
        <w:rPr>
          <w:rFonts w:ascii="Times New Roman" w:hAnsi="Times New Roman" w:cs="Times New Roman"/>
        </w:rPr>
        <w:t>release of glutamine is</w:t>
      </w:r>
      <w:r w:rsidR="00A35C7B" w:rsidRPr="005139A8">
        <w:rPr>
          <w:rFonts w:ascii="Times New Roman" w:hAnsi="Times New Roman" w:cs="Times New Roman"/>
        </w:rPr>
        <w:t xml:space="preserve"> affected in </w:t>
      </w:r>
      <w:r w:rsidR="00A35C7B" w:rsidRPr="000B081C">
        <w:rPr>
          <w:rFonts w:ascii="Times New Roman" w:hAnsi="Times New Roman" w:cs="Times New Roman"/>
        </w:rPr>
        <w:t>AD</w:t>
      </w:r>
      <w:r w:rsidR="00931506" w:rsidRPr="000B081C">
        <w:rPr>
          <w:rFonts w:ascii="Times New Roman" w:hAnsi="Times New Roman" w:cs="Times New Roman"/>
        </w:rPr>
        <w:t xml:space="preserve"> </w:t>
      </w:r>
      <w:r w:rsidR="00571D79" w:rsidRPr="000B081C">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"10.1097/00005072-199708000-00008", "ISSN" : "0022-3069", "PMID" : "9258260", "abstract" : "Recent studies have shown that deficient functioning of glutamate transporters (GTs) in Alzheimer disease (AD) might lead to neurodegeneration. The main objectives of the present study were to determine which GT subtype is most affected in AD and to asses to what extent altered GT function is associated with abnormal amyloid precursor protein (APP) expression. While EAAT2-immunoreactivity (IR) was decreased in AD frontal cortex, EAAT1- and EAAT3-IR were unaffected; mRNA levels for all 3 GTs were not affected. Decreased EAAT2-IR was associated with decreased GT activity. EAAT2-IR inversely correlated with EAAT2 mRNA levels, suggesting that in AD, GT expression alterations occur due to disturbance at the post-transcriptional level. EAAT2-IR was inversely correlated with APP770 mRNA. In addition, GT activity directly correlated with APP695 mRNA and total APP protein levels, and inversely correlated with APP751/770 mRNA levels. This study supports the notion that astroglial EAAT2 is affected in AD and abnormal functioning and/or processing of APP might play an important role in this process.", "author" : [ { "dropping-particle" : "", "family" : "Li", "given" : "S", "non-dropping-particle" : "", "parse-names" : false, "suffix" : "" }, { "dropping-particle" : "", "family" : "Mallory", "given" : "M", "non-dropping-particle" : "", "parse-names" : false, "suffix" : "" }, { "dropping-particle" : "", "family" : "Alford", "given" : "M", "non-dropping-particle" : "", "parse-names" : false, "suffix" : "" }, { "dropping-particle" : "", "family" : "Tanaka", "given" : "S", "non-dropping-particle" : "", "parse-names" : false, "suffix" : "" }, { "dropping-particle" : "", "family" : "Masliah", "given" : "E", "non-dropping-particle" : "", "parse-names" : false, "suffix" : "" } ], "container-title" : "Journal of neuropathology and experimental neurology", "id" : "ITEM-1", "issue" : "8", "issued" : { "date-parts" : [ [ "1997", "8" ] ] }, "page" : "901-11", "publisher" : "The Oxford University Press", "title" : "Glutamate transporter alterations in Alzheimer disease are possibly associated with abnormal APP expression.", "type" : "article-journal", "volume" : "56" }, "uris" : [ "http://www.mendeley.com/documents/?uuid=1134e0b3-ac7e-3222-af62-030b8362f074" ] }, { "id" : "ITEM-2", "itemData" : { "DOI" : "10.1002/ana.410400512", "ISSN" : "0364-5134", "author" : [ { "dropping-particle" : "", "family" : "Masliah", "given" : "E.", "non-dropping-particle" : "", "parse-names" : false, "suffix" : "" }, { "dropping-particle" : "", "family" : "Hansen", "given" : "L.", "non-dropping-particle" : "", "parse-names" : false, "suffix" : "" }, { "dropping-particle" : "", "family" : "Alford", "given" : "M.", "non-dropping-particle" : "", "parse-names" : false, "suffix" : "" }, { "dropping-particle" : "", "family" : "Deteresa", "given" : "R.", "non-dropping-particle" : "", "parse-names" : false, "suffix" : "" }, { "dropping-particle" : "", "family" : "Mallory", "given" : "M.", "non-dropping-particle" : "", "parse-names" : false, "suffix" : "" } ], "container-title" : "Annals of Neurology", "id" : "ITEM-2", "issue" : "5", "issued" : { "date-parts" : [ [ "1996", "11" ] ] }, "page" : "759-766", "publisher" : "Wiley Subscription Services, Inc., A Wiley Company", "title" : "Deficient glutamate tranport is associated with neurodegeneration in Alzheimer's disease", "type" : "article-journal", "volume" : "40" }, "uris" : [ "http://www.mendeley.com/documents/?uuid=a59a5375-80ec-3e40-948a-7601d49fccf7" ] }, { "id" : "ITEM-3", "itemData" : { "DOI" : "10.1007/BF00969698", "ISSN" : "0364-3190", "author" : [ { "dropping-particle" : "", "family" : "Prince", "given" : "Ghislaine", "non-dropping-particle" : "Le", "parse-names" : false, "suffix" : "" }, { "dropping-particle" : "", "family" : "Delaere", "given" : "Pia", "non-dropping-particle" : "", "parse-names" : false, "suffix" : "" }, { "dropping-particle" : "", "family" : "Fages", "given" : "Christiane", "non-dropping-particle" : "", "parse-names" : false, "suffix" : "" }, { "dropping-particle" : "", "family" : "Lefran\u00e7ois", "given" : "Thierry", "non-dropping-particle" : "", "parse-names" : false, "suffix" : "" }, { "dropping-particle" : "", "family" : "Touret", "given" : "Monique", "non-dropping-particle" : "", "parse-names" : false, "suffix" : "" }, { "dropping-particle" : "", "family" : "Salanon", "given" : "Marcelle", "non-dropping-particle" : "", "parse-names" : false, "suffix" : "" }, { "dropping-particle" : "", "family" : "Tardy", "given" : "Marcienne", "non-dropping-particle" : "", "parse-names" : false, "suffix" : "" } ], "container-title" : "Neurochemical Research", "id" : "ITEM-3", "issue" : "7", "issued" : { "date-parts" : [ [ "1995", "7" ] ] }, "page" : "859-862", "publisher" : "Kluwer Academic Publishers-Plenum Publishers", "title" : "Glutamine synthetase (GS) expression is reduced in senile dementia of the Alzheimer type", "type" : "article-journal", "volume" : "20" }, "uris" : [ "http://www.mendeley.com/documents/?uuid=5b5ea2fc-bba9-3e78-96f8-36d8c1a0da46" ] } ], "mendeley" : { "formattedCitation" : "(Li et al. 1997; Masliah et al. 1996; Le Prince et al. 1995)", "plainTextFormattedCitation" : "(Li et al. 1997; Masliah et al. 1996; Le Prince et al. 1995)", "previouslyFormattedCitation" : "(Li et al. 1997; Masliah et al. 1996; Le Prince et al. 1995)" }, "properties" : { "noteIndex" : 0 }, "schema" : "https://github.com/citation-style-language/schema/raw/master/csl-citation.json" }</w:instrText>
      </w:r>
      <w:r w:rsidR="00571D79" w:rsidRPr="000B081C">
        <w:rPr>
          <w:rFonts w:ascii="Times New Roman" w:hAnsi="Times New Roman" w:cs="Times New Roman"/>
        </w:rPr>
        <w:fldChar w:fldCharType="separate"/>
      </w:r>
      <w:r w:rsidR="00C148FC" w:rsidRPr="00C148FC">
        <w:rPr>
          <w:rFonts w:ascii="Times New Roman" w:hAnsi="Times New Roman" w:cs="Times New Roman"/>
          <w:noProof/>
        </w:rPr>
        <w:t>(Li et al. 1997; Masliah et al. 1996; Le Prince et al. 1995)</w:t>
      </w:r>
      <w:r w:rsidR="00571D79" w:rsidRPr="000B081C">
        <w:rPr>
          <w:rFonts w:ascii="Times New Roman" w:hAnsi="Times New Roman" w:cs="Times New Roman"/>
        </w:rPr>
        <w:fldChar w:fldCharType="end"/>
      </w:r>
      <w:r w:rsidR="00CD3235">
        <w:rPr>
          <w:rFonts w:ascii="Times New Roman" w:hAnsi="Times New Roman" w:cs="Times New Roman"/>
        </w:rPr>
        <w:t>, as al</w:t>
      </w:r>
      <w:r w:rsidR="000F1AB5" w:rsidRPr="000B081C">
        <w:rPr>
          <w:rFonts w:ascii="Times New Roman" w:hAnsi="Times New Roman" w:cs="Times New Roman"/>
        </w:rPr>
        <w:t>luded to previously</w:t>
      </w:r>
      <w:r w:rsidR="00A35C7B" w:rsidRPr="000B081C">
        <w:rPr>
          <w:rFonts w:ascii="Times New Roman" w:hAnsi="Times New Roman" w:cs="Times New Roman"/>
        </w:rPr>
        <w:t>. The excitatory amino acid</w:t>
      </w:r>
      <w:r w:rsidR="00A35C7B" w:rsidRPr="005139A8">
        <w:rPr>
          <w:rFonts w:ascii="Times New Roman" w:hAnsi="Times New Roman" w:cs="Times New Roman"/>
        </w:rPr>
        <w:t xml:space="preserve"> transporter (EAAT2</w:t>
      </w:r>
      <w:r w:rsidR="00931506">
        <w:rPr>
          <w:rFonts w:ascii="Times New Roman" w:hAnsi="Times New Roman" w:cs="Times New Roman"/>
        </w:rPr>
        <w:t xml:space="preserve"> [GLT-1 in rodents]</w:t>
      </w:r>
      <w:r w:rsidR="00A35C7B" w:rsidRPr="005139A8">
        <w:rPr>
          <w:rFonts w:ascii="Times New Roman" w:hAnsi="Times New Roman" w:cs="Times New Roman"/>
        </w:rPr>
        <w:t>) is predominantly expressed by astrocytes and necessary for glutamate uptake. In AD, increased gliosis is correlated</w:t>
      </w:r>
      <w:r w:rsidR="00FB5BF9" w:rsidRPr="005139A8">
        <w:rPr>
          <w:rFonts w:ascii="Times New Roman" w:hAnsi="Times New Roman" w:cs="Times New Roman"/>
        </w:rPr>
        <w:t xml:space="preserve"> with reduced EAAT2 levels </w:t>
      </w:r>
      <w:r w:rsidR="00E034AE" w:rsidRPr="005139A8">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"10.1016/j.neurobiolaging.2008.05.015", "ISSN" : "1558-1497", "PMID" : "18586353", "abstract" : "Astrocyte pathology occurs in association with Alzheimer's disease (AD) and in brain ageing, but is poorly characterised. We sought to define the detailed cellular pathology of astrocytes, the extent of population variation and the relationship to Alzheimer-type changes in a population-based cohort. Three staining patterns were associated with GFAP and excitatory amino acid transporter 2 (EAAT2): minimal, moderate or extensive immunoreactivity. GFAP and EAAT2 expression were inversely related (p=0.015), with trends to increased expression of GFAP (p=0.019) and decreased expression of EAAT2 (p=ns) with increasing Braak stage. GFAP and EAAT2 correlated incompletely with beta-amyloid and tau immunoreactivity. However, gliosis increased with increasing burden of neuritic (p=0.011), but not diffuse (p=ns), plaques. Double-staining revealed distinct subsets of astrocytes; GFAP(+)EAAT(-), GFAP(-)EAAT(+), or GFAP(+)EAAT(+). In contrast to the variation in GFAP and EAAT2, levels of EAAT1 and S100B showed consistent staining patterns. Alzheimer-type pathology only partially explains the variation in gliosis and astrocyte functional markers, suggesting that other factors contribute to the population variance in astrocyte pathology.", "author" : [ { "dropping-particle" : "", "family" : "Simpson", "given" : "J E", "non-dropping-particle" : "", "parse-names" : false, "suffix" : "" }, { "dropping-particle" : "", "family" : "Ince", "given" : "P G", "non-dropping-particle" : "", "parse-names" : false, "suffix" : "" }, { "dropping-particle" : "", "family" : "Lace", "given" : "G", "non-dropping-particle" : "", "parse-names" : false, "suffix" : "" }, { "dropping-particle" : "", "family" : "Forster", "given" : "G", "non-dropping-particle" : "", "parse-names" : false, "suffix" : "" }, { "dropping-particle" : "", "family" : "Shaw", "given" : "P J", "non-dropping-particle" : "", "parse-names" : false, "suffix" : "" }, { "dropping-particle" : "", "family" : "Matthews", "given" : "F", "non-dropping-particle" : "", "parse-names" : false, "suffix" : "" }, { "dropping-particle" : "", "family" : "Savva", "given" : "G", "non-dropping-particle" : "", "parse-names" : false, "suffix" : "" }, { "dropping-particle" : "", "family" : "Brayne", "given" : "C", "non-dropping-particle" : "", "parse-names" : false, "suffix" : "" }, { "dropping-particle" : "", "family" : "Wharton", "given" : "S B", "non-dropping-particle" : "", "parse-names" : false, "suffix" : "" } ], "container-title" : "Neurobiology of aging", "id" : "ITEM-1", "issue" : "4", "issued" : { "date-parts" : [ [ "2010", "4" ] ] }, "page" : "578-90", "title" : "Astrocyte phenotype in relation to Alzheimer-type pathology in the ageing brain.", "type" : "article-journal", "volume" : "31" }, "uris" : [ "http://www.mendeley.com/documents/?uuid=777358ad-cb13-402e-b071-9f6976f101f9" ] } ], "mendeley" : { "formattedCitation" : "(J E Simpson, Ince, Lace, et al. 2010)", "plainTextFormattedCitation" : "(J E Simpson, Ince, Lace, et al. 2010)", "previouslyFormattedCitation" : "(J E Simpson, Ince, Lace, et al. 2010)" }, "properties" : { "noteIndex" : 0 }, "schema" : "https://github.com/citation-style-language/schema/raw/master/csl-citation.json" }</w:instrText>
      </w:r>
      <w:r w:rsidR="00E034AE" w:rsidRPr="005139A8">
        <w:rPr>
          <w:rFonts w:ascii="Times New Roman" w:hAnsi="Times New Roman" w:cs="Times New Roman"/>
        </w:rPr>
        <w:fldChar w:fldCharType="separate"/>
      </w:r>
      <w:r w:rsidR="00C148FC" w:rsidRPr="00C148FC">
        <w:rPr>
          <w:rFonts w:ascii="Times New Roman" w:hAnsi="Times New Roman" w:cs="Times New Roman"/>
          <w:noProof/>
        </w:rPr>
        <w:t>(J E Simpson, Ince, Lace, et al. 2010)</w:t>
      </w:r>
      <w:r w:rsidR="00E034AE" w:rsidRPr="005139A8">
        <w:rPr>
          <w:rFonts w:ascii="Times New Roman" w:hAnsi="Times New Roman" w:cs="Times New Roman"/>
        </w:rPr>
        <w:fldChar w:fldCharType="end"/>
      </w:r>
      <w:r w:rsidR="00A35C7B" w:rsidRPr="005139A8">
        <w:rPr>
          <w:rFonts w:ascii="Times New Roman" w:hAnsi="Times New Roman" w:cs="Times New Roman"/>
        </w:rPr>
        <w:t xml:space="preserve">, </w:t>
      </w:r>
      <w:r w:rsidR="00B97ADC">
        <w:rPr>
          <w:rFonts w:ascii="Times New Roman" w:hAnsi="Times New Roman" w:cs="Times New Roman"/>
        </w:rPr>
        <w:t xml:space="preserve">indicating </w:t>
      </w:r>
      <w:r w:rsidR="004679DE">
        <w:rPr>
          <w:rFonts w:ascii="Times New Roman" w:hAnsi="Times New Roman" w:cs="Times New Roman"/>
        </w:rPr>
        <w:t>astrocytes may be</w:t>
      </w:r>
      <w:r w:rsidR="00A35C7B" w:rsidRPr="005139A8">
        <w:rPr>
          <w:rFonts w:ascii="Times New Roman" w:hAnsi="Times New Roman" w:cs="Times New Roman"/>
        </w:rPr>
        <w:t xml:space="preserve"> less able to regulate ext</w:t>
      </w:r>
      <w:r w:rsidR="00FB5BF9" w:rsidRPr="005139A8">
        <w:rPr>
          <w:rFonts w:ascii="Times New Roman" w:hAnsi="Times New Roman" w:cs="Times New Roman"/>
        </w:rPr>
        <w:t xml:space="preserve">ernal glutamate levels and elevates the risk of glutamate-mediated neurotoxicity. </w:t>
      </w:r>
      <w:r w:rsidR="002774FF">
        <w:rPr>
          <w:rFonts w:ascii="Times New Roman" w:hAnsi="Times New Roman" w:cs="Times New Roman"/>
        </w:rPr>
        <w:t>In a separate study, p</w:t>
      </w:r>
      <w:r w:rsidR="00D079C1">
        <w:rPr>
          <w:rFonts w:ascii="Times New Roman" w:hAnsi="Times New Roman" w:cs="Times New Roman"/>
        </w:rPr>
        <w:t>yramidal neurons containing NFT</w:t>
      </w:r>
      <w:r w:rsidR="002774FF">
        <w:rPr>
          <w:rFonts w:ascii="Times New Roman" w:hAnsi="Times New Roman" w:cs="Times New Roman"/>
        </w:rPr>
        <w:t>s in the cerebral cortex of AD patients also sh</w:t>
      </w:r>
      <w:r w:rsidR="00C12464">
        <w:rPr>
          <w:rFonts w:ascii="Times New Roman" w:hAnsi="Times New Roman" w:cs="Times New Roman"/>
        </w:rPr>
        <w:t>owed increased expression of</w:t>
      </w:r>
      <w:r w:rsidR="002774FF">
        <w:rPr>
          <w:rFonts w:ascii="Times New Roman" w:hAnsi="Times New Roman" w:cs="Times New Roman"/>
        </w:rPr>
        <w:t xml:space="preserve"> glial specific EAAT1 </w:t>
      </w:r>
      <w:r w:rsidR="007D2B16">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"1529-2401", "PMID" : "11826152", "abstract" : "Glutamate-mediated toxicity has been implicated in the neurodegeneration observed in Alzheimer's disease. In particular, glutamate transport dysfunction may increase susceptibility to glutamate toxicity, thereby contributing to neuronal cell injury and death. In this study, we examined the cellular localization of the glial glutamate transporter excitatory amino acid transporter 1 (EAAT1) in the cerebral cortex of control, Alzheimer's disease, and non-Alzheimer dementia cases. We found that EAAT1 was strongly expressed in a subset of cortical pyramidal neurons in dementia cases showing Alzheimer-type pathology. In addition, tau (which is a marker of neurofibrillary pathology) colocalized to those same pyramidal cells that expressed EAAT1. These findings suggest that EAAT1 changes are related to tau expression (and hence neurofibrillary tangle formation) in dementia cases showing Alzheimer-type pathology. This study implicates aberrant glutamate transporter expression as a mechanism involved in neurodegeneration in Alzheimer's disease.", "author" : [ { "dropping-particle" : "", "family" : "Scott", "given" : "Heather L", "non-dropping-particle" : "", "parse-names" : false, "suffix" : "" }, { "dropping-particle" : "V", "family" : "Pow", "given" : "David", "non-dropping-particle" : "", "parse-names" : false, "suffix" : "" }, { "dropping-particle" : "", "family" : "Tannenberg", "given" : "Anthony E G", "non-dropping-particle" : "", "parse-names" : false, "suffix" : "" }, { "dropping-particle" : "", "family" : "Dodd", "given" : "Peter R", "non-dropping-particle" : "", "parse-names" : false, "suffix" : "" } ], "container-title" : "The Journal of neuroscience : the official journal of the Society for Neuroscience", "id" : "ITEM-1", "issue" : "3", "issued" : { "date-parts" : [ [ "2002", "2", "1" ] ] }, "page" : "RC206", "title" : "Aberrant expression of the glutamate transporter excitatory amino acid transporter 1 (EAAT1) in Alzheimer's disease.", "type" : "article-journal", "volume" : "22" }, "uris" : [ "http://www.mendeley.com/documents/?uuid=e2156f6d-d80c-4820-bf9f-c12408a71901" ] } ], "mendeley" : { "formattedCitation" : "(Scott et al. 2002)", "plainTextFormattedCitation" : "(Scott et al. 2002)", "previouslyFormattedCitation" : "(Scott et al. 2002)" }, "properties" : { "noteIndex" : 0 }, "schema" : "https://github.com/citation-style-language/schema/raw/master/csl-citation.json" }</w:instrText>
      </w:r>
      <w:r w:rsidR="007D2B16">
        <w:rPr>
          <w:rFonts w:ascii="Times New Roman" w:hAnsi="Times New Roman" w:cs="Times New Roman"/>
        </w:rPr>
        <w:fldChar w:fldCharType="separate"/>
      </w:r>
      <w:r w:rsidR="00C148FC" w:rsidRPr="00C148FC">
        <w:rPr>
          <w:rFonts w:ascii="Times New Roman" w:hAnsi="Times New Roman" w:cs="Times New Roman"/>
          <w:noProof/>
        </w:rPr>
        <w:t>(Scott et al. 2002)</w:t>
      </w:r>
      <w:r w:rsidR="007D2B16">
        <w:rPr>
          <w:rFonts w:ascii="Times New Roman" w:hAnsi="Times New Roman" w:cs="Times New Roman"/>
        </w:rPr>
        <w:fldChar w:fldCharType="end"/>
      </w:r>
      <w:r w:rsidR="002774FF">
        <w:rPr>
          <w:rFonts w:ascii="Times New Roman" w:hAnsi="Times New Roman" w:cs="Times New Roman"/>
        </w:rPr>
        <w:t xml:space="preserve">. Although, this was not linked to decreases in glutamate transport in astrocytes it may suggest a compensation mechanism </w:t>
      </w:r>
      <w:r w:rsidR="000F1AB5">
        <w:rPr>
          <w:rFonts w:ascii="Times New Roman" w:hAnsi="Times New Roman" w:cs="Times New Roman"/>
        </w:rPr>
        <w:t>in neurons to prevent glutamate-</w:t>
      </w:r>
      <w:r w:rsidR="002774FF">
        <w:rPr>
          <w:rFonts w:ascii="Times New Roman" w:hAnsi="Times New Roman" w:cs="Times New Roman"/>
        </w:rPr>
        <w:t>mediated excitoxicity.</w:t>
      </w:r>
      <w:r w:rsidR="00314D22">
        <w:rPr>
          <w:rFonts w:ascii="Times New Roman" w:hAnsi="Times New Roman" w:cs="Times New Roman"/>
        </w:rPr>
        <w:t xml:space="preserve"> Increased </w:t>
      </w:r>
      <w:r w:rsidR="008078F9">
        <w:rPr>
          <w:rFonts w:ascii="Times New Roman" w:hAnsi="Times New Roman" w:cs="Times New Roman"/>
        </w:rPr>
        <w:t>GS</w:t>
      </w:r>
      <w:r w:rsidR="009C596B">
        <w:rPr>
          <w:rFonts w:ascii="Times New Roman" w:hAnsi="Times New Roman" w:cs="Times New Roman"/>
        </w:rPr>
        <w:t xml:space="preserve"> </w:t>
      </w:r>
      <w:r w:rsidR="00314D22">
        <w:rPr>
          <w:rFonts w:ascii="Times New Roman" w:hAnsi="Times New Roman" w:cs="Times New Roman"/>
        </w:rPr>
        <w:t xml:space="preserve">expression in pyramidial neurons and decreased </w:t>
      </w:r>
      <w:r w:rsidR="009C596B">
        <w:rPr>
          <w:rFonts w:ascii="Times New Roman" w:hAnsi="Times New Roman" w:cs="Times New Roman"/>
        </w:rPr>
        <w:t>GS</w:t>
      </w:r>
      <w:r w:rsidR="00314D22">
        <w:rPr>
          <w:rFonts w:ascii="Times New Roman" w:hAnsi="Times New Roman" w:cs="Times New Roman"/>
        </w:rPr>
        <w:t xml:space="preserve"> expression </w:t>
      </w:r>
      <w:r w:rsidR="009C596B">
        <w:rPr>
          <w:rFonts w:ascii="Times New Roman" w:hAnsi="Times New Roman" w:cs="Times New Roman"/>
        </w:rPr>
        <w:t>in astrocytes have</w:t>
      </w:r>
      <w:r w:rsidR="00314D22">
        <w:rPr>
          <w:rFonts w:ascii="Times New Roman" w:hAnsi="Times New Roman" w:cs="Times New Roman"/>
        </w:rPr>
        <w:t xml:space="preserve"> been observed in the temporal cortex o</w:t>
      </w:r>
      <w:r w:rsidR="004679DE">
        <w:rPr>
          <w:rFonts w:ascii="Times New Roman" w:hAnsi="Times New Roman" w:cs="Times New Roman"/>
        </w:rPr>
        <w:t>f AD cases compared with age-</w:t>
      </w:r>
      <w:r w:rsidR="00314D22">
        <w:rPr>
          <w:rFonts w:ascii="Times New Roman" w:hAnsi="Times New Roman" w:cs="Times New Roman"/>
        </w:rPr>
        <w:t>matched controls</w:t>
      </w:r>
      <w:r w:rsidR="00B97ADC">
        <w:rPr>
          <w:rFonts w:ascii="Times New Roman" w:hAnsi="Times New Roman" w:cs="Times New Roman"/>
        </w:rPr>
        <w:t xml:space="preserve"> </w:t>
      </w:r>
      <w:r w:rsidR="00571D79" w:rsidRPr="00B7458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"10.1016/S0197-0186(99)00150-3", "ISSN" : "01970186", "abstract" : "A considerable body of evidence indicates that the activity of glutamine synthetase is decreased in the cerebral cortices of brains affected by Alzheimer\u2019s disease. It is difficult to discern the reason for this decrease because it is not known whether the cellular distribution of glutamine synthetase is altered in Alzheimer\u2019s disease. Therefore the present study has used immunocytochemistry to compare the cellular distributions of glutamine synthetase in the inferior temporal cortices of six Alzheimer\u2019s diseased brains and six age-matched, non-demented brains. Double-label immunocytochemistry has been used to examine whether the distribution of cellular glutamine synthetase is influenced by the distribution of senile plaques. It was found that glutamine synthetase expression in astrocytes is diminished in Alzheimer\u2019s disease, particularly in the vicinity of senile plaques. The most striking finding of the present study was that glutamine synthetase was expressed in a subpopulation of pyramidal neurons in all six Alzheimer\u2019s diseased brains, whereas glutamine synthetase was not observed in any neurons from control brains. The changed expression of glutamine synthetase may be triggered by toxic agents in senile plaques, a reduced noradrenergic supply to the cerebral cortex, and increased brain ammonia levels. That such dramatic changes occur in the distribution of this critical, and normally stable enzyme, suggests that the glutamate\u2013glutamine cycle is profoundly impaired in Alzheimer\u2019s disease. This is significant because impairments of the glutamate\u2013glutamine cycle are known to cause alterations of mood and behaviour, disturbance of sleeping patterns, amnesia, confusion and reduced awareness. Since these behavioural changes are also seen in Alzheimer\u2019s disease, it is speculated that they might be attributable to the reduced expression of glutamine synthetase or to impairments of the glutamate\u2013glutamine cycle.", "author" : [ { "dropping-particle" : "", "family" : "Robinson", "given" : "Stephen R", "non-dropping-particle" : "", "parse-names" : false, "suffix" : "" } ], "container-title" : "Neurochemistry International", "id" : "ITEM-1", "issue" : "4-5", "issued" : { "date-parts" : [ [ "2000", "4" ] ] }, "page" : "471-482", "title" : "Neuronal expression of glutamine synthetase in Alzheimer\u2019s disease indicates a profound impairment of metabolic interactions with astrocytes", "type" : "article-journal", "volume" : "36" }, "uris" : [ "http://www.mendeley.com/documents/?uuid=c955d503-3f12-4697-aba6-2b6033663ca8" ] } ], "mendeley" : { "formattedCitation" : "(Robinson 2000)", "plainTextFormattedCitation" : "(Robinson 2000)", "previouslyFormattedCitation" : "(Robinson 2000)" }, "properties" : { "noteIndex" : 0 }, "schema" : "https://github.com/citation-style-language/schema/raw/master/csl-citation.json" }</w:instrText>
      </w:r>
      <w:r w:rsidR="00571D79" w:rsidRPr="00B74582">
        <w:rPr>
          <w:rFonts w:ascii="Times New Roman" w:hAnsi="Times New Roman" w:cs="Times New Roman"/>
        </w:rPr>
        <w:fldChar w:fldCharType="separate"/>
      </w:r>
      <w:r w:rsidR="00C148FC" w:rsidRPr="00C148FC">
        <w:rPr>
          <w:rFonts w:ascii="Times New Roman" w:hAnsi="Times New Roman" w:cs="Times New Roman"/>
          <w:noProof/>
        </w:rPr>
        <w:t>(Robinson 2000)</w:t>
      </w:r>
      <w:r w:rsidR="00571D79" w:rsidRPr="00B74582">
        <w:rPr>
          <w:rFonts w:ascii="Times New Roman" w:hAnsi="Times New Roman" w:cs="Times New Roman"/>
        </w:rPr>
        <w:fldChar w:fldCharType="end"/>
      </w:r>
      <w:r w:rsidR="00571D79" w:rsidRPr="00B74582">
        <w:rPr>
          <w:rFonts w:ascii="Times New Roman" w:hAnsi="Times New Roman" w:cs="Times New Roman"/>
        </w:rPr>
        <w:t>,</w:t>
      </w:r>
      <w:r w:rsidR="00B97ADC" w:rsidRPr="00B74582">
        <w:rPr>
          <w:rFonts w:ascii="Times New Roman" w:hAnsi="Times New Roman" w:cs="Times New Roman"/>
        </w:rPr>
        <w:t xml:space="preserve"> w</w:t>
      </w:r>
      <w:r w:rsidR="00B97ADC">
        <w:rPr>
          <w:rFonts w:ascii="Times New Roman" w:hAnsi="Times New Roman" w:cs="Times New Roman"/>
        </w:rPr>
        <w:t>hich might reflect a</w:t>
      </w:r>
      <w:r w:rsidR="009C596B">
        <w:rPr>
          <w:rFonts w:ascii="Times New Roman" w:hAnsi="Times New Roman" w:cs="Times New Roman"/>
        </w:rPr>
        <w:t xml:space="preserve"> </w:t>
      </w:r>
      <w:r w:rsidR="00314D22">
        <w:rPr>
          <w:rFonts w:ascii="Times New Roman" w:hAnsi="Times New Roman" w:cs="Times New Roman"/>
        </w:rPr>
        <w:t>compensatory mechanism employed during AD when the glutamate-glutamine cycle is impaired</w:t>
      </w:r>
      <w:r w:rsidR="009C596B">
        <w:rPr>
          <w:rFonts w:ascii="Times New Roman" w:hAnsi="Times New Roman" w:cs="Times New Roman"/>
        </w:rPr>
        <w:t xml:space="preserve"> </w:t>
      </w:r>
      <w:r w:rsidR="009C596B">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"10.1016/S0197-0186(99)00150-3", "ISSN" : "01970186", "abstract" : "A considerable body of evidence indicates that the activity of glutamine synthetase is decreased in the cerebral cortices of brains affected by Alzheimer\u2019s disease. It is difficult to discern the reason for this decrease because it is not known whether the cellular distribution of glutamine synthetase is altered in Alzheimer\u2019s disease. Therefore the present study has used immunocytochemistry to compare the cellular distributions of glutamine synthetase in the inferior temporal cortices of six Alzheimer\u2019s diseased brains and six age-matched, non-demented brains. Double-label immunocytochemistry has been used to examine whether the distribution of cellular glutamine synthetase is influenced by the distribution of senile plaques. It was found that glutamine synthetase expression in astrocytes is diminished in Alzheimer\u2019s disease, particularly in the vicinity of senile plaques. The most striking finding of the present study was that glutamine synthetase was expressed in a subpopulation of pyramidal neurons in all six Alzheimer\u2019s diseased brains, whereas glutamine synthetase was not observed in any neurons from control brains. The changed expression of glutamine synthetase may be triggered by toxic agents in senile plaques, a reduced noradrenergic supply to the cerebral cortex, and increased brain ammonia levels. That such dramatic changes occur in the distribution of this critical, and normally stable enzyme, suggests that the glutamate\u2013glutamine cycle is profoundly impaired in Alzheimer\u2019s disease. This is significant because impairments of the glutamate\u2013glutamine cycle are known to cause alterations of mood and behaviour, disturbance of sleeping patterns, amnesia, confusion and reduced awareness. Since these behavioural changes are also seen in Alzheimer\u2019s disease, it is speculated that they might be attributable to the reduced expression of glutamine synthetase or to impairments of the glutamate\u2013glutamine cycle.", "author" : [ { "dropping-particle" : "", "family" : "Robinson", "given" : "Stephen R", "non-dropping-particle" : "", "parse-names" : false, "suffix" : "" } ], "container-title" : "Neurochemistry International", "id" : "ITEM-1", "issue" : "4-5", "issued" : { "date-parts" : [ [ "2000", "4" ] ] }, "page" : "471-482", "title" : "Neuronal expression of glutamine synthetase in Alzheimer\u2019s disease indicates a profound impairment of metabolic interactions with astrocytes", "type" : "article-journal", "volume" : "36" }, "uris" : [ "http://www.mendeley.com/documents/?uuid=c955d503-3f12-4697-aba6-2b6033663ca8" ] } ], "mendeley" : { "formattedCitation" : "(Robinson 2000)", "plainTextFormattedCitation" : "(Robinson 2000)", "previouslyFormattedCitation" : "(Robinson 2000)" }, "properties" : { "noteIndex" : 0 }, "schema" : "https://github.com/citation-style-language/schema/raw/master/csl-citation.json" }</w:instrText>
      </w:r>
      <w:r w:rsidR="009C596B">
        <w:rPr>
          <w:rFonts w:ascii="Times New Roman" w:hAnsi="Times New Roman" w:cs="Times New Roman"/>
        </w:rPr>
        <w:fldChar w:fldCharType="separate"/>
      </w:r>
      <w:r w:rsidR="00C148FC" w:rsidRPr="00C148FC">
        <w:rPr>
          <w:rFonts w:ascii="Times New Roman" w:hAnsi="Times New Roman" w:cs="Times New Roman"/>
          <w:noProof/>
        </w:rPr>
        <w:t>(Robinson 2000)</w:t>
      </w:r>
      <w:r w:rsidR="009C596B">
        <w:rPr>
          <w:rFonts w:ascii="Times New Roman" w:hAnsi="Times New Roman" w:cs="Times New Roman"/>
        </w:rPr>
        <w:fldChar w:fldCharType="end"/>
      </w:r>
      <w:r w:rsidR="00314D22">
        <w:rPr>
          <w:rFonts w:ascii="Times New Roman" w:hAnsi="Times New Roman" w:cs="Times New Roman"/>
        </w:rPr>
        <w:t xml:space="preserve">. Amidation of glutamate by GS is also used to </w:t>
      </w:r>
      <w:r w:rsidR="009C596B">
        <w:rPr>
          <w:rFonts w:ascii="Times New Roman" w:hAnsi="Times New Roman" w:cs="Times New Roman"/>
        </w:rPr>
        <w:t>prevent ammonia- induced toxicity so this could also be a protective mechanism employed by neurons when astrocytes are not working efficiently in the disease state.</w:t>
      </w:r>
    </w:p>
    <w:p w14:paraId="325ACA74" w14:textId="77777777" w:rsidR="00B97ADC" w:rsidRDefault="00B97ADC" w:rsidP="00A35C7B">
      <w:pPr>
        <w:spacing w:line="360" w:lineRule="auto"/>
        <w:rPr>
          <w:rFonts w:ascii="Times New Roman" w:hAnsi="Times New Roman" w:cs="Times New Roman"/>
        </w:rPr>
      </w:pPr>
    </w:p>
    <w:p w14:paraId="601594E9" w14:textId="36FEA781" w:rsidR="00B97ADC" w:rsidRPr="00B97ADC" w:rsidRDefault="00B97ADC" w:rsidP="00C25727">
      <w:pPr>
        <w:rPr>
          <w:rFonts w:ascii="Times New Roman" w:hAnsi="Times New Roman" w:cs="Times New Roman"/>
          <w:b/>
          <w:i/>
          <w:u w:val="single"/>
        </w:rPr>
      </w:pPr>
      <w:r>
        <w:rPr>
          <w:rFonts w:ascii="Times New Roman" w:hAnsi="Times New Roman" w:cs="Times New Roman"/>
          <w:b/>
          <w:i/>
          <w:u w:val="single"/>
        </w:rPr>
        <w:t>Changes in astrocyte antioxidant capacity</w:t>
      </w:r>
    </w:p>
    <w:p w14:paraId="32ED552A" w14:textId="24927127" w:rsidR="00DA4702" w:rsidRDefault="005F53FE" w:rsidP="003E7BDB">
      <w:pPr>
        <w:spacing w:line="360" w:lineRule="auto"/>
        <w:jc w:val="both"/>
        <w:rPr>
          <w:rFonts w:ascii="Times New Roman" w:hAnsi="Times New Roman" w:cs="Times New Roman"/>
        </w:rPr>
      </w:pPr>
      <w:r>
        <w:rPr>
          <w:rFonts w:ascii="Times New Roman" w:hAnsi="Times New Roman" w:cs="Times New Roman"/>
        </w:rPr>
        <w:t>The antioxidant capacity of astrocytes is als</w:t>
      </w:r>
      <w:r w:rsidR="00B76AC3">
        <w:rPr>
          <w:rFonts w:ascii="Times New Roman" w:hAnsi="Times New Roman" w:cs="Times New Roman"/>
        </w:rPr>
        <w:t>o altered in AD</w:t>
      </w:r>
      <w:r w:rsidR="00DA4702">
        <w:rPr>
          <w:rFonts w:ascii="Times New Roman" w:hAnsi="Times New Roman" w:cs="Times New Roman"/>
        </w:rPr>
        <w:t xml:space="preserve"> and the prodromal phase of the disease, mild cognitive impairment (MCI)</w:t>
      </w:r>
      <w:r w:rsidR="00B76AC3">
        <w:rPr>
          <w:rFonts w:ascii="Times New Roman" w:hAnsi="Times New Roman" w:cs="Times New Roman"/>
        </w:rPr>
        <w:t xml:space="preserve">. Increased </w:t>
      </w:r>
      <w:r w:rsidR="00E35A9F">
        <w:rPr>
          <w:rFonts w:ascii="Times New Roman" w:hAnsi="Times New Roman" w:cs="Times New Roman"/>
        </w:rPr>
        <w:t>protein oxidation and lipid peroxidation have been identified in</w:t>
      </w:r>
      <w:r w:rsidR="00D85782">
        <w:rPr>
          <w:rFonts w:ascii="Times New Roman" w:hAnsi="Times New Roman" w:cs="Times New Roman"/>
        </w:rPr>
        <w:t xml:space="preserve"> individuals with MCI and AD</w:t>
      </w:r>
      <w:r w:rsidR="00E413D5">
        <w:rPr>
          <w:rFonts w:ascii="Times New Roman" w:hAnsi="Times New Roman" w:cs="Times New Roman"/>
        </w:rPr>
        <w:t xml:space="preserve"> </w:t>
      </w:r>
      <w:r w:rsidR="00C5055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"0306-4522", "PMID" : "11246152", "abstract" : "In this study we used immunohistochemistry and two-dimensional fingerprinting of oxidatively modified proteins (two-dimensional Oxyblot) together to investigate protein carbonyl formation in the Alzheimer's disease brain. Increased protein oxidation was detected in sections from the hippocampus and parahippocampal gyrus, superior and middle temporal gyri of six Alzheimer's disease and six age-matched control human subjects, but not in the cerebellum. In two brain regions severely affected by Alzheimer's disease pathology, prominent protein carbonyl immunoreactivity was localized in the cytoplasm of neurons without visual pathomorphological changes and degenerating neurons, suggesting that intracellular proteins might be significantly affected by oxidative modifications. Following two-dimensional electrophoresis the positions of some individual proteins were identified using specific antibodies, and immunoblot analysis for protein carbonyls was performed. These studies demonstrated the presence of protein carbonyl immunoreactivity in beta-tubulin, beta-actin and creatine kinase BB in Alzheimer's disease and control brain extracts. Protein carbonyls were undetectable in spots matching glial fibrillary acidic protein and tau isoforms. Specific protein carbonyl levels in beta-actin and creatine kinase BB were significantly higher in Alzheimer's disease than in control brain extract. beta-Tubulin did not demonstrate a significant increase in specific protein carbonyl content in Alzheimer's disease brains. We suggest that oxidative stress-induced injury may involve the selective modification of different intracellular proteins, including key enzymes and structural proteins, which precedes and may lead to the neurofibrillary degeneration of neurons in the Alzheimer's disease brain.", "author" : [ { "dropping-particle" : "", "family" : "Aksenov", "given" : "M Y", "non-dropping-particle" : "", "parse-names" : false, "suffix" : "" }, { "dropping-particle" : "V", "family" : "Aksenova", "given" : "M", "non-dropping-particle" : "", "parse-names" : false, "suffix" : "" }, { "dropping-particle" : "", "family" : "Butterfield", "given" : "D A", "non-dropping-particle" : "", "parse-names" : false, "suffix" : "" }, { "dropping-particle" : "", "family" : "Geddes", "given" : "J W", "non-dropping-particle" : "", "parse-names" : false, "suffix" : "" }, { "dropping-particle" : "", "family" : "Markesbery", "given" : "W R", "non-dropping-particle" : "", "parse-names" : false, "suffix" : "" } ], "container-title" : "Neuroscience", "id" : "ITEM-1", "issue" : "2", "issued" : { "date-parts" : [ [ "2001", "1" ] ] }, "page" : "373-83", "title" : "Protein oxidation in the brain in Alzheimer's disease.", "type" : "article-journal", "volume" : "103" }, "uris" : [ "http://www.mendeley.com/documents/?uuid=feb2f1ea-7640-4c56-a0f3-1c18f1d627be" ] }, { "id" : "ITEM-2", "itemData" : { "DOI" : "10.1089/ars.2006.8.1975", "ISSN" : "1523-0864", "PMID" : "17034343", "abstract" : "Alzheimer's disease (AD) is a neurodegenerative disorder with cognitive and memory decline, personality changes, and synapse loss. Increasing evidence indicates that factors such as oxidative and nitrosative stress, glutathione depletion, and impaired protein metabolism can interact in a vicious cycle, which is central to AD pathogenesis. In the present study, we demonstrate that brains of AD patients undergo oxidative changes classically associated with a strong induction of the so-called vitagenes, including the heat shock proteins (HSPs) heme oxygenase-1 (HO-1), HSP60, and HSP72, as well as thioredoxin reductase (TRXr). In inferior parietal brain of AD patients, a significant increase in the expression of HO-1 and TRXr was observed, whereas HO-2 expression was decreased, compared with controls. TRHr was not increased in AD cerebellum. Plasma GSH was decreased in AD patients, compared with the control group, and was associated with a significant increase in oxidative stress markers (i.e., GSSG, hydroxynonenal, protein carbonyl content, and nitrotyrosine). In AD lymphocytes, we observed an increased expression of inducible nitric oxide synthase, HO-1, Hsp72, HSP60, and TRXr. Our data support a role for nitrative stress in the pathogenesis of AD and indicate that the stress-responsive genes, such as HO-1 and TRXr, may represent important targets for novel cytoprotective strategies.", "author" : [ { "dropping-particle" : "", "family" : "Calabrese", "given" : "Vittorio", "non-dropping-particle" : "", "parse-names" : false, "suffix" : "" }, { "dropping-particle" : "", "family" : "Sultana", "given" : "Rukhsana", "non-dropping-particle" : "", "parse-names" : false, "suffix" : "" }, { "dropping-particle" : "", "family" : "Scapagnini", "given" : "Giovanni", "non-dropping-particle" : "", "parse-names" : false, "suffix" : "" }, { "dropping-particle" : "", "family" : "Guagliano", "given" : "Eleonora", "non-dropping-particle" : "", "parse-names" : false, "suffix" : "" }, { "dropping-particle" : "", "family" : "Sapienza", "given" : "Maria", "non-dropping-particle" : "", "parse-names" : false, "suffix" : "" }, { "dropping-particle" : "", "family" : "Bella", "given" : "Rita", "non-dropping-particle" : "", "parse-names" : false, "suffix" : "" }, { "dropping-particle" : "", "family" : "Kanski", "given" : "Jaroslaw", "non-dropping-particle" : "", "parse-names" : false, "suffix" : "" }, { "dropping-particle" : "", "family" : "Pennisi", "given" : "Giovanni", "non-dropping-particle" : "", "parse-names" : false, "suffix" : "" }, { "dropping-particle" : "", "family" : "Mancuso", "given" : "Cesare", "non-dropping-particle" : "", "parse-names" : false, "suffix" : "" }, { "dropping-particle" : "", "family" : "Stella", "given" : "Anna Maria Giuffrida", "non-dropping-particle" : "", "parse-names" : false, "suffix" : "" }, { "dropping-particle" : "", "family" : "Butterfield", "given" : "D A", "non-dropping-particle" : "", "parse-names" : false, "suffix" : "" } ], "container-title" : "Antioxidants &amp; redox signaling", "id" : "ITEM-2", "issue" : "11-12", "issued" : { "date-parts" : [ [ "2006", "1", "11" ] ] }, "language" : "en", "page" : "1975-86", "publisher" : "Mary Ann Liebert, Inc.  2 Madison Avenue Larchmont, NY 10538 USA", "title" : "Nitrosative stress, cellular stress response, and thiol homeostasis in patients with Alzheimer's disease.", "type" : "article-journal", "volume" : "8" }, "uris" : [ "http://www.mendeley.com/documents/?uuid=12ba2071-9604-4885-a15b-10d8434fb2e1" ] } ], "mendeley" : { "formattedCitation" : "(Aksenov et al. 2001; Calabrese et al. 2006)", "plainTextFormattedCitation" : "(Aksenov et al. 2001; Calabrese et al. 2006)", "previouslyFormattedCitation" : "(Aksenov et al. 2001; Calabrese et al. 2006)" }, "properties" : { "noteIndex" : 0 }, "schema" : "https://github.com/citation-style-language/schema/raw/master/csl-citation.json" }</w:instrText>
      </w:r>
      <w:r w:rsidR="00C50552">
        <w:rPr>
          <w:rFonts w:ascii="Times New Roman" w:hAnsi="Times New Roman" w:cs="Times New Roman"/>
        </w:rPr>
        <w:fldChar w:fldCharType="separate"/>
      </w:r>
      <w:r w:rsidR="00C148FC" w:rsidRPr="00C148FC">
        <w:rPr>
          <w:rFonts w:ascii="Times New Roman" w:hAnsi="Times New Roman" w:cs="Times New Roman"/>
          <w:noProof/>
        </w:rPr>
        <w:t>(Aksenov et al. 2001; Calabrese et al. 2006)</w:t>
      </w:r>
      <w:r w:rsidR="00C50552">
        <w:rPr>
          <w:rFonts w:ascii="Times New Roman" w:hAnsi="Times New Roman" w:cs="Times New Roman"/>
        </w:rPr>
        <w:fldChar w:fldCharType="end"/>
      </w:r>
      <w:r w:rsidR="00C50552">
        <w:rPr>
          <w:rFonts w:ascii="Times New Roman" w:hAnsi="Times New Roman" w:cs="Times New Roman"/>
        </w:rPr>
        <w:t xml:space="preserve">. </w:t>
      </w:r>
      <w:r w:rsidR="00E413D5">
        <w:rPr>
          <w:rFonts w:ascii="Times New Roman" w:hAnsi="Times New Roman" w:cs="Times New Roman"/>
        </w:rPr>
        <w:t xml:space="preserve">Oxidation can reduce protein activity </w:t>
      </w:r>
      <w:r w:rsidR="0085464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"0364-3190", "PMID" : "15672542", "abstract" : "Alzheimer disease (AD) is a neurodegenerative disorder characterized pathologically by intracellular inclusions including neurofibrillary tangles (NFT) and senile plaques. Several lines of evidence implicate oxidative stress with the progression of AD. 4-hydroxy-2-trans-nonenal (HNE), an aldehydic product of membrane lipid peroxidation, is increased in AD brain. The alpha class of glutathione S-transferase (GST) can detoxify HNE and plays an important role in cellular protection against oxidative stress. The export of the glutathione conjugate of HNE is required to fully potentiate the GST-mediated protection. The multidrug resistance protein-1 (MRP1) and GST proteins may act in synergy to confer cellular protection. In the present study, we studied oxidative modification of GST and MRP1 in AD brain by immunoprecipitation of GST and MRP1 proteins followed by Western blot analysis using anti-HNE antibody. The results suggested that HNE is covalently bound to GST and MRP1 proteins in excess in AD brain. Collectively, the data suggest that HNE may be an important mediator of oxidative stress-induced impairment of this detoxifying system and may thereby play a role in promoting neuronal cell death. The results from this study also imply that augmenting endogenous oxidative defense capacity through dietary or pharmacological intake of antioxidants may slow down the progression of neurodegenerative processes in AD.", "author" : [ { "dropping-particle" : "", "family" : "Sultana", "given" : "Rukhsana", "non-dropping-particle" : "", "parse-names" : false, "suffix" : "" }, { "dropping-particle" : "", "family" : "Butterfield", "given" : "D Allan", "non-dropping-particle" : "", "parse-names" : false, "suffix" : "" } ], "container-title" : "Neurochemical research", "id" : "ITEM-1", "issue" : "12", "issued" : { "date-parts" : [ [ "2004", "12" ] ] }, "page" : "2215-20", "title" : "Oxidatively modified GST and MRP1 in Alzheimer's disease brain: implications for accumulation of reactive lipid peroxidation products.", "type" : "article-journal", "volume" : "29" }, "uris" : [ "http://www.mendeley.com/documents/?uuid=772c8692-d08e-4138-a5fe-36834dcbf0ab" ] } ], "mendeley" : { "formattedCitation" : "(Sultana &amp; Butterfield 2004)", "plainTextFormattedCitation" : "(Sultana &amp; Butterfield 2004)", "previouslyFormattedCitation" : "(Sultana &amp; Butterfield 2004)" }, "properties" : { "noteIndex" : 0 }, "schema" : "https://github.com/citation-style-language/schema/raw/master/csl-citation.json" }</w:instrText>
      </w:r>
      <w:r w:rsidR="00854649">
        <w:rPr>
          <w:rFonts w:ascii="Times New Roman" w:hAnsi="Times New Roman" w:cs="Times New Roman"/>
        </w:rPr>
        <w:fldChar w:fldCharType="separate"/>
      </w:r>
      <w:r w:rsidR="00C148FC" w:rsidRPr="00C148FC">
        <w:rPr>
          <w:rFonts w:ascii="Times New Roman" w:hAnsi="Times New Roman" w:cs="Times New Roman"/>
          <w:noProof/>
        </w:rPr>
        <w:t>(Sultana &amp; Butterfield 2004)</w:t>
      </w:r>
      <w:r w:rsidR="00854649">
        <w:rPr>
          <w:rFonts w:ascii="Times New Roman" w:hAnsi="Times New Roman" w:cs="Times New Roman"/>
        </w:rPr>
        <w:fldChar w:fldCharType="end"/>
      </w:r>
      <w:r w:rsidR="00854649">
        <w:rPr>
          <w:rFonts w:ascii="Times New Roman" w:hAnsi="Times New Roman" w:cs="Times New Roman"/>
        </w:rPr>
        <w:t xml:space="preserve"> </w:t>
      </w:r>
      <w:r w:rsidR="00773A2C">
        <w:rPr>
          <w:rFonts w:ascii="Times New Roman" w:hAnsi="Times New Roman" w:cs="Times New Roman"/>
        </w:rPr>
        <w:t xml:space="preserve">and in AD, these oxidative modifications </w:t>
      </w:r>
      <w:r w:rsidR="00DA4702">
        <w:rPr>
          <w:rFonts w:ascii="Times New Roman" w:hAnsi="Times New Roman" w:cs="Times New Roman"/>
        </w:rPr>
        <w:t>occur</w:t>
      </w:r>
      <w:r w:rsidR="00773A2C">
        <w:rPr>
          <w:rFonts w:ascii="Times New Roman" w:hAnsi="Times New Roman" w:cs="Times New Roman"/>
        </w:rPr>
        <w:t xml:space="preserve"> in mitochondrial related proteins, </w:t>
      </w:r>
      <w:r w:rsidR="00DA4702">
        <w:rPr>
          <w:rFonts w:ascii="Times New Roman" w:hAnsi="Times New Roman" w:cs="Times New Roman"/>
        </w:rPr>
        <w:t>providing</w:t>
      </w:r>
      <w:r w:rsidR="00773A2C">
        <w:rPr>
          <w:rFonts w:ascii="Times New Roman" w:hAnsi="Times New Roman" w:cs="Times New Roman"/>
        </w:rPr>
        <w:t xml:space="preserve"> a link between increased oxidative stress </w:t>
      </w:r>
      <w:r w:rsidR="00982129">
        <w:rPr>
          <w:rFonts w:ascii="Times New Roman" w:hAnsi="Times New Roman" w:cs="Times New Roman"/>
        </w:rPr>
        <w:t>and</w:t>
      </w:r>
      <w:r w:rsidR="00773A2C">
        <w:rPr>
          <w:rFonts w:ascii="Times New Roman" w:hAnsi="Times New Roman" w:cs="Times New Roman"/>
        </w:rPr>
        <w:t xml:space="preserve"> decreased cellular energetics in AD and MCI </w:t>
      </w:r>
      <w:r w:rsidR="00773A2C">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"10.1007/s10863-009-9241-7", "ISSN" : "1573-6881", "PMID" : "19777328", "abstract" : "Alzheimer disease (AD) is an age-related neurodegenerative disorder, characterized histopathologically by the presence of senile plaques (SP), neurofibrillary tangles and synapse loss in selected brain regions. Positron emission tomography (PET) studies of glucose metabolism revealed decreased energetics in brain of subjects with AD and arguably its earliest form, mild cognitive impairment (MCI), and this decrease correlated with brain structural studies using MRI. The main component of senile plaques is amyloid beta-peptide (Abeta), a 40-42 amino acid peptide that as oligomers is capable of inducing oxidative stress under both in vitro and in vivo conditions and is neurotoxic. In the mitochondria isolated from AD brain, Abeta oligomers that correlated with the reported increased oxidative stress markers in AD have been reported. The markers of oxidative stress have been localized in the brain regions of AD and MCI that show pathological hallmarks of this disease, suggesting the possible role of Abeta in the initiation of the free-radical mediated process and consequently to the build up oxidative stress and AD pathogenesis. Using redox proteomics our laboratory found a number of oxidatively modified brain proteins that are directly in or are associated with the mitochondrial proteome, consistent with a possible involvement of the mitochondrial targeted oxidatively modified proteins in AD progression or pathogenesis. The precise mechanistic link between mitochondrial oxidative damage and role of oligomeric Abeta has not been explicated. In this review, we discuss the role of the oxidation of mitochondria-relevant brain proteins to the pathogenesis and progression of AD.", "author" : [ { "dropping-particle" : "", "family" : "Sultana", "given" : "Rukhsana", "non-dropping-particle" : "", "parse-names" : false, "suffix" : "" }, { "dropping-particle" : "", "family" : "Butterfield", "given" : "D Allan", "non-dropping-particle" : "", "parse-names" : false, "suffix" : "" } ], "container-title" : "Journal of bioenergetics and biomembranes", "id" : "ITEM-1", "issue" : "5", "issued" : { "date-parts" : [ [ "2009", "10" ] ] }, "page" : "441-6", "title" : "Oxidatively modified, mitochondria-relevant brain proteins in subjects with Alzheimer disease and mild cognitive impairment.", "type" : "article-journal", "volume" : "41" }, "uris" : [ "http://www.mendeley.com/documents/?uuid=e0caf64d-a8fa-4331-a517-e00163df1798" ] } ], "mendeley" : { "formattedCitation" : "(Sultana &amp; Butterfield 2009)", "plainTextFormattedCitation" : "(Sultana &amp; Butterfield 2009)", "previouslyFormattedCitation" : "(Sultana &amp; Butterfield 2009)" }, "properties" : { "noteIndex" : 0 }, "schema" : "https://github.com/citation-style-language/schema/raw/master/csl-citation.json" }</w:instrText>
      </w:r>
      <w:r w:rsidR="00773A2C">
        <w:rPr>
          <w:rFonts w:ascii="Times New Roman" w:hAnsi="Times New Roman" w:cs="Times New Roman"/>
        </w:rPr>
        <w:fldChar w:fldCharType="separate"/>
      </w:r>
      <w:r w:rsidR="00C148FC" w:rsidRPr="00C148FC">
        <w:rPr>
          <w:rFonts w:ascii="Times New Roman" w:hAnsi="Times New Roman" w:cs="Times New Roman"/>
          <w:noProof/>
        </w:rPr>
        <w:t>(Sultana &amp; Butterfield 2009)</w:t>
      </w:r>
      <w:r w:rsidR="00773A2C">
        <w:rPr>
          <w:rFonts w:ascii="Times New Roman" w:hAnsi="Times New Roman" w:cs="Times New Roman"/>
        </w:rPr>
        <w:fldChar w:fldCharType="end"/>
      </w:r>
      <w:r w:rsidR="009B01A8">
        <w:rPr>
          <w:rFonts w:ascii="Times New Roman" w:hAnsi="Times New Roman" w:cs="Times New Roman"/>
        </w:rPr>
        <w:t xml:space="preserve">. </w:t>
      </w:r>
      <w:r w:rsidR="001C738A">
        <w:rPr>
          <w:rFonts w:ascii="Times New Roman" w:hAnsi="Times New Roman" w:cs="Times New Roman"/>
        </w:rPr>
        <w:t xml:space="preserve">In addition </w:t>
      </w:r>
      <w:r w:rsidR="009B01A8">
        <w:rPr>
          <w:rFonts w:ascii="Times New Roman" w:hAnsi="Times New Roman" w:cs="Times New Roman"/>
        </w:rPr>
        <w:t xml:space="preserve">levels of </w:t>
      </w:r>
      <w:r w:rsidR="00E413D5">
        <w:rPr>
          <w:rFonts w:ascii="Times New Roman" w:hAnsi="Times New Roman" w:cs="Times New Roman"/>
        </w:rPr>
        <w:t>pro</w:t>
      </w:r>
      <w:r w:rsidR="009B01A8">
        <w:rPr>
          <w:rFonts w:ascii="Times New Roman" w:hAnsi="Times New Roman" w:cs="Times New Roman"/>
        </w:rPr>
        <w:t xml:space="preserve">tein glutathionylation, a mechanism employed by cells to prevent oxidation-mediated protein degradation, </w:t>
      </w:r>
      <w:r w:rsidR="001C738A">
        <w:rPr>
          <w:rFonts w:ascii="Times New Roman" w:hAnsi="Times New Roman" w:cs="Times New Roman"/>
        </w:rPr>
        <w:t xml:space="preserve">is </w:t>
      </w:r>
      <w:r w:rsidR="009B01A8">
        <w:rPr>
          <w:rFonts w:ascii="Times New Roman" w:hAnsi="Times New Roman" w:cs="Times New Roman"/>
        </w:rPr>
        <w:t>increase</w:t>
      </w:r>
      <w:r w:rsidR="001C738A">
        <w:rPr>
          <w:rFonts w:ascii="Times New Roman" w:hAnsi="Times New Roman" w:cs="Times New Roman"/>
        </w:rPr>
        <w:t>d</w:t>
      </w:r>
      <w:r w:rsidR="00DA4702">
        <w:rPr>
          <w:rFonts w:ascii="Times New Roman" w:hAnsi="Times New Roman" w:cs="Times New Roman"/>
        </w:rPr>
        <w:t xml:space="preserve"> in AD brain</w:t>
      </w:r>
      <w:r w:rsidR="009B01A8">
        <w:rPr>
          <w:rFonts w:ascii="Times New Roman" w:hAnsi="Times New Roman" w:cs="Times New Roman"/>
        </w:rPr>
        <w:t xml:space="preserve">. </w:t>
      </w:r>
      <w:r w:rsidR="00E413D5">
        <w:rPr>
          <w:rFonts w:ascii="Times New Roman" w:hAnsi="Times New Roman" w:cs="Times New Roman"/>
        </w:rPr>
        <w:t>In particular</w:t>
      </w:r>
      <w:r w:rsidR="00DA4702">
        <w:rPr>
          <w:rFonts w:ascii="Times New Roman" w:hAnsi="Times New Roman" w:cs="Times New Roman"/>
        </w:rPr>
        <w:t>,</w:t>
      </w:r>
      <w:r w:rsidR="00E413D5">
        <w:rPr>
          <w:rFonts w:ascii="Times New Roman" w:hAnsi="Times New Roman" w:cs="Times New Roman"/>
        </w:rPr>
        <w:t xml:space="preserve"> individuals with AD </w:t>
      </w:r>
      <w:r w:rsidR="00E1238A">
        <w:rPr>
          <w:rFonts w:ascii="Times New Roman" w:hAnsi="Times New Roman" w:cs="Times New Roman"/>
        </w:rPr>
        <w:t>have increased glutathionylation of glycolytic enzymes,</w:t>
      </w:r>
      <w:r w:rsidR="003A4D06">
        <w:rPr>
          <w:rFonts w:ascii="Times New Roman" w:hAnsi="Times New Roman" w:cs="Times New Roman"/>
        </w:rPr>
        <w:t xml:space="preserve"> such as GAPDH and enolase,</w:t>
      </w:r>
      <w:r w:rsidR="00E1238A">
        <w:rPr>
          <w:rFonts w:ascii="Times New Roman" w:hAnsi="Times New Roman" w:cs="Times New Roman"/>
        </w:rPr>
        <w:t xml:space="preserve"> which may result in</w:t>
      </w:r>
      <w:r w:rsidR="00DA4702">
        <w:rPr>
          <w:rFonts w:ascii="Times New Roman" w:hAnsi="Times New Roman" w:cs="Times New Roman"/>
        </w:rPr>
        <w:t xml:space="preserve"> a reduction in glucose breakdown</w:t>
      </w:r>
      <w:r w:rsidR="00E1238A">
        <w:rPr>
          <w:rFonts w:ascii="Times New Roman" w:hAnsi="Times New Roman" w:cs="Times New Roman"/>
        </w:rPr>
        <w:t xml:space="preserve"> </w:t>
      </w:r>
      <w:r w:rsidR="001C738A">
        <w:rPr>
          <w:rFonts w:ascii="Times New Roman" w:hAnsi="Times New Roman" w:cs="Times New Roman"/>
        </w:rPr>
        <w:t xml:space="preserve">and </w:t>
      </w:r>
      <w:r w:rsidR="003A4D06">
        <w:rPr>
          <w:rFonts w:ascii="Times New Roman" w:hAnsi="Times New Roman" w:cs="Times New Roman"/>
        </w:rPr>
        <w:t xml:space="preserve">associated </w:t>
      </w:r>
      <w:r w:rsidR="001C738A">
        <w:rPr>
          <w:rFonts w:ascii="Times New Roman" w:hAnsi="Times New Roman" w:cs="Times New Roman"/>
        </w:rPr>
        <w:t>impair</w:t>
      </w:r>
      <w:r w:rsidR="00E1238A">
        <w:rPr>
          <w:rFonts w:ascii="Times New Roman" w:hAnsi="Times New Roman" w:cs="Times New Roman"/>
        </w:rPr>
        <w:t>ments in energy metabolism</w:t>
      </w:r>
      <w:r w:rsidR="00DA4702">
        <w:rPr>
          <w:rFonts w:ascii="Times New Roman" w:hAnsi="Times New Roman" w:cs="Times New Roman"/>
        </w:rPr>
        <w:t xml:space="preserve"> </w:t>
      </w:r>
      <w:r w:rsidR="00CD349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"10.1002/jnr.21275", "ISSN" : "03604012", "author" : [ { "dropping-particle" : "", "family" : "Newman", "given" : "Shelley F.", "non-dropping-particle" : "", "parse-names" : false, "suffix" : "" }, { "dropping-particle" : "", "family" : "Sultana", "given" : "Rukhsana", "non-dropping-particle" : "", "parse-names" : false, "suffix" : "" }, { "dropping-particle" : "", "family" : "Perluigi", "given" : "Marzia", "non-dropping-particle" : "", "parse-names" : false, "suffix" : "" }, { "dropping-particle" : "", "family" : "Coccia", "given" : "Rafella", "non-dropping-particle" : "", "parse-names" : false, "suffix" : "" }, { "dropping-particle" : "", "family" : "Cai", "given" : "Jian", "non-dropping-particle" : "", "parse-names" : false, "suffix" : "" }, { "dropping-particle" : "", "family" : "Pierce", "given" : "William M.", "non-dropping-particle" : "", "parse-names" : false, "suffix" : "" }, { "dropping-particle" : "", "family" : "Klein", "given" : "Jon B.", "non-dropping-particle" : "", "parse-names" : false, "suffix" : "" }, { "dropping-particle" : "", "family" : "Turner", "given" : "Delano M.", "non-dropping-particle" : "", "parse-names" : false, "suffix" : "" }, { "dropping-particle" : "", "family" : "Butterfield", "given" : "D. Allan", "non-dropping-particle" : "", "parse-names" : false, "suffix" : "" } ], "container-title" : "Journal of Neuroscience Research", "id" : "ITEM-1", "issue" : "7", "issued" : { "date-parts" : [ [ "2007", "5", "15" ] ] }, "page" : "1506-1514", "publisher" : "Wiley Subscription Services, Inc., A Wiley Company", "title" : "An increase in S-glutathionylated proteins in the Alzheimer's disease inferior parietal lobule, a proteomics approach", "type" : "article-journal", "volume" : "85" }, "uris" : [ "http://www.mendeley.com/documents/?uuid=06e9af2d-576b-3b78-8c6b-1913855c3348" ] } ], "mendeley" : { "formattedCitation" : "(Shelley F. Newman et al. 2007)", "manualFormatting" : "(Newman et al., 2007)", "plainTextFormattedCitation" : "(Shelley F. Newman et al. 2007)", "previouslyFormattedCitation" : "(Shelley F. Newman et al. 2007)" }, "properties" : { "noteIndex" : 0 }, "schema" : "https://github.com/citation-style-language/schema/raw/master/csl-citation.json" }</w:instrText>
      </w:r>
      <w:r w:rsidR="00CD3499">
        <w:rPr>
          <w:rFonts w:ascii="Times New Roman" w:hAnsi="Times New Roman" w:cs="Times New Roman"/>
        </w:rPr>
        <w:fldChar w:fldCharType="separate"/>
      </w:r>
      <w:r w:rsidR="00CD3499">
        <w:rPr>
          <w:rFonts w:ascii="Times New Roman" w:hAnsi="Times New Roman" w:cs="Times New Roman"/>
          <w:noProof/>
        </w:rPr>
        <w:t>(Newman et al., 2007</w:t>
      </w:r>
      <w:r w:rsidR="00CD3499" w:rsidRPr="00CD3499">
        <w:rPr>
          <w:rFonts w:ascii="Times New Roman" w:hAnsi="Times New Roman" w:cs="Times New Roman"/>
          <w:noProof/>
        </w:rPr>
        <w:t>)</w:t>
      </w:r>
      <w:r w:rsidR="00CD3499">
        <w:rPr>
          <w:rFonts w:ascii="Times New Roman" w:hAnsi="Times New Roman" w:cs="Times New Roman"/>
        </w:rPr>
        <w:fldChar w:fldCharType="end"/>
      </w:r>
      <w:r w:rsidR="003E7BDB">
        <w:rPr>
          <w:rFonts w:ascii="Times New Roman" w:hAnsi="Times New Roman" w:cs="Times New Roman"/>
        </w:rPr>
        <w:t>.</w:t>
      </w:r>
    </w:p>
    <w:p w14:paraId="7EF0CABD" w14:textId="77777777" w:rsidR="00567751" w:rsidRDefault="00567751" w:rsidP="00A62610">
      <w:pPr>
        <w:spacing w:line="360" w:lineRule="auto"/>
        <w:rPr>
          <w:rFonts w:ascii="Times New Roman" w:hAnsi="Times New Roman" w:cs="Times New Roman"/>
        </w:rPr>
      </w:pPr>
    </w:p>
    <w:p w14:paraId="63CA6AB9" w14:textId="725067DF" w:rsidR="00DA4702" w:rsidRDefault="00B205BB" w:rsidP="003E7BDB">
      <w:pPr>
        <w:spacing w:line="360" w:lineRule="auto"/>
        <w:jc w:val="both"/>
        <w:rPr>
          <w:rFonts w:ascii="Times New Roman" w:hAnsi="Times New Roman" w:cs="Times New Roman"/>
        </w:rPr>
      </w:pPr>
      <w:r w:rsidRPr="00070602">
        <w:rPr>
          <w:rFonts w:ascii="Times New Roman" w:hAnsi="Times New Roman" w:cs="Times New Roman"/>
        </w:rPr>
        <w:t>Impairments in glutaredoxin activity have also been reported leading to increases in gluthathionylated proteins in the cerebrum and ce</w:t>
      </w:r>
      <w:r w:rsidR="00530CBD">
        <w:rPr>
          <w:rFonts w:ascii="Times New Roman" w:hAnsi="Times New Roman" w:cs="Times New Roman"/>
        </w:rPr>
        <w:t>rebellum of one month old APP/PS</w:t>
      </w:r>
      <w:r w:rsidRPr="00070602">
        <w:rPr>
          <w:rFonts w:ascii="Times New Roman" w:hAnsi="Times New Roman" w:cs="Times New Roman"/>
        </w:rPr>
        <w:t xml:space="preserve">1 mice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"10.3233/JAD-2012-120028", "ISSN" : "1875-8908", "PMID" : "22475799", "abstract" : "To date, prediction of Alzheimer's disease (AD) is mainly based on clinical criteria because no well-established biochemical biomarkers for routine clinical diagnosis of AD currently exist. We developed an approach to aid in the early diagnosis of AD by using principal component analysis (PCA)-based spectral analysis of oxidized protein electrophoretic profiling. We found that the combination of capillary electrophoresis and PCA analysis of S-glutathionylation distribution characterization can be used in the sample classification and molecular weight (Mw) prediction. The comparison of leave-one-out AD versus non-AD gives the sensitivity of 100% and 93.33% in brain tissues and blood samples, respectively, while the specificity of 100% in brain and 90.0% in blood samples. Our findings demonstrate that PCA of S-glutathionylation electrophoretic profiling detects AD pathology features, and that the molecular weight based electrophoretic profiling of blood and brain S-glutathionylated proteins are sensitive to change, even at the early stage of the disease. Our results offer a previously unexplored diagnostic approach by using electrophoretic characteristics of oxidized proteins to serve as a predictor of AD progression and early stage screening.", "author" : [ { "dropping-particle" : "", "family" : "Zhang", "given" : "Cheng", "non-dropping-particle" : "", "parse-names" : false, "suffix" : "" }, { "dropping-particle" : "", "family" : "Kuo", "given" : "Ching-Chang", "non-dropping-particle" : "", "parse-names" : false, "suffix" : "" }, { "dropping-particle" : "", "family" : "Chiu", "given" : "Alan W L", "non-dropping-particle" : "", "parse-names" : false, "suffix" : "" }, { "dropping-particle" : "", "family" : "Feng", "given" : "June", "non-dropping-particle" : "", "parse-names" : false, "suffix" : "" } ], "container-title" : "Journal of Alzheimer's disease : JAD", "id" : "ITEM-1", "issue" : "4", "issued" : { "date-parts" : [ [ "2012" ] ] }, "page" : "919-34", "publisher" : "NIH Public Access", "title" : "Prediction of S-glutathionylated proteins progression in Alzheimer's transgenic mouse model using principle component analysis.", "type" : "article-journal", "volume" : "30" }, "uris" : [ "http://www.mendeley.com/documents/?uuid=b0481d94-0c96-34d9-94dd-6a3e44c771b8" ] } ], "mendeley" : { "formattedCitation" : "(Zhang et al. 2012)", "plainTextFormattedCitation" : "(Zhang et al. 2012)", "previouslyFormattedCitation" : "(Zhang et al. 2012)"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(Zhang et al. 2012)</w:t>
      </w:r>
      <w:r>
        <w:rPr>
          <w:rFonts w:ascii="Times New Roman" w:hAnsi="Times New Roman" w:cs="Times New Roman"/>
        </w:rPr>
        <w:fldChar w:fldCharType="end"/>
      </w:r>
      <w:r w:rsidRPr="00070602">
        <w:rPr>
          <w:rFonts w:ascii="Times New Roman" w:hAnsi="Times New Roman" w:cs="Times New Roman"/>
        </w:rPr>
        <w:t xml:space="preserve">. In addition, </w:t>
      </w:r>
      <w:r w:rsidR="0091064B" w:rsidRPr="00EF2AF4">
        <w:rPr>
          <w:rFonts w:ascii="Times New Roman" w:hAnsi="Times New Roman" w:cs="Times New Roman"/>
        </w:rPr>
        <w:t>Aβ</w:t>
      </w:r>
      <w:r w:rsidR="0091064B">
        <w:rPr>
          <w:rFonts w:ascii="Times New Roman" w:hAnsi="Times New Roman" w:cs="Times New Roman"/>
        </w:rPr>
        <w:t xml:space="preserve"> </w:t>
      </w:r>
      <w:r w:rsidRPr="00070602">
        <w:rPr>
          <w:rFonts w:ascii="Times New Roman" w:hAnsi="Times New Roman" w:cs="Times New Roman"/>
        </w:rPr>
        <w:t>act</w:t>
      </w:r>
      <w:r w:rsidR="004679DE">
        <w:rPr>
          <w:rFonts w:ascii="Times New Roman" w:hAnsi="Times New Roman" w:cs="Times New Roman"/>
        </w:rPr>
        <w:t>s</w:t>
      </w:r>
      <w:r w:rsidRPr="00070602">
        <w:rPr>
          <w:rFonts w:ascii="Times New Roman" w:hAnsi="Times New Roman" w:cs="Times New Roman"/>
        </w:rPr>
        <w:t xml:space="preserve"> as a prooxidant and aberrant gluthathionylation of tau is speculated to result in increased tau levels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"10.3390/nu4101399", "ISSN" : "2072-6643", "PMID" : "23201762", "abstract" : "Dysregulation of glutathione homeostasis and alterations in glutathione-dependent enzyme activities are increasingly implicated in the induction and progression of neurodegenerative diseases, including Alzheimer's, Parkinson's and Huntington's diseases, amyotrophic lateral sclerosis, and Friedreich's ataxia. In this review background is provided on the steady-state synthesis, regulation, and transport of glutathione, with primary focus on the brain. A brief overview is presented on the distinct but vital roles of glutathione in cellular maintenance and survival, and on the functions of key glutathione-dependent enzymes. Major contributors to initiation and progression of neurodegenerative diseases are considered, including oxidative stress, protein misfolding, and protein aggregation. In each case examples of key regulatory mechanisms are identified that are sensitive to changes in glutathione redox status and/or in the activities of glutathione-dependent enzymes. Mechanisms of dysregulation of glutathione and/or glutathione-dependent enzymes are discussed that are implicated in pathogenesis of each neurodegenerative disease. Limitations in information or interpretation are identified, and possible avenues for further research are described with an aim to elucidating novel targets for therapeutic interventions. The pros and cons of administration of N-acetylcysteine or glutathione as therapeutic agents for neurodegenerative diseases, as well as the potential utility of serum glutathione as a biomarker, are critically evaluated.", "author" : [ { "dropping-particle" : "", "family" : "Johnson", "given" : "William M", "non-dropping-particle" : "", "parse-names" : false, "suffix" : "" }, { "dropping-particle" : "", "family" : "Wilson-Delfosse", "given" : "Amy L", "non-dropping-particle" : "", "parse-names" : false, "suffix" : "" }, { "dropping-particle" : "", "family" : "Mieyal", "given" : "John J", "non-dropping-particle" : "", "parse-names" : false, "suffix" : "" } ], "container-title" : "Nutrients", "id" : "ITEM-1", "issue" : "10", "issued" : { "date-parts" : [ [ "2012", "10" ] ] }, "page" : "1399-440", "publisher" : "Multidisciplinary Digital Publishing Institute  (MDPI)", "title" : "Dysregulation of glutathione homeostasis in neurodegenerative diseases.", "type" : "article-journal", "volume" : "4" }, "uris" : [ "http://www.mendeley.com/documents/?uuid=04073253-b33f-3115-9f3b-24b8ea52cd49" ] } ], "mendeley" : { "formattedCitation" : "(Johnson et al. 2012)", "plainTextFormattedCitation" : "(Johnson et al. 2012)", "previouslyFormattedCitation" : "(Johnson et al. 2012)"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(Johnson et al. 2012)</w:t>
      </w:r>
      <w:r>
        <w:rPr>
          <w:rFonts w:ascii="Times New Roman" w:hAnsi="Times New Roman" w:cs="Times New Roman"/>
        </w:rPr>
        <w:fldChar w:fldCharType="end"/>
      </w:r>
      <w:r w:rsidRPr="00070602">
        <w:rPr>
          <w:rFonts w:ascii="Times New Roman" w:hAnsi="Times New Roman" w:cs="Times New Roman"/>
        </w:rPr>
        <w:t>.</w:t>
      </w:r>
      <w:r>
        <w:rPr>
          <w:rFonts w:ascii="Times New Roman" w:hAnsi="Times New Roman" w:cs="Times New Roman"/>
        </w:rPr>
        <w:t xml:space="preserve"> These changes may suggest dysregulation of antioxidant processes in astrocytes early on in AD progression that make neurons more susceptible to oxidative stress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"10.1016/j.mrfmmm.2009.08.016", "ISSN" : "0027-5107", "PMID" : "19748514", "abstract" : "Alzheimer's disease (AD) is a neurodegenerative disorder, characterized histopathologically by the extracellular deposition of beta-amyloid peptide in senile plaques, as well as intracellular neurofibrillary tangles (NFT) of hyperphosphorylated tau protein, extensive neuronal loss and synaptic changes in the hippocampus and cerebral cortex. In addition, the AD brain shows chronic inflammation characterized by an abundance of reactive astrocytes and activated microglia. In the healthy brain, astrocytes provide essential services for brain homeostasis and neuronal function, including metabolic support for neurons in the form of lactate, glutamate uptake and conversion into glutamine, and synthesis of glutathione and its precursors. In AD, a large body of evidence now suggests that by transforming from a basal to a reactive state, astrocytes neglect their neurosupportive functions, thus rendering neurons vulnerable to neurotoxins including pro-inflammatory cytokines and reactive oxygen species. This review will explain the normal functions of astrocytes, and how these cells might be activated to turn into inflammatory cells, actively contributing to neurodegeneration and neglecting their neurosupportive roles (\"neuro-neglect hypothesis\"). Furthermore, it is proposed that astrocytes might be promising target of therapeutic intervention for Alzheimer's disease, if these compromised functions can be normalized with pharmacological agents that are specifically designed to return astrocytes to a quiescent phenotype or supplement factors which activated astrocytes lack to produce.", "author" : [ { "dropping-particle" : "", "family" : "Fuller", "given" : "Stacey", "non-dropping-particle" : "", "parse-names" : false, "suffix" : "" }, { "dropping-particle" : "", "family" : "Steele", "given" : "Megan", "non-dropping-particle" : "", "parse-names" : false, "suffix" : "" }, { "dropping-particle" : "", "family" : "M\u00fcnch", "given" : "Gerald", "non-dropping-particle" : "", "parse-names" : false, "suffix" : "" } ], "container-title" : "Mutation research", "id" : "ITEM-1", "issue" : "1-2", "issued" : { "date-parts" : [ [ "2010", "8", "7" ] ] }, "page" : "40-9", "title" : "Activated astroglia during chronic inflammation in Alzheimer's disease--do they neglect their neurosupportive roles?", "type" : "article-journal", "volume" : "690" }, "uris" : [ "http://www.mendeley.com/documents/?uuid=5a925b0c-35ec-477f-aab5-e8fe9d037ef3" ] } ], "mendeley" : { "formattedCitation" : "(Fuller et al. 2010)", "plainTextFormattedCitation" : "(Fuller et al. 2010)", "previouslyFormattedCitation" : "(Fuller et al. 2010)"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(Fuller et al. 2010)</w:t>
      </w:r>
      <w:r>
        <w:rPr>
          <w:rFonts w:ascii="Times New Roman" w:hAnsi="Times New Roman" w:cs="Times New Roman"/>
        </w:rPr>
        <w:fldChar w:fldCharType="end"/>
      </w:r>
      <w:r>
        <w:rPr>
          <w:rFonts w:ascii="Times New Roman" w:hAnsi="Times New Roman" w:cs="Times New Roman"/>
        </w:rPr>
        <w:t>.</w:t>
      </w:r>
    </w:p>
    <w:p w14:paraId="28F627A6" w14:textId="77777777" w:rsidR="00567751" w:rsidRDefault="00567751" w:rsidP="00A62610">
      <w:pPr>
        <w:spacing w:line="360" w:lineRule="auto"/>
        <w:rPr>
          <w:rFonts w:ascii="Times New Roman" w:hAnsi="Times New Roman" w:cs="Times New Roman"/>
        </w:rPr>
      </w:pPr>
    </w:p>
    <w:p w14:paraId="7EC239E3" w14:textId="7E24619A" w:rsidR="00A62610" w:rsidRPr="00070602" w:rsidRDefault="00982129" w:rsidP="003E7BDB">
      <w:pPr>
        <w:spacing w:line="360" w:lineRule="auto"/>
        <w:jc w:val="both"/>
        <w:rPr>
          <w:rFonts w:ascii="Times New Roman" w:hAnsi="Times New Roman" w:cs="Times New Roman"/>
        </w:rPr>
      </w:pPr>
      <w:r>
        <w:rPr>
          <w:rFonts w:ascii="Times New Roman" w:hAnsi="Times New Roman" w:cs="Times New Roman"/>
        </w:rPr>
        <w:t xml:space="preserve">Studies have also shown increased glutathionylation of </w:t>
      </w:r>
      <w:r w:rsidR="00F377A9">
        <w:rPr>
          <w:rFonts w:ascii="Times New Roman" w:hAnsi="Times New Roman" w:cs="Times New Roman"/>
        </w:rPr>
        <w:t>4-hydroxynonenol (HNE)</w:t>
      </w:r>
      <w:r>
        <w:rPr>
          <w:rFonts w:ascii="Times New Roman" w:hAnsi="Times New Roman" w:cs="Times New Roman"/>
        </w:rPr>
        <w:t>, a product formed following peroxidation of polyunsaturated fatty acid</w:t>
      </w:r>
      <w:r w:rsidR="003A4D06">
        <w:rPr>
          <w:rFonts w:ascii="Times New Roman" w:hAnsi="Times New Roman" w:cs="Times New Roman"/>
        </w:rPr>
        <w:t>s, in AD subjects to prevent it</w:t>
      </w:r>
      <w:r>
        <w:rPr>
          <w:rFonts w:ascii="Times New Roman" w:hAnsi="Times New Roman" w:cs="Times New Roman"/>
        </w:rPr>
        <w:t xml:space="preserve">s toxic effects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"0364-3190", "PMID" : "15672542", "abstract" : "Alzheimer disease (AD) is a neurodegenerative disorder characterized pathologically by intracellular inclusions including neurofibrillary tangles (NFT) and senile plaques. Several lines of evidence implicate oxidative stress with the progression of AD. 4-hydroxy-2-trans-nonenal (HNE), an aldehydic product of membrane lipid peroxidation, is increased in AD brain. The alpha class of glutathione S-transferase (GST) can detoxify HNE and plays an important role in cellular protection against oxidative stress. The export of the glutathione conjugate of HNE is required to fully potentiate the GST-mediated protection. The multidrug resistance protein-1 (MRP1) and GST proteins may act in synergy to confer cellular protection. In the present study, we studied oxidative modification of GST and MRP1 in AD brain by immunoprecipitation of GST and MRP1 proteins followed by Western blot analysis using anti-HNE antibody. The results suggested that HNE is covalently bound to GST and MRP1 proteins in excess in AD brain. Collectively, the data suggest that HNE may be an important mediator of oxidative stress-induced impairment of this detoxifying system and may thereby play a role in promoting neuronal cell death. The results from this study also imply that augmenting endogenous oxidative defense capacity through dietary or pharmacological intake of antioxidants may slow down the progression of neurodegenerative processes in AD.", "author" : [ { "dropping-particle" : "", "family" : "Sultana", "given" : "Rukhsana", "non-dropping-particle" : "", "parse-names" : false, "suffix" : "" }, { "dropping-particle" : "", "family" : "Butterfield", "given" : "D Allan", "non-dropping-particle" : "", "parse-names" : false, "suffix" : "" } ], "container-title" : "Neurochemical research", "id" : "ITEM-1", "issue" : "12", "issued" : { "date-parts" : [ [ "2004", "12" ] ] }, "page" : "2215-20", "title" : "Oxidatively modified GST and MRP1 in Alzheimer's disease brain: implications for accumulation of reactive lipid peroxidation products.", "type" : "article-journal", "volume" : "29" }, "uris" : [ "http://www.mendeley.com/documents/?uuid=772c8692-d08e-4138-a5fe-36834dcbf0ab" ] } ], "mendeley" : { "formattedCitation" : "(Sultana &amp; Butterfield 2004)", "plainTextFormattedCitation" : "(Sultana &amp; Butterfield 2004)", "previouslyFormattedCitation" : "(Sultana &amp; Butterfield 2004)"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(Sultana &amp; Butterfield 2004)</w:t>
      </w:r>
      <w:r>
        <w:rPr>
          <w:rFonts w:ascii="Times New Roman" w:hAnsi="Times New Roman" w:cs="Times New Roman"/>
        </w:rPr>
        <w:fldChar w:fldCharType="end"/>
      </w:r>
      <w:r>
        <w:rPr>
          <w:rFonts w:ascii="Times New Roman" w:hAnsi="Times New Roman" w:cs="Times New Roman"/>
        </w:rPr>
        <w:t xml:space="preserve">. </w:t>
      </w:r>
      <w:r w:rsidR="00E1238A">
        <w:rPr>
          <w:rFonts w:ascii="Times New Roman" w:hAnsi="Times New Roman" w:cs="Times New Roman"/>
        </w:rPr>
        <w:t xml:space="preserve"> As the levels of reduced glutathione are also lower in AD subjects, there is less possibility of reversing this glutathionylation step </w:t>
      </w:r>
      <w:r w:rsidR="00FB5CE5">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"10.1002/jnr.21275", "ISSN" : "0360-4012", "PMID" : "17387692", "abstract" : "Alzheimer's disease (AD) is a neurodegenerative disorder characterized by neurofibrillary tangles, senile plaques, and loss of synapses. Many studies support the notion that oxidative stress plays an important role in AD pathogenesis. Previous studies from our laboratory employed redox proteomics to identify oxidatively modified proteins in the AD inferior parietal lobule (IPL) and hippocampus. The proteins were consistent with biochemical or pathological alterations in AD and have been central to further investigations of the disease. The present study focused on the identification of specific targets of protein S-glutathionylation in AD and control IPL by using a redox proteomics approach. For AD IPL, we identified deoxyhemoglobin, alpha-crystallin B, glyceraldehyde phosphate dehydrogenase (GAPDH), and alpha-enolase as significantly S-glutathionylated relative to these brain proteins in control IPL. GAPDH and alpha-enolase were also shown to have reduced activity in the AD IPL. This study demonstrates that specific proteins are sensitive to S-glutathionylation, which most likely is due to their sensitivity to cysteine oxidation initiated by the increase in oxidative stress in the AD brain.", "author" : [ { "dropping-particle" : "", "family" : "Newman", "given" : "Shelley F", "non-dropping-particle" : "", "parse-names" : false, "suffix" : "" }, { "dropping-particle" : "", "family" : "Sultana", "given" : "Rukhsana", "non-dropping-particle" : "", "parse-names" : false, "suffix" : "" }, { "dropping-particle" : "", "family" : "Perluigi", "given" : "Marzia", "non-dropping-particle" : "", "parse-names" : false, "suffix" : "" }, { "dropping-particle" : "", "family" : "Coccia", "given" : "Rafella", "non-dropping-particle" : "", "parse-names" : false, "suffix" : "" }, { "dropping-particle" : "", "family" : "Cai", "given" : "Jian", "non-dropping-particle" : "", "parse-names" : false, "suffix" : "" }, { "dropping-particle" : "", "family" : "Pierce", "given" : "William M", "non-dropping-particle" : "", "parse-names" : false, "suffix" : "" }, { "dropping-particle" : "", "family" : "Klein", "given" : "Jon B", "non-dropping-particle" : "", "parse-names" : false, "suffix" : "" }, { "dropping-particle" : "", "family" : "Turner", "given" : "Delano M", "non-dropping-particle" : "", "parse-names" : false, "suffix" : "" }, { "dropping-particle" : "", "family" : "Butterfield", "given" : "D Allan", "non-dropping-particle" : "", "parse-names" : false, "suffix" : "" } ], "container-title" : "Journal of neuroscience research", "id" : "ITEM-1", "issue" : "7", "issued" : { "date-parts" : [ [ "2007", "5", "15" ] ] }, "page" : "1506-14", "title" : "An increase in S-glutathionylated proteins in the Alzheimer's disease inferior parietal lobule, a proteomics approach.", "type" : "article-journal", "volume" : "85" }, "uris" : [ "http://www.mendeley.com/documents/?uuid=bc42f4bd-8cd7-4601-b811-9557a3c336ed" ] } ], "mendeley" : { "formattedCitation" : "(Shelley F Newman et al. 2007)", "manualFormatting" : "(Newman et al., 2007)", "plainTextFormattedCitation" : "(Shelley F Newman et al. 2007)", "previouslyFormattedCitation" : "(Shelley F Newman et al. 2007)" }, "properties" : { "noteIndex" : 0 }, "schema" : "https://github.com/citation-style-language/schema/raw/master/csl-citation.json" }</w:instrText>
      </w:r>
      <w:r w:rsidR="00FB5CE5">
        <w:rPr>
          <w:rFonts w:ascii="Times New Roman" w:hAnsi="Times New Roman" w:cs="Times New Roman"/>
        </w:rPr>
        <w:fldChar w:fldCharType="separate"/>
      </w:r>
      <w:r w:rsidR="00CD3499" w:rsidRPr="00CD3499">
        <w:rPr>
          <w:rFonts w:ascii="Times New Roman" w:hAnsi="Times New Roman" w:cs="Times New Roman"/>
          <w:noProof/>
        </w:rPr>
        <w:t>(N</w:t>
      </w:r>
      <w:r w:rsidR="004F2DBC">
        <w:rPr>
          <w:rFonts w:ascii="Times New Roman" w:hAnsi="Times New Roman" w:cs="Times New Roman"/>
          <w:noProof/>
        </w:rPr>
        <w:t>ewman et al., 2007</w:t>
      </w:r>
      <w:r w:rsidR="00CD3499" w:rsidRPr="00CD3499">
        <w:rPr>
          <w:rFonts w:ascii="Times New Roman" w:hAnsi="Times New Roman" w:cs="Times New Roman"/>
          <w:noProof/>
        </w:rPr>
        <w:t>)</w:t>
      </w:r>
      <w:r w:rsidR="00FB5CE5">
        <w:rPr>
          <w:rFonts w:ascii="Times New Roman" w:hAnsi="Times New Roman" w:cs="Times New Roman"/>
        </w:rPr>
        <w:fldChar w:fldCharType="end"/>
      </w:r>
      <w:r w:rsidR="00FB5CE5">
        <w:rPr>
          <w:rFonts w:ascii="Times New Roman" w:hAnsi="Times New Roman" w:cs="Times New Roman"/>
        </w:rPr>
        <w:t xml:space="preserve">. </w:t>
      </w:r>
    </w:p>
    <w:p w14:paraId="0290B464" w14:textId="45B940D7" w:rsidR="00B205BB" w:rsidRPr="00B205BB" w:rsidRDefault="00B205BB" w:rsidP="00C25727">
      <w:pPr>
        <w:rPr>
          <w:rFonts w:ascii="Times New Roman" w:hAnsi="Times New Roman" w:cs="Times New Roman"/>
        </w:rPr>
      </w:pPr>
      <w:r>
        <w:rPr>
          <w:rFonts w:ascii="Times New Roman" w:hAnsi="Times New Roman" w:cs="Times New Roman"/>
          <w:b/>
          <w:i/>
          <w:u w:val="single"/>
        </w:rPr>
        <w:t>Astrocytic ag</w:t>
      </w:r>
      <w:r w:rsidR="00896802">
        <w:rPr>
          <w:rFonts w:ascii="Times New Roman" w:hAnsi="Times New Roman" w:cs="Times New Roman"/>
          <w:b/>
          <w:i/>
          <w:u w:val="single"/>
        </w:rPr>
        <w:t>e</w:t>
      </w:r>
      <w:r>
        <w:rPr>
          <w:rFonts w:ascii="Times New Roman" w:hAnsi="Times New Roman" w:cs="Times New Roman"/>
          <w:b/>
          <w:i/>
          <w:u w:val="single"/>
        </w:rPr>
        <w:t>ing and AD</w:t>
      </w:r>
    </w:p>
    <w:p w14:paraId="51A284DB" w14:textId="4722524B" w:rsidR="00FF5F2A" w:rsidRPr="00E7279D" w:rsidRDefault="0052474A" w:rsidP="00C12464">
      <w:pPr>
        <w:pStyle w:val="Body"/>
        <w:spacing w:line="360" w:lineRule="auto"/>
        <w:jc w:val="both"/>
        <w:rPr>
          <w:rFonts w:ascii="Times New Roman" w:hAnsi="Times New Roman" w:cs="Times New Roman"/>
          <w:sz w:val="24"/>
          <w:szCs w:val="24"/>
        </w:rPr>
      </w:pPr>
      <w:r>
        <w:rPr>
          <w:rFonts w:ascii="Times New Roman" w:hAnsi="Times New Roman" w:cs="Times New Roman"/>
          <w:sz w:val="24"/>
          <w:szCs w:val="24"/>
        </w:rPr>
        <w:t>Ag</w:t>
      </w:r>
      <w:r w:rsidR="00233453">
        <w:rPr>
          <w:rFonts w:ascii="Times New Roman" w:hAnsi="Times New Roman" w:cs="Times New Roman"/>
          <w:sz w:val="24"/>
          <w:szCs w:val="24"/>
        </w:rPr>
        <w:t>e</w:t>
      </w:r>
      <w:r>
        <w:rPr>
          <w:rFonts w:ascii="Times New Roman" w:hAnsi="Times New Roman" w:cs="Times New Roman"/>
          <w:sz w:val="24"/>
          <w:szCs w:val="24"/>
        </w:rPr>
        <w:t xml:space="preserve">ing is the biggest risk factor </w:t>
      </w:r>
      <w:r w:rsidR="004679DE">
        <w:rPr>
          <w:rFonts w:ascii="Times New Roman" w:hAnsi="Times New Roman" w:cs="Times New Roman"/>
          <w:sz w:val="24"/>
          <w:szCs w:val="24"/>
        </w:rPr>
        <w:t>for</w:t>
      </w:r>
      <w:r>
        <w:rPr>
          <w:rFonts w:ascii="Times New Roman" w:hAnsi="Times New Roman" w:cs="Times New Roman"/>
          <w:sz w:val="24"/>
          <w:szCs w:val="24"/>
        </w:rPr>
        <w:t xml:space="preserve"> </w:t>
      </w:r>
      <w:r w:rsidR="00105F23">
        <w:rPr>
          <w:rFonts w:ascii="Times New Roman" w:hAnsi="Times New Roman" w:cs="Times New Roman"/>
          <w:sz w:val="24"/>
          <w:szCs w:val="24"/>
        </w:rPr>
        <w:t>AD</w:t>
      </w:r>
      <w:r>
        <w:rPr>
          <w:rFonts w:ascii="Times New Roman" w:hAnsi="Times New Roman" w:cs="Times New Roman"/>
          <w:sz w:val="24"/>
          <w:szCs w:val="24"/>
        </w:rPr>
        <w:t xml:space="preserve"> progression. During ag</w:t>
      </w:r>
      <w:r w:rsidR="00896802">
        <w:rPr>
          <w:rFonts w:ascii="Times New Roman" w:hAnsi="Times New Roman" w:cs="Times New Roman"/>
          <w:sz w:val="24"/>
          <w:szCs w:val="24"/>
        </w:rPr>
        <w:t>e</w:t>
      </w:r>
      <w:r>
        <w:rPr>
          <w:rFonts w:ascii="Times New Roman" w:hAnsi="Times New Roman" w:cs="Times New Roman"/>
          <w:sz w:val="24"/>
          <w:szCs w:val="24"/>
        </w:rPr>
        <w:t xml:space="preserve">ing, the ability of the brain to clear </w:t>
      </w:r>
      <w:r w:rsidR="00E952E1">
        <w:rPr>
          <w:rFonts w:ascii="Times New Roman" w:hAnsi="Times New Roman" w:cs="Times New Roman"/>
          <w:sz w:val="24"/>
          <w:szCs w:val="24"/>
        </w:rPr>
        <w:t xml:space="preserve">misaggregated protein such as </w:t>
      </w:r>
      <w:r w:rsidR="00763331" w:rsidRPr="00EF2AF4">
        <w:rPr>
          <w:rFonts w:ascii="Times New Roman" w:hAnsi="Times New Roman" w:cs="Times New Roman"/>
          <w:sz w:val="24"/>
          <w:szCs w:val="24"/>
        </w:rPr>
        <w:t>Aβ</w:t>
      </w:r>
      <w:r w:rsidR="00763331">
        <w:rPr>
          <w:rFonts w:ascii="Times New Roman" w:hAnsi="Times New Roman" w:cs="Times New Roman"/>
          <w:sz w:val="24"/>
          <w:szCs w:val="24"/>
        </w:rPr>
        <w:t xml:space="preserve"> </w:t>
      </w:r>
      <w:r w:rsidR="00E952E1">
        <w:rPr>
          <w:rFonts w:ascii="Times New Roman" w:hAnsi="Times New Roman" w:cs="Times New Roman"/>
          <w:sz w:val="24"/>
          <w:szCs w:val="24"/>
        </w:rPr>
        <w:t xml:space="preserve">diminishes </w:t>
      </w:r>
      <w:r w:rsidR="00E952E1">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"10.1126/science.1197623", "ISSN" : "1095-9203", "PMID" : "21148344", "abstract" : "Alzheimer's disease is hypothesized to be caused by an imbalance between \u03b2-amyloid (A\u03b2) production and clearance that leads to A\u03b2 accumulation in the central nervous system (CNS). A\u03b2 production and clearance are key targets in the development of disease-modifying therapeutic agents for Alzheimer's disease. However, there has not been direct evidence of altered A\u03b2 production or clearance in Alzheimer's disease. By using metabolic labeling, we measured A\u03b242 and A\u03b240 production and clearance rates in the CNS of participants with Alzheimer's disease and cognitively normal controls. Clearance rates for both A\u03b242 and A\u03b240 were impaired in Alzheimer's disease compared with controls. On average, there were no differences in A\u03b240 or A\u03b242 production rates. Thus, the common late-onset form of Alzheimer's disease is characterized by an overall impairment in A\u03b2 clearance.", "author" : [ { "dropping-particle" : "", "family" : "Mawuenyega", "given" : "Kwasi G", "non-dropping-particle" : "", "parse-names" : false, "suffix" : "" }, { "dropping-particle" : "", "family" : "Sigurdson", "given" : "Wendy", "non-dropping-particle" : "", "parse-names" : false, "suffix" : "" }, { "dropping-particle" : "", "family" : "Ovod", "given" : "Vitaliy", "non-dropping-particle" : "", "parse-names" : false, "suffix" : "" }, { "dropping-particle" : "", "family" : "Munsell", "given" : "Ling", "non-dropping-particle" : "", "parse-names" : false, "suffix" : "" }, { "dropping-particle" : "", "family" : "Kasten", "given" : "Tom", "non-dropping-particle" : "", "parse-names" : false, "suffix" : "" }, { "dropping-particle" : "", "family" : "Morris", "given" : "John C", "non-dropping-particle" : "", "parse-names" : false, "suffix" : "" }, { "dropping-particle" : "", "family" : "Yarasheski", "given" : "Kevin E", "non-dropping-particle" : "", "parse-names" : false, "suffix" : "" }, { "dropping-particle" : "", "family" : "Bateman", "given" : "Randall J", "non-dropping-particle" : "", "parse-names" : false, "suffix" : "" } ], "container-title" : "Science (New York, N.Y.)", "id" : "ITEM-1", "issue" : "6012", "issued" : { "date-parts" : [ [ "2010", "12", "24" ] ] }, "page" : "1774", "title" : "Decreased clearance of CNS beta-amyloid in Alzheimer's disease.", "type" : "article-journal", "volume" : "330" }, "uris" : [ "http://www.mendeley.com/documents/?uuid=1d06ba7e-aa5b-411b-a989-0186d89d0402" ] }, { "id" : "ITEM-2", "itemData" : { "DOI" : "10.1002/ana.24271", "ISSN" : "1531-8249", "PMID" : "25204284", "abstract" : "OBJECTIVE: In the brain, protein waste removal is partly performed by paravascular pathways that facilitate convective exchange of water and soluble contents between cerebrospinal fluid (CSF) and interstitial fluid (ISF). Several lines of evidence suggest that bulk flow drainage via the glymphatic system is driven by cerebrovascular pulsation, and is dependent on astroglial water channels that line paravascular CSF pathways. The objective of this study was to evaluate whether the efficiency of CSF-ISF exchange and interstitial solute clearance is impaired in the aging brain.\n\nMETHODS: CSF-ISF exchange was evaluated by in vivo and ex vivo fluorescence microscopy and interstitial solute clearance was evaluated by radiotracer clearance assays in young (2-3 months), middle-aged (10-12 months), and old (18-20 months) wild-type mice. The relationship between age-related changes in the expression of the astrocytic water channel aquaporin-4 (AQP4) and changes in glymphatic pathway function was evaluated by immunofluorescence.\n\nRESULTS: Advancing age was associated with a dramatic decline in the efficiency of exchange between the subarachnoid CSF and the brain parenchyma. Relative to the young, clearance of intraparenchymally injected amyloid-\u03b2 was impaired by 40% in the old mice. A 27% reduction in the vessel wall pulsatility of intracortical arterioles and widespread loss of perivascular AQP4 polarization along the penetrating arteries accompanied the decline in CSF-ISF exchange.\n\nINTERPRETATION: We propose that impaired glymphatic clearance contributes to cognitive decline among the elderly and may represent a novel therapeutic target for the treatment of neurodegenerative diseases associated with accumulation of misfolded protein aggregates.", "author" : [ { "dropping-particle" : "", "family" : "Kress", "given" : "Benjamin T", "non-dropping-particle" : "", "parse-names" : false, "suffix" : "" }, { "dropping-particle" : "", "family" : "Iliff", "given" : "Jeffrey J", "non-dropping-particle" : "", "parse-names" : false, "suffix" : "" }, { "dropping-particle" : "", "family" : "Xia", "given" : "Maosheng", "non-dropping-particle" : "", "parse-names" : false, "suffix" : "" }, { "dropping-particle" : "", "family" : "Wang", "given" : "Minghuan", "non-dropping-particle" : "", "parse-names" : false, "suffix" : "" }, { "dropping-particle" : "", "family" : "Wei", "given" : "Helen S", "non-dropping-particle" : "", "parse-names" : false, "suffix" : "" }, { "dropping-particle" : "", "family" : "Zeppenfeld", "given" : "Douglas", "non-dropping-particle" : "", "parse-names" : false, "suffix" : "" }, { "dropping-particle" : "", "family" : "Xie", "given" : "Lulu", "non-dropping-particle" : "", "parse-names" : false, "suffix" : "" }, { "dropping-particle" : "", "family" : "Kang", "given" : "Hongyi", "non-dropping-particle" : "", "parse-names" : false, "suffix" : "" }, { "dropping-particle" : "", "family" : "Xu", "given" : "Qiwu", "non-dropping-particle" : "", "parse-names" : false, "suffix" : "" }, { "dropping-particle" : "", "family" : "Liew", "given" : "Jason A", "non-dropping-particle" : "", "parse-names" : false, "suffix" : "" }, { "dropping-particle" : "", "family" : "Plog", "given" : "Benjamin A", "non-dropping-particle" : "", "parse-names" : false, "suffix" : "" }, { "dropping-particle" : "", "family" : "Ding", "given" : "Fengfei", "non-dropping-particle" : "", "parse-names" : false, "suffix" : "" }, { "dropping-particle" : "", "family" : "Deane", "given" : "Rashid", "non-dropping-particle" : "", "parse-names" : false, "suffix" : "" }, { "dropping-particle" : "", "family" : "Nedergaard", "given" : "Maiken", "non-dropping-particle" : "", "parse-names" : false, "suffix" : "" } ], "container-title" : "Annals of neurology", "id" : "ITEM-2", "issue" : "6", "issued" : { "date-parts" : [ [ "2014", "12" ] ] }, "page" : "845-61", "title" : "Impairment of paravascular clearance pathways in the aging brain.", "type" : "article-journal", "volume" : "76" }, "uris" : [ "http://www.mendeley.com/documents/?uuid=50437c03-f164-45b4-a244-242192aaa6d4" ] } ], "mendeley" : { "formattedCitation" : "(Mawuenyega et al. 2010; Kress et al. 2014)", "plainTextFormattedCitation" : "(Mawuenyega et al. 2010; Kress et al. 2014)", "previouslyFormattedCitation" : "(Mawuenyega et al. 2010; Kress et al. 2014)" }, "properties" : { "noteIndex" : 0 }, "schema" : "https://github.com/citation-style-language/schema/raw/master/csl-citation.json" }</w:instrText>
      </w:r>
      <w:r w:rsidR="00E952E1">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(Mawuenyega et al. 2010; Kress et al. 2014)</w:t>
      </w:r>
      <w:r w:rsidR="00E952E1">
        <w:rPr>
          <w:rFonts w:ascii="Times New Roman" w:hAnsi="Times New Roman" w:cs="Times New Roman"/>
          <w:sz w:val="24"/>
          <w:szCs w:val="24"/>
        </w:rPr>
        <w:fldChar w:fldCharType="end"/>
      </w:r>
      <w:r w:rsidR="00E7279D">
        <w:rPr>
          <w:rFonts w:ascii="Times New Roman" w:hAnsi="Times New Roman" w:cs="Times New Roman"/>
          <w:sz w:val="24"/>
          <w:szCs w:val="24"/>
        </w:rPr>
        <w:t>, which includes defects in cellular proteostasis</w:t>
      </w:r>
      <w:r w:rsidR="001F2B4B">
        <w:rPr>
          <w:rFonts w:ascii="Times New Roman" w:hAnsi="Times New Roman" w:cs="Times New Roman"/>
          <w:sz w:val="24"/>
          <w:szCs w:val="24"/>
        </w:rPr>
        <w:t>. In more recent years this has been shown to result from</w:t>
      </w:r>
      <w:r>
        <w:rPr>
          <w:rFonts w:ascii="Times New Roman" w:hAnsi="Times New Roman" w:cs="Times New Roman"/>
          <w:sz w:val="24"/>
          <w:szCs w:val="24"/>
        </w:rPr>
        <w:t xml:space="preserve"> impairments in the “glymphatic system”. The “glymphatic system” is designed to remove waste products from the brain and involves</w:t>
      </w:r>
      <w:r w:rsidR="0071076E">
        <w:rPr>
          <w:rFonts w:ascii="Times New Roman" w:hAnsi="Times New Roman" w:cs="Times New Roman"/>
          <w:sz w:val="24"/>
          <w:szCs w:val="24"/>
        </w:rPr>
        <w:t xml:space="preserve"> exchange of cerebral spinal fluid (CSF) that surrounds the subarachnoid space with interstitial fluid found between cells</w:t>
      </w:r>
      <w:r w:rsidR="00550A25">
        <w:rPr>
          <w:rFonts w:ascii="Times New Roman" w:hAnsi="Times New Roman" w:cs="Times New Roman"/>
          <w:sz w:val="24"/>
          <w:szCs w:val="24"/>
        </w:rPr>
        <w:t xml:space="preserve"> in the </w:t>
      </w:r>
      <w:r w:rsidR="00550A25" w:rsidRPr="00E7279D">
        <w:rPr>
          <w:rFonts w:ascii="Times New Roman" w:hAnsi="Times New Roman" w:cs="Times New Roman"/>
          <w:color w:val="auto"/>
          <w:sz w:val="24"/>
          <w:szCs w:val="24"/>
        </w:rPr>
        <w:t>brain</w:t>
      </w:r>
      <w:r w:rsidR="00C619BE" w:rsidRPr="00E7279D">
        <w:rPr>
          <w:rFonts w:ascii="Times New Roman" w:hAnsi="Times New Roman" w:cs="Times New Roman"/>
          <w:color w:val="auto"/>
          <w:sz w:val="24"/>
          <w:szCs w:val="24"/>
        </w:rPr>
        <w:t xml:space="preserve"> </w:t>
      </w:r>
      <w:r w:rsidR="00C619BE" w:rsidRPr="00E7279D">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"10.1007/s11064-015-1581-6", "ISSN" : "1573-6903", "PMID" : "25947369", "abstract" : "The glymphatic system is a recently discovered macroscopic waste clearance system that utilizes a unique system of perivascular tunnels, formed by astroglial cells, to promote efficient elimination of soluble proteins and metabolites from the central nervous system. Besides waste elimination, the glymphatic system also\u00a0facilitates\u00a0 brain-wide distribution of several\u00a0compounds, including\u00a0glucose, lipids, amino acids, growth factors,\u00a0and neuromodulators. Intriguingly, the glymphatic system function mainly during sleep and is largely disengaged during wakefulness. The biological need for sleep across all species may therefore reflect that the brain must enter a state of activity that enables elimination of potentially neurotoxic waste products, including \u03b2-amyloid. Since the concept of the glymphatic system is relatively new, we will here review its basic structural elements, organization, regulation, and functions. We will also discuss recent studies indicating that glymphatic function is suppressed in various diseases and that failure of glymphatic function in turn might contribute to pathology in neurodegenerative disorders, traumatic brain injury and stroke.", "author" : [ { "dropping-particle" : "", "family" : "Jessen", "given" : "Nadia Aalling", "non-dropping-particle" : "", "parse-names" : false, "suffix" : "" }, { "dropping-particle" : "", "family" : "Munk", "given" : "Anne Sofie Finmann", "non-dropping-particle" : "", "parse-names" : false, "suffix" : "" }, { "dropping-particle" : "", "family" : "Lundgaard", "given" : "Iben", "non-dropping-particle" : "", "parse-names" : false, "suffix" : "" }, { "dropping-particle" : "", "family" : "Nedergaard", "given" : "Maiken", "non-dropping-particle" : "", "parse-names" : false, "suffix" : "" } ], "container-title" : "Neurochemical research", "id" : "ITEM-1", "issue" : "12", "issued" : { "date-parts" : [ [ "2015", "12" ] ] }, "page" : "2583-99", "title" : "The Glymphatic System: A Beginner's Guide.", "type" : "article-journal", "volume" : "40" }, "uris" : [ "http://www.mendeley.com/documents/?uuid=988d42b7-0892-33a7-b859-8d79bfba3871" ] } ], "mendeley" : { "formattedCitation" : "(Jessen et al. 2015)", "plainTextFormattedCitation" : "(Jessen et al. 2015)", "previouslyFormattedCitation" : "(Jessen et al. 2015)" }, "properties" : { "noteIndex" : 0 }, "schema" : "https://github.com/citation-style-language/schema/raw/master/csl-citation.json" }</w:instrText>
      </w:r>
      <w:r w:rsidR="00C619BE" w:rsidRPr="00E7279D">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(Jessen et al. 2015)</w:t>
      </w:r>
      <w:r w:rsidR="00C619BE" w:rsidRPr="00E7279D">
        <w:rPr>
          <w:rFonts w:ascii="Times New Roman" w:hAnsi="Times New Roman" w:cs="Times New Roman"/>
          <w:color w:val="auto"/>
          <w:sz w:val="24"/>
          <w:szCs w:val="24"/>
        </w:rPr>
        <w:fldChar w:fldCharType="end"/>
      </w:r>
      <w:r w:rsidR="0071076E" w:rsidRPr="00E7279D">
        <w:rPr>
          <w:rFonts w:ascii="Times New Roman" w:hAnsi="Times New Roman" w:cs="Times New Roman"/>
          <w:color w:val="auto"/>
          <w:sz w:val="24"/>
          <w:szCs w:val="24"/>
        </w:rPr>
        <w:t>.</w:t>
      </w:r>
      <w:r w:rsidR="0071076E">
        <w:rPr>
          <w:rFonts w:ascii="Times New Roman" w:hAnsi="Times New Roman" w:cs="Times New Roman"/>
          <w:sz w:val="24"/>
          <w:szCs w:val="24"/>
        </w:rPr>
        <w:t xml:space="preserve"> </w:t>
      </w:r>
      <w:r w:rsidR="001F2B4B">
        <w:rPr>
          <w:rFonts w:ascii="Times New Roman" w:hAnsi="Times New Roman" w:cs="Times New Roman"/>
          <w:sz w:val="24"/>
          <w:szCs w:val="24"/>
        </w:rPr>
        <w:t>This process occurs during sleep and relies on expression of</w:t>
      </w:r>
      <w:r w:rsidR="00033E1B">
        <w:rPr>
          <w:rFonts w:ascii="Times New Roman" w:hAnsi="Times New Roman" w:cs="Times New Roman"/>
          <w:sz w:val="24"/>
          <w:szCs w:val="24"/>
        </w:rPr>
        <w:t xml:space="preserve"> a water channel called</w:t>
      </w:r>
      <w:r w:rsidR="00E47194">
        <w:rPr>
          <w:rFonts w:ascii="Times New Roman" w:hAnsi="Times New Roman" w:cs="Times New Roman"/>
          <w:sz w:val="24"/>
          <w:szCs w:val="24"/>
        </w:rPr>
        <w:t xml:space="preserve"> aquaporin 4</w:t>
      </w:r>
      <w:r w:rsidR="00033E1B">
        <w:rPr>
          <w:rFonts w:ascii="Times New Roman" w:hAnsi="Times New Roman" w:cs="Times New Roman"/>
          <w:sz w:val="24"/>
          <w:szCs w:val="24"/>
        </w:rPr>
        <w:t xml:space="preserve"> (AQP4)</w:t>
      </w:r>
      <w:r w:rsidR="001074F3">
        <w:rPr>
          <w:rFonts w:ascii="Times New Roman" w:hAnsi="Times New Roman" w:cs="Times New Roman"/>
          <w:sz w:val="24"/>
          <w:szCs w:val="24"/>
        </w:rPr>
        <w:t xml:space="preserve">, which is </w:t>
      </w:r>
      <w:r w:rsidR="00CD3499">
        <w:rPr>
          <w:rFonts w:ascii="Times New Roman" w:hAnsi="Times New Roman" w:cs="Times New Roman"/>
          <w:sz w:val="24"/>
          <w:szCs w:val="24"/>
        </w:rPr>
        <w:t xml:space="preserve">specifically </w:t>
      </w:r>
      <w:r w:rsidR="001074F3">
        <w:rPr>
          <w:rFonts w:ascii="Times New Roman" w:hAnsi="Times New Roman" w:cs="Times New Roman"/>
          <w:sz w:val="24"/>
          <w:szCs w:val="24"/>
        </w:rPr>
        <w:t>expressed in</w:t>
      </w:r>
      <w:r w:rsidR="00CD3235">
        <w:rPr>
          <w:rFonts w:ascii="Times New Roman" w:hAnsi="Times New Roman" w:cs="Times New Roman"/>
          <w:sz w:val="24"/>
          <w:szCs w:val="24"/>
        </w:rPr>
        <w:t xml:space="preserve"> astrocytic end-</w:t>
      </w:r>
      <w:r w:rsidR="00E47194">
        <w:rPr>
          <w:rFonts w:ascii="Times New Roman" w:hAnsi="Times New Roman" w:cs="Times New Roman"/>
          <w:sz w:val="24"/>
          <w:szCs w:val="24"/>
        </w:rPr>
        <w:t>feet that ensheath the cerebral vasculature</w:t>
      </w:r>
      <w:r w:rsidR="001074F3">
        <w:rPr>
          <w:rFonts w:ascii="Times New Roman" w:hAnsi="Times New Roman" w:cs="Times New Roman"/>
          <w:sz w:val="24"/>
          <w:szCs w:val="24"/>
        </w:rPr>
        <w:t>. This protein provides a low resistance pathway through which interstitial solutes can be cleared from the brain parenchyma to the paravascular spaces</w:t>
      </w:r>
      <w:r w:rsidR="00E47194">
        <w:rPr>
          <w:rFonts w:ascii="Times New Roman" w:hAnsi="Times New Roman" w:cs="Times New Roman"/>
          <w:sz w:val="24"/>
          <w:szCs w:val="24"/>
        </w:rPr>
        <w:t>.</w:t>
      </w:r>
      <w:r w:rsidR="00757195">
        <w:rPr>
          <w:rFonts w:ascii="Times New Roman" w:hAnsi="Times New Roman" w:cs="Times New Roman"/>
          <w:sz w:val="24"/>
          <w:szCs w:val="24"/>
        </w:rPr>
        <w:t xml:space="preserve"> Mice lacking AQP4 have</w:t>
      </w:r>
      <w:r w:rsidR="00033E1B">
        <w:rPr>
          <w:rFonts w:ascii="Times New Roman" w:hAnsi="Times New Roman" w:cs="Times New Roman"/>
          <w:sz w:val="24"/>
          <w:szCs w:val="24"/>
        </w:rPr>
        <w:t xml:space="preserve"> significantly reduced influx of CSF into the brain and reduced clearance of solutes</w:t>
      </w:r>
      <w:r w:rsidR="00757195">
        <w:rPr>
          <w:rFonts w:ascii="Times New Roman" w:hAnsi="Times New Roman" w:cs="Times New Roman"/>
          <w:sz w:val="24"/>
          <w:szCs w:val="24"/>
        </w:rPr>
        <w:t xml:space="preserve">, such as </w:t>
      </w:r>
      <w:r w:rsidR="0091064B" w:rsidRPr="00EF2AF4">
        <w:rPr>
          <w:rFonts w:ascii="Times New Roman" w:hAnsi="Times New Roman" w:cs="Times New Roman"/>
          <w:sz w:val="24"/>
          <w:szCs w:val="24"/>
        </w:rPr>
        <w:t>Aβ</w:t>
      </w:r>
      <w:r w:rsidR="0091064B">
        <w:rPr>
          <w:rFonts w:ascii="Times New Roman" w:hAnsi="Times New Roman" w:cs="Times New Roman"/>
          <w:sz w:val="24"/>
          <w:szCs w:val="24"/>
        </w:rPr>
        <w:t xml:space="preserve"> </w:t>
      </w:r>
      <w:r w:rsidR="00033E1B">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"10.1126/scitranslmed.3003748", "ISSN" : "1946-6242", "PMID" : "22896675", "abstract" : "Because it lacks a lymphatic circulation, the brain must clear extracellular proteins by an alternative mechanism. The cerebrospinal fluid (CSF) functions as a sink for brain extracellular solutes, but it is not clear how solutes from the brain interstitium move from the parenchyma to the CSF. We demonstrate that a substantial portion of subarachnoid CSF cycles through the brain interstitial space. On the basis of in vivo two-photon imaging of small fluorescent tracers, we showed that CSF enters the parenchyma along paravascular spaces that surround penetrating arteries and that brain interstitial fluid is cleared along paravenous drainage pathways. Animals lacking the water channel aquaporin-4 (AQP4) in astrocytes exhibit slowed CSF influx through this system and a ~70% reduction in interstitial solute clearance, suggesting that the bulk fluid flow between these anatomical influx and efflux routes is supported by astrocytic water transport. Fluorescent-tagged amyloid \u03b2, a peptide thought to be pathogenic in Alzheimer's disease, was transported along this route, and deletion of the Aqp4 gene suppressed the clearance of soluble amyloid \u03b2, suggesting that this pathway may remove amyloid \u03b2 from the central nervous system. Clearance through paravenous flow may also regulate extracellular levels of proteins involved with neurodegenerative conditions, its impairment perhaps contributing to the mis-accumulation of soluble proteins.", "author" : [ { "dropping-particle" : "", "family" : "Iliff", "given" : "Jeffrey J", "non-dropping-particle" : "", "parse-names" : false, "suffix" : "" }, { "dropping-particle" : "", "family" : "Wang", "given" : "Minghuan", "non-dropping-particle" : "", "parse-names" : false, "suffix" : "" }, { "dropping-particle" : "", "family" : "Liao", "given" : "Yonghong", "non-dropping-particle" : "", "parse-names" : false, "suffix" : "" }, { "dropping-particle" : "", "family" : "Plogg", "given" : "Benjamin A", "non-dropping-particle" : "", "parse-names" : false, "suffix" : "" }, { "dropping-particle" : "", "family" : "Peng", "given" : "Weiguo", "non-dropping-particle" : "", "parse-names" : false, "suffix" : "" }, { "dropping-particle" : "", "family" : "Gundersen", "given" : "Georg A", "non-dropping-particle" : "", "parse-names" : false, "suffix" : "" }, { "dropping-particle" : "", "family" : "Benveniste", "given" : "Helene", "non-dropping-particle" : "", "parse-names" : false, "suffix" : "" }, { "dropping-particle" : "", "family" : "Vates", "given" : "G Edward", "non-dropping-particle" : "", "parse-names" : false, "suffix" : "" }, { "dropping-particle" : "", "family" : "Deane", "given" : "Rashid", "non-dropping-particle" : "", "parse-names" : false, "suffix" : "" }, { "dropping-particle" : "", "family" : "Goldman", "given" : "Steven A", "non-dropping-particle" : "", "parse-names" : false, "suffix" : "" }, { "dropping-particle" : "", "family" : "Nagelhus", "given" : "Erlend A", "non-dropping-particle" : "", "parse-names" : false, "suffix" : "" }, { "dropping-particle" : "", "family" : "Nedergaard", "given" : "Maiken", "non-dropping-particle" : "", "parse-names" : false, "suffix" : "" } ], "container-title" : "Science translational medicine", "id" : "ITEM-1", "issue" : "147", "issued" : { "date-parts" : [ [ "2012", "8", "15" ] ] }, "page" : "147ra111", "title" : "A paravascular pathway facilitates CSF flow through the brain parenchyma and the clearance of interstitial solutes, including amyloid \u03b2.", "type" : "article-journal", "volume" : "4" }, "uris" : [ "http://www.mendeley.com/documents/?uuid=b1dee1f9-bddd-4da2-a483-471e4bffc9ff" ] } ], "mendeley" : { "formattedCitation" : "(Iliff et al. 2012)", "plainTextFormattedCitation" : "(Iliff et al. 2012)", "previouslyFormattedCitation" : "(Iliff et al. 2012)" }, "properties" : { "noteIndex" : 0 }, "schema" : "https://github.com/citation-style-language/schema/raw/master/csl-citation.json" }</w:instrText>
      </w:r>
      <w:r w:rsidR="00033E1B">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(Iliff et al. 2012)</w:t>
      </w:r>
      <w:r w:rsidR="00033E1B">
        <w:rPr>
          <w:rFonts w:ascii="Times New Roman" w:hAnsi="Times New Roman" w:cs="Times New Roman"/>
          <w:sz w:val="24"/>
          <w:szCs w:val="24"/>
        </w:rPr>
        <w:fldChar w:fldCharType="end"/>
      </w:r>
      <w:r w:rsidR="00033E1B">
        <w:rPr>
          <w:rFonts w:ascii="Times New Roman" w:hAnsi="Times New Roman" w:cs="Times New Roman"/>
          <w:sz w:val="24"/>
          <w:szCs w:val="24"/>
        </w:rPr>
        <w:t>.</w:t>
      </w:r>
      <w:r w:rsidR="00D1429B">
        <w:rPr>
          <w:rFonts w:ascii="Times New Roman" w:hAnsi="Times New Roman" w:cs="Times New Roman"/>
          <w:sz w:val="24"/>
          <w:szCs w:val="24"/>
        </w:rPr>
        <w:t xml:space="preserve"> </w:t>
      </w:r>
      <w:r w:rsidR="00571448">
        <w:rPr>
          <w:rFonts w:ascii="Times New Roman" w:hAnsi="Times New Roman" w:cs="Times New Roman"/>
          <w:sz w:val="24"/>
          <w:szCs w:val="24"/>
        </w:rPr>
        <w:t>In addition, loss of AQP4 from astrocytes reduces reactivity</w:t>
      </w:r>
      <w:r w:rsidR="00DA1E6D">
        <w:rPr>
          <w:rFonts w:ascii="Times New Roman" w:hAnsi="Times New Roman" w:cs="Times New Roman"/>
          <w:sz w:val="24"/>
          <w:szCs w:val="24"/>
        </w:rPr>
        <w:t xml:space="preserve"> and better preserves viability</w:t>
      </w:r>
      <w:r w:rsidR="00571448">
        <w:rPr>
          <w:rFonts w:ascii="Times New Roman" w:hAnsi="Times New Roman" w:cs="Times New Roman"/>
          <w:sz w:val="24"/>
          <w:szCs w:val="24"/>
        </w:rPr>
        <w:t xml:space="preserve"> following treatment with Aβ</w:t>
      </w:r>
      <w:r w:rsidR="00571448">
        <w:rPr>
          <w:rFonts w:ascii="Times New Roman" w:hAnsi="Times New Roman" w:cs="Times New Roman"/>
          <w:sz w:val="24"/>
          <w:szCs w:val="24"/>
          <w:vertAlign w:val="subscript"/>
        </w:rPr>
        <w:t>1-42</w:t>
      </w:r>
      <w:r w:rsidR="00DA1E6D">
        <w:rPr>
          <w:rFonts w:ascii="Times New Roman" w:hAnsi="Times New Roman" w:cs="Times New Roman"/>
          <w:sz w:val="24"/>
          <w:szCs w:val="24"/>
        </w:rPr>
        <w:t>, which is the result of d</w:t>
      </w:r>
      <w:r w:rsidR="005647AF">
        <w:rPr>
          <w:rFonts w:ascii="Times New Roman" w:hAnsi="Times New Roman" w:cs="Times New Roman"/>
          <w:sz w:val="24"/>
          <w:szCs w:val="24"/>
        </w:rPr>
        <w:t xml:space="preserve">ecreased uptake of </w:t>
      </w:r>
      <w:r w:rsidR="00D079C1" w:rsidRPr="00EF2AF4">
        <w:rPr>
          <w:rFonts w:ascii="Times New Roman" w:hAnsi="Times New Roman" w:cs="Times New Roman"/>
          <w:sz w:val="24"/>
          <w:szCs w:val="24"/>
        </w:rPr>
        <w:t>Aβ</w:t>
      </w:r>
      <w:r w:rsidR="00D079C1">
        <w:rPr>
          <w:rFonts w:ascii="Times New Roman" w:hAnsi="Times New Roman" w:cs="Times New Roman"/>
          <w:sz w:val="24"/>
          <w:szCs w:val="24"/>
        </w:rPr>
        <w:t xml:space="preserve"> </w:t>
      </w:r>
      <w:r w:rsidR="005647AF">
        <w:rPr>
          <w:rFonts w:ascii="Times New Roman" w:hAnsi="Times New Roman" w:cs="Times New Roman"/>
          <w:sz w:val="24"/>
          <w:szCs w:val="24"/>
        </w:rPr>
        <w:t>following an associated decrease in LRP1 levels (</w:t>
      </w:r>
      <w:r w:rsidR="00CA4EB9">
        <w:rPr>
          <w:rFonts w:ascii="Times New Roman" w:hAnsi="Times New Roman" w:cs="Times New Roman"/>
          <w:sz w:val="24"/>
          <w:szCs w:val="24"/>
        </w:rPr>
        <w:t>a multiligand cell-surface receptor)</w:t>
      </w:r>
      <w:r w:rsidR="00A12B99">
        <w:rPr>
          <w:rFonts w:ascii="Times New Roman" w:hAnsi="Times New Roman" w:cs="Times New Roman"/>
          <w:sz w:val="24"/>
          <w:szCs w:val="24"/>
        </w:rPr>
        <w:t xml:space="preserve"> </w:t>
      </w:r>
      <w:r w:rsidR="00A12B99">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"10.1016/j.mcn.2012.02.002", "ISSN" : "1095-9327", "PMID" : "22365952", "abstract" : "It has been demonstrated that the water channel protein aquaporin-4 (AQP4) plays an important role in astrocyte plasticity in response to a variety of injuries or stimuli. However, the potential role of AQP4 in astrocyte response to \u03b2-amyloid (A\u03b2) has not been studied. The purpose of this study was to investigate this issue. Compared to media control, the lower concentrations of A\u03b2(1-42) (0.1-1 \u03bcM) increased AQP4 expression in cultured mouse cortical astrocytes, while the higher concentrations of A\u03b2(1-42) (10 \u03bcM) decreased AQP4 expression. AQP4 gene knockout reduced A\u03b2(1-42)-induced astrocyte activation and apoptosis, which was associated with a reduction in the uptake of A\u03b2 via decreased upregulation of low-density lipoprotein receptor related protein-1. Moreover, time-course and levels of A\u03b2(1-42)-induced mitogen-activated protein kinase phosphorylation were altered in AQP4 null astrocytes compared with wild-type controls. Our data reveal a novel role of AQP4 in the uptake of A\u03b2 by astrocytes, indicating that AQP4 is a molecular target for Alzheimer's disease.", "author" : [ { "dropping-particle" : "", "family" : "Yang", "given" : "Wei", "non-dropping-particle" : "", "parse-names" : false, "suffix" : "" }, { "dropping-particle" : "", "family" : "Wu", "given" : "Qi", "non-dropping-particle" : "", "parse-names" : false, "suffix" : "" }, { "dropping-particle" : "", "family" : "Yuan", "given" : "Chan", "non-dropping-particle" : "", "parse-names" : false, "suffix" : "" }, { "dropping-particle" : "", "family" : "Gao", "given" : "Junying", "non-dropping-particle" : "", "parse-names" : false, "suffix" : "" }, { "dropping-particle" : "", "family" : "Xiao", "given" : "Ming", "non-dropping-particle" : "", "parse-names" : false, "suffix" : "" }, { "dropping-particle" : "", "family" : "Gu", "given" : "Minxia", "non-dropping-particle" : "", "parse-names" : false, "suffix" : "" }, { "dropping-particle" : "", "family" : "Ding", "given" : "Jiong", "non-dropping-particle" : "", "parse-names" : false, "suffix" : "" }, { "dropping-particle" : "", "family" : "Hu", "given" : "Gang", "non-dropping-particle" : "", "parse-names" : false, "suffix" : "" } ], "container-title" : "Molecular and cellular neurosciences", "id" : "ITEM-1", "issue" : "4", "issued" : { "date-parts" : [ [ "2012", "4" ] ] }, "page" : "406-14", "title" : "Aquaporin-4 mediates astrocyte response to \u03b2-amyloid.", "type" : "article-journal", "volume" : "49" }, "uris" : [ "http://www.mendeley.com/documents/?uuid=a60d3a50-a420-4e0a-916e-4d7129c41b9e" ] } ], "mendeley" : { "formattedCitation" : "(Yang et al. 2012)", "plainTextFormattedCitation" : "(Yang et al. 2012)", "previouslyFormattedCitation" : "(Yang et al. 2012)" }, "properties" : { "noteIndex" : 0 }, "schema" : "https://github.com/citation-style-language/schema/raw/master/csl-citation.json" }</w:instrText>
      </w:r>
      <w:r w:rsidR="00A12B99">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(Yang et al. 2012)</w:t>
      </w:r>
      <w:r w:rsidR="00A12B99">
        <w:rPr>
          <w:rFonts w:ascii="Times New Roman" w:hAnsi="Times New Roman" w:cs="Times New Roman"/>
          <w:sz w:val="24"/>
          <w:szCs w:val="24"/>
        </w:rPr>
        <w:fldChar w:fldCharType="end"/>
      </w:r>
      <w:r w:rsidR="00A12B99">
        <w:rPr>
          <w:rFonts w:ascii="Times New Roman" w:hAnsi="Times New Roman" w:cs="Times New Roman"/>
          <w:sz w:val="24"/>
          <w:szCs w:val="24"/>
        </w:rPr>
        <w:t>.</w:t>
      </w:r>
      <w:r w:rsidR="00D1429B">
        <w:rPr>
          <w:rFonts w:ascii="Times New Roman" w:hAnsi="Times New Roman" w:cs="Times New Roman"/>
          <w:sz w:val="24"/>
          <w:szCs w:val="24"/>
        </w:rPr>
        <w:t xml:space="preserve"> </w:t>
      </w:r>
      <w:r w:rsidR="00F82B5E">
        <w:rPr>
          <w:rFonts w:ascii="Times New Roman" w:hAnsi="Times New Roman" w:cs="Times New Roman"/>
          <w:sz w:val="24"/>
          <w:szCs w:val="24"/>
        </w:rPr>
        <w:t xml:space="preserve">A recent study identified upregulation of AQP4 in a proteomic screen of hippocampal tissue in late stage Braak AD cases </w:t>
      </w:r>
      <w:r w:rsidR="00F82B5E">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"10.1016/j.jalz.2015.11.002", "ISSN" : "1552-5279", "PMID" : "26772638", "abstract" : "INTRODUCTION: We performed a comprehensive quantitative proteomics study on human hippocampus tissue involving all Braak stages to assess changes in protein abundance over the various stages of Alzheimer's disease (AD).\n\nMETHODS: Hippocampal subareas CA1 and subiculum of 40 cases were isolated using laser capture microdissection and analyzed using mass spectrometry. Immunoblotting and immunohistochemistry were used for validation.\n\nRESULTS: Over the Braak stages, an altered expression was found for 372 proteins including changes in levels of extracellular matrix components, and in calcium-dependent signaling proteins. Early changes were observed in levels of proteins related to cytoskeletal dynamics and synaptic components including an increase in RIMS1 and GRIK4. Several synaptic proteins, such as BSN, LIN7A, DLG2, -3, and -4, exhibit an early-up, late-down expression pattern.\n\nDISCUSSION: This study provides new insight into AD-dependent changes in protein levels in the hippocampus during AD pathology, identifying potential novel therapeutic targets and biomarkers.", "author" : [ { "dropping-particle" : "", "family" : "Hondius", "given" : "David C", "non-dropping-particle" : "", "parse-names" : false, "suffix" : "" }, { "dropping-particle" : "", "family" : "Nierop", "given" : "Pim", "non-dropping-particle" : "van", "parse-names" : false, "suffix" : "" }, { "dropping-particle" : "", "family" : "Li", "given" : "Ka Wan", "non-dropping-particle" : "", "parse-names" : false, "suffix" : "" }, { "dropping-particle" : "", "family" : "Hoozemans", "given" : "Jeroen J M", "non-dropping-particle" : "", "parse-names" : false, "suffix" : "" }, { "dropping-particle" : "", "family" : "Schors", "given" : "Roel C", "non-dropping-particle" : "van der", "parse-names" : false, "suffix" : "" }, { "dropping-particle" : "", "family" : "Haastert", "given" : "Elise S", "non-dropping-particle" : "van", "parse-names" : false, "suffix" : "" }, { "dropping-particle" : "", "family" : "Vies", "given" : "Saskia M", "non-dropping-particle" : "van der", "parse-names" : false, "suffix" : "" }, { "dropping-particle" : "", "family" : "Rozemuller", "given" : "Annemieke J M", "non-dropping-particle" : "", "parse-names" : false, "suffix" : "" }, { "dropping-particle" : "", "family" : "Smit", "given" : "August B", "non-dropping-particle" : "", "parse-names" : false, "suffix" : "" } ], "container-title" : "Alzheimer's &amp; dementia : the journal of the Alzheimer's Association", "id" : "ITEM-1", "issued" : { "date-parts" : [ [ "2016", "1", "6" ] ] }, "language" : "English", "publisher" : "Elsevier", "title" : "Profiling the human hippocampal proteome at all pathologic stages of\u00a0Alzheimer's disease.", "type" : "article-journal" }, "uris" : [ "http://www.mendeley.com/documents/?uuid=26030ad5-0789-4f60-ab4d-ba6305a0616d" ] } ], "mendeley" : { "formattedCitation" : "(Hondius et al. 2016)", "plainTextFormattedCitation" : "(Hondius et al. 2016)", "previouslyFormattedCitation" : "(Hondius et al. 2016)" }, "properties" : { "noteIndex" : 0 }, "schema" : "https://github.com/citation-style-language/schema/raw/master/csl-citation.json" }</w:instrText>
      </w:r>
      <w:r w:rsidR="00F82B5E">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(Hondius et al. 2016)</w:t>
      </w:r>
      <w:r w:rsidR="00F82B5E">
        <w:rPr>
          <w:rFonts w:ascii="Times New Roman" w:hAnsi="Times New Roman" w:cs="Times New Roman"/>
          <w:sz w:val="24"/>
          <w:szCs w:val="24"/>
        </w:rPr>
        <w:fldChar w:fldCharType="end"/>
      </w:r>
      <w:r w:rsidR="00757195">
        <w:rPr>
          <w:rFonts w:ascii="Times New Roman" w:hAnsi="Times New Roman" w:cs="Times New Roman"/>
          <w:sz w:val="24"/>
          <w:szCs w:val="24"/>
        </w:rPr>
        <w:t>. The result of this may be increased</w:t>
      </w:r>
      <w:r w:rsidR="00F279A3">
        <w:rPr>
          <w:rFonts w:ascii="Times New Roman" w:hAnsi="Times New Roman" w:cs="Times New Roman"/>
          <w:sz w:val="24"/>
          <w:szCs w:val="24"/>
        </w:rPr>
        <w:t xml:space="preserve"> clearance of toxic interstitial solutes from the brain </w:t>
      </w:r>
      <w:r w:rsidR="00757195">
        <w:rPr>
          <w:rFonts w:ascii="Times New Roman" w:hAnsi="Times New Roman" w:cs="Times New Roman"/>
          <w:sz w:val="24"/>
          <w:szCs w:val="24"/>
        </w:rPr>
        <w:t xml:space="preserve">but at the same time </w:t>
      </w:r>
      <w:r w:rsidR="00F279A3">
        <w:rPr>
          <w:rFonts w:ascii="Times New Roman" w:hAnsi="Times New Roman" w:cs="Times New Roman"/>
          <w:sz w:val="24"/>
          <w:szCs w:val="24"/>
        </w:rPr>
        <w:t>impair astrocytic health</w:t>
      </w:r>
      <w:r w:rsidR="00757195">
        <w:rPr>
          <w:rFonts w:ascii="Times New Roman" w:hAnsi="Times New Roman" w:cs="Times New Roman"/>
          <w:sz w:val="24"/>
          <w:szCs w:val="24"/>
        </w:rPr>
        <w:t xml:space="preserve"> due to uptake of toxic aggregates</w:t>
      </w:r>
      <w:r w:rsidR="00F279A3">
        <w:rPr>
          <w:rFonts w:ascii="Times New Roman" w:hAnsi="Times New Roman" w:cs="Times New Roman"/>
          <w:sz w:val="24"/>
          <w:szCs w:val="24"/>
        </w:rPr>
        <w:t xml:space="preserve"> and </w:t>
      </w:r>
      <w:r w:rsidR="00350834">
        <w:rPr>
          <w:rFonts w:ascii="Times New Roman" w:hAnsi="Times New Roman" w:cs="Times New Roman"/>
          <w:sz w:val="24"/>
          <w:szCs w:val="24"/>
        </w:rPr>
        <w:t>eventually</w:t>
      </w:r>
      <w:r w:rsidR="00757195">
        <w:rPr>
          <w:rFonts w:ascii="Times New Roman" w:hAnsi="Times New Roman" w:cs="Times New Roman"/>
          <w:sz w:val="24"/>
          <w:szCs w:val="24"/>
        </w:rPr>
        <w:t xml:space="preserve"> could affect the ability to support neurons.</w:t>
      </w:r>
    </w:p>
    <w:p w14:paraId="438097C5" w14:textId="004B61A0" w:rsidR="00D079C1" w:rsidRPr="00C25727" w:rsidRDefault="00CC04C5" w:rsidP="0022441D">
      <w:pPr>
        <w:pStyle w:val="Body"/>
        <w:spacing w:line="360" w:lineRule="auto"/>
        <w:jc w:val="both"/>
        <w:rPr>
          <w:rFonts w:ascii="Times New Roman" w:hAnsi="Times New Roman" w:cs="Times New Roman"/>
          <w:sz w:val="24"/>
          <w:szCs w:val="24"/>
        </w:rPr>
      </w:pPr>
      <w:r>
        <w:rPr>
          <w:rFonts w:ascii="Times New Roman" w:hAnsi="Times New Roman" w:cs="Times New Roman"/>
          <w:i/>
          <w:sz w:val="24"/>
          <w:szCs w:val="24"/>
        </w:rPr>
        <w:t>In vitro</w:t>
      </w:r>
      <w:r>
        <w:rPr>
          <w:rFonts w:ascii="Times New Roman" w:hAnsi="Times New Roman" w:cs="Times New Roman"/>
          <w:sz w:val="24"/>
          <w:szCs w:val="24"/>
        </w:rPr>
        <w:t xml:space="preserve"> studies have also demonstrated age-associated impa</w:t>
      </w:r>
      <w:r w:rsidR="00150EFA">
        <w:rPr>
          <w:rFonts w:ascii="Times New Roman" w:hAnsi="Times New Roman" w:cs="Times New Roman"/>
          <w:sz w:val="24"/>
          <w:szCs w:val="24"/>
        </w:rPr>
        <w:t xml:space="preserve">irments in astrocyte metabolism, including increased ROS production and decreased mitochondrial activity, </w:t>
      </w:r>
      <w:r>
        <w:rPr>
          <w:rFonts w:ascii="Times New Roman" w:hAnsi="Times New Roman" w:cs="Times New Roman"/>
          <w:sz w:val="24"/>
          <w:szCs w:val="24"/>
        </w:rPr>
        <w:t xml:space="preserve">that in turn </w:t>
      </w:r>
      <w:r w:rsidR="008B77BF">
        <w:rPr>
          <w:rFonts w:ascii="Times New Roman" w:hAnsi="Times New Roman" w:cs="Times New Roman"/>
          <w:sz w:val="24"/>
          <w:szCs w:val="24"/>
        </w:rPr>
        <w:t>reduce</w:t>
      </w:r>
      <w:r>
        <w:rPr>
          <w:rFonts w:ascii="Times New Roman" w:hAnsi="Times New Roman" w:cs="Times New Roman"/>
          <w:sz w:val="24"/>
          <w:szCs w:val="24"/>
        </w:rPr>
        <w:t xml:space="preserve"> the ability </w:t>
      </w:r>
      <w:r w:rsidR="00763331">
        <w:rPr>
          <w:rFonts w:ascii="Times New Roman" w:hAnsi="Times New Roman" w:cs="Times New Roman"/>
          <w:sz w:val="24"/>
          <w:szCs w:val="24"/>
        </w:rPr>
        <w:t xml:space="preserve">of astrocytes </w:t>
      </w:r>
      <w:r>
        <w:rPr>
          <w:rFonts w:ascii="Times New Roman" w:hAnsi="Times New Roman" w:cs="Times New Roman"/>
          <w:sz w:val="24"/>
          <w:szCs w:val="24"/>
        </w:rPr>
        <w:t xml:space="preserve">to support neuronal health </w:t>
      </w:r>
      <w:r>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"10.1111/j.1471-4159.2006.04369.x", "ISSN" : "0022-3042", "PMID" : "17250685", "abstract" : "Alterations in astrocyte function that may affect neuronal viability occur with brain aging. In this study, we evaluate the neuroprotective capacity of astrocytes in an experimental model of in vitro aging. Changes in oxidative stress, glutamate uptake and protein expression were evaluated in rat cortical astrocytes cultured for 10 and 90 days in vitro (DIV). Levels of glial fibrillary acidic protein and S100beta increased at 90 days when cells were positive for the senescence beta-galactosidase marker. In long-term astrocyte cultures, the generation of reactive oxygen species was enhanced and mitochondrial activity decreased. Simultaneously, there was an increase in proteins that stained positively for nitrotyrosine. The expression of Cu/Zn-superoxide dismutase (SOD-1) and haeme oxygenase-1 (HO-1) proteins and inducible nitric oxide synthase (iNOS) increased in aged astrocytes. Glutamate uptake in 90-DIV astrocytes was higher than in 10 DIV ones, and was more vulnerable to inhibition by H2O2 exposure. Enhanced glutamate uptake was probably because of up-regulation of the glutamate/aspartate transporter protein. Aged astrocytes had a reduced ability to maintain neuronal survival. These findings indicate that astrocytes may partially loose their neuroprotective ability during aging. The results also suggest that aged astrocytes may contribute to exacerbating neuronal injury in age-related neurodegenerative processes.", "author" : [ { "dropping-particle" : "", "family" : "Pertusa", "given" : "M", "non-dropping-particle" : "", "parse-names" : false, "suffix" : "" }, { "dropping-particle" : "", "family" : "Garc\u00eda-Matas", "given" : "S", "non-dropping-particle" : "", "parse-names" : false, "suffix" : "" }, { "dropping-particle" : "", "family" : "Rodr\u00edguez-Farr\u00e9", "given" : "E", "non-dropping-particle" : "", "parse-names" : false, "suffix" : "" }, { "dropping-particle" : "", "family" : "Sanfeliu", "given" : "C", "non-dropping-particle" : "", "parse-names" : false, "suffix" : "" }, { "dropping-particle" : "", "family" : "Crist\u00f2fol", "given" : "R", "non-dropping-particle" : "", "parse-names" : false, "suffix" : "" } ], "container-title" : "Journal of neurochemistry", "id" : "ITEM-1", "issue" : "3", "issued" : { "date-parts" : [ [ "2007", "5" ] ] }, "page" : "794-805", "title" : "Astrocytes aged in vitro show a decreased neuroprotective capacity.", "type" : "article-journal", "volume" : "101" }, "uris" : [ "http://www.mendeley.com/documents/?uuid=a350596c-680c-4a71-83f0-df7d9d7e0aff" ] } ], "mendeley" : { "formattedCitation" : "(Pertusa et al. 2007)", "plainTextFormattedCitation" : "(Pertusa et al. 2007)", "previouslyFormattedCitation" : "(Pertusa et al. 2007)" }, "properties" : { "noteIndex" : 0 }, "schema" : "https://github.com/citation-style-language/schema/raw/master/csl-citation.json" }</w:instrText>
      </w:r>
      <w:r>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(Pertusa et al. 2007)</w:t>
      </w:r>
      <w:r>
        <w:rPr>
          <w:rFonts w:ascii="Times New Roman" w:hAnsi="Times New Roman" w:cs="Times New Roman"/>
          <w:sz w:val="24"/>
          <w:szCs w:val="24"/>
        </w:rPr>
        <w:fldChar w:fldCharType="end"/>
      </w:r>
      <w:r w:rsidR="00150EFA">
        <w:rPr>
          <w:rFonts w:ascii="Times New Roman" w:hAnsi="Times New Roman" w:cs="Times New Roman"/>
          <w:sz w:val="24"/>
          <w:szCs w:val="24"/>
        </w:rPr>
        <w:t>.</w:t>
      </w:r>
      <w:r w:rsidR="00F03708">
        <w:rPr>
          <w:rFonts w:ascii="Times New Roman" w:hAnsi="Times New Roman" w:cs="Times New Roman"/>
          <w:sz w:val="24"/>
          <w:szCs w:val="24"/>
        </w:rPr>
        <w:t xml:space="preserve"> </w:t>
      </w:r>
    </w:p>
    <w:p w14:paraId="6F0DC1BE" w14:textId="29F6B8F0" w:rsidR="00763331" w:rsidRPr="003945B4" w:rsidRDefault="00763331" w:rsidP="00C25727">
      <w:pPr>
        <w:pStyle w:val="Body"/>
        <w:spacing w:line="240" w:lineRule="auto"/>
        <w:jc w:val="both"/>
        <w:rPr>
          <w:rFonts w:ascii="Times New Roman" w:hAnsi="Times New Roman" w:cs="Times New Roman"/>
          <w:b/>
          <w:i/>
          <w:color w:val="FF0000"/>
          <w:sz w:val="24"/>
          <w:szCs w:val="24"/>
          <w:u w:val="single"/>
        </w:rPr>
      </w:pPr>
      <w:r w:rsidRPr="00763331">
        <w:rPr>
          <w:rFonts w:ascii="Times New Roman" w:hAnsi="Times New Roman" w:cs="Times New Roman"/>
          <w:b/>
          <w:i/>
          <w:sz w:val="24"/>
          <w:szCs w:val="24"/>
          <w:u w:val="single"/>
        </w:rPr>
        <w:t>Aβ</w:t>
      </w:r>
      <w:r>
        <w:rPr>
          <w:rFonts w:ascii="Times New Roman" w:hAnsi="Times New Roman" w:cs="Times New Roman"/>
          <w:b/>
          <w:i/>
          <w:sz w:val="24"/>
          <w:szCs w:val="24"/>
          <w:u w:val="single"/>
        </w:rPr>
        <w:t xml:space="preserve"> and astrocytes</w:t>
      </w:r>
      <w:r w:rsidR="003945B4">
        <w:rPr>
          <w:rFonts w:ascii="Times New Roman" w:hAnsi="Times New Roman" w:cs="Times New Roman"/>
          <w:b/>
          <w:i/>
          <w:sz w:val="24"/>
          <w:szCs w:val="24"/>
          <w:u w:val="single"/>
        </w:rPr>
        <w:t xml:space="preserve"> </w:t>
      </w:r>
    </w:p>
    <w:p w14:paraId="45F05F42" w14:textId="3027E494" w:rsidR="00DF0866" w:rsidRDefault="00126E11" w:rsidP="003945B4">
      <w:pPr>
        <w:pStyle w:val="Body"/>
        <w:spacing w:line="360" w:lineRule="auto"/>
        <w:jc w:val="both"/>
        <w:rPr>
          <w:rFonts w:ascii="Times New Roman" w:hAnsi="Times New Roman" w:cs="Times New Roman"/>
          <w:sz w:val="24"/>
          <w:szCs w:val="24"/>
        </w:rPr>
      </w:pPr>
      <w:r>
        <w:rPr>
          <w:rFonts w:ascii="Times New Roman" w:hAnsi="Times New Roman" w:cs="Times New Roman"/>
          <w:sz w:val="24"/>
          <w:szCs w:val="24"/>
        </w:rPr>
        <w:t>In addition to investigating astrocyte reactivity in response to</w:t>
      </w:r>
      <w:r w:rsidR="008B77BF">
        <w:rPr>
          <w:rFonts w:ascii="Times New Roman" w:hAnsi="Times New Roman" w:cs="Times New Roman"/>
          <w:sz w:val="24"/>
          <w:szCs w:val="24"/>
        </w:rPr>
        <w:t xml:space="preserve"> </w:t>
      </w:r>
      <w:r w:rsidR="00763331" w:rsidRPr="00EF2AF4">
        <w:rPr>
          <w:rFonts w:ascii="Times New Roman" w:hAnsi="Times New Roman" w:cs="Times New Roman"/>
          <w:sz w:val="24"/>
          <w:szCs w:val="24"/>
        </w:rPr>
        <w:t>Aβ</w:t>
      </w:r>
      <w:r>
        <w:rPr>
          <w:rFonts w:ascii="Times New Roman" w:hAnsi="Times New Roman" w:cs="Times New Roman"/>
          <w:sz w:val="24"/>
          <w:szCs w:val="24"/>
        </w:rPr>
        <w:t xml:space="preserve"> (section 1.4.1),</w:t>
      </w:r>
      <w:r w:rsidR="00D079C1">
        <w:rPr>
          <w:rFonts w:ascii="Times New Roman" w:hAnsi="Times New Roman" w:cs="Times New Roman"/>
          <w:sz w:val="24"/>
          <w:szCs w:val="24"/>
        </w:rPr>
        <w:t xml:space="preserve"> there are</w:t>
      </w:r>
      <w:r>
        <w:rPr>
          <w:rFonts w:ascii="Times New Roman" w:hAnsi="Times New Roman" w:cs="Times New Roman"/>
          <w:sz w:val="24"/>
          <w:szCs w:val="24"/>
        </w:rPr>
        <w:t xml:space="preserve"> studies looking at the effect of </w:t>
      </w:r>
      <w:r w:rsidRPr="00EF2AF4">
        <w:rPr>
          <w:rFonts w:ascii="Times New Roman" w:hAnsi="Times New Roman" w:cs="Times New Roman"/>
          <w:sz w:val="24"/>
          <w:szCs w:val="24"/>
        </w:rPr>
        <w:t>Aβ</w:t>
      </w:r>
      <w:r>
        <w:rPr>
          <w:rFonts w:ascii="Times New Roman" w:hAnsi="Times New Roman" w:cs="Times New Roman"/>
          <w:sz w:val="24"/>
          <w:szCs w:val="24"/>
        </w:rPr>
        <w:t xml:space="preserve"> on astrocyte metabolism. However </w:t>
      </w:r>
      <w:r>
        <w:rPr>
          <w:rFonts w:ascii="Times New Roman" w:hAnsi="Times New Roman" w:cs="Times New Roman"/>
          <w:i/>
          <w:sz w:val="24"/>
          <w:szCs w:val="24"/>
        </w:rPr>
        <w:t>in vitro</w:t>
      </w:r>
      <w:r>
        <w:rPr>
          <w:rFonts w:ascii="Times New Roman" w:hAnsi="Times New Roman" w:cs="Times New Roman"/>
          <w:sz w:val="24"/>
          <w:szCs w:val="24"/>
        </w:rPr>
        <w:t xml:space="preserve"> experiments give variable </w:t>
      </w:r>
      <w:r w:rsidR="00CC3C37">
        <w:rPr>
          <w:rFonts w:ascii="Times New Roman" w:hAnsi="Times New Roman" w:cs="Times New Roman"/>
          <w:sz w:val="24"/>
          <w:szCs w:val="24"/>
        </w:rPr>
        <w:t xml:space="preserve">effects </w:t>
      </w:r>
      <w:r w:rsidR="008B77BF">
        <w:rPr>
          <w:rFonts w:ascii="Times New Roman" w:hAnsi="Times New Roman" w:cs="Times New Roman"/>
          <w:sz w:val="24"/>
          <w:szCs w:val="24"/>
        </w:rPr>
        <w:t xml:space="preserve">according to the species from which the astrocytes originate. </w:t>
      </w:r>
      <w:r w:rsidR="0002152F">
        <w:rPr>
          <w:rFonts w:ascii="Times New Roman" w:hAnsi="Times New Roman" w:cs="Times New Roman"/>
          <w:sz w:val="24"/>
          <w:szCs w:val="24"/>
        </w:rPr>
        <w:t>Astrocytes derived from the cerebral cortex</w:t>
      </w:r>
      <w:r w:rsidR="00CD3235">
        <w:rPr>
          <w:rFonts w:ascii="Times New Roman" w:hAnsi="Times New Roman" w:cs="Times New Roman"/>
          <w:sz w:val="24"/>
          <w:szCs w:val="24"/>
        </w:rPr>
        <w:t xml:space="preserve"> of mice increase glucose utilis</w:t>
      </w:r>
      <w:r w:rsidR="0002152F">
        <w:rPr>
          <w:rFonts w:ascii="Times New Roman" w:hAnsi="Times New Roman" w:cs="Times New Roman"/>
          <w:sz w:val="24"/>
          <w:szCs w:val="24"/>
        </w:rPr>
        <w:t xml:space="preserve">ation following treatment with </w:t>
      </w:r>
      <w:r w:rsidR="00763331" w:rsidRPr="00EF2AF4">
        <w:rPr>
          <w:rFonts w:ascii="Times New Roman" w:hAnsi="Times New Roman" w:cs="Times New Roman"/>
          <w:sz w:val="24"/>
          <w:szCs w:val="24"/>
        </w:rPr>
        <w:t>Aβ</w:t>
      </w:r>
      <w:r w:rsidR="00763331">
        <w:rPr>
          <w:rFonts w:ascii="Times New Roman" w:hAnsi="Times New Roman" w:cs="Times New Roman"/>
          <w:i/>
          <w:sz w:val="24"/>
          <w:szCs w:val="24"/>
        </w:rPr>
        <w:t xml:space="preserve"> </w:t>
      </w:r>
      <w:r w:rsidR="0002152F">
        <w:rPr>
          <w:rFonts w:ascii="Times New Roman" w:hAnsi="Times New Roman" w:cs="Times New Roman"/>
          <w:i/>
          <w:sz w:val="24"/>
          <w:szCs w:val="24"/>
        </w:rPr>
        <w:t>in vitro.</w:t>
      </w:r>
      <w:r w:rsidR="0002152F">
        <w:rPr>
          <w:rFonts w:ascii="Times New Roman" w:hAnsi="Times New Roman" w:cs="Times New Roman"/>
          <w:sz w:val="24"/>
          <w:szCs w:val="24"/>
        </w:rPr>
        <w:t xml:space="preserve"> </w:t>
      </w:r>
      <w:r w:rsidR="00AD08AD">
        <w:rPr>
          <w:rFonts w:ascii="Times New Roman" w:hAnsi="Times New Roman" w:cs="Times New Roman"/>
          <w:sz w:val="24"/>
          <w:szCs w:val="24"/>
        </w:rPr>
        <w:t>Changes in</w:t>
      </w:r>
      <w:r w:rsidR="0002152F">
        <w:rPr>
          <w:rFonts w:ascii="Times New Roman" w:hAnsi="Times New Roman" w:cs="Times New Roman"/>
          <w:sz w:val="24"/>
          <w:szCs w:val="24"/>
        </w:rPr>
        <w:t xml:space="preserve"> glycogen levels and lactate production</w:t>
      </w:r>
      <w:r w:rsidR="00435A68">
        <w:rPr>
          <w:rFonts w:ascii="Times New Roman" w:hAnsi="Times New Roman" w:cs="Times New Roman"/>
          <w:sz w:val="24"/>
          <w:szCs w:val="24"/>
        </w:rPr>
        <w:t xml:space="preserve"> </w:t>
      </w:r>
      <w:r w:rsidR="00AD08AD">
        <w:rPr>
          <w:rFonts w:ascii="Times New Roman" w:hAnsi="Times New Roman" w:cs="Times New Roman"/>
          <w:sz w:val="24"/>
          <w:szCs w:val="24"/>
        </w:rPr>
        <w:t xml:space="preserve">also occurred following exposure to </w:t>
      </w:r>
      <w:r w:rsidR="00763331" w:rsidRPr="00EF2AF4">
        <w:rPr>
          <w:rFonts w:ascii="Times New Roman" w:hAnsi="Times New Roman" w:cs="Times New Roman"/>
          <w:sz w:val="24"/>
          <w:szCs w:val="24"/>
        </w:rPr>
        <w:t>Aβ</w:t>
      </w:r>
      <w:r w:rsidR="00D079C1">
        <w:rPr>
          <w:rFonts w:ascii="Times New Roman" w:hAnsi="Times New Roman" w:cs="Times New Roman"/>
          <w:sz w:val="24"/>
          <w:szCs w:val="24"/>
        </w:rPr>
        <w:t xml:space="preserve"> </w:t>
      </w:r>
      <w:r>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"10.1523/JNEUROSCI.5098-09.2010", "ISSN" : "0270-6474", "author" : [ { "dropping-particle" : "", "family" : "Allaman", "given" : "I.", "non-dropping-particle" : "", "parse-names" : false, "suffix" : "" }, { "dropping-particle" : "", "family" : "Gavillet", "given" : "M.", "non-dropping-particle" : "", "parse-names" : false, "suffix" : "" }, { "dropping-particle" : "", "family" : "Belanger", "given" : "M.", "non-dropping-particle" : "", "parse-names" : false, "suffix" : "" }, { "dropping-particle" : "", "family" : "Laroche", "given" : "T.", "non-dropping-particle" : "", "parse-names" : false, "suffix" : "" }, { "dropping-particle" : "", "family" : "Viertl", "given" : "D.", "non-dropping-particle" : "", "parse-names" : false, "suffix" : "" }, { "dropping-particle" : "", "family" : "Lashuel", "given" : "H. A.", "non-dropping-particle" : "", "parse-names" : false, "suffix" : "" }, { "dropping-particle" : "", "family" : "Magistretti", "given" : "P. J.", "non-dropping-particle" : "", "parse-names" : false, "suffix" : "" } ], "container-title" : "Journal of Neuroscience", "id" : "ITEM-1", "issue" : "9", "issued" : { "date-parts" : [ [ "2010", "3", "3" ] ] }, "page" : "3326-3338", "title" : "Amyloid-\u00a0 Aggregates Cause Alterations of Astrocytic Metabolic Phenotype: Impact on Neuronal Viability", "type" : "article-journal", "volume" : "30" }, "uris" : [ "http://www.mendeley.com/documents/?uuid=621be4f6-fd52-39a9-8d49-bd685fe720ca" ] } ], "mendeley" : { "formattedCitation" : "(Allaman et al. 2010)", "plainTextFormattedCitation" : "(Allaman et al. 2010)", "previouslyFormattedCitation" : "(Allaman et al. 2010)" }, "properties" : { "noteIndex" : 0 }, "schema" : "https://github.com/citation-style-language/schema/raw/master/csl-citation.json" }</w:instrText>
      </w:r>
      <w:r>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(Allaman et al. 2010)</w:t>
      </w:r>
      <w:r>
        <w:rPr>
          <w:rFonts w:ascii="Times New Roman" w:hAnsi="Times New Roman" w:cs="Times New Roman"/>
          <w:sz w:val="24"/>
          <w:szCs w:val="24"/>
        </w:rPr>
        <w:fldChar w:fldCharType="end"/>
      </w:r>
      <w:r w:rsidR="00D475DC">
        <w:rPr>
          <w:rFonts w:ascii="Times New Roman" w:hAnsi="Times New Roman" w:cs="Times New Roman"/>
          <w:color w:val="auto"/>
          <w:sz w:val="24"/>
          <w:szCs w:val="24"/>
        </w:rPr>
        <w:t xml:space="preserve">. </w:t>
      </w:r>
      <w:r w:rsidR="008B77BF">
        <w:rPr>
          <w:rFonts w:ascii="Times New Roman" w:hAnsi="Times New Roman" w:cs="Times New Roman"/>
          <w:sz w:val="24"/>
          <w:szCs w:val="24"/>
        </w:rPr>
        <w:t>Treatment of human tetracarcinoma-derived astr</w:t>
      </w:r>
      <w:r w:rsidR="00CC3C37">
        <w:rPr>
          <w:rFonts w:ascii="Times New Roman" w:hAnsi="Times New Roman" w:cs="Times New Roman"/>
          <w:sz w:val="24"/>
          <w:szCs w:val="24"/>
        </w:rPr>
        <w:t xml:space="preserve">ocytes with </w:t>
      </w:r>
      <w:r w:rsidR="0091064B" w:rsidRPr="00EF2AF4">
        <w:rPr>
          <w:rFonts w:ascii="Times New Roman" w:hAnsi="Times New Roman" w:cs="Times New Roman"/>
          <w:sz w:val="24"/>
          <w:szCs w:val="24"/>
        </w:rPr>
        <w:t>Aβ</w:t>
      </w:r>
      <w:r w:rsidR="0091064B">
        <w:rPr>
          <w:rFonts w:ascii="Times New Roman" w:hAnsi="Times New Roman" w:cs="Times New Roman"/>
          <w:sz w:val="24"/>
          <w:szCs w:val="24"/>
        </w:rPr>
        <w:t xml:space="preserve"> </w:t>
      </w:r>
      <w:r w:rsidR="00CC3C37">
        <w:rPr>
          <w:rFonts w:ascii="Times New Roman" w:hAnsi="Times New Roman" w:cs="Times New Roman"/>
          <w:sz w:val="24"/>
          <w:szCs w:val="24"/>
        </w:rPr>
        <w:t>resulted</w:t>
      </w:r>
      <w:r w:rsidR="008B77BF">
        <w:rPr>
          <w:rFonts w:ascii="Times New Roman" w:hAnsi="Times New Roman" w:cs="Times New Roman"/>
          <w:sz w:val="24"/>
          <w:szCs w:val="24"/>
        </w:rPr>
        <w:t xml:space="preserve"> in </w:t>
      </w:r>
      <w:r w:rsidR="00763331">
        <w:rPr>
          <w:rFonts w:ascii="Times New Roman" w:hAnsi="Times New Roman" w:cs="Times New Roman"/>
          <w:sz w:val="24"/>
          <w:szCs w:val="24"/>
        </w:rPr>
        <w:t>reduced glucose utilis</w:t>
      </w:r>
      <w:r w:rsidR="00D16744">
        <w:rPr>
          <w:rFonts w:ascii="Times New Roman" w:hAnsi="Times New Roman" w:cs="Times New Roman"/>
          <w:sz w:val="24"/>
          <w:szCs w:val="24"/>
        </w:rPr>
        <w:t>ation, reduc</w:t>
      </w:r>
      <w:r w:rsidR="00763331">
        <w:rPr>
          <w:rFonts w:ascii="Times New Roman" w:hAnsi="Times New Roman" w:cs="Times New Roman"/>
          <w:sz w:val="24"/>
          <w:szCs w:val="24"/>
        </w:rPr>
        <w:t>ed</w:t>
      </w:r>
      <w:r w:rsidR="00D16744">
        <w:rPr>
          <w:rFonts w:ascii="Times New Roman" w:hAnsi="Times New Roman" w:cs="Times New Roman"/>
          <w:sz w:val="24"/>
          <w:szCs w:val="24"/>
        </w:rPr>
        <w:t xml:space="preserve"> lactate </w:t>
      </w:r>
      <w:r w:rsidR="00763331">
        <w:rPr>
          <w:rFonts w:ascii="Times New Roman" w:hAnsi="Times New Roman" w:cs="Times New Roman"/>
          <w:sz w:val="24"/>
          <w:szCs w:val="24"/>
        </w:rPr>
        <w:t>uptake</w:t>
      </w:r>
      <w:r w:rsidR="00D16744">
        <w:rPr>
          <w:rFonts w:ascii="Times New Roman" w:hAnsi="Times New Roman" w:cs="Times New Roman"/>
          <w:sz w:val="24"/>
          <w:szCs w:val="24"/>
        </w:rPr>
        <w:t xml:space="preserve"> and increased levels of extracellular pyruvate. In addition, </w:t>
      </w:r>
      <w:r w:rsidR="00763331" w:rsidRPr="00EF2AF4">
        <w:rPr>
          <w:rFonts w:ascii="Times New Roman" w:hAnsi="Times New Roman" w:cs="Times New Roman"/>
          <w:sz w:val="24"/>
          <w:szCs w:val="24"/>
        </w:rPr>
        <w:t>Aβ</w:t>
      </w:r>
      <w:r w:rsidR="00763331">
        <w:rPr>
          <w:rFonts w:ascii="Times New Roman" w:hAnsi="Times New Roman" w:cs="Times New Roman"/>
          <w:sz w:val="24"/>
          <w:szCs w:val="24"/>
        </w:rPr>
        <w:t xml:space="preserve"> </w:t>
      </w:r>
      <w:r w:rsidR="00D16744">
        <w:rPr>
          <w:rFonts w:ascii="Times New Roman" w:hAnsi="Times New Roman" w:cs="Times New Roman"/>
          <w:sz w:val="24"/>
          <w:szCs w:val="24"/>
        </w:rPr>
        <w:t>caused reduction in ATP production and increased the levels of oxidized GSSG to GSH</w:t>
      </w:r>
      <w:r w:rsidR="00D475DC">
        <w:rPr>
          <w:rFonts w:ascii="Times New Roman" w:hAnsi="Times New Roman" w:cs="Times New Roman"/>
          <w:sz w:val="24"/>
          <w:szCs w:val="24"/>
        </w:rPr>
        <w:t xml:space="preserve"> </w:t>
      </w:r>
      <w:r w:rsidR="00D475DC">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"10.1038/jcbfm.2015.58", "ISSN" : "1559-7016", "PMID" : "25853906", "abstract" : "Alzheimer's disease (AD) is the most common form of dementia, affecting more than 35 million people worldwide. Brain hypometabolism is a major feature of AD, appearing decades before cognitive decline and pathologic lesions. To date, the majority of studies on hypometabolism in AD have used transgenic animal models or imaging studies of the human brain. As it is almost impossible to validate these findings using human tissue, alternative models are required. In this study, we show that human stem cell-derived neuron and astrocyte cultures treated with oligomers of amyloid beta 1-42 (A\u03b21-42) also display a clear hypometabolism, particularly with regard to utilization of substrates such as glucose, pyruvate, lactate, and glutamate. In addition, a significant increase in the glycogen content of cells was also observed. These changes were accompanied by changes in NAD(+)/NADH, ATP, and glutathione levels, suggesting a disruption in the energy-redox axis within these cultures. The high energy demands associated with neuronal functions such as memory formation and protection from oxidative stress put these cells at particular risk from A\u03b2-induced hypometabolism. Further research using this model may elucidate the mechanisms associated with A\u03b2-induced hypometabolism.", "author" : [ { "dropping-particle" : "", "family" : "Tarczyluk", "given" : "Marta A", "non-dropping-particle" : "", "parse-names" : false, "suffix" : "" }, { "dropping-particle" : "", "family" : "Nagel", "given" : "David A", "non-dropping-particle" : "", "parse-names" : false, "suffix" : "" }, { "dropping-particle" : "", "family" : "Rhein Parri", "given" : "H", "non-dropping-particle" : "", "parse-names" : false, "suffix" : "" }, { "dropping-particle" : "", "family" : "Tse", "given" : "Erin H Y", "non-dropping-particle" : "", "parse-names" : false, "suffix" : "" }, { "dropping-particle" : "", "family" : "Brown", "given" : "James E", "non-dropping-particle" : "", "parse-names" : false, "suffix" : "" }, { "dropping-particle" : "", "family" : "Coleman", "given" : "Michael D", "non-dropping-particle" : "", "parse-names" : false, "suffix" : "" }, { "dropping-particle" : "", "family" : "Hill", "given" : "Eric J", "non-dropping-particle" : "", "parse-names" : false, "suffix" : "" } ], "container-title" : "Journal of cerebral blood flow and metabolism : official journal of the International Society of Cerebral Blood Flow and Metabolism", "id" : "ITEM-1", "issue" : "8", "issued" : { "date-parts" : [ [ "2015", "8" ] ] }, "page" : "1348-57", "title" : "Amyloid \u03b2 1-42 induces hypometabolism in human stem cell-derived neuron and astrocyte networks.", "type" : "article-journal", "volume" : "35" }, "uris" : [ "http://www.mendeley.com/documents/?uuid=eed6336c-de2e-3072-bb44-0c1169dd06c7" ] } ], "mendeley" : { "formattedCitation" : "(Tarczyluk et al. 2015)", "plainTextFormattedCitation" : "(Tarczyluk et al. 2015)", "previouslyFormattedCitation" : "(Tarczyluk et al. 2015)" }, "properties" : { "noteIndex" : 0 }, "schema" : "https://github.com/citation-style-language/schema/raw/master/csl-citation.json" }</w:instrText>
      </w:r>
      <w:r w:rsidR="00D475DC">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(Tarczyluk et al. 2015)</w:t>
      </w:r>
      <w:r w:rsidR="00D475DC">
        <w:rPr>
          <w:rFonts w:ascii="Times New Roman" w:hAnsi="Times New Roman" w:cs="Times New Roman"/>
          <w:sz w:val="24"/>
          <w:szCs w:val="24"/>
        </w:rPr>
        <w:fldChar w:fldCharType="end"/>
      </w:r>
      <w:r w:rsidR="00D16744">
        <w:rPr>
          <w:rFonts w:ascii="Times New Roman" w:hAnsi="Times New Roman" w:cs="Times New Roman"/>
          <w:sz w:val="24"/>
          <w:szCs w:val="24"/>
        </w:rPr>
        <w:t xml:space="preserve">. </w:t>
      </w:r>
      <w:r w:rsidR="00CC3C37">
        <w:rPr>
          <w:rFonts w:ascii="Times New Roman" w:hAnsi="Times New Roman" w:cs="Times New Roman"/>
          <w:sz w:val="24"/>
          <w:szCs w:val="24"/>
        </w:rPr>
        <w:t xml:space="preserve"> The</w:t>
      </w:r>
      <w:r w:rsidR="00435A68">
        <w:rPr>
          <w:rFonts w:ascii="Times New Roman" w:hAnsi="Times New Roman" w:cs="Times New Roman"/>
          <w:sz w:val="24"/>
          <w:szCs w:val="24"/>
        </w:rPr>
        <w:t xml:space="preserve"> </w:t>
      </w:r>
      <w:r w:rsidR="00CC3C37">
        <w:rPr>
          <w:rFonts w:ascii="Times New Roman" w:hAnsi="Times New Roman" w:cs="Times New Roman"/>
          <w:sz w:val="24"/>
          <w:szCs w:val="24"/>
        </w:rPr>
        <w:t>experiments</w:t>
      </w:r>
      <w:r w:rsidR="006975C3">
        <w:rPr>
          <w:rFonts w:ascii="Times New Roman" w:hAnsi="Times New Roman" w:cs="Times New Roman"/>
          <w:sz w:val="24"/>
          <w:szCs w:val="24"/>
        </w:rPr>
        <w:t xml:space="preserve"> in human astrocytes are more consistent with reports of hypometabolism in AD compared with the experiments</w:t>
      </w:r>
      <w:r w:rsidR="00CC3C37">
        <w:rPr>
          <w:rFonts w:ascii="Times New Roman" w:hAnsi="Times New Roman" w:cs="Times New Roman"/>
          <w:sz w:val="24"/>
          <w:szCs w:val="24"/>
        </w:rPr>
        <w:t xml:space="preserve"> performed in mouse</w:t>
      </w:r>
      <w:r w:rsidR="006975C3">
        <w:rPr>
          <w:rFonts w:ascii="Times New Roman" w:hAnsi="Times New Roman" w:cs="Times New Roman"/>
          <w:sz w:val="24"/>
          <w:szCs w:val="24"/>
        </w:rPr>
        <w:t xml:space="preserve"> astrocytes</w:t>
      </w:r>
      <w:r w:rsidR="00435A68">
        <w:rPr>
          <w:rFonts w:ascii="Times New Roman" w:hAnsi="Times New Roman" w:cs="Times New Roman"/>
          <w:sz w:val="24"/>
          <w:szCs w:val="24"/>
        </w:rPr>
        <w:t xml:space="preserve">. </w:t>
      </w:r>
      <w:r w:rsidR="00763331">
        <w:rPr>
          <w:rFonts w:ascii="Times New Roman" w:hAnsi="Times New Roman" w:cs="Times New Roman"/>
          <w:sz w:val="24"/>
          <w:szCs w:val="24"/>
        </w:rPr>
        <w:t xml:space="preserve">In addition, pretreatment of </w:t>
      </w:r>
      <w:r w:rsidR="00FA5C3B">
        <w:rPr>
          <w:rFonts w:ascii="Times New Roman" w:hAnsi="Times New Roman" w:cs="Times New Roman"/>
          <w:sz w:val="24"/>
          <w:szCs w:val="24"/>
        </w:rPr>
        <w:t xml:space="preserve">mouse </w:t>
      </w:r>
      <w:r w:rsidR="00763331">
        <w:rPr>
          <w:rFonts w:ascii="Times New Roman" w:hAnsi="Times New Roman" w:cs="Times New Roman"/>
          <w:sz w:val="24"/>
          <w:szCs w:val="24"/>
        </w:rPr>
        <w:t xml:space="preserve">astrocytes with </w:t>
      </w:r>
      <w:r w:rsidR="00763331" w:rsidRPr="00EF2AF4">
        <w:rPr>
          <w:rFonts w:ascii="Times New Roman" w:hAnsi="Times New Roman" w:cs="Times New Roman"/>
          <w:sz w:val="24"/>
          <w:szCs w:val="24"/>
        </w:rPr>
        <w:t>Aβ</w:t>
      </w:r>
      <w:r w:rsidR="00763331">
        <w:rPr>
          <w:rFonts w:ascii="Times New Roman" w:hAnsi="Times New Roman" w:cs="Times New Roman"/>
          <w:sz w:val="24"/>
          <w:szCs w:val="24"/>
        </w:rPr>
        <w:t xml:space="preserve"> was toxic to neurons but these effects could be reversed by inhibiting the Akt pathway </w:t>
      </w:r>
      <w:r w:rsidR="00763331">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"10.1523/JNEUROSCI.5098-09.2010", "ISSN" : "0270-6474", "author" : [ { "dropping-particle" : "", "family" : "Allaman", "given" : "I.", "non-dropping-particle" : "", "parse-names" : false, "suffix" : "" }, { "dropping-particle" : "", "family" : "Gavillet", "given" : "M.", "non-dropping-particle" : "", "parse-names" : false, "suffix" : "" }, { "dropping-particle" : "", "family" : "Belanger", "given" : "M.", "non-dropping-particle" : "", "parse-names" : false, "suffix" : "" }, { "dropping-particle" : "", "family" : "Laroche", "given" : "T.", "non-dropping-particle" : "", "parse-names" : false, "suffix" : "" }, { "dropping-particle" : "", "family" : "Viertl", "given" : "D.", "non-dropping-particle" : "", "parse-names" : false, "suffix" : "" }, { "dropping-particle" : "", "family" : "Lashuel", "given" : "H. A.", "non-dropping-particle" : "", "parse-names" : false, "suffix" : "" }, { "dropping-particle" : "", "family" : "Magistretti", "given" : "P. J.", "non-dropping-particle" : "", "parse-names" : false, "suffix" : "" } ], "container-title" : "Journal of Neuroscience", "id" : "ITEM-1", "issue" : "9", "issued" : { "date-parts" : [ [ "2010", "3", "3" ] ] }, "page" : "3326-3338", "title" : "Amyloid-\u00a0 Aggregates Cause Alterations of Astrocytic Metabolic Phenotype: Impact on Neuronal Viability", "type" : "article-journal", "volume" : "30" }, "uris" : [ "http://www.mendeley.com/documents/?uuid=621be4f6-fd52-39a9-8d49-bd685fe720ca" ] } ], "mendeley" : { "formattedCitation" : "(Allaman et al. 2010)", "plainTextFormattedCitation" : "(Allaman et al. 2010)", "previouslyFormattedCitation" : "(Allaman et al. 2010)" }, "properties" : { "noteIndex" : 0 }, "schema" : "https://github.com/citation-style-language/schema/raw/master/csl-citation.json" }</w:instrText>
      </w:r>
      <w:r w:rsidR="00763331">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(Allaman et al. 2010)</w:t>
      </w:r>
      <w:r w:rsidR="00763331">
        <w:rPr>
          <w:rFonts w:ascii="Times New Roman" w:hAnsi="Times New Roman" w:cs="Times New Roman"/>
          <w:color w:val="auto"/>
          <w:sz w:val="24"/>
          <w:szCs w:val="24"/>
        </w:rPr>
        <w:fldChar w:fldCharType="end"/>
      </w:r>
      <w:r w:rsidR="00763331">
        <w:rPr>
          <w:rFonts w:ascii="Times New Roman" w:hAnsi="Times New Roman" w:cs="Times New Roman"/>
          <w:color w:val="auto"/>
          <w:sz w:val="24"/>
          <w:szCs w:val="24"/>
        </w:rPr>
        <w:t xml:space="preserve">. </w:t>
      </w:r>
      <w:r w:rsidR="0095753D">
        <w:rPr>
          <w:rFonts w:ascii="Times New Roman" w:hAnsi="Times New Roman" w:cs="Times New Roman"/>
          <w:color w:val="auto"/>
          <w:sz w:val="24"/>
          <w:szCs w:val="24"/>
        </w:rPr>
        <w:t>T</w:t>
      </w:r>
      <w:r w:rsidR="0095753D" w:rsidRPr="009D00B0">
        <w:rPr>
          <w:rFonts w:ascii="Times New Roman" w:hAnsi="Times New Roman" w:cs="Times New Roman"/>
          <w:color w:val="auto"/>
          <w:sz w:val="24"/>
          <w:szCs w:val="24"/>
        </w:rPr>
        <w:t>he</w:t>
      </w:r>
      <w:r w:rsidR="00DF0866">
        <w:rPr>
          <w:rFonts w:ascii="Times New Roman" w:hAnsi="Times New Roman" w:cs="Times New Roman"/>
          <w:color w:val="auto"/>
          <w:sz w:val="24"/>
          <w:szCs w:val="24"/>
        </w:rPr>
        <w:t>se</w:t>
      </w:r>
      <w:r w:rsidR="0095753D" w:rsidRPr="009D00B0">
        <w:rPr>
          <w:rFonts w:ascii="Times New Roman" w:hAnsi="Times New Roman" w:cs="Times New Roman"/>
          <w:color w:val="auto"/>
          <w:sz w:val="24"/>
          <w:szCs w:val="24"/>
        </w:rPr>
        <w:t xml:space="preserve"> studies performed in mouse and human astrocytes demonstrate the importance of performing experiments on human astrocytes as there are clearly interspecies differences with regards to the effect of </w:t>
      </w:r>
      <w:r w:rsidR="0091064B" w:rsidRPr="00EF2AF4">
        <w:rPr>
          <w:rFonts w:ascii="Times New Roman" w:hAnsi="Times New Roman" w:cs="Times New Roman"/>
          <w:sz w:val="24"/>
          <w:szCs w:val="24"/>
        </w:rPr>
        <w:t>Aβ</w:t>
      </w:r>
      <w:r w:rsidR="0091064B" w:rsidRPr="009D00B0">
        <w:rPr>
          <w:rFonts w:ascii="Times New Roman" w:hAnsi="Times New Roman" w:cs="Times New Roman"/>
          <w:color w:val="auto"/>
          <w:sz w:val="24"/>
          <w:szCs w:val="24"/>
        </w:rPr>
        <w:t xml:space="preserve"> </w:t>
      </w:r>
      <w:r w:rsidR="0095753D" w:rsidRPr="009D00B0">
        <w:rPr>
          <w:rFonts w:ascii="Times New Roman" w:hAnsi="Times New Roman" w:cs="Times New Roman"/>
          <w:color w:val="auto"/>
          <w:sz w:val="24"/>
          <w:szCs w:val="24"/>
        </w:rPr>
        <w:t>on energy metabolism.</w:t>
      </w:r>
      <w:r w:rsidR="0095753D">
        <w:rPr>
          <w:rFonts w:ascii="Times New Roman" w:hAnsi="Times New Roman" w:cs="Times New Roman"/>
          <w:color w:val="FF0000"/>
          <w:sz w:val="24"/>
          <w:szCs w:val="24"/>
        </w:rPr>
        <w:t xml:space="preserve">  </w:t>
      </w:r>
      <w:r w:rsidR="00DF0866">
        <w:rPr>
          <w:rFonts w:ascii="Times New Roman" w:hAnsi="Times New Roman" w:cs="Times New Roman"/>
          <w:color w:val="auto"/>
          <w:sz w:val="24"/>
          <w:szCs w:val="24"/>
        </w:rPr>
        <w:t xml:space="preserve">In the AD brain, differences in the levels of </w:t>
      </w:r>
      <w:r w:rsidR="00435A68">
        <w:rPr>
          <w:rFonts w:ascii="Times New Roman" w:hAnsi="Times New Roman" w:cs="Times New Roman"/>
          <w:sz w:val="24"/>
          <w:szCs w:val="24"/>
        </w:rPr>
        <w:t xml:space="preserve">phosphofructose kinase (PFK), a critical enzyme involved in glycolysis, </w:t>
      </w:r>
      <w:r w:rsidR="00DF0866">
        <w:rPr>
          <w:rFonts w:ascii="Times New Roman" w:hAnsi="Times New Roman" w:cs="Times New Roman"/>
          <w:sz w:val="24"/>
          <w:szCs w:val="24"/>
        </w:rPr>
        <w:t xml:space="preserve">have been observed. </w:t>
      </w:r>
      <w:r w:rsidR="000A4043">
        <w:rPr>
          <w:rFonts w:ascii="Times New Roman" w:hAnsi="Times New Roman" w:cs="Times New Roman"/>
          <w:sz w:val="24"/>
          <w:szCs w:val="24"/>
        </w:rPr>
        <w:t>Increased PFK levels</w:t>
      </w:r>
      <w:r w:rsidR="00435A68">
        <w:rPr>
          <w:rFonts w:ascii="Times New Roman" w:hAnsi="Times New Roman" w:cs="Times New Roman"/>
          <w:sz w:val="24"/>
          <w:szCs w:val="24"/>
        </w:rPr>
        <w:t xml:space="preserve"> </w:t>
      </w:r>
      <w:r w:rsidR="000A4043">
        <w:rPr>
          <w:rFonts w:ascii="Times New Roman" w:hAnsi="Times New Roman" w:cs="Times New Roman"/>
          <w:sz w:val="24"/>
          <w:szCs w:val="24"/>
        </w:rPr>
        <w:t xml:space="preserve">were observed </w:t>
      </w:r>
      <w:r w:rsidR="00435A68">
        <w:rPr>
          <w:rFonts w:ascii="Times New Roman" w:hAnsi="Times New Roman" w:cs="Times New Roman"/>
          <w:sz w:val="24"/>
          <w:szCs w:val="24"/>
        </w:rPr>
        <w:t xml:space="preserve">in astrocytes and decreased </w:t>
      </w:r>
      <w:r w:rsidR="000A4043">
        <w:rPr>
          <w:rFonts w:ascii="Times New Roman" w:hAnsi="Times New Roman" w:cs="Times New Roman"/>
          <w:sz w:val="24"/>
          <w:szCs w:val="24"/>
        </w:rPr>
        <w:t>levels</w:t>
      </w:r>
      <w:r w:rsidR="00435A68">
        <w:rPr>
          <w:rFonts w:ascii="Times New Roman" w:hAnsi="Times New Roman" w:cs="Times New Roman"/>
          <w:sz w:val="24"/>
          <w:szCs w:val="24"/>
        </w:rPr>
        <w:t xml:space="preserve"> </w:t>
      </w:r>
      <w:r w:rsidR="000A4043">
        <w:rPr>
          <w:rFonts w:ascii="Times New Roman" w:hAnsi="Times New Roman" w:cs="Times New Roman"/>
          <w:sz w:val="24"/>
          <w:szCs w:val="24"/>
        </w:rPr>
        <w:t xml:space="preserve">were detected </w:t>
      </w:r>
      <w:r w:rsidR="00435A68">
        <w:rPr>
          <w:rFonts w:ascii="Times New Roman" w:hAnsi="Times New Roman" w:cs="Times New Roman"/>
          <w:sz w:val="24"/>
          <w:szCs w:val="24"/>
        </w:rPr>
        <w:t xml:space="preserve">in neurons surrounding </w:t>
      </w:r>
      <w:r w:rsidR="0091064B" w:rsidRPr="00EF2AF4">
        <w:rPr>
          <w:rFonts w:ascii="Times New Roman" w:hAnsi="Times New Roman" w:cs="Times New Roman"/>
          <w:sz w:val="24"/>
          <w:szCs w:val="24"/>
        </w:rPr>
        <w:t>Aβ</w:t>
      </w:r>
      <w:r w:rsidR="0091064B">
        <w:rPr>
          <w:rFonts w:ascii="Times New Roman" w:hAnsi="Times New Roman" w:cs="Times New Roman"/>
          <w:sz w:val="24"/>
          <w:szCs w:val="24"/>
        </w:rPr>
        <w:t xml:space="preserve"> </w:t>
      </w:r>
      <w:r w:rsidR="00435A68">
        <w:rPr>
          <w:rFonts w:ascii="Times New Roman" w:hAnsi="Times New Roman" w:cs="Times New Roman"/>
          <w:sz w:val="24"/>
          <w:szCs w:val="24"/>
        </w:rPr>
        <w:t>plaques</w:t>
      </w:r>
      <w:r w:rsidR="00CD3235">
        <w:rPr>
          <w:rFonts w:ascii="Times New Roman" w:hAnsi="Times New Roman" w:cs="Times New Roman"/>
          <w:sz w:val="24"/>
          <w:szCs w:val="24"/>
        </w:rPr>
        <w:t xml:space="preserve"> </w:t>
      </w:r>
      <w:r w:rsidR="00CD3235">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"10.1007/s007020050174", "ISSN" : "0300-9564", "PMID" : "10443553", "abstract" : "The activities of hexokinase, aldolase, pyruvate kinase, lactate dehydrogenase and glucose 6-phosphate dehydrogenase were determined in brains of patients with Alzheimer's disease (AD) and in age matched controls. For pyruvate kinase and lactate dehydrogenase a significant increase in specific activity was found in frontal and temporal cortex of AD brains, while the activities of aldolase and hexokinase are not changed. Glucose 6-phosphate dehydrogenase activity was significantly reduced in hippocampus. The increase of some glycolytic enzyme activities is correlated with increased contents of lactate dehydrogenase and glial fibrillary acidic protein (GFAP) in homogenates of frontal and temporal cortex and elevated phosphofructokinase (PFK) and GFAP in astrocytes from the same brain areas. The data extend previous findings on an increase in brain PFK specific activity in AD and suggest that the increased activity of some glycolytic enzymes may be, at least in part, the result of the reactive astrocytosis developing in the course of AD.", "author" : [ { "dropping-particle" : "", "family" : "Bigl", "given" : "M", "non-dropping-particle" : "", "parse-names" : false, "suffix" : "" }, { "dropping-particle" : "", "family" : "Br\u00fcckner", "given" : "M K", "non-dropping-particle" : "", "parse-names" : false, "suffix" : "" }, { "dropping-particle" : "", "family" : "Arendt", "given" : "T", "non-dropping-particle" : "", "parse-names" : false, "suffix" : "" }, { "dropping-particle" : "", "family" : "Bigl", "given" : "V", "non-dropping-particle" : "", "parse-names" : false, "suffix" : "" }, { "dropping-particle" : "", "family" : "Eschrich", "given" : "K", "non-dropping-particle" : "", "parse-names" : false, "suffix" : "" } ], "container-title" : "Journal of neural transmission (Vienna, Austria : 1996)", "id" : "ITEM-1", "issue" : "5-6", "issued" : { "date-parts" : [ [ "1999", "1" ] ] }, "page" : "499-511", "title" : "Activities of key glycolytic enzymes in the brains of patients with Alzheimer's disease.", "type" : "article-journal", "volume" : "106" }, "uris" : [ "http://www.mendeley.com/documents/?uuid=4ebf4d23-98ee-4d5c-9b4f-1944dca5d853" ] } ], "mendeley" : { "formattedCitation" : "(Bigl et al. 1999)", "plainTextFormattedCitation" : "(Bigl et al. 1999)", "previouslyFormattedCitation" : "(Bigl et al. 1999)" }, "properties" : { "noteIndex" : 0 }, "schema" : "https://github.com/citation-style-language/schema/raw/master/csl-citation.json" }</w:instrText>
      </w:r>
      <w:r w:rsidR="00CD3235">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(Bigl et al. 1999)</w:t>
      </w:r>
      <w:r w:rsidR="00CD3235">
        <w:rPr>
          <w:rFonts w:ascii="Times New Roman" w:hAnsi="Times New Roman" w:cs="Times New Roman"/>
          <w:sz w:val="24"/>
          <w:szCs w:val="24"/>
        </w:rPr>
        <w:fldChar w:fldCharType="end"/>
      </w:r>
      <w:r w:rsidR="009975CF">
        <w:rPr>
          <w:rFonts w:ascii="Times New Roman" w:hAnsi="Times New Roman" w:cs="Times New Roman"/>
          <w:sz w:val="24"/>
          <w:szCs w:val="24"/>
        </w:rPr>
        <w:t xml:space="preserve">. </w:t>
      </w:r>
      <w:r w:rsidR="00DF0866">
        <w:rPr>
          <w:rFonts w:ascii="Times New Roman" w:hAnsi="Times New Roman" w:cs="Times New Roman"/>
          <w:color w:val="auto"/>
          <w:sz w:val="24"/>
          <w:szCs w:val="24"/>
        </w:rPr>
        <w:t xml:space="preserve">This shows that </w:t>
      </w:r>
      <w:r w:rsidR="00DF0866" w:rsidRPr="00EF2AF4">
        <w:rPr>
          <w:rFonts w:ascii="Times New Roman" w:hAnsi="Times New Roman" w:cs="Times New Roman"/>
          <w:sz w:val="24"/>
          <w:szCs w:val="24"/>
        </w:rPr>
        <w:t>Aβ</w:t>
      </w:r>
      <w:r w:rsidR="00CD3235">
        <w:rPr>
          <w:rFonts w:ascii="Times New Roman" w:hAnsi="Times New Roman" w:cs="Times New Roman"/>
          <w:sz w:val="24"/>
          <w:szCs w:val="24"/>
        </w:rPr>
        <w:t xml:space="preserve"> a</w:t>
      </w:r>
      <w:r w:rsidR="00DF0866">
        <w:rPr>
          <w:rFonts w:ascii="Times New Roman" w:hAnsi="Times New Roman" w:cs="Times New Roman"/>
          <w:sz w:val="24"/>
          <w:szCs w:val="24"/>
        </w:rPr>
        <w:t xml:space="preserve">ffects astrocyte and neuron metabolism in different ways. </w:t>
      </w:r>
    </w:p>
    <w:p w14:paraId="1FFB02BD" w14:textId="5986E624" w:rsidR="00D079C1" w:rsidRPr="00C25727" w:rsidRDefault="00FE1CE8" w:rsidP="00C25727">
      <w:pPr>
        <w:pStyle w:val="Body"/>
        <w:spacing w:line="360" w:lineRule="auto"/>
        <w:jc w:val="both"/>
        <w:rPr>
          <w:rFonts w:ascii="Times New Roman" w:hAnsi="Times New Roman" w:cs="Times New Roman"/>
          <w:color w:val="FF0000"/>
          <w:sz w:val="24"/>
          <w:szCs w:val="24"/>
        </w:rPr>
      </w:pPr>
      <w:r>
        <w:rPr>
          <w:rFonts w:ascii="Times New Roman" w:hAnsi="Times New Roman" w:cs="Times New Roman"/>
          <w:sz w:val="24"/>
          <w:szCs w:val="24"/>
        </w:rPr>
        <w:t xml:space="preserve">In support of the Allaman </w:t>
      </w:r>
      <w:r>
        <w:rPr>
          <w:rFonts w:ascii="Times New Roman" w:hAnsi="Times New Roman" w:cs="Times New Roman"/>
          <w:i/>
          <w:sz w:val="24"/>
          <w:szCs w:val="24"/>
        </w:rPr>
        <w:t>et al</w:t>
      </w:r>
      <w:r>
        <w:rPr>
          <w:rFonts w:ascii="Times New Roman" w:hAnsi="Times New Roman" w:cs="Times New Roman"/>
          <w:sz w:val="24"/>
          <w:szCs w:val="24"/>
        </w:rPr>
        <w:t xml:space="preserve"> (2010) study, rat astrocytes </w:t>
      </w:r>
      <w:r w:rsidR="00FA2B5C">
        <w:rPr>
          <w:rFonts w:ascii="Times New Roman" w:hAnsi="Times New Roman" w:cs="Times New Roman"/>
          <w:sz w:val="24"/>
          <w:szCs w:val="24"/>
        </w:rPr>
        <w:t xml:space="preserve">have been shown to </w:t>
      </w:r>
      <w:r w:rsidR="004679DE">
        <w:rPr>
          <w:rFonts w:ascii="Times New Roman" w:hAnsi="Times New Roman" w:cs="Times New Roman"/>
          <w:sz w:val="24"/>
          <w:szCs w:val="24"/>
        </w:rPr>
        <w:t>exac</w:t>
      </w:r>
      <w:r w:rsidR="00646871">
        <w:rPr>
          <w:rFonts w:ascii="Times New Roman" w:hAnsi="Times New Roman" w:cs="Times New Roman"/>
          <w:sz w:val="24"/>
          <w:szCs w:val="24"/>
        </w:rPr>
        <w:t>erbate</w:t>
      </w:r>
      <w:r>
        <w:rPr>
          <w:rFonts w:ascii="Times New Roman" w:hAnsi="Times New Roman" w:cs="Times New Roman"/>
          <w:sz w:val="24"/>
          <w:szCs w:val="24"/>
        </w:rPr>
        <w:t xml:space="preserve"> </w:t>
      </w:r>
      <w:r w:rsidRPr="00EF2AF4">
        <w:rPr>
          <w:rFonts w:ascii="Times New Roman" w:hAnsi="Times New Roman" w:cs="Times New Roman"/>
          <w:sz w:val="24"/>
          <w:szCs w:val="24"/>
        </w:rPr>
        <w:t>Aβ</w:t>
      </w:r>
      <w:r w:rsidR="00CD3235">
        <w:rPr>
          <w:rFonts w:ascii="Times New Roman" w:hAnsi="Times New Roman" w:cs="Times New Roman"/>
          <w:sz w:val="24"/>
          <w:szCs w:val="24"/>
        </w:rPr>
        <w:t>-</w:t>
      </w:r>
      <w:r w:rsidR="00646871">
        <w:rPr>
          <w:rFonts w:ascii="Times New Roman" w:hAnsi="Times New Roman" w:cs="Times New Roman"/>
          <w:sz w:val="24"/>
          <w:szCs w:val="24"/>
        </w:rPr>
        <w:t>induced</w:t>
      </w:r>
      <w:r>
        <w:rPr>
          <w:rFonts w:ascii="Times New Roman" w:hAnsi="Times New Roman" w:cs="Times New Roman"/>
          <w:sz w:val="24"/>
          <w:szCs w:val="24"/>
        </w:rPr>
        <w:t xml:space="preserve"> neuro</w:t>
      </w:r>
      <w:r w:rsidR="00646871">
        <w:rPr>
          <w:rFonts w:ascii="Times New Roman" w:hAnsi="Times New Roman" w:cs="Times New Roman"/>
          <w:sz w:val="24"/>
          <w:szCs w:val="24"/>
        </w:rPr>
        <w:t>nal death</w:t>
      </w:r>
      <w:r>
        <w:rPr>
          <w:rFonts w:ascii="Times New Roman" w:hAnsi="Times New Roman" w:cs="Times New Roman"/>
          <w:sz w:val="24"/>
          <w:szCs w:val="24"/>
        </w:rPr>
        <w:t xml:space="preserve">. </w:t>
      </w:r>
      <w:r w:rsidR="00623BAB" w:rsidRPr="009D00B0">
        <w:rPr>
          <w:rFonts w:ascii="Times New Roman" w:hAnsi="Times New Roman" w:cs="Times New Roman"/>
          <w:color w:val="auto"/>
          <w:sz w:val="24"/>
          <w:szCs w:val="24"/>
        </w:rPr>
        <w:t xml:space="preserve"> </w:t>
      </w:r>
      <w:r w:rsidR="00646871">
        <w:rPr>
          <w:rFonts w:ascii="Times New Roman" w:hAnsi="Times New Roman" w:cs="Times New Roman"/>
          <w:color w:val="auto"/>
          <w:sz w:val="24"/>
          <w:szCs w:val="24"/>
        </w:rPr>
        <w:t xml:space="preserve">In addition, caspase 3-cleaved tau was increased in primary neurons and inhibition of the </w:t>
      </w:r>
      <w:r w:rsidR="00646871" w:rsidRPr="00E42DDA">
        <w:rPr>
          <w:rFonts w:ascii="Times New Roman" w:hAnsi="Times New Roman" w:cs="Times New Roman"/>
          <w:color w:val="auto"/>
          <w:sz w:val="24"/>
          <w:szCs w:val="24"/>
        </w:rPr>
        <w:t xml:space="preserve">astrocytes inflammatory response reduced caspase 3-truncated tau species and neuronal loss </w:t>
      </w:r>
      <w:r w:rsidR="001256DF" w:rsidRPr="00E42DDA">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"10.1038/cddis.2011.50", "ISSN" : "2041-4889", "PMID" : "21633390", "abstract" : "Alzheimer's disease (AD) is pathologically characterised by the age-dependent deposition of \u03b2-amyloid (A\u03b2) in senile plaques, intraneuronal accumulation of tau as neurofibrillary tangles, synaptic dysfunction and neuronal death. Neuroinflammation, typified by the accumulation of activated microglia and reactive astrocytes, is believed to modulate the development and/or progression of AD. We have used primary rat neuronal, astrocytic and mixed cortical cultures to investigate the contribution of astrocyte-mediated inflammatory responses during A\u03b2-induced neuronal loss. We report that the presence of small numbers of astrocytes exacerbate A\u03b2-induced neuronal death, caspase-3 activation and the production of caspase-3-cleaved tau. Furthermore, we show that astrocytes are essential for the A\u03b2-induced tau phosphorylation observed in primary neurons. The release of soluble inflammatory factor(s) from astrocytes accompanies these events, and inhibition of astrocyte activation with the anti-inflammatory agent, minocycline, reduces astrocytic inflammatory responses and the associated neuronal loss. A\u03b2-induced increases in caspase-3 activation and the production of caspase-3-truncated tau species in neurons were reduced when the astrocytic response was attenuated with minocycline. Taken together, these results show that astrocytes are important mediators of the neurotoxic events downstream of elevated A\u03b2 in models of AD, and suggest that mechanisms underlying pro-inflammatory cytokine release might be an important target for therapy.", "author" : [ { "dropping-particle" : "", "family" : "Garwood", "given" : "C J", "non-dropping-particle" : "", "parse-names" : false, "suffix" : "" }, { "dropping-particle" : "", "family" : "Pooler", "given" : "A M", "non-dropping-particle" : "", "parse-names" : false, "suffix" : "" }, { "dropping-particle" : "", "family" : "Atherton", "given" : "J", "non-dropping-particle" : "", "parse-names" : false, "suffix" : "" }, { "dropping-particle" : "", "family" : "Hanger", "given" : "D P", "non-dropping-particle" : "", "parse-names" : false, "suffix" : "" }, { "dropping-particle" : "", "family" : "Noble", "given" : "W", "non-dropping-particle" : "", "parse-names" : false, "suffix" : "" } ], "container-title" : "Cell death &amp; disease", "id" : "ITEM-1", "issued" : { "date-parts" : [ [ "2011" ] ] }, "page" : "e167", "title" : "Astrocytes are important mediators of A\u03b2-induced neurotoxicity and tau phosphorylation in primary culture.", "type" : "article-journal", "volume" : "2" }, "uris" : [ "http://www.mendeley.com/documents/?uuid=60521431-ff9f-3372-9498-4abca67a42aa" ] } ], "mendeley" : { "formattedCitation" : "(Garwood et al. 2011)", "plainTextFormattedCitation" : "(Garwood et al. 2011)", "previouslyFormattedCitation" : "(Garwood et al. 2011)" }, "properties" : { "noteIndex" : 0 }, "schema" : "https://github.com/citation-style-language/schema/raw/master/csl-citation.json" }</w:instrText>
      </w:r>
      <w:r w:rsidR="001256DF" w:rsidRPr="00E42DDA">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(Garwood et al. 2011)</w:t>
      </w:r>
      <w:r w:rsidR="001256DF" w:rsidRPr="00E42DDA">
        <w:rPr>
          <w:rFonts w:ascii="Times New Roman" w:hAnsi="Times New Roman" w:cs="Times New Roman"/>
          <w:color w:val="auto"/>
          <w:sz w:val="24"/>
          <w:szCs w:val="24"/>
        </w:rPr>
        <w:fldChar w:fldCharType="end"/>
      </w:r>
      <w:r w:rsidR="001256DF">
        <w:rPr>
          <w:rFonts w:ascii="Times New Roman" w:hAnsi="Times New Roman" w:cs="Times New Roman"/>
          <w:color w:val="auto"/>
          <w:sz w:val="24"/>
          <w:szCs w:val="24"/>
        </w:rPr>
        <w:t xml:space="preserve">. Therefore, </w:t>
      </w:r>
      <w:r w:rsidR="001256DF" w:rsidRPr="00EF2AF4">
        <w:rPr>
          <w:rFonts w:ascii="Times New Roman" w:hAnsi="Times New Roman" w:cs="Times New Roman"/>
          <w:sz w:val="24"/>
          <w:szCs w:val="24"/>
        </w:rPr>
        <w:t>Aβ</w:t>
      </w:r>
      <w:r w:rsidR="001256DF">
        <w:rPr>
          <w:rFonts w:ascii="Times New Roman" w:hAnsi="Times New Roman" w:cs="Times New Roman"/>
          <w:sz w:val="24"/>
          <w:szCs w:val="24"/>
        </w:rPr>
        <w:t xml:space="preserve"> could drive a pro-inflammatory response in astrocytes that is detrimental to neurons.</w:t>
      </w:r>
      <w:bookmarkStart w:id="271" w:name="_Toc328301091"/>
      <w:bookmarkStart w:id="272" w:name="_Toc329593384"/>
      <w:bookmarkStart w:id="273" w:name="_Toc331425883"/>
      <w:bookmarkStart w:id="274" w:name="_Toc331427070"/>
      <w:bookmarkStart w:id="275" w:name="_Toc331427442"/>
      <w:bookmarkStart w:id="276" w:name="_Toc331427584"/>
    </w:p>
    <w:p w14:paraId="208F331B" w14:textId="3A8204E7" w:rsidR="002E2220" w:rsidRDefault="003945B4" w:rsidP="00055CE9">
      <w:pPr>
        <w:pStyle w:val="Heading3"/>
      </w:pPr>
      <w:bookmarkStart w:id="277" w:name="_Toc332972588"/>
      <w:bookmarkStart w:id="278" w:name="_Toc333046868"/>
      <w:bookmarkStart w:id="279" w:name="_Toc333477215"/>
      <w:bookmarkStart w:id="280" w:name="_Toc333477985"/>
      <w:bookmarkStart w:id="281" w:name="_Toc333644885"/>
      <w:r>
        <w:t>1.4.4</w:t>
      </w:r>
      <w:r w:rsidR="00055CE9">
        <w:t xml:space="preserve"> Altered signalling</w:t>
      </w:r>
      <w:bookmarkEnd w:id="271"/>
      <w:bookmarkEnd w:id="272"/>
      <w:bookmarkEnd w:id="273"/>
      <w:bookmarkEnd w:id="274"/>
      <w:bookmarkEnd w:id="275"/>
      <w:bookmarkEnd w:id="276"/>
      <w:bookmarkEnd w:id="277"/>
      <w:bookmarkEnd w:id="278"/>
      <w:bookmarkEnd w:id="279"/>
      <w:bookmarkEnd w:id="280"/>
      <w:bookmarkEnd w:id="281"/>
    </w:p>
    <w:p w14:paraId="0D447C29" w14:textId="77777777" w:rsidR="00D7215B" w:rsidRDefault="00D7215B" w:rsidP="00D7215B"/>
    <w:p w14:paraId="17782C9C" w14:textId="44FCB5FE" w:rsidR="005B5C03" w:rsidRDefault="002E2E2D" w:rsidP="003E7BDB">
      <w:pPr>
        <w:spacing w:line="360" w:lineRule="auto"/>
        <w:jc w:val="both"/>
        <w:rPr>
          <w:rFonts w:ascii="Times New Roman" w:hAnsi="Times New Roman" w:cs="Times New Roman"/>
          <w:color w:val="FF0000"/>
        </w:rPr>
      </w:pPr>
      <w:r w:rsidRPr="002E2E2D">
        <w:rPr>
          <w:rFonts w:ascii="Times New Roman" w:hAnsi="Times New Roman" w:cs="Times New Roman"/>
        </w:rPr>
        <w:t>The ability of astrocytes to perf</w:t>
      </w:r>
      <w:r w:rsidR="001F6E2C">
        <w:rPr>
          <w:rFonts w:ascii="Times New Roman" w:hAnsi="Times New Roman" w:cs="Times New Roman"/>
        </w:rPr>
        <w:t xml:space="preserve">orm </w:t>
      </w:r>
      <w:r w:rsidR="00771293">
        <w:rPr>
          <w:rFonts w:ascii="Times New Roman" w:hAnsi="Times New Roman" w:cs="Times New Roman"/>
        </w:rPr>
        <w:t>a diverse range of</w:t>
      </w:r>
      <w:r>
        <w:rPr>
          <w:rFonts w:ascii="Times New Roman" w:hAnsi="Times New Roman" w:cs="Times New Roman"/>
        </w:rPr>
        <w:t xml:space="preserve"> functions relies on the activity of different </w:t>
      </w:r>
      <w:r w:rsidRPr="002E2E2D">
        <w:rPr>
          <w:rFonts w:ascii="Times New Roman" w:hAnsi="Times New Roman" w:cs="Times New Roman"/>
        </w:rPr>
        <w:t>signalling pathway</w:t>
      </w:r>
      <w:r>
        <w:rPr>
          <w:rFonts w:ascii="Times New Roman" w:hAnsi="Times New Roman" w:cs="Times New Roman"/>
        </w:rPr>
        <w:t>s</w:t>
      </w:r>
      <w:r w:rsidR="00852703">
        <w:rPr>
          <w:rFonts w:ascii="Times New Roman" w:hAnsi="Times New Roman" w:cs="Times New Roman"/>
        </w:rPr>
        <w:t xml:space="preserve">, which </w:t>
      </w:r>
      <w:r w:rsidR="00771293">
        <w:rPr>
          <w:rFonts w:ascii="Times New Roman" w:hAnsi="Times New Roman" w:cs="Times New Roman"/>
        </w:rPr>
        <w:t xml:space="preserve">in turn </w:t>
      </w:r>
      <w:r w:rsidR="00852703">
        <w:rPr>
          <w:rFonts w:ascii="Times New Roman" w:hAnsi="Times New Roman" w:cs="Times New Roman"/>
        </w:rPr>
        <w:t>is regulated</w:t>
      </w:r>
      <w:r w:rsidR="002B3D29">
        <w:rPr>
          <w:rFonts w:ascii="Times New Roman" w:hAnsi="Times New Roman" w:cs="Times New Roman"/>
        </w:rPr>
        <w:t xml:space="preserve"> by the interactions made with other </w:t>
      </w:r>
      <w:r w:rsidR="00852703">
        <w:rPr>
          <w:rFonts w:ascii="Times New Roman" w:hAnsi="Times New Roman" w:cs="Times New Roman"/>
        </w:rPr>
        <w:t>cells</w:t>
      </w:r>
      <w:r w:rsidRPr="002E2E2D">
        <w:rPr>
          <w:rFonts w:ascii="Times New Roman" w:hAnsi="Times New Roman" w:cs="Times New Roman"/>
        </w:rPr>
        <w:t>.</w:t>
      </w:r>
      <w:r w:rsidR="00202A78" w:rsidRPr="002E2E2D">
        <w:rPr>
          <w:rFonts w:ascii="Times New Roman" w:hAnsi="Times New Roman" w:cs="Times New Roman"/>
        </w:rPr>
        <w:t xml:space="preserve"> </w:t>
      </w:r>
      <w:r w:rsidR="002B3D29">
        <w:rPr>
          <w:rFonts w:ascii="Times New Roman" w:hAnsi="Times New Roman" w:cs="Times New Roman"/>
        </w:rPr>
        <w:t>I</w:t>
      </w:r>
      <w:r w:rsidR="00202A78">
        <w:rPr>
          <w:rFonts w:ascii="Times New Roman" w:hAnsi="Times New Roman" w:cs="Times New Roman"/>
        </w:rPr>
        <w:t>t is likely that modificatio</w:t>
      </w:r>
      <w:r>
        <w:rPr>
          <w:rFonts w:ascii="Times New Roman" w:hAnsi="Times New Roman" w:cs="Times New Roman"/>
        </w:rPr>
        <w:t>ns in signalling</w:t>
      </w:r>
      <w:r w:rsidR="002B3D29">
        <w:rPr>
          <w:rFonts w:ascii="Times New Roman" w:hAnsi="Times New Roman" w:cs="Times New Roman"/>
        </w:rPr>
        <w:t>,</w:t>
      </w:r>
      <w:r>
        <w:rPr>
          <w:rFonts w:ascii="Times New Roman" w:hAnsi="Times New Roman" w:cs="Times New Roman"/>
        </w:rPr>
        <w:t xml:space="preserve"> due to</w:t>
      </w:r>
      <w:r w:rsidR="00202A78">
        <w:rPr>
          <w:rFonts w:ascii="Times New Roman" w:hAnsi="Times New Roman" w:cs="Times New Roman"/>
        </w:rPr>
        <w:t xml:space="preserve"> mutation, an altered stimulus or acquisition of protein aggregrates</w:t>
      </w:r>
      <w:r w:rsidR="007C5589">
        <w:rPr>
          <w:rFonts w:ascii="Times New Roman" w:hAnsi="Times New Roman" w:cs="Times New Roman"/>
        </w:rPr>
        <w:t xml:space="preserve"> or exposure to stress</w:t>
      </w:r>
      <w:r w:rsidR="002B3D29">
        <w:rPr>
          <w:rFonts w:ascii="Times New Roman" w:hAnsi="Times New Roman" w:cs="Times New Roman"/>
        </w:rPr>
        <w:t>,</w:t>
      </w:r>
      <w:r w:rsidR="00202A78">
        <w:rPr>
          <w:rFonts w:ascii="Times New Roman" w:hAnsi="Times New Roman" w:cs="Times New Roman"/>
        </w:rPr>
        <w:t xml:space="preserve"> will alter the ability of a</w:t>
      </w:r>
      <w:r>
        <w:rPr>
          <w:rFonts w:ascii="Times New Roman" w:hAnsi="Times New Roman" w:cs="Times New Roman"/>
        </w:rPr>
        <w:t>strocytes to perform</w:t>
      </w:r>
      <w:r w:rsidR="002B3D29">
        <w:rPr>
          <w:rFonts w:ascii="Times New Roman" w:hAnsi="Times New Roman" w:cs="Times New Roman"/>
        </w:rPr>
        <w:t>.</w:t>
      </w:r>
      <w:r>
        <w:rPr>
          <w:rFonts w:ascii="Times New Roman" w:hAnsi="Times New Roman" w:cs="Times New Roman"/>
        </w:rPr>
        <w:t xml:space="preserve"> </w:t>
      </w:r>
      <w:r w:rsidR="00C94B58">
        <w:rPr>
          <w:rFonts w:ascii="Times New Roman" w:hAnsi="Times New Roman" w:cs="Times New Roman"/>
        </w:rPr>
        <w:t xml:space="preserve">Therefore, maintaining finely </w:t>
      </w:r>
      <w:r w:rsidR="002B3D29">
        <w:rPr>
          <w:rFonts w:ascii="Times New Roman" w:hAnsi="Times New Roman" w:cs="Times New Roman"/>
        </w:rPr>
        <w:t xml:space="preserve">tuned control of various signalling pathways in astrocytes may be important </w:t>
      </w:r>
      <w:r w:rsidR="007C5589">
        <w:rPr>
          <w:rFonts w:ascii="Times New Roman" w:hAnsi="Times New Roman" w:cs="Times New Roman"/>
        </w:rPr>
        <w:t>for preserving overall</w:t>
      </w:r>
      <w:r w:rsidR="002B3D29">
        <w:rPr>
          <w:rFonts w:ascii="Times New Roman" w:hAnsi="Times New Roman" w:cs="Times New Roman"/>
        </w:rPr>
        <w:t xml:space="preserve"> brain homeostasis and</w:t>
      </w:r>
      <w:r w:rsidR="007C5589">
        <w:rPr>
          <w:rFonts w:ascii="Times New Roman" w:hAnsi="Times New Roman" w:cs="Times New Roman"/>
        </w:rPr>
        <w:t xml:space="preserve"> maintaining support for neur</w:t>
      </w:r>
      <w:r w:rsidR="00F56806">
        <w:rPr>
          <w:rFonts w:ascii="Times New Roman" w:hAnsi="Times New Roman" w:cs="Times New Roman"/>
        </w:rPr>
        <w:t xml:space="preserve">ons in old </w:t>
      </w:r>
      <w:r w:rsidR="00F56806" w:rsidRPr="00F56806">
        <w:rPr>
          <w:rFonts w:ascii="Times New Roman" w:hAnsi="Times New Roman" w:cs="Times New Roman"/>
        </w:rPr>
        <w:t xml:space="preserve">age </w:t>
      </w:r>
      <w:r w:rsidR="002E7342" w:rsidRPr="00722323">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"10.1042/AN20090035", "ISSN" : "1759-0914", "author" : [ { "dropping-particle" : "", "family" : "Chow", "given" : "Siu\u2011Kei", "non-dropping-particle" : "", "parse-names" : false, "suffix" : "" }, { "dropping-particle" : "", "family" : "Yu", "given" : "Diana", "non-dropping-particle" : "", "parse-names" : false, "suffix" : "" }, { "dropping-particle" : "", "family" : "MacDonald", "given" : "Christopher L", "non-dropping-particle" : "", "parse-names" : false, "suffix" : "" }, { "dropping-particle" : "", "family" : "Buibas", "given" : "Marius", "non-dropping-particle" : "", "parse-names" : false, "suffix" : "" }, { "dropping-particle" : "", "family" : "Silva", "given" : "Gabriel A", "non-dropping-particle" : "", "parse-names" : false, "suffix" : "" } ], "container-title" : "ASN NEURO", "id" : "ITEM-1", "issue" : "1", "issued" : { "date-parts" : [ [ "2010", "1", "25" ] ] }, "page" : "15-23", "publisher" : "SAGE Publications", "title" : "Amyloid \u03b2-peptide directly induces spontaneous calcium transients, delayed intercellular calcium waves and gliosis in rat cortical astrocytes", "type" : "article-journal", "volume" : "2" }, "uris" : [ "http://www.mendeley.com/documents/?uuid=0e002c96-fd3a-3003-998d-5542239fb77f" ] } ], "mendeley" : { "formattedCitation" : "(Chow et al. 2010)", "plainTextFormattedCitation" : "(Chow et al. 2010)", "previouslyFormattedCitation" : "(Chow et al. 2010)" }, "properties" : { "noteIndex" : 0 }, "schema" : "https://github.com/citation-style-language/schema/raw/master/csl-citation.json" }</w:instrText>
      </w:r>
      <w:r w:rsidR="002E7342" w:rsidRPr="00722323">
        <w:rPr>
          <w:rFonts w:ascii="Times New Roman" w:hAnsi="Times New Roman" w:cs="Times New Roman"/>
        </w:rPr>
        <w:fldChar w:fldCharType="separate"/>
      </w:r>
      <w:r w:rsidR="00C148FC" w:rsidRPr="00C148FC">
        <w:rPr>
          <w:rFonts w:ascii="Times New Roman" w:hAnsi="Times New Roman" w:cs="Times New Roman"/>
          <w:noProof/>
        </w:rPr>
        <w:t>(Chow et al. 2010)</w:t>
      </w:r>
      <w:r w:rsidR="002E7342" w:rsidRPr="00722323">
        <w:rPr>
          <w:rFonts w:ascii="Times New Roman" w:hAnsi="Times New Roman" w:cs="Times New Roman"/>
        </w:rPr>
        <w:fldChar w:fldCharType="end"/>
      </w:r>
      <w:r w:rsidR="005E2C03" w:rsidRPr="00722323">
        <w:rPr>
          <w:rFonts w:ascii="Times New Roman" w:hAnsi="Times New Roman" w:cs="Times New Roman"/>
        </w:rPr>
        <w:t>.</w:t>
      </w:r>
      <w:r w:rsidR="005E2C03">
        <w:rPr>
          <w:rFonts w:ascii="Times New Roman" w:hAnsi="Times New Roman" w:cs="Times New Roman"/>
          <w:color w:val="FF0000"/>
        </w:rPr>
        <w:t xml:space="preserve"> </w:t>
      </w:r>
    </w:p>
    <w:p w14:paraId="7AD4148F" w14:textId="77777777" w:rsidR="00722323" w:rsidRDefault="00722323" w:rsidP="00202A78">
      <w:pPr>
        <w:spacing w:line="360" w:lineRule="auto"/>
        <w:rPr>
          <w:rFonts w:ascii="Times New Roman" w:hAnsi="Times New Roman" w:cs="Times New Roman"/>
        </w:rPr>
      </w:pPr>
    </w:p>
    <w:p w14:paraId="709E819D" w14:textId="77777777" w:rsidR="00C94B58" w:rsidRDefault="00C94B58" w:rsidP="00202A78">
      <w:pPr>
        <w:spacing w:line="360" w:lineRule="auto"/>
        <w:rPr>
          <w:rFonts w:ascii="Times New Roman" w:hAnsi="Times New Roman" w:cs="Times New Roman"/>
        </w:rPr>
      </w:pPr>
    </w:p>
    <w:p w14:paraId="791E6F8C" w14:textId="77777777" w:rsidR="0019787A" w:rsidRDefault="0019787A" w:rsidP="00C25727">
      <w:pPr>
        <w:rPr>
          <w:rFonts w:ascii="Times New Roman" w:hAnsi="Times New Roman" w:cs="Times New Roman"/>
          <w:b/>
          <w:i/>
          <w:u w:val="single"/>
        </w:rPr>
      </w:pPr>
    </w:p>
    <w:p w14:paraId="0BDF5E52" w14:textId="0D9418C7" w:rsidR="00C94B58" w:rsidRPr="00320803" w:rsidRDefault="00320803" w:rsidP="00C25727">
      <w:pPr>
        <w:rPr>
          <w:rFonts w:ascii="Times New Roman" w:hAnsi="Times New Roman" w:cs="Times New Roman"/>
          <w:b/>
          <w:i/>
          <w:u w:val="single"/>
        </w:rPr>
      </w:pPr>
      <w:r>
        <w:rPr>
          <w:rFonts w:ascii="Times New Roman" w:hAnsi="Times New Roman" w:cs="Times New Roman"/>
          <w:b/>
          <w:i/>
          <w:u w:val="single"/>
        </w:rPr>
        <w:t>Alterations in intracellular calcium signalling in astrocytes in AD</w:t>
      </w:r>
    </w:p>
    <w:p w14:paraId="314EAD6A" w14:textId="04FDED34" w:rsidR="00055CE9" w:rsidRDefault="002E2E2D" w:rsidP="003E7BDB">
      <w:pPr>
        <w:spacing w:line="360" w:lineRule="auto"/>
        <w:jc w:val="both"/>
        <w:rPr>
          <w:rFonts w:ascii="Times New Roman" w:hAnsi="Times New Roman" w:cs="Times New Roman"/>
        </w:rPr>
      </w:pPr>
      <w:r>
        <w:rPr>
          <w:rFonts w:ascii="Times New Roman" w:hAnsi="Times New Roman" w:cs="Times New Roman"/>
        </w:rPr>
        <w:t xml:space="preserve">One pathway </w:t>
      </w:r>
      <w:r w:rsidR="004234B1">
        <w:rPr>
          <w:rFonts w:ascii="Times New Roman" w:hAnsi="Times New Roman" w:cs="Times New Roman"/>
        </w:rPr>
        <w:t>shown to co-ordinate</w:t>
      </w:r>
      <w:r w:rsidR="00644038">
        <w:rPr>
          <w:rFonts w:ascii="Times New Roman" w:hAnsi="Times New Roman" w:cs="Times New Roman"/>
        </w:rPr>
        <w:t xml:space="preserve"> a range of astrocyte functions is</w:t>
      </w:r>
      <w:r w:rsidR="00650CDF">
        <w:rPr>
          <w:rFonts w:ascii="Times New Roman" w:hAnsi="Times New Roman" w:cs="Times New Roman"/>
        </w:rPr>
        <w:t xml:space="preserve"> the</w:t>
      </w:r>
      <w:r w:rsidR="002B3D29">
        <w:rPr>
          <w:rFonts w:ascii="Times New Roman" w:hAnsi="Times New Roman" w:cs="Times New Roman"/>
        </w:rPr>
        <w:t xml:space="preserve"> calcium-</w:t>
      </w:r>
      <w:r w:rsidR="00644038">
        <w:rPr>
          <w:rFonts w:ascii="Times New Roman" w:hAnsi="Times New Roman" w:cs="Times New Roman"/>
        </w:rPr>
        <w:t>signalling</w:t>
      </w:r>
      <w:r w:rsidR="00650CDF">
        <w:rPr>
          <w:rFonts w:ascii="Times New Roman" w:hAnsi="Times New Roman" w:cs="Times New Roman"/>
        </w:rPr>
        <w:t xml:space="preserve"> pathway</w:t>
      </w:r>
      <w:r w:rsidR="0084455B">
        <w:rPr>
          <w:rFonts w:ascii="Times New Roman" w:hAnsi="Times New Roman" w:cs="Times New Roman"/>
        </w:rPr>
        <w:t xml:space="preserve"> and there is evidence</w:t>
      </w:r>
      <w:r w:rsidR="003D3932">
        <w:rPr>
          <w:rFonts w:ascii="Times New Roman" w:hAnsi="Times New Roman" w:cs="Times New Roman"/>
        </w:rPr>
        <w:t xml:space="preserve"> that</w:t>
      </w:r>
      <w:r w:rsidR="0084455B">
        <w:rPr>
          <w:rFonts w:ascii="Times New Roman" w:hAnsi="Times New Roman" w:cs="Times New Roman"/>
        </w:rPr>
        <w:t xml:space="preserve"> this pathway is disrupted in astrocytes in AD</w:t>
      </w:r>
      <w:r w:rsidR="00644038">
        <w:rPr>
          <w:rFonts w:ascii="Times New Roman" w:hAnsi="Times New Roman" w:cs="Times New Roman"/>
        </w:rPr>
        <w:t>.</w:t>
      </w:r>
      <w:r w:rsidR="0084455B">
        <w:rPr>
          <w:rFonts w:ascii="Times New Roman" w:hAnsi="Times New Roman" w:cs="Times New Roman"/>
        </w:rPr>
        <w:t xml:space="preserve"> Microarray analysis of the astrocyte transcriptome using the</w:t>
      </w:r>
      <w:r w:rsidR="00515125">
        <w:rPr>
          <w:rFonts w:ascii="Times New Roman" w:hAnsi="Times New Roman" w:cs="Times New Roman"/>
        </w:rPr>
        <w:t xml:space="preserve"> Medical Research Council Cognitive Function and Ageing Study</w:t>
      </w:r>
      <w:r w:rsidR="0084455B">
        <w:rPr>
          <w:rFonts w:ascii="Times New Roman" w:hAnsi="Times New Roman" w:cs="Times New Roman"/>
        </w:rPr>
        <w:t xml:space="preserve"> </w:t>
      </w:r>
      <w:r w:rsidR="00515125">
        <w:rPr>
          <w:rFonts w:ascii="Times New Roman" w:hAnsi="Times New Roman" w:cs="Times New Roman"/>
        </w:rPr>
        <w:t>(</w:t>
      </w:r>
      <w:r w:rsidR="0084455B">
        <w:rPr>
          <w:rFonts w:ascii="Times New Roman" w:hAnsi="Times New Roman" w:cs="Times New Roman"/>
        </w:rPr>
        <w:t>MRC-CFAS</w:t>
      </w:r>
      <w:r w:rsidR="00515125">
        <w:rPr>
          <w:rFonts w:ascii="Times New Roman" w:hAnsi="Times New Roman" w:cs="Times New Roman"/>
        </w:rPr>
        <w:t>)</w:t>
      </w:r>
      <w:r w:rsidR="0084455B">
        <w:rPr>
          <w:rFonts w:ascii="Times New Roman" w:hAnsi="Times New Roman" w:cs="Times New Roman"/>
        </w:rPr>
        <w:t xml:space="preserve"> cohort has identified the calcium signalling pathway to be affected early on in AD </w:t>
      </w:r>
      <w:r w:rsidR="0084455B">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"10.1016/j.neurobiolaging.2011.04.013", "ISSN" : "1558-1497", "PMID" : "21705112", "abstract" : "Astrocytes contribute to a variety of functions in the brain, including homeostasis, synapse formation, plasticity, and metabolism. Astrocyte dysfunction may disrupt their normal role, including neuronal support, thereby contributing to neurodegenerative pathologies, including Alzheimer's disease (AD). To understand the role of astrocytes in the pathogenesis of age-related disorders, we isolated astrocytes by laser capture microdissection, using glial fibrillary acidic protein (GFAP) as a marker, and characterized the astrocyte transcriptome at different Braak neurofibrillary tangle stages in postmortem temporal cortex samples derived from the Medical Research Council Cognitive Function and Ageing Study (MRC CFAS) cohort, using microarray analysis. The largest number of significant, differentially expressed genes were identified when the expression profile of astrocytes from isocortical stages of neurofibrillary tangle pathology (Braak stages V-VI) were compared with entorhinal stages (Braak stages I-II). Dysregulation of genes associated with the actin cytoskeleton, proliferation, apoptosis, and ubiquitin-mediated proteolysis occurred at low Braak stages, while altered regulation of intracellular signaling pathways, including insulin, phosphatidylinositol 3-kinase (PI3K)/Akt, and mitogen-activated protein kinase (MAPK) pathways were primarily associated with high levels of Alzheimer-type pathology, and occurred at lower Braak stages in individuals with the APOE\u03b54 allele. Our findings implicate astrocyte dysfunction in the pathogenesis of neurodegenerative pathology in the aging brain, and provide a basis for future candidate studies based on specific pathways.", "author" : [ { "dropping-particle" : "", "family" : "Simpson", "given" : "Julie E", "non-dropping-particle" : "", "parse-names" : false, "suffix" : "" }, { "dropping-particle" : "", "family" : "Ince", "given" : "Paul G", "non-dropping-particle" : "", "parse-names" : false, "suffix" : "" }, { "dropping-particle" : "", "family" : "Shaw", "given" : "Pamela J", "non-dropping-particle" : "", "parse-names" : false, "suffix" : "" }, { "dropping-particle" : "", "family" : "Heath", "given" : "Paul R", "non-dropping-particle" : "", "parse-names" : false, "suffix" : "" }, { "dropping-particle" : "", "family" : "Raman", "given" : "Rohini", "non-dropping-particle" : "", "parse-names" : false, "suffix" : "" }, { "dropping-particle" : "", "family" : "Garwood", "given" : "Claire J", "non-dropping-particle" : "", "parse-names" : false, "suffix" : "" }, { "dropping-particle" : "", "family" : "Gelsthorpe", "given" : "Catherine", "non-dropping-particle" : "", "parse-names" : false, "suffix" : "" }, { "dropping-particle" : "", "family" : "Baxter", "given" : "Lynne", "non-dropping-particle" : "", "parse-names" : false, "suffix" : "" }, { "dropping-particle" : "", "family" : "Forster", "given" : "Gillian", "non-dropping-particle" : "", "parse-names" : false, "suffix" : "" }, { "dropping-particle" : "", "family" : "Matthews", "given" : "Fiona E", "non-dropping-particle" : "", "parse-names" : false, "suffix" : "" }, { "dropping-particle" : "", "family" : "Brayne", "given" : "Carol", "non-dropping-particle" : "", "parse-names" : false, "suffix" : "" }, { "dropping-particle" : "", "family" : "Wharton", "given" : "Stephen B", "non-dropping-particle" : "", "parse-names" : false, "suffix" : "" } ], "container-title" : "Neurobiology of aging", "id" : "ITEM-1", "issue" : "10", "issued" : { "date-parts" : [ [ "2011", "10" ] ] }, "page" : "1795-807", "title" : "Microarray analysis of the astrocyte transcriptome in the aging brain: relationship to Alzheimer's pathology and APOE genotype.", "type" : "article-journal", "volume" : "32" }, "uris" : [ "http://www.mendeley.com/documents/?uuid=181521a1-c6ce-4312-8031-143f5a245149" ] } ], "mendeley" : { "formattedCitation" : "(Simpson et al. 2011)", "plainTextFormattedCitation" : "(Simpson et al. 2011)", "previouslyFormattedCitation" : "(Simpson et al. 2011)" }, "properties" : { "noteIndex" : 0 }, "schema" : "https://github.com/citation-style-language/schema/raw/master/csl-citation.json" }</w:instrText>
      </w:r>
      <w:r w:rsidR="0084455B">
        <w:rPr>
          <w:rFonts w:ascii="Times New Roman" w:hAnsi="Times New Roman" w:cs="Times New Roman"/>
        </w:rPr>
        <w:fldChar w:fldCharType="separate"/>
      </w:r>
      <w:r w:rsidR="00C148FC" w:rsidRPr="00C148FC">
        <w:rPr>
          <w:rFonts w:ascii="Times New Roman" w:hAnsi="Times New Roman" w:cs="Times New Roman"/>
          <w:noProof/>
        </w:rPr>
        <w:t>(Simpson et al. 2011)</w:t>
      </w:r>
      <w:r w:rsidR="0084455B">
        <w:rPr>
          <w:rFonts w:ascii="Times New Roman" w:hAnsi="Times New Roman" w:cs="Times New Roman"/>
        </w:rPr>
        <w:fldChar w:fldCharType="end"/>
      </w:r>
      <w:r w:rsidR="0084455B">
        <w:rPr>
          <w:rFonts w:ascii="Times New Roman" w:hAnsi="Times New Roman" w:cs="Times New Roman"/>
        </w:rPr>
        <w:t xml:space="preserve"> with further investigation determining that the calcium signalling molecules CAMKII and calpain-10 are dysregulated as Alzheimer-type pathology develops </w:t>
      </w:r>
      <w:r w:rsidR="0084455B">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"10.1016/j.neurobiolaging.2008.05.015", "ISSN" : "1558-1497", "PMID" : "18586353", "abstract" : "AIMS: Calcium dyshomeostasis is implicated in the pathogenesis of several neurodegenerative disorders including Alzheimer's disease. However, much of the previous research has focused on changes in neuronal calcium signaling. In a recent microarray study we identified dysregulation of several key signaling pathways including the Ca(2+) signaling pathway in astrocytes as Alzheimer-type pathology developed. In this study we sought to determine the expression of calpain-10 and calcium/calmodulin-dependent kinase alpha (CamKII\u03b1) in relation to Alzheimer-type pathology in a population-based study. METHODS: Using post-mortem temporal cortex samples derived from the Medical Research Council Cognitive Function and Ageing Study (MRC-CFAS) ageing brain cohort we examined calpain-10 and CamKII\u03b1 gene and protein expression using quantitative PCR and immunohistochemistry. RESULTS: We demonstrate that astrocytic expression of calpain-10 is upregulated, and CamKII\u03b1 downregulated with increasing Braak stage. Using immunohistochemistry we confirm protein expression of calpain-10 in astrocytes throughout the temporal cortex and demonstrate that calpain-10 immunoreactivity is correlated with both local and global measures of Alzheimer-type pathology. In addition, we identify a subpopulation of calpain-10 immunoreactive interlaminar astrocytes that extend processes deep into the cortex. CamKII\u03b1 is predominantly neuronal in localization and is associated with the presence of diffuse plaques in the ageing brain. DISCUSSION: Dysregulated expression of key calcium signaling molecules occurs with progression of Alzheimer-type pathology in the ageing brain, highlighting the need for further functional studies of astrocytic calcium signalling with respect to disease progression.", "author" : [ { "dropping-particle" : "", "family" : "Garwood", "given" : "Claire", "non-dropping-particle" : "", "parse-names" : false, "suffix" : "" }, { "dropping-particle" : "", "family" : "Faizullabhoy", "given" : "Adnan", "non-dropping-particle" : "", "parse-names" : false, "suffix" : "" }, { "dropping-particle" : "", "family" : "Wharton", "given" : "Stephen B", "non-dropping-particle" : "", "parse-names" : false, "suffix" : "" }, { "dropping-particle" : "", "family" : "Ince", "given" : "Paul G", "non-dropping-particle" : "", "parse-names" : false, "suffix" : "" }, { "dropping-particle" : "", "family" : "Heath", "given" : "Paul", "non-dropping-particle" : "", "parse-names" : false, "suffix" : "" }, { "dropping-particle" : "", "family" : "Shaw", "given" : "Pamela J", "non-dropping-particle" : "", "parse-names" : false, "suffix" : "" }, { "dropping-particle" : "", "family" : "Baxter", "given" : "Lynne", "non-dropping-particle" : "", "parse-names" : false, "suffix" : "" }, { "dropping-particle" : "", "family" : "Gelsthorpe", "given" : "Catherine", "non-dropping-particle" : "", "parse-names" : false, "suffix" : "" }, { "dropping-particle" : "", "family" : "Forster", "given" : "Gillian", "non-dropping-particle" : "", "parse-names" : false, "suffix" : "" }, { "dropping-particle" : "", "family" : "Matthews", "given" : "Fiona E", "non-dropping-particle" : "", "parse-names" : false, "suffix" : "" }, { "dropping-particle" : "", "family" : "Brayne", "given" : "Carol", "non-dropping-particle" : "", "parse-names" : false, "suffix" : "" }, { "dropping-particle" : "", "family" : "Simpson", "given" : "Julie E", "non-dropping-particle" : "", "parse-names" : false, "suffix" : "" } ], "container-title" : "Neuropathology and applied neurobiology", "id" : "ITEM-1", "issue" : "4", "issued" : { "date-parts" : [ [ "2013", "4" ] ] }, "page" : "578-90", "title" : "Calcium dysregulation in relation to Alzheimer-type pathology in the ageing brain.", "type" : "article-journal", "volume" : "31" }, "uris" : [ "http://www.mendeley.com/documents/?uuid=ee60d7ec-729d-4e71-b7ee-90cdae91eedb" ] } ], "mendeley" : { "formattedCitation" : "(Garwood et al. 2013)", "plainTextFormattedCitation" : "(Garwood et al. 2013)", "previouslyFormattedCitation" : "(Garwood et al. 2013)" }, "properties" : { "noteIndex" : 0 }, "schema" : "https://github.com/citation-style-language/schema/raw/master/csl-citation.json" }</w:instrText>
      </w:r>
      <w:r w:rsidR="0084455B">
        <w:rPr>
          <w:rFonts w:ascii="Times New Roman" w:hAnsi="Times New Roman" w:cs="Times New Roman"/>
        </w:rPr>
        <w:fldChar w:fldCharType="separate"/>
      </w:r>
      <w:r w:rsidR="00C148FC" w:rsidRPr="00C148FC">
        <w:rPr>
          <w:rFonts w:ascii="Times New Roman" w:hAnsi="Times New Roman" w:cs="Times New Roman"/>
          <w:noProof/>
        </w:rPr>
        <w:t>(Garwood et al. 2013)</w:t>
      </w:r>
      <w:r w:rsidR="0084455B">
        <w:rPr>
          <w:rFonts w:ascii="Times New Roman" w:hAnsi="Times New Roman" w:cs="Times New Roman"/>
        </w:rPr>
        <w:fldChar w:fldCharType="end"/>
      </w:r>
      <w:r w:rsidR="0084455B">
        <w:rPr>
          <w:rFonts w:ascii="Times New Roman" w:hAnsi="Times New Roman" w:cs="Times New Roman"/>
        </w:rPr>
        <w:t xml:space="preserve">. Furthermore, in astrocyte-neuron co-cultures treatment with </w:t>
      </w:r>
      <w:r w:rsidR="0084455B" w:rsidRPr="00EF2AF4">
        <w:rPr>
          <w:rFonts w:ascii="Times New Roman" w:hAnsi="Times New Roman" w:cs="Times New Roman"/>
        </w:rPr>
        <w:t>Aβ</w:t>
      </w:r>
      <w:r w:rsidR="0084455B">
        <w:rPr>
          <w:rFonts w:ascii="Times New Roman" w:hAnsi="Times New Roman" w:cs="Times New Roman"/>
        </w:rPr>
        <w:t xml:space="preserve"> results in sporadic influx of calcium as well as calcium oscillations in astrocytes, which is accompanied by neuronal toxicity</w:t>
      </w:r>
      <w:r w:rsidR="00644038">
        <w:rPr>
          <w:rFonts w:ascii="Times New Roman" w:hAnsi="Times New Roman" w:cs="Times New Roman"/>
        </w:rPr>
        <w:t xml:space="preserve"> </w:t>
      </w:r>
      <w:r w:rsidR="00295370">
        <w:rPr>
          <w:rFonts w:ascii="Times New Roman" w:hAnsi="Times New Roman" w:cs="Times New Roman"/>
        </w:rPr>
        <w:fldChar w:fldCharType="begin" w:fldLock="1"/>
      </w:r>
      <w:r w:rsidR="005E7D26">
        <w:rPr>
          <w:rFonts w:ascii="Times New Roman" w:hAnsi="Times New Roman" w:cs="Times New Roman"/>
        </w:rPr>
        <w:instrText>ADDIN CSL_CITATION { "citationItems" : [ { "id" : "ITEM-1", "itemData" : { "DOI" : "10.1523/JNEUROSCI.4042-03.2004", "ISSN" : "0270-6474", "author" : [ { "dropping-particle" : "", "family" : "Abramov", "given" : "A. Y.", "non-dropping-particle" : "", "parse-names" : false, "suffix" : "" }, { "dropping-particle" : "", "family" : "Canevari", "given" : "Laura", "non-dropping-particle" : "", "parse-names" : false, "suffix" : "" }, { "dropping-particle" : "", "family" : "Duchen", "given" : "Michael R.", "non-dropping-particle" : "", "parse-names" : false, "suffix" : "" } ], "container-title" : "Journal of Neuroscience", "id" : "ITEM-1", "issue" : "2", "issued" : { "date-parts" : [ [ "2004", "1", "14" ] ] }, "page" : "565-575", "title" : "-Amyloid Peptides Induce Mitochondrial Dysfunction and Oxidative Stress in Astrocytes and Death of Neurons through Activation of NADPH Oxidase", "type" : "article-journal", "volume" : "24" }, "uris" : [ "http://www.mendeley.com/documents/?uuid=aec87863-ecde-3a5c-b65b-d8d7db49bf8c" ] } ], "mendeley" : { "formattedCitation" : "(Abramov et al. 2004)", "plainTextFormattedCitation" : "(Abramov et al. 2004)", "previouslyFormattedCitation" : "(Abramov et al. 2004)" }, "properties" : { "noteIndex" : 0 }, "schema" : "https://github.com/citation-style-language/schema/raw/master/csl-citation.json" }</w:instrText>
      </w:r>
      <w:r w:rsidR="00295370">
        <w:rPr>
          <w:rFonts w:ascii="Times New Roman" w:hAnsi="Times New Roman" w:cs="Times New Roman"/>
        </w:rPr>
        <w:fldChar w:fldCharType="separate"/>
      </w:r>
      <w:r w:rsidR="00253037" w:rsidRPr="00253037">
        <w:rPr>
          <w:rFonts w:ascii="Times New Roman" w:hAnsi="Times New Roman" w:cs="Times New Roman"/>
          <w:noProof/>
        </w:rPr>
        <w:t>(Abramov et al. 2004)</w:t>
      </w:r>
      <w:r w:rsidR="00295370">
        <w:rPr>
          <w:rFonts w:ascii="Times New Roman" w:hAnsi="Times New Roman" w:cs="Times New Roman"/>
        </w:rPr>
        <w:fldChar w:fldCharType="end"/>
      </w:r>
      <w:r w:rsidR="00650CDF">
        <w:rPr>
          <w:rFonts w:ascii="Times New Roman" w:hAnsi="Times New Roman" w:cs="Times New Roman"/>
        </w:rPr>
        <w:t>. These changes</w:t>
      </w:r>
      <w:r w:rsidR="004234B1">
        <w:rPr>
          <w:rFonts w:ascii="Times New Roman" w:hAnsi="Times New Roman" w:cs="Times New Roman"/>
        </w:rPr>
        <w:t xml:space="preserve"> </w:t>
      </w:r>
      <w:r w:rsidR="0084455B">
        <w:rPr>
          <w:rFonts w:ascii="Times New Roman" w:hAnsi="Times New Roman" w:cs="Times New Roman"/>
        </w:rPr>
        <w:t xml:space="preserve">were </w:t>
      </w:r>
      <w:r w:rsidR="00650CDF">
        <w:rPr>
          <w:rFonts w:ascii="Times New Roman" w:hAnsi="Times New Roman" w:cs="Times New Roman"/>
        </w:rPr>
        <w:t>associated with increased ROS,</w:t>
      </w:r>
      <w:r w:rsidR="001550DD">
        <w:rPr>
          <w:rFonts w:ascii="Times New Roman" w:hAnsi="Times New Roman" w:cs="Times New Roman"/>
        </w:rPr>
        <w:t xml:space="preserve"> which was attributed to increased NADPH oxidase</w:t>
      </w:r>
      <w:r w:rsidR="001F6E2C">
        <w:rPr>
          <w:rFonts w:ascii="Times New Roman" w:hAnsi="Times New Roman" w:cs="Times New Roman"/>
        </w:rPr>
        <w:t xml:space="preserve"> (NOX1)</w:t>
      </w:r>
      <w:r w:rsidR="001550DD">
        <w:rPr>
          <w:rFonts w:ascii="Times New Roman" w:hAnsi="Times New Roman" w:cs="Times New Roman"/>
        </w:rPr>
        <w:t xml:space="preserve"> activity, loss of gluta</w:t>
      </w:r>
      <w:r w:rsidR="00650CDF">
        <w:rPr>
          <w:rFonts w:ascii="Times New Roman" w:hAnsi="Times New Roman" w:cs="Times New Roman"/>
        </w:rPr>
        <w:t>t</w:t>
      </w:r>
      <w:r w:rsidR="001550DD">
        <w:rPr>
          <w:rFonts w:ascii="Times New Roman" w:hAnsi="Times New Roman" w:cs="Times New Roman"/>
        </w:rPr>
        <w:t>h</w:t>
      </w:r>
      <w:r w:rsidR="00650CDF">
        <w:rPr>
          <w:rFonts w:ascii="Times New Roman" w:hAnsi="Times New Roman" w:cs="Times New Roman"/>
        </w:rPr>
        <w:t>ione</w:t>
      </w:r>
      <w:r w:rsidR="001550DD">
        <w:rPr>
          <w:rFonts w:ascii="Times New Roman" w:hAnsi="Times New Roman" w:cs="Times New Roman"/>
        </w:rPr>
        <w:t xml:space="preserve"> and altered mitochondrial function</w:t>
      </w:r>
      <w:r w:rsidR="00253037">
        <w:rPr>
          <w:rFonts w:ascii="Times New Roman" w:hAnsi="Times New Roman" w:cs="Times New Roman"/>
        </w:rPr>
        <w:t xml:space="preserve"> </w:t>
      </w:r>
      <w:r w:rsidR="00253037">
        <w:rPr>
          <w:rFonts w:ascii="Times New Roman" w:hAnsi="Times New Roman" w:cs="Times New Roman"/>
        </w:rPr>
        <w:fldChar w:fldCharType="begin" w:fldLock="1"/>
      </w:r>
      <w:r w:rsidR="005E7D26">
        <w:rPr>
          <w:rFonts w:ascii="Times New Roman" w:hAnsi="Times New Roman" w:cs="Times New Roman"/>
        </w:rPr>
        <w:instrText>ADDIN CSL_CITATION { "citationItems" : [ { "id" : "ITEM-1", "itemData" : { "DOI" : "10.1523/JNEUROSCI.4042-03.2004", "ISSN" : "0270-6474", "author" : [ { "dropping-particle" : "", "family" : "Abramov", "given" : "A. Y.", "non-dropping-particle" : "", "parse-names" : false, "suffix" : "" }, { "dropping-particle" : "", "family" : "Canevari", "given" : "Laura", "non-dropping-particle" : "", "parse-names" : false, "suffix" : "" }, { "dropping-particle" : "", "family" : "Duchen", "given" : "Michael R.", "non-dropping-particle" : "", "parse-names" : false, "suffix" : "" } ], "container-title" : "Journal of Neuroscience", "id" : "ITEM-1", "issue" : "2", "issued" : { "date-parts" : [ [ "2004", "1", "14" ] ] }, "page" : "565-575", "title" : "-Amyloid Peptides Induce Mitochondrial Dysfunction and Oxidative Stress in Astrocytes and Death of Neurons through Activation of NADPH Oxidase", "type" : "article-journal", "volume" : "24" }, "uris" : [ "http://www.mendeley.com/documents/?uuid=aec87863-ecde-3a5c-b65b-d8d7db49bf8c" ] } ], "mendeley" : { "formattedCitation" : "(Abramov et al. 2004)", "plainTextFormattedCitation" : "(Abramov et al. 2004)", "previouslyFormattedCitation" : "(Abramov et al. 2004)" }, "properties" : { "noteIndex" : 0 }, "schema" : "https://github.com/citation-style-language/schema/raw/master/csl-citation.json" }</w:instrText>
      </w:r>
      <w:r w:rsidR="00253037">
        <w:rPr>
          <w:rFonts w:ascii="Times New Roman" w:hAnsi="Times New Roman" w:cs="Times New Roman"/>
        </w:rPr>
        <w:fldChar w:fldCharType="separate"/>
      </w:r>
      <w:r w:rsidR="00253037" w:rsidRPr="00253037">
        <w:rPr>
          <w:rFonts w:ascii="Times New Roman" w:hAnsi="Times New Roman" w:cs="Times New Roman"/>
          <w:noProof/>
        </w:rPr>
        <w:t>(Abramov et al. 2004)</w:t>
      </w:r>
      <w:r w:rsidR="00253037">
        <w:rPr>
          <w:rFonts w:ascii="Times New Roman" w:hAnsi="Times New Roman" w:cs="Times New Roman"/>
        </w:rPr>
        <w:fldChar w:fldCharType="end"/>
      </w:r>
      <w:r w:rsidR="0084455B">
        <w:rPr>
          <w:rFonts w:ascii="Times New Roman" w:hAnsi="Times New Roman" w:cs="Times New Roman"/>
        </w:rPr>
        <w:t xml:space="preserve">, </w:t>
      </w:r>
      <w:r w:rsidR="0052282A">
        <w:rPr>
          <w:rFonts w:ascii="Times New Roman" w:hAnsi="Times New Roman" w:cs="Times New Roman"/>
        </w:rPr>
        <w:t xml:space="preserve">also </w:t>
      </w:r>
      <w:r w:rsidR="0084455B">
        <w:rPr>
          <w:rFonts w:ascii="Times New Roman" w:hAnsi="Times New Roman" w:cs="Times New Roman"/>
        </w:rPr>
        <w:t xml:space="preserve">suggesting </w:t>
      </w:r>
      <w:r w:rsidR="0084455B" w:rsidRPr="00EF2AF4">
        <w:rPr>
          <w:rFonts w:ascii="Times New Roman" w:hAnsi="Times New Roman" w:cs="Times New Roman"/>
        </w:rPr>
        <w:t>Aβ</w:t>
      </w:r>
      <w:r w:rsidR="0084455B">
        <w:rPr>
          <w:rFonts w:ascii="Times New Roman" w:hAnsi="Times New Roman" w:cs="Times New Roman"/>
        </w:rPr>
        <w:t xml:space="preserve"> induces early alterations in astrocytes that then impact neurons.</w:t>
      </w:r>
      <w:r w:rsidR="001550DD">
        <w:rPr>
          <w:rFonts w:ascii="Times New Roman" w:hAnsi="Times New Roman" w:cs="Times New Roman"/>
        </w:rPr>
        <w:t xml:space="preserve"> </w:t>
      </w:r>
    </w:p>
    <w:p w14:paraId="673F2E97" w14:textId="77777777" w:rsidR="0084455B" w:rsidRDefault="0084455B" w:rsidP="003E7BDB">
      <w:pPr>
        <w:spacing w:line="360" w:lineRule="auto"/>
        <w:jc w:val="both"/>
        <w:rPr>
          <w:rFonts w:ascii="Times New Roman" w:hAnsi="Times New Roman" w:cs="Times New Roman"/>
        </w:rPr>
      </w:pPr>
    </w:p>
    <w:p w14:paraId="7DEB333D" w14:textId="4319A9F0" w:rsidR="0084455B" w:rsidRPr="0084455B" w:rsidRDefault="0084455B" w:rsidP="003E7BDB">
      <w:pPr>
        <w:jc w:val="both"/>
        <w:rPr>
          <w:rFonts w:ascii="Times New Roman" w:hAnsi="Times New Roman" w:cs="Times New Roman"/>
          <w:b/>
          <w:i/>
          <w:u w:val="single"/>
        </w:rPr>
      </w:pPr>
      <w:r>
        <w:rPr>
          <w:rFonts w:ascii="Times New Roman" w:hAnsi="Times New Roman" w:cs="Times New Roman"/>
          <w:b/>
          <w:i/>
          <w:u w:val="single"/>
        </w:rPr>
        <w:t>Insulin/IGF1 signalling and associated downstream pathways are altered in astrocytes in AD</w:t>
      </w:r>
    </w:p>
    <w:p w14:paraId="17D6056B" w14:textId="36BD4208" w:rsidR="003945B4" w:rsidRDefault="0084455B" w:rsidP="003E7BDB">
      <w:pPr>
        <w:spacing w:line="360" w:lineRule="auto"/>
        <w:jc w:val="both"/>
      </w:pPr>
      <w:r>
        <w:rPr>
          <w:rFonts w:ascii="Times New Roman" w:hAnsi="Times New Roman" w:cs="Times New Roman"/>
        </w:rPr>
        <w:t xml:space="preserve">Simpson </w:t>
      </w:r>
      <w:r>
        <w:rPr>
          <w:rFonts w:ascii="Times New Roman" w:hAnsi="Times New Roman" w:cs="Times New Roman"/>
          <w:i/>
        </w:rPr>
        <w:t xml:space="preserve">et al </w:t>
      </w:r>
      <w:r>
        <w:rPr>
          <w:rFonts w:ascii="Times New Roman" w:hAnsi="Times New Roman" w:cs="Times New Roman"/>
        </w:rPr>
        <w:t xml:space="preserve">(2011) also identified dysregulation of </w:t>
      </w:r>
      <w:r w:rsidR="00434387">
        <w:rPr>
          <w:rFonts w:ascii="Times New Roman" w:hAnsi="Times New Roman" w:cs="Times New Roman"/>
        </w:rPr>
        <w:t>insulin-</w:t>
      </w:r>
      <w:r w:rsidR="00EF2AF4" w:rsidRPr="00EF2AF4">
        <w:rPr>
          <w:rFonts w:ascii="Times New Roman" w:hAnsi="Times New Roman" w:cs="Times New Roman"/>
        </w:rPr>
        <w:t>signalling associated transcripts and downstream</w:t>
      </w:r>
      <w:r w:rsidR="008E3AA4">
        <w:rPr>
          <w:rFonts w:ascii="Times New Roman" w:hAnsi="Times New Roman" w:cs="Times New Roman"/>
        </w:rPr>
        <w:t xml:space="preserve"> </w:t>
      </w:r>
      <w:r w:rsidR="008E3AA4" w:rsidRPr="00EF2AF4">
        <w:rPr>
          <w:rFonts w:ascii="Times New Roman" w:hAnsi="Times New Roman" w:cs="Times New Roman"/>
        </w:rPr>
        <w:t>ph</w:t>
      </w:r>
      <w:r w:rsidR="008E3AA4">
        <w:rPr>
          <w:rFonts w:ascii="Times New Roman" w:hAnsi="Times New Roman" w:cs="Times New Roman"/>
        </w:rPr>
        <w:t>osphatidylionsitol-3 kinase</w:t>
      </w:r>
      <w:r w:rsidR="00EF2AF4" w:rsidRPr="00EF2AF4">
        <w:rPr>
          <w:rFonts w:ascii="Times New Roman" w:hAnsi="Times New Roman" w:cs="Times New Roman"/>
        </w:rPr>
        <w:t xml:space="preserve"> </w:t>
      </w:r>
      <w:r w:rsidR="008E3AA4">
        <w:rPr>
          <w:rFonts w:ascii="Times New Roman" w:hAnsi="Times New Roman" w:cs="Times New Roman"/>
        </w:rPr>
        <w:t>(</w:t>
      </w:r>
      <w:r w:rsidR="00EF2AF4" w:rsidRPr="00EF2AF4">
        <w:rPr>
          <w:rFonts w:ascii="Times New Roman" w:hAnsi="Times New Roman" w:cs="Times New Roman"/>
        </w:rPr>
        <w:t>PI3K</w:t>
      </w:r>
      <w:r w:rsidR="008E3AA4">
        <w:rPr>
          <w:rFonts w:ascii="Times New Roman" w:hAnsi="Times New Roman" w:cs="Times New Roman"/>
        </w:rPr>
        <w:t>)</w:t>
      </w:r>
      <w:r w:rsidR="00EF2AF4" w:rsidRPr="00EF2AF4">
        <w:rPr>
          <w:rFonts w:ascii="Times New Roman" w:hAnsi="Times New Roman" w:cs="Times New Roman"/>
        </w:rPr>
        <w:t>-Akt and MAPK signalling pathways with increasing levels of Alzheimer-type pathology. This included downregulation of the insulin receptor</w:t>
      </w:r>
      <w:r w:rsidR="008E3AA4">
        <w:rPr>
          <w:rFonts w:ascii="Times New Roman" w:hAnsi="Times New Roman" w:cs="Times New Roman"/>
        </w:rPr>
        <w:t xml:space="preserve"> (IR)</w:t>
      </w:r>
      <w:r w:rsidR="00EF2AF4" w:rsidRPr="00EF2AF4">
        <w:rPr>
          <w:rFonts w:ascii="Times New Roman" w:hAnsi="Times New Roman" w:cs="Times New Roman"/>
        </w:rPr>
        <w:t xml:space="preserve"> and insulin-like growth factor receptors (IGFR1 and 2) as well as downstream signalling components such as</w:t>
      </w:r>
      <w:r w:rsidR="006D3C13">
        <w:rPr>
          <w:rFonts w:ascii="Times New Roman" w:hAnsi="Times New Roman" w:cs="Times New Roman"/>
        </w:rPr>
        <w:t xml:space="preserve"> adaptor protein IRS2, IRS1, Akt</w:t>
      </w:r>
      <w:r w:rsidR="00EF2AF4" w:rsidRPr="00EF2AF4">
        <w:rPr>
          <w:rFonts w:ascii="Times New Roman" w:hAnsi="Times New Roman" w:cs="Times New Roman"/>
        </w:rPr>
        <w:t xml:space="preserve"> and MAPK. Although IGFR1 expression has been found as predominantly neuronal in both </w:t>
      </w:r>
      <w:r w:rsidR="00501A7A">
        <w:rPr>
          <w:rFonts w:ascii="Times New Roman" w:hAnsi="Times New Roman" w:cs="Times New Roman"/>
        </w:rPr>
        <w:t xml:space="preserve">control and AD brain </w:t>
      </w:r>
      <w:r w:rsidR="006C3D0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"10.1016/j.neurobiolaging.2008.04.002", "ISSN" : "1558-1497", "PMID" : "18479783", "abstract" : "Insulin like growth factor-1 receptor (IGF-1R) and insulin receptor (IR) signalling control vital growth, survival and metabolic functions in the brain. Here we describe specific and significant alterations in IGF-1R, IR, and their key substrate adaptor proteins IRS-1 and IRS-2 in Alzheimer's disease (AD). Western immunoblot analysis detected increased IGF-1R levels, and decreased levels of IGF-1-binding protein-2 (IGFBP-2), a major IGF-1-binding protein, in AD temporal cortex. Increased IGF-1R was observed surrounding and within amyloid-beta (Abeta)-containing plaques, also evident in an animal model of AD, and in astrocytes in AD. However, despite the overall increase in IGF-1R levels, a significantly lower number of neurons expressed IGF-1R in AD, and IGF-1R was aberrantly distributed in AD neurons especially evident in those with neurofibrillary tangles (NFTs). IR protein levels were similar in AD and control cases, however, the IR was concentrated intracellularly in AD neurons, unlike its distribution throughout the neuronal cell soma and in dendrites in control brain. Significant decreases in IRS-1 and IRS-2 levels were identified in AD neurons, in association with increased levels of inactivated phospho(Ser312)IRS-1 and phospho(Ser616)IRS-1, where increased levels of these phosphoserine epitopes colocalised strongly with NFTs. Our results show that IGF-1R and IR signalling is compromised in AD neurons and suggest that neurons that degenerate in AD may be resistant to IGF-1R/IR signalling.", "author" : [ { "dropping-particle" : "", "family" : "Moloney", "given" : "Aileen M", "non-dropping-particle" : "", "parse-names" : false, "suffix" : "" }, { "dropping-particle" : "", "family" : "Griffin", "given" : "Rebecca J", "non-dropping-particle" : "", "parse-names" : false, "suffix" : "" }, { "dropping-particle" : "", "family" : "Timmons", "given" : "Suzanne", "non-dropping-particle" : "", "parse-names" : false, "suffix" : "" }, { "dropping-particle" : "", "family" : "O'Connor", "given" : "Rosemary", "non-dropping-particle" : "", "parse-names" : false, "suffix" : "" }, { "dropping-particle" : "", "family" : "Ravid", "given" : "Rivka", "non-dropping-particle" : "", "parse-names" : false, "suffix" : "" }, { "dropping-particle" : "", "family" : "O'Neill", "given" : "Cora", "non-dropping-particle" : "", "parse-names" : false, "suffix" : "" } ], "container-title" : "Neurobiology of aging", "id" : "ITEM-1", "issue" : "2", "issued" : { "date-parts" : [ [ "2010", "2" ] ] }, "page" : "224-43", "title" : "Defects in IGF-1 receptor, insulin receptor and IRS-1/2 in Alzheimer's disease indicate possible resistance to IGF-1 and insulin signalling.", "type" : "article-journal", "volume" : "31" }, "uris" : [ "http://www.mendeley.com/documents/?uuid=bfaaf66e-5738-4923-89fc-a72fdf607c5e" ] } ], "mendeley" : { "formattedCitation" : "(Moloney et al. 2010a)", "manualFormatting" : "(Moloney et al., 2010)", "plainTextFormattedCitation" : "(Moloney et al. 2010a)", "previouslyFormattedCitation" : "(Moloney et al. 2010a)" }, "properties" : { "noteIndex" : 0 }, "schema" : "https://github.com/citation-style-language/schema/raw/master/csl-citation.json" }</w:instrText>
      </w:r>
      <w:r w:rsidR="006C3D09">
        <w:rPr>
          <w:rFonts w:ascii="Times New Roman" w:hAnsi="Times New Roman" w:cs="Times New Roman"/>
        </w:rPr>
        <w:fldChar w:fldCharType="separate"/>
      </w:r>
      <w:r w:rsidR="001E6937" w:rsidRPr="001E6937">
        <w:rPr>
          <w:rFonts w:ascii="Times New Roman" w:hAnsi="Times New Roman" w:cs="Times New Roman"/>
          <w:noProof/>
        </w:rPr>
        <w:t>(Moloney et al., 20</w:t>
      </w:r>
      <w:r w:rsidR="00740638">
        <w:rPr>
          <w:rFonts w:ascii="Times New Roman" w:hAnsi="Times New Roman" w:cs="Times New Roman"/>
          <w:noProof/>
        </w:rPr>
        <w:t>10</w:t>
      </w:r>
      <w:r w:rsidR="001E6937" w:rsidRPr="001E6937">
        <w:rPr>
          <w:rFonts w:ascii="Times New Roman" w:hAnsi="Times New Roman" w:cs="Times New Roman"/>
          <w:noProof/>
        </w:rPr>
        <w:t>)</w:t>
      </w:r>
      <w:r w:rsidR="006C3D09">
        <w:rPr>
          <w:rFonts w:ascii="Times New Roman" w:hAnsi="Times New Roman" w:cs="Times New Roman"/>
        </w:rPr>
        <w:fldChar w:fldCharType="end"/>
      </w:r>
      <w:r w:rsidR="00EF2AF4" w:rsidRPr="00EF2AF4">
        <w:rPr>
          <w:rFonts w:ascii="Times New Roman" w:hAnsi="Times New Roman" w:cs="Times New Roman"/>
        </w:rPr>
        <w:t xml:space="preserve">, the potential importance of </w:t>
      </w:r>
      <w:r w:rsidR="004679DE">
        <w:rPr>
          <w:rFonts w:ascii="Times New Roman" w:hAnsi="Times New Roman" w:cs="Times New Roman"/>
        </w:rPr>
        <w:t>IGF</w:t>
      </w:r>
      <w:r w:rsidR="0052282A">
        <w:rPr>
          <w:rFonts w:ascii="Times New Roman" w:hAnsi="Times New Roman" w:cs="Times New Roman"/>
        </w:rPr>
        <w:t>1</w:t>
      </w:r>
      <w:r w:rsidR="004679DE">
        <w:rPr>
          <w:rFonts w:ascii="Times New Roman" w:hAnsi="Times New Roman" w:cs="Times New Roman"/>
        </w:rPr>
        <w:t xml:space="preserve"> </w:t>
      </w:r>
      <w:r w:rsidR="00EF2AF4" w:rsidRPr="00EF2AF4">
        <w:rPr>
          <w:rFonts w:ascii="Times New Roman" w:hAnsi="Times New Roman" w:cs="Times New Roman"/>
        </w:rPr>
        <w:t>signalling in astrocytes has been reco</w:t>
      </w:r>
      <w:r w:rsidR="0052282A">
        <w:rPr>
          <w:rFonts w:ascii="Times New Roman" w:hAnsi="Times New Roman" w:cs="Times New Roman"/>
        </w:rPr>
        <w:t>gnised. Increased levels of IGF</w:t>
      </w:r>
      <w:r w:rsidR="00EF2AF4" w:rsidRPr="00EF2AF4">
        <w:rPr>
          <w:rFonts w:ascii="Times New Roman" w:hAnsi="Times New Roman" w:cs="Times New Roman"/>
        </w:rPr>
        <w:t>1 have been shown in AD astrocytes</w:t>
      </w:r>
      <w:r w:rsidR="00501A7A">
        <w:rPr>
          <w:rFonts w:ascii="Times New Roman" w:hAnsi="Times New Roman" w:cs="Times New Roman"/>
        </w:rPr>
        <w:t xml:space="preserve"> isolated from human brain</w:t>
      </w:r>
      <w:r w:rsidR="00EF2AF4" w:rsidRPr="00EF2AF4">
        <w:rPr>
          <w:rFonts w:ascii="Times New Roman" w:hAnsi="Times New Roman" w:cs="Times New Roman"/>
        </w:rPr>
        <w:t xml:space="preserve"> </w:t>
      </w:r>
      <w:r w:rsidR="006C3D0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"10.1002/1098-2396(20001215)38:4&lt;450::AID-SYN10&gt;3.0.CO;2-J", "ISSN" : "0887-4476", "PMID" : "11044892", "abstract" : "Assimilated evidence indicates that the neurotoxic potential of amyloid beta (Abeta) peptide and an alteration in the level of growth factor(s) may possibly be involved in the loss of neurons observed in the brain of patients suffering from Alzheimer disease (AD), the prevalent cause of dementia in the elderly. In the present study, using receptor binding assays and immunocytochemistry, we evaluated the pharmacological profile of insulin-like growth factor-I (IGF-I) receptors and the distribution of IGF-I immunoreactivity in the frontal cortex, hippocampus, and cerebellum of AD and age-matched control brains. In control brains, [(125)I]IGF-I binding was inhibited more potently by IGF-I than by Des(1-3)IGF-I, IGF-II or insulin. The IC(50) values for IGF-I in the frontal cortex, hippocampus, and cerebellum of the normal brain did not differ significantly from the corresponding regions of the AD brain. Additionally, neither K(D) nor B(max) values were found to differ in the hippocampus of AD brains from the controls. At the regional levels, [(125)I]IGF-I binding sites in the AD brain also remained unaltered compared to the controls. As for the peptide itself, IGF-I immunoreactivity, in normal control brains, was evident primarily in a subpopulation of astrocytes in the frontal cortex and hippocampus, and in certain Purkinje cells of the cerebellum. In AD brains, a subset of Abeta-containing neuritic plaques, apart from astrocytes, exhibit IGF-I immunoreactivity. These results, taken together, suggest a role for IGF-I in compensatory plasticity and/or survival of the susceptible neurons in AD brains.", "author" : [ { "dropping-particle" : "", "family" : "Jafferali", "given" : "S", "non-dropping-particle" : "", "parse-names" : false, "suffix" : "" }, { "dropping-particle" : "", "family" : "Dumont", "given" : "Y", "non-dropping-particle" : "", "parse-names" : false, "suffix" : "" }, { "dropping-particle" : "", "family" : "Sotty", "given" : "F", "non-dropping-particle" : "", "parse-names" : false, "suffix" : "" }, { "dropping-particle" : "", "family" : "Robitaille", "given" : "Y", "non-dropping-particle" : "", "parse-names" : false, "suffix" : "" }, { "dropping-particle" : "", "family" : "Quirion", "given" : "R", "non-dropping-particle" : "", "parse-names" : false, "suffix" : "" }, { "dropping-particle" : "", "family" : "Kar", "given" : "S", "non-dropping-particle" : "", "parse-names" : false, "suffix" : "" } ], "container-title" : "Synapse (New York, N.Y.)", "id" : "ITEM-1", "issue" : "4", "issued" : { "date-parts" : [ [ "2000", "12", "15" ] ] }, "page" : "450-9", "title" : "Insulin-like growth factor-I and its receptor in the frontal cortex, hippocampus, and cerebellum of normal human and alzheimer disease brains.", "type" : "article-journal", "volume" : "38" }, "uris" : [ "http://www.mendeley.com/documents/?uuid=bffb5ac7-6671-42bf-b716-e023cea7d385" ] } ], "mendeley" : { "formattedCitation" : "(Jafferali et al. 2000)", "plainTextFormattedCitation" : "(Jafferali et al. 2000)", "previouslyFormattedCitation" : "(Jafferali et al. 2000)" }, "properties" : { "noteIndex" : 0 }, "schema" : "https://github.com/citation-style-language/schema/raw/master/csl-citation.json" }</w:instrText>
      </w:r>
      <w:r w:rsidR="006C3D09">
        <w:rPr>
          <w:rFonts w:ascii="Times New Roman" w:hAnsi="Times New Roman" w:cs="Times New Roman"/>
        </w:rPr>
        <w:fldChar w:fldCharType="separate"/>
      </w:r>
      <w:r w:rsidR="00C148FC" w:rsidRPr="00C148FC">
        <w:rPr>
          <w:rFonts w:ascii="Times New Roman" w:hAnsi="Times New Roman" w:cs="Times New Roman"/>
          <w:noProof/>
        </w:rPr>
        <w:t>(Jafferali et al. 2000)</w:t>
      </w:r>
      <w:r w:rsidR="006C3D09">
        <w:rPr>
          <w:rFonts w:ascii="Times New Roman" w:hAnsi="Times New Roman" w:cs="Times New Roman"/>
        </w:rPr>
        <w:fldChar w:fldCharType="end"/>
      </w:r>
      <w:r w:rsidR="00D15378">
        <w:rPr>
          <w:rFonts w:ascii="Times New Roman" w:hAnsi="Times New Roman" w:cs="Times New Roman"/>
        </w:rPr>
        <w:t xml:space="preserve">, with increased IGF1R identified in astrocytic processes surrounding </w:t>
      </w:r>
      <w:r w:rsidR="0091064B" w:rsidRPr="00EF2AF4">
        <w:rPr>
          <w:rFonts w:ascii="Times New Roman" w:hAnsi="Times New Roman" w:cs="Times New Roman"/>
        </w:rPr>
        <w:t>Aβ</w:t>
      </w:r>
      <w:r w:rsidR="0091064B">
        <w:rPr>
          <w:rFonts w:ascii="Times New Roman" w:hAnsi="Times New Roman" w:cs="Times New Roman"/>
        </w:rPr>
        <w:t xml:space="preserve"> </w:t>
      </w:r>
      <w:r w:rsidR="00D15378">
        <w:rPr>
          <w:rFonts w:ascii="Times New Roman" w:hAnsi="Times New Roman" w:cs="Times New Roman"/>
        </w:rPr>
        <w:t xml:space="preserve">plaques </w:t>
      </w:r>
      <w:r w:rsidR="00D15378">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"10.1016/j.neurobiolaging.2008.04.002", "ISSN" : "1558-1497", "PMID" : "18479783", "abstract" : "Insulin like growth factor-1 receptor (IGF-1R) and insulin receptor (IR) signalling control vital growth, survival and metabolic functions in the brain. Here we describe specific and significant alterations in IGF-1R, IR, and their key substrate adaptor proteins IRS-1 and IRS-2 in Alzheimer's disease (AD). Western immunoblot analysis detected increased IGF-1R levels, and decreased levels of IGF-1-binding protein-2 (IGFBP-2), a major IGF-1-binding protein, in AD temporal cortex. Increased IGF-1R was observed surrounding and within amyloid-beta (Abeta)-containing plaques, also evident in an animal model of AD, and in astrocytes in AD. However, despite the overall increase in IGF-1R levels, a significantly lower number of neurons expressed IGF-1R in AD, and IGF-1R was aberrantly distributed in AD neurons especially evident in those with neurofibrillary tangles (NFTs). IR protein levels were similar in AD and control cases, however, the IR was concentrated intracellularly in AD neurons, unlike its distribution throughout the neuronal cell soma and in dendrites in control brain. Significant decreases in IRS-1 and IRS-2 levels were identified in AD neurons, in association with increased levels of inactivated phospho(Ser312)IRS-1 and phospho(Ser616)IRS-1, where increased levels of these phosphoserine epitopes colocalised strongly with NFTs. Our results show that IGF-1R and IR signalling is compromised in AD neurons and suggest that neurons that degenerate in AD may be resistant to IGF-1R/IR signalling.", "author" : [ { "dropping-particle" : "", "family" : "Moloney", "given" : "Aileen M", "non-dropping-particle" : "", "parse-names" : false, "suffix" : "" }, { "dropping-particle" : "", "family" : "Griffin", "given" : "Rebecca J", "non-dropping-particle" : "", "parse-names" : false, "suffix" : "" }, { "dropping-particle" : "", "family" : "Timmons", "given" : "Suzanne", "non-dropping-particle" : "", "parse-names" : false, "suffix" : "" }, { "dropping-particle" : "", "family" : "O'Connor", "given" : "Rosemary", "non-dropping-particle" : "", "parse-names" : false, "suffix" : "" }, { "dropping-particle" : "", "family" : "Ravid", "given" : "Rivka", "non-dropping-particle" : "", "parse-names" : false, "suffix" : "" }, { "dropping-particle" : "", "family" : "O'Neill", "given" : "Cora", "non-dropping-particle" : "", "parse-names" : false, "suffix" : "" } ], "container-title" : "Neurobiology of aging", "id" : "ITEM-1", "issue" : "2", "issued" : { "date-parts" : [ [ "2010", "2" ] ] }, "page" : "224-43", "title" : "Defects in IGF-1 receptor, insulin receptor and IRS-1/2 in Alzheimer's disease indicate possible resistance to IGF-1 and insulin signalling.", "type" : "article-journal", "volume" : "31" }, "uris" : [ "http://www.mendeley.com/documents/?uuid=54a00811-6d6c-3ddd-bf02-1e5ba5a93159" ] } ], "mendeley" : { "formattedCitation" : "(Moloney et al. 2010b)", "manualFormatting" : "(Moloney et al., 2010)", "plainTextFormattedCitation" : "(Moloney et al. 2010b)", "previouslyFormattedCitation" : "(Moloney et al. 2010b)" }, "properties" : { "noteIndex" : 0 }, "schema" : "https://github.com/citation-style-language/schema/raw/master/csl-citation.json" }</w:instrText>
      </w:r>
      <w:r w:rsidR="00D15378">
        <w:rPr>
          <w:rFonts w:ascii="Times New Roman" w:hAnsi="Times New Roman" w:cs="Times New Roman"/>
        </w:rPr>
        <w:fldChar w:fldCharType="separate"/>
      </w:r>
      <w:r w:rsidR="00D15378">
        <w:rPr>
          <w:rFonts w:ascii="Times New Roman" w:hAnsi="Times New Roman" w:cs="Times New Roman"/>
          <w:noProof/>
        </w:rPr>
        <w:t>(Moloney et al., 2010</w:t>
      </w:r>
      <w:r w:rsidR="00D15378" w:rsidRPr="00D15378">
        <w:rPr>
          <w:rFonts w:ascii="Times New Roman" w:hAnsi="Times New Roman" w:cs="Times New Roman"/>
          <w:noProof/>
        </w:rPr>
        <w:t>)</w:t>
      </w:r>
      <w:r w:rsidR="00D15378">
        <w:rPr>
          <w:rFonts w:ascii="Times New Roman" w:hAnsi="Times New Roman" w:cs="Times New Roman"/>
        </w:rPr>
        <w:fldChar w:fldCharType="end"/>
      </w:r>
      <w:r w:rsidR="00D15378">
        <w:rPr>
          <w:rFonts w:ascii="Times New Roman" w:hAnsi="Times New Roman" w:cs="Times New Roman"/>
        </w:rPr>
        <w:t>.</w:t>
      </w:r>
      <w:r w:rsidR="004679DE">
        <w:rPr>
          <w:rFonts w:ascii="Times New Roman" w:hAnsi="Times New Roman" w:cs="Times New Roman"/>
        </w:rPr>
        <w:t xml:space="preserve"> C</w:t>
      </w:r>
      <w:r w:rsidR="00501A7A">
        <w:rPr>
          <w:rFonts w:ascii="Times New Roman" w:hAnsi="Times New Roman" w:cs="Times New Roman"/>
        </w:rPr>
        <w:t>onversely</w:t>
      </w:r>
      <w:r w:rsidR="00D15378">
        <w:rPr>
          <w:rFonts w:ascii="Times New Roman" w:hAnsi="Times New Roman" w:cs="Times New Roman"/>
        </w:rPr>
        <w:t>,</w:t>
      </w:r>
      <w:r w:rsidR="00501A7A">
        <w:rPr>
          <w:rFonts w:ascii="Times New Roman" w:hAnsi="Times New Roman" w:cs="Times New Roman"/>
        </w:rPr>
        <w:t xml:space="preserve"> decreased IGF1/2</w:t>
      </w:r>
      <w:r w:rsidR="00D15378">
        <w:rPr>
          <w:rFonts w:ascii="Times New Roman" w:hAnsi="Times New Roman" w:cs="Times New Roman"/>
        </w:rPr>
        <w:t xml:space="preserve"> and IGF1R</w:t>
      </w:r>
      <w:r w:rsidR="00501A7A">
        <w:rPr>
          <w:rFonts w:ascii="Times New Roman" w:hAnsi="Times New Roman" w:cs="Times New Roman"/>
        </w:rPr>
        <w:t xml:space="preserve"> </w:t>
      </w:r>
      <w:r w:rsidR="00D15378">
        <w:rPr>
          <w:rFonts w:ascii="Times New Roman" w:hAnsi="Times New Roman" w:cs="Times New Roman"/>
        </w:rPr>
        <w:t xml:space="preserve">mRNA and protein levels have been reported in the hippocampus and hypothalamus of AD </w:t>
      </w:r>
      <w:r w:rsidR="00501A7A">
        <w:rPr>
          <w:rFonts w:ascii="Times New Roman" w:hAnsi="Times New Roman" w:cs="Times New Roman"/>
        </w:rPr>
        <w:t>brain</w:t>
      </w:r>
      <w:r w:rsidR="00D15378">
        <w:rPr>
          <w:rFonts w:ascii="Times New Roman" w:hAnsi="Times New Roman" w:cs="Times New Roman"/>
        </w:rPr>
        <w:t xml:space="preserve"> homogenates</w:t>
      </w:r>
      <w:r w:rsidR="00501A7A">
        <w:rPr>
          <w:rFonts w:ascii="Times New Roman" w:hAnsi="Times New Roman" w:cs="Times New Roman"/>
        </w:rPr>
        <w:t xml:space="preserve"> </w:t>
      </w:r>
      <w:r w:rsidR="006C3D0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"1387-2877", "PMID" : "15750215", "abstract" : "The neurodegeneration that occurs in sporadic Alzheimer's disease (AD) is consistently associated with a number of characteristic histopathological, molecular, and biochemical abnormalities, including cell loss, abundant neurofibrillary tangles and dystrophic neurites, amyloid-beta deposits, increased activation of pro-death genes and signaling pathways, impaired energy metabolism/mitochondrial function, and evidence of chronic oxidative stress. The general inability to convincingly link these phenomena has resulted in the emergence and propagation of various heavily debated theories that focus on the role of one particular element in the pathogenesis of all other abnormalities. However, the accumulating evidence that reduced glucose utilization and deficient energy metabolism occur early in the course of disease, suggests a role for impaired insulin signaling in the pathogenesis of AD. The present work demonstrates extensive abnormalities in insulin and insulin-like growth factor type I and II (IGF-I and IGF-II) signaling mechanisms in brains with AD, and shows that while each of the corresponding growth factors is normally made in central nervous system (CNS) neurons, the expression levels are markedly reduced in AD. These abnormalities were associated with reduced levels of insulin receptor substrate (IRS) mRNA, tau mRNA, IRS-associated phosphotidylinositol 3-kinase, and phospho-Akt (activated), and increased glycogen synthase kinase-3beta activity and amyloid precursor protein mRNA expression. The strikingly reduced CNS expression of genes encoding insulin, IGF-I, and IGF-II, as well as the insulin and IGF-I receptors, suggests that AD may represent a neuro-endocrine disorder that resembles, yet is distinct from diabetes mellitus. Therefore, we propose the term, \"Type 3 Diabetes\" to reflect this newly identified pathogenic mechanism of neurodegeneration.", "author" : [ { "dropping-particle" : "", "family" : "Steen", "given" : "Eric", "non-dropping-particle" : "", "parse-names" : false, "suffix" : "" }, { "dropping-particle" : "", "family" : "Terry", "given" : "Benjamin M", "non-dropping-particle" : "", "parse-names" : false, "suffix" : "" }, { "dropping-particle" : "", "family" : "Rivera", "given" : "Enrique J", "non-dropping-particle" : "", "parse-names" : false, "suffix" : "" }, { "dropping-particle" : "", "family" : "Cannon", "given" : "Jennifer L", "non-dropping-particle" : "", "parse-names" : false, "suffix" : "" }, { "dropping-particle" : "", "family" : "Neely", "given" : "Thomas R", "non-dropping-particle" : "", "parse-names" : false, "suffix" : "" }, { "dropping-particle" : "", "family" : "Tavares", "given" : "Rose", "non-dropping-particle" : "", "parse-names" : false, "suffix" : "" }, { "dropping-particle" : "", "family" : "Xu", "given" : "X Julia", "non-dropping-particle" : "", "parse-names" : false, "suffix" : "" }, { "dropping-particle" : "", "family" : "Wands", "given" : "Jack R", "non-dropping-particle" : "", "parse-names" : false, "suffix" : "" }, { "dropping-particle" : "", "family" : "la Monte", "given" : "Suzanne M", "non-dropping-particle" : "de", "parse-names" : false, "suffix" : "" } ], "container-title" : "Journal of Alzheimer's disease : JAD", "id" : "ITEM-1", "issue" : "1", "issued" : { "date-parts" : [ [ "2005", "2" ] ] }, "page" : "63-80", "title" : "Impaired insulin and insulin-like growth factor expression and signaling mechanisms in Alzheimer's disease--is this type 3 diabetes?", "type" : "article-journal", "volume" : "7" }, "uris" : [ "http://www.mendeley.com/documents/?uuid=8f523e68-848d-4754-a255-1724acc7302e" ] } ], "mendeley" : { "formattedCitation" : "(Steen et al. 2005)", "plainTextFormattedCitation" : "(Steen et al. 2005)", "previouslyFormattedCitation" : "(Steen et al. 2005)" }, "properties" : { "noteIndex" : 0 }, "schema" : "https://github.com/citation-style-language/schema/raw/master/csl-citation.json" }</w:instrText>
      </w:r>
      <w:r w:rsidR="006C3D09">
        <w:rPr>
          <w:rFonts w:ascii="Times New Roman" w:hAnsi="Times New Roman" w:cs="Times New Roman"/>
        </w:rPr>
        <w:fldChar w:fldCharType="separate"/>
      </w:r>
      <w:r w:rsidR="00C148FC" w:rsidRPr="00C148FC">
        <w:rPr>
          <w:rFonts w:ascii="Times New Roman" w:hAnsi="Times New Roman" w:cs="Times New Roman"/>
          <w:noProof/>
        </w:rPr>
        <w:t>(Steen et al. 2005)</w:t>
      </w:r>
      <w:r w:rsidR="006C3D09">
        <w:rPr>
          <w:rFonts w:ascii="Times New Roman" w:hAnsi="Times New Roman" w:cs="Times New Roman"/>
        </w:rPr>
        <w:fldChar w:fldCharType="end"/>
      </w:r>
      <w:r w:rsidR="0052282A">
        <w:rPr>
          <w:rFonts w:ascii="Times New Roman" w:hAnsi="Times New Roman" w:cs="Times New Roman"/>
        </w:rPr>
        <w:t xml:space="preserve"> however this</w:t>
      </w:r>
      <w:r w:rsidR="0016200A">
        <w:rPr>
          <w:rFonts w:ascii="Times New Roman" w:hAnsi="Times New Roman" w:cs="Times New Roman"/>
        </w:rPr>
        <w:t xml:space="preserve"> include</w:t>
      </w:r>
      <w:r w:rsidR="0052282A">
        <w:rPr>
          <w:rFonts w:ascii="Times New Roman" w:hAnsi="Times New Roman" w:cs="Times New Roman"/>
        </w:rPr>
        <w:t>d</w:t>
      </w:r>
      <w:r w:rsidR="00D15378">
        <w:rPr>
          <w:rFonts w:ascii="Times New Roman" w:hAnsi="Times New Roman" w:cs="Times New Roman"/>
        </w:rPr>
        <w:t xml:space="preserve"> the changes in other cell types too.</w:t>
      </w:r>
      <w:r w:rsidR="00E97348">
        <w:rPr>
          <w:rFonts w:ascii="Times New Roman" w:hAnsi="Times New Roman" w:cs="Times New Roman"/>
        </w:rPr>
        <w:t xml:space="preserve"> Most of the studies to date have investigated global insulin/IGF1 signalling impairment in the brain, with a focus on changes in neurons, the CSF and blood of AD patients and</w:t>
      </w:r>
      <w:r w:rsidR="0016200A">
        <w:rPr>
          <w:rFonts w:ascii="Times New Roman" w:hAnsi="Times New Roman" w:cs="Times New Roman"/>
        </w:rPr>
        <w:t xml:space="preserve"> control with less attention on </w:t>
      </w:r>
      <w:r w:rsidR="00E97348">
        <w:rPr>
          <w:rFonts w:ascii="Times New Roman" w:hAnsi="Times New Roman" w:cs="Times New Roman"/>
        </w:rPr>
        <w:t>astrocytes. There is evidence that the i</w:t>
      </w:r>
      <w:r w:rsidR="00EF2AF4" w:rsidRPr="00EF2AF4">
        <w:rPr>
          <w:rFonts w:ascii="Times New Roman" w:hAnsi="Times New Roman" w:cs="Times New Roman"/>
        </w:rPr>
        <w:t>nsulin/IGF</w:t>
      </w:r>
      <w:r w:rsidR="00A8592A">
        <w:rPr>
          <w:rFonts w:ascii="Times New Roman" w:hAnsi="Times New Roman" w:cs="Times New Roman"/>
        </w:rPr>
        <w:t>1</w:t>
      </w:r>
      <w:r w:rsidR="00EF2AF4" w:rsidRPr="00EF2AF4">
        <w:rPr>
          <w:rFonts w:ascii="Times New Roman" w:hAnsi="Times New Roman" w:cs="Times New Roman"/>
        </w:rPr>
        <w:t xml:space="preserve"> signalling</w:t>
      </w:r>
      <w:r w:rsidR="00E97348">
        <w:rPr>
          <w:rFonts w:ascii="Times New Roman" w:hAnsi="Times New Roman" w:cs="Times New Roman"/>
        </w:rPr>
        <w:t xml:space="preserve"> pathway is dysregulated in astrocytes in AD but the role this plays in disease progression is unclear</w:t>
      </w:r>
      <w:r w:rsidR="00EF2AF4" w:rsidRPr="00EF2AF4">
        <w:rPr>
          <w:rFonts w:ascii="Times New Roman" w:hAnsi="Times New Roman" w:cs="Times New Roman"/>
        </w:rPr>
        <w:t>.</w:t>
      </w:r>
      <w:r w:rsidR="00434387">
        <w:rPr>
          <w:rFonts w:ascii="Times New Roman" w:hAnsi="Times New Roman" w:cs="Times New Roman"/>
        </w:rPr>
        <w:t xml:space="preserve"> Astrocytes are intrinsically designed to adapt to changes in the extracellular environment. Downregulation of </w:t>
      </w:r>
      <w:r w:rsidR="00EF2AF4" w:rsidRPr="00EF2AF4">
        <w:rPr>
          <w:rFonts w:ascii="Times New Roman" w:hAnsi="Times New Roman" w:cs="Times New Roman"/>
        </w:rPr>
        <w:t xml:space="preserve">this signalling axis </w:t>
      </w:r>
      <w:r w:rsidR="00434387">
        <w:rPr>
          <w:rFonts w:ascii="Times New Roman" w:hAnsi="Times New Roman" w:cs="Times New Roman"/>
        </w:rPr>
        <w:t>could be</w:t>
      </w:r>
      <w:r w:rsidR="00EF2AF4" w:rsidRPr="00EF2AF4">
        <w:rPr>
          <w:rFonts w:ascii="Times New Roman" w:hAnsi="Times New Roman" w:cs="Times New Roman"/>
        </w:rPr>
        <w:t xml:space="preserve"> an adaptive response to age-related changes in the brain</w:t>
      </w:r>
      <w:r w:rsidR="00434387">
        <w:rPr>
          <w:rFonts w:ascii="Times New Roman" w:hAnsi="Times New Roman" w:cs="Times New Roman"/>
        </w:rPr>
        <w:t xml:space="preserve"> that either have beneficial or detrimental effects</w:t>
      </w:r>
      <w:r w:rsidR="00501A7A">
        <w:rPr>
          <w:rFonts w:ascii="Times New Roman" w:hAnsi="Times New Roman" w:cs="Times New Roman"/>
        </w:rPr>
        <w:t xml:space="preserve"> and</w:t>
      </w:r>
      <w:r w:rsidR="00EF2AF4" w:rsidRPr="00EF2AF4">
        <w:rPr>
          <w:rFonts w:ascii="Times New Roman" w:hAnsi="Times New Roman" w:cs="Times New Roman"/>
        </w:rPr>
        <w:t xml:space="preserve"> </w:t>
      </w:r>
      <w:r w:rsidR="00501A7A">
        <w:rPr>
          <w:rFonts w:ascii="Times New Roman" w:hAnsi="Times New Roman" w:cs="Times New Roman"/>
        </w:rPr>
        <w:t>a</w:t>
      </w:r>
      <w:r w:rsidR="00434387">
        <w:rPr>
          <w:rFonts w:ascii="Times New Roman" w:hAnsi="Times New Roman" w:cs="Times New Roman"/>
        </w:rPr>
        <w:t>ltered insulin/IGF1 signalling</w:t>
      </w:r>
      <w:r w:rsidR="00EF2AF4" w:rsidRPr="00EF2AF4">
        <w:rPr>
          <w:rFonts w:ascii="Times New Roman" w:hAnsi="Times New Roman" w:cs="Times New Roman"/>
        </w:rPr>
        <w:t xml:space="preserve"> could represent </w:t>
      </w:r>
      <w:r w:rsidR="00434387">
        <w:rPr>
          <w:rFonts w:ascii="Times New Roman" w:hAnsi="Times New Roman" w:cs="Times New Roman"/>
        </w:rPr>
        <w:t>an additional complexity</w:t>
      </w:r>
      <w:r w:rsidR="00EF2AF4" w:rsidRPr="00EF2AF4">
        <w:rPr>
          <w:rFonts w:ascii="Times New Roman" w:hAnsi="Times New Roman" w:cs="Times New Roman"/>
        </w:rPr>
        <w:t xml:space="preserve"> in Alzheimer’s progression, besides tau and plaque pathology.</w:t>
      </w:r>
      <w:r w:rsidR="003945B4">
        <w:t xml:space="preserve">    </w:t>
      </w:r>
    </w:p>
    <w:p w14:paraId="71F7E700" w14:textId="77777777" w:rsidR="00CD3499" w:rsidRDefault="00CD3499" w:rsidP="003945B4">
      <w:pPr>
        <w:pStyle w:val="Heading3"/>
      </w:pPr>
    </w:p>
    <w:p w14:paraId="78869912" w14:textId="688DBC91" w:rsidR="003945B4" w:rsidRDefault="003945B4" w:rsidP="003945B4">
      <w:pPr>
        <w:pStyle w:val="Heading3"/>
      </w:pPr>
      <w:bookmarkStart w:id="282" w:name="_Toc331425884"/>
      <w:bookmarkStart w:id="283" w:name="_Toc331427071"/>
      <w:bookmarkStart w:id="284" w:name="_Toc331427443"/>
      <w:bookmarkStart w:id="285" w:name="_Toc331427585"/>
      <w:bookmarkStart w:id="286" w:name="_Toc332972589"/>
      <w:bookmarkStart w:id="287" w:name="_Toc333046869"/>
      <w:bookmarkStart w:id="288" w:name="_Toc333477216"/>
      <w:bookmarkStart w:id="289" w:name="_Toc333477986"/>
      <w:bookmarkStart w:id="290" w:name="_Toc333644886"/>
      <w:r>
        <w:t>1.4.5 Other changes in astrocytes observed in neurodegenerative disease</w:t>
      </w:r>
      <w:bookmarkEnd w:id="282"/>
      <w:bookmarkEnd w:id="283"/>
      <w:bookmarkEnd w:id="284"/>
      <w:bookmarkEnd w:id="285"/>
      <w:bookmarkEnd w:id="286"/>
      <w:bookmarkEnd w:id="287"/>
      <w:bookmarkEnd w:id="288"/>
      <w:bookmarkEnd w:id="289"/>
      <w:bookmarkEnd w:id="290"/>
    </w:p>
    <w:p w14:paraId="5EAB3143" w14:textId="77777777" w:rsidR="003945B4" w:rsidRPr="003945B4" w:rsidRDefault="003945B4" w:rsidP="003945B4"/>
    <w:p w14:paraId="08CCD89D" w14:textId="21B7D9D8" w:rsidR="003945B4" w:rsidRPr="003945B4" w:rsidRDefault="003945B4" w:rsidP="00C25727">
      <w:pPr>
        <w:rPr>
          <w:rFonts w:ascii="Times New Roman" w:hAnsi="Times New Roman" w:cs="Times New Roman"/>
          <w:b/>
          <w:i/>
          <w:u w:val="single"/>
        </w:rPr>
      </w:pPr>
      <w:r w:rsidRPr="003945B4">
        <w:rPr>
          <w:rFonts w:ascii="Times New Roman" w:hAnsi="Times New Roman" w:cs="Times New Roman"/>
          <w:b/>
          <w:i/>
          <w:u w:val="single"/>
        </w:rPr>
        <w:t>Mutations</w:t>
      </w:r>
    </w:p>
    <w:p w14:paraId="58704D9A" w14:textId="5481E8DA" w:rsidR="003945B4" w:rsidRDefault="003945B4" w:rsidP="003E7BDB">
      <w:pPr>
        <w:spacing w:line="360" w:lineRule="auto"/>
        <w:jc w:val="both"/>
        <w:rPr>
          <w:rFonts w:ascii="Times New Roman" w:hAnsi="Times New Roman" w:cs="Times New Roman"/>
        </w:rPr>
      </w:pPr>
      <w:r w:rsidRPr="00054DB7">
        <w:rPr>
          <w:rFonts w:ascii="Times New Roman" w:hAnsi="Times New Roman" w:cs="Times New Roman"/>
        </w:rPr>
        <w:t xml:space="preserve">Astrocytes can provide hostile environments for neurons. This is </w:t>
      </w:r>
      <w:r>
        <w:rPr>
          <w:rFonts w:ascii="Times New Roman" w:hAnsi="Times New Roman" w:cs="Times New Roman"/>
        </w:rPr>
        <w:t>probably best</w:t>
      </w:r>
      <w:r w:rsidRPr="00054DB7">
        <w:rPr>
          <w:rFonts w:ascii="Times New Roman" w:hAnsi="Times New Roman" w:cs="Times New Roman"/>
        </w:rPr>
        <w:t xml:space="preserve"> demonstrated by work carried out in the ALS field.  </w:t>
      </w:r>
      <w:r>
        <w:rPr>
          <w:rFonts w:ascii="Times New Roman" w:hAnsi="Times New Roman" w:cs="Times New Roman"/>
        </w:rPr>
        <w:t>One of t</w:t>
      </w:r>
      <w:r w:rsidRPr="00054DB7">
        <w:rPr>
          <w:rFonts w:ascii="Times New Roman" w:hAnsi="Times New Roman" w:cs="Times New Roman"/>
        </w:rPr>
        <w:t>he most common cause</w:t>
      </w:r>
      <w:r>
        <w:rPr>
          <w:rFonts w:ascii="Times New Roman" w:hAnsi="Times New Roman" w:cs="Times New Roman"/>
        </w:rPr>
        <w:t>s</w:t>
      </w:r>
      <w:r w:rsidRPr="00054DB7">
        <w:rPr>
          <w:rFonts w:ascii="Times New Roman" w:hAnsi="Times New Roman" w:cs="Times New Roman"/>
        </w:rPr>
        <w:t xml:space="preserve"> of inherited ALS is due to a mutation that arises in SOD1 (superoxide distmutase). In a mutant SOD1 ALS mouse model, decreasing levels of mutant SOD1 in astrocytes reduced microglial activation by lowering inducible nitric oxide synthase (iNOS) activity and slowed late-stage disease progression </w:t>
      </w:r>
      <w:r w:rsidRPr="00054DB7">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"10.1038/nn2047", "ISSN" : "1097-6256", "PMID" : "18246065", "abstract" : "Dominant mutations in superoxide dismutase cause amyotrophic lateral sclerosis (ALS), an adult-onset neurodegenerative disease that is characterized by the loss of motor neurons. Using mice carrying a deletable mutant gene, diminished mutant expression in astrocytes did not affect onset, but delayed microglial activation and sharply slowed later disease progression. These findings demonstrate that mutant astrocytes are viable targets for therapies for slowing the progression of non-cell autonomous killing of motor neurons in ALS.", "author" : [ { "dropping-particle" : "", "family" : "Yamanaka", "given" : "Koji", "non-dropping-particle" : "", "parse-names" : false, "suffix" : "" }, { "dropping-particle" : "", "family" : "Chun", "given" : "Seung Joo", "non-dropping-particle" : "", "parse-names" : false, "suffix" : "" }, { "dropping-particle" : "", "family" : "Boillee", "given" : "Severine", "non-dropping-particle" : "", "parse-names" : false, "suffix" : "" }, { "dropping-particle" : "", "family" : "Fujimori-Tonou", "given" : "Noriko", "non-dropping-particle" : "", "parse-names" : false, "suffix" : "" }, { "dropping-particle" : "", "family" : "Yamashita", "given" : "Hirofumi", "non-dropping-particle" : "", "parse-names" : false, "suffix" : "" }, { "dropping-particle" : "", "family" : "Gutmann", "given" : "David H", "non-dropping-particle" : "", "parse-names" : false, "suffix" : "" }, { "dropping-particle" : "", "family" : "Takahashi", "given" : "Ryosuke", "non-dropping-particle" : "", "parse-names" : false, "suffix" : "" }, { "dropping-particle" : "", "family" : "Misawa", "given" : "Hidemi", "non-dropping-particle" : "", "parse-names" : false, "suffix" : "" }, { "dropping-particle" : "", "family" : "Cleveland", "given" : "Don W", "non-dropping-particle" : "", "parse-names" : false, "suffix" : "" } ], "container-title" : "Nature neuroscience", "id" : "ITEM-1", "issue" : "3", "issued" : { "date-parts" : [ [ "2008", "3" ] ] }, "page" : "251-3", "title" : "Astrocytes as determinants of disease progression in inherited amyotrophic lateral sclerosis.", "type" : "article-journal", "volume" : "11" }, "uris" : [ "http://www.mendeley.com/documents/?uuid=c5df73b3-6d13-4174-9b21-c51bea4308bb" ] } ], "mendeley" : { "formattedCitation" : "(Yamanaka et al. 2008)", "plainTextFormattedCitation" : "(Yamanaka et al. 2008)", "previouslyFormattedCitation" : "(Yamanaka et al. 2008)" }, "properties" : { "noteIndex" : 0 }, "schema" : "https://github.com/citation-style-language/schema/raw/master/csl-citation.json" }</w:instrText>
      </w:r>
      <w:r w:rsidRPr="00054DB7">
        <w:rPr>
          <w:rFonts w:ascii="Times New Roman" w:hAnsi="Times New Roman" w:cs="Times New Roman"/>
        </w:rPr>
        <w:fldChar w:fldCharType="separate"/>
      </w:r>
      <w:r w:rsidR="00C148FC" w:rsidRPr="00C148FC">
        <w:rPr>
          <w:rFonts w:ascii="Times New Roman" w:hAnsi="Times New Roman" w:cs="Times New Roman"/>
          <w:noProof/>
        </w:rPr>
        <w:t>(Yamanaka et al. 2008)</w:t>
      </w:r>
      <w:r w:rsidRPr="00054DB7">
        <w:rPr>
          <w:rFonts w:ascii="Times New Roman" w:hAnsi="Times New Roman" w:cs="Times New Roman"/>
        </w:rPr>
        <w:fldChar w:fldCharType="end"/>
      </w:r>
      <w:r w:rsidRPr="00054DB7">
        <w:rPr>
          <w:rFonts w:ascii="Times New Roman" w:hAnsi="Times New Roman" w:cs="Times New Roman"/>
        </w:rPr>
        <w:t xml:space="preserve">. </w:t>
      </w:r>
      <w:r>
        <w:rPr>
          <w:rFonts w:ascii="Times New Roman" w:hAnsi="Times New Roman" w:cs="Times New Roman"/>
        </w:rPr>
        <w:t xml:space="preserve">Another common mutation that occurs in ALS is a large hexanucleoutide expansion repeat in the ORF 72 on chromosome 9 (C90RF72). Skin fibroblasts from patients with C9ORF72 and SOD1 mutation have been reprogrammed to generate induced neuronal progenitor cells and eventually differentiated into astrocytes. These mutant astrocytes display toxicity to the motor neurons when grown in co-culture </w:t>
      </w:r>
      <w:r>
        <w:rPr>
          <w:rFonts w:ascii="Times New Roman" w:hAnsi="Times New Roman" w:cs="Times New Roman"/>
        </w:rPr>
        <w:fldChar w:fldCharType="begin" w:fldLock="1"/>
      </w:r>
      <w:r w:rsidR="00253037">
        <w:rPr>
          <w:rFonts w:ascii="Times New Roman" w:hAnsi="Times New Roman" w:cs="Times New Roman"/>
        </w:rPr>
        <w:instrText>ADDIN CSL_CITATION { "citationItems" : [ { "id" : "ITEM-1", "itemData" : { "DOI" : "10.1073/pnas.1314085111", "ISSN" : "1091-6490", "PMID" : "24379375", "abstract" : "Amyotrophic lateral sclerosis (ALS) causes motor neuron degeneration, paralysis, and death. Accurate disease modeling, identifying disease mechanisms, and developing therapeutics is urgently needed. We previously reported motor neuron toxicity through postmortem ALS spinal cord-derived astrocytes. However, these cells can only be harvested after death, and their expansion is limited. We now report a rapid, highly reproducible method to convert adult human fibroblasts from living ALS patients to induced neuronal progenitor cells and subsequent differentiation into astrocytes (i-astrocytes). Non-cell autonomous toxicity to motor neurons is found following coculture of i-astrocytes from familial ALS patients with mutation in superoxide dismutase or hexanucleotide expansion in C9orf72 (ORF 72 on chromosome 9) the two most frequent causes of ALS. Remarkably, i-astrocytes from sporadic ALS patients are as toxic as those with causative mutations, suggesting a common mechanism. Easy production and expansion of i-astrocytes now enables rapid disease modeling and high-throughput drug screening to alleviate astrocyte-derived toxicity.", "author" : [ { "dropping-particle" : "", "family" : "Meyer", "given" : "Kathrin", "non-dropping-particle" : "", "parse-names" : false, "suffix" : "" }, { "dropping-particle" : "", "family" : "Ferraiuolo", "given" : "Laura", "non-dropping-particle" : "", "parse-names" : false, "suffix" : "" }, { "dropping-particle" : "", "family" : "Miranda", "given" : "Carlos J", "non-dropping-particle" : "", "parse-names" : false, "suffix" : "" }, { "dropping-particle" : "", "family" : "Likhite", "given" : "Shibi", "non-dropping-particle" : "", "parse-names" : false, "suffix" : "" }, { "dropping-particle" : "", "family" : "McElroy", "given" : "Sohyun", "non-dropping-particle" : "", "parse-names" : false, "suffix" : "" }, { "dropping-particle" : "", "family" : "Renusch", "given" : "Samantha", "non-dropping-particle" : "", "parse-names" : false, "suffix" : "" }, { "dropping-particle" : "", "family" : "Ditsworth", "given" : "Dara", "non-dropping-particle" : "", "parse-names" : false, "suffix" : "" }, { "dropping-particle" : "", "family" : "Lagier-Tourenne", "given" : "Clotilde", "non-dropping-particle" : "", "parse-names" : false, "suffix" : "" }, { "dropping-particle" : "", "family" : "Smith", "given" : "Richard A", "non-dropping-particle" : "", "parse-names" : false, "suffix" : "" }, { "dropping-particle" : "", "family" : "Ravits", "given" : "John", "non-dropping-particle" : "", "parse-names" : false, "suffix" : "" }, { "dropping-particle" : "", "family" : "Burghes", "given" : "Arthur H", "non-dropping-particle" : "", "parse-names" : false, "suffix" : "" }, { "dropping-particle" : "", "family" : "Shaw", "given" : "Pamela J", "non-dropping-particle" : "", "parse-names" : false, "suffix" : "" }, { "dropping-particle" : "", "family" : "Cleveland", "given" : "Don W", "non-dropping-particle" : "", "parse-names" : false, "suffix" : "" }, { "dropping-particle" : "", "family" : "Kolb", "given" : "Stephen J", "non-dropping-particle" : "", "parse-names" : false, "suffix" : "" }, { "dropping-particle" : "", "family" : "Kaspar", "given" : "Brian K", "non-dropping-particle" : "", "parse-names" : false, "suffix" : "" } ], "container-title" : "Proceedings of the National Academy of Sciences of the United States of America", "id" : "ITEM-1", "issue" : "2", "issued" : { "date-parts" : [ [ "2014", "1", "14" ] ] }, "page" : "829-32", "title" : "Direct conversion of patient fibroblasts demonstrates non-cell autonomous toxicity of astrocytes to motor neurons in familial and sporadic ALS.", "type" : "article-journal", "volume" : "111" }, "uris" : [ "http://www.mendeley.com/documents/?uuid=8e4ff261-36a3-44eb-a279-75658e34cb47" ] } ], "mendeley" : { "formattedCitation" : "(Meyer et al. 2014a)", "manualFormatting" : "(Meyer et al., 2014)", "plainTextFormattedCitation" : "(Meyer et al. 2014a)", "previouslyFormattedCitation" : "(Meyer et al. 2014a)" }, "properties" : { "noteIndex" : 0 }, "schema" : "https://github.com/citation-style-language/schema/raw/master/csl-citation.json" }</w:instrText>
      </w:r>
      <w:r>
        <w:rPr>
          <w:rFonts w:ascii="Times New Roman" w:hAnsi="Times New Roman" w:cs="Times New Roman"/>
        </w:rPr>
        <w:fldChar w:fldCharType="separate"/>
      </w:r>
      <w:r w:rsidR="0052282A">
        <w:rPr>
          <w:rFonts w:ascii="Times New Roman" w:hAnsi="Times New Roman" w:cs="Times New Roman"/>
          <w:noProof/>
        </w:rPr>
        <w:t>(Meyer et al., 201</w:t>
      </w:r>
      <w:r w:rsidR="008742DE">
        <w:rPr>
          <w:rFonts w:ascii="Times New Roman" w:hAnsi="Times New Roman" w:cs="Times New Roman"/>
          <w:noProof/>
        </w:rPr>
        <w:t>4</w:t>
      </w:r>
      <w:r w:rsidRPr="009610C2">
        <w:rPr>
          <w:rFonts w:ascii="Times New Roman" w:hAnsi="Times New Roman" w:cs="Times New Roman"/>
          <w:noProof/>
        </w:rPr>
        <w:t>)</w:t>
      </w:r>
      <w:r>
        <w:rPr>
          <w:rFonts w:ascii="Times New Roman" w:hAnsi="Times New Roman" w:cs="Times New Roman"/>
        </w:rPr>
        <w:fldChar w:fldCharType="end"/>
      </w:r>
      <w:r>
        <w:rPr>
          <w:rFonts w:ascii="Times New Roman" w:hAnsi="Times New Roman" w:cs="Times New Roman"/>
        </w:rPr>
        <w:t xml:space="preserve"> and in similar experiments in rats, there is evidence that it is a soluble factor that mediates its toxicity through a Bax-dependent mechanism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"10.1038/nn1876", "ISSN" : "1097-6256", "PMID" : "17435755", "abstract" : "Mutations in superoxide dismutase-1 (SOD1) cause a form of the fatal paralytic disorder amyotrophic lateral sclerosis (ALS), presumably by a combination of cell-autonomous and non-cell-autonomous processes. Here, we show that expression of mutated human SOD1 in primary mouse spinal motor neurons does not provoke motor neuron degeneration. Conversely, rodent astrocytes expressing mutated SOD1 kill spinal primary and embryonic mouse stem cell-derived motor neurons. This is triggered by soluble toxic factor(s) through a Bax-dependent mechanism. However, mutant astrocytes do not cause the death of spinal GABAergic or dorsal root ganglion neurons or of embryonic stem cell-derived interneurons. In contrast to astrocytes, fibroblasts, microglia, cortical neurons and myocytes expressing mutated SOD1 do not cause overt neurotoxicity. These findings indicate that astrocytes may play a role in the specific degeneration of spinal motor neurons in ALS. Identification of the astrocyte-derived soluble factor(s) may have far-reaching implications for ALS from both a pathogenic and therapeutic standpoint.", "author" : [ { "dropping-particle" : "", "family" : "Nagai", "given" : "Makiko", "non-dropping-particle" : "", "parse-names" : false, "suffix" : "" }, { "dropping-particle" : "", "family" : "Re", "given" : "Diane B", "non-dropping-particle" : "", "parse-names" : false, "suffix" : "" }, { "dropping-particle" : "", "family" : "Nagata", "given" : "Tetsuya", "non-dropping-particle" : "", "parse-names" : false, "suffix" : "" }, { "dropping-particle" : "", "family" : "Chalazonitis", "given" : "Alcm\u00e8ne", "non-dropping-particle" : "", "parse-names" : false, "suffix" : "" }, { "dropping-particle" : "", "family" : "Jessell", "given" : "Thomas M", "non-dropping-particle" : "", "parse-names" : false, "suffix" : "" }, { "dropping-particle" : "", "family" : "Wichterle", "given" : "Hynek", "non-dropping-particle" : "", "parse-names" : false, "suffix" : "" }, { "dropping-particle" : "", "family" : "Przedborski", "given" : "Serge", "non-dropping-particle" : "", "parse-names" : false, "suffix" : "" } ], "container-title" : "Nature neuroscience", "id" : "ITEM-1", "issue" : "5", "issued" : { "date-parts" : [ [ "2007", "5" ] ] }, "page" : "615-22", "publisher" : "Nature Publishing Group", "title" : "Astrocytes expressing ALS-linked mutated SOD1 release factors selectively toxic to motor neurons.", "title-short" : "Nat Neurosci", "type" : "article-journal", "volume" : "10" }, "uris" : [ "http://www.mendeley.com/documents/?uuid=4cd0ea9e-a0c8-4fcc-8f47-2ae7a4b1b273" ] } ], "mendeley" : { "formattedCitation" : "(Nagai et al. 2007)", "plainTextFormattedCitation" : "(Nagai et al. 2007)", "previouslyFormattedCitation" : "(Nagai et al. 2007)"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(Nagai et al. 2007)</w:t>
      </w:r>
      <w:r>
        <w:rPr>
          <w:rFonts w:ascii="Times New Roman" w:hAnsi="Times New Roman" w:cs="Times New Roman"/>
        </w:rPr>
        <w:fldChar w:fldCharType="end"/>
      </w:r>
      <w:r>
        <w:rPr>
          <w:rFonts w:ascii="Times New Roman" w:hAnsi="Times New Roman" w:cs="Times New Roman"/>
        </w:rPr>
        <w:t xml:space="preserve">. As of yet, there are no studies that involve reprogramming of skin fibroblasts from </w:t>
      </w:r>
      <w:r w:rsidR="00105F23">
        <w:rPr>
          <w:rFonts w:ascii="Times New Roman" w:hAnsi="Times New Roman" w:cs="Times New Roman"/>
        </w:rPr>
        <w:t>AD</w:t>
      </w:r>
      <w:r>
        <w:rPr>
          <w:rFonts w:ascii="Times New Roman" w:hAnsi="Times New Roman" w:cs="Times New Roman"/>
        </w:rPr>
        <w:t xml:space="preserve"> patients back to astrocytes to assess effects when in co-culture with neurons. These will be important experiments that will further our understanding of how astrocytes are altered during AD progression and whether this affects neuronal health.</w:t>
      </w:r>
    </w:p>
    <w:p w14:paraId="041A2ECC" w14:textId="77777777" w:rsidR="00E7279D" w:rsidRDefault="00E7279D" w:rsidP="003945B4">
      <w:pPr>
        <w:spacing w:line="360" w:lineRule="auto"/>
        <w:rPr>
          <w:rFonts w:ascii="Times New Roman" w:hAnsi="Times New Roman" w:cs="Times New Roman"/>
          <w:b/>
          <w:i/>
          <w:u w:val="single"/>
        </w:rPr>
      </w:pPr>
    </w:p>
    <w:p w14:paraId="5AF2CAD1" w14:textId="2F5BA944" w:rsidR="003945B4" w:rsidRPr="003945B4" w:rsidRDefault="003945B4" w:rsidP="00C25727">
      <w:pPr>
        <w:rPr>
          <w:rFonts w:ascii="Times New Roman" w:hAnsi="Times New Roman" w:cs="Times New Roman"/>
        </w:rPr>
      </w:pPr>
      <w:r>
        <w:rPr>
          <w:rFonts w:ascii="Times New Roman" w:hAnsi="Times New Roman" w:cs="Times New Roman"/>
          <w:b/>
          <w:i/>
          <w:u w:val="single"/>
        </w:rPr>
        <w:t>Exosomes</w:t>
      </w:r>
    </w:p>
    <w:p w14:paraId="20929F69" w14:textId="37355B3E" w:rsidR="000548D1" w:rsidRDefault="003945B4" w:rsidP="003E7BDB">
      <w:pPr>
        <w:spacing w:line="360" w:lineRule="auto"/>
        <w:jc w:val="both"/>
        <w:rPr>
          <w:rFonts w:ascii="Times New Roman" w:hAnsi="Times New Roman" w:cs="Times New Roman"/>
        </w:rPr>
      </w:pPr>
      <w:r>
        <w:rPr>
          <w:rFonts w:ascii="Times New Roman" w:hAnsi="Times New Roman" w:cs="Times New Roman"/>
        </w:rPr>
        <w:t>Exosomes are small, ceramide enriched, membranous vesicles secreted from cells that carry a range of cargo including protein, mRNA and miRNA (microRNA). Exosomes function to transmit signals between cel</w:t>
      </w:r>
      <w:r w:rsidR="0016200A">
        <w:rPr>
          <w:rFonts w:ascii="Times New Roman" w:hAnsi="Times New Roman" w:cs="Times New Roman"/>
        </w:rPr>
        <w:t>ls and remove unwanted proteins. H</w:t>
      </w:r>
      <w:r>
        <w:rPr>
          <w:rFonts w:ascii="Times New Roman" w:hAnsi="Times New Roman" w:cs="Times New Roman"/>
        </w:rPr>
        <w:t xml:space="preserve">owever they have recently been implicated in the transfer of pathologically associated species such as </w:t>
      </w:r>
      <w:r w:rsidR="0052282A" w:rsidRPr="00EF2AF4">
        <w:rPr>
          <w:rFonts w:ascii="Times New Roman" w:hAnsi="Times New Roman" w:cs="Times New Roman"/>
        </w:rPr>
        <w:t>Aβ</w:t>
      </w:r>
      <w:r w:rsidR="0052282A">
        <w:rPr>
          <w:rFonts w:ascii="Times New Roman" w:hAnsi="Times New Roman" w:cs="Times New Roman"/>
        </w:rPr>
        <w:t xml:space="preserve">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"10.1074/jbc.M112.404467", "ISSN" : "1083-351X", "PMID" : "23129776", "abstract" : "In vitro studies have shown that neuronal cell cultures secrete exosomes containing amyloid-\u03b2 precursor protein (APP) and the APP-processing products, C-terminal fragments (CTFs) and amyloid-\u03b2 (A\u03b2). We investigated the secretion of full-length APP (flAPP) and APP CTFs via the exosome secretory pathway in vivo. To this end, we developed a novel protocol designed to isolate exosomes secreted into mouse brain extracellular space. Exosomes with typical morphology were isolated from freshly removed mouse brains and from frozen mouse and human brain tissues, demonstrating that exosomes can be isolated from post-mortem tissue frozen for long periods of time. flAPP, APP CTFs, and enzymes that cleave both flAPP and APP CTFs were identified in brain exosomes. Although higher levels of both flAPP and APP CTFs were observed in exosomes isolated from the brains of transgenic mice overexpressing human APP (Tg2576) compared with wild-type control mice, there was no difference in the number of secreted brain exosomes. These data indicate that the levels of flAPP and APP CTFs associated with exosomes mirror the cellular levels of flAPP and APP CTFs. Interestingly, exosomes isolated from the brains of both Tg2576 and wild-type mice are enriched with APP CTFs relative to flAPP. Thus, we hypothesize that the exosome secretory pathway plays a pleiotropic role in the brain: exosome secretion is beneficial to the cell, acting as a specific releasing system of neurotoxic APP CTFs and A\u03b2, but the secretion of exosomes enriched with APP CTFs, neurotoxic proteins that are also a source of secreted A\u03b2, is harmful to the brain.", "author" : [ { "dropping-particle" : "", "family" : "Perez-Gonzalez", "given" : "Rocio", "non-dropping-particle" : "", "parse-names" : false, "suffix" : "" }, { "dropping-particle" : "", "family" : "Gauthier", "given" : "Sebastien A", "non-dropping-particle" : "", "parse-names" : false, "suffix" : "" }, { "dropping-particle" : "", "family" : "Kumar", "given" : "Asok", "non-dropping-particle" : "", "parse-names" : false, "suffix" : "" }, { "dropping-particle" : "", "family" : "Levy", "given" : "Efrat", "non-dropping-particle" : "", "parse-names" : false, "suffix" : "" } ], "container-title" : "The Journal of biological chemistry", "id" : "ITEM-1", "issue" : "51", "issued" : { "date-parts" : [ [ "2012", "12", "14" ] ] }, "page" : "43108-15", "title" : "The exosome secretory pathway transports amyloid precursor protein carboxyl-terminal fragments from the cell into the brain extracellular space.", "type" : "article-journal", "volume" : "287" }, "uris" : [ "http://www.mendeley.com/documents/?uuid=eb4e0966-7ba4-3f52-bf18-ede7f321e7ac" ] } ], "mendeley" : { "formattedCitation" : "(Perez-Gonzalez et al. 2012)", "plainTextFormattedCitation" : "(Perez-Gonzalez et al. 2012)", "previouslyFormattedCitation" : "(Perez-Gonzalez et al. 2012)"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(Perez-Gonzalez et al. 2012)</w:t>
      </w:r>
      <w:r>
        <w:rPr>
          <w:rFonts w:ascii="Times New Roman" w:hAnsi="Times New Roman" w:cs="Times New Roman"/>
        </w:rPr>
        <w:fldChar w:fldCharType="end"/>
      </w:r>
      <w:r>
        <w:rPr>
          <w:rFonts w:ascii="Times New Roman" w:hAnsi="Times New Roman" w:cs="Times New Roman"/>
        </w:rPr>
        <w:t xml:space="preserve">. Astrocytes are capable of secreting exosomes and in the SOD1 G93A mouse model of ALS have been shown to propagate the spread of SOD1 to spinal neurons and induce motor neuron death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"10.1074/jbc.M112.425066", "ISSN" : "0021-9258", "author" : [ { "dropping-particle" : "", "family" : "Basso", "given" : "M.", "non-dropping-particle" : "", "parse-names" : false, "suffix" : "" }, { "dropping-particle" : "", "family" : "Pozzi", "given" : "S.", "non-dropping-particle" : "", "parse-names" : false, "suffix" : "" }, { "dropping-particle" : "", "family" : "Tortarolo", "given" : "M.", "non-dropping-particle" : "", "parse-names" : false, "suffix" : "" }, { "dropping-particle" : "", "family" : "Fiordaliso", "given" : "F.", "non-dropping-particle" : "", "parse-names" : false, "suffix" : "" }, { "dropping-particle" : "", "family" : "Bisighini", "given" : "C.", "non-dropping-particle" : "", "parse-names" : false, "suffix" : "" }, { "dropping-particle" : "", "family" : "Pasetto", "given" : "L.", "non-dropping-particle" : "", "parse-names" : false, "suffix" : "" }, { "dropping-particle" : "", "family" : "Spaltro", "given" : "G.", "non-dropping-particle" : "", "parse-names" : false, "suffix" : "" }, { "dropping-particle" : "", "family" : "Lidonnici", "given" : "D.", "non-dropping-particle" : "", "parse-names" : false, "suffix" : "" }, { "dropping-particle" : "", "family" : "Gensano", "given" : "F.", "non-dropping-particle" : "", "parse-names" : false, "suffix" : "" }, { "dropping-particle" : "", "family" : "Battaglia", "given" : "E.", "non-dropping-particle" : "", "parse-names" : false, "suffix" : "" }, { "dropping-particle" : "", "family" : "Bendotti", "given" : "C.", "non-dropping-particle" : "", "parse-names" : false, "suffix" : "" }, { "dropping-particle" : "", "family" : "Bonetto", "given" : "V.", "non-dropping-particle" : "", "parse-names" : false, "suffix" : "" } ], "container-title" : "Journal of Biological Chemistry", "id" : "ITEM-1", "issue" : "22", "issued" : { "date-parts" : [ [ "2013", "5", "31" ] ] }, "page" : "15699-15711", "publisher" : "American Society for Biochemistry and Molecular Biology", "title" : "Mutant Copper-Zinc Superoxide Dismutase (SOD1) Induces Protein Secretion Pathway Alterations and Exosome Release in Astrocytes: IMPLICATIONS FOR DISEASE SPREADING AND MOTOR NEURON PATHOLOGY IN AMYOTROPHIC LATERAL SCLEROSIS", "type" : "article-journal", "volume" : "288" }, "uris" : [ "http://www.mendeley.com/documents/?uuid=5a0b33b1-7ca9-368d-b58c-53576ba35034" ] } ], "mendeley" : { "formattedCitation" : "(Basso et al. 2013)", "plainTextFormattedCitation" : "(Basso et al. 2013)", "previouslyFormattedCitation" : "(Basso et al. 2013)"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(Basso et al. 2013)</w:t>
      </w:r>
      <w:r>
        <w:rPr>
          <w:rFonts w:ascii="Times New Roman" w:hAnsi="Times New Roman" w:cs="Times New Roman"/>
        </w:rPr>
        <w:fldChar w:fldCharType="end"/>
      </w:r>
      <w:r>
        <w:rPr>
          <w:rFonts w:ascii="Times New Roman" w:hAnsi="Times New Roman" w:cs="Times New Roman"/>
        </w:rPr>
        <w:t xml:space="preserve">.  In AD, both astrocytic dysfunction and atrophy have been observed, particularly in association with senile plaques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"10.1046/j.1365-2990.2002.00390.x", "ISSN" : "03051846", "author" : [ { "dropping-particle" : "", "family" : "Kobayashi", "given" : "K.", "non-dropping-particle" : "", "parse-names" : false, "suffix" : "" }, { "dropping-particle" : "", "family" : "Hayashi", "given" : "M.", "non-dropping-particle" : "", "parse-names" : false, "suffix" : "" }, { "dropping-particle" : "", "family" : "Nakano", "given" : "H.", "non-dropping-particle" : "", "parse-names" : false, "suffix" : "" }, { "dropping-particle" : "", "family" : "Fukutani", "given" : "Y.", "non-dropping-particle" : "", "parse-names" : false, "suffix" : "" }, { "dropping-particle" : "", "family" : "Sasaki", "given" : "K.", "non-dropping-particle" : "", "parse-names" : false, "suffix" : "" }, { "dropping-particle" : "", "family" : "Shimazaki", "given" : "M.", "non-dropping-particle" : "", "parse-names" : false, "suffix" : "" }, { "dropping-particle" : "", "family" : "Koshino", "given" : "Y.", "non-dropping-particle" : "", "parse-names" : false, "suffix" : "" } ], "container-title" : "Neuropathology and Applied Neurobiology", "id" : "ITEM-1", "issue" : "3", "issued" : { "date-parts" : [ [ "2002", "6" ] ] }, "page" : "238-251", "publisher" : "Blackwell Science Ltd", "title" : "Apoptosis of astrocytes with enhanced lysosomal activity and oligodendrocytes in white matter lesions in Alzheimer's disease", "type" : "article-journal", "volume" : "28" }, "uris" : [ "http://www.mendeley.com/documents/?uuid=90d567ea-9c47-3142-9eee-bfd934b248c0" ] } ], "mendeley" : { "formattedCitation" : "(Kobayashi et al. 2002)", "plainTextFormattedCitation" : "(Kobayashi et al. 2002)", "previouslyFormattedCitation" : "(Kobayashi et al. 2002)"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(Kobayashi et al. 2002)</w:t>
      </w:r>
      <w:r>
        <w:rPr>
          <w:rFonts w:ascii="Times New Roman" w:hAnsi="Times New Roman" w:cs="Times New Roman"/>
        </w:rPr>
        <w:fldChar w:fldCharType="end"/>
      </w:r>
      <w:r>
        <w:rPr>
          <w:rFonts w:ascii="Times New Roman" w:hAnsi="Times New Roman" w:cs="Times New Roman"/>
        </w:rPr>
        <w:t xml:space="preserve">. A possible explanation for this is that astrocytes exposed to </w:t>
      </w:r>
      <w:r w:rsidR="0052282A" w:rsidRPr="00EF2AF4">
        <w:rPr>
          <w:rFonts w:ascii="Times New Roman" w:hAnsi="Times New Roman" w:cs="Times New Roman"/>
        </w:rPr>
        <w:t>Aβ</w:t>
      </w:r>
      <w:r w:rsidR="0052282A">
        <w:rPr>
          <w:rFonts w:ascii="Times New Roman" w:hAnsi="Times New Roman" w:cs="Times New Roman"/>
        </w:rPr>
        <w:t xml:space="preserve"> </w:t>
      </w:r>
      <w:r>
        <w:rPr>
          <w:rFonts w:ascii="Times New Roman" w:hAnsi="Times New Roman" w:cs="Times New Roman"/>
        </w:rPr>
        <w:t xml:space="preserve">increase the release of PAR4 and ceramide enriched exosomes mediated by neural sphingomyelinase 2 (nSMase2), which in turn cause astrocyte apoptosis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"10.1074/jbc.M112.340513", "ISSN" : "0021-9258", "author" : [ { "dropping-particle" : "", "family" : "Wang", "given" : "G.", "non-dropping-particle" : "", "parse-names" : false, "suffix" : "" }, { "dropping-particle" : "", "family" : "Dinkins", "given" : "M.", "non-dropping-particle" : "", "parse-names" : false, "suffix" : "" }, { "dropping-particle" : "", "family" : "He", "given" : "Q.", "non-dropping-particle" : "", "parse-names" : false, "suffix" : "" }, { "dropping-particle" : "", "family" : "Zhu", "given" : "G.", "non-dropping-particle" : "", "parse-names" : false, "suffix" : "" }, { "dropping-particle" : "", "family" : "Poirier", "given" : "C.", "non-dropping-particle" : "", "parse-names" : false, "suffix" : "" }, { "dropping-particle" : "", "family" : "Campbell", "given" : "A.", "non-dropping-particle" : "", "parse-names" : false, "suffix" : "" }, { "dropping-particle" : "", "family" : "Mayer-Proschel", "given" : "M.", "non-dropping-particle" : "", "parse-names" : false, "suffix" : "" }, { "dropping-particle" : "", "family" : "Bieberich", "given" : "E.", "non-dropping-particle" : "", "parse-names" : false, "suffix" : "" } ], "container-title" : "Journal of Biological Chemistry", "id" : "ITEM-1", "issue" : "25", "issued" : { "date-parts" : [ [ "2012", "6", "15" ] ] }, "page" : "21384-21395", "title" : "Astrocytes Secrete Exosomes Enriched with Proapoptotic Ceramide and Prostate Apoptosis Response 4 (PAR-4): POTENTIAL MECHANISM OF APOPTOSIS INDUCTION IN ALZHEIMER DISEASE (AD)", "type" : "article-journal", "volume" : "287" }, "uris" : [ "http://www.mendeley.com/documents/?uuid=64d35ce7-ff4a-3f3c-9274-da06ba11edae" ] } ], "mendeley" : { "formattedCitation" : "(G. Wang et al. 2012)", "plainTextFormattedCitation" : "(G. Wang et al. 2012)", "previouslyFormattedCitation" : "(G. Wang et al. 2012)"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(G. Wang et al. 2012)</w:t>
      </w:r>
      <w:r>
        <w:rPr>
          <w:rFonts w:ascii="Times New Roman" w:hAnsi="Times New Roman" w:cs="Times New Roman"/>
        </w:rPr>
        <w:fldChar w:fldCharType="end"/>
      </w:r>
      <w:r>
        <w:rPr>
          <w:rFonts w:ascii="Times New Roman" w:hAnsi="Times New Roman" w:cs="Times New Roman"/>
        </w:rPr>
        <w:t xml:space="preserve">. Further work has demonstrated that inhibition of nSMase 2 in a mouse model of AD reduces exosome release from astrocytes and reduces the overall plaque burden in the brain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"10.1016/j.neurobiolaging.2014.02.012", "ISSN" : "1558-1497", "PMID" : "24650793", "abstract" : "We present evidence here that exosomes stimulate aggregation of amyloid beta (A\u03b2)1-42 in\u00a0vitro and in\u00a0vivo and interfere with uptake of A\u03b2 by primary cultured astrocytes and microglia in\u00a0vitro. Exosome secretion is prevented by the inhibition of neutral sphingomyelinase 2 (nSMase2), a key regulatory enzyme generating ceramide from sphingomyelin, with GW4869. Using the 5XFAD mouse, we show that intraperitoneal injection of GW4869 reduces the levels of brain and serum exosomes, brain ceramide, and A\u03b21-42 plaque load. Reduction of total A\u03b21-42 as well as number of plaques in brain sections was significantly greater (40% reduction) in male than female mice. Our results suggest that GW4869 reduces amyloid plaque formation in\u00a0vivo by preventing exosome secretion and identifies nSMase2 as a potential drug target in AD by interfering with exosome secretion.", "author" : [ { "dropping-particle" : "", "family" : "Dinkins", "given" : "Michael B", "non-dropping-particle" : "", "parse-names" : false, "suffix" : "" }, { "dropping-particle" : "", "family" : "Dasgupta", "given" : "Somsankar", "non-dropping-particle" : "", "parse-names" : false, "suffix" : "" }, { "dropping-particle" : "", "family" : "Wang", "given" : "Guanghu", "non-dropping-particle" : "", "parse-names" : false, "suffix" : "" }, { "dropping-particle" : "", "family" : "Zhu", "given" : "Gu", "non-dropping-particle" : "", "parse-names" : false, "suffix" : "" }, { "dropping-particle" : "", "family" : "Bieberich", "given" : "Erhard", "non-dropping-particle" : "", "parse-names" : false, "suffix" : "" } ], "container-title" : "Neurobiology of aging", "id" : "ITEM-1", "issue" : "8", "issued" : { "date-parts" : [ [ "2014", "8" ] ] }, "page" : "1792-800", "title" : "Exosome reduction in\u00a0vivo is associated with lower amyloid plaque load in the 5XFAD mouse model of Alzheimer's disease.", "type" : "article-journal", "volume" : "35" }, "uris" : [ "http://www.mendeley.com/documents/?uuid=1d15e3ba-3184-3c67-9cd9-d12b8faa6d74" ] } ], "mendeley" : { "formattedCitation" : "(Dinkins et al. 2014)", "plainTextFormattedCitation" : "(Dinkins et al. 2014)", "previouslyFormattedCitation" : "(Dinkins et al. 2014)"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(Dinkins et al. 2014)</w:t>
      </w:r>
      <w:r>
        <w:rPr>
          <w:rFonts w:ascii="Times New Roman" w:hAnsi="Times New Roman" w:cs="Times New Roman"/>
        </w:rPr>
        <w:fldChar w:fldCharType="end"/>
      </w:r>
      <w:r>
        <w:rPr>
          <w:rFonts w:ascii="Times New Roman" w:hAnsi="Times New Roman" w:cs="Times New Roman"/>
        </w:rPr>
        <w:t>. Therefore, therapeutically targeting this process of exosome release from astrocytes could offer new ways to preserve astrocytic function and maintain neuronal health.</w:t>
      </w:r>
    </w:p>
    <w:p w14:paraId="33FA352B" w14:textId="0DEEC295" w:rsidR="000548D1" w:rsidRDefault="00EF3E44" w:rsidP="00D90250">
      <w:pPr>
        <w:pStyle w:val="Body"/>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548D1">
        <w:rPr>
          <w:rFonts w:ascii="Times New Roman" w:hAnsi="Times New Roman" w:cs="Times New Roman"/>
          <w:noProof/>
          <w:sz w:val="24"/>
          <w:szCs w:val="24"/>
        </w:rPr>
        <w:drawing>
          <wp:inline distT="0" distB="0" distL="0" distR="0" wp14:anchorId="3643659F" wp14:editId="7337B9F1">
            <wp:extent cx="5036820" cy="4282595"/>
            <wp:effectExtent l="0" t="0" r="0" b="10160"/>
            <wp:docPr id="1073741831" name="Picture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17">
                      <a:extLst>
                        <a:ext uri="{28A0092B-C50C-407E-A947-70E740481C1C}">
                          <a14:useLocalDpi xmlns:a14="http://schemas.microsoft.com/office/drawing/2010/main" val="0"/>
                        </a:ext>
                      </a:extLst>
                    </a:blip>
                    <a:srcRect l="5337" t="4406" r="14868" b="5108"/>
                    <a:stretch/>
                  </pic:blipFill>
                  <pic:spPr bwMode="auto">
                    <a:xfrm>
                      <a:off x="0" y="0"/>
                      <a:ext cx="5037161" cy="4282885"/>
                    </a:xfrm>
                    <a:prstGeom prst="rect">
                      <a:avLst/>
                    </a:prstGeom>
                    <a:ln>
                      <a:noFill/>
                    </a:ln>
                    <a:extLst>
                      <a:ext uri="{53640926-AAD7-44d8-BBD7-CCE9431645EC}">
                        <a14:shadowObscured xmlns:a14="http://schemas.microsoft.com/office/drawing/2010/main"/>
                      </a:ext>
                    </a:extLst>
                  </pic:spPr>
                </pic:pic>
              </a:graphicData>
            </a:graphic>
          </wp:inline>
        </w:drawing>
      </w:r>
    </w:p>
    <w:p w14:paraId="68BAF1FC" w14:textId="77777777" w:rsidR="000548D1" w:rsidRDefault="000548D1" w:rsidP="001B1D82">
      <w:pPr>
        <w:pStyle w:val="Heading2"/>
      </w:pPr>
      <w:bookmarkStart w:id="291" w:name="_Toc328301092"/>
    </w:p>
    <w:p w14:paraId="0127E476" w14:textId="182CD8B1" w:rsidR="00567751" w:rsidRDefault="0099050D" w:rsidP="003B096D">
      <w:pPr>
        <w:pStyle w:val="Caption"/>
      </w:pPr>
      <w:bookmarkStart w:id="292" w:name="_Toc329593385"/>
      <w:bookmarkStart w:id="293" w:name="_Toc333569043"/>
      <w:bookmarkStart w:id="294" w:name="_Toc333569268"/>
      <w:bookmarkStart w:id="295" w:name="_Toc333570822"/>
      <w:bookmarkStart w:id="296" w:name="_Toc333582205"/>
      <w:bookmarkStart w:id="297" w:name="_Toc333582325"/>
      <w:bookmarkStart w:id="298" w:name="_Toc333582737"/>
      <w:bookmarkStart w:id="299" w:name="_Toc333583107"/>
      <w:bookmarkStart w:id="300" w:name="_Toc333583458"/>
      <w:bookmarkStart w:id="301" w:name="_Toc333584075"/>
      <w:bookmarkStart w:id="302" w:name="_Toc333585209"/>
      <w:bookmarkStart w:id="303" w:name="_Toc333586761"/>
      <w:bookmarkStart w:id="304" w:name="_Toc333644460"/>
      <w:bookmarkStart w:id="305" w:name="_Toc333644754"/>
      <w:r>
        <w:t>Figure 1.4</w:t>
      </w:r>
      <w:r w:rsidR="0052282A">
        <w:t>.</w:t>
      </w:r>
      <w:r w:rsidR="003D4A26" w:rsidRPr="00233453">
        <w:t xml:space="preserve"> Summary of molecular defects</w:t>
      </w:r>
      <w:r w:rsidR="007C5485" w:rsidRPr="00233453">
        <w:t xml:space="preserve"> in astrocytes shown to contribute</w:t>
      </w:r>
      <w:r w:rsidR="003D4A26" w:rsidRPr="00233453">
        <w:t xml:space="preserve"> to </w:t>
      </w:r>
      <w:r w:rsidR="007C5485" w:rsidRPr="00233453">
        <w:t>AD</w:t>
      </w:r>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p>
    <w:p w14:paraId="1739896D" w14:textId="52792E37" w:rsidR="00CD3499" w:rsidRDefault="00DA2737" w:rsidP="003E7BDB">
      <w:pPr>
        <w:pStyle w:val="NoSpacing"/>
        <w:spacing w:line="360" w:lineRule="auto"/>
        <w:jc w:val="both"/>
        <w:rPr>
          <w:rFonts w:ascii="Times New Roman" w:hAnsi="Times New Roman" w:cs="Times New Roman"/>
          <w:bCs/>
        </w:rPr>
      </w:pPr>
      <w:r w:rsidRPr="00567751">
        <w:rPr>
          <w:rFonts w:ascii="Times New Roman" w:hAnsi="Times New Roman" w:cs="Times New Roman"/>
          <w:bCs/>
        </w:rPr>
        <w:t>This diagram summari</w:t>
      </w:r>
      <w:r w:rsidR="00E500A3" w:rsidRPr="00567751">
        <w:rPr>
          <w:rFonts w:ascii="Times New Roman" w:hAnsi="Times New Roman" w:cs="Times New Roman"/>
          <w:bCs/>
        </w:rPr>
        <w:t>s</w:t>
      </w:r>
      <w:r w:rsidRPr="00567751">
        <w:rPr>
          <w:rFonts w:ascii="Times New Roman" w:hAnsi="Times New Roman" w:cs="Times New Roman"/>
          <w:bCs/>
        </w:rPr>
        <w:t xml:space="preserve">es the changes that have been described to occur in astrocytes in AD. </w:t>
      </w:r>
      <w:r w:rsidR="004F2DBC" w:rsidRPr="00567751">
        <w:rPr>
          <w:rFonts w:ascii="Times New Roman" w:hAnsi="Times New Roman" w:cs="Times New Roman"/>
          <w:bCs/>
        </w:rPr>
        <w:t>Increased astrocytic reactivity</w:t>
      </w:r>
      <w:r w:rsidR="00C01877" w:rsidRPr="00567751">
        <w:rPr>
          <w:rFonts w:ascii="Times New Roman" w:hAnsi="Times New Roman" w:cs="Times New Roman"/>
          <w:bCs/>
        </w:rPr>
        <w:t xml:space="preserve"> has been observed triggered by tau/</w:t>
      </w:r>
      <w:r w:rsidR="00C01877" w:rsidRPr="00567751">
        <w:rPr>
          <w:rFonts w:ascii="Times New Roman" w:hAnsi="Times New Roman" w:cs="Times New Roman"/>
        </w:rPr>
        <w:t xml:space="preserve"> </w:t>
      </w:r>
      <w:r w:rsidR="00C01877" w:rsidRPr="00567751">
        <w:rPr>
          <w:rFonts w:ascii="Times New Roman" w:hAnsi="Times New Roman" w:cs="Times New Roman"/>
          <w:bCs/>
        </w:rPr>
        <w:t xml:space="preserve">Aβ, which may result from altered signalling through </w:t>
      </w:r>
      <w:r w:rsidR="00C006CC" w:rsidRPr="00567751">
        <w:rPr>
          <w:rFonts w:ascii="Times New Roman" w:hAnsi="Times New Roman" w:cs="Times New Roman"/>
          <w:bCs/>
        </w:rPr>
        <w:t>the Janus kinase/signal transducers and activators of transcription</w:t>
      </w:r>
      <w:r w:rsidR="00C01877" w:rsidRPr="00567751">
        <w:rPr>
          <w:rFonts w:ascii="Times New Roman" w:hAnsi="Times New Roman" w:cs="Times New Roman"/>
          <w:bCs/>
        </w:rPr>
        <w:t xml:space="preserve"> (JAK/STAT)</w:t>
      </w:r>
      <w:r w:rsidR="00C006CC" w:rsidRPr="00567751">
        <w:rPr>
          <w:rFonts w:ascii="Times New Roman" w:hAnsi="Times New Roman" w:cs="Times New Roman"/>
          <w:bCs/>
        </w:rPr>
        <w:t xml:space="preserve"> pathway</w:t>
      </w:r>
      <w:r w:rsidR="00C01877" w:rsidRPr="00567751">
        <w:rPr>
          <w:rFonts w:ascii="Times New Roman" w:hAnsi="Times New Roman" w:cs="Times New Roman"/>
          <w:bCs/>
        </w:rPr>
        <w:t>.</w:t>
      </w:r>
      <w:r w:rsidR="00AC763D" w:rsidRPr="00567751">
        <w:rPr>
          <w:rFonts w:ascii="Times New Roman" w:hAnsi="Times New Roman" w:cs="Times New Roman"/>
          <w:bCs/>
        </w:rPr>
        <w:t xml:space="preserve"> Glial fibrillary acidic protein</w:t>
      </w:r>
      <w:r w:rsidR="00C01877" w:rsidRPr="00567751">
        <w:rPr>
          <w:rFonts w:ascii="Times New Roman" w:hAnsi="Times New Roman" w:cs="Times New Roman"/>
          <w:bCs/>
        </w:rPr>
        <w:t xml:space="preserve"> </w:t>
      </w:r>
      <w:r w:rsidR="00AC763D" w:rsidRPr="00567751">
        <w:rPr>
          <w:rFonts w:ascii="Times New Roman" w:hAnsi="Times New Roman" w:cs="Times New Roman"/>
          <w:bCs/>
        </w:rPr>
        <w:t>(</w:t>
      </w:r>
      <w:r w:rsidR="00C01877" w:rsidRPr="00567751">
        <w:rPr>
          <w:rFonts w:ascii="Times New Roman" w:hAnsi="Times New Roman" w:cs="Times New Roman"/>
          <w:bCs/>
        </w:rPr>
        <w:t>GFAP</w:t>
      </w:r>
      <w:r w:rsidR="00AC763D" w:rsidRPr="00567751">
        <w:rPr>
          <w:rFonts w:ascii="Times New Roman" w:hAnsi="Times New Roman" w:cs="Times New Roman"/>
          <w:bCs/>
        </w:rPr>
        <w:t>)</w:t>
      </w:r>
      <w:r w:rsidR="00C01877" w:rsidRPr="00567751">
        <w:rPr>
          <w:rFonts w:ascii="Times New Roman" w:hAnsi="Times New Roman" w:cs="Times New Roman"/>
          <w:bCs/>
        </w:rPr>
        <w:t xml:space="preserve"> is elevated in association with AD type pathology. Accumulation of Aβ occurs in astrocytes, which can alter </w:t>
      </w:r>
      <w:r w:rsidR="00E500A3" w:rsidRPr="00567751">
        <w:rPr>
          <w:rFonts w:ascii="Times New Roman" w:hAnsi="Times New Roman" w:cs="Times New Roman"/>
          <w:bCs/>
        </w:rPr>
        <w:t xml:space="preserve">mitochondrial </w:t>
      </w:r>
      <w:r w:rsidR="00C01877" w:rsidRPr="00567751">
        <w:rPr>
          <w:rFonts w:ascii="Times New Roman" w:hAnsi="Times New Roman" w:cs="Times New Roman"/>
          <w:bCs/>
        </w:rPr>
        <w:t>metabol</w:t>
      </w:r>
      <w:r w:rsidR="00F66CB3" w:rsidRPr="00567751">
        <w:rPr>
          <w:rFonts w:ascii="Times New Roman" w:hAnsi="Times New Roman" w:cs="Times New Roman"/>
          <w:bCs/>
        </w:rPr>
        <w:t>ism and increase phosphofructo</w:t>
      </w:r>
      <w:r w:rsidR="00C01877" w:rsidRPr="00567751">
        <w:rPr>
          <w:rFonts w:ascii="Times New Roman" w:hAnsi="Times New Roman" w:cs="Times New Roman"/>
          <w:bCs/>
        </w:rPr>
        <w:t xml:space="preserve">kinase (PFK) involved in glycolysis. Impairments in glucose and glutamate uptake, due to reduced levels of </w:t>
      </w:r>
      <w:r w:rsidR="00F66CB3" w:rsidRPr="00567751">
        <w:rPr>
          <w:rFonts w:ascii="Times New Roman" w:hAnsi="Times New Roman" w:cs="Times New Roman"/>
          <w:bCs/>
        </w:rPr>
        <w:t>glucose transporters (</w:t>
      </w:r>
      <w:r w:rsidR="00C01877" w:rsidRPr="00567751">
        <w:rPr>
          <w:rFonts w:ascii="Times New Roman" w:hAnsi="Times New Roman" w:cs="Times New Roman"/>
          <w:bCs/>
        </w:rPr>
        <w:t>GLUT1/2</w:t>
      </w:r>
      <w:r w:rsidR="00F66CB3" w:rsidRPr="00567751">
        <w:rPr>
          <w:rFonts w:ascii="Times New Roman" w:hAnsi="Times New Roman" w:cs="Times New Roman"/>
          <w:bCs/>
        </w:rPr>
        <w:t>)</w:t>
      </w:r>
      <w:r w:rsidR="00C01877" w:rsidRPr="00567751">
        <w:rPr>
          <w:rFonts w:ascii="Times New Roman" w:hAnsi="Times New Roman" w:cs="Times New Roman"/>
          <w:bCs/>
        </w:rPr>
        <w:t xml:space="preserve"> and</w:t>
      </w:r>
      <w:r w:rsidR="00F66CB3" w:rsidRPr="00567751">
        <w:rPr>
          <w:rFonts w:ascii="Times New Roman" w:hAnsi="Times New Roman" w:cs="Times New Roman"/>
          <w:bCs/>
        </w:rPr>
        <w:t xml:space="preserve"> glutamate transporter</w:t>
      </w:r>
      <w:r w:rsidR="00C01877" w:rsidRPr="00567751">
        <w:rPr>
          <w:rFonts w:ascii="Times New Roman" w:hAnsi="Times New Roman" w:cs="Times New Roman"/>
          <w:bCs/>
        </w:rPr>
        <w:t xml:space="preserve"> </w:t>
      </w:r>
      <w:r w:rsidR="00F66CB3" w:rsidRPr="00567751">
        <w:rPr>
          <w:rFonts w:ascii="Times New Roman" w:hAnsi="Times New Roman" w:cs="Times New Roman"/>
          <w:bCs/>
        </w:rPr>
        <w:t>(</w:t>
      </w:r>
      <w:r w:rsidR="00C01877" w:rsidRPr="00567751">
        <w:rPr>
          <w:rFonts w:ascii="Times New Roman" w:hAnsi="Times New Roman" w:cs="Times New Roman"/>
          <w:bCs/>
        </w:rPr>
        <w:t>EAAT2</w:t>
      </w:r>
      <w:r w:rsidR="00F66CB3" w:rsidRPr="00567751">
        <w:rPr>
          <w:rFonts w:ascii="Times New Roman" w:hAnsi="Times New Roman" w:cs="Times New Roman"/>
          <w:bCs/>
        </w:rPr>
        <w:t>)</w:t>
      </w:r>
      <w:r w:rsidR="00C01877" w:rsidRPr="00567751">
        <w:rPr>
          <w:rFonts w:ascii="Times New Roman" w:hAnsi="Times New Roman" w:cs="Times New Roman"/>
          <w:bCs/>
        </w:rPr>
        <w:t xml:space="preserve"> respectively. Less glutamine synthetase (GS), which is responsible for recycling glutamate. Sporadic calcium oscillations occur, which alters communication between astrocytes</w:t>
      </w:r>
      <w:r w:rsidR="00E500A3" w:rsidRPr="00567751">
        <w:rPr>
          <w:rFonts w:ascii="Times New Roman" w:hAnsi="Times New Roman" w:cs="Times New Roman"/>
          <w:bCs/>
        </w:rPr>
        <w:t xml:space="preserve"> and neurons</w:t>
      </w:r>
      <w:r w:rsidR="00C01877" w:rsidRPr="00567751">
        <w:rPr>
          <w:rFonts w:ascii="Times New Roman" w:hAnsi="Times New Roman" w:cs="Times New Roman"/>
          <w:bCs/>
        </w:rPr>
        <w:t>. Impaired glutathione (GSH) redox cycling suggesting a lack of antioxidant protection. Increased</w:t>
      </w:r>
      <w:r w:rsidR="00145B40" w:rsidRPr="00567751">
        <w:rPr>
          <w:rFonts w:ascii="Times New Roman" w:hAnsi="Times New Roman" w:cs="Times New Roman"/>
          <w:bCs/>
        </w:rPr>
        <w:t xml:space="preserve"> aquaporin 4 (AQP4) may allow for increased Aβ accumulation. Propagation of Aβ or pat</w:t>
      </w:r>
      <w:r w:rsidR="00C006CC" w:rsidRPr="00567751">
        <w:rPr>
          <w:rFonts w:ascii="Times New Roman" w:hAnsi="Times New Roman" w:cs="Times New Roman"/>
          <w:bCs/>
        </w:rPr>
        <w:t>hologically-</w:t>
      </w:r>
      <w:r w:rsidR="00145B40" w:rsidRPr="00567751">
        <w:rPr>
          <w:rFonts w:ascii="Times New Roman" w:hAnsi="Times New Roman" w:cs="Times New Roman"/>
          <w:bCs/>
        </w:rPr>
        <w:t>associated species via the release of exosomes. Altered intracellular signalling, such as insulin/IGF</w:t>
      </w:r>
      <w:r w:rsidR="00E500A3" w:rsidRPr="00567751">
        <w:rPr>
          <w:rFonts w:ascii="Times New Roman" w:hAnsi="Times New Roman" w:cs="Times New Roman"/>
          <w:bCs/>
        </w:rPr>
        <w:t>1, may alter astrocyte function and create underlying impairments that contribute to AD progression.</w:t>
      </w:r>
      <w:bookmarkStart w:id="306" w:name="_Toc329593386"/>
    </w:p>
    <w:p w14:paraId="6624577B" w14:textId="77777777" w:rsidR="008E3AA4" w:rsidRPr="00EF3E44" w:rsidRDefault="008E3AA4" w:rsidP="00EF3E44">
      <w:pPr>
        <w:pStyle w:val="NoSpacing"/>
        <w:spacing w:line="360" w:lineRule="auto"/>
        <w:rPr>
          <w:rFonts w:ascii="Times New Roman" w:hAnsi="Times New Roman" w:cs="Times New Roman"/>
        </w:rPr>
      </w:pPr>
    </w:p>
    <w:p w14:paraId="0E0C7D5C" w14:textId="2E4A40E9" w:rsidR="002A7E74" w:rsidRDefault="003A2584" w:rsidP="001B1D82">
      <w:pPr>
        <w:pStyle w:val="Heading2"/>
      </w:pPr>
      <w:bookmarkStart w:id="307" w:name="_Toc331425885"/>
      <w:bookmarkStart w:id="308" w:name="_Toc331427072"/>
      <w:bookmarkStart w:id="309" w:name="_Toc331427444"/>
      <w:bookmarkStart w:id="310" w:name="_Toc331427586"/>
      <w:bookmarkStart w:id="311" w:name="_Toc332972590"/>
      <w:bookmarkStart w:id="312" w:name="_Toc333046870"/>
      <w:bookmarkStart w:id="313" w:name="_Toc333477217"/>
      <w:bookmarkStart w:id="314" w:name="_Toc333477987"/>
      <w:bookmarkStart w:id="315" w:name="_Toc333644887"/>
      <w:r w:rsidRPr="009B2049">
        <w:t>1.5</w:t>
      </w:r>
      <w:r w:rsidRPr="003A2584">
        <w:t xml:space="preserve"> </w:t>
      </w:r>
      <w:r w:rsidR="002A7E74" w:rsidRPr="003A2584">
        <w:t>Insulin/IGF1 signalling in the brain</w:t>
      </w:r>
      <w:bookmarkEnd w:id="291"/>
      <w:bookmarkEnd w:id="306"/>
      <w:bookmarkEnd w:id="307"/>
      <w:bookmarkEnd w:id="308"/>
      <w:bookmarkEnd w:id="309"/>
      <w:bookmarkEnd w:id="310"/>
      <w:bookmarkEnd w:id="311"/>
      <w:bookmarkEnd w:id="312"/>
      <w:bookmarkEnd w:id="313"/>
      <w:bookmarkEnd w:id="314"/>
      <w:bookmarkEnd w:id="315"/>
    </w:p>
    <w:p w14:paraId="06B668D0" w14:textId="77777777" w:rsidR="004E12FF" w:rsidRPr="004E12FF" w:rsidRDefault="004E12FF" w:rsidP="004E12FF"/>
    <w:p w14:paraId="6B05620C" w14:textId="049C0908" w:rsidR="00E81753" w:rsidRDefault="00E81753" w:rsidP="004E12FF">
      <w:pPr>
        <w:pStyle w:val="Heading3"/>
      </w:pPr>
      <w:bookmarkStart w:id="316" w:name="_Toc8"/>
      <w:bookmarkStart w:id="317" w:name="_Toc328301093"/>
      <w:bookmarkStart w:id="318" w:name="_Toc329593387"/>
      <w:bookmarkStart w:id="319" w:name="_Toc331425886"/>
      <w:bookmarkStart w:id="320" w:name="_Toc331427073"/>
      <w:bookmarkStart w:id="321" w:name="_Toc331427445"/>
      <w:bookmarkStart w:id="322" w:name="_Toc331427587"/>
      <w:bookmarkStart w:id="323" w:name="_Toc332972591"/>
      <w:bookmarkStart w:id="324" w:name="_Toc333046871"/>
      <w:bookmarkStart w:id="325" w:name="_Toc333477218"/>
      <w:bookmarkStart w:id="326" w:name="_Toc333477988"/>
      <w:bookmarkStart w:id="327" w:name="_Toc333644888"/>
      <w:r>
        <w:t>1.5</w:t>
      </w:r>
      <w:r w:rsidRPr="001B1D82">
        <w:t>.1  Overview of the</w:t>
      </w:r>
      <w:r>
        <w:t xml:space="preserve"> Insulin/IGF1 signalling</w:t>
      </w:r>
      <w:r w:rsidRPr="001B1D82">
        <w:t xml:space="preserve"> Pathway</w:t>
      </w:r>
      <w:bookmarkEnd w:id="316"/>
      <w:bookmarkEnd w:id="317"/>
      <w:bookmarkEnd w:id="318"/>
      <w:bookmarkEnd w:id="319"/>
      <w:bookmarkEnd w:id="320"/>
      <w:bookmarkEnd w:id="321"/>
      <w:bookmarkEnd w:id="322"/>
      <w:bookmarkEnd w:id="323"/>
      <w:bookmarkEnd w:id="324"/>
      <w:bookmarkEnd w:id="325"/>
      <w:bookmarkEnd w:id="326"/>
      <w:bookmarkEnd w:id="327"/>
    </w:p>
    <w:p w14:paraId="1F7FDCB8" w14:textId="77777777" w:rsidR="00EE5D50" w:rsidRPr="00EE5D50" w:rsidRDefault="00EE5D50" w:rsidP="00EE5D50"/>
    <w:p w14:paraId="4C855E2A" w14:textId="1682D7DA" w:rsidR="00501A7A" w:rsidRDefault="00355939" w:rsidP="003E7BDB">
      <w:pPr>
        <w:spacing w:line="360" w:lineRule="auto"/>
        <w:jc w:val="both"/>
        <w:rPr>
          <w:b/>
          <w:i/>
          <w:u w:val="single"/>
        </w:rPr>
      </w:pPr>
      <w:r>
        <w:rPr>
          <w:rFonts w:ascii="Times New Roman" w:hAnsi="Times New Roman" w:cs="Times New Roman"/>
        </w:rPr>
        <w:t xml:space="preserve">The insulin/IGF1 pathway involves a complex network of intracellular molecules that integrate a range of insulin-like stimuli to drive important cellular processes such as </w:t>
      </w:r>
      <w:r w:rsidR="00CF1B7D">
        <w:rPr>
          <w:rFonts w:ascii="Times New Roman" w:hAnsi="Times New Roman" w:cs="Times New Roman"/>
        </w:rPr>
        <w:t xml:space="preserve">proliferation and metabolism. </w:t>
      </w:r>
      <w:r>
        <w:rPr>
          <w:rFonts w:ascii="Times New Roman" w:hAnsi="Times New Roman" w:cs="Times New Roman"/>
        </w:rPr>
        <w:t>The pathway is heavily regulated as aberrant activation of the insulin/IGF1 signalling pathway could have profound metabolic consequences.</w:t>
      </w:r>
      <w:r w:rsidR="00CF1B7D">
        <w:rPr>
          <w:rFonts w:ascii="Times New Roman" w:hAnsi="Times New Roman" w:cs="Times New Roman"/>
        </w:rPr>
        <w:t xml:space="preserve"> </w:t>
      </w:r>
      <w:r w:rsidR="00EE5D50">
        <w:rPr>
          <w:rFonts w:ascii="Times New Roman" w:hAnsi="Times New Roman" w:cs="Times New Roman"/>
        </w:rPr>
        <w:t xml:space="preserve">An overview of the insulin/IGF1 signalling pathway is shown in </w:t>
      </w:r>
      <w:r w:rsidR="00EE5D50">
        <w:rPr>
          <w:rFonts w:ascii="Times New Roman" w:hAnsi="Times New Roman" w:cs="Times New Roman"/>
          <w:b/>
        </w:rPr>
        <w:t>Figure 1.</w:t>
      </w:r>
      <w:r w:rsidR="0099050D">
        <w:rPr>
          <w:rFonts w:ascii="Times New Roman" w:hAnsi="Times New Roman" w:cs="Times New Roman"/>
          <w:b/>
        </w:rPr>
        <w:t>5</w:t>
      </w:r>
      <w:r w:rsidR="00EE5D50">
        <w:rPr>
          <w:rFonts w:ascii="Times New Roman" w:hAnsi="Times New Roman" w:cs="Times New Roman"/>
        </w:rPr>
        <w:t>.</w:t>
      </w:r>
    </w:p>
    <w:p w14:paraId="3AAE85C7" w14:textId="77777777" w:rsidR="00EE5D50" w:rsidRDefault="00EE5D50" w:rsidP="00501A7A">
      <w:pPr>
        <w:rPr>
          <w:rFonts w:ascii="Times New Roman" w:hAnsi="Times New Roman" w:cs="Times New Roman"/>
          <w:b/>
          <w:i/>
          <w:u w:val="single"/>
        </w:rPr>
      </w:pPr>
    </w:p>
    <w:p w14:paraId="337A3E96" w14:textId="78CA85BD" w:rsidR="00501A7A" w:rsidRPr="00501A7A" w:rsidRDefault="00501A7A" w:rsidP="00501A7A">
      <w:pPr>
        <w:rPr>
          <w:rFonts w:ascii="Times New Roman" w:hAnsi="Times New Roman" w:cs="Times New Roman"/>
        </w:rPr>
      </w:pPr>
      <w:r>
        <w:rPr>
          <w:rFonts w:ascii="Times New Roman" w:hAnsi="Times New Roman" w:cs="Times New Roman"/>
          <w:b/>
          <w:i/>
          <w:u w:val="single"/>
        </w:rPr>
        <w:t>Insulin and IGF</w:t>
      </w:r>
      <w:r w:rsidR="00AB06FB">
        <w:rPr>
          <w:rFonts w:ascii="Times New Roman" w:hAnsi="Times New Roman" w:cs="Times New Roman"/>
          <w:b/>
          <w:i/>
          <w:u w:val="single"/>
        </w:rPr>
        <w:t>1</w:t>
      </w:r>
      <w:r>
        <w:rPr>
          <w:rFonts w:ascii="Times New Roman" w:hAnsi="Times New Roman" w:cs="Times New Roman"/>
          <w:b/>
          <w:i/>
          <w:u w:val="single"/>
        </w:rPr>
        <w:t xml:space="preserve"> receptors and their adaptor proteins</w:t>
      </w:r>
    </w:p>
    <w:p w14:paraId="17B36268" w14:textId="48EBCB35" w:rsidR="001706A9" w:rsidRPr="00806084" w:rsidRDefault="00E81753" w:rsidP="00E81753">
      <w:pPr>
        <w:pStyle w:val="Body"/>
        <w:spacing w:line="360" w:lineRule="auto"/>
        <w:jc w:val="both"/>
        <w:rPr>
          <w:rFonts w:ascii="Times New Roman" w:hAnsi="Times New Roman" w:cs="Times New Roman"/>
          <w:color w:val="auto"/>
          <w:sz w:val="24"/>
          <w:szCs w:val="24"/>
        </w:rPr>
      </w:pPr>
      <w:r w:rsidRPr="00EF2AF4">
        <w:rPr>
          <w:rFonts w:ascii="Times New Roman" w:hAnsi="Times New Roman" w:cs="Times New Roman"/>
          <w:sz w:val="24"/>
          <w:szCs w:val="24"/>
        </w:rPr>
        <w:t>Insulin and IGF1</w:t>
      </w:r>
      <w:r w:rsidR="00303DE3">
        <w:rPr>
          <w:rFonts w:ascii="Times New Roman" w:hAnsi="Times New Roman" w:cs="Times New Roman"/>
          <w:sz w:val="24"/>
          <w:szCs w:val="24"/>
        </w:rPr>
        <w:t xml:space="preserve"> are part of a family of insulin-like peptides</w:t>
      </w:r>
      <w:r w:rsidR="0052282A">
        <w:rPr>
          <w:rFonts w:ascii="Times New Roman" w:hAnsi="Times New Roman" w:cs="Times New Roman"/>
          <w:sz w:val="24"/>
          <w:szCs w:val="24"/>
        </w:rPr>
        <w:t xml:space="preserve"> that</w:t>
      </w:r>
      <w:r w:rsidRPr="00EF2AF4">
        <w:rPr>
          <w:rFonts w:ascii="Times New Roman" w:hAnsi="Times New Roman" w:cs="Times New Roman"/>
          <w:sz w:val="24"/>
          <w:szCs w:val="24"/>
        </w:rPr>
        <w:t xml:space="preserve"> initiate signalling by binding their respective disulphide linked α2β2 hetratetram</w:t>
      </w:r>
      <w:r w:rsidR="008E3AA4">
        <w:rPr>
          <w:rFonts w:ascii="Times New Roman" w:hAnsi="Times New Roman" w:cs="Times New Roman"/>
          <w:sz w:val="24"/>
          <w:szCs w:val="24"/>
        </w:rPr>
        <w:t>eric receptors, IR</w:t>
      </w:r>
      <w:r w:rsidRPr="00EF2AF4">
        <w:rPr>
          <w:rFonts w:ascii="Times New Roman" w:hAnsi="Times New Roman" w:cs="Times New Roman"/>
          <w:sz w:val="24"/>
          <w:szCs w:val="24"/>
        </w:rPr>
        <w:t xml:space="preserve"> or IGFR1, which are m</w:t>
      </w:r>
      <w:r w:rsidR="00004CD5">
        <w:rPr>
          <w:rFonts w:ascii="Times New Roman" w:hAnsi="Times New Roman" w:cs="Times New Roman"/>
          <w:sz w:val="24"/>
          <w:szCs w:val="24"/>
        </w:rPr>
        <w:t xml:space="preserve">ostly described as homodimers. </w:t>
      </w:r>
      <w:r w:rsidRPr="00EF2AF4">
        <w:rPr>
          <w:rFonts w:ascii="Times New Roman" w:hAnsi="Times New Roman" w:cs="Times New Roman"/>
          <w:sz w:val="24"/>
          <w:szCs w:val="24"/>
        </w:rPr>
        <w:t xml:space="preserve">Hybridisation of the </w:t>
      </w:r>
      <w:r w:rsidR="008E3AA4">
        <w:rPr>
          <w:rFonts w:ascii="Times New Roman" w:hAnsi="Times New Roman" w:cs="Times New Roman"/>
          <w:sz w:val="24"/>
          <w:szCs w:val="24"/>
        </w:rPr>
        <w:t>IR</w:t>
      </w:r>
      <w:r w:rsidRPr="00EF2AF4">
        <w:rPr>
          <w:rFonts w:ascii="Times New Roman" w:hAnsi="Times New Roman" w:cs="Times New Roman"/>
          <w:sz w:val="24"/>
          <w:szCs w:val="24"/>
        </w:rPr>
        <w:t xml:space="preserve"> and IGFR1 has been reported, which could explain the crossover in signalling observed in these pathways </w:t>
      </w:r>
      <w:r>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"ISSN" : "0021-9258", "PMID" : "2557329", "abstract" : "Insulin and Mn/MgATP treatment of immunoaffinity-purified alpha beta heterodimeric insulin receptors induced the formation of an alpha 2 beta 2 heterotetrameric insulin receptor complex. In contrast, insulin-like growth factor-1 (IGF-1) treatment was completely ineffective in inducing the association of alpha beta heterodimeric insulin receptors. Similarly, IGF-1 or Mn/MgATP, but not insulin, treatment of immunoaffinity-purified alpha beta heterodimeric IGF-1 receptors induced the formation of an alpha 2 beta 2 heterotetrameric IGF-1 receptor complex. A monoclonal antibody specific for the insulin receptor (MA5) completely immunoprecipitated all the insulin binding activity from both the alpha 2 beta 2 heterotetrameric and alpha beta heterodimeric insulin receptor complexes but did not immunoprecipitate IGF-1 receptors. Conversely, the IGF-1 receptor-specific monoclonal antibody (alpha IR-3) immunoprecipitated all the IGF-1 binding activity, but not insulin receptors. The simultaneous treatment of pooled equal amounts of alpha beta heterodimeric insulin and IGF-1 receptors with a combination of insulin and IGF-1 resulted in the formation of alpha 2 beta 2 heterotetrameric insulin and IGF-1 receptor complexes. However, in the mixed alpha 2 beta 2 heterotetrameric receptor fraction MA5 immunoprecipitated 94% of the insulin binding in addition to 27% of the IGF-1 binding activity whereas alpha IR-3 immunoprecipitated 97% of the IGF-1 binding in addition to 38% of the insulin binding activity. Treatment of the mixed alpha beta heterodimeric insulin and IGF-1 receptors with Mn/MgATP also resulted in the formation of cross-immunoreactive (42-46%) alpha 2 beta 2 heterotetrameric receptors. These data directly demonstrate the formation of insulin/IGF-1 hybrid receptors by both a combination of insulin plus IGF-1 or Mn/MgATP treatment of purified human placenta alpha beta heterodimeric insulin and IGF-1 half-receptors in vitro.", "author" : [ { "dropping-particle" : "", "family" : "Treadway", "given" : "J L", "non-dropping-particle" : "", "parse-names" : false, "suffix" : "" }, { "dropping-particle" : "", "family" : "Morrison", "given" : "B D", "non-dropping-particle" : "", "parse-names" : false, "suffix" : "" }, { "dropping-particle" : "", "family" : "Goldfine", "given" : "I D", "non-dropping-particle" : "", "parse-names" : false, "suffix" : "" }, { "dropping-particle" : "", "family" : "Pessin", "given" : "J E", "non-dropping-particle" : "", "parse-names" : false, "suffix" : "" } ], "container-title" : "The Journal of biological chemistry", "id" : "ITEM-1", "issue" : "36", "issued" : { "date-parts" : [ [ "1989", "12", "25" ] ] }, "page" : "21450-3", "title" : "Assembly of insulin/insulin-like growth factor-1 hybrid receptors in vitro.", "type" : "article-journal", "volume" : "264" }, "uris" : [ "http://www.mendeley.com/documents/?uuid=409977eb-f0de-4948-b856-779cf5e787ad" ] } ], "mendeley" : { "formattedCitation" : "(Treadway et al. 1989)", "plainTextFormattedCitation" : "(Treadway et al. 1989)", "previouslyFormattedCitation" : "(Treadway et al. 1989)" }, "properties" : { "noteIndex" : 0 }, "schema" : "https://github.com/citation-style-language/schema/raw/master/csl-citation.json" }</w:instrText>
      </w:r>
      <w:r>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(Treadway et al. 1989)</w:t>
      </w:r>
      <w:r>
        <w:rPr>
          <w:rFonts w:ascii="Times New Roman" w:hAnsi="Times New Roman" w:cs="Times New Roman"/>
          <w:sz w:val="24"/>
          <w:szCs w:val="24"/>
        </w:rPr>
        <w:fldChar w:fldCharType="end"/>
      </w:r>
      <w:r>
        <w:rPr>
          <w:rFonts w:ascii="Times New Roman" w:hAnsi="Times New Roman" w:cs="Times New Roman"/>
          <w:sz w:val="24"/>
          <w:szCs w:val="24"/>
        </w:rPr>
        <w:t>.</w:t>
      </w:r>
      <w:r w:rsidRPr="00EF2AF4">
        <w:rPr>
          <w:rFonts w:ascii="Times New Roman" w:hAnsi="Times New Roman" w:cs="Times New Roman"/>
          <w:sz w:val="24"/>
          <w:szCs w:val="24"/>
        </w:rPr>
        <w:t xml:space="preserve"> Ligand binding to the r</w:t>
      </w:r>
      <w:r w:rsidR="00BC3DB3">
        <w:rPr>
          <w:rFonts w:ascii="Times New Roman" w:hAnsi="Times New Roman" w:cs="Times New Roman"/>
          <w:sz w:val="24"/>
          <w:szCs w:val="24"/>
        </w:rPr>
        <w:t xml:space="preserve">espective IRα </w:t>
      </w:r>
      <w:r w:rsidRPr="00EF2AF4">
        <w:rPr>
          <w:rFonts w:ascii="Times New Roman" w:hAnsi="Times New Roman" w:cs="Times New Roman"/>
          <w:sz w:val="24"/>
          <w:szCs w:val="24"/>
        </w:rPr>
        <w:t xml:space="preserve">and α subunits causes tyrosine phosphorylation of the two beta kinase domains and a series of transphosphorylation steps, with adjacent beta subunits phosphorylating each other. </w:t>
      </w:r>
      <w:r w:rsidR="00CB352B">
        <w:rPr>
          <w:rFonts w:ascii="Times New Roman" w:hAnsi="Times New Roman" w:cs="Times New Roman"/>
          <w:sz w:val="24"/>
          <w:szCs w:val="24"/>
        </w:rPr>
        <w:t xml:space="preserve">The pathway </w:t>
      </w:r>
      <w:r w:rsidR="001706A9">
        <w:rPr>
          <w:rFonts w:ascii="Times New Roman" w:hAnsi="Times New Roman" w:cs="Times New Roman"/>
          <w:sz w:val="24"/>
          <w:szCs w:val="24"/>
        </w:rPr>
        <w:t>is made more complex as there are two</w:t>
      </w:r>
      <w:r w:rsidR="00E433D1">
        <w:rPr>
          <w:rFonts w:ascii="Times New Roman" w:hAnsi="Times New Roman" w:cs="Times New Roman"/>
          <w:sz w:val="24"/>
          <w:szCs w:val="24"/>
        </w:rPr>
        <w:t xml:space="preserve"> splice-</w:t>
      </w:r>
      <w:r w:rsidR="001706A9">
        <w:rPr>
          <w:rFonts w:ascii="Times New Roman" w:hAnsi="Times New Roman" w:cs="Times New Roman"/>
          <w:sz w:val="24"/>
          <w:szCs w:val="24"/>
        </w:rPr>
        <w:t xml:space="preserve">isoforms of IR, IR-A and IR-B, each of which are able to form a heterodimer with IGF1R. The IR-A/IGF1R hybrid has higher affinity for IGF1, whereas IR-B/IGF1R hybrids have an equal affinity for insulin and IGF2 </w:t>
      </w:r>
      <w:r w:rsidR="001706A9" w:rsidRPr="00F97EAA">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"10.1074/jbc.M202766200", "ISSN" : "0021-9258", "author" : [ { "dropping-particle" : "", "family" : "Pandini", "given" : "G.", "non-dropping-particle" : "", "parse-names" : false, "suffix" : "" }, { "dropping-particle" : "", "family" : "Frasca", "given" : "F.", "non-dropping-particle" : "", "parse-names" : false, "suffix" : "" }, { "dropping-particle" : "", "family" : "Mineo", "given" : "R.", "non-dropping-particle" : "", "parse-names" : false, "suffix" : "" }, { "dropping-particle" : "", "family" : "Sciacca", "given" : "L.", "non-dropping-particle" : "", "parse-names" : false, "suffix" : "" }, { "dropping-particle" : "", "family" : "Vigneri", "given" : "R.", "non-dropping-particle" : "", "parse-names" : false, "suffix" : "" }, { "dropping-particle" : "", "family" : "Belfiore", "given" : "A.", "non-dropping-particle" : "", "parse-names" : false, "suffix" : "" } ], "container-title" : "Journal of Biological Chemistry", "id" : "ITEM-1", "issue" : "42", "issued" : { "date-parts" : [ [ "2002", "10", "18" ] ] }, "page" : "39684-39695", "publisher" : "American Society for Biochemistry and Molecular Biology", "title" : "Insulin/Insulin-like Growth Factor I Hybrid Receptors Have Different Biological Characteristics Depending on the Insulin Receptor Isoform Involved", "type" : "article-journal", "volume" : "277" }, "uris" : [ "http://www.mendeley.com/documents/?uuid=a82911b7-01b6-3db4-93a6-ee7accc59938" ] } ], "mendeley" : { "formattedCitation" : "(Pandini et al. 2002)", "plainTextFormattedCitation" : "(Pandini et al. 2002)", "previouslyFormattedCitation" : "(Pandini et al. 2002)" }, "properties" : { "noteIndex" : 0 }, "schema" : "https://github.com/citation-style-language/schema/raw/master/csl-citation.json" }</w:instrText>
      </w:r>
      <w:r w:rsidR="001706A9" w:rsidRPr="00F97EAA">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(Pandini et al. 2002)</w:t>
      </w:r>
      <w:r w:rsidR="001706A9" w:rsidRPr="00F97EAA">
        <w:rPr>
          <w:rFonts w:ascii="Times New Roman" w:hAnsi="Times New Roman" w:cs="Times New Roman"/>
          <w:color w:val="auto"/>
          <w:sz w:val="24"/>
          <w:szCs w:val="24"/>
        </w:rPr>
        <w:fldChar w:fldCharType="end"/>
      </w:r>
      <w:r w:rsidR="001706A9" w:rsidRPr="00F97EAA">
        <w:rPr>
          <w:rFonts w:ascii="Times New Roman" w:hAnsi="Times New Roman" w:cs="Times New Roman"/>
          <w:color w:val="auto"/>
          <w:sz w:val="24"/>
          <w:szCs w:val="24"/>
        </w:rPr>
        <w:t>.</w:t>
      </w:r>
      <w:r w:rsidR="001706A9">
        <w:rPr>
          <w:rFonts w:ascii="Times New Roman" w:hAnsi="Times New Roman" w:cs="Times New Roman"/>
          <w:color w:val="auto"/>
          <w:sz w:val="24"/>
          <w:szCs w:val="24"/>
        </w:rPr>
        <w:t xml:space="preserve"> </w:t>
      </w:r>
      <w:r w:rsidR="00CE03A5">
        <w:rPr>
          <w:rFonts w:ascii="Times New Roman" w:hAnsi="Times New Roman" w:cs="Times New Roman"/>
          <w:color w:val="auto"/>
          <w:sz w:val="24"/>
          <w:szCs w:val="24"/>
        </w:rPr>
        <w:t xml:space="preserve">In human breast cancer cells, signalling through IR/IGF1R hybrid receptors leads to increased proliferation compared with signalling through the IGF1R homodimer following IGF1 treatment, suggesting that heterodimers are the major mediators of IGF1 signalling </w:t>
      </w:r>
      <w:r w:rsidR="00CE03A5" w:rsidRPr="00F97EAA">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"10.1210/mend-5-3-452", "ISSN" : "1078-0432", "PMID" : "10430101", "abstract" : "The insulin receptor (IR) form hybrids with the closely related insulin-like growth factor-I (IGF-I) receptor (IGF-I-R). Because most human breast carcinomas overexpress both the IR and the IGF-I-R, we evaluated whether the insulin/IGF-I hybrid receptor (Hybrid-R) is also overexpressed in these tumors and what role it plays in breast cancer biology. Using specific ELISAs and Western blots, we measured Hybrid-R content and function in 8 human cultured breast cancer cell lines and 39 human breast cancer specimens. Hybrid-R content and function were also compared to the content and function of the IR and the IGF-I-R. Hybrid-R content exceeded the IGF-I-R content in &gt;75% of breast cancer specimens and was directly related to the molar ratio of both the IR and IGF-I-R content, suggesting that Hybrid-R formation occurred by random assembly of IR and IGF-I-R half-receptors. Hybrid-Rs became tyrosine autophosphorylated when breast cancer cells were exposed to IGF-I but not when they were exposed to insulin. In cells with an elevated Hybrid-R content, Hybrid-R autophosphorylation in response to IGF-I exceeded IGF-I-R autophosphorylation, suggesting that most of the IGF-I effect occurred via the Hybrid-R. Furthermore, Hybrid-Rs mediated growth in response to IGF-I, as indicated by experiments with blocking antibodies to the IGF-I-R. These data indicated therefore that: (a) Hybrid-Rs are present and play a major role in mediating the IGF-I signal in breast cancer; (b) their expression is directly related to IR overexpression; and (c) potential therapies designed to block IGF-I actions in breast cancer must take into account the role of these Hybrid-Rs.", "author" : [ { "dropping-particle" : "", "family" : "Pandini", "given" : "G", "non-dropping-particle" : "", "parse-names" : false, "suffix" : "" }, { "dropping-particle" : "", "family" : "Vigneri", "given" : "R", "non-dropping-particle" : "", "parse-names" : false, "suffix" : "" }, { "dropping-particle" : "", "family" : "Costantino", "given" : "A", "non-dropping-particle" : "", "parse-names" : false, "suffix" : "" }, { "dropping-particle" : "", "family" : "Frasca", "given" : "F", "non-dropping-particle" : "", "parse-names" : false, "suffix" : "" }, { "dropping-particle" : "", "family" : "Ippolito", "given" : "A", "non-dropping-particle" : "", "parse-names" : false, "suffix" : "" }, { "dropping-particle" : "", "family" : "Fujita-Yamaguchi", "given" : "Y", "non-dropping-particle" : "", "parse-names" : false, "suffix" : "" }, { "dropping-particle" : "", "family" : "Siddle", "given" : "K", "non-dropping-particle" : "", "parse-names" : false, "suffix" : "" }, { "dropping-particle" : "", "family" : "Goldfine", "given" : "I D", "non-dropping-particle" : "", "parse-names" : false, "suffix" : "" }, { "dropping-particle" : "", "family" : "Belfiore", "given" : "A", "non-dropping-particle" : "", "parse-names" : false, "suffix" : "" } ], "container-title" : "Clinical cancer research : an official journal of the American Association for Cancer Research", "id" : "ITEM-1", "issue" : "7", "issued" : { "date-parts" : [ [ "1999", "7" ] ] }, "page" : "1935-44", "publisher" : "Clinical Cancer Research", "title" : "Insulin and insulin-like growth factor-I (IGF-I) receptor overexpression in breast cancers leads to insulin/IGF-I hybrid receptor overexpression: evidence for a second mechanism of IGF-I signaling.", "type" : "article-journal", "volume" : "5" }, "uris" : [ "http://www.mendeley.com/documents/?uuid=93374c5f-1c59-3142-8911-d4e25651a157" ] } ], "mendeley" : { "formattedCitation" : "(Pandini et al. 1999)", "plainTextFormattedCitation" : "(Pandini et al. 1999)", "previouslyFormattedCitation" : "(Pandini et al. 1999)" }, "properties" : { "noteIndex" : 0 }, "schema" : "https://github.com/citation-style-language/schema/raw/master/csl-citation.json" }</w:instrText>
      </w:r>
      <w:r w:rsidR="00CE03A5" w:rsidRPr="00F97EAA">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(Pandini et al. 1999)</w:t>
      </w:r>
      <w:r w:rsidR="00CE03A5" w:rsidRPr="00F97EAA">
        <w:rPr>
          <w:rFonts w:ascii="Times New Roman" w:hAnsi="Times New Roman" w:cs="Times New Roman"/>
          <w:color w:val="auto"/>
          <w:sz w:val="24"/>
          <w:szCs w:val="24"/>
        </w:rPr>
        <w:fldChar w:fldCharType="end"/>
      </w:r>
      <w:r w:rsidR="00CE03A5" w:rsidRPr="00F97EAA">
        <w:rPr>
          <w:rFonts w:ascii="Times New Roman" w:hAnsi="Times New Roman" w:cs="Times New Roman"/>
          <w:color w:val="auto"/>
          <w:sz w:val="24"/>
          <w:szCs w:val="24"/>
        </w:rPr>
        <w:t>.</w:t>
      </w:r>
      <w:r w:rsidR="0083644C">
        <w:rPr>
          <w:rFonts w:ascii="Times New Roman" w:hAnsi="Times New Roman" w:cs="Times New Roman"/>
          <w:color w:val="auto"/>
          <w:sz w:val="24"/>
          <w:szCs w:val="24"/>
        </w:rPr>
        <w:t xml:space="preserve"> Stimulation of the insulin/IGF1 pathway is further regulated by the presence of IGF1-binding proteins (IGFBP), of which there six (IGFBP1-6). These control the bioavailability of IGF ligand</w:t>
      </w:r>
      <w:r w:rsidR="00DE1D59">
        <w:rPr>
          <w:rFonts w:ascii="Times New Roman" w:hAnsi="Times New Roman" w:cs="Times New Roman"/>
          <w:color w:val="auto"/>
          <w:sz w:val="24"/>
          <w:szCs w:val="24"/>
        </w:rPr>
        <w:t xml:space="preserve"> by binding to IGF1 and IGF2, thereby blocking receptor activation</w:t>
      </w:r>
      <w:r w:rsidR="00806084">
        <w:rPr>
          <w:rFonts w:ascii="Times New Roman" w:hAnsi="Times New Roman" w:cs="Times New Roman"/>
          <w:color w:val="auto"/>
          <w:sz w:val="24"/>
          <w:szCs w:val="24"/>
        </w:rPr>
        <w:t>, a</w:t>
      </w:r>
      <w:r w:rsidR="0052282A">
        <w:rPr>
          <w:rFonts w:ascii="Times New Roman" w:hAnsi="Times New Roman" w:cs="Times New Roman"/>
          <w:color w:val="auto"/>
          <w:sz w:val="24"/>
          <w:szCs w:val="24"/>
        </w:rPr>
        <w:t>lthough some studies show IGFBP</w:t>
      </w:r>
      <w:r w:rsidR="00806084">
        <w:rPr>
          <w:rFonts w:ascii="Times New Roman" w:hAnsi="Times New Roman" w:cs="Times New Roman"/>
          <w:color w:val="auto"/>
          <w:sz w:val="24"/>
          <w:szCs w:val="24"/>
        </w:rPr>
        <w:t xml:space="preserve">s potentiate IGF activity </w:t>
      </w:r>
      <w:r w:rsidR="00806084" w:rsidRPr="00EF5EB1">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"10.1002/jcp.1041580110", "ISSN" : "0021-9541", "author" : [ { "dropping-particle" : "", "family" : "Chen", "given" : "Jian-Chyi", "non-dropping-particle" : "", "parse-names" : false, "suffix" : "" }, { "dropping-particle" : "", "family" : "Shao", "given" : "Zhi-Ming", "non-dropping-particle" : "", "parse-names" : false, "suffix" : "" }, { "dropping-particle" : "", "family" : "Sheikh", "given" : "M. Saeed", "non-dropping-particle" : "", "parse-names" : false, "suffix" : "" }, { "dropping-particle" : "", "family" : "Hussain", "given" : "Arif", "non-dropping-particle" : "", "parse-names" : false, "suffix" : "" }, { "dropping-particle" : "", "family" : "Leroith", "given" : "Derek", "non-dropping-particle" : "", "parse-names" : false, "suffix" : "" }, { "dropping-particle" : "", "family" : "Roberts", "given" : "Charles T.", "non-dropping-particle" : "", "parse-names" : false, "suffix" : "" }, { "dropping-particle" : "", "family" : "Fontana", "given" : "Joseph A.", "non-dropping-particle" : "", "parse-names" : false, "suffix" : "" } ], "container-title" : "Journal of Cellular Physiology", "id" : "ITEM-1", "issue" : "1", "issued" : { "date-parts" : [ [ "1994", "1" ] ] }, "page" : "69-78", "publisher" : "Wiley Subscription Services, Inc., A Wiley Company", "title" : "Insulin-like growth factor-binding protein enhancement of insulin-like growth factor-i (IGF-I)-mediated DNA synthesis and IGF-I binding in a human breast carcinoma cell line", "type" : "article-journal", "volume" : "158" }, "uris" : [ "http://www.mendeley.com/documents/?uuid=b3cdb77c-73fd-3bbb-8fab-fc5670b54dbf" ] } ], "mendeley" : { "formattedCitation" : "(Chen et al. 1994)", "plainTextFormattedCitation" : "(Chen et al. 1994)", "previouslyFormattedCitation" : "(Chen et al. 1994)" }, "properties" : { "noteIndex" : 0 }, "schema" : "https://github.com/citation-style-language/schema/raw/master/csl-citation.json" }</w:instrText>
      </w:r>
      <w:r w:rsidR="00806084" w:rsidRPr="00EF5EB1">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(Chen et al. 1994)</w:t>
      </w:r>
      <w:r w:rsidR="00806084" w:rsidRPr="00EF5EB1">
        <w:rPr>
          <w:rFonts w:ascii="Times New Roman" w:hAnsi="Times New Roman" w:cs="Times New Roman"/>
          <w:color w:val="auto"/>
          <w:sz w:val="24"/>
          <w:szCs w:val="24"/>
        </w:rPr>
        <w:fldChar w:fldCharType="end"/>
      </w:r>
      <w:r w:rsidR="00DE1D59" w:rsidRPr="00EF5EB1">
        <w:rPr>
          <w:rFonts w:ascii="Times New Roman" w:hAnsi="Times New Roman" w:cs="Times New Roman"/>
          <w:color w:val="auto"/>
          <w:sz w:val="24"/>
          <w:szCs w:val="24"/>
        </w:rPr>
        <w:t>.</w:t>
      </w:r>
      <w:r w:rsidR="00DE1D59">
        <w:rPr>
          <w:rFonts w:ascii="Times New Roman" w:hAnsi="Times New Roman" w:cs="Times New Roman"/>
          <w:color w:val="auto"/>
          <w:sz w:val="24"/>
          <w:szCs w:val="24"/>
        </w:rPr>
        <w:t xml:space="preserve"> </w:t>
      </w:r>
      <w:r w:rsidR="00806084">
        <w:rPr>
          <w:rFonts w:ascii="Times New Roman" w:hAnsi="Times New Roman" w:cs="Times New Roman"/>
          <w:color w:val="auto"/>
          <w:sz w:val="24"/>
          <w:szCs w:val="24"/>
        </w:rPr>
        <w:t xml:space="preserve">However </w:t>
      </w:r>
      <w:r w:rsidR="00004CD5">
        <w:rPr>
          <w:rFonts w:ascii="Times New Roman" w:hAnsi="Times New Roman" w:cs="Times New Roman"/>
          <w:color w:val="auto"/>
          <w:sz w:val="24"/>
          <w:szCs w:val="24"/>
        </w:rPr>
        <w:t>I</w:t>
      </w:r>
      <w:r w:rsidR="0052282A">
        <w:rPr>
          <w:rFonts w:ascii="Times New Roman" w:hAnsi="Times New Roman" w:cs="Times New Roman"/>
          <w:color w:val="auto"/>
          <w:sz w:val="24"/>
          <w:szCs w:val="24"/>
        </w:rPr>
        <w:t>GFBP</w:t>
      </w:r>
      <w:r w:rsidR="00004CD5">
        <w:rPr>
          <w:rFonts w:ascii="Times New Roman" w:hAnsi="Times New Roman" w:cs="Times New Roman"/>
          <w:color w:val="auto"/>
          <w:sz w:val="24"/>
          <w:szCs w:val="24"/>
        </w:rPr>
        <w:t>s</w:t>
      </w:r>
      <w:r w:rsidR="00806084">
        <w:rPr>
          <w:rFonts w:ascii="Times New Roman" w:hAnsi="Times New Roman" w:cs="Times New Roman"/>
          <w:color w:val="auto"/>
          <w:sz w:val="24"/>
          <w:szCs w:val="24"/>
        </w:rPr>
        <w:t xml:space="preserve"> are also regulated by</w:t>
      </w:r>
      <w:r w:rsidR="00DE1D59">
        <w:rPr>
          <w:rFonts w:ascii="Times New Roman" w:hAnsi="Times New Roman" w:cs="Times New Roman"/>
          <w:color w:val="auto"/>
          <w:sz w:val="24"/>
          <w:szCs w:val="24"/>
        </w:rPr>
        <w:t xml:space="preserve"> IGFBP p</w:t>
      </w:r>
      <w:r w:rsidR="0052282A">
        <w:rPr>
          <w:rFonts w:ascii="Times New Roman" w:hAnsi="Times New Roman" w:cs="Times New Roman"/>
          <w:color w:val="auto"/>
          <w:sz w:val="24"/>
          <w:szCs w:val="24"/>
        </w:rPr>
        <w:t>roteases that will digest IGFBP</w:t>
      </w:r>
      <w:r w:rsidR="00DE1D59">
        <w:rPr>
          <w:rFonts w:ascii="Times New Roman" w:hAnsi="Times New Roman" w:cs="Times New Roman"/>
          <w:color w:val="auto"/>
          <w:sz w:val="24"/>
          <w:szCs w:val="24"/>
        </w:rPr>
        <w:t>s and increase IGF bioavailability</w:t>
      </w:r>
      <w:r w:rsidR="00D278B4">
        <w:rPr>
          <w:rFonts w:ascii="Times New Roman" w:hAnsi="Times New Roman" w:cs="Times New Roman"/>
          <w:color w:val="auto"/>
          <w:sz w:val="24"/>
          <w:szCs w:val="24"/>
        </w:rPr>
        <w:t xml:space="preserve"> </w:t>
      </w:r>
      <w:r w:rsidR="00D278B4" w:rsidRPr="00194AC0">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"10.1210/endo.138.4.5064", "ISSN" : "0013-7227", "PMID" : "9075731", "abstract" : "The proliferative action of insulin-like growth factors (IGFs) on breast cancer cells is regulated by IGF binding proteins (IGFBPs). This study characterizes the proteolysis of IGFBP-3 by an enzyme secreted by MCF-7 human breast cancer cells. Proteolysis of IGFBP-3 by incubation at 37 C with serum-free medium from MCF-7 cells was maximal at pH 5.0-5.5, with no activity detected below pH 4.5. This enzyme activity resulted in the disappearance of the 40- to 45- and 30-kDa bands of pure plasma-derived IGFBP-3, detectable by immunoblotting after SDS-PAGE, and the appearance of a single 21-kDa immunoreactive species. The 21-kDa protein did not bind IGF-I or IGF-II by ligand blotting. The enzyme activity appeared at 25- to 30-kDa by gel chromatography at pH 6.5 and was inhibited by EDTA and leupeptin, an inhibitor of cysteine and serine proteases, but not by the serine protease inhibitors aprotinin and benzamidine. IGFBP-3 protease activity was inhibited in medium conditioned by cells incubated with 50 ng/ml IGF-I. A similar inhibitory effect was seen under cell-free conditions by adding IGF-I to medium harvested from cells incubated without IGFs. The cell-free inhibition of IGFBP-3 proteolysis by IGFs did not require IGF interaction with the binding protein, because [long Arg3]IGF-I, which binds to IGFBP-3 with less than 0.2% of the potency of IGF-I, inhibited IGFBP-3 proteolysis with 20% of the potency of IGF-I. These results suggest that IGFs may regulate their own activity in breast cancer cells, preventing IGFBP-3 proteolysis by a mechanism that is not receptor mediated and does not require IGF-IGFBP interaction.", "author" : [ { "dropping-particle" : "", "family" : "Salahifar", "given" : "H", "non-dropping-particle" : "", "parse-names" : false, "suffix" : "" }, { "dropping-particle" : "", "family" : "Baxter", "given" : "R C", "non-dropping-particle" : "", "parse-names" : false, "suffix" : "" }, { "dropping-particle" : "", "family" : "Martin", "given" : "J L", "non-dropping-particle" : "", "parse-names" : false, "suffix" : "" } ], "container-title" : "Endocrinology", "id" : "ITEM-1", "issue" : "4", "issued" : { "date-parts" : [ [ "1997", "4" ] ] }, "page" : "1683-90", "title" : "Insulin-like growth factor binding protein (IGFBP)-3 protease activity secreted by MCF-7 breast cancer cells: inhibition by IGFs does not require IGF-IGFBP interaction.", "type" : "article-journal", "volume" : "138" }, "uris" : [ "http://www.mendeley.com/documents/?uuid=5c261d0c-7f4a-329c-a2d0-0814f3090821" ] } ], "mendeley" : { "formattedCitation" : "(Salahifar et al. 1997)", "plainTextFormattedCitation" : "(Salahifar et al. 1997)", "previouslyFormattedCitation" : "(Salahifar et al. 1997)" }, "properties" : { "noteIndex" : 0 }, "schema" : "https://github.com/citation-style-language/schema/raw/master/csl-citation.json" }</w:instrText>
      </w:r>
      <w:r w:rsidR="00D278B4" w:rsidRPr="00194AC0">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(Salahifar et al. 1997)</w:t>
      </w:r>
      <w:r w:rsidR="00D278B4" w:rsidRPr="00194AC0">
        <w:rPr>
          <w:rFonts w:ascii="Times New Roman" w:hAnsi="Times New Roman" w:cs="Times New Roman"/>
          <w:color w:val="auto"/>
          <w:sz w:val="24"/>
          <w:szCs w:val="24"/>
        </w:rPr>
        <w:fldChar w:fldCharType="end"/>
      </w:r>
      <w:r w:rsidR="00DE1D59">
        <w:rPr>
          <w:rFonts w:ascii="Times New Roman" w:hAnsi="Times New Roman" w:cs="Times New Roman"/>
          <w:color w:val="auto"/>
          <w:sz w:val="24"/>
          <w:szCs w:val="24"/>
        </w:rPr>
        <w:t>.</w:t>
      </w:r>
      <w:r w:rsidR="0083644C">
        <w:rPr>
          <w:rFonts w:ascii="Times New Roman" w:hAnsi="Times New Roman" w:cs="Times New Roman"/>
          <w:color w:val="auto"/>
          <w:sz w:val="24"/>
          <w:szCs w:val="24"/>
        </w:rPr>
        <w:t xml:space="preserve"> </w:t>
      </w:r>
    </w:p>
    <w:p w14:paraId="60C4970A" w14:textId="0CB5BB75" w:rsidR="00567751" w:rsidRDefault="00EB1C68" w:rsidP="00567751">
      <w:pPr>
        <w:pStyle w:val="Body"/>
        <w:spacing w:line="360" w:lineRule="auto"/>
        <w:jc w:val="both"/>
        <w:rPr>
          <w:rFonts w:ascii="Times New Roman" w:hAnsi="Times New Roman" w:cs="Times New Roman"/>
          <w:sz w:val="24"/>
          <w:szCs w:val="24"/>
        </w:rPr>
      </w:pPr>
      <w:r>
        <w:rPr>
          <w:rFonts w:ascii="Times New Roman" w:hAnsi="Times New Roman" w:cs="Times New Roman"/>
          <w:sz w:val="24"/>
          <w:szCs w:val="24"/>
        </w:rPr>
        <w:t>A</w:t>
      </w:r>
      <w:r w:rsidR="00E81753" w:rsidRPr="00EF2AF4">
        <w:rPr>
          <w:rFonts w:ascii="Times New Roman" w:hAnsi="Times New Roman" w:cs="Times New Roman"/>
          <w:sz w:val="24"/>
          <w:szCs w:val="24"/>
        </w:rPr>
        <w:t>ctivation</w:t>
      </w:r>
      <w:r w:rsidR="00F31EB3">
        <w:rPr>
          <w:rFonts w:ascii="Times New Roman" w:hAnsi="Times New Roman" w:cs="Times New Roman"/>
          <w:sz w:val="24"/>
          <w:szCs w:val="24"/>
        </w:rPr>
        <w:t xml:space="preserve"> of various </w:t>
      </w:r>
      <w:r>
        <w:rPr>
          <w:rFonts w:ascii="Times New Roman" w:hAnsi="Times New Roman" w:cs="Times New Roman"/>
          <w:sz w:val="24"/>
          <w:szCs w:val="24"/>
        </w:rPr>
        <w:t>combinations of IR/IGF1R will lead to recruitment of</w:t>
      </w:r>
      <w:r w:rsidR="00E81753" w:rsidRPr="00EF2AF4">
        <w:rPr>
          <w:rFonts w:ascii="Times New Roman" w:hAnsi="Times New Roman" w:cs="Times New Roman"/>
          <w:sz w:val="24"/>
          <w:szCs w:val="24"/>
        </w:rPr>
        <w:t xml:space="preserve"> adaptor molecules</w:t>
      </w:r>
      <w:r w:rsidR="00B8355E">
        <w:rPr>
          <w:rFonts w:ascii="Times New Roman" w:hAnsi="Times New Roman" w:cs="Times New Roman"/>
          <w:sz w:val="24"/>
          <w:szCs w:val="24"/>
        </w:rPr>
        <w:t xml:space="preserve"> and so far 11 substrates have been identified, these include: IR substrates (IRS1-6</w:t>
      </w:r>
      <w:r>
        <w:rPr>
          <w:rFonts w:ascii="Times New Roman" w:hAnsi="Times New Roman" w:cs="Times New Roman"/>
          <w:sz w:val="24"/>
          <w:szCs w:val="24"/>
        </w:rPr>
        <w:t>)</w:t>
      </w:r>
      <w:r w:rsidR="00B8355E">
        <w:rPr>
          <w:rFonts w:ascii="Times New Roman" w:hAnsi="Times New Roman" w:cs="Times New Roman"/>
          <w:sz w:val="24"/>
          <w:szCs w:val="24"/>
        </w:rPr>
        <w:t>, Grb2-associated binder 1 (Gab1), Cas-Br-M (murine) ecotropic retroviral transforming sequence homologue (Cbl)</w:t>
      </w:r>
      <w:r>
        <w:rPr>
          <w:rFonts w:ascii="Times New Roman" w:hAnsi="Times New Roman" w:cs="Times New Roman"/>
          <w:sz w:val="24"/>
          <w:szCs w:val="24"/>
        </w:rPr>
        <w:t xml:space="preserve"> and Src homology/collagen domain protein (SHC). </w:t>
      </w:r>
      <w:r w:rsidR="00E81753" w:rsidRPr="00EF2AF4">
        <w:rPr>
          <w:rFonts w:ascii="Times New Roman" w:hAnsi="Times New Roman" w:cs="Times New Roman"/>
          <w:sz w:val="24"/>
          <w:szCs w:val="24"/>
        </w:rPr>
        <w:t xml:space="preserve"> IRS1 and IRS2</w:t>
      </w:r>
      <w:r w:rsidR="00843D87">
        <w:rPr>
          <w:rFonts w:ascii="Times New Roman" w:hAnsi="Times New Roman" w:cs="Times New Roman"/>
          <w:sz w:val="24"/>
          <w:szCs w:val="24"/>
        </w:rPr>
        <w:t xml:space="preserve"> are the most widely distributed forms of the six known IRS protein</w:t>
      </w:r>
      <w:r w:rsidR="00F453E2">
        <w:rPr>
          <w:rFonts w:ascii="Times New Roman" w:hAnsi="Times New Roman" w:cs="Times New Roman"/>
          <w:sz w:val="24"/>
          <w:szCs w:val="24"/>
        </w:rPr>
        <w:t>, which are phosphorylated after recruitment to the receptor. IRS proteins have more than 20 known tyrosine residues and approximately 70 serine resides</w:t>
      </w:r>
      <w:r w:rsidR="00612B3A">
        <w:rPr>
          <w:rFonts w:ascii="Times New Roman" w:hAnsi="Times New Roman" w:cs="Times New Roman"/>
          <w:sz w:val="24"/>
          <w:szCs w:val="24"/>
        </w:rPr>
        <w:t xml:space="preserve"> in IRS1</w:t>
      </w:r>
      <w:r w:rsidR="00F453E2">
        <w:rPr>
          <w:rFonts w:ascii="Times New Roman" w:hAnsi="Times New Roman" w:cs="Times New Roman"/>
          <w:sz w:val="24"/>
          <w:szCs w:val="24"/>
        </w:rPr>
        <w:t xml:space="preserve"> that</w:t>
      </w:r>
      <w:r w:rsidR="00004CD5">
        <w:rPr>
          <w:rFonts w:ascii="Times New Roman" w:hAnsi="Times New Roman" w:cs="Times New Roman"/>
          <w:sz w:val="24"/>
          <w:szCs w:val="24"/>
        </w:rPr>
        <w:t xml:space="preserve"> can be phosphorylated</w:t>
      </w:r>
      <w:r w:rsidR="0001214F">
        <w:rPr>
          <w:rFonts w:ascii="Times New Roman" w:hAnsi="Times New Roman" w:cs="Times New Roman"/>
          <w:sz w:val="24"/>
          <w:szCs w:val="24"/>
        </w:rPr>
        <w:t xml:space="preserve">, typically tyrosine phosphorylation activates IRS whereas serine phosphorylation deactivates the protein </w:t>
      </w:r>
      <w:r w:rsidR="0001214F">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"10.1007/s00125-012-2644-8", "ISSN" : "1432-0428", "PMID" : "22869320", "abstract" : "The insulin receptor substrate proteins IRS1 and IRS2 are key targets of the insulin receptor tyrosine kinase and are required for hormonal control of metabolism. Tissues from insulin-resistant and diabetic humans exhibit defects in IRS-dependent signalling, implicating their dysregulation in the initiation and progression of metabolic disease. However, IRS1 and IRS2 are regulated through a complex mechanism involving phosphorylation of &gt;50 serine/threonine residues (S/T) within their long, unstructured tail regions. In cultured cells, insulin-stimulated kinases (including atypical PKC, AKT, SIK2, mTOR, S6K1, ERK1/2 and ROCK1) mediate feedback (autologous) S/T phosphorylation of IRS, with both positive and negative effects on insulin sensitivity. Additionally, insulin-independent (heterologous) kinases can phosphorylate IRS1/2 under basal conditions (AMPK, GSK3) or in response to sympathetic activation and lipid/inflammatory mediators, which are present at elevated levels in metabolic disease (GRK2, novel and conventional PKCs, JNK, IKK\u03b2, mPLK). An emerging view is that the positive/negative regulation of IRS by autologous pathways is subverted/co-opted in disease by increased basal and other temporally inappropriate S/T phosphorylation. Compensatory hyperinsulinaemia may contribute strongly to this dysregulation. Here, we examine the links between altered patterns of IRS S/T phosphorylation and the emergence of insulin resistance and diabetes.", "author" : [ { "dropping-particle" : "", "family" : "Copps", "given" : "K D", "non-dropping-particle" : "", "parse-names" : false, "suffix" : "" }, { "dropping-particle" : "", "family" : "White", "given" : "M F", "non-dropping-particle" : "", "parse-names" : false, "suffix" : "" } ], "container-title" : "Diabetologia", "id" : "ITEM-1", "issue" : "10", "issued" : { "date-parts" : [ [ "2012", "10" ] ] }, "page" : "2565-82", "title" : "Regulation of insulin sensitivity by serine/threonine phosphorylation of insulin receptor substrate proteins IRS1 and IRS2.", "type" : "article-journal", "volume" : "55" }, "uris" : [ "http://www.mendeley.com/documents/?uuid=da75dc5b-92cf-490c-9822-ae0fa24024b5" ] } ], "mendeley" : { "formattedCitation" : "(Copps &amp; White 2012)", "plainTextFormattedCitation" : "(Copps &amp; White 2012)", "previouslyFormattedCitation" : "(Copps &amp; White 2012)" }, "properties" : { "noteIndex" : 0 }, "schema" : "https://github.com/citation-style-language/schema/raw/master/csl-citation.json" }</w:instrText>
      </w:r>
      <w:r w:rsidR="0001214F">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(Copps &amp; White 2012)</w:t>
      </w:r>
      <w:r w:rsidR="0001214F">
        <w:rPr>
          <w:rFonts w:ascii="Times New Roman" w:hAnsi="Times New Roman" w:cs="Times New Roman"/>
          <w:color w:val="auto"/>
          <w:sz w:val="24"/>
          <w:szCs w:val="24"/>
        </w:rPr>
        <w:fldChar w:fldCharType="end"/>
      </w:r>
      <w:r w:rsidR="00254375">
        <w:rPr>
          <w:rFonts w:ascii="Times New Roman" w:hAnsi="Times New Roman" w:cs="Times New Roman"/>
          <w:sz w:val="24"/>
          <w:szCs w:val="24"/>
        </w:rPr>
        <w:t>.</w:t>
      </w:r>
      <w:r w:rsidR="00E81753" w:rsidRPr="00EF2AF4">
        <w:rPr>
          <w:rFonts w:ascii="Times New Roman" w:hAnsi="Times New Roman" w:cs="Times New Roman"/>
          <w:sz w:val="24"/>
          <w:szCs w:val="24"/>
        </w:rPr>
        <w:t xml:space="preserve"> </w:t>
      </w:r>
      <w:r w:rsidR="00254375">
        <w:rPr>
          <w:rFonts w:ascii="Times New Roman" w:hAnsi="Times New Roman" w:cs="Times New Roman"/>
          <w:sz w:val="24"/>
          <w:szCs w:val="24"/>
        </w:rPr>
        <w:t>Activation of adaptor molecules such as IRS will</w:t>
      </w:r>
      <w:r w:rsidR="00E81753" w:rsidRPr="00EF2AF4">
        <w:rPr>
          <w:rFonts w:ascii="Times New Roman" w:hAnsi="Times New Roman" w:cs="Times New Roman"/>
          <w:sz w:val="24"/>
          <w:szCs w:val="24"/>
        </w:rPr>
        <w:t xml:space="preserve"> activate SH2- containing signalling proteins, including </w:t>
      </w:r>
      <w:r w:rsidR="008E3AA4">
        <w:rPr>
          <w:rFonts w:ascii="Times New Roman" w:hAnsi="Times New Roman" w:cs="Times New Roman"/>
          <w:sz w:val="24"/>
          <w:szCs w:val="24"/>
        </w:rPr>
        <w:t>PI3K</w:t>
      </w:r>
      <w:r w:rsidR="00E81753" w:rsidRPr="00EF2AF4">
        <w:rPr>
          <w:rFonts w:ascii="Times New Roman" w:hAnsi="Times New Roman" w:cs="Times New Roman"/>
          <w:sz w:val="24"/>
          <w:szCs w:val="24"/>
        </w:rPr>
        <w:t xml:space="preserve"> and the Ras-mitogen activated protein kinase, MAPK. </w:t>
      </w:r>
      <w:r w:rsidR="00254375">
        <w:rPr>
          <w:rFonts w:ascii="Times New Roman" w:hAnsi="Times New Roman" w:cs="Times New Roman"/>
          <w:sz w:val="24"/>
          <w:szCs w:val="24"/>
        </w:rPr>
        <w:t>There is evidence to suggest</w:t>
      </w:r>
      <w:r w:rsidR="00E81753" w:rsidRPr="00EF2AF4">
        <w:rPr>
          <w:rFonts w:ascii="Times New Roman" w:hAnsi="Times New Roman" w:cs="Times New Roman"/>
          <w:sz w:val="24"/>
          <w:szCs w:val="24"/>
        </w:rPr>
        <w:t xml:space="preserve"> that in the brain, IR specifically recruits IRS1 and IGF1R recruits IRS2 for propagation of the signal </w:t>
      </w:r>
      <w:r w:rsidR="00E81753">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"10.1172/JCI59903", "ISSN" : "1558-8238", "PMID" : "22476197", "abstract" : "While a potential causal factor in Alzheimer's disease (AD), brain insulin resistance has not been demonstrated directly in that disorder. We provide such a demonstration here by showing that the hippocampal formation (HF) and, to a lesser degree, the cerebellar cortex in AD cases without diabetes exhibit markedly reduced responses to insulin signaling in the IR\u2192IRS-1\u2192PI3K signaling pathway with greatly reduced responses to IGF-1 in the IGF-1R\u2192IRS-2\u2192PI3K signaling pathway. Reduced insulin responses were maximal at the level of IRS-1 and were consistently associated with basal elevations in IRS-1 phosphorylated at serine 616 (IRS-1 pS\u2076\u00b9\u2076) and IRS-1 pS\u2076\u00b3\u2076/\u2076\u00b3\u2079. In the HF, these candidate biomarkers of brain insulin resistance increased commonly and progressively from normal cases to mild cognitively impaired cases to AD cases regardless of diabetes or APOE \u03b54 status. Levels of IRS-1 pS\u2076\u00b9\u2076 and IRS-1 pS\u2076\u00b3\u2076/\u2076\u00b3\u2079 and their activated kinases correlated positively with those of oligomeric A\u03b2 plaques and were negatively associated with episodic and working memory, even after adjusting for A\u03b2 plaques, neurofibrillary tangles, and APOE \u03b54. Brain insulin resistance thus appears to be an early and common feature of AD, a phenomenon accompanied by IGF-1 resistance and closely associated with IRS-1 dysfunction potentially triggered by A\u03b2 oligomers and yet promoting cognitive decline independent of classic AD pathology.", "author" : [ { "dropping-particle" : "", "family" : "Talbot", "given" : "Konrad", "non-dropping-particle" : "", "parse-names" : false, "suffix" : "" }, { "dropping-particle" : "", "family" : "Wang", "given" : "Hoau-Yan", "non-dropping-particle" : "", "parse-names" : false, "suffix" : "" }, { "dropping-particle" : "", "family" : "Kazi", "given" : "Hala", "non-dropping-particle" : "", "parse-names" : false, "suffix" : "" }, { "dropping-particle" : "", "family" : "Han", "given" : "Li-Ying", "non-dropping-particle" : "", "parse-names" : false, "suffix" : "" }, { "dropping-particle" : "", "family" : "Bakshi", "given" : "Kalindi P", "non-dropping-particle" : "", "parse-names" : false, "suffix" : "" }, { "dropping-particle" : "", "family" : "Stucky", "given" : "Andres", "non-dropping-particle" : "", "parse-names" : false, "suffix" : "" }, { "dropping-particle" : "", "family" : "Fuino", "given" : "Robert L", "non-dropping-particle" : "", "parse-names" : false, "suffix" : "" }, { "dropping-particle" : "", "family" : "Kawaguchi", "given" : "Krista R", "non-dropping-particle" : "", "parse-names" : false, "suffix" : "" }, { "dropping-particle" : "", "family" : "Samoyedny", "given" : "Andrew J", "non-dropping-particle" : "", "parse-names" : false, "suffix" : "" }, { "dropping-particle" : "", "family" : "Wilson", "given" : "Robert S", "non-dropping-particle" : "", "parse-names" : false, "suffix" : "" }, { "dropping-particle" : "", "family" : "Arvanitakis", "given" : "Zoe", "non-dropping-particle" : "", "parse-names" : false, "suffix" : "" }, { "dropping-particle" : "", "family" : "Schneider", "given" : "Julie A", "non-dropping-particle" : "", "parse-names" : false, "suffix" : "" }, { "dropping-particle" : "", "family" : "Wolf", "given" : "Bryan A", "non-dropping-particle" : "", "parse-names" : false, "suffix" : "" }, { "dropping-particle" : "", "family" : "Bennett", "given" : "David A", "non-dropping-particle" : "", "parse-names" : false, "suffix" : "" }, { "dropping-particle" : "", "family" : "Trojanowski", "given" : "John Q", "non-dropping-particle" : "", "parse-names" : false, "suffix" : "" }, { "dropping-particle" : "", "family" : "Arnold", "given" : "Steven E", "non-dropping-particle" : "", "parse-names" : false, "suffix" : "" } ], "container-title" : "The Journal of clinical investigation", "id" : "ITEM-1", "issue" : "4", "issued" : { "date-parts" : [ [ "2012", "4", "2" ] ] }, "page" : "1316-38", "title" : "Demonstrated brain insulin resistance in Alzheimer's disease patients is associated with IGF-1 resistance, IRS-1 dysregulation, and cognitive decline.", "type" : "article-journal", "volume" : "122" }, "uris" : [ "http://www.mendeley.com/documents/?uuid=9e20fb27-6103-4888-bbc9-2eadffb309a4" ] } ], "mendeley" : { "formattedCitation" : "(Talbot et al. 2012a)", "manualFormatting" : "(Talbot et al., 2012)", "plainTextFormattedCitation" : "(Talbot et al. 2012a)", "previouslyFormattedCitation" : "(Talbot et al. 2012a)" }, "properties" : { "noteIndex" : 0 }, "schema" : "https://github.com/citation-style-language/schema/raw/master/csl-citation.json" }</w:instrText>
      </w:r>
      <w:r w:rsidR="00E81753">
        <w:rPr>
          <w:rFonts w:ascii="Times New Roman" w:hAnsi="Times New Roman" w:cs="Times New Roman"/>
          <w:sz w:val="24"/>
          <w:szCs w:val="24"/>
        </w:rPr>
        <w:fldChar w:fldCharType="separate"/>
      </w:r>
      <w:r w:rsidR="00401964">
        <w:rPr>
          <w:rFonts w:ascii="Times New Roman" w:hAnsi="Times New Roman" w:cs="Times New Roman"/>
          <w:noProof/>
          <w:sz w:val="24"/>
          <w:szCs w:val="24"/>
        </w:rPr>
        <w:t>(Talbot et al., 2012</w:t>
      </w:r>
      <w:r w:rsidR="00647534" w:rsidRPr="00647534">
        <w:rPr>
          <w:rFonts w:ascii="Times New Roman" w:hAnsi="Times New Roman" w:cs="Times New Roman"/>
          <w:noProof/>
          <w:sz w:val="24"/>
          <w:szCs w:val="24"/>
        </w:rPr>
        <w:t>)</w:t>
      </w:r>
      <w:r w:rsidR="00E81753">
        <w:rPr>
          <w:rFonts w:ascii="Times New Roman" w:hAnsi="Times New Roman" w:cs="Times New Roman"/>
          <w:sz w:val="24"/>
          <w:szCs w:val="24"/>
        </w:rPr>
        <w:fldChar w:fldCharType="end"/>
      </w:r>
      <w:r w:rsidR="00E81753">
        <w:rPr>
          <w:rFonts w:ascii="Times New Roman" w:hAnsi="Times New Roman" w:cs="Times New Roman"/>
          <w:sz w:val="24"/>
          <w:szCs w:val="24"/>
        </w:rPr>
        <w:t xml:space="preserve">. </w:t>
      </w:r>
      <w:r w:rsidR="00E81753" w:rsidRPr="00EF2AF4">
        <w:rPr>
          <w:rFonts w:ascii="Times New Roman" w:hAnsi="Times New Roman" w:cs="Times New Roman"/>
          <w:sz w:val="24"/>
          <w:szCs w:val="24"/>
        </w:rPr>
        <w:t xml:space="preserve">This is likely because brain IR is smaller than peripheral IR and thus potentially lacks the capacity to bind IRS2 through its KRLB (kinase regulatory loop binding) domain </w:t>
      </w:r>
      <w:r w:rsidR="00E81753">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"10.1007/s00125-012-2644-8", "ISSN" : "1432-0428", "PMID" : "22869320", "abstract" : "The insulin receptor substrate proteins IRS1 and IRS2 are key targets of the insulin receptor tyrosine kinase and are required for hormonal control of metabolism. Tissues from insulin-resistant and diabetic humans exhibit defects in IRS-dependent signalling, implicating their dysregulation in the initiation and progression of metabolic disease. However, IRS1 and IRS2 are regulated through a complex mechanism involving phosphorylation of &gt;50 serine/threonine residues (S/T) within their long, unstructured tail regions. In cultured cells, insulin-stimulated kinases (including atypical PKC, AKT, SIK2, mTOR, S6K1, ERK1/2 and ROCK1) mediate feedback (autologous) S/T phosphorylation of IRS, with both positive and negative effects on insulin sensitivity. Additionally, insulin-independent (heterologous) kinases can phosphorylate IRS1/2 under basal conditions (AMPK, GSK3) or in response to sympathetic activation and lipid/inflammatory mediators, which are present at elevated levels in metabolic disease (GRK2, novel and conventional PKCs, JNK, IKK\u03b2, mPLK). An emerging view is that the positive/negative regulation of IRS by autologous pathways is subverted/co-opted in disease by increased basal and other temporally inappropriate S/T phosphorylation. Compensatory hyperinsulinaemia may contribute strongly to this dysregulation. Here, we examine the links between altered patterns of IRS S/T phosphorylation and the emergence of insulin resistance and diabetes.", "author" : [ { "dropping-particle" : "", "family" : "Copps", "given" : "K D", "non-dropping-particle" : "", "parse-names" : false, "suffix" : "" }, { "dropping-particle" : "", "family" : "White", "given" : "M F", "non-dropping-particle" : "", "parse-names" : false, "suffix" : "" } ], "container-title" : "Diabetologia", "id" : "ITEM-1", "issue" : "10", "issued" : { "date-parts" : [ [ "2012", "10" ] ] }, "page" : "2565-82", "title" : "Regulation of insulin sensitivity by serine/threonine phosphorylation of insulin receptor substrate proteins IRS1 and IRS2.", "type" : "article-journal", "volume" : "55" }, "uris" : [ "http://www.mendeley.com/documents/?uuid=da75dc5b-92cf-490c-9822-ae0fa24024b5" ] } ], "mendeley" : { "formattedCitation" : "(Copps &amp; White 2012)", "plainTextFormattedCitation" : "(Copps &amp; White 2012)", "previouslyFormattedCitation" : "(Copps &amp; White 2012)" }, "properties" : { "noteIndex" : 0 }, "schema" : "https://github.com/citation-style-language/schema/raw/master/csl-citation.json" }</w:instrText>
      </w:r>
      <w:r w:rsidR="00E81753">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(Copps &amp; White 2012)</w:t>
      </w:r>
      <w:r w:rsidR="00E81753">
        <w:rPr>
          <w:rFonts w:ascii="Times New Roman" w:hAnsi="Times New Roman" w:cs="Times New Roman"/>
          <w:sz w:val="24"/>
          <w:szCs w:val="24"/>
        </w:rPr>
        <w:fldChar w:fldCharType="end"/>
      </w:r>
      <w:r w:rsidR="00E81753">
        <w:rPr>
          <w:rFonts w:ascii="Times New Roman" w:hAnsi="Times New Roman" w:cs="Times New Roman"/>
          <w:sz w:val="24"/>
          <w:szCs w:val="24"/>
        </w:rPr>
        <w:t>.</w:t>
      </w:r>
      <w:r w:rsidR="00E81753" w:rsidRPr="00EF2AF4">
        <w:rPr>
          <w:rFonts w:ascii="Times New Roman" w:hAnsi="Times New Roman" w:cs="Times New Roman"/>
          <w:sz w:val="24"/>
          <w:szCs w:val="24"/>
        </w:rPr>
        <w:t xml:space="preserve"> </w:t>
      </w:r>
    </w:p>
    <w:p w14:paraId="1FAA51CF" w14:textId="77777777" w:rsidR="0019787A" w:rsidRPr="00567751" w:rsidRDefault="0019787A" w:rsidP="00567751">
      <w:pPr>
        <w:pStyle w:val="Body"/>
        <w:spacing w:line="360" w:lineRule="auto"/>
        <w:jc w:val="both"/>
        <w:rPr>
          <w:rFonts w:ascii="Times New Roman" w:hAnsi="Times New Roman" w:cs="Times New Roman"/>
          <w:sz w:val="24"/>
          <w:szCs w:val="24"/>
        </w:rPr>
      </w:pPr>
    </w:p>
    <w:p w14:paraId="24665A9F" w14:textId="77777777" w:rsidR="009F76F6" w:rsidRDefault="00501A7A" w:rsidP="009F76F6">
      <w:pPr>
        <w:pStyle w:val="Body"/>
        <w:spacing w:line="240" w:lineRule="auto"/>
        <w:jc w:val="both"/>
        <w:rPr>
          <w:rFonts w:ascii="Times New Roman" w:hAnsi="Times New Roman" w:cs="Times New Roman"/>
          <w:b/>
          <w:i/>
          <w:sz w:val="24"/>
          <w:szCs w:val="24"/>
          <w:u w:val="single"/>
        </w:rPr>
      </w:pPr>
      <w:r>
        <w:rPr>
          <w:rFonts w:ascii="Times New Roman" w:hAnsi="Times New Roman" w:cs="Times New Roman"/>
          <w:b/>
          <w:i/>
          <w:sz w:val="24"/>
          <w:szCs w:val="24"/>
          <w:u w:val="single"/>
        </w:rPr>
        <w:t>Downstream signalling through PI3K and MAPK</w:t>
      </w:r>
    </w:p>
    <w:p w14:paraId="58FB4A2B" w14:textId="59786AB4" w:rsidR="006D0F19" w:rsidRPr="00B67FC9" w:rsidRDefault="00E81753" w:rsidP="00E81753">
      <w:pPr>
        <w:pStyle w:val="Body"/>
        <w:spacing w:line="360" w:lineRule="auto"/>
        <w:jc w:val="both"/>
        <w:rPr>
          <w:rFonts w:ascii="Times New Roman" w:hAnsi="Times New Roman" w:cs="Times New Roman"/>
          <w:sz w:val="24"/>
          <w:szCs w:val="24"/>
        </w:rPr>
      </w:pPr>
      <w:r w:rsidRPr="00EF2AF4">
        <w:rPr>
          <w:rFonts w:ascii="Times New Roman" w:hAnsi="Times New Roman" w:cs="Times New Roman"/>
          <w:sz w:val="24"/>
          <w:szCs w:val="24"/>
        </w:rPr>
        <w:t>PI3K and MAPK are divergent signalling pathways that are responsible for the metabolic actions of the ligand</w:t>
      </w:r>
      <w:r w:rsidR="001B516C">
        <w:rPr>
          <w:rFonts w:ascii="Times New Roman" w:hAnsi="Times New Roman" w:cs="Times New Roman"/>
          <w:sz w:val="24"/>
          <w:szCs w:val="24"/>
        </w:rPr>
        <w:t>s</w:t>
      </w:r>
      <w:r w:rsidRPr="00EF2AF4">
        <w:rPr>
          <w:rFonts w:ascii="Times New Roman" w:hAnsi="Times New Roman" w:cs="Times New Roman"/>
          <w:sz w:val="24"/>
          <w:szCs w:val="24"/>
        </w:rPr>
        <w:t xml:space="preserve"> and regulation of gene expression necessary for c</w:t>
      </w:r>
      <w:r w:rsidR="003D70D8">
        <w:rPr>
          <w:rFonts w:ascii="Times New Roman" w:hAnsi="Times New Roman" w:cs="Times New Roman"/>
          <w:sz w:val="24"/>
          <w:szCs w:val="24"/>
        </w:rPr>
        <w:t xml:space="preserve">ell growth and differentiation. </w:t>
      </w:r>
      <w:r w:rsidR="00CC52FC">
        <w:rPr>
          <w:rFonts w:ascii="Times New Roman" w:hAnsi="Times New Roman" w:cs="Times New Roman"/>
          <w:sz w:val="24"/>
          <w:szCs w:val="24"/>
        </w:rPr>
        <w:t>Activation of PI3K results in phosphorylation of the</w:t>
      </w:r>
      <w:r w:rsidR="00D957E3">
        <w:rPr>
          <w:rFonts w:ascii="Times New Roman" w:hAnsi="Times New Roman" w:cs="Times New Roman"/>
          <w:sz w:val="24"/>
          <w:szCs w:val="24"/>
        </w:rPr>
        <w:t xml:space="preserve"> membran</w:t>
      </w:r>
      <w:r w:rsidR="00B67FC9">
        <w:rPr>
          <w:rFonts w:ascii="Times New Roman" w:hAnsi="Times New Roman" w:cs="Times New Roman"/>
          <w:sz w:val="24"/>
          <w:szCs w:val="24"/>
        </w:rPr>
        <w:t xml:space="preserve">e lipid phosphatidylinositol 4,5-bisphosphate </w:t>
      </w:r>
      <w:r w:rsidR="008E3AA4">
        <w:rPr>
          <w:rFonts w:ascii="Times New Roman" w:hAnsi="Times New Roman" w:cs="Times New Roman"/>
          <w:sz w:val="24"/>
          <w:szCs w:val="24"/>
        </w:rPr>
        <w:t>(PIP</w:t>
      </w:r>
      <w:r w:rsidR="008E3AA4">
        <w:rPr>
          <w:rFonts w:ascii="Times New Roman" w:hAnsi="Times New Roman" w:cs="Times New Roman"/>
          <w:sz w:val="24"/>
          <w:szCs w:val="24"/>
          <w:vertAlign w:val="subscript"/>
        </w:rPr>
        <w:t>2</w:t>
      </w:r>
      <w:r w:rsidR="008E3AA4">
        <w:rPr>
          <w:rFonts w:ascii="Times New Roman" w:hAnsi="Times New Roman" w:cs="Times New Roman"/>
          <w:sz w:val="24"/>
          <w:szCs w:val="24"/>
        </w:rPr>
        <w:t>)</w:t>
      </w:r>
      <w:r w:rsidR="00D957E3">
        <w:rPr>
          <w:rFonts w:ascii="Times New Roman" w:hAnsi="Times New Roman" w:cs="Times New Roman"/>
          <w:sz w:val="24"/>
          <w:szCs w:val="24"/>
        </w:rPr>
        <w:t xml:space="preserve"> to produce </w:t>
      </w:r>
      <w:r w:rsidR="00B67FC9">
        <w:rPr>
          <w:rFonts w:ascii="Times New Roman" w:hAnsi="Times New Roman" w:cs="Times New Roman"/>
          <w:sz w:val="24"/>
          <w:szCs w:val="24"/>
        </w:rPr>
        <w:t xml:space="preserve">phosphatidylinositol (3,4,5)-trisphosphate </w:t>
      </w:r>
      <w:r w:rsidR="008E3AA4">
        <w:rPr>
          <w:rFonts w:ascii="Times New Roman" w:hAnsi="Times New Roman" w:cs="Times New Roman"/>
          <w:sz w:val="24"/>
          <w:szCs w:val="24"/>
        </w:rPr>
        <w:t>(</w:t>
      </w:r>
      <w:bookmarkStart w:id="328" w:name="OLE_LINK1"/>
      <w:r w:rsidR="008E3AA4">
        <w:rPr>
          <w:rFonts w:ascii="Times New Roman" w:hAnsi="Times New Roman" w:cs="Times New Roman"/>
          <w:sz w:val="24"/>
          <w:szCs w:val="24"/>
        </w:rPr>
        <w:t>PIP</w:t>
      </w:r>
      <w:r w:rsidR="008E3AA4">
        <w:rPr>
          <w:rFonts w:ascii="Times New Roman" w:hAnsi="Times New Roman" w:cs="Times New Roman"/>
          <w:sz w:val="24"/>
          <w:szCs w:val="24"/>
          <w:vertAlign w:val="subscript"/>
        </w:rPr>
        <w:t>3</w:t>
      </w:r>
      <w:bookmarkEnd w:id="328"/>
      <w:r w:rsidR="008E3AA4">
        <w:rPr>
          <w:rFonts w:ascii="Times New Roman" w:hAnsi="Times New Roman" w:cs="Times New Roman"/>
          <w:sz w:val="24"/>
          <w:szCs w:val="24"/>
        </w:rPr>
        <w:t>)</w:t>
      </w:r>
      <w:r w:rsidR="00D957E3">
        <w:rPr>
          <w:rFonts w:ascii="Times New Roman" w:hAnsi="Times New Roman" w:cs="Times New Roman"/>
          <w:sz w:val="24"/>
          <w:szCs w:val="24"/>
        </w:rPr>
        <w:t>, this then recruits the</w:t>
      </w:r>
      <w:r w:rsidR="00CC52FC">
        <w:rPr>
          <w:rFonts w:ascii="Times New Roman" w:hAnsi="Times New Roman" w:cs="Times New Roman"/>
          <w:sz w:val="24"/>
          <w:szCs w:val="24"/>
        </w:rPr>
        <w:t xml:space="preserve"> serine/threonine protein kinase Akt</w:t>
      </w:r>
      <w:r w:rsidR="00D957E3">
        <w:rPr>
          <w:rFonts w:ascii="Times New Roman" w:hAnsi="Times New Roman" w:cs="Times New Roman"/>
          <w:sz w:val="24"/>
          <w:szCs w:val="24"/>
        </w:rPr>
        <w:t xml:space="preserve"> to the membrane for phosphorylation</w:t>
      </w:r>
      <w:r w:rsidR="00CC52FC">
        <w:rPr>
          <w:rFonts w:ascii="Times New Roman" w:hAnsi="Times New Roman" w:cs="Times New Roman"/>
          <w:sz w:val="24"/>
          <w:szCs w:val="24"/>
        </w:rPr>
        <w:t>.</w:t>
      </w:r>
      <w:r w:rsidR="00D957E3">
        <w:rPr>
          <w:rFonts w:ascii="Times New Roman" w:hAnsi="Times New Roman" w:cs="Times New Roman"/>
          <w:sz w:val="24"/>
          <w:szCs w:val="24"/>
        </w:rPr>
        <w:t xml:space="preserve"> Full activation of Akt is achieved by phosphorylation at serine 473, which is induced by both mTORC2</w:t>
      </w:r>
      <w:r w:rsidR="001B516C">
        <w:rPr>
          <w:rFonts w:ascii="Times New Roman" w:hAnsi="Times New Roman" w:cs="Times New Roman"/>
          <w:sz w:val="24"/>
          <w:szCs w:val="24"/>
        </w:rPr>
        <w:t xml:space="preserve"> (mammalian target of rapamycin complex 2)</w:t>
      </w:r>
      <w:r w:rsidR="00D957E3">
        <w:rPr>
          <w:rFonts w:ascii="Times New Roman" w:hAnsi="Times New Roman" w:cs="Times New Roman"/>
          <w:sz w:val="24"/>
          <w:szCs w:val="24"/>
        </w:rPr>
        <w:t xml:space="preserve"> and </w:t>
      </w:r>
      <w:r w:rsidR="00501A7A">
        <w:rPr>
          <w:rFonts w:ascii="Times New Roman" w:hAnsi="Times New Roman" w:cs="Times New Roman"/>
          <w:sz w:val="24"/>
          <w:szCs w:val="24"/>
        </w:rPr>
        <w:t>DNA protein-kinase (</w:t>
      </w:r>
      <w:r w:rsidR="00D957E3">
        <w:rPr>
          <w:rFonts w:ascii="Times New Roman" w:hAnsi="Times New Roman" w:cs="Times New Roman"/>
          <w:sz w:val="24"/>
          <w:szCs w:val="24"/>
        </w:rPr>
        <w:t>DNA-PK</w:t>
      </w:r>
      <w:r w:rsidR="00501A7A">
        <w:rPr>
          <w:rFonts w:ascii="Times New Roman" w:hAnsi="Times New Roman" w:cs="Times New Roman"/>
          <w:sz w:val="24"/>
          <w:szCs w:val="24"/>
        </w:rPr>
        <w:t>)</w:t>
      </w:r>
      <w:r w:rsidR="00D957E3">
        <w:rPr>
          <w:rFonts w:ascii="Times New Roman" w:hAnsi="Times New Roman" w:cs="Times New Roman"/>
          <w:sz w:val="24"/>
          <w:szCs w:val="24"/>
        </w:rPr>
        <w:t>.</w:t>
      </w:r>
      <w:r w:rsidR="00CC52FC">
        <w:rPr>
          <w:rFonts w:ascii="Times New Roman" w:hAnsi="Times New Roman" w:cs="Times New Roman"/>
          <w:sz w:val="24"/>
          <w:szCs w:val="24"/>
        </w:rPr>
        <w:t xml:space="preserve"> There are many</w:t>
      </w:r>
      <w:r w:rsidR="004F457C">
        <w:rPr>
          <w:rFonts w:ascii="Times New Roman" w:hAnsi="Times New Roman" w:cs="Times New Roman"/>
          <w:sz w:val="24"/>
          <w:szCs w:val="24"/>
        </w:rPr>
        <w:t xml:space="preserve"> upstream activators and</w:t>
      </w:r>
      <w:r w:rsidR="00CC52FC">
        <w:rPr>
          <w:rFonts w:ascii="Times New Roman" w:hAnsi="Times New Roman" w:cs="Times New Roman"/>
          <w:sz w:val="24"/>
          <w:szCs w:val="24"/>
        </w:rPr>
        <w:t xml:space="preserve"> downstream targets of Akt, which </w:t>
      </w:r>
      <w:r w:rsidR="00DB6578">
        <w:rPr>
          <w:rFonts w:ascii="Times New Roman" w:hAnsi="Times New Roman" w:cs="Times New Roman"/>
          <w:sz w:val="24"/>
          <w:szCs w:val="24"/>
        </w:rPr>
        <w:t>therefore position this molecule as a</w:t>
      </w:r>
      <w:r w:rsidR="00CC52FC">
        <w:rPr>
          <w:rFonts w:ascii="Times New Roman" w:hAnsi="Times New Roman" w:cs="Times New Roman"/>
          <w:sz w:val="24"/>
          <w:szCs w:val="24"/>
        </w:rPr>
        <w:t xml:space="preserve"> nodal point in the signalling pathway. </w:t>
      </w:r>
      <w:r w:rsidR="00DB6578">
        <w:rPr>
          <w:rFonts w:ascii="Times New Roman" w:hAnsi="Times New Roman" w:cs="Times New Roman"/>
          <w:sz w:val="24"/>
          <w:szCs w:val="24"/>
        </w:rPr>
        <w:t>Amongst its downstream targets is fork</w:t>
      </w:r>
      <w:r w:rsidR="003B00A0">
        <w:rPr>
          <w:rFonts w:ascii="Times New Roman" w:hAnsi="Times New Roman" w:cs="Times New Roman"/>
          <w:sz w:val="24"/>
          <w:szCs w:val="24"/>
        </w:rPr>
        <w:t xml:space="preserve"> head transcription factor (FoxO</w:t>
      </w:r>
      <w:r w:rsidR="00DB6578">
        <w:rPr>
          <w:rFonts w:ascii="Times New Roman" w:hAnsi="Times New Roman" w:cs="Times New Roman"/>
          <w:sz w:val="24"/>
          <w:szCs w:val="24"/>
        </w:rPr>
        <w:t>), which is important in regulating cell proliferation, oxidative stress and apoptosis</w:t>
      </w:r>
      <w:r w:rsidR="000F554F">
        <w:rPr>
          <w:rFonts w:ascii="Times New Roman" w:hAnsi="Times New Roman" w:cs="Times New Roman"/>
          <w:sz w:val="24"/>
          <w:szCs w:val="24"/>
        </w:rPr>
        <w:t xml:space="preserve"> </w:t>
      </w:r>
      <w:r w:rsidR="00A04704">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"ISSN" : "0892-6638", "PMID" : "10428762", "abstract" : "Longevity is regulated by the daf-2 gene network in Caenorhabditis elegans. Mutations in the daf-2 gene, which encodes a member of the insulin receptor family, confer the life extension (Age) phenotype and the constitutive dauer (a growth-arrested larval form specialized for dispersal) formation phenotype. The Age phenotype is mutually potentiated by two life extension mutations in the daf-2 gene and the clk-1 gene, a homologue of yeast CAT5/COQ7 known to regulate ubiquinone biosynthesis. In this study, we demonstrated that the daf-2 mutation also conferred an oxidative stress resistance (Oxr) phenotype, which was also enhanced by the clk-1 mutation. Similar to the Age phenotype, the Oxr phenotype was regulated by the genetic pathway of insulin-like signaling from daf-2 to the daf-16 gene, a homologue of the HNF-3/forkhead transcription factor. These findings led us to examine whether the insulin-like signaling pathway regulates the gene expression of antioxidant defense enzymes. We found that the mRNA level of the sod-3 gene, which encodes Mn-superoxide dismutase (SOD), was much higher in daf-2 mutants than in the wild type. Moreover, the increased sod-3 gene expression phenotype is regulated by the insulin-like signaling pathway. Although the clk-1 mutant itself did not display Oxr and the increased sod-3 expression phenotypes, the clk-1 mutation enhanced them in the daf-2 mutant, suggesting that clk-1 is involved in longevity in two ways: clk-1 composes the original clk-1 longevity program and the daf-2 longevity program. These observations suggest that the daf-2 gene network controls longevity by regulating the Mn-SOD-associated antioxidant defense system. This system appears to play a role in efficient life maintenance at the dauer stage.", "author" : [ { "dropping-particle" : "", "family" : "Honda", "given" : "Y", "non-dropping-particle" : "", "parse-names" : false, "suffix" : "" }, { "dropping-particle" : "", "family" : "Honda", "given" : "S", "non-dropping-particle" : "", "parse-names" : false, "suffix" : "" } ], "container-title" : "FASEB journal : official publication of the Federation of American Societies for Experimental Biology", "id" : "ITEM-1", "issue" : "11", "issued" : { "date-parts" : [ [ "1999", "8" ] ] }, "page" : "1385-93", "title" : "The daf-2 gene network for longevity regulates oxidative stress resistance and Mn-superoxide dismutase gene expression in Caenorhabditis elegans.", "type" : "article-journal", "volume" : "13" }, "uris" : [ "http://www.mendeley.com/documents/?uuid=05b11ccd-5a0a-3ab5-88eb-e27990661dd2" ] } ], "mendeley" : { "formattedCitation" : "(Honda &amp; Honda 1999)", "plainTextFormattedCitation" : "(Honda &amp; Honda 1999)", "previouslyFormattedCitation" : "(Honda &amp; Honda 1999)" }, "properties" : { "noteIndex" : 0 }, "schema" : "https://github.com/citation-style-language/schema/raw/master/csl-citation.json" }</w:instrText>
      </w:r>
      <w:r w:rsidR="00A04704">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(Honda &amp; Honda 1999)</w:t>
      </w:r>
      <w:r w:rsidR="00A04704">
        <w:rPr>
          <w:rFonts w:ascii="Times New Roman" w:hAnsi="Times New Roman" w:cs="Times New Roman"/>
          <w:sz w:val="24"/>
          <w:szCs w:val="24"/>
        </w:rPr>
        <w:fldChar w:fldCharType="end"/>
      </w:r>
      <w:r w:rsidR="000F554F">
        <w:rPr>
          <w:rFonts w:ascii="Times New Roman" w:hAnsi="Times New Roman" w:cs="Times New Roman"/>
          <w:sz w:val="24"/>
          <w:szCs w:val="24"/>
        </w:rPr>
        <w:t xml:space="preserve">. In </w:t>
      </w:r>
      <w:r w:rsidR="00401964">
        <w:rPr>
          <w:rFonts w:ascii="Times New Roman" w:hAnsi="Times New Roman" w:cs="Times New Roman"/>
          <w:i/>
          <w:sz w:val="24"/>
          <w:szCs w:val="24"/>
        </w:rPr>
        <w:t>C</w:t>
      </w:r>
      <w:r w:rsidR="000F554F">
        <w:rPr>
          <w:rFonts w:ascii="Times New Roman" w:hAnsi="Times New Roman" w:cs="Times New Roman"/>
          <w:i/>
          <w:sz w:val="24"/>
          <w:szCs w:val="24"/>
        </w:rPr>
        <w:t>.elegans</w:t>
      </w:r>
      <w:r w:rsidR="000A3FFB">
        <w:rPr>
          <w:rFonts w:ascii="Times New Roman" w:hAnsi="Times New Roman" w:cs="Times New Roman"/>
          <w:i/>
          <w:sz w:val="24"/>
          <w:szCs w:val="24"/>
        </w:rPr>
        <w:t>,</w:t>
      </w:r>
      <w:r w:rsidR="000F554F">
        <w:rPr>
          <w:rFonts w:ascii="Times New Roman" w:hAnsi="Times New Roman" w:cs="Times New Roman"/>
          <w:sz w:val="24"/>
          <w:szCs w:val="24"/>
        </w:rPr>
        <w:t xml:space="preserve"> mutations in </w:t>
      </w:r>
      <w:r w:rsidR="000F554F">
        <w:rPr>
          <w:rFonts w:ascii="Times New Roman" w:hAnsi="Times New Roman" w:cs="Times New Roman"/>
          <w:i/>
          <w:sz w:val="24"/>
          <w:szCs w:val="24"/>
        </w:rPr>
        <w:t>daf16</w:t>
      </w:r>
      <w:r w:rsidR="000F554F">
        <w:rPr>
          <w:rFonts w:ascii="Times New Roman" w:hAnsi="Times New Roman" w:cs="Times New Roman"/>
          <w:sz w:val="24"/>
          <w:szCs w:val="24"/>
        </w:rPr>
        <w:t>, whic</w:t>
      </w:r>
      <w:r w:rsidR="003B00A0">
        <w:rPr>
          <w:rFonts w:ascii="Times New Roman" w:hAnsi="Times New Roman" w:cs="Times New Roman"/>
          <w:sz w:val="24"/>
          <w:szCs w:val="24"/>
        </w:rPr>
        <w:t>h is an ortholog of FoxO</w:t>
      </w:r>
      <w:r w:rsidR="000A3FFB">
        <w:rPr>
          <w:rFonts w:ascii="Times New Roman" w:hAnsi="Times New Roman" w:cs="Times New Roman"/>
          <w:sz w:val="24"/>
          <w:szCs w:val="24"/>
        </w:rPr>
        <w:t>, cause</w:t>
      </w:r>
      <w:r w:rsidR="000F554F">
        <w:rPr>
          <w:rFonts w:ascii="Times New Roman" w:hAnsi="Times New Roman" w:cs="Times New Roman"/>
          <w:sz w:val="24"/>
          <w:szCs w:val="24"/>
        </w:rPr>
        <w:t xml:space="preserve"> an increase</w:t>
      </w:r>
      <w:r w:rsidR="000A3FFB">
        <w:rPr>
          <w:rFonts w:ascii="Times New Roman" w:hAnsi="Times New Roman" w:cs="Times New Roman"/>
          <w:sz w:val="24"/>
          <w:szCs w:val="24"/>
        </w:rPr>
        <w:t xml:space="preserve"> in stress resistance and exten</w:t>
      </w:r>
      <w:r w:rsidR="000F554F">
        <w:rPr>
          <w:rFonts w:ascii="Times New Roman" w:hAnsi="Times New Roman" w:cs="Times New Roman"/>
          <w:sz w:val="24"/>
          <w:szCs w:val="24"/>
        </w:rPr>
        <w:t>s</w:t>
      </w:r>
      <w:r w:rsidR="000A3FFB">
        <w:rPr>
          <w:rFonts w:ascii="Times New Roman" w:hAnsi="Times New Roman" w:cs="Times New Roman"/>
          <w:sz w:val="24"/>
          <w:szCs w:val="24"/>
        </w:rPr>
        <w:t>ion of</w:t>
      </w:r>
      <w:r w:rsidR="000F554F">
        <w:rPr>
          <w:rFonts w:ascii="Times New Roman" w:hAnsi="Times New Roman" w:cs="Times New Roman"/>
          <w:sz w:val="24"/>
          <w:szCs w:val="24"/>
        </w:rPr>
        <w:t xml:space="preserve"> lifespan </w:t>
      </w:r>
      <w:r w:rsidR="00913809">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"10.1016/j.tem.2005.03.010", "ISSN" : "1043-2760", "PMID" : "15860415", "abstract" : "There is increasing evidence that Forkhead box 'Other' (FoxO) proteins, a subgroup of the Forkhead transcription factor family, have an important role in mediating the effects of insulin and growth factors on diverse physiological functions, including cell proliferation, apoptosis and metabolism. Genetic studies in Caenorhabditis (Caenorhabditis elegans) and Drosophila demonstrate that FoxO proteins are ancient targets of insulin-like signaling involved in the regulation of metabolism and longevity. Studies in mammalian cells reveal that FoxO proteins regulate cell cycle progression and promote resistance to oxidative stress; both in vivo and cell culture studies support the concept that FoxO proteins have an important role in mediating the effects of insulin on metabolism, including its effects on hepatic glucose production. Phosphorylation and acetylation modulate FoxO function and control nuclear-cytoplasmic shuttling, DNA binding and protein-protein interactions. FoxO transcription factors exert positive and negative effects on gene expression, through direct binding to DNA target sites and protein-protein interactions with other transcription factors and coactivators. This paper provides an overview of studies leading to the identification of FoxO proteins as targets of insulin action and the mechanisms mediating the effects of insulin-like signaling on FoxO function, emphasizing the role of FoxO proteins in mediating the effects of insulin on metabolism.", "author" : [ { "dropping-particle" : "", "family" : "Barthel", "given" : "Andreas", "non-dropping-particle" : "", "parse-names" : false, "suffix" : "" }, { "dropping-particle" : "", "family" : "Schmoll", "given" : "Dieter", "non-dropping-particle" : "", "parse-names" : false, "suffix" : "" }, { "dropping-particle" : "", "family" : "Unterman", "given" : "Terry G", "non-dropping-particle" : "", "parse-names" : false, "suffix" : "" } ], "container-title" : "Trends in endocrinology and metabolism: TEM", "id" : "ITEM-1", "issue" : "4", "issued" : { "date-parts" : [ [ "2005", "1" ] ] }, "page" : "183-9", "title" : "FoxO proteins in insulin action and metabolism.", "type" : "article-journal", "volume" : "16" }, "uris" : [ "http://www.mendeley.com/documents/?uuid=60d520f7-b233-461e-bf76-59dd073e5476" ] } ], "mendeley" : { "formattedCitation" : "(Barthel et al. 2005)", "plainTextFormattedCitation" : "(Barthel et al. 2005)", "previouslyFormattedCitation" : "(Barthel et al. 2005)" }, "properties" : { "noteIndex" : 0 }, "schema" : "https://github.com/citation-style-language/schema/raw/master/csl-citation.json" }</w:instrText>
      </w:r>
      <w:r w:rsidR="00913809">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(Barthel et al. 2005)</w:t>
      </w:r>
      <w:r w:rsidR="00913809">
        <w:rPr>
          <w:rFonts w:ascii="Times New Roman" w:hAnsi="Times New Roman" w:cs="Times New Roman"/>
          <w:color w:val="auto"/>
          <w:sz w:val="24"/>
          <w:szCs w:val="24"/>
        </w:rPr>
        <w:fldChar w:fldCharType="end"/>
      </w:r>
      <w:r w:rsidR="00913809">
        <w:rPr>
          <w:rFonts w:ascii="Times New Roman" w:hAnsi="Times New Roman" w:cs="Times New Roman"/>
          <w:color w:val="auto"/>
          <w:sz w:val="24"/>
          <w:szCs w:val="24"/>
        </w:rPr>
        <w:t xml:space="preserve">. </w:t>
      </w:r>
      <w:r w:rsidR="00966AB6">
        <w:rPr>
          <w:rFonts w:ascii="Times New Roman" w:hAnsi="Times New Roman" w:cs="Times New Roman"/>
          <w:sz w:val="24"/>
          <w:szCs w:val="24"/>
        </w:rPr>
        <w:t>Akt also modulates</w:t>
      </w:r>
      <w:r w:rsidR="001B516C">
        <w:rPr>
          <w:rFonts w:ascii="Times New Roman" w:hAnsi="Times New Roman" w:cs="Times New Roman"/>
          <w:sz w:val="24"/>
          <w:szCs w:val="24"/>
        </w:rPr>
        <w:t xml:space="preserve"> mTOR</w:t>
      </w:r>
      <w:r w:rsidR="00966AB6">
        <w:rPr>
          <w:rFonts w:ascii="Times New Roman" w:hAnsi="Times New Roman" w:cs="Times New Roman"/>
          <w:sz w:val="24"/>
          <w:szCs w:val="24"/>
        </w:rPr>
        <w:t>, of which there are two forms: mTOR1 and mTOR2. mTOR1 will activate p70S6K to regulate protein synthesis, whilst mTOR2 can activate several kinases (one of which is Akt) that affect cell migration and proliferation. In addition Akt is responsible for regulating cell cycle through activation of cAMP responsive</w:t>
      </w:r>
      <w:r w:rsidR="00E2481E">
        <w:rPr>
          <w:rFonts w:ascii="Times New Roman" w:hAnsi="Times New Roman" w:cs="Times New Roman"/>
          <w:sz w:val="24"/>
          <w:szCs w:val="24"/>
        </w:rPr>
        <w:t xml:space="preserve"> element binding protein (CREB),</w:t>
      </w:r>
      <w:r w:rsidR="009030B1">
        <w:rPr>
          <w:rFonts w:ascii="Times New Roman" w:hAnsi="Times New Roman" w:cs="Times New Roman"/>
          <w:sz w:val="24"/>
          <w:szCs w:val="24"/>
        </w:rPr>
        <w:t xml:space="preserve"> is</w:t>
      </w:r>
      <w:r w:rsidR="00E2481E">
        <w:rPr>
          <w:rFonts w:ascii="Times New Roman" w:hAnsi="Times New Roman" w:cs="Times New Roman"/>
          <w:sz w:val="24"/>
          <w:szCs w:val="24"/>
        </w:rPr>
        <w:t xml:space="preserve"> </w:t>
      </w:r>
      <w:r w:rsidR="00966AB6">
        <w:rPr>
          <w:rFonts w:ascii="Times New Roman" w:hAnsi="Times New Roman" w:cs="Times New Roman"/>
          <w:sz w:val="24"/>
          <w:szCs w:val="24"/>
        </w:rPr>
        <w:t>involved in translocation of glucose transporters to the plasma membrane</w:t>
      </w:r>
      <w:r w:rsidR="00E2481E">
        <w:rPr>
          <w:rFonts w:ascii="Times New Roman" w:hAnsi="Times New Roman" w:cs="Times New Roman"/>
          <w:sz w:val="24"/>
          <w:szCs w:val="24"/>
        </w:rPr>
        <w:t xml:space="preserve"> and </w:t>
      </w:r>
      <w:r w:rsidR="00E40214">
        <w:rPr>
          <w:rFonts w:ascii="Times New Roman" w:hAnsi="Times New Roman" w:cs="Times New Roman"/>
          <w:sz w:val="24"/>
          <w:szCs w:val="24"/>
        </w:rPr>
        <w:t xml:space="preserve">controls glycogen production through inactivation of </w:t>
      </w:r>
      <w:r w:rsidR="00E2481E">
        <w:rPr>
          <w:rFonts w:ascii="Times New Roman" w:hAnsi="Times New Roman" w:cs="Times New Roman"/>
          <w:sz w:val="24"/>
          <w:szCs w:val="24"/>
        </w:rPr>
        <w:t xml:space="preserve">glycogen synthase kinase </w:t>
      </w:r>
      <w:r w:rsidR="00971A10">
        <w:rPr>
          <w:rFonts w:ascii="Times New Roman" w:hAnsi="Times New Roman" w:cs="Times New Roman"/>
          <w:sz w:val="24"/>
          <w:szCs w:val="24"/>
        </w:rPr>
        <w:t>βeta (GS</w:t>
      </w:r>
      <w:r w:rsidR="00E40214">
        <w:rPr>
          <w:rFonts w:ascii="Times New Roman" w:hAnsi="Times New Roman" w:cs="Times New Roman"/>
          <w:sz w:val="24"/>
          <w:szCs w:val="24"/>
        </w:rPr>
        <w:t>Kβ)</w:t>
      </w:r>
      <w:r w:rsidR="00966AB6">
        <w:rPr>
          <w:rFonts w:ascii="Times New Roman" w:hAnsi="Times New Roman" w:cs="Times New Roman"/>
          <w:sz w:val="24"/>
          <w:szCs w:val="24"/>
        </w:rPr>
        <w:t xml:space="preserve">. </w:t>
      </w:r>
      <w:r w:rsidR="00E2481E">
        <w:rPr>
          <w:rFonts w:ascii="Times New Roman" w:hAnsi="Times New Roman" w:cs="Times New Roman"/>
          <w:sz w:val="24"/>
          <w:szCs w:val="24"/>
        </w:rPr>
        <w:t>Insulin/IGF1 signalling</w:t>
      </w:r>
      <w:r w:rsidR="00982ACD">
        <w:rPr>
          <w:rFonts w:ascii="Times New Roman" w:hAnsi="Times New Roman" w:cs="Times New Roman"/>
          <w:sz w:val="24"/>
          <w:szCs w:val="24"/>
        </w:rPr>
        <w:t xml:space="preserve"> also trigger</w:t>
      </w:r>
      <w:r w:rsidR="00E2481E">
        <w:rPr>
          <w:rFonts w:ascii="Times New Roman" w:hAnsi="Times New Roman" w:cs="Times New Roman"/>
          <w:sz w:val="24"/>
          <w:szCs w:val="24"/>
        </w:rPr>
        <w:t>s</w:t>
      </w:r>
      <w:r w:rsidR="00982ACD">
        <w:rPr>
          <w:rFonts w:ascii="Times New Roman" w:hAnsi="Times New Roman" w:cs="Times New Roman"/>
          <w:sz w:val="24"/>
          <w:szCs w:val="24"/>
        </w:rPr>
        <w:t xml:space="preserve"> activation of Son of sevenless (SOS) and as a result downstream signalling through ERK</w:t>
      </w:r>
      <w:r w:rsidR="00B6409F">
        <w:rPr>
          <w:rFonts w:ascii="Times New Roman" w:hAnsi="Times New Roman" w:cs="Times New Roman"/>
          <w:sz w:val="24"/>
          <w:szCs w:val="24"/>
        </w:rPr>
        <w:t xml:space="preserve"> </w:t>
      </w:r>
      <w:r w:rsidR="00B6409F" w:rsidRPr="00EF2AF4">
        <w:rPr>
          <w:rFonts w:ascii="Times New Roman" w:hAnsi="Times New Roman" w:cs="Times New Roman"/>
          <w:sz w:val="24"/>
          <w:szCs w:val="24"/>
        </w:rPr>
        <w:t>(extra-cellular regulated kinase)</w:t>
      </w:r>
      <w:r w:rsidR="00B83E66">
        <w:rPr>
          <w:rFonts w:ascii="Times New Roman" w:hAnsi="Times New Roman" w:cs="Times New Roman"/>
          <w:sz w:val="24"/>
          <w:szCs w:val="24"/>
        </w:rPr>
        <w:t>, otherwise known as MAPK P44/42</w:t>
      </w:r>
      <w:r w:rsidR="00982ACD">
        <w:rPr>
          <w:rFonts w:ascii="Times New Roman" w:hAnsi="Times New Roman" w:cs="Times New Roman"/>
          <w:sz w:val="24"/>
          <w:szCs w:val="24"/>
        </w:rPr>
        <w:t xml:space="preserve">. </w:t>
      </w:r>
      <w:r w:rsidRPr="00EF2AF4">
        <w:rPr>
          <w:rFonts w:ascii="Times New Roman" w:hAnsi="Times New Roman" w:cs="Times New Roman"/>
          <w:sz w:val="24"/>
          <w:szCs w:val="24"/>
        </w:rPr>
        <w:t xml:space="preserve">Signalling via the MAPK pathway is responsible for long-term memory storage in the brain </w:t>
      </w:r>
      <w:r>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"10.1016/S0303-7207(01)00455-5", "ISSN" : "03037207", "abstract" : "As one of the most extensively studied protein hormones, insulin and its receptor have been known to play key roles in a variety of important biological functions. Until recent years, the functions of insulin and insulin receptor (IR) in the central nervous system (CNS) have largely remained unclear. IR is abundantly expressed in several specific brain regions that govern fundamental behaviors such as food intake, reproduction and high cognition. The IR from the periphery and CNS exhibit differences in both structure and function. In addition to that from the peripheral system, locally synthesized insulin in the brain has also been identified. Accumulated evidence has demonstrated that insulin/IR plays important roles in associative learning, as suggested by results from both interventive and correlative studies. Interruption of insulin production and IR activity causes deficits in learning and memory formation. Abnormal insulin/IR levels and activities are seen in Alzheimer's dementia, whereas administration of insulin significantly improves the cognitive performance of these patients. The synaptic bases for the action of insulin/IR include modifying neurotransmitter release processes at various types of presynaptic terminals and modulating the activities of both excitatory and inhibitory postsynaptic receptors such as NMDA and GABA receptors, respectively. At the molecular level, insulin/IR participates in regulation of learning and memory via activation of specific signaling pathways, one of which is shown to be associated with the formation of long-term memory and is composed of intracellular molecules including the shc, Grb-r/SOS, Ras/Raf, and MEK/MAP kinases. Cross-talk with another IR pathway involving IRS1, PI3 kinase, and protein kinase C, as well as with the non-receptor tyrosine kinase pp60c-src, may also be associated with memory processing.", "author" : [ { "dropping-particle" : "", "family" : "Zhao", "given" : "Wei-Qin", "non-dropping-particle" : "", "parse-names" : false, "suffix" : "" }, { "dropping-particle" : "", "family" : "Alkon", "given" : "Daniel L", "non-dropping-particle" : "", "parse-names" : false, "suffix" : "" } ], "container-title" : "Molecular and Cellular Endocrinology", "id" : "ITEM-1", "issue" : "1-2", "issued" : { "date-parts" : [ [ "2001", "5" ] ] }, "page" : "125-134", "title" : "Role of insulin and insulin receptor in learning and memory", "type" : "article-journal", "volume" : "177" }, "uris" : [ "http://www.mendeley.com/documents/?uuid=84abad90-cd2d-43e1-affa-358c9a37debc" ] } ], "mendeley" : { "formattedCitation" : "(Zhao &amp; Alkon 2001)", "plainTextFormattedCitation" : "(Zhao &amp; Alkon 2001)", "previouslyFormattedCitation" : "(Zhao &amp; Alkon 2001)" }, "properties" : { "noteIndex" : 0 }, "schema" : "https://github.com/citation-style-language/schema/raw/master/csl-citation.json" }</w:instrText>
      </w:r>
      <w:r>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(Zhao &amp; Alkon 2001)</w:t>
      </w:r>
      <w:r>
        <w:rPr>
          <w:rFonts w:ascii="Times New Roman" w:hAnsi="Times New Roman" w:cs="Times New Roman"/>
          <w:sz w:val="24"/>
          <w:szCs w:val="24"/>
        </w:rPr>
        <w:fldChar w:fldCharType="end"/>
      </w:r>
      <w:r>
        <w:rPr>
          <w:rFonts w:ascii="Times New Roman" w:hAnsi="Times New Roman" w:cs="Times New Roman"/>
          <w:sz w:val="24"/>
          <w:szCs w:val="24"/>
        </w:rPr>
        <w:t>.</w:t>
      </w:r>
      <w:r w:rsidR="00384CFD">
        <w:rPr>
          <w:rFonts w:ascii="Times New Roman" w:hAnsi="Times New Roman" w:cs="Times New Roman"/>
          <w:sz w:val="24"/>
          <w:szCs w:val="24"/>
        </w:rPr>
        <w:t xml:space="preserve"> </w:t>
      </w:r>
    </w:p>
    <w:p w14:paraId="3950763F" w14:textId="77777777" w:rsidR="00233453" w:rsidRDefault="00233453" w:rsidP="009F76F6">
      <w:pPr>
        <w:pStyle w:val="Body"/>
        <w:spacing w:line="240" w:lineRule="auto"/>
        <w:jc w:val="both"/>
        <w:rPr>
          <w:rFonts w:ascii="Times New Roman" w:hAnsi="Times New Roman" w:cs="Times New Roman"/>
          <w:b/>
          <w:i/>
          <w:sz w:val="24"/>
          <w:szCs w:val="24"/>
          <w:u w:val="single"/>
        </w:rPr>
      </w:pPr>
    </w:p>
    <w:p w14:paraId="1DB62314" w14:textId="77777777" w:rsidR="009F76F6" w:rsidRDefault="00EE5D50" w:rsidP="009F76F6">
      <w:pPr>
        <w:pStyle w:val="Body"/>
        <w:spacing w:line="240" w:lineRule="auto"/>
        <w:jc w:val="both"/>
        <w:rPr>
          <w:rFonts w:ascii="Times New Roman" w:hAnsi="Times New Roman" w:cs="Times New Roman"/>
          <w:b/>
          <w:i/>
          <w:sz w:val="24"/>
          <w:szCs w:val="24"/>
          <w:u w:val="single"/>
        </w:rPr>
      </w:pPr>
      <w:r>
        <w:rPr>
          <w:rFonts w:ascii="Times New Roman" w:hAnsi="Times New Roman" w:cs="Times New Roman"/>
          <w:b/>
          <w:i/>
          <w:sz w:val="24"/>
          <w:szCs w:val="24"/>
          <w:u w:val="single"/>
        </w:rPr>
        <w:t>Insulin/IGF1 signalling and ROS</w:t>
      </w:r>
    </w:p>
    <w:p w14:paraId="1822296F" w14:textId="61C664E0" w:rsidR="00254375" w:rsidRPr="009F76F6" w:rsidRDefault="00176A4A" w:rsidP="00E81753">
      <w:pPr>
        <w:pStyle w:val="Body"/>
        <w:spacing w:line="360" w:lineRule="auto"/>
        <w:jc w:val="both"/>
        <w:rPr>
          <w:rFonts w:ascii="Times New Roman" w:hAnsi="Times New Roman" w:cs="Times New Roman"/>
          <w:b/>
          <w:i/>
          <w:sz w:val="24"/>
          <w:szCs w:val="24"/>
          <w:u w:val="single"/>
        </w:rPr>
      </w:pPr>
      <w:r>
        <w:rPr>
          <w:rFonts w:ascii="Times New Roman" w:hAnsi="Times New Roman" w:cs="Times New Roman"/>
          <w:sz w:val="24"/>
          <w:szCs w:val="24"/>
        </w:rPr>
        <w:t>The insulin/IGF1 signalling pathway is a redox-sensitive pathway and its activity is regulated according to the redox balance maintained within the cell</w:t>
      </w:r>
      <w:r w:rsidR="001D3941">
        <w:rPr>
          <w:rFonts w:ascii="Times New Roman" w:hAnsi="Times New Roman" w:cs="Times New Roman"/>
          <w:sz w:val="24"/>
          <w:szCs w:val="24"/>
        </w:rPr>
        <w:t xml:space="preserve"> </w:t>
      </w:r>
      <w:r w:rsidR="001D3941">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"10.1016/j.tem.2011.12.008", "ISSN" : "1879-3061", "PMID" : "22305519", "abstract" : "Chronic overnutrition and physical inactivity are major risk factors for insulin resistance and type 2 diabetes. Recent research indicates that overnutrition generates an increase in hydrogen peroxide (H(2)O(2)) emission from mitochondria, serving as a release valve to relieve the reducing pressure created by fuel overload, as well as a primary signal that ultimately decreases insulin sensitivity. H(2)O(2) is a major input to cellular redox circuits that link to cysteine residues throughout the entire proteome to regulate cell function. Here we review the principles of mitochondrial bioenergetics and redox systems biology and offer new insight into how H(2)O(2) emission may be linked via redox biology to the etiology of insulin resistance.", "author" : [ { "dropping-particle" : "", "family" : "Fisher-Wellman", "given" : "Kelsey H", "non-dropping-particle" : "", "parse-names" : false, "suffix" : "" }, { "dropping-particle" : "", "family" : "Neufer", "given" : "P Darrell", "non-dropping-particle" : "", "parse-names" : false, "suffix" : "" }, { "dropping-particle" : "", "family" : "Lowell", "given" : "B.B.", "non-dropping-particle" : "", "parse-names" : false, "suffix" : "" }, { "dropping-particle" : "", "family" : "Shulman", "given" : "G.I.", "non-dropping-particle" : "", "parse-names" : false, "suffix" : "" }, { "dropping-particle" : "", "family" : "Mitchell", "given" : "P.", "non-dropping-particle" : "", "parse-names" : false, "suffix" : "" }, { "dropping-particle" : "", "family" : "Korshunov", "given" : "S.S.", "non-dropping-particle" : "", "parse-names" : false, "suffix" : "" }, { "dropping-particle" : "", "family" : "al.", "given" : "et", "non-dropping-particle" : "", "parse-names" : false, "suffix" : "" }, { "dropping-particle" : "", "family" : "Liu", "given" : "S.S.", "non-dropping-particle" : "", "parse-names" : false, "suffix" : "" }, { "dropping-particle" : "", "family" : "Liu", "given" : "S.S.", "non-dropping-particle" : "", "parse-names" : false, "suffix" : "" }, { "dropping-particle" : "", "family" : "Brownlee", "given" : "M.", "non-dropping-particle" : "", "parse-names" : false, "suffix" : "" }, { "dropping-particle" : "", "family" : "Evans", "given" : "J.L.", "non-dropping-particle" : "", "parse-names" : false, "suffix" : "" }, { "dropping-particle" : "", "family" : "al.", "given" : "et", "non-dropping-particle" : "", "parse-names" : false, "suffix" : "" }, { "dropping-particle" : "", "family" : "Evans", "given" : "J.L.", "non-dropping-particle" : "", "parse-names" : false, "suffix" : "" }, { "dropping-particle" : "", "family" : "al.", "given" : "et", "non-dropping-particle" : "", "parse-names" : false, "suffix" : "" }, { "dropping-particle" : "", "family" : "Houstis", "given" : "N.", "non-dropping-particle" : "", "parse-names" : false, "suffix" : "" }, { "dropping-particle" : "", "family" : "al.", "given" : "et", "non-dropping-particle" : "", "parse-names" : false, "suffix" : "" }, { "dropping-particle" : "", "family" : "Anderson", "given" : "E.J.", "non-dropping-particle" : "", "parse-names" : false, "suffix" : "" }, { "dropping-particle" : "", "family" : "al.", "given" : "et", "non-dropping-particle" : "", "parse-names" : false, "suffix" : "" }, { "dropping-particle" : "", "family" : "Chen", "given" : "L.", "non-dropping-particle" : "", "parse-names" : false, "suffix" : "" }, { "dropping-particle" : "", "family" : "al.", "given" : "et", "non-dropping-particle" : "", "parse-names" : false, "suffix" : "" }, { "dropping-particle" : "", "family" : "Hoehn", "given" : "K.L.", "non-dropping-particle" : "", "parse-names" : false, "suffix" : "" }, { "dropping-particle" : "", "family" : "al.", "given" : "et", "non-dropping-particle" : "", "parse-names" : false, "suffix" : "" }, { "dropping-particle" : "", "family" : "Lee", "given" : "H.-Y.", "non-dropping-particle" : "", "parse-names" : false, "suffix" : "" }, { "dropping-particle" : "", "family" : "al.", "given" : "et", "non-dropping-particle" : "", "parse-names" : false, "suffix" : "" }, { "dropping-particle" : "", "family" : "Nakamura", "given" : "S.", "non-dropping-particle" : "", "parse-names" : false, "suffix" : "" }, { "dropping-particle" : "", "family" : "al.", "given" : "et", "non-dropping-particle" : "", "parse-names" : false, "suffix" : "" }, { "dropping-particle" : "", "family" : "Batinic-Haberle", "given" : "I.", "non-dropping-particle" : "", "parse-names" : false, "suffix" : "" }, { "dropping-particle" : "", "family" : "al.", "given" : "et", "non-dropping-particle" : "", "parse-names" : false, "suffix" : "" }, { "dropping-particle" : "", "family" : "Buettner", "given" : "G.R.", "non-dropping-particle" : "", "parse-names" : false, "suffix" : "" }, { "dropping-particle" : "", "family" : "al.", "given" : "et", "non-dropping-particle" : "", "parse-names" : false, "suffix" : "" }, { "dropping-particle" : "", "family" : "Kowald", "given" : "A.", "non-dropping-particle" : "", "parse-names" : false, "suffix" : "" }, { "dropping-particle" : "", "family" : "Klipp", "given" : "E.", "non-dropping-particle" : "", "parse-names" : false, "suffix" : "" }, { "dropping-particle" : "", "family" : "Gardner", "given" : "R.", "non-dropping-particle" : "", "parse-names" : false, "suffix" : "" }, { "dropping-particle" : "", "family" : "al.", "given" : "et", "non-dropping-particle" : "", "parse-names" : false, "suffix" : "" }, { "dropping-particle" : "", "family" : "Winterbourn", "given" : "C.C.", "non-dropping-particle" : "", "parse-names" : false, "suffix" : "" }, { "dropping-particle" : "", "family" : "Metodiewa", "given" : "D.", "non-dropping-particle" : "", "parse-names" : false, "suffix" : "" }, { "dropping-particle" : "", "family" : "Forman", "given" : "H.J.", "non-dropping-particle" : "", "parse-names" : false, "suffix" : "" }, { "dropping-particle" : "", "family" : "Fridovich", "given" : "I.", "non-dropping-particle" : "", "parse-names" : false, "suffix" : "" }, { "dropping-particle" : "", "family" : "Forman", "given" : "H.J.", "non-dropping-particle" : "", "parse-names" : false, "suffix" : "" }, { "dropping-particle" : "", "family" : "al.", "given" : "et", "non-dropping-particle" : "", "parse-names" : false, "suffix" : "" }, { "dropping-particle" : "", "family" : "Jones", "given" : "D.P.", "non-dropping-particle" : "", "parse-names" : false, "suffix" : "" }, { "dropping-particle" : "", "family" : "Robinson", "given" : "K.A.", "non-dropping-particle" : "", "parse-names" : false, "suffix" : "" }, { "dropping-particle" : "", "family" : "Buse", "given" : "M.G.", "non-dropping-particle" : "", "parse-names" : false, "suffix" : "" }, { "dropping-particle" : "", "family" : "Schafer", "given" : "F.Q.", "non-dropping-particle" : "", "parse-names" : false, "suffix" : "" }, { "dropping-particle" : "", "family" : "Buettner", "given" : "G.R.", "non-dropping-particle" : "", "parse-names" : false, "suffix" : "" }, { "dropping-particle" : "", "family" : "Anderson", "given" : "E.J.", "non-dropping-particle" : "", "parse-names" : false, "suffix" : "" }, { "dropping-particle" : "", "family" : "al.", "given" : "et", "non-dropping-particle" : "", "parse-names" : false, "suffix" : "" }, { "dropping-particle" : "", "family" : "Seifert", "given" : "E.L.", "non-dropping-particle" : "", "parse-names" : false, "suffix" : "" }, { "dropping-particle" : "", "family" : "al.", "given" : "et", "non-dropping-particle" : "", "parse-names" : false, "suffix" : "" }, { "dropping-particle" : "", "family" : "St-Pierre", "given" : "J.", "non-dropping-particle" : "", "parse-names" : false, "suffix" : "" }, { "dropping-particle" : "", "family" : "al.", "given" : "et", "non-dropping-particle" : "", "parse-names" : false, "suffix" : "" }, { "dropping-particle" : "", "family" : "Szeto", "given" : "H.H.", "non-dropping-particle" : "", "parse-names" : false, "suffix" : "" }, { "dropping-particle" : "", "family" : "Zhao", "given" : "K.", "non-dropping-particle" : "", "parse-names" : false, "suffix" : "" }, { "dropping-particle" : "", "family" : "al.", "given" : "et", "non-dropping-particle" : "", "parse-names" : false, "suffix" : "" }, { "dropping-particle" : "", "family" : "Schriner", "given" : "S.E.", "non-dropping-particle" : "", "parse-names" : false, "suffix" : "" }, { "dropping-particle" : "", "family" : "al.", "given" : "et", "non-dropping-particle" : "", "parse-names" : false, "suffix" : "" }, { "dropping-particle" : "", "family" : "Phung", "given" : "C.D.", "non-dropping-particle" : "", "parse-names" : false, "suffix" : "" }, { "dropping-particle" : "", "family" : "al.", "given" : "et", "non-dropping-particle" : "", "parse-names" : false, "suffix" : "" }, { "dropping-particle" : "", "family" : "Kudin", "given" : "A.P.", "non-dropping-particle" : "", "parse-names" : false, "suffix" : "" }, { "dropping-particle" : "", "family" : "al.", "given" : "et", "non-dropping-particle" : "", "parse-names" : false, "suffix" : "" }, { "dropping-particle" : "", "family" : "Chiarugi", "given" : "P.", "non-dropping-particle" : "", "parse-names" : false, "suffix" : "" }, { "dropping-particle" : "", "family" : "Tonks", "given" : "N.K.", "non-dropping-particle" : "", "parse-names" : false, "suffix" : "" }, { "dropping-particle" : "", "family" : "Foley", "given" : "T.D.", "non-dropping-particle" : "", "parse-names" : false, "suffix" : "" }, { "dropping-particle" : "", "family" : "al.", "given" : "et", "non-dropping-particle" : "", "parse-names" : false, "suffix" : "" }, { "dropping-particle" : "", "family" : "Wright", "given" : "V.P.", "non-dropping-particle" : "", "parse-names" : false, "suffix" : "" }, { "dropping-particle" : "", "family" : "al.", "given" : "et", "non-dropping-particle" : "", "parse-names" : false, "suffix" : "" }, { "dropping-particle" : "", "family" : "Barford", "given" : "D.", "non-dropping-particle" : "", "parse-names" : false, "suffix" : "" }, { "dropping-particle" : "", "family" : "al.", "given" : "et", "non-dropping-particle" : "", "parse-names" : false, "suffix" : "" }, { "dropping-particle" : "", "family" : "Fetrow", "given" : "J.S.", "non-dropping-particle" : "", "parse-names" : false, "suffix" : "" }, { "dropping-particle" : "", "family" : "al.", "given" : "et", "non-dropping-particle" : "", "parse-names" : false, "suffix" : "" }, { "dropping-particle" : "", "family" : "Maher", "given" : "P.", "non-dropping-particle" : "", "parse-names" : false, "suffix" : "" }, { "dropping-particle" : "", "family" : "Dasgupta", "given" : "J.", "non-dropping-particle" : "", "parse-names" : false, "suffix" : "" }, { "dropping-particle" : "", "family" : "al.", "given" : "et", "non-dropping-particle" : "", "parse-names" : false, "suffix" : "" }, { "dropping-particle" : "", "family" : "Covey", "given" : "T.M.", "non-dropping-particle" : "", "parse-names" : false, "suffix" : "" }, { "dropping-particle" : "", "family" : "al.", "given" : "et", "non-dropping-particle" : "", "parse-names" : false, "suffix" : "" }, { "dropping-particle" : "", "family" : "Lu", "given" : "G.", "non-dropping-particle" : "", "parse-names" : false, "suffix" : "" }, { "dropping-particle" : "", "family" : "al.", "given" : "et", "non-dropping-particle" : "", "parse-names" : false, "suffix" : "" }, { "dropping-particle" : "", "family" : "Lee", "given" : "J.E.", "non-dropping-particle" : "", "parse-names" : false, "suffix" : "" }, { "dropping-particle" : "", "family" : "al.", "given" : "et", "non-dropping-particle" : "", "parse-names" : false, "suffix" : "" }, { "dropping-particle" : "", "family" : "Bashan", "given" : "N.", "non-dropping-particle" : "", "parse-names" : false, "suffix" : "" }, { "dropping-particle" : "", "family" : "al.", "given" : "et", "non-dropping-particle" : "", "parse-names" : false, "suffix" : "" }, { "dropping-particle" : "", "family" : "Loh", "given" : "K.", "non-dropping-particle" : "", "parse-names" : false, "suffix" : "" }, { "dropping-particle" : "", "family" : "al.", "given" : "et", "non-dropping-particle" : "", "parse-names" : false, "suffix" : "" }, { "dropping-particle" : "", "family" : "Tiganis", "given" : "T.", "non-dropping-particle" : "", "parse-names" : false, "suffix" : "" }, { "dropping-particle" : "", "family" : "Thong", "given" : "F.S.", "non-dropping-particle" : "", "parse-names" : false, "suffix" : "" }, { "dropping-particle" : "", "family" : "al.", "given" : "et", "non-dropping-particle" : "", "parse-names" : false, "suffix" : "" }, { "dropping-particle" : "", "family" : "Goldstein", "given" : "B.", "non-dropping-particle" : "", "parse-names" : false, "suffix" : "" }, { "dropping-particle" : "", "family" : "al.", "given" : "et", "non-dropping-particle" : "", "parse-names" : false, "suffix" : "" }, { "dropping-particle" : "", "family" : "Szypowska", "given" : "A.A.", "non-dropping-particle" : "", "parse-names" : false, "suffix" : "" }, { "dropping-particle" : "", "family" : "Burgering", "given" : "B.M.", "non-dropping-particle" : "", "parse-names" : false, "suffix" : "" }, { "dropping-particle" : "", "family" : "Goldstein", "given" : "B.J.", "non-dropping-particle" : "", "parse-names" : false, "suffix" : "" }, { "dropping-particle" : "", "family" : "al.", "given" : "et", "non-dropping-particle" : "", "parse-names" : false, "suffix" : "" }, { "dropping-particle" : "", "family" : "Mahadev", "given" : "K.", "non-dropping-particle" : "", "parse-names" : false, "suffix" : "" }, { "dropping-particle" : "", "family" : "al.", "given" : "et", "non-dropping-particle" : "", "parse-names" : false, "suffix" : "" }, { "dropping-particle" : "", "family" : "Espinosa", "given" : "A.", "non-dropping-particle" : "", "parse-names" : false, "suffix" : "" }, { "dropping-particle" : "", "family" : "al.", "given" : "et", "non-dropping-particle" : "", "parse-names" : false, "suffix" : "" }, { "dropping-particle" : "", "family" : "Chen", "given" : "K.", "non-dropping-particle" : "", "parse-names" : false, "suffix" : "" }, { "dropping-particle" : "", "family" : "al.", "given" : "et", "non-dropping-particle" : "", "parse-names" : false, "suffix" : "" }, { "dropping-particle" : "", "family" : "Ushio-Fukai", "given" : "M.", "non-dropping-particle" : "", "parse-names" : false, "suffix" : "" }, { "dropping-particle" : "", "family" : "Bedard", "given" : "K.", "non-dropping-particle" : "", "parse-names" : false, "suffix" : "" }, { "dropping-particle" : "", "family" : "Krause", "given" : "K.-H.", "non-dropping-particle" : "", "parse-names" : false, "suffix" : "" }, { "dropping-particle" : "", "family" : "Leto", "given" : "T.L.", "non-dropping-particle" : "", "parse-names" : false, "suffix" : "" }, { "dropping-particle" : "", "family" : "al.", "given" : "et", "non-dropping-particle" : "", "parse-names" : false, "suffix" : "" }, { "dropping-particle" : "", "family" : "Miller", "given" : "E.W.", "non-dropping-particle" : "", "parse-names" : false, "suffix" : "" }, { "dropping-particle" : "", "family" : "al.", "given" : "et", "non-dropping-particle" : "", "parse-names" : false, "suffix" : "" }, { "dropping-particle" : "", "family" : "Espinosa", "given" : "A.", "non-dropping-particle" : "", "parse-names" : false, "suffix" : "" }, { "dropping-particle" : "", "family" : "al.", "given" : "et", "non-dropping-particle" : "", "parse-names" : false, "suffix" : "" }, { "dropping-particle" : "", "family" : "Woo", "given" : "H.A", "non-dropping-particle" : "", "parse-names" : false, "suffix" : "" }, { "dropping-particle" : "", "family" : "al.", "given" : "et", "non-dropping-particle" : "", "parse-names" : false, "suffix" : "" }, { "dropping-particle" : "", "family" : "Boura-Halfon", "given" : "S.", "non-dropping-particle" : "", "parse-names" : false, "suffix" : "" }, { "dropping-particle" : "", "family" : "Zick", "given" : "Y.", "non-dropping-particle" : "", "parse-names" : false, "suffix" : "" }, { "dropping-particle" : "", "family" : "Hirosumi", "given" : "J.", "non-dropping-particle" : "", "parse-names" : false, "suffix" : "" }, { "dropping-particle" : "", "family" : "al.", "given" : "et", "non-dropping-particle" : "", "parse-names" : false, "suffix" : "" }, { "dropping-particle" : "", "family" : "Bost", "given" : "F.", "non-dropping-particle" : "", "parse-names" : false, "suffix" : "" }, { "dropping-particle" : "", "family" : "al.", "given" : "et", "non-dropping-particle" : "", "parse-names" : false, "suffix" : "" }, { "dropping-particle" : "", "family" : "Um", "given" : "S.H.", "non-dropping-particle" : "", "parse-names" : false, "suffix" : "" }, { "dropping-particle" : "", "family" : "al.", "given" : "et", "non-dropping-particle" : "", "parse-names" : false, "suffix" : "" }, { "dropping-particle" : "", "family" : "Yuan", "given" : "M.", "non-dropping-particle" : "", "parse-names" : false, "suffix" : "" }, { "dropping-particle" : "", "family" : "al.", "given" : "et", "non-dropping-particle" : "", "parse-names" : false, "suffix" : "" }, { "dropping-particle" : "", "family" : "Danielsson", "given" : "A.", "non-dropping-particle" : "", "parse-names" : false, "suffix" : "" }, { "dropping-particle" : "", "family" : "al.", "given" : "et", "non-dropping-particle" : "", "parse-names" : false, "suffix" : "" }, { "dropping-particle" : "", "family" : "Tanti", "given" : "J.F.", "non-dropping-particle" : "", "parse-names" : false, "suffix" : "" }, { "dropping-particle" : "", "family" : "Jager", "given" : "J.", "non-dropping-particle" : "", "parse-names" : false, "suffix" : "" }, { "dropping-particle" : "", "family" : "Hoehn", "given" : "K.L.", "non-dropping-particle" : "", "parse-names" : false, "suffix" : "" }, { "dropping-particle" : "", "family" : "al.", "given" : "et", "non-dropping-particle" : "", "parse-names" : false, "suffix" : "" }, { "dropping-particle" : "", "family" : "Bouzakri", "given" : "K.", "non-dropping-particle" : "", "parse-names" : false, "suffix" : "" }, { "dropping-particle" : "", "family" : "al.", "given" : "et", "non-dropping-particle" : "", "parse-names" : false, "suffix" : "" }, { "dropping-particle" : "", "family" : "Loukili", "given" : "N.", "non-dropping-particle" : "", "parse-names" : false, "suffix" : "" }, { "dropping-particle" : "", "family" : "al.", "given" : "et", "non-dropping-particle" : "", "parse-names" : false, "suffix" : "" }, { "dropping-particle" : "", "family" : "DeFronzo", "given" : "R.A.", "non-dropping-particle" : "", "parse-names" : false, "suffix" : "" }, { "dropping-particle" : "", "family" : "al.", "given" : "et", "non-dropping-particle" : "", "parse-names" : false, "suffix" : "" }, { "dropping-particle" : "", "family" : "Bickerton", "given" : "A.S.", "non-dropping-particle" : "", "parse-names" : false, "suffix" : "" }, { "dropping-particle" : "", "family" : "al.", "given" : "et", "non-dropping-particle" : "", "parse-names" : false, "suffix" : "" }, { "dropping-particle" : "", "family" : "Mothe", "given" : "I.", "non-dropping-particle" : "", "parse-names" : false, "suffix" : "" }, { "dropping-particle" : "Van", "family" : "Obberghen", "given" : "E.", "non-dropping-particle" : "", "parse-names" : false, "suffix" : "" }, { "dropping-particle" : "", "family" : "Paz", "given" : "K.", "non-dropping-particle" : "", "parse-names" : false, "suffix" : "" }, { "dropping-particle" : "", "family" : "al.", "given" : "et", "non-dropping-particle" : "", "parse-names" : false, "suffix" : "" }, { "dropping-particle" : "", "family" : "Paz", "given" : "K.", "non-dropping-particle" : "", "parse-names" : false, "suffix" : "" }, { "dropping-particle" : "", "family" : "al.", "given" : "et", "non-dropping-particle" : "", "parse-names" : false, "suffix" : "" }, { "dropping-particle" : "", "family" : "Weigert", "given" : "C.", "non-dropping-particle" : "", "parse-names" : false, "suffix" : "" }, { "dropping-particle" : "", "family" : "al.", "given" : "et", "non-dropping-particle" : "", "parse-names" : false, "suffix" : "" }, { "dropping-particle" : "", "family" : "Weigert", "given" : "C.", "non-dropping-particle" : "", "parse-names" : false, "suffix" : "" }, { "dropping-particle" : "", "family" : "al.", "given" : "et", "non-dropping-particle" : "", "parse-names" : false, "suffix" : "" }, { "dropping-particle" : "", "family" : "Luo", "given" : "M.", "non-dropping-particle" : "", "parse-names" : false, "suffix" : "" }, { "dropping-particle" : "", "family" : "al.", "given" : "et", "non-dropping-particle" : "", "parse-names" : false, "suffix" : "" }, { "dropping-particle" : "", "family" : "Brandon", "given" : "A.E.", "non-dropping-particle" : "", "parse-names" : false, "suffix" : "" }, { "dropping-particle" : "", "family" : "al.", "given" : "et", "non-dropping-particle" : "", "parse-names" : false, "suffix" : "" }, { "dropping-particle" : "", "family" : "Hoy", "given" : "A.J.", "non-dropping-particle" : "", "parse-names" : false, "suffix" : "" }, { "dropping-particle" : "", "family" : "al.", "given" : "et", "non-dropping-particle" : "", "parse-names" : false, "suffix" : "" }, { "dropping-particle" : "", "family" : "Kraegen", "given" : "E.W.", "non-dropping-particle" : "", "parse-names" : false, "suffix" : "" }, { "dropping-particle" : "", "family" : "al.", "given" : "et", "non-dropping-particle" : "", "parse-names" : false, "suffix" : "" }, { "dropping-particle" : "", "family" : "Haber", "given" : "C.A.", "non-dropping-particle" : "", "parse-names" : false, "suffix" : "" }, { "dropping-particle" : "", "family" : "al.", "given" : "et", "non-dropping-particle" : "", "parse-names" : false, "suffix" : "" }, { "dropping-particle" : "", "family" : "Lin", "given" : "Y.", "non-dropping-particle" : "", "parse-names" : false, "suffix" : "" }, { "dropping-particle" : "", "family" : "al.", "given" : "et", "non-dropping-particle" : "", "parse-names" : false, "suffix" : "" }, { "dropping-particle" : "", "family" : "Nagy", "given" : "P.", "non-dropping-particle" : "", "parse-names" : false, "suffix" : "" }, { "dropping-particle" : "", "family" : "Winterborun", "given" : "C.C.", "non-dropping-particle" : "", "parse-names" : false, "suffix" : "" }, { "dropping-particle" : "", "family" : "Cao", "given" : "W.", "non-dropping-particle" : "", "parse-names" : false, "suffix" : "" }, { "dropping-particle" : "", "family" : "al.", "given" : "et", "non-dropping-particle" : "", "parse-names" : false, "suffix" : "" }, { "dropping-particle" : "", "family" : "Perry", "given" : "C.G.", "non-dropping-particle" : "", "parse-names" : false, "suffix" : "" }, { "dropping-particle" : "", "family" : "al.", "given" : "et", "non-dropping-particle" : "", "parse-names" : false, "suffix" : "" }, { "dropping-particle" : "", "family" : "Bhattacharya", "given" : "A.", "non-dropping-particle" : "", "parse-names" : false, "suffix" : "" }, { "dropping-particle" : "", "family" : "al.", "given" : "et", "non-dropping-particle" : "", "parse-names" : false, "suffix" : "" }, { "dropping-particle" : "", "family" : "Belousov", "given" : "V.V.", "non-dropping-particle" : "", "parse-names" : false, "suffix" : "" }, { "dropping-particle" : "", "family" : "al.", "given" : "et", "non-dropping-particle" : "", "parse-names" : false, "suffix" : "" }, { "dropping-particle" : "", "family" : "Meyer", "given" : "A.J.", "non-dropping-particle" : "", "parse-names" : false, "suffix" : "" }, { "dropping-particle" : "", "family" : "Dick", "given" : "T.P.", "non-dropping-particle" : "", "parse-names" : false, "suffix" : "" }, { "dropping-particle" : "", "family" : "Cocheme", "given" : "H.M.", "non-dropping-particle" : "", "parse-names" : false, "suffix" : "" }, { "dropping-particle" : "", "family" : "al.", "given" : "et", "non-dropping-particle" : "", "parse-names" : false, "suffix" : "" } ], "container-title" : "Trends in endocrinology and metabolism: TEM", "id" : "ITEM-1", "issue" : "3", "issued" : { "date-parts" : [ [ "2012", "3" ] ] }, "page" : "142-53", "publisher" : "Elsevier", "title" : "Linking mitochondrial bioenergetics to insulin resistance via redox biology.", "type" : "article-journal", "volume" : "23" }, "uris" : [ "http://www.mendeley.com/documents/?uuid=645de3c5-f4fb-3699-90d2-deb3faa3b9f8" ] } ], "mendeley" : { "formattedCitation" : "(Fisher-Wellman et al. 2012)", "plainTextFormattedCitation" : "(Fisher-Wellman et al. 2012)", "previouslyFormattedCitation" : "(Fisher-Wellman et al. 2012)" }, "properties" : { "noteIndex" : 0 }, "schema" : "https://github.com/citation-style-language/schema/raw/master/csl-citation.json" }</w:instrText>
      </w:r>
      <w:r w:rsidR="001D3941">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(Fisher-Wellman et al. 2012)</w:t>
      </w:r>
      <w:r w:rsidR="001D3941">
        <w:rPr>
          <w:rFonts w:ascii="Times New Roman" w:hAnsi="Times New Roman" w:cs="Times New Roman"/>
          <w:sz w:val="24"/>
          <w:szCs w:val="24"/>
        </w:rPr>
        <w:fldChar w:fldCharType="end"/>
      </w:r>
      <w:r>
        <w:rPr>
          <w:rFonts w:ascii="Times New Roman" w:hAnsi="Times New Roman" w:cs="Times New Roman"/>
          <w:sz w:val="24"/>
          <w:szCs w:val="24"/>
        </w:rPr>
        <w:t>. Stimulation with insulin/IGF1 has been shown to elevate NOX (NADPH oxidase) activity at the plasma membrane, which generates ROS</w:t>
      </w:r>
      <w:r w:rsidR="00837EE8">
        <w:rPr>
          <w:rFonts w:ascii="Times New Roman" w:hAnsi="Times New Roman" w:cs="Times New Roman"/>
          <w:sz w:val="24"/>
          <w:szCs w:val="24"/>
        </w:rPr>
        <w:t xml:space="preserve"> </w:t>
      </w:r>
      <w:r w:rsidR="00837EE8">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"ISSN" : "0270-7306", "PMID" : "14966267", "abstract" : "Insulin stimulation of target cells elicits a burst of H(2)O(2) that enhances tyrosine phosphorylation of the insulin receptor and its cellular substrate proteins as well as distal signaling events in the insulin action cascade. The molecular mechanism coupling the insulin receptor with the cellular oxidant-generating apparatus has not been elucidated. Using reverse transcription-PCR and Northern blot analyses, we found that Nox4, a homolog of gp91phox, the phagocytic NAD(P)H oxidase catalytic subunit, is prominently expressed in insulin-sensitive adipose cells. Adenovirus-mediated expression of Nox4 deletion constructs lacking NAD(P)H or FAD/NAD(P)H cofactor binding domains acted in a dominant-negative fashion in differentiated 3T3-L1 adipocytes and attenuated insulin-stimulated H(2)O(2) generation, insulin receptor (IR) and IRS-1 tyrosine phosphorylation, activation of downstream serine kinases, and glucose uptake. Transfection of specific small interfering RNA oligonucleotides reduced Nox4 protein abundance and also inhibited the insulin signaling cascade. Overexpression of Nox4 also significantly reversed the inhibition of insulin-stimulated IR tyrosine phosphorylation induced by coexpression of PTP1B by inhibiting PTP1B catalytic activity. These data suggest that Nox4 provides a novel link between the IR and the generation of cellular reactive oxygen species that enhance insulin signal transduction, at least in part via the oxidative inhibition of cellular protein-tyrosine phosphatases (PTPases), including PTP1B, a PTPase that has been previously implicated in the regulation of insulin action.", "author" : [ { "dropping-particle" : "", "family" : "Mahadev", "given" : "Kalyankar", "non-dropping-particle" : "", "parse-names" : false, "suffix" : "" }, { "dropping-particle" : "", "family" : "Motoshima", "given" : "Hiroyuki", "non-dropping-particle" : "", "parse-names" : false, "suffix" : "" }, { "dropping-particle" : "", "family" : "Wu", "given" : "Xiangdong", "non-dropping-particle" : "", "parse-names" : false, "suffix" : "" }, { "dropping-particle" : "", "family" : "Ruddy", "given" : "Jean Marie", "non-dropping-particle" : "", "parse-names" : false, "suffix" : "" }, { "dropping-particle" : "", "family" : "Arnold", "given" : "Rebecca S", "non-dropping-particle" : "", "parse-names" : false, "suffix" : "" }, { "dropping-particle" : "", "family" : "Cheng", "given" : "Guangjie", "non-dropping-particle" : "", "parse-names" : false, "suffix" : "" }, { "dropping-particle" : "", "family" : "Lambeth", "given" : "J David", "non-dropping-particle" : "", "parse-names" : false, "suffix" : "" }, { "dropping-particle" : "", "family" : "Goldstein", "given" : "Barry J", "non-dropping-particle" : "", "parse-names" : false, "suffix" : "" } ], "container-title" : "Molecular and cellular biology", "id" : "ITEM-1", "issue" : "5", "issued" : { "date-parts" : [ [ "2004", "3" ] ] }, "page" : "1844-54", "publisher" : "American Society for Microbiology (ASM)", "title" : "The NAD(P)H oxidase homolog Nox4 modulates insulin-stimulated generation of H2O2 and plays an integral role in insulin signal transduction.", "type" : "article-journal", "volume" : "24" }, "uris" : [ "http://www.mendeley.com/documents/?uuid=aea11725-0a10-344c-9a73-f52b8dce71bf" ] } ], "mendeley" : { "formattedCitation" : "(Mahadev et al. 2004)", "plainTextFormattedCitation" : "(Mahadev et al. 2004)", "previouslyFormattedCitation" : "(Mahadev et al. 2004)" }, "properties" : { "noteIndex" : 0 }, "schema" : "https://github.com/citation-style-language/schema/raw/master/csl-citation.json" }</w:instrText>
      </w:r>
      <w:r w:rsidR="00837EE8">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(Mahadev et al. 2004)</w:t>
      </w:r>
      <w:r w:rsidR="00837EE8">
        <w:rPr>
          <w:rFonts w:ascii="Times New Roman" w:hAnsi="Times New Roman" w:cs="Times New Roman"/>
          <w:sz w:val="24"/>
          <w:szCs w:val="24"/>
        </w:rPr>
        <w:fldChar w:fldCharType="end"/>
      </w:r>
      <w:r>
        <w:rPr>
          <w:rFonts w:ascii="Times New Roman" w:hAnsi="Times New Roman" w:cs="Times New Roman"/>
          <w:sz w:val="24"/>
          <w:szCs w:val="24"/>
        </w:rPr>
        <w:t>. In addition, insulin/IGF1 upregulation of glucose transporters</w:t>
      </w:r>
      <w:r w:rsidR="00970704">
        <w:rPr>
          <w:rFonts w:ascii="Times New Roman" w:hAnsi="Times New Roman" w:cs="Times New Roman"/>
          <w:sz w:val="24"/>
          <w:szCs w:val="24"/>
        </w:rPr>
        <w:t xml:space="preserve">, as reported in astrocytes </w:t>
      </w:r>
      <w:r w:rsidR="00970704">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"10.1074/jbc.M115.695478", "ISSN" : "1083-351X", "PMID" : "26631726", "abstract" : "Disruption of insulin-like growth factor I (IGF-I) signaling is a key step in the development of cancer or neurodegeneration. For example, interference of the prosurvival IGF-I/AKT/FOXO3 pathway by redox activation of the stress kinases p38 and JNK is instrumental in neuronal death by oxidative stress. However, in astrocytes, IGF-I retains its protective action against oxidative stress. The molecular mechanisms underlying this cell-specific protection remain obscure but may be relevant to unveil new ways to combat IGF-I/insulin resistance. Here, we describe that, in astrocytes exposed to oxidative stress by hydrogen peroxide (H2O2), p38 activation did not inhibit AKT (protein kinase B) activation by IGF-I, which is in contrast to our previous observations in neurons. Rather, stimulation of AKT by IGF-I was significantly higher and more sustained in astrocytes than in neurons either under normal or oxidative conditions. This may be explained by phosphorylation of the phosphatase PTEN at the plasma membrane in response to IGF-I, inducing its cytosolic translocation and preserving in this way AKT activity. Stimulation of AKT by IGF-I, mimicked also by a constitutively active AKT mutant, reduced oxidative stress levels and cell death in H2O2-exposed astrocytes, boosting their neuroprotective action in co-cultured neurons. These results indicate that armoring of AKT activation by IGF-I is crucial to preserve its cytoprotective effect in astrocytes and may form part of the brain defense mechanism against oxidative stress injury.", "author" : [ { "dropping-particle" : "", "family" : "D\u00e1vila", "given" : "David", "non-dropping-particle" : "", "parse-names" : false, "suffix" : "" }, { "dropping-particle" : "", "family" : "Fern\u00e1ndez", "given" : "Silvia", "non-dropping-particle" : "", "parse-names" : false, "suffix" : "" }, { "dropping-particle" : "", "family" : "Torres-Alem\u00e1n", "given" : "Ignacio", "non-dropping-particle" : "", "parse-names" : false, "suffix" : "" } ], "container-title" : "The Journal of biological chemistry", "id" : "ITEM-1", "issue" : "5", "issued" : { "date-parts" : [ [ "2016", "1", "29" ] ] }, "page" : "2510-23", "title" : "Astrocyte Resilience to Oxidative Stress Induced by Insulin-like Growth Factor I (IGF-I) Involves Preserved AKT (Protein Kinase B) Activity.", "type" : "article-journal", "volume" : "291" }, "uris" : [ "http://www.mendeley.com/documents/?uuid=727726fd-ca63-4587-b117-ea030c726f2e" ] } ], "mendeley" : { "formattedCitation" : "(D\u00e1vila et al. 2016a)", "manualFormatting" : "(D\u00e1vila, Fern\u00e1ndez, &amp; Torres-Alem\u00e1n, 2016)", "plainTextFormattedCitation" : "(D\u00e1vila et al. 2016a)", "previouslyFormattedCitation" : "(D\u00e1vila et al. 2016a)" }, "properties" : { "noteIndex" : 0 }, "schema" : "https://github.com/citation-style-language/schema/raw/master/csl-citation.json" }</w:instrText>
      </w:r>
      <w:r w:rsidR="00970704">
        <w:rPr>
          <w:rFonts w:ascii="Times New Roman" w:hAnsi="Times New Roman" w:cs="Times New Roman"/>
          <w:sz w:val="24"/>
          <w:szCs w:val="24"/>
        </w:rPr>
        <w:fldChar w:fldCharType="separate"/>
      </w:r>
      <w:r w:rsidR="00970704" w:rsidRPr="00970704">
        <w:rPr>
          <w:rFonts w:ascii="Times New Roman" w:hAnsi="Times New Roman" w:cs="Times New Roman"/>
          <w:noProof/>
          <w:sz w:val="24"/>
          <w:szCs w:val="24"/>
        </w:rPr>
        <w:t>(Dávila, F</w:t>
      </w:r>
      <w:r w:rsidR="00970704">
        <w:rPr>
          <w:rFonts w:ascii="Times New Roman" w:hAnsi="Times New Roman" w:cs="Times New Roman"/>
          <w:noProof/>
          <w:sz w:val="24"/>
          <w:szCs w:val="24"/>
        </w:rPr>
        <w:t>ernández, &amp; Torres-Alemán, 2016</w:t>
      </w:r>
      <w:r w:rsidR="00970704" w:rsidRPr="00970704">
        <w:rPr>
          <w:rFonts w:ascii="Times New Roman" w:hAnsi="Times New Roman" w:cs="Times New Roman"/>
          <w:noProof/>
          <w:sz w:val="24"/>
          <w:szCs w:val="24"/>
        </w:rPr>
        <w:t>)</w:t>
      </w:r>
      <w:r w:rsidR="00970704">
        <w:rPr>
          <w:rFonts w:ascii="Times New Roman" w:hAnsi="Times New Roman" w:cs="Times New Roman"/>
          <w:sz w:val="24"/>
          <w:szCs w:val="24"/>
        </w:rPr>
        <w:fldChar w:fldCharType="end"/>
      </w:r>
      <w:r w:rsidR="00970704">
        <w:rPr>
          <w:rFonts w:ascii="Times New Roman" w:hAnsi="Times New Roman" w:cs="Times New Roman"/>
          <w:sz w:val="24"/>
          <w:szCs w:val="24"/>
        </w:rPr>
        <w:t>, could</w:t>
      </w:r>
      <w:r w:rsidR="008E6890">
        <w:rPr>
          <w:rFonts w:ascii="Times New Roman" w:hAnsi="Times New Roman" w:cs="Times New Roman"/>
          <w:sz w:val="24"/>
          <w:szCs w:val="24"/>
        </w:rPr>
        <w:t xml:space="preserve"> provide more substrate for and</w:t>
      </w:r>
      <w:r w:rsidR="00970704">
        <w:rPr>
          <w:rFonts w:ascii="Times New Roman" w:hAnsi="Times New Roman" w:cs="Times New Roman"/>
          <w:sz w:val="24"/>
          <w:szCs w:val="24"/>
        </w:rPr>
        <w:t xml:space="preserve"> result in increased</w:t>
      </w:r>
      <w:r>
        <w:rPr>
          <w:rFonts w:ascii="Times New Roman" w:hAnsi="Times New Roman" w:cs="Times New Roman"/>
          <w:sz w:val="24"/>
          <w:szCs w:val="24"/>
        </w:rPr>
        <w:t xml:space="preserve"> mitochondrial metabolism and ROS production due to</w:t>
      </w:r>
      <w:r w:rsidR="00A43247">
        <w:rPr>
          <w:rFonts w:ascii="Times New Roman" w:hAnsi="Times New Roman" w:cs="Times New Roman"/>
          <w:sz w:val="24"/>
          <w:szCs w:val="24"/>
        </w:rPr>
        <w:t xml:space="preserve"> increased</w:t>
      </w:r>
      <w:r>
        <w:rPr>
          <w:rFonts w:ascii="Times New Roman" w:hAnsi="Times New Roman" w:cs="Times New Roman"/>
          <w:sz w:val="24"/>
          <w:szCs w:val="24"/>
        </w:rPr>
        <w:t xml:space="preserve"> leakage of electrons</w:t>
      </w:r>
      <w:r w:rsidR="003D1E5A">
        <w:rPr>
          <w:rFonts w:ascii="Times New Roman" w:hAnsi="Times New Roman" w:cs="Times New Roman"/>
          <w:sz w:val="24"/>
          <w:szCs w:val="24"/>
        </w:rPr>
        <w:t xml:space="preserve"> from complex I and III of </w:t>
      </w:r>
      <w:r w:rsidR="005F1E5E">
        <w:rPr>
          <w:rFonts w:ascii="Times New Roman" w:hAnsi="Times New Roman" w:cs="Times New Roman"/>
          <w:sz w:val="24"/>
          <w:szCs w:val="24"/>
        </w:rPr>
        <w:t xml:space="preserve">the </w:t>
      </w:r>
      <w:r w:rsidR="003D1E5A">
        <w:rPr>
          <w:rFonts w:ascii="Times New Roman" w:hAnsi="Times New Roman" w:cs="Times New Roman"/>
          <w:sz w:val="24"/>
          <w:szCs w:val="24"/>
        </w:rPr>
        <w:t>electron transport chain</w:t>
      </w:r>
      <w:r>
        <w:rPr>
          <w:rFonts w:ascii="Times New Roman" w:hAnsi="Times New Roman" w:cs="Times New Roman"/>
          <w:sz w:val="24"/>
          <w:szCs w:val="24"/>
        </w:rPr>
        <w:t>. Protein phosphatases are susceptible to oxidation due to the presence of cyste</w:t>
      </w:r>
      <w:r w:rsidR="003D1E5A">
        <w:rPr>
          <w:rFonts w:ascii="Times New Roman" w:hAnsi="Times New Roman" w:cs="Times New Roman"/>
          <w:sz w:val="24"/>
          <w:szCs w:val="24"/>
        </w:rPr>
        <w:t>ines in their catalytic domains, which can induce conformational changes that inactivate the enzyme</w:t>
      </w:r>
      <w:r w:rsidR="0051109F">
        <w:rPr>
          <w:rFonts w:ascii="Times New Roman" w:hAnsi="Times New Roman" w:cs="Times New Roman"/>
          <w:sz w:val="24"/>
          <w:szCs w:val="24"/>
        </w:rPr>
        <w:t xml:space="preserve"> </w:t>
      </w:r>
      <w:r w:rsidR="006F2FA7">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"10.1016/j.cell.2005.05.016", "ISSN" : "00928674", "abstract" : "The architecture of the active site of members of the protein tyrosine phosphatase (PTP) superfamily renders these enzymes sensitive to reversible oxidation and inactivation. The importance of reversible oxidation of PTP superfamily members in controlling the signal output following an extracellular stimulus is discussed.", "author" : [ { "dropping-particle" : "", "family" : "Tonks", "given" : "Nicholas K.", "non-dropping-particle" : "", "parse-names" : false, "suffix" : "" } ], "container-title" : "Cell", "id" : "ITEM-1", "issue" : "5", "issued" : { "date-parts" : [ [ "2005" ] ] }, "page" : "667-670", "title" : "Redox Redux: Revisiting PTPs and the Control of Cell Signaling", "type" : "article-journal", "volume" : "121" }, "uris" : [ "http://www.mendeley.com/documents/?uuid=c995ad34-05cf-32b6-bfee-52db6aaa9a58" ] } ], "mendeley" : { "formattedCitation" : "(Tonks 2005)", "plainTextFormattedCitation" : "(Tonks 2005)", "previouslyFormattedCitation" : "(Tonks 2005)" }, "properties" : { "noteIndex" : 0 }, "schema" : "https://github.com/citation-style-language/schema/raw/master/csl-citation.json" }</w:instrText>
      </w:r>
      <w:r w:rsidR="006F2FA7">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(Tonks 2005)</w:t>
      </w:r>
      <w:r w:rsidR="006F2FA7">
        <w:rPr>
          <w:rFonts w:ascii="Times New Roman" w:hAnsi="Times New Roman" w:cs="Times New Roman"/>
          <w:sz w:val="24"/>
          <w:szCs w:val="24"/>
        </w:rPr>
        <w:fldChar w:fldCharType="end"/>
      </w:r>
      <w:r w:rsidR="006F2FA7">
        <w:rPr>
          <w:rFonts w:ascii="Times New Roman" w:hAnsi="Times New Roman" w:cs="Times New Roman"/>
          <w:sz w:val="24"/>
          <w:szCs w:val="24"/>
        </w:rPr>
        <w:t xml:space="preserve"> </w:t>
      </w:r>
      <w:r w:rsidR="003D1E5A">
        <w:rPr>
          <w:rFonts w:ascii="Times New Roman" w:hAnsi="Times New Roman" w:cs="Times New Roman"/>
          <w:sz w:val="24"/>
          <w:szCs w:val="24"/>
        </w:rPr>
        <w:t>.</w:t>
      </w:r>
      <w:r>
        <w:rPr>
          <w:rFonts w:ascii="Times New Roman" w:hAnsi="Times New Roman" w:cs="Times New Roman"/>
          <w:sz w:val="24"/>
          <w:szCs w:val="24"/>
        </w:rPr>
        <w:t xml:space="preserve"> </w:t>
      </w:r>
      <w:r w:rsidR="003D1E5A">
        <w:rPr>
          <w:rFonts w:ascii="Times New Roman" w:hAnsi="Times New Roman" w:cs="Times New Roman"/>
          <w:sz w:val="24"/>
          <w:szCs w:val="24"/>
        </w:rPr>
        <w:t xml:space="preserve">Protein phosphatases such as PTP1B and PTEN can be oxidised, which allows signalling to persist through the insulin/IGF1 pathway and permits a physiological response. Once the insulin/IGF1 signal passes, the redox balance is resolved by the action of antioxidants such as glutathione and the normally dominant phosphatase activity is restored. It is important that this is tightly regulated, as an imbalance in redox status within the cell can reduce phosphatase tone and cause chronic activation of stress kinases such as JNK that are believed to </w:t>
      </w:r>
      <w:r w:rsidR="00E6142F">
        <w:rPr>
          <w:rFonts w:ascii="Times New Roman" w:hAnsi="Times New Roman" w:cs="Times New Roman"/>
          <w:sz w:val="24"/>
          <w:szCs w:val="24"/>
        </w:rPr>
        <w:t>make ce</w:t>
      </w:r>
      <w:r w:rsidR="00EE5D50">
        <w:rPr>
          <w:rFonts w:ascii="Times New Roman" w:hAnsi="Times New Roman" w:cs="Times New Roman"/>
          <w:sz w:val="24"/>
          <w:szCs w:val="24"/>
        </w:rPr>
        <w:t xml:space="preserve">lls insensitive to insulin/IGF1 </w:t>
      </w:r>
      <w:r w:rsidR="008E6890">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"ISSN" : "0021-9258", "PMID" : "10722755", "abstract" : "Tumor necrosis factor alpha (TNFalpha) inhibits insulin action, in part, through serine phosphorylation of IRS proteins; however, the phosphorylation sites that mediate the inhibition are unknown. TNFalpha promotes multipotential signal transduction cascades, including the activation of the Jun NH(2)-terminal kinase (JNK). Endogenous JNK associates with IRS-1 in Chinese hamster ovary cells. Anisomycin, a strong activator of JNK in these cells, stimulates the activity of JNK bound to IRS-1 and inhibits the insulin-stimulated tyrosine phosphorylation of IRS-1. Serine 307 is a major site of JNK phosphorylation in IRS-1. Mutation of serine 307 to alanine eliminates phosphorylation of IRS-1 by JNK and abrogates the inhibitory effect of TNFalpha on insulin-stimulated tyrosine phosphorylation of IRS-1. These results suggest that phosphorylation of serine 307 might mediate, at least partially, the inhibitory effect of proinflammatory cytokines like TNFalpha on IRS-1 function.", "author" : [ { "dropping-particle" : "", "family" : "Aguirre", "given" : "V", "non-dropping-particle" : "", "parse-names" : false, "suffix" : "" }, { "dropping-particle" : "", "family" : "Uchida", "given" : "T", "non-dropping-particle" : "", "parse-names" : false, "suffix" : "" }, { "dropping-particle" : "", "family" : "Yenush", "given" : "L", "non-dropping-particle" : "", "parse-names" : false, "suffix" : "" }, { "dropping-particle" : "", "family" : "Davis", "given" : "R", "non-dropping-particle" : "", "parse-names" : false, "suffix" : "" }, { "dropping-particle" : "", "family" : "White", "given" : "M F", "non-dropping-particle" : "", "parse-names" : false, "suffix" : "" } ], "container-title" : "The Journal of biological chemistry", "id" : "ITEM-1", "issue" : "12", "issued" : { "date-parts" : [ [ "2000", "3", "24" ] ] }, "page" : "9047-54", "title" : "The c-Jun NH(2)-terminal kinase promotes insulin resistance during association with insulin receptor substrate-1 and phosphorylation of Ser(307).", "type" : "article-journal", "volume" : "275" }, "uris" : [ "http://www.mendeley.com/documents/?uuid=31ca1ca7-2eba-3098-b1bf-c8fceee49923" ] }, { "id" : "ITEM-2", "itemData" : { "DOI" : "10.1016/j.cell.2004.12.041", "ISSN" : "00928674", "abstract" : "TNF\u03b1 is a pleiotropic cytokine that induces either cell proliferation or cell death. Inhibition of NF-\u03baB activation increases susceptibility to TNF\u03b1-induced death, concurrent with sustained JNK activation, an important contributor to the death response. Sustained JNK activation in NF-\u03baB-deficient cells was suggested to depend on reactive oxygen species (ROS), but how ROS affect JNK activation was unclear. We now show that TNF\u03b1-induced ROS, whose accumulation is suppressed by mitochondrial superoxide dismutase, cause oxidation and inhibition of JNK-inactivating phosphatases by converting their catalytic cysteine to sulfenic acid. This results in sustained JNK activation, which is required for cytochrome c release and caspase 3 cleavage, as well as necrotic cell death. Treatment of cells or experimental animals with an antioxidant prevents H2O2 accumulation, JNK phosphatase oxidation, sustained JNK activity, and both forms of cell death. Antioxidant treatment also prevents TNF\u03b1-mediated fulminant liver failure without affecting liver regeneration.", "author" : [ { "dropping-particle" : "", "family" : "Kamata", "given" : "Hideaki", "non-dropping-particle" : "", "parse-names" : false, "suffix" : "" }, { "dropping-particle" : "", "family" : "Honda", "given" : "Shi-ichi", "non-dropping-particle" : "", "parse-names" : false, "suffix" : "" }, { "dropping-particle" : "", "family" : "Maeda", "given" : "Shin", "non-dropping-particle" : "", "parse-names" : false, "suffix" : "" }, { "dropping-particle" : "", "family" : "Chang", "given" : "Lufen", "non-dropping-particle" : "", "parse-names" : false, "suffix" : "" }, { "dropping-particle" : "", "family" : "Hirata", "given" : "Hajime", "non-dropping-particle" : "", "parse-names" : false, "suffix" : "" }, { "dropping-particle" : "", "family" : "Karin", "given" : "Michael", "non-dropping-particle" : "", "parse-names" : false, "suffix" : "" } ], "container-title" : "Cell", "id" : "ITEM-2", "issue" : "5", "issued" : { "date-parts" : [ [ "2005" ] ] }, "page" : "649-661", "title" : "Reactive Oxygen Species Promote TNF\u03b1-Induced Death and Sustained JNK Activation by Inhibiting MAP Kinase Phosphatases", "type" : "article-journal", "volume" : "120" }, "uris" : [ "http://www.mendeley.com/documents/?uuid=d42a07de-3116-3d89-ae77-6143b6e379f2" ] } ], "mendeley" : { "formattedCitation" : "(Aguirre et al. 2000; Kamata et al. 2005)", "plainTextFormattedCitation" : "(Aguirre et al. 2000; Kamata et al. 2005)", "previouslyFormattedCitation" : "(Aguirre et al. 2000; Kamata et al. 2005)" }, "properties" : { "noteIndex" : 0 }, "schema" : "https://github.com/citation-style-language/schema/raw/master/csl-citation.json" }</w:instrText>
      </w:r>
      <w:r w:rsidR="008E6890">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(Aguirre et al. 2000; Kamata et al. 2005)</w:t>
      </w:r>
      <w:r w:rsidR="008E6890">
        <w:rPr>
          <w:rFonts w:ascii="Times New Roman" w:hAnsi="Times New Roman" w:cs="Times New Roman"/>
          <w:color w:val="auto"/>
          <w:sz w:val="24"/>
          <w:szCs w:val="24"/>
        </w:rPr>
        <w:fldChar w:fldCharType="end"/>
      </w:r>
    </w:p>
    <w:p w14:paraId="1A936E11" w14:textId="77777777" w:rsidR="00254375" w:rsidRPr="00254375" w:rsidRDefault="00254375" w:rsidP="00254375"/>
    <w:p w14:paraId="3F0A0239" w14:textId="7D2DF27A" w:rsidR="00E81753" w:rsidRDefault="00254375" w:rsidP="00E81753">
      <w:pPr>
        <w:pStyle w:val="Body"/>
        <w:spacing w:line="360" w:lineRule="auto"/>
        <w:jc w:val="both"/>
        <w:rPr>
          <w:rFonts w:ascii="Times New Roman" w:eastAsia="Arial" w:hAnsi="Times New Roman" w:cs="Times New Roman"/>
          <w:b/>
          <w:bCs/>
          <w:sz w:val="24"/>
          <w:szCs w:val="24"/>
        </w:rPr>
      </w:pPr>
      <w:r>
        <w:rPr>
          <w:rFonts w:ascii="Times New Roman" w:eastAsia="Arial" w:hAnsi="Times New Roman" w:cs="Times New Roman"/>
          <w:b/>
          <w:bCs/>
          <w:sz w:val="24"/>
          <w:szCs w:val="24"/>
        </w:rPr>
        <w:t xml:space="preserve">                </w:t>
      </w:r>
      <w:r w:rsidR="00EF3E44">
        <w:rPr>
          <w:rFonts w:ascii="Times New Roman" w:eastAsia="Arial" w:hAnsi="Times New Roman" w:cs="Times New Roman"/>
          <w:b/>
          <w:bCs/>
          <w:sz w:val="24"/>
          <w:szCs w:val="24"/>
        </w:rPr>
        <w:t xml:space="preserve">   </w:t>
      </w:r>
      <w:r>
        <w:rPr>
          <w:rFonts w:ascii="Times New Roman" w:eastAsia="Arial" w:hAnsi="Times New Roman" w:cs="Times New Roman"/>
          <w:b/>
          <w:bCs/>
          <w:sz w:val="24"/>
          <w:szCs w:val="24"/>
        </w:rPr>
        <w:t xml:space="preserve">   </w:t>
      </w:r>
      <w:r w:rsidR="007028AC">
        <w:rPr>
          <w:rFonts w:ascii="Times New Roman" w:eastAsia="Arial" w:hAnsi="Times New Roman" w:cs="Times New Roman"/>
          <w:b/>
          <w:bCs/>
          <w:sz w:val="24"/>
          <w:szCs w:val="24"/>
        </w:rPr>
        <w:t xml:space="preserve">   </w:t>
      </w:r>
      <w:r>
        <w:rPr>
          <w:rFonts w:ascii="Times New Roman" w:eastAsia="Arial" w:hAnsi="Times New Roman" w:cs="Times New Roman"/>
          <w:b/>
          <w:bCs/>
          <w:sz w:val="24"/>
          <w:szCs w:val="24"/>
        </w:rPr>
        <w:t xml:space="preserve">    </w:t>
      </w:r>
      <w:r w:rsidR="00E81753" w:rsidRPr="00E81753">
        <w:rPr>
          <w:rFonts w:ascii="Times New Roman" w:hAnsi="Times New Roman" w:cs="Times New Roman"/>
          <w:noProof/>
          <w:sz w:val="24"/>
          <w:szCs w:val="24"/>
        </w:rPr>
        <w:drawing>
          <wp:inline distT="0" distB="0" distL="0" distR="0" wp14:anchorId="77F48BC7" wp14:editId="60BD1592">
            <wp:extent cx="3350124" cy="4114257"/>
            <wp:effectExtent l="0" t="0" r="3175"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18">
                      <a:extLst>
                        <a:ext uri="{28A0092B-C50C-407E-A947-70E740481C1C}">
                          <a14:useLocalDpi xmlns:a14="http://schemas.microsoft.com/office/drawing/2010/main" val="0"/>
                        </a:ext>
                      </a:extLst>
                    </a:blip>
                    <a:srcRect l="21544" t="1615" r="21085" b="4422"/>
                    <a:stretch/>
                  </pic:blipFill>
                  <pic:spPr bwMode="auto">
                    <a:xfrm>
                      <a:off x="0" y="0"/>
                      <a:ext cx="3353527" cy="4118437"/>
                    </a:xfrm>
                    <a:prstGeom prst="rect">
                      <a:avLst/>
                    </a:prstGeom>
                    <a:ln>
                      <a:noFill/>
                    </a:ln>
                    <a:extLst>
                      <a:ext uri="{53640926-AAD7-44d8-BBD7-CCE9431645EC}">
                        <a14:shadowObscured xmlns:a14="http://schemas.microsoft.com/office/drawing/2010/main"/>
                      </a:ext>
                    </a:extLst>
                  </pic:spPr>
                </pic:pic>
              </a:graphicData>
            </a:graphic>
          </wp:inline>
        </w:drawing>
      </w:r>
      <w:r w:rsidR="00E81753" w:rsidRPr="00E81753">
        <w:rPr>
          <w:rFonts w:ascii="Times New Roman" w:eastAsia="Arial" w:hAnsi="Times New Roman" w:cs="Times New Roman"/>
          <w:b/>
          <w:bCs/>
          <w:sz w:val="24"/>
          <w:szCs w:val="24"/>
        </w:rPr>
        <w:t xml:space="preserve"> </w:t>
      </w:r>
    </w:p>
    <w:p w14:paraId="51F34393" w14:textId="0B22E4FA" w:rsidR="004F3594" w:rsidRPr="003B096D" w:rsidRDefault="0099050D" w:rsidP="003B096D">
      <w:pPr>
        <w:pStyle w:val="Caption"/>
      </w:pPr>
      <w:bookmarkStart w:id="329" w:name="_Toc333583459"/>
      <w:bookmarkStart w:id="330" w:name="_Toc333584076"/>
      <w:bookmarkStart w:id="331" w:name="_Toc333585210"/>
      <w:bookmarkStart w:id="332" w:name="_Toc333586762"/>
      <w:bookmarkStart w:id="333" w:name="_Toc333644461"/>
      <w:bookmarkStart w:id="334" w:name="_Toc333644755"/>
      <w:r w:rsidRPr="003B096D">
        <w:rPr>
          <w:rStyle w:val="Heading5Char"/>
          <w:rFonts w:eastAsiaTheme="minorEastAsia" w:cstheme="minorBidi"/>
          <w:b/>
          <w:color w:val="auto"/>
        </w:rPr>
        <w:t>Figure 1.5</w:t>
      </w:r>
      <w:r w:rsidR="0052651A" w:rsidRPr="003B096D">
        <w:rPr>
          <w:rStyle w:val="Heading5Char"/>
          <w:rFonts w:eastAsiaTheme="minorEastAsia" w:cstheme="minorBidi"/>
          <w:b/>
          <w:color w:val="auto"/>
        </w:rPr>
        <w:t>.</w:t>
      </w:r>
      <w:r w:rsidR="00E81753" w:rsidRPr="003B096D">
        <w:rPr>
          <w:rStyle w:val="Heading5Char"/>
          <w:rFonts w:eastAsiaTheme="minorEastAsia" w:cstheme="minorBidi"/>
          <w:b/>
          <w:color w:val="auto"/>
        </w:rPr>
        <w:t xml:space="preserve">  A schematic diagram </w:t>
      </w:r>
      <w:r w:rsidR="00254375" w:rsidRPr="003B096D">
        <w:rPr>
          <w:rStyle w:val="Heading5Char"/>
          <w:rFonts w:eastAsiaTheme="minorEastAsia" w:cstheme="minorBidi"/>
          <w:b/>
          <w:color w:val="auto"/>
        </w:rPr>
        <w:t>to summarise the key steps in the</w:t>
      </w:r>
      <w:r w:rsidR="00E81753" w:rsidRPr="003B096D">
        <w:rPr>
          <w:rStyle w:val="Heading5Char"/>
          <w:rFonts w:eastAsiaTheme="minorEastAsia" w:cstheme="minorBidi"/>
          <w:b/>
          <w:color w:val="auto"/>
        </w:rPr>
        <w:t xml:space="preserve"> insulin/</w:t>
      </w:r>
      <w:r w:rsidR="000150BC" w:rsidRPr="003B096D">
        <w:rPr>
          <w:rStyle w:val="Heading5Char"/>
          <w:rFonts w:eastAsiaTheme="minorEastAsia" w:cstheme="minorBidi"/>
          <w:b/>
          <w:color w:val="auto"/>
        </w:rPr>
        <w:t xml:space="preserve"> </w:t>
      </w:r>
      <w:r w:rsidR="00E81753" w:rsidRPr="003B096D">
        <w:rPr>
          <w:rStyle w:val="Heading5Char"/>
          <w:rFonts w:eastAsiaTheme="minorEastAsia" w:cstheme="minorBidi"/>
          <w:b/>
          <w:color w:val="auto"/>
        </w:rPr>
        <w:t>IGF1 signalling pathway</w:t>
      </w:r>
      <w:r w:rsidR="00101FCB" w:rsidRPr="003B096D">
        <w:rPr>
          <w:rStyle w:val="Heading5Char"/>
          <w:rFonts w:eastAsiaTheme="minorEastAsia" w:cstheme="minorBidi"/>
          <w:b/>
          <w:color w:val="auto"/>
        </w:rPr>
        <w:t>.</w:t>
      </w:r>
      <w:bookmarkEnd w:id="329"/>
      <w:bookmarkEnd w:id="330"/>
      <w:bookmarkEnd w:id="331"/>
      <w:bookmarkEnd w:id="332"/>
      <w:bookmarkEnd w:id="333"/>
      <w:bookmarkEnd w:id="334"/>
      <w:r w:rsidR="00101FCB" w:rsidRPr="003B096D">
        <w:t xml:space="preserve"> </w:t>
      </w:r>
    </w:p>
    <w:p w14:paraId="66D89E0A" w14:textId="497D0335" w:rsidR="009D0ED3" w:rsidRDefault="00101FCB" w:rsidP="008E3664">
      <w:pPr>
        <w:pStyle w:val="Body"/>
        <w:spacing w:line="360" w:lineRule="auto"/>
        <w:jc w:val="both"/>
        <w:rPr>
          <w:rFonts w:ascii="Times New Roman" w:eastAsia="Arial" w:hAnsi="Times New Roman" w:cs="Times New Roman"/>
          <w:bCs/>
          <w:sz w:val="24"/>
          <w:szCs w:val="24"/>
        </w:rPr>
      </w:pPr>
      <w:r>
        <w:rPr>
          <w:rFonts w:ascii="Times New Roman" w:eastAsia="Arial" w:hAnsi="Times New Roman" w:cs="Times New Roman"/>
          <w:bCs/>
          <w:sz w:val="24"/>
          <w:szCs w:val="24"/>
        </w:rPr>
        <w:t xml:space="preserve">Insulin and </w:t>
      </w:r>
      <w:r w:rsidR="00C575D1">
        <w:rPr>
          <w:rFonts w:ascii="Times New Roman" w:eastAsia="Arial" w:hAnsi="Times New Roman" w:cs="Times New Roman"/>
          <w:bCs/>
          <w:sz w:val="24"/>
          <w:szCs w:val="24"/>
        </w:rPr>
        <w:t>Insulin-like growth factor 1 (</w:t>
      </w:r>
      <w:r>
        <w:rPr>
          <w:rFonts w:ascii="Times New Roman" w:eastAsia="Arial" w:hAnsi="Times New Roman" w:cs="Times New Roman"/>
          <w:bCs/>
          <w:sz w:val="24"/>
          <w:szCs w:val="24"/>
        </w:rPr>
        <w:t>IGF1</w:t>
      </w:r>
      <w:r w:rsidR="00C575D1">
        <w:rPr>
          <w:rFonts w:ascii="Times New Roman" w:eastAsia="Arial" w:hAnsi="Times New Roman" w:cs="Times New Roman"/>
          <w:bCs/>
          <w:sz w:val="24"/>
          <w:szCs w:val="24"/>
        </w:rPr>
        <w:t>)</w:t>
      </w:r>
      <w:r w:rsidR="00254375">
        <w:rPr>
          <w:rFonts w:ascii="Times New Roman" w:eastAsia="Arial" w:hAnsi="Times New Roman" w:cs="Times New Roman"/>
          <w:bCs/>
          <w:sz w:val="24"/>
          <w:szCs w:val="24"/>
        </w:rPr>
        <w:t xml:space="preserve"> activate insulin receptor (IR) and insulin-like growth factor 1 receptor (IGF1R). This leads to the recruitment of adaptor proteins such as insulin receptor s</w:t>
      </w:r>
      <w:r w:rsidR="00401964">
        <w:rPr>
          <w:rFonts w:ascii="Times New Roman" w:eastAsia="Arial" w:hAnsi="Times New Roman" w:cs="Times New Roman"/>
          <w:bCs/>
          <w:sz w:val="24"/>
          <w:szCs w:val="24"/>
        </w:rPr>
        <w:t>ubstrates 1 and 2 (IRS1/2) that</w:t>
      </w:r>
      <w:r>
        <w:rPr>
          <w:rFonts w:ascii="Times New Roman" w:eastAsia="Arial" w:hAnsi="Times New Roman" w:cs="Times New Roman"/>
          <w:bCs/>
          <w:sz w:val="24"/>
          <w:szCs w:val="24"/>
        </w:rPr>
        <w:t xml:space="preserve"> </w:t>
      </w:r>
      <w:r w:rsidR="00B42098">
        <w:rPr>
          <w:rFonts w:ascii="Times New Roman" w:eastAsia="Arial" w:hAnsi="Times New Roman" w:cs="Times New Roman"/>
          <w:bCs/>
          <w:sz w:val="24"/>
          <w:szCs w:val="24"/>
        </w:rPr>
        <w:t xml:space="preserve">trigger downstream </w:t>
      </w:r>
      <w:r w:rsidR="00254375">
        <w:rPr>
          <w:rFonts w:ascii="Times New Roman" w:eastAsia="Arial" w:hAnsi="Times New Roman" w:cs="Times New Roman"/>
          <w:bCs/>
          <w:sz w:val="24"/>
          <w:szCs w:val="24"/>
        </w:rPr>
        <w:t xml:space="preserve">phosphorylation cascades and </w:t>
      </w:r>
      <w:r w:rsidR="00B42098">
        <w:rPr>
          <w:rFonts w:ascii="Times New Roman" w:eastAsia="Arial" w:hAnsi="Times New Roman" w:cs="Times New Roman"/>
          <w:bCs/>
          <w:sz w:val="24"/>
          <w:szCs w:val="24"/>
        </w:rPr>
        <w:t xml:space="preserve">control the activation of divergent signalling pathways </w:t>
      </w:r>
      <w:r w:rsidR="00C575D1">
        <w:rPr>
          <w:rFonts w:ascii="Times New Roman" w:eastAsia="Arial" w:hAnsi="Times New Roman" w:cs="Times New Roman"/>
          <w:bCs/>
          <w:sz w:val="24"/>
          <w:szCs w:val="24"/>
        </w:rPr>
        <w:t>protein kinase A (</w:t>
      </w:r>
      <w:r w:rsidR="00B42098">
        <w:rPr>
          <w:rFonts w:ascii="Times New Roman" w:eastAsia="Arial" w:hAnsi="Times New Roman" w:cs="Times New Roman"/>
          <w:bCs/>
          <w:sz w:val="24"/>
          <w:szCs w:val="24"/>
        </w:rPr>
        <w:t>Akt</w:t>
      </w:r>
      <w:r w:rsidR="00C575D1">
        <w:rPr>
          <w:rFonts w:ascii="Times New Roman" w:eastAsia="Arial" w:hAnsi="Times New Roman" w:cs="Times New Roman"/>
          <w:bCs/>
          <w:sz w:val="24"/>
          <w:szCs w:val="24"/>
        </w:rPr>
        <w:t>)</w:t>
      </w:r>
      <w:r w:rsidR="00B42098">
        <w:rPr>
          <w:rFonts w:ascii="Times New Roman" w:eastAsia="Arial" w:hAnsi="Times New Roman" w:cs="Times New Roman"/>
          <w:bCs/>
          <w:sz w:val="24"/>
          <w:szCs w:val="24"/>
        </w:rPr>
        <w:t xml:space="preserve"> and </w:t>
      </w:r>
      <w:r w:rsidR="00C575D1">
        <w:rPr>
          <w:rFonts w:ascii="Times New Roman" w:eastAsia="Arial" w:hAnsi="Times New Roman" w:cs="Times New Roman"/>
          <w:bCs/>
          <w:sz w:val="24"/>
          <w:szCs w:val="24"/>
        </w:rPr>
        <w:t>extracellular-signal regulated kinase (</w:t>
      </w:r>
      <w:r w:rsidR="00B42098">
        <w:rPr>
          <w:rFonts w:ascii="Times New Roman" w:eastAsia="Arial" w:hAnsi="Times New Roman" w:cs="Times New Roman"/>
          <w:bCs/>
          <w:sz w:val="24"/>
          <w:szCs w:val="24"/>
        </w:rPr>
        <w:t>ERK</w:t>
      </w:r>
      <w:r w:rsidR="00C575D1">
        <w:rPr>
          <w:rFonts w:ascii="Times New Roman" w:eastAsia="Arial" w:hAnsi="Times New Roman" w:cs="Times New Roman"/>
          <w:bCs/>
          <w:sz w:val="24"/>
          <w:szCs w:val="24"/>
        </w:rPr>
        <w:t>)</w:t>
      </w:r>
      <w:r w:rsidR="00B42098">
        <w:rPr>
          <w:rFonts w:ascii="Times New Roman" w:eastAsia="Arial" w:hAnsi="Times New Roman" w:cs="Times New Roman"/>
          <w:bCs/>
          <w:sz w:val="24"/>
          <w:szCs w:val="24"/>
        </w:rPr>
        <w:t>.</w:t>
      </w:r>
      <w:r>
        <w:rPr>
          <w:rFonts w:ascii="Times New Roman" w:eastAsia="Arial" w:hAnsi="Times New Roman" w:cs="Times New Roman"/>
          <w:bCs/>
          <w:sz w:val="24"/>
          <w:szCs w:val="24"/>
        </w:rPr>
        <w:t xml:space="preserve"> </w:t>
      </w:r>
      <w:r w:rsidR="00B42098">
        <w:rPr>
          <w:rFonts w:ascii="Times New Roman" w:eastAsia="Arial" w:hAnsi="Times New Roman" w:cs="Times New Roman"/>
          <w:bCs/>
          <w:sz w:val="24"/>
          <w:szCs w:val="24"/>
        </w:rPr>
        <w:t>These pathways are</w:t>
      </w:r>
      <w:r>
        <w:rPr>
          <w:rFonts w:ascii="Times New Roman" w:eastAsia="Arial" w:hAnsi="Times New Roman" w:cs="Times New Roman"/>
          <w:bCs/>
          <w:sz w:val="24"/>
          <w:szCs w:val="24"/>
        </w:rPr>
        <w:t xml:space="preserve"> responsible for cell survival, growth and differentiation.</w:t>
      </w:r>
      <w:r w:rsidR="00EE5D50">
        <w:rPr>
          <w:rFonts w:ascii="Times New Roman" w:eastAsia="Arial" w:hAnsi="Times New Roman" w:cs="Times New Roman"/>
          <w:bCs/>
          <w:sz w:val="24"/>
          <w:szCs w:val="24"/>
        </w:rPr>
        <w:t xml:space="preserve"> </w:t>
      </w:r>
      <w:bookmarkStart w:id="335" w:name="_Toc328301094"/>
      <w:bookmarkStart w:id="336" w:name="_Toc329593388"/>
    </w:p>
    <w:p w14:paraId="6D1E8CC8" w14:textId="77777777" w:rsidR="008E3664" w:rsidRPr="008E3664" w:rsidRDefault="008E3664" w:rsidP="008E3664">
      <w:pPr>
        <w:pStyle w:val="Body"/>
        <w:spacing w:line="360" w:lineRule="auto"/>
        <w:jc w:val="both"/>
        <w:rPr>
          <w:rFonts w:ascii="Times New Roman" w:eastAsia="Arial" w:hAnsi="Times New Roman" w:cs="Times New Roman"/>
          <w:bCs/>
          <w:sz w:val="24"/>
          <w:szCs w:val="24"/>
        </w:rPr>
      </w:pPr>
    </w:p>
    <w:p w14:paraId="5906DA40" w14:textId="76EFC148" w:rsidR="00E81753" w:rsidRDefault="00E81753" w:rsidP="00E81753">
      <w:pPr>
        <w:pStyle w:val="Heading3"/>
      </w:pPr>
      <w:bookmarkStart w:id="337" w:name="_Toc331425887"/>
      <w:bookmarkStart w:id="338" w:name="_Toc331427074"/>
      <w:bookmarkStart w:id="339" w:name="_Toc331427446"/>
      <w:bookmarkStart w:id="340" w:name="_Toc331427588"/>
      <w:bookmarkStart w:id="341" w:name="_Toc332972592"/>
      <w:bookmarkStart w:id="342" w:name="_Toc333046872"/>
      <w:bookmarkStart w:id="343" w:name="_Toc333477219"/>
      <w:bookmarkStart w:id="344" w:name="_Toc333477989"/>
      <w:bookmarkStart w:id="345" w:name="_Toc333644889"/>
      <w:r>
        <w:t>1.5.2 Role of Insulin/IGF1 signalling in the brain</w:t>
      </w:r>
      <w:bookmarkEnd w:id="335"/>
      <w:bookmarkEnd w:id="336"/>
      <w:bookmarkEnd w:id="337"/>
      <w:bookmarkEnd w:id="338"/>
      <w:bookmarkEnd w:id="339"/>
      <w:bookmarkEnd w:id="340"/>
      <w:bookmarkEnd w:id="341"/>
      <w:bookmarkEnd w:id="342"/>
      <w:bookmarkEnd w:id="343"/>
      <w:bookmarkEnd w:id="344"/>
      <w:bookmarkEnd w:id="345"/>
    </w:p>
    <w:p w14:paraId="3757C23F" w14:textId="77777777" w:rsidR="00782B08" w:rsidRPr="00782B08" w:rsidRDefault="00782B08" w:rsidP="00782B08"/>
    <w:p w14:paraId="05516152" w14:textId="46CE0AEF" w:rsidR="00EF2AF4" w:rsidRPr="0016200A" w:rsidRDefault="00605742" w:rsidP="00EF2AF4">
      <w:pPr>
        <w:rPr>
          <w:rFonts w:ascii="Times New Roman" w:hAnsi="Times New Roman" w:cs="Times New Roman"/>
          <w:b/>
          <w:i/>
          <w:color w:val="FF0000"/>
          <w:u w:val="single"/>
        </w:rPr>
      </w:pPr>
      <w:r>
        <w:rPr>
          <w:rFonts w:ascii="Times New Roman" w:hAnsi="Times New Roman" w:cs="Times New Roman"/>
          <w:b/>
          <w:i/>
          <w:u w:val="single"/>
        </w:rPr>
        <w:t>Insulin</w:t>
      </w:r>
    </w:p>
    <w:p w14:paraId="2CC6F40E" w14:textId="7C54B9EA" w:rsidR="00605742" w:rsidRDefault="00EF2AF4" w:rsidP="00EF2AF4">
      <w:pPr>
        <w:pStyle w:val="Body"/>
        <w:spacing w:line="360" w:lineRule="auto"/>
        <w:jc w:val="both"/>
        <w:rPr>
          <w:rFonts w:ascii="Times New Roman" w:hAnsi="Times New Roman" w:cs="Times New Roman"/>
          <w:sz w:val="24"/>
          <w:szCs w:val="24"/>
          <w:lang w:val="da-DK"/>
        </w:rPr>
      </w:pPr>
      <w:r w:rsidRPr="00EF2AF4">
        <w:rPr>
          <w:rFonts w:ascii="Times New Roman" w:hAnsi="Times New Roman" w:cs="Times New Roman"/>
          <w:sz w:val="24"/>
          <w:szCs w:val="24"/>
        </w:rPr>
        <w:t>In peripheral tissue, insulin receptors are necessary to mediate glucose transport</w:t>
      </w:r>
      <w:r w:rsidR="00605742">
        <w:rPr>
          <w:rFonts w:ascii="Times New Roman" w:hAnsi="Times New Roman" w:cs="Times New Roman"/>
          <w:sz w:val="24"/>
          <w:szCs w:val="24"/>
        </w:rPr>
        <w:t xml:space="preserve"> </w:t>
      </w:r>
      <w:r w:rsidR="004D62E7">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"10.2119/2005-00029.Saltiel", "ISSN" : "1076-1551", "PMID" : "16307172", "abstract" : "Gaps remain in our understanding of the precise molecular mechanisms by which insulin regulates glucose uptake in fat and muscle cells. Recent evidence suggests that insulin action involves multiple pathways, each compartmentalized in discrete domains. Upon activation, the receptor catalyzes the tyrosine phosphorylation of a number of substrates. One family of these, the insulin receptor substrate (IRS) proteins, initiates activation of the phosphatidylinositol 3-kinase pathway, resulting in stimulation of protein kinases such as Akt and atypical protein kinase C. The receptor also phosphorylates the adapter protein APS, resulting in the activation of the G protein TC10, which resides in lipid rafts. TC10 can influence a number of cellular processes, including changes in the actin cytoskeleton, recruitment of effectors such as the adapter protein CIP4, and assembly of the exocyst complex. These pathways converge to control the recycling of the facilitative glucose transporter Glut4.", "author" : [ { "dropping-particle" : "", "family" : "Chang", "given" : "Louise", "non-dropping-particle" : "", "parse-names" : false, "suffix" : "" }, { "dropping-particle" : "", "family" : "Chiang", "given" : "Shian-Huey", "non-dropping-particle" : "", "parse-names" : false, "suffix" : "" }, { "dropping-particle" : "", "family" : "Saltiel", "given" : "Alan R", "non-dropping-particle" : "", "parse-names" : false, "suffix" : "" } ], "container-title" : "Molecular medicine (Cambridge, Mass.)", "id" : "ITEM-1", "issue" : "7-12", "issued" : { "date-parts" : [ [ "2004" ] ] }, "page" : "65-71", "publisher" : "The Feinstein Institute for Medical Research", "title" : "Insulin signaling and the regulation of glucose transport.", "type" : "article-journal", "volume" : "10" }, "uris" : [ "http://www.mendeley.com/documents/?uuid=bdeae49c-c566-302d-919b-0aad74671136" ] } ], "mendeley" : { "formattedCitation" : "(Chang et al. 2004)", "plainTextFormattedCitation" : "(Chang et al. 2004)", "previouslyFormattedCitation" : "(Chang et al. 2004)" }, "properties" : { "noteIndex" : 0 }, "schema" : "https://github.com/citation-style-language/schema/raw/master/csl-citation.json" }</w:instrText>
      </w:r>
      <w:r w:rsidR="004D62E7">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(Chang et al. 2004)</w:t>
      </w:r>
      <w:r w:rsidR="004D62E7">
        <w:rPr>
          <w:rFonts w:ascii="Times New Roman" w:hAnsi="Times New Roman" w:cs="Times New Roman"/>
          <w:color w:val="auto"/>
          <w:sz w:val="24"/>
          <w:szCs w:val="24"/>
        </w:rPr>
        <w:fldChar w:fldCharType="end"/>
      </w:r>
      <w:r w:rsidRPr="00EF2AF4">
        <w:rPr>
          <w:rFonts w:ascii="Times New Roman" w:hAnsi="Times New Roman" w:cs="Times New Roman"/>
          <w:sz w:val="24"/>
          <w:szCs w:val="24"/>
        </w:rPr>
        <w:t>. However, the presence and function of insulin receptors in the brain is somewhat of a</w:t>
      </w:r>
      <w:r w:rsidR="00E81753">
        <w:rPr>
          <w:rFonts w:ascii="Times New Roman" w:hAnsi="Times New Roman" w:cs="Times New Roman"/>
          <w:sz w:val="24"/>
          <w:szCs w:val="24"/>
        </w:rPr>
        <w:t>n enigma despite discovery</w:t>
      </w:r>
      <w:r w:rsidR="007351BF">
        <w:rPr>
          <w:rFonts w:ascii="Times New Roman" w:hAnsi="Times New Roman" w:cs="Times New Roman"/>
          <w:sz w:val="24"/>
          <w:szCs w:val="24"/>
        </w:rPr>
        <w:t xml:space="preserve"> of their</w:t>
      </w:r>
      <w:r w:rsidRPr="00EF2AF4">
        <w:rPr>
          <w:rFonts w:ascii="Times New Roman" w:hAnsi="Times New Roman" w:cs="Times New Roman"/>
          <w:sz w:val="24"/>
          <w:szCs w:val="24"/>
        </w:rPr>
        <w:t xml:space="preserve"> expression in the brain many years ago </w:t>
      </w:r>
      <w:r w:rsidR="00DC2DFB">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"ISSN" : "0306-4522", "PMID" : "2771055", "abstract" : "Previous studies have suggested that insulin may play a role in the hormonal regulation of neurotransmitter metabolisms within the central nervous system. In order to provide additional information to support this hypothesis, we examined the distribution of insulin receptors within the forebrain of adult male rats. Insulin receptors were localized by immunocytochemistry, using an antibody directed against the carboxy-terminus of the beta-subunit of the insulin receptor. The antibody specificity was tested by immunoprecipitation of brain insulin receptors with antiserum and the purity of the receptor-antibody preparation was determined using hormone binding-assays with radiolabeled insulin and insulin-like growth factor-l. Insulin receptor-like immunoreactivity was found in a widespread, but selective, distribution on neurons throughout the rat forebrain. Double-labeling with glial fibrillary acidic protein did not demonstrate any detectable insulin receptor-like immunoreactivity on glial cells. Areas with the highest density of insulin receptor-like immunoreactivity were found in the olfactory bulbs, hypothalamus and median eminence, medial habenula, subthalamic nucleus, subfornical organ, CA 1/2 pyramidal cell layer of the hippocampus and piriform cortex. Double-staining of hypothalamic sections with somatostatin and vasopressin antisera revealed insulin receptor-like immunoreactivity on a subpopulation of somatostatin neurons in the periventricular region and on vasopressin neurons in the supraoptic nucleus. A moderately dense insulin receptor-like immunoreactivity was observed in layers II-IV of cerebral cortex, medial amygdala, reticular thalamic nucleus, zona incerta, and preoptic and septal regions, whereas a low density of insulin receptor-like immunoreactive neurons was found in basolateral amygdala and most thalamic regions. The basal ganglia and most parts of the thalamus were almost devoid of insulin receptor-like immunoreactivity. Our findings provide morphological support for a direct action of insulin on selected regions of the rat forebrain and suggest that the insulin receptor may modulate synaptic transmission or the release of neurotransmitters and peptide hormones in the CNS.", "author" : [ { "dropping-particle" : "", "family" : "Unger", "given" : "J", "non-dropping-particle" : "", "parse-names" : false, "suffix" : "" }, { "dropping-particle" : "", "family" : "McNeill", "given" : "T H", "non-dropping-particle" : "", "parse-names" : false, "suffix" : "" }, { "dropping-particle" : "", "family" : "Moxley", "given" : "R T", "non-dropping-particle" : "", "parse-names" : false, "suffix" : "" }, { "dropping-particle" : "", "family" : "White", "given" : "M", "non-dropping-particle" : "", "parse-names" : false, "suffix" : "" }, { "dropping-particle" : "", "family" : "Moss", "given" : "A", "non-dropping-particle" : "", "parse-names" : false, "suffix" : "" }, { "dropping-particle" : "", "family" : "Livingston", "given" : "J N", "non-dropping-particle" : "", "parse-names" : false, "suffix" : "" } ], "container-title" : "Neuroscience", "id" : "ITEM-1", "issue" : "1", "issued" : { "date-parts" : [ [ "1989", "1" ] ] }, "page" : "143-57", "title" : "Distribution of insulin receptor-like immunoreactivity in the rat forebrain.", "type" : "article-journal", "volume" : "31" }, "uris" : [ "http://www.mendeley.com/documents/?uuid=449bcfa6-05aa-4f68-a61e-b0e551672f22" ] } ], "mendeley" : { "formattedCitation" : "(Unger et al. 1989)", "plainTextFormattedCitation" : "(Unger et al. 1989)", "previouslyFormattedCitation" : "(Unger et al. 1989)" }, "properties" : { "noteIndex" : 0 }, "schema" : "https://github.com/citation-style-language/schema/raw/master/csl-citation.json" }</w:instrText>
      </w:r>
      <w:r w:rsidR="00DC2DFB">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(Unger et al. 1989)</w:t>
      </w:r>
      <w:r w:rsidR="00DC2DFB">
        <w:rPr>
          <w:rFonts w:ascii="Times New Roman" w:hAnsi="Times New Roman" w:cs="Times New Roman"/>
          <w:sz w:val="24"/>
          <w:szCs w:val="24"/>
        </w:rPr>
        <w:fldChar w:fldCharType="end"/>
      </w:r>
      <w:r w:rsidRPr="00EF2AF4">
        <w:rPr>
          <w:rFonts w:ascii="Times New Roman" w:hAnsi="Times New Roman" w:cs="Times New Roman"/>
          <w:sz w:val="24"/>
          <w:szCs w:val="24"/>
        </w:rPr>
        <w:t xml:space="preserve">. Insulin receptors are densely localised in the hippocampus, entorhinal cortex, frontal cortex and synapses of the brain </w:t>
      </w:r>
      <w:r w:rsidR="00DC2DFB">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"10.1007/s007020050068", "ISSN" : "03009564", "author" : [ { "dropping-particle" : "", "family" : "Fr\u00f6lich", "given" : "L.", "non-dropping-particle" : "", "parse-names" : false, "suffix" : "" }, { "dropping-particle" : "", "family" : "Blum-Degen", "given" : "D.", "non-dropping-particle" : "", "parse-names" : false, "suffix" : "" }, { "dropping-particle" : "", "family" : "Bernstein", "given" : "H.-G.", "non-dropping-particle" : "", "parse-names" : false, "suffix" : "" }, { "dropping-particle" : "", "family" : "Engelsberger", "given" : "S.", "non-dropping-particle" : "", "parse-names" : false, "suffix" : "" }, { "dropping-particle" : "", "family" : "Humrich", "given" : "J.", "non-dropping-particle" : "", "parse-names" : false, "suffix" : "" }, { "dropping-particle" : "", "family" : "Laufer", "given" : "S.", "non-dropping-particle" : "", "parse-names" : false, "suffix" : "" }, { "dropping-particle" : "", "family" : "Muschner", "given" : "D.", "non-dropping-particle" : "", "parse-names" : false, "suffix" : "" }, { "dropping-particle" : "", "family" : "Thalheimer", "given" : "A.", "non-dropping-particle" : "", "parse-names" : false, "suffix" : "" }, { "dropping-particle" : "", "family" : "T\u00fcrk", "given" : "A.", "non-dropping-particle" : "", "parse-names" : false, "suffix" : "" }, { "dropping-particle" : "", "family" : "Hoyer", "given" : "S.", "non-dropping-particle" : "", "parse-names" : false, "suffix" : "" }, { "dropping-particle" : "", "family" : "Z\u00f6chling", "given" : "R.", "non-dropping-particle" : "", "parse-names" : false, "suffix" : "" }, { "dropping-particle" : "", "family" : "Boissl", "given" : "K. W.", "non-dropping-particle" : "", "parse-names" : false, "suffix" : "" }, { "dropping-particle" : "", "family" : "Jellinger", "given" : "K.", "non-dropping-particle" : "", "parse-names" : false, "suffix" : "" }, { "dropping-particle" : "", "family" : "Riederer", "given" : "P.", "non-dropping-particle" : "", "parse-names" : false, "suffix" : "" } ], "container-title" : "Journal of Neural Transmission", "id" : "ITEM-1", "issue" : "4", "issued" : { "date-parts" : [ [ "1998" ] ] }, "page" : "423", "title" : "Brain insulin and insulin receptors in aging and sporadic Alzheimer's disease", "type" : "article-journal", "volume" : "105" }, "uris" : [ "http://www.mendeley.com/documents/?uuid=2601f3b0-247f-46a8-8e0e-5fed4892f478" ] } ], "mendeley" : { "formattedCitation" : "(Fr\u00f6lich et al. 1998)", "plainTextFormattedCitation" : "(Fr\u00f6lich et al. 1998)", "previouslyFormattedCitation" : "(Fr\u00f6lich et al. 1998)" }, "properties" : { "noteIndex" : 0 }, "schema" : "https://github.com/citation-style-language/schema/raw/master/csl-citation.json" }</w:instrText>
      </w:r>
      <w:r w:rsidR="00DC2DFB">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(Frölich et al. 1998)</w:t>
      </w:r>
      <w:r w:rsidR="00DC2DFB">
        <w:rPr>
          <w:rFonts w:ascii="Times New Roman" w:hAnsi="Times New Roman" w:cs="Times New Roman"/>
          <w:sz w:val="24"/>
          <w:szCs w:val="24"/>
        </w:rPr>
        <w:fldChar w:fldCharType="end"/>
      </w:r>
      <w:r w:rsidR="00DC2DFB">
        <w:rPr>
          <w:rFonts w:ascii="Times New Roman" w:hAnsi="Times New Roman" w:cs="Times New Roman"/>
          <w:sz w:val="24"/>
          <w:szCs w:val="24"/>
        </w:rPr>
        <w:t>.</w:t>
      </w:r>
      <w:r w:rsidRPr="00EF2AF4">
        <w:rPr>
          <w:rFonts w:ascii="Times New Roman" w:hAnsi="Times New Roman" w:cs="Times New Roman"/>
          <w:sz w:val="24"/>
          <w:szCs w:val="24"/>
        </w:rPr>
        <w:t xml:space="preserve"> Brain IR has a lower molecular weight as it is less glycosylated than peripheral IR suggesting that brain IR might serve a different role to IR found in peripheral tissue </w:t>
      </w:r>
      <w:r w:rsidR="00DC2DFB">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"ISSN" : "0002-9513", "PMID" : "6351631", "abstract" : "We have examined the effect of insulin and tunicamycin, which cause decreases in cell surface insulin receptor numbers in peripheral tissues, on insulin receptors in neuron-enriched brain cell cultures. Incubation with 0.016-0.83 microM insulin for 24 h failed to decrease the specific binding of 125I-insulin in neuron-enriched cultures prepared from whole brains of 1-day-old rats. In contrast, these concentrations of insulin produced a dose-dependent decrease in the binding of 125I-insulin in fibroblastic cultures. Tunicamycin, an antibiotic which inhibits glycosylation of proteins and greatly reduced insulin binding via a reduction in apparent receptor numbers in fibroblastic cultures, caused no decrease in the binding of 125I-insulin in neuron-enriched cultures. These results indicate that brain insulin receptors are not down regulated by insulin and that glycosylation of insulin receptors may not be an important step in the regulation of their surface expression in the brain.", "author" : [ { "dropping-particle" : "", "family" : "Boyd", "given" : "F T", "non-dropping-particle" : "", "parse-names" : false, "suffix" : "" }, { "dropping-particle" : "", "family" : "Raizada", "given" : "M K", "non-dropping-particle" : "", "parse-names" : false, "suffix" : "" } ], "container-title" : "The American journal of physiology", "id" : "ITEM-1", "issue" : "3", "issued" : { "date-parts" : [ [ "1983", "9" ] ] }, "page" : "C283-7", "title" : "Effects of insulin and tunicamycin on neuronal insulin receptors in culture.", "type" : "article-journal", "volume" : "245" }, "uris" : [ "http://www.mendeley.com/documents/?uuid=b937dcd4-9b1b-4fa3-a253-0915e4fe6eff" ] } ], "mendeley" : { "formattedCitation" : "(Boyd &amp; Raizada 1983)", "plainTextFormattedCitation" : "(Boyd &amp; Raizada 1983)", "previouslyFormattedCitation" : "(Boyd &amp; Raizada 1983)" }, "properties" : { "noteIndex" : 0 }, "schema" : "https://github.com/citation-style-language/schema/raw/master/csl-citation.json" }</w:instrText>
      </w:r>
      <w:r w:rsidR="00DC2DFB">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(Boyd &amp; Raizada 1983)</w:t>
      </w:r>
      <w:r w:rsidR="00DC2DFB">
        <w:rPr>
          <w:rFonts w:ascii="Times New Roman" w:hAnsi="Times New Roman" w:cs="Times New Roman"/>
          <w:sz w:val="24"/>
          <w:szCs w:val="24"/>
        </w:rPr>
        <w:fldChar w:fldCharType="end"/>
      </w:r>
      <w:r w:rsidR="00D81CE7">
        <w:rPr>
          <w:rFonts w:ascii="Times New Roman" w:hAnsi="Times New Roman" w:cs="Times New Roman"/>
          <w:sz w:val="24"/>
          <w:szCs w:val="24"/>
        </w:rPr>
        <w:t xml:space="preserve">. </w:t>
      </w:r>
      <w:r w:rsidR="00F201FE">
        <w:rPr>
          <w:rFonts w:ascii="Times New Roman" w:hAnsi="Times New Roman" w:cs="Times New Roman"/>
          <w:sz w:val="24"/>
          <w:szCs w:val="24"/>
        </w:rPr>
        <w:t>More recently, different splice isoforms have been identified in human astrocytes and in a human</w:t>
      </w:r>
      <w:r w:rsidR="00DD64FA">
        <w:rPr>
          <w:rFonts w:ascii="Times New Roman" w:hAnsi="Times New Roman" w:cs="Times New Roman"/>
          <w:sz w:val="24"/>
          <w:szCs w:val="24"/>
        </w:rPr>
        <w:t xml:space="preserve"> neuronal cell line, with astrocytes predominantly expressing the IR-B isoform than IR-A</w:t>
      </w:r>
      <w:r w:rsidR="007003B0">
        <w:rPr>
          <w:rFonts w:ascii="Times New Roman" w:hAnsi="Times New Roman" w:cs="Times New Roman"/>
          <w:sz w:val="24"/>
          <w:szCs w:val="24"/>
        </w:rPr>
        <w:t xml:space="preserve"> </w:t>
      </w:r>
      <w:r w:rsidR="007003B0">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"10.1186/s13041-015-0138-6", "ISSN" : "1756-6606", "PMID" : "26297026", "abstract" : "BACKGROUND: The insulin/IGF1 signalling (IIS) pathways are involved in longevity regulation and are dysregulated in neurons in Alzheimer's disease (AD). We previously showed downregulation in IIS gene expression in astrocytes with AD-neuropathology progression, but IIS in astrocytes remains poorly understood. We therefore examined the IIS pathway in human astrocytes and developed models to reduce IIS at the level of the insulin or the IGF1 receptor (IGF1R).\n\nRESULTS: We determined IIS was present and functional in human astrocytes by immunoblotting and showed astrocytes express the insulin receptor (IR)-B isoform of Ir. Immunocytochemistry and cell fractionation followed by western blotting revealed the phosphorylation status of insulin receptor substrate (IRS1) affects its subcellular localisation. To validate IRS1 expression patterns observed in culture, expression of key pathway components was assessed on post-mortem AD and control tissue using immunohistochemistry. Insulin signalling was impaired in cultured astrocytes by treatment with insulin + fructose and resulted in decreased IR and Akt phosphorylation (pAkt S473). A monoclonal antibody against IGF1R (MAB391) induced degradation of IGF1R receptor with an associated decrease in downstream pAkt S473. Neither treatment affected cell growth or viability as measured by MTT and Cyquant\u00ae assays or GFAP immunoreactivity.\n\nDISCUSSION: IIS is functional in astrocytes. IR-B is expressed in astrocytes which differs from the pattern in neurons, and may be important in differential susceptibility of astrocytes and neurons to insulin resistance. The variable presence of IRS1 in the nucleus, dependent on phosphorylation pattern, suggests the function of signalling molecules is not confined to cytoplasmic cascades. Down-regulation of IR and IGF1R, achieved by insulin + fructose and monoclonal antibody treatments, results in decreased downstream signalling, though the lack of effect on viability suggests that astrocytes can compensate for changes in single pathways. Changes in signalling in astrocytes, as well as in neurons, may be important in ageing and neurodegeneration.", "author" : [ { "dropping-particle" : "", "family" : "Garwood", "given" : "Claire J", "non-dropping-particle" : "", "parse-names" : false, "suffix" : "" }, { "dropping-particle" : "", "family" : "Ratcliffe", "given" : "Laura E", "non-dropping-particle" : "", "parse-names" : false, "suffix" : "" }, { "dropping-particle" : "V", "family" : "Morgan", "given" : "Sarah", "non-dropping-particle" : "", "parse-names" : false, "suffix" : "" }, { "dropping-particle" : "", "family" : "Simpson", "given" : "Julie E", "non-dropping-particle" : "", "parse-names" : false, "suffix" : "" }, { "dropping-particle" : "", "family" : "Owens", "given" : "Helen", "non-dropping-particle" : "", "parse-names" : false, "suffix" : "" }, { "dropping-particle" : "", "family" : "Vazquez-Villase\u00f1or", "given" : "Irina", "non-dropping-particle" : "", "parse-names" : false, "suffix" : "" }, { "dropping-particle" : "", "family" : "Heath", "given" : "Paul R", "non-dropping-particle" : "", "parse-names" : false, "suffix" : "" }, { "dropping-particle" : "", "family" : "Romero", "given" : "Ignacio A", "non-dropping-particle" : "", "parse-names" : false, "suffix" : "" }, { "dropping-particle" : "", "family" : "Ince", "given" : "Paul G", "non-dropping-particle" : "", "parse-names" : false, "suffix" : "" }, { "dropping-particle" : "", "family" : "Wharton", "given" : "Stephen B", "non-dropping-particle" : "", "parse-names" : false, "suffix" : "" } ], "container-title" : "Molecular brain", "id" : "ITEM-1", "issued" : { "date-parts" : [ [ "2015", "1" ] ] }, "page" : "51", "title" : "Insulin and IGF1 signalling pathways in human astrocytes in vitro and in vivo; characterisation, subcellular localisation and modulation of the receptors.", "type" : "article-journal", "volume" : "8" }, "uris" : [ "http://www.mendeley.com/documents/?uuid=07852e18-7d1c-4e1f-bacc-f7dad8fe7c42" ] } ], "mendeley" : { "formattedCitation" : "(Garwood et al. 2015)", "plainTextFormattedCitation" : "(Garwood et al. 2015)", "previouslyFormattedCitation" : "(Garwood et al. 2015)" }, "properties" : { "noteIndex" : 0 }, "schema" : "https://github.com/citation-style-language/schema/raw/master/csl-citation.json" }</w:instrText>
      </w:r>
      <w:r w:rsidR="007003B0">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(Garwood et al. 2015)</w:t>
      </w:r>
      <w:r w:rsidR="007003B0">
        <w:rPr>
          <w:rFonts w:ascii="Times New Roman" w:hAnsi="Times New Roman" w:cs="Times New Roman"/>
          <w:sz w:val="24"/>
          <w:szCs w:val="24"/>
        </w:rPr>
        <w:fldChar w:fldCharType="end"/>
      </w:r>
      <w:r w:rsidR="00DD64FA">
        <w:rPr>
          <w:rFonts w:ascii="Times New Roman" w:hAnsi="Times New Roman" w:cs="Times New Roman"/>
          <w:sz w:val="24"/>
          <w:szCs w:val="24"/>
        </w:rPr>
        <w:t>.</w:t>
      </w:r>
      <w:r w:rsidR="006341CE">
        <w:rPr>
          <w:rFonts w:ascii="Times New Roman" w:hAnsi="Times New Roman" w:cs="Times New Roman"/>
          <w:sz w:val="24"/>
          <w:szCs w:val="24"/>
        </w:rPr>
        <w:t xml:space="preserve"> Another study has shown that chronic stimulation with insulin causes downregulation of IR in glia and not neurons</w:t>
      </w:r>
      <w:r w:rsidR="007003B0">
        <w:rPr>
          <w:rFonts w:ascii="Times New Roman" w:hAnsi="Times New Roman" w:cs="Times New Roman"/>
          <w:sz w:val="24"/>
          <w:szCs w:val="24"/>
        </w:rPr>
        <w:t xml:space="preserve"> </w:t>
      </w:r>
      <w:r w:rsidR="007003B0" w:rsidRPr="006030E3">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"ISSN" : "0021-9258", "PMID" : "6384211", "abstract" : "The kinetics of 125I-insulin binding and physiological activity of insulin on glial cells cultured from brains of 1-day-old rats have been studied. Binding of 125I-insulin to cultured glial cells was specific, reversible, and time-dependent. Porcine and chicken insulin competed equally for 125I-insulin binding while other hormones or insulin analogs competed in proportion to their insulin-like biological activity. Incubation of glial cultures with insulin resulted in a time- and dose-dependent stimulation of 2-deoxy-D-glucose uptake. Maximal stimulation (190% of control) was observed with 18 nM insulin, and 0.1 nM insulin caused half-maximum effect. The stimulatory effect of insulin on 2-deoxy-D-glucose uptake was due to its effect on Vmax without affecting the Km. These observations suggest that insulin stimulates glucose uptake in glial cells cultured from rat brain, the effect mediated by insulin specific receptors.", "author" : [ { "dropping-particle" : "", "family" : "Clarke", "given" : "D W", "non-dropping-particle" : "", "parse-names" : false, "suffix" : "" }, { "dropping-particle" : "", "family" : "Boyd", "given" : "F T", "non-dropping-particle" : "", "parse-names" : false, "suffix" : "" }, { "dropping-particle" : "", "family" : "Kappy", "given" : "M S", "non-dropping-particle" : "", "parse-names" : false, "suffix" : "" }, { "dropping-particle" : "", "family" : "Raizada", "given" : "M K", "non-dropping-particle" : "", "parse-names" : false, "suffix" : "" } ], "container-title" : "The Journal of biological chemistry", "id" : "ITEM-1", "issue" : "19", "issued" : { "date-parts" : [ [ "1984", "10", "10" ] ] }, "page" : "11672-5", "publisher" : "American Society for Biochemistry and Molecular Biology", "title" : "Insulin binds to specific receptors and stimulates 2-deoxy-D-glucose uptake in cultured glial cells from rat brain.", "type" : "article-journal", "volume" : "259" }, "uris" : [ "http://www.mendeley.com/documents/?uuid=26035c40-b33e-3430-87c7-00ee042bd448" ] } ], "mendeley" : { "formattedCitation" : "(Clarke et al. 1984)", "plainTextFormattedCitation" : "(Clarke et al. 1984)", "previouslyFormattedCitation" : "(Clarke et al. 1984)" }, "properties" : { "noteIndex" : 0 }, "schema" : "https://github.com/citation-style-language/schema/raw/master/csl-citation.json" }</w:instrText>
      </w:r>
      <w:r w:rsidR="007003B0" w:rsidRPr="006030E3">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(Clarke et al. 1984)</w:t>
      </w:r>
      <w:r w:rsidR="007003B0" w:rsidRPr="006030E3">
        <w:rPr>
          <w:rFonts w:ascii="Times New Roman" w:hAnsi="Times New Roman" w:cs="Times New Roman"/>
          <w:color w:val="auto"/>
          <w:sz w:val="24"/>
          <w:szCs w:val="24"/>
        </w:rPr>
        <w:fldChar w:fldCharType="end"/>
      </w:r>
      <w:r w:rsidR="006341CE" w:rsidRPr="006030E3">
        <w:rPr>
          <w:rFonts w:ascii="Times New Roman" w:hAnsi="Times New Roman" w:cs="Times New Roman"/>
          <w:color w:val="auto"/>
          <w:sz w:val="24"/>
          <w:szCs w:val="24"/>
        </w:rPr>
        <w:t>.</w:t>
      </w:r>
      <w:r w:rsidR="006341CE">
        <w:rPr>
          <w:rFonts w:ascii="Times New Roman" w:hAnsi="Times New Roman" w:cs="Times New Roman"/>
          <w:sz w:val="24"/>
          <w:szCs w:val="24"/>
        </w:rPr>
        <w:t xml:space="preserve"> Taken together, this may suggest</w:t>
      </w:r>
      <w:r w:rsidR="007003B0">
        <w:rPr>
          <w:rFonts w:ascii="Times New Roman" w:hAnsi="Times New Roman" w:cs="Times New Roman"/>
          <w:sz w:val="24"/>
          <w:szCs w:val="24"/>
        </w:rPr>
        <w:t xml:space="preserve"> that expression of IR-B makes astrocytes more prone to insulin-resistance but further work is necessary to investigate this.</w:t>
      </w:r>
      <w:r w:rsidR="00F201FE">
        <w:rPr>
          <w:rFonts w:ascii="Times New Roman" w:hAnsi="Times New Roman" w:cs="Times New Roman"/>
          <w:sz w:val="24"/>
          <w:szCs w:val="24"/>
        </w:rPr>
        <w:t xml:space="preserve"> </w:t>
      </w:r>
      <w:r w:rsidR="00D81CE7">
        <w:rPr>
          <w:rFonts w:ascii="Times New Roman" w:hAnsi="Times New Roman" w:cs="Times New Roman"/>
          <w:sz w:val="24"/>
          <w:szCs w:val="24"/>
        </w:rPr>
        <w:t>Current evidence suggests</w:t>
      </w:r>
      <w:r w:rsidR="00F766DE">
        <w:rPr>
          <w:rFonts w:ascii="Times New Roman" w:hAnsi="Times New Roman" w:cs="Times New Roman"/>
          <w:sz w:val="24"/>
          <w:szCs w:val="24"/>
        </w:rPr>
        <w:t xml:space="preserve"> that the </w:t>
      </w:r>
      <w:r w:rsidRPr="00EF2AF4">
        <w:rPr>
          <w:rFonts w:ascii="Times New Roman" w:hAnsi="Times New Roman" w:cs="Times New Roman"/>
          <w:sz w:val="24"/>
          <w:szCs w:val="24"/>
        </w:rPr>
        <w:t xml:space="preserve">IR serves to facilitate tight regulation of glucose transport to specfic regions in the brain </w:t>
      </w:r>
      <w:r w:rsidR="00DC2DFB">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"10.1016/0306-4522(86)90082-5", "ISSN" : "03064522", "abstract" : "The binding of 125I-labeled insulin in thin sections of frozen fresh rat brain (95% specific binding) was shown using autoradiography. By several criteria including structure-activity relationship analysis, the brain insulin receptors were qualitatively indistinguishable from insulin receptors previously characterized on brain and other more typical target tissues and distinct from receptors for the insulin-like growth factors. The 125I-labeled insulin binding sites in brain formed a distinct pattern with high levels of binding in all olfactory areas and in closely related limbic regions. Binding was also prominent in the neocortex and the accessory motor areas of the basal ganglia and the cerebellum. Among ancillary brain structures only the choroid plexus demonstrated a high density of insulin receptors. When insulin receptors were located on cortical or laminated structures, the highest binding occurred in the superficial (\u201cmolecular\u201d or \u201cplexiform\u201d) layer, i.e. the layer which receives afferent input and/or is rich in the dendritic branches of principal neurons (e.g. external plexiform layer of the olfactory bulb and the molecular layer of the dentate gyrus). The enrichment of insulin receptors in the olfactory and limbic systems, which is a characteristic feature of other known neuropeptides, in addition to their prevalence in the strata occupied by the dendritic fields of principle neurons, suggests a neuromodulatory function for insulin in the brain.", "author" : [ { "dropping-particle" : "", "family" : "Hill", "given" : "J.M.", "non-dropping-particle" : "", "parse-names" : false, "suffix" : "" }, { "dropping-particle" : "", "family" : "Lesniak", "given" : "M.A.", "non-dropping-particle" : "", "parse-names" : false, "suffix" : "" }, { "dropping-particle" : "", "family" : "Pert", "given" : "C.B.", "non-dropping-particle" : "", "parse-names" : false, "suffix" : "" }, { "dropping-particle" : "", "family" : "Roth", "given" : "J.", "non-dropping-particle" : "", "parse-names" : false, "suffix" : "" } ], "container-title" : "Neuroscience", "id" : "ITEM-1", "issue" : "4", "issued" : { "date-parts" : [ [ "1986", "4" ] ] }, "page" : "1127-1138", "title" : "Autoradiographic localization of insulin receptors in rat brain: Prominence in olfactory and limbic areas", "type" : "article-journal", "volume" : "17" }, "uris" : [ "http://www.mendeley.com/documents/?uuid=32225c21-e095-4697-90b5-fe59d2db8408" ] } ], "mendeley" : { "formattedCitation" : "(Hill et al. 1986)", "plainTextFormattedCitation" : "(Hill et al. 1986)", "previouslyFormattedCitation" : "(Hill et al. 1986)" }, "properties" : { "noteIndex" : 0 }, "schema" : "https://github.com/citation-style-language/schema/raw/master/csl-citation.json" }</w:instrText>
      </w:r>
      <w:r w:rsidR="00DC2DFB">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(Hill et al. 1986)</w:t>
      </w:r>
      <w:r w:rsidR="00DC2DFB">
        <w:rPr>
          <w:rFonts w:ascii="Times New Roman" w:hAnsi="Times New Roman" w:cs="Times New Roman"/>
          <w:sz w:val="24"/>
          <w:szCs w:val="24"/>
        </w:rPr>
        <w:fldChar w:fldCharType="end"/>
      </w:r>
      <w:r w:rsidR="00DC2DFB">
        <w:rPr>
          <w:rFonts w:ascii="Times New Roman" w:hAnsi="Times New Roman" w:cs="Times New Roman"/>
          <w:sz w:val="24"/>
          <w:szCs w:val="24"/>
        </w:rPr>
        <w:t>,</w:t>
      </w:r>
      <w:r w:rsidRPr="00EF2AF4">
        <w:rPr>
          <w:rFonts w:ascii="Times New Roman" w:hAnsi="Times New Roman" w:cs="Times New Roman"/>
          <w:sz w:val="24"/>
          <w:szCs w:val="24"/>
        </w:rPr>
        <w:t xml:space="preserve"> aid the development of the CNS and modulate neuronal excitability and synaptic plasticity </w:t>
      </w:r>
      <w:r w:rsidR="00DC2DFB">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"ISSN" : "0028-0836", "abstract" : "Modification of synaptic strength in the mammalian central nervous system (CNS) occurs at both pre- and postsynaptic sites1,2. However, because postsynaptic receptors are likely to be saturated by released transmitter, an increase in the number of active postsynaptic receptors may be a more efficient way of strengthening synaptic efficacy3, 4, 5, 6, 7. But there has been no evidence for a rapid recruitment of neurotransmitter receptors to the postsynaptic membrane in the CNS. Here we report that insulin causes the type A -aminobutyric acid (GABAA) receptor, the principal receptor that mediates synaptic inhibition in the CNS8, to translocate rapidly from the intracellular compartment to the plasma membrane in transfected HEK 293 cells, and that this relocation requires the 2 subunit of the GABAA receptor. In CNS neurons, insulin increases the expression of GABAA receptors on the postsynaptic and dendritic membranes. We found that insulin increases the number of functional postsynaptic GABAA receptors, thereby increasing the amplitude of the GABAA-receptor-mediated miniature inhibitory postsynaptic currents (mIPSCs) without altering their time course. These results provide evidence for a rapid recruitment of functional receptors to the postsynaptic plasma membrane, suggesting a fundamental mechanism for the generation of synaptic plasticity.", "author" : [ { "dropping-particle" : "", "family" : "Wan", "given" : "Q.", "non-dropping-particle" : "", "parse-names" : false, "suffix" : "" }, { "dropping-particle" : "", "family" : "Xiong", "given" : "Z. G.", "non-dropping-particle" : "", "parse-names" : false, "suffix" : "" }, { "dropping-particle" : "", "family" : "Man", "given" : "H. Y.", "non-dropping-particle" : "", "parse-names" : false, "suffix" : "" }, { "dropping-particle" : "", "family" : "Ackerley", "given" : "C. A.", "non-dropping-particle" : "", "parse-names" : false, "suffix" : "" }, { "dropping-particle" : "", "family" : "Braunton", "given" : "J.", "non-dropping-particle" : "", "parse-names" : false, "suffix" : "" }, { "dropping-particle" : "", "family" : "Lu", "given" : "W. Y.", "non-dropping-particle" : "", "parse-names" : false, "suffix" : "" }, { "dropping-particle" : "", "family" : "Becker", "given" : "L. E.", "non-dropping-particle" : "", "parse-names" : false, "suffix" : "" }, { "dropping-particle" : "", "family" : "MacDonald", "given" : "J. F.", "non-dropping-particle" : "", "parse-names" : false, "suffix" : "" }, { "dropping-particle" : "", "family" : "Wang", "given" : "Y. T.", "non-dropping-particle" : "", "parse-names" : false, "suffix" : "" } ], "id" : "ITEM-1", "issue" : "6643", "issued" : { "date-parts" : [ [ "1997", "8", "14" ] ] }, "page" : "686-690", "title" : "Recruitment of functional GABAA receptors to postsynaptic domains by insulin", "title-short" : "Nature", "type" : "article-journal", "volume" : "388" }, "uris" : [ "http://www.mendeley.com/documents/?uuid=5b88672c-0c26-475d-99b3-d3149355dcf6" ] }, { "id" : "ITEM-2", "itemData" : { "DOI" : "10.1016/j.neuron.2008.04.014", "ISSN" : "1097-4199", "PMID" : "18549783", "abstract" : "Insulin receptor signaling has been postulated to play a role in synaptic plasticity; however, the function of the insulin receptor in CNS is not clear. To test whether insulin receptor signaling affects visual system function, we recorded light-evoked responses in optic tectal neurons in living Xenopus tadpoles. Tectal neurons transfected with dominant-negative insulin receptor (dnIR), which reduces insulin receptor phosphorylation, or morpholino against insulin receptor, which reduces total insulin receptor protein level, have significantly smaller light-evoked responses than controls. dnIR-expressing neurons have reduced synapse density as assessed by EM, decreased AMPA mEPSC frequency, and altered experience-dependent dendritic arbor structural plasticity, although synaptic vesicle release probability, assessed by paired-pulse responses, synapse maturation, assessed by AMPA/NMDA ratio and ultrastructural criteria, are unaffected by dnIR expression. These data indicate that insulin receptor signaling regulates circuit function and plasticity by controlling synapse density.", "author" : [ { "dropping-particle" : "", "family" : "Chiu", "given" : "Shu-Ling", "non-dropping-particle" : "", "parse-names" : false, "suffix" : "" }, { "dropping-particle" : "", "family" : "Chen", "given" : "Chih-Ming", "non-dropping-particle" : "", "parse-names" : false, "suffix" : "" }, { "dropping-particle" : "", "family" : "Cline", "given" : "Hollis T", "non-dropping-particle" : "", "parse-names" : false, "suffix" : "" } ], "container-title" : "Neuron", "id" : "ITEM-2", "issue" : "5", "issued" : { "date-parts" : [ [ "2008", "6", "12" ] ] }, "page" : "708-19", "title" : "Insulin receptor signaling regulates synapse number, dendritic plasticity, and circuit function in vivo.", "type" : "article-journal", "volume" : "58" }, "uris" : [ "http://www.mendeley.com/documents/?uuid=d884cb34-c0d7-41c4-92d2-743a506d9593" ] } ], "mendeley" : { "formattedCitation" : "(Wan et al. 1997; Chiu et al. 2008)", "plainTextFormattedCitation" : "(Wan et al. 1997; Chiu et al. 2008)", "previouslyFormattedCitation" : "(Wan et al. 1997; Chiu et al. 2008)" }, "properties" : { "noteIndex" : 0 }, "schema" : "https://github.com/citation-style-language/schema/raw/master/csl-citation.json" }</w:instrText>
      </w:r>
      <w:r w:rsidR="00DC2DFB">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(Wan et al. 1997; Chiu et al. 2008)</w:t>
      </w:r>
      <w:r w:rsidR="00DC2DFB">
        <w:rPr>
          <w:rFonts w:ascii="Times New Roman" w:hAnsi="Times New Roman" w:cs="Times New Roman"/>
          <w:sz w:val="24"/>
          <w:szCs w:val="24"/>
        </w:rPr>
        <w:fldChar w:fldCharType="end"/>
      </w:r>
      <w:r w:rsidR="00DC2DFB">
        <w:rPr>
          <w:rFonts w:ascii="Times New Roman" w:hAnsi="Times New Roman" w:cs="Times New Roman"/>
          <w:sz w:val="24"/>
          <w:szCs w:val="24"/>
        </w:rPr>
        <w:t>.</w:t>
      </w:r>
      <w:r w:rsidRPr="00EF2AF4">
        <w:rPr>
          <w:rFonts w:ascii="Times New Roman" w:hAnsi="Times New Roman" w:cs="Times New Roman"/>
          <w:sz w:val="24"/>
          <w:szCs w:val="24"/>
        </w:rPr>
        <w:t xml:space="preserve"> Insulin</w:t>
      </w:r>
      <w:r w:rsidR="009414E7">
        <w:rPr>
          <w:rFonts w:ascii="Times New Roman" w:hAnsi="Times New Roman" w:cs="Times New Roman"/>
          <w:sz w:val="24"/>
          <w:szCs w:val="24"/>
        </w:rPr>
        <w:t xml:space="preserve"> binds and is</w:t>
      </w:r>
      <w:r w:rsidR="00605742">
        <w:rPr>
          <w:rFonts w:ascii="Times New Roman" w:hAnsi="Times New Roman" w:cs="Times New Roman"/>
          <w:sz w:val="24"/>
          <w:szCs w:val="24"/>
        </w:rPr>
        <w:t xml:space="preserve"> transported across the blood brain barrier (BBB) </w:t>
      </w:r>
      <w:r w:rsidR="009414E7">
        <w:rPr>
          <w:rFonts w:ascii="Times New Roman" w:hAnsi="Times New Roman" w:cs="Times New Roman"/>
          <w:sz w:val="24"/>
          <w:szCs w:val="24"/>
        </w:rPr>
        <w:t xml:space="preserve">by insulin </w:t>
      </w:r>
      <w:r w:rsidR="00605742">
        <w:rPr>
          <w:rFonts w:ascii="Times New Roman" w:hAnsi="Times New Roman" w:cs="Times New Roman"/>
          <w:sz w:val="24"/>
          <w:szCs w:val="24"/>
        </w:rPr>
        <w:t xml:space="preserve">receptors </w:t>
      </w:r>
      <w:r w:rsidR="009414E7">
        <w:rPr>
          <w:rFonts w:ascii="Times New Roman" w:hAnsi="Times New Roman" w:cs="Times New Roman"/>
          <w:sz w:val="24"/>
          <w:szCs w:val="24"/>
        </w:rPr>
        <w:t xml:space="preserve">present </w:t>
      </w:r>
      <w:r w:rsidR="00605742">
        <w:rPr>
          <w:rFonts w:ascii="Times New Roman" w:hAnsi="Times New Roman" w:cs="Times New Roman"/>
          <w:sz w:val="24"/>
          <w:szCs w:val="24"/>
        </w:rPr>
        <w:t>on endothelial cells</w:t>
      </w:r>
      <w:r w:rsidR="009414E7">
        <w:rPr>
          <w:rFonts w:ascii="Times New Roman" w:hAnsi="Times New Roman" w:cs="Times New Roman"/>
          <w:sz w:val="24"/>
          <w:szCs w:val="24"/>
        </w:rPr>
        <w:t>, which occurs by mechanisms that are so far unclear. Insulin is then capable of transversing</w:t>
      </w:r>
      <w:r w:rsidR="00605742">
        <w:rPr>
          <w:rFonts w:ascii="Times New Roman" w:hAnsi="Times New Roman" w:cs="Times New Roman"/>
          <w:sz w:val="24"/>
          <w:szCs w:val="24"/>
        </w:rPr>
        <w:t xml:space="preserve"> directly into neurons or </w:t>
      </w:r>
      <w:r w:rsidR="000A1C4D">
        <w:rPr>
          <w:rFonts w:ascii="Times New Roman" w:hAnsi="Times New Roman" w:cs="Times New Roman"/>
          <w:sz w:val="24"/>
          <w:szCs w:val="24"/>
        </w:rPr>
        <w:t xml:space="preserve">believed to reach neurons </w:t>
      </w:r>
      <w:r w:rsidR="00605742">
        <w:rPr>
          <w:rFonts w:ascii="Times New Roman" w:hAnsi="Times New Roman" w:cs="Times New Roman"/>
          <w:sz w:val="24"/>
          <w:szCs w:val="24"/>
        </w:rPr>
        <w:t>indirectly through astrocytes</w:t>
      </w:r>
      <w:r w:rsidR="00401964">
        <w:rPr>
          <w:rFonts w:ascii="Times New Roman" w:hAnsi="Times New Roman" w:cs="Times New Roman"/>
          <w:sz w:val="24"/>
          <w:szCs w:val="24"/>
        </w:rPr>
        <w:t>, this is also true for IGF1</w:t>
      </w:r>
      <w:r w:rsidR="00605742">
        <w:rPr>
          <w:rFonts w:ascii="Times New Roman" w:hAnsi="Times New Roman" w:cs="Times New Roman"/>
          <w:sz w:val="24"/>
          <w:szCs w:val="24"/>
        </w:rPr>
        <w:t>. Insulin is also</w:t>
      </w:r>
      <w:r w:rsidRPr="00EF2AF4">
        <w:rPr>
          <w:rFonts w:ascii="Times New Roman" w:hAnsi="Times New Roman" w:cs="Times New Roman"/>
          <w:sz w:val="24"/>
          <w:szCs w:val="24"/>
        </w:rPr>
        <w:t xml:space="preserve"> pro</w:t>
      </w:r>
      <w:r w:rsidR="00605742">
        <w:rPr>
          <w:rFonts w:ascii="Times New Roman" w:hAnsi="Times New Roman" w:cs="Times New Roman"/>
          <w:sz w:val="24"/>
          <w:szCs w:val="24"/>
        </w:rPr>
        <w:t>duced locally in the brain and</w:t>
      </w:r>
      <w:r w:rsidRPr="00EF2AF4">
        <w:rPr>
          <w:rFonts w:ascii="Times New Roman" w:hAnsi="Times New Roman" w:cs="Times New Roman"/>
          <w:sz w:val="24"/>
          <w:szCs w:val="24"/>
        </w:rPr>
        <w:t xml:space="preserve"> plays important roles in learning and memory formation </w:t>
      </w:r>
      <w:r w:rsidR="00DC2DFB">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"10.1016/S0303-7207(01)00455-5", "ISSN" : "03037207", "abstract" : "As one of the most extensively studied protein hormones, insulin and its receptor have been known to play key roles in a variety of important biological functions. Until recent years, the functions of insulin and insulin receptor (IR) in the central nervous system (CNS) have largely remained unclear. IR is abundantly expressed in several specific brain regions that govern fundamental behaviors such as food intake, reproduction and high cognition. The IR from the periphery and CNS exhibit differences in both structure and function. In addition to that from the peripheral system, locally synthesized insulin in the brain has also been identified. Accumulated evidence has demonstrated that insulin/IR plays important roles in associative learning, as suggested by results from both interventive and correlative studies. Interruption of insulin production and IR activity causes deficits in learning and memory formation. Abnormal insulin/IR levels and activities are seen in Alzheimer's dementia, whereas administration of insulin significantly improves the cognitive performance of these patients. The synaptic bases for the action of insulin/IR include modifying neurotransmitter release processes at various types of presynaptic terminals and modulating the activities of both excitatory and inhibitory postsynaptic receptors such as NMDA and GABA receptors, respectively. At the molecular level, insulin/IR participates in regulation of learning and memory via activation of specific signaling pathways, one of which is shown to be associated with the formation of long-term memory and is composed of intracellular molecules including the shc, Grb-r/SOS, Ras/Raf, and MEK/MAP kinases. Cross-talk with another IR pathway involving IRS1, PI3 kinase, and protein kinase C, as well as with the non-receptor tyrosine kinase pp60c-src, may also be associated with memory processing.", "author" : [ { "dropping-particle" : "", "family" : "Zhao", "given" : "Wei-Qin", "non-dropping-particle" : "", "parse-names" : false, "suffix" : "" }, { "dropping-particle" : "", "family" : "Alkon", "given" : "Daniel L", "non-dropping-particle" : "", "parse-names" : false, "suffix" : "" } ], "container-title" : "Molecular and Cellular Endocrinology", "id" : "ITEM-1", "issue" : "1-2", "issued" : { "date-parts" : [ [ "2001", "5" ] ] }, "page" : "125-134", "title" : "Role of insulin and insulin receptor in learning and memory", "type" : "article-journal", "volume" : "177" }, "uris" : [ "http://www.mendeley.com/documents/?uuid=84abad90-cd2d-43e1-affa-358c9a37debc" ] } ], "mendeley" : { "formattedCitation" : "(Zhao &amp; Alkon 2001)", "plainTextFormattedCitation" : "(Zhao &amp; Alkon 2001)", "previouslyFormattedCitation" : "(Zhao &amp; Alkon 2001)" }, "properties" : { "noteIndex" : 0 }, "schema" : "https://github.com/citation-style-language/schema/raw/master/csl-citation.json" }</w:instrText>
      </w:r>
      <w:r w:rsidR="00DC2DFB">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(Zhao &amp; Alkon 2001)</w:t>
      </w:r>
      <w:r w:rsidR="00DC2DFB">
        <w:rPr>
          <w:rFonts w:ascii="Times New Roman" w:hAnsi="Times New Roman" w:cs="Times New Roman"/>
          <w:sz w:val="24"/>
          <w:szCs w:val="24"/>
        </w:rPr>
        <w:fldChar w:fldCharType="end"/>
      </w:r>
      <w:r w:rsidRPr="00EF2AF4">
        <w:rPr>
          <w:rFonts w:ascii="Times New Roman" w:hAnsi="Times New Roman" w:cs="Times New Roman"/>
          <w:sz w:val="24"/>
          <w:szCs w:val="24"/>
        </w:rPr>
        <w:t>.</w:t>
      </w:r>
      <w:r w:rsidR="009918A3">
        <w:rPr>
          <w:rFonts w:ascii="Times New Roman" w:hAnsi="Times New Roman" w:cs="Times New Roman"/>
          <w:sz w:val="24"/>
          <w:szCs w:val="24"/>
        </w:rPr>
        <w:t xml:space="preserve"> </w:t>
      </w:r>
      <w:r w:rsidR="00DE486A">
        <w:rPr>
          <w:rFonts w:ascii="Times New Roman" w:hAnsi="Times New Roman" w:cs="Times New Roman"/>
          <w:sz w:val="24"/>
          <w:szCs w:val="24"/>
        </w:rPr>
        <w:t>In addition, a</w:t>
      </w:r>
      <w:r w:rsidRPr="00EF2AF4">
        <w:rPr>
          <w:rFonts w:ascii="Times New Roman" w:hAnsi="Times New Roman" w:cs="Times New Roman"/>
          <w:sz w:val="24"/>
          <w:szCs w:val="24"/>
        </w:rPr>
        <w:t>dministration of insulin has been shown to cause significant improvements in cognitive performance</w:t>
      </w:r>
      <w:r w:rsidR="009D0ED3">
        <w:rPr>
          <w:rFonts w:ascii="Times New Roman" w:hAnsi="Times New Roman" w:cs="Times New Roman"/>
          <w:sz w:val="24"/>
          <w:szCs w:val="24"/>
        </w:rPr>
        <w:t xml:space="preserve"> in individuals with AD</w:t>
      </w:r>
      <w:r w:rsidRPr="00EF2AF4">
        <w:rPr>
          <w:rFonts w:ascii="Times New Roman" w:hAnsi="Times New Roman" w:cs="Times New Roman"/>
          <w:sz w:val="24"/>
          <w:szCs w:val="24"/>
        </w:rPr>
        <w:t xml:space="preserve"> </w:t>
      </w:r>
      <w:r w:rsidR="00DC2DFB">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"10.1001/archneurol.2011.233", "ISSN" : "1538-3687", "PMID" : "21911655", "abstract" : "OBJECTIVE: To examine the effects of intranasal insulin administration on cognition, function, cerebral glucose metabolism, and cerebrospinal fluid biomarkers in adults with amnestic mild cognitive impairment or Alzheimer disease (AD).\n\nDESIGN: Randomized, double-blind, placebo-controlled trial.\n\nSETTING: Clinical research unit of a Veterans Affairs medical center.\n\nPARTICIPANTS: The intent-to-treat sample consisted of 104 adults with amnestic mild cognitive impairment (n\u00a0=\u00a064) or mild to moderate AD (n\u00a0=\u00a040). Intervention\u00a0 Participants received placebo (n\u00a0=\u00a030), 20 IU of insulin (n\u00a0=\u00a036), or 40 IU of insulin (n\u00a0=\u00a038) for 4 months, administered with a nasal drug delivery device (Kurve Technology, Bothell, Washington).\n\nMAIN OUTCOME MEASURES: Primary measures consisted of delayed story recall score and the Dementia Severity Rating Scale score, and secondary measures included the Alzheimer Disease's Assessment Scale-cognitive subscale (ADAS-cog) score and the Alzheimer's Disease Cooperative Study-activities of daily living (ADCS-ADL) scale. A subset of participants underwent lumbar puncture (n\u00a0=\u00a023) and positron emission tomography with fludeoxyglucose F 18 (n\u00a0=\u00a040) before and after treatment.\n\nRESULTS: Outcome measures were analyzed using repeated-measures analysis of covariance. Treatment with 20 IU of insulin improved delayed memory (P\u00a0&lt;\u00a0.05), and both doses of insulin (20 and 40 IU) preserved caregiver-rated functional ability (P\u00a0&lt;\u00a0.01). Both insulin doses also preserved general cognition as assessed by the ADAS-cog score for younger participants and functional abilities as assessed by the ADCS-ADL scale for adults with AD (P\u00a0&lt;\u00a0.05). Cerebrospinal fluid biomarkers did not change for insulin-treated participants as a group, but, in exploratory analyses, changes in memory and function were associated with changes in the A\u03b242 level and in the tau protein-to-A\u03b242 ratio in cerebrospinal fluid. Placebo-assigned participants showed decreased fludeoxyglucose F 18 uptake in the parietotemporal, frontal, precuneus, and cuneus regions and insulin-minimized progression. No treatment-related severe adverse events occurred.\n\nCONCLUSIONS: These results support longer trials of intranasal insulin therapy for patients with amnestic mild cognitive impairment and patients with AD. Trial Registration\u00a0 clinicaltrials.gov Identifier: NCT00438568.", "author" : [ { "dropping-particle" : "", "family" : "Craft", "given" : "Suzanne", "non-dropping-particle" : "", "parse-names" : false, "suffix" : "" }, { "dropping-particle" : "", "family" : "Baker", "given" : "Laura D", "non-dropping-particle" : "", "parse-names" : false, "suffix" : "" }, { "dropping-particle" : "", "family" : "Montine", "given" : "Thomas J", "non-dropping-particle" : "", "parse-names" : false, "suffix" : "" }, { "dropping-particle" : "", "family" : "Minoshima", "given" : "Satoshi", "non-dropping-particle" : "", "parse-names" : false, "suffix" : "" }, { "dropping-particle" : "", "family" : "Watson", "given" : "G Stennis", "non-dropping-particle" : "", "parse-names" : false, "suffix" : "" }, { "dropping-particle" : "", "family" : "Claxton", "given" : "Amy", "non-dropping-particle" : "", "parse-names" : false, "suffix" : "" }, { "dropping-particle" : "", "family" : "Arbuckle", "given" : "Matthew", "non-dropping-particle" : "", "parse-names" : false, "suffix" : "" }, { "dropping-particle" : "", "family" : "Callaghan", "given" : "Maureen", "non-dropping-particle" : "", "parse-names" : false, "suffix" : "" }, { "dropping-particle" : "", "family" : "Tsai", "given" : "Elaine", "non-dropping-particle" : "", "parse-names" : false, "suffix" : "" }, { "dropping-particle" : "", "family" : "Plymate", "given" : "Stephen R", "non-dropping-particle" : "", "parse-names" : false, "suffix" : "" }, { "dropping-particle" : "", "family" : "Green", "given" : "Pattie S", "non-dropping-particle" : "", "parse-names" : false, "suffix" : "" }, { "dropping-particle" : "", "family" : "Leverenz", "given" : "James", "non-dropping-particle" : "", "parse-names" : false, "suffix" : "" }, { "dropping-particle" : "", "family" : "Cross", "given" : "Donna", "non-dropping-particle" : "", "parse-names" : false, "suffix" : "" }, { "dropping-particle" : "", "family" : "Gerton", "given" : "Brooke", "non-dropping-particle" : "", "parse-names" : false, "suffix" : "" } ], "container-title" : "Archives of neurology", "id" : "ITEM-1", "issue" : "1", "issued" : { "date-parts" : [ [ "2012", "1" ] ] }, "page" : "29-38", "title" : "Intranasal insulin therapy for Alzheimer disease and amnestic mild cognitive impairment: a pilot clinical trial.", "type" : "article-journal", "volume" : "69" }, "uris" : [ "http://www.mendeley.com/documents/?uuid=083b5f2c-c596-4d5d-8aa8-3399b940f53a" ] }, { "id" : "ITEM-2", "itemData" : { "ISSN" : "1387-2877", "PMID" : "18430999", "abstract" : "Intranasal insulin administration raises central nervous system (CNS) insulin levels in humans and acutely facilitates verbal memory in patients with Alzheimer's disease (AD), an effect that may differ by APOE genotype. The purpose of this study was to examine the cognitive dose response curves for intranasal insulin administration, and determine whether the effects of insulin differ between participants with (epsilon4+) and without (epsilon4-) the APOE- epsilon4 allele. On separate mornings, 33 memory-impaired adults with AD or amnestic mild cognitive impairment and 59 normal adults each underwent five intranasal treatment conditions consisting of insulin (10, 20, 40, or 60 IU) or placebo. Cognition was tested 15-minutes post-treatment, and blood was acquired at baseline and 45-minutes post-treatment. Plasma insulin and glucose levels were unaffected by treatment. Insulin administration facilitated recall on two measures of verbal memory in memory-impaired epsilon4- adults, with performance generally peaking at 20 IU. In contrast, memory-impaired epsilon4+ subjects demonstrated a relative decline in verbal memory. Insulin also differentially modulated plasma amyloid-beta for memory-impaired subjects and normal controls, effects that again differed by APOE genotype. These findings suggest that groups with different genetic risks for AD may show differential dose-response curves following intranasal insulin administration.", "author" : [ { "dropping-particle" : "", "family" : "Reger", "given" : "Mark A", "non-dropping-particle" : "", "parse-names" : false, "suffix" : "" }, { "dropping-particle" : "", "family" : "Watson", "given" : "G Stennis", "non-dropping-particle" : "", "parse-names" : false, "suffix" : "" }, { "dropping-particle" : "", "family" : "Green", "given" : "Pattie S", "non-dropping-particle" : "", "parse-names" : false, "suffix" : "" }, { "dropping-particle" : "", "family" : "Baker", "given" : "Laura D", "non-dropping-particle" : "", "parse-names" : false, "suffix" : "" }, { "dropping-particle" : "", "family" : "Cholerton", "given" : "Brenna", "non-dropping-particle" : "", "parse-names" : false, "suffix" : "" }, { "dropping-particle" : "", "family" : "Fishel", "given" : "Mark A", "non-dropping-particle" : "", "parse-names" : false, "suffix" : "" }, { "dropping-particle" : "", "family" : "Plymate", "given" : "Stephen R", "non-dropping-particle" : "", "parse-names" : false, "suffix" : "" }, { "dropping-particle" : "", "family" : "Cherrier", "given" : "Monique M", "non-dropping-particle" : "", "parse-names" : false, "suffix" : "" }, { "dropping-particle" : "", "family" : "Schellenberg", "given" : "Gerard D", "non-dropping-particle" : "", "parse-names" : false, "suffix" : "" }, { "dropping-particle" : "", "family" : "Frey", "given" : "William H", "non-dropping-particle" : "", "parse-names" : false, "suffix" : "" }, { "dropping-particle" : "", "family" : "Craft", "given" : "Suzanne", "non-dropping-particle" : "", "parse-names" : false, "suffix" : "" } ], "container-title" : "Journal of Alzheimer's disease : JAD", "id" : "ITEM-2", "issue" : "3", "issued" : { "date-parts" : [ [ "2008", "4" ] ] }, "page" : "323-31", "title" : "Intranasal insulin administration dose-dependently modulates verbal memory and plasma amyloid-beta in memory-impaired older adults.", "type" : "article-journal", "volume" : "13" }, "uris" : [ "http://www.mendeley.com/documents/?uuid=e289928f-89a6-4cef-83cf-c06c0e745f1f" ] }, { "id" : "ITEM-3", "itemData" : { "ISSN" : "0003-990X", "PMID" : "10591291", "abstract" : "BACKGROUND: Increasing plasma glucose levels improves memory in patients with Alzheimer disease (AD). Increasing plasma glucose levels also increases endogenous insulin levels, raising the question of whether memory improvement is due to changes in insulin, independent of hyperglycemia. We address this question by examining memory and counterregulatory hormone response during hyperglycemia when endogenous insulin was suppressed by concomitant infusion of the somatostatin analogue octreotide (Sandostatin).\n\nMETHODS: Twenty-three patients with AD and 14 similarly aged healthy adults participated in 4 metabolic conditions on separate days: (1) hyperinsulinemia (538 pmol/L) with fasting glucose (5.6 mmol/L [100 mg/dL]), achieved by insulin and variable dextrose infusion; (2) hyperglycemia (12.5 mmol/L [225 mg/dL]) with fasting insulin (57 pmol/L), achieved by dextrose and somatostatin (octreotide) infusion (150 mg/h); (3) placebo with isotonic sodium chloride solution (saline) infusion (fasting insulin and glucose); and (4) an active control condition in which somatostatin alone was infused (150 mg/h). Declarative memory (story recall) and selective attention (Stroop interference test) were measured during steady metabolic states.\n\nRESULTS: Patients with AD showed improved memory during hyperinsulinemia relative to placebo (P = .05) and relative to hyperglycemia (P&lt;.005). Memory did not improve during hyperglycemia when insulin was suppressed. Somatostatin analogue infusion alone also improved memory for patients with AD (P&lt;.05). Hyperinsulinemia increased cortisol levels in subjects with AD, whereas somatostatin alone lowered cortisol concentrations.\n\nCONCLUSIONS: These results confirm that elevated insulin without hyperglycemia enhances memory in adults with AD, and indicate that insulin is essential for hyperglycemic memory facilitation. These results also suggest a potential therapeutic role for somatostatin in AD.", "author" : [ { "dropping-particle" : "", "family" : "Craft", "given" : "S", "non-dropping-particle" : "", "parse-names" : false, "suffix" : "" }, { "dropping-particle" : "", "family" : "Asthana", "given" : "S", "non-dropping-particle" : "", "parse-names" : false, "suffix" : "" }, { "dropping-particle" : "", "family" : "Newcomer", "given" : "J W", "non-dropping-particle" : "", "parse-names" : false, "suffix" : "" }, { "dropping-particle" : "", "family" : "Wilkinson", "given" : "C W", "non-dropping-particle" : "", "parse-names" : false, "suffix" : "" }, { "dropping-particle" : "", "family" : "Matos", "given" : "I T", "non-dropping-particle" : "", "parse-names" : false, "suffix" : "" }, { "dropping-particle" : "", "family" : "Baker", "given" : "L D", "non-dropping-particle" : "", "parse-names" : false, "suffix" : "" }, { "dropping-particle" : "", "family" : "Cherrier", "given" : "M", "non-dropping-particle" : "", "parse-names" : false, "suffix" : "" }, { "dropping-particle" : "", "family" : "Lofgreen", "given" : "C", "non-dropping-particle" : "", "parse-names" : false, "suffix" : "" }, { "dropping-particle" : "", "family" : "Latendresse", "given" : "S", "non-dropping-particle" : "", "parse-names" : false, "suffix" : "" }, { "dropping-particle" : "", "family" : "Petrova", "given" : "A", "non-dropping-particle" : "", "parse-names" : false, "suffix" : "" }, { "dropping-particle" : "", "family" : "Plymate", "given" : "S", "non-dropping-particle" : "", "parse-names" : false, "suffix" : "" }, { "dropping-particle" : "", "family" : "Raskind", "given" : "M", "non-dropping-particle" : "", "parse-names" : false, "suffix" : "" }, { "dropping-particle" : "", "family" : "Grimwood", "given" : "K", "non-dropping-particle" : "", "parse-names" : false, "suffix" : "" }, { "dropping-particle" : "", "family" : "Veith", "given" : "R C", "non-dropping-particle" : "", "parse-names" : false, "suffix" : "" } ], "container-title" : "Archives of general psychiatry", "id" : "ITEM-3", "issue" : "12", "issued" : { "date-parts" : [ [ "1999", "12" ] ] }, "page" : "1135-40", "title" : "Enhancement of memory in Alzheimer disease with insulin and somatostatin, but not glucose.", "type" : "article-journal", "volume" : "56" }, "uris" : [ "http://www.mendeley.com/documents/?uuid=2c808090-a14b-4934-afba-71b988462140" ] } ], "mendeley" : { "formattedCitation" : "(Craft et al. 2012; Reger et al. 2008; Craft et al. 1999)", "plainTextFormattedCitation" : "(Craft et al. 2012; Reger et al. 2008; Craft et al. 1999)", "previouslyFormattedCitation" : "(Craft et al. 2012; Reger et al. 2008; Craft et al. 1999)" }, "properties" : { "noteIndex" : 0 }, "schema" : "https://github.com/citation-style-language/schema/raw/master/csl-citation.json" }</w:instrText>
      </w:r>
      <w:r w:rsidR="00DC2DFB">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(Craft et al. 2012; Reger et al. 2008; Craft et al. 1999)</w:t>
      </w:r>
      <w:r w:rsidR="00DC2DFB">
        <w:rPr>
          <w:rFonts w:ascii="Times New Roman" w:hAnsi="Times New Roman" w:cs="Times New Roman"/>
          <w:sz w:val="24"/>
          <w:szCs w:val="24"/>
        </w:rPr>
        <w:fldChar w:fldCharType="end"/>
      </w:r>
      <w:r w:rsidR="009D0ED3">
        <w:rPr>
          <w:rFonts w:ascii="Times New Roman" w:hAnsi="Times New Roman" w:cs="Times New Roman"/>
          <w:sz w:val="24"/>
          <w:szCs w:val="24"/>
          <w:lang w:val="da-DK"/>
        </w:rPr>
        <w:t xml:space="preserve"> (described in detail later). </w:t>
      </w:r>
    </w:p>
    <w:p w14:paraId="08D3E283" w14:textId="77777777" w:rsidR="0019787A" w:rsidRDefault="0019787A" w:rsidP="00EF2AF4">
      <w:pPr>
        <w:pStyle w:val="Body"/>
        <w:spacing w:line="360" w:lineRule="auto"/>
        <w:jc w:val="both"/>
        <w:rPr>
          <w:rFonts w:ascii="Times New Roman" w:hAnsi="Times New Roman" w:cs="Times New Roman"/>
          <w:color w:val="FF0000"/>
          <w:sz w:val="24"/>
          <w:szCs w:val="24"/>
          <w:lang w:val="da-DK"/>
        </w:rPr>
      </w:pPr>
    </w:p>
    <w:p w14:paraId="344F4AB1" w14:textId="77777777" w:rsidR="00C619BE" w:rsidRDefault="00605742" w:rsidP="009F76F6">
      <w:pPr>
        <w:pStyle w:val="Body"/>
        <w:spacing w:line="240" w:lineRule="auto"/>
        <w:jc w:val="both"/>
        <w:rPr>
          <w:rFonts w:ascii="Times New Roman" w:hAnsi="Times New Roman" w:cs="Times New Roman"/>
          <w:color w:val="FF0000"/>
          <w:sz w:val="24"/>
          <w:szCs w:val="24"/>
          <w:highlight w:val="yellow"/>
        </w:rPr>
      </w:pPr>
      <w:r>
        <w:rPr>
          <w:rFonts w:ascii="Times New Roman" w:hAnsi="Times New Roman" w:cs="Times New Roman"/>
          <w:b/>
          <w:i/>
          <w:color w:val="auto"/>
          <w:sz w:val="24"/>
          <w:szCs w:val="24"/>
          <w:u w:val="single"/>
          <w:lang w:val="da-DK"/>
        </w:rPr>
        <w:t>IGF1</w:t>
      </w:r>
      <w:r w:rsidR="00C619BE" w:rsidRPr="00C619BE">
        <w:rPr>
          <w:rFonts w:ascii="Times New Roman" w:hAnsi="Times New Roman" w:cs="Times New Roman"/>
          <w:color w:val="FF0000"/>
          <w:sz w:val="24"/>
          <w:szCs w:val="24"/>
          <w:highlight w:val="yellow"/>
        </w:rPr>
        <w:t xml:space="preserve"> </w:t>
      </w:r>
    </w:p>
    <w:p w14:paraId="51030F35" w14:textId="38FCC10B" w:rsidR="009918A3" w:rsidRPr="009F76F6" w:rsidRDefault="00C619BE" w:rsidP="00EF2AF4">
      <w:pPr>
        <w:pStyle w:val="Body"/>
        <w:spacing w:line="360" w:lineRule="auto"/>
        <w:jc w:val="both"/>
        <w:rPr>
          <w:rFonts w:ascii="Times New Roman" w:hAnsi="Times New Roman" w:cs="Times New Roman"/>
          <w:b/>
          <w:i/>
          <w:color w:val="auto"/>
          <w:sz w:val="24"/>
          <w:szCs w:val="24"/>
          <w:u w:val="single"/>
        </w:rPr>
      </w:pPr>
      <w:r w:rsidRPr="00A95212">
        <w:rPr>
          <w:rFonts w:ascii="Times New Roman" w:hAnsi="Times New Roman" w:cs="Times New Roman"/>
          <w:color w:val="auto"/>
          <w:sz w:val="24"/>
          <w:szCs w:val="24"/>
        </w:rPr>
        <w:t xml:space="preserve">The insulin/IGF1 signalling system mediates the growth of 50% of the brain and body, as demonstrated by severe growth deficiency in mice with a null mutation in the IGF1R gene </w:t>
      </w:r>
      <w:r w:rsidRPr="00A95212">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"ISSN" : "0092-8674", "PMID" : "8402901", "abstract" : "Newborn mice homozygous for a targeted disruption of insulin-like growth factor gene (Igf-1) exhibit a growth deficiency similar in severity to that previously observed in viable Igf-2 null mutants (60% of normal birthweight). Depending on genetic background, some of the Igf-1(-/-) dwarfs die shortly after birth, while others survive and reach adulthood. In contrast, null mutants for the Igf1r gene die invariably at birth of respiratory failure and exhibit a more severe growth deficiency (45% normal size). In addition to generalized organ hypoplasia in Igf1r(-/-) embryos, including the muscles, and developmental delays in ossification, deviations from normalcy were observed in the central nervous system and epidermis. Igf-1(-/-)/Igf1r(-/-) double mutants did not differ in phenotype from Igf1r(-/-) single mutants, while in Igf-2(-)/Igf1r(-/-) and Igf-1(-/-)/Igf-2(-) double mutants, which are phenotypically identical, the dwarfism was further exacerbated (30% normal size). The roles of the IGFs in mouse embryonic development, as revealed from the phenotypic differences between these mutants, are discussed.", "author" : [ { "dropping-particle" : "", "family" : "Liu", "given" : "J P", "non-dropping-particle" : "", "parse-names" : false, "suffix" : "" }, { "dropping-particle" : "", "family" : "Baker", "given" : "J", "non-dropping-particle" : "", "parse-names" : false, "suffix" : "" }, { "dropping-particle" : "", "family" : "Perkins", "given" : "A S", "non-dropping-particle" : "", "parse-names" : false, "suffix" : "" }, { "dropping-particle" : "", "family" : "Robertson", "given" : "E J", "non-dropping-particle" : "", "parse-names" : false, "suffix" : "" }, { "dropping-particle" : "", "family" : "Efstratiadis", "given" : "A", "non-dropping-particle" : "", "parse-names" : false, "suffix" : "" } ], "container-title" : "Cell", "id" : "ITEM-1", "issue" : "1", "issued" : { "date-parts" : [ [ "1993", "10", "8" ] ] }, "page" : "59-72", "title" : "Mice carrying null mutations of the genes encoding insulin-like growth factor I (Igf-1) and type 1 IGF receptor (Igf1r).", "type" : "article-journal", "volume" : "75" }, "uris" : [ "http://www.mendeley.com/documents/?uuid=bda9cb6d-9cf6-4f7d-93e6-a9927328f486" ] } ], "mendeley" : { "formattedCitation" : "(Liu et al. 1993)", "plainTextFormattedCitation" : "(Liu et al. 1993)", "previouslyFormattedCitation" : "(Liu et al. 1993)" }, "properties" : { "noteIndex" : 0 }, "schema" : "https://github.com/citation-style-language/schema/raw/master/csl-citation.json" }</w:instrText>
      </w:r>
      <w:r w:rsidRPr="00A95212">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(Liu et al. 1993)</w:t>
      </w:r>
      <w:r w:rsidRPr="00A95212">
        <w:rPr>
          <w:rFonts w:ascii="Times New Roman" w:hAnsi="Times New Roman" w:cs="Times New Roman"/>
          <w:color w:val="auto"/>
          <w:sz w:val="24"/>
          <w:szCs w:val="24"/>
        </w:rPr>
        <w:fldChar w:fldCharType="end"/>
      </w:r>
      <w:r w:rsidRPr="00A95212">
        <w:rPr>
          <w:rFonts w:ascii="Times New Roman" w:hAnsi="Times New Roman" w:cs="Times New Roman"/>
          <w:color w:val="auto"/>
          <w:sz w:val="24"/>
          <w:szCs w:val="24"/>
        </w:rPr>
        <w:t>.</w:t>
      </w:r>
      <w:r w:rsidR="00A95212">
        <w:rPr>
          <w:rFonts w:ascii="Times New Roman" w:hAnsi="Times New Roman" w:cs="Times New Roman"/>
          <w:color w:val="auto"/>
          <w:sz w:val="24"/>
          <w:szCs w:val="24"/>
        </w:rPr>
        <w:t xml:space="preserve"> </w:t>
      </w:r>
      <w:r w:rsidR="002E79CB">
        <w:rPr>
          <w:rFonts w:ascii="Times New Roman" w:hAnsi="Times New Roman" w:cs="Times New Roman"/>
          <w:sz w:val="24"/>
          <w:szCs w:val="24"/>
        </w:rPr>
        <w:t>IGF1 is made in the liver, where its production is regulated by growth hormone (GH)</w:t>
      </w:r>
      <w:r w:rsidR="00B5006E">
        <w:rPr>
          <w:rFonts w:ascii="Times New Roman" w:hAnsi="Times New Roman" w:cs="Times New Roman"/>
          <w:sz w:val="24"/>
          <w:szCs w:val="24"/>
        </w:rPr>
        <w:t xml:space="preserve">, which </w:t>
      </w:r>
      <w:r w:rsidR="000A1C4D">
        <w:rPr>
          <w:rFonts w:ascii="Times New Roman" w:hAnsi="Times New Roman" w:cs="Times New Roman"/>
          <w:sz w:val="24"/>
          <w:szCs w:val="24"/>
        </w:rPr>
        <w:t xml:space="preserve">can </w:t>
      </w:r>
      <w:r w:rsidR="00B5006E">
        <w:rPr>
          <w:rFonts w:ascii="Times New Roman" w:hAnsi="Times New Roman" w:cs="Times New Roman"/>
          <w:sz w:val="24"/>
          <w:szCs w:val="24"/>
        </w:rPr>
        <w:t xml:space="preserve">then </w:t>
      </w:r>
      <w:r w:rsidR="000A1C4D">
        <w:rPr>
          <w:rFonts w:ascii="Times New Roman" w:hAnsi="Times New Roman" w:cs="Times New Roman"/>
          <w:sz w:val="24"/>
          <w:szCs w:val="24"/>
        </w:rPr>
        <w:t>move from the plasma across the BBB into the CNS</w:t>
      </w:r>
      <w:r w:rsidR="0014776E">
        <w:rPr>
          <w:rFonts w:ascii="Times New Roman" w:hAnsi="Times New Roman" w:cs="Times New Roman"/>
          <w:sz w:val="24"/>
          <w:szCs w:val="24"/>
        </w:rPr>
        <w:t xml:space="preserve"> </w:t>
      </w:r>
      <w:r w:rsidR="0014776E">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"ISSN" : "0334-018X", "PMID" : "10392357", "abstract" : "There is a blood-brain barrier (BBB) for GH. A certain, unknown amount of GH passes the BBB, acts on the neuronal GH receptors and directly influences the brain mechanisms serving the feedback and ultradian secretion of GH. The high density of GH receptors in the choroid plexus suggests a possible receptor-mediated transcytosis transport. The effects of GH on brain development, neuronal plasticity and neuroprotection seem to be mediated by IGFs. GH and IGFs are also synthesized in the brain. The relative contributions to brain functions of GHs produced inside and outside the BBB are unknown. The cerebrospinal fluid (CSF) space is the compartment inside the barrier accessible to clinicians. High GH levels in CSF were reported in acromegaly and also a small increase was reported after chronic administration of hGH in GH-deficiency syndromes. For the practitioner it is necessary to determine the normal range of hGH levels in CSF.", "author" : [ { "dropping-particle" : "", "family" : "Coculescu", "given" : "M", "non-dropping-particle" : "", "parse-names" : false, "suffix" : "" } ], "container-title" : "Journal of pediatric endocrinology &amp; metabolism : JPEM", "id" : "ITEM-1", "issue" : "2", "issued" : { "date-parts" : [ [ "0" ] ] }, "page" : "113-24", "title" : "Blood-brain barrier for human growth hormone and insulin-like growth factor-I.", "type" : "article-journal", "volume" : "12" }, "uris" : [ "http://www.mendeley.com/documents/?uuid=0c9ab539-1059-3ae4-a33f-75f7603aebad" ] } ], "mendeley" : { "formattedCitation" : "(Coculescu n.d.)", "plainTextFormattedCitation" : "(Coculescu n.d.)", "previouslyFormattedCitation" : "(Coculescu n.d.)" }, "properties" : { "noteIndex" : 0 }, "schema" : "https://github.com/citation-style-language/schema/raw/master/csl-citation.json" }</w:instrText>
      </w:r>
      <w:r w:rsidR="0014776E">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(Coculescu n.d.)</w:t>
      </w:r>
      <w:r w:rsidR="0014776E">
        <w:rPr>
          <w:rFonts w:ascii="Times New Roman" w:hAnsi="Times New Roman" w:cs="Times New Roman"/>
          <w:sz w:val="24"/>
          <w:szCs w:val="24"/>
        </w:rPr>
        <w:fldChar w:fldCharType="end"/>
      </w:r>
      <w:r w:rsidR="000A1C4D">
        <w:rPr>
          <w:rFonts w:ascii="Times New Roman" w:hAnsi="Times New Roman" w:cs="Times New Roman"/>
          <w:sz w:val="24"/>
          <w:szCs w:val="24"/>
        </w:rPr>
        <w:t xml:space="preserve">. </w:t>
      </w:r>
      <w:r w:rsidR="00B5006E">
        <w:rPr>
          <w:rFonts w:ascii="Times New Roman" w:hAnsi="Times New Roman" w:cs="Times New Roman"/>
          <w:sz w:val="24"/>
          <w:szCs w:val="24"/>
        </w:rPr>
        <w:t xml:space="preserve">A tertiary complex of IGF1, IGFBP3 and an acid-labile subunit is suspected to form, which subsequently binds LRP1-IGF1R receptor complexes on endothelial cells allowing for transcytosis of IGF1 </w:t>
      </w:r>
      <w:r w:rsidR="00B5006E">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"10.1016/j.neuron.2010.08.007", "ISSN" : "08966273", "abstract" : "Upon entry into the central nervous system (CNS), serum insulin-like growth factor-1 (IGF-I) modulates neuronal growth, survival, and excitability. Yet mechanisms that trigger IGF-I entry across the blood-brain barrier remain unclear. We show that neuronal activity elicited by electrical, sensory, or behavioral stimulation increases IGF-I input in activated regions. Entrance of serum IGF-I is triggered by diffusible messengers (i.e., ATP, arachidonic acid derivatives) released during neurovascular coupling. These messengers stimulate matrix metalloproteinase-9, leading to cleavage of the IGF binding protein-3 (IGFBP-3). Cleavage of IGFBP-3 allows the passage of serum IGF-I into the CNS through an\u00a0interaction with the endothelial transporter lipoprotein related receptor 1. Activity-dependent entrance of serum IGF-I into the CNS may help to explain disparate observations such as proneurogenic effects of epilepsy, rehabilitatory effects of neural stimulation, and modulatory effects of blood flow on brain activity.", "author" : [ { "dropping-particle" : "", "family" : "Nishijima", "given" : "Takeshi", "non-dropping-particle" : "", "parse-names" : false, "suffix" : "" }, { "dropping-particle" : "", "family" : "Piriz", "given" : "Joaquin", "non-dropping-particle" : "", "parse-names" : false, "suffix" : "" }, { "dropping-particle" : "", "family" : "Duflot", "given" : "Sylvie", "non-dropping-particle" : "", "parse-names" : false, "suffix" : "" }, { "dropping-particle" : "", "family" : "Fernandez", "given" : "Ana M.", "non-dropping-particle" : "", "parse-names" : false, "suffix" : "" }, { "dropping-particle" : "", "family" : "Gaitan", "given" : "Gema", "non-dropping-particle" : "", "parse-names" : false, "suffix" : "" }, { "dropping-particle" : "", "family" : "Gomez-Pinedo", "given" : "Ulises", "non-dropping-particle" : "", "parse-names" : false, "suffix" : "" }, { "dropping-particle" : "", "family" : "Verdugo", "given" : "Jose M. Garcia", "non-dropping-particle" : "", "parse-names" : false, "suffix" : "" }, { "dropping-particle" : "", "family" : "Leroy", "given" : "Felix", "non-dropping-particle" : "", "parse-names" : false, "suffix" : "" }, { "dropping-particle" : "", "family" : "Soya", "given" : "Hideaki", "non-dropping-particle" : "", "parse-names" : false, "suffix" : "" }, { "dropping-particle" : "", "family" : "Nu\u00f1ez", "given" : "Angel", "non-dropping-particle" : "", "parse-names" : false, "suffix" : "" }, { "dropping-particle" : "", "family" : "Torres-Aleman", "given" : "Ignacio", "non-dropping-particle" : "", "parse-names" : false, "suffix" : "" } ], "container-title" : "Neuron", "id" : "ITEM-1", "issue" : "5", "issued" : { "date-parts" : [ [ "2010" ] ] }, "page" : "834-846", "title" : "Neuronal Activity Drives Localized Blood-Brain-Barrier Transport of Serum Insulin-like Growth Factor-I into the CNS", "type" : "article-journal", "volume" : "67" }, "uris" : [ "http://www.mendeley.com/documents/?uuid=96651266-afc9-33b7-909a-bcc8cfad8261" ] } ], "mendeley" : { "formattedCitation" : "(Nishijima et al. 2010)", "plainTextFormattedCitation" : "(Nishijima et al. 2010)", "previouslyFormattedCitation" : "(Nishijima et al. 2010)" }, "properties" : { "noteIndex" : 0 }, "schema" : "https://github.com/citation-style-language/schema/raw/master/csl-citation.json" }</w:instrText>
      </w:r>
      <w:r w:rsidR="00B5006E">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(Nishijima et al. 2010)</w:t>
      </w:r>
      <w:r w:rsidR="00B5006E">
        <w:rPr>
          <w:rFonts w:ascii="Times New Roman" w:hAnsi="Times New Roman" w:cs="Times New Roman"/>
          <w:sz w:val="24"/>
          <w:szCs w:val="24"/>
        </w:rPr>
        <w:fldChar w:fldCharType="end"/>
      </w:r>
      <w:r w:rsidR="00B5006E">
        <w:rPr>
          <w:rFonts w:ascii="Times New Roman" w:hAnsi="Times New Roman" w:cs="Times New Roman"/>
          <w:sz w:val="24"/>
          <w:szCs w:val="24"/>
        </w:rPr>
        <w:t xml:space="preserve">. </w:t>
      </w:r>
      <w:r w:rsidR="00500124">
        <w:rPr>
          <w:rFonts w:ascii="Times New Roman" w:hAnsi="Times New Roman" w:cs="Times New Roman"/>
          <w:sz w:val="24"/>
          <w:szCs w:val="24"/>
        </w:rPr>
        <w:t>Movement of IGF1 across the BBB is regulated by neuronal activity, which was demonstrated by an increase in IGF1 in the somatosensory cortex of the brain following unilateral whisker stimulation in rats</w:t>
      </w:r>
      <w:r w:rsidR="00E944E9">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"10.1016/j.neuron.2010.08.007", "ISSN" : "08966273", "abstract" : "Upon entry into the central nervous system (CNS), serum insulin-like growth factor-1 (IGF-I) modulates neuronal growth, survival, and excitability. Yet mechanisms that trigger IGF-I entry across the blood-brain barrier remain unclear. We show that neuronal activity elicited by electrical, sensory, or behavioral stimulation increases IGF-I input in activated regions. Entrance of serum IGF-I is triggered by diffusible messengers (i.e., ATP, arachidonic acid derivatives) released during neurovascular coupling. These messengers stimulate matrix metalloproteinase-9, leading to cleavage of the IGF binding protein-3 (IGFBP-3). Cleavage of IGFBP-3 allows the passage of serum IGF-I into the CNS through an\u00a0interaction with the endothelial transporter lipoprotein related receptor 1. Activity-dependent entrance of serum IGF-I into the CNS may help to explain disparate observations such as proneurogenic effects of epilepsy, rehabilitatory effects of neural stimulation, and modulatory effects of blood flow on brain activity.", "author" : [ { "dropping-particle" : "", "family" : "Nishijima", "given" : "Takeshi", "non-dropping-particle" : "", "parse-names" : false, "suffix" : "" }, { "dropping-particle" : "", "family" : "Piriz", "given" : "Joaquin", "non-dropping-particle" : "", "parse-names" : false, "suffix" : "" }, { "dropping-particle" : "", "family" : "Duflot", "given" : "Sylvie", "non-dropping-particle" : "", "parse-names" : false, "suffix" : "" }, { "dropping-particle" : "", "family" : "Fernandez", "given" : "Ana M.", "non-dropping-particle" : "", "parse-names" : false, "suffix" : "" }, { "dropping-particle" : "", "family" : "Gaitan", "given" : "Gema", "non-dropping-particle" : "", "parse-names" : false, "suffix" : "" }, { "dropping-particle" : "", "family" : "Gomez-Pinedo", "given" : "Ulises", "non-dropping-particle" : "", "parse-names" : false, "suffix" : "" }, { "dropping-particle" : "", "family" : "Verdugo", "given" : "Jose M. Garcia", "non-dropping-particle" : "", "parse-names" : false, "suffix" : "" }, { "dropping-particle" : "", "family" : "Leroy", "given" : "Felix", "non-dropping-particle" : "", "parse-names" : false, "suffix" : "" }, { "dropping-particle" : "", "family" : "Soya", "given" : "Hideaki", "non-dropping-particle" : "", "parse-names" : false, "suffix" : "" }, { "dropping-particle" : "", "family" : "Nu\u00f1ez", "given" : "Angel", "non-dropping-particle" : "", "parse-names" : false, "suffix" : "" }, { "dropping-particle" : "", "family" : "Torres-Aleman", "given" : "Ignacio", "non-dropping-particle" : "", "parse-names" : false, "suffix" : "" } ], "container-title" : "Neuron", "id" : "ITEM-1", "issue" : "5", "issued" : { "date-parts" : [ [ "2010" ] ] }, "page" : "834-846", "title" : "Neuronal Activity Drives Localized Blood-Brain-Barrier Transport of Serum Insulin-like Growth Factor-I into the CNS", "type" : "article-journal", "volume" : "67" }, "uris" : [ "http://www.mendeley.com/documents/?uuid=96651266-afc9-33b7-909a-bcc8cfad8261" ] } ], "mendeley" : { "formattedCitation" : "(Nishijima et al. 2010)", "plainTextFormattedCitation" : "(Nishijima et al. 2010)", "previouslyFormattedCitation" : "(Nishijima et al. 2010)" }, "properties" : { "noteIndex" : 0 }, "schema" : "https://github.com/citation-style-language/schema/raw/master/csl-citation.json" }</w:instrText>
      </w:r>
      <w:r w:rsidR="00E944E9">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(Nishijima et al. 2010)</w:t>
      </w:r>
      <w:r w:rsidR="00E944E9">
        <w:rPr>
          <w:rFonts w:ascii="Times New Roman" w:hAnsi="Times New Roman" w:cs="Times New Roman"/>
          <w:sz w:val="24"/>
          <w:szCs w:val="24"/>
        </w:rPr>
        <w:fldChar w:fldCharType="end"/>
      </w:r>
      <w:r w:rsidR="00500124">
        <w:rPr>
          <w:rFonts w:ascii="Times New Roman" w:hAnsi="Times New Roman" w:cs="Times New Roman"/>
          <w:sz w:val="24"/>
          <w:szCs w:val="24"/>
        </w:rPr>
        <w:t xml:space="preserve">. </w:t>
      </w:r>
      <w:r w:rsidR="000A1C4D">
        <w:rPr>
          <w:rFonts w:ascii="Times New Roman" w:hAnsi="Times New Roman" w:cs="Times New Roman"/>
          <w:sz w:val="24"/>
          <w:szCs w:val="24"/>
        </w:rPr>
        <w:t>A</w:t>
      </w:r>
      <w:r w:rsidR="00500124">
        <w:rPr>
          <w:rFonts w:ascii="Times New Roman" w:hAnsi="Times New Roman" w:cs="Times New Roman"/>
          <w:sz w:val="24"/>
          <w:szCs w:val="24"/>
        </w:rPr>
        <w:t>s well as moving across the BBB</w:t>
      </w:r>
      <w:r w:rsidR="000A1C4D">
        <w:rPr>
          <w:rFonts w:ascii="Times New Roman" w:hAnsi="Times New Roman" w:cs="Times New Roman"/>
          <w:sz w:val="24"/>
          <w:szCs w:val="24"/>
        </w:rPr>
        <w:t>, IGF1 can be produced locally in the brain</w:t>
      </w:r>
      <w:r w:rsidR="006F7273">
        <w:rPr>
          <w:rFonts w:ascii="Times New Roman" w:hAnsi="Times New Roman" w:cs="Times New Roman"/>
          <w:sz w:val="24"/>
          <w:szCs w:val="24"/>
        </w:rPr>
        <w:t xml:space="preserve"> independent of GH action</w:t>
      </w:r>
      <w:r w:rsidR="000A1C4D">
        <w:rPr>
          <w:rFonts w:ascii="Times New Roman" w:hAnsi="Times New Roman" w:cs="Times New Roman"/>
          <w:sz w:val="24"/>
          <w:szCs w:val="24"/>
        </w:rPr>
        <w:t xml:space="preserve"> either by </w:t>
      </w:r>
      <w:r w:rsidR="00500124">
        <w:rPr>
          <w:rFonts w:ascii="Times New Roman" w:hAnsi="Times New Roman" w:cs="Times New Roman"/>
          <w:sz w:val="24"/>
          <w:szCs w:val="24"/>
        </w:rPr>
        <w:t>cerebral vascular cells</w:t>
      </w:r>
      <w:r w:rsidR="000A1C4D">
        <w:rPr>
          <w:rFonts w:ascii="Times New Roman" w:hAnsi="Times New Roman" w:cs="Times New Roman"/>
          <w:sz w:val="24"/>
          <w:szCs w:val="24"/>
        </w:rPr>
        <w:t xml:space="preserve"> or by neurons and glia in the brain parenchyma</w:t>
      </w:r>
      <w:r w:rsidR="0014776E">
        <w:rPr>
          <w:rFonts w:ascii="Times New Roman" w:hAnsi="Times New Roman" w:cs="Times New Roman"/>
          <w:sz w:val="24"/>
          <w:szCs w:val="24"/>
        </w:rPr>
        <w:t xml:space="preserve"> </w:t>
      </w:r>
      <w:r w:rsidR="0014776E">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"10.1016/j.neurobiolaging.2004.07.010", "ISSN" : "01974580", "abstract" : "Beneficial effects of growth hormone (GH) and insulin-like growth factor-1 (IGF-1) on the development and function of the central nervous system are well documented. In spite of primary deficiency of GH and secondary IGF-1 deficiency, Ames dwarf mice live considerably longer than normal animals, exhibit apparently normal cognitive functions and maintain them into advanced age. In an attempt to reconcile these findings, we have examined local expression of GH and IGF-1 in the hippocampus of normal and Ames dwarf mice. We found that both hippocampal GH and IGF-1 protein levels are increased and the corresponding mRNAs are normal in Ames dwarf as compared with normal mice. Increased phosphorylation of Akt and cyclic AMP responsive element-binding protein (CREB) were detected in the hippocampus of Ames dwarf mice. Our results suggest that increase in hippocampal GH and IGF-1 protein expression and subsequent activation of PI3K/Akt-CREB signal transduction cascade might contribute to the maintenance of cognitive function and is likely to be responsible for the integrity of neuronal structure, and maintenance of youthful levels of cognitive function in these long-lived mice during aging.", "author" : [ { "dropping-particle" : "", "family" : "Sun", "given" : "Liou Y.", "non-dropping-particle" : "", "parse-names" : false, "suffix" : "" }, { "dropping-particle" : "", "family" : "Al-Regaiey", "given" : "Khalid", "non-dropping-particle" : "", "parse-names" : false, "suffix" : "" }, { "dropping-particle" : "", "family" : "Masternak", "given" : "Michal M.", "non-dropping-particle" : "", "parse-names" : false, "suffix" : "" }, { "dropping-particle" : "", "family" : "Wang", "given" : "Jian", "non-dropping-particle" : "", "parse-names" : false, "suffix" : "" }, { "dropping-particle" : "", "family" : "Bartke", "given" : "Andrzej", "non-dropping-particle" : "", "parse-names" : false, "suffix" : "" } ], "container-title" : "Neurobiology of Aging", "id" : "ITEM-1", "issue" : "6", "issued" : { "date-parts" : [ [ "2005" ] ] }, "page" : "929-937", "title" : "Local expression of GH and IGF-1 in the hippocampus of GH-deficient long-lived mice", "type" : "article-journal", "volume" : "26" }, "uris" : [ "http://www.mendeley.com/documents/?uuid=4d852726-1204-3616-b32f-5013ea6a6f15" ] } ], "mendeley" : { "formattedCitation" : "(Sun et al. 2005)", "plainTextFormattedCitation" : "(Sun et al. 2005)", "previouslyFormattedCitation" : "(Sun et al. 2005)" }, "properties" : { "noteIndex" : 0 }, "schema" : "https://github.com/citation-style-language/schema/raw/master/csl-citation.json" }</w:instrText>
      </w:r>
      <w:r w:rsidR="0014776E">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(Sun et al. 2005)</w:t>
      </w:r>
      <w:r w:rsidR="0014776E">
        <w:rPr>
          <w:rFonts w:ascii="Times New Roman" w:hAnsi="Times New Roman" w:cs="Times New Roman"/>
          <w:sz w:val="24"/>
          <w:szCs w:val="24"/>
        </w:rPr>
        <w:fldChar w:fldCharType="end"/>
      </w:r>
      <w:r w:rsidR="006F7273">
        <w:rPr>
          <w:rFonts w:ascii="Times New Roman" w:hAnsi="Times New Roman" w:cs="Times New Roman"/>
          <w:sz w:val="24"/>
          <w:szCs w:val="24"/>
        </w:rPr>
        <w:t xml:space="preserve">. </w:t>
      </w:r>
      <w:r w:rsidR="00DA2BE2">
        <w:rPr>
          <w:rFonts w:ascii="Times New Roman" w:hAnsi="Times New Roman" w:cs="Times New Roman"/>
          <w:sz w:val="24"/>
          <w:szCs w:val="24"/>
        </w:rPr>
        <w:t xml:space="preserve">The function of IGF1 is context dependent, which means its </w:t>
      </w:r>
      <w:r w:rsidR="00803CA9">
        <w:rPr>
          <w:rFonts w:ascii="Times New Roman" w:hAnsi="Times New Roman" w:cs="Times New Roman"/>
          <w:sz w:val="24"/>
          <w:szCs w:val="24"/>
        </w:rPr>
        <w:t>effects vary</w:t>
      </w:r>
      <w:r w:rsidR="00DA2BE2">
        <w:rPr>
          <w:rFonts w:ascii="Times New Roman" w:hAnsi="Times New Roman" w:cs="Times New Roman"/>
          <w:sz w:val="24"/>
          <w:szCs w:val="24"/>
        </w:rPr>
        <w:t xml:space="preserve"> according to cell type, concentration and developmental status. </w:t>
      </w:r>
      <w:r w:rsidR="00EF2AF4" w:rsidRPr="00EF2AF4">
        <w:rPr>
          <w:rFonts w:ascii="Times New Roman" w:hAnsi="Times New Roman" w:cs="Times New Roman"/>
          <w:sz w:val="24"/>
          <w:szCs w:val="24"/>
        </w:rPr>
        <w:t xml:space="preserve">The IGF1 signalling pathway is suspected to have a neuroprotective role and like the insulin pathway is critical for peripheral and central growth, as well as crucial for synaptic plasticity. </w:t>
      </w:r>
    </w:p>
    <w:p w14:paraId="40584DAE" w14:textId="43420E55" w:rsidR="009918A3" w:rsidRDefault="009918A3" w:rsidP="00EF2AF4">
      <w:pPr>
        <w:pStyle w:val="Body"/>
        <w:spacing w:line="360" w:lineRule="auto"/>
        <w:jc w:val="both"/>
        <w:rPr>
          <w:rFonts w:ascii="Times New Roman" w:hAnsi="Times New Roman" w:cs="Times New Roman"/>
          <w:sz w:val="24"/>
          <w:szCs w:val="24"/>
        </w:rPr>
      </w:pPr>
      <w:r>
        <w:rPr>
          <w:rFonts w:ascii="Times New Roman" w:hAnsi="Times New Roman" w:cs="Times New Roman"/>
          <w:sz w:val="24"/>
          <w:szCs w:val="24"/>
        </w:rPr>
        <w:t>Although the distinct actions of insulin and IGF1 can be described it is well recognized that they act in concert and for this reason the signalling pathway is commonly referred to as the insulin/IGF1 signalling pathway.</w:t>
      </w:r>
    </w:p>
    <w:p w14:paraId="5E642D97" w14:textId="77777777" w:rsidR="001B5D44" w:rsidRDefault="001B5D44" w:rsidP="00EF2AF4">
      <w:pPr>
        <w:pStyle w:val="Body"/>
        <w:spacing w:line="360" w:lineRule="auto"/>
        <w:jc w:val="both"/>
        <w:rPr>
          <w:rFonts w:ascii="Times New Roman" w:hAnsi="Times New Roman" w:cs="Times New Roman"/>
          <w:sz w:val="24"/>
          <w:szCs w:val="24"/>
        </w:rPr>
      </w:pPr>
    </w:p>
    <w:p w14:paraId="044F606A" w14:textId="4E7D9AE0" w:rsidR="00513842" w:rsidRDefault="00513842" w:rsidP="00513842">
      <w:pPr>
        <w:pStyle w:val="Heading2"/>
      </w:pPr>
      <w:bookmarkStart w:id="346" w:name="_Toc328301095"/>
      <w:bookmarkStart w:id="347" w:name="_Toc329593389"/>
      <w:bookmarkStart w:id="348" w:name="_Toc331425888"/>
      <w:bookmarkStart w:id="349" w:name="_Toc331427075"/>
      <w:bookmarkStart w:id="350" w:name="_Toc331427447"/>
      <w:bookmarkStart w:id="351" w:name="_Toc331427589"/>
      <w:bookmarkStart w:id="352" w:name="_Toc332972593"/>
      <w:bookmarkStart w:id="353" w:name="_Toc333046873"/>
      <w:bookmarkStart w:id="354" w:name="_Toc333477220"/>
      <w:bookmarkStart w:id="355" w:name="_Toc333477990"/>
      <w:bookmarkStart w:id="356" w:name="_Toc333644890"/>
      <w:r>
        <w:t>1.6 Impairments in Insulin/IGF1 promote longevity</w:t>
      </w:r>
      <w:bookmarkEnd w:id="346"/>
      <w:bookmarkEnd w:id="347"/>
      <w:bookmarkEnd w:id="348"/>
      <w:bookmarkEnd w:id="349"/>
      <w:bookmarkEnd w:id="350"/>
      <w:bookmarkEnd w:id="351"/>
      <w:bookmarkEnd w:id="352"/>
      <w:bookmarkEnd w:id="353"/>
      <w:bookmarkEnd w:id="354"/>
      <w:bookmarkEnd w:id="355"/>
      <w:bookmarkEnd w:id="356"/>
    </w:p>
    <w:p w14:paraId="63491FA9" w14:textId="77777777" w:rsidR="002747FA" w:rsidRDefault="002747FA" w:rsidP="00137460">
      <w:pPr>
        <w:spacing w:line="360" w:lineRule="auto"/>
        <w:rPr>
          <w:rFonts w:ascii="Times New Roman" w:hAnsi="Times New Roman" w:cs="Times New Roman"/>
        </w:rPr>
      </w:pPr>
    </w:p>
    <w:p w14:paraId="57212A95" w14:textId="06AC3547" w:rsidR="009918A3" w:rsidRDefault="009918A3" w:rsidP="009918A3">
      <w:pPr>
        <w:pStyle w:val="Body"/>
        <w:spacing w:line="360" w:lineRule="auto"/>
        <w:jc w:val="both"/>
        <w:rPr>
          <w:rFonts w:ascii="Times New Roman" w:hAnsi="Times New Roman" w:cs="Times New Roman"/>
          <w:sz w:val="24"/>
          <w:szCs w:val="24"/>
        </w:rPr>
      </w:pPr>
      <w:r w:rsidRPr="00294EBC">
        <w:rPr>
          <w:rFonts w:ascii="Times New Roman" w:hAnsi="Times New Roman" w:cs="Times New Roman"/>
          <w:sz w:val="24"/>
          <w:szCs w:val="24"/>
        </w:rPr>
        <w:t xml:space="preserve">A number of </w:t>
      </w:r>
      <w:r w:rsidRPr="00294EBC">
        <w:rPr>
          <w:rFonts w:ascii="Times New Roman" w:hAnsi="Times New Roman" w:cs="Times New Roman"/>
          <w:i/>
          <w:sz w:val="24"/>
          <w:szCs w:val="24"/>
        </w:rPr>
        <w:t>in vivo</w:t>
      </w:r>
      <w:r w:rsidRPr="00294EBC">
        <w:rPr>
          <w:rFonts w:ascii="Times New Roman" w:hAnsi="Times New Roman" w:cs="Times New Roman"/>
          <w:sz w:val="24"/>
          <w:szCs w:val="24"/>
        </w:rPr>
        <w:t xml:space="preserve"> studies in lower organisms have demonstrated that reduced signalling through the insulin</w:t>
      </w:r>
      <w:r w:rsidR="002A0EBD" w:rsidRPr="00294EBC">
        <w:rPr>
          <w:rFonts w:ascii="Times New Roman" w:hAnsi="Times New Roman" w:cs="Times New Roman"/>
          <w:sz w:val="24"/>
          <w:szCs w:val="24"/>
        </w:rPr>
        <w:t>/</w:t>
      </w:r>
      <w:r w:rsidR="0027218F">
        <w:rPr>
          <w:rFonts w:ascii="Times New Roman" w:hAnsi="Times New Roman" w:cs="Times New Roman"/>
          <w:sz w:val="24"/>
          <w:szCs w:val="24"/>
        </w:rPr>
        <w:t>IGF1 pathway correlate</w:t>
      </w:r>
      <w:r w:rsidRPr="00294EBC">
        <w:rPr>
          <w:rFonts w:ascii="Times New Roman" w:hAnsi="Times New Roman" w:cs="Times New Roman"/>
          <w:sz w:val="24"/>
          <w:szCs w:val="24"/>
        </w:rPr>
        <w:t xml:space="preserve"> with stress resistance and increased longevity. </w:t>
      </w:r>
      <w:r w:rsidR="002A0EBD" w:rsidRPr="00294EBC">
        <w:rPr>
          <w:rFonts w:ascii="Times New Roman" w:hAnsi="Times New Roman" w:cs="Times New Roman"/>
          <w:sz w:val="24"/>
          <w:szCs w:val="24"/>
        </w:rPr>
        <w:t xml:space="preserve">This was initially identified in </w:t>
      </w:r>
      <w:r w:rsidR="0016200A">
        <w:rPr>
          <w:rFonts w:ascii="Times New Roman" w:hAnsi="Times New Roman" w:cs="Times New Roman"/>
          <w:i/>
          <w:sz w:val="24"/>
          <w:szCs w:val="24"/>
        </w:rPr>
        <w:t>C</w:t>
      </w:r>
      <w:r w:rsidR="002A0EBD" w:rsidRPr="00294EBC">
        <w:rPr>
          <w:rFonts w:ascii="Times New Roman" w:hAnsi="Times New Roman" w:cs="Times New Roman"/>
          <w:i/>
          <w:sz w:val="24"/>
          <w:szCs w:val="24"/>
        </w:rPr>
        <w:t>.elegans</w:t>
      </w:r>
      <w:r w:rsidR="002A0EBD" w:rsidRPr="00294EBC">
        <w:rPr>
          <w:rFonts w:ascii="Times New Roman" w:hAnsi="Times New Roman" w:cs="Times New Roman"/>
          <w:sz w:val="24"/>
          <w:szCs w:val="24"/>
        </w:rPr>
        <w:t xml:space="preserve"> where loss of the insulin/IGF1 receptor orthologue </w:t>
      </w:r>
      <w:r w:rsidR="002A0EBD" w:rsidRPr="00294EBC">
        <w:rPr>
          <w:rFonts w:ascii="Times New Roman" w:hAnsi="Times New Roman" w:cs="Times New Roman"/>
          <w:i/>
          <w:sz w:val="24"/>
          <w:szCs w:val="24"/>
        </w:rPr>
        <w:t>daf2</w:t>
      </w:r>
      <w:r w:rsidR="002A0EBD" w:rsidRPr="00294EBC">
        <w:rPr>
          <w:rFonts w:ascii="Times New Roman" w:hAnsi="Times New Roman" w:cs="Times New Roman"/>
          <w:sz w:val="24"/>
          <w:szCs w:val="24"/>
        </w:rPr>
        <w:t xml:space="preserve"> results in a two fold-extension in survival </w:t>
      </w:r>
      <w:r w:rsidR="002A0EBD" w:rsidRPr="00294EBC">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"10.1038/366461a0", "ISSN" : "0028-0836", "PMID" : "8247153", "abstract" : "We have found that mutations in the gene daf-2 can cause fertile, active, adult Caenorhabditis elegans hermaphrodites to live more than twice as long as wild type. This lifespan extension, the largest yet reported in any organism, requires the activity of a second gene, daf-16. Both genes also regulate formation of the dauer larva, a developmentally arrested larval form that is induced by crowding and starvation and is very long-lived. Our findings raise the possibility that the longevity of the dauer is not simply a consequence of its arrested growth, but instead results from a regulated lifespan extension mechanism that can be uncoupled from other aspects of dauer formation. daf-2 and daf-16 provide entry points into understanding how lifespan can be extended.", "author" : [ { "dropping-particle" : "", "family" : "Kenyon", "given" : "C", "non-dropping-particle" : "", "parse-names" : false, "suffix" : "" }, { "dropping-particle" : "", "family" : "Chang", "given" : "J", "non-dropping-particle" : "", "parse-names" : false, "suffix" : "" }, { "dropping-particle" : "", "family" : "Gensch", "given" : "E", "non-dropping-particle" : "", "parse-names" : false, "suffix" : "" }, { "dropping-particle" : "", "family" : "Rudner", "given" : "A", "non-dropping-particle" : "", "parse-names" : false, "suffix" : "" }, { "dropping-particle" : "", "family" : "Tabtiang", "given" : "R", "non-dropping-particle" : "", "parse-names" : false, "suffix" : "" } ], "container-title" : "Nature", "id" : "ITEM-1", "issue" : "6454", "issued" : { "date-parts" : [ [ "1993", "12", "2" ] ] }, "page" : "461-4", "title" : "A C. elegans mutant that lives twice as long as wild type.", "title-short" : "Nature", "type" : "article-journal", "volume" : "366" }, "uris" : [ "http://www.mendeley.com/documents/?uuid=87d90fb2-8965-4fa1-b870-1644e47a84f8" ] } ], "mendeley" : { "formattedCitation" : "(Kenyon et al. 1993)", "plainTextFormattedCitation" : "(Kenyon et al. 1993)", "previouslyFormattedCitation" : "(Kenyon et al. 1993)" }, "properties" : { "noteIndex" : 0 }, "schema" : "https://github.com/citation-style-language/schema/raw/master/csl-citation.json" }</w:instrText>
      </w:r>
      <w:r w:rsidR="002A0EBD" w:rsidRPr="00294EBC">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(Kenyon et al. 1993)</w:t>
      </w:r>
      <w:r w:rsidR="002A0EBD" w:rsidRPr="00294EBC">
        <w:rPr>
          <w:rFonts w:ascii="Times New Roman" w:hAnsi="Times New Roman" w:cs="Times New Roman"/>
          <w:sz w:val="24"/>
          <w:szCs w:val="24"/>
        </w:rPr>
        <w:fldChar w:fldCharType="end"/>
      </w:r>
      <w:r w:rsidR="002A0EBD" w:rsidRPr="00294EBC">
        <w:rPr>
          <w:rFonts w:ascii="Times New Roman" w:hAnsi="Times New Roman" w:cs="Times New Roman"/>
          <w:sz w:val="24"/>
          <w:szCs w:val="24"/>
        </w:rPr>
        <w:t xml:space="preserve"> and since, impairments in this system have shown reproducible effects in other model organisms</w:t>
      </w:r>
      <w:r w:rsidR="00294EBC">
        <w:rPr>
          <w:rFonts w:ascii="Times New Roman" w:hAnsi="Times New Roman" w:cs="Times New Roman"/>
          <w:sz w:val="24"/>
          <w:szCs w:val="24"/>
        </w:rPr>
        <w:t xml:space="preserve"> </w:t>
      </w:r>
      <w:r w:rsidR="0027218F" w:rsidRPr="00A163A9">
        <w:rPr>
          <w:rFonts w:ascii="Times New Roman" w:hAnsi="Times New Roman" w:cs="Times New Roman"/>
          <w:sz w:val="24"/>
          <w:szCs w:val="24"/>
        </w:rPr>
        <w:t xml:space="preserve">including </w:t>
      </w:r>
      <w:r w:rsidR="00294EBC" w:rsidRPr="00A163A9">
        <w:rPr>
          <w:rFonts w:ascii="Times New Roman" w:hAnsi="Times New Roman" w:cs="Times New Roman"/>
          <w:sz w:val="24"/>
          <w:szCs w:val="24"/>
        </w:rPr>
        <w:t>flies</w:t>
      </w:r>
      <w:r w:rsidR="00A163A9">
        <w:rPr>
          <w:rFonts w:ascii="Times New Roman" w:hAnsi="Times New Roman" w:cs="Times New Roman"/>
          <w:sz w:val="24"/>
          <w:szCs w:val="24"/>
        </w:rPr>
        <w:t xml:space="preserve"> </w:t>
      </w:r>
      <w:r w:rsidR="00A163A9">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"10.1126/science.1057991", "ISSN" : "0036-8075", "PMID" : "11292874", "abstract" : "The Drosophila melanogaster gene chico encodes an insulin receptor substrate that functions in an insulin/insulin-like growth factor (IGF) signaling pathway. In the nematode Caenorhabditis elegans, insulin/IGF signaling regulates adult longevity. We found that mutation of chico extends fruit fly median life-span by up to 48% in homozygotes and 36% in heterozygotes. Extension of life-span was not a result of impaired oogenesis in chico females, nor was it consistently correlated with increased stress resistance. The dwarf phenotype of chico homozygotes was also unnecessary for extension of life-span. The role of insulin/IGF signaling in regulating animal aging is therefore evolutionarily conserved.", "author" : [ { "dropping-particle" : "", "family" : "Clancy", "given" : "D J", "non-dropping-particle" : "", "parse-names" : false, "suffix" : "" }, { "dropping-particle" : "", "family" : "Gems", "given" : "D", "non-dropping-particle" : "", "parse-names" : false, "suffix" : "" }, { "dropping-particle" : "", "family" : "Harshman", "given" : "L G", "non-dropping-particle" : "", "parse-names" : false, "suffix" : "" }, { "dropping-particle" : "", "family" : "Oldham", "given" : "S", "non-dropping-particle" : "", "parse-names" : false, "suffix" : "" }, { "dropping-particle" : "", "family" : "Stocker", "given" : "H", "non-dropping-particle" : "", "parse-names" : false, "suffix" : "" }, { "dropping-particle" : "", "family" : "Hafen", "given" : "E", "non-dropping-particle" : "", "parse-names" : false, "suffix" : "" }, { "dropping-particle" : "", "family" : "Leevers", "given" : "S J", "non-dropping-particle" : "", "parse-names" : false, "suffix" : "" }, { "dropping-particle" : "", "family" : "Partridge", "given" : "L", "non-dropping-particle" : "", "parse-names" : false, "suffix" : "" } ], "container-title" : "Science (New York, N.Y.)", "id" : "ITEM-1", "issue" : "5514", "issued" : { "date-parts" : [ [ "2001", "4", "6" ] ] }, "page" : "104-6", "title" : "Extension of life-span by loss of CHICO, a Drosophila insulin receptor substrate protein.", "type" : "article-journal", "volume" : "292" }, "uris" : [ "http://www.mendeley.com/documents/?uuid=59468714-8c04-3b4a-8ab6-ed27ca012bde" ] } ], "mendeley" : { "formattedCitation" : "(Clancy et al. 2001)", "plainTextFormattedCitation" : "(Clancy et al. 2001)", "previouslyFormattedCitation" : "(Clancy et al. 2001)" }, "properties" : { "noteIndex" : 0 }, "schema" : "https://github.com/citation-style-language/schema/raw/master/csl-citation.json" }</w:instrText>
      </w:r>
      <w:r w:rsidR="00A163A9">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(Clancy et al. 2001)</w:t>
      </w:r>
      <w:r w:rsidR="00A163A9">
        <w:rPr>
          <w:rFonts w:ascii="Times New Roman" w:hAnsi="Times New Roman" w:cs="Times New Roman"/>
          <w:sz w:val="24"/>
          <w:szCs w:val="24"/>
        </w:rPr>
        <w:fldChar w:fldCharType="end"/>
      </w:r>
      <w:r w:rsidR="00294EBC" w:rsidRPr="00A163A9">
        <w:rPr>
          <w:rFonts w:ascii="Times New Roman" w:hAnsi="Times New Roman" w:cs="Times New Roman"/>
          <w:sz w:val="24"/>
          <w:szCs w:val="24"/>
        </w:rPr>
        <w:t xml:space="preserve"> </w:t>
      </w:r>
      <w:r w:rsidR="00294EBC">
        <w:rPr>
          <w:rFonts w:ascii="Times New Roman" w:hAnsi="Times New Roman" w:cs="Times New Roman"/>
          <w:sz w:val="24"/>
          <w:szCs w:val="24"/>
        </w:rPr>
        <w:t>and mice</w:t>
      </w:r>
      <w:r w:rsidR="0027218F">
        <w:rPr>
          <w:rFonts w:ascii="Times New Roman" w:hAnsi="Times New Roman" w:cs="Times New Roman"/>
          <w:sz w:val="24"/>
          <w:szCs w:val="24"/>
        </w:rPr>
        <w:t xml:space="preserve"> </w:t>
      </w:r>
      <w:r w:rsidR="0027218F" w:rsidRPr="00294EBC">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"10.1038/nature01298", "ISSN" : "0028-0836", "PMID" : "12483226", "abstract" : "Studies in invertebrates have led to the identification of a number of genes that regulate lifespan, some of which encode components of the insulin or insulin-like signalling pathways. Examples include the related tyrosine kinase receptors InR (Drosophila melanogaster) and DAF-2 (Caenorhabditis elegans) that are homologues of the mammalian insulin-like growth factor type 1 receptor (IGF-1R). To investigate whether IGF-1R also controls longevity in mammals, we inactivated the IGF-1R gene in mice (Igf1r). Here, using heterozygous knockout mice because null mutants are not viable, we report that Igf1r(+/-) mice live on average 26% longer than their wild-type littermates (P &lt; 0.02). Female Igf1r(+/-) mice live 33% longer than wild-type females (P &lt; 0.001), whereas the equivalent male mice show an increase in lifespan of 16%, which is not statistically significant. Long-lived Igf1r(+/-) mice do not develop dwarfism, their energy metabolism is normal, and their nutrient uptake, physical activity, fertility and reproduction are unaffected. The Igf1r(+/-) mice display greater resistance to oxidative stress, a known determinant of ageing. These results indicate that the IGF-1 receptor may be a central regulator of mammalian lifespan.", "author" : [ { "dropping-particle" : "", "family" : "Holzenberger", "given" : "Martin", "non-dropping-particle" : "", "parse-names" : false, "suffix" : "" }, { "dropping-particle" : "", "family" : "Dupont", "given" : "Jo\u00eblle", "non-dropping-particle" : "", "parse-names" : false, "suffix" : "" }, { "dropping-particle" : "", "family" : "Ducos", "given" : "Bertrand", "non-dropping-particle" : "", "parse-names" : false, "suffix" : "" }, { "dropping-particle" : "", "family" : "Leneuve", "given" : "Patricia", "non-dropping-particle" : "", "parse-names" : false, "suffix" : "" }, { "dropping-particle" : "", "family" : "G\u00e9lo\u00ebn", "given" : "Alain", "non-dropping-particle" : "", "parse-names" : false, "suffix" : "" }, { "dropping-particle" : "", "family" : "Even", "given" : "Patrick C", "non-dropping-particle" : "", "parse-names" : false, "suffix" : "" }, { "dropping-particle" : "", "family" : "Cervera", "given" : "Pascale", "non-dropping-particle" : "", "parse-names" : false, "suffix" : "" }, { "dropping-particle" : "", "family" : "Bouc", "given" : "Yves", "non-dropping-particle" : "Le", "parse-names" : false, "suffix" : "" } ], "container-title" : "Nature", "id" : "ITEM-1", "issue" : "6919", "issued" : { "date-parts" : [ [ "2003", "1", "9" ] ] }, "page" : "182-7", "title" : "IGF-1 receptor regulates lifespan and resistance to oxidative stress in mice.", "title-short" : "Nature", "type" : "article-journal", "volume" : "421" }, "uris" : [ "http://www.mendeley.com/documents/?uuid=6af5ab91-a234-4b0c-bcd5-1f77cde203e3" ] }, { "id" : "ITEM-2", "itemData" : { "DOI" : "10.1073/pnas.0705467105", "ISSN" : "0027-8424", "abstract" : "Rather than being a passive, haphazard process of wear and tear, lifespan can be modulated actively by components of the insulin/insulin-like growth factor I (IGFI) pathway in laboratory animals. Complete or partial loss-of-function mutations in genes encoding components of the insulin/IGFI pathway result in extension of life span in yeasts, worms, flies, and mice. This remarkable conservation throughout evolution suggests that altered signaling in this pathway may also influence human lifespan. On the other hand, evolutionary tradeoffs predict that the laboratory findings may not be relevant to human populations, because of the high fitness cost during early life. Here, we studied the biochemical, phenotypic, and genetic variations in a cohort of Ashkenazi Jewish centenarians, their offspring, and offspring-matched controls and demonstrated a gender-specific increase in serum IGFI associated with a smaller stature in female offspring of centenarians. Sequence analysis of the IGF1 and IGF1 receptor (IGF1R) genes of female centenarians showed overrepresentation of heterozygous mutations in the IGF1R gene among centenarians relative to controls that are associated with high serum IGFI levels and reduced activity of the IGFIR as measured in transformed lymphocytes. Thus, genetic alterations in the human IGF1R that result in altered IGF signaling pathway confer an increase in susceptibility to human longevity, suggesting a role of this pathway in modulation of human lifespan.", "author" : [ { "dropping-particle" : "", "family" : "Suh", "given" : "Y.", "non-dropping-particle" : "", "parse-names" : false, "suffix" : "" }, { "dropping-particle" : "", "family" : "Atzmon", "given" : "G.", "non-dropping-particle" : "", "parse-names" : false, "suffix" : "" }, { "dropping-particle" : "", "family" : "Cho", "given" : "M.-O.", "non-dropping-particle" : "", "parse-names" : false, "suffix" : "" }, { "dropping-particle" : "", "family" : "Hwang", "given" : "D.", "non-dropping-particle" : "", "parse-names" : false, "suffix" : "" }, { "dropping-particle" : "", "family" : "Liu", "given" : "B.", "non-dropping-particle" : "", "parse-names" : false, "suffix" : "" }, { "dropping-particle" : "", "family" : "Leahy", "given" : "D. J.", "non-dropping-particle" : "", "parse-names" : false, "suffix" : "" }, { "dropping-particle" : "", "family" : "Barzilai", "given" : "N.", "non-dropping-particle" : "", "parse-names" : false, "suffix" : "" }, { "dropping-particle" : "", "family" : "Cohen", "given" : "P.", "non-dropping-particle" : "", "parse-names" : false, "suffix" : "" } ], "container-title" : "Proceedings of the National Academy of Sciences", "id" : "ITEM-2", "issue" : "9", "issued" : { "date-parts" : [ [ "2008", "3", "3" ] ] }, "page" : "3438-3442", "title" : "Functionally significant insulin-like growth factor I receptor mutations in centenarians", "type" : "article-journal", "volume" : "105" }, "uris" : [ "http://www.mendeley.com/documents/?uuid=8b3a767b-e2f0-41c9-9af2-28e3813e3442" ] }, { "id" : "ITEM-3", "itemData" : { "DOI" : "10.1038/366461a0", "ISSN" : "0028-0836", "PMID" : "8247153", "abstract" : "We have found that mutations in the gene daf-2 can cause fertile, active, adult Caenorhabditis elegans hermaphrodites to live more than twice as long as wild type. This lifespan extension, the largest yet reported in any organism, requires the activity of a second gene, daf-16. Both genes also regulate formation of the dauer larva, a developmentally arrested larval form that is induced by crowding and starvation and is very long-lived. Our findings raise the possibility that the longevity of the dauer is not simply a consequence of its arrested growth, but instead results from a regulated lifespan extension mechanism that can be uncoupled from other aspects of dauer formation. daf-2 and daf-16 provide entry points into understanding how lifespan can be extended.", "author" : [ { "dropping-particle" : "", "family" : "Kenyon", "given" : "C", "non-dropping-particle" : "", "parse-names" : false, "suffix" : "" }, { "dropping-particle" : "", "family" : "Chang", "given" : "J", "non-dropping-particle" : "", "parse-names" : false, "suffix" : "" }, { "dropping-particle" : "", "family" : "Gensch", "given" : "E", "non-dropping-particle" : "", "parse-names" : false, "suffix" : "" }, { "dropping-particle" : "", "family" : "Rudner", "given" : "A", "non-dropping-particle" : "", "parse-names" : false, "suffix" : "" }, { "dropping-particle" : "", "family" : "Tabtiang", "given" : "R", "non-dropping-particle" : "", "parse-names" : false, "suffix" : "" } ], "container-title" : "Nature", "id" : "ITEM-3", "issue" : "6454", "issued" : { "date-parts" : [ [ "1993", "12", "2" ] ] }, "page" : "461-4", "title" : "A C. elegans mutant that lives twice as long as wild type.", "title-short" : "Nature", "type" : "article-journal", "volume" : "366" }, "uris" : [ "http://www.mendeley.com/documents/?uuid=87d90fb2-8965-4fa1-b870-1644e47a84f8" ] } ], "mendeley" : { "formattedCitation" : "(Holzenberger et al. 2003; Suh et al. 2008; Kenyon et al. 1993)", "manualFormatting" : "(Holzenberger et al., 2003)", "plainTextFormattedCitation" : "(Holzenberger et al. 2003; Suh et al. 2008; Kenyon et al. 1993)", "previouslyFormattedCitation" : "(Holzenberger et al. 2003; Suh et al. 2008; Kenyon et al. 1993)" }, "properties" : { "noteIndex" : 0 }, "schema" : "https://github.com/citation-style-language/schema/raw/master/csl-citation.json" }</w:instrText>
      </w:r>
      <w:r w:rsidR="0027218F" w:rsidRPr="00294EBC">
        <w:rPr>
          <w:rFonts w:ascii="Times New Roman" w:hAnsi="Times New Roman" w:cs="Times New Roman"/>
          <w:sz w:val="24"/>
          <w:szCs w:val="24"/>
        </w:rPr>
        <w:fldChar w:fldCharType="separate"/>
      </w:r>
      <w:r w:rsidR="0027218F" w:rsidRPr="00294EBC">
        <w:rPr>
          <w:rFonts w:ascii="Times New Roman" w:hAnsi="Times New Roman" w:cs="Times New Roman"/>
          <w:noProof/>
          <w:sz w:val="24"/>
          <w:szCs w:val="24"/>
        </w:rPr>
        <w:t>(Holzenberger et al., 2003)</w:t>
      </w:r>
      <w:r w:rsidR="0027218F" w:rsidRPr="00294EBC">
        <w:rPr>
          <w:rFonts w:ascii="Times New Roman" w:hAnsi="Times New Roman" w:cs="Times New Roman"/>
          <w:sz w:val="24"/>
          <w:szCs w:val="24"/>
        </w:rPr>
        <w:fldChar w:fldCharType="end"/>
      </w:r>
      <w:r w:rsidRPr="00294EBC">
        <w:rPr>
          <w:rFonts w:ascii="Times New Roman" w:hAnsi="Times New Roman" w:cs="Times New Roman"/>
          <w:sz w:val="24"/>
          <w:szCs w:val="24"/>
        </w:rPr>
        <w:t xml:space="preserve">. </w:t>
      </w:r>
      <w:r w:rsidR="002A0EBD" w:rsidRPr="00294EBC">
        <w:rPr>
          <w:rFonts w:ascii="Times New Roman" w:hAnsi="Times New Roman" w:cs="Times New Roman"/>
          <w:sz w:val="24"/>
          <w:szCs w:val="24"/>
        </w:rPr>
        <w:t xml:space="preserve">A five-fold increase in longevity was later demonstrated in a </w:t>
      </w:r>
      <w:r w:rsidR="002A0EBD" w:rsidRPr="00294EBC">
        <w:rPr>
          <w:rFonts w:ascii="Times New Roman" w:hAnsi="Times New Roman" w:cs="Times New Roman"/>
          <w:i/>
          <w:sz w:val="24"/>
          <w:szCs w:val="24"/>
        </w:rPr>
        <w:t xml:space="preserve">daf2 rsks1 </w:t>
      </w:r>
      <w:r w:rsidR="002A0EBD" w:rsidRPr="00294EBC">
        <w:rPr>
          <w:rFonts w:ascii="Times New Roman" w:hAnsi="Times New Roman" w:cs="Times New Roman"/>
          <w:sz w:val="24"/>
          <w:szCs w:val="24"/>
        </w:rPr>
        <w:t>(</w:t>
      </w:r>
      <w:r w:rsidR="0016200A">
        <w:rPr>
          <w:rFonts w:ascii="Times New Roman" w:hAnsi="Times New Roman" w:cs="Times New Roman"/>
          <w:i/>
          <w:sz w:val="24"/>
          <w:szCs w:val="24"/>
        </w:rPr>
        <w:t>C</w:t>
      </w:r>
      <w:r w:rsidR="002A0EBD" w:rsidRPr="00294EBC">
        <w:rPr>
          <w:rFonts w:ascii="Times New Roman" w:hAnsi="Times New Roman" w:cs="Times New Roman"/>
          <w:i/>
          <w:sz w:val="24"/>
          <w:szCs w:val="24"/>
        </w:rPr>
        <w:t>.elegans</w:t>
      </w:r>
      <w:r w:rsidR="002A0EBD" w:rsidRPr="00294EBC">
        <w:rPr>
          <w:rFonts w:ascii="Times New Roman" w:hAnsi="Times New Roman" w:cs="Times New Roman"/>
          <w:sz w:val="24"/>
          <w:szCs w:val="24"/>
        </w:rPr>
        <w:t xml:space="preserve"> S6K orthologue) </w:t>
      </w:r>
      <w:r w:rsidR="0016200A">
        <w:rPr>
          <w:rFonts w:ascii="Times New Roman" w:hAnsi="Times New Roman" w:cs="Times New Roman"/>
          <w:i/>
          <w:sz w:val="24"/>
          <w:szCs w:val="24"/>
        </w:rPr>
        <w:t>C</w:t>
      </w:r>
      <w:r w:rsidR="002A0EBD" w:rsidRPr="00294EBC">
        <w:rPr>
          <w:rFonts w:ascii="Times New Roman" w:hAnsi="Times New Roman" w:cs="Times New Roman"/>
          <w:i/>
          <w:sz w:val="24"/>
          <w:szCs w:val="24"/>
        </w:rPr>
        <w:t>.elegans</w:t>
      </w:r>
      <w:r w:rsidR="002A0EBD" w:rsidRPr="00294EBC">
        <w:rPr>
          <w:rFonts w:ascii="Times New Roman" w:hAnsi="Times New Roman" w:cs="Times New Roman"/>
          <w:sz w:val="24"/>
          <w:szCs w:val="24"/>
        </w:rPr>
        <w:t xml:space="preserve"> mutant, showing synergistic effects on lifespan extension when multiple insulin/IGF1 signalling proteins are targeted </w:t>
      </w:r>
      <w:r w:rsidR="002A0EBD" w:rsidRPr="00294EBC">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"10.1016/j.celrep.2013.11.018", "ISSN" : "2211-1247", "PMID" : "24332851", "abstract" : "Inhibition of DAF-2 (insulin-like growth factor 1 [IGF-1] receptor) or RSKS-1 (S6K), key molecules in the insulin/IGF-1 signaling (IIS) and target of rapamycin (TOR) pathways, respectively, extend lifespan in Caenorhabditis elegans. However, it has not been clear how and in which tissues they interact with each other to modulate longevity. Here, we demonstrate that a combination of mutations in daf-2 and rsks-1 produces a nearly 5-fold increase in longevity that is much greater than the sum of single mutations. This synergistic lifespan extension requires positive feedback regulation of DAF-16 (FOXO) via the AMP-activated protein kinase (AMPK) complex. Furthermore, we identify germline as the key tissue for this synergistic longevity. Moreover, germline-specific inhibition of rsks-1 activates DAF-16 in the intestine. Together, our findings highlight the importance of the germline in the significantly increased longevity produced by daf-2 rsks-1, which has important implications for interactions between the two major conserved longevity pathways in more complex organisms.", "author" : [ { "dropping-particle" : "", "family" : "Chen", "given" : "Di", "non-dropping-particle" : "", "parse-names" : false, "suffix" : "" }, { "dropping-particle" : "", "family" : "Li", "given" : "Patrick Wai-Lun", "non-dropping-particle" : "", "parse-names" : false, "suffix" : "" }, { "dropping-particle" : "", "family" : "Goldstein", "given" : "Benjamin A", "non-dropping-particle" : "", "parse-names" : false, "suffix" : "" }, { "dropping-particle" : "", "family" : "Cai", "given" : "Waijiao", "non-dropping-particle" : "", "parse-names" : false, "suffix" : "" }, { "dropping-particle" : "", "family" : "Thomas", "given" : "Emma Lynn", "non-dropping-particle" : "", "parse-names" : false, "suffix" : "" }, { "dropping-particle" : "", "family" : "Chen", "given" : "Fen", "non-dropping-particle" : "", "parse-names" : false, "suffix" : "" }, { "dropping-particle" : "", "family" : "Hubbard", "given" : "Alan E", "non-dropping-particle" : "", "parse-names" : false, "suffix" : "" }, { "dropping-particle" : "", "family" : "Melov", "given" : "Simon", "non-dropping-particle" : "", "parse-names" : false, "suffix" : "" }, { "dropping-particle" : "", "family" : "Kapahi", "given" : "Pankaj", "non-dropping-particle" : "", "parse-names" : false, "suffix" : "" } ], "container-title" : "Cell reports", "id" : "ITEM-1", "issue" : "6", "issued" : { "date-parts" : [ [ "2013", "12", "26" ] ] }, "page" : "1600-10", "publisher" : "NIH Public Access", "title" : "Germline signaling mediates the synergistically prolonged longevity produced by double mutations in daf-2 and rsks-1 in C. elegans.", "type" : "article-journal", "volume" : "5" }, "uris" : [ "http://www.mendeley.com/documents/?uuid=9fcff066-8367-366e-8402-b9c9480bef04" ] } ], "mendeley" : { "formattedCitation" : "(Chen et al. 2013)", "plainTextFormattedCitation" : "(Chen et al. 2013)", "previouslyFormattedCitation" : "(Chen et al. 2013)" }, "properties" : { "noteIndex" : 0 }, "schema" : "https://github.com/citation-style-language/schema/raw/master/csl-citation.json" }</w:instrText>
      </w:r>
      <w:r w:rsidR="002A0EBD" w:rsidRPr="00294EBC">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(Chen et al. 2013)</w:t>
      </w:r>
      <w:r w:rsidR="002A0EBD" w:rsidRPr="00294EBC">
        <w:rPr>
          <w:rFonts w:ascii="Times New Roman" w:hAnsi="Times New Roman" w:cs="Times New Roman"/>
          <w:sz w:val="24"/>
          <w:szCs w:val="24"/>
        </w:rPr>
        <w:fldChar w:fldCharType="end"/>
      </w:r>
      <w:r w:rsidR="002A0EBD" w:rsidRPr="00294EBC">
        <w:rPr>
          <w:rFonts w:ascii="Times New Roman" w:hAnsi="Times New Roman" w:cs="Times New Roman"/>
          <w:sz w:val="24"/>
          <w:szCs w:val="24"/>
        </w:rPr>
        <w:t xml:space="preserve">. In addition, mutations in IGF1R associated with downregulated receptor activity and low expression of IGF1, PI3K and IRS1 have been identified in female centenarians </w:t>
      </w:r>
      <w:r w:rsidR="002A0EBD" w:rsidRPr="00294EBC">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"10.1073/pnas.0705467105", "ISSN" : "0027-8424", "abstract" : "Rather than being a passive, haphazard process of wear and tear, lifespan can be modulated actively by components of the insulin/insulin-like growth factor I (IGFI) pathway in laboratory animals. Complete or partial loss-of-function mutations in genes encoding components of the insulin/IGFI pathway result in extension of life span in yeasts, worms, flies, and mice. This remarkable conservation throughout evolution suggests that altered signaling in this pathway may also influence human lifespan. On the other hand, evolutionary tradeoffs predict that the laboratory findings may not be relevant to human populations, because of the high fitness cost during early life. Here, we studied the biochemical, phenotypic, and genetic variations in a cohort of Ashkenazi Jewish centenarians, their offspring, and offspring-matched controls and demonstrated a gender-specific increase in serum IGFI associated with a smaller stature in female offspring of centenarians. Sequence analysis of the IGF1 and IGF1 receptor (IGF1R) genes of female centenarians showed overrepresentation of heterozygous mutations in the IGF1R gene among centenarians relative to controls that are associated with high serum IGFI levels and reduced activity of the IGFIR as measured in transformed lymphocytes. Thus, genetic alterations in the human IGF1R that result in altered IGF signaling pathway confer an increase in susceptibility to human longevity, suggesting a role of this pathway in modulation of human lifespan.", "author" : [ { "dropping-particle" : "", "family" : "Suh", "given" : "Y.", "non-dropping-particle" : "", "parse-names" : false, "suffix" : "" }, { "dropping-particle" : "", "family" : "Atzmon", "given" : "G.", "non-dropping-particle" : "", "parse-names" : false, "suffix" : "" }, { "dropping-particle" : "", "family" : "Cho", "given" : "M.-O.", "non-dropping-particle" : "", "parse-names" : false, "suffix" : "" }, { "dropping-particle" : "", "family" : "Hwang", "given" : "D.", "non-dropping-particle" : "", "parse-names" : false, "suffix" : "" }, { "dropping-particle" : "", "family" : "Liu", "given" : "B.", "non-dropping-particle" : "", "parse-names" : false, "suffix" : "" }, { "dropping-particle" : "", "family" : "Leahy", "given" : "D. J.", "non-dropping-particle" : "", "parse-names" : false, "suffix" : "" }, { "dropping-particle" : "", "family" : "Barzilai", "given" : "N.", "non-dropping-particle" : "", "parse-names" : false, "suffix" : "" }, { "dropping-particle" : "", "family" : "Cohen", "given" : "P.", "non-dropping-particle" : "", "parse-names" : false, "suffix" : "" } ], "container-title" : "Proceedings of the National Academy of Sciences", "id" : "ITEM-1", "issue" : "9", "issued" : { "date-parts" : [ [ "2008", "3", "3" ] ] }, "page" : "3438-3442", "title" : "Functionally significant insulin-like growth factor I receptor mutations in centenarians", "type" : "article-journal", "volume" : "105" }, "uris" : [ "http://www.mendeley.com/documents/?uuid=8b3a767b-e2f0-41c9-9af2-28e3813e3442" ] }, { "id" : "ITEM-2", "itemData" : { "DOI" : "10.1210/jc.2002-021810", "ISSN" : "0021-972X", "author" : [ { "dropping-particle" : "", "family" : "Bonaf\u00e8", "given" : "Massimiliano", "non-dropping-particle" : "", "parse-names" : false, "suffix" : "" }, { "dropping-particle" : "", "family" : "Barbieri", "given" : "Michelangela", "non-dropping-particle" : "", "parse-names" : false, "suffix" : "" }, { "dropping-particle" : "", "family" : "Marchegiani", "given" : "Francesca", "non-dropping-particle" : "", "parse-names" : false, "suffix" : "" }, { "dropping-particle" : "", "family" : "Olivieri", "given" : "Fabiola", "non-dropping-particle" : "", "parse-names" : false, "suffix" : "" }, { "dropping-particle" : "", "family" : "Ragno", "given" : "Emilia", "non-dropping-particle" : "", "parse-names" : false, "suffix" : "" }, { "dropping-particle" : "", "family" : "Giampieri", "given" : "Claudia", "non-dropping-particle" : "", "parse-names" : false, "suffix" : "" }, { "dropping-particle" : "", "family" : "Mugianesi", "given" : "Elena", "non-dropping-particle" : "", "parse-names" : false, "suffix" : "" }, { "dropping-particle" : "", "family" : "Centurelli", "given" : "Matteo", "non-dropping-particle" : "", "parse-names" : false, "suffix" : "" }, { "dropping-particle" : "", "family" : "Franceschi", "given" : "Claudio", "non-dropping-particle" : "", "parse-names" : false, "suffix" : "" }, { "dropping-particle" : "", "family" : "Paolisso", "given" : "Giuseppe", "non-dropping-particle" : "", "parse-names" : false, "suffix" : "" } ], "container-title" : "The Journal of Clinical Endocrinology &amp; Metabolism", "id" : "ITEM-2", "issue" : "7", "issued" : { "date-parts" : [ [ "2003", "7" ] ] }, "page" : "3299-3304", "title" : "Polymorphic Variants of Insulin-Like Growth Factor I (IGF-I) Receptor and Phosphoinositide 3-Kinase Genes Affect IGF-I Plasma Levels and Human Longevity: Cues for an Evolutionarily Conserved Mechanism of Life Span Control", "type" : "article-journal", "volume" : "88" }, "uris" : [ "http://www.mendeley.com/documents/?uuid=e359b594-19f5-387a-961d-7177777eed57" ] } ], "mendeley" : { "formattedCitation" : "(Suh et al. 2008; Bonaf\u00e8 et al. 2003)", "plainTextFormattedCitation" : "(Suh et al. 2008; Bonaf\u00e8 et al. 2003)", "previouslyFormattedCitation" : "(Suh et al. 2008; Bonaf\u00e8 et al. 2003)" }, "properties" : { "noteIndex" : 0 }, "schema" : "https://github.com/citation-style-language/schema/raw/master/csl-citation.json" }</w:instrText>
      </w:r>
      <w:r w:rsidR="002A0EBD" w:rsidRPr="00294EBC">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(Suh et al. 2008; Bonafè et al. 2003)</w:t>
      </w:r>
      <w:r w:rsidR="002A0EBD" w:rsidRPr="00294EBC">
        <w:rPr>
          <w:rFonts w:ascii="Times New Roman" w:hAnsi="Times New Roman" w:cs="Times New Roman"/>
          <w:sz w:val="24"/>
          <w:szCs w:val="24"/>
        </w:rPr>
        <w:fldChar w:fldCharType="end"/>
      </w:r>
      <w:r w:rsidR="002A0EBD" w:rsidRPr="00294EBC">
        <w:rPr>
          <w:rFonts w:ascii="Times New Roman" w:hAnsi="Times New Roman" w:cs="Times New Roman"/>
          <w:color w:val="FF0000"/>
          <w:sz w:val="24"/>
          <w:szCs w:val="24"/>
        </w:rPr>
        <w:t xml:space="preserve"> </w:t>
      </w:r>
      <w:r w:rsidR="002A0EBD" w:rsidRPr="00294EBC">
        <w:rPr>
          <w:rFonts w:ascii="Times New Roman" w:hAnsi="Times New Roman" w:cs="Times New Roman"/>
          <w:sz w:val="24"/>
          <w:szCs w:val="24"/>
        </w:rPr>
        <w:t xml:space="preserve">In a separate study, loss of IGF1 was found in a group of centenarians however dementia was more prevalent in individuals with the lowest levels of IGF1 </w:t>
      </w:r>
      <w:r w:rsidR="002A0EBD" w:rsidRPr="00294EBC">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"10.1093/gerona/56.2.M79", "ISSN" : "1079-5006", "author" : [ { "dropping-particle" : "", "family" : "Arai", "given" : "Y.", "non-dropping-particle" : "", "parse-names" : false, "suffix" : "" }, { "dropping-particle" : "", "family" : "Hirose", "given" : "N.", "non-dropping-particle" : "", "parse-names" : false, "suffix" : "" }, { "dropping-particle" : "", "family" : "Yamamura", "given" : "K.", "non-dropping-particle" : "", "parse-names" : false, "suffix" : "" }, { "dropping-particle" : "", "family" : "Shimizu", "given" : "K.-i.", "non-dropping-particle" : "", "parse-names" : false, "suffix" : "" }, { "dropping-particle" : "", "family" : "Takayama", "given" : "M.", "non-dropping-particle" : "", "parse-names" : false, "suffix" : "" }, { "dropping-particle" : "", "family" : "Ebihara", "given" : "Y.", "non-dropping-particle" : "", "parse-names" : false, "suffix" : "" }, { "dropping-particle" : "", "family" : "Osono", "given" : "Y.", "non-dropping-particle" : "", "parse-names" : false, "suffix" : "" } ], "container-title" : "The Journals of Gerontology Series A: Biological Sciences and Medical Sciences", "id" : "ITEM-1", "issue" : "2", "issued" : { "date-parts" : [ [ "2001", "2", "1" ] ] }, "page" : "M79-M82", "title" : "Serum Insulin-like Growth Factor-1 in Centenarians: Implications of IGF-1 as a Rapid Turnover Protein", "type" : "article-journal", "volume" : "56" }, "uris" : [ "http://www.mendeley.com/documents/?uuid=2e48f832-7539-3e92-85cd-3ad80ddc0489" ] } ], "mendeley" : { "formattedCitation" : "(Arai et al. 2001)", "plainTextFormattedCitation" : "(Arai et al. 2001)", "previouslyFormattedCitation" : "(Arai et al. 2001)" }, "properties" : { "noteIndex" : 0 }, "schema" : "https://github.com/citation-style-language/schema/raw/master/csl-citation.json" }</w:instrText>
      </w:r>
      <w:r w:rsidR="002A0EBD" w:rsidRPr="00294EBC">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(Arai et al. 2001)</w:t>
      </w:r>
      <w:r w:rsidR="002A0EBD" w:rsidRPr="00294EBC">
        <w:rPr>
          <w:rFonts w:ascii="Times New Roman" w:hAnsi="Times New Roman" w:cs="Times New Roman"/>
          <w:sz w:val="24"/>
          <w:szCs w:val="24"/>
        </w:rPr>
        <w:fldChar w:fldCharType="end"/>
      </w:r>
      <w:r w:rsidR="002A0EBD" w:rsidRPr="00294EBC">
        <w:rPr>
          <w:rFonts w:ascii="Times New Roman" w:hAnsi="Times New Roman" w:cs="Times New Roman"/>
          <w:sz w:val="24"/>
          <w:szCs w:val="24"/>
        </w:rPr>
        <w:t xml:space="preserve">. These results suggest that impaired insulin/IGF1 signalling is beneficial for longevity. However some degree of pathway activity is necessary as complete deletion of IR/IGF1R is lethal in mice </w:t>
      </w:r>
      <w:r w:rsidR="002A0EBD" w:rsidRPr="00294EBC">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"10.1038/nature01298", "ISSN" : "0028-0836", "PMID" : "12483226", "abstract" : "Studies in invertebrates have led to the identification of a number of genes that regulate lifespan, some of which encode components of the insulin or insulin-like signalling pathways. Examples include the related tyrosine kinase receptors InR (Drosophila melanogaster) and DAF-2 (Caenorhabditis elegans) that are homologues of the mammalian insulin-like growth factor type 1 receptor (IGF-1R). To investigate whether IGF-1R also controls longevity in mammals, we inactivated the IGF-1R gene in mice (Igf1r). Here, using heterozygous knockout mice because null mutants are not viable, we report that Igf1r(+/-) mice live on average 26% longer than their wild-type littermates (P &lt; 0.02). Female Igf1r(+/-) mice live 33% longer than wild-type females (P &lt; 0.001), whereas the equivalent male mice show an increase in lifespan of 16%, which is not statistically significant. Long-lived Igf1r(+/-) mice do not develop dwarfism, their energy metabolism is normal, and their nutrient uptake, physical activity, fertility and reproduction are unaffected. The Igf1r(+/-) mice display greater resistance to oxidative stress, a known determinant of ageing. These results indicate that the IGF-1 receptor may be a central regulator of mammalian lifespan.", "author" : [ { "dropping-particle" : "", "family" : "Holzenberger", "given" : "Martin", "non-dropping-particle" : "", "parse-names" : false, "suffix" : "" }, { "dropping-particle" : "", "family" : "Dupont", "given" : "Jo\u00eblle", "non-dropping-particle" : "", "parse-names" : false, "suffix" : "" }, { "dropping-particle" : "", "family" : "Ducos", "given" : "Bertrand", "non-dropping-particle" : "", "parse-names" : false, "suffix" : "" }, { "dropping-particle" : "", "family" : "Leneuve", "given" : "Patricia", "non-dropping-particle" : "", "parse-names" : false, "suffix" : "" }, { "dropping-particle" : "", "family" : "G\u00e9lo\u00ebn", "given" : "Alain", "non-dropping-particle" : "", "parse-names" : false, "suffix" : "" }, { "dropping-particle" : "", "family" : "Even", "given" : "Patrick C", "non-dropping-particle" : "", "parse-names" : false, "suffix" : "" }, { "dropping-particle" : "", "family" : "Cervera", "given" : "Pascale", "non-dropping-particle" : "", "parse-names" : false, "suffix" : "" }, { "dropping-particle" : "", "family" : "Bouc", "given" : "Yves", "non-dropping-particle" : "Le", "parse-names" : false, "suffix" : "" } ], "container-title" : "Nature", "id" : "ITEM-1", "issue" : "6919", "issued" : { "date-parts" : [ [ "2003", "1", "9" ] ] }, "page" : "182-7", "title" : "IGF-1 receptor regulates lifespan and resistance to oxidative stress in mice.", "title-short" : "Nature", "type" : "article-journal", "volume" : "421" }, "uris" : [ "http://www.mendeley.com/documents/?uuid=6af5ab91-a234-4b0c-bcd5-1f77cde203e3" ] } ], "mendeley" : { "formattedCitation" : "(Holzenberger et al. 2003)", "plainTextFormattedCitation" : "(Holzenberger et al. 2003)", "previouslyFormattedCitation" : "(Holzenberger et al. 2003)" }, "properties" : { "noteIndex" : 0 }, "schema" : "https://github.com/citation-style-language/schema/raw/master/csl-citation.json" }</w:instrText>
      </w:r>
      <w:r w:rsidR="002A0EBD" w:rsidRPr="00294EBC">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(Holzenberger et al. 2003)</w:t>
      </w:r>
      <w:r w:rsidR="002A0EBD" w:rsidRPr="00294EBC">
        <w:rPr>
          <w:rFonts w:ascii="Times New Roman" w:hAnsi="Times New Roman" w:cs="Times New Roman"/>
          <w:sz w:val="24"/>
          <w:szCs w:val="24"/>
        </w:rPr>
        <w:fldChar w:fldCharType="end"/>
      </w:r>
      <w:r w:rsidR="002A0EBD" w:rsidRPr="00294EBC">
        <w:rPr>
          <w:rFonts w:ascii="Times New Roman" w:hAnsi="Times New Roman" w:cs="Times New Roman"/>
          <w:sz w:val="24"/>
          <w:szCs w:val="24"/>
        </w:rPr>
        <w:t xml:space="preserve"> and very low IGF1 levels have been associated with cognitive decline</w:t>
      </w:r>
      <w:r w:rsidR="006C450D">
        <w:rPr>
          <w:rFonts w:ascii="Times New Roman" w:hAnsi="Times New Roman" w:cs="Times New Roman"/>
          <w:sz w:val="24"/>
          <w:szCs w:val="24"/>
        </w:rPr>
        <w:t xml:space="preserve"> </w:t>
      </w:r>
      <w:r w:rsidR="00970F4D">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"10.1093/gerona/56.2.M79", "ISSN" : "1079-5006", "author" : [ { "dropping-particle" : "", "family" : "Arai", "given" : "Y.", "non-dropping-particle" : "", "parse-names" : false, "suffix" : "" }, { "dropping-particle" : "", "family" : "Hirose", "given" : "N.", "non-dropping-particle" : "", "parse-names" : false, "suffix" : "" }, { "dropping-particle" : "", "family" : "Yamamura", "given" : "K.", "non-dropping-particle" : "", "parse-names" : false, "suffix" : "" }, { "dropping-particle" : "", "family" : "Shimizu", "given" : "K.-i.", "non-dropping-particle" : "", "parse-names" : false, "suffix" : "" }, { "dropping-particle" : "", "family" : "Takayama", "given" : "M.", "non-dropping-particle" : "", "parse-names" : false, "suffix" : "" }, { "dropping-particle" : "", "family" : "Ebihara", "given" : "Y.", "non-dropping-particle" : "", "parse-names" : false, "suffix" : "" }, { "dropping-particle" : "", "family" : "Osono", "given" : "Y.", "non-dropping-particle" : "", "parse-names" : false, "suffix" : "" } ], "container-title" : "The Journals of Gerontology Series A: Biological Sciences and Medical Sciences", "id" : "ITEM-1", "issue" : "2", "issued" : { "date-parts" : [ [ "2001", "2", "1" ] ] }, "page" : "M79-M82", "title" : "Serum Insulin-like Growth Factor-1 in Centenarians: Implications of IGF-1 as a Rapid Turnover Protein", "type" : "article-journal", "volume" : "56" }, "uris" : [ "http://www.mendeley.com/documents/?uuid=2e48f832-7539-3e92-85cd-3ad80ddc0489" ] } ], "mendeley" : { "formattedCitation" : "(Arai et al. 2001)", "plainTextFormattedCitation" : "(Arai et al. 2001)", "previouslyFormattedCitation" : "(Arai et al. 2001)" }, "properties" : { "noteIndex" : 0 }, "schema" : "https://github.com/citation-style-language/schema/raw/master/csl-citation.json" }</w:instrText>
      </w:r>
      <w:r w:rsidR="00970F4D">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(Arai et al. 2001)</w:t>
      </w:r>
      <w:r w:rsidR="00970F4D">
        <w:rPr>
          <w:rFonts w:ascii="Times New Roman" w:hAnsi="Times New Roman" w:cs="Times New Roman"/>
          <w:sz w:val="24"/>
          <w:szCs w:val="24"/>
        </w:rPr>
        <w:fldChar w:fldCharType="end"/>
      </w:r>
      <w:r w:rsidR="002A0EBD" w:rsidRPr="00294EBC">
        <w:rPr>
          <w:rFonts w:ascii="Times New Roman" w:hAnsi="Times New Roman" w:cs="Times New Roman"/>
          <w:sz w:val="24"/>
          <w:szCs w:val="24"/>
        </w:rPr>
        <w:t>.</w:t>
      </w:r>
      <w:r w:rsidR="0027218F">
        <w:rPr>
          <w:rFonts w:ascii="Times New Roman" w:hAnsi="Times New Roman" w:cs="Times New Roman"/>
          <w:sz w:val="24"/>
          <w:szCs w:val="24"/>
        </w:rPr>
        <w:t xml:space="preserve"> </w:t>
      </w:r>
      <w:r w:rsidRPr="00294EBC">
        <w:rPr>
          <w:rFonts w:ascii="Times New Roman" w:hAnsi="Times New Roman" w:cs="Times New Roman"/>
          <w:sz w:val="24"/>
          <w:szCs w:val="24"/>
        </w:rPr>
        <w:t>Furthermore, reduced insulin/IGF1 signalling seems</w:t>
      </w:r>
      <w:r w:rsidRPr="00EF2AF4">
        <w:rPr>
          <w:rFonts w:ascii="Times New Roman" w:hAnsi="Times New Roman" w:cs="Times New Roman"/>
          <w:sz w:val="24"/>
          <w:szCs w:val="24"/>
        </w:rPr>
        <w:t xml:space="preserve"> to confer protection from toxic protein aggregates such as the Huntington’s disease associated polyQ peptide and the Alzheimer-linked Aβ peptide in the brain </w:t>
      </w:r>
      <w:r>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"10.1126/science.1124646", "ISSN" : "1095-9203", "PMID" : "16902091", "abstract" : "Aberrant protein aggregation is a common feature of late-onset neurodegenerative diseases, including Alzheimer's disease, which is associated with the misassembly of the Abeta(1-42) peptide. Aggregation-mediated Abeta(1-42) toxicity was reduced in Caenorhabditis elegans when aging was slowed by decreased insulin/insulin growth factor-1-like signaling (IIS). The downstream transcription factors, heat shock factor 1, and DAF-16 regulate opposing disaggregation and aggregation activities to promote cellular survival in response to constitutive toxic protein aggregation. Because the IIS pathway is central to the regulation of longevity and youthfulness in worms, flies, and mammals, these results suggest a mechanistic link between the aging process and aggregation-mediated proteotoxicity.", "author" : [ { "dropping-particle" : "", "family" : "Cohen", "given" : "Ehud", "non-dropping-particle" : "", "parse-names" : false, "suffix" : "" }, { "dropping-particle" : "", "family" : "Bieschke", "given" : "Jan", "non-dropping-particle" : "", "parse-names" : false, "suffix" : "" }, { "dropping-particle" : "", "family" : "Perciavalle", "given" : "Rhonda M", "non-dropping-particle" : "", "parse-names" : false, "suffix" : "" }, { "dropping-particle" : "", "family" : "Kelly", "given" : "Jeffery W", "non-dropping-particle" : "", "parse-names" : false, "suffix" : "" }, { "dropping-particle" : "", "family" : "Dillin", "given" : "Andrew", "non-dropping-particle" : "", "parse-names" : false, "suffix" : "" } ], "container-title" : "Science (New York, N.Y.)", "id" : "ITEM-1", "issue" : "5793", "issued" : { "date-parts" : [ [ "2006", "9", "15" ] ] }, "page" : "1604-10", "title" : "Opposing activities protect against age-onset proteotoxicity.", "type" : "article-journal", "volume" : "313" }, "uris" : [ "http://www.mendeley.com/documents/?uuid=702bf359-f760-4176-b27f-45daa683a3dd" ] } ], "mendeley" : { "formattedCitation" : "(Cohen et al. 2006)", "plainTextFormattedCitation" : "(Cohen et al. 2006)", "previouslyFormattedCitation" : "(Cohen et al. 2006)" }, "properties" : { "noteIndex" : 0 }, "schema" : "https://github.com/citation-style-language/schema/raw/master/csl-citation.json" }</w:instrText>
      </w:r>
      <w:r>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(Cohen et al. 2006)</w:t>
      </w:r>
      <w:r>
        <w:rPr>
          <w:rFonts w:ascii="Times New Roman" w:hAnsi="Times New Roman" w:cs="Times New Roman"/>
          <w:sz w:val="24"/>
          <w:szCs w:val="24"/>
        </w:rPr>
        <w:fldChar w:fldCharType="end"/>
      </w:r>
      <w:r>
        <w:rPr>
          <w:rFonts w:ascii="Times New Roman" w:hAnsi="Times New Roman" w:cs="Times New Roman"/>
          <w:sz w:val="24"/>
          <w:szCs w:val="24"/>
        </w:rPr>
        <w:t>.</w:t>
      </w:r>
      <w:r w:rsidRPr="00EF2AF4">
        <w:rPr>
          <w:rFonts w:ascii="Times New Roman" w:hAnsi="Times New Roman" w:cs="Times New Roman"/>
          <w:sz w:val="24"/>
          <w:szCs w:val="24"/>
        </w:rPr>
        <w:t xml:space="preserve"> </w:t>
      </w:r>
    </w:p>
    <w:p w14:paraId="1D2FD31B" w14:textId="6D471523" w:rsidR="00B400CF" w:rsidRDefault="00455434" w:rsidP="003E7BDB">
      <w:pPr>
        <w:spacing w:line="360" w:lineRule="auto"/>
        <w:jc w:val="both"/>
        <w:rPr>
          <w:rFonts w:ascii="Times New Roman" w:hAnsi="Times New Roman" w:cs="Times New Roman"/>
        </w:rPr>
      </w:pPr>
      <w:r>
        <w:rPr>
          <w:rFonts w:ascii="Times New Roman" w:hAnsi="Times New Roman" w:cs="Times New Roman"/>
        </w:rPr>
        <w:t xml:space="preserve">Upregulation of stress defense mechanisms could </w:t>
      </w:r>
      <w:r w:rsidR="00282443">
        <w:rPr>
          <w:rFonts w:ascii="Times New Roman" w:hAnsi="Times New Roman" w:cs="Times New Roman"/>
        </w:rPr>
        <w:t xml:space="preserve">explain how impairments in insulin/IGF1 are associated with longevity. </w:t>
      </w:r>
      <w:r>
        <w:rPr>
          <w:rFonts w:ascii="Times New Roman" w:hAnsi="Times New Roman" w:cs="Times New Roman"/>
        </w:rPr>
        <w:t>One of the</w:t>
      </w:r>
      <w:r w:rsidR="00402264">
        <w:rPr>
          <w:rFonts w:ascii="Times New Roman" w:hAnsi="Times New Roman" w:cs="Times New Roman"/>
        </w:rPr>
        <w:t xml:space="preserve"> defined mechanism</w:t>
      </w:r>
      <w:r w:rsidR="002C127D">
        <w:rPr>
          <w:rFonts w:ascii="Times New Roman" w:hAnsi="Times New Roman" w:cs="Times New Roman"/>
        </w:rPr>
        <w:t>s</w:t>
      </w:r>
      <w:r w:rsidR="00402264">
        <w:rPr>
          <w:rFonts w:ascii="Times New Roman" w:hAnsi="Times New Roman" w:cs="Times New Roman"/>
        </w:rPr>
        <w:t xml:space="preserve"> involves activation of the transcription factor FoxO</w:t>
      </w:r>
      <w:r w:rsidR="00DF28D2">
        <w:rPr>
          <w:rFonts w:ascii="Times New Roman" w:hAnsi="Times New Roman" w:cs="Times New Roman"/>
        </w:rPr>
        <w:t xml:space="preserve"> </w:t>
      </w:r>
      <w:r w:rsidR="00DF28D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"10.1101/gad.1588907", "ISSN" : "0890-9369", "PMID" : "18006689", "abstract" : "Genetic and RNA interference (RNAi) screens for life span regulatory genes have revealed that the daf-2 insulin-like signaling pathway plays a major role in Caenorhabditis elegans longevity. This pathway converges on the DAF-16 transcription factor and may regulate life span by controlling the expression of a large number of genes, including free-radical detoxifying genes, stress resistance genes, and pathogen resistance genes. We conducted a genome-wide RNAi screen to identify genes necessary for the extended life span of daf-2 mutants and identified approximately 200 gene inactivations that shorten daf-2 life span. Some of these gene inactivations dramatically shorten daf-2 mutant life span but less dramatically shorten daf-2; daf-16 mutant or wild-type life span. Molecular and behavioral markers for normal aging and for extended life span in low insulin/IGF1 (insulin-like growth factor 1) signaling were assayed to distinguish accelerated aging from general sickness and to examine age-related phenotypes. Detailed demographic analysis, molecular markers of aging, and insulin signaling mutant test strains were used to filter progeric gene inactivations for specific acceleration of aging. Highly represented in the genes that mediate life span extension in the daf-2 mutant are components of endocytotic trafficking of membrane proteins to lysosomes. These gene inactivations disrupt the increased expression of the DAF-16 downstream gene superoxide dismutase sod-3 in a daf-2 mutant, suggesting trafficking between the insulin-like receptor and DAF-16. The activities of these genes may normally decline during aging.", "author" : [ { "dropping-particle" : "V", "family" : "Samuelson", "given" : "Andrew", "non-dropping-particle" : "", "parse-names" : false, "suffix" : "" }, { "dropping-particle" : "", "family" : "Carr", "given" : "Christopher E", "non-dropping-particle" : "", "parse-names" : false, "suffix" : "" }, { "dropping-particle" : "", "family" : "Ruvkun", "given" : "Gary", "non-dropping-particle" : "", "parse-names" : false, "suffix" : "" } ], "container-title" : "Genes &amp; development", "id" : "ITEM-1", "issue" : "22", "issued" : { "date-parts" : [ [ "2007", "11", "15" ] ] }, "page" : "2976-94", "title" : "Gene activities that mediate increased life span of C. elegans insulin-like signaling mutants.", "type" : "article-journal", "volume" : "21" }, "uris" : [ "http://www.mendeley.com/documents/?uuid=3aa19da4-cd3c-39ed-ba7d-d0655de6a020" ] } ], "mendeley" : { "formattedCitation" : "(Samuelson et al. 2007)", "plainTextFormattedCitation" : "(Samuelson et al. 2007)", "previouslyFormattedCitation" : "(Samuelson et al. 2007)" }, "properties" : { "noteIndex" : 0 }, "schema" : "https://github.com/citation-style-language/schema/raw/master/csl-citation.json" }</w:instrText>
      </w:r>
      <w:r w:rsidR="00DF28D2">
        <w:rPr>
          <w:rFonts w:ascii="Times New Roman" w:hAnsi="Times New Roman" w:cs="Times New Roman"/>
        </w:rPr>
        <w:fldChar w:fldCharType="separate"/>
      </w:r>
      <w:r w:rsidR="00C148FC" w:rsidRPr="00C148FC">
        <w:rPr>
          <w:rFonts w:ascii="Times New Roman" w:hAnsi="Times New Roman" w:cs="Times New Roman"/>
          <w:noProof/>
        </w:rPr>
        <w:t>(Samuelson et al. 2007)</w:t>
      </w:r>
      <w:r w:rsidR="00DF28D2">
        <w:rPr>
          <w:rFonts w:ascii="Times New Roman" w:hAnsi="Times New Roman" w:cs="Times New Roman"/>
        </w:rPr>
        <w:fldChar w:fldCharType="end"/>
      </w:r>
      <w:r w:rsidR="00402264">
        <w:rPr>
          <w:rFonts w:ascii="Times New Roman" w:hAnsi="Times New Roman" w:cs="Times New Roman"/>
        </w:rPr>
        <w:t>. I</w:t>
      </w:r>
      <w:r w:rsidR="00137460">
        <w:rPr>
          <w:rFonts w:ascii="Times New Roman" w:hAnsi="Times New Roman" w:cs="Times New Roman"/>
        </w:rPr>
        <w:t xml:space="preserve">nsulin/IGF1 </w:t>
      </w:r>
      <w:r w:rsidR="00402264">
        <w:rPr>
          <w:rFonts w:ascii="Times New Roman" w:hAnsi="Times New Roman" w:cs="Times New Roman"/>
        </w:rPr>
        <w:t>can signal</w:t>
      </w:r>
      <w:r w:rsidR="00137460">
        <w:rPr>
          <w:rFonts w:ascii="Times New Roman" w:hAnsi="Times New Roman" w:cs="Times New Roman"/>
        </w:rPr>
        <w:t xml:space="preserve"> through Akt and</w:t>
      </w:r>
      <w:r w:rsidR="00402264">
        <w:rPr>
          <w:rFonts w:ascii="Times New Roman" w:hAnsi="Times New Roman" w:cs="Times New Roman"/>
        </w:rPr>
        <w:t xml:space="preserve"> ultimately induce</w:t>
      </w:r>
      <w:r w:rsidR="00137460">
        <w:rPr>
          <w:rFonts w:ascii="Times New Roman" w:hAnsi="Times New Roman" w:cs="Times New Roman"/>
        </w:rPr>
        <w:t xml:space="preserve"> phosphorylation</w:t>
      </w:r>
      <w:r w:rsidR="00402264">
        <w:rPr>
          <w:rFonts w:ascii="Times New Roman" w:hAnsi="Times New Roman" w:cs="Times New Roman"/>
        </w:rPr>
        <w:t xml:space="preserve"> of</w:t>
      </w:r>
      <w:r w:rsidR="00137460">
        <w:rPr>
          <w:rFonts w:ascii="Times New Roman" w:hAnsi="Times New Roman" w:cs="Times New Roman"/>
        </w:rPr>
        <w:t xml:space="preserve"> </w:t>
      </w:r>
      <w:r w:rsidR="002A0EBD">
        <w:rPr>
          <w:rFonts w:ascii="Times New Roman" w:hAnsi="Times New Roman" w:cs="Times New Roman"/>
        </w:rPr>
        <w:t>FoxO so that it is retained</w:t>
      </w:r>
      <w:r w:rsidR="00402264">
        <w:rPr>
          <w:rFonts w:ascii="Times New Roman" w:hAnsi="Times New Roman" w:cs="Times New Roman"/>
        </w:rPr>
        <w:t xml:space="preserve"> in the cytosol. H</w:t>
      </w:r>
      <w:r w:rsidR="008A1AE5">
        <w:rPr>
          <w:rFonts w:ascii="Times New Roman" w:hAnsi="Times New Roman" w:cs="Times New Roman"/>
        </w:rPr>
        <w:t>owever</w:t>
      </w:r>
      <w:r w:rsidR="00402264">
        <w:rPr>
          <w:rFonts w:ascii="Times New Roman" w:hAnsi="Times New Roman" w:cs="Times New Roman"/>
        </w:rPr>
        <w:t>,</w:t>
      </w:r>
      <w:r w:rsidR="008A1AE5">
        <w:rPr>
          <w:rFonts w:ascii="Times New Roman" w:hAnsi="Times New Roman" w:cs="Times New Roman"/>
        </w:rPr>
        <w:t xml:space="preserve"> inhibition of insulin/IGF1 signalling </w:t>
      </w:r>
      <w:r w:rsidR="00CA1725">
        <w:rPr>
          <w:rFonts w:ascii="Times New Roman" w:hAnsi="Times New Roman" w:cs="Times New Roman"/>
        </w:rPr>
        <w:t xml:space="preserve">causes translocation of unphosphorylated </w:t>
      </w:r>
      <w:r w:rsidR="007E4FA3">
        <w:rPr>
          <w:rFonts w:ascii="Times New Roman" w:hAnsi="Times New Roman" w:cs="Times New Roman"/>
        </w:rPr>
        <w:t>FoxO</w:t>
      </w:r>
      <w:r w:rsidR="00CA1725">
        <w:rPr>
          <w:rFonts w:ascii="Times New Roman" w:hAnsi="Times New Roman" w:cs="Times New Roman"/>
        </w:rPr>
        <w:t xml:space="preserve"> to </w:t>
      </w:r>
      <w:r w:rsidR="008A1AE5">
        <w:rPr>
          <w:rFonts w:ascii="Times New Roman" w:hAnsi="Times New Roman" w:cs="Times New Roman"/>
        </w:rPr>
        <w:t>the nucleus where it transcriptionally regulates antioxidant genes such as catalase and superoxide dismutase</w:t>
      </w:r>
      <w:r w:rsidR="006D31D4">
        <w:rPr>
          <w:rFonts w:ascii="Times New Roman" w:hAnsi="Times New Roman" w:cs="Times New Roman"/>
        </w:rPr>
        <w:t xml:space="preserve"> </w:t>
      </w:r>
      <w:r w:rsidR="0056204E">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"10.1016/j.redox.2015.06.019", "ISSN" : "2213-2317", "PMID" : "26184557", "abstract" : "Transcription factors of the forkhead box, class O (FoxO) family are important regulators of the cellular stress response and promote the cellular antioxidant defense. On one hand, FoxOs stimulate the transcription of genes coding for antioxidant proteins located in different subcellular compartments, such as in mitochondria (i.e. superoxide dismutase-2, peroxiredoxins 3 and 5) and peroxisomes (catalase), as well as for antioxidant proteins found extracellularly in plasma (e.g., selenoprotein P and ceruloplasmin). On the other hand, reactive oxygen species (ROS) as well as other stressful stimuli that elicit the formation of ROS, may modulate FoxO activity at multiple levels, including posttranslational modifications of FoxOs (such as phosphorylation and acetylation), interaction with coregulators, alterations in FoxO subcellular localization, protein synthesis and stability. Moreover, transcriptional and posttranscriptional control of the expression of genes coding for FoxOs is sensitive to ROS. Here, we review these aspects of FoxO biology focusing on redox regulation of FoxO signaling, and with emphasis on the interplay between ROS and FoxOs under various physiological and pathophysiological conditions. Of particular interest are the dual role played by FoxOs in cancer development and their key role in whole body nutrient homeostasis, modulating metabolic adaptations and/or disturbances in response to low vs. high nutrient intake. Examples discussed here include calorie restriction and starvation as well as adipogenesis, obesity and type 2 diabetes.", "author" : [ { "dropping-particle" : "", "family" : "Klotz", "given" : "Lars-Oliver", "non-dropping-particle" : "", "parse-names" : false, "suffix" : "" }, { "dropping-particle" : "", "family" : "S\u00e1nchez-Ramos", "given" : "Cristina", "non-dropping-particle" : "", "parse-names" : false, "suffix" : "" }, { "dropping-particle" : "", "family" : "Prieto-Arroyo", "given" : "Ignacio", "non-dropping-particle" : "", "parse-names" : false, "suffix" : "" }, { "dropping-particle" : "", "family" : "Urb\u00e1nek", "given" : "Pavel", "non-dropping-particle" : "", "parse-names" : false, "suffix" : "" }, { "dropping-particle" : "", "family" : "Steinbrenner", "given" : "Holger", "non-dropping-particle" : "", "parse-names" : false, "suffix" : "" }, { "dropping-particle" : "", "family" : "Monsalve", "given" : "Maria", "non-dropping-particle" : "", "parse-names" : false, "suffix" : "" } ], "container-title" : "Redox biology", "id" : "ITEM-1", "issued" : { "date-parts" : [ [ "2015", "12" ] ] }, "page" : "51-72", "publisher" : "Elsevier", "title" : "Redox regulation of FoxO transcription factors.", "type" : "article-journal", "volume" : "6" }, "uris" : [ "http://www.mendeley.com/documents/?uuid=bdf66124-e3c1-32d6-bb90-e01f787ff920" ] } ], "mendeley" : { "formattedCitation" : "(Klotz et al. 2015)", "plainTextFormattedCitation" : "(Klotz et al. 2015)", "previouslyFormattedCitation" : "(Klotz et al. 2015)" }, "properties" : { "noteIndex" : 0 }, "schema" : "https://github.com/citation-style-language/schema/raw/master/csl-citation.json" }</w:instrText>
      </w:r>
      <w:r w:rsidR="0056204E">
        <w:rPr>
          <w:rFonts w:ascii="Times New Roman" w:hAnsi="Times New Roman" w:cs="Times New Roman"/>
        </w:rPr>
        <w:fldChar w:fldCharType="separate"/>
      </w:r>
      <w:r w:rsidR="00C148FC" w:rsidRPr="00C148FC">
        <w:rPr>
          <w:rFonts w:ascii="Times New Roman" w:hAnsi="Times New Roman" w:cs="Times New Roman"/>
          <w:noProof/>
        </w:rPr>
        <w:t>(Klotz et al. 2015)</w:t>
      </w:r>
      <w:r w:rsidR="0056204E">
        <w:rPr>
          <w:rFonts w:ascii="Times New Roman" w:hAnsi="Times New Roman" w:cs="Times New Roman"/>
        </w:rPr>
        <w:fldChar w:fldCharType="end"/>
      </w:r>
      <w:r w:rsidR="000735A9">
        <w:rPr>
          <w:rFonts w:ascii="Times New Roman" w:hAnsi="Times New Roman" w:cs="Times New Roman"/>
        </w:rPr>
        <w:t>.</w:t>
      </w:r>
      <w:r w:rsidR="008A1AE5">
        <w:rPr>
          <w:rFonts w:ascii="Times New Roman" w:hAnsi="Times New Roman" w:cs="Times New Roman"/>
        </w:rPr>
        <w:t xml:space="preserve"> </w:t>
      </w:r>
      <w:r w:rsidR="002C127D">
        <w:rPr>
          <w:rFonts w:ascii="Times New Roman" w:hAnsi="Times New Roman" w:cs="Times New Roman"/>
        </w:rPr>
        <w:t>Although t</w:t>
      </w:r>
      <w:r w:rsidR="002B303B">
        <w:rPr>
          <w:rFonts w:ascii="Times New Roman" w:hAnsi="Times New Roman" w:cs="Times New Roman"/>
        </w:rPr>
        <w:t xml:space="preserve">emporary </w:t>
      </w:r>
      <w:r w:rsidR="003A53AB">
        <w:rPr>
          <w:rFonts w:ascii="Times New Roman" w:hAnsi="Times New Roman" w:cs="Times New Roman"/>
        </w:rPr>
        <w:t>ROS production is managed by FoxO mediated antioxidant gene</w:t>
      </w:r>
      <w:r w:rsidR="000B37D6">
        <w:rPr>
          <w:rFonts w:ascii="Times New Roman" w:hAnsi="Times New Roman" w:cs="Times New Roman"/>
        </w:rPr>
        <w:t xml:space="preserve">ration, sustained levels of ROS can induce FoxO mediated apoptosis by stimulating the expression of pro-apoptotic factors, </w:t>
      </w:r>
      <w:r w:rsidR="00D7147D">
        <w:rPr>
          <w:rFonts w:ascii="Times New Roman" w:hAnsi="Times New Roman" w:cs="Times New Roman"/>
        </w:rPr>
        <w:t xml:space="preserve">BIM </w:t>
      </w:r>
      <w:r w:rsidR="000B37D6">
        <w:rPr>
          <w:rFonts w:ascii="Times New Roman" w:hAnsi="Times New Roman" w:cs="Times New Roman"/>
        </w:rPr>
        <w:t>and Fas ligand</w:t>
      </w:r>
      <w:r w:rsidR="000735A9">
        <w:rPr>
          <w:rFonts w:ascii="Times New Roman" w:hAnsi="Times New Roman" w:cs="Times New Roman"/>
        </w:rPr>
        <w:t xml:space="preserve"> </w:t>
      </w:r>
      <w:r w:rsidR="000735A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"10.1038/mp.2010.17", "ISSN" : "1359-4184", "author" : [ { "dropping-particle" : "", "family" : "Manolopoulos", "given" : "K N", "non-dropping-particle" : "", "parse-names" : false, "suffix" : "" }, { "dropping-particle" : "", "family" : "Klotz", "given" : "L-O", "non-dropping-particle" : "", "parse-names" : false, "suffix" : "" }, { "dropping-particle" : "", "family" : "Korsten", "given" : "P", "non-dropping-particle" : "", "parse-names" : false, "suffix" : "" }, { "dropping-particle" : "", "family" : "Bornstein", "given" : "S R", "non-dropping-particle" : "", "parse-names" : false, "suffix" : "" }, { "dropping-particle" : "", "family" : "Barthel", "given" : "A", "non-dropping-particle" : "", "parse-names" : false, "suffix" : "" } ], "container-title" : "Molecular Psychiatry", "id" : "ITEM-1", "issue" : "11", "issued" : { "date-parts" : [ [ "2010", "11" ] ] }, "page" : "1046-1052", "publisher" : "Nature Publishing Group", "title" : "Linking Alzheimer's disease to insulin resistance: the FoxO response to oxidative stress", "type" : "article-journal", "volume" : "15" }, "uris" : [ "http://www.mendeley.com/documents/?uuid=87a6571f-305e-3b25-a9ce-b3a6b17a7ef2" ] } ], "mendeley" : { "formattedCitation" : "(Manolopoulos et al. 2010)", "plainTextFormattedCitation" : "(Manolopoulos et al. 2010)", "previouslyFormattedCitation" : "(Manolopoulos et al. 2010)" }, "properties" : { "noteIndex" : 0 }, "schema" : "https://github.com/citation-style-language/schema/raw/master/csl-citation.json" }</w:instrText>
      </w:r>
      <w:r w:rsidR="000735A9">
        <w:rPr>
          <w:rFonts w:ascii="Times New Roman" w:hAnsi="Times New Roman" w:cs="Times New Roman"/>
        </w:rPr>
        <w:fldChar w:fldCharType="separate"/>
      </w:r>
      <w:r w:rsidR="00C148FC" w:rsidRPr="00C148FC">
        <w:rPr>
          <w:rFonts w:ascii="Times New Roman" w:hAnsi="Times New Roman" w:cs="Times New Roman"/>
          <w:noProof/>
        </w:rPr>
        <w:t>(Manolopoulos et al. 2010)</w:t>
      </w:r>
      <w:r w:rsidR="000735A9">
        <w:rPr>
          <w:rFonts w:ascii="Times New Roman" w:hAnsi="Times New Roman" w:cs="Times New Roman"/>
        </w:rPr>
        <w:fldChar w:fldCharType="end"/>
      </w:r>
      <w:r w:rsidR="000735A9">
        <w:rPr>
          <w:rFonts w:ascii="Times New Roman" w:hAnsi="Times New Roman" w:cs="Times New Roman"/>
        </w:rPr>
        <w:t>.</w:t>
      </w:r>
      <w:r w:rsidR="006D31D4">
        <w:rPr>
          <w:rFonts w:ascii="Times New Roman" w:hAnsi="Times New Roman" w:cs="Times New Roman"/>
        </w:rPr>
        <w:t xml:space="preserve"> This further highlights </w:t>
      </w:r>
      <w:r w:rsidR="00C30BF3">
        <w:rPr>
          <w:rFonts w:ascii="Times New Roman" w:hAnsi="Times New Roman" w:cs="Times New Roman"/>
        </w:rPr>
        <w:t>that disruption of this signalling pathway can have both ben</w:t>
      </w:r>
      <w:r w:rsidR="00E944E9">
        <w:rPr>
          <w:rFonts w:ascii="Times New Roman" w:hAnsi="Times New Roman" w:cs="Times New Roman"/>
        </w:rPr>
        <w:t>eficial and detrimental effects and is</w:t>
      </w:r>
      <w:r w:rsidR="00B8636B">
        <w:rPr>
          <w:rFonts w:ascii="Times New Roman" w:hAnsi="Times New Roman" w:cs="Times New Roman"/>
        </w:rPr>
        <w:t xml:space="preserve"> also</w:t>
      </w:r>
      <w:r w:rsidR="00E944E9">
        <w:rPr>
          <w:rFonts w:ascii="Times New Roman" w:hAnsi="Times New Roman" w:cs="Times New Roman"/>
        </w:rPr>
        <w:t xml:space="preserve"> time-scale dependent.</w:t>
      </w:r>
      <w:r w:rsidR="006F4DBA">
        <w:rPr>
          <w:rFonts w:ascii="Times New Roman" w:hAnsi="Times New Roman" w:cs="Times New Roman"/>
        </w:rPr>
        <w:t xml:space="preserve"> </w:t>
      </w:r>
    </w:p>
    <w:p w14:paraId="57BF2EE4" w14:textId="77777777" w:rsidR="006C450D" w:rsidRDefault="00B400CF" w:rsidP="00137460">
      <w:pPr>
        <w:spacing w:line="360" w:lineRule="auto"/>
        <w:rPr>
          <w:rFonts w:ascii="Times New Roman" w:hAnsi="Times New Roman" w:cs="Times New Roman"/>
        </w:rPr>
      </w:pPr>
      <w:r>
        <w:rPr>
          <w:rFonts w:ascii="Times New Roman" w:hAnsi="Times New Roman" w:cs="Times New Roman"/>
        </w:rPr>
        <w:t xml:space="preserve">    </w:t>
      </w:r>
    </w:p>
    <w:p w14:paraId="1B6BD29B" w14:textId="5E2CC391" w:rsidR="00B400CF" w:rsidRDefault="00B8636B" w:rsidP="003E7BDB">
      <w:pPr>
        <w:spacing w:line="360" w:lineRule="auto"/>
        <w:jc w:val="both"/>
        <w:rPr>
          <w:rFonts w:ascii="Times New Roman" w:hAnsi="Times New Roman" w:cs="Times New Roman"/>
        </w:rPr>
      </w:pPr>
      <w:r>
        <w:rPr>
          <w:rFonts w:ascii="Times New Roman" w:hAnsi="Times New Roman" w:cs="Times New Roman"/>
        </w:rPr>
        <w:t>A</w:t>
      </w:r>
      <w:r w:rsidR="00970F4D">
        <w:rPr>
          <w:rFonts w:ascii="Times New Roman" w:hAnsi="Times New Roman" w:cs="Times New Roman"/>
        </w:rPr>
        <w:t xml:space="preserve"> second way that l</w:t>
      </w:r>
      <w:r w:rsidR="00C30BF3">
        <w:rPr>
          <w:rFonts w:ascii="Times New Roman" w:hAnsi="Times New Roman" w:cs="Times New Roman"/>
        </w:rPr>
        <w:t>ongevity</w:t>
      </w:r>
      <w:r w:rsidR="006C450D">
        <w:rPr>
          <w:rFonts w:ascii="Times New Roman" w:hAnsi="Times New Roman" w:cs="Times New Roman"/>
        </w:rPr>
        <w:t xml:space="preserve"> might</w:t>
      </w:r>
      <w:r w:rsidR="00970F4D">
        <w:rPr>
          <w:rFonts w:ascii="Times New Roman" w:hAnsi="Times New Roman" w:cs="Times New Roman"/>
        </w:rPr>
        <w:t xml:space="preserve"> be</w:t>
      </w:r>
      <w:r w:rsidR="00C30BF3">
        <w:rPr>
          <w:rFonts w:ascii="Times New Roman" w:hAnsi="Times New Roman" w:cs="Times New Roman"/>
        </w:rPr>
        <w:t xml:space="preserve"> associa</w:t>
      </w:r>
      <w:r w:rsidR="00970F4D">
        <w:rPr>
          <w:rFonts w:ascii="Times New Roman" w:hAnsi="Times New Roman" w:cs="Times New Roman"/>
        </w:rPr>
        <w:t>ted with insulin/IGF1 could be linked to changes in</w:t>
      </w:r>
      <w:r w:rsidR="00B400CF">
        <w:rPr>
          <w:rFonts w:ascii="Times New Roman" w:hAnsi="Times New Roman" w:cs="Times New Roman"/>
        </w:rPr>
        <w:t xml:space="preserve"> mitochondrial metabolism. Reduced input through the</w:t>
      </w:r>
      <w:r w:rsidR="00CA1725">
        <w:rPr>
          <w:rFonts w:ascii="Times New Roman" w:hAnsi="Times New Roman" w:cs="Times New Roman"/>
        </w:rPr>
        <w:t xml:space="preserve"> insulin/IGF1</w:t>
      </w:r>
      <w:r w:rsidR="00B400CF">
        <w:rPr>
          <w:rFonts w:ascii="Times New Roman" w:hAnsi="Times New Roman" w:cs="Times New Roman"/>
        </w:rPr>
        <w:t xml:space="preserve"> pathway</w:t>
      </w:r>
      <w:r w:rsidR="00CA1725">
        <w:rPr>
          <w:rFonts w:ascii="Times New Roman" w:hAnsi="Times New Roman" w:cs="Times New Roman"/>
        </w:rPr>
        <w:t xml:space="preserve"> essentially signal</w:t>
      </w:r>
      <w:r w:rsidR="00B400CF">
        <w:rPr>
          <w:rFonts w:ascii="Times New Roman" w:hAnsi="Times New Roman" w:cs="Times New Roman"/>
        </w:rPr>
        <w:t>s</w:t>
      </w:r>
      <w:r w:rsidR="00CA1725">
        <w:rPr>
          <w:rFonts w:ascii="Times New Roman" w:hAnsi="Times New Roman" w:cs="Times New Roman"/>
        </w:rPr>
        <w:t xml:space="preserve"> to the cell that there is </w:t>
      </w:r>
      <w:r w:rsidR="00B400CF">
        <w:rPr>
          <w:rFonts w:ascii="Times New Roman" w:hAnsi="Times New Roman" w:cs="Times New Roman"/>
        </w:rPr>
        <w:t xml:space="preserve">a </w:t>
      </w:r>
      <w:r w:rsidR="00C30BF3">
        <w:rPr>
          <w:rFonts w:ascii="Times New Roman" w:hAnsi="Times New Roman" w:cs="Times New Roman"/>
        </w:rPr>
        <w:t>nutrient deficiency, which</w:t>
      </w:r>
      <w:r w:rsidR="00E62C05">
        <w:rPr>
          <w:rFonts w:ascii="Times New Roman" w:hAnsi="Times New Roman" w:cs="Times New Roman"/>
        </w:rPr>
        <w:t xml:space="preserve"> can elevate </w:t>
      </w:r>
      <w:r w:rsidR="00C81F0C">
        <w:rPr>
          <w:rFonts w:ascii="Times New Roman" w:hAnsi="Times New Roman" w:cs="Times New Roman"/>
        </w:rPr>
        <w:t xml:space="preserve">mitochondrial metabolism </w:t>
      </w:r>
      <w:r w:rsidR="00C32A1F">
        <w:rPr>
          <w:rFonts w:ascii="Times New Roman" w:hAnsi="Times New Roman" w:cs="Times New Roman"/>
        </w:rPr>
        <w:t xml:space="preserve">through a suspected AMPK dependent mechanism, where AMPK acts to sense energy depletion in the cell. Increased mitochondrial metabolism causes </w:t>
      </w:r>
      <w:r w:rsidR="00E62C05">
        <w:rPr>
          <w:rFonts w:ascii="Times New Roman" w:hAnsi="Times New Roman" w:cs="Times New Roman"/>
        </w:rPr>
        <w:t>an associated increase in ROS levels</w:t>
      </w:r>
      <w:r w:rsidR="007E4FA3">
        <w:rPr>
          <w:rFonts w:ascii="Times New Roman" w:hAnsi="Times New Roman" w:cs="Times New Roman"/>
        </w:rPr>
        <w:t>, which</w:t>
      </w:r>
      <w:r w:rsidR="00C11D76">
        <w:rPr>
          <w:rFonts w:ascii="Times New Roman" w:hAnsi="Times New Roman" w:cs="Times New Roman"/>
        </w:rPr>
        <w:t xml:space="preserve"> upregulate</w:t>
      </w:r>
      <w:r w:rsidR="007E4FA3">
        <w:rPr>
          <w:rFonts w:ascii="Times New Roman" w:hAnsi="Times New Roman" w:cs="Times New Roman"/>
        </w:rPr>
        <w:t>s antioxidant defense mechanisms and operates</w:t>
      </w:r>
      <w:r w:rsidR="00C11D76">
        <w:rPr>
          <w:rFonts w:ascii="Times New Roman" w:hAnsi="Times New Roman" w:cs="Times New Roman"/>
        </w:rPr>
        <w:t xml:space="preserve"> in an NRF2 dependent manner</w:t>
      </w:r>
      <w:r w:rsidR="007E4FA3">
        <w:rPr>
          <w:rFonts w:ascii="Times New Roman" w:hAnsi="Times New Roman" w:cs="Times New Roman"/>
        </w:rPr>
        <w:t xml:space="preserve"> in </w:t>
      </w:r>
      <w:r>
        <w:rPr>
          <w:rFonts w:ascii="Times New Roman" w:hAnsi="Times New Roman" w:cs="Times New Roman"/>
          <w:i/>
        </w:rPr>
        <w:t>C</w:t>
      </w:r>
      <w:r w:rsidR="007E4FA3">
        <w:rPr>
          <w:rFonts w:ascii="Times New Roman" w:hAnsi="Times New Roman" w:cs="Times New Roman"/>
          <w:i/>
        </w:rPr>
        <w:t xml:space="preserve">.elegans </w:t>
      </w:r>
      <w:r w:rsidR="003838E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"10.1016/j.cmet.2012.02.013", "ISSN" : "1932-7420", "PMID" : "22482728", "abstract" : "Impaired insulin and IGF-1 signaling (iIIS) in C.\u00a0elegans daf-2 mutants extends life span more than 2-fold. Constitutively, iIIS increases mitochondrial activity and reduces reactive oxygen species (ROS) levels. By contrast, acute impairment of daf-2 in adult C.\u00a0elegans reduces glucose uptake and transiently increases ROS. Consistent with the concept of\u00a0mitohormesis, this ROS signal causes an adaptive response by inducing ROS defense enzymes (SOD, catalase), culminating in ultimately reduced ROS levels despite increased mitochondrial activity. Inhibition of this ROS signal by antioxidants reduces iIIS-mediated longevity by up to 60%. Induction of the ROS signal requires AAK-2 (AMPK), while PMK-1 (p38) and SKN-1 (NRF-2) are needed for the retrograde response. IIIS upregulates mitochondrial L-proline catabolism, and impairment of the latter impairs the life span-extending capacity of iIIS while L-proline supplementation extends C.\u00a0elegans life span. Taken together, iIIS promotes L-proline metabolism to generate a ROS signal for the adaptive induction of endogenous stress defense to extend life span.", "author" : [ { "dropping-particle" : "", "family" : "Zarse", "given" : "Kim", "non-dropping-particle" : "", "parse-names" : false, "suffix" : "" }, { "dropping-particle" : "", "family" : "Schmeisser", "given" : "Sebastian", "non-dropping-particle" : "", "parse-names" : false, "suffix" : "" }, { "dropping-particle" : "", "family" : "Groth", "given" : "Marco", "non-dropping-particle" : "", "parse-names" : false, "suffix" : "" }, { "dropping-particle" : "", "family" : "Priebe", "given" : "Steffen", "non-dropping-particle" : "", "parse-names" : false, "suffix" : "" }, { "dropping-particle" : "", "family" : "Beuster", "given" : "Gregor", "non-dropping-particle" : "", "parse-names" : false, "suffix" : "" }, { "dropping-particle" : "", "family" : "Kuhlow", "given" : "Doreen", "non-dropping-particle" : "", "parse-names" : false, "suffix" : "" }, { "dropping-particle" : "", "family" : "Guthke", "given" : "Reinhard", "non-dropping-particle" : "", "parse-names" : false, "suffix" : "" }, { "dropping-particle" : "", "family" : "Platzer", "given" : "Matthias", "non-dropping-particle" : "", "parse-names" : false, "suffix" : "" }, { "dropping-particle" : "", "family" : "Kahn", "given" : "C Ronald", "non-dropping-particle" : "", "parse-names" : false, "suffix" : "" }, { "dropping-particle" : "", "family" : "Ristow", "given" : "Michael", "non-dropping-particle" : "", "parse-names" : false, "suffix" : "" } ], "container-title" : "Cell metabolism", "id" : "ITEM-1", "issue" : "4", "issued" : { "date-parts" : [ [ "2012", "4", "4" ] ] }, "page" : "451-65", "title" : "Impaired insulin/IGF1 signaling extends life span by promoting mitochondrial L-proline catabolism to induce a transient ROS signal.", "type" : "article-journal", "volume" : "15" }, "uris" : [ "http://www.mendeley.com/documents/?uuid=e087992f-e73f-3492-94e4-b4ed4f2a3791" ] }, { "id" : "ITEM-2", "itemData" : { "DOI" : "10.1016/j.celrep.2013.11.018", "ISSN" : "2211-1247", "PMID" : "24332851", "abstract" : "Inhibition of DAF-2 (insulin-like growth factor 1 [IGF-1] receptor) or RSKS-1 (S6K), key molecules in the insulin/IGF-1 signaling (IIS) and target of rapamycin (TOR) pathways, respectively, extend lifespan in Caenorhabditis elegans. However, it has not been clear how and in which tissues they interact with each other to modulate longevity. Here, we demonstrate that a combination of mutations in daf-2 and rsks-1 produces a nearly 5-fold increase in longevity that is much greater than the sum of single mutations. This synergistic lifespan extension requires positive feedback regulation of DAF-16 (FOXO) via the AMP-activated protein kinase (AMPK) complex. Furthermore, we identify germline as the key tissue for this synergistic longevity. Moreover, germline-specific inhibition of rsks-1 activates DAF-16 in the intestine. Together, our findings highlight the importance of the germline in the significantly increased longevity produced by daf-2 rsks-1, which has important implications for interactions between the two major conserved longevity pathways in more complex organisms.", "author" : [ { "dropping-particle" : "", "family" : "Chen", "given" : "Di", "non-dropping-particle" : "", "parse-names" : false, "suffix" : "" }, { "dropping-particle" : "", "family" : "Li", "given" : "Patrick Wai-Lun", "non-dropping-particle" : "", "parse-names" : false, "suffix" : "" }, { "dropping-particle" : "", "family" : "Goldstein", "given" : "Benjamin A", "non-dropping-particle" : "", "parse-names" : false, "suffix" : "" }, { "dropping-particle" : "", "family" : "Cai", "given" : "Waijiao", "non-dropping-particle" : "", "parse-names" : false, "suffix" : "" }, { "dropping-particle" : "", "family" : "Thomas", "given" : "Emma Lynn", "non-dropping-particle" : "", "parse-names" : false, "suffix" : "" }, { "dropping-particle" : "", "family" : "Chen", "given" : "Fen", "non-dropping-particle" : "", "parse-names" : false, "suffix" : "" }, { "dropping-particle" : "", "family" : "Hubbard", "given" : "Alan E", "non-dropping-particle" : "", "parse-names" : false, "suffix" : "" }, { "dropping-particle" : "", "family" : "Melov", "given" : "Simon", "non-dropping-particle" : "", "parse-names" : false, "suffix" : "" }, { "dropping-particle" : "", "family" : "Kapahi", "given" : "Pankaj", "non-dropping-particle" : "", "parse-names" : false, "suffix" : "" } ], "container-title" : "Cell reports", "id" : "ITEM-2", "issue" : "6", "issued" : { "date-parts" : [ [ "2013", "12", "26" ] ] }, "page" : "1600-10", "publisher" : "NIH Public Access", "title" : "Germline signaling mediates the synergistically prolonged longevity produced by double mutations in daf-2 and rsks-1 in C. elegans.", "type" : "article-journal", "volume" : "5" }, "uris" : [ "http://www.mendeley.com/documents/?uuid=9fcff066-8367-366e-8402-b9c9480bef04" ] } ], "mendeley" : { "formattedCitation" : "(Zarse et al. 2012; Chen et al. 2013)", "plainTextFormattedCitation" : "(Zarse et al. 2012; Chen et al. 2013)", "previouslyFormattedCitation" : "(Zarse et al. 2012; Chen et al. 2013)" }, "properties" : { "noteIndex" : 0 }, "schema" : "https://github.com/citation-style-language/schema/raw/master/csl-citation.json" }</w:instrText>
      </w:r>
      <w:r w:rsidR="003838E9">
        <w:rPr>
          <w:rFonts w:ascii="Times New Roman" w:hAnsi="Times New Roman" w:cs="Times New Roman"/>
        </w:rPr>
        <w:fldChar w:fldCharType="separate"/>
      </w:r>
      <w:r w:rsidR="00C148FC" w:rsidRPr="00C148FC">
        <w:rPr>
          <w:rFonts w:ascii="Times New Roman" w:hAnsi="Times New Roman" w:cs="Times New Roman"/>
          <w:noProof/>
        </w:rPr>
        <w:t>(Zarse et al. 2012; Chen et al. 2013)</w:t>
      </w:r>
      <w:r w:rsidR="003838E9">
        <w:rPr>
          <w:rFonts w:ascii="Times New Roman" w:hAnsi="Times New Roman" w:cs="Times New Roman"/>
        </w:rPr>
        <w:fldChar w:fldCharType="end"/>
      </w:r>
      <w:r w:rsidR="00C11D76">
        <w:rPr>
          <w:rFonts w:ascii="Times New Roman" w:hAnsi="Times New Roman" w:cs="Times New Roman"/>
        </w:rPr>
        <w:t xml:space="preserve">.  </w:t>
      </w:r>
    </w:p>
    <w:p w14:paraId="63FCD675" w14:textId="77777777" w:rsidR="00567751" w:rsidRDefault="005B2ABA" w:rsidP="00137460">
      <w:pPr>
        <w:spacing w:line="360" w:lineRule="auto"/>
        <w:rPr>
          <w:rFonts w:ascii="Times New Roman" w:hAnsi="Times New Roman" w:cs="Times New Roman"/>
        </w:rPr>
      </w:pPr>
      <w:r>
        <w:rPr>
          <w:rFonts w:ascii="Times New Roman" w:hAnsi="Times New Roman" w:cs="Times New Roman"/>
        </w:rPr>
        <w:t xml:space="preserve">   </w:t>
      </w:r>
    </w:p>
    <w:p w14:paraId="2C1EB7F0" w14:textId="73E07CC2" w:rsidR="001E5946" w:rsidRDefault="00CA719B" w:rsidP="003E7BDB">
      <w:pPr>
        <w:spacing w:line="360" w:lineRule="auto"/>
        <w:jc w:val="both"/>
        <w:rPr>
          <w:rFonts w:ascii="Times New Roman" w:hAnsi="Times New Roman" w:cs="Times New Roman"/>
        </w:rPr>
      </w:pPr>
      <w:r>
        <w:rPr>
          <w:rFonts w:ascii="Times New Roman" w:hAnsi="Times New Roman" w:cs="Times New Roman"/>
        </w:rPr>
        <w:t xml:space="preserve">Increasing levels of oxidative stress and reduced levels of glutathione </w:t>
      </w:r>
      <w:r w:rsidR="00D10AE7">
        <w:rPr>
          <w:rFonts w:ascii="Times New Roman" w:hAnsi="Times New Roman" w:cs="Times New Roman"/>
        </w:rPr>
        <w:t xml:space="preserve">have been detected in the </w:t>
      </w:r>
      <w:r w:rsidR="0096547E">
        <w:rPr>
          <w:rFonts w:ascii="Times New Roman" w:hAnsi="Times New Roman" w:cs="Times New Roman"/>
        </w:rPr>
        <w:t>brains of MCI and AD patients</w:t>
      </w:r>
      <w:r w:rsidR="00E3519D">
        <w:rPr>
          <w:rFonts w:ascii="Times New Roman" w:hAnsi="Times New Roman" w:cs="Times New Roman"/>
        </w:rPr>
        <w:t xml:space="preserve"> </w:t>
      </w:r>
      <w:r w:rsidR="00E3519D">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"10.1016/j.bbrc.2011.11.047", "ISSN" : "0006291X", "abstract" : "Glutathione (GSH) serves as an important anti-oxidant in the brain by scavenging harmful reactive oxygen species that are generated during different molecular processes. The GSH level in the brain provides indirect information on oxidative stress of the brain. We report in vivo detection of GSH non-invasively from various brain regions (frontal cortex, parietal cortex, hippocampus and cerebellum) in bilateral hemispheres of healthy male and female subjects and from bi-lateral frontal cortices in patients with mild cognitive impairment (MCI) and Alzheimer\u2019s disease (AD). All AD patients who participated in this study were on medication with cholinesterase inhibitors. Healthy young male (age 26.4\u00b13.0) and healthy young female (age 23.6\u00b12.1) subjects have higher amount of GSH in the parietal cortical region and a specific GSH distribution pattern (parietal cortex&gt;frontal cortex&gt;hippocampus\u223ccerebellum) has been found. Overall mean GSH content is higher in healthy young female compared to healthy young male subjects and GSH is distributed differently in two hemispheres among male and female subjects. In both young female and male subjects, statistically significant (p=0.02 for young female and p=0.001 for young male) difference in mean GSH content is found when compared between left frontal cortex (LFC) and right frontal cortex (RFC). In healthy young female subjects, we report statistically significant positive correlation of GSH content between RFC and LFC (r=0.641, p=0.004) as well as right parietal cortex (RPC) and left parietal cortex (LPC) (r=0.797, p=0.000) regions. In healthy young male subjects, statistically significant positive correlation of GSH content was observed between LFC and LPC (r=0.481, p=0.032) regions. This statistical analysis implicates that in case of a high GSH content in LPC of a young male, his LFC region would also contain high GSH and vice versa. The difference in mean of GSH content between healthy young female control and female AD patients in RFC region (p=0.003) and difference in mean of GSH content between healthy young male control and male AD patients (p=0.05) in LFC region is found to be statistically significant. It is the first scientific report correlating alteration (in selective brain regions) of GSH level with clinical status of male and female subjects using non-invasive imaging technique.", "author" : [ { "dropping-particle" : "", "family" : "Mandal", "given" : "Pravat K.", "non-dropping-particle" : "", "parse-names" : false, "suffix" : "" }, { "dropping-particle" : "", "family" : "Tripathi", "given" : "Manjari", "non-dropping-particle" : "", "parse-names" : false, "suffix" : "" }, { "dropping-particle" : "", "family" : "Sugunan", "given" : "Sreedevi", "non-dropping-particle" : "", "parse-names" : false, "suffix" : "" } ], "container-title" : "Biochemical and Biophysical Research Communications", "id" : "ITEM-1", "issue" : "1", "issued" : { "date-parts" : [ [ "2012" ] ] }, "number-of-pages" : "43-48", "title" : "Brain oxidative stress: Detection and mapping of anti-oxidant marker \u2018Glutathione\u2019 in different brain regions of healthy male/female, MCI and Alzheimer patients using non-invasive magnetic resonance spectroscopy", "type" : "report", "volume" : "417" }, "uris" : [ "http://www.mendeley.com/documents/?uuid=797e8800-d8d9-3ca6-a9e6-81169b0cb671" ] }, { "id" : "ITEM-2", "itemData" : { "DOI" : "10.1097/NEN.0b013e3181cb5af4", "ISSN" : "1554-6578", "PMID" : "20084018", "abstract" : "We investigated oxidative stress in human postmortem frontal cortexfrom individuals characterized as mild cognitive impairment (n= 8), mild/moderate Alzheimer disease (n = 4), and late-stage Alzheimer disease (n = 9). Samples from subjects with no cognitive impairment (n = 10) that were age- and postmortem interval-matched with these cases were used as controls. The short postmortem intervalbrain samples were processed for postmitochondrial supernatant, nonsynaptic mitochondria, and synaptosome fractions. Samples were analyzed for several antioxidants (glutathione, glutathione peroxidase, glutathione reductase, glutathione-S-transferase, glucose-6-phosphate dehydrogenase, superoxide dismutase, catalase) and the oxidative marker, thiobarbituric acid reactive substances. The tissue was also analyzed for possible changes in protein damage using neurochemical markers for protein carbonyls, 3-nitrotyrosine, 4-hydroxynonenal, andacrolein. All 3 neuropil fractions (postmitochondrial supernatant, mitochondrial, and synaptosomal) demonstrated significant disease-dependent increases in oxidative markers. The highest changes were observed in the synaptosomal fraction. Both mitochondrial and synaptosomal fractions had significant declines in antioxidants (glutathione, glutathione peroxidase, glutathione-S-transferase, and superoxide dismutase). Levels of oxidative markers significantly correlated with Mini-Mental Status Examination scores. Oxidative stress was more localized to the synapses, with levels increasing in a disease-dependent fashion. These correlations implicate an involvement of oxidative stress in Alzheimer disease-related synaptic loss.", "author" : [ { "dropping-particle" : "", "family" : "Ansari", "given" : "Mubeen A", "non-dropping-particle" : "", "parse-names" : false, "suffix" : "" }, { "dropping-particle" : "", "family" : "Scheff", "given" : "Stephen W", "non-dropping-particle" : "", "parse-names" : false, "suffix" : "" }, { "dropping-particle" : "", "family" : "Halliwell", "given" : "B.", "non-dropping-particle" : "", "parse-names" : false, "suffix" : "" }, { "dropping-particle" : "", "family" : "Halliwell", "given" : "B.", "non-dropping-particle" : "", "parse-names" : false, "suffix" : "" }, { "dropping-particle" : "", "family" : "Faraci", "given" : "FM.", "non-dropping-particle" : "", "parse-names" : false, "suffix" : "" }, { "dropping-particle" : "", "family" : "Mantha", "given" : "AK.", "non-dropping-particle" : "", "parse-names" : false, "suffix" : "" }, { "dropping-particle" : "", "family" : "Moorthy", "given" : "K.", "non-dropping-particle" : "", "parse-names" : false, "suffix" : "" }, { "dropping-particle" : "", "family" : "Cowsik", "given" : "SM.", "non-dropping-particle" : "", "parse-names" : false, "suffix" : "" }, { "dropping-particle" : "", "family" : "Markesbery", "given" : "WR.", "non-dropping-particle" : "", "parse-names" : false, "suffix" : "" }, { "dropping-particle" : "", "family" : "Lovell", "given" : "MA.", "non-dropping-particle" : "", "parse-names" : false, "suffix" : "" }, { "dropping-particle" : "", "family" : "Markesbery", "given" : "WR.", "non-dropping-particle" : "", "parse-names" : false, "suffix" : "" }, { "dropping-particle" : "", "family" : "Lovell", "given" : "MA.", "non-dropping-particle" : "", "parse-names" : false, "suffix" : "" }, { "dropping-particle" : "", "family" : "Moreira", "given" : "PI.", "non-dropping-particle" : "", "parse-names" : false, "suffix" : "" }, { "dropping-particle" : "", "family" : "Nunomura", "given" : "A.", "non-dropping-particle" : "", "parse-names" : false, "suffix" : "" }, { "dropping-particle" : "", "family" : "Nakamura", "given" : "M.", "non-dropping-particle" : "", "parse-names" : false, "suffix" : "" }, { "dropping-particle" : "", "family" : "Starke", "given" : "DW.", "non-dropping-particle" : "", "parse-names" : false, "suffix" : "" }, { "dropping-particle" : "", "family" : "Chen", "given" : "Y.", "non-dropping-particle" : "", "parse-names" : false, "suffix" : "" }, { "dropping-particle" : "", "family" : "Bapna", "given" : "CP.", "non-dropping-particle" : "", "parse-names" : false, "suffix" : "" }, { "dropping-particle" : "", "family" : "Ansari", "given" : "MA.", "non-dropping-particle" : "", "parse-names" : false, "suffix" : "" }, { "dropping-particle" : "", "family" : "Joshi", "given" : "G.", "non-dropping-particle" : "", "parse-names" : false, "suffix" : "" }, { "dropping-particle" : "", "family" : "Huang", "given" : "Q.", "non-dropping-particle" : "", "parse-names" : false, "suffix" : "" }, { "dropping-particle" : "", "family" : "Ansari", "given" : "MA.", "non-dropping-particle" : "", "parse-names" : false, "suffix" : "" }, { "dropping-particle" : "", "family" : "Roberts", "given" : "KN.", "non-dropping-particle" : "", "parse-names" : false, "suffix" : "" }, { "dropping-particle" : "", "family" : "Scheff", "given" : "SW.", "non-dropping-particle" : "", "parse-names" : false, "suffix" : "" }, { "dropping-particle" : "", "family" : "Benzi", "given" : "G.", "non-dropping-particle" : "", "parse-names" : false, "suffix" : "" }, { "dropping-particle" : "", "family" : "Moretti", "given" : "A.", "non-dropping-particle" : "", "parse-names" : false, "suffix" : "" }, { "dropping-particle" : "", "family" : "Martinez", "given" : "M.", "non-dropping-particle" : "", "parse-names" : false, "suffix" : "" }, { "dropping-particle" : "", "family" : "Ferrandiz", "given" : "ML.", "non-dropping-particle" : "", "parse-names" : false, "suffix" : "" }, { "dropping-particle" : "", "family" : "Diez", "given" : "A.", "non-dropping-particle" : "", "parse-names" : false, "suffix" : "" }, { "dropping-particle" : "", "family" : "Good", "given" : "PF.", "non-dropping-particle" : "", "parse-names" : false, "suffix" : "" }, { "dropping-particle" : "", "family" : "Werner", "given" : "P.", "non-dropping-particle" : "", "parse-names" : false, "suffix" : "" }, { "dropping-particle" : "", "family" : "Hsu", "given" : "A.", "non-dropping-particle" : "", "parse-names" : false, "suffix" : "" }, { "dropping-particle" : "", "family" : "Smith", "given" : "MA.", "non-dropping-particle" : "", "parse-names" : false, "suffix" : "" }, { "dropping-particle" : "", "family" : "Richey", "given" : "Harris PL.", "non-dropping-particle" : "", "parse-names" : false, "suffix" : "" }, { "dropping-particle" : "", "family" : "Sayre", "given" : "LM.", "non-dropping-particle" : "", "parse-names" : false, "suffix" : "" }, { "dropping-particle" : "", "family" : "Williams", "given" : "TI.", "non-dropping-particle" : "", "parse-names" : false, "suffix" : "" }, { "dropping-particle" : "", "family" : "Lynn", "given" : "BC.", "non-dropping-particle" : "", "parse-names" : false, "suffix" : "" }, { "dropping-particle" : "", "family" : "Markesbery", "given" : "WR.", "non-dropping-particle" : "", "parse-names" : false, "suffix" : "" }, { "dropping-particle" : "", "family" : "Calingasan", "given" : "NY.", "non-dropping-particle" : "", "parse-names" : false, "suffix" : "" }, { "dropping-particle" : "", "family" : "Uchida", "given" : "K.", "non-dropping-particle" : "", "parse-names" : false, "suffix" : "" }, { "dropping-particle" : "", "family" : "Gibson", "given" : "GE.", "non-dropping-particle" : "", "parse-names" : false, "suffix" : "" }, { "dropping-particle" : "", "family" : "Bader", "given" : "Lange ML.", "non-dropping-particle" : "", "parse-names" : false, "suffix" : "" }, { "dropping-particle" : "", "family" : "Cenini", "given" : "G.", "non-dropping-particle" : "", "parse-names" : false, "suffix" : "" }, { "dropping-particle" : "", "family" : "Piroddi", "given" : "M.", "non-dropping-particle" : "", "parse-names" : false, "suffix" : "" }, { "dropping-particle" : "", "family" : "Floyd", "given" : "RA.", "non-dropping-particle" : "", "parse-names" : false, "suffix" : "" }, { "dropping-particle" : "", "family" : "Hensley", "given" : "K.", "non-dropping-particle" : "", "parse-names" : false, "suffix" : "" }, { "dropping-particle" : "", "family" : "Cash", "given" : "AD.", "non-dropping-particle" : "", "parse-names" : false, "suffix" : "" }, { "dropping-particle" : "", "family" : "Perry", "given" : "G.", "non-dropping-particle" : "", "parse-names" : false, "suffix" : "" }, { "dropping-particle" : "", "family" : "Ogawa", "given" : "O.", "non-dropping-particle" : "", "parse-names" : false, "suffix" : "" }, { "dropping-particle" : "", "family" : "Onyango", "given" : "I.", "non-dropping-particle" : "", "parse-names" : false, "suffix" : "" }, { "dropping-particle" : "", "family" : "Khan", "given" : "S.", "non-dropping-particle" : "", "parse-names" : false, "suffix" : "" }, { "dropping-particle" : "", "family" : "Miller", "given" : "B.", "non-dropping-particle" : "", "parse-names" : false, "suffix" : "" }, { "dropping-particle" : "", "family" : "Reddy", "given" : "PH.", "non-dropping-particle" : "", "parse-names" : false, "suffix" : "" }, { "dropping-particle" : "", "family" : "Beal", "given" : "MF.", "non-dropping-particle" : "", "parse-names" : false, "suffix" : "" }, { "dropping-particle" : "", "family" : "Cardoso", "given" : "SM.", "non-dropping-particle" : "", "parse-names" : false, "suffix" : "" }, { "dropping-particle" : "", "family" : "Santana", "given" : "I.", "non-dropping-particle" : "", "parse-names" : false, "suffix" : "" }, { "dropping-particle" : "", "family" : "Swerdlow", "given" : "RH.", "non-dropping-particle" : "", "parse-names" : false, "suffix" : "" }, { "dropping-particle" : "", "family" : "Culmsee", "given" : "C.", "non-dropping-particle" : "", "parse-names" : false, "suffix" : "" }, { "dropping-particle" : "", "family" : "Landshamer", "given" : "S.", "non-dropping-particle" : "", "parse-names" : false, "suffix" : "" }, { "dropping-particle" : "", "family" : "Hensley", "given" : "K.", "non-dropping-particle" : "", "parse-names" : false, "suffix" : "" }, { "dropping-particle" : "", "family" : "Hall", "given" : "N.", "non-dropping-particle" : "", "parse-names" : false, "suffix" : "" }, { "dropping-particle" : "", "family" : "Subramaniam", "given" : "R.", "non-dropping-particle" : "", "parse-names" : false, "suffix" : "" }, { "dropping-particle" : "", "family" : "Wang", "given" : "J.", "non-dropping-particle" : "", "parse-names" : false, "suffix" : "" }, { "dropping-particle" : "", "family" : "Xiong", "given" : "S.", "non-dropping-particle" : "", "parse-names" : false, "suffix" : "" }, { "dropping-particle" : "", "family" : "Xie", "given" : "C.", "non-dropping-particle" : "", "parse-names" : false, "suffix" : "" }, { "dropping-particle" : "", "family" : "Zhu", "given" : "X.", "non-dropping-particle" : "", "parse-names" : false, "suffix" : "" }, { "dropping-particle" : "", "family" : "Smith", "given" : "MA.", "non-dropping-particle" : "", "parse-names" : false, "suffix" : "" }, { "dropping-particle" : "", "family" : "Perry", "given" : "G.", "non-dropping-particle" : "", "parse-names" : false, "suffix" : "" }, { "dropping-particle" : "", "family" : "Forero", "given" : "DA.", "non-dropping-particle" : "", "parse-names" : false, "suffix" : "" }, { "dropping-particle" : "", "family" : "Casadesus", "given" : "G.", "non-dropping-particle" : "", "parse-names" : false, "suffix" : "" }, { "dropping-particle" : "", "family" : "Perry", "given" : "G.", "non-dropping-particle" : "", "parse-names" : false, "suffix" : "" }, { "dropping-particle" : "", "family" : "Urano", "given" : "S.", "non-dropping-particle" : "", "parse-names" : false, "suffix" : "" }, { "dropping-particle" : "", "family" : "Asai", "given" : "Y.", "non-dropping-particle" : "", "parse-names" : false, "suffix" : "" }, { "dropping-particle" : "", "family" : "Makabe", "given" : "S.", "non-dropping-particle" : "", "parse-names" : false, "suffix" : "" }, { "dropping-particle" : "", "family" : "Mattson", "given" : "MP.", "non-dropping-particle" : "", "parse-names" : false, "suffix" : "" }, { "dropping-particle" : "", "family" : "Partin", "given" : "J.", "non-dropping-particle" : "", "parse-names" : false, "suffix" : "" }, { "dropping-particle" : "", "family" : "Begley", "given" : "JG.", "non-dropping-particle" : "", "parse-names" : false, "suffix" : "" }, { "dropping-particle" : "", "family" : "Ansari", "given" : "MA.", "non-dropping-particle" : "", "parse-names" : false, "suffix" : "" }, { "dropping-particle" : "", "family" : "Roberts", "given" : "KN.", "non-dropping-particle" : "", "parse-names" : false, "suffix" : "" }, { "dropping-particle" : "", "family" : "Scheff", "given" : "SW.", "non-dropping-particle" : "", "parse-names" : false, "suffix" : "" }, { "dropping-particle" : "", "family" : "Gilman", "given" : "CP.", "non-dropping-particle" : "", "parse-names" : false, "suffix" : "" }, { "dropping-particle" : "", "family" : "Chan", "given" : "SL.", "non-dropping-particle" : "", "parse-names" : false, "suffix" : "" }, { "dropping-particle" : "", "family" : "Guo", "given" : "Z.", "non-dropping-particle" : "", "parse-names" : false, "suffix" : "" }, { "dropping-particle" : "", "family" : "Faff-Michalak", "given" : "L.", "non-dropping-particle" : "", "parse-names" : false, "suffix" : "" }, { "dropping-particle" : "", "family" : "Albrecht", "given" : "J.", "non-dropping-particle" : "", "parse-names" : false, "suffix" : "" }, { "dropping-particle" : "", "family" : "Gillardon", "given" : "F.", "non-dropping-particle" : "", "parse-names" : false, "suffix" : "" }, { "dropping-particle" : "", "family" : "Rist", "given" : "W.", "non-dropping-particle" : "", "parse-names" : false, "suffix" : "" }, { "dropping-particle" : "", "family" : "Kussmaul", "given" : "L.", "non-dropping-particle" : "", "parse-names" : false, "suffix" : "" }, { "dropping-particle" : "", "family" : "Brown", "given" : "MR.", "non-dropping-particle" : "", "parse-names" : false, "suffix" : "" }, { "dropping-particle" : "", "family" : "Sullivan", "given" : "PG.", "non-dropping-particle" : "", "parse-names" : false, "suffix" : "" }, { "dropping-particle" : "", "family" : "Geddes", "given" : "JW.", "non-dropping-particle" : "", "parse-names" : false, "suffix" : "" }, { "dropping-particle" : "", "family" : "Naga", "given" : "KK.", "non-dropping-particle" : "", "parse-names" : false, "suffix" : "" }, { "dropping-particle" : "", "family" : "Sullivan", "given" : "PG.", "non-dropping-particle" : "", "parse-names" : false, "suffix" : "" }, { "dropping-particle" : "", "family" : "Geddes", "given" : "JW.", "non-dropping-particle" : "", "parse-names" : false, "suffix" : "" }, { "dropping-particle" : "", "family" : "Goldman", "given" : "WP.", "non-dropping-particle" : "", "parse-names" : false, "suffix" : "" }, { "dropping-particle" : "", "family" : "Price", "given" : "JL.", "non-dropping-particle" : "", "parse-names" : false, "suffix" : "" }, { "dropping-particle" : "", "family" : "Storandt", "given" : "M.", "non-dropping-particle" : "", "parse-names" : false, "suffix" : "" }, { "dropping-particle" : "", "family" : "Haroutunian", "given" : "V.", "non-dropping-particle" : "", "parse-names" : false, "suffix" : "" }, { "dropping-particle" : "", "family" : "Perl", "given" : "DP.", "non-dropping-particle" : "", "parse-names" : false, "suffix" : "" }, { "dropping-particle" : "", "family" : "Purohit", "given" : "DP.", "non-dropping-particle" : "", "parse-names" : false, "suffix" : "" }, { "dropping-particle" : "", "family" : "Schmitt", "given" : "FA.", "non-dropping-particle" : "", "parse-names" : false, "suffix" : "" }, { "dropping-particle" : "", "family" : "Davis", "given" : "DG.", "non-dropping-particle" : "", "parse-names" : false, "suffix" : "" }, { "dropping-particle" : "", "family" : "Wekstein", "given" : "DR.", "non-dropping-particle" : "", "parse-names" : false, "suffix" : "" }, { "dropping-particle" : "", "family" : "Flicker", "given" : "C.", "non-dropping-particle" : "", "parse-names" : false, "suffix" : "" }, { "dropping-particle" : "", "family" : "Ferris", "given" : "SH.", "non-dropping-particle" : "", "parse-names" : false, "suffix" : "" }, { "dropping-particle" : "", "family" : "Reisberg", "given" : "B.", "non-dropping-particle" : "", "parse-names" : false, "suffix" : "" }, { "dropping-particle" : "", "family" : "Morris", "given" : "JC.", "non-dropping-particle" : "", "parse-names" : false, "suffix" : "" }, { "dropping-particle" : "", "family" : "Storandt", "given" : "M.", "non-dropping-particle" : "", "parse-names" : false, "suffix" : "" }, { "dropping-particle" : "", "family" : "Miller", "given" : "JP.", "non-dropping-particle" : "", "parse-names" : false, "suffix" : "" }, { "dropping-particle" : "", "family" : "Petersen", "given" : "RC.", "non-dropping-particle" : "", "parse-names" : false, "suffix" : "" }, { "dropping-particle" : "", "family" : "Petersen", "given" : "RC.", "non-dropping-particle" : "", "parse-names" : false, "suffix" : "" }, { "dropping-particle" : "", "family" : "Doody", "given" : "R.", "non-dropping-particle" : "", "parse-names" : false, "suffix" : "" }, { "dropping-particle" : "", "family" : "Kurz", "given" : "A.", "non-dropping-particle" : "", "parse-names" : false, "suffix" : "" }, { "dropping-particle" : "", "family" : "McKhann", "given" : "G.", "non-dropping-particle" : "", "parse-names" : false, "suffix" : "" }, { "dropping-particle" : "", "family" : "Drachman", "given" : "D.", "non-dropping-particle" : "", "parse-names" : false, "suffix" : "" }, { "dropping-particle" : "", "family" : "Folstein", "given" : "M.", "non-dropping-particle" : "", "parse-names" : false, "suffix" : "" }, { "dropping-particle" : "", "family" : "Scheff", "given" : "SW.", "non-dropping-particle" : "", "parse-names" : false, "suffix" : "" }, { "dropping-particle" : "", "family" : "Price", "given" : "DA.", "non-dropping-particle" : "", "parse-names" : false, "suffix" : "" }, { "dropping-particle" : "", "family" : "Schmitt", "given" : "FA.", "non-dropping-particle" : "", "parse-names" : false, "suffix" : "" }, { "dropping-particle" : "", "family" : "Garey", "given" : "RE.", "non-dropping-particle" : "", "parse-names" : false, "suffix" : "" }, { "dropping-particle" : "", "family" : "Harper", "given" : "JW.", "non-dropping-particle" : "", "parse-names" : false, "suffix" : "" }, { "dropping-particle" : "", "family" : "Heath", "given" : "RG.", "non-dropping-particle" : "", "parse-names" : false, "suffix" : "" }, { "dropping-particle" : "", "family" : "Ahmad", "given" : "AS.", "non-dropping-particle" : "", "parse-names" : false, "suffix" : "" }, { "dropping-particle" : "", "family" : "Ansari", "given" : "MA.", "non-dropping-particle" : "", "parse-names" : false, "suffix" : "" }, { "dropping-particle" : "", "family" : "Ahmad", "given" : "M.", "non-dropping-particle" : "", "parse-names" : false, "suffix" : "" }, { "dropping-particle" : "", "family" : "Luis", "given" : "CA.", "non-dropping-particle" : "", "parse-names" : false, "suffix" : "" }, { "dropping-particle" : "", "family" : "Loewenstein", "given" : "DA.", "non-dropping-particle" : "", "parse-names" : false, "suffix" : "" }, { "dropping-particle" : "", "family" : "Acevedo", "given" : "A.", "non-dropping-particle" : "", "parse-names" : false, "suffix" : "" }, { "dropping-particle" : "", "family" : "Butterfield", "given" : "DA.", "non-dropping-particle" : "", "parse-names" : false, "suffix" : "" }, { "dropping-particle" : "", "family" : "Reed", "given" : "T.", "non-dropping-particle" : "", "parse-names" : false, "suffix" : "" }, { "dropping-particle" : "", "family" : "Perluigi", "given" : "M.", "non-dropping-particle" : "", "parse-names" : false, "suffix" : "" }, { "dropping-particle" : "", "family" : "Keller", "given" : "JN.", "non-dropping-particle" : "", "parse-names" : false, "suffix" : "" }, { "dropping-particle" : "", "family" : "Schmitt", "given" : "FA.", "non-dropping-particle" : "", "parse-names" : false, "suffix" : "" }, { "dropping-particle" : "", "family" : "Scheff", "given" : "SW.", "non-dropping-particle" : "", "parse-names" : false, "suffix" : "" }, { "dropping-particle" : "", "family" : "Markesbery", "given" : "WR.", "non-dropping-particle" : "", "parse-names" : false, "suffix" : "" }, { "dropping-particle" : "", "family" : "Kryscio", "given" : "RJ.", "non-dropping-particle" : "", "parse-names" : false, "suffix" : "" }, { "dropping-particle" : "", "family" : "Lovell", "given" : "MA.", "non-dropping-particle" : "", "parse-names" : false, "suffix" : "" }, { "dropping-particle" : "", "family" : "Pratico", "given" : "D.", "non-dropping-particle" : "", "parse-names" : false, "suffix" : "" }, { "dropping-particle" : "", "family" : "Sung", "given" : "S.", "non-dropping-particle" : "", "parse-names" : false, "suffix" : "" }, { "dropping-particle" : "", "family" : "Butterfield", "given" : "DA.", "non-dropping-particle" : "", "parse-names" : false, "suffix" : "" }, { "dropping-particle" : "", "family" : "Boyd-Kimball", "given" : "D.", "non-dropping-particle" : "", "parse-names" : false, "suffix" : "" }, { "dropping-particle" : "", "family" : "Perry", "given" : "G.", "non-dropping-particle" : "", "parse-names" : false, "suffix" : "" }, { "dropping-particle" : "", "family" : "Castellani", "given" : "RJ.", "non-dropping-particle" : "", "parse-names" : false, "suffix" : "" }, { "dropping-particle" : "", "family" : "Smith", "given" : "MA.", "non-dropping-particle" : "", "parse-names" : false, "suffix" : "" }, { "dropping-particle" : "", "family" : "Stadtman", "given" : "ER.", "non-dropping-particle" : "", "parse-names" : false, "suffix" : "" }, { "dropping-particle" : "", "family" : "Berlett", "given" : "BS.", "non-dropping-particle" : "", "parse-names" : false, "suffix" : "" }, { "dropping-particle" : "", "family" : "Cardoso", "given" : "SM.", "non-dropping-particle" : "", "parse-names" : false, "suffix" : "" }, { "dropping-particle" : "", "family" : "Pereira", "given" : "C.", "non-dropping-particle" : "", "parse-names" : false, "suffix" : "" }, { "dropping-particle" : "", "family" : "Oliveira", "given" : "CR.", "non-dropping-particle" : "", "parse-names" : false, "suffix" : "" }, { "dropping-particle" : "", "family" : "Antonsson", "given" : "B.", "non-dropping-particle" : "", "parse-names" : false, "suffix" : "" }, { "dropping-particle" : "", "family" : "Marlatt", "given" : "M.", "non-dropping-particle" : "", "parse-names" : false, "suffix" : "" }, { "dropping-particle" : "", "family" : "Lee", "given" : "HG.", "non-dropping-particle" : "", "parse-names" : false, "suffix" : "" }, { "dropping-particle" : "", "family" : "Perry", "given" : "G.", "non-dropping-particle" : "", "parse-names" : false, "suffix" : "" }, { "dropping-particle" : "", "family" : "Sheehan", "given" : "JP.", "non-dropping-particle" : "", "parse-names" : false, "suffix" : "" }, { "dropping-particle" : "", "family" : "Swerdlow", "given" : "RH.", "non-dropping-particle" : "", "parse-names" : false, "suffix" : "" }, { "dropping-particle" : "", "family" : "Miller", "given" : "SW.", "non-dropping-particle" : "", "parse-names" : false, "suffix" : "" }, { "dropping-particle" : "", "family" : "Balazs", "given" : "L.", "non-dropping-particle" : "", "parse-names" : false, "suffix" : "" }, { "dropping-particle" : "", "family" : "Leon", "given" : "M.", "non-dropping-particle" : "", "parse-names" : false, "suffix" : "" }, { "dropping-particle" : "", "family" : "Subbarao", "given" : "KV.", "non-dropping-particle" : "", "parse-names" : false, "suffix" : "" }, { "dropping-particle" : "", "family" : "Richardson", "given" : "JS.", "non-dropping-particle" : "", "parse-names" : false, "suffix" : "" }, { "dropping-particle" : "", "family" : "Ang", "given" : "LC.", "non-dropping-particle" : "", "parse-names" : false, "suffix" : "" }, { "dropping-particle" : "", "family" : "Lovell", "given" : "MA.", "non-dropping-particle" : "", "parse-names" : false, "suffix" : "" }, { "dropping-particle" : "", "family" : "Ehmann", "given" : "WD.", "non-dropping-particle" : "", "parse-names" : false, "suffix" : "" }, { "dropping-particle" : "", "family" : "Butler", "given" : "SM.", "non-dropping-particle" : "", "parse-names" : false, "suffix" : "" }, { "dropping-particle" : "", "family" : "Lyras", "given" : "L.", "non-dropping-particle" : "", "parse-names" : false, "suffix" : "" }, { "dropping-particle" : "", "family" : "Cairns", "given" : "NJ.", "non-dropping-particle" : "", "parse-names" : false, "suffix" : "" }, { "dropping-particle" : "", "family" : "Jenner", "given" : "A.", "non-dropping-particle" : "", "parse-names" : false, "suffix" : "" }, { "dropping-particle" : "", "family" : "Palmer", "given" : "AM.", "non-dropping-particle" : "", "parse-names" : false, "suffix" : "" }, { "dropping-particle" : "", "family" : "Burns", "given" : "MA.", "non-dropping-particle" : "", "parse-names" : false, "suffix" : "" }, { "dropping-particle" : "", "family" : "Forman", "given" : "MS.", "non-dropping-particle" : "", "parse-names" : false, "suffix" : "" }, { "dropping-particle" : "", "family" : "Mufson", "given" : "EJ.", "non-dropping-particle" : "", "parse-names" : false, "suffix" : "" }, { "dropping-particle" : "", "family" : "Leurgans", "given" : "S.", "non-dropping-particle" : "", "parse-names" : false, "suffix" : "" }, { "dropping-particle" : "", "family" : "Bains", "given" : "JS.", "non-dropping-particle" : "", "parse-names" : false, "suffix" : "" }, { "dropping-particle" : "", "family" : "Shaw", "given" : "CA.", "non-dropping-particle" : "", "parse-names" : false, "suffix" : "" }, { "dropping-particle" : "", "family" : "Ansari", "given" : "MA.", "non-dropping-particle" : "", "parse-names" : false, "suffix" : "" }, { "dropping-particle" : "", "family" : "Ahmad", "given" : "AS.", "non-dropping-particle" : "", "parse-names" : false, "suffix" : "" }, { "dropping-particle" : "", "family" : "Ahmad", "given" : "M.", "non-dropping-particle" : "", "parse-names" : false, "suffix" : "" }, { "dropping-particle" : "", "family" : "Beckman", "given" : "JS.", "non-dropping-particle" : "", "parse-names" : false, "suffix" : "" }, { "dropping-particle" : "", "family" : "Beckman", "given" : "TW.", "non-dropping-particle" : "", "parse-names" : false, "suffix" : "" }, { "dropping-particle" : "", "family" : "Chen", "given" : "J.", "non-dropping-particle" : "", "parse-names" : false, "suffix" : "" }, { "dropping-particle" : "V.", "family" : "Perez-De", "given" : "La Cruz", "non-dropping-particle" : "", "parse-names" : false, "suffix" : "" }, { "dropping-particle" : "", "family" : "Gonzalez-Cortes", "given" : "C.", "non-dropping-particle" : "", "parse-names" : false, "suffix" : "" }, { "dropping-particle" : "", "family" : "Galvan-Arzate", "given" : "S.", "non-dropping-particle" : "", "parse-names" : false, "suffix" : "" }, { "dropping-particle" : "", "family" : "Xie", "given" : "C.", "non-dropping-particle" : "", "parse-names" : false, "suffix" : "" }, { "dropping-particle" : "", "family" : "Lovell", "given" : "MA.", "non-dropping-particle" : "", "parse-names" : false, "suffix" : "" }, { "dropping-particle" : "", "family" : "Markesbery", "given" : "WR.", "non-dropping-particle" : "", "parse-names" : false, "suffix" : "" }, { "dropping-particle" : "", "family" : "Baez", "given" : "S.", "non-dropping-particle" : "", "parse-names" : false, "suffix" : "" }, { "dropping-particle" : "", "family" : "Segura-Aguilar", "given" : "J.", "non-dropping-particle" : "", "parse-names" : false, "suffix" : "" }, { "dropping-particle" : "", "family" : "Widersten", "given" : "M.", "non-dropping-particle" : "", "parse-names" : false, "suffix" : "" }, { "dropping-particle" : "", "family" : "Shah", "given" : "ZA.", "non-dropping-particle" : "", "parse-names" : false, "suffix" : "" }, { "dropping-particle" : "", "family" : "Vohora", "given" : "SB.", "non-dropping-particle" : "", "parse-names" : false, "suffix" : "" }, { "dropping-particle" : "", "family" : "Ishrat", "given" : "T.", "non-dropping-particle" : "", "parse-names" : false, "suffix" : "" }, { "dropping-particle" : "", "family" : "Khan", "given" : "MB.", "non-dropping-particle" : "", "parse-names" : false, "suffix" : "" }, { "dropping-particle" : "", "family" : "Hoda", "given" : "MN.", "non-dropping-particle" : "", "parse-names" : false, "suffix" : "" }, { "dropping-particle" : "", "family" : "Russell", "given" : "RL.", "non-dropping-particle" : "", "parse-names" : false, "suffix" : "" }, { "dropping-particle" : "", "family" : "Siedlak", "given" : "SL.", "non-dropping-particle" : "", "parse-names" : false, "suffix" : "" }, { "dropping-particle" : "", "family" : "Raina", "given" : "AK.", "non-dropping-particle" : "", "parse-names" : false, "suffix" : "" }, { "dropping-particle" : "", "family" : "Martins", "given" : "RN.", "non-dropping-particle" : "", "parse-names" : false, "suffix" : "" }, { "dropping-particle" : "", "family" : "Harper", "given" : "CG.", "non-dropping-particle" : "", "parse-names" : false, "suffix" : "" }, { "dropping-particle" : "", "family" : "Stokes", "given" : "GB.", "non-dropping-particle" : "", "parse-names" : false, "suffix" : "" }, { "dropping-particle" : "", "family" : "Kishida", "given" : "KT.", "non-dropping-particle" : "", "parse-names" : false, "suffix" : "" }, { "dropping-particle" : "", "family" : "Klann", "given" : "E.", "non-dropping-particle" : "", "parse-names" : false, "suffix" : "" }, { "dropping-particle" : "", "family" : "Tejada-Simon", "given" : "MV.", "non-dropping-particle" : "", "parse-names" : false, "suffix" : "" }, { "dropping-particle" : "", "family" : "Serrano", "given" : "F.", "non-dropping-particle" : "", "parse-names" : false, "suffix" : "" }, { "dropping-particle" : "", "family" : "Villasana", "given" : "LE.", "non-dropping-particle" : "", "parse-names" : false, "suffix" : "" }, { "dropping-particle" : "", "family" : "Harman", "given" : "D.", "non-dropping-particle" : "", "parse-names" : false, "suffix" : "" }, { "dropping-particle" : "", "family" : "Resende", "given" : "R.", "non-dropping-particle" : "", "parse-names" : false, "suffix" : "" }, { "dropping-particle" : "", "family" : "Moreira", "given" : "PI.", "non-dropping-particle" : "", "parse-names" : false, "suffix" : "" }, { "dropping-particle" : "", "family" : "Proenca", "given" : "T.", "non-dropping-particle" : "", "parse-names" : false, "suffix" : "" }, { "dropping-particle" : "", "family" : "Callio", "given" : "J.", "non-dropping-particle" : "", "parse-names" : false, "suffix" : "" }, { "dropping-particle" : "", "family" : "Oury", "given" : "TD.", "non-dropping-particle" : "", "parse-names" : false, "suffix" : "" }, { "dropping-particle" : "", "family" : "Chu", "given" : "CT.", "non-dropping-particle" : "", "parse-names" : false, "suffix" : "" }, { "dropping-particle" : "", "family" : "Dringen", "given" : "R.", "non-dropping-particle" : "", "parse-names" : false, "suffix" : "" }, { "dropping-particle" : "", "family" : "Pawlowski", "given" : "PG.", "non-dropping-particle" : "", "parse-names" : false, "suffix" : "" }, { "dropping-particle" : "", "family" : "Hirrlinger", "given" : "J.", "non-dropping-particle" : "", "parse-names" : false, "suffix" : "" }, { "dropping-particle" : "", "family" : "Bayir", "given" : "H.", "non-dropping-particle" : "", "parse-names" : false, "suffix" : "" }, { "dropping-particle" : "", "family" : "Kagan", "given" : "VE.", "non-dropping-particle" : "", "parse-names" : false, "suffix" : "" }, { "dropping-particle" : "", "family" : "Clark", "given" : "RS.", "non-dropping-particle" : "", "parse-names" : false, "suffix" : "" }, { "dropping-particle" : "", "family" : "Sayre", "given" : "LM.", "non-dropping-particle" : "", "parse-names" : false, "suffix" : "" }, { "dropping-particle" : "", "family" : "Zelasko", "given" : "DA.", "non-dropping-particle" : "", "parse-names" : false, "suffix" : "" }, { "dropping-particle" : "", "family" : "Harris", "given" : "PL.", "non-dropping-particle" : "", "parse-names" : false, "suffix" : "" }, { "dropping-particle" : "", "family" : "Smith", "given" : "MA.", "non-dropping-particle" : "", "parse-names" : false, "suffix" : "" }, { "dropping-particle" : "", "family" : "Sayre", "given" : "LM.", "non-dropping-particle" : "", "parse-names" : false, "suffix" : "" }, { "dropping-particle" : "", "family" : "Anderson", "given" : "VE.", "non-dropping-particle" : "", "parse-names" : false, "suffix" : "" }, { "dropping-particle" : "", "family" : "Sidell", "given" : "KR.", "non-dropping-particle" : "", "parse-names" : false, "suffix" : "" }, { "dropping-particle" : "", "family" : "Montine", "given" : "KS.", "non-dropping-particle" : "", "parse-names" : false, "suffix" : "" }, { "dropping-particle" : "", "family" : "Picklo", "given" : "MJ Sr.", "non-dropping-particle" : "", "parse-names" : false, "suffix" : "" }, { "dropping-particle" : "", "family" : "Nunomura", "given" : "A.", "non-dropping-particle" : "", "parse-names" : false, "suffix" : "" }, { "dropping-particle" : "", "family" : "Perry", "given" : "G.", "non-dropping-particle" : "", "parse-names" : false, "suffix" : "" }, { "dropping-particle" : "", "family" : "Aliev", "given" : "G.", "non-dropping-particle" : "", "parse-names" : false, "suffix" : "" }, { "dropping-particle" : "", "family" : "Marcello", "given" : "E.", "non-dropping-particle" : "", "parse-names" : false, "suffix" : "" }, { "dropping-particle" : "", "family" : "Epis", "given" : "R.", "non-dropping-particle" : "", "parse-names" : false, "suffix" : "" }, { "dropping-particle" : "", "family" : "Di", "given" : "Luca M.", "non-dropping-particle" : "", "parse-names" : false, "suffix" : "" }, { "dropping-particle" : "", "family" : "De", "given" : "Felice FG.", "non-dropping-particle" : "", "parse-names" : false, "suffix" : "" }, { "dropping-particle" : "", "family" : "Velasco", "given" : "PT.", "non-dropping-particle" : "", "parse-names" : false, "suffix" : "" }, { "dropping-particle" : "", "family" : "Lambert", "given" : "MP.", "non-dropping-particle" : "", "parse-names" : false, "suffix" : "" }, { "dropping-particle" : "", "family" : "Cirrito", "given" : "JR.", "non-dropping-particle" : "", "parse-names" : false, "suffix" : "" }, { "dropping-particle" : "", "family" : "Yamada", "given" : "KA.", "non-dropping-particle" : "", "parse-names" : false, "suffix" : "" }, { "dropping-particle" : "", "family" : "Finn", "given" : "MB.", "non-dropping-particle" : "", "parse-names" : false, "suffix" : "" }, { "dropping-particle" : "", "family" : "Selkoe", "given" : "DJ.", "non-dropping-particle" : "", "parse-names" : false, "suffix" : "" }, { "dropping-particle" : "", "family" : "Knobloch", "given" : "M.", "non-dropping-particle" : "", "parse-names" : false, "suffix" : "" }, { "dropping-particle" : "", "family" : "Mansuy", "given" : "IM.", "non-dropping-particle" : "", "parse-names" : false, "suffix" : "" }, { "dropping-particle" : "", "family" : "Arranz", "given" : "B.", "non-dropping-particle" : "", "parse-names" : false, "suffix" : "" }, { "dropping-particle" : "", "family" : "Blennow", "given" : "K.", "non-dropping-particle" : "", "parse-names" : false, "suffix" : "" }, { "dropping-particle" : "", "family" : "Ekman", "given" : "R.", "non-dropping-particle" : "", "parse-names" : false, "suffix" : "" }, { "dropping-particle" : "", "family" : "Dodd", "given" : "PR.", "non-dropping-particle" : "", "parse-names" : false, "suffix" : "" }, { "dropping-particle" : "", "family" : "Hambley", "given" : "JW.", "non-dropping-particle" : "", "parse-names" : false, "suffix" : "" }, { "dropping-particle" : "", "family" : "Cowburn", "given" : "RF.", "non-dropping-particle" : "", "parse-names" : false, "suffix" : "" }, { "dropping-particle" : "", "family" : "Palmer", "given" : "AM.", "non-dropping-particle" : "", "parse-names" : false, "suffix" : "" }, { "dropping-particle" : "", "family" : "Lowe", "given" : "SL.", "non-dropping-particle" : "", "parse-names" : false, "suffix" : "" }, { "dropping-particle" : "", "family" : "Francis", "given" : "PT.", "non-dropping-particle" : "", "parse-names" : false, "suffix" : "" } ], "container-title" : "Journal of neuropathology and experimental neurology", "id" : "ITEM-2", "issue" : "2", "issued" : { "date-parts" : [ [ "2010", "2" ] ] }, "page" : "155-67", "publisher" : "The Oxford University Press", "title" : "Oxidative stress in the progression of Alzheimer disease in the frontal cortex.", "type" : "article-journal", "volume" : "69" }, "uris" : [ "http://www.mendeley.com/documents/?uuid=980331cb-73a1-3e21-88c6-6e9108abe621" ] } ], "mendeley" : { "formattedCitation" : "(Mandal et al. 2012; Ansari et al. 2010)", "plainTextFormattedCitation" : "(Mandal et al. 2012; Ansari et al. 2010)", "previouslyFormattedCitation" : "(Mandal et al. 2012; Ansari et al. 2010)" }, "properties" : { "noteIndex" : 0 }, "schema" : "https://github.com/citation-style-language/schema/raw/master/csl-citation.json" }</w:instrText>
      </w:r>
      <w:r w:rsidR="00E3519D">
        <w:rPr>
          <w:rFonts w:ascii="Times New Roman" w:hAnsi="Times New Roman" w:cs="Times New Roman"/>
        </w:rPr>
        <w:fldChar w:fldCharType="separate"/>
      </w:r>
      <w:r w:rsidR="00C148FC" w:rsidRPr="00C148FC">
        <w:rPr>
          <w:rFonts w:ascii="Times New Roman" w:hAnsi="Times New Roman" w:cs="Times New Roman"/>
          <w:noProof/>
        </w:rPr>
        <w:t>(Mandal et al. 2012; Ansari et al. 2010)</w:t>
      </w:r>
      <w:r w:rsidR="00E3519D">
        <w:rPr>
          <w:rFonts w:ascii="Times New Roman" w:hAnsi="Times New Roman" w:cs="Times New Roman"/>
        </w:rPr>
        <w:fldChar w:fldCharType="end"/>
      </w:r>
      <w:r w:rsidR="0096547E">
        <w:rPr>
          <w:rFonts w:ascii="Times New Roman" w:hAnsi="Times New Roman" w:cs="Times New Roman"/>
        </w:rPr>
        <w:t>.</w:t>
      </w:r>
      <w:r w:rsidR="00826619">
        <w:rPr>
          <w:rFonts w:ascii="Times New Roman" w:hAnsi="Times New Roman" w:cs="Times New Roman"/>
        </w:rPr>
        <w:t xml:space="preserve"> In addition, s</w:t>
      </w:r>
      <w:r w:rsidR="0096547E">
        <w:rPr>
          <w:rFonts w:ascii="Times New Roman" w:hAnsi="Times New Roman" w:cs="Times New Roman"/>
        </w:rPr>
        <w:t xml:space="preserve">ignificant oxidative-stress induced DNA damage </w:t>
      </w:r>
      <w:r w:rsidR="00826619">
        <w:rPr>
          <w:rFonts w:ascii="Times New Roman" w:hAnsi="Times New Roman" w:cs="Times New Roman"/>
        </w:rPr>
        <w:t xml:space="preserve">has been </w:t>
      </w:r>
      <w:r w:rsidR="0096547E">
        <w:rPr>
          <w:rFonts w:ascii="Times New Roman" w:hAnsi="Times New Roman" w:cs="Times New Roman"/>
        </w:rPr>
        <w:t xml:space="preserve">observed in astrocytes in </w:t>
      </w:r>
      <w:r w:rsidR="00826619">
        <w:rPr>
          <w:rFonts w:ascii="Times New Roman" w:hAnsi="Times New Roman" w:cs="Times New Roman"/>
        </w:rPr>
        <w:t>an</w:t>
      </w:r>
      <w:r w:rsidR="0096547E">
        <w:rPr>
          <w:rFonts w:ascii="Times New Roman" w:hAnsi="Times New Roman" w:cs="Times New Roman"/>
        </w:rPr>
        <w:t xml:space="preserve"> ageing </w:t>
      </w:r>
      <w:r w:rsidR="005279C2">
        <w:rPr>
          <w:rFonts w:ascii="Times New Roman" w:hAnsi="Times New Roman" w:cs="Times New Roman"/>
        </w:rPr>
        <w:t>cohort of</w:t>
      </w:r>
      <w:r w:rsidR="00E16D16">
        <w:rPr>
          <w:rFonts w:ascii="Times New Roman" w:hAnsi="Times New Roman" w:cs="Times New Roman"/>
        </w:rPr>
        <w:t xml:space="preserve"> brains, although did not</w:t>
      </w:r>
      <w:r w:rsidR="00826619">
        <w:rPr>
          <w:rFonts w:ascii="Times New Roman" w:hAnsi="Times New Roman" w:cs="Times New Roman"/>
        </w:rPr>
        <w:t xml:space="preserve"> correlate with Alzheimer-type pathology</w:t>
      </w:r>
      <w:r w:rsidR="0096547E">
        <w:rPr>
          <w:rFonts w:ascii="Times New Roman" w:hAnsi="Times New Roman" w:cs="Times New Roman"/>
        </w:rPr>
        <w:t xml:space="preserve"> </w:t>
      </w:r>
      <w:r w:rsidR="0096547E">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"10.1111/j.1365-2990.2009.01030.x", "ISSN" : "1365-2990", "PMID" : "19422529", "abstract" : "AIMS: Increasing evidence suggests a role for oxidative damage to DNA in brain ageing and in neurodegenerative disorders, including Alzheimer's disease. Most studies have focussed on the reduced capacity for DNA repair by neurones, and have not taken into account the effect of oxidative stress on astrocytes, and their contribution to pathology.\n\nMETHODS: We examined levels of oxidative stress, DNA damage and DNA repair mechanisms in astrocytes in a population-based sample derived from the Medical Research Council Cognitive Function and Ageing Neuropathology Study.\n\nRESULTS: We demonstrate wide variation in parameters for oxidative stress and DNA damage in astrocytes in the ageing population. We show that there is a significant reduction (P = 0.002) in the lipid peroxidation marker malondialdehyde with increasing Braak stage in Alzheimer's disease. Furthermore, we demonstrate that expression of the DNA damage-associated molecules H2AX and DNA-dependent protein kinase do not increase with increasing Braak stage, rather there is evidence of a nonsignificant reduction in DNA-dependent protein kinase expression by neurones and astrocytes, and in H2AX by neurones with increasing levels of Alzheimer's type pathology.\n\nCONCLUSIONS: These findings suggest that the changes in oxidative stress and the astrocyte DNA damage response are not accounted for as an accumulating effect due to established Alzheimer-type pathology. We hypothesize that astrocyte damage, leading to impaired function, may contribute to the development of ageing brain pathology in some individuals.", "author" : [ { "dropping-particle" : "", "family" : "Simpson", "given" : "J E", "non-dropping-particle" : "", "parse-names" : false, "suffix" : "" }, { "dropping-particle" : "", "family" : "Ince", "given" : "P G", "non-dropping-particle" : "", "parse-names" : false, "suffix" : "" }, { "dropping-particle" : "", "family" : "Haynes", "given" : "L J", "non-dropping-particle" : "", "parse-names" : false, "suffix" : "" }, { "dropping-particle" : "", "family" : "Theaker", "given" : "R", "non-dropping-particle" : "", "parse-names" : false, "suffix" : "" }, { "dropping-particle" : "", "family" : "Gelsthorpe", "given" : "C", "non-dropping-particle" : "", "parse-names" : false, "suffix" : "" }, { "dropping-particle" : "", "family" : "Baxter", "given" : "L", "non-dropping-particle" : "", "parse-names" : false, "suffix" : "" }, { "dropping-particle" : "", "family" : "Forster", "given" : "G", "non-dropping-particle" : "", "parse-names" : false, "suffix" : "" }, { "dropping-particle" : "", "family" : "Lace", "given" : "G L", "non-dropping-particle" : "", "parse-names" : false, "suffix" : "" }, { "dropping-particle" : "", "family" : "Shaw", "given" : "P J", "non-dropping-particle" : "", "parse-names" : false, "suffix" : "" }, { "dropping-particle" : "", "family" : "Matthews", "given" : "F E", "non-dropping-particle" : "", "parse-names" : false, "suffix" : "" }, { "dropping-particle" : "", "family" : "Savva", "given" : "G M", "non-dropping-particle" : "", "parse-names" : false, "suffix" : "" }, { "dropping-particle" : "", "family" : "Brayne", "given" : "C", "non-dropping-particle" : "", "parse-names" : false, "suffix" : "" }, { "dropping-particle" : "", "family" : "Wharton", "given" : "S B", "non-dropping-particle" : "", "parse-names" : false, "suffix" : "" } ], "container-title" : "Neuropathology and applied neurobiology", "id" : "ITEM-1", "issue" : "1", "issued" : { "date-parts" : [ [ "2010", "2" ] ] }, "page" : "25-40", "title" : "Population variation in oxidative stress and astrocyte DNA damage in relation to Alzheimer-type pathology in the ageing brain.", "type" : "article-journal", "volume" : "36" }, "uris" : [ "http://www.mendeley.com/documents/?uuid=3de702e7-4a5b-47de-9c21-6b788c3c32f1" ] } ], "mendeley" : { "formattedCitation" : "(J E Simpson, Ince, Haynes, et al. 2010)", "plainTextFormattedCitation" : "(J E Simpson, Ince, Haynes, et al. 2010)", "previouslyFormattedCitation" : "(J E Simpson, Ince, Haynes, et al. 2010)" }, "properties" : { "noteIndex" : 0 }, "schema" : "https://github.com/citation-style-language/schema/raw/master/csl-citation.json" }</w:instrText>
      </w:r>
      <w:r w:rsidR="0096547E">
        <w:rPr>
          <w:rFonts w:ascii="Times New Roman" w:hAnsi="Times New Roman" w:cs="Times New Roman"/>
        </w:rPr>
        <w:fldChar w:fldCharType="separate"/>
      </w:r>
      <w:r w:rsidR="00C148FC" w:rsidRPr="00C148FC">
        <w:rPr>
          <w:rFonts w:ascii="Times New Roman" w:hAnsi="Times New Roman" w:cs="Times New Roman"/>
          <w:noProof/>
        </w:rPr>
        <w:t>(J E Simpson, Ince, Haynes, et al. 2010)</w:t>
      </w:r>
      <w:r w:rsidR="0096547E">
        <w:rPr>
          <w:rFonts w:ascii="Times New Roman" w:hAnsi="Times New Roman" w:cs="Times New Roman"/>
        </w:rPr>
        <w:fldChar w:fldCharType="end"/>
      </w:r>
      <w:r w:rsidR="0096547E">
        <w:rPr>
          <w:rFonts w:ascii="Times New Roman" w:hAnsi="Times New Roman" w:cs="Times New Roman"/>
        </w:rPr>
        <w:t>.</w:t>
      </w:r>
      <w:r w:rsidR="00C858C0">
        <w:rPr>
          <w:rFonts w:ascii="Times New Roman" w:hAnsi="Times New Roman" w:cs="Times New Roman"/>
        </w:rPr>
        <w:t xml:space="preserve"> </w:t>
      </w:r>
      <w:r w:rsidR="005B2ABA">
        <w:rPr>
          <w:rFonts w:ascii="Times New Roman" w:hAnsi="Times New Roman" w:cs="Times New Roman"/>
        </w:rPr>
        <w:t xml:space="preserve">This has </w:t>
      </w:r>
      <w:r w:rsidR="00826619">
        <w:rPr>
          <w:rFonts w:ascii="Times New Roman" w:hAnsi="Times New Roman" w:cs="Times New Roman"/>
        </w:rPr>
        <w:t>led to</w:t>
      </w:r>
      <w:r w:rsidR="00B42EDF">
        <w:rPr>
          <w:rFonts w:ascii="Times New Roman" w:hAnsi="Times New Roman" w:cs="Times New Roman"/>
        </w:rPr>
        <w:t xml:space="preserve"> clinical trials being conducted to assess the efficacy of antioxidants </w:t>
      </w:r>
      <w:r w:rsidR="009F5917">
        <w:rPr>
          <w:rFonts w:ascii="Times New Roman" w:hAnsi="Times New Roman" w:cs="Times New Roman"/>
        </w:rPr>
        <w:t xml:space="preserve">in delaying AD associated cognitive decline. </w:t>
      </w:r>
      <w:r w:rsidR="00C858C0">
        <w:rPr>
          <w:rFonts w:ascii="Times New Roman" w:hAnsi="Times New Roman" w:cs="Times New Roman"/>
        </w:rPr>
        <w:t xml:space="preserve">However, many of these antioxidants have failed </w:t>
      </w:r>
      <w:r w:rsidR="003838E9">
        <w:rPr>
          <w:rFonts w:ascii="Times New Roman" w:hAnsi="Times New Roman" w:cs="Times New Roman"/>
        </w:rPr>
        <w:t xml:space="preserve">to </w:t>
      </w:r>
      <w:r w:rsidR="005279C2">
        <w:rPr>
          <w:rFonts w:ascii="Times New Roman" w:hAnsi="Times New Roman" w:cs="Times New Roman"/>
        </w:rPr>
        <w:t>delay</w:t>
      </w:r>
      <w:r w:rsidR="009F5917">
        <w:rPr>
          <w:rFonts w:ascii="Times New Roman" w:hAnsi="Times New Roman" w:cs="Times New Roman"/>
        </w:rPr>
        <w:t xml:space="preserve"> disease progression</w:t>
      </w:r>
      <w:r w:rsidR="003838E9">
        <w:rPr>
          <w:rFonts w:ascii="Times New Roman" w:hAnsi="Times New Roman" w:cs="Times New Roman"/>
        </w:rPr>
        <w:t xml:space="preserve"> </w:t>
      </w:r>
      <w:r w:rsidR="00C858C0">
        <w:rPr>
          <w:rFonts w:ascii="Times New Roman" w:hAnsi="Times New Roman" w:cs="Times New Roman"/>
        </w:rPr>
        <w:t>and</w:t>
      </w:r>
      <w:r w:rsidR="009F5917">
        <w:rPr>
          <w:rFonts w:ascii="Times New Roman" w:hAnsi="Times New Roman" w:cs="Times New Roman"/>
        </w:rPr>
        <w:t xml:space="preserve"> in some instances accelerated memory decline </w:t>
      </w:r>
      <w:r w:rsidR="009F5917">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"10.1155/2014/427318", "ISSN" : "1942-0900", "abstract" : "&lt;p&gt;Alzheimer\u2019s disease (AD) is the most common form of dementia in the elderly, with increasing prevalence and no disease-modifying treatment available yet. A remarkable amount of data supports the hypothesis that oxidative stress is an early and important pathogenic operator in AD. However, all clinical studies conducted to date did not prove a clear beneficial effect of antioxidant treatment in AD patients. In the current work, we review the current knowledge about oxidative stress in AD pathogeny and we suggest future paths that are worth to be explored in animal models and clinical studies, in order to get a better approach of oxidative imbalance in this inexorable neurodegenerative disease.&lt;/p&gt;", "author" : [ { "dropping-particle" : "", "family" : "Persson", "given" : "Torbj\u00f6rn", "non-dropping-particle" : "", "parse-names" : false, "suffix" : "" }, { "dropping-particle" : "", "family" : "Popescu", "given" : "Bogdan O.", "non-dropping-particle" : "", "parse-names" : false, "suffix" : "" }, { "dropping-particle" : "", "family" : "Cedazo-Minguez", "given" : "Angel", "non-dropping-particle" : "", "parse-names" : false, "suffix" : "" }, { "dropping-particle" : "", "family" : "Cedazo-Minguez", "given" : "Angel", "non-dropping-particle" : "", "parse-names" : false, "suffix" : "" }, { "dropping-particle" : "", "family" : "Persson", "given" : "Torbj&amp;#xf6", "non-dropping-particle" : "", "parse-names" : false, "suffix" : "" }, { "dropping-particle" : "", "family" : "rn", "given" : "", "non-dropping-particle" : "", "parse-names" : false, "suffix" : "" }, { "dropping-particle" : "", "family" : "Popescu", "given" : "Bogdan O.", "non-dropping-particle" : "", "parse-names" : false, "suffix" : "" }, { "dropping-particle" : "", "family" : "Cedazo-Minguez", "given" : "Angel", "non-dropping-particle" : "", "parse-names" : false, "suffix" : "" } ], "container-title" : "Oxidative Medicine and Cellular Longevity", "id" : "ITEM-1", "issued" : { "date-parts" : [ [ "2014" ] ] }, "page" : "1-11", "publisher" : "Hindawi Publishing Corporation", "title" : "Oxidative Stress in Alzheimer\u2019s Disease: Why Did Antioxidant Therapy Fail?", "type" : "article-journal", "volume" : "2014" }, "uris" : [ "http://www.mendeley.com/documents/?uuid=13dfeaad-ceb4-3cff-b528-84eb6f91c9e1" ] } ], "mendeley" : { "formattedCitation" : "(Persson et al. 2014)", "plainTextFormattedCitation" : "(Persson et al. 2014)", "previouslyFormattedCitation" : "(Persson et al. 2014)" }, "properties" : { "noteIndex" : 0 }, "schema" : "https://github.com/citation-style-language/schema/raw/master/csl-citation.json" }</w:instrText>
      </w:r>
      <w:r w:rsidR="009F5917">
        <w:rPr>
          <w:rFonts w:ascii="Times New Roman" w:hAnsi="Times New Roman" w:cs="Times New Roman"/>
        </w:rPr>
        <w:fldChar w:fldCharType="separate"/>
      </w:r>
      <w:r w:rsidR="00C148FC" w:rsidRPr="00C148FC">
        <w:rPr>
          <w:rFonts w:ascii="Times New Roman" w:hAnsi="Times New Roman" w:cs="Times New Roman"/>
          <w:noProof/>
        </w:rPr>
        <w:t>(Persson et al. 2014)</w:t>
      </w:r>
      <w:r w:rsidR="009F5917">
        <w:rPr>
          <w:rFonts w:ascii="Times New Roman" w:hAnsi="Times New Roman" w:cs="Times New Roman"/>
        </w:rPr>
        <w:fldChar w:fldCharType="end"/>
      </w:r>
      <w:r w:rsidR="009F5917">
        <w:rPr>
          <w:rFonts w:ascii="Times New Roman" w:hAnsi="Times New Roman" w:cs="Times New Roman"/>
        </w:rPr>
        <w:t>.</w:t>
      </w:r>
      <w:r w:rsidR="00C858C0">
        <w:rPr>
          <w:rFonts w:ascii="Times New Roman" w:hAnsi="Times New Roman" w:cs="Times New Roman"/>
        </w:rPr>
        <w:t xml:space="preserve"> </w:t>
      </w:r>
      <w:r w:rsidR="003838E9">
        <w:rPr>
          <w:rFonts w:ascii="Times New Roman" w:hAnsi="Times New Roman" w:cs="Times New Roman"/>
        </w:rPr>
        <w:t>This has led to the development of a</w:t>
      </w:r>
      <w:r w:rsidR="00C858C0">
        <w:rPr>
          <w:rFonts w:ascii="Times New Roman" w:hAnsi="Times New Roman" w:cs="Times New Roman"/>
        </w:rPr>
        <w:t xml:space="preserve"> new theory, wh</w:t>
      </w:r>
      <w:r w:rsidR="003838E9">
        <w:rPr>
          <w:rFonts w:ascii="Times New Roman" w:hAnsi="Times New Roman" w:cs="Times New Roman"/>
        </w:rPr>
        <w:t>ich proposes that the</w:t>
      </w:r>
      <w:r w:rsidR="00C858C0">
        <w:rPr>
          <w:rFonts w:ascii="Times New Roman" w:hAnsi="Times New Roman" w:cs="Times New Roman"/>
        </w:rPr>
        <w:t xml:space="preserve"> generation of ROS </w:t>
      </w:r>
      <w:r w:rsidR="005B2ABA">
        <w:rPr>
          <w:rFonts w:ascii="Times New Roman" w:hAnsi="Times New Roman" w:cs="Times New Roman"/>
        </w:rPr>
        <w:t xml:space="preserve">during ageing and associated with impairments in insulin/IGF1 </w:t>
      </w:r>
      <w:r w:rsidR="00C858C0">
        <w:rPr>
          <w:rFonts w:ascii="Times New Roman" w:hAnsi="Times New Roman" w:cs="Times New Roman"/>
        </w:rPr>
        <w:t>allows cells to evolve and develop stress-resistant mech</w:t>
      </w:r>
      <w:r w:rsidR="003838E9">
        <w:rPr>
          <w:rFonts w:ascii="Times New Roman" w:hAnsi="Times New Roman" w:cs="Times New Roman"/>
        </w:rPr>
        <w:t>anisms to not only cope with</w:t>
      </w:r>
      <w:r w:rsidR="00C858C0">
        <w:rPr>
          <w:rFonts w:ascii="Times New Roman" w:hAnsi="Times New Roman" w:cs="Times New Roman"/>
        </w:rPr>
        <w:t xml:space="preserve"> immediate </w:t>
      </w:r>
      <w:r w:rsidR="00922974">
        <w:rPr>
          <w:rFonts w:ascii="Times New Roman" w:hAnsi="Times New Roman" w:cs="Times New Roman"/>
        </w:rPr>
        <w:t>elevations of ROS</w:t>
      </w:r>
      <w:r w:rsidR="00C858C0">
        <w:rPr>
          <w:rFonts w:ascii="Times New Roman" w:hAnsi="Times New Roman" w:cs="Times New Roman"/>
        </w:rPr>
        <w:t xml:space="preserve"> but to further oxidative insults.  </w:t>
      </w:r>
      <w:r w:rsidR="00273A27">
        <w:rPr>
          <w:rFonts w:ascii="Times New Roman" w:hAnsi="Times New Roman" w:cs="Times New Roman"/>
        </w:rPr>
        <w:t>This adaptive response is</w:t>
      </w:r>
      <w:r w:rsidR="003838E9">
        <w:rPr>
          <w:rFonts w:ascii="Times New Roman" w:hAnsi="Times New Roman" w:cs="Times New Roman"/>
        </w:rPr>
        <w:t xml:space="preserve"> calle</w:t>
      </w:r>
      <w:r w:rsidR="00922974">
        <w:rPr>
          <w:rFonts w:ascii="Times New Roman" w:hAnsi="Times New Roman" w:cs="Times New Roman"/>
        </w:rPr>
        <w:t>d mitochondria</w:t>
      </w:r>
      <w:r w:rsidR="00C34A97">
        <w:rPr>
          <w:rFonts w:ascii="Times New Roman" w:hAnsi="Times New Roman" w:cs="Times New Roman"/>
        </w:rPr>
        <w:t xml:space="preserve">l hormesis </w:t>
      </w:r>
      <w:r w:rsidR="00C34A97">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"10.1016/j.exger.2010.03.014", "ISSN" : "1873-6815", "PMID" : "20350594", "abstract" : "Recent evidence suggests that calorie restriction and specifically reduced glucose metabolism induces mitochondrial metabolism to extend life span in various model organisms, including Saccharomyces cerevisiae, Drosophila melanogaster, Caenorhabditis elegans and possibly mice. In conflict with Harman's free radical theory of aging (FRTA), these effects may be due to increased formation of reactive oxygen species (ROS) within the mitochondria causing an adaptive response that culminates in subsequently increased stress resistance assumed to ultimately cause a long-term reduction of oxidative stress. This type of retrograde response has been named mitochondrial hormesis or mitohormesis, and may in addition be applicable to the health-promoting effects of physical exercise in humans and, hypothetically, impaired insulin/IGF-1-signaling in model organisms. Consistently, abrogation of this mitochondrial ROS signal by antioxidants impairs the lifespan-extending and health-promoting capabilities of glucose restriction and physical exercise, respectively. In summary, the findings discussed in this review indicate that ROS are essential signaling molecules which are required to promote health and longevity. Hence, the concept of mitohormesis provides a common mechanistic denominator for the physiological effects of physical exercise, reduced calorie uptake, glucose restriction, and possibly beyond.", "author" : [ { "dropping-particle" : "", "family" : "Ristow", "given" : "Michael", "non-dropping-particle" : "", "parse-names" : false, "suffix" : "" }, { "dropping-particle" : "", "family" : "Zarse", "given" : "Kim", "non-dropping-particle" : "", "parse-names" : false, "suffix" : "" } ], "container-title" : "Experimental gerontology", "id" : "ITEM-1", "issue" : "6", "issued" : { "date-parts" : [ [ "2010", "6" ] ] }, "page" : "410-8", "title" : "How increased oxidative stress promotes longevity and metabolic health: The concept of mitochondrial hormesis (mitohormesis).", "type" : "article-journal", "volume" : "45" }, "uris" : [ "http://www.mendeley.com/documents/?uuid=7cb4a22d-c99f-3c33-b209-28c955837d43" ] } ], "mendeley" : { "formattedCitation" : "(Ristow &amp; Zarse 2010)", "plainTextFormattedCitation" : "(Ristow &amp; Zarse 2010)", "previouslyFormattedCitation" : "(Ristow &amp; Zarse 2010)" }, "properties" : { "noteIndex" : 0 }, "schema" : "https://github.com/citation-style-language/schema/raw/master/csl-citation.json" }</w:instrText>
      </w:r>
      <w:r w:rsidR="00C34A97">
        <w:rPr>
          <w:rFonts w:ascii="Times New Roman" w:hAnsi="Times New Roman" w:cs="Times New Roman"/>
        </w:rPr>
        <w:fldChar w:fldCharType="separate"/>
      </w:r>
      <w:r w:rsidR="00C148FC" w:rsidRPr="00C148FC">
        <w:rPr>
          <w:rFonts w:ascii="Times New Roman" w:hAnsi="Times New Roman" w:cs="Times New Roman"/>
          <w:noProof/>
        </w:rPr>
        <w:t>(Ristow &amp; Zarse 2010)</w:t>
      </w:r>
      <w:r w:rsidR="00C34A97">
        <w:rPr>
          <w:rFonts w:ascii="Times New Roman" w:hAnsi="Times New Roman" w:cs="Times New Roman"/>
        </w:rPr>
        <w:fldChar w:fldCharType="end"/>
      </w:r>
      <w:r w:rsidR="00294EBC">
        <w:rPr>
          <w:rFonts w:ascii="Times New Roman" w:hAnsi="Times New Roman" w:cs="Times New Roman"/>
        </w:rPr>
        <w:t xml:space="preserve"> and is</w:t>
      </w:r>
      <w:r w:rsidR="00B74954">
        <w:rPr>
          <w:rFonts w:ascii="Times New Roman" w:hAnsi="Times New Roman" w:cs="Times New Roman"/>
        </w:rPr>
        <w:t xml:space="preserve"> being used to explain longevity associated with calorie restriction and physical exercise, both of which create energy deficits</w:t>
      </w:r>
      <w:r w:rsidR="005B2ABA">
        <w:rPr>
          <w:rFonts w:ascii="Times New Roman" w:hAnsi="Times New Roman" w:cs="Times New Roman"/>
        </w:rPr>
        <w:t xml:space="preserve"> (like insulin/igf1 impairment)</w:t>
      </w:r>
      <w:r w:rsidR="00B74954">
        <w:rPr>
          <w:rFonts w:ascii="Times New Roman" w:hAnsi="Times New Roman" w:cs="Times New Roman"/>
        </w:rPr>
        <w:t xml:space="preserve"> that lead to increased mitochondrial metabolism, elevations in ROS and an adaptive upregulation of antioxidants.</w:t>
      </w:r>
      <w:r w:rsidR="00B400CF">
        <w:rPr>
          <w:rFonts w:ascii="Times New Roman" w:hAnsi="Times New Roman" w:cs="Times New Roman"/>
        </w:rPr>
        <w:t xml:space="preserve"> </w:t>
      </w:r>
    </w:p>
    <w:p w14:paraId="51DD6BD7" w14:textId="77777777" w:rsidR="00567751" w:rsidRDefault="00B76C1C" w:rsidP="003E7BDB">
      <w:pPr>
        <w:spacing w:line="360" w:lineRule="auto"/>
        <w:jc w:val="both"/>
        <w:rPr>
          <w:rFonts w:ascii="Times New Roman" w:hAnsi="Times New Roman" w:cs="Times New Roman"/>
        </w:rPr>
      </w:pPr>
      <w:r>
        <w:rPr>
          <w:rFonts w:ascii="Times New Roman" w:hAnsi="Times New Roman" w:cs="Times New Roman"/>
        </w:rPr>
        <w:t xml:space="preserve">     </w:t>
      </w:r>
      <w:r w:rsidR="00C2399A">
        <w:rPr>
          <w:rFonts w:ascii="Times New Roman" w:hAnsi="Times New Roman" w:cs="Times New Roman"/>
        </w:rPr>
        <w:t xml:space="preserve"> </w:t>
      </w:r>
    </w:p>
    <w:p w14:paraId="59EC61A1" w14:textId="0EE3D7B9" w:rsidR="00D363B8" w:rsidRDefault="00C2399A" w:rsidP="003E7BDB">
      <w:pPr>
        <w:spacing w:line="360" w:lineRule="auto"/>
        <w:jc w:val="both"/>
        <w:rPr>
          <w:rFonts w:ascii="Times New Roman" w:hAnsi="Times New Roman" w:cs="Times New Roman"/>
        </w:rPr>
      </w:pPr>
      <w:r>
        <w:rPr>
          <w:rFonts w:ascii="Times New Roman" w:hAnsi="Times New Roman" w:cs="Times New Roman"/>
        </w:rPr>
        <w:t>However new theories are emerg</w:t>
      </w:r>
      <w:r w:rsidR="00B76C1C">
        <w:rPr>
          <w:rFonts w:ascii="Times New Roman" w:hAnsi="Times New Roman" w:cs="Times New Roman"/>
        </w:rPr>
        <w:t>ing on the concept of longevity, which was highlighted in a</w:t>
      </w:r>
      <w:r w:rsidR="005B2ABA">
        <w:rPr>
          <w:rFonts w:ascii="Times New Roman" w:hAnsi="Times New Roman" w:cs="Times New Roman"/>
        </w:rPr>
        <w:t xml:space="preserve"> more recent</w:t>
      </w:r>
      <w:r w:rsidR="00B76C1C">
        <w:rPr>
          <w:rFonts w:ascii="Times New Roman" w:hAnsi="Times New Roman" w:cs="Times New Roman"/>
        </w:rPr>
        <w:t xml:space="preserve"> study </w:t>
      </w:r>
      <w:r w:rsidR="00A74AA1">
        <w:rPr>
          <w:rFonts w:ascii="Times New Roman" w:hAnsi="Times New Roman" w:cs="Times New Roman"/>
        </w:rPr>
        <w:t>where</w:t>
      </w:r>
      <w:r w:rsidR="00B76C1C">
        <w:rPr>
          <w:rFonts w:ascii="Times New Roman" w:hAnsi="Times New Roman" w:cs="Times New Roman"/>
        </w:rPr>
        <w:t xml:space="preserve"> the healthspan of longer-living mutant </w:t>
      </w:r>
      <w:r w:rsidR="00B8636B">
        <w:rPr>
          <w:rFonts w:ascii="Times New Roman" w:hAnsi="Times New Roman" w:cs="Times New Roman"/>
          <w:i/>
        </w:rPr>
        <w:t>C</w:t>
      </w:r>
      <w:r w:rsidR="00B76C1C">
        <w:rPr>
          <w:rFonts w:ascii="Times New Roman" w:hAnsi="Times New Roman" w:cs="Times New Roman"/>
          <w:i/>
        </w:rPr>
        <w:t>.elegans</w:t>
      </w:r>
      <w:r w:rsidR="00B76C1C">
        <w:rPr>
          <w:rFonts w:ascii="Times New Roman" w:hAnsi="Times New Roman" w:cs="Times New Roman"/>
        </w:rPr>
        <w:t xml:space="preserve"> </w:t>
      </w:r>
      <w:r w:rsidR="00A74AA1">
        <w:rPr>
          <w:rFonts w:ascii="Times New Roman" w:hAnsi="Times New Roman" w:cs="Times New Roman"/>
        </w:rPr>
        <w:t>was measured</w:t>
      </w:r>
      <w:r w:rsidR="00667BAE">
        <w:rPr>
          <w:rFonts w:ascii="Times New Roman" w:hAnsi="Times New Roman" w:cs="Times New Roman"/>
        </w:rPr>
        <w:t xml:space="preserve"> </w:t>
      </w:r>
      <w:r w:rsidR="00B76C1C">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"10.1073/pnas.1412192112", "ISSN" : "1091-6490", "PMID" : "25561524", "abstract" : "Aging research has been very successful at identifying signaling pathways and evolutionarily conserved genes that extend lifespan with the assumption that an increase in lifespan will also increase healthspan. However, it is largely unknown whether we are extending the healthy time of life or simply prolonging a period of frailty with increased incidence of age-associated diseases. Here we use Caenorhabditis elegans, one of the premiere systems for lifespan studies, to determine whether lifespan and healthspan are intrinsically correlated. We conducted multiple cellular and organismal assays on wild type as well as four long-lived mutants (insulin/insulin-like growth factor-1, dietary restriction, protein translation, mitochondrial signaling) in a longitudinal manner to determine the health of the animals as they age. We find that some long-lived mutants performed better than wild type when measured chronologically (number of days). However, all long-lived mutants increased the proportion of time spent in a frail state. Together, these data suggest that lifespan can no longer be the sole parameter of interest and reveal the importance of evaluating multiple healthspan parameters for future studies on antiaging interventions.", "author" : [ { "dropping-particle" : "", "family" : "Bansal", "given" : "Ankita", "non-dropping-particle" : "", "parse-names" : false, "suffix" : "" }, { "dropping-particle" : "", "family" : "Zhu", "given" : "Lihua J", "non-dropping-particle" : "", "parse-names" : false, "suffix" : "" }, { "dropping-particle" : "", "family" : "Yen", "given" : "Kelvin", "non-dropping-particle" : "", "parse-names" : false, "suffix" : "" }, { "dropping-particle" : "", "family" : "Tissenbaum", "given" : "Heidi A", "non-dropping-particle" : "", "parse-names" : false, "suffix" : "" } ], "container-title" : "Proceedings of the National Academy of Sciences of the United States of America", "id" : "ITEM-1", "issue" : "3", "issued" : { "date-parts" : [ [ "2015", "1", "20" ] ] }, "page" : "E277-86", "publisher" : "National Academy of Sciences", "title" : "Uncoupling lifespan and healthspan in Caenorhabditis elegans longevity mutants.", "type" : "article-journal", "volume" : "112" }, "uris" : [ "http://www.mendeley.com/documents/?uuid=7da5a047-96e0-37a3-bec9-58fb8460c56a" ] } ], "mendeley" : { "formattedCitation" : "(Bansal et al. 2015)", "plainTextFormattedCitation" : "(Bansal et al. 2015)", "previouslyFormattedCitation" : "(Bansal et al. 2015)" }, "properties" : { "noteIndex" : 0 }, "schema" : "https://github.com/citation-style-language/schema/raw/master/csl-citation.json" }</w:instrText>
      </w:r>
      <w:r w:rsidR="00B76C1C">
        <w:rPr>
          <w:rFonts w:ascii="Times New Roman" w:hAnsi="Times New Roman" w:cs="Times New Roman"/>
        </w:rPr>
        <w:fldChar w:fldCharType="separate"/>
      </w:r>
      <w:r w:rsidR="00C148FC" w:rsidRPr="00C148FC">
        <w:rPr>
          <w:rFonts w:ascii="Times New Roman" w:hAnsi="Times New Roman" w:cs="Times New Roman"/>
          <w:noProof/>
        </w:rPr>
        <w:t>(Bansal et al. 2015)</w:t>
      </w:r>
      <w:r w:rsidR="00B76C1C">
        <w:rPr>
          <w:rFonts w:ascii="Times New Roman" w:hAnsi="Times New Roman" w:cs="Times New Roman"/>
        </w:rPr>
        <w:fldChar w:fldCharType="end"/>
      </w:r>
      <w:r w:rsidR="00B76C1C">
        <w:rPr>
          <w:rFonts w:ascii="Times New Roman" w:hAnsi="Times New Roman" w:cs="Times New Roman"/>
        </w:rPr>
        <w:t xml:space="preserve">. </w:t>
      </w:r>
      <w:r w:rsidR="00923BAA">
        <w:rPr>
          <w:rFonts w:ascii="Times New Roman" w:hAnsi="Times New Roman" w:cs="Times New Roman"/>
        </w:rPr>
        <w:t xml:space="preserve">It is often assumed that an extension of life correlates with an extension in health, however this study demonstrated that longer-living </w:t>
      </w:r>
      <w:r w:rsidR="00B8636B">
        <w:rPr>
          <w:rFonts w:ascii="Times New Roman" w:hAnsi="Times New Roman" w:cs="Times New Roman"/>
          <w:i/>
        </w:rPr>
        <w:t>C</w:t>
      </w:r>
      <w:r w:rsidR="00923BAA">
        <w:rPr>
          <w:rFonts w:ascii="Times New Roman" w:hAnsi="Times New Roman" w:cs="Times New Roman"/>
          <w:i/>
        </w:rPr>
        <w:t>.elegans</w:t>
      </w:r>
      <w:r w:rsidR="00552BDF">
        <w:rPr>
          <w:rFonts w:ascii="Times New Roman" w:hAnsi="Times New Roman" w:cs="Times New Roman"/>
        </w:rPr>
        <w:t xml:space="preserve"> mutants</w:t>
      </w:r>
      <w:r w:rsidR="00923BAA">
        <w:rPr>
          <w:rFonts w:ascii="Times New Roman" w:hAnsi="Times New Roman" w:cs="Times New Roman"/>
          <w:i/>
        </w:rPr>
        <w:t>,</w:t>
      </w:r>
      <w:r w:rsidR="00923BAA">
        <w:rPr>
          <w:rFonts w:ascii="Times New Roman" w:hAnsi="Times New Roman" w:cs="Times New Roman"/>
        </w:rPr>
        <w:t xml:space="preserve"> such as the </w:t>
      </w:r>
      <w:r w:rsidR="00923BAA">
        <w:rPr>
          <w:rFonts w:ascii="Times New Roman" w:hAnsi="Times New Roman" w:cs="Times New Roman"/>
          <w:i/>
        </w:rPr>
        <w:t>daf2</w:t>
      </w:r>
      <w:r w:rsidR="00923BAA">
        <w:rPr>
          <w:rFonts w:ascii="Times New Roman" w:hAnsi="Times New Roman" w:cs="Times New Roman"/>
        </w:rPr>
        <w:t xml:space="preserve"> mutant, spend considerably more time with age-associated defects (oxidative stress resistance, heat resistance and motility were all parameters measured). </w:t>
      </w:r>
      <w:r>
        <w:rPr>
          <w:rFonts w:ascii="Times New Roman" w:hAnsi="Times New Roman" w:cs="Times New Roman"/>
        </w:rPr>
        <w:t>Furthermore, impairments in the GH/IGF1 signal</w:t>
      </w:r>
      <w:r w:rsidR="00042FD3">
        <w:rPr>
          <w:rFonts w:ascii="Times New Roman" w:hAnsi="Times New Roman" w:cs="Times New Roman"/>
        </w:rPr>
        <w:t xml:space="preserve">ling axis result in dwarf mice </w:t>
      </w:r>
      <w:r>
        <w:rPr>
          <w:rFonts w:ascii="Times New Roman" w:hAnsi="Times New Roman" w:cs="Times New Roman"/>
        </w:rPr>
        <w:t>that despite living 50% longer are obese in their old age</w:t>
      </w:r>
      <w:r w:rsidR="00042FD3">
        <w:rPr>
          <w:rFonts w:ascii="Times New Roman" w:hAnsi="Times New Roman" w:cs="Times New Roman"/>
        </w:rPr>
        <w:t xml:space="preserve"> </w:t>
      </w:r>
      <w:r w:rsidR="00042FD3">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"10.1677/joe.0.1360091", "ISSN" : "0022-0795", "author" : [ { "dropping-particle" : "", "family" : "Donahue", "given" : "L. R.", "non-dropping-particle" : "", "parse-names" : false, "suffix" : "" }, { "dropping-particle" : "", "family" : "Beamer", "given" : "W. G.", "non-dropping-particle" : "", "parse-names" : false, "suffix" : "" } ], "container-title" : "Journal of Endocrinology", "id" : "ITEM-1", "issue" : "1", "issued" : { "date-parts" : [ [ "1993", "1", "1" ] ] }, "page" : "91-104", "publisher" : "BioScientifica", "title" : "Growth hormone deficiency in 'little' mice results in aberrant body composition, reduced insulin-like growth factor-I and insulin-like growth factor-binding protein-3 (IGFBP-3), but does not affect IGFBP-2, -1 or -4", "type" : "article-journal", "volume" : "136" }, "uris" : [ "http://www.mendeley.com/documents/?uuid=3831a596-6061-3454-9531-b34621644a08" ] } ], "mendeley" : { "formattedCitation" : "(Donahue &amp; Beamer 1993)", "plainTextFormattedCitation" : "(Donahue &amp; Beamer 1993)", "previouslyFormattedCitation" : "(Donahue &amp; Beamer 1993)" }, "properties" : { "noteIndex" : 0 }, "schema" : "https://github.com/citation-style-language/schema/raw/master/csl-citation.json" }</w:instrText>
      </w:r>
      <w:r w:rsidR="00042FD3">
        <w:rPr>
          <w:rFonts w:ascii="Times New Roman" w:hAnsi="Times New Roman" w:cs="Times New Roman"/>
        </w:rPr>
        <w:fldChar w:fldCharType="separate"/>
      </w:r>
      <w:r w:rsidR="00C148FC" w:rsidRPr="00C148FC">
        <w:rPr>
          <w:rFonts w:ascii="Times New Roman" w:hAnsi="Times New Roman" w:cs="Times New Roman"/>
          <w:noProof/>
        </w:rPr>
        <w:t>(Donahue &amp; Beamer 1993)</w:t>
      </w:r>
      <w:r w:rsidR="00042FD3">
        <w:rPr>
          <w:rFonts w:ascii="Times New Roman" w:hAnsi="Times New Roman" w:cs="Times New Roman"/>
        </w:rPr>
        <w:fldChar w:fldCharType="end"/>
      </w:r>
      <w:r>
        <w:rPr>
          <w:rFonts w:ascii="Times New Roman" w:hAnsi="Times New Roman" w:cs="Times New Roman"/>
        </w:rPr>
        <w:t>.</w:t>
      </w:r>
      <w:r w:rsidR="00A61B30">
        <w:rPr>
          <w:rFonts w:ascii="Times New Roman" w:hAnsi="Times New Roman" w:cs="Times New Roman"/>
        </w:rPr>
        <w:t xml:space="preserve"> </w:t>
      </w:r>
      <w:r w:rsidR="00896933">
        <w:rPr>
          <w:rFonts w:ascii="Times New Roman" w:hAnsi="Times New Roman" w:cs="Times New Roman"/>
        </w:rPr>
        <w:t xml:space="preserve">A </w:t>
      </w:r>
      <w:r w:rsidR="00A61B30">
        <w:rPr>
          <w:rFonts w:ascii="Times New Roman" w:hAnsi="Times New Roman" w:cs="Times New Roman"/>
        </w:rPr>
        <w:t>congenita</w:t>
      </w:r>
      <w:r w:rsidR="005B2ABA">
        <w:rPr>
          <w:rFonts w:ascii="Times New Roman" w:hAnsi="Times New Roman" w:cs="Times New Roman"/>
        </w:rPr>
        <w:t xml:space="preserve">l deficiency in IGF1 production </w:t>
      </w:r>
      <w:r w:rsidR="00896933">
        <w:rPr>
          <w:rFonts w:ascii="Times New Roman" w:hAnsi="Times New Roman" w:cs="Times New Roman"/>
        </w:rPr>
        <w:t xml:space="preserve">in humans </w:t>
      </w:r>
      <w:r w:rsidR="005B2ABA">
        <w:rPr>
          <w:rFonts w:ascii="Times New Roman" w:hAnsi="Times New Roman" w:cs="Times New Roman"/>
        </w:rPr>
        <w:t xml:space="preserve">called Laron Syndrome, </w:t>
      </w:r>
      <w:r w:rsidR="00896933">
        <w:rPr>
          <w:rFonts w:ascii="Times New Roman" w:hAnsi="Times New Roman" w:cs="Times New Roman"/>
        </w:rPr>
        <w:t>results in significantly shorter, obese individuals, with no apparent extension of life that are resistant</w:t>
      </w:r>
      <w:r w:rsidR="00A61B30">
        <w:rPr>
          <w:rFonts w:ascii="Times New Roman" w:hAnsi="Times New Roman" w:cs="Times New Roman"/>
        </w:rPr>
        <w:t xml:space="preserve"> to cancer and diabetes</w:t>
      </w:r>
      <w:r w:rsidR="00896933">
        <w:rPr>
          <w:rFonts w:ascii="Times New Roman" w:hAnsi="Times New Roman" w:cs="Times New Roman"/>
        </w:rPr>
        <w:t>.</w:t>
      </w:r>
      <w:r w:rsidR="00A61B30">
        <w:rPr>
          <w:rFonts w:ascii="Times New Roman" w:hAnsi="Times New Roman" w:cs="Times New Roman"/>
        </w:rPr>
        <w:t xml:space="preserve"> </w:t>
      </w:r>
      <w:r w:rsidR="00A61B3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"10.1210/jc.2015-1678", "ISSN" : "1945-7197", "PMID" : "25985182", "abstract" : "CONTEXT Ecuadorian subjects with GH receptor deficiency (GHRD) have not developed diabetes, despite obesity. OBJECTIVE We sought to determine the metabolic associations for this phenomenon. DESIGN Four studies were carried out: 1) glucose, lipid, adipocytokine concentrations; 2) metabolomics evaluation; 3) metabolic responses to a high-calorie meal; and 4) oral glucose tolerance tests. SETTING Clinical Research Institute in Quito, Ecuador. SUBJECTS Adults homozygous for the E180 splice mutation of the GH receptor (GHRD) were matched for age, gender, and body mass index with unaffected control relatives (C) as follows: study 1, 27 GHRD and 35 C; study 2, 10 GHRD and 10 C; study 3, seven GHRD and 11 C; and study 4, seven GHRD and seven C. RESULTS Although GHRD subjects had greater mean percentage body fat than controls, their fasting insulin, 2-hour blood glucose, and triglyceride levels were lower. The indicator of insulin sensitivity, homeostasis model of assessment 2%S, was greater (P &lt; .0001), and the indicator of insulin resistance, homeostasis model of assessment 2-IR, was lower (P = .0025). Metabolomic differences between GHRD and control subjects were consistent with their differing insulin sensitivity, including postprandial decreases of branched-chain amino acids that were more pronounced in controls. High molecular weight and total adiponectin concentrations were greater in GHRD (P = .0004 and P = .0128, respectively), and leptin levels were lower (P = .02). Although approximately 65% the weight of controls, GHRD subjects consumed an identical high-calorie meal; nonetheless, their mean glucose concentrations were lower, with mean insulin levels one-third those of controls. Results of the 2-hour oral glucose tolerance test were similar. MAIN OUTCOME MEASURES Measures of insulin sensitivity, adipocytokines, and energy metabolites. CONCLUSIONS Without GH counter-regulation, GHRD is associated with insulin efficiency and obesity. Lower leptin levels, despite higher percentage body fat, suggest that obesity-associated leptin resistance is GH dependent. Elevated adiponectin levels not correlated with percentage body fat indicate that GH signaling is necessary for their typical suppression with obesity.", "author" : [ { "dropping-particle" : "", "family" : "Guevara-Aguirre", "given" : "Jaime", "non-dropping-particle" : "", "parse-names" : false, "suffix" : "" }, { "dropping-particle" : "", "family" : "Rosenbloom", "given" : "Arlan L", "non-dropping-particle" : "", "parse-names" : false, "suffix" : "" }, { "dropping-particle" : "", "family" : "Balasubramanian", "given" : "Priya", "non-dropping-particle" : "", "parse-names" : false, "suffix" : "" }, { "dropping-particle" : "", "family" : "Teran", "given" : "Enrique", "non-dropping-particle" : "", "parse-names" : false, "suffix" : "" }, { "dropping-particle" : "", "family" : "Guevara-Aguirre", "given" : "Marco", "non-dropping-particle" : "", "parse-names" : false, "suffix" : "" }, { "dropping-particle" : "", "family" : "Guevara", "given" : "Carolina", "non-dropping-particle" : "", "parse-names" : false, "suffix" : "" }, { "dropping-particle" : "", "family" : "Procel", "given" : "Patricio", "non-dropping-particle" : "", "parse-names" : false, "suffix" : "" }, { "dropping-particle" : "", "family" : "Alfaras", "given" : "Irene", "non-dropping-particle" : "", "parse-names" : false, "suffix" : "" }, { "dropping-particle" : "", "family" : "Cabo", "given" : "Rafael", "non-dropping-particle" : "De", "parse-names" : false, "suffix" : "" }, { "dropping-particle" : "", "family" : "Biase", "given" : "Stefano", "non-dropping-particle" : "Di", "parse-names" : false, "suffix" : "" }, { "dropping-particle" : "", "family" : "Narvaez", "given" : "Luis", "non-dropping-particle" : "", "parse-names" : false, "suffix" : "" }, { "dropping-particle" : "", "family" : "Saavedra", "given" : "Jannette", "non-dropping-particle" : "", "parse-names" : false, "suffix" : "" }, { "dropping-particle" : "", "family" : "Longo", "given" : "Valter D", "non-dropping-particle" : "", "parse-names" : false, "suffix" : "" } ], "container-title" : "The Journal of clinical endocrinology and metabolism", "id" : "ITEM-1", "issue" : "7", "issued" : { "date-parts" : [ [ "2015", "7" ] ] }, "page" : "2589-96", "title" : "GH Receptor Deficiency in Ecuadorian Adults Is Associated With Obesity and Enhanced Insulin Sensitivity.", "type" : "article-journal", "volume" : "100" }, "uris" : [ "http://www.mendeley.com/documents/?uuid=25f42b47-9768-3f83-b7fd-fda7cda47f2e" ] } ], "mendeley" : { "formattedCitation" : "(Guevara-Aguirre et al. 2015)", "plainTextFormattedCitation" : "(Guevara-Aguirre et al. 2015)", "previouslyFormattedCitation" : "(Guevara-Aguirre et al. 2015)" }, "properties" : { "noteIndex" : 0 }, "schema" : "https://github.com/citation-style-language/schema/raw/master/csl-citation.json" }</w:instrText>
      </w:r>
      <w:r w:rsidR="00A61B30">
        <w:rPr>
          <w:rFonts w:ascii="Times New Roman" w:hAnsi="Times New Roman" w:cs="Times New Roman"/>
        </w:rPr>
        <w:fldChar w:fldCharType="separate"/>
      </w:r>
      <w:r w:rsidR="00C148FC" w:rsidRPr="00C148FC">
        <w:rPr>
          <w:rFonts w:ascii="Times New Roman" w:hAnsi="Times New Roman" w:cs="Times New Roman"/>
          <w:noProof/>
        </w:rPr>
        <w:t>(Guevara-Aguirre et al. 2015)</w:t>
      </w:r>
      <w:r w:rsidR="00A61B30">
        <w:rPr>
          <w:rFonts w:ascii="Times New Roman" w:hAnsi="Times New Roman" w:cs="Times New Roman"/>
        </w:rPr>
        <w:fldChar w:fldCharType="end"/>
      </w:r>
      <w:r w:rsidR="00896933">
        <w:rPr>
          <w:rFonts w:ascii="Times New Roman" w:hAnsi="Times New Roman" w:cs="Times New Roman"/>
        </w:rPr>
        <w:t>.</w:t>
      </w:r>
      <w:r>
        <w:rPr>
          <w:rFonts w:ascii="Times New Roman" w:hAnsi="Times New Roman" w:cs="Times New Roman"/>
        </w:rPr>
        <w:t xml:space="preserve"> Studies like the</w:t>
      </w:r>
      <w:r w:rsidR="00923BAA">
        <w:rPr>
          <w:rFonts w:ascii="Times New Roman" w:hAnsi="Times New Roman" w:cs="Times New Roman"/>
        </w:rPr>
        <w:t>s</w:t>
      </w:r>
      <w:r>
        <w:rPr>
          <w:rFonts w:ascii="Times New Roman" w:hAnsi="Times New Roman" w:cs="Times New Roman"/>
        </w:rPr>
        <w:t>e</w:t>
      </w:r>
      <w:r w:rsidR="00923BAA">
        <w:rPr>
          <w:rFonts w:ascii="Times New Roman" w:hAnsi="Times New Roman" w:cs="Times New Roman"/>
        </w:rPr>
        <w:t xml:space="preserve"> may redefine how assessments of lifespan are made</w:t>
      </w:r>
      <w:r w:rsidR="00896933">
        <w:rPr>
          <w:rFonts w:ascii="Times New Roman" w:hAnsi="Times New Roman" w:cs="Times New Roman"/>
        </w:rPr>
        <w:t>, such</w:t>
      </w:r>
      <w:r w:rsidR="00A74AA1">
        <w:rPr>
          <w:rFonts w:ascii="Times New Roman" w:hAnsi="Times New Roman" w:cs="Times New Roman"/>
        </w:rPr>
        <w:t xml:space="preserve"> that </w:t>
      </w:r>
      <w:r w:rsidR="00042FD3">
        <w:rPr>
          <w:rFonts w:ascii="Times New Roman" w:hAnsi="Times New Roman" w:cs="Times New Roman"/>
        </w:rPr>
        <w:t>measurements of</w:t>
      </w:r>
      <w:r w:rsidR="00A74AA1">
        <w:rPr>
          <w:rFonts w:ascii="Times New Roman" w:hAnsi="Times New Roman" w:cs="Times New Roman"/>
        </w:rPr>
        <w:t xml:space="preserve"> time spent in a frail</w:t>
      </w:r>
      <w:r w:rsidR="00042FD3">
        <w:rPr>
          <w:rFonts w:ascii="Times New Roman" w:hAnsi="Times New Roman" w:cs="Times New Roman"/>
        </w:rPr>
        <w:t xml:space="preserve"> or compromised state are </w:t>
      </w:r>
      <w:r w:rsidR="00A74AA1">
        <w:rPr>
          <w:rFonts w:ascii="Times New Roman" w:hAnsi="Times New Roman" w:cs="Times New Roman"/>
        </w:rPr>
        <w:t xml:space="preserve">also accounted for. </w:t>
      </w:r>
      <w:bookmarkStart w:id="357" w:name="_Toc7"/>
      <w:bookmarkStart w:id="358" w:name="_Toc328301096"/>
      <w:bookmarkStart w:id="359" w:name="_Toc329593390"/>
    </w:p>
    <w:p w14:paraId="2850256C" w14:textId="77777777" w:rsidR="00A163A9" w:rsidRPr="00A163A9" w:rsidRDefault="00A163A9" w:rsidP="00A163A9">
      <w:pPr>
        <w:spacing w:line="360" w:lineRule="auto"/>
        <w:rPr>
          <w:rFonts w:ascii="Times New Roman" w:hAnsi="Times New Roman" w:cs="Times New Roman"/>
        </w:rPr>
      </w:pPr>
    </w:p>
    <w:p w14:paraId="237E2F69" w14:textId="64053708" w:rsidR="00EF2AF4" w:rsidRDefault="007720C4" w:rsidP="00E81753">
      <w:pPr>
        <w:pStyle w:val="Heading2"/>
      </w:pPr>
      <w:bookmarkStart w:id="360" w:name="_Toc331425889"/>
      <w:bookmarkStart w:id="361" w:name="_Toc331427076"/>
      <w:bookmarkStart w:id="362" w:name="_Toc331427448"/>
      <w:bookmarkStart w:id="363" w:name="_Toc331427590"/>
      <w:bookmarkStart w:id="364" w:name="_Toc332972594"/>
      <w:bookmarkStart w:id="365" w:name="_Toc333046874"/>
      <w:bookmarkStart w:id="366" w:name="_Toc333477221"/>
      <w:bookmarkStart w:id="367" w:name="_Toc333477991"/>
      <w:bookmarkStart w:id="368" w:name="_Toc333644891"/>
      <w:r>
        <w:t>1.7</w:t>
      </w:r>
      <w:r w:rsidR="005F1E5E">
        <w:t xml:space="preserve"> </w:t>
      </w:r>
      <w:r w:rsidR="00EF2AF4" w:rsidRPr="001B1D82">
        <w:t xml:space="preserve"> Insulin/</w:t>
      </w:r>
      <w:r w:rsidR="00785340">
        <w:t xml:space="preserve"> </w:t>
      </w:r>
      <w:r w:rsidR="00EF2AF4" w:rsidRPr="001B1D82">
        <w:t>IGF</w:t>
      </w:r>
      <w:r w:rsidR="00E81753">
        <w:t>1 signalling</w:t>
      </w:r>
      <w:r w:rsidR="00EF2AF4" w:rsidRPr="001B1D82">
        <w:t xml:space="preserve"> pathway is implicated in </w:t>
      </w:r>
      <w:bookmarkEnd w:id="357"/>
      <w:bookmarkEnd w:id="358"/>
      <w:bookmarkEnd w:id="359"/>
      <w:bookmarkEnd w:id="360"/>
      <w:bookmarkEnd w:id="361"/>
      <w:bookmarkEnd w:id="362"/>
      <w:bookmarkEnd w:id="363"/>
      <w:bookmarkEnd w:id="364"/>
      <w:bookmarkEnd w:id="365"/>
      <w:r w:rsidR="00105F23">
        <w:t>AD</w:t>
      </w:r>
      <w:bookmarkEnd w:id="366"/>
      <w:bookmarkEnd w:id="367"/>
      <w:bookmarkEnd w:id="368"/>
    </w:p>
    <w:p w14:paraId="3E482B39" w14:textId="77777777" w:rsidR="00FC3275" w:rsidRPr="00FC3275" w:rsidRDefault="00FC3275" w:rsidP="00FC3275"/>
    <w:p w14:paraId="3AED90EF" w14:textId="77777777" w:rsidR="00EF2AF4" w:rsidRDefault="00EF2AF4" w:rsidP="003E7BDB">
      <w:pPr>
        <w:jc w:val="both"/>
        <w:rPr>
          <w:rFonts w:ascii="Times New Roman" w:hAnsi="Times New Roman" w:cs="Times New Roman"/>
        </w:rPr>
      </w:pPr>
    </w:p>
    <w:p w14:paraId="5FC31564" w14:textId="020F553E" w:rsidR="00EF2AF4" w:rsidRDefault="00EA3331" w:rsidP="003E7BDB">
      <w:pPr>
        <w:spacing w:line="360" w:lineRule="auto"/>
        <w:jc w:val="both"/>
        <w:rPr>
          <w:rFonts w:ascii="Times New Roman" w:hAnsi="Times New Roman" w:cs="Times New Roman"/>
        </w:rPr>
      </w:pPr>
      <w:r>
        <w:rPr>
          <w:rFonts w:ascii="Times New Roman" w:hAnsi="Times New Roman" w:cs="Times New Roman"/>
        </w:rPr>
        <w:t xml:space="preserve">Maintaining the correct balance of </w:t>
      </w:r>
      <w:r w:rsidR="00AE09DE">
        <w:rPr>
          <w:rFonts w:ascii="Times New Roman" w:hAnsi="Times New Roman" w:cs="Times New Roman"/>
        </w:rPr>
        <w:t xml:space="preserve">insulin/IGF1 </w:t>
      </w:r>
      <w:r>
        <w:rPr>
          <w:rFonts w:ascii="Times New Roman" w:hAnsi="Times New Roman" w:cs="Times New Roman"/>
        </w:rPr>
        <w:t>signall</w:t>
      </w:r>
      <w:r w:rsidR="00AE09DE">
        <w:rPr>
          <w:rFonts w:ascii="Times New Roman" w:hAnsi="Times New Roman" w:cs="Times New Roman"/>
        </w:rPr>
        <w:t>ing</w:t>
      </w:r>
      <w:r>
        <w:rPr>
          <w:rFonts w:ascii="Times New Roman" w:hAnsi="Times New Roman" w:cs="Times New Roman"/>
        </w:rPr>
        <w:t xml:space="preserve"> is imperative to </w:t>
      </w:r>
      <w:r w:rsidR="00AE09DE">
        <w:rPr>
          <w:rFonts w:ascii="Times New Roman" w:hAnsi="Times New Roman" w:cs="Times New Roman"/>
        </w:rPr>
        <w:t>preserving normal cell function and aberrant control of the downstream</w:t>
      </w:r>
      <w:r w:rsidR="008370D5">
        <w:rPr>
          <w:rFonts w:ascii="Times New Roman" w:hAnsi="Times New Roman" w:cs="Times New Roman"/>
        </w:rPr>
        <w:t xml:space="preserve"> PI3K/Akt </w:t>
      </w:r>
      <w:r w:rsidR="00AE09DE">
        <w:rPr>
          <w:rFonts w:ascii="Times New Roman" w:hAnsi="Times New Roman" w:cs="Times New Roman"/>
        </w:rPr>
        <w:t xml:space="preserve">pathway </w:t>
      </w:r>
      <w:r>
        <w:rPr>
          <w:rFonts w:ascii="Times New Roman" w:hAnsi="Times New Roman" w:cs="Times New Roman"/>
        </w:rPr>
        <w:t xml:space="preserve">is </w:t>
      </w:r>
      <w:r w:rsidR="008370D5">
        <w:rPr>
          <w:rFonts w:ascii="Times New Roman" w:hAnsi="Times New Roman" w:cs="Times New Roman"/>
        </w:rPr>
        <w:t xml:space="preserve">an </w:t>
      </w:r>
      <w:r>
        <w:rPr>
          <w:rFonts w:ascii="Times New Roman" w:hAnsi="Times New Roman" w:cs="Times New Roman"/>
        </w:rPr>
        <w:t>emerging</w:t>
      </w:r>
      <w:r w:rsidR="008370D5">
        <w:rPr>
          <w:rFonts w:ascii="Times New Roman" w:hAnsi="Times New Roman" w:cs="Times New Roman"/>
        </w:rPr>
        <w:t xml:space="preserve"> theme</w:t>
      </w:r>
      <w:r>
        <w:rPr>
          <w:rFonts w:ascii="Times New Roman" w:hAnsi="Times New Roman" w:cs="Times New Roman"/>
        </w:rPr>
        <w:t xml:space="preserve"> in all diseases of ag</w:t>
      </w:r>
      <w:r w:rsidR="00896802">
        <w:rPr>
          <w:rFonts w:ascii="Times New Roman" w:hAnsi="Times New Roman" w:cs="Times New Roman"/>
        </w:rPr>
        <w:t>e</w:t>
      </w:r>
      <w:r>
        <w:rPr>
          <w:rFonts w:ascii="Times New Roman" w:hAnsi="Times New Roman" w:cs="Times New Roman"/>
        </w:rPr>
        <w:t xml:space="preserve">ing including cancer, heart disease, type-2-diabetes and neurodegeneration. </w:t>
      </w:r>
      <w:r w:rsidR="00AE09DE">
        <w:rPr>
          <w:rFonts w:ascii="Times New Roman" w:hAnsi="Times New Roman" w:cs="Times New Roman"/>
        </w:rPr>
        <w:t>I</w:t>
      </w:r>
      <w:r w:rsidR="0014187F">
        <w:rPr>
          <w:rFonts w:ascii="Times New Roman" w:hAnsi="Times New Roman" w:cs="Times New Roman"/>
        </w:rPr>
        <w:t>mpaired Akt activity</w:t>
      </w:r>
      <w:r w:rsidR="00AE09DE">
        <w:rPr>
          <w:rFonts w:ascii="Times New Roman" w:hAnsi="Times New Roman" w:cs="Times New Roman"/>
        </w:rPr>
        <w:t xml:space="preserve"> in neurons is </w:t>
      </w:r>
      <w:r w:rsidR="00483297">
        <w:rPr>
          <w:rFonts w:ascii="Times New Roman" w:hAnsi="Times New Roman" w:cs="Times New Roman"/>
        </w:rPr>
        <w:t>considered an</w:t>
      </w:r>
      <w:r w:rsidR="00AE09DE">
        <w:rPr>
          <w:rFonts w:ascii="Times New Roman" w:hAnsi="Times New Roman" w:cs="Times New Roman"/>
        </w:rPr>
        <w:t xml:space="preserve"> early feature of AD</w:t>
      </w:r>
      <w:r w:rsidR="0014187F">
        <w:rPr>
          <w:rFonts w:ascii="Times New Roman" w:hAnsi="Times New Roman" w:cs="Times New Roman"/>
        </w:rPr>
        <w:t xml:space="preserve"> progression</w:t>
      </w:r>
      <w:r w:rsidR="00E10A4C">
        <w:rPr>
          <w:rFonts w:ascii="Times New Roman" w:hAnsi="Times New Roman" w:cs="Times New Roman"/>
        </w:rPr>
        <w:t xml:space="preserve"> </w:t>
      </w:r>
      <w:r w:rsidR="00E10A4C">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"1875-5828", "PMID" : "22329651", "abstract" : "Alzheimer's disease [AD] is the most common cause of dementia in North America. Despite 30+ years of intense investigation, the field lacks consensus regarding the etiology and pathogenesis of sporadic AD, and therefore we still do not know the best strategies for treating and preventing this debilitating and costly disease. However, growing evidence supports the concept that AD is fundamentally a metabolic disease with substantial and progressive derangements in brain glucose utilization and responsiveness to insulin and insulin-like growth factor [IGF] stimulation. Moreover, AD is now recognized to be heterogeneous in nature, and not solely the end-product of aberrantly processed, misfolded, and aggregated oligomeric amyloid-beta peptides and hyperphosphorylated tau. Other factors, including impairments in energy metabolism, increased oxidative stress, inflammation, insulin and IGF resistance, and insulin/IGF deficiency in the brain should be incorporated into all equations used to develop diagnostic and therapeutic approaches to AD. Herein, the contributions of impaired insulin and IGF signaling to AD-associated neuronal loss, synaptic disconnection, tau hyperphosphorylation, amyloid-beta accumulation, and impaired energy metabolism are reviewed. In addition, we discuss current therapeutic strategies and suggest additional approaches based on the hypothesis that AD is principally a metabolic disease similar to diabetes mellitus. Ultimately, our ability to effectively detect, monitor, treat, and prevent AD will require more efficient, accurate and integrative diagnostic tools that utilize clinical, neuroimaging, biochemical, and molecular biomarker data. Finally, it is imperative that future therapeutic strategies for AD abandon the concept of uni-modal therapy in favor of multi-modal treatments that target distinct impairments at different levels within the brain insulin/IGF signaling cascades.", "author" : [ { "dropping-particle" : "", "family" : "la Monte", "given" : "Suzanne M", "non-dropping-particle" : "de", "parse-names" : false, "suffix" : "" } ], "container-title" : "Current Alzheimer research", "id" : "ITEM-1", "issue" : "1", "issued" : { "date-parts" : [ [ "2012", "1" ] ] }, "page" : "35-66", "title" : "Brain insulin resistance and deficiency as therapeutic targets in Alzheimer's disease.", "type" : "article-journal", "volume" : "9" }, "uris" : [ "http://www.mendeley.com/documents/?uuid=3e0f61f4-56aa-3261-99ab-27b340e22769" ] }, { "id" : "ITEM-2", "itemData" : { "DOI" : "10.1172/JCI59903", "ISSN" : "1558-8238", "PMID" : "22476197", "abstract" : "While a potential causal factor in Alzheimer's disease (AD), brain insulin resistance has not been demonstrated directly in that disorder. We provide such a demonstration here by showing that the hippocampal formation (HF) and, to a lesser degree, the cerebellar cortex in AD cases without diabetes exhibit markedly reduced responses to insulin signaling in the IR\u2192IRS-1\u2192PI3K signaling pathway with greatly reduced responses to IGF-1 in the IGF-1R\u2192IRS-2\u2192PI3K signaling pathway. Reduced insulin responses were maximal at the level of IRS-1 and were consistently associated with basal elevations in IRS-1 phosphorylated at serine 616 (IRS-1 pS\u2076\u00b9\u2076) and IRS-1 pS\u2076\u00b3\u2076/\u2076\u00b3\u2079. In the HF, these candidate biomarkers of brain insulin resistance increased commonly and progressively from normal cases to mild cognitively impaired cases to AD cases regardless of diabetes or APOE \u03b54 status. Levels of IRS-1 pS\u2076\u00b9\u2076 and IRS-1 pS\u2076\u00b3\u2076/\u2076\u00b3\u2079 and their activated kinases correlated positively with those of oligomeric A\u03b2 plaques and were negatively associated with episodic and working memory, even after adjusting for A\u03b2 plaques, neurofibrillary tangles, and APOE \u03b54. Brain insulin resistance thus appears to be an early and common feature of AD, a phenomenon accompanied by IGF-1 resistance and closely associated with IRS-1 dysfunction potentially triggered by A\u03b2 oligomers and yet promoting cognitive decline independent of classic AD pathology.", "author" : [ { "dropping-particle" : "", "family" : "Talbot", "given" : "Konrad", "non-dropping-particle" : "", "parse-names" : false, "suffix" : "" }, { "dropping-particle" : "", "family" : "Wang", "given" : "Hoau-Yan", "non-dropping-particle" : "", "parse-names" : false, "suffix" : "" }, { "dropping-particle" : "", "family" : "Kazi", "given" : "Hala", "non-dropping-particle" : "", "parse-names" : false, "suffix" : "" }, { "dropping-particle" : "", "family" : "Han", "given" : "Li-Ying", "non-dropping-particle" : "", "parse-names" : false, "suffix" : "" }, { "dropping-particle" : "", "family" : "Bakshi", "given" : "Kalindi P", "non-dropping-particle" : "", "parse-names" : false, "suffix" : "" }, { "dropping-particle" : "", "family" : "Stucky", "given" : "Andres", "non-dropping-particle" : "", "parse-names" : false, "suffix" : "" }, { "dropping-particle" : "", "family" : "Fuino", "given" : "Robert L", "non-dropping-particle" : "", "parse-names" : false, "suffix" : "" }, { "dropping-particle" : "", "family" : "Kawaguchi", "given" : "Krista R", "non-dropping-particle" : "", "parse-names" : false, "suffix" : "" }, { "dropping-particle" : "", "family" : "Samoyedny", "given" : "Andrew J", "non-dropping-particle" : "", "parse-names" : false, "suffix" : "" }, { "dropping-particle" : "", "family" : "Wilson", "given" : "Robert S", "non-dropping-particle" : "", "parse-names" : false, "suffix" : "" }, { "dropping-particle" : "", "family" : "Arvanitakis", "given" : "Zoe", "non-dropping-particle" : "", "parse-names" : false, "suffix" : "" }, { "dropping-particle" : "", "family" : "Schneider", "given" : "Julie A", "non-dropping-particle" : "", "parse-names" : false, "suffix" : "" }, { "dropping-particle" : "", "family" : "Wolf", "given" : "Bryan A", "non-dropping-particle" : "", "parse-names" : false, "suffix" : "" }, { "dropping-particle" : "", "family" : "Bennett", "given" : "David A", "non-dropping-particle" : "", "parse-names" : false, "suffix" : "" }, { "dropping-particle" : "", "family" : "Trojanowski", "given" : "John Q", "non-dropping-particle" : "", "parse-names" : false, "suffix" : "" }, { "dropping-particle" : "", "family" : "Arnold", "given" : "Steven E", "non-dropping-particle" : "", "parse-names" : false, "suffix" : "" } ], "container-title" : "The Journal of clinical investigation", "id" : "ITEM-2", "issue" : "4", "issued" : { "date-parts" : [ [ "2012", "4", "2" ] ] }, "page" : "1316-38", "title" : "Demonstrated brain insulin resistance in Alzheimer's disease patients is associated with IGF-1 resistance, IRS-1 dysregulation, and cognitive decline.", "type" : "article-journal", "volume" : "122" }, "uris" : [ "http://www.mendeley.com/documents/?uuid=9e20fb27-6103-4888-bbc9-2eadffb309a4" ] }, { "id" : "ITEM-3", "itemData" : { "DOI" : "10.1016/j.neurobiolaging.2008.04.002", "ISSN" : "1558-1497", "PMID" : "18479783", "abstract" : "Insulin like growth factor-1 receptor (IGF-1R) and insulin receptor (IR) signalling control vital growth, survival and metabolic functions in the brain. Here we describe specific and significant alterations in IGF-1R, IR, and their key substrate adaptor proteins IRS-1 and IRS-2 in Alzheimer's disease (AD). Western immunoblot analysis detected increased IGF-1R levels, and decreased levels of IGF-1-binding protein-2 (IGFBP-2), a major IGF-1-binding protein, in AD temporal cortex. Increased IGF-1R was observed surrounding and within amyloid-beta (Abeta)-containing plaques, also evident in an animal model of AD, and in astrocytes in AD. However, despite the overall increase in IGF-1R levels, a significantly lower number of neurons expressed IGF-1R in AD, and IGF-1R was aberrantly distributed in AD neurons especially evident in those with neurofibrillary tangles (NFTs). IR protein levels were similar in AD and control cases, however, the IR was concentrated intracellularly in AD neurons, unlike its distribution throughout the neuronal cell soma and in dendrites in control brain. Significant decreases in IRS-1 and IRS-2 levels were identified in AD neurons, in association with increased levels of inactivated phospho(Ser312)IRS-1 and phospho(Ser616)IRS-1, where increased levels of these phosphoserine epitopes colocalised strongly with NFTs. Our results show that IGF-1R and IR signalling is compromised in AD neurons and suggest that neurons that degenerate in AD may be resistant to IGF-1R/IR signalling.", "author" : [ { "dropping-particle" : "", "family" : "Moloney", "given" : "Aileen M", "non-dropping-particle" : "", "parse-names" : false, "suffix" : "" }, { "dropping-particle" : "", "family" : "Griffin", "given" : "Rebecca J", "non-dropping-particle" : "", "parse-names" : false, "suffix" : "" }, { "dropping-particle" : "", "family" : "Timmons", "given" : "Suzanne", "non-dropping-particle" : "", "parse-names" : false, "suffix" : "" }, { "dropping-particle" : "", "family" : "O'Connor", "given" : "Rosemary", "non-dropping-particle" : "", "parse-names" : false, "suffix" : "" }, { "dropping-particle" : "", "family" : "Ravid", "given" : "Rivka", "non-dropping-particle" : "", "parse-names" : false, "suffix" : "" }, { "dropping-particle" : "", "family" : "O'Neill", "given" : "Cora", "non-dropping-particle" : "", "parse-names" : false, "suffix" : "" } ], "container-title" : "Neurobiology of aging", "id" : "ITEM-3", "issue" : "2", "issued" : { "date-parts" : [ [ "2010", "2" ] ] }, "page" : "224-43", "title" : "Defects in IGF-1 receptor, insulin receptor and IRS-1/2 in Alzheimer's disease indicate possible resistance to IGF-1 and insulin signalling.", "type" : "article-journal", "volume" : "31" }, "uris" : [ "http://www.mendeley.com/documents/?uuid=bfaaf66e-5738-4923-89fc-a72fdf607c5e" ] } ], "mendeley" : { "formattedCitation" : "(de la Monte 2012; Talbot et al. 2012a; Moloney et al. 2010a)", "manualFormatting" : "(de la Monte, 2012; Moloney et al., 2010; Talbot et al., 2012)", "plainTextFormattedCitation" : "(de la Monte 2012; Talbot et al. 2012a; Moloney et al. 2010a)", "previouslyFormattedCitation" : "(de la Monte 2012; Talbot et al. 2012a; Moloney et al. 2010a)" }, "properties" : { "noteIndex" : 0 }, "schema" : "https://github.com/citation-style-language/schema/raw/master/csl-citation.json" }</w:instrText>
      </w:r>
      <w:r w:rsidR="00E10A4C">
        <w:rPr>
          <w:rFonts w:ascii="Times New Roman" w:hAnsi="Times New Roman" w:cs="Times New Roman"/>
        </w:rPr>
        <w:fldChar w:fldCharType="separate"/>
      </w:r>
      <w:r w:rsidR="00647534" w:rsidRPr="00647534">
        <w:rPr>
          <w:rFonts w:ascii="Times New Roman" w:hAnsi="Times New Roman" w:cs="Times New Roman"/>
          <w:noProof/>
        </w:rPr>
        <w:t>(de la Mo</w:t>
      </w:r>
      <w:r w:rsidR="00717675">
        <w:rPr>
          <w:rFonts w:ascii="Times New Roman" w:hAnsi="Times New Roman" w:cs="Times New Roman"/>
          <w:noProof/>
        </w:rPr>
        <w:t>nte, 2012; Moloney et al., 2010; Talbot et al., 2012</w:t>
      </w:r>
      <w:r w:rsidR="00647534" w:rsidRPr="00647534">
        <w:rPr>
          <w:rFonts w:ascii="Times New Roman" w:hAnsi="Times New Roman" w:cs="Times New Roman"/>
          <w:noProof/>
        </w:rPr>
        <w:t>)</w:t>
      </w:r>
      <w:r w:rsidR="00E10A4C">
        <w:rPr>
          <w:rFonts w:ascii="Times New Roman" w:hAnsi="Times New Roman" w:cs="Times New Roman"/>
        </w:rPr>
        <w:fldChar w:fldCharType="end"/>
      </w:r>
      <w:r w:rsidR="00AE09DE">
        <w:rPr>
          <w:rFonts w:ascii="Times New Roman" w:hAnsi="Times New Roman" w:cs="Times New Roman"/>
        </w:rPr>
        <w:t xml:space="preserve"> and these changes have been linked to </w:t>
      </w:r>
      <w:r w:rsidR="00DE117A">
        <w:rPr>
          <w:rFonts w:ascii="Times New Roman" w:hAnsi="Times New Roman" w:cs="Times New Roman"/>
        </w:rPr>
        <w:t>al</w:t>
      </w:r>
      <w:r w:rsidR="00DC4E40">
        <w:rPr>
          <w:rFonts w:ascii="Times New Roman" w:hAnsi="Times New Roman" w:cs="Times New Roman"/>
        </w:rPr>
        <w:t xml:space="preserve">tered </w:t>
      </w:r>
      <w:r w:rsidR="0014187F">
        <w:rPr>
          <w:rFonts w:ascii="Times New Roman" w:hAnsi="Times New Roman" w:cs="Times New Roman"/>
        </w:rPr>
        <w:t xml:space="preserve">insulin/IGF1 </w:t>
      </w:r>
      <w:r w:rsidR="00AE09DE">
        <w:rPr>
          <w:rFonts w:ascii="Times New Roman" w:hAnsi="Times New Roman" w:cs="Times New Roman"/>
        </w:rPr>
        <w:t xml:space="preserve">signalling. </w:t>
      </w:r>
      <w:r w:rsidR="00CB63DF">
        <w:rPr>
          <w:rFonts w:ascii="Times New Roman" w:hAnsi="Times New Roman" w:cs="Times New Roman"/>
        </w:rPr>
        <w:t>The levels and activity of several molecules</w:t>
      </w:r>
      <w:r w:rsidR="00C71138">
        <w:rPr>
          <w:rFonts w:ascii="Times New Roman" w:hAnsi="Times New Roman" w:cs="Times New Roman"/>
        </w:rPr>
        <w:t xml:space="preserve"> in the</w:t>
      </w:r>
      <w:r w:rsidR="00AD6D9D">
        <w:rPr>
          <w:rFonts w:ascii="Times New Roman" w:hAnsi="Times New Roman" w:cs="Times New Roman"/>
        </w:rPr>
        <w:t xml:space="preserve"> insulin/IGF</w:t>
      </w:r>
      <w:r w:rsidR="00EF2AF4" w:rsidRPr="00EF2AF4">
        <w:rPr>
          <w:rFonts w:ascii="Times New Roman" w:hAnsi="Times New Roman" w:cs="Times New Roman"/>
        </w:rPr>
        <w:t>1 signallin</w:t>
      </w:r>
      <w:r w:rsidR="00C71138">
        <w:rPr>
          <w:rFonts w:ascii="Times New Roman" w:hAnsi="Times New Roman" w:cs="Times New Roman"/>
        </w:rPr>
        <w:t xml:space="preserve">g pathway have been reported </w:t>
      </w:r>
      <w:r w:rsidR="00CB63DF">
        <w:rPr>
          <w:rFonts w:ascii="Times New Roman" w:hAnsi="Times New Roman" w:cs="Times New Roman"/>
        </w:rPr>
        <w:t xml:space="preserve">to change </w:t>
      </w:r>
      <w:r w:rsidR="00CC70E5">
        <w:rPr>
          <w:rFonts w:ascii="Times New Roman" w:hAnsi="Times New Roman" w:cs="Times New Roman"/>
        </w:rPr>
        <w:t xml:space="preserve">in AD </w:t>
      </w:r>
      <w:r w:rsidR="00EF2AF4" w:rsidRPr="00EF2AF4">
        <w:rPr>
          <w:rFonts w:ascii="Times New Roman" w:hAnsi="Times New Roman" w:cs="Times New Roman"/>
        </w:rPr>
        <w:t xml:space="preserve"> </w:t>
      </w:r>
      <w:r w:rsidR="00CC70E5">
        <w:rPr>
          <w:rFonts w:ascii="Times New Roman" w:hAnsi="Times New Roman" w:cs="Times New Roman"/>
        </w:rPr>
        <w:t>(</w:t>
      </w:r>
      <w:r w:rsidR="00EF2AF4" w:rsidRPr="00EF2AF4">
        <w:rPr>
          <w:rFonts w:ascii="Times New Roman" w:hAnsi="Times New Roman" w:cs="Times New Roman"/>
        </w:rPr>
        <w:t>summarised in</w:t>
      </w:r>
      <w:r w:rsidR="000E2183">
        <w:rPr>
          <w:rFonts w:ascii="Times New Roman" w:hAnsi="Times New Roman" w:cs="Times New Roman"/>
          <w:b/>
          <w:bCs/>
        </w:rPr>
        <w:t xml:space="preserve"> Fig</w:t>
      </w:r>
      <w:r w:rsidR="00965A87">
        <w:rPr>
          <w:rFonts w:ascii="Times New Roman" w:hAnsi="Times New Roman" w:cs="Times New Roman"/>
          <w:b/>
          <w:bCs/>
        </w:rPr>
        <w:t>ure</w:t>
      </w:r>
      <w:r w:rsidR="0099050D">
        <w:rPr>
          <w:rFonts w:ascii="Times New Roman" w:hAnsi="Times New Roman" w:cs="Times New Roman"/>
          <w:b/>
          <w:bCs/>
        </w:rPr>
        <w:t xml:space="preserve"> 1.6</w:t>
      </w:r>
      <w:r w:rsidR="00CC70E5">
        <w:rPr>
          <w:rFonts w:ascii="Times New Roman" w:hAnsi="Times New Roman" w:cs="Times New Roman"/>
          <w:b/>
          <w:bCs/>
        </w:rPr>
        <w:t>)</w:t>
      </w:r>
      <w:r w:rsidR="00EF2AF4" w:rsidRPr="00EF2AF4">
        <w:rPr>
          <w:rFonts w:ascii="Times New Roman" w:hAnsi="Times New Roman" w:cs="Times New Roman"/>
          <w:b/>
          <w:bCs/>
        </w:rPr>
        <w:t>.</w:t>
      </w:r>
      <w:r w:rsidR="00E47D41">
        <w:rPr>
          <w:rFonts w:ascii="Times New Roman" w:hAnsi="Times New Roman" w:cs="Times New Roman"/>
        </w:rPr>
        <w:t xml:space="preserve"> </w:t>
      </w:r>
      <w:r w:rsidR="00E10A4C">
        <w:rPr>
          <w:rFonts w:ascii="Times New Roman" w:hAnsi="Times New Roman" w:cs="Times New Roman"/>
        </w:rPr>
        <w:t xml:space="preserve">Although there is a lot of dichotomy in the literature regarding the specific molecular changes in the insulin/IGF1 pathway, overall </w:t>
      </w:r>
      <w:r w:rsidR="001C79E7">
        <w:rPr>
          <w:rFonts w:ascii="Times New Roman" w:hAnsi="Times New Roman" w:cs="Times New Roman"/>
        </w:rPr>
        <w:t>there appears to be</w:t>
      </w:r>
      <w:r w:rsidR="00EF2AF4" w:rsidRPr="00EF2AF4">
        <w:rPr>
          <w:rFonts w:ascii="Times New Roman" w:hAnsi="Times New Roman" w:cs="Times New Roman"/>
        </w:rPr>
        <w:t xml:space="preserve"> decreased signalling through this pathway, </w:t>
      </w:r>
      <w:r w:rsidR="0065206E">
        <w:rPr>
          <w:rFonts w:ascii="Times New Roman" w:hAnsi="Times New Roman" w:cs="Times New Roman"/>
        </w:rPr>
        <w:t>with both upstream and downst</w:t>
      </w:r>
      <w:r w:rsidR="00CC70E5">
        <w:rPr>
          <w:rFonts w:ascii="Times New Roman" w:hAnsi="Times New Roman" w:cs="Times New Roman"/>
        </w:rPr>
        <w:t xml:space="preserve">ream signalling molecules </w:t>
      </w:r>
      <w:r w:rsidR="0065206E">
        <w:rPr>
          <w:rFonts w:ascii="Times New Roman" w:hAnsi="Times New Roman" w:cs="Times New Roman"/>
        </w:rPr>
        <w:t>affected. Most of the work carried out to date has identified an insulin/IGF1 resistant state in neurons</w:t>
      </w:r>
      <w:r w:rsidR="00035002">
        <w:rPr>
          <w:rFonts w:ascii="Times New Roman" w:hAnsi="Times New Roman" w:cs="Times New Roman"/>
        </w:rPr>
        <w:t xml:space="preserve">, with less </w:t>
      </w:r>
      <w:r w:rsidR="00A81037">
        <w:rPr>
          <w:rFonts w:ascii="Times New Roman" w:hAnsi="Times New Roman" w:cs="Times New Roman"/>
        </w:rPr>
        <w:t>known about changes in</w:t>
      </w:r>
      <w:r w:rsidR="00DB461B">
        <w:rPr>
          <w:rFonts w:ascii="Times New Roman" w:hAnsi="Times New Roman" w:cs="Times New Roman"/>
        </w:rPr>
        <w:t xml:space="preserve"> other</w:t>
      </w:r>
      <w:r w:rsidR="00035002">
        <w:rPr>
          <w:rFonts w:ascii="Times New Roman" w:hAnsi="Times New Roman" w:cs="Times New Roman"/>
        </w:rPr>
        <w:t xml:space="preserve"> cell types in the brain</w:t>
      </w:r>
      <w:r w:rsidR="0065206E">
        <w:rPr>
          <w:rFonts w:ascii="Times New Roman" w:hAnsi="Times New Roman" w:cs="Times New Roman"/>
        </w:rPr>
        <w:t>.</w:t>
      </w:r>
      <w:r w:rsidR="00F63F9D">
        <w:rPr>
          <w:rFonts w:ascii="Times New Roman" w:hAnsi="Times New Roman" w:cs="Times New Roman"/>
        </w:rPr>
        <w:t xml:space="preserve"> </w:t>
      </w:r>
    </w:p>
    <w:p w14:paraId="5A18979C" w14:textId="77777777" w:rsidR="00EF2AF4" w:rsidRPr="007351BF" w:rsidRDefault="00EF2AF4" w:rsidP="009A1D4C">
      <w:pPr>
        <w:pStyle w:val="Heading4"/>
      </w:pPr>
    </w:p>
    <w:p w14:paraId="6832F74A" w14:textId="62590414" w:rsidR="00EF2AF4" w:rsidRDefault="007720C4" w:rsidP="00233453">
      <w:pPr>
        <w:pStyle w:val="Heading3"/>
      </w:pPr>
      <w:bookmarkStart w:id="369" w:name="_Toc10"/>
      <w:bookmarkStart w:id="370" w:name="_Toc331425890"/>
      <w:bookmarkStart w:id="371" w:name="_Toc331427077"/>
      <w:bookmarkStart w:id="372" w:name="_Toc331427449"/>
      <w:bookmarkStart w:id="373" w:name="_Toc331427591"/>
      <w:bookmarkStart w:id="374" w:name="_Toc332972595"/>
      <w:bookmarkStart w:id="375" w:name="_Toc333046875"/>
      <w:bookmarkStart w:id="376" w:name="_Toc333477222"/>
      <w:bookmarkStart w:id="377" w:name="_Toc333477992"/>
      <w:bookmarkStart w:id="378" w:name="_Toc333644892"/>
      <w:r>
        <w:t>1.7</w:t>
      </w:r>
      <w:r w:rsidR="00CC70E5">
        <w:t>.1</w:t>
      </w:r>
      <w:r w:rsidR="00A55185">
        <w:t xml:space="preserve"> </w:t>
      </w:r>
      <w:r w:rsidR="007351BF" w:rsidRPr="007351BF">
        <w:t>Altered expression in insulin/IGF1 signalling</w:t>
      </w:r>
      <w:r w:rsidR="00EF2AF4" w:rsidRPr="007351BF">
        <w:t xml:space="preserve"> at the cell surface/receptor level</w:t>
      </w:r>
      <w:bookmarkEnd w:id="369"/>
      <w:bookmarkEnd w:id="370"/>
      <w:bookmarkEnd w:id="371"/>
      <w:bookmarkEnd w:id="372"/>
      <w:bookmarkEnd w:id="373"/>
      <w:bookmarkEnd w:id="374"/>
      <w:bookmarkEnd w:id="375"/>
      <w:bookmarkEnd w:id="376"/>
      <w:bookmarkEnd w:id="377"/>
      <w:bookmarkEnd w:id="378"/>
    </w:p>
    <w:p w14:paraId="363D6968" w14:textId="77777777" w:rsidR="009B3DAC" w:rsidRPr="009B3DAC" w:rsidRDefault="009B3DAC" w:rsidP="009B3DAC"/>
    <w:p w14:paraId="13AD6AFC" w14:textId="77777777" w:rsidR="00715D31" w:rsidRPr="00233453" w:rsidRDefault="00715D31" w:rsidP="00233453">
      <w:pPr>
        <w:pStyle w:val="NoSpacing"/>
        <w:rPr>
          <w:rFonts w:ascii="Times New Roman" w:hAnsi="Times New Roman" w:cs="Times New Roman"/>
          <w:b/>
          <w:i/>
          <w:u w:val="single"/>
        </w:rPr>
      </w:pPr>
      <w:r w:rsidRPr="00233453">
        <w:rPr>
          <w:rFonts w:ascii="Times New Roman" w:hAnsi="Times New Roman" w:cs="Times New Roman"/>
          <w:b/>
          <w:i/>
          <w:u w:val="single"/>
        </w:rPr>
        <w:t>IGF1 and IGF1R</w:t>
      </w:r>
      <w:r w:rsidR="00EF2AF4" w:rsidRPr="00233453">
        <w:rPr>
          <w:rFonts w:ascii="Times New Roman" w:hAnsi="Times New Roman" w:cs="Times New Roman"/>
          <w:b/>
          <w:i/>
          <w:u w:val="single"/>
        </w:rPr>
        <w:t xml:space="preserve"> </w:t>
      </w:r>
    </w:p>
    <w:p w14:paraId="5907EF3A" w14:textId="6F85CF5D" w:rsidR="00EC5A06" w:rsidRPr="00715D31" w:rsidRDefault="00E10A4C" w:rsidP="00EF2AF4">
      <w:pPr>
        <w:pStyle w:val="Body"/>
        <w:spacing w:line="360" w:lineRule="auto"/>
        <w:jc w:val="both"/>
        <w:rPr>
          <w:rFonts w:ascii="Times New Roman" w:hAnsi="Times New Roman" w:cs="Times New Roman"/>
          <w:b/>
          <w:sz w:val="24"/>
          <w:szCs w:val="24"/>
          <w:u w:val="single"/>
        </w:rPr>
      </w:pPr>
      <w:r>
        <w:rPr>
          <w:rFonts w:ascii="Times New Roman" w:hAnsi="Times New Roman" w:cs="Times New Roman"/>
          <w:sz w:val="24"/>
          <w:szCs w:val="24"/>
        </w:rPr>
        <w:t>R</w:t>
      </w:r>
      <w:r w:rsidR="003532C4">
        <w:rPr>
          <w:rFonts w:ascii="Times New Roman" w:hAnsi="Times New Roman" w:cs="Times New Roman"/>
          <w:sz w:val="24"/>
          <w:szCs w:val="24"/>
        </w:rPr>
        <w:t>educed levels of IGF1 ligand have</w:t>
      </w:r>
      <w:r w:rsidR="00EF2AF4" w:rsidRPr="00EF2AF4">
        <w:rPr>
          <w:rFonts w:ascii="Times New Roman" w:hAnsi="Times New Roman" w:cs="Times New Roman"/>
          <w:sz w:val="24"/>
          <w:szCs w:val="24"/>
        </w:rPr>
        <w:t xml:space="preserve"> been reported in an ageing AD rat model </w:t>
      </w:r>
      <w:r w:rsidR="00DC2DFB">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"10.1038/nm793", "ISSN" : "1078-8956", "PMID" : "12415260", "abstract" : "Levels of insulin-like growth factor I (IGF-I), a neuroprotective hormone, decrease in serum during aging, whereas amyloid-beta (Abeta), which is involved in the pathogenesis of Alzheimer disease, accumulates in the brain. High brain Abeta levels are found at an early age in mutant mice with low circulating IGF-I, and Abeta burden can be reduced in aging rats by increasing serum IGF-I. This opposing relationship between serum IGF-I and brain Abeta levels reflects the ability of IGF-I to induce clearance of brain Abeta, probably by enhancing transport of Abeta carrier proteins such as albumin and transthyretin into the brain. This effect is antagonized by tumor necrosis factor-alpha, a pro-inflammatory cytokine putatively involved in dementia and aging. Because IGF-I treatment of mice overexpressing mutant amyloid markedly reduces their brain Abeta burden, we consider that circulating IGF-I is a physiological regulator of brain amyloid levels with therapeutic potential.", "author" : [ { "dropping-particle" : "", "family" : "Carro", "given" : "E", "non-dropping-particle" : "", "parse-names" : false, "suffix" : "" }, { "dropping-particle" : "", "family" : "Trejo", "given" : "J L", "non-dropping-particle" : "", "parse-names" : false, "suffix" : "" }, { "dropping-particle" : "", "family" : "Gomez-Isla", "given" : "T", "non-dropping-particle" : "", "parse-names" : false, "suffix" : "" }, { "dropping-particle" : "", "family" : "LeRoith", "given" : "D", "non-dropping-particle" : "", "parse-names" : false, "suffix" : "" }, { "dropping-particle" : "", "family" : "Torres-Aleman", "given" : "I", "non-dropping-particle" : "", "parse-names" : false, "suffix" : "" } ], "container-title" : "Nature medicine", "id" : "ITEM-1", "issue" : "12", "issued" : { "date-parts" : [ [ "2002", "12" ] ] }, "page" : "1390-7", "title" : "Serum insulin-like growth factor I regulates brain amyloid-beta levels.", "type" : "article-journal", "volume" : "8" }, "uris" : [ "http://www.mendeley.com/documents/?uuid=69646b7e-5fbb-4ce0-82a1-c5dd3d5b21a0" ] } ], "mendeley" : { "formattedCitation" : "(Carro et al. 2002)", "plainTextFormattedCitation" : "(Carro et al. 2002)", "previouslyFormattedCitation" : "(Carro et al. 2002)" }, "properties" : { "noteIndex" : 0 }, "schema" : "https://github.com/citation-style-language/schema/raw/master/csl-citation.json" }</w:instrText>
      </w:r>
      <w:r w:rsidR="00DC2DFB">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(Carro et al. 2002)</w:t>
      </w:r>
      <w:r w:rsidR="00DC2DFB">
        <w:rPr>
          <w:rFonts w:ascii="Times New Roman" w:hAnsi="Times New Roman" w:cs="Times New Roman"/>
          <w:sz w:val="24"/>
          <w:szCs w:val="24"/>
        </w:rPr>
        <w:fldChar w:fldCharType="end"/>
      </w:r>
      <w:r w:rsidR="00955A6D">
        <w:rPr>
          <w:rFonts w:ascii="Times New Roman" w:hAnsi="Times New Roman" w:cs="Times New Roman"/>
          <w:sz w:val="24"/>
          <w:szCs w:val="24"/>
        </w:rPr>
        <w:t xml:space="preserve">, </w:t>
      </w:r>
      <w:r w:rsidR="00785340">
        <w:rPr>
          <w:rFonts w:ascii="Times New Roman" w:hAnsi="Times New Roman" w:cs="Times New Roman"/>
          <w:sz w:val="24"/>
          <w:szCs w:val="24"/>
        </w:rPr>
        <w:t xml:space="preserve">in </w:t>
      </w:r>
      <w:r w:rsidR="005133DE">
        <w:rPr>
          <w:rFonts w:ascii="Times New Roman" w:hAnsi="Times New Roman" w:cs="Times New Roman"/>
          <w:sz w:val="24"/>
          <w:szCs w:val="24"/>
        </w:rPr>
        <w:t xml:space="preserve">human </w:t>
      </w:r>
      <w:r w:rsidR="00955A6D">
        <w:rPr>
          <w:rFonts w:ascii="Times New Roman" w:hAnsi="Times New Roman" w:cs="Times New Roman"/>
          <w:sz w:val="24"/>
          <w:szCs w:val="24"/>
        </w:rPr>
        <w:t xml:space="preserve">AD brain </w:t>
      </w:r>
      <w:r w:rsidR="00955A6D">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"ISSN" : "1387-2877", "PMID" : "15750215", "abstract" : "The neurodegeneration that occurs in sporadic Alzheimer's disease (AD) is consistently associated with a number of characteristic histopathological, molecular, and biochemical abnormalities, including cell loss, abundant neurofibrillary tangles and dystrophic neurites, amyloid-beta deposits, increased activation of pro-death genes and signaling pathways, impaired energy metabolism/mitochondrial function, and evidence of chronic oxidative stress. The general inability to convincingly link these phenomena has resulted in the emergence and propagation of various heavily debated theories that focus on the role of one particular element in the pathogenesis of all other abnormalities. However, the accumulating evidence that reduced glucose utilization and deficient energy metabolism occur early in the course of disease, suggests a role for impaired insulin signaling in the pathogenesis of AD. The present work demonstrates extensive abnormalities in insulin and insulin-like growth factor type I and II (IGF-I and IGF-II) signaling mechanisms in brains with AD, and shows that while each of the corresponding growth factors is normally made in central nervous system (CNS) neurons, the expression levels are markedly reduced in AD. These abnormalities were associated with reduced levels of insulin receptor substrate (IRS) mRNA, tau mRNA, IRS-associated phosphotidylinositol 3-kinase, and phospho-Akt (activated), and increased glycogen synthase kinase-3beta activity and amyloid precursor protein mRNA expression. The strikingly reduced CNS expression of genes encoding insulin, IGF-I, and IGF-II, as well as the insulin and IGF-I receptors, suggests that AD may represent a neuro-endocrine disorder that resembles, yet is distinct from diabetes mellitus. Therefore, we propose the term, \"Type 3 Diabetes\" to reflect this newly identified pathogenic mechanism of neurodegeneration.", "author" : [ { "dropping-particle" : "", "family" : "Steen", "given" : "Eric", "non-dropping-particle" : "", "parse-names" : false, "suffix" : "" }, { "dropping-particle" : "", "family" : "Terry", "given" : "Benjamin M", "non-dropping-particle" : "", "parse-names" : false, "suffix" : "" }, { "dropping-particle" : "", "family" : "Rivera", "given" : "Enrique J", "non-dropping-particle" : "", "parse-names" : false, "suffix" : "" }, { "dropping-particle" : "", "family" : "Cannon", "given" : "Jennifer L", "non-dropping-particle" : "", "parse-names" : false, "suffix" : "" }, { "dropping-particle" : "", "family" : "Neely", "given" : "Thomas R", "non-dropping-particle" : "", "parse-names" : false, "suffix" : "" }, { "dropping-particle" : "", "family" : "Tavares", "given" : "Rose", "non-dropping-particle" : "", "parse-names" : false, "suffix" : "" }, { "dropping-particle" : "", "family" : "Xu", "given" : "X Julia", "non-dropping-particle" : "", "parse-names" : false, "suffix" : "" }, { "dropping-particle" : "", "family" : "Wands", "given" : "Jack R", "non-dropping-particle" : "", "parse-names" : false, "suffix" : "" }, { "dropping-particle" : "", "family" : "la Monte", "given" : "Suzanne M", "non-dropping-particle" : "de", "parse-names" : false, "suffix" : "" } ], "container-title" : "Journal of Alzheimer's disease : JAD", "id" : "ITEM-1", "issue" : "1", "issued" : { "date-parts" : [ [ "2005", "2" ] ] }, "page" : "63-80", "title" : "Impaired insulin and insulin-like growth factor expression and signaling mechanisms in Alzheimer's disease--is this type 3 diabetes?", "type" : "article-journal", "volume" : "7" }, "uris" : [ "http://www.mendeley.com/documents/?uuid=8f523e68-848d-4754-a255-1724acc7302e" ] }, { "id" : "ITEM-2", "itemData" : { "DOI" : "10.3233/JAD-151162", "ISSN" : "1875-8908", "PMID" : "27031487", "abstract" : "BACKGROUND The relationship between the insulin-like growth factor-I (IGF-I) system and Alzheimer's disease (AD) is mostly based on transversal studies. It remains, however, to demonstrate whether IGF-I is associated with cognitive decline over time in AD. OBJECTIVE The objective of the study was to analyze the course of cognitive decline of AD subjects over a 24-month period in relation to serum IGF-I and insulin-like growth factor binding protein-3 (IGFBP-3) measured at baseline. METHODS Data are from the SIGAL follow-up study. IGF-I and IGFBP-3 were measured in AD subjects who performed a Mini-Mental State Examination (MMSE) every 6 months for 2 years. MMSE course was analyzed using a mixed model with random intercept and slope function. RESULTS Among the 200 AD participants, 146 (mean age\u200a=\u200a81.1 (standard deviation (SD)\u200a=\u200a5.9) years, 62.6% of women) had at least one follow-up visit. Mean IGF-I at baseline was 147.8 (74.2) ng/mL. Hundred forty-six participants (62.6%) had at least one follow-up visit. Mean MMSE was 21.7 (4.7)/30 and dropped on average by 2.28 points per year. MMSE decline was steeper among participants with lower IGF-I. For each decrease of 1 SD of IGF-I, subjects lost an additional 0.63 points per year in MMSE, e.g., participants with IGF-I level of 74\u200ang/mL lost 2.91 MMSE points per year whereas participants with IGF-I of 222\u200ang/mL lost 1.65 MMSE points per year. There was no association between IGFBP-3 and cognitive decline. CONCLUSION Lower baseline serum IGF-I was associated with faster cognitive decline in AD over a 2-year period.", "author" : [ { "dropping-particle" : "", "family" : "Vidal", "given" : "Jean-S\u00e9bastien", "non-dropping-particle" : "", "parse-names" : false, "suffix" : "" }, { "dropping-particle" : "", "family" : "Hanon", "given" : "Olivier", "non-dropping-particle" : "", "parse-names" : false, "suffix" : "" }, { "dropping-particle" : "", "family" : "Funalot", "given" : "Beno\u00eet", "non-dropping-particle" : "", "parse-names" : false, "suffix" : "" }, { "dropping-particle" : "", "family" : "Brunel", "given" : "Nad\u00e8ge", "non-dropping-particle" : "", "parse-names" : false, "suffix" : "" }, { "dropping-particle" : "", "family" : "Viollet", "given" : "C\u00e9cile", "non-dropping-particle" : "", "parse-names" : false, "suffix" : "" }, { "dropping-particle" : "", "family" : "Rigaud", "given" : "Anne-Sophie", "non-dropping-particle" : "", "parse-names" : false, "suffix" : "" }, { "dropping-particle" : "", "family" : "Seux", "given" : "Marie-Laure", "non-dropping-particle" : "", "parse-names" : false, "suffix" : "" }, { "dropping-particle" : "", "family" : "le-Bouc", "given" : "Yves", "non-dropping-particle" : "", "parse-names" : false, "suffix" : "" }, { "dropping-particle" : "", "family" : "Epelbaum", "given" : "Jacques", "non-dropping-particle" : "", "parse-names" : false, "suffix" : "" }, { "dropping-particle" : "", "family" : "Duron", "given" : "Emmanuelle", "non-dropping-particle" : "", "parse-names" : false, "suffix" : "" } ], "container-title" : "Journal of Alzheimer's disease : JAD", "id" : "ITEM-2", "issue" : "2", "issued" : { "date-parts" : [ [ "2016", "3", "29" ] ] }, "page" : "641-9", "title" : "Low Serum Insulin-Like Growth Factor-I Predicts Cognitive Decline in Alzheimer's Disease.", "type" : "article-journal", "volume" : "52" }, "uris" : [ "http://www.mendeley.com/documents/?uuid=e382bc14-ca64-355e-8828-8ef03e131254" ] } ], "mendeley" : { "formattedCitation" : "(Steen et al. 2005; Vidal et al. 2016)", "plainTextFormattedCitation" : "(Steen et al. 2005; Vidal et al. 2016)", "previouslyFormattedCitation" : "(Steen et al. 2005; Vidal et al. 2016)" }, "properties" : { "noteIndex" : 0 }, "schema" : "https://github.com/citation-style-language/schema/raw/master/csl-citation.json" }</w:instrText>
      </w:r>
      <w:r w:rsidR="00955A6D">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(Steen et al. 2005; Vidal et al. 2016)</w:t>
      </w:r>
      <w:r w:rsidR="00955A6D">
        <w:rPr>
          <w:rFonts w:ascii="Times New Roman" w:hAnsi="Times New Roman" w:cs="Times New Roman"/>
          <w:sz w:val="24"/>
          <w:szCs w:val="24"/>
        </w:rPr>
        <w:fldChar w:fldCharType="end"/>
      </w:r>
      <w:r w:rsidR="00785340">
        <w:rPr>
          <w:rFonts w:ascii="Times New Roman" w:hAnsi="Times New Roman" w:cs="Times New Roman"/>
          <w:sz w:val="24"/>
          <w:szCs w:val="24"/>
        </w:rPr>
        <w:t xml:space="preserve"> and significantly increased in the serum of the offspring of patients with AD </w:t>
      </w:r>
      <w:r w:rsidR="00785340">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"10.1016/j.neurobiolaging.2013.08.014", "ISSN" : "01974580", "abstract" : "Insulin-like growth factor\u20131 (IGF-1), part of an evolutionary conserved signaling pathway in both mammalian and non-mammalian species, is inferred in neurodegenerative disorders including Alzheimer's disease (AD). A murine model for AD shows that reduced IGF-1 signaling prevents AD-like characteristics. However, variation in serum levels of IGF-1 and risk of AD in humans has yet to be determined. We used a proven family design, comparing middle-aged offspring with and without a parental history of AD. The offspring under study carry an increased risk of AD but do not yet experience cognitive impairment. A total of 206 offspring from 92 families with a parental history of AD were compared with 200 offspring from 97 families without a parental history of AD. Apolipoprotein-E (APOE) genotypes and serum IGF-1 levels were compared in subjects with and without a parental history of AD using linear regression, adjusted for APOE genotype and other possible demographic and clinical confounders. Offspring with a parental history of AD were more likely to be an APOE \u03b54 allele carrier (46.5% vs. 21%, p\u00a0= 0.001) than were offspring without such a parental history. Offspring with a parental history of AD had higher IGF-1 levels than subjects without such a history, in both unadjusted and adjusted analyses (18.3 mmol/L vs. 16.7 mmol/L, p\u00a0= 0.001). In conclusion, higher serum IGF-1 levels in middle age are associated with risk of AD disease in older age, independent of APOE genotype.", "author" : [ { "dropping-particle" : "", "family" : "Exel", "given" : "E.", "non-dropping-particle" : "van", "parse-names" : false, "suffix" : "" }, { "dropping-particle" : "", "family" : "Eikelenboom", "given" : "P.", "non-dropping-particle" : "", "parse-names" : false, "suffix" : "" }, { "dropping-particle" : "", "family" : "Comijs", "given" : "H.", "non-dropping-particle" : "", "parse-names" : false, "suffix" : "" }, { "dropping-particle" : "", "family" : "Deeg", "given" : "D.J.H.", "non-dropping-particle" : "", "parse-names" : false, "suffix" : "" }, { "dropping-particle" : "", "family" : "Stek", "given" : "M.L.", "non-dropping-particle" : "", "parse-names" : false, "suffix" : "" }, { "dropping-particle" : "", "family" : "Westendorp", "given" : "R.G.J.", "non-dropping-particle" : "", "parse-names" : false, "suffix" : "" } ], "container-title" : "Neurobiology of Aging", "id" : "ITEM-1", "issue" : "3", "issued" : { "date-parts" : [ [ "2014" ] ] }, "number-of-pages" : "725.e7-725.e10", "title" : "Insulin-like growth factor\u20131 and risk of late-onset Alzheimer's disease: findings from a family study", "type" : "report", "volume" : "35" }, "uris" : [ "http://www.mendeley.com/documents/?uuid=0bcbf0b6-fe5a-3470-b30c-611a748f7368" ] } ], "mendeley" : { "formattedCitation" : "(van Exel et al. 2014)", "plainTextFormattedCitation" : "(van Exel et al. 2014)", "previouslyFormattedCitation" : "(van Exel et al. 2014)" }, "properties" : { "noteIndex" : 0 }, "schema" : "https://github.com/citation-style-language/schema/raw/master/csl-citation.json" }</w:instrText>
      </w:r>
      <w:r w:rsidR="00785340">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(van Exel et al. 2014)</w:t>
      </w:r>
      <w:r w:rsidR="00785340">
        <w:rPr>
          <w:rFonts w:ascii="Times New Roman" w:hAnsi="Times New Roman" w:cs="Times New Roman"/>
          <w:sz w:val="24"/>
          <w:szCs w:val="24"/>
        </w:rPr>
        <w:fldChar w:fldCharType="end"/>
      </w:r>
      <w:r w:rsidR="00DC2DFB">
        <w:rPr>
          <w:rFonts w:ascii="Times New Roman" w:hAnsi="Times New Roman" w:cs="Times New Roman"/>
          <w:sz w:val="24"/>
          <w:szCs w:val="24"/>
        </w:rPr>
        <w:t>.</w:t>
      </w:r>
      <w:r w:rsidR="00F4553C">
        <w:rPr>
          <w:rFonts w:ascii="Times New Roman" w:hAnsi="Times New Roman" w:cs="Times New Roman"/>
          <w:sz w:val="24"/>
          <w:szCs w:val="24"/>
        </w:rPr>
        <w:t xml:space="preserve"> In contrast</w:t>
      </w:r>
      <w:r w:rsidR="0065206E">
        <w:rPr>
          <w:rFonts w:ascii="Times New Roman" w:hAnsi="Times New Roman" w:cs="Times New Roman"/>
          <w:sz w:val="24"/>
          <w:szCs w:val="24"/>
        </w:rPr>
        <w:t xml:space="preserve">, increased expression of IGF1 has been shown in astrocytes and in association with </w:t>
      </w:r>
      <w:r w:rsidR="00C65456" w:rsidRPr="00EF2AF4">
        <w:rPr>
          <w:rFonts w:ascii="Times New Roman" w:hAnsi="Times New Roman" w:cs="Times New Roman"/>
          <w:sz w:val="24"/>
          <w:szCs w:val="24"/>
        </w:rPr>
        <w:t>Aβ</w:t>
      </w:r>
      <w:r w:rsidR="00587E7A">
        <w:rPr>
          <w:rFonts w:ascii="Times New Roman" w:hAnsi="Times New Roman" w:cs="Times New Roman"/>
          <w:sz w:val="24"/>
          <w:szCs w:val="24"/>
        </w:rPr>
        <w:t>, suggesting</w:t>
      </w:r>
      <w:r w:rsidR="0065206E">
        <w:rPr>
          <w:rFonts w:ascii="Times New Roman" w:hAnsi="Times New Roman" w:cs="Times New Roman"/>
          <w:sz w:val="24"/>
          <w:szCs w:val="24"/>
        </w:rPr>
        <w:t xml:space="preserve"> </w:t>
      </w:r>
      <w:r w:rsidR="00587E7A">
        <w:rPr>
          <w:rFonts w:ascii="Times New Roman" w:hAnsi="Times New Roman" w:cs="Times New Roman"/>
          <w:sz w:val="24"/>
          <w:szCs w:val="24"/>
        </w:rPr>
        <w:t>possible trophic support for degenerating neurons</w:t>
      </w:r>
      <w:r w:rsidR="00CC66CE">
        <w:rPr>
          <w:rFonts w:ascii="Times New Roman" w:hAnsi="Times New Roman" w:cs="Times New Roman"/>
          <w:sz w:val="24"/>
          <w:szCs w:val="24"/>
        </w:rPr>
        <w:t xml:space="preserve"> that is consistent with upregulation of IGF1 in the brain following injury</w:t>
      </w:r>
      <w:r w:rsidR="00587E7A">
        <w:rPr>
          <w:rFonts w:ascii="Times New Roman" w:hAnsi="Times New Roman" w:cs="Times New Roman"/>
          <w:sz w:val="24"/>
          <w:szCs w:val="24"/>
        </w:rPr>
        <w:t xml:space="preserve"> </w:t>
      </w:r>
      <w:r w:rsidR="002F2351">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"10.1002/1098-2396(20001215)38:4&lt;450::AID-SYN10&gt;3.0.CO;2-J", "ISSN" : "0887-4476", "PMID" : "11044892", "abstract" : "Assimilated evidence indicates that the neurotoxic potential of amyloid beta (Abeta) peptide and an alteration in the level of growth factor(s) may possibly be involved in the loss of neurons observed in the brain of patients suffering from Alzheimer disease (AD), the prevalent cause of dementia in the elderly. In the present study, using receptor binding assays and immunocytochemistry, we evaluated the pharmacological profile of insulin-like growth factor-I (IGF-I) receptors and the distribution of IGF-I immunoreactivity in the frontal cortex, hippocampus, and cerebellum of AD and age-matched control brains. In control brains, [(125)I]IGF-I binding was inhibited more potently by IGF-I than by Des(1-3)IGF-I, IGF-II or insulin. The IC(50) values for IGF-I in the frontal cortex, hippocampus, and cerebellum of the normal brain did not differ significantly from the corresponding regions of the AD brain. Additionally, neither K(D) nor B(max) values were found to differ in the hippocampus of AD brains from the controls. At the regional levels, [(125)I]IGF-I binding sites in the AD brain also remained unaltered compared to the controls. As for the peptide itself, IGF-I immunoreactivity, in normal control brains, was evident primarily in a subpopulation of astrocytes in the frontal cortex and hippocampus, and in certain Purkinje cells of the cerebellum. In AD brains, a subset of Abeta-containing neuritic plaques, apart from astrocytes, exhibit IGF-I immunoreactivity. These results, taken together, suggest a role for IGF-I in compensatory plasticity and/or survival of the susceptible neurons in AD brains.", "author" : [ { "dropping-particle" : "", "family" : "Jafferali", "given" : "S", "non-dropping-particle" : "", "parse-names" : false, "suffix" : "" }, { "dropping-particle" : "", "family" : "Dumont", "given" : "Y", "non-dropping-particle" : "", "parse-names" : false, "suffix" : "" }, { "dropping-particle" : "", "family" : "Sotty", "given" : "F", "non-dropping-particle" : "", "parse-names" : false, "suffix" : "" }, { "dropping-particle" : "", "family" : "Robitaille", "given" : "Y", "non-dropping-particle" : "", "parse-names" : false, "suffix" : "" }, { "dropping-particle" : "", "family" : "Quirion", "given" : "R", "non-dropping-particle" : "", "parse-names" : false, "suffix" : "" }, { "dropping-particle" : "", "family" : "Kar", "given" : "S", "non-dropping-particle" : "", "parse-names" : false, "suffix" : "" } ], "container-title" : "Synapse (New York, N.Y.)", "id" : "ITEM-1", "issue" : "4", "issued" : { "date-parts" : [ [ "2000", "12", "15" ] ] }, "page" : "450-9", "title" : "Insulin-like growth factor-I and its receptor in the frontal cortex, hippocampus, and cerebellum of normal human and alzheimer disease brains.", "type" : "article-journal", "volume" : "38" }, "uris" : [ "http://www.mendeley.com/documents/?uuid=bffb5ac7-6671-42bf-b716-e023cea7d385" ] }, { "id" : "ITEM-2", "itemData" : { "DOI" : "10.1371/journal.pone.0067204", "ISSN" : "1932-6203", "author" : [ { "dropping-particle" : "", "family" : "Madathil", "given" : "Sindhu K.", "non-dropping-particle" : "", "parse-names" : false, "suffix" : "" }, { "dropping-particle" : "", "family" : "Carlson", "given" : "Shaun W.", "non-dropping-particle" : "", "parse-names" : false, "suffix" : "" }, { "dropping-particle" : "", "family" : "Brelsfoard", "given" : "Jennifer M.", "non-dropping-particle" : "", "parse-names" : false, "suffix" : "" }, { "dropping-particle" : "", "family" : "Ye", "given" : "Ping", "non-dropping-particle" : "", "parse-names" : false, "suffix" : "" }, { "dropping-particle" : "", "family" : "D\u2019Ercole", "given" : "A. Joseph", "non-dropping-particle" : "", "parse-names" : false, "suffix" : "" }, { "dropping-particle" : "", "family" : "Saatman", "given" : "Kathryn E.", "non-dropping-particle" : "", "parse-names" : false, "suffix" : "" }, { "dropping-particle" : "", "family" : "Millis", "given" : "SR", "non-dropping-particle" : "", "parse-names" : false, "suffix" : "" }, { "dropping-particle" : "", "family" : "Rosenthal", "given" : "M", "non-dropping-particle" : "", "parse-names" : false, "suffix" : "" }, { "dropping-particle" : "", "family" : "Novack", "given" : "TA", "non-dropping-particle" : "", "parse-names" : false, "suffix" : "" }, { "dropping-particle" : "", "family" : "Sherer", "given" : "M", "non-dropping-particle" : "", "parse-names" : false, "suffix" : "" }, { "dropping-particle" : "", "family" : "Nick", "given" : "TG", "non-dropping-particle" : "", "parse-names" : false, "suffix" : "" }, { "dropping-particle" : "", "family" : "Hunsaker", "given" : "MR", "non-dropping-particle" : "", "parse-names" : false, "suffix" : "" }, { "dropping-particle" : "", "family" : "Lee", "given" : "B", "non-dropping-particle" : "", "parse-names" : false, "suffix" : "" }, { "dropping-particle" : "", "family" : "Kesner", "given" : "RP", "non-dropping-particle" : "", "parse-names" : false, "suffix" : "" }, { "dropping-particle" : "", "family" : "Kesner", "given" : "RP", "non-dropping-particle" : "", "parse-names" : false, "suffix" : "" }, { "dropping-particle" : "", "family" : "Hamm", "given" : "RJ", "non-dropping-particle" : "", "parse-names" : false, "suffix" : "" }, { "dropping-particle" : "", "family" : "Dixon", "given" : "CE", "non-dropping-particle" : "", "parse-names" : false, "suffix" : "" }, { "dropping-particle" : "", "family" : "Gbadebo", "given" : "DM", "non-dropping-particle" : "", "parse-names" : false, "suffix" : "" }, { "dropping-particle" : "", "family" : "Singha", "given" : "AK", "non-dropping-particle" : "", "parse-names" : false, "suffix" : "" }, { "dropping-particle" : "", "family" : "Jenkins", "given" : "LW", "non-dropping-particle" : "", "parse-names" : false, "suffix" : "" }, { "dropping-particle" : "", "family" : "Hicks", "given" : "RR", "non-dropping-particle" : "", "parse-names" : false, "suffix" : "" }, { "dropping-particle" : "", "family" : "Baldwin", "given" : "SA", "non-dropping-particle" : "", "parse-names" : false, "suffix" : "" }, { "dropping-particle" : "", "family" : "Scheff", "given" : "SW", "non-dropping-particle" : "", "parse-names" : false, "suffix" : "" }, { "dropping-particle" : "", "family" : "Scheff", "given" : "SW", "non-dropping-particle" : "", "parse-names" : false, "suffix" : "" }, { "dropping-particle" : "", "family" : "Baldwin", "given" : "SA", "non-dropping-particle" : "", "parse-names" : false, "suffix" : "" }, { "dropping-particle" : "", "family" : "Brown", "given" : "RW", "non-dropping-particle" : "", "parse-names" : false, "suffix" : "" }, { "dropping-particle" : "", "family" : "Kraemer", "given" : "PJ", "non-dropping-particle" : "", "parse-names" : false, "suffix" : "" }, { "dropping-particle" : "", "family" : "Sanders", "given" : "MJ", "non-dropping-particle" : "", "parse-names" : false, "suffix" : "" }, { "dropping-particle" : "", "family" : "Sick", "given" : "TJ", "non-dropping-particle" : "", "parse-names" : false, "suffix" : "" }, { "dropping-particle" : "", "family" : "Perez-Pinzon", "given" : "MA", "non-dropping-particle" : "", "parse-names" : false, "suffix" : "" }, { "dropping-particle" : "", "family" : "Dietrich", "given" : "WD", "non-dropping-particle" : "", "parse-names" : false, "suffix" : "" }, { "dropping-particle" : "", "family" : "Green", "given" : "EJ", "non-dropping-particle" : "", "parse-names" : false, "suffix" : "" }, { "dropping-particle" : "", "family" : "Reeves", "given" : "TM", "non-dropping-particle" : "", "parse-names" : false, "suffix" : "" }, { "dropping-particle" : "", "family" : "Lyeth", "given" : "BG", "non-dropping-particle" : "", "parse-names" : false, "suffix" : "" }, { "dropping-particle" : "", "family" : "Povlishock", "given" : "JT", "non-dropping-particle" : "", "parse-names" : false, "suffix" : "" }, { "dropping-particle" : "", "family" : "Saatman", "given" : "KE", "non-dropping-particle" : "", "parse-names" : false, "suffix" : "" }, { "dropping-particle" : "", "family" : "Feeko", "given" : "KJ", "non-dropping-particle" : "", "parse-names" : false, "suffix" : "" }, { "dropping-particle" : "", "family" : "Pape", "given" : "RL", "non-dropping-particle" : "", "parse-names" : false, "suffix" : "" }, { "dropping-particle" : "", "family" : "Raghupathi", "given" : "R", "non-dropping-particle" : "", "parse-names" : false, "suffix" : "" }, { "dropping-particle" : "", "family" : "Dixon", "given" : "CE", "non-dropping-particle" : "", "parse-names" : false, "suffix" : "" }, { "dropping-particle" : "", "family" : "Clifton", "given" : "GL", "non-dropping-particle" : "", "parse-names" : false, "suffix" : "" }, { "dropping-particle" : "", "family" : "Lighthall", "given" : "JW", "non-dropping-particle" : "", "parse-names" : false, "suffix" : "" }, { "dropping-particle" : "", "family" : "Yaghmai", "given" : "AA", "non-dropping-particle" : "", "parse-names" : false, "suffix" : "" }, { "dropping-particle" : "", "family" : "Hayes", "given" : "RL", "non-dropping-particle" : "", "parse-names" : false, "suffix" : "" }, { "dropping-particle" : "", "family" : "Brywe", "given" : "KG", "non-dropping-particle" : "", "parse-names" : false, "suffix" : "" }, { "dropping-particle" : "", "family" : "Mallard", "given" : "C", "non-dropping-particle" : "", "parse-names" : false, "suffix" : "" }, { "dropping-particle" : "", "family" : "Gustavsson", "given" : "M", "non-dropping-particle" : "", "parse-names" : false, "suffix" : "" }, { "dropping-particle" : "", "family" : "Hedtjarn", "given" : "M", "non-dropping-particle" : "", "parse-names" : false, "suffix" : "" }, { "dropping-particle" : "", "family" : "Leverin", "given" : "AL", "non-dropping-particle" : "", "parse-names" : false, "suffix" : "" }, { "dropping-particle" : "", "family" : "Leinninger", "given" : "GM", "non-dropping-particle" : "", "parse-names" : false, "suffix" : "" }, { "dropping-particle" : "", "family" : "Backus", "given" : "C", "non-dropping-particle" : "", "parse-names" : false, "suffix" : "" }, { "dropping-particle" : "", "family" : "Uhler", "given" : "MD", "non-dropping-particle" : "", "parse-names" : false, "suffix" : "" }, { "dropping-particle" : "", "family" : "Lentz", "given" : "SI", "non-dropping-particle" : "", "parse-names" : false, "suffix" : "" }, { "dropping-particle" : "", "family" : "Feldman", "given" : "EL", "non-dropping-particle" : "", "parse-names" : false, "suffix" : "" }, { "dropping-particle" : "", "family" : "Russell", "given" : "JW", "non-dropping-particle" : "", "parse-names" : false, "suffix" : "" }, { "dropping-particle" : "", "family" : "Windebank", "given" : "AJ", "non-dropping-particle" : "", "parse-names" : false, "suffix" : "" }, { "dropping-particle" : "", "family" : "Schenone", "given" : "A", "non-dropping-particle" : "", "parse-names" : false, "suffix" : "" }, { "dropping-particle" : "", "family" : "Feldman", "given" : "EL", "non-dropping-particle" : "", "parse-names" : false, "suffix" : "" }, { "dropping-particle" : "", "family" : "Andersson", "given" : "IK", "non-dropping-particle" : "", "parse-names" : false, "suffix" : "" }, { "dropping-particle" : "", "family" : "Edwall", "given" : "D", "non-dropping-particle" : "", "parse-names" : false, "suffix" : "" }, { "dropping-particle" : "", "family" : "Norstedt", "given" : "G", "non-dropping-particle" : "", "parse-names" : false, "suffix" : "" }, { "dropping-particle" : "", "family" : "Rozell", "given" : "B", "non-dropping-particle" : "", "parse-names" : false, "suffix" : "" }, { "dropping-particle" : "", "family" : "Skottner", "given" : "A", "non-dropping-particle" : "", "parse-names" : false, "suffix" : "" }, { "dropping-particle" : "", "family" : "Madathil", "given" : "SK", "non-dropping-particle" : "", "parse-names" : false, "suffix" : "" }, { "dropping-particle" : "", "family" : "Evans", "given" : "HN", "non-dropping-particle" : "", "parse-names" : false, "suffix" : "" }, { "dropping-particle" : "", "family" : "Saatman", "given" : "KE", "non-dropping-particle" : "", "parse-names" : false, "suffix" : "" }, { "dropping-particle" : "", "family" : "Schabitz", "given" : "WR", "non-dropping-particle" : "", "parse-names" : false, "suffix" : "" }, { "dropping-particle" : "", "family" : "Hoffmann", "given" : "TT", "non-dropping-particle" : "", "parse-names" : false, "suffix" : "" }, { "dropping-particle" : "", "family" : "Heiland", "given" : "S", "non-dropping-particle" : "", "parse-names" : false, "suffix" : "" }, { "dropping-particle" : "", "family" : "Kollmar", "given" : "R", "non-dropping-particle" : "", "parse-names" : false, "suffix" : "" }, { "dropping-particle" : "", "family" : "Bardutzky", "given" : "J", "non-dropping-particle" : "", "parse-names" : false, "suffix" : "" }, { "dropping-particle" : "", "family" : "Liu", "given" : "XF", "non-dropping-particle" : "", "parse-names" : false, "suffix" : "" }, { "dropping-particle" : "", "family" : "Fawcett", "given" : "JR", "non-dropping-particle" : "", "parse-names" : false, "suffix" : "" }, { "dropping-particle" : "", "family" : "Thorne", "given" : "RG", "non-dropping-particle" : "", "parse-names" : false, "suffix" : "" }, { "dropping-particle" : "", "family" : "Frey", "given" : "WH", "non-dropping-particle" : "", "parse-names" : false, "suffix" : "" }, { "dropping-particle" : "", "family" : "Cao", "given" : "Y", "non-dropping-particle" : "", "parse-names" : false, "suffix" : "" }, { "dropping-particle" : "", "family" : "Gunn", "given" : "AJ", "non-dropping-particle" : "", "parse-names" : false, "suffix" : "" }, { "dropping-particle" : "", "family" : "Bennet", "given" : "L", "non-dropping-particle" : "", "parse-names" : false, "suffix" : "" }, { "dropping-particle" : "", "family" : "Wu", "given" : "D", "non-dropping-particle" : "", "parse-names" : false, "suffix" : "" }, { "dropping-particle" : "", "family" : "George", "given" : "S", "non-dropping-particle" : "", "parse-names" : false, "suffix" : "" }, { "dropping-particle" : "", "family" : "Guan", "given" : "J", "non-dropping-particle" : "", "parse-names" : false, "suffix" : "" }, { "dropping-particle" : "", "family" : "Miller", "given" : "OT", "non-dropping-particle" : "", "parse-names" : false, "suffix" : "" }, { "dropping-particle" : "", "family" : "Waugh", "given" : "KM", "non-dropping-particle" : "", "parse-names" : false, "suffix" : "" }, { "dropping-particle" : "", "family" : "McCarthy", "given" : "DC", "non-dropping-particle" : "", "parse-names" : false, "suffix" : "" }, { "dropping-particle" : "", "family" : "Gluckman", "given" : "PD", "non-dropping-particle" : "", "parse-names" : false, "suffix" : "" }, { "dropping-particle" : "", "family" : "Rubovitch", "given" : "V", "non-dropping-particle" : "", "parse-names" : false, "suffix" : "" }, { "dropping-particle" : "", "family" : "Edut", "given" : "S", "non-dropping-particle" : "", "parse-names" : false, "suffix" : "" }, { "dropping-particle" : "", "family" : "Sarfstein", "given" : "R", "non-dropping-particle" : "", "parse-names" : false, "suffix" : "" }, { "dropping-particle" : "", "family" : "Werner", "given" : "H", "non-dropping-particle" : "", "parse-names" : false, "suffix" : "" }, { "dropping-particle" : "", "family" : "Pick", "given" : "CG", "non-dropping-particle" : "", "parse-names" : false, "suffix" : "" }, { "dropping-particle" : "", "family" : "Saatman", "given" : "KE", "non-dropping-particle" : "", "parse-names" : false, "suffix" : "" }, { "dropping-particle" : "", "family" : "Contreras", "given" : "PC", "non-dropping-particle" : "", "parse-names" : false, "suffix" : "" }, { "dropping-particle" : "", "family" : "Smith", "given" : "DH", "non-dropping-particle" : "", "parse-names" : false, "suffix" : "" }, { "dropping-particle" : "", "family" : "Raghupathi", "given" : "R", "non-dropping-particle" : "", "parse-names" : false, "suffix" : "" }, { "dropping-particle" : "", "family" : "McDermott", "given" : "KL", "non-dropping-particle" : "", "parse-names" : false, "suffix" : "" }, { "dropping-particle" : "", "family" : "Hatton", "given" : "J", "non-dropping-particle" : "", "parse-names" : false, "suffix" : "" }, { "dropping-particle" : "", "family" : "Rapp", "given" : "RP", "non-dropping-particle" : "", "parse-names" : false, "suffix" : "" }, { "dropping-particle" : "", "family" : "Kudsk", "given" : "KA", "non-dropping-particle" : "", "parse-names" : false, "suffix" : "" }, { "dropping-particle" : "", "family" : "Brown", "given" : "RO", "non-dropping-particle" : "", "parse-names" : false, "suffix" : "" }, { "dropping-particle" : "", "family" : "Luer", "given" : "MS", "non-dropping-particle" : "", "parse-names" : false, "suffix" : "" }, { "dropping-particle" : "", "family" : "Ye", "given" : "P", "non-dropping-particle" : "", "parse-names" : false, "suffix" : "" }, { "dropping-particle" : "", "family" : "Popken", "given" : "GJ", "non-dropping-particle" : "", "parse-names" : false, "suffix" : "" }, { "dropping-particle" : "", "family" : "Kemper", "given" : "A", "non-dropping-particle" : "", "parse-names" : false, "suffix" : "" }, { "dropping-particle" : "", "family" : "McCarthy", "given" : "K", "non-dropping-particle" : "", "parse-names" : false, "suffix" : "" }, { "dropping-particle" : "", "family" : "Popko", "given" : "B", "non-dropping-particle" : "", "parse-names" : false, "suffix" : "" }, { "dropping-particle" : "", "family" : "Pleasant", "given" : "JM", "non-dropping-particle" : "", "parse-names" : false, "suffix" : "" }, { "dropping-particle" : "", "family" : "Carlson", "given" : "SW", "non-dropping-particle" : "", "parse-names" : false, "suffix" : "" }, { "dropping-particle" : "", "family" : "Mao", "given" : "H", "non-dropping-particle" : "", "parse-names" : false, "suffix" : "" }, { "dropping-particle" : "", "family" : "Scheff", "given" : "SW", "non-dropping-particle" : "", "parse-names" : false, "suffix" : "" }, { "dropping-particle" : "", "family" : "Yang", "given" : "KH", "non-dropping-particle" : "", "parse-names" : false, "suffix" : "" }, { "dropping-particle" : "", "family" : "Schoch", "given" : "KM", "non-dropping-particle" : "", "parse-names" : false, "suffix" : "" }, { "dropping-particle" : "", "family" : "Evans", "given" : "HN", "non-dropping-particle" : "", "parse-names" : false, "suffix" : "" }, { "dropping-particle" : "", "family" : "Brelsfoard", "given" : "JM", "non-dropping-particle" : "", "parse-names" : false, "suffix" : "" }, { "dropping-particle" : "", "family" : "Madathil", "given" : "SK", "non-dropping-particle" : "", "parse-names" : false, "suffix" : "" }, { "dropping-particle" : "", "family" : "Takano", "given" : "J", "non-dropping-particle" : "", "parse-names" : false, "suffix" : "" }, { "dropping-particle" : "", "family" : "Schmued", "given" : "LC", "non-dropping-particle" : "", "parse-names" : false, "suffix" : "" }, { "dropping-particle" : "", "family" : "Stowers", "given" : "CC", "non-dropping-particle" : "", "parse-names" : false, "suffix" : "" }, { "dropping-particle" : "", "family" : "Scallet", "given" : "AC", "non-dropping-particle" : "", "parse-names" : false, "suffix" : "" }, { "dropping-particle" : "", "family" : "Xu", "given" : "L", "non-dropping-particle" : "", "parse-names" : false, "suffix" : "" }, { "dropping-particle" : "", "family" : "Anderson", "given" : "KJ", "non-dropping-particle" : "", "parse-names" : false, "suffix" : "" }, { "dropping-particle" : "", "family" : "Miller", "given" : "KM", "non-dropping-particle" : "", "parse-names" : false, "suffix" : "" }, { "dropping-particle" : "", "family" : "Fugaccia", "given" : "I", "non-dropping-particle" : "", "parse-names" : false, "suffix" : "" }, { "dropping-particle" : "", "family" : "Scheff", "given" : "SW", "non-dropping-particle" : "", "parse-names" : false, "suffix" : "" }, { "dropping-particle" : "", "family" : "Dennis", "given" : "AM", "non-dropping-particle" : "", "parse-names" : false, "suffix" : "" }, { "dropping-particle" : "", "family" : "Haselkorn", "given" : "ML", "non-dropping-particle" : "", "parse-names" : false, "suffix" : "" }, { "dropping-particle" : "", "family" : "Vagni", "given" : "VA", "non-dropping-particle" : "", "parse-names" : false, "suffix" : "" }, { "dropping-particle" : "", "family" : "Garman", "given" : "RH", "non-dropping-particle" : "", "parse-names" : false, "suffix" : "" }, { "dropping-particle" : "", "family" : "Janesko-Feldman", "given" : "K", "non-dropping-particle" : "", "parse-names" : false, "suffix" : "" }, { "dropping-particle" : "", "family" : "Tsenter", "given" : "J", "non-dropping-particle" : "", "parse-names" : false, "suffix" : "" }, { "dropping-particle" : "", "family" : "Beni-Adani", "given" : "L", "non-dropping-particle" : "", "parse-names" : false, "suffix" : "" }, { "dropping-particle" : "", "family" : "Assaf", "given" : "Y", "non-dropping-particle" : "", "parse-names" : false, "suffix" : "" }, { "dropping-particle" : "", "family" : "Alexandrovich", "given" : "AG", "non-dropping-particle" : "", "parse-names" : false, "suffix" : "" }, { "dropping-particle" : "", "family" : "Trembovler", "given" : "V", "non-dropping-particle" : "", "parse-names" : false, "suffix" : "" }, { "dropping-particle" : "", "family" : "West", "given" : "MJ", "non-dropping-particle" : "", "parse-names" : false, "suffix" : "" }, { "dropping-particle" : "", "family" : "Slomianka", "given" : "L", "non-dropping-particle" : "", "parse-names" : false, "suffix" : "" }, { "dropping-particle" : "", "family" : "Gundersen", "given" : "HJ", "non-dropping-particle" : "", "parse-names" : false, "suffix" : "" }, { "dropping-particle" : "", "family" : "Rabchevsky", "given" : "AG", "non-dropping-particle" : "", "parse-names" : false, "suffix" : "" }, { "dropping-particle" : "", "family" : "Sullivan", "given" : "PG", "non-dropping-particle" : "", "parse-names" : false, "suffix" : "" }, { "dropping-particle" : "", "family" : "Scheff", "given" : "SW", "non-dropping-particle" : "", "parse-names" : false, "suffix" : "" }, { "dropping-particle" : "", "family" : "Dietrich", "given" : "WD", "non-dropping-particle" : "", "parse-names" : false, "suffix" : "" }, { "dropping-particle" : "", "family" : "Truettner", "given" : "J", "non-dropping-particle" : "", "parse-names" : false, "suffix" : "" }, { "dropping-particle" : "", "family" : "Zhao", "given" : "W", "non-dropping-particle" : "", "parse-names" : false, "suffix" : "" }, { "dropping-particle" : "", "family" : "Alonso", "given" : "O", "non-dropping-particle" : "", "parse-names" : false, "suffix" : "" }, { "dropping-particle" : "", "family" : "Busto", "given" : "R", "non-dropping-particle" : "", "parse-names" : false, "suffix" : "" }, { "dropping-particle" : "", "family" : "Sandhir", "given" : "R", "non-dropping-particle" : "", "parse-names" : false, "suffix" : "" }, { "dropping-particle" : "", "family" : "Onyszchuk", "given" : "G", "non-dropping-particle" : "", "parse-names" : false, "suffix" : "" }, { "dropping-particle" : "", "family" : "Berman", "given" : "NE", "non-dropping-particle" : "", "parse-names" : false, "suffix" : "" }, { "dropping-particle" : "", "family" : "Giralt", "given" : "A", "non-dropping-particle" : "", "parse-names" : false, "suffix" : "" }, { "dropping-particle" : "", "family" : "Friedman", "given" : "HC", "non-dropping-particle" : "", "parse-names" : false, "suffix" : "" }, { "dropping-particle" : "", "family" : "Caneda-Ferron", "given" : "B", "non-dropping-particle" : "", "parse-names" : false, "suffix" : "" }, { "dropping-particle" : "", "family" : "Urban", "given" : "N", "non-dropping-particle" : "", "parse-names" : false, "suffix" : "" }, { "dropping-particle" : "", "family" : "Moreno", "given" : "E", "non-dropping-particle" : "", "parse-names" : false, "suffix" : "" }, { "dropping-particle" : "", "family" : "Giralt", "given" : "A", "non-dropping-particle" : "", "parse-names" : false, "suffix" : "" }, { "dropping-particle" : "", "family" : "Carreton", "given" : "O", "non-dropping-particle" : "", "parse-names" : false, "suffix" : "" }, { "dropping-particle" : "", "family" : "Lao-Peregrin", "given" : "C", "non-dropping-particle" : "", "parse-names" : false, "suffix" : "" }, { "dropping-particle" : "", "family" : "Martin", "given" : "ED", "non-dropping-particle" : "", "parse-names" : false, "suffix" : "" }, { "dropping-particle" : "", "family" : "Alberch", "given" : "J", "non-dropping-particle" : "", "parse-names" : false, "suffix" : "" }, { "dropping-particle" : "", "family" : "Calkins", "given" : "MJ", "non-dropping-particle" : "", "parse-names" : false, "suffix" : "" }, { "dropping-particle" : "", "family" : "Vargas", "given" : "MR", "non-dropping-particle" : "", "parse-names" : false, "suffix" : "" }, { "dropping-particle" : "", "family" : "Johnson", "given" : "DA", "non-dropping-particle" : "", "parse-names" : false, "suffix" : "" }, { "dropping-particle" : "", "family" : "Johnson", "given" : "JA", "non-dropping-particle" : "", "parse-names" : false, "suffix" : "" }, { "dropping-particle" : "", "family" : "Zhang", "given" : "X", "non-dropping-particle" : "", "parse-names" : false, "suffix" : "" }, { "dropping-particle" : "", "family" : "Chen", "given" : "Y", "non-dropping-particle" : "", "parse-names" : false, "suffix" : "" }, { "dropping-particle" : "", "family" : "Ikonomovic", "given" : "MD", "non-dropping-particle" : "", "parse-names" : false, "suffix" : "" }, { "dropping-particle" : "", "family" : "Nathaniel", "given" : "PD", "non-dropping-particle" : "", "parse-names" : false, "suffix" : "" }, { "dropping-particle" : "", "family" : "Kochanek", "given" : "PM", "non-dropping-particle" : "", "parse-names" : false, "suffix" : "" }, { "dropping-particle" : "", "family" : "Sun", "given" : "LY", "non-dropping-particle" : "", "parse-names" : false, "suffix" : "" }, { "dropping-particle" : "", "family" : "D'Ercole", "given" : "AJ", "non-dropping-particle" : "", "parse-names" : false, "suffix" : "" }, { "dropping-particle" : "", "family" : "Noshita", "given" : "N", "non-dropping-particle" : "", "parse-names" : false, "suffix" : "" }, { "dropping-particle" : "", "family" : "Lewen", "given" : "A", "non-dropping-particle" : "", "parse-names" : false, "suffix" : "" }, { "dropping-particle" : "", "family" : "Sugawara", "given" : "T", "non-dropping-particle" : "", "parse-names" : false, "suffix" : "" }, { "dropping-particle" : "", "family" : "Chan", "given" : "PH", "non-dropping-particle" : "", "parse-names" : false, "suffix" : "" }, { "dropping-particle" : "", "family" : "Noshita", "given" : "N", "non-dropping-particle" : "", "parse-names" : false, "suffix" : "" }, { "dropping-particle" : "", "family" : "Lewen", "given" : "A", "non-dropping-particle" : "", "parse-names" : false, "suffix" : "" }, { "dropping-particle" : "", "family" : "Sugawara", "given" : "T", "non-dropping-particle" : "", "parse-names" : false, "suffix" : "" }, { "dropping-particle" : "", "family" : "Chan", "given" : "PH", "non-dropping-particle" : "", "parse-names" : false, "suffix" : "" }, { "dropping-particle" : "", "family" : "Fukunaga", "given" : "K", "non-dropping-particle" : "", "parse-names" : false, "suffix" : "" }, { "dropping-particle" : "", "family" : "Kawano", "given" : "T", "non-dropping-particle" : "", "parse-names" : false, "suffix" : "" }, { "dropping-particle" : "", "family" : "Peruzzi", "given" : "F", "non-dropping-particle" : "", "parse-names" : false, "suffix" : "" }, { "dropping-particle" : "", "family" : "Prisco", "given" : "M", "non-dropping-particle" : "", "parse-names" : false, "suffix" : "" }, { "dropping-particle" : "", "family" : "Dews", "given" : "M", "non-dropping-particle" : "", "parse-names" : false, "suffix" : "" }, { "dropping-particle" : "", "family" : "Salomoni", "given" : "P", "non-dropping-particle" : "", "parse-names" : false, "suffix" : "" }, { "dropping-particle" : "", "family" : "Grassilli", "given" : "E", "non-dropping-particle" : "", "parse-names" : false, "suffix" : "" }, { "dropping-particle" : "", "family" : "Benito", "given" : "M", "non-dropping-particle" : "", "parse-names" : false, "suffix" : "" }, { "dropping-particle" : "", "family" : "Valverde", "given" : "AM", "non-dropping-particle" : "", "parse-names" : false, "suffix" : "" }, { "dropping-particle" : "", "family" : "Lorenzo", "given" : "M", "non-dropping-particle" : "", "parse-names" : false, "suffix" : "" }, { "dropping-particle" : "", "family" : "Karpova", "given" : "A", "non-dropping-particle" : "", "parse-names" : false, "suffix" : "" }, { "dropping-particle" : "", "family" : "Sanna", "given" : "PP", "non-dropping-particle" : "", "parse-names" : false, "suffix" : "" }, { "dropping-particle" : "", "family" : "Behnisch", "given" : "T", "non-dropping-particle" : "", "parse-names" : false, "suffix" : "" }, { "dropping-particle" : "", "family" : "Horwood", "given" : "JM", "non-dropping-particle" : "", "parse-names" : false, "suffix" : "" }, { "dropping-particle" : "", "family" : "Dufour", "given" : "F", "non-dropping-particle" : "", "parse-names" : false, "suffix" : "" }, { "dropping-particle" : "", "family" : "Laroche", "given" : "S", "non-dropping-particle" : "", "parse-names" : false, "suffix" : "" }, { "dropping-particle" : "", "family" : "Davis", "given" : "S", "non-dropping-particle" : "", "parse-names" : false, "suffix" : "" }, { "dropping-particle" : "", "family" : "Delaney", "given" : "CL", "non-dropping-particle" : "", "parse-names" : false, "suffix" : "" }, { "dropping-particle" : "", "family" : "Cheng", "given" : "HL", "non-dropping-particle" : "", "parse-names" : false, "suffix" : "" }, { "dropping-particle" : "", "family" : "Feldman", "given" : "EL", "non-dropping-particle" : "", "parse-names" : false, "suffix" : "" }, { "dropping-particle" : "", "family" : "Takadera", "given" : "T", "non-dropping-particle" : "", "parse-names" : false, "suffix" : "" }, { "dropping-particle" : "", "family" : "Matsuda", "given" : "I", "non-dropping-particle" : "", "parse-names" : false, "suffix" : "" }, { "dropping-particle" : "", "family" : "Ohyashiki", "given" : "T", "non-dropping-particle" : "", "parse-names" : false, "suffix" : "" }, { "dropping-particle" : "", "family" : "Cheng", "given" : "B", "non-dropping-particle" : "", "parse-names" : false, "suffix" : "" }, { "dropping-particle" : "", "family" : "Maffi", "given" : "SK", "non-dropping-particle" : "", "parse-names" : false, "suffix" : "" }, { "dropping-particle" : "", "family" : "Martinez", "given" : "AA", "non-dropping-particle" : "", "parse-names" : false, "suffix" : "" }, { "dropping-particle" : "", "family" : "Acosta", "given" : "YP", "non-dropping-particle" : "", "parse-names" : false, "suffix" : "" }, { "dropping-particle" : "", "family" : "Morales", "given" : "LD", "non-dropping-particle" : "", "parse-names" : false, "suffix" : "" }, { "dropping-particle" : "", "family" : "Zhu", "given" : "W", "non-dropping-particle" : "", "parse-names" : false, "suffix" : "" }, { "dropping-particle" : "", "family" : "Fan", "given" : "Y", "non-dropping-particle" : "", "parse-names" : false, "suffix" : "" }, { "dropping-particle" : "", "family" : "Frenzel", "given" : "T", "non-dropping-particle" : "", "parse-names" : false, "suffix" : "" }, { "dropping-particle" : "", "family" : "Gasmi", "given" : "M", "non-dropping-particle" : "", "parse-names" : false, "suffix" : "" }, { "dropping-particle" : "", "family" : "Bartus", "given" : "RT", "non-dropping-particle" : "", "parse-names" : false, "suffix" : "" }, { "dropping-particle" : "", "family" : "Zhu", "given" : "W", "non-dropping-particle" : "", "parse-names" : false, "suffix" : "" }, { "dropping-particle" : "", "family" : "Fan", "given" : "Y", "non-dropping-particle" : "", "parse-names" : false, "suffix" : "" }, { "dropping-particle" : "", "family" : "Hao", "given" : "Q", "non-dropping-particle" : "", "parse-names" : false, "suffix" : "" }, { "dropping-particle" : "", "family" : "Shen", "given" : "F", "non-dropping-particle" : "", "parse-names" : false, "suffix" : "" }, { "dropping-particle" : "", "family" : "Hashimoto", "given" : "T", "non-dropping-particle" : "", "parse-names" : false, "suffix" : "" }, { "dropping-particle" : "", "family" : "Fletcher", "given" : "L", "non-dropping-particle" : "", "parse-names" : false, "suffix" : "" }, { "dropping-particle" : "", "family" : "Kohli", "given" : "S", "non-dropping-particle" : "", "parse-names" : false, "suffix" : "" }, { "dropping-particle" : "", "family" : "Sprague", "given" : "SM", "non-dropping-particle" : "", "parse-names" : false, "suffix" : "" }, { "dropping-particle" : "", "family" : "Scranton", "given" : "RA", "non-dropping-particle" : "", "parse-names" : false, "suffix" : "" }, { "dropping-particle" : "", "family" : "Lipton", "given" : "SA", "non-dropping-particle" : "", "parse-names" : false, "suffix" : "" }, { "dropping-particle" : "", "family" : "Lin", "given" : "S", "non-dropping-particle" : "", "parse-names" : false, "suffix" : "" }, { "dropping-particle" : "", "family" : "Rhodes", "given" : "PG", "non-dropping-particle" : "", "parse-names" : false, "suffix" : "" }, { "dropping-particle" : "", "family" : "Cai", "given" : "Z", "non-dropping-particle" : "", "parse-names" : false, "suffix" : "" }, { "dropping-particle" : "", "family" : "Zhou", "given" : "H", "non-dropping-particle" : "", "parse-names" : false, "suffix" : "" }, { "dropping-particle" : "", "family" : "Chen", "given" : "L", "non-dropping-particle" : "", "parse-names" : false, "suffix" : "" }, { "dropping-particle" : "", "family" : "Gao", "given" : "X", "non-dropping-particle" : "", "parse-names" : false, "suffix" : "" }, { "dropping-particle" : "", "family" : "Luo", "given" : "B", "non-dropping-particle" : "", "parse-names" : false, "suffix" : "" }, { "dropping-particle" : "", "family" : "Chen", "given" : "J", "non-dropping-particle" : "", "parse-names" : false, "suffix" : "" }, { "dropping-particle" : "", "family" : "Gao", "given" : "X", "non-dropping-particle" : "", "parse-names" : false, "suffix" : "" }, { "dropping-particle" : "", "family" : "Deng-Bryant", "given" : "Y", "non-dropping-particle" : "", "parse-names" : false, "suffix" : "" }, { "dropping-particle" : "", "family" : "Cho", "given" : "W", "non-dropping-particle" : "", "parse-names" : false, "suffix" : "" }, { "dropping-particle" : "", "family" : "Carrico", "given" : "KM", "non-dropping-particle" : "", "parse-names" : false, "suffix" : "" }, { "dropping-particle" : "", "family" : "Hall", "given" : "ED", "non-dropping-particle" : "", "parse-names" : false, "suffix" : "" }, { "dropping-particle" : "", "family" : "DeRidder", "given" : "MN", "non-dropping-particle" : "", "parse-names" : false, "suffix" : "" }, { "dropping-particle" : "", "family" : "Simon", "given" : "MJ", "non-dropping-particle" : "", "parse-names" : false, "suffix" : "" }, { "dropping-particle" : "", "family" : "Siman", "given" : "R", "non-dropping-particle" : "", "parse-names" : false, "suffix" : "" }, { "dropping-particle" : "", "family" : "Auberson", "given" : "YP", "non-dropping-particle" : "", "parse-names" : false, "suffix" : "" }, { "dropping-particle" : "", "family" : "Raghupathi", "given" : "R", "non-dropping-particle" : "", "parse-names" : false, "suffix" : "" }, { "dropping-particle" : "", "family" : "Delaney", "given" : "CL", "non-dropping-particle" : "", "parse-names" : false, "suffix" : "" }, { "dropping-particle" : "", "family" : "Russell", "given" : "JW", "non-dropping-particle" : "", "parse-names" : false, "suffix" : "" }, { "dropping-particle" : "", "family" : "Cheng", "given" : "HL", "non-dropping-particle" : "", "parse-names" : false, "suffix" : "" }, { "dropping-particle" : "", "family" : "Feldman", "given" : "EL", "non-dropping-particle" : "", "parse-names" : false, "suffix" : "" }, { "dropping-particle" : "", "family" : "D'Mello", "given" : "SR", "non-dropping-particle" : "", "parse-names" : false, "suffix" : "" }, { "dropping-particle" : "", "family" : "Galli", "given" : "C", "non-dropping-particle" : "", "parse-names" : false, "suffix" : "" }, { "dropping-particle" : "", "family" : "Ciotti", "given" : "T", "non-dropping-particle" : "", "parse-names" : false, "suffix" : "" }, { "dropping-particle" : "", "family" : "Calissano", "given" : "P", "non-dropping-particle" : "", "parse-names" : false, "suffix" : "" }, { "dropping-particle" : "", "family" : "Sun", "given" : "D", "non-dropping-particle" : "", "parse-names" : false, "suffix" : "" }, { "dropping-particle" : "", "family" : "McGinn", "given" : "MJ", "non-dropping-particle" : "", "parse-names" : false, "suffix" : "" }, { "dropping-particle" : "", "family" : "Zhou", "given" : "Z", "non-dropping-particle" : "", "parse-names" : false, "suffix" : "" }, { "dropping-particle" : "", "family" : "Harvey", "given" : "HB", "non-dropping-particle" : "", "parse-names" : false, "suffix" : "" }, { "dropping-particle" : "", "family" : "Bullock", "given" : "MR", "non-dropping-particle" : "", "parse-names" : false, "suffix" : "" }, { "dropping-particle" : "", "family" : "Chernausek", "given" : "SD", "non-dropping-particle" : "", "parse-names" : false, "suffix" : "" }, { "dropping-particle" : "", "family" : "Goddard", "given" : "DR", "non-dropping-particle" : "", "parse-names" : false, "suffix" : "" }, { "dropping-particle" : "", "family" : "Berry", "given" : "M", "non-dropping-particle" : "", "parse-names" : false, "suffix" : "" }, { "dropping-particle" : "", "family" : "Butt", "given" : "AM", "non-dropping-particle" : "", "parse-names" : false, "suffix" : "" }, { "dropping-particle" : "", "family" : "McMorris", "given" : "FA", "non-dropping-particle" : "", "parse-names" : false, "suffix" : "" }, { "dropping-particle" : "", "family" : "McKinnon", "given" : "RD", "non-dropping-particle" : "", "parse-names" : false, "suffix" : "" }, { "dropping-particle" : "", "family" : "Silver", "given" : "J", "non-dropping-particle" : "", "parse-names" : false, "suffix" : "" }, { "dropping-particle" : "", "family" : "Miller", "given" : "JH", "non-dropping-particle" : "", "parse-names" : false, "suffix" : "" }, { "dropping-particle" : "", "family" : "Salminen", "given" : "A", "non-dropping-particle" : "", "parse-names" : false, "suffix" : "" }, { "dropping-particle" : "", "family" : "Ojala", "given" : "J", "non-dropping-particle" : "", "parse-names" : false, "suffix" : "" }, { "dropping-particle" : "", "family" : "Kaarniranta", "given" : "K", "non-dropping-particle" : "", "parse-names" : false, "suffix" : "" }, { "dropping-particle" : "", "family" : "Haapasalo", "given" : "A", "non-dropping-particle" : "", "parse-names" : false, "suffix" : "" }, { "dropping-particle" : "", "family" : "Hiltunen", "given" : "M", "non-dropping-particle" : "", "parse-names" : false, "suffix" : "" }, { "dropping-particle" : "", "family" : "Fitch", "given" : "MT", "non-dropping-particle" : "", "parse-names" : false, "suffix" : "" }, { "dropping-particle" : "", "family" : "Silver", "given" : "J", "non-dropping-particle" : "", "parse-names" : false, "suffix" : "" }, { "dropping-particle" : "", "family" : "Hamby", "given" : "ME", "non-dropping-particle" : "", "parse-names" : false, "suffix" : "" }, { "dropping-particle" : "", "family" : "Sofroniew", "given" : "MV", "non-dropping-particle" : "", "parse-names" : false, "suffix" : "" }, { "dropping-particle" : "", "family" : "Myer", "given" : "DJ", "non-dropping-particle" : "", "parse-names" : false, "suffix" : "" }, { "dropping-particle" : "", "family" : "Gurkoff", "given" : "GG", "non-dropping-particle" : "", "parse-names" : false, "suffix" : "" }, { "dropping-particle" : "", "family" : "Lee", "given" : "SM", "non-dropping-particle" : "", "parse-names" : false, "suffix" : "" }, { "dropping-particle" : "", "family" : "Hovda", "given" : "DA", "non-dropping-particle" : "", "parse-names" : false, "suffix" : "" }, { "dropping-particle" : "", "family" : "Sofroniew", "given" : "MV", "non-dropping-particle" : "", "parse-names" : false, "suffix" : "" }, { "dropping-particle" : "", "family" : "Fawcett", "given" : "JW", "non-dropping-particle" : "", "parse-names" : false, "suffix" : "" }, { "dropping-particle" : "", "family" : "Asher", "given" : "RA", "non-dropping-particle" : "", "parse-names" : false, "suffix" : "" }, { "dropping-particle" : "", "family" : "Rolls", "given" : "A", "non-dropping-particle" : "", "parse-names" : false, "suffix" : "" }, { "dropping-particle" : "", "family" : "Shechter", "given" : "R", "non-dropping-particle" : "", "parse-names" : false, "suffix" : "" }, { "dropping-particle" : "", "family" : "Schwartz", "given" : "M", "non-dropping-particle" : "", "parse-names" : false, "suffix" : "" }, { "dropping-particle" : "", "family" : "Kempermann", "given" : "G", "non-dropping-particle" : "", "parse-names" : false, "suffix" : "" }, { "dropping-particle" : "", "family" : "Jessberger", "given" : "S", "non-dropping-particle" : "", "parse-names" : false, "suffix" : "" }, { "dropping-particle" : "", "family" : "Steiner", "given" : "B", "non-dropping-particle" : "", "parse-names" : false, "suffix" : "" }, { "dropping-particle" : "", "family" : "Kronenberg", "given" : "G", "non-dropping-particle" : "", "parse-names" : false, "suffix" : "" }, { "dropping-particle" : "", "family" : "Yakar", "given" : "S", "non-dropping-particle" : "", "parse-names" : false, "suffix" : "" }, { "dropping-particle" : "", "family" : "Leroith", "given" : "D", "non-dropping-particle" : "", "parse-names" : false, "suffix" : "" }, { "dropping-particle" : "", "family" : "Brodt", "given" : "P", "non-dropping-particle" : "", "parse-names" : false, "suffix" : "" }, { "dropping-particle" : "", "family" : "Hicks", "given" : "RR", "non-dropping-particle" : "", "parse-names" : false, "suffix" : "" }, { "dropping-particle" : "", "family" : "Smith", "given" : "DH", "non-dropping-particle" : "", "parse-names" : false, "suffix" : "" }, { "dropping-particle" : "", "family" : "Lowenstein", "given" : "DH", "non-dropping-particle" : "", "parse-names" : false, "suffix" : "" }, { "dropping-particle" : "Saint", "family" : "Marie", "given" : "R", "non-dropping-particle" : "", "parse-names" : false, "suffix" : "" }, { "dropping-particle" : "", "family" : "McIntosh", "given" : "TK", "non-dropping-particle" : "", "parse-names" : false, "suffix" : "" }, { "dropping-particle" : "", "family" : "Fujimoto", "given" : "ST", "non-dropping-particle" : "", "parse-names" : false, "suffix" : "" }, { "dropping-particle" : "", "family" : "Longhi", "given" : "L", "non-dropping-particle" : "", "parse-names" : false, "suffix" : "" }, { "dropping-particle" : "", "family" : "Saatman", "given" : "KE", "non-dropping-particle" : "", "parse-names" : false, "suffix" : "" }, { "dropping-particle" : "", "family" : "Conte", "given" : "V", "non-dropping-particle" : "", "parse-names" : false, "suffix" : "" }, { "dropping-particle" : "", "family" : "Stocchetti", "given" : "N", "non-dropping-particle" : "", "parse-names" : false, "suffix" : "" } ], "container-title" : "PLoS ONE", "editor" : [ { "dropping-particle" : "V.", "family" : "Schmidt", "given" : "Mathias", "non-dropping-particle" : "", "parse-names" : false, "suffix" : "" } ], "id" : "ITEM-2", "issue" : "6", "issued" : { "date-parts" : [ [ "2013", "6", "27" ] ] }, "page" : "e67204", "publisher" : "Public Library of Science", "title" : "Astrocyte-Specific Overexpression of Insulin-Like Growth Factor-1 Protects Hippocampal Neurons and Reduces Behavioral Deficits following Traumatic Brain Injury in Mice", "type" : "article-journal", "volume" : "8" }, "uris" : [ "http://www.mendeley.com/documents/?uuid=2ca719c7-c132-3ba8-ae2b-ec40a21a9d69" ] } ], "mendeley" : { "formattedCitation" : "(Jafferali et al. 2000; Madathil et al. 2013)", "plainTextFormattedCitation" : "(Jafferali et al. 2000; Madathil et al. 2013)", "previouslyFormattedCitation" : "(Jafferali et al. 2000; Madathil et al. 2013)" }, "properties" : { "noteIndex" : 0 }, "schema" : "https://github.com/citation-style-language/schema/raw/master/csl-citation.json" }</w:instrText>
      </w:r>
      <w:r w:rsidR="002F2351">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(Jafferali et al. 2000; Madathil et al. 2013)</w:t>
      </w:r>
      <w:r w:rsidR="002F2351">
        <w:rPr>
          <w:rFonts w:ascii="Times New Roman" w:hAnsi="Times New Roman" w:cs="Times New Roman"/>
          <w:color w:val="auto"/>
          <w:sz w:val="24"/>
          <w:szCs w:val="24"/>
        </w:rPr>
        <w:fldChar w:fldCharType="end"/>
      </w:r>
      <w:r w:rsidR="005133DE">
        <w:rPr>
          <w:rFonts w:ascii="Times New Roman" w:hAnsi="Times New Roman" w:cs="Times New Roman"/>
          <w:color w:val="auto"/>
          <w:sz w:val="24"/>
          <w:szCs w:val="24"/>
        </w:rPr>
        <w:t xml:space="preserve">. </w:t>
      </w:r>
      <w:r w:rsidR="00EC5A06" w:rsidRPr="003532C4">
        <w:rPr>
          <w:rFonts w:ascii="Times New Roman" w:hAnsi="Times New Roman" w:cs="Times New Roman"/>
          <w:color w:val="auto"/>
          <w:sz w:val="24"/>
          <w:szCs w:val="24"/>
        </w:rPr>
        <w:t>Increased</w:t>
      </w:r>
      <w:r w:rsidR="00EC5A06">
        <w:rPr>
          <w:rFonts w:ascii="Times New Roman" w:hAnsi="Times New Roman" w:cs="Times New Roman"/>
          <w:color w:val="auto"/>
          <w:sz w:val="24"/>
          <w:szCs w:val="24"/>
        </w:rPr>
        <w:t xml:space="preserve"> levels of IGF1 have also been </w:t>
      </w:r>
      <w:r w:rsidR="00C25FC7">
        <w:rPr>
          <w:rFonts w:ascii="Times New Roman" w:hAnsi="Times New Roman" w:cs="Times New Roman"/>
          <w:color w:val="auto"/>
          <w:sz w:val="24"/>
          <w:szCs w:val="24"/>
        </w:rPr>
        <w:t xml:space="preserve">detected </w:t>
      </w:r>
      <w:r w:rsidR="00EC5A06">
        <w:rPr>
          <w:rFonts w:ascii="Times New Roman" w:hAnsi="Times New Roman" w:cs="Times New Roman"/>
          <w:color w:val="auto"/>
          <w:sz w:val="24"/>
          <w:szCs w:val="24"/>
        </w:rPr>
        <w:t xml:space="preserve">in </w:t>
      </w:r>
      <w:r w:rsidR="00C25FC7">
        <w:rPr>
          <w:rFonts w:ascii="Times New Roman" w:hAnsi="Times New Roman" w:cs="Times New Roman"/>
          <w:color w:val="auto"/>
          <w:sz w:val="24"/>
          <w:szCs w:val="24"/>
        </w:rPr>
        <w:t>the serum and CSF</w:t>
      </w:r>
      <w:r w:rsidR="00EC5A06">
        <w:rPr>
          <w:rFonts w:ascii="Times New Roman" w:hAnsi="Times New Roman" w:cs="Times New Roman"/>
          <w:color w:val="auto"/>
          <w:sz w:val="24"/>
          <w:szCs w:val="24"/>
        </w:rPr>
        <w:t xml:space="preserve"> from patients with AD</w:t>
      </w:r>
      <w:r w:rsidR="00C65456">
        <w:rPr>
          <w:rFonts w:ascii="Times New Roman" w:hAnsi="Times New Roman" w:cs="Times New Roman"/>
          <w:color w:val="auto"/>
          <w:sz w:val="24"/>
          <w:szCs w:val="24"/>
        </w:rPr>
        <w:t xml:space="preserve"> which might suggest</w:t>
      </w:r>
      <w:r w:rsidR="00F550B7">
        <w:rPr>
          <w:rFonts w:ascii="Times New Roman" w:hAnsi="Times New Roman" w:cs="Times New Roman"/>
          <w:color w:val="auto"/>
          <w:sz w:val="24"/>
          <w:szCs w:val="24"/>
        </w:rPr>
        <w:t xml:space="preserve"> a compensatory, neuroprotective response </w:t>
      </w:r>
      <w:r w:rsidR="00CB1C76">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"10.1007/BF02257671", "ISSN" : "0936-3076", "author" : [ { "dropping-particle" : "", "family" : "Tham", "given" : "A.", "non-dropping-particle" : "", "parse-names" : false, "suffix" : "" }, { "dropping-particle" : "", "family" : "Nordberg", "given" : "A.", "non-dropping-particle" : "", "parse-names" : false, "suffix" : "" }, { "dropping-particle" : "", "family" : "Grissom", "given" : "F. E.", "non-dropping-particle" : "", "parse-names" : false, "suffix" : "" }, { "dropping-particle" : "", "family" : "Carlsson-Skwirut", "given" : "C.", "non-dropping-particle" : "", "parse-names" : false, "suffix" : "" }, { "dropping-particle" : "", "family" : "Viitanen", "given" : "M.", "non-dropping-particle" : "", "parse-names" : false, "suffix" : "" }, { "dropping-particle" : "", "family" : "Sara", "given" : "V. R.", "non-dropping-particle" : "", "parse-names" : false, "suffix" : "" } ], "container-title" : "Journal of Neural Transmission - Parkinson's Disease and Dementia Section", "id" : "ITEM-1", "issue" : "3", "issued" : { "date-parts" : [ [ "1993", "10" ] ] }, "page" : "165-176", "publisher" : "Springer-Verlag", "title" : "Insulin-like growth factors and insulin-like growth factor binding proteins in cerebrospinal fluid and serum of patients with dementia of the Alzheimer type", "type" : "article-journal", "volume" : "5" }, "uris" : [ "http://www.mendeley.com/documents/?uuid=45c57947-c35a-3c69-9be5-5bdd29e79493" ] }, { "id" : "ITEM-2", "itemData" : { "ISSN" : "0951-6433", "PMID" : "19346585", "abstract" : "Insulin like growth factor-1 (IGF-1) is ubiquitously expressed growth factor that has profound effects on the growth and differentiation of many cell types and tissues, including cells of the central nervous system (CNS). IGF-1 is produced by a wide variety of cells and is found in many biological fluids including cerebrospinal fluid (CSF). IGF-1 plays important role during CNS development and repair. IGF-1 has broad range neuroprotective effects and is a therapeutic candidate for Huntington's disease (HD). IGF-1 protects striatal neurons from the toxicity of mutated Huntington in vitro and improves neuronal survival in vivo in a phenotypic model of HD. Alzheimer's disease (AD) is an age-dependent dementia characterized by progressive loss of cognitive functions and by characteristic pathological changes in the brain: the formation of aggregates extracellularly by beta-amyloid (AB) peptide and intracellularly by tau proteins. Since cerebrospinal fluid (CSF) is in contact with the extracellular space of the brain, biochemical brain modifications could be reflected in the CSF. IGFs in circulation and other physiological fluids are associated with a group of high-affinity binding proteins insulin like growth factor binding proteins (IGFBPs) that specifically bind and modulate their bioactivity at the cellular level. The aim of this study was to determine the level of CSF and serum IGF-1 and IGFBPs concentrations in the patients with AD. CSF was obtained by lumbar puncture. The presence of IGF-1 and IGFBPs in the CSF and serum samples was confirmed by Western blot using anti-IGF-1 and IGFBPs antibodies. Using enzyme linked immunosorbent assay (ELISA), it was shown that the concentration of CSF and serum IGF-1 and IGFBPs in the patients with AD is higher than in normal control. The data from this study indicate that IGF-1 is a constant component of human CSF. It is also concluded that high levels of CSF IGF-1 may be partly related to AD pathophysiology.", "author" : [ { "dropping-particle" : "", "family" : "Salehi", "given" : "Zivar", "non-dropping-particle" : "", "parse-names" : false, "suffix" : "" }, { "dropping-particle" : "", "family" : "Mashayekhi", "given" : "Farhad", "non-dropping-particle" : "", "parse-names" : false, "suffix" : "" }, { "dropping-particle" : "", "family" : "Naji", "given" : "Mohammad", "non-dropping-particle" : "", "parse-names" : false, "suffix" : "" } ], "container-title" : "BioFactors (Oxford, England)", "id" : "ITEM-2", "issue" : "2", "issued" : { "date-parts" : [ [ "2008" ] ] }, "page" : "99-106", "title" : "Insulin like growth factor-1 and insulin like growth factor binding proteins in the cerebrospinal fluid and serum from patients with Alzheimer's disease.", "type" : "article-journal", "volume" : "33" }, "uris" : [ "http://www.mendeley.com/documents/?uuid=c1b129fa-a29a-33f6-a321-ce1f8794d5a9" ] } ], "mendeley" : { "formattedCitation" : "(Tham et al. 1993; Salehi et al. 2008)", "plainTextFormattedCitation" : "(Tham et al. 1993; Salehi et al. 2008)", "previouslyFormattedCitation" : "(Tham et al. 1993; Salehi et al. 2008)" }, "properties" : { "noteIndex" : 0 }, "schema" : "https://github.com/citation-style-language/schema/raw/master/csl-citation.json" }</w:instrText>
      </w:r>
      <w:r w:rsidR="00CB1C76">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(Tham et al. 1993; Salehi et al. 2008)</w:t>
      </w:r>
      <w:r w:rsidR="00CB1C76">
        <w:rPr>
          <w:rFonts w:ascii="Times New Roman" w:hAnsi="Times New Roman" w:cs="Times New Roman"/>
          <w:color w:val="auto"/>
          <w:sz w:val="24"/>
          <w:szCs w:val="24"/>
        </w:rPr>
        <w:fldChar w:fldCharType="end"/>
      </w:r>
      <w:r w:rsidR="00CB1C76">
        <w:rPr>
          <w:rFonts w:ascii="Times New Roman" w:hAnsi="Times New Roman" w:cs="Times New Roman"/>
          <w:color w:val="auto"/>
          <w:sz w:val="24"/>
          <w:szCs w:val="24"/>
        </w:rPr>
        <w:t>.</w:t>
      </w:r>
    </w:p>
    <w:p w14:paraId="5281FFD3" w14:textId="140EF0FB" w:rsidR="00762CD8" w:rsidRDefault="00EF2AF4" w:rsidP="00EF2AF4">
      <w:pPr>
        <w:pStyle w:val="Body"/>
        <w:spacing w:line="360" w:lineRule="auto"/>
        <w:jc w:val="both"/>
        <w:rPr>
          <w:rFonts w:ascii="Times New Roman" w:hAnsi="Times New Roman" w:cs="Times New Roman"/>
          <w:sz w:val="24"/>
          <w:szCs w:val="24"/>
        </w:rPr>
      </w:pPr>
      <w:r w:rsidRPr="00EF2AF4">
        <w:rPr>
          <w:rFonts w:ascii="Times New Roman" w:hAnsi="Times New Roman" w:cs="Times New Roman"/>
          <w:sz w:val="24"/>
          <w:szCs w:val="24"/>
        </w:rPr>
        <w:t>At the receptor level, IGF1R has been shown to increase in astrocytes surrounding amyloid co</w:t>
      </w:r>
      <w:r w:rsidR="0044157A">
        <w:rPr>
          <w:rFonts w:ascii="Times New Roman" w:hAnsi="Times New Roman" w:cs="Times New Roman"/>
          <w:sz w:val="24"/>
          <w:szCs w:val="24"/>
        </w:rPr>
        <w:t>ntaining plaques in AD post-mortem cases</w:t>
      </w:r>
      <w:r w:rsidR="002F43C0">
        <w:rPr>
          <w:rFonts w:ascii="Times New Roman" w:hAnsi="Times New Roman" w:cs="Times New Roman"/>
          <w:sz w:val="24"/>
          <w:szCs w:val="24"/>
        </w:rPr>
        <w:t>, with an associated</w:t>
      </w:r>
      <w:r w:rsidR="00D80CF6">
        <w:rPr>
          <w:rFonts w:ascii="Times New Roman" w:hAnsi="Times New Roman" w:cs="Times New Roman"/>
          <w:sz w:val="24"/>
          <w:szCs w:val="24"/>
        </w:rPr>
        <w:t xml:space="preserve"> decrease in the levels of i</w:t>
      </w:r>
      <w:r w:rsidRPr="00EF2AF4">
        <w:rPr>
          <w:rFonts w:ascii="Times New Roman" w:hAnsi="Times New Roman" w:cs="Times New Roman"/>
          <w:sz w:val="24"/>
          <w:szCs w:val="24"/>
        </w:rPr>
        <w:t xml:space="preserve">nsulin like growth factor binding protein </w:t>
      </w:r>
      <w:r w:rsidR="004012C2">
        <w:rPr>
          <w:rFonts w:ascii="Times New Roman" w:hAnsi="Times New Roman" w:cs="Times New Roman"/>
          <w:sz w:val="24"/>
          <w:szCs w:val="24"/>
        </w:rPr>
        <w:t xml:space="preserve">2 </w:t>
      </w:r>
      <w:r w:rsidRPr="00EF2AF4">
        <w:rPr>
          <w:rFonts w:ascii="Times New Roman" w:hAnsi="Times New Roman" w:cs="Times New Roman"/>
          <w:sz w:val="24"/>
          <w:szCs w:val="24"/>
        </w:rPr>
        <w:t>(IGFBP</w:t>
      </w:r>
      <w:r w:rsidR="003B1C09">
        <w:rPr>
          <w:rFonts w:ascii="Times New Roman" w:hAnsi="Times New Roman" w:cs="Times New Roman"/>
          <w:sz w:val="24"/>
          <w:szCs w:val="24"/>
        </w:rPr>
        <w:t>2</w:t>
      </w:r>
      <w:r w:rsidRPr="00EF2AF4">
        <w:rPr>
          <w:rFonts w:ascii="Times New Roman" w:hAnsi="Times New Roman" w:cs="Times New Roman"/>
          <w:sz w:val="24"/>
          <w:szCs w:val="24"/>
        </w:rPr>
        <w:t>)</w:t>
      </w:r>
      <w:r w:rsidR="00F23201">
        <w:rPr>
          <w:rFonts w:ascii="Times New Roman" w:hAnsi="Times New Roman" w:cs="Times New Roman"/>
          <w:sz w:val="24"/>
          <w:szCs w:val="24"/>
        </w:rPr>
        <w:t xml:space="preserve"> </w:t>
      </w:r>
      <w:r w:rsidR="007D2400">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"10.1016/j.neurobiolaging.2008.04.002", "ISSN" : "1558-1497", "PMID" : "18479783", "abstract" : "Insulin like growth factor-1 receptor (IGF-1R) and insulin receptor (IR) signalling control vital growth, survival and metabolic functions in the brain. Here we describe specific and significant alterations in IGF-1R, IR, and their key substrate adaptor proteins IRS-1 and IRS-2 in Alzheimer's disease (AD). Western immunoblot analysis detected increased IGF-1R levels, and decreased levels of IGF-1-binding protein-2 (IGFBP-2), a major IGF-1-binding protein, in AD temporal cortex. Increased IGF-1R was observed surrounding and within amyloid-beta (Abeta)-containing plaques, also evident in an animal model of AD, and in astrocytes in AD. However, despite the overall increase in IGF-1R levels, a significantly lower number of neurons expressed IGF-1R in AD, and IGF-1R was aberrantly distributed in AD neurons especially evident in those with neurofibrillary tangles (NFTs). IR protein levels were similar in AD and control cases, however, the IR was concentrated intracellularly in AD neurons, unlike its distribution throughout the neuronal cell soma and in dendrites in control brain. Significant decreases in IRS-1 and IRS-2 levels were identified in AD neurons, in association with increased levels of inactivated phospho(Ser312)IRS-1 and phospho(Ser616)IRS-1, where increased levels of these phosphoserine epitopes colocalised strongly with NFTs. Our results show that IGF-1R and IR signalling is compromised in AD neurons and suggest that neurons that degenerate in AD may be resistant to IGF-1R/IR signalling.", "author" : [ { "dropping-particle" : "", "family" : "Moloney", "given" : "Aileen M", "non-dropping-particle" : "", "parse-names" : false, "suffix" : "" }, { "dropping-particle" : "", "family" : "Griffin", "given" : "Rebecca J", "non-dropping-particle" : "", "parse-names" : false, "suffix" : "" }, { "dropping-particle" : "", "family" : "Timmons", "given" : "Suzanne", "non-dropping-particle" : "", "parse-names" : false, "suffix" : "" }, { "dropping-particle" : "", "family" : "O'Connor", "given" : "Rosemary", "non-dropping-particle" : "", "parse-names" : false, "suffix" : "" }, { "dropping-particle" : "", "family" : "Ravid", "given" : "Rivka", "non-dropping-particle" : "", "parse-names" : false, "suffix" : "" }, { "dropping-particle" : "", "family" : "O'Neill", "given" : "Cora", "non-dropping-particle" : "", "parse-names" : false, "suffix" : "" } ], "container-title" : "Neurobiology of aging", "id" : "ITEM-1", "issue" : "2", "issued" : { "date-parts" : [ [ "2010", "2" ] ] }, "page" : "224-43", "title" : "Defects in IGF-1 receptor, insulin receptor and IRS-1/2 in Alzheimer's disease indicate possible resistance to IGF-1 and insulin signalling.", "type" : "article-journal", "volume" : "31" }, "uris" : [ "http://www.mendeley.com/documents/?uuid=bfaaf66e-5738-4923-89fc-a72fdf607c5e" ] } ], "mendeley" : { "formattedCitation" : "(Moloney et al. 2010a)", "manualFormatting" : "(Moloney et al., 2010)", "plainTextFormattedCitation" : "(Moloney et al. 2010a)", "previouslyFormattedCitation" : "(Moloney et al. 2010a)" }, "properties" : { "noteIndex" : 0 }, "schema" : "https://github.com/citation-style-language/schema/raw/master/csl-citation.json" }</w:instrText>
      </w:r>
      <w:r w:rsidR="007D2400">
        <w:rPr>
          <w:rFonts w:ascii="Times New Roman" w:hAnsi="Times New Roman" w:cs="Times New Roman"/>
          <w:sz w:val="24"/>
          <w:szCs w:val="24"/>
        </w:rPr>
        <w:fldChar w:fldCharType="separate"/>
      </w:r>
      <w:r w:rsidR="00B03CB1">
        <w:rPr>
          <w:rFonts w:ascii="Times New Roman" w:hAnsi="Times New Roman" w:cs="Times New Roman"/>
          <w:noProof/>
          <w:sz w:val="24"/>
          <w:szCs w:val="24"/>
        </w:rPr>
        <w:t>(Moloney et al., 2010</w:t>
      </w:r>
      <w:r w:rsidR="003A2434" w:rsidRPr="003A2434">
        <w:rPr>
          <w:rFonts w:ascii="Times New Roman" w:hAnsi="Times New Roman" w:cs="Times New Roman"/>
          <w:noProof/>
          <w:sz w:val="24"/>
          <w:szCs w:val="24"/>
        </w:rPr>
        <w:t>)</w:t>
      </w:r>
      <w:r w:rsidR="007D2400">
        <w:rPr>
          <w:rFonts w:ascii="Times New Roman" w:hAnsi="Times New Roman" w:cs="Times New Roman"/>
          <w:sz w:val="24"/>
          <w:szCs w:val="24"/>
        </w:rPr>
        <w:fldChar w:fldCharType="end"/>
      </w:r>
      <w:r w:rsidRPr="00EF2AF4">
        <w:rPr>
          <w:rFonts w:ascii="Times New Roman" w:hAnsi="Times New Roman" w:cs="Times New Roman"/>
          <w:sz w:val="24"/>
          <w:szCs w:val="24"/>
        </w:rPr>
        <w:t xml:space="preserve">. This </w:t>
      </w:r>
      <w:r w:rsidR="00B03CB1">
        <w:rPr>
          <w:rFonts w:ascii="Times New Roman" w:hAnsi="Times New Roman" w:cs="Times New Roman"/>
          <w:sz w:val="24"/>
          <w:szCs w:val="24"/>
        </w:rPr>
        <w:t>might suggest that</w:t>
      </w:r>
      <w:r w:rsidR="0044157A">
        <w:rPr>
          <w:rFonts w:ascii="Times New Roman" w:hAnsi="Times New Roman" w:cs="Times New Roman"/>
          <w:sz w:val="24"/>
          <w:szCs w:val="24"/>
        </w:rPr>
        <w:t xml:space="preserve"> astrocytes </w:t>
      </w:r>
      <w:r w:rsidR="00F23201">
        <w:rPr>
          <w:rFonts w:ascii="Times New Roman" w:hAnsi="Times New Roman" w:cs="Times New Roman"/>
          <w:sz w:val="24"/>
          <w:szCs w:val="24"/>
        </w:rPr>
        <w:t>have adapted</w:t>
      </w:r>
      <w:r w:rsidR="0044157A">
        <w:rPr>
          <w:rFonts w:ascii="Times New Roman" w:hAnsi="Times New Roman" w:cs="Times New Roman"/>
          <w:sz w:val="24"/>
          <w:szCs w:val="24"/>
        </w:rPr>
        <w:t xml:space="preserve"> to</w:t>
      </w:r>
      <w:r w:rsidR="00762CD8">
        <w:rPr>
          <w:rFonts w:ascii="Times New Roman" w:hAnsi="Times New Roman" w:cs="Times New Roman"/>
          <w:sz w:val="24"/>
          <w:szCs w:val="24"/>
        </w:rPr>
        <w:t xml:space="preserve"> reduced IGF1 ligand levels</w:t>
      </w:r>
      <w:r w:rsidR="0044157A">
        <w:rPr>
          <w:rFonts w:ascii="Times New Roman" w:hAnsi="Times New Roman" w:cs="Times New Roman"/>
          <w:sz w:val="24"/>
          <w:szCs w:val="24"/>
        </w:rPr>
        <w:t xml:space="preserve"> by upregulating IGF1 receptors</w:t>
      </w:r>
      <w:r w:rsidR="00F23201">
        <w:rPr>
          <w:rFonts w:ascii="Times New Roman" w:hAnsi="Times New Roman" w:cs="Times New Roman"/>
          <w:sz w:val="24"/>
          <w:szCs w:val="24"/>
        </w:rPr>
        <w:t xml:space="preserve"> and decreasing IGFBP2. In addition, increased activation of the IGF1 pathway c</w:t>
      </w:r>
      <w:r w:rsidRPr="00EF2AF4">
        <w:rPr>
          <w:rFonts w:ascii="Times New Roman" w:hAnsi="Times New Roman" w:cs="Times New Roman"/>
          <w:sz w:val="24"/>
          <w:szCs w:val="24"/>
        </w:rPr>
        <w:t>ould help prote</w:t>
      </w:r>
      <w:r w:rsidR="00DC2DFB">
        <w:rPr>
          <w:rFonts w:ascii="Times New Roman" w:hAnsi="Times New Roman" w:cs="Times New Roman"/>
          <w:sz w:val="24"/>
          <w:szCs w:val="24"/>
        </w:rPr>
        <w:t>ct against toxic Aβ aggregates</w:t>
      </w:r>
      <w:r w:rsidR="00B5644C">
        <w:rPr>
          <w:rFonts w:ascii="Times New Roman" w:hAnsi="Times New Roman" w:cs="Times New Roman"/>
          <w:sz w:val="24"/>
          <w:szCs w:val="24"/>
        </w:rPr>
        <w:t xml:space="preserve">, since </w:t>
      </w:r>
      <w:r w:rsidR="00F23201">
        <w:rPr>
          <w:rFonts w:ascii="Times New Roman" w:hAnsi="Times New Roman" w:cs="Times New Roman"/>
          <w:sz w:val="24"/>
          <w:szCs w:val="24"/>
        </w:rPr>
        <w:t>IGF1 regulates expression of proteins involved in clearance of Aβ,</w:t>
      </w:r>
      <w:r w:rsidR="00B5644C">
        <w:rPr>
          <w:rFonts w:ascii="Times New Roman" w:hAnsi="Times New Roman" w:cs="Times New Roman"/>
          <w:sz w:val="24"/>
          <w:szCs w:val="24"/>
        </w:rPr>
        <w:t xml:space="preserve"> </w:t>
      </w:r>
      <w:r w:rsidR="000206C4">
        <w:rPr>
          <w:rFonts w:ascii="Times New Roman" w:hAnsi="Times New Roman" w:cs="Times New Roman"/>
          <w:sz w:val="24"/>
          <w:szCs w:val="24"/>
        </w:rPr>
        <w:t xml:space="preserve">such as </w:t>
      </w:r>
      <w:r w:rsidR="00B5644C">
        <w:rPr>
          <w:rFonts w:ascii="Times New Roman" w:hAnsi="Times New Roman" w:cs="Times New Roman"/>
          <w:sz w:val="24"/>
          <w:szCs w:val="24"/>
        </w:rPr>
        <w:t>albumin and tra</w:t>
      </w:r>
      <w:r w:rsidR="00F23201">
        <w:rPr>
          <w:rFonts w:ascii="Times New Roman" w:hAnsi="Times New Roman" w:cs="Times New Roman"/>
          <w:sz w:val="24"/>
          <w:szCs w:val="24"/>
        </w:rPr>
        <w:t>nsthyretin</w:t>
      </w:r>
      <w:r w:rsidR="00B5644C">
        <w:rPr>
          <w:rFonts w:ascii="Times New Roman" w:hAnsi="Times New Roman" w:cs="Times New Roman"/>
          <w:sz w:val="24"/>
          <w:szCs w:val="24"/>
        </w:rPr>
        <w:t xml:space="preserve"> </w:t>
      </w:r>
      <w:r w:rsidR="00DC2DFB">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"10.1126/science.1124646", "ISSN" : "1095-9203", "PMID" : "16902091", "abstract" : "Aberrant protein aggregation is a common feature of late-onset neurodegenerative diseases, including Alzheimer's disease, which is associated with the misassembly of the Abeta(1-42) peptide. Aggregation-mediated Abeta(1-42) toxicity was reduced in Caenorhabditis elegans when aging was slowed by decreased insulin/insulin growth factor-1-like signaling (IIS). The downstream transcription factors, heat shock factor 1, and DAF-16 regulate opposing disaggregation and aggregation activities to promote cellular survival in response to constitutive toxic protein aggregation. Because the IIS pathway is central to the regulation of longevity and youthfulness in worms, flies, and mammals, these results suggest a mechanistic link between the aging process and aggregation-mediated proteotoxicity.", "author" : [ { "dropping-particle" : "", "family" : "Cohen", "given" : "Ehud", "non-dropping-particle" : "", "parse-names" : false, "suffix" : "" }, { "dropping-particle" : "", "family" : "Bieschke", "given" : "Jan", "non-dropping-particle" : "", "parse-names" : false, "suffix" : "" }, { "dropping-particle" : "", "family" : "Perciavalle", "given" : "Rhonda M", "non-dropping-particle" : "", "parse-names" : false, "suffix" : "" }, { "dropping-particle" : "", "family" : "Kelly", "given" : "Jeffery W", "non-dropping-particle" : "", "parse-names" : false, "suffix" : "" }, { "dropping-particle" : "", "family" : "Dillin", "given" : "Andrew", "non-dropping-particle" : "", "parse-names" : false, "suffix" : "" } ], "container-title" : "Science (New York, N.Y.)", "id" : "ITEM-1", "issue" : "5793", "issued" : { "date-parts" : [ [ "2006", "9", "15" ] ] }, "page" : "1604-10", "title" : "Opposing activities protect against age-onset proteotoxicity.", "type" : "article-journal", "volume" : "313" }, "uris" : [ "http://www.mendeley.com/documents/?uuid=702bf359-f760-4176-b27f-45daa683a3dd" ] }, { "id" : "ITEM-2", "itemData" : { "DOI" : "10.1016/j.cell.2009.11.014", "ISSN" : "1097-4172", "PMID" : "20005808", "abstract" : "The insulin/insulin growth factor (IGF) signaling (IIS) pathway is a key regulator of aging of worms, flies, mice, and likely humans. Delayed aging by IIS reduction protects the nematode C. elegans from toxicity associated with the aggregation of the Alzheimer's disease-linked human peptide, Abeta. We reduced IGF signaling in Alzheimer's model mice and discovered that these animals are protected from Alzheimer's-like disease symptoms, including reduced behavioral impairment, neuroinflammation, and neuronal loss. This protection is correlated with the hyperaggregation of Abeta leading to tightly packed, ordered plaques, suggesting that one aspect of the protection conferred by reduced IGF signaling is the sequestration of soluble Abeta oligomers into dense aggregates of lower toxicity. These findings indicate that the IGF signaling-regulated mechanism that protects from Abeta toxicity is conserved from worms to mammals and point to the modulation of this signaling pathway as a promising strategy for the development of Alzheimer's disease therapy.", "author" : [ { "dropping-particle" : "", "family" : "Cohen", "given" : "Ehud", "non-dropping-particle" : "", "parse-names" : false, "suffix" : "" }, { "dropping-particle" : "", "family" : "Paulsson", "given" : "Johan F", "non-dropping-particle" : "", "parse-names" : false, "suffix" : "" }, { "dropping-particle" : "", "family" : "Blinder", "given" : "Pablo", "non-dropping-particle" : "", "parse-names" : false, "suffix" : "" }, { "dropping-particle" : "", "family" : "Burstyn-Cohen", "given" : "Tal", "non-dropping-particle" : "", "parse-names" : false, "suffix" : "" }, { "dropping-particle" : "", "family" : "Du", "given" : "Deguo", "non-dropping-particle" : "", "parse-names" : false, "suffix" : "" }, { "dropping-particle" : "", "family" : "Estepa", "given" : "Gabriela", "non-dropping-particle" : "", "parse-names" : false, "suffix" : "" }, { "dropping-particle" : "", "family" : "Adame", "given" : "Anthony", "non-dropping-particle" : "", "parse-names" : false, "suffix" : "" }, { "dropping-particle" : "", "family" : "Pham", "given" : "Hang M", "non-dropping-particle" : "", "parse-names" : false, "suffix" : "" }, { "dropping-particle" : "", "family" : "Holzenberger", "given" : "Martin", "non-dropping-particle" : "", "parse-names" : false, "suffix" : "" }, { "dropping-particle" : "", "family" : "Kelly", "given" : "Jeffery W", "non-dropping-particle" : "", "parse-names" : false, "suffix" : "" }, { "dropping-particle" : "", "family" : "Masliah", "given" : "Eliezer", "non-dropping-particle" : "", "parse-names" : false, "suffix" : "" }, { "dropping-particle" : "", "family" : "Dillin", "given" : "Andrew", "non-dropping-particle" : "", "parse-names" : false, "suffix" : "" } ], "container-title" : "Cell", "id" : "ITEM-2", "issue" : "6", "issued" : { "date-parts" : [ [ "2009", "12", "11" ] ] }, "page" : "1157-69", "title" : "Reduced IGF-1 signaling delays age-associated proteotoxicity in mice.", "type" : "article-journal", "volume" : "139" }, "uris" : [ "http://www.mendeley.com/documents/?uuid=e9dd6d2f-5f0a-46cc-9cd7-31a281dc3b72" ] } ], "mendeley" : { "formattedCitation" : "(Cohen et al. 2006; Cohen et al. 2009a)", "manualFormatting" : "(Cohen et al., 2009, 2006)", "plainTextFormattedCitation" : "(Cohen et al. 2006; Cohen et al. 2009a)", "previouslyFormattedCitation" : "(Cohen et al. 2006; Cohen et al. 2009a)" }, "properties" : { "noteIndex" : 0 }, "schema" : "https://github.com/citation-style-language/schema/raw/master/csl-citation.json" }</w:instrText>
      </w:r>
      <w:r w:rsidR="00DC2DFB">
        <w:rPr>
          <w:rFonts w:ascii="Times New Roman" w:hAnsi="Times New Roman" w:cs="Times New Roman"/>
          <w:sz w:val="24"/>
          <w:szCs w:val="24"/>
        </w:rPr>
        <w:fldChar w:fldCharType="separate"/>
      </w:r>
      <w:r w:rsidR="004A14F5">
        <w:rPr>
          <w:rFonts w:ascii="Times New Roman" w:hAnsi="Times New Roman" w:cs="Times New Roman"/>
          <w:noProof/>
          <w:sz w:val="24"/>
          <w:szCs w:val="24"/>
        </w:rPr>
        <w:t>(Cohen et al., 2009</w:t>
      </w:r>
      <w:r w:rsidR="00970F4D" w:rsidRPr="00970F4D">
        <w:rPr>
          <w:rFonts w:ascii="Times New Roman" w:hAnsi="Times New Roman" w:cs="Times New Roman"/>
          <w:noProof/>
          <w:sz w:val="24"/>
          <w:szCs w:val="24"/>
        </w:rPr>
        <w:t>, 2006)</w:t>
      </w:r>
      <w:r w:rsidR="00DC2DFB">
        <w:rPr>
          <w:rFonts w:ascii="Times New Roman" w:hAnsi="Times New Roman" w:cs="Times New Roman"/>
          <w:sz w:val="24"/>
          <w:szCs w:val="24"/>
        </w:rPr>
        <w:fldChar w:fldCharType="end"/>
      </w:r>
      <w:r w:rsidR="003B1C09">
        <w:rPr>
          <w:rFonts w:ascii="Times New Roman" w:hAnsi="Times New Roman" w:cs="Times New Roman"/>
          <w:sz w:val="24"/>
          <w:szCs w:val="24"/>
        </w:rPr>
        <w:t xml:space="preserve">. Moloney </w:t>
      </w:r>
      <w:r w:rsidR="003B1C09" w:rsidRPr="00952BDE">
        <w:rPr>
          <w:rFonts w:ascii="Times New Roman" w:hAnsi="Times New Roman" w:cs="Times New Roman"/>
          <w:i/>
          <w:sz w:val="24"/>
          <w:szCs w:val="24"/>
        </w:rPr>
        <w:t>et al</w:t>
      </w:r>
      <w:r w:rsidR="003B1C09">
        <w:rPr>
          <w:rFonts w:ascii="Times New Roman" w:hAnsi="Times New Roman" w:cs="Times New Roman"/>
          <w:sz w:val="24"/>
          <w:szCs w:val="24"/>
        </w:rPr>
        <w:t xml:space="preserve"> (2010) also rep</w:t>
      </w:r>
      <w:r w:rsidR="00694CCC">
        <w:rPr>
          <w:rFonts w:ascii="Times New Roman" w:hAnsi="Times New Roman" w:cs="Times New Roman"/>
          <w:sz w:val="24"/>
          <w:szCs w:val="24"/>
        </w:rPr>
        <w:t>ort increased IGF1R expression withi</w:t>
      </w:r>
      <w:r w:rsidR="003B1C09">
        <w:rPr>
          <w:rFonts w:ascii="Times New Roman" w:hAnsi="Times New Roman" w:cs="Times New Roman"/>
          <w:sz w:val="24"/>
          <w:szCs w:val="24"/>
        </w:rPr>
        <w:t xml:space="preserve">n </w:t>
      </w:r>
      <w:r w:rsidR="00762CD8" w:rsidRPr="00EF2AF4">
        <w:rPr>
          <w:rFonts w:ascii="Times New Roman" w:hAnsi="Times New Roman" w:cs="Times New Roman"/>
          <w:sz w:val="24"/>
          <w:szCs w:val="24"/>
        </w:rPr>
        <w:t>Aβ</w:t>
      </w:r>
      <w:r w:rsidR="00762CD8">
        <w:rPr>
          <w:rFonts w:ascii="Times New Roman" w:hAnsi="Times New Roman" w:cs="Times New Roman"/>
          <w:sz w:val="24"/>
          <w:szCs w:val="24"/>
        </w:rPr>
        <w:t xml:space="preserve"> </w:t>
      </w:r>
      <w:r w:rsidR="003B1C09">
        <w:rPr>
          <w:rFonts w:ascii="Times New Roman" w:hAnsi="Times New Roman" w:cs="Times New Roman"/>
          <w:sz w:val="24"/>
          <w:szCs w:val="24"/>
        </w:rPr>
        <w:t>plaques</w:t>
      </w:r>
      <w:r w:rsidR="00762CD8">
        <w:rPr>
          <w:rFonts w:ascii="Times New Roman" w:hAnsi="Times New Roman" w:cs="Times New Roman"/>
          <w:sz w:val="24"/>
          <w:szCs w:val="24"/>
        </w:rPr>
        <w:t xml:space="preserve"> and NFTs and decreased expression</w:t>
      </w:r>
      <w:r w:rsidR="00694CCC">
        <w:rPr>
          <w:rFonts w:ascii="Times New Roman" w:hAnsi="Times New Roman" w:cs="Times New Roman"/>
          <w:sz w:val="24"/>
          <w:szCs w:val="24"/>
        </w:rPr>
        <w:t xml:space="preserve"> </w:t>
      </w:r>
      <w:r w:rsidR="003B1C09">
        <w:rPr>
          <w:rFonts w:ascii="Times New Roman" w:hAnsi="Times New Roman" w:cs="Times New Roman"/>
          <w:sz w:val="24"/>
          <w:szCs w:val="24"/>
        </w:rPr>
        <w:t>in neur</w:t>
      </w:r>
      <w:r w:rsidR="00694CCC">
        <w:rPr>
          <w:rFonts w:ascii="Times New Roman" w:hAnsi="Times New Roman" w:cs="Times New Roman"/>
          <w:sz w:val="24"/>
          <w:szCs w:val="24"/>
        </w:rPr>
        <w:t xml:space="preserve">ons, </w:t>
      </w:r>
      <w:r w:rsidR="00762CD8">
        <w:rPr>
          <w:rFonts w:ascii="Times New Roman" w:hAnsi="Times New Roman" w:cs="Times New Roman"/>
          <w:sz w:val="24"/>
          <w:szCs w:val="24"/>
        </w:rPr>
        <w:t>although</w:t>
      </w:r>
      <w:r w:rsidR="00694CCC">
        <w:rPr>
          <w:rFonts w:ascii="Times New Roman" w:hAnsi="Times New Roman" w:cs="Times New Roman"/>
          <w:sz w:val="24"/>
          <w:szCs w:val="24"/>
        </w:rPr>
        <w:t xml:space="preserve"> this was</w:t>
      </w:r>
      <w:r w:rsidR="003B1C09">
        <w:rPr>
          <w:rFonts w:ascii="Times New Roman" w:hAnsi="Times New Roman" w:cs="Times New Roman"/>
          <w:sz w:val="24"/>
          <w:szCs w:val="24"/>
        </w:rPr>
        <w:t xml:space="preserve"> attributed to neuronal atrophy</w:t>
      </w:r>
      <w:r w:rsidR="002F43C0">
        <w:rPr>
          <w:rFonts w:ascii="Times New Roman" w:hAnsi="Times New Roman" w:cs="Times New Roman"/>
          <w:sz w:val="24"/>
          <w:szCs w:val="24"/>
        </w:rPr>
        <w:t xml:space="preserve"> in the AD brain</w:t>
      </w:r>
      <w:r w:rsidR="003B1C09">
        <w:rPr>
          <w:rFonts w:ascii="Times New Roman" w:hAnsi="Times New Roman" w:cs="Times New Roman"/>
          <w:sz w:val="24"/>
          <w:szCs w:val="24"/>
        </w:rPr>
        <w:t>.</w:t>
      </w:r>
    </w:p>
    <w:p w14:paraId="0C799182" w14:textId="30E04F21" w:rsidR="00AB06FB" w:rsidRPr="00EF2AF4" w:rsidRDefault="00CC66CE" w:rsidP="00EF2AF4">
      <w:pPr>
        <w:pStyle w:val="Body"/>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In an adult APP/PS1 AD </w:t>
      </w:r>
      <w:r w:rsidR="00C27BEB">
        <w:rPr>
          <w:rFonts w:ascii="Times New Roman" w:hAnsi="Times New Roman" w:cs="Times New Roman"/>
          <w:sz w:val="24"/>
          <w:szCs w:val="24"/>
        </w:rPr>
        <w:t>with</w:t>
      </w:r>
      <w:r w:rsidR="00762CD8">
        <w:rPr>
          <w:rFonts w:ascii="Times New Roman" w:hAnsi="Times New Roman" w:cs="Times New Roman"/>
          <w:sz w:val="24"/>
          <w:szCs w:val="24"/>
        </w:rPr>
        <w:t xml:space="preserve"> an</w:t>
      </w:r>
      <w:r w:rsidR="00C27BEB">
        <w:rPr>
          <w:rFonts w:ascii="Times New Roman" w:hAnsi="Times New Roman" w:cs="Times New Roman"/>
          <w:sz w:val="24"/>
          <w:szCs w:val="24"/>
        </w:rPr>
        <w:t xml:space="preserve"> inducible knockout of neuronal IGF1R</w:t>
      </w:r>
      <w:r w:rsidR="008967B7">
        <w:rPr>
          <w:rFonts w:ascii="Times New Roman" w:hAnsi="Times New Roman" w:cs="Times New Roman"/>
          <w:sz w:val="24"/>
          <w:szCs w:val="24"/>
        </w:rPr>
        <w:t xml:space="preserve"> (ADINKO mice)</w:t>
      </w:r>
      <w:r w:rsidR="00BE1C9D">
        <w:rPr>
          <w:rFonts w:ascii="Times New Roman" w:hAnsi="Times New Roman" w:cs="Times New Roman"/>
          <w:sz w:val="24"/>
          <w:szCs w:val="24"/>
        </w:rPr>
        <w:t>, impaired IGF1 signalling allev</w:t>
      </w:r>
      <w:r w:rsidR="00C27BEB">
        <w:rPr>
          <w:rFonts w:ascii="Times New Roman" w:hAnsi="Times New Roman" w:cs="Times New Roman"/>
          <w:sz w:val="24"/>
          <w:szCs w:val="24"/>
        </w:rPr>
        <w:t>iate</w:t>
      </w:r>
      <w:r w:rsidR="00762CD8">
        <w:rPr>
          <w:rFonts w:ascii="Times New Roman" w:hAnsi="Times New Roman" w:cs="Times New Roman"/>
          <w:sz w:val="24"/>
          <w:szCs w:val="24"/>
        </w:rPr>
        <w:t>s</w:t>
      </w:r>
      <w:r w:rsidR="00C27BEB">
        <w:rPr>
          <w:rFonts w:ascii="Times New Roman" w:hAnsi="Times New Roman" w:cs="Times New Roman"/>
          <w:sz w:val="24"/>
          <w:szCs w:val="24"/>
        </w:rPr>
        <w:t xml:space="preserve"> </w:t>
      </w:r>
      <w:r w:rsidR="008967B7">
        <w:rPr>
          <w:rFonts w:ascii="Times New Roman" w:hAnsi="Times New Roman" w:cs="Times New Roman"/>
          <w:sz w:val="24"/>
          <w:szCs w:val="24"/>
        </w:rPr>
        <w:t xml:space="preserve">soluble and insoluble </w:t>
      </w:r>
      <w:r w:rsidR="00762CD8" w:rsidRPr="00EF2AF4">
        <w:rPr>
          <w:rFonts w:ascii="Times New Roman" w:hAnsi="Times New Roman" w:cs="Times New Roman"/>
          <w:sz w:val="24"/>
          <w:szCs w:val="24"/>
        </w:rPr>
        <w:t>Aβ</w:t>
      </w:r>
      <w:r w:rsidR="00762CD8">
        <w:rPr>
          <w:rFonts w:ascii="Times New Roman" w:hAnsi="Times New Roman" w:cs="Times New Roman"/>
          <w:sz w:val="24"/>
          <w:szCs w:val="24"/>
        </w:rPr>
        <w:t xml:space="preserve"> </w:t>
      </w:r>
      <w:r w:rsidR="00C27BEB">
        <w:rPr>
          <w:rFonts w:ascii="Times New Roman" w:hAnsi="Times New Roman" w:cs="Times New Roman"/>
          <w:sz w:val="24"/>
          <w:szCs w:val="24"/>
        </w:rPr>
        <w:t>accumulation.</w:t>
      </w:r>
      <w:r>
        <w:rPr>
          <w:rFonts w:ascii="Times New Roman" w:hAnsi="Times New Roman" w:cs="Times New Roman"/>
          <w:sz w:val="24"/>
          <w:szCs w:val="24"/>
        </w:rPr>
        <w:t xml:space="preserve"> These mice had</w:t>
      </w:r>
      <w:r w:rsidR="00DB0272">
        <w:rPr>
          <w:rFonts w:ascii="Times New Roman" w:hAnsi="Times New Roman" w:cs="Times New Roman"/>
          <w:sz w:val="24"/>
          <w:szCs w:val="24"/>
        </w:rPr>
        <w:t xml:space="preserve"> </w:t>
      </w:r>
      <w:r w:rsidR="00C27BEB">
        <w:rPr>
          <w:rFonts w:ascii="Times New Roman" w:hAnsi="Times New Roman" w:cs="Times New Roman"/>
          <w:sz w:val="24"/>
          <w:szCs w:val="24"/>
        </w:rPr>
        <w:t>reductions in neuronal soma size</w:t>
      </w:r>
      <w:r w:rsidR="008967B7">
        <w:rPr>
          <w:rFonts w:ascii="Times New Roman" w:hAnsi="Times New Roman" w:cs="Times New Roman"/>
          <w:color w:val="auto"/>
          <w:sz w:val="24"/>
          <w:szCs w:val="24"/>
        </w:rPr>
        <w:t>, sustaine</w:t>
      </w:r>
      <w:r w:rsidR="006D3C13">
        <w:rPr>
          <w:rFonts w:ascii="Times New Roman" w:hAnsi="Times New Roman" w:cs="Times New Roman"/>
          <w:color w:val="auto"/>
          <w:sz w:val="24"/>
          <w:szCs w:val="24"/>
        </w:rPr>
        <w:t>d downregulation of the PI3K-Akt</w:t>
      </w:r>
      <w:r w:rsidR="008967B7">
        <w:rPr>
          <w:rFonts w:ascii="Times New Roman" w:hAnsi="Times New Roman" w:cs="Times New Roman"/>
          <w:color w:val="auto"/>
          <w:sz w:val="24"/>
          <w:szCs w:val="24"/>
        </w:rPr>
        <w:t xml:space="preserve">-mTOR signalling pathway and decreased levels of the autophagosome marker LC3II, which was associated with decreased autophagic vacuoles </w:t>
      </w:r>
      <w:r w:rsidR="00F155A2">
        <w:rPr>
          <w:rFonts w:ascii="Times New Roman" w:hAnsi="Times New Roman" w:cs="Times New Roman"/>
          <w:color w:val="auto"/>
          <w:sz w:val="24"/>
          <w:szCs w:val="24"/>
        </w:rPr>
        <w:t xml:space="preserve">containing </w:t>
      </w:r>
      <w:r w:rsidR="00F155A2" w:rsidRPr="00EF2AF4">
        <w:rPr>
          <w:rFonts w:ascii="Times New Roman" w:hAnsi="Times New Roman" w:cs="Times New Roman"/>
          <w:sz w:val="24"/>
          <w:szCs w:val="24"/>
        </w:rPr>
        <w:t>Aβ</w:t>
      </w:r>
      <w:r w:rsidR="00F155A2">
        <w:rPr>
          <w:rFonts w:ascii="Times New Roman" w:hAnsi="Times New Roman" w:cs="Times New Roman"/>
          <w:sz w:val="24"/>
          <w:szCs w:val="24"/>
        </w:rPr>
        <w:t>. In addition, female ADINKO mice showed improvements in cognition and behaviour compared with wild-type mice</w:t>
      </w:r>
      <w:r w:rsidR="00F155A2">
        <w:rPr>
          <w:rFonts w:ascii="Times New Roman" w:hAnsi="Times New Roman" w:cs="Times New Roman"/>
          <w:color w:val="auto"/>
          <w:sz w:val="24"/>
          <w:szCs w:val="24"/>
        </w:rPr>
        <w:t xml:space="preserve"> </w:t>
      </w:r>
      <w:r w:rsidR="00C27BEB">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"10.1523/JNEUROSCI.0343-15.2015", "ISSN" : "1529-2401", "PMID" : "26290229", "abstract" : "UNLABELLED Alzheimer's disease (AD) is a frequent and irreversible age-related neurodegeneration without efficient treatment. Experimental AD in mice responds positively to decreased insulin-like growth factor I (IGF-I) signaling, a pathway also implicated in aging. Here we aimed to protect the aging brain from devastating amyloid pathology by making specifically adult neurons resistant to IGF signaling. To achieve that, we knocked out neuronal IGF-1R during adulthood in APP/PS1 mice. We found that mutants exhibited improved spatial memory and reduced anxiety. Mutant brains displayed fewer amyloid plaques, less amyloid-\u03b2 (A\u03b2), and diminished neuroinflammation. Surprisingly, adult neurons undergoing IGF-1R knock-out reduced their apical soma and developed leaner dendrites, indicative of remarkable structural plasticity entailing condensed forebrain neuroarchitecture. Neurons lacking IGF-1R in AD showed less accumulation of A\u03b2-containing autophagic vacuoles. At the same time, plasma A\u03b2 levels were increased. Our data indicate that neuronal IGF-1R ablation, via preserved autophagic compartment and enhanced systemic elimination, offers lifelong protection from AD pathology by clearing toxic A\u03b2. Neuronal IGF-1R, and possibly other cell size-controlling pathways are promising targets for AD treatment. SIGNIFICANCE STATEMENT We found compelling evidence in vivo that Alzheimer's disease (AD) progression is significantly delayed when insulin-like growth factor (IGF) signaling is blocked in adult neurons. To show that, we built a novel mouse model, combining inducible neuron-specific IGF-1R knock-out with AD transgenics. Analysis of the experimental AD phenotype revealed less abundant amyloid-\u03b2 (A\u03b2) peptides, fewer plaques, and diminished neuroinflammation in mutants with inactivated IGF signaling, together with clearly preserved behavioral and memory performances. We present for the first time evidence that IGF signaling has profound effects on neuronal proteostasis and maintenance of cell morphology in vivo. Our results indicate in a model highly pertinent to translational research that neuronal IGF resistance may represent a pathophysiologically relevant mechanism of the brain for preventing A\u03b2 accumulation.", "author" : [ { "dropping-particle" : "", "family" : "Gontier", "given" : "G\u00e9raldine", "non-dropping-particle" : "", "parse-names" : false, "suffix" : "" }, { "dropping-particle" : "", "family" : "George", "given" : "Caroline", "non-dropping-particle" : "", "parse-names" : false, "suffix" : "" }, { "dropping-particle" : "", "family" : "Chaker", "given" : "Zayna", "non-dropping-particle" : "", "parse-names" : false, "suffix" : "" }, { "dropping-particle" : "", "family" : "Holzenberger", "given" : "Martin", "non-dropping-particle" : "", "parse-names" : false, "suffix" : "" }, { "dropping-particle" : "", "family" : "A\u00efd", "given" : "Saba", "non-dropping-particle" : "", "parse-names" : false, "suffix" : "" } ], "container-title" : "The Journal of neuroscience : the official journal of the Society for Neuroscience", "id" : "ITEM-1", "issue" : "33", "issued" : { "date-parts" : [ [ "2015", "8", "19" ] ] }, "page" : "11500-13", "title" : "Blocking IGF Signaling in Adult Neurons Alleviates Alzheimer's Disease Pathology through Amyloid-\u03b2 Clearance.", "type" : "article-journal", "volume" : "35" }, "uris" : [ "http://www.mendeley.com/documents/?uuid=854af803-a493-3888-a02f-b1dcdcb83a71" ] } ], "mendeley" : { "formattedCitation" : "(Gontier et al. 2015)", "plainTextFormattedCitation" : "(Gontier et al. 2015)", "previouslyFormattedCitation" : "(Gontier et al. 2015)" }, "properties" : { "noteIndex" : 0 }, "schema" : "https://github.com/citation-style-language/schema/raw/master/csl-citation.json" }</w:instrText>
      </w:r>
      <w:r w:rsidR="00C27BEB">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(Gontier et al. 2015)</w:t>
      </w:r>
      <w:r w:rsidR="00C27BEB">
        <w:rPr>
          <w:rFonts w:ascii="Times New Roman" w:hAnsi="Times New Roman" w:cs="Times New Roman"/>
          <w:sz w:val="24"/>
          <w:szCs w:val="24"/>
        </w:rPr>
        <w:fldChar w:fldCharType="end"/>
      </w:r>
      <w:r w:rsidR="00C27BEB">
        <w:rPr>
          <w:rFonts w:ascii="Times New Roman" w:hAnsi="Times New Roman" w:cs="Times New Roman"/>
          <w:sz w:val="24"/>
          <w:szCs w:val="24"/>
        </w:rPr>
        <w:t xml:space="preserve">. </w:t>
      </w:r>
      <w:r w:rsidR="00906CF3">
        <w:rPr>
          <w:rFonts w:ascii="Times New Roman" w:hAnsi="Times New Roman" w:cs="Times New Roman"/>
          <w:sz w:val="24"/>
          <w:szCs w:val="24"/>
        </w:rPr>
        <w:t>T</w:t>
      </w:r>
      <w:r w:rsidR="006C097E">
        <w:rPr>
          <w:rFonts w:ascii="Times New Roman" w:hAnsi="Times New Roman" w:cs="Times New Roman"/>
          <w:sz w:val="24"/>
          <w:szCs w:val="24"/>
        </w:rPr>
        <w:t>his study is</w:t>
      </w:r>
      <w:r w:rsidR="00906CF3">
        <w:rPr>
          <w:rFonts w:ascii="Times New Roman" w:hAnsi="Times New Roman" w:cs="Times New Roman"/>
          <w:sz w:val="24"/>
          <w:szCs w:val="24"/>
        </w:rPr>
        <w:t xml:space="preserve"> also</w:t>
      </w:r>
      <w:r w:rsidR="006C097E">
        <w:rPr>
          <w:rFonts w:ascii="Times New Roman" w:hAnsi="Times New Roman" w:cs="Times New Roman"/>
          <w:sz w:val="24"/>
          <w:szCs w:val="24"/>
        </w:rPr>
        <w:t xml:space="preserve"> consistent with</w:t>
      </w:r>
      <w:r w:rsidR="00D1723C">
        <w:rPr>
          <w:rFonts w:ascii="Times New Roman" w:hAnsi="Times New Roman" w:cs="Times New Roman"/>
          <w:sz w:val="24"/>
          <w:szCs w:val="24"/>
        </w:rPr>
        <w:t xml:space="preserve"> </w:t>
      </w:r>
      <w:r w:rsidR="00D80CF6">
        <w:rPr>
          <w:rFonts w:ascii="Times New Roman" w:hAnsi="Times New Roman" w:cs="Times New Roman"/>
          <w:sz w:val="24"/>
          <w:szCs w:val="24"/>
        </w:rPr>
        <w:t xml:space="preserve">previous </w:t>
      </w:r>
      <w:r w:rsidR="00F771FB">
        <w:rPr>
          <w:rFonts w:ascii="Times New Roman" w:hAnsi="Times New Roman" w:cs="Times New Roman"/>
          <w:sz w:val="24"/>
          <w:szCs w:val="24"/>
        </w:rPr>
        <w:t>studies</w:t>
      </w:r>
      <w:r w:rsidR="00D80CF6">
        <w:rPr>
          <w:rFonts w:ascii="Times New Roman" w:hAnsi="Times New Roman" w:cs="Times New Roman"/>
          <w:sz w:val="24"/>
          <w:szCs w:val="24"/>
        </w:rPr>
        <w:t>,</w:t>
      </w:r>
      <w:r w:rsidR="00D1723C">
        <w:rPr>
          <w:rFonts w:ascii="Times New Roman" w:hAnsi="Times New Roman" w:cs="Times New Roman"/>
          <w:sz w:val="24"/>
          <w:szCs w:val="24"/>
        </w:rPr>
        <w:t xml:space="preserve"> showing that</w:t>
      </w:r>
      <w:r w:rsidR="006C097E">
        <w:rPr>
          <w:rFonts w:ascii="Times New Roman" w:hAnsi="Times New Roman" w:cs="Times New Roman"/>
          <w:sz w:val="24"/>
          <w:szCs w:val="24"/>
        </w:rPr>
        <w:t xml:space="preserve"> loss of</w:t>
      </w:r>
      <w:r w:rsidR="00D80CF6">
        <w:rPr>
          <w:rFonts w:ascii="Times New Roman" w:hAnsi="Times New Roman" w:cs="Times New Roman"/>
          <w:sz w:val="24"/>
          <w:szCs w:val="24"/>
        </w:rPr>
        <w:t xml:space="preserve"> neuronal</w:t>
      </w:r>
      <w:r w:rsidR="006C097E">
        <w:rPr>
          <w:rFonts w:ascii="Times New Roman" w:hAnsi="Times New Roman" w:cs="Times New Roman"/>
          <w:sz w:val="24"/>
          <w:szCs w:val="24"/>
        </w:rPr>
        <w:t xml:space="preserve"> IGF1R </w:t>
      </w:r>
      <w:r w:rsidR="00D1723C">
        <w:rPr>
          <w:rFonts w:ascii="Times New Roman" w:hAnsi="Times New Roman" w:cs="Times New Roman"/>
          <w:sz w:val="24"/>
          <w:szCs w:val="24"/>
        </w:rPr>
        <w:t>in</w:t>
      </w:r>
      <w:r w:rsidR="008B5930">
        <w:rPr>
          <w:rFonts w:ascii="Times New Roman" w:hAnsi="Times New Roman" w:cs="Times New Roman"/>
          <w:sz w:val="24"/>
          <w:szCs w:val="24"/>
        </w:rPr>
        <w:t xml:space="preserve"> two different AD mouse models</w:t>
      </w:r>
      <w:r w:rsidR="00C27BEB">
        <w:rPr>
          <w:rFonts w:ascii="Times New Roman" w:hAnsi="Times New Roman" w:cs="Times New Roman"/>
          <w:sz w:val="24"/>
          <w:szCs w:val="24"/>
        </w:rPr>
        <w:t xml:space="preserve"> </w:t>
      </w:r>
      <w:r w:rsidR="00D1723C">
        <w:rPr>
          <w:rFonts w:ascii="Times New Roman" w:hAnsi="Times New Roman" w:cs="Times New Roman"/>
          <w:sz w:val="24"/>
          <w:szCs w:val="24"/>
        </w:rPr>
        <w:t>allev</w:t>
      </w:r>
      <w:r w:rsidR="00F771FB">
        <w:rPr>
          <w:rFonts w:ascii="Times New Roman" w:hAnsi="Times New Roman" w:cs="Times New Roman"/>
          <w:sz w:val="24"/>
          <w:szCs w:val="24"/>
        </w:rPr>
        <w:t>iate</w:t>
      </w:r>
      <w:r w:rsidR="00D1723C">
        <w:rPr>
          <w:rFonts w:ascii="Times New Roman" w:hAnsi="Times New Roman" w:cs="Times New Roman"/>
          <w:sz w:val="24"/>
          <w:szCs w:val="24"/>
        </w:rPr>
        <w:t xml:space="preserve">s AD associated cognitive deficits </w:t>
      </w:r>
      <w:r w:rsidR="00194A3D">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"10.1096/fj.09-132043", "ISSN" : "1530-6860", "PMID" : "19487308", "abstract" : "Alzheimer's disease (AD) is characterized by progressive neurodegeneration leading to loss of cognitive abilities and ultimately to death. Postmortem investigations revealed decreased expression of cerebral insulin-like growth factor (IGF)-1 receptor (IGF-1R) and insulin receptor substrate (IRS) proteins in patients with AD. To elucidate the role of insulin/IGF-1 signaling in AD, we crossed mice expressing the Swedish mutation of amyloid precursor protein (APP(SW), Tg2576 mice) as a model for AD with mice deficient for either IRS-2, neuronal IGF-1R (nIGF-1R(-/-)), or neuronal insulin receptor (nIR(-/-)), and analyzed survival, glucose, and APP metabolism. In the present study, we show that IRS-2 deficiency in Tg2576 mice completely reverses premature mortality in Tg2576 females and delays beta-amyloid (Abeta) accumulation. Analysis of APP metabolism suggested that delayed Abeta accumulation resulted from decreased APP processing. To delineate the upstream signal responsible for IRS-2-mediated disease protection, we analyzed mice with nIGF-1R or nIR deficiency predominantly in the hippocampus. Interestingly, both male and female nIGF-1R(-/-)Tg2576 mice were protected from premature death in the presence of decreased Abeta accumulation specifically in the hippocampus formation. However, neuronal IR deletion had no influence on lethality of Tg2576 mice. Thus, impaired IGF-1/IRS-2 signaling prevents premature death and delays amyloid accumulation in a model of AD.", "author" : [ { "dropping-particle" : "", "family" : "Freude", "given" : "Susanna", "non-dropping-particle" : "", "parse-names" : false, "suffix" : "" }, { "dropping-particle" : "", "family" : "Hettich", "given" : "Moritz M", "non-dropping-particle" : "", "parse-names" : false, "suffix" : "" }, { "dropping-particle" : "", "family" : "Schumann", "given" : "Christina", "non-dropping-particle" : "", "parse-names" : false, "suffix" : "" }, { "dropping-particle" : "", "family" : "St\u00f6hr", "given" : "Oliver", "non-dropping-particle" : "", "parse-names" : false, "suffix" : "" }, { "dropping-particle" : "", "family" : "Koch", "given" : "Linda", "non-dropping-particle" : "", "parse-names" : false, "suffix" : "" }, { "dropping-particle" : "", "family" : "K\u00f6hler", "given" : "Christoph", "non-dropping-particle" : "", "parse-names" : false, "suffix" : "" }, { "dropping-particle" : "", "family" : "Udelhoven", "given" : "Michael", "non-dropping-particle" : "", "parse-names" : false, "suffix" : "" }, { "dropping-particle" : "", "family" : "Leeser", "given" : "Uschi", "non-dropping-particle" : "", "parse-names" : false, "suffix" : "" }, { "dropping-particle" : "", "family" : "M\u00fcller", "given" : "Marita", "non-dropping-particle" : "", "parse-names" : false, "suffix" : "" }, { "dropping-particle" : "", "family" : "Kubota", "given" : "Naoto", "non-dropping-particle" : "", "parse-names" : false, "suffix" : "" }, { "dropping-particle" : "", "family" : "Kadowaki", "given" : "Takashi", "non-dropping-particle" : "", "parse-names" : false, "suffix" : "" }, { "dropping-particle" : "", "family" : "Krone", "given" : "Wilhelm", "non-dropping-particle" : "", "parse-names" : false, "suffix" : "" }, { "dropping-particle" : "", "family" : "Schr\u00f6der", "given" : "Hannsj\u00f6rg", "non-dropping-particle" : "", "parse-names" : false, "suffix" : "" }, { "dropping-particle" : "", "family" : "Br\u00fcning", "given" : "Jens C", "non-dropping-particle" : "", "parse-names" : false, "suffix" : "" }, { "dropping-particle" : "", "family" : "Schubert", "given" : "Markus", "non-dropping-particle" : "", "parse-names" : false, "suffix" : "" } ], "container-title" : "FASEB journal : official publication of the Federation of American Societies for Experimental Biology", "id" : "ITEM-1", "issue" : "10", "issued" : { "date-parts" : [ [ "2009", "10" ] ] }, "page" : "3315-24", "title" : "Neuronal IGF-1 resistance reduces Abeta accumulation and protects against premature death in a model of Alzheimer's disease.", "type" : "article-journal", "volume" : "23" }, "uris" : [ "http://www.mendeley.com/documents/?uuid=dd249b72-293a-4ef1-8610-a5acf9592408" ] }, { "id" : "ITEM-2", "itemData" : { "DOI" : "10.1016/j.cell.2009.11.014", "ISSN" : "1097-4172", "PMID" : "20005808", "abstract" : "The insulin/insulin growth factor (IGF) signaling (IIS) pathway is a key regulator of aging of worms, flies, mice, and likely humans. Delayed aging by IIS reduction protects the nematode C. elegans from toxicity associated with the aggregation of the Alzheimer's disease-linked human peptide, Abeta. We reduced IGF signaling in Alzheimer's model mice and discovered that these animals are protected from Alzheimer's-like disease symptoms, including reduced behavioral impairment, neuroinflammation, and neuronal loss. This protection is correlated with the hyperaggregation of Abeta leading to tightly packed, ordered plaques, suggesting that one aspect of the protection conferred by reduced IGF signaling is the sequestration of soluble Abeta oligomers into dense aggregates of lower toxicity. These findings indicate that the IGF signaling-regulated mechanism that protects from Abeta toxicity is conserved from worms to mammals and point to the modulation of this signaling pathway as a promising strategy for the development of Alzheimer's disease therapy.", "author" : [ { "dropping-particle" : "", "family" : "Cohen", "given" : "Ehud", "non-dropping-particle" : "", "parse-names" : false, "suffix" : "" }, { "dropping-particle" : "", "family" : "Paulsson", "given" : "Johan F", "non-dropping-particle" : "", "parse-names" : false, "suffix" : "" }, { "dropping-particle" : "", "family" : "Blinder", "given" : "Pablo", "non-dropping-particle" : "", "parse-names" : false, "suffix" : "" }, { "dropping-particle" : "", "family" : "Burstyn-Cohen", "given" : "Tal", "non-dropping-particle" : "", "parse-names" : false, "suffix" : "" }, { "dropping-particle" : "", "family" : "Du", "given" : "Deguo", "non-dropping-particle" : "", "parse-names" : false, "suffix" : "" }, { "dropping-particle" : "", "family" : "Estepa", "given" : "Gabriela", "non-dropping-particle" : "", "parse-names" : false, "suffix" : "" }, { "dropping-particle" : "", "family" : "Adame", "given" : "Anthony", "non-dropping-particle" : "", "parse-names" : false, "suffix" : "" }, { "dropping-particle" : "", "family" : "Pham", "given" : "Hang M", "non-dropping-particle" : "", "parse-names" : false, "suffix" : "" }, { "dropping-particle" : "", "family" : "Holzenberger", "given" : "Martin", "non-dropping-particle" : "", "parse-names" : false, "suffix" : "" }, { "dropping-particle" : "", "family" : "Kelly", "given" : "Jeffery W", "non-dropping-particle" : "", "parse-names" : false, "suffix" : "" }, { "dropping-particle" : "", "family" : "Masliah", "given" : "Eliezer", "non-dropping-particle" : "", "parse-names" : false, "suffix" : "" }, { "dropping-particle" : "", "family" : "Dillin", "given" : "Andrew", "non-dropping-particle" : "", "parse-names" : false, "suffix" : "" } ], "container-title" : "Cell", "id" : "ITEM-2", "issue" : "6", "issued" : { "date-parts" : [ [ "2009", "12", "11" ] ] }, "page" : "1157-69", "title" : "Reduced IGF-1 signaling delays age-associated proteotoxicity in mice.", "type" : "article-journal", "volume" : "139" }, "uris" : [ "http://www.mendeley.com/documents/?uuid=e9dd6d2f-5f0a-46cc-9cd7-31a281dc3b72" ] } ], "mendeley" : { "formattedCitation" : "(Freude et al. 2009; Cohen et al. 2009a)", "manualFormatting" : "(Cohen et al., 2009; Susanna Freude et al., 2009)", "plainTextFormattedCitation" : "(Freude et al. 2009; Cohen et al. 2009a)", "previouslyFormattedCitation" : "(Freude et al. 2009; Cohen et al. 2009a)" }, "properties" : { "noteIndex" : 0 }, "schema" : "https://github.com/citation-style-language/schema/raw/master/csl-citation.json" }</w:instrText>
      </w:r>
      <w:r w:rsidR="00194A3D">
        <w:rPr>
          <w:rFonts w:ascii="Times New Roman" w:hAnsi="Times New Roman" w:cs="Times New Roman"/>
          <w:sz w:val="24"/>
          <w:szCs w:val="24"/>
        </w:rPr>
        <w:fldChar w:fldCharType="separate"/>
      </w:r>
      <w:r w:rsidR="00CA2976">
        <w:rPr>
          <w:rFonts w:ascii="Times New Roman" w:hAnsi="Times New Roman" w:cs="Times New Roman"/>
          <w:noProof/>
          <w:sz w:val="24"/>
          <w:szCs w:val="24"/>
        </w:rPr>
        <w:t>(Cohen et al., 2009</w:t>
      </w:r>
      <w:r w:rsidR="00970F4D" w:rsidRPr="00970F4D">
        <w:rPr>
          <w:rFonts w:ascii="Times New Roman" w:hAnsi="Times New Roman" w:cs="Times New Roman"/>
          <w:noProof/>
          <w:sz w:val="24"/>
          <w:szCs w:val="24"/>
        </w:rPr>
        <w:t>; Susanna Freude et al., 2009)</w:t>
      </w:r>
      <w:r w:rsidR="00194A3D">
        <w:rPr>
          <w:rFonts w:ascii="Times New Roman" w:hAnsi="Times New Roman" w:cs="Times New Roman"/>
          <w:sz w:val="24"/>
          <w:szCs w:val="24"/>
        </w:rPr>
        <w:fldChar w:fldCharType="end"/>
      </w:r>
      <w:r w:rsidR="00FD43BB">
        <w:rPr>
          <w:rFonts w:ascii="Times New Roman" w:hAnsi="Times New Roman" w:cs="Times New Roman"/>
          <w:sz w:val="24"/>
          <w:szCs w:val="24"/>
        </w:rPr>
        <w:t>.</w:t>
      </w:r>
    </w:p>
    <w:p w14:paraId="3892CA51" w14:textId="77777777" w:rsidR="00715D31" w:rsidRDefault="00715D31" w:rsidP="00715D31">
      <w:pPr>
        <w:pStyle w:val="Body"/>
        <w:spacing w:line="240" w:lineRule="auto"/>
        <w:jc w:val="both"/>
        <w:rPr>
          <w:rFonts w:ascii="Times New Roman" w:hAnsi="Times New Roman" w:cs="Times New Roman"/>
          <w:b/>
          <w:i/>
          <w:sz w:val="24"/>
          <w:szCs w:val="24"/>
          <w:u w:val="single"/>
        </w:rPr>
      </w:pPr>
      <w:r>
        <w:rPr>
          <w:rFonts w:ascii="Times New Roman" w:hAnsi="Times New Roman" w:cs="Times New Roman"/>
          <w:b/>
          <w:i/>
          <w:sz w:val="24"/>
          <w:szCs w:val="24"/>
          <w:u w:val="single"/>
        </w:rPr>
        <w:t>Insulin and IR</w:t>
      </w:r>
    </w:p>
    <w:p w14:paraId="174DBF49" w14:textId="5AD258AF" w:rsidR="00F60A0B" w:rsidRPr="00715D31" w:rsidRDefault="00B5644C" w:rsidP="00F60A0B">
      <w:pPr>
        <w:pStyle w:val="Body"/>
        <w:spacing w:line="360" w:lineRule="auto"/>
        <w:jc w:val="both"/>
        <w:rPr>
          <w:rFonts w:ascii="Times New Roman" w:hAnsi="Times New Roman" w:cs="Times New Roman"/>
          <w:b/>
          <w:i/>
          <w:sz w:val="24"/>
          <w:szCs w:val="24"/>
          <w:u w:val="single"/>
        </w:rPr>
      </w:pPr>
      <w:r>
        <w:rPr>
          <w:rFonts w:ascii="Times New Roman" w:hAnsi="Times New Roman" w:cs="Times New Roman"/>
          <w:sz w:val="24"/>
          <w:szCs w:val="24"/>
        </w:rPr>
        <w:t>Variable</w:t>
      </w:r>
      <w:r w:rsidR="00EF2AF4" w:rsidRPr="00EF2AF4">
        <w:rPr>
          <w:rFonts w:ascii="Times New Roman" w:hAnsi="Times New Roman" w:cs="Times New Roman"/>
          <w:sz w:val="24"/>
          <w:szCs w:val="24"/>
        </w:rPr>
        <w:t xml:space="preserve"> levels of </w:t>
      </w:r>
      <w:r w:rsidR="001340AC">
        <w:rPr>
          <w:rFonts w:ascii="Times New Roman" w:hAnsi="Times New Roman" w:cs="Times New Roman"/>
          <w:sz w:val="24"/>
          <w:szCs w:val="24"/>
        </w:rPr>
        <w:t>IR</w:t>
      </w:r>
      <w:r w:rsidR="00EF2AF4" w:rsidRPr="00EF2AF4">
        <w:rPr>
          <w:rFonts w:ascii="Times New Roman" w:hAnsi="Times New Roman" w:cs="Times New Roman"/>
          <w:sz w:val="24"/>
          <w:szCs w:val="24"/>
        </w:rPr>
        <w:t xml:space="preserve"> </w:t>
      </w:r>
      <w:r>
        <w:rPr>
          <w:rFonts w:ascii="Times New Roman" w:hAnsi="Times New Roman" w:cs="Times New Roman"/>
          <w:sz w:val="24"/>
          <w:szCs w:val="24"/>
        </w:rPr>
        <w:t xml:space="preserve">have been detected </w:t>
      </w:r>
      <w:r w:rsidR="004A14F5">
        <w:rPr>
          <w:rFonts w:ascii="Times New Roman" w:hAnsi="Times New Roman" w:cs="Times New Roman"/>
          <w:sz w:val="24"/>
          <w:szCs w:val="24"/>
        </w:rPr>
        <w:t xml:space="preserve">in the AD brain. </w:t>
      </w:r>
      <w:r w:rsidR="00EF2AF4" w:rsidRPr="00EF2AF4">
        <w:rPr>
          <w:rFonts w:ascii="Times New Roman" w:hAnsi="Times New Roman" w:cs="Times New Roman"/>
          <w:sz w:val="24"/>
          <w:szCs w:val="24"/>
        </w:rPr>
        <w:t xml:space="preserve">Moloney </w:t>
      </w:r>
      <w:r w:rsidR="00EF2AF4" w:rsidRPr="00EF2AF4">
        <w:rPr>
          <w:rFonts w:ascii="Times New Roman" w:hAnsi="Times New Roman" w:cs="Times New Roman"/>
          <w:i/>
          <w:iCs/>
          <w:sz w:val="24"/>
          <w:szCs w:val="24"/>
        </w:rPr>
        <w:t>et al</w:t>
      </w:r>
      <w:r w:rsidR="00FC0C6E">
        <w:rPr>
          <w:rFonts w:ascii="Times New Roman" w:hAnsi="Times New Roman" w:cs="Times New Roman"/>
          <w:sz w:val="24"/>
          <w:szCs w:val="24"/>
        </w:rPr>
        <w:t>. (2010) reported</w:t>
      </w:r>
      <w:r w:rsidR="00EF2AF4" w:rsidRPr="00EF2AF4">
        <w:rPr>
          <w:rFonts w:ascii="Times New Roman" w:hAnsi="Times New Roman" w:cs="Times New Roman"/>
          <w:sz w:val="24"/>
          <w:szCs w:val="24"/>
        </w:rPr>
        <w:t xml:space="preserve"> that </w:t>
      </w:r>
      <w:r w:rsidR="001340AC">
        <w:rPr>
          <w:rFonts w:ascii="Times New Roman" w:hAnsi="Times New Roman" w:cs="Times New Roman"/>
          <w:sz w:val="24"/>
          <w:szCs w:val="24"/>
        </w:rPr>
        <w:t>IR</w:t>
      </w:r>
      <w:r w:rsidR="00FC0C6E">
        <w:rPr>
          <w:rFonts w:ascii="Times New Roman" w:hAnsi="Times New Roman" w:cs="Times New Roman"/>
          <w:sz w:val="24"/>
          <w:szCs w:val="24"/>
        </w:rPr>
        <w:t xml:space="preserve"> levels were unchanged overall</w:t>
      </w:r>
      <w:r w:rsidR="001340AC">
        <w:rPr>
          <w:rFonts w:ascii="Times New Roman" w:hAnsi="Times New Roman" w:cs="Times New Roman"/>
          <w:sz w:val="24"/>
          <w:szCs w:val="24"/>
        </w:rPr>
        <w:t xml:space="preserve"> </w:t>
      </w:r>
      <w:r w:rsidR="00EF2AF4" w:rsidRPr="00EF2AF4">
        <w:rPr>
          <w:rFonts w:ascii="Times New Roman" w:hAnsi="Times New Roman" w:cs="Times New Roman"/>
          <w:sz w:val="24"/>
          <w:szCs w:val="24"/>
        </w:rPr>
        <w:t>in AD</w:t>
      </w:r>
      <w:r w:rsidR="00FC0C6E">
        <w:rPr>
          <w:rFonts w:ascii="Times New Roman" w:hAnsi="Times New Roman" w:cs="Times New Roman"/>
          <w:sz w:val="24"/>
          <w:szCs w:val="24"/>
        </w:rPr>
        <w:t xml:space="preserve"> brain</w:t>
      </w:r>
      <w:r w:rsidR="001340AC">
        <w:rPr>
          <w:rFonts w:ascii="Times New Roman" w:hAnsi="Times New Roman" w:cs="Times New Roman"/>
          <w:sz w:val="24"/>
          <w:szCs w:val="24"/>
        </w:rPr>
        <w:t xml:space="preserve">, </w:t>
      </w:r>
      <w:r w:rsidR="00FC0C6E">
        <w:rPr>
          <w:rFonts w:ascii="Times New Roman" w:hAnsi="Times New Roman" w:cs="Times New Roman"/>
          <w:sz w:val="24"/>
          <w:szCs w:val="24"/>
        </w:rPr>
        <w:t>although observed an increase in IR expression in neuronal nuclei</w:t>
      </w:r>
      <w:r w:rsidR="008B1E23">
        <w:rPr>
          <w:rFonts w:ascii="Times New Roman" w:hAnsi="Times New Roman" w:cs="Times New Roman"/>
          <w:sz w:val="24"/>
          <w:szCs w:val="24"/>
        </w:rPr>
        <w:t xml:space="preserve"> suggesting reduced response to insulin</w:t>
      </w:r>
      <w:r w:rsidR="00FC0C6E">
        <w:rPr>
          <w:rFonts w:ascii="Times New Roman" w:hAnsi="Times New Roman" w:cs="Times New Roman"/>
          <w:sz w:val="24"/>
          <w:szCs w:val="24"/>
        </w:rPr>
        <w:t xml:space="preserve">. Other studies have also reported that basal expression of IR (and IGF1R) are unchanged in the </w:t>
      </w:r>
      <w:r w:rsidR="00884452">
        <w:rPr>
          <w:rFonts w:ascii="Times New Roman" w:hAnsi="Times New Roman" w:cs="Times New Roman"/>
          <w:sz w:val="24"/>
          <w:szCs w:val="24"/>
        </w:rPr>
        <w:t xml:space="preserve">the cerebral cortex and hippocampus </w:t>
      </w:r>
      <w:r w:rsidR="00FC0C6E">
        <w:rPr>
          <w:rFonts w:ascii="Times New Roman" w:hAnsi="Times New Roman" w:cs="Times New Roman"/>
          <w:sz w:val="24"/>
          <w:szCs w:val="24"/>
        </w:rPr>
        <w:t>of</w:t>
      </w:r>
      <w:r w:rsidR="00884452">
        <w:rPr>
          <w:rFonts w:ascii="Times New Roman" w:hAnsi="Times New Roman" w:cs="Times New Roman"/>
          <w:sz w:val="24"/>
          <w:szCs w:val="24"/>
        </w:rPr>
        <w:t xml:space="preserve"> AD brain</w:t>
      </w:r>
      <w:r w:rsidR="001340AC">
        <w:rPr>
          <w:rFonts w:ascii="Times New Roman" w:hAnsi="Times New Roman" w:cs="Times New Roman"/>
          <w:sz w:val="24"/>
          <w:szCs w:val="24"/>
        </w:rPr>
        <w:t xml:space="preserve"> </w:t>
      </w:r>
      <w:r w:rsidR="00884452">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"10.1172/JCI59903", "ISSN" : "1558-8238", "PMID" : "22476197", "abstract" : "While a potential causal factor in Alzheimer's disease (AD), brain insulin resistance has not been demonstrated directly in that disorder. We provide such a demonstration here by showing that the hippocampal formation (HF) and, to a lesser degree, the cerebellar cortex in AD cases without diabetes exhibit markedly reduced responses to insulin signaling in the IR\u2192IRS-1\u2192PI3K signaling pathway with greatly reduced responses to IGF-1 in the IGF-1R\u2192IRS-2\u2192PI3K signaling pathway. Reduced insulin responses were maximal at the level of IRS-1 and were consistently associated with basal elevations in IRS-1 phosphorylated at serine 616 (IRS-1 pS\u2076\u00b9\u2076) and IRS-1 pS\u2076\u00b3\u2076/\u2076\u00b3\u2079. In the HF, these candidate biomarkers of brain insulin resistance increased commonly and progressively from normal cases to mild cognitively impaired cases to AD cases regardless of diabetes or APOE \u03b54 status. Levels of IRS-1 pS\u2076\u00b9\u2076 and IRS-1 pS\u2076\u00b3\u2076/\u2076\u00b3\u2079 and their activated kinases correlated positively with those of oligomeric A\u03b2 plaques and were negatively associated with episodic and working memory, even after adjusting for A\u03b2 plaques, neurofibrillary tangles, and APOE \u03b54. Brain insulin resistance thus appears to be an early and common feature of AD, a phenomenon accompanied by IGF-1 resistance and closely associated with IRS-1 dysfunction potentially triggered by A\u03b2 oligomers and yet promoting cognitive decline independent of classic AD pathology.", "author" : [ { "dropping-particle" : "", "family" : "Talbot", "given" : "Konrad", "non-dropping-particle" : "", "parse-names" : false, "suffix" : "" }, { "dropping-particle" : "", "family" : "Wang", "given" : "Hoau-Yan", "non-dropping-particle" : "", "parse-names" : false, "suffix" : "" }, { "dropping-particle" : "", "family" : "Kazi", "given" : "Hala", "non-dropping-particle" : "", "parse-names" : false, "suffix" : "" }, { "dropping-particle" : "", "family" : "Han", "given" : "Li-Ying", "non-dropping-particle" : "", "parse-names" : false, "suffix" : "" }, { "dropping-particle" : "", "family" : "Bakshi", "given" : "Kalindi P", "non-dropping-particle" : "", "parse-names" : false, "suffix" : "" }, { "dropping-particle" : "", "family" : "Stucky", "given" : "Andres", "non-dropping-particle" : "", "parse-names" : false, "suffix" : "" }, { "dropping-particle" : "", "family" : "Fuino", "given" : "Robert L", "non-dropping-particle" : "", "parse-names" : false, "suffix" : "" }, { "dropping-particle" : "", "family" : "Kawaguchi", "given" : "Krista R", "non-dropping-particle" : "", "parse-names" : false, "suffix" : "" }, { "dropping-particle" : "", "family" : "Samoyedny", "given" : "Andrew J", "non-dropping-particle" : "", "parse-names" : false, "suffix" : "" }, { "dropping-particle" : "", "family" : "Wilson", "given" : "Robert S", "non-dropping-particle" : "", "parse-names" : false, "suffix" : "" }, { "dropping-particle" : "", "family" : "Arvanitakis", "given" : "Zoe", "non-dropping-particle" : "", "parse-names" : false, "suffix" : "" }, { "dropping-particle" : "", "family" : "Schneider", "given" : "Julie A", "non-dropping-particle" : "", "parse-names" : false, "suffix" : "" }, { "dropping-particle" : "", "family" : "Wolf", "given" : "Bryan A", "non-dropping-particle" : "", "parse-names" : false, "suffix" : "" }, { "dropping-particle" : "", "family" : "Bennett", "given" : "David A", "non-dropping-particle" : "", "parse-names" : false, "suffix" : "" }, { "dropping-particle" : "", "family" : "Trojanowski", "given" : "John Q", "non-dropping-particle" : "", "parse-names" : false, "suffix" : "" }, { "dropping-particle" : "", "family" : "Arnold", "given" : "Steven E", "non-dropping-particle" : "", "parse-names" : false, "suffix" : "" } ], "container-title" : "The Journal of clinical investigation", "id" : "ITEM-1", "issue" : "4", "issued" : { "date-parts" : [ [ "2012", "4", "2" ] ] }, "page" : "1316-38", "title" : "Demonstrated brain insulin resistance in Alzheimer's disease patients is associated with IGF-1 resistance, IRS-1 dysregulation, and cognitive decline.", "type" : "article-journal", "volume" : "122" }, "uris" : [ "http://www.mendeley.com/documents/?uuid=9e20fb27-6103-4888-bbc9-2eadffb309a4" ] }, { "id" : "ITEM-2", "itemData" : { "DOI" : "10.1002/1098-2396(20001215)38:4&lt;450::AID-SYN10&gt;3.0.CO;2-J", "ISSN" : "0887-4476", "PMID" : "11044892", "abstract" : "Assimilated evidence indicates that the neurotoxic potential of amyloid beta (Abeta) peptide and an alteration in the level of growth factor(s) may possibly be involved in the loss of neurons observed in the brain of patients suffering from Alzheimer disease (AD), the prevalent cause of dementia in the elderly. In the present study, using receptor binding assays and immunocytochemistry, we evaluated the pharmacological profile of insulin-like growth factor-I (IGF-I) receptors and the distribution of IGF-I immunoreactivity in the frontal cortex, hippocampus, and cerebellum of AD and age-matched control brains. In control brains, [(125)I]IGF-I binding was inhibited more potently by IGF-I than by Des(1-3)IGF-I, IGF-II or insulin. The IC(50) values for IGF-I in the frontal cortex, hippocampus, and cerebellum of the normal brain did not differ significantly from the corresponding regions of the AD brain. Additionally, neither K(D) nor B(max) values were found to differ in the hippocampus of AD brains from the controls. At the regional levels, [(125)I]IGF-I binding sites in the AD brain also remained unaltered compared to the controls. As for the peptide itself, IGF-I immunoreactivity, in normal control brains, was evident primarily in a subpopulation of astrocytes in the frontal cortex and hippocampus, and in certain Purkinje cells of the cerebellum. In AD brains, a subset of Abeta-containing neuritic plaques, apart from astrocytes, exhibit IGF-I immunoreactivity. These results, taken together, suggest a role for IGF-I in compensatory plasticity and/or survival of the susceptible neurons in AD brains.", "author" : [ { "dropping-particle" : "", "family" : "Jafferali", "given" : "S", "non-dropping-particle" : "", "parse-names" : false, "suffix" : "" }, { "dropping-particle" : "", "family" : "Dumont", "given" : "Y", "non-dropping-particle" : "", "parse-names" : false, "suffix" : "" }, { "dropping-particle" : "", "family" : "Sotty", "given" : "F", "non-dropping-particle" : "", "parse-names" : false, "suffix" : "" }, { "dropping-particle" : "", "family" : "Robitaille", "given" : "Y", "non-dropping-particle" : "", "parse-names" : false, "suffix" : "" }, { "dropping-particle" : "", "family" : "Quirion", "given" : "R", "non-dropping-particle" : "", "parse-names" : false, "suffix" : "" }, { "dropping-particle" : "", "family" : "Kar", "given" : "S", "non-dropping-particle" : "", "parse-names" : false, "suffix" : "" } ], "container-title" : "Synapse (New York, N.Y.)", "id" : "ITEM-2", "issue" : "4", "issued" : { "date-parts" : [ [ "2000", "12", "15" ] ] }, "page" : "450-9", "title" : "Insulin-like growth factor-I and its receptor in the frontal cortex, hippocampus, and cerebellum of normal human and alzheimer disease brains.", "type" : "article-journal", "volume" : "38" }, "uris" : [ "http://www.mendeley.com/documents/?uuid=bffb5ac7-6671-42bf-b716-e023cea7d385" ] } ], "mendeley" : { "formattedCitation" : "(Talbot et al. 2012a; Jafferali et al. 2000)", "manualFormatting" : "(Talbot et al. 2012; Jafferali et al. 2000)", "plainTextFormattedCitation" : "(Talbot et al. 2012a; Jafferali et al. 2000)", "previouslyFormattedCitation" : "(Talbot et al. 2012a; Jafferali et al. 2000)" }, "properties" : { "noteIndex" : 0 }, "schema" : "https://github.com/citation-style-language/schema/raw/master/csl-citation.json" }</w:instrText>
      </w:r>
      <w:r w:rsidR="00884452">
        <w:rPr>
          <w:rFonts w:ascii="Times New Roman" w:hAnsi="Times New Roman" w:cs="Times New Roman"/>
          <w:sz w:val="24"/>
          <w:szCs w:val="24"/>
        </w:rPr>
        <w:fldChar w:fldCharType="separate"/>
      </w:r>
      <w:r w:rsidR="00226CFE">
        <w:rPr>
          <w:rFonts w:ascii="Times New Roman" w:hAnsi="Times New Roman" w:cs="Times New Roman"/>
          <w:noProof/>
          <w:sz w:val="24"/>
          <w:szCs w:val="24"/>
        </w:rPr>
        <w:t>(Talbot et al. 2012</w:t>
      </w:r>
      <w:r w:rsidR="00DF4142" w:rsidRPr="00DF4142">
        <w:rPr>
          <w:rFonts w:ascii="Times New Roman" w:hAnsi="Times New Roman" w:cs="Times New Roman"/>
          <w:noProof/>
          <w:sz w:val="24"/>
          <w:szCs w:val="24"/>
        </w:rPr>
        <w:t>; Jafferali et al. 2000)</w:t>
      </w:r>
      <w:r w:rsidR="00884452">
        <w:rPr>
          <w:rFonts w:ascii="Times New Roman" w:hAnsi="Times New Roman" w:cs="Times New Roman"/>
          <w:sz w:val="24"/>
          <w:szCs w:val="24"/>
        </w:rPr>
        <w:fldChar w:fldCharType="end"/>
      </w:r>
      <w:r w:rsidR="00884452">
        <w:rPr>
          <w:rFonts w:ascii="Times New Roman" w:hAnsi="Times New Roman" w:cs="Times New Roman"/>
          <w:sz w:val="24"/>
          <w:szCs w:val="24"/>
        </w:rPr>
        <w:t xml:space="preserve">. </w:t>
      </w:r>
      <w:r w:rsidR="00FA2C0F">
        <w:rPr>
          <w:rFonts w:ascii="Times New Roman" w:hAnsi="Times New Roman" w:cs="Times New Roman"/>
          <w:sz w:val="24"/>
          <w:szCs w:val="24"/>
        </w:rPr>
        <w:t xml:space="preserve">However, </w:t>
      </w:r>
      <w:r w:rsidR="00AF0831">
        <w:rPr>
          <w:rFonts w:ascii="Times New Roman" w:hAnsi="Times New Roman" w:cs="Times New Roman"/>
          <w:sz w:val="24"/>
          <w:szCs w:val="24"/>
        </w:rPr>
        <w:t xml:space="preserve">Talbot </w:t>
      </w:r>
      <w:r w:rsidR="00AF0831">
        <w:rPr>
          <w:rFonts w:ascii="Times New Roman" w:hAnsi="Times New Roman" w:cs="Times New Roman"/>
          <w:i/>
          <w:sz w:val="24"/>
          <w:szCs w:val="24"/>
        </w:rPr>
        <w:t xml:space="preserve">et al </w:t>
      </w:r>
      <w:r w:rsidR="00AF0831">
        <w:rPr>
          <w:rFonts w:ascii="Times New Roman" w:hAnsi="Times New Roman" w:cs="Times New Roman"/>
          <w:sz w:val="24"/>
          <w:szCs w:val="24"/>
        </w:rPr>
        <w:t xml:space="preserve">(2012) </w:t>
      </w:r>
      <w:r w:rsidR="00FA2C0F">
        <w:rPr>
          <w:rFonts w:ascii="Times New Roman" w:hAnsi="Times New Roman" w:cs="Times New Roman"/>
          <w:sz w:val="24"/>
          <w:szCs w:val="24"/>
        </w:rPr>
        <w:t>demonstrate</w:t>
      </w:r>
      <w:r w:rsidR="00884452">
        <w:rPr>
          <w:rFonts w:ascii="Times New Roman" w:hAnsi="Times New Roman" w:cs="Times New Roman"/>
          <w:sz w:val="24"/>
          <w:szCs w:val="24"/>
        </w:rPr>
        <w:t xml:space="preserve"> that insulin/IGF1 resistance is apparent in AD cases when </w:t>
      </w:r>
      <w:r w:rsidR="00906CF3">
        <w:rPr>
          <w:rFonts w:ascii="Times New Roman" w:hAnsi="Times New Roman" w:cs="Times New Roman"/>
          <w:sz w:val="24"/>
          <w:szCs w:val="24"/>
        </w:rPr>
        <w:t>stimulated with ligand. They also show that</w:t>
      </w:r>
      <w:r w:rsidR="002552F2">
        <w:rPr>
          <w:rFonts w:ascii="Times New Roman" w:hAnsi="Times New Roman" w:cs="Times New Roman"/>
          <w:sz w:val="24"/>
          <w:szCs w:val="24"/>
        </w:rPr>
        <w:t xml:space="preserve"> signalling is less well preserved</w:t>
      </w:r>
      <w:r w:rsidR="00A87A3C">
        <w:rPr>
          <w:rFonts w:ascii="Times New Roman" w:hAnsi="Times New Roman" w:cs="Times New Roman"/>
          <w:sz w:val="24"/>
          <w:szCs w:val="24"/>
        </w:rPr>
        <w:t xml:space="preserve"> through both IR and IGF1R</w:t>
      </w:r>
      <w:r w:rsidR="002552F2">
        <w:rPr>
          <w:rFonts w:ascii="Times New Roman" w:hAnsi="Times New Roman" w:cs="Times New Roman"/>
          <w:sz w:val="24"/>
          <w:szCs w:val="24"/>
        </w:rPr>
        <w:t xml:space="preserve"> in the hippocampus than</w:t>
      </w:r>
      <w:r w:rsidR="00427E9C">
        <w:rPr>
          <w:rFonts w:ascii="Times New Roman" w:hAnsi="Times New Roman" w:cs="Times New Roman"/>
          <w:sz w:val="24"/>
          <w:szCs w:val="24"/>
        </w:rPr>
        <w:t xml:space="preserve"> in</w:t>
      </w:r>
      <w:r w:rsidR="00906CF3">
        <w:rPr>
          <w:rFonts w:ascii="Times New Roman" w:hAnsi="Times New Roman" w:cs="Times New Roman"/>
          <w:sz w:val="24"/>
          <w:szCs w:val="24"/>
        </w:rPr>
        <w:t xml:space="preserve"> cortex, which is consistent with progression of AD pathology in the brain.</w:t>
      </w:r>
      <w:r w:rsidR="00884452">
        <w:rPr>
          <w:rFonts w:ascii="Times New Roman" w:hAnsi="Times New Roman" w:cs="Times New Roman"/>
          <w:sz w:val="24"/>
          <w:szCs w:val="24"/>
        </w:rPr>
        <w:t xml:space="preserve"> </w:t>
      </w:r>
      <w:r w:rsidR="00427E9C">
        <w:rPr>
          <w:rFonts w:ascii="Times New Roman" w:hAnsi="Times New Roman" w:cs="Times New Roman"/>
          <w:sz w:val="24"/>
          <w:szCs w:val="24"/>
        </w:rPr>
        <w:t xml:space="preserve">Transcriptomic studies of </w:t>
      </w:r>
      <w:r w:rsidR="00EF2AF4" w:rsidRPr="00EF2AF4">
        <w:rPr>
          <w:rFonts w:ascii="Times New Roman" w:hAnsi="Times New Roman" w:cs="Times New Roman"/>
          <w:sz w:val="24"/>
          <w:szCs w:val="24"/>
        </w:rPr>
        <w:t>astrocytes in</w:t>
      </w:r>
      <w:r w:rsidR="002F43C0">
        <w:rPr>
          <w:rFonts w:ascii="Times New Roman" w:hAnsi="Times New Roman" w:cs="Times New Roman"/>
          <w:sz w:val="24"/>
          <w:szCs w:val="24"/>
        </w:rPr>
        <w:t xml:space="preserve"> the</w:t>
      </w:r>
      <w:r w:rsidR="00EF2AF4" w:rsidRPr="00EF2AF4">
        <w:rPr>
          <w:rFonts w:ascii="Times New Roman" w:hAnsi="Times New Roman" w:cs="Times New Roman"/>
          <w:sz w:val="24"/>
          <w:szCs w:val="24"/>
        </w:rPr>
        <w:t xml:space="preserve"> </w:t>
      </w:r>
      <w:r w:rsidR="002F43C0">
        <w:rPr>
          <w:rFonts w:ascii="Times New Roman" w:hAnsi="Times New Roman" w:cs="Times New Roman"/>
          <w:sz w:val="24"/>
          <w:szCs w:val="24"/>
        </w:rPr>
        <w:t xml:space="preserve">ageing Alzheimer brain </w:t>
      </w:r>
      <w:r w:rsidR="00427E9C">
        <w:rPr>
          <w:rFonts w:ascii="Times New Roman" w:hAnsi="Times New Roman" w:cs="Times New Roman"/>
          <w:sz w:val="24"/>
          <w:szCs w:val="24"/>
        </w:rPr>
        <w:t>have</w:t>
      </w:r>
      <w:r w:rsidR="00906CF3">
        <w:rPr>
          <w:rFonts w:ascii="Times New Roman" w:hAnsi="Times New Roman" w:cs="Times New Roman"/>
          <w:sz w:val="24"/>
          <w:szCs w:val="24"/>
        </w:rPr>
        <w:t xml:space="preserve"> also identified</w:t>
      </w:r>
      <w:r w:rsidR="00427E9C">
        <w:rPr>
          <w:rFonts w:ascii="Times New Roman" w:hAnsi="Times New Roman" w:cs="Times New Roman"/>
          <w:sz w:val="24"/>
          <w:szCs w:val="24"/>
        </w:rPr>
        <w:t xml:space="preserve"> downregulation of IR and IGF1R</w:t>
      </w:r>
      <w:r w:rsidR="00952BDE">
        <w:rPr>
          <w:rFonts w:ascii="Times New Roman" w:hAnsi="Times New Roman" w:cs="Times New Roman"/>
          <w:sz w:val="24"/>
          <w:szCs w:val="24"/>
        </w:rPr>
        <w:t xml:space="preserve"> at the transcript level</w:t>
      </w:r>
      <w:r w:rsidR="00EF2AF4" w:rsidRPr="00EF2AF4">
        <w:rPr>
          <w:rFonts w:ascii="Times New Roman" w:hAnsi="Times New Roman" w:cs="Times New Roman"/>
          <w:sz w:val="24"/>
          <w:szCs w:val="24"/>
        </w:rPr>
        <w:t xml:space="preserve"> </w:t>
      </w:r>
      <w:r w:rsidR="004B61AA">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"10.1016/j.neurobiolaging.2008.05.015", "ISSN" : "1558-1497", "PMID" : "18586353", "abstract" : "Astrocyte pathology occurs in association with Alzheimer's disease (AD) and in brain ageing, but is poorly characterised. We sought to define the detailed cellular pathology of astrocytes, the extent of population variation and the relationship to Alzheimer-type changes in a population-based cohort. Three staining patterns were associated with GFAP and excitatory amino acid transporter 2 (EAAT2): minimal, moderate or extensive immunoreactivity. GFAP and EAAT2 expression were inversely related (p=0.015), with trends to increased expression of GFAP (p=0.019) and decreased expression of EAAT2 (p=ns) with increasing Braak stage. GFAP and EAAT2 correlated incompletely with beta-amyloid and tau immunoreactivity. However, gliosis increased with increasing burden of neuritic (p=0.011), but not diffuse (p=ns), plaques. Double-staining revealed distinct subsets of astrocytes; GFAP(+)EAAT(-), GFAP(-)EAAT(+), or GFAP(+)EAAT(+). In contrast to the variation in GFAP and EAAT2, levels of EAAT1 and S100B showed consistent staining patterns. Alzheimer-type pathology only partially explains the variation in gliosis and astrocyte functional markers, suggesting that other factors contribute to the population variance in astrocyte pathology.", "author" : [ { "dropping-particle" : "", "family" : "Simpson", "given" : "J E", "non-dropping-particle" : "", "parse-names" : false, "suffix" : "" }, { "dropping-particle" : "", "family" : "Ince", "given" : "P G", "non-dropping-particle" : "", "parse-names" : false, "suffix" : "" }, { "dropping-particle" : "", "family" : "Lace", "given" : "G", "non-dropping-particle" : "", "parse-names" : false, "suffix" : "" }, { "dropping-particle" : "", "family" : "Forster", "given" : "G", "non-dropping-particle" : "", "parse-names" : false, "suffix" : "" }, { "dropping-particle" : "", "family" : "Shaw", "given" : "P J", "non-dropping-particle" : "", "parse-names" : false, "suffix" : "" }, { "dropping-particle" : "", "family" : "Matthews", "given" : "F", "non-dropping-particle" : "", "parse-names" : false, "suffix" : "" }, { "dropping-particle" : "", "family" : "Savva", "given" : "G", "non-dropping-particle" : "", "parse-names" : false, "suffix" : "" }, { "dropping-particle" : "", "family" : "Brayne", "given" : "C", "non-dropping-particle" : "", "parse-names" : false, "suffix" : "" }, { "dropping-particle" : "", "family" : "Wharton", "given" : "S B", "non-dropping-particle" : "", "parse-names" : false, "suffix" : "" } ], "container-title" : "Neurobiology of aging", "id" : "ITEM-1", "issue" : "4", "issued" : { "date-parts" : [ [ "2010", "4" ] ] }, "page" : "578-90", "title" : "Astrocyte phenotype in relation to Alzheimer-type pathology in the ageing brain.", "type" : "article-journal", "volume" : "31" }, "uris" : [ "http://www.mendeley.com/documents/?uuid=777358ad-cb13-402e-b071-9f6976f101f9" ] } ], "mendeley" : { "formattedCitation" : "(J E Simpson, Ince, Lace, et al. 2010)", "plainTextFormattedCitation" : "(J E Simpson, Ince, Lace, et al. 2010)", "previouslyFormattedCitation" : "(J E Simpson, Ince, Lace, et al. 2010)" }, "properties" : { "noteIndex" : 0 }, "schema" : "https://github.com/citation-style-language/schema/raw/master/csl-citation.json" }</w:instrText>
      </w:r>
      <w:r w:rsidR="004B61AA">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(J E Simpson, Ince, Lace, et al. 2010)</w:t>
      </w:r>
      <w:r w:rsidR="004B61AA">
        <w:rPr>
          <w:rFonts w:ascii="Times New Roman" w:hAnsi="Times New Roman" w:cs="Times New Roman"/>
          <w:sz w:val="24"/>
          <w:szCs w:val="24"/>
        </w:rPr>
        <w:fldChar w:fldCharType="end"/>
      </w:r>
      <w:r w:rsidR="00EF2AF4" w:rsidRPr="00EF2AF4">
        <w:rPr>
          <w:rFonts w:ascii="Times New Roman" w:hAnsi="Times New Roman" w:cs="Times New Roman"/>
          <w:sz w:val="24"/>
          <w:szCs w:val="24"/>
        </w:rPr>
        <w:t>.</w:t>
      </w:r>
      <w:r w:rsidR="00F60A0B" w:rsidRPr="00EF2AF4">
        <w:rPr>
          <w:rFonts w:ascii="Times New Roman" w:hAnsi="Times New Roman" w:cs="Times New Roman"/>
          <w:sz w:val="24"/>
          <w:szCs w:val="24"/>
        </w:rPr>
        <w:t xml:space="preserve">    </w:t>
      </w:r>
    </w:p>
    <w:p w14:paraId="2ECFE6CB" w14:textId="43A57270" w:rsidR="00AB06FB" w:rsidRDefault="00F60A0B" w:rsidP="00EF2AF4">
      <w:pPr>
        <w:pStyle w:val="Body"/>
        <w:spacing w:line="360" w:lineRule="auto"/>
        <w:jc w:val="both"/>
        <w:rPr>
          <w:rFonts w:ascii="Times New Roman" w:hAnsi="Times New Roman" w:cs="Times New Roman"/>
          <w:sz w:val="24"/>
          <w:szCs w:val="24"/>
        </w:rPr>
      </w:pPr>
      <w:r>
        <w:rPr>
          <w:rFonts w:ascii="Times New Roman" w:hAnsi="Times New Roman" w:cs="Times New Roman"/>
          <w:sz w:val="24"/>
          <w:szCs w:val="24"/>
        </w:rPr>
        <w:t>As i</w:t>
      </w:r>
      <w:r w:rsidRPr="00EF2AF4">
        <w:rPr>
          <w:rFonts w:ascii="Times New Roman" w:hAnsi="Times New Roman" w:cs="Times New Roman"/>
          <w:sz w:val="24"/>
          <w:szCs w:val="24"/>
        </w:rPr>
        <w:t>nsulin can c</w:t>
      </w:r>
      <w:r>
        <w:rPr>
          <w:rFonts w:ascii="Times New Roman" w:hAnsi="Times New Roman" w:cs="Times New Roman"/>
          <w:sz w:val="24"/>
          <w:szCs w:val="24"/>
        </w:rPr>
        <w:t>ross the BBB,</w:t>
      </w:r>
      <w:r w:rsidRPr="00EF2AF4">
        <w:rPr>
          <w:rFonts w:ascii="Times New Roman" w:hAnsi="Times New Roman" w:cs="Times New Roman"/>
          <w:sz w:val="24"/>
          <w:szCs w:val="24"/>
        </w:rPr>
        <w:t xml:space="preserve"> </w:t>
      </w:r>
      <w:r>
        <w:rPr>
          <w:rFonts w:ascii="Times New Roman" w:hAnsi="Times New Roman" w:cs="Times New Roman"/>
          <w:sz w:val="24"/>
          <w:szCs w:val="24"/>
        </w:rPr>
        <w:t>peripheral levels of insulin may be able to</w:t>
      </w:r>
      <w:r w:rsidRPr="00EF2AF4">
        <w:rPr>
          <w:rFonts w:ascii="Times New Roman" w:hAnsi="Times New Roman" w:cs="Times New Roman"/>
          <w:sz w:val="24"/>
          <w:szCs w:val="24"/>
        </w:rPr>
        <w:t xml:space="preserve"> reflect activation of </w:t>
      </w:r>
      <w:r>
        <w:rPr>
          <w:rFonts w:ascii="Times New Roman" w:hAnsi="Times New Roman" w:cs="Times New Roman"/>
          <w:sz w:val="24"/>
          <w:szCs w:val="24"/>
        </w:rPr>
        <w:t xml:space="preserve">this </w:t>
      </w:r>
      <w:r w:rsidRPr="00EF2AF4">
        <w:rPr>
          <w:rFonts w:ascii="Times New Roman" w:hAnsi="Times New Roman" w:cs="Times New Roman"/>
          <w:sz w:val="24"/>
          <w:szCs w:val="24"/>
        </w:rPr>
        <w:t>pathway in the brain</w:t>
      </w:r>
      <w:r>
        <w:rPr>
          <w:rFonts w:ascii="Times New Roman" w:hAnsi="Times New Roman" w:cs="Times New Roman"/>
          <w:sz w:val="24"/>
          <w:szCs w:val="24"/>
        </w:rPr>
        <w:t xml:space="preserve">. </w:t>
      </w:r>
      <w:r w:rsidR="00913809">
        <w:rPr>
          <w:rFonts w:ascii="Times New Roman" w:hAnsi="Times New Roman" w:cs="Times New Roman"/>
          <w:sz w:val="24"/>
          <w:szCs w:val="24"/>
        </w:rPr>
        <w:t xml:space="preserve">In AD, both loss of insulin in CSF and an increase in blood plasma insulin have been </w:t>
      </w:r>
      <w:r w:rsidR="00913809" w:rsidRPr="00881CDA">
        <w:rPr>
          <w:rFonts w:ascii="Times New Roman" w:hAnsi="Times New Roman" w:cs="Times New Roman"/>
          <w:sz w:val="24"/>
          <w:szCs w:val="24"/>
        </w:rPr>
        <w:t xml:space="preserve">identified </w:t>
      </w:r>
      <w:r w:rsidR="00913809" w:rsidRPr="00881CDA">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"10.1212/WNL.50.1.164", "ISSN" : "0028-3878", "author" : [ { "dropping-particle" : "", "family" : "Craft", "given" : "S.", "non-dropping-particle" : "", "parse-names" : false, "suffix" : "" }, { "dropping-particle" : "", "family" : "Peskind", "given" : "E.", "non-dropping-particle" : "", "parse-names" : false, "suffix" : "" }, { "dropping-particle" : "", "family" : "Schwartz", "given" : "M. W.", "non-dropping-particle" : "", "parse-names" : false, "suffix" : "" }, { "dropping-particle" : "", "family" : "Schellenberg", "given" : "G. D.", "non-dropping-particle" : "", "parse-names" : false, "suffix" : "" }, { "dropping-particle" : "", "family" : "Raskind", "given" : "M.", "non-dropping-particle" : "", "parse-names" : false, "suffix" : "" }, { "dropping-particle" : "", "family" : "Porte", "given" : "D.", "non-dropping-particle" : "", "parse-names" : false, "suffix" : "" } ], "container-title" : "Neurology", "id" : "ITEM-1", "issue" : "1", "issued" : { "date-parts" : [ [ "1998", "1", "1" ] ] }, "page" : "164-168", "title" : "Cerebrospinal fluid and plasma insulin levels in Alzheimer's disease: Relationship to severity of dementia and apolipoprotein E genotype", "type" : "article-journal", "volume" : "50" }, "uris" : [ "http://www.mendeley.com/documents/?uuid=a7051a35-2150-3720-b0d4-5ac3f8aa7512" ] } ], "mendeley" : { "formattedCitation" : "(Craft et al. 1998)", "plainTextFormattedCitation" : "(Craft et al. 1998)", "previouslyFormattedCitation" : "(Craft et al. 1998)" }, "properties" : { "noteIndex" : 0 }, "schema" : "https://github.com/citation-style-language/schema/raw/master/csl-citation.json" }</w:instrText>
      </w:r>
      <w:r w:rsidR="00913809" w:rsidRPr="00881CDA">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(Craft et al. 1998)</w:t>
      </w:r>
      <w:r w:rsidR="00913809" w:rsidRPr="00881CDA">
        <w:rPr>
          <w:rFonts w:ascii="Times New Roman" w:hAnsi="Times New Roman" w:cs="Times New Roman"/>
          <w:sz w:val="24"/>
          <w:szCs w:val="24"/>
        </w:rPr>
        <w:fldChar w:fldCharType="end"/>
      </w:r>
      <w:r w:rsidR="00913809" w:rsidRPr="00881CDA">
        <w:rPr>
          <w:rFonts w:ascii="Times New Roman" w:hAnsi="Times New Roman" w:cs="Times New Roman"/>
          <w:sz w:val="24"/>
          <w:szCs w:val="24"/>
        </w:rPr>
        <w:t>.</w:t>
      </w:r>
      <w:r w:rsidR="00913809">
        <w:rPr>
          <w:rFonts w:ascii="Times New Roman" w:hAnsi="Times New Roman" w:cs="Times New Roman"/>
          <w:sz w:val="24"/>
          <w:szCs w:val="24"/>
        </w:rPr>
        <w:t xml:space="preserve"> </w:t>
      </w:r>
      <w:r w:rsidRPr="00EF2AF4">
        <w:rPr>
          <w:rFonts w:ascii="Times New Roman" w:hAnsi="Times New Roman" w:cs="Times New Roman"/>
          <w:sz w:val="24"/>
          <w:szCs w:val="24"/>
        </w:rPr>
        <w:t xml:space="preserve">There are reports of activated central insulin signalling as a result of injecting insulin peripherally, which raises the question whether hyperinsulinemic states in </w:t>
      </w:r>
      <w:r w:rsidR="009E6CF1">
        <w:rPr>
          <w:rFonts w:ascii="Times New Roman" w:hAnsi="Times New Roman" w:cs="Times New Roman"/>
          <w:sz w:val="24"/>
          <w:szCs w:val="24"/>
        </w:rPr>
        <w:t>Type 2 diabetes (</w:t>
      </w:r>
      <w:r w:rsidRPr="00EF2AF4">
        <w:rPr>
          <w:rFonts w:ascii="Times New Roman" w:hAnsi="Times New Roman" w:cs="Times New Roman"/>
          <w:sz w:val="24"/>
          <w:szCs w:val="24"/>
        </w:rPr>
        <w:t>T2D</w:t>
      </w:r>
      <w:r w:rsidR="009E6CF1">
        <w:rPr>
          <w:rFonts w:ascii="Times New Roman" w:hAnsi="Times New Roman" w:cs="Times New Roman"/>
          <w:sz w:val="24"/>
          <w:szCs w:val="24"/>
        </w:rPr>
        <w:t>)</w:t>
      </w:r>
      <w:r w:rsidRPr="00EF2AF4">
        <w:rPr>
          <w:rFonts w:ascii="Times New Roman" w:hAnsi="Times New Roman" w:cs="Times New Roman"/>
          <w:sz w:val="24"/>
          <w:szCs w:val="24"/>
        </w:rPr>
        <w:t xml:space="preserve"> results in decreased sensitivity to insulin in the brain </w:t>
      </w:r>
      <w:r>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"10.2337/diabetes.54.12.3343", "ISSN" : "0012-1797", "abstract" : "Cerebral insulin receptors play an important role in regulation of energy homeostasis and development of neurodegeneration. Accordingly, type 2 diabetes characterized by insulin resistance is associated with an increased risk of developing Alzheimer's disease. Formation of neurofibrillary tangles, which contain hyperphosphorylated tau, represents a key step in the pathogenesis of neurodegenerative diseases. Here, we directly addressed whether peripheral hyperinsulinemia as one feature of type 2 diabetes can alter in vivo cerebral insulin signaling and tau phosphorylation. Peripheral insulin stimulation rapidly increased insulin receptor tyrosine phosphorylation, mitogen-activated protein kinase and phosphatidylinositol (PI) 3-kinase pathway activation, and dose-dependent tau phosphorylation at Ser202 in the central nervous system. Phospho-FoxO1 and PI-3,4,5-phosphate immunostainings of brains from insulin-stimulated mice showed neuronal staining throughout the brain, not restricted to brain areas without functional blood-brain barrier. Importantly, in insulin-stimulated neuronal/brain-specific insulin receptor knockout mice, cerebral insulin receptor signaling and tau phosphorylation were completely abolished. Thus, peripherally injected insulin directly targets the brain and causes rapid cerebral insulin receptor signal transduction and site-specific tau phosphorylation in vivo, revealing new insights into the linkage of type 2 diabetes and neurodegeneration.", "author" : [ { "dropping-particle" : "", "family" : "Freude", "given" : "S.", "non-dropping-particle" : "", "parse-names" : false, "suffix" : "" }, { "dropping-particle" : "", "family" : "Plum", "given" : "L.", "non-dropping-particle" : "", "parse-names" : false, "suffix" : "" }, { "dropping-particle" : "", "family" : "Schnitker", "given" : "J.", "non-dropping-particle" : "", "parse-names" : false, "suffix" : "" }, { "dropping-particle" : "", "family" : "Leeser", "given" : "U.", "non-dropping-particle" : "", "parse-names" : false, "suffix" : "" }, { "dropping-particle" : "", "family" : "Udelhoven", "given" : "M.", "non-dropping-particle" : "", "parse-names" : false, "suffix" : "" }, { "dropping-particle" : "", "family" : "Krone", "given" : "W.", "non-dropping-particle" : "", "parse-names" : false, "suffix" : "" }, { "dropping-particle" : "", "family" : "Bruning", "given" : "J. C.", "non-dropping-particle" : "", "parse-names" : false, "suffix" : "" }, { "dropping-particle" : "", "family" : "Schubert", "given" : "M.", "non-dropping-particle" : "", "parse-names" : false, "suffix" : "" } ], "container-title" : "Diabetes", "id" : "ITEM-1", "issue" : "12", "issued" : { "date-parts" : [ [ "2005", "12", "1" ] ] }, "page" : "3343-3348", "title" : "Peripheral Hyperinsulinemia Promotes Tau Phosphorylation In Vivo", "type" : "article-journal", "volume" : "54" }, "uris" : [ "http://www.mendeley.com/documents/?uuid=e08366f9-37ef-474c-ba46-14a1d993862b" ] } ], "mendeley" : { "formattedCitation" : "(Freude et al. 2005)", "plainTextFormattedCitation" : "(Freude et al. 2005)", "previouslyFormattedCitation" : "(Freude et al. 2005)" }, "properties" : { "noteIndex" : 0 }, "schema" : "https://github.com/citation-style-language/schema/raw/master/csl-citation.json" }</w:instrText>
      </w:r>
      <w:r>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(Freude et al. 2005)</w:t>
      </w:r>
      <w:r>
        <w:rPr>
          <w:rFonts w:ascii="Times New Roman" w:hAnsi="Times New Roman" w:cs="Times New Roman"/>
          <w:sz w:val="24"/>
          <w:szCs w:val="24"/>
        </w:rPr>
        <w:fldChar w:fldCharType="end"/>
      </w:r>
      <w:r>
        <w:rPr>
          <w:rFonts w:ascii="Times New Roman" w:hAnsi="Times New Roman" w:cs="Times New Roman"/>
          <w:sz w:val="24"/>
          <w:szCs w:val="24"/>
        </w:rPr>
        <w:t>.</w:t>
      </w:r>
      <w:r w:rsidRPr="00EF2AF4">
        <w:rPr>
          <w:rFonts w:ascii="Times New Roman" w:hAnsi="Times New Roman" w:cs="Times New Roman"/>
          <w:sz w:val="24"/>
          <w:szCs w:val="24"/>
        </w:rPr>
        <w:t xml:space="preserve"> In </w:t>
      </w:r>
      <w:r w:rsidR="00DB0FB5">
        <w:rPr>
          <w:rFonts w:ascii="Times New Roman" w:hAnsi="Times New Roman" w:cs="Times New Roman"/>
          <w:sz w:val="24"/>
          <w:szCs w:val="24"/>
        </w:rPr>
        <w:t xml:space="preserve">the NIRKO mouse model </w:t>
      </w:r>
      <w:r w:rsidR="00DB0FB5" w:rsidRPr="00EF2AF4">
        <w:rPr>
          <w:rFonts w:ascii="Times New Roman" w:hAnsi="Times New Roman" w:cs="Times New Roman"/>
          <w:sz w:val="24"/>
          <w:szCs w:val="24"/>
        </w:rPr>
        <w:t>(brain/neuron specific</w:t>
      </w:r>
      <w:r w:rsidR="00DB0FB5">
        <w:rPr>
          <w:rFonts w:ascii="Times New Roman" w:hAnsi="Times New Roman" w:cs="Times New Roman"/>
          <w:sz w:val="24"/>
          <w:szCs w:val="24"/>
        </w:rPr>
        <w:t xml:space="preserve"> insulin receptor knockout),</w:t>
      </w:r>
      <w:r w:rsidRPr="00EF2AF4">
        <w:rPr>
          <w:rFonts w:ascii="Times New Roman" w:hAnsi="Times New Roman" w:cs="Times New Roman"/>
          <w:sz w:val="24"/>
          <w:szCs w:val="24"/>
        </w:rPr>
        <w:t xml:space="preserve"> Freude </w:t>
      </w:r>
      <w:r w:rsidRPr="00EF2AF4">
        <w:rPr>
          <w:rFonts w:ascii="Times New Roman" w:hAnsi="Times New Roman" w:cs="Times New Roman"/>
          <w:i/>
          <w:iCs/>
          <w:sz w:val="24"/>
          <w:szCs w:val="24"/>
        </w:rPr>
        <w:t>et al</w:t>
      </w:r>
      <w:r w:rsidRPr="00EF2AF4">
        <w:rPr>
          <w:rFonts w:ascii="Times New Roman" w:hAnsi="Times New Roman" w:cs="Times New Roman"/>
          <w:sz w:val="24"/>
          <w:szCs w:val="24"/>
        </w:rPr>
        <w:t xml:space="preserve"> also demonstrate that within ten minutes of administering insulin peripherally there is tau phosphorylation at a site that correlates with tangle formation, thus</w:t>
      </w:r>
      <w:r w:rsidR="009E6CF1">
        <w:rPr>
          <w:rFonts w:ascii="Times New Roman" w:hAnsi="Times New Roman" w:cs="Times New Roman"/>
          <w:sz w:val="24"/>
          <w:szCs w:val="24"/>
        </w:rPr>
        <w:t xml:space="preserve"> potentially</w:t>
      </w:r>
      <w:r w:rsidRPr="00EF2AF4">
        <w:rPr>
          <w:rFonts w:ascii="Times New Roman" w:hAnsi="Times New Roman" w:cs="Times New Roman"/>
          <w:sz w:val="24"/>
          <w:szCs w:val="24"/>
        </w:rPr>
        <w:t xml:space="preserve"> linking a hyperinsulinemic state with Alzheimer pathology. </w:t>
      </w:r>
    </w:p>
    <w:p w14:paraId="6A1EC5F1" w14:textId="77777777" w:rsidR="008E3664" w:rsidRDefault="008E3664" w:rsidP="00EF2AF4">
      <w:pPr>
        <w:pStyle w:val="Body"/>
        <w:spacing w:line="360" w:lineRule="auto"/>
        <w:jc w:val="both"/>
        <w:rPr>
          <w:rFonts w:ascii="Times New Roman" w:hAnsi="Times New Roman" w:cs="Times New Roman"/>
          <w:sz w:val="24"/>
          <w:szCs w:val="24"/>
        </w:rPr>
      </w:pPr>
    </w:p>
    <w:p w14:paraId="574755A5" w14:textId="42DD0005" w:rsidR="0078650E" w:rsidRPr="0078650E" w:rsidRDefault="0078650E" w:rsidP="00233453">
      <w:pPr>
        <w:pStyle w:val="Body"/>
        <w:spacing w:line="240" w:lineRule="auto"/>
        <w:jc w:val="both"/>
        <w:rPr>
          <w:rFonts w:ascii="Times New Roman" w:hAnsi="Times New Roman" w:cs="Times New Roman"/>
          <w:b/>
          <w:i/>
          <w:sz w:val="24"/>
          <w:szCs w:val="24"/>
          <w:u w:val="single"/>
        </w:rPr>
      </w:pPr>
      <w:r w:rsidRPr="0078650E">
        <w:rPr>
          <w:rFonts w:ascii="Times New Roman" w:hAnsi="Times New Roman" w:cs="Times New Roman"/>
          <w:b/>
          <w:i/>
          <w:sz w:val="24"/>
          <w:szCs w:val="24"/>
          <w:u w:val="single"/>
        </w:rPr>
        <w:t>Relationship between Aβ</w:t>
      </w:r>
      <w:r>
        <w:rPr>
          <w:rFonts w:ascii="Times New Roman" w:hAnsi="Times New Roman" w:cs="Times New Roman"/>
          <w:b/>
          <w:i/>
          <w:sz w:val="24"/>
          <w:szCs w:val="24"/>
          <w:u w:val="single"/>
        </w:rPr>
        <w:t xml:space="preserve"> and insulin/IGF1 signalling</w:t>
      </w:r>
    </w:p>
    <w:p w14:paraId="335690E4" w14:textId="3B740271" w:rsidR="0078650E" w:rsidRDefault="009E6CF1" w:rsidP="00EF2AF4">
      <w:pPr>
        <w:pStyle w:val="Body"/>
        <w:spacing w:line="360" w:lineRule="auto"/>
        <w:jc w:val="both"/>
        <w:rPr>
          <w:rFonts w:ascii="Times New Roman" w:hAnsi="Times New Roman" w:cs="Times New Roman"/>
          <w:sz w:val="24"/>
          <w:szCs w:val="24"/>
        </w:rPr>
      </w:pPr>
      <w:r w:rsidRPr="00EF2AF4">
        <w:rPr>
          <w:rFonts w:ascii="Times New Roman" w:hAnsi="Times New Roman" w:cs="Times New Roman"/>
          <w:sz w:val="24"/>
          <w:szCs w:val="24"/>
        </w:rPr>
        <w:t xml:space="preserve">Aβ </w:t>
      </w:r>
      <w:r w:rsidR="00F60A0B" w:rsidRPr="00EF2AF4">
        <w:rPr>
          <w:rFonts w:ascii="Times New Roman" w:hAnsi="Times New Roman" w:cs="Times New Roman"/>
          <w:sz w:val="24"/>
          <w:szCs w:val="24"/>
        </w:rPr>
        <w:t xml:space="preserve">and insulin </w:t>
      </w:r>
      <w:r w:rsidR="00221FB2">
        <w:rPr>
          <w:rFonts w:ascii="Times New Roman" w:hAnsi="Times New Roman" w:cs="Times New Roman"/>
          <w:sz w:val="24"/>
          <w:szCs w:val="24"/>
        </w:rPr>
        <w:t xml:space="preserve">also </w:t>
      </w:r>
      <w:r w:rsidR="00F60A0B" w:rsidRPr="00EF2AF4">
        <w:rPr>
          <w:rFonts w:ascii="Times New Roman" w:hAnsi="Times New Roman" w:cs="Times New Roman"/>
          <w:sz w:val="24"/>
          <w:szCs w:val="24"/>
        </w:rPr>
        <w:t>share a common recognition motif f</w:t>
      </w:r>
      <w:r w:rsidR="00221FB2">
        <w:rPr>
          <w:rFonts w:ascii="Times New Roman" w:hAnsi="Times New Roman" w:cs="Times New Roman"/>
          <w:sz w:val="24"/>
          <w:szCs w:val="24"/>
        </w:rPr>
        <w:t xml:space="preserve">or the </w:t>
      </w:r>
      <w:r>
        <w:rPr>
          <w:rFonts w:ascii="Times New Roman" w:hAnsi="Times New Roman" w:cs="Times New Roman"/>
          <w:sz w:val="24"/>
          <w:szCs w:val="24"/>
        </w:rPr>
        <w:t xml:space="preserve">IR, therefore, </w:t>
      </w:r>
      <w:r w:rsidR="00F60A0B" w:rsidRPr="00EF2AF4">
        <w:rPr>
          <w:rFonts w:ascii="Times New Roman" w:hAnsi="Times New Roman" w:cs="Times New Roman"/>
          <w:sz w:val="24"/>
          <w:szCs w:val="24"/>
        </w:rPr>
        <w:t xml:space="preserve">Aβ </w:t>
      </w:r>
      <w:r w:rsidR="00221FB2">
        <w:rPr>
          <w:rFonts w:ascii="Times New Roman" w:hAnsi="Times New Roman" w:cs="Times New Roman"/>
          <w:sz w:val="24"/>
          <w:szCs w:val="24"/>
        </w:rPr>
        <w:t>can competitively bind</w:t>
      </w:r>
      <w:r w:rsidR="00F60A0B" w:rsidRPr="00EF2AF4">
        <w:rPr>
          <w:rFonts w:ascii="Times New Roman" w:hAnsi="Times New Roman" w:cs="Times New Roman"/>
          <w:sz w:val="24"/>
          <w:szCs w:val="24"/>
        </w:rPr>
        <w:t xml:space="preserve"> to IR reducing both insulin binding and IR autophosphorylation </w:t>
      </w:r>
      <w:r w:rsidR="00F60A0B">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"20026383", "ISSN" : "1529-2401", "PMID" : "12006603", "abstract" : "The amyloid-beta (Abeta) peptide is neurotoxic and associated with the pathology of Alzheimer's disease (AD). We investigated the effect of Abeta peptides on insulin binding to the insulin receptor because it is known that (1) Abeta and insulin are both amyloidogenic peptides sharing a common sequence recognition motif, (2) Abeta and insulin are substrates for the same insulin degrading enzyme, and (3) impaired glucose metabolism is a characteristic event in the pathology of AD. We discovered that Abeta(1-40) and Abeta(1-42,) the main physiological forms, reduced insulin binding and receptor autophosphorylation. The reduction in binding was caused by a decrease in the affinity of insulin binding to the insulin receptor. This reduction was independent of the receptor concentration. The reverse, control peptide Abeta(40-1) did not reduce insulin binding or insulin receptor autophosphorylation. These results demonstrate that Abeta is a direct competitive inhibitor of insulin binding and action. We speculate that the increased levels of Abeta in Alzheimer's disease may be linked to the associated insulin resistance that has been observed previously in this disease.", "author" : [ { "dropping-particle" : "", "family" : "Xie", "given" : "Ling", "non-dropping-particle" : "", "parse-names" : false, "suffix" : "" }, { "dropping-particle" : "", "family" : "Helmerhorst", "given" : "Erik", "non-dropping-particle" : "", "parse-names" : false, "suffix" : "" }, { "dropping-particle" : "", "family" : "Taddei", "given" : "Kevin", "non-dropping-particle" : "", "parse-names" : false, "suffix" : "" }, { "dropping-particle" : "", "family" : "Plewright", "given" : "Brian", "non-dropping-particle" : "", "parse-names" : false, "suffix" : "" }, { "dropping-particle" : "", "family" : "Bronswijk", "given" : "Wilhelm", "non-dropping-particle" : "Van", "parse-names" : false, "suffix" : "" }, { "dropping-particle" : "", "family" : "Martins", "given" : "Ralph", "non-dropping-particle" : "", "parse-names" : false, "suffix" : "" } ], "container-title" : "The Journal of neuroscience : the official journal of the Society for Neuroscience", "id" : "ITEM-1", "issue" : "10", "issued" : { "date-parts" : [ [ "2002", "5", "15" ] ] }, "page" : "RC221", "title" : "Alzheimer's beta-amyloid peptides compete for insulin binding to the insulin receptor.", "type" : "article-journal", "volume" : "22" }, "uris" : [ "http://www.mendeley.com/documents/?uuid=f09481eb-d802-438b-84d6-8732a5c41244" ] }, { "id" : "ITEM-2", "itemData" : { "DOI" : "10.1074/jbc.M610390200", "ISSN" : "0021-9258", "PMID" : "17855343", "abstract" : "Numerous studies have now shown that the amyloid beta-protein (Abeta), the principal component of cerebral plaques in Alzheimer disease, rapidly and potently inhibits certain forms of synaptic plasticity. The amyloid (or Abeta) hypothesis proposes that the continuous disruption of normal synaptic physiology by Abeta contributes to the development of Alzheimer disease. However, there is little consensus about how Abeta mediates this inhibition at the molecular level. Using mouse primary hippocampal neurons, we observed that a brief treatment with cell-derived, soluble, human Abeta disrupted the activation of three kinases (Erk/MAPK, CaMKII, and the phosphatidylinositol 3-kinase-activated protein Akt/protein kinase B) that are required for long term potentiation, whereas two other kinases (protein kinase A and protein kinase C) were stimulated normally. An antagonist of the insulin receptor family of tyrosine kinases was found to mimic the pattern of Abeta-mediated kinase inhibition. We then found that soluble Abeta binds to the insulin receptor and interferes with its insulin-induced autophosphorylation. Taken together, these data demonstrate that physiologically relevant levels of naturally secreted Abeta interfere with insulin receptor function in hippocampal neurons and prevent the rapid activation of specific kinases required for long term potentiation.", "author" : [ { "dropping-particle" : "", "family" : "Townsend", "given" : "Matthew", "non-dropping-particle" : "", "parse-names" : false, "suffix" : "" }, { "dropping-particle" : "", "family" : "Mehta", "given" : "Tapan", "non-dropping-particle" : "", "parse-names" : false, "suffix" : "" }, { "dropping-particle" : "", "family" : "Selkoe", "given" : "Dennis J", "non-dropping-particle" : "", "parse-names" : false, "suffix" : "" } ], "container-title" : "The Journal of biological chemistry", "id" : "ITEM-2", "issue" : "46", "issued" : { "date-parts" : [ [ "2007", "11", "16" ] ] }, "page" : "33305-12", "title" : "Soluble Abeta inhibits specific signal transduction cascades common to the insulin receptor pathway.", "type" : "article-journal", "volume" : "282" }, "uris" : [ "http://www.mendeley.com/documents/?uuid=f0106ac6-1fe7-4e23-82af-388d04694e53" ] } ], "mendeley" : { "formattedCitation" : "(Xie et al. 2002; Townsend et al. 2007)", "plainTextFormattedCitation" : "(Xie et al. 2002; Townsend et al. 2007)", "previouslyFormattedCitation" : "(Xie et al. 2002; Townsend et al. 2007)" }, "properties" : { "noteIndex" : 0 }, "schema" : "https://github.com/citation-style-language/schema/raw/master/csl-citation.json" }</w:instrText>
      </w:r>
      <w:r w:rsidR="00F60A0B">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(Xie et al. 2002; Townsend et al. 2007)</w:t>
      </w:r>
      <w:r w:rsidR="00F60A0B">
        <w:rPr>
          <w:rFonts w:ascii="Times New Roman" w:hAnsi="Times New Roman" w:cs="Times New Roman"/>
          <w:sz w:val="24"/>
          <w:szCs w:val="24"/>
        </w:rPr>
        <w:fldChar w:fldCharType="end"/>
      </w:r>
      <w:r w:rsidR="00F60A0B">
        <w:rPr>
          <w:rFonts w:ascii="Times New Roman" w:hAnsi="Times New Roman" w:cs="Times New Roman"/>
          <w:sz w:val="24"/>
          <w:szCs w:val="24"/>
        </w:rPr>
        <w:t>.</w:t>
      </w:r>
      <w:r w:rsidR="00F60A0B" w:rsidRPr="00EF2AF4">
        <w:rPr>
          <w:rFonts w:ascii="Times New Roman" w:hAnsi="Times New Roman" w:cs="Times New Roman"/>
          <w:sz w:val="24"/>
          <w:szCs w:val="24"/>
        </w:rPr>
        <w:t xml:space="preserve"> </w:t>
      </w:r>
      <w:r w:rsidR="0078650E" w:rsidRPr="00EF2AF4">
        <w:rPr>
          <w:rFonts w:ascii="Times New Roman" w:hAnsi="Times New Roman" w:cs="Times New Roman"/>
          <w:sz w:val="24"/>
          <w:szCs w:val="24"/>
        </w:rPr>
        <w:t>Insulin also stimulates Aβ production and prevents the extracellular degradation of Aβ by competing with</w:t>
      </w:r>
      <w:r w:rsidR="0078650E">
        <w:rPr>
          <w:rFonts w:ascii="Times New Roman" w:hAnsi="Times New Roman" w:cs="Times New Roman"/>
          <w:sz w:val="24"/>
          <w:szCs w:val="24"/>
        </w:rPr>
        <w:t xml:space="preserve"> the metalloproteinase insulin degrading enzyme</w:t>
      </w:r>
      <w:r w:rsidR="0078650E" w:rsidRPr="00EF2AF4">
        <w:rPr>
          <w:rFonts w:ascii="Times New Roman" w:hAnsi="Times New Roman" w:cs="Times New Roman"/>
          <w:sz w:val="24"/>
          <w:szCs w:val="24"/>
        </w:rPr>
        <w:t xml:space="preserve"> </w:t>
      </w:r>
      <w:r w:rsidR="0078650E">
        <w:rPr>
          <w:rFonts w:ascii="Times New Roman" w:hAnsi="Times New Roman" w:cs="Times New Roman"/>
          <w:sz w:val="24"/>
          <w:szCs w:val="24"/>
        </w:rPr>
        <w:t>(</w:t>
      </w:r>
      <w:r w:rsidR="0078650E" w:rsidRPr="00EF2AF4">
        <w:rPr>
          <w:rFonts w:ascii="Times New Roman" w:hAnsi="Times New Roman" w:cs="Times New Roman"/>
          <w:sz w:val="24"/>
          <w:szCs w:val="24"/>
        </w:rPr>
        <w:t>IDE</w:t>
      </w:r>
      <w:r w:rsidR="0078650E">
        <w:rPr>
          <w:rFonts w:ascii="Times New Roman" w:hAnsi="Times New Roman" w:cs="Times New Roman"/>
          <w:sz w:val="24"/>
          <w:szCs w:val="24"/>
        </w:rPr>
        <w:t xml:space="preserve">), which is capable of the breakdown of both insulin and </w:t>
      </w:r>
      <w:r w:rsidR="0078650E" w:rsidRPr="00EF2AF4">
        <w:rPr>
          <w:rFonts w:ascii="Times New Roman" w:hAnsi="Times New Roman" w:cs="Times New Roman"/>
          <w:sz w:val="24"/>
          <w:szCs w:val="24"/>
        </w:rPr>
        <w:t>Aβ</w:t>
      </w:r>
      <w:r w:rsidR="0078650E">
        <w:rPr>
          <w:rFonts w:ascii="Times New Roman" w:hAnsi="Times New Roman" w:cs="Times New Roman"/>
          <w:sz w:val="24"/>
          <w:szCs w:val="24"/>
        </w:rPr>
        <w:t xml:space="preserve"> </w:t>
      </w:r>
      <w:r w:rsidR="0078650E">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"ISSN" : "1529-2401", "PMID" : "11306609", "abstract" : "Alzheimer's Disease (AD) is characterized by cerebral accumulation of beta-amyloid peptides (Abeta), which are proteolytically derived from beta-amyloid precursor protein (betaAPP). betaAPP metabolism is highly regulated via various signal transduction systems, e.g., several serine/threonine kinases and phosphatases. Several growth factors known to act via receptor tyrosine kinases also have been demonstrated to regulate sbetaAPP secretion. Among these receptors, insulin and insulin-like growth factor-1 receptors are highly expressed in brain, especially in hippocampus and cortex. Emerging evidence indicates that insulin has important functions in brain regions involved in learning and memory. Here we present evidence that insulin significantly reduces intracellular accumulation of Abeta and that it does so by accelerating betaAPP/Abeta trafficking from the trans-Golgi network, a major cellular site for Abeta generation, to the plasma membrane. Furthermore, insulin increases the extracellular level of Abeta both by promoting its secretion and by inhibiting its degradation via insulin-degrading enzyme. The action of insulin on betaAPP metabolism is mediated via a receptor tyrosine kinase/mitogen-activated protein (MAP) kinase kinase pathway. The results suggest cell biological and signal transduction mechanisms by which insulin modulates betaAPP and Abeta trafficking in neuronal cultures.", "author" : [ { "dropping-particle" : "", "family" : "Gasparini", "given" : "L", "non-dropping-particle" : "", "parse-names" : false, "suffix" : "" }, { "dropping-particle" : "", "family" : "Gouras", "given" : "G K", "non-dropping-particle" : "", "parse-names" : false, "suffix" : "" }, { "dropping-particle" : "", "family" : "Wang", "given" : "R", "non-dropping-particle" : "", "parse-names" : false, "suffix" : "" }, { "dropping-particle" : "", "family" : "Gross", "given" : "R S", "non-dropping-particle" : "", "parse-names" : false, "suffix" : "" }, { "dropping-particle" : "", "family" : "Beal", "given" : "M F", "non-dropping-particle" : "", "parse-names" : false, "suffix" : "" }, { "dropping-particle" : "", "family" : "Greengard", "given" : "P", "non-dropping-particle" : "", "parse-names" : false, "suffix" : "" }, { "dropping-particle" : "", "family" : "Xu", "given" : "H", "non-dropping-particle" : "", "parse-names" : false, "suffix" : "" } ], "container-title" : "The Journal of neuroscience : the official journal of the Society for Neuroscience", "id" : "ITEM-1", "issue" : "8", "issued" : { "date-parts" : [ [ "2001", "4", "15" ] ] }, "page" : "2561-70", "title" : "Stimulation of beta-amyloid precursor protein trafficking by insulin reduces intraneuronal beta-amyloid and requires mitogen-activated protein kinase signaling.", "type" : "article-journal", "volume" : "21" }, "uris" : [ "http://www.mendeley.com/documents/?uuid=a713ebb8-75df-4052-bae0-77572ee8bc75" ] } ], "mendeley" : { "formattedCitation" : "(Gasparini et al. 2001)", "plainTextFormattedCitation" : "(Gasparini et al. 2001)", "previouslyFormattedCitation" : "(Gasparini et al. 2001)" }, "properties" : { "noteIndex" : 0 }, "schema" : "https://github.com/citation-style-language/schema/raw/master/csl-citation.json" }</w:instrText>
      </w:r>
      <w:r w:rsidR="0078650E">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(Gasparini et al. 2001)</w:t>
      </w:r>
      <w:r w:rsidR="0078650E">
        <w:rPr>
          <w:rFonts w:ascii="Times New Roman" w:hAnsi="Times New Roman" w:cs="Times New Roman"/>
          <w:sz w:val="24"/>
          <w:szCs w:val="24"/>
        </w:rPr>
        <w:fldChar w:fldCharType="end"/>
      </w:r>
      <w:r w:rsidR="0078650E">
        <w:rPr>
          <w:rFonts w:ascii="Times New Roman" w:hAnsi="Times New Roman" w:cs="Times New Roman"/>
          <w:sz w:val="24"/>
          <w:szCs w:val="24"/>
        </w:rPr>
        <w:t>.</w:t>
      </w:r>
      <w:r w:rsidR="0078650E" w:rsidRPr="00EF2AF4">
        <w:rPr>
          <w:rFonts w:ascii="Times New Roman" w:hAnsi="Times New Roman" w:cs="Times New Roman"/>
          <w:sz w:val="24"/>
          <w:szCs w:val="24"/>
        </w:rPr>
        <w:t xml:space="preserve"> IDE production is stimulated by insulin as a feedback-inhibitory response. It serves to cleave several proteins that form beta-pleated sheet rich amyloid fibrils including Aβ, insulin, glucagon and amylin. Levels and activity of IDE are decreased in AD brain tissue and are also associated with increased Aβ levels </w:t>
      </w:r>
      <w:r w:rsidR="0078650E">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"ISSN" : "0002-9440", "PMID" : "12507914", "abstract" : "Abeta is the major component of amyloid plaques characterizing Alzheimer's disease (AD). Abeta accumulation can be affected by numerous factors including increased rates of production and/or impaired clearance. Insulin-degrading enzyme (IDE) has been implicated as a candidate enzyme responsible for the degradation and clearance of Abeta in the brain. We have previously shown that AD patients exhibit abnormalities in insulin metabolism that are associated with apoliprotein E (APOE) status. The possible association of IDE with AD, as well as the link between APOE status and insulin metabolism, led us to examine the expression of IDE in AD. We report that hippocampal IDE protein is reduced by approximately 50% in epsilon4+ AD patients compared to epsilon4- patients and controls. The allele-specific decrease of IDE in epsilon4+ AD patients is not associated with neuronal loss since neuron-specific enolase levels were comparable between the AD groups, regardless of APOE status. Hippocampal IDE mRNA levels were also reduced in AD patients with the epsilon4 allele compared to AD and normal subjects without the epsilon4 allele. These findings show that reduced IDE expression is associated with a significant risk factor for AD and suggest that IDE may interact with APOE status to affect Abeta metabolism.", "author" : [ { "dropping-particle" : "", "family" : "Cook", "given" : "David G", "non-dropping-particle" : "", "parse-names" : false, "suffix" : "" }, { "dropping-particle" : "", "family" : "Leverenz", "given" : "James B", "non-dropping-particle" : "", "parse-names" : false, "suffix" : "" }, { "dropping-particle" : "", "family" : "McMillan", "given" : "Pamela J", "non-dropping-particle" : "", "parse-names" : false, "suffix" : "" }, { "dropping-particle" : "", "family" : "Kulstad", "given" : "J Jacob", "non-dropping-particle" : "", "parse-names" : false, "suffix" : "" }, { "dropping-particle" : "", "family" : "Ericksen", "given" : "Sasha", "non-dropping-particle" : "", "parse-names" : false, "suffix" : "" }, { "dropping-particle" : "", "family" : "Roth", "given" : "Richard A", "non-dropping-particle" : "", "parse-names" : false, "suffix" : "" }, { "dropping-particle" : "", "family" : "Schellenberg", "given" : "Gerard D", "non-dropping-particle" : "", "parse-names" : false, "suffix" : "" }, { "dropping-particle" : "", "family" : "Jin", "given" : "Lee-Way", "non-dropping-particle" : "", "parse-names" : false, "suffix" : "" }, { "dropping-particle" : "", "family" : "Kovacina", "given" : "Kristina S", "non-dropping-particle" : "", "parse-names" : false, "suffix" : "" }, { "dropping-particle" : "", "family" : "Craft", "given" : "Suzanne", "non-dropping-particle" : "", "parse-names" : false, "suffix" : "" } ], "container-title" : "The American journal of pathology", "id" : "ITEM-1", "issue" : "1", "issued" : { "date-parts" : [ [ "2003", "1" ] ] }, "page" : "313-9", "title" : "Reduced hippocampal insulin-degrading enzyme in late-onset Alzheimer's disease is associated with the apolipoprotein E-epsilon4 allele.", "type" : "article-journal", "volume" : "162" }, "uris" : [ "http://www.mendeley.com/documents/?uuid=37a2e768-3df7-41bf-95b9-eec664ebcef5" ] }, { "id" : "ITEM-2", "itemData" : { "DOI" : "10.1023/A:1007527721160", "ISSN" : "03643190", "author" : [ { "dropping-particle" : "", "family" : "P\u00e9rez,", "given" : "Adriana", "non-dropping-particle" : "", "parse-names" : false, "suffix" : "" }, { "dropping-particle" : "", "family" : "Morelli,", "given" : "Laura", "non-dropping-particle" : "", "parse-names" : false, "suffix" : "" }, { "dropping-particle" : "", "family" : "Cresto,", "given" : "Juan Carlos", "non-dropping-particle" : "", "parse-names" : false, "suffix" : "" }, { "dropping-particle" : "", "family" : "Casta\u00f1o", "given" : "Eduardo M.", "non-dropping-particle" : "", "parse-names" : false, "suffix" : "" } ], "container-title" : "Neurochemical Research", "id" : "ITEM-2", "issue" : "2", "issued" : { "date-parts" : [ [ "2000" ] ] }, "page" : "247-255", "publisher" : "Kluwer Academic Publishers-Plenum Publishers", "title" : "Degradation of Soluble Amyloid \u03b2-Peptides 1\u201340, 1\u201342, and the Dutch Variant 1\u201340Q by Insulin Degrading Enzyme from Alzheimer Disease and Control Brains", "type" : "article-journal", "volume" : "25" }, "uris" : [ "http://www.mendeley.com/documents/?uuid=2d46cdcd-1a53-36cb-8a57-a9e91dd445fa" ] } ], "mendeley" : { "formattedCitation" : "(Cook et al. 2003; P\u00e9rez, et al. 2000)", "plainTextFormattedCitation" : "(Cook et al. 2003; P\u00e9rez, et al. 2000)", "previouslyFormattedCitation" : "(Cook et al. 2003; P\u00e9rez, et al. 2000)" }, "properties" : { "noteIndex" : 0 }, "schema" : "https://github.com/citation-style-language/schema/raw/master/csl-citation.json" }</w:instrText>
      </w:r>
      <w:r w:rsidR="0078650E">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(Cook et al. 2003; Pérez, et al. 2000)</w:t>
      </w:r>
      <w:r w:rsidR="0078650E">
        <w:rPr>
          <w:rFonts w:ascii="Times New Roman" w:hAnsi="Times New Roman" w:cs="Times New Roman"/>
          <w:sz w:val="24"/>
          <w:szCs w:val="24"/>
        </w:rPr>
        <w:fldChar w:fldCharType="end"/>
      </w:r>
      <w:r w:rsidR="0078650E">
        <w:rPr>
          <w:rFonts w:ascii="Times New Roman" w:hAnsi="Times New Roman" w:cs="Times New Roman"/>
          <w:sz w:val="24"/>
          <w:szCs w:val="24"/>
        </w:rPr>
        <w:t xml:space="preserve">. </w:t>
      </w:r>
      <w:r w:rsidR="0078650E" w:rsidRPr="00EF2AF4">
        <w:rPr>
          <w:rFonts w:ascii="Times New Roman" w:hAnsi="Times New Roman" w:cs="Times New Roman"/>
          <w:sz w:val="24"/>
          <w:szCs w:val="24"/>
        </w:rPr>
        <w:t xml:space="preserve">There is also a strong correlation between IDE levels and Apoε4 genotype, with lower levels of IDE being detected in AD cases with two copies of the Apoε4 allele compared to high levels of IDE being present in cases with no copies of the allele </w:t>
      </w:r>
      <w:r w:rsidR="0078650E">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"10.1523/JNEUROSCI.2860-04.2004", "ISSN" : "1529-2401", "PMID" : "15590928", "abstract" : "Insulin-degrading enzyme (IDE) is one of the proteins that has been demonstrated to play a key role in degrading beta-amyloid (Abeta) monomer in vitro and in vivo, raising the possibility of upregulating IDE as an approach to reduce Abeta. Little is known, however, about the cellular and molecular regulation of IDE protein. Because one of the main functions of IDE is to degrade insulin, we hypothesized that there is a negative feedback mechanism whereby stimulation of insulin receptor-mediated signaling upregulates IDE to prevent chronic activation of the pathway. We show that treatment of primary hippocampal neurons with insulin increased IDE protein levels by approximately 25%. Insulin treatment also led to phosphatidylinositol-3 (PI3) kinase activation evidenced by Akt phosphorylation, which was blocked by PI3 kinase inhibitors, wortmannin and LY 294002. Inhibition of PI3 kinase abolished the IDE upregulation by insulin, indicating a cause-effect relationship between insulin signaling and IDE upregulation. Further support for this link was provided by the findings that deficient insulin signaling (decreased PI3 kinase subunit P85) was correlated with reduced IDE in Alzheimer's disease (AD) brains and in Tg2576 Swedish amyloid precursor protein transgenic mice fed a safflower oil-enriched (\"Bad\") diet used to accelerate pathogenesis. Consistent with IDE function in the degradation of Abeta monomer, the IDE decrease in the Bad diet-fed Tg2576 mice was associated with increased Abeta monomer levels. These in vitro and in vivo analyses validate the use of enhanced CNS insulin signaling as a potential strategy for AD intervention to correct the IDE defects occurring in AD.", "author" : [ { "dropping-particle" : "", "family" : "Zhao", "given" : "Lixia", "non-dropping-particle" : "", "parse-names" : false, "suffix" : "" }, { "dropping-particle" : "", "family" : "Teter", "given" : "Bruce", "non-dropping-particle" : "", "parse-names" : false, "suffix" : "" }, { "dropping-particle" : "", "family" : "Morihara", "given" : "Takashi", "non-dropping-particle" : "", "parse-names" : false, "suffix" : "" }, { "dropping-particle" : "", "family" : "Lim", "given" : "Giselle P", "non-dropping-particle" : "", "parse-names" : false, "suffix" : "" }, { "dropping-particle" : "", "family" : "Ambegaokar", "given" : "Surendra S", "non-dropping-particle" : "", "parse-names" : false, "suffix" : "" }, { "dropping-particle" : "", "family" : "Ubeda", "given" : "Oliver J", "non-dropping-particle" : "", "parse-names" : false, "suffix" : "" }, { "dropping-particle" : "", "family" : "Frautschy", "given" : "Sally A", "non-dropping-particle" : "", "parse-names" : false, "suffix" : "" }, { "dropping-particle" : "", "family" : "Cole", "given" : "Greg M", "non-dropping-particle" : "", "parse-names" : false, "suffix" : "" } ], "container-title" : "The Journal of neuroscience : the official journal of the Society for Neuroscience", "id" : "ITEM-1", "issue" : "49", "issued" : { "date-parts" : [ [ "2004", "12", "8" ] ] }, "page" : "11120-6", "title" : "Insulin-degrading enzyme as a downstream target of insulin receptor signaling cascade: implications for Alzheimer's disease intervention.", "type" : "article-journal", "volume" : "24" }, "uris" : [ "http://www.mendeley.com/documents/?uuid=e79ce648-23a1-4040-bd2e-7d0caaf3cc4a" ] } ], "mendeley" : { "formattedCitation" : "(Zhao et al. 2004)", "plainTextFormattedCitation" : "(Zhao et al. 2004)", "previouslyFormattedCitation" : "(Zhao et al. 2004)" }, "properties" : { "noteIndex" : 0 }, "schema" : "https://github.com/citation-style-language/schema/raw/master/csl-citation.json" }</w:instrText>
      </w:r>
      <w:r w:rsidR="0078650E">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(Zhao et al. 2004)</w:t>
      </w:r>
      <w:r w:rsidR="0078650E">
        <w:rPr>
          <w:rFonts w:ascii="Times New Roman" w:hAnsi="Times New Roman" w:cs="Times New Roman"/>
          <w:sz w:val="24"/>
          <w:szCs w:val="24"/>
        </w:rPr>
        <w:fldChar w:fldCharType="end"/>
      </w:r>
      <w:r w:rsidR="0078650E">
        <w:rPr>
          <w:rFonts w:ascii="Times New Roman" w:hAnsi="Times New Roman" w:cs="Times New Roman"/>
          <w:sz w:val="24"/>
          <w:szCs w:val="24"/>
        </w:rPr>
        <w:t>.</w:t>
      </w:r>
      <w:r w:rsidR="0078650E" w:rsidRPr="00EF2AF4">
        <w:rPr>
          <w:rFonts w:ascii="Times New Roman" w:hAnsi="Times New Roman" w:cs="Times New Roman"/>
          <w:sz w:val="24"/>
          <w:szCs w:val="24"/>
        </w:rPr>
        <w:t xml:space="preserve"> </w:t>
      </w:r>
      <w:r w:rsidR="0078650E">
        <w:rPr>
          <w:rFonts w:ascii="Times New Roman" w:hAnsi="Times New Roman" w:cs="Times New Roman"/>
          <w:sz w:val="24"/>
          <w:szCs w:val="24"/>
        </w:rPr>
        <w:t>These findings have</w:t>
      </w:r>
      <w:r w:rsidR="0051052B">
        <w:rPr>
          <w:rFonts w:ascii="Times New Roman" w:hAnsi="Times New Roman" w:cs="Times New Roman"/>
          <w:sz w:val="24"/>
          <w:szCs w:val="24"/>
        </w:rPr>
        <w:t xml:space="preserve"> led to the hypothesis that </w:t>
      </w:r>
      <w:r w:rsidR="0051052B" w:rsidRPr="00EF2AF4">
        <w:rPr>
          <w:rFonts w:ascii="Times New Roman" w:hAnsi="Times New Roman" w:cs="Times New Roman"/>
          <w:sz w:val="24"/>
          <w:szCs w:val="24"/>
        </w:rPr>
        <w:t>Aβ</w:t>
      </w:r>
      <w:r w:rsidR="0051052B">
        <w:rPr>
          <w:rFonts w:ascii="Times New Roman" w:hAnsi="Times New Roman" w:cs="Times New Roman"/>
          <w:sz w:val="24"/>
          <w:szCs w:val="24"/>
        </w:rPr>
        <w:t xml:space="preserve"> oligomers accumulate and impair insulin/IGF1 signalling, which further exacerbates</w:t>
      </w:r>
      <w:r w:rsidR="004F2749">
        <w:rPr>
          <w:rFonts w:ascii="Times New Roman" w:hAnsi="Times New Roman" w:cs="Times New Roman"/>
          <w:sz w:val="24"/>
          <w:szCs w:val="24"/>
        </w:rPr>
        <w:t xml:space="preserve"> </w:t>
      </w:r>
      <w:r w:rsidR="004F2749" w:rsidRPr="00EF2AF4">
        <w:rPr>
          <w:rFonts w:ascii="Times New Roman" w:hAnsi="Times New Roman" w:cs="Times New Roman"/>
          <w:sz w:val="24"/>
          <w:szCs w:val="24"/>
        </w:rPr>
        <w:t>Aβ</w:t>
      </w:r>
      <w:r w:rsidR="004F2749">
        <w:rPr>
          <w:rFonts w:ascii="Times New Roman" w:hAnsi="Times New Roman" w:cs="Times New Roman"/>
          <w:sz w:val="24"/>
          <w:szCs w:val="24"/>
        </w:rPr>
        <w:t xml:space="preserve"> oligomerisation and toxicity due to reduced</w:t>
      </w:r>
      <w:r w:rsidR="00644AE9">
        <w:rPr>
          <w:rFonts w:ascii="Times New Roman" w:hAnsi="Times New Roman" w:cs="Times New Roman"/>
          <w:sz w:val="24"/>
          <w:szCs w:val="24"/>
        </w:rPr>
        <w:t xml:space="preserve"> clearance by IDE, transthyretin and albumin</w:t>
      </w:r>
      <w:r w:rsidR="004F2749">
        <w:rPr>
          <w:rFonts w:ascii="Times New Roman" w:hAnsi="Times New Roman" w:cs="Times New Roman"/>
          <w:sz w:val="24"/>
          <w:szCs w:val="24"/>
        </w:rPr>
        <w:t>.</w:t>
      </w:r>
      <w:r w:rsidR="0051052B">
        <w:rPr>
          <w:rFonts w:ascii="Times New Roman" w:hAnsi="Times New Roman" w:cs="Times New Roman"/>
          <w:sz w:val="24"/>
          <w:szCs w:val="24"/>
        </w:rPr>
        <w:t xml:space="preserve"> </w:t>
      </w:r>
      <w:r w:rsidR="00120796">
        <w:rPr>
          <w:rFonts w:ascii="Times New Roman" w:hAnsi="Times New Roman" w:cs="Times New Roman"/>
          <w:sz w:val="24"/>
          <w:szCs w:val="24"/>
        </w:rPr>
        <w:t xml:space="preserve">However, in contrast, </w:t>
      </w:r>
      <w:r w:rsidR="00DD1A83" w:rsidRPr="00EF2AF4">
        <w:rPr>
          <w:rFonts w:ascii="Times New Roman" w:hAnsi="Times New Roman" w:cs="Times New Roman"/>
          <w:sz w:val="24"/>
          <w:szCs w:val="24"/>
        </w:rPr>
        <w:t>Aβ</w:t>
      </w:r>
      <w:r w:rsidR="00DD1A83">
        <w:rPr>
          <w:rFonts w:ascii="Times New Roman" w:hAnsi="Times New Roman" w:cs="Times New Roman"/>
          <w:sz w:val="24"/>
          <w:szCs w:val="24"/>
        </w:rPr>
        <w:t xml:space="preserve"> monomers have been shown to have a neuroprotective effect by binding IR/IGF1R and activating downstream signalling through the pathway and promoting neuronal survival</w:t>
      </w:r>
      <w:r w:rsidR="0032709B">
        <w:rPr>
          <w:rFonts w:ascii="Times New Roman" w:hAnsi="Times New Roman" w:cs="Times New Roman"/>
          <w:sz w:val="24"/>
          <w:szCs w:val="24"/>
        </w:rPr>
        <w:t xml:space="preserve"> </w:t>
      </w:r>
      <w:r w:rsidR="0032709B">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"10.1523/JNEUROSCI.1736-09.2009", "ISSN" : "0270-6474", "author" : [ { "dropping-particle" : "", "family" : "Giuffrida", "given" : "M. L.", "non-dropping-particle" : "", "parse-names" : false, "suffix" : "" }, { "dropping-particle" : "", "family" : "Caraci", "given" : "F.", "non-dropping-particle" : "", "parse-names" : false, "suffix" : "" }, { "dropping-particle" : "", "family" : "Pignataro", "given" : "B.", "non-dropping-particle" : "", "parse-names" : false, "suffix" : "" }, { "dropping-particle" : "", "family" : "Cataldo", "given" : "S.", "non-dropping-particle" : "", "parse-names" : false, "suffix" : "" }, { "dropping-particle" : "", "family" : "Bona", "given" : "P.", "non-dropping-particle" : "De", "parse-names" : false, "suffix" : "" }, { "dropping-particle" : "", "family" : "Bruno", "given" : "V.", "non-dropping-particle" : "", "parse-names" : false, "suffix" : "" }, { "dropping-particle" : "", "family" : "Molinaro", "given" : "G.", "non-dropping-particle" : "", "parse-names" : false, "suffix" : "" }, { "dropping-particle" : "", "family" : "Pappalardo", "given" : "G.", "non-dropping-particle" : "", "parse-names" : false, "suffix" : "" }, { "dropping-particle" : "", "family" : "Messina", "given" : "A.", "non-dropping-particle" : "", "parse-names" : false, "suffix" : "" }, { "dropping-particle" : "", "family" : "Palmigiano", "given" : "A.", "non-dropping-particle" : "", "parse-names" : false, "suffix" : "" }, { "dropping-particle" : "", "family" : "Garozzo", "given" : "D.", "non-dropping-particle" : "", "parse-names" : false, "suffix" : "" }, { "dropping-particle" : "", "family" : "Nicoletti", "given" : "F.", "non-dropping-particle" : "", "parse-names" : false, "suffix" : "" }, { "dropping-particle" : "", "family" : "Rizzarelli", "given" : "E.", "non-dropping-particle" : "", "parse-names" : false, "suffix" : "" }, { "dropping-particle" : "", "family" : "Copani", "given" : "A.", "non-dropping-particle" : "", "parse-names" : false, "suffix" : "" } ], "container-title" : "Journal of Neuroscience", "id" : "ITEM-1", "issue" : "34", "issued" : { "date-parts" : [ [ "2009", "8", "26" ] ] }, "page" : "10582-10587", "publisher" : "Society for Neuroscience", "title" : "-Amyloid Monomers Are Neuroprotective", "type" : "article-journal", "volume" : "29" }, "uris" : [ "http://www.mendeley.com/documents/?uuid=85388957-fa17-32b8-bd14-c4da261239cd" ] } ], "mendeley" : { "formattedCitation" : "(Giuffrida et al. 2009)", "plainTextFormattedCitation" : "(Giuffrida et al. 2009)", "previouslyFormattedCitation" : "(Giuffrida et al. 2009)" }, "properties" : { "noteIndex" : 0 }, "schema" : "https://github.com/citation-style-language/schema/raw/master/csl-citation.json" }</w:instrText>
      </w:r>
      <w:r w:rsidR="0032709B">
        <w:rPr>
          <w:rFonts w:ascii="Times New Roman" w:hAnsi="Times New Roman" w:cs="Times New Roman"/>
          <w:sz w:val="24"/>
          <w:szCs w:val="24"/>
        </w:rPr>
        <w:fldChar w:fldCharType="separate"/>
      </w:r>
      <w:r w:rsidR="00C148FC" w:rsidRPr="00C148FC">
        <w:rPr>
          <w:rFonts w:ascii="Times New Roman" w:hAnsi="Times New Roman" w:cs="Times New Roman"/>
          <w:noProof/>
          <w:color w:val="auto"/>
          <w:sz w:val="24"/>
          <w:szCs w:val="24"/>
        </w:rPr>
        <w:t>(Giuffrida et al. 2009)</w:t>
      </w:r>
      <w:r w:rsidR="0032709B">
        <w:rPr>
          <w:rFonts w:ascii="Times New Roman" w:hAnsi="Times New Roman" w:cs="Times New Roman"/>
          <w:sz w:val="24"/>
          <w:szCs w:val="24"/>
        </w:rPr>
        <w:fldChar w:fldCharType="end"/>
      </w:r>
      <w:r w:rsidR="0032709B">
        <w:rPr>
          <w:rFonts w:ascii="Times New Roman" w:hAnsi="Times New Roman" w:cs="Times New Roman"/>
          <w:sz w:val="24"/>
          <w:szCs w:val="24"/>
        </w:rPr>
        <w:t xml:space="preserve">. Therefore the types of </w:t>
      </w:r>
      <w:r w:rsidR="0032709B" w:rsidRPr="00EF2AF4">
        <w:rPr>
          <w:rFonts w:ascii="Times New Roman" w:hAnsi="Times New Roman" w:cs="Times New Roman"/>
          <w:sz w:val="24"/>
          <w:szCs w:val="24"/>
        </w:rPr>
        <w:t>Aβ</w:t>
      </w:r>
      <w:r w:rsidR="0032709B">
        <w:rPr>
          <w:rFonts w:ascii="Times New Roman" w:hAnsi="Times New Roman" w:cs="Times New Roman"/>
          <w:sz w:val="24"/>
          <w:szCs w:val="24"/>
        </w:rPr>
        <w:t xml:space="preserve"> present in the brain could </w:t>
      </w:r>
      <w:r w:rsidR="00120796">
        <w:rPr>
          <w:rFonts w:ascii="Times New Roman" w:hAnsi="Times New Roman" w:cs="Times New Roman"/>
          <w:sz w:val="24"/>
          <w:szCs w:val="24"/>
        </w:rPr>
        <w:t xml:space="preserve">also </w:t>
      </w:r>
      <w:r w:rsidR="0032709B">
        <w:rPr>
          <w:rFonts w:ascii="Times New Roman" w:hAnsi="Times New Roman" w:cs="Times New Roman"/>
          <w:sz w:val="24"/>
          <w:szCs w:val="24"/>
        </w:rPr>
        <w:t xml:space="preserve">determine activity of the insulin/IGF1 pathway. </w:t>
      </w:r>
      <w:r w:rsidR="00DD1A83">
        <w:rPr>
          <w:rFonts w:ascii="Times New Roman" w:hAnsi="Times New Roman" w:cs="Times New Roman"/>
          <w:sz w:val="24"/>
          <w:szCs w:val="24"/>
        </w:rPr>
        <w:t xml:space="preserve"> </w:t>
      </w:r>
    </w:p>
    <w:p w14:paraId="51440A9C" w14:textId="77777777" w:rsidR="00D34305" w:rsidRPr="00DD1A83" w:rsidRDefault="00D34305" w:rsidP="00EF2AF4">
      <w:pPr>
        <w:pStyle w:val="Body"/>
        <w:spacing w:line="360" w:lineRule="auto"/>
        <w:jc w:val="both"/>
        <w:rPr>
          <w:rFonts w:ascii="Times New Roman" w:hAnsi="Times New Roman" w:cs="Times New Roman"/>
          <w:sz w:val="24"/>
          <w:szCs w:val="24"/>
        </w:rPr>
      </w:pPr>
    </w:p>
    <w:p w14:paraId="055B7BAE" w14:textId="3D240B07" w:rsidR="00715D31" w:rsidRDefault="00715D31" w:rsidP="00D34305">
      <w:pPr>
        <w:pStyle w:val="Body"/>
        <w:spacing w:line="240" w:lineRule="auto"/>
        <w:jc w:val="both"/>
        <w:rPr>
          <w:rFonts w:ascii="Times New Roman" w:hAnsi="Times New Roman" w:cs="Times New Roman"/>
          <w:sz w:val="24"/>
          <w:szCs w:val="24"/>
        </w:rPr>
      </w:pPr>
      <w:r>
        <w:rPr>
          <w:rFonts w:ascii="Times New Roman" w:hAnsi="Times New Roman" w:cs="Times New Roman"/>
          <w:b/>
          <w:i/>
          <w:sz w:val="24"/>
          <w:szCs w:val="24"/>
          <w:u w:val="single"/>
        </w:rPr>
        <w:t>Challenges</w:t>
      </w:r>
      <w:r>
        <w:rPr>
          <w:rFonts w:ascii="Times New Roman" w:hAnsi="Times New Roman" w:cs="Times New Roman"/>
          <w:sz w:val="24"/>
          <w:szCs w:val="24"/>
        </w:rPr>
        <w:t xml:space="preserve"> </w:t>
      </w:r>
    </w:p>
    <w:p w14:paraId="4F639716" w14:textId="64ADC952" w:rsidR="00B47A62" w:rsidRDefault="007C62E4" w:rsidP="00EF2AF4">
      <w:pPr>
        <w:pStyle w:val="Body"/>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 population-based approach has also been used to assess changes in the insulin/IGF1 signalling pathway in AD. </w:t>
      </w:r>
      <w:r w:rsidR="005F3CDD">
        <w:rPr>
          <w:rFonts w:ascii="Times New Roman" w:hAnsi="Times New Roman" w:cs="Times New Roman"/>
          <w:sz w:val="24"/>
          <w:szCs w:val="24"/>
        </w:rPr>
        <w:t xml:space="preserve">A recent meta-analysis </w:t>
      </w:r>
      <w:r w:rsidR="00C73DCE">
        <w:rPr>
          <w:rFonts w:ascii="Times New Roman" w:hAnsi="Times New Roman" w:cs="Times New Roman"/>
          <w:sz w:val="24"/>
          <w:szCs w:val="24"/>
        </w:rPr>
        <w:t xml:space="preserve">combined the data from 9 different </w:t>
      </w:r>
      <w:r w:rsidR="00925748">
        <w:rPr>
          <w:rFonts w:ascii="Times New Roman" w:hAnsi="Times New Roman" w:cs="Times New Roman"/>
          <w:sz w:val="24"/>
          <w:szCs w:val="24"/>
        </w:rPr>
        <w:t>population</w:t>
      </w:r>
      <w:r w:rsidR="005F3CDD">
        <w:rPr>
          <w:rFonts w:ascii="Times New Roman" w:hAnsi="Times New Roman" w:cs="Times New Roman"/>
          <w:sz w:val="24"/>
          <w:szCs w:val="24"/>
        </w:rPr>
        <w:t>-based</w:t>
      </w:r>
      <w:r w:rsidR="00925748">
        <w:rPr>
          <w:rFonts w:ascii="Times New Roman" w:hAnsi="Times New Roman" w:cs="Times New Roman"/>
          <w:sz w:val="24"/>
          <w:szCs w:val="24"/>
        </w:rPr>
        <w:t xml:space="preserve"> </w:t>
      </w:r>
      <w:r w:rsidR="00C73DCE">
        <w:rPr>
          <w:rFonts w:ascii="Times New Roman" w:hAnsi="Times New Roman" w:cs="Times New Roman"/>
          <w:sz w:val="24"/>
          <w:szCs w:val="24"/>
        </w:rPr>
        <w:t>studies</w:t>
      </w:r>
      <w:r>
        <w:rPr>
          <w:rFonts w:ascii="Times New Roman" w:hAnsi="Times New Roman" w:cs="Times New Roman"/>
          <w:sz w:val="24"/>
          <w:szCs w:val="24"/>
        </w:rPr>
        <w:t xml:space="preserve"> and found no significant correlation</w:t>
      </w:r>
      <w:r w:rsidR="00C73DCE">
        <w:rPr>
          <w:rFonts w:ascii="Times New Roman" w:hAnsi="Times New Roman" w:cs="Times New Roman"/>
          <w:sz w:val="24"/>
          <w:szCs w:val="24"/>
        </w:rPr>
        <w:t xml:space="preserve"> in serum IGF1</w:t>
      </w:r>
      <w:r w:rsidR="00C973F4">
        <w:rPr>
          <w:rFonts w:ascii="Times New Roman" w:hAnsi="Times New Roman" w:cs="Times New Roman"/>
          <w:sz w:val="24"/>
          <w:szCs w:val="24"/>
        </w:rPr>
        <w:t xml:space="preserve"> and AD </w:t>
      </w:r>
      <w:r w:rsidR="00925748">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"10.1371/journal.pone.0155733", "ISSN" : "1932-6203", "PMID" : "27227831", "abstract" : "Insulin-like growth factor 1 (IGF-1) serum levels have been reported to be altered in Alzheimer's disease patients, and it was suggested that the changes in IGF-1 serum level may play a role in disease pathology and progression. However, this notion remained controversial due to conflicting findings. We conducted a meta-analysis to determine the relationship between IGF-1 serum levels and Alzheimer's disease. We searched the databases PUBMED, Ovid SP, and Cochrane library for relevant studies. The primary data analyzed was serum IGF-1 from Alzheimer's disease subjects and controls. Pooled weighted mean difference using a random effects model was used to determine the relationship between serum levels and disease state. Nine studies were included in the meta-analysis compromising a total of 1639 subjects. The pooled weighted mean difference was -2.27ng/ml (95% CI: [-22.221, 17.66]) with a P value of 0.82. Thus our finding did not show clear relationship between low IGF-1 and Alzheimer's disease subjects. We did not find evidence of publication bias by analyzing a funnel plot as well as Egger's and Begg's tests. While eight out of the nine studies included in this meta-analysis detected a statistically significant increase or decrease in serum levels of IGF-1 in Alzheimer's disease subjects, the analysis as a whole did not show a significant trend in either direction. Thus, IGF-1 level is likely a critical personalized factor. A large database of clinical trials is required for better understanding the relationship between IGF-1 levels and Alzheimer's disease.", "author" : [ { "dropping-particle" : "", "family" : "Ostrowski", "given" : "Philip P", "non-dropping-particle" : "", "parse-names" : false, "suffix" : "" }, { "dropping-particle" : "", "family" : "Barszczyk", "given" : "Andrew", "non-dropping-particle" : "", "parse-names" : false, "suffix" : "" }, { "dropping-particle" : "", "family" : "Forstenpointner", "given" : "Julia", "non-dropping-particle" : "", "parse-names" : false, "suffix" : "" }, { "dropping-particle" : "", "family" : "Zheng", "given" : "Wenhua", "non-dropping-particle" : "", "parse-names" : false, "suffix" : "" }, { "dropping-particle" : "", "family" : "Feng", "given" : "Zhong-Ping", "non-dropping-particle" : "", "parse-names" : false, "suffix" : "" } ], "container-title" : "PloS one", "id" : "ITEM-1", "issue" : "5", "issued" : { "date-parts" : [ [ "2016" ] ] }, "page" : "e0155733", "publisher" : "Public Library of Science", "title" : "Meta-Analysis of Serum Insulin-Like Growth Factor 1 in Alzheimer's Disease.", "type" : "article-journal", "volume" : "11" }, "uris" : [ "http://www.mendeley.com/documents/?uuid=5f0ebf5a-5cbf-326a-b051-c6b6c4510a78" ] } ], "mendeley" : { "formattedCitation" : "(Ostrowski et al. 2016)", "plainTextFormattedCitation" : "(Ostrowski et al. 2016)", "previouslyFormattedCitation" : "(Ostrowski et al. 2016)" }, "properties" : { "noteIndex" : 0 }, "schema" : "https://github.com/citation-style-language/schema/raw/master/csl-citation.json" }</w:instrText>
      </w:r>
      <w:r w:rsidR="00925748">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(Ostrowski et al. 2016)</w:t>
      </w:r>
      <w:r w:rsidR="00925748">
        <w:rPr>
          <w:rFonts w:ascii="Times New Roman" w:hAnsi="Times New Roman" w:cs="Times New Roman"/>
          <w:sz w:val="24"/>
          <w:szCs w:val="24"/>
        </w:rPr>
        <w:fldChar w:fldCharType="end"/>
      </w:r>
      <w:r w:rsidR="00925748">
        <w:rPr>
          <w:rFonts w:ascii="Times New Roman" w:hAnsi="Times New Roman" w:cs="Times New Roman"/>
          <w:sz w:val="24"/>
          <w:szCs w:val="24"/>
        </w:rPr>
        <w:t xml:space="preserve">. </w:t>
      </w:r>
      <w:r w:rsidR="003C35DF">
        <w:rPr>
          <w:rFonts w:ascii="Times New Roman" w:hAnsi="Times New Roman" w:cs="Times New Roman"/>
          <w:sz w:val="24"/>
          <w:szCs w:val="24"/>
        </w:rPr>
        <w:t>Th</w:t>
      </w:r>
      <w:r w:rsidR="005F3CDD">
        <w:rPr>
          <w:rFonts w:ascii="Times New Roman" w:hAnsi="Times New Roman" w:cs="Times New Roman"/>
          <w:sz w:val="24"/>
          <w:szCs w:val="24"/>
        </w:rPr>
        <w:t>e variability of these studies</w:t>
      </w:r>
      <w:r w:rsidR="003C35DF">
        <w:rPr>
          <w:rFonts w:ascii="Times New Roman" w:hAnsi="Times New Roman" w:cs="Times New Roman"/>
          <w:sz w:val="24"/>
          <w:szCs w:val="24"/>
        </w:rPr>
        <w:t xml:space="preserve"> may result from differences in an individual’s environmental exposures</w:t>
      </w:r>
      <w:r w:rsidR="005F3CDD">
        <w:rPr>
          <w:rFonts w:ascii="Times New Roman" w:hAnsi="Times New Roman" w:cs="Times New Roman"/>
          <w:sz w:val="24"/>
          <w:szCs w:val="24"/>
        </w:rPr>
        <w:t xml:space="preserve"> during their lifetimes</w:t>
      </w:r>
      <w:r w:rsidR="003C35DF">
        <w:rPr>
          <w:rFonts w:ascii="Times New Roman" w:hAnsi="Times New Roman" w:cs="Times New Roman"/>
          <w:sz w:val="24"/>
          <w:szCs w:val="24"/>
        </w:rPr>
        <w:t xml:space="preserve">, such as tobacco smoke, which has been shown to impair </w:t>
      </w:r>
      <w:r w:rsidR="00D167D6">
        <w:rPr>
          <w:rFonts w:ascii="Times New Roman" w:hAnsi="Times New Roman" w:cs="Times New Roman"/>
          <w:sz w:val="24"/>
          <w:szCs w:val="24"/>
        </w:rPr>
        <w:t xml:space="preserve">central </w:t>
      </w:r>
      <w:r w:rsidR="003C35DF">
        <w:rPr>
          <w:rFonts w:ascii="Times New Roman" w:hAnsi="Times New Roman" w:cs="Times New Roman"/>
          <w:sz w:val="24"/>
          <w:szCs w:val="24"/>
        </w:rPr>
        <w:t xml:space="preserve">insulin/IGF1 signalling </w:t>
      </w:r>
      <w:r w:rsidR="003C35DF" w:rsidRPr="00D9643F">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"10.3233/JAD-150664", "ISSN" : "1875-8908", "PMID" : "26682684", "abstract" : "BACKGROUND Human studies suggest tobacco smoking is a risk factor for cognitive impairment and neurodegeneration, including Alzheimer's disease (AD). However, experimental data linking tobacco smoke exposures to underlying mediators of neurodegeneration, including impairments in brain insulin and insulin-like growth factor (IGF) signaling in AD are lacking. OBJECTIVE This study tests the hypothesis that cigarette smoke (CS) exposures can impair brain insulin/IGF signaling and alter expression of AD-associated proteins. METHODS Adult male A/J mice were exposed to air for 8 weeks (A8), CS for 4 or 8 weeks (CS4, CS8), or CS8 followed by 2 weeks recovery (CS8+R). Gene expression was measured by qRT-PCR analysis and proteins were measured by multiplex bead-based or direct binding duplex ELISAs. RESULTS CS exposure effects on insulin/IGF and insulin receptor substrate (IRS) proteins and phosphorylated proteins were striking compared with the mRNA. The main consequences of CS4 or CS8 exposures were to significantly reduce insulin R, IGF-1R, IRS-1, and tyrosine phosphorylated insulin R and IGF-1R proteins. Paradoxically, these effects were even greater in the CS8+R group. In addition, relative levels of S312-IRS-1, which inhibits downstream signaling, were increased in the CS4, CS8, and CS8+R groups. Correspondingly, CS and CS8+R exposures inhibited expression of proteins and phosphoproteins required for signaling through Akt, PRAS40, and/or p70S6K, increased A\u03b2PP-A\u03b2, and reduced ASPH protein, which is a target of insulin/IGF-1 signaling. CONCLUSION Secondhand CS exposures caused molecular and biochemical abnormalities in brain that overlap with the findings in AD, and many of these effects were sustained or worsened despite short-term CS withdrawal.", "author" : [ { "dropping-particle" : "", "family" : "Deochand", "given" : "Chetram", "non-dropping-particle" : "", "parse-names" : false, "suffix" : "" }, { "dropping-particle" : "", "family" : "Tong", "given" : "Ming", "non-dropping-particle" : "", "parse-names" : false, "suffix" : "" }, { "dropping-particle" : "", "family" : "Agarwal", "given" : "Amit R", "non-dropping-particle" : "", "parse-names" : false, "suffix" : "" }, { "dropping-particle" : "", "family" : "Cadenas", "given" : "Enrique", "non-dropping-particle" : "", "parse-names" : false, "suffix" : "" }, { "dropping-particle" : "", "family" : "la Monte", "given" : "Suzanne M", "non-dropping-particle" : "de", "parse-names" : false, "suffix" : "" } ], "container-title" : "Journal of Alzheimer's disease : JAD", "id" : "ITEM-1", "issue" : "2", "issued" : { "date-parts" : [ [ "2015" ] ] }, "page" : "373-86", "title" : "Tobacco Smoke Exposure Impairs Brain Insulin/IGF Signaling: Potential Co-Factor Role in Neurodegeneration.", "type" : "article-journal", "volume" : "50" }, "uris" : [ "http://www.mendeley.com/documents/?uuid=973a3546-4009-338e-9c6b-e319bd197e07" ] } ], "mendeley" : { "formattedCitation" : "(Deochand et al. 2015)", "plainTextFormattedCitation" : "(Deochand et al. 2015)", "previouslyFormattedCitation" : "(Deochand et al. 2015)" }, "properties" : { "noteIndex" : 0 }, "schema" : "https://github.com/citation-style-language/schema/raw/master/csl-citation.json" }</w:instrText>
      </w:r>
      <w:r w:rsidR="003C35DF" w:rsidRPr="00D9643F">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(Deochand et al. 2015)</w:t>
      </w:r>
      <w:r w:rsidR="003C35DF" w:rsidRPr="00D9643F">
        <w:rPr>
          <w:rFonts w:ascii="Times New Roman" w:hAnsi="Times New Roman" w:cs="Times New Roman"/>
          <w:color w:val="auto"/>
          <w:sz w:val="24"/>
          <w:szCs w:val="24"/>
        </w:rPr>
        <w:fldChar w:fldCharType="end"/>
      </w:r>
      <w:r w:rsidR="003C35DF">
        <w:rPr>
          <w:rFonts w:ascii="Times New Roman" w:hAnsi="Times New Roman" w:cs="Times New Roman"/>
          <w:sz w:val="24"/>
          <w:szCs w:val="24"/>
        </w:rPr>
        <w:t xml:space="preserve">. </w:t>
      </w:r>
      <w:r w:rsidR="000875D9">
        <w:rPr>
          <w:rFonts w:ascii="Times New Roman" w:hAnsi="Times New Roman" w:cs="Times New Roman"/>
          <w:sz w:val="24"/>
          <w:szCs w:val="24"/>
        </w:rPr>
        <w:t>Many of these studies also do not account for the stage of AD progression and generally only explore insulin/IGF1 levels in serum instead of additionally assessing levels in the CSF or regulatory proteins such as IGFBP’s.</w:t>
      </w:r>
      <w:r w:rsidR="005F3CDD">
        <w:rPr>
          <w:rFonts w:ascii="Times New Roman" w:hAnsi="Times New Roman" w:cs="Times New Roman"/>
          <w:sz w:val="24"/>
          <w:szCs w:val="24"/>
        </w:rPr>
        <w:t xml:space="preserve"> </w:t>
      </w:r>
      <w:r w:rsidR="008B3DAF">
        <w:rPr>
          <w:rFonts w:ascii="Times New Roman" w:hAnsi="Times New Roman" w:cs="Times New Roman"/>
          <w:sz w:val="24"/>
          <w:szCs w:val="24"/>
        </w:rPr>
        <w:t>In addition genetic polymorphisms such as mutations in gamma-secretase and presenilin-1 were not accounted for</w:t>
      </w:r>
      <w:r w:rsidR="007E3443">
        <w:rPr>
          <w:rFonts w:ascii="Times New Roman" w:hAnsi="Times New Roman" w:cs="Times New Roman"/>
          <w:sz w:val="24"/>
          <w:szCs w:val="24"/>
        </w:rPr>
        <w:t xml:space="preserve">. </w:t>
      </w:r>
      <w:r w:rsidR="00340CB0">
        <w:rPr>
          <w:rFonts w:ascii="Times New Roman" w:hAnsi="Times New Roman" w:cs="Times New Roman"/>
          <w:sz w:val="24"/>
          <w:szCs w:val="24"/>
        </w:rPr>
        <w:t>More r</w:t>
      </w:r>
      <w:r w:rsidR="008B3DAF">
        <w:rPr>
          <w:rFonts w:ascii="Times New Roman" w:hAnsi="Times New Roman" w:cs="Times New Roman"/>
          <w:sz w:val="24"/>
          <w:szCs w:val="24"/>
        </w:rPr>
        <w:t>ecently, polymorphisms in IGF1 have been identified and shown to be elevated in AD subjects</w:t>
      </w:r>
      <w:r w:rsidR="004D240F">
        <w:rPr>
          <w:rFonts w:ascii="Times New Roman" w:hAnsi="Times New Roman" w:cs="Times New Roman"/>
          <w:sz w:val="24"/>
          <w:szCs w:val="24"/>
        </w:rPr>
        <w:t xml:space="preserve"> with increased levels of IGF1 in serum </w:t>
      </w:r>
      <w:r w:rsidR="007E3443">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"10.1016/j.neurobiolaging.2010.10.017", "ISSN" : "01974580", "abstract" : "Insulin-like growth factor I (IGF-I), a neuroprotective factor with a wide spectrum of actions in the adult brain, is involved in the pathogenesis of Alzheimer's disease (AD). Circulating levels of IGF-I change in AD patients and are implicated in the clearance of brain amyloid beta (A\u03b2) complexes. To investigate this hypothesis, we screened the IGF-I gene for various well known single nucleotide polymorphisms (SNPs) covering % of the gene variability in a population of 2352 individuals. Genetic analysis indicated different distribution of genotypes of 1 single nucleotide polymorphism, and 1 extended haplotype in the AD population compared with healthy control subjects. In particular, the frequency of rs972936 GG genotype was significantly greater in AD patients than in control subjects (63% vs. 55%). The rs972936 GG genotype was associated with an increased risk for disease, independently of apolipoprotein E genotype, and with enhanced circulating levels of IGF-I. These findings suggest that polymorphisms within the IGF-I gene could infer greater risk for AD through their effect on IGF-I levels, and confirm the physiological role IGF-I in the pathogenesis of AD.", "author" : [ { "dropping-particle" : "", "family" : "Vargas", "given" : "Teo", "non-dropping-particle" : "", "parse-names" : false, "suffix" : "" }, { "dropping-particle" : "", "family" : "Martinez-Garcia", "given" : "Ana", "non-dropping-particle" : "", "parse-names" : false, "suffix" : "" }, { "dropping-particle" : "", "family" : "Antequera", "given" : "Desiree", "non-dropping-particle" : "", "parse-names" : false, "suffix" : "" }, { "dropping-particle" : "", "family" : "Vilella", "given" : "Elisabet", "non-dropping-particle" : "", "parse-names" : false, "suffix" : "" }, { "dropping-particle" : "", "family" : "Clarimon", "given" : "Jordi", "non-dropping-particle" : "", "parse-names" : false, "suffix" : "" }, { "dropping-particle" : "", "family" : "Mateo", "given" : "Ignacio", "non-dropping-particle" : "", "parse-names" : false, "suffix" : "" }, { "dropping-particle" : "", "family" : "Sanchez-Juan", "given" : "Pascual", "non-dropping-particle" : "", "parse-names" : false, "suffix" : "" }, { "dropping-particle" : "", "family" : "Rodriguez-Rodriguez", "given" : "Eloy", "non-dropping-particle" : "", "parse-names" : false, "suffix" : "" }, { "dropping-particle" : "", "family" : "Frank", "given" : "Ana", "non-dropping-particle" : "", "parse-names" : false, "suffix" : "" }, { "dropping-particle" : "", "family" : "Rosich-Estrago", "given" : "Marcel", "non-dropping-particle" : "", "parse-names" : false, "suffix" : "" }, { "dropping-particle" : "", "family" : "Lleo", "given" : "Alberto", "non-dropping-particle" : "", "parse-names" : false, "suffix" : "" }, { "dropping-particle" : "", "family" : "Molina-Porcel", "given" : "Laura", "non-dropping-particle" : "", "parse-names" : false, "suffix" : "" }, { "dropping-particle" : "", "family" : "Blesa", "given" : "Rafael", "non-dropping-particle" : "", "parse-names" : false, "suffix" : "" }, { "dropping-particle" : "", "family" : "Gomez-Isla", "given" : "Teresa", "non-dropping-particle" : "", "parse-names" : false, "suffix" : "" }, { "dropping-particle" : "", "family" : "Combarros", "given" : "Onofre", "non-dropping-particle" : "", "parse-names" : false, "suffix" : "" }, { "dropping-particle" : "", "family" : "Bermejo-Pareja", "given" : "Felix", "non-dropping-particle" : "", "parse-names" : false, "suffix" : "" }, { "dropping-particle" : "", "family" : "Valdivieso", "given" : "Fernando", "non-dropping-particle" : "", "parse-names" : false, "suffix" : "" }, { "dropping-particle" : "", "family" : "Bullido", "given" : "Maria Jesus", "non-dropping-particle" : "", "parse-names" : false, "suffix" : "" }, { "dropping-particle" : "", "family" : "Carro", "given" : "Eva", "non-dropping-particle" : "", "parse-names" : false, "suffix" : "" } ], "container-title" : "Neurobiology of Aging", "id" : "ITEM-1", "issue" : "3", "issued" : { "date-parts" : [ [ "2011" ] ] }, "page" : "556.e3-556.e11", "title" : "IGF-I gene variability is associated with an increased risk for AD", "type" : "article-journal", "volume" : "32" }, "uris" : [ "http://www.mendeley.com/documents/?uuid=c9717ed8-82ba-3de8-a5cf-9b6709a566a9" ] }, { "id" : "ITEM-2", "itemData" : { "DOI" : "10.1016/j.neulet.2012.10.015", "ISSN" : "03043940", "abstract" : "A review of pathogenic findings in Alzheimer's brains and the functional consequences of altered insulin-like growth factor 1 (IGF1) input to the brain suggest the association between Alzheimer's disease (AD) and the disrupted IGF1 signaling. Recently, the identification of polymorphism rs972936 that was associated with both an increased risk of AD and high circulating levels of IGF1 was reported in Southern European population. In order to evaluate the involvement of the IGF1 polymorphism in the risk of developing late-onset Alzheimer's disease (LOAD) in Chinese, we performed an independent case-control association study in a Han Chinese population (794 LOAD cases and 796 controls). There were significant differences in genotype and allele frequencies between LOAD cases and controls (genotype P=0.006, allele P=0.047). The T allele of rs972936 demonstrated a 1.16-fold risk for developing LOAD when compared with the C allele, which diverges to the report in the Caucasian population. After stratification by apolipoprotein E (APOE) \u025b4-carrying status, rs972936 polymorphism was only significantly associated with LOAD in non-ApoE \u025b4 allele carriers (genotype P=0.002, allele P=0.039). Multivariate logistic regression analysis also conferred this positive association between the SNP rs972936 and LOAD in the recessive and additive model after adjustment for age, gender, and the ApoE \u025b4 carrier status. These results suggest that IGF1 polymorphism has a possible role in changing the genetic susceptibility to LOAD in a Han Chinese population.", "author" : [ { "dropping-particle" : "", "family" : "Wang", "given" : "Wei", "non-dropping-particle" : "", "parse-names" : false, "suffix" : "" }, { "dropping-particle" : "", "family" : "Yu", "given" : "Jin-Tai", "non-dropping-particle" : "", "parse-names" : false, "suffix" : "" }, { "dropping-particle" : "", "family" : "Tan", "given" : "Lan", "non-dropping-particle" : "", "parse-names" : false, "suffix" : "" }, { "dropping-particle" : "", "family" : "Liu", "given" : "Qiu-Yan", "non-dropping-particle" : "", "parse-names" : false, "suffix" : "" }, { "dropping-particle" : "", "family" : "Wang", "given" : "Hui-Fu", "non-dropping-particle" : "", "parse-names" : false, "suffix" : "" }, { "dropping-particle" : "", "family" : "Ma", "given" : "Xiao-Ying", "non-dropping-particle" : "", "parse-names" : false, "suffix" : "" } ], "container-title" : "Neuroscience Letters", "id" : "ITEM-2", "issue" : "1", "issued" : { "date-parts" : [ [ "2012" ] ] }, "number-of-pages" : "20-23", "title" : "Insulin-like growth factor 1 (IGF1) polymorphism is associated with Alzheimer's disease in Han Chinese", "type" : "report", "volume" : "531" }, "uris" : [ "http://www.mendeley.com/documents/?uuid=e6ec67ee-1861-3a44-8ba5-da573ecbd802" ] } ], "mendeley" : { "formattedCitation" : "(Vargas et al. 2011; W. Wang et al. 2012)", "plainTextFormattedCitation" : "(Vargas et al. 2011; W. Wang et al. 2012)", "previouslyFormattedCitation" : "(Vargas et al. 2011; W. Wang et al. 2012)" }, "properties" : { "noteIndex" : 0 }, "schema" : "https://github.com/citation-style-language/schema/raw/master/csl-citation.json" }</w:instrText>
      </w:r>
      <w:r w:rsidR="007E3443">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(Vargas et al. 2011; W. Wang et al. 2012)</w:t>
      </w:r>
      <w:r w:rsidR="007E3443">
        <w:rPr>
          <w:rFonts w:ascii="Times New Roman" w:hAnsi="Times New Roman" w:cs="Times New Roman"/>
          <w:sz w:val="24"/>
          <w:szCs w:val="24"/>
        </w:rPr>
        <w:fldChar w:fldCharType="end"/>
      </w:r>
      <w:r w:rsidR="008B3DAF">
        <w:rPr>
          <w:rFonts w:ascii="Times New Roman" w:hAnsi="Times New Roman" w:cs="Times New Roman"/>
          <w:sz w:val="24"/>
          <w:szCs w:val="24"/>
        </w:rPr>
        <w:t>. Each of the features listed here could alter insulin/IGF1 signalling to different degrees and require different levels of</w:t>
      </w:r>
      <w:r w:rsidR="004D240F">
        <w:rPr>
          <w:rFonts w:ascii="Times New Roman" w:hAnsi="Times New Roman" w:cs="Times New Roman"/>
          <w:sz w:val="24"/>
          <w:szCs w:val="24"/>
        </w:rPr>
        <w:t xml:space="preserve"> therapeutic</w:t>
      </w:r>
      <w:r w:rsidR="008B3DAF">
        <w:rPr>
          <w:rFonts w:ascii="Times New Roman" w:hAnsi="Times New Roman" w:cs="Times New Roman"/>
          <w:sz w:val="24"/>
          <w:szCs w:val="24"/>
        </w:rPr>
        <w:t xml:space="preserve"> supplementation to restore signalling. </w:t>
      </w:r>
    </w:p>
    <w:p w14:paraId="5897B8EB" w14:textId="70744DFE" w:rsidR="00133A1E" w:rsidRDefault="002B3ED0" w:rsidP="00EF2AF4">
      <w:pPr>
        <w:pStyle w:val="Body"/>
        <w:spacing w:line="360" w:lineRule="auto"/>
        <w:jc w:val="both"/>
        <w:rPr>
          <w:rFonts w:ascii="Times New Roman" w:hAnsi="Times New Roman" w:cs="Times New Roman"/>
          <w:sz w:val="24"/>
          <w:szCs w:val="24"/>
        </w:rPr>
      </w:pPr>
      <w:r>
        <w:rPr>
          <w:rFonts w:ascii="Times New Roman" w:hAnsi="Times New Roman" w:cs="Times New Roman"/>
          <w:sz w:val="24"/>
          <w:szCs w:val="24"/>
        </w:rPr>
        <w:t>The effects of i</w:t>
      </w:r>
      <w:r w:rsidR="00427E9C">
        <w:rPr>
          <w:rFonts w:ascii="Times New Roman" w:hAnsi="Times New Roman" w:cs="Times New Roman"/>
          <w:sz w:val="24"/>
          <w:szCs w:val="24"/>
        </w:rPr>
        <w:t>mpairing upstream insul</w:t>
      </w:r>
      <w:r>
        <w:rPr>
          <w:rFonts w:ascii="Times New Roman" w:hAnsi="Times New Roman" w:cs="Times New Roman"/>
          <w:sz w:val="24"/>
          <w:szCs w:val="24"/>
        </w:rPr>
        <w:t>in/IGF1 signalling also produce variable effects, which makes it difficult to define how aberrant insulin/IGF1 signalling is involved in AD. For example,</w:t>
      </w:r>
      <w:r w:rsidR="00427E9C">
        <w:rPr>
          <w:rFonts w:ascii="Times New Roman" w:hAnsi="Times New Roman" w:cs="Times New Roman"/>
          <w:sz w:val="24"/>
          <w:szCs w:val="24"/>
        </w:rPr>
        <w:t xml:space="preserve"> </w:t>
      </w:r>
      <w:r w:rsidR="00EF2AF4" w:rsidRPr="00EF2AF4">
        <w:rPr>
          <w:rFonts w:ascii="Times New Roman" w:hAnsi="Times New Roman" w:cs="Times New Roman"/>
          <w:sz w:val="24"/>
          <w:szCs w:val="24"/>
        </w:rPr>
        <w:t>NIRKO</w:t>
      </w:r>
      <w:r w:rsidR="00DB0FB5">
        <w:rPr>
          <w:rFonts w:ascii="Times New Roman" w:hAnsi="Times New Roman" w:cs="Times New Roman"/>
          <w:sz w:val="24"/>
          <w:szCs w:val="24"/>
        </w:rPr>
        <w:t xml:space="preserve"> mice </w:t>
      </w:r>
      <w:r>
        <w:rPr>
          <w:rFonts w:ascii="Times New Roman" w:hAnsi="Times New Roman" w:cs="Times New Roman"/>
          <w:sz w:val="24"/>
          <w:szCs w:val="24"/>
        </w:rPr>
        <w:t>experience no changes in</w:t>
      </w:r>
      <w:r w:rsidR="00EF2AF4" w:rsidRPr="00EF2AF4">
        <w:rPr>
          <w:rFonts w:ascii="Times New Roman" w:hAnsi="Times New Roman" w:cs="Times New Roman"/>
          <w:sz w:val="24"/>
          <w:szCs w:val="24"/>
        </w:rPr>
        <w:t xml:space="preserve"> survival, development and apoptotic levels</w:t>
      </w:r>
      <w:r w:rsidR="00F60A0B">
        <w:rPr>
          <w:rFonts w:ascii="Times New Roman" w:hAnsi="Times New Roman" w:cs="Times New Roman"/>
          <w:sz w:val="24"/>
          <w:szCs w:val="24"/>
        </w:rPr>
        <w:t xml:space="preserve"> in the brain</w:t>
      </w:r>
      <w:r w:rsidR="00EF2AF4" w:rsidRPr="00EF2AF4">
        <w:rPr>
          <w:rFonts w:ascii="Times New Roman" w:hAnsi="Times New Roman" w:cs="Times New Roman"/>
          <w:sz w:val="24"/>
          <w:szCs w:val="24"/>
        </w:rPr>
        <w:t xml:space="preserve"> following knockout of the insulin receptor</w:t>
      </w:r>
      <w:r w:rsidR="00F60A0B">
        <w:rPr>
          <w:rFonts w:ascii="Times New Roman" w:hAnsi="Times New Roman" w:cs="Times New Roman"/>
          <w:sz w:val="24"/>
          <w:szCs w:val="24"/>
        </w:rPr>
        <w:t xml:space="preserve"> </w:t>
      </w:r>
      <w:r w:rsidR="00F60A0B">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"10.1073/pnas.0308724101", "ISSN" : "0027-8424", "PMID" : "14981233", "abstract" : "Impairment of insulin signaling in the brain has been linked to neurodegenerative diseases. To test the hypothesis that neuronal insulin resistance contributes to defects in neuronal function, we have performed a detailed analysis of brain/neuron-specific insulin receptor knockout (NIRKO) mice. We find that NIRKO mice exhibit a complete loss of insulin-mediated activation of phosphatidylinositol 3-kinase and inhibition of neuronal apoptosis. In intact animals, this loss results in markedly reduced phosphorylation of Akt and GSK3 beta, leading to substantially increased phosphorylation of the microtubule-associated protein Tau, a hallmark of neurodegenerative diseases. Nevertheless, these animals exhibit no alteration in neuronal proliferation/survival, memory, or basal brain glucose metabolism. Thus, lack of insulin signaling in the brain may lead to changes in Akt and GSK3 beta activity and Tau hyperphosphorylation but must interact with other mechanisms for development of Alzheimer's disease.", "author" : [ { "dropping-particle" : "", "family" : "Schubert", "given" : "Markus", "non-dropping-particle" : "", "parse-names" : false, "suffix" : "" }, { "dropping-particle" : "", "family" : "Gautam", "given" : "Dinesh", "non-dropping-particle" : "", "parse-names" : false, "suffix" : "" }, { "dropping-particle" : "", "family" : "Surjo", "given" : "David", "non-dropping-particle" : "", "parse-names" : false, "suffix" : "" }, { "dropping-particle" : "", "family" : "Ueki", "given" : "Kojihiko", "non-dropping-particle" : "", "parse-names" : false, "suffix" : "" }, { "dropping-particle" : "", "family" : "Baudler", "given" : "Stephanie", "non-dropping-particle" : "", "parse-names" : false, "suffix" : "" }, { "dropping-particle" : "", "family" : "Schubert", "given" : "Dominic", "non-dropping-particle" : "", "parse-names" : false, "suffix" : "" }, { "dropping-particle" : "", "family" : "Kondo", "given" : "Tatsuya", "non-dropping-particle" : "", "parse-names" : false, "suffix" : "" }, { "dropping-particle" : "", "family" : "Alber", "given" : "Jens", "non-dropping-particle" : "", "parse-names" : false, "suffix" : "" }, { "dropping-particle" : "", "family" : "Galldiks", "given" : "Norbert", "non-dropping-particle" : "", "parse-names" : false, "suffix" : "" }, { "dropping-particle" : "", "family" : "K\u00fcstermann", "given" : "Eckehardt", "non-dropping-particle" : "", "parse-names" : false, "suffix" : "" }, { "dropping-particle" : "", "family" : "Arndt", "given" : "Saskia", "non-dropping-particle" : "", "parse-names" : false, "suffix" : "" }, { "dropping-particle" : "", "family" : "Jacobs", "given" : "Andreas H", "non-dropping-particle" : "", "parse-names" : false, "suffix" : "" }, { "dropping-particle" : "", "family" : "Krone", "given" : "Wilhelm", "non-dropping-particle" : "", "parse-names" : false, "suffix" : "" }, { "dropping-particle" : "", "family" : "Kahn", "given" : "C Ronald", "non-dropping-particle" : "", "parse-names" : false, "suffix" : "" }, { "dropping-particle" : "", "family" : "Br\u00fcning", "given" : "Jens C", "non-dropping-particle" : "", "parse-names" : false, "suffix" : "" } ], "container-title" : "Proceedings of the National Academy of Sciences of the United States of America", "id" : "ITEM-1", "issue" : "9", "issued" : { "date-parts" : [ [ "2004", "3", "2" ] ] }, "page" : "3100-5", "title" : "Role for neuronal insulin resistance in neurodegenerative diseases.", "type" : "article-journal", "volume" : "101" }, "uris" : [ "http://www.mendeley.com/documents/?uuid=3acf6206-4ad2-4e66-9fd3-090a9fa300ef" ] } ], "mendeley" : { "formattedCitation" : "(Schubert et al. 2004)", "plainTextFormattedCitation" : "(Schubert et al. 2004)", "previouslyFormattedCitation" : "(Schubert et al. 2004)" }, "properties" : { "noteIndex" : 0 }, "schema" : "https://github.com/citation-style-language/schema/raw/master/csl-citation.json" }</w:instrText>
      </w:r>
      <w:r w:rsidR="00F60A0B">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(Schubert et al. 2004)</w:t>
      </w:r>
      <w:r w:rsidR="00F60A0B">
        <w:rPr>
          <w:rFonts w:ascii="Times New Roman" w:hAnsi="Times New Roman" w:cs="Times New Roman"/>
          <w:sz w:val="24"/>
          <w:szCs w:val="24"/>
        </w:rPr>
        <w:fldChar w:fldCharType="end"/>
      </w:r>
      <w:r w:rsidR="00F60A0B">
        <w:rPr>
          <w:rFonts w:ascii="Times New Roman" w:hAnsi="Times New Roman" w:cs="Times New Roman"/>
          <w:sz w:val="24"/>
          <w:szCs w:val="24"/>
        </w:rPr>
        <w:t>.</w:t>
      </w:r>
      <w:r w:rsidR="00340CB0">
        <w:rPr>
          <w:rFonts w:ascii="Times New Roman" w:hAnsi="Times New Roman" w:cs="Times New Roman"/>
          <w:sz w:val="24"/>
          <w:szCs w:val="24"/>
        </w:rPr>
        <w:t xml:space="preserve"> This may suggest that compensatory pathways are</w:t>
      </w:r>
      <w:r w:rsidR="00340CB0" w:rsidRPr="00EF2AF4">
        <w:rPr>
          <w:rFonts w:ascii="Times New Roman" w:hAnsi="Times New Roman" w:cs="Times New Roman"/>
          <w:sz w:val="24"/>
          <w:szCs w:val="24"/>
        </w:rPr>
        <w:t xml:space="preserve"> employed to maintain brain structure and function</w:t>
      </w:r>
      <w:r w:rsidR="00340CB0">
        <w:rPr>
          <w:rFonts w:ascii="Times New Roman" w:hAnsi="Times New Roman" w:cs="Times New Roman"/>
          <w:sz w:val="24"/>
          <w:szCs w:val="24"/>
        </w:rPr>
        <w:t xml:space="preserve">. In support of this, heterozygous inactivation of IGF1R in the mouse brain decreases growth and increases longevity yet no cognitive defects are observed, which </w:t>
      </w:r>
      <w:r w:rsidR="005724B6">
        <w:rPr>
          <w:rFonts w:ascii="Times New Roman" w:hAnsi="Times New Roman" w:cs="Times New Roman"/>
          <w:sz w:val="24"/>
          <w:szCs w:val="24"/>
        </w:rPr>
        <w:t xml:space="preserve">may be the result of </w:t>
      </w:r>
      <w:r w:rsidR="00340CB0">
        <w:rPr>
          <w:rFonts w:ascii="Times New Roman" w:hAnsi="Times New Roman" w:cs="Times New Roman"/>
          <w:sz w:val="24"/>
          <w:szCs w:val="24"/>
        </w:rPr>
        <w:t>compensatory increased activation of remaining IGF1R</w:t>
      </w:r>
      <w:r w:rsidR="004F0F41">
        <w:rPr>
          <w:rFonts w:ascii="Times New Roman" w:hAnsi="Times New Roman" w:cs="Times New Roman"/>
          <w:sz w:val="24"/>
          <w:szCs w:val="24"/>
        </w:rPr>
        <w:t xml:space="preserve"> </w:t>
      </w:r>
      <w:r w:rsidR="004F0F41">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"10.1371/journal.pbio.0060254", "ISSN" : "1545-7885", "PMID" : "18959478", "abstract" : "Mutations that decrease insulin-like growth factor (IGF) and growth hormone signaling limit body size and prolong lifespan in mice. In vertebrates, these somatotropic hormones are controlled by the neuroendocrine brain. Hormone-like regulations discovered in nematodes and flies suggest that IGF signals in the nervous system can determine lifespan, but it is unknown whether this applies to higher organisms. Using conditional mutagenesis in the mouse, we show that brain IGF receptors (IGF-1R) efficiently regulate somatotropic development. Partial inactivation of IGF-1R in the embryonic brain selectively inhibited GH and IGF-I pathways after birth. This caused growth retardation, smaller adult size, and metabolic alterations, and led to delayed mortality and longer mean lifespan. Thus, early changes in neuroendocrine development can durably modify the life trajectory in mammals. The underlying mechanism appears to be an adaptive plasticity of somatotropic functions allowing individuals to decelerate growth and preserve resources, and thereby improve fitness in challenging environments. Our results also suggest that tonic somatotropic signaling entails the risk of shortened lifespan.", "author" : [ { "dropping-particle" : "", "family" : "Kappeler", "given" : "Laurent", "non-dropping-particle" : "", "parse-names" : false, "suffix" : "" }, { "dropping-particle" : "", "family" : "Magalhaes Filho", "given" : "Carlos", "non-dropping-particle" : "De", "parse-names" : false, "suffix" : "" }, { "dropping-particle" : "", "family" : "Dupont", "given" : "Jo\u00eblle", "non-dropping-particle" : "", "parse-names" : false, "suffix" : "" }, { "dropping-particle" : "", "family" : "Leneuve", "given" : "Patricia", "non-dropping-particle" : "", "parse-names" : false, "suffix" : "" }, { "dropping-particle" : "", "family" : "Cervera", "given" : "Pascale", "non-dropping-particle" : "", "parse-names" : false, "suffix" : "" }, { "dropping-particle" : "", "family" : "P\u00e9rin", "given" : "Laurence", "non-dropping-particle" : "", "parse-names" : false, "suffix" : "" }, { "dropping-particle" : "", "family" : "Loudes", "given" : "Catherine", "non-dropping-particle" : "", "parse-names" : false, "suffix" : "" }, { "dropping-particle" : "", "family" : "Blaise", "given" : "Annick", "non-dropping-particle" : "", "parse-names" : false, "suffix" : "" }, { "dropping-particle" : "", "family" : "Klein", "given" : "R\u00fcdiger", "non-dropping-particle" : "", "parse-names" : false, "suffix" : "" }, { "dropping-particle" : "", "family" : "Epelbaum", "given" : "Jacques", "non-dropping-particle" : "", "parse-names" : false, "suffix" : "" }, { "dropping-particle" : "", "family" : "Bouc", "given" : "Yves", "non-dropping-particle" : "Le", "parse-names" : false, "suffix" : "" }, { "dropping-particle" : "", "family" : "Holzenberger", "given" : "Martin", "non-dropping-particle" : "", "parse-names" : false, "suffix" : "" } ], "container-title" : "PLoS biology", "id" : "ITEM-1", "issue" : "10", "issued" : { "date-parts" : [ [ "2008", "10", "28" ] ] }, "page" : "e254", "title" : "Brain IGF-1 receptors control mammalian growth and lifespan through a neuroendocrine mechanism.", "type" : "article-journal", "volume" : "6" }, "uris" : [ "http://www.mendeley.com/documents/?uuid=19233858-532c-409b-a6a9-6fef7bbd0c36" ] } ], "mendeley" : { "formattedCitation" : "(Kappeler et al. 2008)", "plainTextFormattedCitation" : "(Kappeler et al. 2008)", "previouslyFormattedCitation" : "(Kappeler et al. 2008)" }, "properties" : { "noteIndex" : 0 }, "schema" : "https://github.com/citation-style-language/schema/raw/master/csl-citation.json" }</w:instrText>
      </w:r>
      <w:r w:rsidR="004F0F41">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(Kappeler et al. 2008)</w:t>
      </w:r>
      <w:r w:rsidR="004F0F41">
        <w:rPr>
          <w:rFonts w:ascii="Times New Roman" w:hAnsi="Times New Roman" w:cs="Times New Roman"/>
          <w:color w:val="auto"/>
          <w:sz w:val="24"/>
          <w:szCs w:val="24"/>
        </w:rPr>
        <w:fldChar w:fldCharType="end"/>
      </w:r>
      <w:r w:rsidR="00F60A0B">
        <w:rPr>
          <w:rFonts w:ascii="Times New Roman" w:hAnsi="Times New Roman" w:cs="Times New Roman"/>
          <w:sz w:val="24"/>
          <w:szCs w:val="24"/>
        </w:rPr>
        <w:t xml:space="preserve">. </w:t>
      </w:r>
      <w:r w:rsidR="00715D31">
        <w:rPr>
          <w:rFonts w:ascii="Times New Roman" w:hAnsi="Times New Roman" w:cs="Times New Roman"/>
          <w:sz w:val="24"/>
          <w:szCs w:val="24"/>
        </w:rPr>
        <w:t>As the insulin and IGF1 signalling pathways are interlinked, it makes it challenging to dissect out the individual contribution of these pathways in AD.</w:t>
      </w:r>
    </w:p>
    <w:p w14:paraId="248279F1" w14:textId="77777777" w:rsidR="00EC1EE6" w:rsidRPr="00EF2AF4" w:rsidRDefault="00EC1EE6" w:rsidP="00EF2AF4">
      <w:pPr>
        <w:pStyle w:val="Body"/>
        <w:spacing w:line="360" w:lineRule="auto"/>
        <w:jc w:val="both"/>
        <w:rPr>
          <w:rFonts w:ascii="Times New Roman" w:hAnsi="Times New Roman" w:cs="Times New Roman"/>
          <w:sz w:val="24"/>
          <w:szCs w:val="24"/>
        </w:rPr>
      </w:pPr>
    </w:p>
    <w:p w14:paraId="24DA32BE" w14:textId="5ED51E4F" w:rsidR="00EF2AF4" w:rsidRDefault="007720C4" w:rsidP="00233453">
      <w:pPr>
        <w:pStyle w:val="Heading3"/>
      </w:pPr>
      <w:bookmarkStart w:id="379" w:name="_Toc11"/>
      <w:bookmarkStart w:id="380" w:name="_Toc331425891"/>
      <w:bookmarkStart w:id="381" w:name="_Toc331427078"/>
      <w:bookmarkStart w:id="382" w:name="_Toc331427450"/>
      <w:bookmarkStart w:id="383" w:name="_Toc331427592"/>
      <w:bookmarkStart w:id="384" w:name="_Toc332972596"/>
      <w:bookmarkStart w:id="385" w:name="_Toc333046876"/>
      <w:bookmarkStart w:id="386" w:name="_Toc333477223"/>
      <w:bookmarkStart w:id="387" w:name="_Toc333477993"/>
      <w:bookmarkStart w:id="388" w:name="_Toc333644893"/>
      <w:r>
        <w:t>1.7</w:t>
      </w:r>
      <w:r w:rsidR="007351BF" w:rsidRPr="007351BF">
        <w:t>.2</w:t>
      </w:r>
      <w:r w:rsidR="00EF2AF4" w:rsidRPr="007351BF">
        <w:t xml:space="preserve"> Downstream pathway modifications </w:t>
      </w:r>
      <w:bookmarkEnd w:id="379"/>
      <w:r w:rsidR="006E6E78">
        <w:t>and AD</w:t>
      </w:r>
      <w:bookmarkEnd w:id="380"/>
      <w:bookmarkEnd w:id="381"/>
      <w:bookmarkEnd w:id="382"/>
      <w:bookmarkEnd w:id="383"/>
      <w:bookmarkEnd w:id="384"/>
      <w:bookmarkEnd w:id="385"/>
      <w:bookmarkEnd w:id="386"/>
      <w:bookmarkEnd w:id="387"/>
      <w:bookmarkEnd w:id="388"/>
    </w:p>
    <w:p w14:paraId="29882602" w14:textId="77777777" w:rsidR="00FB13BD" w:rsidRPr="00FB13BD" w:rsidRDefault="00FB13BD" w:rsidP="00FB13BD"/>
    <w:p w14:paraId="7C618E00" w14:textId="77777777" w:rsidR="00FB13BD" w:rsidRDefault="00FB13BD" w:rsidP="00FB13BD"/>
    <w:p w14:paraId="45918C50" w14:textId="7BC0ABB5" w:rsidR="00FB13BD" w:rsidRPr="00FB13BD" w:rsidRDefault="00FB13BD" w:rsidP="00567751">
      <w:pPr>
        <w:rPr>
          <w:rFonts w:ascii="Times New Roman" w:hAnsi="Times New Roman" w:cs="Times New Roman"/>
          <w:b/>
          <w:i/>
          <w:u w:val="single"/>
        </w:rPr>
      </w:pPr>
      <w:r>
        <w:rPr>
          <w:rFonts w:ascii="Times New Roman" w:hAnsi="Times New Roman" w:cs="Times New Roman"/>
          <w:b/>
          <w:i/>
          <w:u w:val="single"/>
        </w:rPr>
        <w:t>Insulin receptor substrate</w:t>
      </w:r>
    </w:p>
    <w:p w14:paraId="61D966D5" w14:textId="2B3F51DB" w:rsidR="00EF2AF4" w:rsidRPr="00EF2AF4" w:rsidRDefault="00DD65ED" w:rsidP="00EF2AF4">
      <w:pPr>
        <w:pStyle w:val="Body"/>
        <w:spacing w:line="360" w:lineRule="auto"/>
        <w:jc w:val="both"/>
        <w:rPr>
          <w:rFonts w:ascii="Times New Roman" w:hAnsi="Times New Roman" w:cs="Times New Roman"/>
          <w:sz w:val="24"/>
          <w:szCs w:val="24"/>
        </w:rPr>
      </w:pPr>
      <w:r>
        <w:rPr>
          <w:rFonts w:ascii="Times New Roman" w:hAnsi="Times New Roman" w:cs="Times New Roman"/>
          <w:sz w:val="24"/>
          <w:szCs w:val="24"/>
        </w:rPr>
        <w:t>Changes in the levels of</w:t>
      </w:r>
      <w:r w:rsidR="00EF2AF4" w:rsidRPr="00EF2AF4">
        <w:rPr>
          <w:rFonts w:ascii="Times New Roman" w:hAnsi="Times New Roman" w:cs="Times New Roman"/>
          <w:sz w:val="24"/>
          <w:szCs w:val="24"/>
        </w:rPr>
        <w:t xml:space="preserve"> adaptor proteins IRS1 and IRS2</w:t>
      </w:r>
      <w:r>
        <w:rPr>
          <w:rFonts w:ascii="Times New Roman" w:hAnsi="Times New Roman" w:cs="Times New Roman"/>
          <w:sz w:val="24"/>
          <w:szCs w:val="24"/>
        </w:rPr>
        <w:t xml:space="preserve"> have also been reported in AD</w:t>
      </w:r>
      <w:r w:rsidR="00EF2AF4" w:rsidRPr="00EF2AF4">
        <w:rPr>
          <w:rFonts w:ascii="Times New Roman" w:hAnsi="Times New Roman" w:cs="Times New Roman"/>
          <w:sz w:val="24"/>
          <w:szCs w:val="24"/>
        </w:rPr>
        <w:t xml:space="preserve">. </w:t>
      </w:r>
      <w:r w:rsidR="005B76A1">
        <w:rPr>
          <w:rFonts w:ascii="Times New Roman" w:hAnsi="Times New Roman" w:cs="Times New Roman"/>
          <w:sz w:val="24"/>
          <w:szCs w:val="24"/>
        </w:rPr>
        <w:t>Phosphorylation of IRS1 can occur at over 70</w:t>
      </w:r>
      <w:r w:rsidR="00D66063">
        <w:rPr>
          <w:rFonts w:ascii="Times New Roman" w:hAnsi="Times New Roman" w:cs="Times New Roman"/>
          <w:sz w:val="24"/>
          <w:szCs w:val="24"/>
        </w:rPr>
        <w:t xml:space="preserve"> distinct residues</w:t>
      </w:r>
      <w:r w:rsidR="005B76A1">
        <w:rPr>
          <w:rFonts w:ascii="Times New Roman" w:hAnsi="Times New Roman" w:cs="Times New Roman"/>
          <w:sz w:val="24"/>
          <w:szCs w:val="24"/>
        </w:rPr>
        <w:t>, which</w:t>
      </w:r>
      <w:r w:rsidR="00D66063">
        <w:rPr>
          <w:rFonts w:ascii="Times New Roman" w:hAnsi="Times New Roman" w:cs="Times New Roman"/>
          <w:sz w:val="24"/>
          <w:szCs w:val="24"/>
        </w:rPr>
        <w:t xml:space="preserve"> will modulate IRS1 activity. In general, </w:t>
      </w:r>
      <w:r w:rsidR="00EF2AF4" w:rsidRPr="00EF2AF4">
        <w:rPr>
          <w:rFonts w:ascii="Times New Roman" w:hAnsi="Times New Roman" w:cs="Times New Roman"/>
          <w:sz w:val="24"/>
          <w:szCs w:val="24"/>
        </w:rPr>
        <w:t xml:space="preserve">tyrosine phosphorylation </w:t>
      </w:r>
      <w:r w:rsidR="00D66063">
        <w:rPr>
          <w:rFonts w:ascii="Times New Roman" w:hAnsi="Times New Roman" w:cs="Times New Roman"/>
          <w:sz w:val="24"/>
          <w:szCs w:val="24"/>
        </w:rPr>
        <w:t>will activate IRS1, whereas serine phosphorylation inactivates IRS1 by either targeting it for degradation or making it a weaker substrate for RTK activation</w:t>
      </w:r>
      <w:r w:rsidR="00EF2AF4" w:rsidRPr="00EF2AF4">
        <w:rPr>
          <w:rFonts w:ascii="Times New Roman" w:hAnsi="Times New Roman" w:cs="Times New Roman"/>
          <w:sz w:val="24"/>
          <w:szCs w:val="24"/>
        </w:rPr>
        <w:t xml:space="preserve"> </w:t>
      </w:r>
      <w:r w:rsidR="004B61AA">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"abstract" : "This review will provide insight on the current understanding of the regulation of insulin signaling in both physiological and pathological conditions through modulations that occur with regards to the functions of the insulin receptor substrate 1 (IRS1). While the phosphorylation of IRS1 on tyrosine residue is required for insulin-stimulated responses, the phosphorylation of IRS1 on serine residues has a dual role, either to enhance or to terminate the insulin effects. The activation of PKB in response to insulin propagates insulin signaling and promotes the phosphorylation of IRS1 on serine residue in turn generating a positive-feedback loop for insulin action. Insulin also activates several kinases and these kinases act to induce the phosphorylation of IRS1 on specific sites and inhibit its functions. This is part of the negative-feedback control mechanism induced by insulin that leads to termination of its action. Agents such as free fatty acids, cytokines, angiotensin II, endothelin-1, amino acids, cellular stress and hyperinsulinemia, which induce insulin resistance, lead to both activation of several serine/threonine kinases and phosphorylation of IRS1. These agents negatively regulate the IRS1 functions by phosphorylation but also via others molecular mechanisms (SOCS expression, IRS degradation, O-linked glycosylation) as summarized in this review. Understanding how these agents inhibit IRS1 functions as well as identification of kinases involved in these inhibitory effects may provide novel targets for development of strategies to prevent insulin resistance.", "author" : [ { "dropping-particle" : "", "family" : "Gual", "given" : "Philippe", "non-dropping-particle" : "", "parse-names" : false, "suffix" : "" }, { "dropping-particle" : "", "family" : "Marchand-Brustel", "given" : "Yannick", "non-dropping-particle" : "Le", "parse-names" : false, "suffix" : "" }, { "dropping-particle" : "", "family" : "Tanti", "given" : "Jean-Fran\u00e7ois", "non-dropping-particle" : "", "parse-names" : false, "suffix" : "" } ], "container-title" : "Biochimie", "id" : "ITEM-1", "issue" : "1", "issued" : { "date-parts" : [ [ "2005" ] ] }, "page" : "99-109", "title" : "Positive and negative regulation of insulin signaling through IRS-1 phosphorylation", "type" : "article-journal", "volume" : "87" }, "uris" : [ "http://www.mendeley.com/documents/?uuid=aa1556e6-0643-4735-9636-c15eb53efc3f" ] } ], "mendeley" : { "formattedCitation" : "(Gual et al. 2005)", "plainTextFormattedCitation" : "(Gual et al. 2005)", "previouslyFormattedCitation" : "(Gual et al. 2005)" }, "properties" : { "noteIndex" : 0 }, "schema" : "https://github.com/citation-style-language/schema/raw/master/csl-citation.json" }</w:instrText>
      </w:r>
      <w:r w:rsidR="004B61AA">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(Gual et al. 2005)</w:t>
      </w:r>
      <w:r w:rsidR="004B61AA">
        <w:rPr>
          <w:rFonts w:ascii="Times New Roman" w:hAnsi="Times New Roman" w:cs="Times New Roman"/>
          <w:sz w:val="24"/>
          <w:szCs w:val="24"/>
        </w:rPr>
        <w:fldChar w:fldCharType="end"/>
      </w:r>
      <w:r w:rsidR="004B61AA">
        <w:rPr>
          <w:rFonts w:ascii="Times New Roman" w:hAnsi="Times New Roman" w:cs="Times New Roman"/>
          <w:sz w:val="24"/>
          <w:szCs w:val="24"/>
        </w:rPr>
        <w:t>.</w:t>
      </w:r>
      <w:r w:rsidR="00985BB0">
        <w:rPr>
          <w:rFonts w:ascii="Times New Roman" w:hAnsi="Times New Roman" w:cs="Times New Roman"/>
          <w:sz w:val="24"/>
          <w:szCs w:val="24"/>
        </w:rPr>
        <w:t xml:space="preserve"> </w:t>
      </w:r>
      <w:r w:rsidR="00EF2AF4" w:rsidRPr="00EF2AF4">
        <w:rPr>
          <w:rFonts w:ascii="Times New Roman" w:hAnsi="Times New Roman" w:cs="Times New Roman"/>
          <w:sz w:val="24"/>
          <w:szCs w:val="24"/>
        </w:rPr>
        <w:t>In AD neurons both IRS1 and IRS2 are reduced, and this is associated with increased phosphorylation at IRS1 serine residue 312 (S312)</w:t>
      </w:r>
      <w:r w:rsidR="002B38F5">
        <w:rPr>
          <w:rFonts w:ascii="Times New Roman" w:hAnsi="Times New Roman" w:cs="Times New Roman"/>
          <w:sz w:val="24"/>
          <w:szCs w:val="24"/>
        </w:rPr>
        <w:t>, S636</w:t>
      </w:r>
      <w:r w:rsidR="00EF2AF4" w:rsidRPr="00EF2AF4">
        <w:rPr>
          <w:rFonts w:ascii="Times New Roman" w:hAnsi="Times New Roman" w:cs="Times New Roman"/>
          <w:sz w:val="24"/>
          <w:szCs w:val="24"/>
        </w:rPr>
        <w:t xml:space="preserve"> and S616 and colocalisation with NFTs</w:t>
      </w:r>
      <w:r w:rsidR="0016200A">
        <w:rPr>
          <w:rFonts w:ascii="Times New Roman" w:hAnsi="Times New Roman" w:cs="Times New Roman"/>
          <w:sz w:val="24"/>
          <w:szCs w:val="24"/>
        </w:rPr>
        <w:t xml:space="preserve"> </w:t>
      </w:r>
      <w:r w:rsidR="004B61AA" w:rsidRPr="00E7279D">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"10.1016/j.neurobiolaging.2008.04.002", "ISSN" : "1558-1497", "PMID" : "18479783", "abstract" : "Insulin like growth factor-1 receptor (IGF-1R) and insulin receptor (IR) signalling control vital growth, survival and metabolic functions in the brain. Here we describe specific and significant alterations in IGF-1R, IR, and their key substrate adaptor proteins IRS-1 and IRS-2 in Alzheimer's disease (AD). Western immunoblot analysis detected increased IGF-1R levels, and decreased levels of IGF-1-binding protein-2 (IGFBP-2), a major IGF-1-binding protein, in AD temporal cortex. Increased IGF-1R was observed surrounding and within amyloid-beta (Abeta)-containing plaques, also evident in an animal model of AD, and in astrocytes in AD. However, despite the overall increase in IGF-1R levels, a significantly lower number of neurons expressed IGF-1R in AD, and IGF-1R was aberrantly distributed in AD neurons especially evident in those with neurofibrillary tangles (NFTs). IR protein levels were similar in AD and control cases, however, the IR was concentrated intracellularly in AD neurons, unlike its distribution throughout the neuronal cell soma and in dendrites in control brain. Significant decreases in IRS-1 and IRS-2 levels were identified in AD neurons, in association with increased levels of inactivated phospho(Ser312)IRS-1 and phospho(Ser616)IRS-1, where increased levels of these phosphoserine epitopes colocalised strongly with NFTs. Our results show that IGF-1R and IR signalling is compromised in AD neurons and suggest that neurons that degenerate in AD may be resistant to IGF-1R/IR signalling.", "author" : [ { "dropping-particle" : "", "family" : "Moloney", "given" : "Aileen M", "non-dropping-particle" : "", "parse-names" : false, "suffix" : "" }, { "dropping-particle" : "", "family" : "Griffin", "given" : "Rebecca J", "non-dropping-particle" : "", "parse-names" : false, "suffix" : "" }, { "dropping-particle" : "", "family" : "Timmons", "given" : "Suzanne", "non-dropping-particle" : "", "parse-names" : false, "suffix" : "" }, { "dropping-particle" : "", "family" : "O'Connor", "given" : "Rosemary", "non-dropping-particle" : "", "parse-names" : false, "suffix" : "" }, { "dropping-particle" : "", "family" : "Ravid", "given" : "Rivka", "non-dropping-particle" : "", "parse-names" : false, "suffix" : "" }, { "dropping-particle" : "", "family" : "O'Neill", "given" : "Cora", "non-dropping-particle" : "", "parse-names" : false, "suffix" : "" } ], "container-title" : "Neurobiology of aging", "id" : "ITEM-1", "issue" : "2", "issued" : { "date-parts" : [ [ "2010", "2" ] ] }, "page" : "224-43", "title" : "Defects in IGF-1 receptor, insulin receptor and IRS-1/2 in Alzheimer's disease indicate possible resistance to IGF-1 and insulin signalling.", "type" : "article-journal", "volume" : "31" }, "uris" : [ "http://www.mendeley.com/documents/?uuid=bfaaf66e-5738-4923-89fc-a72fdf607c5e" ] }, { "id" : "ITEM-2", "itemData" : { "DOI" : "10.1172/JCI57256DS1", "author" : [ { "dropping-particle" : "", "family" : "Bomfim", "given" : "Theresa R", "non-dropping-particle" : "", "parse-names" : false, "suffix" : "" }, { "dropping-particle" : "", "family" : "Forny-germano", "given" : "Leticia", "non-dropping-particle" : "", "parse-names" : false, "suffix" : "" }, { "dropping-particle" : "", "family" : "Sathler", "given" : "Luciana B", "non-dropping-particle" : "", "parse-names" : false, "suffix" : "" }, { "dropping-particle" : "", "family" : "Brito-moreira", "given" : "Jordano", "non-dropping-particle" : "", "parse-names" : false, "suffix" : "" }, { "dropping-particle" : "", "family" : "Houzel", "given" : "Jean-christophe", "non-dropping-particle" : "", "parse-names" : false, "suffix" : "" }, { "dropping-particle" : "", "family" : "Decker", "given" : "Helena", "non-dropping-particle" : "", "parse-names" : false, "suffix" : "" }, { "dropping-particle" : "", "family" : "Silverman", "given" : "Michael A", "non-dropping-particle" : "", "parse-names" : false, "suffix" : "" }, { "dropping-particle" : "", "family" : "Kazi", "given" : "Hala", "non-dropping-particle" : "", "parse-names" : false, "suffix" : "" }, { "dropping-particle" : "", "family" : "Melo", "given" : "Helen M", "non-dropping-particle" : "", "parse-names" : false, "suffix" : "" }, { "dropping-particle" : "", "family" : "Mcclean", "given" : "Paula L", "non-dropping-particle" : "", "parse-names" : false, "suffix" : "" }, { "dropping-particle" : "", "family" : "Holscher", "given" : "Christian", "non-dropping-particle" : "", "parse-names" : false, "suffix" : "" }, { "dropping-particle" : "", "family" : "Arnold", "given" : "Steven E", "non-dropping-particle" : "", "parse-names" : false, "suffix" : "" }, { "dropping-particle" : "", "family" : "Talbot", "given" : "Konrad", "non-dropping-particle" : "", "parse-names" : false, "suffix" : "" }, { "dropping-particle" : "", "family" : "Klein", "given" : "William L", "non-dropping-particle" : "", "parse-names" : false, "suffix" : "" }, { "dropping-particle" : "", "family" : "Munoz", "given" : "Douglas P", "non-dropping-particle" : "", "parse-names" : false, "suffix" : "" }, { "dropping-particle" : "", "family" : "Ferreira", "given" : "Sergio T", "non-dropping-particle" : "", "parse-names" : false, "suffix" : "" }, { "dropping-particle" : "De", "family" : "Felice", "given" : "Fernanda G", "non-dropping-particle" : "", "parse-names" : false, "suffix" : "" } ], "id" : "ITEM-2", "issue" : "4", "issued" : { "date-parts" : [ [ "2012" ] ] }, "page" : "1339-1353", "title" : "An anti-diabetes agent protects the mouse brain from defective insulin signaling caused by Alzheimer \u2019 s disease \u2013 associated A \u03b2 oligomers", "type" : "article-journal", "volume" : "122" }, "uris" : [ "http://www.mendeley.com/documents/?uuid=6e5949b9-cdba-45db-aea7-f5dd15de3603" ] }, { "id" : "ITEM-3", "itemData" : { "DOI" : "10.1007/s00401-014-1328-5", "ISSN" : "1432-0533", "PMID" : "25107476", "abstract" : "Neuronal insulin signaling abnormalities have been associated with Alzheimer's disease (AD). However, the specificity of this association and its underlying mechanisms have been unclear. This study investigated the expression of abnormal serine phosphorylation of insulin receptor substrate 1 (IRS1) in 157 human brain autopsy cases that included AD, tauopathies, \u03b1-synucleinopathies, TDP-43 proteinopathies, and normal aging. IRS1-pS(616), IRS1-pS(312) and downstream target Akt-pS(473) measures were most elevated in AD but were also significantly increased in the tauopathies: Pick's disease, corticobasal degeneration and progressive supranuclear palsy. Double immunofluorescence labeling showed frequent co-expression of IRS1-pS(616) with pathologic tau in neurons and dystrophic neurites. To further investigate an association between tau and abnormal serine phosphorylation of IRS1, we examined the presence of abnormal IRS1-pS(616) expression in pathological tau-expressing transgenic mice and demonstrated that abnormal IRS1-pS(616) frequently co-localizes in tangle-bearing neurons. Conversely, we observed increased levels of hyperphosphorylated tau in the high-fat diet-fed mouse, a model of insulin resistance. These results provide confirmation and specificity that abnormal phosphorylation of IRS1 is a pathological feature of AD and other tauopathies, and provide support for an association between insulin resistance and abnormal tau as well as amyloid-\u03b2.", "author" : [ { "dropping-particle" : "", "family" : "Yarchoan", "given" : "Mark", "non-dropping-particle" : "", "parse-names" : false, "suffix" : "" }, { "dropping-particle" : "", "family" : "Toledo", "given" : "Jon B", "non-dropping-particle" : "", "parse-names" : false, "suffix" : "" }, { "dropping-particle" : "", "family" : "Lee", "given" : "Edward B", "non-dropping-particle" : "", "parse-names" : false, "suffix" : "" }, { "dropping-particle" : "", "family" : "Arvanitakis", "given" : "Zoe", "non-dropping-particle" : "", "parse-names" : false, "suffix" : "" }, { "dropping-particle" : "", "family" : "Kazi", "given" : "Hala", "non-dropping-particle" : "", "parse-names" : false, "suffix" : "" }, { "dropping-particle" : "", "family" : "Han", "given" : "Li-Ying", "non-dropping-particle" : "", "parse-names" : false, "suffix" : "" }, { "dropping-particle" : "", "family" : "Louneva", "given" : "Natalia", "non-dropping-particle" : "", "parse-names" : false, "suffix" : "" }, { "dropping-particle" : "", "family" : "Lee", "given" : "Virginia M-Y", "non-dropping-particle" : "", "parse-names" : false, "suffix" : "" }, { "dropping-particle" : "", "family" : "Kim", "given" : "Sangwon F", "non-dropping-particle" : "", "parse-names" : false, "suffix" : "" }, { "dropping-particle" : "", "family" : "Trojanowski", "given" : "John Q", "non-dropping-particle" : "", "parse-names" : false, "suffix" : "" }, { "dropping-particle" : "", "family" : "Arnold", "given" : "Steven E", "non-dropping-particle" : "", "parse-names" : false, "suffix" : "" } ], "container-title" : "Acta neuropathologica", "id" : "ITEM-3", "issue" : "5", "issued" : { "date-parts" : [ [ "2014", "11" ] ] }, "page" : "679-89", "title" : "Abnormal serine phosphorylation of insulin receptor substrate 1 is associated with tau pathology in Alzheimer's disease and tauopathies.", "type" : "article-journal", "volume" : "128" }, "uris" : [ "http://www.mendeley.com/documents/?uuid=a55951a5-17bb-3738-a414-4c585cd427b2" ] } ], "mendeley" : { "formattedCitation" : "(Moloney et al. 2010a; Bomfim et al. 2012; Yarchoan et al. 2014)", "manualFormatting" : "(Bomfim et al., 2012; Moloney et al., 2010; Yarchoan et al., 2014)", "plainTextFormattedCitation" : "(Moloney et al. 2010a; Bomfim et al. 2012; Yarchoan et al. 2014)", "previouslyFormattedCitation" : "(Moloney et al. 2010a; Bomfim et al. 2012; Yarchoan et al. 2014)" }, "properties" : { "noteIndex" : 0 }, "schema" : "https://github.com/citation-style-language/schema/raw/master/csl-citation.json" }</w:instrText>
      </w:r>
      <w:r w:rsidR="004B61AA" w:rsidRPr="00E7279D">
        <w:rPr>
          <w:rFonts w:ascii="Times New Roman" w:hAnsi="Times New Roman" w:cs="Times New Roman"/>
          <w:color w:val="auto"/>
          <w:sz w:val="24"/>
          <w:szCs w:val="24"/>
        </w:rPr>
        <w:fldChar w:fldCharType="separate"/>
      </w:r>
      <w:r w:rsidR="00950812" w:rsidRPr="00E7279D">
        <w:rPr>
          <w:rFonts w:ascii="Times New Roman" w:hAnsi="Times New Roman" w:cs="Times New Roman"/>
          <w:noProof/>
          <w:color w:val="auto"/>
          <w:sz w:val="24"/>
          <w:szCs w:val="24"/>
        </w:rPr>
        <w:t>(Bomfim et al., 2012; Moloney et al., 2010; Yarchoan et al., 2014)</w:t>
      </w:r>
      <w:r w:rsidR="004B61AA" w:rsidRPr="00E7279D">
        <w:rPr>
          <w:rFonts w:ascii="Times New Roman" w:hAnsi="Times New Roman" w:cs="Times New Roman"/>
          <w:color w:val="auto"/>
          <w:sz w:val="24"/>
          <w:szCs w:val="24"/>
        </w:rPr>
        <w:fldChar w:fldCharType="end"/>
      </w:r>
      <w:r w:rsidR="004B61AA" w:rsidRPr="00E7279D">
        <w:rPr>
          <w:rFonts w:ascii="Times New Roman" w:hAnsi="Times New Roman" w:cs="Times New Roman"/>
          <w:color w:val="auto"/>
          <w:sz w:val="24"/>
          <w:szCs w:val="24"/>
        </w:rPr>
        <w:t>.</w:t>
      </w:r>
      <w:r w:rsidR="00B6409F" w:rsidRPr="00E7279D">
        <w:rPr>
          <w:rFonts w:ascii="Times New Roman" w:hAnsi="Times New Roman" w:cs="Times New Roman"/>
          <w:color w:val="auto"/>
          <w:sz w:val="24"/>
          <w:szCs w:val="24"/>
        </w:rPr>
        <w:t xml:space="preserve"> Increased activity of ERK</w:t>
      </w:r>
      <w:r w:rsidR="00EF2AF4" w:rsidRPr="00E7279D">
        <w:rPr>
          <w:rFonts w:ascii="Times New Roman" w:hAnsi="Times New Roman" w:cs="Times New Roman"/>
          <w:color w:val="auto"/>
          <w:sz w:val="24"/>
          <w:szCs w:val="24"/>
        </w:rPr>
        <w:t xml:space="preserve"> and mTOR (mammalian target of rapomycin) are </w:t>
      </w:r>
      <w:r w:rsidR="005F0761" w:rsidRPr="00E7279D">
        <w:rPr>
          <w:rFonts w:ascii="Times New Roman" w:hAnsi="Times New Roman" w:cs="Times New Roman"/>
          <w:color w:val="auto"/>
          <w:sz w:val="24"/>
          <w:szCs w:val="24"/>
        </w:rPr>
        <w:t>able</w:t>
      </w:r>
      <w:r w:rsidR="00EF2AF4" w:rsidRPr="00E7279D">
        <w:rPr>
          <w:rFonts w:ascii="Times New Roman" w:hAnsi="Times New Roman" w:cs="Times New Roman"/>
          <w:color w:val="auto"/>
          <w:sz w:val="24"/>
          <w:szCs w:val="24"/>
        </w:rPr>
        <w:t xml:space="preserve"> </w:t>
      </w:r>
      <w:r w:rsidR="00EF2AF4" w:rsidRPr="00EF2AF4">
        <w:rPr>
          <w:rFonts w:ascii="Times New Roman" w:hAnsi="Times New Roman" w:cs="Times New Roman"/>
          <w:sz w:val="24"/>
          <w:szCs w:val="24"/>
        </w:rPr>
        <w:t xml:space="preserve">to </w:t>
      </w:r>
      <w:r w:rsidR="005F0761">
        <w:rPr>
          <w:rFonts w:ascii="Times New Roman" w:hAnsi="Times New Roman" w:cs="Times New Roman"/>
          <w:sz w:val="24"/>
          <w:szCs w:val="24"/>
        </w:rPr>
        <w:t>trigger</w:t>
      </w:r>
      <w:r w:rsidR="00EF2AF4" w:rsidRPr="00EF2AF4">
        <w:rPr>
          <w:rFonts w:ascii="Times New Roman" w:hAnsi="Times New Roman" w:cs="Times New Roman"/>
          <w:sz w:val="24"/>
          <w:szCs w:val="24"/>
        </w:rPr>
        <w:t xml:space="preserve"> feedback inhibition</w:t>
      </w:r>
      <w:r w:rsidR="005F0761">
        <w:rPr>
          <w:rFonts w:ascii="Times New Roman" w:hAnsi="Times New Roman" w:cs="Times New Roman"/>
          <w:sz w:val="24"/>
          <w:szCs w:val="24"/>
        </w:rPr>
        <w:t xml:space="preserve"> of the insulin/IGF1 pathway by phosphorylating</w:t>
      </w:r>
      <w:r w:rsidR="00EF2AF4" w:rsidRPr="00EF2AF4">
        <w:rPr>
          <w:rFonts w:ascii="Times New Roman" w:hAnsi="Times New Roman" w:cs="Times New Roman"/>
          <w:sz w:val="24"/>
          <w:szCs w:val="24"/>
        </w:rPr>
        <w:t xml:space="preserve"> serine residues on IRS1 </w:t>
      </w:r>
      <w:r w:rsidR="004B61AA">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"10.1007/s00125-003-1223-4", "ISSN" : "0012-186X", "PMID" : "14579029", "abstract" : "AIM/HYPOTHESIS: Insulin-induced IRS-1 serine phosphorylation could be physiologically important to regulate insulin action. In a hyperinsulinaemic state such as obesity or Type 2 diabetes, this phosphorylation could be modified and exacerbate insulin resistance. We aimed at identifying serine residues in IRS-1 phosphorylated in response to insulin stimulation and at determining the involved kinases.\n\nMETHODS: 3T3-L1 adipocytes, muscle and adipose tissue of mice were subjected to Western Blot analysis with phosphospecific antibodies to identify phosphorylation sites in IRS-1 following insulin treatment. Pharmacological inhibitors were used to determine the serine kinases involved in this phosphorylation.\n\nRESULTS: In 3T3-L1 adipocytes, insulin promoted the phosphorylation of serine 307, 612 and 632 with Serine(612/632) more rapidly phosphorylated than Serine(307). Insulin-induced phosphorylation of Serine(307) was dependent on the activation of a PI 3-kinase/mTOR pathway. The phosphorylation of Serine(612/632) required the activation of the MAP kinase pathway following short-term insulin stimulation and activation of the PI 3-kinase/mTOR pathway following prolonged insulin stimulation. Phosphorylation of Serine(307) and Serine(632) occurred in vivo in skeletal muscle and white adipose tissue of mice injected with insulin and was dependent on the activation of mTOR. Moreover, inhibition of mTOR led to a persistent PI 3-kinase activation by insulin.\n\nCONCLUSION/INTERPRETATION: Insulin-induced IRS-1 serine phosphorylation is a complex process involving different sites and kinases. This complexity could be physiologically important to accurately regulate insulin signalling. Abnormal phosphorylation of these serine residues in hyperinsulinaemic state could participate in the down-regulation of insulin signalling.", "author" : [ { "dropping-particle" : "", "family" : "Gual", "given" : "P", "non-dropping-particle" : "", "parse-names" : false, "suffix" : "" }, { "dropping-particle" : "", "family" : "Gr\u00e9meaux", "given" : "T", "non-dropping-particle" : "", "parse-names" : false, "suffix" : "" }, { "dropping-particle" : "", "family" : "Gonzalez", "given" : "T", "non-dropping-particle" : "", "parse-names" : false, "suffix" : "" }, { "dropping-particle" : "", "family" : "Marchand-Brustel", "given" : "Y", "non-dropping-particle" : "Le", "parse-names" : false, "suffix" : "" }, { "dropping-particle" : "", "family" : "Tanti", "given" : "J-F", "non-dropping-particle" : "", "parse-names" : false, "suffix" : "" } ], "container-title" : "Diabetologia", "id" : "ITEM-1", "issue" : "11", "issued" : { "date-parts" : [ [ "2003", "11" ] ] }, "page" : "1532-42", "title" : "MAP kinases and mTOR mediate insulin-induced phosphorylation of insulin receptor substrate-1 on serine residues 307, 612 and 632.", "type" : "article-journal", "volume" : "46" }, "uris" : [ "http://www.mendeley.com/documents/?uuid=17cf9660-49e0-48d4-84fe-253defaf12ef" ] } ], "mendeley" : { "formattedCitation" : "(Gual et al. 2003)", "plainTextFormattedCitation" : "(Gual et al. 2003)", "previouslyFormattedCitation" : "(Gual et al. 2003)" }, "properties" : { "noteIndex" : 0 }, "schema" : "https://github.com/citation-style-language/schema/raw/master/csl-citation.json" }</w:instrText>
      </w:r>
      <w:r w:rsidR="004B61AA">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(Gual et al. 2003)</w:t>
      </w:r>
      <w:r w:rsidR="004B61AA">
        <w:rPr>
          <w:rFonts w:ascii="Times New Roman" w:hAnsi="Times New Roman" w:cs="Times New Roman"/>
          <w:sz w:val="24"/>
          <w:szCs w:val="24"/>
        </w:rPr>
        <w:fldChar w:fldCharType="end"/>
      </w:r>
      <w:r w:rsidR="005F0761">
        <w:rPr>
          <w:rFonts w:ascii="Times New Roman" w:hAnsi="Times New Roman" w:cs="Times New Roman"/>
          <w:sz w:val="24"/>
          <w:szCs w:val="24"/>
        </w:rPr>
        <w:t>. I</w:t>
      </w:r>
      <w:r w:rsidR="00EF2AF4" w:rsidRPr="00EF2AF4">
        <w:rPr>
          <w:rFonts w:ascii="Times New Roman" w:hAnsi="Times New Roman" w:cs="Times New Roman"/>
          <w:sz w:val="24"/>
          <w:szCs w:val="24"/>
        </w:rPr>
        <w:t>n</w:t>
      </w:r>
      <w:r w:rsidR="005F0761">
        <w:rPr>
          <w:rFonts w:ascii="Times New Roman" w:hAnsi="Times New Roman" w:cs="Times New Roman"/>
          <w:sz w:val="24"/>
          <w:szCs w:val="24"/>
        </w:rPr>
        <w:t xml:space="preserve"> agreement with this,</w:t>
      </w:r>
      <w:r w:rsidR="00EF2AF4" w:rsidRPr="00EF2AF4">
        <w:rPr>
          <w:rFonts w:ascii="Times New Roman" w:hAnsi="Times New Roman" w:cs="Times New Roman"/>
          <w:sz w:val="24"/>
          <w:szCs w:val="24"/>
        </w:rPr>
        <w:t xml:space="preserve"> hippocampal n</w:t>
      </w:r>
      <w:r w:rsidR="005F0761">
        <w:rPr>
          <w:rFonts w:ascii="Times New Roman" w:hAnsi="Times New Roman" w:cs="Times New Roman"/>
          <w:sz w:val="24"/>
          <w:szCs w:val="24"/>
        </w:rPr>
        <w:t>eurons of post-mortem AD tissue have</w:t>
      </w:r>
      <w:r w:rsidR="00EF2AF4" w:rsidRPr="00EF2AF4">
        <w:rPr>
          <w:rFonts w:ascii="Times New Roman" w:hAnsi="Times New Roman" w:cs="Times New Roman"/>
          <w:sz w:val="24"/>
          <w:szCs w:val="24"/>
        </w:rPr>
        <w:t xml:space="preserve"> enha</w:t>
      </w:r>
      <w:r w:rsidR="005F0761">
        <w:rPr>
          <w:rFonts w:ascii="Times New Roman" w:hAnsi="Times New Roman" w:cs="Times New Roman"/>
          <w:sz w:val="24"/>
          <w:szCs w:val="24"/>
        </w:rPr>
        <w:t xml:space="preserve">nced ERK activity in comparison with control </w:t>
      </w:r>
      <w:r w:rsidR="004B61AA">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"ISSN" : "0014-4886", "PMID" : "14552880", "abstract" : "The regional, cellular, and subcellular localization of phosphorylated p38 MAPK (pp38) was examined by immunocytochemistry, immuofluorescent multiple labeling, and immunoblotting of extracts as well as immunoprecipitates of human postmortem tissue from control and Alzheimer's disease (AD) cases at different Braak stages. \"Early AD\" cases (Braak stages IV-V) and a subset of Braak stage VI cases have high levels of pp38 immunoreactivity, with the most dense immunoreactivity located in CA2 and subiculum followed by CA1 in the hippocampus. On the contrary, very little pp38 was detected in age-matched controls (Braak stages 0-II). More importantly, as revealed by various multiple labeling experiments, pp38 immunoreactivity is mainly located in neurons bearing early neurofibrillary pathology, but not in typically fibrillar tangles that are densely stained by thioflavin-S. Most pp38-positive neurons only contain a small amount of phospho-tau. Additionally, pp38 immunoreactivity was not associated with senile plaques. At the subcellular level, pp38-immunoreactive granules are usually larger than the granules stained with the lysosomal marker cathepsin D. Immunoblotting with different extraction buffers and immunoprecipitation indicate that pp38 does not or only loosely binds to phospho-tau. Taken together, this study demonstrates that p38 MAPK is activated at early stages of neurofibrillary degeneration in AD hippocampus. The p38 activation may also be linked to neurodegeneration through mechanisms other than neurofibrillary tangle formation.", "author" : [ { "dropping-particle" : "", "family" : "Sun", "given" : "Anyang", "non-dropping-particle" : "", "parse-names" : false, "suffix" : "" }, { "dropping-particle" : "", "family" : "Liu", "given" : "Mei", "non-dropping-particle" : "", "parse-names" : false, "suffix" : "" }, { "dropping-particle" : "V", "family" : "Nguyen", "given" : "Xuan", "non-dropping-particle" : "", "parse-names" : false, "suffix" : "" }, { "dropping-particle" : "", "family" : "Bing", "given" : "Guoying", "non-dropping-particle" : "", "parse-names" : false, "suffix" : "" } ], "container-title" : "Experimental neurology", "id" : "ITEM-1", "issue" : "2", "issued" : { "date-parts" : [ [ "2003", "10" ] ] }, "page" : "394-405", "title" : "P38 MAP kinase is activated at early stages in Alzheimer's disease brain.", "type" : "article-journal", "volume" : "183" }, "uris" : [ "http://www.mendeley.com/documents/?uuid=13f2a16d-c0e4-47e5-905e-963ffbfba504" ] } ], "mendeley" : { "formattedCitation" : "(Sun et al. 2003)", "plainTextFormattedCitation" : "(Sun et al. 2003)", "previouslyFormattedCitation" : "(Sun et al. 2003)" }, "properties" : { "noteIndex" : 0 }, "schema" : "https://github.com/citation-style-language/schema/raw/master/csl-citation.json" }</w:instrText>
      </w:r>
      <w:r w:rsidR="004B61AA">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(Sun et al. 2003)</w:t>
      </w:r>
      <w:r w:rsidR="004B61AA">
        <w:rPr>
          <w:rFonts w:ascii="Times New Roman" w:hAnsi="Times New Roman" w:cs="Times New Roman"/>
          <w:sz w:val="24"/>
          <w:szCs w:val="24"/>
        </w:rPr>
        <w:fldChar w:fldCharType="end"/>
      </w:r>
      <w:r w:rsidR="004B61AA">
        <w:rPr>
          <w:rFonts w:ascii="Times New Roman" w:hAnsi="Times New Roman" w:cs="Times New Roman"/>
          <w:sz w:val="24"/>
          <w:szCs w:val="24"/>
        </w:rPr>
        <w:t>.</w:t>
      </w:r>
      <w:r w:rsidR="005B76A1">
        <w:rPr>
          <w:rFonts w:ascii="Times New Roman" w:hAnsi="Times New Roman" w:cs="Times New Roman"/>
          <w:sz w:val="24"/>
          <w:szCs w:val="24"/>
        </w:rPr>
        <w:t xml:space="preserve"> Increased IRS1 serine phosphorylation also occurs in response to oxidative stress induced JNK signalling pathway activation </w:t>
      </w:r>
      <w:r w:rsidR="006B1A12">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"10.1172/JCI57256DS1", "author" : [ { "dropping-particle" : "", "family" : "Bomfim", "given" : "Theresa R", "non-dropping-particle" : "", "parse-names" : false, "suffix" : "" }, { "dropping-particle" : "", "family" : "Forny-germano", "given" : "Leticia", "non-dropping-particle" : "", "parse-names" : false, "suffix" : "" }, { "dropping-particle" : "", "family" : "Sathler", "given" : "Luciana B", "non-dropping-particle" : "", "parse-names" : false, "suffix" : "" }, { "dropping-particle" : "", "family" : "Brito-moreira", "given" : "Jordano", "non-dropping-particle" : "", "parse-names" : false, "suffix" : "" }, { "dropping-particle" : "", "family" : "Houzel", "given" : "Jean-christophe", "non-dropping-particle" : "", "parse-names" : false, "suffix" : "" }, { "dropping-particle" : "", "family" : "Decker", "given" : "Helena", "non-dropping-particle" : "", "parse-names" : false, "suffix" : "" }, { "dropping-particle" : "", "family" : "Silverman", "given" : "Michael A", "non-dropping-particle" : "", "parse-names" : false, "suffix" : "" }, { "dropping-particle" : "", "family" : "Kazi", "given" : "Hala", "non-dropping-particle" : "", "parse-names" : false, "suffix" : "" }, { "dropping-particle" : "", "family" : "Melo", "given" : "Helen M", "non-dropping-particle" : "", "parse-names" : false, "suffix" : "" }, { "dropping-particle" : "", "family" : "Mcclean", "given" : "Paula L", "non-dropping-particle" : "", "parse-names" : false, "suffix" : "" }, { "dropping-particle" : "", "family" : "Holscher", "given" : "Christian", "non-dropping-particle" : "", "parse-names" : false, "suffix" : "" }, { "dropping-particle" : "", "family" : "Arnold", "given" : "Steven E", "non-dropping-particle" : "", "parse-names" : false, "suffix" : "" }, { "dropping-particle" : "", "family" : "Talbot", "given" : "Konrad", "non-dropping-particle" : "", "parse-names" : false, "suffix" : "" }, { "dropping-particle" : "", "family" : "Klein", "given" : "William L", "non-dropping-particle" : "", "parse-names" : false, "suffix" : "" }, { "dropping-particle" : "", "family" : "Munoz", "given" : "Douglas P", "non-dropping-particle" : "", "parse-names" : false, "suffix" : "" }, { "dropping-particle" : "", "family" : "Ferreira", "given" : "Sergio T", "non-dropping-particle" : "", "parse-names" : false, "suffix" : "" }, { "dropping-particle" : "De", "family" : "Felice", "given" : "Fernanda G", "non-dropping-particle" : "", "parse-names" : false, "suffix" : "" } ], "id" : "ITEM-1", "issue" : "4", "issued" : { "date-parts" : [ [ "2012" ] ] }, "page" : "1339-1353", "title" : "An anti-diabetes agent protects the mouse brain from defective insulin signaling caused by Alzheimer \u2019 s disease \u2013 associated A \u03b2 oligomers", "type" : "article-journal", "volume" : "122" }, "uris" : [ "http://www.mendeley.com/documents/?uuid=6e5949b9-cdba-45db-aea7-f5dd15de3603" ] } ], "mendeley" : { "formattedCitation" : "(Bomfim et al. 2012)", "plainTextFormattedCitation" : "(Bomfim et al. 2012)", "previouslyFormattedCitation" : "(Bomfim et al. 2012)" }, "properties" : { "noteIndex" : 0 }, "schema" : "https://github.com/citation-style-language/schema/raw/master/csl-citation.json" }</w:instrText>
      </w:r>
      <w:r w:rsidR="006B1A12">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(Bomfim et al. 2012)</w:t>
      </w:r>
      <w:r w:rsidR="006B1A12">
        <w:rPr>
          <w:rFonts w:ascii="Times New Roman" w:hAnsi="Times New Roman" w:cs="Times New Roman"/>
          <w:color w:val="auto"/>
          <w:sz w:val="24"/>
          <w:szCs w:val="24"/>
        </w:rPr>
        <w:fldChar w:fldCharType="end"/>
      </w:r>
      <w:r w:rsidR="006B1A12">
        <w:rPr>
          <w:rFonts w:ascii="Times New Roman" w:hAnsi="Times New Roman" w:cs="Times New Roman"/>
          <w:color w:val="auto"/>
          <w:sz w:val="24"/>
          <w:szCs w:val="24"/>
        </w:rPr>
        <w:t xml:space="preserve">. </w:t>
      </w:r>
      <w:r w:rsidR="005B76A1">
        <w:rPr>
          <w:rFonts w:ascii="Times New Roman" w:hAnsi="Times New Roman" w:cs="Times New Roman"/>
          <w:color w:val="auto"/>
          <w:sz w:val="24"/>
          <w:szCs w:val="24"/>
        </w:rPr>
        <w:t>This therefore provides a link between oxidative stress, known to occur early in AD progression, and an insulin resistant state in the brain</w:t>
      </w:r>
      <w:r w:rsidR="006B1A12">
        <w:rPr>
          <w:rFonts w:ascii="Times New Roman" w:hAnsi="Times New Roman" w:cs="Times New Roman"/>
          <w:color w:val="auto"/>
          <w:sz w:val="24"/>
          <w:szCs w:val="24"/>
        </w:rPr>
        <w:t xml:space="preserve">. </w:t>
      </w:r>
      <w:r w:rsidR="00EF2AF4" w:rsidRPr="00EF2AF4">
        <w:rPr>
          <w:rFonts w:ascii="Times New Roman" w:hAnsi="Times New Roman" w:cs="Times New Roman"/>
          <w:sz w:val="24"/>
          <w:szCs w:val="24"/>
        </w:rPr>
        <w:t xml:space="preserve">In T2D, increased serine phosphorylation at serine residue 636 has been identified as a mechanism by which skeletal muscle becomes resistant to insulin </w:t>
      </w:r>
      <w:r w:rsidR="004B61AA">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"ISSN" : "0012-1797", "PMID" : "12765939", "abstract" : "To understand better the defects in the proximal steps of insulin signaling during type 2 diabetes, we used differentiated human skeletal muscle cells in primary culture. When compared with cells from control subjects, myotubes established from patients with type 2 diabetes presented the same defects as those previously evidenced in vivo in muscle biopsies, including defective stimulation of phosphatidylinositol (PI) 3-kinase activity, decreased association of PI 3-kinase with insulin receptor substrate (IRS)-1 and reduced IRS-1 tyrosine phosphorylation during insulin stimulation. In contrast to IRS-1, the signaling through IRS-2 was not altered. Investigating the causes of the reduced tyrosine phosphorylation of IRS-1, we found a more than twofold increase in the basal phosphorylation of IRS-1 on serine 636 in myotubes from patients with diabetes. Concomitantly, there was a higher basal mitogen-activated protein kinase (MAPK) activity in these cells, and inhibition of the MAPKs with PD98059 strongly reduced the level of serine 636 phosphorylation. These results suggest that IRS-1 phosphorylation on serine 636 might be involved in the reduced phosphorylation of IRS-1 on tyrosine and in the subsequent alteration of insulin-induced PI 3-kinase activation. Moreover, increased MAPK activity seems to play a role in the phosphorylation of IRS-1 on serine residue in human muscle cells.", "author" : [ { "dropping-particle" : "", "family" : "Bouzakri", "given" : "Karim", "non-dropping-particle" : "", "parse-names" : false, "suffix" : "" }, { "dropping-particle" : "", "family" : "Roques", "given" : "Marina", "non-dropping-particle" : "", "parse-names" : false, "suffix" : "" }, { "dropping-particle" : "", "family" : "Gual", "given" : "Philippe", "non-dropping-particle" : "", "parse-names" : false, "suffix" : "" }, { "dropping-particle" : "", "family" : "Espinosa", "given" : "Sophie", "non-dropping-particle" : "", "parse-names" : false, "suffix" : "" }, { "dropping-particle" : "", "family" : "Guebre-Egziabher", "given" : "Fitsum", "non-dropping-particle" : "", "parse-names" : false, "suffix" : "" }, { "dropping-particle" : "", "family" : "Riou", "given" : "Jean-Paul", "non-dropping-particle" : "", "parse-names" : false, "suffix" : "" }, { "dropping-particle" : "", "family" : "Laville", "given" : "Martine", "non-dropping-particle" : "", "parse-names" : false, "suffix" : "" }, { "dropping-particle" : "", "family" : "Marchand-Brustel", "given" : "Yannick", "non-dropping-particle" : "Le", "parse-names" : false, "suffix" : "" }, { "dropping-particle" : "", "family" : "Tanti", "given" : "Jean-Fran\u00e7ois", "non-dropping-particle" : "", "parse-names" : false, "suffix" : "" }, { "dropping-particle" : "", "family" : "Vidal", "given" : "Hubert", "non-dropping-particle" : "", "parse-names" : false, "suffix" : "" } ], "container-title" : "Diabetes", "id" : "ITEM-1", "issue" : "6", "issued" : { "date-parts" : [ [ "2003", "6" ] ] }, "page" : "1319-25", "title" : "Reduced activation of phosphatidylinositol-3 kinase and increased serine 636 phosphorylation of insulin receptor substrate-1 in primary culture of skeletal muscle cells from patients with type 2 diabetes.", "type" : "article-journal", "volume" : "52" }, "uris" : [ "http://www.mendeley.com/documents/?uuid=06c3e9b4-aebd-4f57-8352-8822b3f6e157" ] } ], "mendeley" : { "formattedCitation" : "(Bouzakri et al. 2003)", "plainTextFormattedCitation" : "(Bouzakri et al. 2003)", "previouslyFormattedCitation" : "(Bouzakri et al. 2003)" }, "properties" : { "noteIndex" : 0 }, "schema" : "https://github.com/citation-style-language/schema/raw/master/csl-citation.json" }</w:instrText>
      </w:r>
      <w:r w:rsidR="004B61AA">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(Bouzakri et al. 2003)</w:t>
      </w:r>
      <w:r w:rsidR="004B61AA">
        <w:rPr>
          <w:rFonts w:ascii="Times New Roman" w:hAnsi="Times New Roman" w:cs="Times New Roman"/>
          <w:sz w:val="24"/>
          <w:szCs w:val="24"/>
        </w:rPr>
        <w:fldChar w:fldCharType="end"/>
      </w:r>
      <w:r w:rsidR="004B61AA">
        <w:rPr>
          <w:rFonts w:ascii="Times New Roman" w:hAnsi="Times New Roman" w:cs="Times New Roman"/>
          <w:sz w:val="24"/>
          <w:szCs w:val="24"/>
        </w:rPr>
        <w:t>.</w:t>
      </w:r>
      <w:r w:rsidR="00EF2AF4" w:rsidRPr="00EF2AF4">
        <w:rPr>
          <w:rFonts w:ascii="Times New Roman" w:hAnsi="Times New Roman" w:cs="Times New Roman"/>
          <w:sz w:val="24"/>
          <w:szCs w:val="24"/>
        </w:rPr>
        <w:t xml:space="preserve"> </w:t>
      </w:r>
      <w:r w:rsidR="005479F8">
        <w:rPr>
          <w:rFonts w:ascii="Times New Roman" w:hAnsi="Times New Roman" w:cs="Times New Roman"/>
          <w:sz w:val="24"/>
          <w:szCs w:val="24"/>
        </w:rPr>
        <w:t>E</w:t>
      </w:r>
      <w:r w:rsidR="00EF2AF4" w:rsidRPr="00EF2AF4">
        <w:rPr>
          <w:rFonts w:ascii="Times New Roman" w:hAnsi="Times New Roman" w:cs="Times New Roman"/>
          <w:sz w:val="24"/>
          <w:szCs w:val="24"/>
        </w:rPr>
        <w:t xml:space="preserve">levated phosphorylation of IRS1 at serine residue 636 has also been identified in the hippocampus of Alzheimer’s patients </w:t>
      </w:r>
      <w:r w:rsidR="004B61AA">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"10.1172/JCI59903", "ISSN" : "1558-8238", "PMID" : "22476197", "abstract" : "While a potential causal factor in Alzheimer's disease (AD), brain insulin resistance has not been demonstrated directly in that disorder. We provide such a demonstration here by showing that the hippocampal formation (HF) and, to a lesser degree, the cerebellar cortex in AD cases without diabetes exhibit markedly reduced responses to insulin signaling in the IR\u2192IRS-1\u2192PI3K signaling pathway with greatly reduced responses to IGF-1 in the IGF-1R\u2192IRS-2\u2192PI3K signaling pathway. Reduced insulin responses were maximal at the level of IRS-1 and were consistently associated with basal elevations in IRS-1 phosphorylated at serine 616 (IRS-1 pS\u2076\u00b9\u2076) and IRS-1 pS\u2076\u00b3\u2076/\u2076\u00b3\u2079. In the HF, these candidate biomarkers of brain insulin resistance increased commonly and progressively from normal cases to mild cognitively impaired cases to AD cases regardless of diabetes or APOE \u03b54 status. Levels of IRS-1 pS\u2076\u00b9\u2076 and IRS-1 pS\u2076\u00b3\u2076/\u2076\u00b3\u2079 and their activated kinases correlated positively with those of oligomeric A\u03b2 plaques and were negatively associated with episodic and working memory, even after adjusting for A\u03b2 plaques, neurofibrillary tangles, and APOE \u03b54. Brain insulin resistance thus appears to be an early and common feature of AD, a phenomenon accompanied by IGF-1 resistance and closely associated with IRS-1 dysfunction potentially triggered by A\u03b2 oligomers and yet promoting cognitive decline independent of classic AD pathology.", "author" : [ { "dropping-particle" : "", "family" : "Talbot", "given" : "Konrad", "non-dropping-particle" : "", "parse-names" : false, "suffix" : "" }, { "dropping-particle" : "", "family" : "Wang", "given" : "Hoau-Yan", "non-dropping-particle" : "", "parse-names" : false, "suffix" : "" }, { "dropping-particle" : "", "family" : "Kazi", "given" : "Hala", "non-dropping-particle" : "", "parse-names" : false, "suffix" : "" }, { "dropping-particle" : "", "family" : "Han", "given" : "Li-Ying", "non-dropping-particle" : "", "parse-names" : false, "suffix" : "" }, { "dropping-particle" : "", "family" : "Bakshi", "given" : "Kalindi P", "non-dropping-particle" : "", "parse-names" : false, "suffix" : "" }, { "dropping-particle" : "", "family" : "Stucky", "given" : "Andres", "non-dropping-particle" : "", "parse-names" : false, "suffix" : "" }, { "dropping-particle" : "", "family" : "Fuino", "given" : "Robert L", "non-dropping-particle" : "", "parse-names" : false, "suffix" : "" }, { "dropping-particle" : "", "family" : "Kawaguchi", "given" : "Krista R", "non-dropping-particle" : "", "parse-names" : false, "suffix" : "" }, { "dropping-particle" : "", "family" : "Samoyedny", "given" : "Andrew J", "non-dropping-particle" : "", "parse-names" : false, "suffix" : "" }, { "dropping-particle" : "", "family" : "Wilson", "given" : "Robert S", "non-dropping-particle" : "", "parse-names" : false, "suffix" : "" }, { "dropping-particle" : "", "family" : "Arvanitakis", "given" : "Zoe", "non-dropping-particle" : "", "parse-names" : false, "suffix" : "" }, { "dropping-particle" : "", "family" : "Schneider", "given" : "Julie A", "non-dropping-particle" : "", "parse-names" : false, "suffix" : "" }, { "dropping-particle" : "", "family" : "Wolf", "given" : "Bryan A", "non-dropping-particle" : "", "parse-names" : false, "suffix" : "" }, { "dropping-particle" : "", "family" : "Bennett", "given" : "David A", "non-dropping-particle" : "", "parse-names" : false, "suffix" : "" }, { "dropping-particle" : "", "family" : "Trojanowski", "given" : "John Q", "non-dropping-particle" : "", "parse-names" : false, "suffix" : "" }, { "dropping-particle" : "", "family" : "Arnold", "given" : "Steven E", "non-dropping-particle" : "", "parse-names" : false, "suffix" : "" } ], "container-title" : "The Journal of clinical investigation", "id" : "ITEM-1", "issue" : "4", "issued" : { "date-parts" : [ [ "2012", "4", "2" ] ] }, "page" : "1316-38", "title" : "Demonstrated brain insulin resistance in Alzheimer's disease patients is associated with IGF-1 resistance, IRS-1 dysregulation, and cognitive decline.", "type" : "article-journal", "volume" : "122" }, "uris" : [ "http://www.mendeley.com/documents/?uuid=9e20fb27-6103-4888-bbc9-2eadffb309a4" ] } ], "mendeley" : { "formattedCitation" : "(Talbot et al. 2012a)", "plainTextFormattedCitation" : "(Talbot et al. 2012a)", "previouslyFormattedCitation" : "(Talbot et al. 2012a)" }, "properties" : { "noteIndex" : 0 }, "schema" : "https://github.com/citation-style-language/schema/raw/master/csl-citation.json" }</w:instrText>
      </w:r>
      <w:r w:rsidR="004B61AA">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(Talbot et al. 2012a)</w:t>
      </w:r>
      <w:r w:rsidR="004B61AA">
        <w:rPr>
          <w:rFonts w:ascii="Times New Roman" w:hAnsi="Times New Roman" w:cs="Times New Roman"/>
          <w:sz w:val="24"/>
          <w:szCs w:val="24"/>
        </w:rPr>
        <w:fldChar w:fldCharType="end"/>
      </w:r>
      <w:r w:rsidR="004B61AA">
        <w:rPr>
          <w:rFonts w:ascii="Times New Roman" w:hAnsi="Times New Roman" w:cs="Times New Roman"/>
          <w:sz w:val="24"/>
          <w:szCs w:val="24"/>
        </w:rPr>
        <w:t>.</w:t>
      </w:r>
      <w:r w:rsidR="00EF2AF4" w:rsidRPr="00EF2AF4">
        <w:rPr>
          <w:rFonts w:ascii="Times New Roman" w:hAnsi="Times New Roman" w:cs="Times New Roman"/>
          <w:sz w:val="24"/>
          <w:szCs w:val="24"/>
        </w:rPr>
        <w:t xml:space="preserve"> This raises </w:t>
      </w:r>
      <w:r w:rsidR="00193EEF">
        <w:rPr>
          <w:rFonts w:ascii="Times New Roman" w:hAnsi="Times New Roman" w:cs="Times New Roman"/>
          <w:sz w:val="24"/>
          <w:szCs w:val="24"/>
        </w:rPr>
        <w:t>the</w:t>
      </w:r>
      <w:r w:rsidR="00EF2AF4" w:rsidRPr="00EF2AF4">
        <w:rPr>
          <w:rFonts w:ascii="Times New Roman" w:hAnsi="Times New Roman" w:cs="Times New Roman"/>
          <w:sz w:val="24"/>
          <w:szCs w:val="24"/>
        </w:rPr>
        <w:t xml:space="preserve"> question of whether the molecular changes that occur in T2D are similar to changes that occu</w:t>
      </w:r>
      <w:r w:rsidR="00193EEF">
        <w:rPr>
          <w:rFonts w:ascii="Times New Roman" w:hAnsi="Times New Roman" w:cs="Times New Roman"/>
          <w:sz w:val="24"/>
          <w:szCs w:val="24"/>
        </w:rPr>
        <w:t xml:space="preserve">r in </w:t>
      </w:r>
      <w:r w:rsidR="00105F23">
        <w:rPr>
          <w:rFonts w:ascii="Times New Roman" w:hAnsi="Times New Roman" w:cs="Times New Roman"/>
          <w:sz w:val="24"/>
          <w:szCs w:val="24"/>
        </w:rPr>
        <w:t>AD</w:t>
      </w:r>
      <w:r w:rsidR="00193EEF">
        <w:rPr>
          <w:rFonts w:ascii="Times New Roman" w:hAnsi="Times New Roman" w:cs="Times New Roman"/>
          <w:sz w:val="24"/>
          <w:szCs w:val="24"/>
        </w:rPr>
        <w:t xml:space="preserve"> and </w:t>
      </w:r>
      <w:r w:rsidR="00EF2AF4" w:rsidRPr="00EF2AF4">
        <w:rPr>
          <w:rFonts w:ascii="Times New Roman" w:hAnsi="Times New Roman" w:cs="Times New Roman"/>
          <w:sz w:val="24"/>
          <w:szCs w:val="24"/>
        </w:rPr>
        <w:t>further support</w:t>
      </w:r>
      <w:r>
        <w:rPr>
          <w:rFonts w:ascii="Times New Roman" w:hAnsi="Times New Roman" w:cs="Times New Roman"/>
          <w:sz w:val="24"/>
          <w:szCs w:val="24"/>
        </w:rPr>
        <w:t>s</w:t>
      </w:r>
      <w:r w:rsidR="00EF2AF4" w:rsidRPr="00EF2AF4">
        <w:rPr>
          <w:rFonts w:ascii="Times New Roman" w:hAnsi="Times New Roman" w:cs="Times New Roman"/>
          <w:sz w:val="24"/>
          <w:szCs w:val="24"/>
        </w:rPr>
        <w:t xml:space="preserve"> the idea that Alzheimer’s is an age-related metabolic disorder.  </w:t>
      </w:r>
      <w:r w:rsidR="002D51FE">
        <w:rPr>
          <w:rFonts w:ascii="Times New Roman" w:hAnsi="Times New Roman" w:cs="Times New Roman"/>
          <w:sz w:val="24"/>
          <w:szCs w:val="24"/>
        </w:rPr>
        <w:t>Phosphorylation of IRS2 is les</w:t>
      </w:r>
      <w:r>
        <w:rPr>
          <w:rFonts w:ascii="Times New Roman" w:hAnsi="Times New Roman" w:cs="Times New Roman"/>
          <w:sz w:val="24"/>
          <w:szCs w:val="24"/>
        </w:rPr>
        <w:t>s well studied as there are fewer phospho</w:t>
      </w:r>
      <w:r w:rsidR="002D51FE">
        <w:rPr>
          <w:rFonts w:ascii="Times New Roman" w:hAnsi="Times New Roman" w:cs="Times New Roman"/>
          <w:sz w:val="24"/>
          <w:szCs w:val="24"/>
        </w:rPr>
        <w:t>-specific antibodies</w:t>
      </w:r>
      <w:r>
        <w:rPr>
          <w:rFonts w:ascii="Times New Roman" w:hAnsi="Times New Roman" w:cs="Times New Roman"/>
          <w:sz w:val="24"/>
          <w:szCs w:val="24"/>
        </w:rPr>
        <w:t xml:space="preserve"> available</w:t>
      </w:r>
      <w:r w:rsidR="002D51FE">
        <w:rPr>
          <w:rFonts w:ascii="Times New Roman" w:hAnsi="Times New Roman" w:cs="Times New Roman"/>
          <w:sz w:val="24"/>
          <w:szCs w:val="24"/>
        </w:rPr>
        <w:t xml:space="preserve">. However, </w:t>
      </w:r>
      <w:r w:rsidR="006567B0">
        <w:rPr>
          <w:rFonts w:ascii="Times New Roman" w:hAnsi="Times New Roman" w:cs="Times New Roman"/>
          <w:sz w:val="24"/>
          <w:szCs w:val="24"/>
        </w:rPr>
        <w:t xml:space="preserve">IRS2 knockout in mice reduces brain growth and promotes tau phosphorylation </w:t>
      </w:r>
      <w:r w:rsidR="006567B0">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"abstract" : "Insulin resistance and diabetes might promote neurodegenerative disease, but a molecular link between these disorders is unknown. Many factors are responsible for brain growth, patterning, and survival, including the insulin-insulin-like growth factor (IGF)-signaling cascades that are mediated by tyrosine phosphorylation of insulin receptor substrate (IRS) proteins. Irs2 signaling mediates peripheral insulin action and pancreatic {beta}-cell function, and its failure causes diabetes in mice. In this study, we reveal  two important roles for Irs2 signaling in the mouse brain. First, disruption of the Irs2 gene reduced neuronal proliferation during development by 50%, which dissociated brain growth from Irs1-dependent body growth. Second, neurofibrillary tangles containing phosphorylated tau accumulated in the hippocampus of old Irs2 knock-out mice, suggesting that Irs2 signaling is neuroprotective. Thus, dysregulation of the Irs2 branch of the insulin-Igf-signaling cascade reveals a molecular link between diabetes and neurodegenerative disease.\n", "author" : [ { "dropping-particle" : "", "family" : "Schubert", "given" : "Markus", "non-dropping-particle" : "", "parse-names" : false, "suffix" : "" }, { "dropping-particle" : "", "family" : "Brazil", "given" : "Derek P.", "non-dropping-particle" : "", "parse-names" : false, "suffix" : "" }, { "dropping-particle" : "", "family" : "Burks", "given" : "Deborah J.", "non-dropping-particle" : "", "parse-names" : false, "suffix" : "" }, { "dropping-particle" : "", "family" : "Kushner", "given" : "Jake A.", "non-dropping-particle" : "", "parse-names" : false, "suffix" : "" }, { "dropping-particle" : "", "family" : "Ye", "given" : "Jing", "non-dropping-particle" : "", "parse-names" : false, "suffix" : "" }, { "dropping-particle" : "", "family" : "Flint", "given" : "Carrie L.", "non-dropping-particle" : "", "parse-names" : false, "suffix" : "" }, { "dropping-particle" : "", "family" : "Farhang-Fallah", "given" : "Janet", "non-dropping-particle" : "", "parse-names" : false, "suffix" : "" }, { "dropping-particle" : "", "family" : "Dikkes", "given" : "Pieter", "non-dropping-particle" : "", "parse-names" : false, "suffix" : "" }, { "dropping-particle" : "", "family" : "Warot", "given" : "Xavier M.", "non-dropping-particle" : "", "parse-names" : false, "suffix" : "" }, { "dropping-particle" : "", "family" : "Rio", "given" : "Carlos", "non-dropping-particle" : "", "parse-names" : false, "suffix" : "" }, { "dropping-particle" : "", "family" : "Corfas", "given" : "Gabriel", "non-dropping-particle" : "", "parse-names" : false, "suffix" : "" }, { "dropping-particle" : "", "family" : "White", "given" : "Morris F.", "non-dropping-particle" : "", "parse-names" : false, "suffix" : "" } ], "container-title" : "J. Neurosci.", "id" : "ITEM-1", "issue" : "18", "issued" : { "date-parts" : [ [ "2003", "8", "6" ] ] }, "page" : "7084-7092", "title" : "Insulin Receptor Substrate-2 Deficiency Impairs Brain Growth and Promotes Tau Phosphorylation", "type" : "article-journal", "volume" : "23" }, "uris" : [ "http://www.mendeley.com/documents/?uuid=9673d20b-083b-4ba3-bcda-6c477f0a00ba" ] } ], "mendeley" : { "formattedCitation" : "(Schubert et al. 2003)", "plainTextFormattedCitation" : "(Schubert et al. 2003)", "previouslyFormattedCitation" : "(Schubert et al. 2003)" }, "properties" : { "noteIndex" : 0 }, "schema" : "https://github.com/citation-style-language/schema/raw/master/csl-citation.json" }</w:instrText>
      </w:r>
      <w:r w:rsidR="006567B0">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(Schubert et al. 2003)</w:t>
      </w:r>
      <w:r w:rsidR="006567B0">
        <w:rPr>
          <w:rFonts w:ascii="Times New Roman" w:hAnsi="Times New Roman" w:cs="Times New Roman"/>
          <w:sz w:val="24"/>
          <w:szCs w:val="24"/>
        </w:rPr>
        <w:fldChar w:fldCharType="end"/>
      </w:r>
      <w:r>
        <w:rPr>
          <w:rFonts w:ascii="Times New Roman" w:hAnsi="Times New Roman" w:cs="Times New Roman"/>
          <w:sz w:val="24"/>
          <w:szCs w:val="24"/>
        </w:rPr>
        <w:t>, sugg</w:t>
      </w:r>
      <w:r w:rsidR="00B41FB8">
        <w:rPr>
          <w:rFonts w:ascii="Times New Roman" w:hAnsi="Times New Roman" w:cs="Times New Roman"/>
          <w:sz w:val="24"/>
          <w:szCs w:val="24"/>
        </w:rPr>
        <w:t>esting an important role of IRS2</w:t>
      </w:r>
      <w:r>
        <w:rPr>
          <w:rFonts w:ascii="Times New Roman" w:hAnsi="Times New Roman" w:cs="Times New Roman"/>
          <w:sz w:val="24"/>
          <w:szCs w:val="24"/>
        </w:rPr>
        <w:t xml:space="preserve"> in maintaining brain function.</w:t>
      </w:r>
    </w:p>
    <w:p w14:paraId="78D5C6EB" w14:textId="59AECF0A" w:rsidR="00AB06FB" w:rsidRDefault="00EF2AF4" w:rsidP="00D34305">
      <w:pPr>
        <w:pStyle w:val="Body"/>
        <w:spacing w:line="360" w:lineRule="auto"/>
        <w:jc w:val="both"/>
        <w:rPr>
          <w:rFonts w:ascii="Times New Roman" w:hAnsi="Times New Roman" w:cs="Times New Roman"/>
          <w:sz w:val="24"/>
          <w:szCs w:val="24"/>
        </w:rPr>
      </w:pPr>
      <w:r w:rsidRPr="00EF2AF4">
        <w:rPr>
          <w:rFonts w:ascii="Times New Roman" w:hAnsi="Times New Roman" w:cs="Times New Roman"/>
          <w:sz w:val="24"/>
          <w:szCs w:val="24"/>
        </w:rPr>
        <w:t>Both IRS1 and IRS2 adaptor proteins converge on signalling through either the MAPK or PI3K signalling pa</w:t>
      </w:r>
      <w:r w:rsidR="0016200A">
        <w:rPr>
          <w:rFonts w:ascii="Times New Roman" w:hAnsi="Times New Roman" w:cs="Times New Roman"/>
          <w:sz w:val="24"/>
          <w:szCs w:val="24"/>
        </w:rPr>
        <w:t>thways.  Downstream of MAPK is glycogen synthase k</w:t>
      </w:r>
      <w:r w:rsidRPr="00EF2AF4">
        <w:rPr>
          <w:rFonts w:ascii="Times New Roman" w:hAnsi="Times New Roman" w:cs="Times New Roman"/>
          <w:sz w:val="24"/>
          <w:szCs w:val="24"/>
        </w:rPr>
        <w:t xml:space="preserve">inase 3 (GSK3). GSK3 is believed to play a pivotal role in the pathogenesis of sporadic and familial cases of </w:t>
      </w:r>
      <w:r w:rsidR="00105F23">
        <w:rPr>
          <w:rFonts w:ascii="Times New Roman" w:hAnsi="Times New Roman" w:cs="Times New Roman"/>
          <w:sz w:val="24"/>
          <w:szCs w:val="24"/>
        </w:rPr>
        <w:t>AD</w:t>
      </w:r>
      <w:r w:rsidRPr="00EF2AF4">
        <w:rPr>
          <w:rFonts w:ascii="Times New Roman" w:hAnsi="Times New Roman" w:cs="Times New Roman"/>
          <w:sz w:val="24"/>
          <w:szCs w:val="24"/>
        </w:rPr>
        <w:t xml:space="preserve"> </w:t>
      </w:r>
      <w:r w:rsidR="004B61AA">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"10.1111/j.1471-4159.2007.05194.x", "ISSN" : "1471-4159", "PMID" : "18088381", "abstract" : "Glycogen synthase kinase 3 (GSK3) is a constitutively active, proline-directed serine/threonine kinase that plays a part in a number of physiological processes ranging from glycogen metabolism to gene transcription. GSK3 also plays a pivotal and central role in the pathogenesis of both sporadic and familial forms of Alzheimer's disease (AD), an observation that has led us to coin the 'GSK3 hypothesis of AD'. According to this hypothesis, over-activity of GSK3 accounts for memory impairment, tau hyper-phosphorylation, increased beta-amyloid production and local plaque-associated microglial-mediated inflammatory responses; all of which are hallmark characteristics of AD. If our 'GSK3 hypothesis of AD' is substantiated and GSK3 is indeed a causal mediator of AD then inhibitors of GSK3 would provide a novel avenue for therapeutic intervention in this devastating disorder.", "author" : [ { "dropping-particle" : "", "family" : "Hooper", "given" : "Claudie", "non-dropping-particle" : "", "parse-names" : false, "suffix" : "" }, { "dropping-particle" : "", "family" : "Killick", "given" : "Richard", "non-dropping-particle" : "", "parse-names" : false, "suffix" : "" }, { "dropping-particle" : "", "family" : "Lovestone", "given" : "Simon", "non-dropping-particle" : "", "parse-names" : false, "suffix" : "" } ], "container-title" : "Journal of neurochemistry", "id" : "ITEM-1", "issue" : "6", "issued" : { "date-parts" : [ [ "2008", "3" ] ] }, "page" : "1433-9", "title" : "The GSK3 hypothesis of Alzheimer's disease.", "type" : "article-journal", "volume" : "104" }, "uris" : [ "http://www.mendeley.com/documents/?uuid=29a5f2ea-67b4-41f6-8317-4d685961ffcb" ] } ], "mendeley" : { "formattedCitation" : "(Hooper et al. 2008)", "plainTextFormattedCitation" : "(Hooper et al. 2008)", "previouslyFormattedCitation" : "(Hooper et al. 2008)" }, "properties" : { "noteIndex" : 0 }, "schema" : "https://github.com/citation-style-language/schema/raw/master/csl-citation.json" }</w:instrText>
      </w:r>
      <w:r w:rsidR="004B61AA">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(Hooper et al. 2008)</w:t>
      </w:r>
      <w:r w:rsidR="004B61AA">
        <w:rPr>
          <w:rFonts w:ascii="Times New Roman" w:hAnsi="Times New Roman" w:cs="Times New Roman"/>
          <w:sz w:val="24"/>
          <w:szCs w:val="24"/>
        </w:rPr>
        <w:fldChar w:fldCharType="end"/>
      </w:r>
      <w:r w:rsidR="004B61AA">
        <w:rPr>
          <w:rFonts w:ascii="Times New Roman" w:hAnsi="Times New Roman" w:cs="Times New Roman"/>
          <w:sz w:val="24"/>
          <w:szCs w:val="24"/>
        </w:rPr>
        <w:t>,</w:t>
      </w:r>
      <w:r w:rsidRPr="00EF2AF4">
        <w:rPr>
          <w:rFonts w:ascii="Times New Roman" w:hAnsi="Times New Roman" w:cs="Times New Roman"/>
          <w:sz w:val="24"/>
          <w:szCs w:val="24"/>
        </w:rPr>
        <w:t xml:space="preserve"> which has led to the “GSK3 hypothesis of AD”. This hypothesis states that constitutive activation of GSK3β causes hyperphosphorylation of tau incorporated intro NFTs</w:t>
      </w:r>
      <w:r w:rsidR="004B61AA">
        <w:rPr>
          <w:rFonts w:ascii="Times New Roman" w:hAnsi="Times New Roman" w:cs="Times New Roman"/>
          <w:sz w:val="24"/>
          <w:szCs w:val="24"/>
        </w:rPr>
        <w:t xml:space="preserve"> </w:t>
      </w:r>
      <w:r w:rsidR="004B61AA">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"10.1007/s00401-002-0587-8", "ISSN" : "0001-6322", "PMID" : "12410379", "abstract" : "Tau phosphorylation was examined in Alzheimer's disease (AD), Pick's disease (PiD), progressive supranuclear palsy (PSP) and corticobasal degeneration (CBD) using phospho-specific tau antibodies recognizing the phosphorylated form of Ser202, Ser214 and Ser 396, and antibodies to non-phosphorylated glycogen synthase kinase-3alpha/beta (GSK-3alpha/beta), which regulates phosphorylation at these specific sites on tau and phosphorylated GSK-3betaSer9 (GSK-3beta-P); this antibody is directed to the inactive form of GSK-3beta. Phospho-specific tau antibodies recognized disease-specific band patterns on Western blots of sarcosyl-insoluble fractions: four bands of 73, 68, 64 and 60 kDa in AD, two bands of 68 and 64 kDa in PSP and CBD, and two bands of 64 and 60 kDa in PiD. Moreover, anti-phospho-tau Ser202, Ser214 and Ser369 decorated neurons with neurofibrillary tangles, dystrophic neurites of senile plaques, neuropil threads, Pick bodies, astrocytes and oligodendrocytes with coiled bodies. No differences in the expression of GSK-3alpha/beta were seen between neurons with and without neurofibrillary tangles. GSK-3alpha/beta was enriched in sarcosyl-insoluble fractions, suggesting association of this kinase with tau hyperphosphorylation. In addition, strong expression of the phosphorylated form of GSK-3beta was found in a subpopulation of neurons with neurofibrillary tangles, and in dystrophic neurites of senile plaques, neuropil threads, Pick bodies, tau-containing astrocytes and coiled bodies in AD, PiD, PSP and CBD. This was not due to cross-reactivity between GSK-3 and phospho-tau. Specific bands differing from those of phospho-tau were seen on Western blots of sarcosyl-insoluble fractions processed for GSK-3alpha/beta and GSK-3beta-P. Double-labeling immunohistochemistry discloses that GSK-3beta-P co-localizes with abnormal tau in about 50% of neurons with neurofibrillary tangles, and in neuronal processes, astrocytes and oligodendrocytes in various tauopathies. The present results support a pivotal role for GSK-3 in tau phosphorylation in neurons and glial cells. Moreover, the elevated number of tau-containing cells stained with anti-GSK-3beta-P antibodies suggests a partial inactivation of the kinase, or sequestration of the phosphorylated form, which may contribute to the regulation of the cascade of tau hyperphosphorylation in tauopathies, and to protect tau-containing cells from apoptosis.", "author" : [ { "dropping-particle" : "", "family" : "Ferrer", "given" : "I", "non-dropping-particle" : "", "parse-names" : false, "suffix" : "" }, { "dropping-particle" : "", "family" : "Barrachina", "given" : "M", "non-dropping-particle" : "", "parse-names" : false, "suffix" : "" }, { "dropping-particle" : "", "family" : "Puig", "given" : "B", "non-dropping-particle" : "", "parse-names" : false, "suffix" : "" } ], "container-title" : "Acta neuropathologica", "id" : "ITEM-1", "issue" : "6", "issued" : { "date-parts" : [ [ "2002", "12" ] ] }, "page" : "583-91", "title" : "Glycogen synthase kinase-3 is associated with neuronal and glial hyperphosphorylated tau deposits in Alzheimer's disease, Pick's disease, progressive supranuclear palsy and corticobasal degeneration.", "type" : "article-journal", "volume" : "104" }, "uris" : [ "http://www.mendeley.com/documents/?uuid=dc51ab22-c1e3-4388-89a0-7f198438c971" ] } ], "mendeley" : { "formattedCitation" : "(Ferrer et al. 2002)", "plainTextFormattedCitation" : "(Ferrer et al. 2002)", "previouslyFormattedCitation" : "(Ferrer et al. 2002)" }, "properties" : { "noteIndex" : 0 }, "schema" : "https://github.com/citation-style-language/schema/raw/master/csl-citation.json" }</w:instrText>
      </w:r>
      <w:r w:rsidR="004B61AA">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(Ferrer et al. 2002)</w:t>
      </w:r>
      <w:r w:rsidR="004B61AA">
        <w:rPr>
          <w:rFonts w:ascii="Times New Roman" w:hAnsi="Times New Roman" w:cs="Times New Roman"/>
          <w:sz w:val="24"/>
          <w:szCs w:val="24"/>
        </w:rPr>
        <w:fldChar w:fldCharType="end"/>
      </w:r>
      <w:r w:rsidRPr="00EF2AF4">
        <w:rPr>
          <w:rFonts w:ascii="Times New Roman" w:hAnsi="Times New Roman" w:cs="Times New Roman"/>
          <w:sz w:val="24"/>
          <w:szCs w:val="24"/>
        </w:rPr>
        <w:t>, increased plaque burden, microglial activation and memory impairment. However the AD patholo</w:t>
      </w:r>
      <w:r w:rsidR="007F3D5E">
        <w:rPr>
          <w:rFonts w:ascii="Times New Roman" w:hAnsi="Times New Roman" w:cs="Times New Roman"/>
          <w:sz w:val="24"/>
          <w:szCs w:val="24"/>
        </w:rPr>
        <w:t xml:space="preserve">gy attributed to GSK3β may </w:t>
      </w:r>
      <w:r w:rsidRPr="00EF2AF4">
        <w:rPr>
          <w:rFonts w:ascii="Times New Roman" w:hAnsi="Times New Roman" w:cs="Times New Roman"/>
          <w:sz w:val="24"/>
          <w:szCs w:val="24"/>
        </w:rPr>
        <w:t xml:space="preserve">be encompassed by upstream alterations in the insulin/IGF1 signalling. Levels of GSK3β are upregulated in the hippocampus of AD patients </w:t>
      </w:r>
      <w:r w:rsidR="004B61AA">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"10.1111/j.1471-4159.2007.05194.x", "ISSN" : "1471-4159", "PMID" : "18088381", "abstract" : "Glycogen synthase kinase 3 (GSK3) is a constitutively active, proline-directed serine/threonine kinase that plays a part in a number of physiological processes ranging from glycogen metabolism to gene transcription. GSK3 also plays a pivotal and central role in the pathogenesis of both sporadic and familial forms of Alzheimer's disease (AD), an observation that has led us to coin the 'GSK3 hypothesis of AD'. According to this hypothesis, over-activity of GSK3 accounts for memory impairment, tau hyper-phosphorylation, increased beta-amyloid production and local plaque-associated microglial-mediated inflammatory responses; all of which are hallmark characteristics of AD. If our 'GSK3 hypothesis of AD' is substantiated and GSK3 is indeed a causal mediator of AD then inhibitors of GSK3 would provide a novel avenue for therapeutic intervention in this devastating disorder.", "author" : [ { "dropping-particle" : "", "family" : "Hooper", "given" : "Claudie", "non-dropping-particle" : "", "parse-names" : false, "suffix" : "" }, { "dropping-particle" : "", "family" : "Killick", "given" : "Richard", "non-dropping-particle" : "", "parse-names" : false, "suffix" : "" }, { "dropping-particle" : "", "family" : "Lovestone", "given" : "Simon", "non-dropping-particle" : "", "parse-names" : false, "suffix" : "" } ], "container-title" : "Journal of neurochemistry", "id" : "ITEM-1", "issue" : "6", "issued" : { "date-parts" : [ [ "2008", "3" ] ] }, "page" : "1433-9", "title" : "The GSK3 hypothesis of Alzheimer's disease.", "type" : "article-journal", "volume" : "104" }, "uris" : [ "http://www.mendeley.com/documents/?uuid=29a5f2ea-67b4-41f6-8317-4d685961ffcb" ] } ], "mendeley" : { "formattedCitation" : "(Hooper et al. 2008)", "plainTextFormattedCitation" : "(Hooper et al. 2008)", "previouslyFormattedCitation" : "(Hooper et al. 2008)" }, "properties" : { "noteIndex" : 0 }, "schema" : "https://github.com/citation-style-language/schema/raw/master/csl-citation.json" }</w:instrText>
      </w:r>
      <w:r w:rsidR="004B61AA">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(Hooper et al. 2008)</w:t>
      </w:r>
      <w:r w:rsidR="004B61AA">
        <w:rPr>
          <w:rFonts w:ascii="Times New Roman" w:hAnsi="Times New Roman" w:cs="Times New Roman"/>
          <w:sz w:val="24"/>
          <w:szCs w:val="24"/>
        </w:rPr>
        <w:fldChar w:fldCharType="end"/>
      </w:r>
      <w:r w:rsidR="004B61AA">
        <w:rPr>
          <w:rFonts w:ascii="Times New Roman" w:hAnsi="Times New Roman" w:cs="Times New Roman"/>
          <w:sz w:val="24"/>
          <w:szCs w:val="24"/>
        </w:rPr>
        <w:t>.</w:t>
      </w:r>
    </w:p>
    <w:p w14:paraId="2AC7EB4E" w14:textId="77777777" w:rsidR="0019787A" w:rsidRPr="00D34305" w:rsidRDefault="0019787A" w:rsidP="00D34305">
      <w:pPr>
        <w:pStyle w:val="Body"/>
        <w:spacing w:line="360" w:lineRule="auto"/>
        <w:jc w:val="both"/>
        <w:rPr>
          <w:rFonts w:ascii="Times New Roman" w:hAnsi="Times New Roman" w:cs="Times New Roman"/>
          <w:sz w:val="24"/>
          <w:szCs w:val="24"/>
        </w:rPr>
      </w:pPr>
    </w:p>
    <w:p w14:paraId="0FF99ABC" w14:textId="77777777" w:rsidR="00B554BC" w:rsidRDefault="00FB13BD" w:rsidP="00B554BC">
      <w:pPr>
        <w:pStyle w:val="Body"/>
        <w:spacing w:line="240" w:lineRule="auto"/>
        <w:jc w:val="both"/>
        <w:rPr>
          <w:rFonts w:ascii="Times New Roman" w:hAnsi="Times New Roman" w:cs="Times New Roman"/>
          <w:b/>
          <w:i/>
          <w:sz w:val="24"/>
          <w:szCs w:val="24"/>
          <w:u w:val="single"/>
        </w:rPr>
      </w:pPr>
      <w:r>
        <w:rPr>
          <w:rFonts w:ascii="Times New Roman" w:hAnsi="Times New Roman" w:cs="Times New Roman"/>
          <w:b/>
          <w:i/>
          <w:sz w:val="24"/>
          <w:szCs w:val="24"/>
          <w:u w:val="single"/>
        </w:rPr>
        <w:t>Akt</w:t>
      </w:r>
    </w:p>
    <w:p w14:paraId="1F5A56E1" w14:textId="19D2EBA6" w:rsidR="003D1264" w:rsidRDefault="008C6552" w:rsidP="00EF2AF4">
      <w:pPr>
        <w:pStyle w:val="Body"/>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In addition, elevated Akt activity has been shown in response to </w:t>
      </w:r>
      <w:r w:rsidR="00D34305" w:rsidRPr="00EF2AF4">
        <w:rPr>
          <w:rFonts w:ascii="Times New Roman" w:hAnsi="Times New Roman" w:cs="Times New Roman"/>
          <w:sz w:val="24"/>
          <w:szCs w:val="24"/>
        </w:rPr>
        <w:t xml:space="preserve">Aβ </w:t>
      </w:r>
      <w:r w:rsidR="00E018DF">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"10.1186/1750-1326-4-14", "ISSN" : "1750-1326", "author" : [ { "dropping-particle" : "", "family" : "Bhaskar", "given" : "Kiran", "non-dropping-particle" : "", "parse-names" : false, "suffix" : "" }, { "dropping-particle" : "", "family" : "Miller", "given" : "Megan", "non-dropping-particle" : "", "parse-names" : false, "suffix" : "" }, { "dropping-particle" : "", "family" : "Chludzinski", "given" : "Alexandra", "non-dropping-particle" : "", "parse-names" : false, "suffix" : "" }, { "dropping-particle" : "", "family" : "Herrup", "given" : "Karl", "non-dropping-particle" : "", "parse-names" : false, "suffix" : "" }, { "dropping-particle" : "", "family" : "Zagorski", "given" : "Michael", "non-dropping-particle" : "", "parse-names" : false, "suffix" : "" }, { "dropping-particle" : "", "family" : "Lamb", "given" : "Bruce T", "non-dropping-particle" : "", "parse-names" : false, "suffix" : "" }, { "dropping-particle" : "", "family" : "Cummings", "given" : "JL", "non-dropping-particle" : "", "parse-names" : false, "suffix" : "" }, { "dropping-particle" : "", "family" : "Cole", "given" : "G", "non-dropping-particle" : "", "parse-names" : false, "suffix" : "" }, { "dropping-particle" : "", "family" : "Husseman", "given" : "JW", "non-dropping-particle" : "", "parse-names" : false, "suffix" : "" }, { "dropping-particle" : "", "family" : "Nochlin", "given" : "D", "non-dropping-particle" : "", "parse-names" : false, "suffix" : "" }, { "dropping-particle" : "", "family" : "Vincent", "given" : "I", "non-dropping-particle" : "", "parse-names" : false, "suffix" : "" }, { "dropping-particle" : "", "family" : "Copani", "given" : "A", "non-dropping-particle" : "", "parse-names" : false, "suffix" : "" }, { "dropping-particle" : "", "family" : "Caraci", "given" : "F", "non-dropping-particle" : "", "parse-names" : false, "suffix" : "" }, { "dropping-particle" : "", "family" : "Hoozemans", "given" : "JJ", "non-dropping-particle" : "", "parse-names" : false, "suffix" : "" }, { "dropping-particle" : "", "family" : "Calafiore", "given" : "M", "non-dropping-particle" : "", "parse-names" : false, "suffix" : "" }, { "dropping-particle" : "", "family" : "Sortino", "given" : "MA", "non-dropping-particle" : "", "parse-names" : false, "suffix" : "" }, { "dropping-particle" : "", "family" : "Nicoletti", "given" : "F", "non-dropping-particle" : "", "parse-names" : false, "suffix" : "" }, { "dropping-particle" : "", "family" : "Yang", "given" : "Y", "non-dropping-particle" : "", "parse-names" : false, "suffix" : "" }, { "dropping-particle" : "", "family" : "Herrup", "given" : "K", "non-dropping-particle" : "", "parse-names" : false, "suffix" : "" }, { "dropping-particle" : "", "family" : "Rubin", "given" : "EH", "non-dropping-particle" : "", "parse-names" : false, "suffix" : "" }, { "dropping-particle" : "", "family" : "Morris", "given" : "JC", "non-dropping-particle" : "", "parse-names" : false, "suffix" : "" }, { "dropping-particle" : "", "family" : "Grant", "given" : "EA", "non-dropping-particle" : "", "parse-names" : false, "suffix" : "" }, { "dropping-particle" : "", "family" : "Vendegna", "given" : "T", "non-dropping-particle" : "", "parse-names" : false, "suffix" : "" }, { "dropping-particle" : "", "family" : "Andorfer", "given" : "C", "non-dropping-particle" : "", "parse-names" : false, "suffix" : "" }, { "dropping-particle" : "", "family" : "Acker", "given" : "CM", "non-dropping-particle" : "", "parse-names" : false, "suffix" : "" }, { "dropping-particle" : "", "family" : "Kress", "given" : "Y", "non-dropping-particle" : "", "parse-names" : false, "suffix" : "" }, { "dropping-particle" : "", "family" : "Hof", "given" : "PR", "non-dropping-particle" : "", "parse-names" : false, "suffix" : "" }, { "dropping-particle" : "", "family" : "Duff", "given" : "K", "non-dropping-particle" : "", "parse-names" : false, "suffix" : "" }, { "dropping-particle" : "", "family" : "Davies", "given" : "P", "non-dropping-particle" : "", "parse-names" : false, "suffix" : "" }, { "dropping-particle" : "", "family" : "Wang", "given" : "HW", "non-dropping-particle" : "", "parse-names" : false, "suffix" : "" }, { "dropping-particle" : "", "family" : "Pasternak", "given" : "JF", "non-dropping-particle" : "", "parse-names" : false, "suffix" : "" }, { "dropping-particle" : "", "family" : "Kuo", "given" : "H", "non-dropping-particle" : "", "parse-names" : false, "suffix" : "" }, { "dropping-particle" : "", "family" : "Ristic", "given" : "H", "non-dropping-particle" : "", "parse-names" : false, "suffix" : "" }, { "dropping-particle" : "", "family" : "Lambert", "given" : "MP", "non-dropping-particle" : "", "parse-names" : false, "suffix" : "" }, { "dropping-particle" : "", "family" : "Chromy", "given" : "B", "non-dropping-particle" : "", "parse-names" : false, "suffix" : "" }, { "dropping-particle" : "", "family" : "Viola", "given" : "KL", "non-dropping-particle" : "", "parse-names" : false, "suffix" : "" }, { "dropping-particle" : "", "family" : "Klein", "given" : "WL", "non-dropping-particle" : "", "parse-names" : false, "suffix" : "" }, { "dropping-particle" : "", "family" : "Stine", "given" : "WB", "non-dropping-particle" : "", "parse-names" : false, "suffix" : "" }, { "dropping-particle" : "", "family" : "Krafft", "given" : "GA", "non-dropping-particle" : "", "parse-names" : false, "suffix" : "" }, { "dropping-particle" : "", "family" : "Trommer", "given" : "BL", "non-dropping-particle" : "", "parse-names" : false, "suffix" : "" }, { "dropping-particle" : "", "family" : "Selkoe", "given" : "DJ", "non-dropping-particle" : "", "parse-names" : false, "suffix" : "" }, { "dropping-particle" : "", "family" : "Shankar", "given" : "GM", "non-dropping-particle" : "", "parse-names" : false, "suffix" : "" }, { "dropping-particle" : "", "family" : "Bloodgood", "given" : "BL", "non-dropping-particle" : "", "parse-names" : false, "suffix" : "" }, { "dropping-particle" : "", "family" : "Townsend", "given" : "M", "non-dropping-particle" : "", "parse-names" : false, "suffix" : "" }, { "dropping-particle" : "", "family" : "Walsh", "given" : "DM", "non-dropping-particle" : "", "parse-names" : false, "suffix" : "" }, { "dropping-particle" : "", "family" : "Selkoe", "given" : "DJ", "non-dropping-particle" : "", "parse-names" : false, "suffix" : "" }, { "dropping-particle" : "", "family" : "Sabatini", "given" : "BL", "non-dropping-particle" : "", "parse-names" : false, "suffix" : "" }, { "dropping-particle" : "", "family" : "Lesne", "given" : "S", "non-dropping-particle" : "", "parse-names" : false, "suffix" : "" }, { "dropping-particle" : "", "family" : "Koh", "given" : "MT", "non-dropping-particle" : "", "parse-names" : false, "suffix" : "" }, { "dropping-particle" : "", "family" : "Kotilinek", "given" : "L", "non-dropping-particle" : "", "parse-names" : false, "suffix" : "" }, { "dropping-particle" : "", "family" : "Kayed", "given" : "R", "non-dropping-particle" : "", "parse-names" : false, "suffix" : "" }, { "dropping-particle" : "", "family" : "Glabe", "given" : "CG", "non-dropping-particle" : "", "parse-names" : false, "suffix" : "" }, { "dropping-particle" : "", "family" : "Yang", "given" : "A", "non-dropping-particle" : "", "parse-names" : false, "suffix" : "" }, { "dropping-particle" : "", "family" : "Gallagher", "given" : "M", "non-dropping-particle" : "", "parse-names" : false, "suffix" : "" }, { "dropping-particle" : "", "family" : "Ashe", "given" : "KH", "non-dropping-particle" : "", "parse-names" : false, "suffix" : "" }, { "dropping-particle" : "", "family" : "Zhao", "given" : "WQ", "non-dropping-particle" : "", "parse-names" : false, "suffix" : "" }, { "dropping-particle" : "De", "family" : "Felice", "given" : "FG", "non-dropping-particle" : "", "parse-names" : false, "suffix" : "" }, { "dropping-particle" : "", "family" : "Fernandez", "given" : "S", "non-dropping-particle" : "", "parse-names" : false, "suffix" : "" }, { "dropping-particle" : "", "family" : "Chen", "given" : "H", "non-dropping-particle" : "", "parse-names" : false, "suffix" : "" }, { "dropping-particle" : "", "family" : "Lambert", "given" : "MP", "non-dropping-particle" : "", "parse-names" : false, "suffix" : "" }, { "dropping-particle" : "", "family" : "Quon", "given" : "MJ", "non-dropping-particle" : "", "parse-names" : false, "suffix" : "" }, { "dropping-particle" : "", "family" : "Krafft", "given" : "GA", "non-dropping-particle" : "", "parse-names" : false, "suffix" : "" }, { "dropping-particle" : "", "family" : "Klein", "given" : "WL", "non-dropping-particle" : "", "parse-names" : false, "suffix" : "" }, { "dropping-particle" : "", "family" : "Plum", "given" : "L", "non-dropping-particle" : "", "parse-names" : false, "suffix" : "" }, { "dropping-particle" : "", "family" : "Schubert", "given" : "M", "non-dropping-particle" : "", "parse-names" : false, "suffix" : "" }, { "dropping-particle" : "", "family" : "Bruning", "given" : "JC", "non-dropping-particle" : "", "parse-names" : false, "suffix" : "" }, { "dropping-particle" : "", "family" : "Khurana", "given" : "V", "non-dropping-particle" : "", "parse-names" : false, "suffix" : "" }, { "dropping-particle" : "", "family" : "Lu", "given" : "Y", "non-dropping-particle" : "", "parse-names" : false, "suffix" : "" }, { "dropping-particle" : "", "family" : "Steinhilb", "given" : "ML", "non-dropping-particle" : "", "parse-names" : false, "suffix" : "" }, { "dropping-particle" : "", "family" : "Oldham", "given" : "S", "non-dropping-particle" : "", "parse-names" : false, "suffix" : "" }, { "dropping-particle" : "", "family" : "Shulman", "given" : "JM", "non-dropping-particle" : "", "parse-names" : false, "suffix" : "" }, { "dropping-particle" : "", "family" : "Feany", "given" : "MB", "non-dropping-particle" : "", "parse-names" : false, "suffix" : "" }, { "dropping-particle" : "", "family" : "Bitan", "given" : "G", "non-dropping-particle" : "", "parse-names" : false, "suffix" : "" }, { "dropping-particle" : "", "family" : "Lomakin", "given" : "A", "non-dropping-particle" : "", "parse-names" : false, "suffix" : "" }, { "dropping-particle" : "", "family" : "Teplow", "given" : "DB", "non-dropping-particle" : "", "parse-names" : false, "suffix" : "" }, { "dropping-particle" : "", "family" : "Walsh", "given" : "DM", "non-dropping-particle" : "", "parse-names" : false, "suffix" : "" }, { "dropping-particle" : "", "family" : "Tseng", "given" : "BP", "non-dropping-particle" : "", "parse-names" : false, "suffix" : "" }, { "dropping-particle" : "", "family" : "Rydel", "given" : "RE", "non-dropping-particle" : "", "parse-names" : false, "suffix" : "" }, { "dropping-particle" : "", "family" : "Podlisny", "given" : "MB", "non-dropping-particle" : "", "parse-names" : false, "suffix" : "" }, { "dropping-particle" : "", "family" : "Selkoe", "given" : "DJ", "non-dropping-particle" : "", "parse-names" : false, "suffix" : "" }, { "dropping-particle" : "", "family" : "Walsh", "given" : "DM", "non-dropping-particle" : "", "parse-names" : false, "suffix" : "" }, { "dropping-particle" : "", "family" : "Townsend", "given" : "M", "non-dropping-particle" : "", "parse-names" : false, "suffix" : "" }, { "dropping-particle" : "", "family" : "Podlisny", "given" : "MB", "non-dropping-particle" : "", "parse-names" : false, "suffix" : "" }, { "dropping-particle" : "", "family" : "Shankar", "given" : "GM", "non-dropping-particle" : "", "parse-names" : false, "suffix" : "" }, { "dropping-particle" : "", "family" : "Fadeeva", "given" : "JV", "non-dropping-particle" : "", "parse-names" : false, "suffix" : "" }, { "dropping-particle" : "El", "family" : "Agnaf", "given" : "O", "non-dropping-particle" : "", "parse-names" : false, "suffix" : "" }, { "dropping-particle" : "", "family" : "Hartley", "given" : "DM", "non-dropping-particle" : "", "parse-names" : false, "suffix" : "" }, { "dropping-particle" : "", "family" : "Selkoe", "given" : "DJ", "non-dropping-particle" : "", "parse-names" : false, "suffix" : "" }, { "dropping-particle" : "", "family" : "Wu", "given" : "Q", "non-dropping-particle" : "", "parse-names" : false, "suffix" : "" }, { "dropping-particle" : "", "family" : "Combs", "given" : "C", "non-dropping-particle" : "", "parse-names" : false, "suffix" : "" }, { "dropping-particle" : "", "family" : "Cannady", "given" : "SB", "non-dropping-particle" : "", "parse-names" : false, "suffix" : "" }, { "dropping-particle" : "", "family" : "Geldmacher", "given" : "DS", "non-dropping-particle" : "", "parse-names" : false, "suffix" : "" }, { "dropping-particle" : "", "family" : "Herrup", "given" : "K", "non-dropping-particle" : "", "parse-names" : false, "suffix" : "" }, { "dropping-particle" : "", "family" : "McShea", "given" : "A", "non-dropping-particle" : "", "parse-names" : false, "suffix" : "" }, { "dropping-particle" : "", "family" : "Lee", "given" : "HG", "non-dropping-particle" : "", "parse-names" : false, "suffix" : "" }, { "dropping-particle" : "", "family" : "Petersen", "given" : "RB", "non-dropping-particle" : "", "parse-names" : false, "suffix" : "" }, { "dropping-particle" : "", "family" : "Casadesus", "given" : "G", "non-dropping-particle" : "", "parse-names" : false, "suffix" : "" }, { "dropping-particle" : "", "family" : "Vincent", "given" : "I", "non-dropping-particle" : "", "parse-names" : false, "suffix" : "" }, { "dropping-particle" : "", "family" : "Linford", "given" : "NJ", "non-dropping-particle" : "", "parse-names" : false, "suffix" : "" }, { "dropping-particle" : "", "family" : "Funk", "given" : "JO", "non-dropping-particle" : "", "parse-names" : false, "suffix" : "" }, { "dropping-particle" : "", "family" : "Shapiro", "given" : "RA", "non-dropping-particle" : "", "parse-names" : false, "suffix" : "" }, { "dropping-particle" : "", "family" : "Smith", "given" : "MA", "non-dropping-particle" : "", "parse-names" : false, "suffix" : "" }, { "dropping-particle" : "", "family" : "Dahlgren", "given" : "KN", "non-dropping-particle" : "", "parse-names" : false, "suffix" : "" }, { "dropping-particle" : "", "family" : "Manelli", "given" : "AM", "non-dropping-particle" : "", "parse-names" : false, "suffix" : "" }, { "dropping-particle" : "", "family" : "Stine", "given" : "WB", "non-dropping-particle" : "", "parse-names" : false, "suffix" : "" }, { "dropping-particle" : "", "family" : "Baker", "given" : "LK", "non-dropping-particle" : "", "parse-names" : false, "suffix" : "" }, { "dropping-particle" : "", "family" : "Krafft", "given" : "GA", "non-dropping-particle" : "", "parse-names" : false, "suffix" : "" }, { "dropping-particle" : "", "family" : "LaDu", "given" : "MJ", "non-dropping-particle" : "", "parse-names" : false, "suffix" : "" }, { "dropping-particle" : "", "family" : "Calabrese", "given" : "B", "non-dropping-particle" : "", "parse-names" : false, "suffix" : "" }, { "dropping-particle" : "", "family" : "Shaked", "given" : "GM", "non-dropping-particle" : "", "parse-names" : false, "suffix" : "" }, { "dropping-particle" : "", "family" : "Tabarean", "given" : "IV", "non-dropping-particle" : "", "parse-names" : false, "suffix" : "" }, { "dropping-particle" : "", "family" : "Braga", "given" : "J", "non-dropping-particle" : "", "parse-names" : false, "suffix" : "" }, { "dropping-particle" : "", "family" : "Koo", "given" : "EH", "non-dropping-particle" : "", "parse-names" : false, "suffix" : "" }, { "dropping-particle" : "", "family" : "Halpain", "given" : "S", "non-dropping-particle" : "", "parse-names" : false, "suffix" : "" }, { "dropping-particle" : "", "family" : "Lambert", "given" : "MP", "non-dropping-particle" : "", "parse-names" : false, "suffix" : "" }, { "dropping-particle" : "", "family" : "Velasco", "given" : "PT", "non-dropping-particle" : "", "parse-names" : false, "suffix" : "" }, { "dropping-particle" : "", "family" : "Chang", "given" : "L", "non-dropping-particle" : "", "parse-names" : false, "suffix" : "" }, { "dropping-particle" : "", "family" : "Viola", "given" : "KL", "non-dropping-particle" : "", "parse-names" : false, "suffix" : "" }, { "dropping-particle" : "", "family" : "Fernandez", "given" : "S", "non-dropping-particle" : "", "parse-names" : false, "suffix" : "" }, { "dropping-particle" : "", "family" : "Lacor", "given" : "PN", "non-dropping-particle" : "", "parse-names" : false, "suffix" : "" }, { "dropping-particle" : "", "family" : "Khuon", "given" : "D", "non-dropping-particle" : "", "parse-names" : false, "suffix" : "" }, { "dropping-particle" : "", "family" : "Gong", "given" : "Y", "non-dropping-particle" : "", "parse-names" : false, "suffix" : "" }, { "dropping-particle" : "", "family" : "Bigio", "given" : "EH", "non-dropping-particle" : "", "parse-names" : false, "suffix" : "" }, { "dropping-particle" : "", "family" : "Shaw", "given" : "P", "non-dropping-particle" : "", "parse-names" : false, "suffix" : "" }, { "dropping-particle" : "", "family" : "Snyder", "given" : "EM", "non-dropping-particle" : "", "parse-names" : false, "suffix" : "" }, { "dropping-particle" : "", "family" : "Nong", "given" : "Y", "non-dropping-particle" : "", "parse-names" : false, "suffix" : "" }, { "dropping-particle" : "", "family" : "Almeida", "given" : "CG", "non-dropping-particle" : "", "parse-names" : false, "suffix" : "" }, { "dropping-particle" : "", "family" : "Paul", "given" : "S", "non-dropping-particle" : "", "parse-names" : false, "suffix" : "" }, { "dropping-particle" : "", "family" : "Moran", "given" : "T", "non-dropping-particle" : "", "parse-names" : false, "suffix" : "" }, { "dropping-particle" : "", "family" : "Choi", "given" : "EY", "non-dropping-particle" : "", "parse-names" : false, "suffix" : "" }, { "dropping-particle" : "", "family" : "Nairn", "given" : "AC", "non-dropping-particle" : "", "parse-names" : false, "suffix" : "" }, { "dropping-particle" : "", "family" : "Salter", "given" : "MW", "non-dropping-particle" : "", "parse-names" : false, "suffix" : "" }, { "dropping-particle" : "", "family" : "Lombroso", "given" : "PJ", "non-dropping-particle" : "", "parse-names" : false, "suffix" : "" }, { "dropping-particle" : "", "family" : "Gouras", "given" : "GK", "non-dropping-particle" : "", "parse-names" : false, "suffix" : "" }, { "dropping-particle" : "", "family" : "Greengard", "given" : "P", "non-dropping-particle" : "", "parse-names" : false, "suffix" : "" }, { "dropping-particle" : "", "family" : "Shamji", "given" : "AF", "non-dropping-particle" : "", "parse-names" : false, "suffix" : "" }, { "dropping-particle" : "", "family" : "Nghiem", "given" : "P", "non-dropping-particle" : "", "parse-names" : false, "suffix" : "" }, { "dropping-particle" : "", "family" : "Schreiber", "given" : "SL", "non-dropping-particle" : "", "parse-names" : false, "suffix" : "" }, { "dropping-particle" : "", "family" : "Wei", "given" : "W", "non-dropping-particle" : "", "parse-names" : false, "suffix" : "" }, { "dropping-particle" : "", "family" : "Wang", "given" : "X", "non-dropping-particle" : "", "parse-names" : false, "suffix" : "" }, { "dropping-particle" : "", "family" : "Kusiak", "given" : "JW", "non-dropping-particle" : "", "parse-names" : false, "suffix" : "" }, { "dropping-particle" : "", "family" : "Frasca", "given" : "G", "non-dropping-particle" : "", "parse-names" : false, "suffix" : "" }, { "dropping-particle" : "", "family" : "Chiechio", "given" : "S", "non-dropping-particle" : "", "parse-names" : false, "suffix" : "" }, { "dropping-particle" : "", "family" : "Vancheri", "given" : "C", "non-dropping-particle" : "", "parse-names" : false, "suffix" : "" }, { "dropping-particle" : "", "family" : "Nicoletti", "given" : "F", "non-dropping-particle" : "", "parse-names" : false, "suffix" : "" }, { "dropping-particle" : "", "family" : "Copani", "given" : "A", "non-dropping-particle" : "", "parse-names" : false, "suffix" : "" }, { "dropping-particle" : "", "family" : "Sortino", "given" : "M Angela", "non-dropping-particle" : "", "parse-names" : false, "suffix" : "" }, { "dropping-particle" : "", "family" : "Parameshwaran", "given" : "K", "non-dropping-particle" : "", "parse-names" : false, "suffix" : "" }, { "dropping-particle" : "", "family" : "Dhanasekaran", "given" : "M", "non-dropping-particle" : "", "parse-names" : false, "suffix" : "" }, { "dropping-particle" : "", "family" : "Suppiramaniam", "given" : "V", "non-dropping-particle" : "", "parse-names" : false, "suffix" : "" }, { "dropping-particle" : "", "family" : "Ott", "given" : "MO", "non-dropping-particle" : "", "parse-names" : false, "suffix" : "" }, { "dropping-particle" : "", "family" : "Bullock", "given" : "SL", "non-dropping-particle" : "", "parse-names" : false, "suffix" : "" }, { "dropping-particle" : "", "family" : "Fisher", "given" : "S", "non-dropping-particle" : "", "parse-names" : false, "suffix" : "" }, { "dropping-particle" : "", "family" : "Gearhart", "given" : "JD", "non-dropping-particle" : "", "parse-names" : false, "suffix" : "" }, { "dropping-particle" : "", "family" : "Oster-Granite", "given" : "ML", "non-dropping-particle" : "", "parse-names" : false, "suffix" : "" }, { "dropping-particle" : "De", "family" : "Strooper", "given" : "B", "non-dropping-particle" : "", "parse-names" : false, "suffix" : "" }, { "dropping-particle" : "", "family" : "Annaert", "given" : "W", "non-dropping-particle" : "", "parse-names" : false, "suffix" : "" }, { "dropping-particle" : "", "family" : "Peltier", "given" : "J", "non-dropping-particle" : "", "parse-names" : false, "suffix" : "" }, { "dropping-particle" : "", "family" : "O", "given" : "A", "non-dropping-particle" : "", "parse-names" : false, "suffix" : "" }, { "dropping-particle" : "", "family" : "Garza", "given" : "JC", "non-dropping-particle" : "", "parse-names" : false, "suffix" : "" }, { "dropping-particle" : "", "family" : "Guo", "given" : "M", "non-dropping-particle" : "", "parse-names" : false, "suffix" : "" }, { "dropping-particle" : "", "family" : "Zhang", "given" : "W", "non-dropping-particle" : "", "parse-names" : false, "suffix" : "" }, { "dropping-particle" : "", "family" : "Lu", "given" : "XY", "non-dropping-particle" : "", "parse-names" : false, "suffix" : "" }, { "dropping-particle" : "", "family" : "Zemke", "given" : "D", "non-dropping-particle" : "", "parse-names" : false, "suffix" : "" }, { "dropping-particle" : "", "family" : "Azhar", "given" : "S", "non-dropping-particle" : "", "parse-names" : false, "suffix" : "" }, { "dropping-particle" : "", "family" : "Majid", "given" : "A", "non-dropping-particle" : "", "parse-names" : false, "suffix" : "" }, { "dropping-particle" : "", "family" : "Walsh", "given" : "DM", "non-dropping-particle" : "", "parse-names" : false, "suffix" : "" }, { "dropping-particle" : "", "family" : "Lomakin", "given" : "A", "non-dropping-particle" : "", "parse-names" : false, "suffix" : "" }, { "dropping-particle" : "", "family" : "Benedek", "given" : "GB", "non-dropping-particle" : "", "parse-names" : false, "suffix" : "" }, { "dropping-particle" : "", "family" : "Condron", "given" : "MM", "non-dropping-particle" : "", "parse-names" : false, "suffix" : "" }, { "dropping-particle" : "", "family" : "Teplow", "given" : "DB", "non-dropping-particle" : "", "parse-names" : false, "suffix" : "" }, { "dropping-particle" : "", "family" : "Hou", "given" : "L", "non-dropping-particle" : "", "parse-names" : false, "suffix" : "" }, { "dropping-particle" : "", "family" : "Zagorski", "given" : "MG", "non-dropping-particle" : "", "parse-names" : false, "suffix" : "" }, { "dropping-particle" : "", "family" : "Ingle", "given" : "JDJ", "non-dropping-particle" : "", "parse-names" : false, "suffix" : "" }, { "dropping-particle" : "", "family" : "Crouch", "given" : "SR", "non-dropping-particle" : "", "parse-names" : false, "suffix" : "" }, { "dropping-particle" : "", "family" : "Cantor", "given" : "CR", "non-dropping-particle" : "", "parse-names" : false, "suffix" : "" }, { "dropping-particle" : "", "family" : "Schimmel", "given" : "PR", "non-dropping-particle" : "", "parse-names" : false, "suffix" : "" }, { "dropping-particle" : "", "family" : "Cicero", "given" : "S", "non-dropping-particle" : "", "parse-names" : false, "suffix" : "" }, { "dropping-particle" : "", "family" : "Herrup", "given" : "K", "non-dropping-particle" : "", "parse-names" : false, "suffix" : "" }, { "dropping-particle" : "", "family" : "Powis", "given" : "G", "non-dropping-particle" : "", "parse-names" : false, "suffix" : "" }, { "dropping-particle" : "", "family" : "Bonjouklian", "given" : "R", "non-dropping-particle" : "", "parse-names" : false, "suffix" : "" }, { "dropping-particle" : "", "family" : "Berggren", "given" : "MM", "non-dropping-particle" : "", "parse-names" : false, "suffix" : "" }, { "dropping-particle" : "", "family" : "Gallegos", "given" : "A", "non-dropping-particle" : "", "parse-names" : false, "suffix" : "" }, { "dropping-particle" : "", "family" : "Abraham", "given" : "R", "non-dropping-particle" : "", "parse-names" : false, "suffix" : "" }, { "dropping-particle" : "", "family" : "Ashendel", "given" : "C", "non-dropping-particle" : "", "parse-names" : false, "suffix" : "" }, { "dropping-particle" : "", "family" : "Zalkow", "given" : "L", "non-dropping-particle" : "", "parse-names" : false, "suffix" : "" }, { "dropping-particle" : "", "family" : "Matter", "given" : "WF", "non-dropping-particle" : "", "parse-names" : false, "suffix" : "" }, { "dropping-particle" : "", "family" : "Dodge", "given" : "J", "non-dropping-particle" : "", "parse-names" : false, "suffix" : "" }, { "dropping-particle" : "", "family" : "Grindey", "given" : "G", "non-dropping-particle" : "", "parse-names" : false, "suffix" : "" }, { "dropping-particle" : "", "family" : "Barnett", "given" : "SF", "non-dropping-particle" : "", "parse-names" : false, "suffix" : "" }, { "dropping-particle" : "", "family" : "Bilodeau", "given" : "MT", "non-dropping-particle" : "", "parse-names" : false, "suffix" : "" }, { "dropping-particle" : "", "family" : "Lindsley", "given" : "CW", "non-dropping-particle" : "", "parse-names" : false, "suffix" : "" }, { "dropping-particle" : "", "family" : "Mita", "given" : "MM", "non-dropping-particle" : "", "parse-names" : false, "suffix" : "" }, { "dropping-particle" : "", "family" : "Mita", "given" : "A", "non-dropping-particle" : "", "parse-names" : false, "suffix" : "" }, { "dropping-particle" : "", "family" : "Rowinsky", "given" : "EK", "non-dropping-particle" : "", "parse-names" : false, "suffix" : "" }, { "dropping-particle" : "", "family" : "Sarkar", "given" : "M", "non-dropping-particle" : "", "parse-names" : false, "suffix" : "" }, { "dropping-particle" : "", "family" : "Kuret", "given" : "J", "non-dropping-particle" : "", "parse-names" : false, "suffix" : "" }, { "dropping-particle" : "", "family" : "Lee", "given" : "G", "non-dropping-particle" : "", "parse-names" : false, "suffix" : "" } ], "container-title" : "Molecular Neurodegeneration", "id" : "ITEM-1", "issue" : "1", "issued" : { "date-parts" : [ [ "2009" ] ] }, "page" : "14", "publisher" : "BioMed Central", "title" : "The PI3K-Akt-mTOR pathway regulates A\u03b2 oligomer induced neuronal cell cycle events", "type" : "article-journal", "volume" : "4" }, "uris" : [ "http://www.mendeley.com/documents/?uuid=c57a00b5-4d3e-3b71-9846-53a61b3654ab" ] }, { "id" : "ITEM-2", "itemData" : { "DOI" : "10.1073/pnas.0909314107", "ISSN" : "1091-6490", "PMID" : "20351282", "abstract" : "Multiple intracellular signals are altered in Alzheimer's disease brain tissues, including the PI3K/Akt pathway. However, the pathological relevance of such alterations is poorly understood. In vitro studies yield results that seem to be consistent with the conventional perception in which an up-regulation of the cell survival pathway, PI3K pathway, is protective in Alzheimer's disease pathogenesis. The current in vivo genetic approach, however, reveals that inhibition of the PI3K pathway leads to rescuing of the beta-amyloid peptide (Abeta)-induced memory loss in the Drosophila brain. We began our inquiry into the molecular basis of this memory loss by studying Abeta42-induced enhancement of long-term depression. We found that long-term depression is restored to a normal level through inhibition of PI3K activity. Abeta42-induced PI3K hyperactivity is directly confirmed by immunostaining of the PI3K phosphorylation targets, phospholipids. Such observations lead to the following demonstration that Abeta42-induced memory loss can be rescued through genetic silencing or pharmacological inhibition of PI3K functions. Our data suggest that Abeta42 stimulates PI3K, which in turn causes memory loss in association with an increase in accumulation of Abeta42 aggregates.", "author" : [ { "dropping-particle" : "", "family" : "Chiang", "given" : "Hsueh-Cheng", "non-dropping-particle" : "", "parse-names" : false, "suffix" : "" }, { "dropping-particle" : "", "family" : "Wang", "given" : "Lei", "non-dropping-particle" : "", "parse-names" : false, "suffix" : "" }, { "dropping-particle" : "", "family" : "Xie", "given" : "Zuolei", "non-dropping-particle" : "", "parse-names" : false, "suffix" : "" }, { "dropping-particle" : "", "family" : "Yau", "given" : "Alice", "non-dropping-particle" : "", "parse-names" : false, "suffix" : "" }, { "dropping-particle" : "", "family" : "Zhong", "given" : "Yi", "non-dropping-particle" : "", "parse-names" : false, "suffix" : "" } ], "container-title" : "Proceedings of the National Academy of Sciences of the United States of America", "id" : "ITEM-2", "issue" : "15", "issued" : { "date-parts" : [ [ "2010", "4", "13" ] ] }, "page" : "7060-5", "title" : "PI3 kinase signaling is involved in Abeta-induced memory loss in Drosophila.", "type" : "article-journal", "volume" : "107" }, "uris" : [ "http://www.mendeley.com/documents/?uuid=5bc88a59-677b-3037-a05a-927665816086" ] } ], "mendeley" : { "formattedCitation" : "(Bhaskar et al. 2009; Chiang et al. 2010)", "plainTextFormattedCitation" : "(Bhaskar et al. 2009; Chiang et al. 2010)", "previouslyFormattedCitation" : "(Bhaskar et al. 2009; Chiang et al. 2010)" }, "properties" : { "noteIndex" : 0 }, "schema" : "https://github.com/citation-style-language/schema/raw/master/csl-citation.json" }</w:instrText>
      </w:r>
      <w:r w:rsidR="00E018DF">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(Bhaskar et al. 2009; Chiang et al. 2010)</w:t>
      </w:r>
      <w:r w:rsidR="00E018DF">
        <w:rPr>
          <w:rFonts w:ascii="Times New Roman" w:hAnsi="Times New Roman" w:cs="Times New Roman"/>
          <w:sz w:val="24"/>
          <w:szCs w:val="24"/>
        </w:rPr>
        <w:fldChar w:fldCharType="end"/>
      </w:r>
      <w:r w:rsidR="00E018DF">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color w:val="auto"/>
          <w:sz w:val="24"/>
          <w:szCs w:val="24"/>
        </w:rPr>
        <w:t xml:space="preserve">which also causes feedback inhibition of the insulin/IGF1 pathway by increasing serine phosphorylation of IRS1. Impaired insulin/IGF1 signalling </w:t>
      </w:r>
      <w:r w:rsidR="00420400">
        <w:rPr>
          <w:rFonts w:ascii="Times New Roman" w:hAnsi="Times New Roman" w:cs="Times New Roman"/>
          <w:color w:val="auto"/>
          <w:sz w:val="24"/>
          <w:szCs w:val="24"/>
        </w:rPr>
        <w:t xml:space="preserve">could provide the link </w:t>
      </w:r>
      <w:r>
        <w:rPr>
          <w:rFonts w:ascii="Times New Roman" w:hAnsi="Times New Roman" w:cs="Times New Roman"/>
          <w:color w:val="auto"/>
          <w:sz w:val="24"/>
          <w:szCs w:val="24"/>
        </w:rPr>
        <w:t xml:space="preserve">between </w:t>
      </w:r>
      <w:r w:rsidR="00D34305" w:rsidRPr="00EF2AF4">
        <w:rPr>
          <w:rFonts w:ascii="Times New Roman" w:hAnsi="Times New Roman" w:cs="Times New Roman"/>
          <w:sz w:val="24"/>
          <w:szCs w:val="24"/>
        </w:rPr>
        <w:t xml:space="preserve">Aβ </w:t>
      </w:r>
      <w:r w:rsidR="00420400">
        <w:rPr>
          <w:rFonts w:ascii="Times New Roman" w:hAnsi="Times New Roman" w:cs="Times New Roman"/>
          <w:color w:val="auto"/>
          <w:sz w:val="24"/>
          <w:szCs w:val="24"/>
        </w:rPr>
        <w:t>and</w:t>
      </w:r>
      <w:r>
        <w:rPr>
          <w:rFonts w:ascii="Times New Roman" w:hAnsi="Times New Roman" w:cs="Times New Roman"/>
          <w:color w:val="auto"/>
          <w:sz w:val="24"/>
          <w:szCs w:val="24"/>
        </w:rPr>
        <w:t xml:space="preserve"> tau pathology.</w:t>
      </w:r>
      <w:r w:rsidR="00E06AF3">
        <w:rPr>
          <w:rFonts w:ascii="Times New Roman" w:hAnsi="Times New Roman" w:cs="Times New Roman"/>
          <w:color w:val="auto"/>
          <w:sz w:val="24"/>
          <w:szCs w:val="24"/>
        </w:rPr>
        <w:t xml:space="preserve"> </w:t>
      </w:r>
      <w:r w:rsidR="00D34305" w:rsidRPr="00EF2AF4">
        <w:rPr>
          <w:rFonts w:ascii="Times New Roman" w:hAnsi="Times New Roman" w:cs="Times New Roman"/>
          <w:sz w:val="24"/>
          <w:szCs w:val="24"/>
        </w:rPr>
        <w:t>Aβ</w:t>
      </w:r>
      <w:r w:rsidR="00E06AF3">
        <w:rPr>
          <w:rFonts w:ascii="Times New Roman" w:hAnsi="Times New Roman" w:cs="Times New Roman"/>
          <w:color w:val="auto"/>
          <w:sz w:val="24"/>
          <w:szCs w:val="24"/>
        </w:rPr>
        <w:t xml:space="preserve"> can bind IR/IGF1R and by causing Akt hyperactivity would induce feedback inhibition of the pathway and an associated increase </w:t>
      </w:r>
      <w:r w:rsidR="00420400">
        <w:rPr>
          <w:rFonts w:ascii="Times New Roman" w:hAnsi="Times New Roman" w:cs="Times New Roman"/>
          <w:color w:val="auto"/>
          <w:sz w:val="24"/>
          <w:szCs w:val="24"/>
        </w:rPr>
        <w:t xml:space="preserve">in </w:t>
      </w:r>
      <w:r w:rsidR="00E06AF3">
        <w:rPr>
          <w:rFonts w:ascii="Times New Roman" w:hAnsi="Times New Roman" w:cs="Times New Roman"/>
          <w:sz w:val="24"/>
          <w:szCs w:val="24"/>
        </w:rPr>
        <w:t>GSK3β-mediated hyperphosphorylation of tau.</w:t>
      </w:r>
      <w:r w:rsidR="00E06AF3">
        <w:rPr>
          <w:rFonts w:ascii="Times New Roman" w:hAnsi="Times New Roman" w:cs="Times New Roman"/>
          <w:color w:val="auto"/>
          <w:sz w:val="24"/>
          <w:szCs w:val="24"/>
        </w:rPr>
        <w:t xml:space="preserve"> </w:t>
      </w:r>
      <w:r w:rsidR="00EF2AF4" w:rsidRPr="00EF2AF4">
        <w:rPr>
          <w:rFonts w:ascii="Times New Roman" w:hAnsi="Times New Roman" w:cs="Times New Roman"/>
          <w:sz w:val="24"/>
          <w:szCs w:val="24"/>
        </w:rPr>
        <w:t xml:space="preserve">Administration of insulin in AD </w:t>
      </w:r>
      <w:r w:rsidR="00755B62">
        <w:rPr>
          <w:rFonts w:ascii="Times New Roman" w:hAnsi="Times New Roman" w:cs="Times New Roman"/>
          <w:sz w:val="24"/>
          <w:szCs w:val="24"/>
        </w:rPr>
        <w:t>patients with hyperactivated Akt</w:t>
      </w:r>
      <w:r w:rsidR="00EF2AF4" w:rsidRPr="00EF2AF4">
        <w:rPr>
          <w:rFonts w:ascii="Times New Roman" w:hAnsi="Times New Roman" w:cs="Times New Roman"/>
          <w:sz w:val="24"/>
          <w:szCs w:val="24"/>
        </w:rPr>
        <w:t xml:space="preserve"> may not have the desired effect Craft </w:t>
      </w:r>
      <w:r w:rsidR="00EF2AF4" w:rsidRPr="00EF2AF4">
        <w:rPr>
          <w:rFonts w:ascii="Times New Roman" w:hAnsi="Times New Roman" w:cs="Times New Roman"/>
          <w:i/>
          <w:iCs/>
          <w:sz w:val="24"/>
          <w:szCs w:val="24"/>
        </w:rPr>
        <w:t>et al</w:t>
      </w:r>
      <w:r w:rsidR="00EF2AF4" w:rsidRPr="00EF2AF4">
        <w:rPr>
          <w:rFonts w:ascii="Times New Roman" w:hAnsi="Times New Roman" w:cs="Times New Roman"/>
          <w:sz w:val="24"/>
          <w:szCs w:val="24"/>
        </w:rPr>
        <w:t xml:space="preserve"> (2012) predicts</w:t>
      </w:r>
      <w:r w:rsidR="00436B6E">
        <w:rPr>
          <w:rFonts w:ascii="Times New Roman" w:hAnsi="Times New Roman" w:cs="Times New Roman"/>
          <w:sz w:val="24"/>
          <w:szCs w:val="24"/>
        </w:rPr>
        <w:t xml:space="preserve">, since the insulin dose may not be able to outcompete </w:t>
      </w:r>
      <w:r w:rsidR="0091064B" w:rsidRPr="00EF2AF4">
        <w:rPr>
          <w:rFonts w:ascii="Times New Roman" w:hAnsi="Times New Roman" w:cs="Times New Roman"/>
          <w:sz w:val="24"/>
          <w:szCs w:val="24"/>
        </w:rPr>
        <w:t>Aβ</w:t>
      </w:r>
      <w:r w:rsidR="0091064B">
        <w:rPr>
          <w:rFonts w:ascii="Times New Roman" w:hAnsi="Times New Roman" w:cs="Times New Roman"/>
          <w:sz w:val="24"/>
          <w:szCs w:val="24"/>
        </w:rPr>
        <w:t xml:space="preserve"> </w:t>
      </w:r>
      <w:r w:rsidR="00436B6E">
        <w:rPr>
          <w:rFonts w:ascii="Times New Roman" w:hAnsi="Times New Roman" w:cs="Times New Roman"/>
          <w:sz w:val="24"/>
          <w:szCs w:val="24"/>
        </w:rPr>
        <w:t>binding to IR</w:t>
      </w:r>
      <w:r w:rsidR="00EF2AF4" w:rsidRPr="00EF2AF4">
        <w:rPr>
          <w:rFonts w:ascii="Times New Roman" w:hAnsi="Times New Roman" w:cs="Times New Roman"/>
          <w:sz w:val="24"/>
          <w:szCs w:val="24"/>
        </w:rPr>
        <w:t xml:space="preserve"> and </w:t>
      </w:r>
      <w:r w:rsidR="00436B6E">
        <w:rPr>
          <w:rFonts w:ascii="Times New Roman" w:hAnsi="Times New Roman" w:cs="Times New Roman"/>
          <w:sz w:val="24"/>
          <w:szCs w:val="24"/>
        </w:rPr>
        <w:t xml:space="preserve">if able to bind could further downregulate the pathway through Akt mediated feedback inhibition. </w:t>
      </w:r>
    </w:p>
    <w:p w14:paraId="3ABE108E" w14:textId="77777777" w:rsidR="0078650E" w:rsidRDefault="0078650E" w:rsidP="00EF2AF4">
      <w:pPr>
        <w:pStyle w:val="Body"/>
        <w:spacing w:line="360" w:lineRule="auto"/>
        <w:jc w:val="both"/>
        <w:rPr>
          <w:rFonts w:ascii="Times New Roman" w:hAnsi="Times New Roman" w:cs="Times New Roman"/>
          <w:sz w:val="24"/>
          <w:szCs w:val="24"/>
        </w:rPr>
      </w:pPr>
    </w:p>
    <w:p w14:paraId="0D33E245" w14:textId="1A7C3661" w:rsidR="003D1264" w:rsidRPr="006E3EE2" w:rsidRDefault="003D1264" w:rsidP="00B554BC">
      <w:pPr>
        <w:pStyle w:val="Body"/>
        <w:spacing w:line="240" w:lineRule="auto"/>
        <w:jc w:val="both"/>
        <w:rPr>
          <w:rFonts w:ascii="Times New Roman" w:hAnsi="Times New Roman" w:cs="Times New Roman"/>
          <w:sz w:val="24"/>
          <w:szCs w:val="24"/>
        </w:rPr>
      </w:pPr>
      <w:r>
        <w:rPr>
          <w:rFonts w:ascii="Times New Roman" w:hAnsi="Times New Roman" w:cs="Times New Roman"/>
          <w:b/>
          <w:i/>
          <w:sz w:val="24"/>
          <w:szCs w:val="24"/>
          <w:u w:val="single"/>
        </w:rPr>
        <w:t>Phosphatase and tensin homologue (PTEN)</w:t>
      </w:r>
    </w:p>
    <w:p w14:paraId="13CC6C9F" w14:textId="033DB799" w:rsidR="00EF2AF4" w:rsidRPr="00987A40" w:rsidRDefault="003D1264" w:rsidP="00EF2AF4">
      <w:pPr>
        <w:pStyle w:val="Body"/>
        <w:spacing w:line="360" w:lineRule="auto"/>
        <w:jc w:val="both"/>
        <w:rPr>
          <w:rFonts w:ascii="Times New Roman" w:hAnsi="Times New Roman" w:cs="Times New Roman"/>
          <w:color w:val="auto"/>
          <w:sz w:val="24"/>
          <w:szCs w:val="24"/>
        </w:rPr>
      </w:pPr>
      <w:r w:rsidRPr="00EF2AF4">
        <w:rPr>
          <w:rFonts w:ascii="Times New Roman" w:hAnsi="Times New Roman" w:cs="Times New Roman"/>
          <w:sz w:val="24"/>
          <w:szCs w:val="24"/>
        </w:rPr>
        <w:t xml:space="preserve">PTEN </w:t>
      </w:r>
      <w:r>
        <w:rPr>
          <w:rFonts w:ascii="Times New Roman" w:hAnsi="Times New Roman" w:cs="Times New Roman"/>
          <w:sz w:val="24"/>
          <w:szCs w:val="24"/>
        </w:rPr>
        <w:t>is a negative regulator of the i</w:t>
      </w:r>
      <w:r w:rsidRPr="00EF2AF4">
        <w:rPr>
          <w:rFonts w:ascii="Times New Roman" w:hAnsi="Times New Roman" w:cs="Times New Roman"/>
          <w:sz w:val="24"/>
          <w:szCs w:val="24"/>
        </w:rPr>
        <w:t>nsulin/IGF</w:t>
      </w:r>
      <w:r>
        <w:rPr>
          <w:rFonts w:ascii="Times New Roman" w:hAnsi="Times New Roman" w:cs="Times New Roman"/>
          <w:sz w:val="24"/>
          <w:szCs w:val="24"/>
        </w:rPr>
        <w:t>1</w:t>
      </w:r>
      <w:r w:rsidRPr="00EF2AF4">
        <w:rPr>
          <w:rFonts w:ascii="Times New Roman" w:hAnsi="Times New Roman" w:cs="Times New Roman"/>
          <w:sz w:val="24"/>
          <w:szCs w:val="24"/>
        </w:rPr>
        <w:t xml:space="preserve"> signalling pathway and is responsible</w:t>
      </w:r>
      <w:r>
        <w:rPr>
          <w:rFonts w:ascii="Times New Roman" w:hAnsi="Times New Roman" w:cs="Times New Roman"/>
          <w:sz w:val="24"/>
          <w:szCs w:val="24"/>
        </w:rPr>
        <w:t xml:space="preserve"> for modulating the level of Akt</w:t>
      </w:r>
      <w:r w:rsidRPr="00EF2AF4">
        <w:rPr>
          <w:rFonts w:ascii="Times New Roman" w:hAnsi="Times New Roman" w:cs="Times New Roman"/>
          <w:sz w:val="24"/>
          <w:szCs w:val="24"/>
        </w:rPr>
        <w:t xml:space="preserve"> activation. In AD</w:t>
      </w:r>
      <w:r w:rsidR="00D34305">
        <w:rPr>
          <w:rFonts w:ascii="Times New Roman" w:hAnsi="Times New Roman" w:cs="Times New Roman"/>
          <w:sz w:val="24"/>
          <w:szCs w:val="24"/>
        </w:rPr>
        <w:t>, PTEN is</w:t>
      </w:r>
      <w:r>
        <w:rPr>
          <w:rFonts w:ascii="Times New Roman" w:hAnsi="Times New Roman" w:cs="Times New Roman"/>
          <w:sz w:val="24"/>
          <w:szCs w:val="24"/>
        </w:rPr>
        <w:t xml:space="preserve"> lost from neurons, </w:t>
      </w:r>
      <w:r w:rsidRPr="00EF2AF4">
        <w:rPr>
          <w:rFonts w:ascii="Times New Roman" w:hAnsi="Times New Roman" w:cs="Times New Roman"/>
          <w:sz w:val="24"/>
          <w:szCs w:val="24"/>
        </w:rPr>
        <w:t xml:space="preserve">which </w:t>
      </w:r>
      <w:r>
        <w:rPr>
          <w:rFonts w:ascii="Times New Roman" w:hAnsi="Times New Roman" w:cs="Times New Roman"/>
          <w:sz w:val="24"/>
          <w:szCs w:val="24"/>
        </w:rPr>
        <w:t xml:space="preserve">is thought to be responsible for constitutive activation of Akt and hyperphosphorylation of downstream targets, mTOR, tau and GSK3β (ser9) </w:t>
      </w:r>
      <w:r>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"DOI" : "10.1111/j.1471-4159.2004.02949.x", "ISSN" : "0022-3042", "PMID" : "15773910", "abstract" : "Studies suggest that activation of phosphoinositide 3-kinase-Akt may protect against neuronal cell death in Alzheimer's disease (AD). Here, however, we provide evidence of increased Akt activation, and hyperphosphorylation of critical Akt substrates in AD brain, which link to AD pathogenesis, suggesting that treatments aiming to activate the pathway in AD need to be considered carefully. A different distribution of Akt and phospho-Akt was detected in AD temporal cortex neurons compared with control neurons, with increased levels of active phosphorylated-Akt in particulate fractions, and significant decreases in Akt levels in AD cytosolic fractions, causing increased activation of Akt (phosphorylated-Akt/total Akt ratio) in AD. In concordance, significant increases in the levels of phosphorylation of total Akt substrates, including: GSK3beta(Ser9), tau(Ser214), mTOR(Ser2448), and decreased levels of the Akt target, p27(kip1), were found in AD temporal cortex compared with controls. A significant loss and altered distribution of the major negative regulator of Akt, PTEN (phosphatase and tensin homologue deleted on chromosome 10), was also detected in AD neurons. Loss of phosphorylated-Akt and PTEN-containing neurons were found in hippocampal CA1 at end stages of AD. Taken together, these results support a potential role for aberrant control of Akt and PTEN signalling in AD.", "author" : [ { "dropping-particle" : "", "family" : "Griffin", "given" : "Rebecca J", "non-dropping-particle" : "", "parse-names" : false, "suffix" : "" }, { "dropping-particle" : "", "family" : "Moloney", "given" : "Aileen", "non-dropping-particle" : "", "parse-names" : false, "suffix" : "" }, { "dropping-particle" : "", "family" : "Kelliher", "given" : "Mary", "non-dropping-particle" : "", "parse-names" : false, "suffix" : "" }, { "dropping-particle" : "", "family" : "Johnston", "given" : "Janet A", "non-dropping-particle" : "", "parse-names" : false, "suffix" : "" }, { "dropping-particle" : "", "family" : "Ravid", "given" : "Rivka", "non-dropping-particle" : "", "parse-names" : false, "suffix" : "" }, { "dropping-particle" : "", "family" : "Dockery", "given" : "Peter", "non-dropping-particle" : "", "parse-names" : false, "suffix" : "" }, { "dropping-particle" : "", "family" : "O'Connor", "given" : "Rosemary", "non-dropping-particle" : "", "parse-names" : false, "suffix" : "" }, { "dropping-particle" : "", "family" : "O'Neill", "given" : "Cora", "non-dropping-particle" : "", "parse-names" : false, "suffix" : "" } ], "container-title" : "Journal of neurochemistry", "id" : "ITEM-1", "issue" : "1", "issued" : { "date-parts" : [ [ "2005", "4" ] ] }, "page" : "105-17", "title" : "Activation of Akt/PKB, increased phosphorylation of Akt substrates and loss and altered distribution of Akt and PTEN are features of Alzheimer's disease pathology.", "type" : "article-journal", "volume" : "93" }, "uris" : [ "http://www.mendeley.com/documents/?uuid=ee311a8b-f6ec-4a6b-abfd-c8085a11894c" ] } ], "mendeley" : { "formattedCitation" : "(Griffin et al. 2005)", "plainTextFormattedCitation" : "(Griffin et al. 2005)", "previouslyFormattedCitation" : "(Griffin et al. 2005)" }, "properties" : { "noteIndex" : 0 }, "schema" : "https://github.com/citation-style-language/schema/raw/master/csl-citation.json" }</w:instrText>
      </w:r>
      <w:r>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(Griffin et al. 2005)</w:t>
      </w:r>
      <w:r>
        <w:rPr>
          <w:rFonts w:ascii="Times New Roman" w:hAnsi="Times New Roman" w:cs="Times New Roman"/>
          <w:color w:val="auto"/>
          <w:sz w:val="24"/>
          <w:szCs w:val="24"/>
        </w:rPr>
        <w:fldChar w:fldCharType="end"/>
      </w:r>
      <w:r>
        <w:rPr>
          <w:rFonts w:ascii="Times New Roman" w:hAnsi="Times New Roman" w:cs="Times New Roman"/>
          <w:color w:val="auto"/>
          <w:sz w:val="24"/>
          <w:szCs w:val="24"/>
        </w:rPr>
        <w:t xml:space="preserve">. Signalling through Akt in many mitotic cells provides a survival advantage. However, continuous overactivation of Akt may be detrimental to post-mitotic cells such as neurons, which may explain the loss of neurons and increased pAkt activation in the hippocampus of the AD brain. </w:t>
      </w:r>
      <w:r>
        <w:rPr>
          <w:rFonts w:ascii="Times New Roman" w:hAnsi="Times New Roman" w:cs="Times New Roman"/>
          <w:sz w:val="24"/>
          <w:szCs w:val="24"/>
        </w:rPr>
        <w:t xml:space="preserve">Phosphorylation at serine 9 is responsible for inactivation of GSK3β and therefore this study would suggest less phosphorylation of downstream tau. It </w:t>
      </w:r>
      <w:r w:rsidRPr="00EF2AF4">
        <w:rPr>
          <w:rFonts w:ascii="Times New Roman" w:hAnsi="Times New Roman" w:cs="Times New Roman"/>
          <w:sz w:val="24"/>
          <w:szCs w:val="24"/>
        </w:rPr>
        <w:t>would</w:t>
      </w:r>
      <w:r>
        <w:rPr>
          <w:rFonts w:ascii="Times New Roman" w:hAnsi="Times New Roman" w:cs="Times New Roman"/>
          <w:sz w:val="24"/>
          <w:szCs w:val="24"/>
        </w:rPr>
        <w:t xml:space="preserve"> also</w:t>
      </w:r>
      <w:r w:rsidRPr="00EF2AF4">
        <w:rPr>
          <w:rFonts w:ascii="Times New Roman" w:hAnsi="Times New Roman" w:cs="Times New Roman"/>
          <w:sz w:val="24"/>
          <w:szCs w:val="24"/>
        </w:rPr>
        <w:t xml:space="preserve"> contradict other reports in the field that have </w:t>
      </w:r>
      <w:r>
        <w:rPr>
          <w:rFonts w:ascii="Times New Roman" w:hAnsi="Times New Roman" w:cs="Times New Roman"/>
          <w:sz w:val="24"/>
          <w:szCs w:val="24"/>
        </w:rPr>
        <w:t>shown</w:t>
      </w:r>
      <w:r w:rsidRPr="00EF2AF4">
        <w:rPr>
          <w:rFonts w:ascii="Times New Roman" w:hAnsi="Times New Roman" w:cs="Times New Roman"/>
          <w:sz w:val="24"/>
          <w:szCs w:val="24"/>
        </w:rPr>
        <w:t xml:space="preserve"> increased GSK3β activity giving rise to hyperphosphorylated tau and ultimately tau pathology</w:t>
      </w:r>
      <w:r>
        <w:rPr>
          <w:rFonts w:ascii="Times New Roman" w:hAnsi="Times New Roman" w:cs="Times New Roman"/>
          <w:color w:val="FF0000"/>
          <w:sz w:val="24"/>
          <w:szCs w:val="24"/>
        </w:rPr>
        <w:t xml:space="preserve"> </w:t>
      </w:r>
      <w:r>
        <w:rPr>
          <w:rFonts w:ascii="Times New Roman" w:hAnsi="Times New Roman" w:cs="Times New Roman"/>
          <w:color w:val="auto"/>
          <w:sz w:val="24"/>
          <w:szCs w:val="24"/>
        </w:rPr>
        <w:fldChar w:fldCharType="begin" w:fldLock="1"/>
      </w:r>
      <w:r w:rsidR="003E7BDB">
        <w:rPr>
          <w:rFonts w:ascii="Times New Roman" w:hAnsi="Times New Roman" w:cs="Times New Roman"/>
          <w:color w:val="auto"/>
          <w:sz w:val="24"/>
          <w:szCs w:val="24"/>
        </w:rPr>
        <w:instrText>ADDIN CSL_CITATION { "citationItems" : [ { "id" : "ITEM-1", "itemData" : { "abstract" : "Fibrillar deposits of highly phosphorylated tau are a key pathological feature of several neurodegenerative tauopathies including Alzheimer's disease (AD) and some frontotemporal dementias. Increasing evidence suggests that the presence of these end-stage neurofibrillary lesions do not cause neuronal loss, but rather that alterations to soluble tau proteins induce neurodegeneration. In particular, aberrant tau phosphorylation is acknowledged to be a key disease process, influencing tau structure, distribution, and function in neurons. Although typically described as a cytosolic protein that associates with microtubules and regulates axonal transport, several additional functions of tau have recently been demonstrated, including roles in DNA stabilization, and synaptic function. Most recently, studies examining the trans-synaptic spread of tau pathology in disease models have suggested a potential role for extracellular tau in cell signaling pathways intrinsic to neurodegeneration. Here we review the evidence showing that tau phosphorylation plays a key role in neurodegenerative tauopathies. We also comment on the tractability of altering phosphorylation-dependent tau functions for therapeutic intervention in AD and related disorders.", "author" : [ { "dropping-particle" : "", "family" : "Noble", "given" : "Wendy", "non-dropping-particle" : "", "parse-names" : false, "suffix" : "" }, { "dropping-particle" : "", "family" : "Hanger", "given" : "Diane P.", "non-dropping-particle" : "", "parse-names" : false, "suffix" : "" }, { "dropping-particle" : "", "family" : "Miller", "given" : "Christopher C J", "non-dropping-particle" : "", "parse-names" : false, "suffix" : "" }, { "dropping-particle" : "", "family" : "Lovestone", "given" : "Simon", "non-dropping-particle" : "", "parse-names" : false, "suffix" : "" } ], "container-title" : "Frontiers in Neurology", "id" : "ITEM-1", "issued" : { "date-parts" : [ [ "2013" ] ] }, "title" : "The importance of tau phosphorylation for neurodegenerative diseases", "type" : "article", "volume" : "4 JUL" }, "uris" : [ "http://www.mendeley.com/documents/?uuid=3a803b84-245f-481d-ad69-18fc69aad5b4" ] } ], "mendeley" : { "formattedCitation" : "(Noble et al. 2013)", "plainTextFormattedCitation" : "(Noble et al. 2013)", "previouslyFormattedCitation" : "(Noble et al. 2013)" }, "properties" : { "noteIndex" : 0 }, "schema" : "https://github.com/citation-style-language/schema/raw/master/csl-citation.json" }</w:instrText>
      </w:r>
      <w:r>
        <w:rPr>
          <w:rFonts w:ascii="Times New Roman" w:hAnsi="Times New Roman" w:cs="Times New Roman"/>
          <w:color w:val="auto"/>
          <w:sz w:val="24"/>
          <w:szCs w:val="24"/>
        </w:rPr>
        <w:fldChar w:fldCharType="separate"/>
      </w:r>
      <w:r w:rsidR="00C148FC" w:rsidRPr="00C148FC">
        <w:rPr>
          <w:rFonts w:ascii="Times New Roman" w:hAnsi="Times New Roman" w:cs="Times New Roman"/>
          <w:noProof/>
          <w:color w:val="auto"/>
          <w:sz w:val="24"/>
          <w:szCs w:val="24"/>
        </w:rPr>
        <w:t>(Noble et al. 2013)</w:t>
      </w:r>
      <w:r>
        <w:rPr>
          <w:rFonts w:ascii="Times New Roman" w:hAnsi="Times New Roman" w:cs="Times New Roman"/>
          <w:color w:val="auto"/>
          <w:sz w:val="24"/>
          <w:szCs w:val="24"/>
        </w:rPr>
        <w:fldChar w:fldCharType="end"/>
      </w:r>
      <w:r w:rsidRPr="00EF2AF4">
        <w:rPr>
          <w:rFonts w:ascii="Times New Roman" w:hAnsi="Times New Roman" w:cs="Times New Roman"/>
          <w:sz w:val="24"/>
          <w:szCs w:val="24"/>
        </w:rPr>
        <w:t>.</w:t>
      </w:r>
      <w:r>
        <w:rPr>
          <w:rFonts w:ascii="Times New Roman" w:hAnsi="Times New Roman" w:cs="Times New Roman"/>
          <w:sz w:val="24"/>
          <w:szCs w:val="24"/>
        </w:rPr>
        <w:t xml:space="preserve"> However, Griffin </w:t>
      </w:r>
      <w:r>
        <w:rPr>
          <w:rFonts w:ascii="Times New Roman" w:hAnsi="Times New Roman" w:cs="Times New Roman"/>
          <w:i/>
          <w:sz w:val="24"/>
          <w:szCs w:val="24"/>
        </w:rPr>
        <w:t>et al</w:t>
      </w:r>
      <w:r>
        <w:rPr>
          <w:rFonts w:ascii="Times New Roman" w:hAnsi="Times New Roman" w:cs="Times New Roman"/>
          <w:sz w:val="24"/>
          <w:szCs w:val="24"/>
        </w:rPr>
        <w:t xml:space="preserve"> (2005) also show elevated phosphorylation of GSK3β at tyrosine 216, which demonstrates that both inhibitory and stimulatory phosphorylation inputs to this protein are impaired in AD.</w:t>
      </w:r>
    </w:p>
    <w:p w14:paraId="61A0D623" w14:textId="4774FEFE" w:rsidR="00A36551" w:rsidRDefault="00EF2AF4" w:rsidP="00EF2AF4">
      <w:pPr>
        <w:pStyle w:val="Body"/>
        <w:spacing w:line="360" w:lineRule="auto"/>
        <w:jc w:val="both"/>
        <w:rPr>
          <w:rFonts w:ascii="Times New Roman" w:hAnsi="Times New Roman" w:cs="Times New Roman"/>
          <w:sz w:val="24"/>
          <w:szCs w:val="24"/>
        </w:rPr>
      </w:pPr>
      <w:r w:rsidRPr="00EF2AF4">
        <w:rPr>
          <w:rFonts w:ascii="Times New Roman" w:hAnsi="Times New Roman" w:cs="Times New Roman"/>
          <w:sz w:val="24"/>
          <w:szCs w:val="24"/>
        </w:rPr>
        <w:t xml:space="preserve">       </w:t>
      </w:r>
      <w:r w:rsidR="00862AF9">
        <w:rPr>
          <w:rFonts w:ascii="Times New Roman" w:hAnsi="Times New Roman" w:cs="Times New Roman"/>
          <w:sz w:val="24"/>
          <w:szCs w:val="24"/>
        </w:rPr>
        <w:t xml:space="preserve">     </w:t>
      </w:r>
      <w:r w:rsidR="00A36551">
        <w:rPr>
          <w:rFonts w:ascii="Times New Roman" w:hAnsi="Times New Roman" w:cs="Times New Roman"/>
          <w:sz w:val="24"/>
          <w:szCs w:val="24"/>
        </w:rPr>
        <w:t xml:space="preserve">   </w:t>
      </w:r>
    </w:p>
    <w:p w14:paraId="72B81DC1" w14:textId="77FC90AD" w:rsidR="00EF2AF4" w:rsidRPr="00EF2AF4" w:rsidRDefault="00EF3E44" w:rsidP="00EF2AF4">
      <w:pPr>
        <w:pStyle w:val="Body"/>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36551">
        <w:rPr>
          <w:rFonts w:ascii="Times New Roman" w:hAnsi="Times New Roman" w:cs="Times New Roman"/>
          <w:sz w:val="24"/>
          <w:szCs w:val="24"/>
        </w:rPr>
        <w:t xml:space="preserve">  </w:t>
      </w:r>
      <w:r w:rsidR="00F554D0">
        <w:rPr>
          <w:rFonts w:ascii="Times New Roman" w:hAnsi="Times New Roman" w:cs="Times New Roman"/>
          <w:noProof/>
          <w:sz w:val="24"/>
          <w:szCs w:val="24"/>
        </w:rPr>
        <w:drawing>
          <wp:inline distT="0" distB="0" distL="0" distR="0" wp14:anchorId="03EBF355" wp14:editId="622D1E9E">
            <wp:extent cx="4200520" cy="42291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19">
                      <a:extLst>
                        <a:ext uri="{28A0092B-C50C-407E-A947-70E740481C1C}">
                          <a14:useLocalDpi xmlns:a14="http://schemas.microsoft.com/office/drawing/2010/main" val="0"/>
                        </a:ext>
                      </a:extLst>
                    </a:blip>
                    <a:srcRect l="13890" t="-3707" r="8876" b="-1"/>
                    <a:stretch/>
                  </pic:blipFill>
                  <pic:spPr bwMode="auto">
                    <a:xfrm>
                      <a:off x="0" y="0"/>
                      <a:ext cx="4203703" cy="4232305"/>
                    </a:xfrm>
                    <a:prstGeom prst="rect">
                      <a:avLst/>
                    </a:prstGeom>
                    <a:ln>
                      <a:noFill/>
                    </a:ln>
                    <a:extLst>
                      <a:ext uri="{53640926-AAD7-44d8-BBD7-CCE9431645EC}">
                        <a14:shadowObscured xmlns:a14="http://schemas.microsoft.com/office/drawing/2010/main"/>
                      </a:ext>
                    </a:extLst>
                  </pic:spPr>
                </pic:pic>
              </a:graphicData>
            </a:graphic>
          </wp:inline>
        </w:drawing>
      </w:r>
    </w:p>
    <w:p w14:paraId="4D23336A" w14:textId="77777777" w:rsidR="001627E2" w:rsidRDefault="0099050D" w:rsidP="003B096D">
      <w:pPr>
        <w:pStyle w:val="Caption"/>
      </w:pPr>
      <w:bookmarkStart w:id="389" w:name="_Toc333569044"/>
      <w:bookmarkStart w:id="390" w:name="_Toc333569269"/>
      <w:bookmarkStart w:id="391" w:name="_Toc333570823"/>
      <w:bookmarkStart w:id="392" w:name="_Toc333582206"/>
      <w:bookmarkStart w:id="393" w:name="_Toc333582326"/>
      <w:bookmarkStart w:id="394" w:name="_Toc333582738"/>
      <w:bookmarkStart w:id="395" w:name="_Toc333583108"/>
      <w:bookmarkStart w:id="396" w:name="_Toc333584077"/>
      <w:bookmarkStart w:id="397" w:name="_Toc333585211"/>
      <w:bookmarkStart w:id="398" w:name="_Toc333586763"/>
      <w:bookmarkStart w:id="399" w:name="_Toc333644462"/>
      <w:bookmarkStart w:id="400" w:name="_Toc333644756"/>
      <w:r>
        <w:t>Figure 1.6</w:t>
      </w:r>
      <w:r w:rsidR="0052651A">
        <w:t>.</w:t>
      </w:r>
      <w:r w:rsidR="00EF2AF4" w:rsidRPr="00EF2AF4">
        <w:t xml:space="preserve"> </w:t>
      </w:r>
      <w:r w:rsidR="00E410C4">
        <w:t>I</w:t>
      </w:r>
      <w:r w:rsidR="00EF2AF4" w:rsidRPr="00EF2AF4">
        <w:t>mpairments in the Insulin/IGF1 signalling pathway</w:t>
      </w:r>
      <w:r w:rsidR="00E3665B">
        <w:t xml:space="preserve"> identified in AD</w:t>
      </w:r>
      <w:bookmarkEnd w:id="389"/>
      <w:bookmarkEnd w:id="390"/>
      <w:bookmarkEnd w:id="391"/>
      <w:bookmarkEnd w:id="392"/>
      <w:bookmarkEnd w:id="393"/>
      <w:bookmarkEnd w:id="394"/>
      <w:bookmarkEnd w:id="395"/>
      <w:r w:rsidR="001627E2">
        <w:t>.</w:t>
      </w:r>
      <w:bookmarkEnd w:id="396"/>
      <w:bookmarkEnd w:id="397"/>
      <w:bookmarkEnd w:id="398"/>
      <w:bookmarkEnd w:id="399"/>
      <w:bookmarkEnd w:id="400"/>
    </w:p>
    <w:p w14:paraId="35245AA7" w14:textId="5A78369C" w:rsidR="00364868" w:rsidRPr="001627E2" w:rsidRDefault="00E3665B" w:rsidP="001627E2">
      <w:pPr>
        <w:spacing w:line="360" w:lineRule="auto"/>
        <w:rPr>
          <w:rFonts w:ascii="Times New Roman" w:hAnsi="Times New Roman" w:cs="Times New Roman"/>
        </w:rPr>
      </w:pPr>
      <w:r w:rsidRPr="001627E2">
        <w:rPr>
          <w:rFonts w:ascii="Times New Roman" w:hAnsi="Times New Roman" w:cs="Times New Roman"/>
        </w:rPr>
        <w:t xml:space="preserve">A schematic diagram to illustrate the signalling molecules impaired in the insulin/IGF1 pathway in AD. </w:t>
      </w:r>
      <w:r w:rsidR="00333077" w:rsidRPr="001627E2">
        <w:rPr>
          <w:rFonts w:ascii="Times New Roman" w:hAnsi="Times New Roman" w:cs="Times New Roman"/>
        </w:rPr>
        <w:t xml:space="preserve">Changes in activity, mRNA and protein expression are represented in green (increase) and red (decrease) arrows. </w:t>
      </w:r>
      <w:r w:rsidR="00EF2AF4" w:rsidRPr="001627E2">
        <w:rPr>
          <w:rFonts w:ascii="Times New Roman" w:hAnsi="Times New Roman" w:cs="Times New Roman"/>
        </w:rPr>
        <w:t xml:space="preserve">Hashed lines show feedback inhibitory effects on the pathway shown to be implicated in AD. </w:t>
      </w:r>
    </w:p>
    <w:p w14:paraId="562EF018" w14:textId="77777777" w:rsidR="00A50137" w:rsidRPr="00A50137" w:rsidRDefault="00A50137" w:rsidP="00A50137">
      <w:bookmarkStart w:id="401" w:name="_Toc328301098"/>
      <w:bookmarkStart w:id="402" w:name="_Toc329593392"/>
    </w:p>
    <w:p w14:paraId="1DC4107E" w14:textId="4ECD5A1C" w:rsidR="00D906F1" w:rsidRDefault="007720C4" w:rsidP="00862AF9">
      <w:pPr>
        <w:pStyle w:val="Heading2"/>
        <w:spacing w:line="360" w:lineRule="auto"/>
      </w:pPr>
      <w:bookmarkStart w:id="403" w:name="_Toc331425892"/>
      <w:bookmarkStart w:id="404" w:name="_Toc331427079"/>
      <w:bookmarkStart w:id="405" w:name="_Toc331427451"/>
      <w:bookmarkStart w:id="406" w:name="_Toc331427593"/>
      <w:bookmarkStart w:id="407" w:name="_Toc332972597"/>
      <w:bookmarkStart w:id="408" w:name="_Toc333046877"/>
      <w:bookmarkStart w:id="409" w:name="_Toc333477224"/>
      <w:bookmarkStart w:id="410" w:name="_Toc333477994"/>
      <w:bookmarkStart w:id="411" w:name="_Toc333644894"/>
      <w:r>
        <w:t>1</w:t>
      </w:r>
      <w:r w:rsidR="00233453">
        <w:t>.8</w:t>
      </w:r>
      <w:r w:rsidR="003A2584">
        <w:t xml:space="preserve"> </w:t>
      </w:r>
      <w:r w:rsidR="00D906F1" w:rsidRPr="00836455">
        <w:t xml:space="preserve">Therapeutically targeting the Insulin/IGF1 pathway for treatment of </w:t>
      </w:r>
      <w:bookmarkEnd w:id="401"/>
      <w:r w:rsidR="00A62CC2">
        <w:t>neurodegeneration, with a focus on AD</w:t>
      </w:r>
      <w:bookmarkEnd w:id="402"/>
      <w:bookmarkEnd w:id="403"/>
      <w:bookmarkEnd w:id="404"/>
      <w:bookmarkEnd w:id="405"/>
      <w:bookmarkEnd w:id="406"/>
      <w:bookmarkEnd w:id="407"/>
      <w:bookmarkEnd w:id="408"/>
      <w:bookmarkEnd w:id="409"/>
      <w:bookmarkEnd w:id="410"/>
      <w:bookmarkEnd w:id="411"/>
    </w:p>
    <w:p w14:paraId="01FFE47B" w14:textId="77777777" w:rsidR="00C85344" w:rsidRDefault="00C85344" w:rsidP="007819E5">
      <w:pPr>
        <w:spacing w:line="360" w:lineRule="auto"/>
        <w:rPr>
          <w:rFonts w:ascii="Times New Roman" w:hAnsi="Times New Roman" w:cs="Times New Roman"/>
          <w:b/>
          <w:i/>
          <w:u w:val="single"/>
        </w:rPr>
      </w:pPr>
    </w:p>
    <w:p w14:paraId="2767FEA6" w14:textId="70693DE7" w:rsidR="008277EC" w:rsidRPr="00C85344" w:rsidRDefault="00C85344" w:rsidP="007819E5">
      <w:pPr>
        <w:spacing w:line="360" w:lineRule="auto"/>
        <w:rPr>
          <w:rFonts w:ascii="Times New Roman" w:hAnsi="Times New Roman" w:cs="Times New Roman"/>
          <w:b/>
          <w:i/>
          <w:u w:val="single"/>
        </w:rPr>
      </w:pPr>
      <w:r w:rsidRPr="00C85344">
        <w:rPr>
          <w:rFonts w:ascii="Times New Roman" w:hAnsi="Times New Roman" w:cs="Times New Roman"/>
          <w:b/>
          <w:i/>
          <w:u w:val="single"/>
        </w:rPr>
        <w:t>IGF1 as a potential therapy</w:t>
      </w:r>
      <w:r>
        <w:rPr>
          <w:rFonts w:ascii="Times New Roman" w:hAnsi="Times New Roman" w:cs="Times New Roman"/>
          <w:b/>
          <w:i/>
          <w:u w:val="single"/>
        </w:rPr>
        <w:t xml:space="preserve"> in </w:t>
      </w:r>
      <w:r w:rsidR="00294EBC">
        <w:rPr>
          <w:rFonts w:ascii="Times New Roman" w:hAnsi="Times New Roman" w:cs="Times New Roman"/>
          <w:b/>
          <w:i/>
          <w:u w:val="single"/>
        </w:rPr>
        <w:t>neurodegenerative disease</w:t>
      </w:r>
    </w:p>
    <w:p w14:paraId="5F408F76" w14:textId="3FF3AD23" w:rsidR="003770EC" w:rsidRDefault="007819E5" w:rsidP="003E7BDB">
      <w:pPr>
        <w:spacing w:line="360" w:lineRule="auto"/>
        <w:jc w:val="both"/>
        <w:rPr>
          <w:rFonts w:ascii="Times New Roman" w:hAnsi="Times New Roman" w:cs="Times New Roman"/>
        </w:rPr>
      </w:pPr>
      <w:r w:rsidRPr="0058702D">
        <w:rPr>
          <w:rFonts w:ascii="Times New Roman" w:hAnsi="Times New Roman" w:cs="Times New Roman"/>
        </w:rPr>
        <w:t>IGF1</w:t>
      </w:r>
      <w:r w:rsidR="006B2356">
        <w:rPr>
          <w:rFonts w:ascii="Times New Roman" w:hAnsi="Times New Roman" w:cs="Times New Roman"/>
        </w:rPr>
        <w:t xml:space="preserve"> is currently used in the treatment of diabetes and growth deficiency but its neurotrophic properties means that it also offers potential in the treatment of pathological</w:t>
      </w:r>
      <w:r w:rsidR="00673808">
        <w:rPr>
          <w:rFonts w:ascii="Times New Roman" w:hAnsi="Times New Roman" w:cs="Times New Roman"/>
        </w:rPr>
        <w:t xml:space="preserve"> </w:t>
      </w:r>
      <w:r w:rsidR="009A52DC" w:rsidRPr="0058702D">
        <w:rPr>
          <w:rFonts w:ascii="Times New Roman" w:hAnsi="Times New Roman" w:cs="Times New Roman"/>
        </w:rPr>
        <w:t>neurodegenerative</w:t>
      </w:r>
      <w:r w:rsidR="008277EC" w:rsidRPr="0058702D">
        <w:rPr>
          <w:rFonts w:ascii="Times New Roman" w:hAnsi="Times New Roman" w:cs="Times New Roman"/>
        </w:rPr>
        <w:t xml:space="preserve"> conditions. </w:t>
      </w:r>
      <w:r w:rsidR="00DC25BB" w:rsidRPr="0058702D">
        <w:rPr>
          <w:rFonts w:ascii="Times New Roman" w:hAnsi="Times New Roman" w:cs="Times New Roman"/>
        </w:rPr>
        <w:t xml:space="preserve">The </w:t>
      </w:r>
      <w:r w:rsidR="00745012">
        <w:rPr>
          <w:rFonts w:ascii="Times New Roman" w:hAnsi="Times New Roman" w:cs="Times New Roman"/>
        </w:rPr>
        <w:t xml:space="preserve">therapeutic potential </w:t>
      </w:r>
      <w:r w:rsidR="00DC25BB" w:rsidRPr="0058702D">
        <w:rPr>
          <w:rFonts w:ascii="Times New Roman" w:hAnsi="Times New Roman" w:cs="Times New Roman"/>
        </w:rPr>
        <w:t xml:space="preserve">of </w:t>
      </w:r>
      <w:r w:rsidR="0074687F" w:rsidRPr="0058702D">
        <w:rPr>
          <w:rFonts w:ascii="Times New Roman" w:hAnsi="Times New Roman" w:cs="Times New Roman"/>
        </w:rPr>
        <w:t xml:space="preserve">IGF1 has been </w:t>
      </w:r>
      <w:r w:rsidR="00A62CC2">
        <w:rPr>
          <w:rFonts w:ascii="Times New Roman" w:hAnsi="Times New Roman" w:cs="Times New Roman"/>
        </w:rPr>
        <w:t>studied most extensively in ALS</w:t>
      </w:r>
      <w:r w:rsidR="000C3EB5">
        <w:rPr>
          <w:rFonts w:ascii="Times New Roman" w:hAnsi="Times New Roman" w:cs="Times New Roman"/>
        </w:rPr>
        <w:t xml:space="preserve">, which is classically characterised by the loss of upper and lower motor neurons. </w:t>
      </w:r>
      <w:r w:rsidR="000C3EB5">
        <w:rPr>
          <w:rFonts w:ascii="Times New Roman" w:hAnsi="Times New Roman" w:cs="Times New Roman"/>
          <w:i/>
        </w:rPr>
        <w:t>In</w:t>
      </w:r>
      <w:r w:rsidR="000C3EB5" w:rsidRPr="0024079C">
        <w:rPr>
          <w:rFonts w:ascii="Times New Roman" w:hAnsi="Times New Roman" w:cs="Times New Roman"/>
          <w:i/>
        </w:rPr>
        <w:t xml:space="preserve"> vitro</w:t>
      </w:r>
      <w:r w:rsidR="000C3EB5">
        <w:rPr>
          <w:rFonts w:ascii="Times New Roman" w:hAnsi="Times New Roman" w:cs="Times New Roman"/>
        </w:rPr>
        <w:t xml:space="preserve"> studies have demonstrated that IGF1 is protective against glutamate mediated caspase 3 cleavage and associated DNA damage in motor neurons </w:t>
      </w:r>
      <w:r w:rsidR="000C3EB5">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"10.1016/j.nbd.2004.03.001", "ISSN" : "0969-9961", "PMID" : "15193297", "abstract" : "Insulin-like growth factor I (IGF-I) is currently in clinical trials for treatment of amyotrophic lateral sclerosis (ALS), but little is known about how it promotes the survival of motor neurons. In the current study, we examined IGF-I-mediated neuroprotection in an in vitro model of ALS utilizing enriched cultures of embryonic rat spinal cord motor neurons. IGF-I binds to the IGF-I receptor (IGF-IR) in motor neurons and activates MAPK and the downstream effector of phosphatidylinositol 3-kinase (PI-3K) signaling, Akt. IGF-I:IGF-IR signaling involves phosphorylation of IRS-1 and Shc, but not IRS-2. Glutamate, which is elevated in the cerebrospinal fluid of ALS patients, induced DNA fragmentation and caspase-3 cleavage in the spinal cord motor neurons. These effects of glutamate were blocked by co-treatment with IGF-I. However, a delay of IGF-I treatment for as little as 30 min eliminated its neuroprotective effect. Finally, alone, neither the MAPK pathway inhibitor PD98059 nor the PI-3K inhibitor LY294002 blocked the neuroprotective effect of IGF-I, but both inhibitors together were effective in this regard. These results suggest that the dose and timing of IGF-I administration are critical for producing a neuroprotective effect, and also suggest that both the MAPK and PI-3K/Akt pathways can promote the survival of motor neurons. We discuss our results in terms of novel strategies for ALS therapy.", "author" : [ { "dropping-particle" : "", "family" : "Vincent", "given" : "Andrea M", "non-dropping-particle" : "", "parse-names" : false, "suffix" : "" }, { "dropping-particle" : "", "family" : "Mobley", "given" : "Bret C", "non-dropping-particle" : "", "parse-names" : false, "suffix" : "" }, { "dropping-particle" : "", "family" : "Hiller", "given" : "Andrew", "non-dropping-particle" : "", "parse-names" : false, "suffix" : "" }, { "dropping-particle" : "", "family" : "Feldman", "given" : "Eva L", "non-dropping-particle" : "", "parse-names" : false, "suffix" : "" } ], "container-title" : "Neurobiology of disease", "id" : "ITEM-1", "issue" : "2", "issued" : { "date-parts" : [ [ "2004", "7" ] ] }, "page" : "407-16", "title" : "IGF-I prevents glutamate-induced motor neuron programmed cell death.", "type" : "article-journal", "volume" : "16" }, "uris" : [ "http://www.mendeley.com/documents/?uuid=c8ad76a2-08bb-4070-9488-244bbb451794" ] } ], "mendeley" : { "formattedCitation" : "(Vincent et al. 2004)", "plainTextFormattedCitation" : "(Vincent et al. 2004)", "previouslyFormattedCitation" : "(Vincent et al. 2004)" }, "properties" : { "noteIndex" : 0 }, "schema" : "https://github.com/citation-style-language/schema/raw/master/csl-citation.json" }</w:instrText>
      </w:r>
      <w:r w:rsidR="000C3EB5">
        <w:rPr>
          <w:rFonts w:ascii="Times New Roman" w:hAnsi="Times New Roman" w:cs="Times New Roman"/>
        </w:rPr>
        <w:fldChar w:fldCharType="separate"/>
      </w:r>
      <w:r w:rsidR="00C148FC" w:rsidRPr="00C148FC">
        <w:rPr>
          <w:rFonts w:ascii="Times New Roman" w:hAnsi="Times New Roman" w:cs="Times New Roman"/>
          <w:noProof/>
        </w:rPr>
        <w:t>(Vincent et al. 2004)</w:t>
      </w:r>
      <w:r w:rsidR="000C3EB5">
        <w:rPr>
          <w:rFonts w:ascii="Times New Roman" w:hAnsi="Times New Roman" w:cs="Times New Roman"/>
        </w:rPr>
        <w:fldChar w:fldCharType="end"/>
      </w:r>
      <w:r w:rsidR="00233796">
        <w:rPr>
          <w:rFonts w:ascii="Times New Roman" w:hAnsi="Times New Roman" w:cs="Times New Roman"/>
        </w:rPr>
        <w:t xml:space="preserve"> and</w:t>
      </w:r>
      <w:r w:rsidR="00AB06FB">
        <w:rPr>
          <w:rFonts w:ascii="Times New Roman" w:hAnsi="Times New Roman" w:cs="Times New Roman"/>
        </w:rPr>
        <w:t xml:space="preserve"> an</w:t>
      </w:r>
      <w:r w:rsidR="00233796">
        <w:rPr>
          <w:rFonts w:ascii="Times New Roman" w:hAnsi="Times New Roman" w:cs="Times New Roman"/>
        </w:rPr>
        <w:t xml:space="preserve"> </w:t>
      </w:r>
      <w:r w:rsidR="00233796">
        <w:rPr>
          <w:rFonts w:ascii="Times New Roman" w:hAnsi="Times New Roman" w:cs="Times New Roman"/>
          <w:i/>
        </w:rPr>
        <w:t>i</w:t>
      </w:r>
      <w:r w:rsidR="0024079C">
        <w:rPr>
          <w:rFonts w:ascii="Times New Roman" w:hAnsi="Times New Roman" w:cs="Times New Roman"/>
          <w:i/>
        </w:rPr>
        <w:t xml:space="preserve">n vivo </w:t>
      </w:r>
      <w:r w:rsidR="00233796">
        <w:rPr>
          <w:rFonts w:ascii="Times New Roman" w:hAnsi="Times New Roman" w:cs="Times New Roman"/>
        </w:rPr>
        <w:t>study using the G93A mouse model</w:t>
      </w:r>
      <w:r w:rsidR="0016200A">
        <w:rPr>
          <w:rFonts w:ascii="Times New Roman" w:hAnsi="Times New Roman" w:cs="Times New Roman"/>
        </w:rPr>
        <w:t xml:space="preserve"> has</w:t>
      </w:r>
      <w:r w:rsidR="0024079C">
        <w:rPr>
          <w:rFonts w:ascii="Times New Roman" w:hAnsi="Times New Roman" w:cs="Times New Roman"/>
        </w:rPr>
        <w:t xml:space="preserve"> corroborate</w:t>
      </w:r>
      <w:r w:rsidR="00233796">
        <w:rPr>
          <w:rFonts w:ascii="Times New Roman" w:hAnsi="Times New Roman" w:cs="Times New Roman"/>
        </w:rPr>
        <w:t>d</w:t>
      </w:r>
      <w:r w:rsidR="0024079C">
        <w:rPr>
          <w:rFonts w:ascii="Times New Roman" w:hAnsi="Times New Roman" w:cs="Times New Roman"/>
        </w:rPr>
        <w:t xml:space="preserve"> these finding</w:t>
      </w:r>
      <w:r w:rsidR="00233796">
        <w:rPr>
          <w:rFonts w:ascii="Times New Roman" w:hAnsi="Times New Roman" w:cs="Times New Roman"/>
        </w:rPr>
        <w:t>s;</w:t>
      </w:r>
      <w:r w:rsidR="0024079C">
        <w:rPr>
          <w:rFonts w:ascii="Times New Roman" w:hAnsi="Times New Roman" w:cs="Times New Roman"/>
        </w:rPr>
        <w:t xml:space="preserve"> </w:t>
      </w:r>
      <w:r w:rsidR="00233796">
        <w:rPr>
          <w:rFonts w:ascii="Times New Roman" w:hAnsi="Times New Roman" w:cs="Times New Roman"/>
        </w:rPr>
        <w:t>i</w:t>
      </w:r>
      <w:r w:rsidR="002551CE" w:rsidRPr="0058702D">
        <w:rPr>
          <w:rFonts w:ascii="Times New Roman" w:hAnsi="Times New Roman" w:cs="Times New Roman"/>
        </w:rPr>
        <w:t>ntrathecal injection of IGF1 into</w:t>
      </w:r>
      <w:r w:rsidR="007D0B57" w:rsidRPr="0058702D">
        <w:rPr>
          <w:rFonts w:ascii="Times New Roman" w:hAnsi="Times New Roman" w:cs="Times New Roman"/>
        </w:rPr>
        <w:t xml:space="preserve"> the lumbal spinal cord improved survival</w:t>
      </w:r>
      <w:r w:rsidR="00A24075" w:rsidRPr="0058702D">
        <w:rPr>
          <w:rFonts w:ascii="Times New Roman" w:hAnsi="Times New Roman" w:cs="Times New Roman"/>
        </w:rPr>
        <w:t xml:space="preserve">, </w:t>
      </w:r>
      <w:r w:rsidR="007D0B57" w:rsidRPr="0058702D">
        <w:rPr>
          <w:rFonts w:ascii="Times New Roman" w:hAnsi="Times New Roman" w:cs="Times New Roman"/>
        </w:rPr>
        <w:t>delayed disease onset</w:t>
      </w:r>
      <w:r w:rsidR="00A24075" w:rsidRPr="0058702D">
        <w:rPr>
          <w:rFonts w:ascii="Times New Roman" w:hAnsi="Times New Roman" w:cs="Times New Roman"/>
        </w:rPr>
        <w:t xml:space="preserve"> and </w:t>
      </w:r>
      <w:r w:rsidR="00E82636">
        <w:rPr>
          <w:rFonts w:ascii="Times New Roman" w:hAnsi="Times New Roman" w:cs="Times New Roman"/>
        </w:rPr>
        <w:t>retained functionality of</w:t>
      </w:r>
      <w:r w:rsidR="00047E0D" w:rsidRPr="0058702D">
        <w:rPr>
          <w:rFonts w:ascii="Times New Roman" w:hAnsi="Times New Roman" w:cs="Times New Roman"/>
        </w:rPr>
        <w:t xml:space="preserve"> </w:t>
      </w:r>
      <w:r w:rsidR="00A24075" w:rsidRPr="0058702D">
        <w:rPr>
          <w:rFonts w:ascii="Times New Roman" w:hAnsi="Times New Roman" w:cs="Times New Roman"/>
        </w:rPr>
        <w:t>motor neurons</w:t>
      </w:r>
      <w:r w:rsidR="007D0B57" w:rsidRPr="0058702D">
        <w:rPr>
          <w:rFonts w:ascii="Times New Roman" w:hAnsi="Times New Roman" w:cs="Times New Roman"/>
        </w:rPr>
        <w:t xml:space="preserve"> in </w:t>
      </w:r>
      <w:r w:rsidR="00233796">
        <w:rPr>
          <w:rFonts w:ascii="Times New Roman" w:hAnsi="Times New Roman" w:cs="Times New Roman"/>
        </w:rPr>
        <w:t xml:space="preserve">these mice </w:t>
      </w:r>
      <w:r w:rsidR="00ED1A87" w:rsidRPr="0058702D">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"10.1016/j.jns.2005.04.011", "ISSN" : "0022-510X", "PMID" : "15990113", "abstract" : "Insulin-like growth factor (IGF)-1 has been shown to have a protective effect on motor neurons both in vitro and in vivo, but has limited efficacy in patients with amyotrophic lateral sclerosis (ALS) when given subcutaneously. To examine the possible effectiveness of IGF-1 in a mouse model of familial ALS, transgenic mice expressing human Cu/Zn superoxide dismutase (SOD1) with a G93A mutation were treated by continuous IGF-1 delivery into the intrathecal space of the lumbar spinal cord. We found that the intrathecal administration of IGF-1 improved motor performance, delayed the onset of clinical disease, and extended survival in the G93A transgenic mice. Furthermore, it increased the expression of phosphorylated Akt and ERK in spinal motor neurons, and partially prevented motor neuron loss in these mice. Taken together, the results suggest that direct administration of IGF-1 into the intrathecal space may have a therapeutic benefit for ALS.", "author" : [ { "dropping-particle" : "", "family" : "Nagano", "given" : "Isao", "non-dropping-particle" : "", "parse-names" : false, "suffix" : "" }, { "dropping-particle" : "", "family" : "Ilieva", "given" : "Hristelina", "non-dropping-particle" : "", "parse-names" : false, "suffix" : "" }, { "dropping-particle" : "", "family" : "Shiote", "given" : "Mito", "non-dropping-particle" : "", "parse-names" : false, "suffix" : "" }, { "dropping-particle" : "", "family" : "Murakami", "given" : "Tetsuro", "non-dropping-particle" : "", "parse-names" : false, "suffix" : "" }, { "dropping-particle" : "", "family" : "Yokoyama", "given" : "Masataka", "non-dropping-particle" : "", "parse-names" : false, "suffix" : "" }, { "dropping-particle" : "", "family" : "Shoji", "given" : "Mikio", "non-dropping-particle" : "", "parse-names" : false, "suffix" : "" }, { "dropping-particle" : "", "family" : "Abe", "given" : "Koji", "non-dropping-particle" : "", "parse-names" : false, "suffix" : "" } ], "container-title" : "Journal of the neurological sciences", "id" : "ITEM-1", "issue" : "1-2", "issued" : { "date-parts" : [ [ "2005", "8", "15" ] ] }, "page" : "61-8", "title" : "Therapeutic benefit of intrathecal injection of insulin-like growth factor-1 in a mouse model of Amyotrophic Lateral Sclerosis.", "type" : "article-journal", "volume" : "235" }, "uris" : [ "http://www.mendeley.com/documents/?uuid=1830363d-6487-441f-bbbd-e5f4152e2533" ] } ], "mendeley" : { "formattedCitation" : "(Nagano et al. 2005)", "plainTextFormattedCitation" : "(Nagano et al. 2005)", "previouslyFormattedCitation" : "(Nagano et al. 2005)" }, "properties" : { "noteIndex" : 0 }, "schema" : "https://github.com/citation-style-language/schema/raw/master/csl-citation.json" }</w:instrText>
      </w:r>
      <w:r w:rsidR="00ED1A87" w:rsidRPr="0058702D">
        <w:rPr>
          <w:rFonts w:ascii="Times New Roman" w:hAnsi="Times New Roman" w:cs="Times New Roman"/>
        </w:rPr>
        <w:fldChar w:fldCharType="separate"/>
      </w:r>
      <w:r w:rsidR="00C148FC" w:rsidRPr="00C148FC">
        <w:rPr>
          <w:rFonts w:ascii="Times New Roman" w:hAnsi="Times New Roman" w:cs="Times New Roman"/>
          <w:noProof/>
        </w:rPr>
        <w:t>(Nagano et al. 2005)</w:t>
      </w:r>
      <w:r w:rsidR="00ED1A87" w:rsidRPr="0058702D">
        <w:rPr>
          <w:rFonts w:ascii="Times New Roman" w:hAnsi="Times New Roman" w:cs="Times New Roman"/>
        </w:rPr>
        <w:fldChar w:fldCharType="end"/>
      </w:r>
      <w:r w:rsidR="007D0B57" w:rsidRPr="0058702D">
        <w:rPr>
          <w:rFonts w:ascii="Times New Roman" w:hAnsi="Times New Roman" w:cs="Times New Roman"/>
        </w:rPr>
        <w:t>.</w:t>
      </w:r>
      <w:r w:rsidR="005474EF" w:rsidRPr="0058702D">
        <w:rPr>
          <w:rFonts w:ascii="Times New Roman" w:hAnsi="Times New Roman" w:cs="Times New Roman"/>
        </w:rPr>
        <w:t xml:space="preserve"> This study</w:t>
      </w:r>
      <w:r w:rsidR="00C84C69">
        <w:rPr>
          <w:rFonts w:ascii="Times New Roman" w:hAnsi="Times New Roman" w:cs="Times New Roman"/>
        </w:rPr>
        <w:t xml:space="preserve"> also</w:t>
      </w:r>
      <w:r w:rsidR="005474EF" w:rsidRPr="0058702D">
        <w:rPr>
          <w:rFonts w:ascii="Times New Roman" w:hAnsi="Times New Roman" w:cs="Times New Roman"/>
        </w:rPr>
        <w:t xml:space="preserve"> demonstrated that the key survival pathways Akt</w:t>
      </w:r>
      <w:r w:rsidR="00C84C69">
        <w:rPr>
          <w:rFonts w:ascii="Times New Roman" w:hAnsi="Times New Roman" w:cs="Times New Roman"/>
        </w:rPr>
        <w:t xml:space="preserve"> and Erk were activated in</w:t>
      </w:r>
      <w:r w:rsidR="005474EF" w:rsidRPr="0058702D">
        <w:rPr>
          <w:rFonts w:ascii="Times New Roman" w:hAnsi="Times New Roman" w:cs="Times New Roman"/>
        </w:rPr>
        <w:t xml:space="preserve"> non</w:t>
      </w:r>
      <w:r w:rsidR="00F01A3C" w:rsidRPr="0058702D">
        <w:rPr>
          <w:rFonts w:ascii="Times New Roman" w:hAnsi="Times New Roman" w:cs="Times New Roman"/>
        </w:rPr>
        <w:t xml:space="preserve">-neuronal cells </w:t>
      </w:r>
      <w:r w:rsidR="006E6F37">
        <w:rPr>
          <w:rFonts w:ascii="Times New Roman" w:hAnsi="Times New Roman" w:cs="Times New Roman"/>
        </w:rPr>
        <w:t>such as</w:t>
      </w:r>
      <w:r w:rsidR="00F01A3C" w:rsidRPr="0058702D">
        <w:rPr>
          <w:rFonts w:ascii="Times New Roman" w:hAnsi="Times New Roman" w:cs="Times New Roman"/>
        </w:rPr>
        <w:t xml:space="preserve"> astrocytes followin</w:t>
      </w:r>
      <w:r w:rsidR="00DC25BB" w:rsidRPr="0058702D">
        <w:rPr>
          <w:rFonts w:ascii="Times New Roman" w:hAnsi="Times New Roman" w:cs="Times New Roman"/>
        </w:rPr>
        <w:t xml:space="preserve">g continuous IGF1 </w:t>
      </w:r>
      <w:r w:rsidR="00333077" w:rsidRPr="0058702D">
        <w:rPr>
          <w:rFonts w:ascii="Times New Roman" w:hAnsi="Times New Roman" w:cs="Times New Roman"/>
        </w:rPr>
        <w:t>administration</w:t>
      </w:r>
      <w:r w:rsidR="00DC25BB" w:rsidRPr="0058702D">
        <w:rPr>
          <w:rFonts w:ascii="Times New Roman" w:hAnsi="Times New Roman" w:cs="Times New Roman"/>
        </w:rPr>
        <w:t xml:space="preserve">, </w:t>
      </w:r>
      <w:r w:rsidR="00012DA4">
        <w:rPr>
          <w:rFonts w:ascii="Times New Roman" w:hAnsi="Times New Roman" w:cs="Times New Roman"/>
        </w:rPr>
        <w:t xml:space="preserve">suggesting </w:t>
      </w:r>
      <w:r w:rsidR="00DC25BB" w:rsidRPr="0058702D">
        <w:rPr>
          <w:rFonts w:ascii="Times New Roman" w:hAnsi="Times New Roman" w:cs="Times New Roman"/>
        </w:rPr>
        <w:t>that the pro-survival effects of IGF1 are not confined to neurons.</w:t>
      </w:r>
      <w:r w:rsidR="00EE55FD" w:rsidRPr="0058702D">
        <w:rPr>
          <w:rFonts w:ascii="Times New Roman" w:hAnsi="Times New Roman" w:cs="Times New Roman"/>
        </w:rPr>
        <w:t xml:space="preserve"> In the same way, v</w:t>
      </w:r>
      <w:r w:rsidR="00AA21C8" w:rsidRPr="0058702D">
        <w:rPr>
          <w:rFonts w:ascii="Times New Roman" w:hAnsi="Times New Roman" w:cs="Times New Roman"/>
        </w:rPr>
        <w:t>iral delivery of IGF1 prolong</w:t>
      </w:r>
      <w:r w:rsidR="00EE55FD" w:rsidRPr="0058702D">
        <w:rPr>
          <w:rFonts w:ascii="Times New Roman" w:hAnsi="Times New Roman" w:cs="Times New Roman"/>
        </w:rPr>
        <w:t>ed survival of</w:t>
      </w:r>
      <w:r w:rsidR="00AA21C8" w:rsidRPr="0058702D">
        <w:rPr>
          <w:rFonts w:ascii="Times New Roman" w:hAnsi="Times New Roman" w:cs="Times New Roman"/>
        </w:rPr>
        <w:t xml:space="preserve"> a SOD1 </w:t>
      </w:r>
      <w:r w:rsidR="00EE55FD" w:rsidRPr="0058702D">
        <w:rPr>
          <w:rFonts w:ascii="Times New Roman" w:hAnsi="Times New Roman" w:cs="Times New Roman"/>
        </w:rPr>
        <w:t xml:space="preserve">ALS </w:t>
      </w:r>
      <w:r w:rsidR="002A48CC" w:rsidRPr="0058702D">
        <w:rPr>
          <w:rFonts w:ascii="Times New Roman" w:hAnsi="Times New Roman" w:cs="Times New Roman"/>
        </w:rPr>
        <w:t xml:space="preserve">mouse model, even at late stages in disease progression </w:t>
      </w:r>
      <w:r w:rsidR="00AA21C8" w:rsidRPr="0058702D">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"10.1126/science.1086137", "ISSN" : "1095-9203", "PMID" : "12907804", "abstract" : "Amyotrophic lateral sclerosis (ALS) is a progressive, lethal neuromuscular disease that is associated with the degeneration of spinal and brainstem motor neurons, leading to atrophy of limb, axial, and respiratory muscles. The cause of ALS is unknown, and there is no effective therapy. Neurotrophic factors are candidates for therapeutic evaluation in ALS. Although chronic delivery of molecules to the central nervous system has proven difficult, we recently discovered that adeno-associated virus can be retrogradely transported efficiently from muscle to motor neurons of the spinal cord. We report that insulin-like growth factor 1 prolongs life and delays disease progression, even when delivered at the time of overt disease symptoms.", "author" : [ { "dropping-particle" : "", "family" : "Kaspar", "given" : "Brian K", "non-dropping-particle" : "", "parse-names" : false, "suffix" : "" }, { "dropping-particle" : "", "family" : "Llad\u00f3", "given" : "Jer\u00f2nia", "non-dropping-particle" : "", "parse-names" : false, "suffix" : "" }, { "dropping-particle" : "", "family" : "Sherkat", "given" : "Nushin", "non-dropping-particle" : "", "parse-names" : false, "suffix" : "" }, { "dropping-particle" : "", "family" : "Rothstein", "given" : "Jeffrey D", "non-dropping-particle" : "", "parse-names" : false, "suffix" : "" }, { "dropping-particle" : "", "family" : "Gage", "given" : "Fred H", "non-dropping-particle" : "", "parse-names" : false, "suffix" : "" } ], "container-title" : "Science (New York, N.Y.)", "id" : "ITEM-1", "issue" : "5634", "issued" : { "date-parts" : [ [ "2003", "8", "8" ] ] }, "language" : "en", "page" : "839-42", "publisher" : "American Association for the Advancement of Science", "title" : "Retrograde viral delivery of IGF-1 prolongs survival in a mouse ALS model.", "type" : "article-journal", "volume" : "301" }, "uris" : [ "http://www.mendeley.com/documents/?uuid=ebfcd92e-7f1b-43fa-80d7-c11715aadfbf" ] } ], "mendeley" : { "formattedCitation" : "(Kaspar et al. 2003)", "plainTextFormattedCitation" : "(Kaspar et al. 2003)", "previouslyFormattedCitation" : "(Kaspar et al. 2003)" }, "properties" : { "noteIndex" : 0 }, "schema" : "https://github.com/citation-style-language/schema/raw/master/csl-citation.json" }</w:instrText>
      </w:r>
      <w:r w:rsidR="00AA21C8" w:rsidRPr="0058702D">
        <w:rPr>
          <w:rFonts w:ascii="Times New Roman" w:hAnsi="Times New Roman" w:cs="Times New Roman"/>
        </w:rPr>
        <w:fldChar w:fldCharType="separate"/>
      </w:r>
      <w:r w:rsidR="00C148FC" w:rsidRPr="00C148FC">
        <w:rPr>
          <w:rFonts w:ascii="Times New Roman" w:hAnsi="Times New Roman" w:cs="Times New Roman"/>
          <w:noProof/>
        </w:rPr>
        <w:t>(Kaspar et al. 2003)</w:t>
      </w:r>
      <w:r w:rsidR="00AA21C8" w:rsidRPr="0058702D">
        <w:rPr>
          <w:rFonts w:ascii="Times New Roman" w:hAnsi="Times New Roman" w:cs="Times New Roman"/>
        </w:rPr>
        <w:fldChar w:fldCharType="end"/>
      </w:r>
      <w:r w:rsidR="003770EC">
        <w:rPr>
          <w:rFonts w:ascii="Times New Roman" w:hAnsi="Times New Roman" w:cs="Times New Roman"/>
        </w:rPr>
        <w:t xml:space="preserve"> and attenuated</w:t>
      </w:r>
      <w:r w:rsidR="00DB6869">
        <w:rPr>
          <w:rFonts w:ascii="Times New Roman" w:hAnsi="Times New Roman" w:cs="Times New Roman"/>
        </w:rPr>
        <w:t xml:space="preserve"> microglial activation by reducing </w:t>
      </w:r>
      <w:r w:rsidR="003770EC">
        <w:rPr>
          <w:rFonts w:ascii="Times New Roman" w:hAnsi="Times New Roman" w:cs="Times New Roman"/>
        </w:rPr>
        <w:t>NO</w:t>
      </w:r>
      <w:r w:rsidR="00DB6869">
        <w:rPr>
          <w:rFonts w:ascii="Times New Roman" w:hAnsi="Times New Roman" w:cs="Times New Roman"/>
        </w:rPr>
        <w:t xml:space="preserve"> and </w:t>
      </w:r>
      <w:r w:rsidR="00333077">
        <w:rPr>
          <w:rFonts w:ascii="Times New Roman" w:hAnsi="Times New Roman" w:cs="Times New Roman"/>
        </w:rPr>
        <w:t>tumor</w:t>
      </w:r>
      <w:r w:rsidR="003770EC">
        <w:rPr>
          <w:rFonts w:ascii="Times New Roman" w:hAnsi="Times New Roman" w:cs="Times New Roman"/>
        </w:rPr>
        <w:t xml:space="preserve"> necrosis factor (</w:t>
      </w:r>
      <w:r w:rsidR="00DB6869">
        <w:rPr>
          <w:rFonts w:ascii="Times New Roman" w:hAnsi="Times New Roman" w:cs="Times New Roman"/>
        </w:rPr>
        <w:t>TNF</w:t>
      </w:r>
      <w:r w:rsidR="003770EC">
        <w:rPr>
          <w:rFonts w:ascii="Times New Roman" w:hAnsi="Times New Roman" w:cs="Times New Roman"/>
        </w:rPr>
        <w:t>)-</w:t>
      </w:r>
      <w:r w:rsidR="00DB6869">
        <w:rPr>
          <w:rFonts w:ascii="Times New Roman" w:hAnsi="Times New Roman" w:cs="Times New Roman"/>
        </w:rPr>
        <w:t xml:space="preserve">α levels </w:t>
      </w:r>
      <w:r w:rsidR="00DB686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"10.1038/mt.2008.60", "ISSN" : "1525-0024", "PMID" : "18388910", "abstract" : "Amyotrophic lateral sclerosis (ALS) is a fatal neurodegenerative disease of the motor system. Recent work in rodent models of ALS has shown that insulin-like growth factor-1 (IGF-1) slows disease progression when delivered at disease onset. However, IGF-1's mechanism of action along the neuromuscular axis remains unclear. In this study, symptomatic ALS mice received IGF-1 through stereotaxic injection of an IGF-1-expressing viral vector to the deep cerebellar nuclei (DCN), a region of the cerebellum with extensive brain stem and spinal cord connections. We found that delivery of IGF-1 to the central nervous system (CNS) reduced ALS neuropathology, improved muscle strength, and significantly extended life span in ALS mice. To explore the mechanism of action of IGF-1, we used a newly developed in vitro model of ALS. We demonstrate that IGF-1 is potently neuroprotective and attenuates glial cell-mediated release of tumor necrosis factor-alpha (TNF-alpha) and nitric oxide (NO). Our results show that delivering IGF-1 to the CNS is sufficient to delay disease progression in a mouse model of familial ALS and demonstrate for the first time that IGF-1 attenuates the pathological activity of non-neuronal cells that contribute to disease progression. Our findings highlight an innovative approach for delivering IGF-1 to the CNS.", "author" : [ { "dropping-particle" : "", "family" : "Dodge", "given" : "James C", "non-dropping-particle" : "", "parse-names" : false, "suffix" : "" }, { "dropping-particle" : "", "family" : "Haidet", "given" : "Amanda M", "non-dropping-particle" : "", "parse-names" : false, "suffix" : "" }, { "dropping-particle" : "", "family" : "Yang", "given" : "Wendy", "non-dropping-particle" : "", "parse-names" : false, "suffix" : "" }, { "dropping-particle" : "", "family" : "Passini", "given" : "Marco A", "non-dropping-particle" : "", "parse-names" : false, "suffix" : "" }, { "dropping-particle" : "", "family" : "Hester", "given" : "Mark", "non-dropping-particle" : "", "parse-names" : false, "suffix" : "" }, { "dropping-particle" : "", "family" : "Clarke", "given" : "Jennifer", "non-dropping-particle" : "", "parse-names" : false, "suffix" : "" }, { "dropping-particle" : "", "family" : "Roskelley", "given" : "Eric M", "non-dropping-particle" : "", "parse-names" : false, "suffix" : "" }, { "dropping-particle" : "", "family" : "Treleaven", "given" : "Christopher M", "non-dropping-particle" : "", "parse-names" : false, "suffix" : "" }, { "dropping-particle" : "", "family" : "Rizo", "given" : "Liza", "non-dropping-particle" : "", "parse-names" : false, "suffix" : "" }, { "dropping-particle" : "", "family" : "Martin", "given" : "Heather", "non-dropping-particle" : "", "parse-names" : false, "suffix" : "" }, { "dropping-particle" : "", "family" : "Kim", "given" : "Soo H", "non-dropping-particle" : "", "parse-names" : false, "suffix" : "" }, { "dropping-particle" : "", "family" : "Kaspar", "given" : "Rita", "non-dropping-particle" : "", "parse-names" : false, "suffix" : "" }, { "dropping-particle" : "V", "family" : "Taksir", "given" : "Tatyana", "non-dropping-particle" : "", "parse-names" : false, "suffix" : "" }, { "dropping-particle" : "", "family" : "Griffiths", "given" : "Denise A", "non-dropping-particle" : "", "parse-names" : false, "suffix" : "" }, { "dropping-particle" : "", "family" : "Cheng", "given" : "Seng H", "non-dropping-particle" : "", "parse-names" : false, "suffix" : "" }, { "dropping-particle" : "", "family" : "Shihabuddin", "given" : "Lamya S", "non-dropping-particle" : "", "parse-names" : false, "suffix" : "" }, { "dropping-particle" : "", "family" : "Kaspar", "given" : "Brian K", "non-dropping-particle" : "", "parse-names" : false, "suffix" : "" } ], "container-title" : "Molecular therapy : the journal of the American Society of Gene Therapy", "id" : "ITEM-1", "issue" : "6", "issued" : { "date-parts" : [ [ "2008", "6", "1" ] ] }, "page" : "1056-64", "publisher" : "The American Society of Gene Therapy", "title" : "Delivery of AAV-IGF-1 to the CNS extends survival in ALS mice through modification of aberrant glial cell activity.", "title-short" : "Mol Ther", "type" : "article-journal", "volume" : "16" }, "uris" : [ "http://www.mendeley.com/documents/?uuid=e30c5c6c-f037-4a73-b757-4e27c3bbbfda" ] } ], "mendeley" : { "formattedCitation" : "(Dodge et al. 2008)", "plainTextFormattedCitation" : "(Dodge et al. 2008)", "previouslyFormattedCitation" : "(Dodge et al. 2008)" }, "properties" : { "noteIndex" : 0 }, "schema" : "https://github.com/citation-style-language/schema/raw/master/csl-citation.json" }</w:instrText>
      </w:r>
      <w:r w:rsidR="00DB6869">
        <w:rPr>
          <w:rFonts w:ascii="Times New Roman" w:hAnsi="Times New Roman" w:cs="Times New Roman"/>
        </w:rPr>
        <w:fldChar w:fldCharType="separate"/>
      </w:r>
      <w:r w:rsidR="00C148FC" w:rsidRPr="00C148FC">
        <w:rPr>
          <w:rFonts w:ascii="Times New Roman" w:hAnsi="Times New Roman" w:cs="Times New Roman"/>
          <w:noProof/>
        </w:rPr>
        <w:t>(Dodge et al. 2008)</w:t>
      </w:r>
      <w:r w:rsidR="00DB6869">
        <w:rPr>
          <w:rFonts w:ascii="Times New Roman" w:hAnsi="Times New Roman" w:cs="Times New Roman"/>
        </w:rPr>
        <w:fldChar w:fldCharType="end"/>
      </w:r>
      <w:r w:rsidR="00AA21C8" w:rsidRPr="0058702D">
        <w:rPr>
          <w:rFonts w:ascii="Times New Roman" w:hAnsi="Times New Roman" w:cs="Times New Roman"/>
        </w:rPr>
        <w:t>.</w:t>
      </w:r>
      <w:r w:rsidR="00F01A3C" w:rsidRPr="0058702D">
        <w:rPr>
          <w:rFonts w:ascii="Times New Roman" w:hAnsi="Times New Roman" w:cs="Times New Roman"/>
        </w:rPr>
        <w:t xml:space="preserve"> </w:t>
      </w:r>
      <w:r w:rsidR="006E6F37">
        <w:rPr>
          <w:rFonts w:ascii="Times New Roman" w:hAnsi="Times New Roman" w:cs="Times New Roman"/>
        </w:rPr>
        <w:t>In addition,</w:t>
      </w:r>
      <w:r w:rsidR="00C80184" w:rsidRPr="0058702D">
        <w:rPr>
          <w:rFonts w:ascii="Times New Roman" w:hAnsi="Times New Roman" w:cs="Times New Roman"/>
        </w:rPr>
        <w:t xml:space="preserve"> expression of a m</w:t>
      </w:r>
      <w:r w:rsidR="00641348" w:rsidRPr="0058702D">
        <w:rPr>
          <w:rFonts w:ascii="Times New Roman" w:hAnsi="Times New Roman" w:cs="Times New Roman"/>
        </w:rPr>
        <w:t>uscle restricted IGF1 isoform maintains muscle integrity</w:t>
      </w:r>
      <w:r w:rsidR="00C80184" w:rsidRPr="0058702D">
        <w:rPr>
          <w:rFonts w:ascii="Times New Roman" w:hAnsi="Times New Roman" w:cs="Times New Roman"/>
        </w:rPr>
        <w:t xml:space="preserve"> and prolongs survival of a</w:t>
      </w:r>
      <w:r w:rsidR="00641348" w:rsidRPr="0058702D">
        <w:rPr>
          <w:rFonts w:ascii="Times New Roman" w:hAnsi="Times New Roman" w:cs="Times New Roman"/>
        </w:rPr>
        <w:t xml:space="preserve"> SOD1 G93A</w:t>
      </w:r>
      <w:r w:rsidR="00C80184" w:rsidRPr="0058702D">
        <w:rPr>
          <w:rFonts w:ascii="Times New Roman" w:hAnsi="Times New Roman" w:cs="Times New Roman"/>
        </w:rPr>
        <w:t xml:space="preserve"> ALS mouse model</w:t>
      </w:r>
      <w:r w:rsidR="00641348" w:rsidRPr="0058702D">
        <w:rPr>
          <w:rFonts w:ascii="Times New Roman" w:hAnsi="Times New Roman" w:cs="Times New Roman"/>
        </w:rPr>
        <w:t xml:space="preserve"> </w:t>
      </w:r>
      <w:r w:rsidR="00870811" w:rsidRPr="0058702D">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"10.1083/jcb.200407021", "ISSN" : "0021-9525", "PMID" : "15657392", "abstract" : "Amyotrophic lateral sclerosis (ALS) is a progressive neurodegenerative disease characterized by a selective degeneration of motor neurons, atrophy, and paralysis of skeletal muscle. Although a significant proportion of familial ALS results from a toxic gain of function associated with dominant SOD1 mutations, the etiology of the disease and its specific cellular origins have remained difficult to define. Here, we show that muscle-restricted expression of a localized insulin-like growth factor (Igf) -1 isoform maintained muscle integrity and enhanced satellite cell activity in SOD1(G93A) transgenic mice, inducing calcineurin-mediated regenerative pathways. Muscle-specific expression of local Igf-1 (mIgf-1) isoform also stabilized neuromuscular junctions, reduced inflammation in the spinal cord, and enhanced motor neuronal survival in SOD1(G93A) mice, delaying the onset and progression of the disease. These studies establish skeletal muscle as a primary target for the dominant action of inherited SOD1 mutation and suggest that muscle fibers provide appropriate factors, such as mIgf-1, for neuron survival.", "author" : [ { "dropping-particle" : "", "family" : "Dobrowolny", "given" : "Gabriella", "non-dropping-particle" : "", "parse-names" : false, "suffix" : "" }, { "dropping-particle" : "", "family" : "Giacinti", "given" : "Cristina", "non-dropping-particle" : "", "parse-names" : false, "suffix" : "" }, { "dropping-particle" : "", "family" : "Pelosi", "given" : "Laura", "non-dropping-particle" : "", "parse-names" : false, "suffix" : "" }, { "dropping-particle" : "", "family" : "Nicoletti", "given" : "Carmine", "non-dropping-particle" : "", "parse-names" : false, "suffix" : "" }, { "dropping-particle" : "", "family" : "Winn", "given" : "Nadine", "non-dropping-particle" : "", "parse-names" : false, "suffix" : "" }, { "dropping-particle" : "", "family" : "Barberi", "given" : "Laura", "non-dropping-particle" : "", "parse-names" : false, "suffix" : "" }, { "dropping-particle" : "", "family" : "Molinaro", "given" : "Mario", "non-dropping-particle" : "", "parse-names" : false, "suffix" : "" }, { "dropping-particle" : "", "family" : "Rosenthal", "given" : "Nadia", "non-dropping-particle" : "", "parse-names" : false, "suffix" : "" }, { "dropping-particle" : "", "family" : "Musar\u00f2", "given" : "Antonio", "non-dropping-particle" : "", "parse-names" : false, "suffix" : "" } ], "container-title" : "The Journal of cell biology", "id" : "ITEM-1", "issue" : "2", "issued" : { "date-parts" : [ [ "2005", "1", "17" ] ] }, "page" : "193-9", "title" : "Muscle expression of a local Igf-1 isoform protects motor neurons in an ALS mouse model.", "type" : "article-journal", "volume" : "168" }, "uris" : [ "http://www.mendeley.com/documents/?uuid=89b5473d-d7fe-4ece-9b29-5f38971ff106" ] } ], "mendeley" : { "formattedCitation" : "(Dobrowolny et al. 2005)", "plainTextFormattedCitation" : "(Dobrowolny et al. 2005)", "previouslyFormattedCitation" : "(Dobrowolny et al. 2005)" }, "properties" : { "noteIndex" : 0 }, "schema" : "https://github.com/citation-style-language/schema/raw/master/csl-citation.json" }</w:instrText>
      </w:r>
      <w:r w:rsidR="00870811" w:rsidRPr="0058702D">
        <w:rPr>
          <w:rFonts w:ascii="Times New Roman" w:hAnsi="Times New Roman" w:cs="Times New Roman"/>
        </w:rPr>
        <w:fldChar w:fldCharType="separate"/>
      </w:r>
      <w:r w:rsidR="00C148FC" w:rsidRPr="00C148FC">
        <w:rPr>
          <w:rFonts w:ascii="Times New Roman" w:hAnsi="Times New Roman" w:cs="Times New Roman"/>
          <w:noProof/>
        </w:rPr>
        <w:t>(Dobrowolny et al. 2005)</w:t>
      </w:r>
      <w:r w:rsidR="00870811" w:rsidRPr="0058702D">
        <w:rPr>
          <w:rFonts w:ascii="Times New Roman" w:hAnsi="Times New Roman" w:cs="Times New Roman"/>
        </w:rPr>
        <w:fldChar w:fldCharType="end"/>
      </w:r>
      <w:r w:rsidR="00C80184" w:rsidRPr="0058702D">
        <w:rPr>
          <w:rFonts w:ascii="Times New Roman" w:hAnsi="Times New Roman" w:cs="Times New Roman"/>
        </w:rPr>
        <w:t>.</w:t>
      </w:r>
      <w:r w:rsidR="008C04FE">
        <w:rPr>
          <w:rFonts w:ascii="Times New Roman" w:hAnsi="Times New Roman" w:cs="Times New Roman"/>
        </w:rPr>
        <w:t xml:space="preserve"> </w:t>
      </w:r>
    </w:p>
    <w:p w14:paraId="21DDBE7D" w14:textId="77777777" w:rsidR="003770EC" w:rsidRDefault="003770EC" w:rsidP="007819E5">
      <w:pPr>
        <w:spacing w:line="360" w:lineRule="auto"/>
        <w:rPr>
          <w:rFonts w:ascii="Times New Roman" w:hAnsi="Times New Roman" w:cs="Times New Roman"/>
        </w:rPr>
      </w:pPr>
    </w:p>
    <w:p w14:paraId="5F941430" w14:textId="24CBE0C6" w:rsidR="00B915F4" w:rsidRDefault="00F858AE" w:rsidP="003E7BDB">
      <w:pPr>
        <w:spacing w:line="360" w:lineRule="auto"/>
        <w:jc w:val="both"/>
        <w:rPr>
          <w:rFonts w:ascii="Times New Roman" w:hAnsi="Times New Roman" w:cs="Times New Roman"/>
        </w:rPr>
      </w:pPr>
      <w:r>
        <w:rPr>
          <w:rFonts w:ascii="Times New Roman" w:hAnsi="Times New Roman" w:cs="Times New Roman"/>
        </w:rPr>
        <w:t>Studies suggest that the levels of circulating IGF1 in ALS patients is varied, although one such study demonstrated a 36% increase in IGF1 levels and a 34% decrease in IGFBP1 compared with healthy controls in th</w:t>
      </w:r>
      <w:r w:rsidR="00831119">
        <w:rPr>
          <w:rFonts w:ascii="Times New Roman" w:hAnsi="Times New Roman" w:cs="Times New Roman"/>
        </w:rPr>
        <w:t xml:space="preserve">e longest living ALS patients. </w:t>
      </w:r>
      <w:r>
        <w:rPr>
          <w:rFonts w:ascii="Times New Roman" w:hAnsi="Times New Roman" w:cs="Times New Roman"/>
        </w:rPr>
        <w:t>To assess the therapeutic implications for ALS patients, IGF1 has</w:t>
      </w:r>
      <w:r w:rsidR="008C04FE">
        <w:rPr>
          <w:rFonts w:ascii="Times New Roman" w:hAnsi="Times New Roman" w:cs="Times New Roman"/>
        </w:rPr>
        <w:t xml:space="preserve"> been administered subcutaneously to </w:t>
      </w:r>
      <w:r>
        <w:rPr>
          <w:rFonts w:ascii="Times New Roman" w:hAnsi="Times New Roman" w:cs="Times New Roman"/>
        </w:rPr>
        <w:t xml:space="preserve">affected individuals </w:t>
      </w:r>
      <w:r w:rsidR="008C04FE">
        <w:rPr>
          <w:rFonts w:ascii="Times New Roman" w:hAnsi="Times New Roman" w:cs="Times New Roman"/>
        </w:rPr>
        <w:t xml:space="preserve">in two randomized double blind placebo controlled phase III trials. The results of these trials conflicted with one another showing both no difference and </w:t>
      </w:r>
      <w:r w:rsidR="00620C9D">
        <w:rPr>
          <w:rFonts w:ascii="Times New Roman" w:hAnsi="Times New Roman" w:cs="Times New Roman"/>
        </w:rPr>
        <w:t xml:space="preserve">a </w:t>
      </w:r>
      <w:r w:rsidR="008C04FE">
        <w:rPr>
          <w:rFonts w:ascii="Times New Roman" w:hAnsi="Times New Roman" w:cs="Times New Roman"/>
        </w:rPr>
        <w:t xml:space="preserve">delay </w:t>
      </w:r>
      <w:r w:rsidR="00620C9D">
        <w:rPr>
          <w:rFonts w:ascii="Times New Roman" w:hAnsi="Times New Roman" w:cs="Times New Roman"/>
        </w:rPr>
        <w:t>in motor neuron dysfunction following IGF1 treatment</w:t>
      </w:r>
      <w:r w:rsidR="009E5B8E">
        <w:rPr>
          <w:rFonts w:ascii="Times New Roman" w:hAnsi="Times New Roman" w:cs="Times New Roman"/>
        </w:rPr>
        <w:t xml:space="preserve"> </w:t>
      </w:r>
      <w:r w:rsidR="009E5B8E">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"0028-3878", "PMID" : "9409357", "abstract" : "The objective of this study was to investigate the safety and efficacy of recombinant human insulinlike growth factor-I (rhIGF-I) in the treatment of sporadic ALS. A double-blind, placebo-controlled, randomized study of 266 patients was conducted at eight centers in North America. Placebo or rhIGF-I (0.05 mg/kg/day or 0.10 mg/kg/day) was administered for 9 months. The primary outcome measure was disease symptom progression, assessed by the rate of change (per patient slope) in the Appel ALS rating scale total score. The Sickness Impact Profile (SIP), a patient-perceived, health-related quality of life assessment, was a secondary outcome variable. Progression of functional impairment in patients receiving high-dose (0.10 mg/kg/day) rhIGF-I was 26% slower than in patients receiving placebo (p = 0.01). The high-dose treatment group was less likely to terminate the study due to protocol-defined markers of disease symptom progression, and members in this group exhibited a slower decline in quality of life, as assessed by the SIP. Patients receiving 0.05 mg/kg/day of rhIGF-I exhibited trends similar to those associated with high-dose treatment, suggesting a dose-dependent response. The incidence of clinically significant adverse experiences was comparable among the three treatment groups. Recombinant human insulin-like growth factor-I slowed the progression of functional impairment and the decline in health-related quality of life in patients with ALS with no medically important adverse effects.", "author" : [ { "dropping-particle" : "", "family" : "Lai", "given" : "E C", "non-dropping-particle" : "", "parse-names" : false, "suffix" : "" }, { "dropping-particle" : "", "family" : "Felice", "given" : "K J", "non-dropping-particle" : "", "parse-names" : false, "suffix" : "" }, { "dropping-particle" : "", "family" : "Festoff", "given" : "B W", "non-dropping-particle" : "", "parse-names" : false, "suffix" : "" }, { "dropping-particle" : "", "family" : "Gawel", "given" : "M J", "non-dropping-particle" : "", "parse-names" : false, "suffix" : "" }, { "dropping-particle" : "", "family" : "Gelinas", "given" : "D F", "non-dropping-particle" : "", "parse-names" : false, "suffix" : "" }, { "dropping-particle" : "", "family" : "Kratz", "given" : "R", "non-dropping-particle" : "", "parse-names" : false, "suffix" : "" }, { "dropping-particle" : "", "family" : "Murphy", "given" : "M F", "non-dropping-particle" : "", "parse-names" : false, "suffix" : "" }, { "dropping-particle" : "", "family" : "Natter", "given" : "H M", "non-dropping-particle" : "", "parse-names" : false, "suffix" : "" }, { "dropping-particle" : "", "family" : "Norris", "given" : "F H", "non-dropping-particle" : "", "parse-names" : false, "suffix" : "" }, { "dropping-particle" : "", "family" : "Rudnicki", "given" : "S A", "non-dropping-particle" : "", "parse-names" : false, "suffix" : "" } ], "container-title" : "Neurology", "id" : "ITEM-1", "issue" : "6", "issued" : { "date-parts" : [ [ "1997", "12" ] ] }, "page" : "1621-30", "title" : "Effect of recombinant human insulin-like growth factor-I on progression of ALS. A placebo-controlled study. The North America ALS/IGF-I Study Group.", "type" : "article-journal", "volume" : "49" }, "uris" : [ "http://www.mendeley.com/documents/?uuid=0b8f0370-40d7-4774-b53e-a7503468d5dc" ] }, { "id" : "ITEM-2", "itemData" : { "ISSN" : "0028-3878", "PMID" : "9710040", "abstract" : "To test the safety and efficacy of recombinant human insulin-like growth factor-I (rhIGF-I) in ALS, 183 patients from eight European centers were randomized to receive double-blind placebo (n = 59) or rhIGF-I 0.1 mg/kg/day (n = 124) subcutaneously for 9 months. At study completion, the primary efficacy outcome measure (change in disease progression as assessed by the Appel ALS rating scale) showed no significant difference between treatment groups. RhIGF-I appeared to be safe and well-tolerated.", "author" : [ { "dropping-particle" : "", "family" : "Borasio", "given" : "G D", "non-dropping-particle" : "", "parse-names" : false, "suffix" : "" }, { "dropping-particle" : "", "family" : "Robberecht", "given" : "W", "non-dropping-particle" : "", "parse-names" : false, "suffix" : "" }, { "dropping-particle" : "", "family" : "Leigh", "given" : "P N", "non-dropping-particle" : "", "parse-names" : false, "suffix" : "" }, { "dropping-particle" : "", "family" : "Emile", "given" : "J", "non-dropping-particle" : "", "parse-names" : false, "suffix" : "" }, { "dropping-particle" : "", "family" : "Guiloff", "given" : "R J", "non-dropping-particle" : "", "parse-names" : false, "suffix" : "" }, { "dropping-particle" : "", "family" : "Jerusalem", "given" : "F", "non-dropping-particle" : "", "parse-names" : false, "suffix" : "" }, { "dropping-particle" : "", "family" : "Silani", "given" : "V", "non-dropping-particle" : "", "parse-names" : false, "suffix" : "" }, { "dropping-particle" : "", "family" : "Vos", "given" : "P E", "non-dropping-particle" : "", "parse-names" : false, "suffix" : "" }, { "dropping-particle" : "", "family" : "Wokke", "given" : "J H", "non-dropping-particle" : "", "parse-names" : false, "suffix" : "" }, { "dropping-particle" : "", "family" : "Dobbins", "given" : "T", "non-dropping-particle" : "", "parse-names" : false, "suffix" : "" } ], "container-title" : "Neurology", "id" : "ITEM-2", "issue" : "2", "issued" : { "date-parts" : [ [ "1998", "8" ] ] }, "page" : "583-6", "title" : "A placebo-controlled trial of insulin-like growth factor-I in amyotrophic lateral sclerosis. European ALS/IGF-I Study Group.", "type" : "article-journal", "volume" : "51" }, "uris" : [ "http://www.mendeley.com/documents/?uuid=e142900f-a4ff-4b73-ac81-9c39c6fbbd2e" ] } ], "mendeley" : { "formattedCitation" : "(Lai et al. 1997; Borasio et al. 1998)", "plainTextFormattedCitation" : "(Lai et al. 1997; Borasio et al. 1998)", "previouslyFormattedCitation" : "(Lai et al. 1997; Borasio et al. 1998)" }, "properties" : { "noteIndex" : 0 }, "schema" : "https://github.com/citation-style-language/schema/raw/master/csl-citation.json" }</w:instrText>
      </w:r>
      <w:r w:rsidR="009E5B8E">
        <w:rPr>
          <w:rFonts w:ascii="Times New Roman" w:hAnsi="Times New Roman" w:cs="Times New Roman"/>
        </w:rPr>
        <w:fldChar w:fldCharType="separate"/>
      </w:r>
      <w:r w:rsidR="00C148FC" w:rsidRPr="00C148FC">
        <w:rPr>
          <w:rFonts w:ascii="Times New Roman" w:hAnsi="Times New Roman" w:cs="Times New Roman"/>
          <w:noProof/>
        </w:rPr>
        <w:t>(Lai et al. 1997; Borasio et al. 1998)</w:t>
      </w:r>
      <w:r w:rsidR="009E5B8E">
        <w:rPr>
          <w:rFonts w:ascii="Times New Roman" w:hAnsi="Times New Roman" w:cs="Times New Roman"/>
        </w:rPr>
        <w:fldChar w:fldCharType="end"/>
      </w:r>
      <w:r w:rsidR="00620C9D">
        <w:rPr>
          <w:rFonts w:ascii="Times New Roman" w:hAnsi="Times New Roman" w:cs="Times New Roman"/>
        </w:rPr>
        <w:t>. A study has also been conducted in a small ALS patient subset in Japan, where patients with intrathecal IGF1 injection showe</w:t>
      </w:r>
      <w:r w:rsidR="002A5C9D">
        <w:rPr>
          <w:rFonts w:ascii="Times New Roman" w:hAnsi="Times New Roman" w:cs="Times New Roman"/>
        </w:rPr>
        <w:t xml:space="preserve">d delayed muscle deterioration </w:t>
      </w:r>
      <w:r w:rsidR="002A5C9D">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"10.1016/j.jns.2005.04.011", "ISSN" : "0022-510X", "PMID" : "15990113", "abstract" : "Insulin-like growth factor (IGF)-1 has been shown to have a protective effect on motor neurons both in vitro and in vivo, but has limited efficacy in patients with amyotrophic lateral sclerosis (ALS) when given subcutaneously. To examine the possible effectiveness of IGF-1 in a mouse model of familial ALS, transgenic mice expressing human Cu/Zn superoxide dismutase (SOD1) with a G93A mutation were treated by continuous IGF-1 delivery into the intrathecal space of the lumbar spinal cord. We found that the intrathecal administration of IGF-1 improved motor performance, delayed the onset of clinical disease, and extended survival in the G93A transgenic mice. Furthermore, it increased the expression of phosphorylated Akt and ERK in spinal motor neurons, and partially prevented motor neuron loss in these mice. Taken together, the results suggest that direct administration of IGF-1 into the intrathecal space may have a therapeutic benefit for ALS.", "author" : [ { "dropping-particle" : "", "family" : "Nagano", "given" : "Isao", "non-dropping-particle" : "", "parse-names" : false, "suffix" : "" }, { "dropping-particle" : "", "family" : "Ilieva", "given" : "Hristelina", "non-dropping-particle" : "", "parse-names" : false, "suffix" : "" }, { "dropping-particle" : "", "family" : "Shiote", "given" : "Mito", "non-dropping-particle" : "", "parse-names" : false, "suffix" : "" }, { "dropping-particle" : "", "family" : "Murakami", "given" : "Tetsuro", "non-dropping-particle" : "", "parse-names" : false, "suffix" : "" }, { "dropping-particle" : "", "family" : "Yokoyama", "given" : "Masataka", "non-dropping-particle" : "", "parse-names" : false, "suffix" : "" }, { "dropping-particle" : "", "family" : "Shoji", "given" : "Mikio", "non-dropping-particle" : "", "parse-names" : false, "suffix" : "" }, { "dropping-particle" : "", "family" : "Abe", "given" : "Koji", "non-dropping-particle" : "", "parse-names" : false, "suffix" : "" } ], "container-title" : "Journal of the neurological sciences", "id" : "ITEM-1", "issue" : "1-2", "issued" : { "date-parts" : [ [ "2005", "8", "15" ] ] }, "page" : "61-8", "title" : "Therapeutic benefit of intrathecal injection of insulin-like growth factor-1 in a mouse model of Amyotrophic Lateral Sclerosis.", "type" : "article-journal", "volume" : "235" }, "uris" : [ "http://www.mendeley.com/documents/?uuid=1830363d-6487-441f-bbbd-e5f4152e2533" ] } ], "mendeley" : { "formattedCitation" : "(Nagano et al. 2005)", "plainTextFormattedCitation" : "(Nagano et al. 2005)", "previouslyFormattedCitation" : "(Nagano et al. 2005)" }, "properties" : { "noteIndex" : 0 }, "schema" : "https://github.com/citation-style-language/schema/raw/master/csl-citation.json" }</w:instrText>
      </w:r>
      <w:r w:rsidR="002A5C9D">
        <w:rPr>
          <w:rFonts w:ascii="Times New Roman" w:hAnsi="Times New Roman" w:cs="Times New Roman"/>
        </w:rPr>
        <w:fldChar w:fldCharType="separate"/>
      </w:r>
      <w:r w:rsidR="00C148FC" w:rsidRPr="00C148FC">
        <w:rPr>
          <w:rFonts w:ascii="Times New Roman" w:hAnsi="Times New Roman" w:cs="Times New Roman"/>
          <w:noProof/>
        </w:rPr>
        <w:t>(Nagano et al. 2005)</w:t>
      </w:r>
      <w:r w:rsidR="002A5C9D">
        <w:rPr>
          <w:rFonts w:ascii="Times New Roman" w:hAnsi="Times New Roman" w:cs="Times New Roman"/>
        </w:rPr>
        <w:fldChar w:fldCharType="end"/>
      </w:r>
      <w:r w:rsidR="009E5B8E">
        <w:rPr>
          <w:rFonts w:ascii="Times New Roman" w:hAnsi="Times New Roman" w:cs="Times New Roman"/>
        </w:rPr>
        <w:t>.</w:t>
      </w:r>
      <w:r w:rsidR="00B915F4">
        <w:rPr>
          <w:rFonts w:ascii="Times New Roman" w:hAnsi="Times New Roman" w:cs="Times New Roman"/>
        </w:rPr>
        <w:t xml:space="preserve"> IGF1 therapy in ALS patients may offer a promising strategy to d</w:t>
      </w:r>
      <w:r w:rsidR="00C2764D">
        <w:rPr>
          <w:rFonts w:ascii="Times New Roman" w:hAnsi="Times New Roman" w:cs="Times New Roman"/>
        </w:rPr>
        <w:t xml:space="preserve">elay motor neuron degeneration, however it is still not clear whether there is any therapeutic benefit. </w:t>
      </w:r>
    </w:p>
    <w:p w14:paraId="4A60BC0D" w14:textId="77777777" w:rsidR="00567751" w:rsidRDefault="00567751" w:rsidP="007819E5">
      <w:pPr>
        <w:spacing w:line="360" w:lineRule="auto"/>
        <w:rPr>
          <w:rFonts w:ascii="Times New Roman" w:hAnsi="Times New Roman" w:cs="Times New Roman"/>
        </w:rPr>
      </w:pPr>
    </w:p>
    <w:p w14:paraId="72A50503" w14:textId="75D8F01E" w:rsidR="00C2764D" w:rsidRDefault="00730575" w:rsidP="003E7BDB">
      <w:pPr>
        <w:spacing w:line="360" w:lineRule="auto"/>
        <w:jc w:val="both"/>
        <w:rPr>
          <w:rFonts w:ascii="Times New Roman" w:hAnsi="Times New Roman" w:cs="Times New Roman"/>
        </w:rPr>
      </w:pPr>
      <w:r>
        <w:rPr>
          <w:rFonts w:ascii="Times New Roman" w:hAnsi="Times New Roman" w:cs="Times New Roman"/>
        </w:rPr>
        <w:t xml:space="preserve">A study has shown that as rats age there is decreased IGF1 present in the serum, which correlated with an increase in cholesterol, reduced antioxidant capacity and impairments in mitochondrial function, however each of these was restored following IGF1 treatment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"10.1210/en.2007-1190", "ISSN" : "0013-7227", "PMID" : "18187555", "abstract" : "GH and IGF-I concentrations decline with age. Age-related changes appear to be linked to decreases in the anabolic hormones, GH and IGF-I. The aim of this study was to investigate the antioxidant, anabolic, and metabolic effects of the IGF-I replacement therapy, at low doses, in aging rats. Three experimental groups were included in this protocol: young healthy controls (17 wk old); untreated old (O) rats (103 wk old); and aging rats (103 wk old) treated with IGF-I during 1 month (2.25 microg IGF-I/100 g body weight(-1).d(-1)). Compared with young controls, untreated aging rats showed a reduction of IGF-I and testosterone levels, and a decrease of serum total antioxidant status, which were corrected by IGF-I therapy. In addition, untreated O presented increased levels of serum glucose with hyperinsulinemia, cholesterol, and triglycerides, and a reduction of free fatty acid concentrations. IGF-I therapy was able to revert insulin resistance, and to reduce cholesterol and triglycerides levels increasing significantly free fatty acid concentrations. The O group showed higher oxidative damage in brain and liver tissues associated with alterations in antioxidant enzyme activities. IGF-I therapy reduced oxidative damage in brain and liver, normalizing antioxidant enzyme activities and mitochondrial dysfunction. In conclusion, low doses of IGF-I restore circulating IGF-I, improve glucose and lipid metabolism, increase testosterone levels and serum total antioxidant capability, and reduce oxidative damage in brain and liver associated with a normalization of antioxidant enzyme activities and mitochondrial function.", "author" : [ { "dropping-particle" : "", "family" : "Garc\u00eda-Fern\u00e1ndez", "given" : "Mar\u00eda", "non-dropping-particle" : "", "parse-names" : false, "suffix" : "" }, { "dropping-particle" : "", "family" : "Delgado", "given" : "Gloria", "non-dropping-particle" : "", "parse-names" : false, "suffix" : "" }, { "dropping-particle" : "", "family" : "Puche", "given" : "Juan Enrique", "non-dropping-particle" : "", "parse-names" : false, "suffix" : "" }, { "dropping-particle" : "", "family" : "Gonz\u00e1lez-Bar\u00f3n", "given" : "Salvador", "non-dropping-particle" : "", "parse-names" : false, "suffix" : "" }, { "dropping-particle" : "", "family" : "Castilla Cort\u00e1zar", "given" : "Inma", "non-dropping-particle" : "", "parse-names" : false, "suffix" : "" } ], "container-title" : "Endocrinology", "id" : "ITEM-1", "issue" : "5", "issued" : { "date-parts" : [ [ "2008", "5" ] ] }, "page" : "2433-42", "title" : "Low doses of insulin-like growth factor I improve insulin resistance, lipid metabolism, and oxidative damage in aging rats.", "type" : "article-journal", "volume" : "149" }, "uris" : [ "http://www.mendeley.com/documents/?uuid=a1cc04cd-8bf0-3048-8390-2bf8848c88f0" ] } ], "mendeley" : { "formattedCitation" : "(Garc\u00eda-Fern\u00e1ndez et al. 2008)", "plainTextFormattedCitation" : "(Garc\u00eda-Fern\u00e1ndez et al. 2008)", "previouslyFormattedCitation" : "(Garc\u00eda-Fern\u00e1ndez et al. 2008)"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(García-Fernández et al. 2008)</w:t>
      </w:r>
      <w:r>
        <w:rPr>
          <w:rFonts w:ascii="Times New Roman" w:hAnsi="Times New Roman" w:cs="Times New Roman"/>
        </w:rPr>
        <w:fldChar w:fldCharType="end"/>
      </w:r>
      <w:r>
        <w:rPr>
          <w:rFonts w:ascii="Times New Roman" w:hAnsi="Times New Roman" w:cs="Times New Roman"/>
        </w:rPr>
        <w:t>. Each of t</w:t>
      </w:r>
      <w:r w:rsidR="00A05A7D">
        <w:rPr>
          <w:rFonts w:ascii="Times New Roman" w:hAnsi="Times New Roman" w:cs="Times New Roman"/>
        </w:rPr>
        <w:t xml:space="preserve">hese studies formed a basis to test the therapeutic potential of IGF1 in </w:t>
      </w:r>
      <w:r w:rsidR="00954779">
        <w:rPr>
          <w:rFonts w:ascii="Times New Roman" w:hAnsi="Times New Roman" w:cs="Times New Roman"/>
        </w:rPr>
        <w:t>the context of</w:t>
      </w:r>
      <w:r w:rsidR="00A05A7D">
        <w:rPr>
          <w:rFonts w:ascii="Times New Roman" w:hAnsi="Times New Roman" w:cs="Times New Roman"/>
        </w:rPr>
        <w:t xml:space="preserve"> </w:t>
      </w:r>
      <w:r w:rsidR="00105F23">
        <w:rPr>
          <w:rFonts w:ascii="Times New Roman" w:hAnsi="Times New Roman" w:cs="Times New Roman"/>
        </w:rPr>
        <w:t>AD.</w:t>
      </w:r>
      <w:r w:rsidR="00A05A7D">
        <w:rPr>
          <w:rFonts w:ascii="Times New Roman" w:hAnsi="Times New Roman" w:cs="Times New Roman"/>
        </w:rPr>
        <w:t xml:space="preserve"> </w:t>
      </w:r>
      <w:r w:rsidR="00954779">
        <w:rPr>
          <w:rFonts w:ascii="Times New Roman" w:hAnsi="Times New Roman" w:cs="Times New Roman"/>
        </w:rPr>
        <w:t xml:space="preserve">Pfizer conducted a trial in several AD </w:t>
      </w:r>
      <w:r w:rsidR="0016200A">
        <w:rPr>
          <w:rFonts w:ascii="Times New Roman" w:hAnsi="Times New Roman" w:cs="Times New Roman"/>
        </w:rPr>
        <w:t>mouse models to assess whether</w:t>
      </w:r>
      <w:r w:rsidR="00954779">
        <w:rPr>
          <w:rFonts w:ascii="Times New Roman" w:hAnsi="Times New Roman" w:cs="Times New Roman"/>
        </w:rPr>
        <w:t xml:space="preserve"> IGF1</w:t>
      </w:r>
      <w:r w:rsidR="0016200A">
        <w:rPr>
          <w:rFonts w:ascii="Times New Roman" w:hAnsi="Times New Roman" w:cs="Times New Roman"/>
        </w:rPr>
        <w:t xml:space="preserve"> administration</w:t>
      </w:r>
      <w:r w:rsidR="00954779">
        <w:rPr>
          <w:rFonts w:ascii="Times New Roman" w:hAnsi="Times New Roman" w:cs="Times New Roman"/>
        </w:rPr>
        <w:t xml:space="preserve"> could delay disease progression since </w:t>
      </w:r>
      <w:r w:rsidR="00A05A7D">
        <w:rPr>
          <w:rFonts w:ascii="Times New Roman" w:hAnsi="Times New Roman" w:cs="Times New Roman"/>
        </w:rPr>
        <w:t xml:space="preserve">IGF1 </w:t>
      </w:r>
      <w:r w:rsidR="00954779">
        <w:rPr>
          <w:rFonts w:ascii="Times New Roman" w:hAnsi="Times New Roman" w:cs="Times New Roman"/>
        </w:rPr>
        <w:t>has been shown to be involved in Aβ clearance</w:t>
      </w:r>
      <w:r w:rsidR="00D81390">
        <w:rPr>
          <w:rFonts w:ascii="Times New Roman" w:hAnsi="Times New Roman" w:cs="Times New Roman"/>
        </w:rPr>
        <w:t xml:space="preserve"> </w:t>
      </w:r>
      <w:r w:rsidR="00D8139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"10.1038/nm793", "ISSN" : "1078-8956", "PMID" : "12415260", "abstract" : "Levels of insulin-like growth factor I (IGF-I), a neuroprotective hormone, decrease in serum during aging, whereas amyloid-beta (Abeta), which is involved in the pathogenesis of Alzheimer disease, accumulates in the brain. High brain Abeta levels are found at an early age in mutant mice with low circulating IGF-I, and Abeta burden can be reduced in aging rats by increasing serum IGF-I. This opposing relationship between serum IGF-I and brain Abeta levels reflects the ability of IGF-I to induce clearance of brain Abeta, probably by enhancing transport of Abeta carrier proteins such as albumin and transthyretin into the brain. This effect is antagonized by tumor necrosis factor-alpha, a pro-inflammatory cytokine putatively involved in dementia and aging. Because IGF-I treatment of mice overexpressing mutant amyloid markedly reduces their brain Abeta burden, we consider that circulating IGF-I is a physiological regulator of brain amyloid levels with therapeutic potential.", "author" : [ { "dropping-particle" : "", "family" : "Carro", "given" : "E", "non-dropping-particle" : "", "parse-names" : false, "suffix" : "" }, { "dropping-particle" : "", "family" : "Trejo", "given" : "J L", "non-dropping-particle" : "", "parse-names" : false, "suffix" : "" }, { "dropping-particle" : "", "family" : "Gomez-Isla", "given" : "T", "non-dropping-particle" : "", "parse-names" : false, "suffix" : "" }, { "dropping-particle" : "", "family" : "LeRoith", "given" : "D", "non-dropping-particle" : "", "parse-names" : false, "suffix" : "" }, { "dropping-particle" : "", "family" : "Torres-Aleman", "given" : "I", "non-dropping-particle" : "", "parse-names" : false, "suffix" : "" } ], "container-title" : "Nature medicine", "id" : "ITEM-1", "issue" : "12", "issued" : { "date-parts" : [ [ "2002", "12" ] ] }, "page" : "1390-7", "title" : "Serum insulin-like growth factor I regulates brain amyloid-beta levels.", "type" : "article-journal", "volume" : "8" }, "uris" : [ "http://www.mendeley.com/documents/?uuid=69646b7e-5fbb-4ce0-82a1-c5dd3d5b21a0" ] } ], "mendeley" : { "formattedCitation" : "(Carro et al. 2002)", "plainTextFormattedCitation" : "(Carro et al. 2002)", "previouslyFormattedCitation" : "(Carro et al. 2002)" }, "properties" : { "noteIndex" : 0 }, "schema" : "https://github.com/citation-style-language/schema/raw/master/csl-citation.json" }</w:instrText>
      </w:r>
      <w:r w:rsidR="00D81390">
        <w:rPr>
          <w:rFonts w:ascii="Times New Roman" w:hAnsi="Times New Roman" w:cs="Times New Roman"/>
        </w:rPr>
        <w:fldChar w:fldCharType="separate"/>
      </w:r>
      <w:r w:rsidR="00C148FC" w:rsidRPr="00C148FC">
        <w:rPr>
          <w:rFonts w:ascii="Times New Roman" w:hAnsi="Times New Roman" w:cs="Times New Roman"/>
          <w:noProof/>
        </w:rPr>
        <w:t>(Carro et al. 2002)</w:t>
      </w:r>
      <w:r w:rsidR="00D81390">
        <w:rPr>
          <w:rFonts w:ascii="Times New Roman" w:hAnsi="Times New Roman" w:cs="Times New Roman"/>
        </w:rPr>
        <w:fldChar w:fldCharType="end"/>
      </w:r>
      <w:r w:rsidR="00D81390">
        <w:rPr>
          <w:rFonts w:ascii="Times New Roman" w:hAnsi="Times New Roman" w:cs="Times New Roman"/>
        </w:rPr>
        <w:t>.</w:t>
      </w:r>
      <w:r w:rsidR="00530CE5">
        <w:rPr>
          <w:rFonts w:ascii="Times New Roman" w:hAnsi="Times New Roman" w:cs="Times New Roman"/>
        </w:rPr>
        <w:t xml:space="preserve"> </w:t>
      </w:r>
      <w:r w:rsidR="00210D11">
        <w:rPr>
          <w:rFonts w:ascii="Times New Roman" w:hAnsi="Times New Roman" w:cs="Times New Roman"/>
        </w:rPr>
        <w:t xml:space="preserve">Acute and prolonged IGF1 delivery in plasma was unable to lower levels of Aβ in </w:t>
      </w:r>
      <w:r w:rsidR="00E42993">
        <w:rPr>
          <w:rFonts w:ascii="Times New Roman" w:hAnsi="Times New Roman" w:cs="Times New Roman"/>
        </w:rPr>
        <w:t xml:space="preserve">the brain or CSF </w:t>
      </w:r>
      <w:r w:rsidR="00730624">
        <w:rPr>
          <w:rFonts w:ascii="Times New Roman" w:hAnsi="Times New Roman" w:cs="Times New Roman"/>
        </w:rPr>
        <w:t xml:space="preserve">in </w:t>
      </w:r>
      <w:r w:rsidR="00730624">
        <w:rPr>
          <w:rFonts w:ascii="Times New Roman" w:hAnsi="Times New Roman" w:cs="Times New Roman"/>
          <w:i/>
        </w:rPr>
        <w:t xml:space="preserve">in vivo </w:t>
      </w:r>
      <w:r w:rsidR="00730624">
        <w:rPr>
          <w:rFonts w:ascii="Times New Roman" w:hAnsi="Times New Roman" w:cs="Times New Roman"/>
        </w:rPr>
        <w:t xml:space="preserve">mouse models </w:t>
      </w:r>
      <w:r w:rsidR="00730624" w:rsidRPr="00730624">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"10.1016/j.bcp.2007.11.001", "ISSN" : "1873-2968", "PMID" : "18076866", "abstract" : "Increasing beta-amyloid (Abeta) clearance may alter the course of Alzheimer's disease progression and attenuate amyloid plaque pathology. Insulin-like growth factor I (IGF-1) augmentation has been suggested to increase Abeta clearance by facilitating transport of Abeta out of the brain. The availability of safe agents that increase IGF-1 levels therefore makes IGF-1 elevation an attractive target for disease modifying therapy in AD. The present series of studies sought to replicate published paradigms in which peripheral IGF-1 administration lowered brain Abeta acutely, with reduction in plaque pathology after chronic treatment. Thus Abeta levels were measured in several animal models following treatments that elevated IGF-1. Administration of IGF-1 to young or old rats for up to 3 days had no effect on Abeta levels in brain, CSF, or plasma. In adult beagles, 4 days of dosing with the growth hormone secretagogue, CP-424391, doubled baseline plasma IGF-1 levels, yet failed to alter CSF or plasma Abeta. 5-day treatment of young Tg2576 mice with IGF-1 produced robust elevations of IGF-1 levels in plasma, but no effects on Abeta were detected in brain, CSF, or plasma. Finally, 11-month-old Tg2576 mice were implanted with subcutaneous minipumps delivering IGF-1 for 1 month. No significant changes in Abeta (by ELISA or Western blot), plaque pathology, or phospho-tau epitopes were detected. These results do not demonstrate acute or chronic actions of peripherally administered IGF-1 on Abeta levels or the phosphorylation state of tau and therefore do not suggest any disease-modifying benefits of IGF-1 restorative therapy for AD through these mechanisms.", "author" : [ { "dropping-particle" : "", "family" : "Lanz", "given" : "Thomas A", "non-dropping-particle" : "", "parse-names" : false, "suffix" : "" }, { "dropping-particle" : "", "family" : "Salatto", "given" : "Christopher T", "non-dropping-particle" : "", "parse-names" : false, "suffix" : "" }, { "dropping-particle" : "", "family" : "Semproni", "given" : "Anthony R", "non-dropping-particle" : "", "parse-names" : false, "suffix" : "" }, { "dropping-particle" : "", "family" : "Marconi", "given" : "Michael", "non-dropping-particle" : "", "parse-names" : false, "suffix" : "" }, { "dropping-particle" : "", "family" : "Brown", "given" : "Tracy M", "non-dropping-particle" : "", "parse-names" : false, "suffix" : "" }, { "dropping-particle" : "", "family" : "Richter", "given" : "Karl E G", "non-dropping-particle" : "", "parse-names" : false, "suffix" : "" }, { "dropping-particle" : "", "family" : "Schmidt", "given" : "Kari", "non-dropping-particle" : "", "parse-names" : false, "suffix" : "" }, { "dropping-particle" : "", "family" : "Nelson", "given" : "Frederick R", "non-dropping-particle" : "", "parse-names" : false, "suffix" : "" }, { "dropping-particle" : "", "family" : "Schachter", "given" : "Joel B", "non-dropping-particle" : "", "parse-names" : false, "suffix" : "" } ], "container-title" : "Biochemical pharmacology", "id" : "ITEM-1", "issue" : "5", "issued" : { "date-parts" : [ [ "2008", "3", "1" ] ] }, "page" : "1093-103", "title" : "Peripheral elevation of IGF-1 fails to alter Abeta clearance in multiple in vivo models.", "type" : "article-journal", "volume" : "75" }, "uris" : [ "http://www.mendeley.com/documents/?uuid=79493827-1c55-4a3e-854c-c8ae928cc8d5" ] } ], "mendeley" : { "formattedCitation" : "(Lanz et al. 2008)", "plainTextFormattedCitation" : "(Lanz et al. 2008)", "previouslyFormattedCitation" : "(Lanz et al. 2008)" }, "properties" : { "noteIndex" : 0 }, "schema" : "https://github.com/citation-style-language/schema/raw/master/csl-citation.json" }</w:instrText>
      </w:r>
      <w:r w:rsidR="00730624" w:rsidRPr="00730624">
        <w:rPr>
          <w:rFonts w:ascii="Times New Roman" w:hAnsi="Times New Roman" w:cs="Times New Roman"/>
        </w:rPr>
        <w:fldChar w:fldCharType="separate"/>
      </w:r>
      <w:r w:rsidR="00C148FC" w:rsidRPr="00C148FC">
        <w:rPr>
          <w:rFonts w:ascii="Times New Roman" w:hAnsi="Times New Roman" w:cs="Times New Roman"/>
          <w:noProof/>
        </w:rPr>
        <w:t>(Lanz et al. 2008)</w:t>
      </w:r>
      <w:r w:rsidR="00730624" w:rsidRPr="00730624">
        <w:rPr>
          <w:rFonts w:ascii="Times New Roman" w:hAnsi="Times New Roman" w:cs="Times New Roman"/>
        </w:rPr>
        <w:fldChar w:fldCharType="end"/>
      </w:r>
      <w:r w:rsidR="00236C78">
        <w:rPr>
          <w:rFonts w:ascii="Times New Roman" w:hAnsi="Times New Roman" w:cs="Times New Roman"/>
        </w:rPr>
        <w:t>.</w:t>
      </w:r>
      <w:r w:rsidR="00CC4A47">
        <w:rPr>
          <w:rFonts w:ascii="Times New Roman" w:hAnsi="Times New Roman" w:cs="Times New Roman"/>
        </w:rPr>
        <w:t xml:space="preserve"> However additional complexities arise from treating with IGF1, as this neurotrophic factor drives cell growth and metabolism and at high enough concentrations could be pro-oncogenic. </w:t>
      </w:r>
      <w:r w:rsidR="00364868">
        <w:rPr>
          <w:rFonts w:ascii="Times New Roman" w:hAnsi="Times New Roman" w:cs="Times New Roman"/>
        </w:rPr>
        <w:t xml:space="preserve">Also, </w:t>
      </w:r>
      <w:r w:rsidR="003770EC">
        <w:rPr>
          <w:rFonts w:ascii="Times New Roman" w:hAnsi="Times New Roman" w:cs="Times New Roman"/>
        </w:rPr>
        <w:t>since</w:t>
      </w:r>
      <w:r w:rsidR="00364868">
        <w:rPr>
          <w:rFonts w:ascii="Times New Roman" w:hAnsi="Times New Roman" w:cs="Times New Roman"/>
        </w:rPr>
        <w:t xml:space="preserve"> loss of IR/IGF1R</w:t>
      </w:r>
      <w:r w:rsidR="003770EC">
        <w:rPr>
          <w:rFonts w:ascii="Times New Roman" w:hAnsi="Times New Roman" w:cs="Times New Roman"/>
        </w:rPr>
        <w:t xml:space="preserve"> can enhance </w:t>
      </w:r>
      <w:r w:rsidR="00364868">
        <w:rPr>
          <w:rFonts w:ascii="Times New Roman" w:hAnsi="Times New Roman" w:cs="Times New Roman"/>
        </w:rPr>
        <w:t>longevity and</w:t>
      </w:r>
      <w:r w:rsidR="003770EC">
        <w:rPr>
          <w:rFonts w:ascii="Times New Roman" w:hAnsi="Times New Roman" w:cs="Times New Roman"/>
        </w:rPr>
        <w:t xml:space="preserve"> may protect</w:t>
      </w:r>
      <w:r w:rsidR="00364868">
        <w:rPr>
          <w:rFonts w:ascii="Times New Roman" w:hAnsi="Times New Roman" w:cs="Times New Roman"/>
        </w:rPr>
        <w:t xml:space="preserve"> against AD-type pathology, introducing high concentrations of insulin or IGF1 ligand may have adverse effects. </w:t>
      </w:r>
      <w:r w:rsidR="008378FF">
        <w:rPr>
          <w:rFonts w:ascii="Times New Roman" w:hAnsi="Times New Roman" w:cs="Times New Roman"/>
        </w:rPr>
        <w:t xml:space="preserve">A growth hormone secretagogue, MK-677, was trialled in AD patients to assess whether GH-induced secretion of IGF1 affected AD progression over 12 months compared with placebo. Despite increased IGF1 being detected in the serum of AD patients, the rate of cognitive decline was not improved </w:t>
      </w:r>
      <w:r w:rsidR="008378FF">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"10.1212/01.wnl.0000335163.88054.e7", "ISSN" : "1526-632X", "PMID" : "19015485", "abstract" : "BACKGROUND: In animals, insulin-like growth factor-1 (IGF-1) increases clearance of beta-amyloid, a pathologic hallmark of Alzheimer disease (AD), from the CNS. Serum IGF-1 level decreases with age, and shows a further decrease in AD. We examined whether the growth hormone secretagogue MK-677 (ibutamoren mesylate), a potent inducer of IGF-1 secretion, slows the rate of progression of symptoms in patients with AD.\n\nMETHODS: A double-blind, multicenter study was conducted in which 563 patients with mild to moderate AD were randomized to receive MK-677 25 mg or placebo daily for 12 months. Efficacy measures were mean change from baseline at month 12 on the Clinician's Interview Based Impression of Change with caregiver input (CIBIC-plus), the cognitive subscale of the Alzheimer's Disease Assessment Scale (ADAS-Cog), Alzheimer's Disease Cooperative Study-Activities of Daily Living (ADCS-ADL), and the Clinical Dementia Rating-sum of boxes (CDR-sob).\n\nRESULTS: A total of 416 patients completed treatment and assessments at 12 months. Administration of MK-677 25 mg resulted in a 60.1% increase in serum IGF-1 levels at 6 weeks and a 72.9% increase at 12 months. In mixed-effects models that included treatment, time (month), randomization strata (baseline MMSE score &lt; or =20 vs &gt;20), and interaction of treatment-by-time, there were no significant differences between the treatment groups on the CIBIC-plus or the mean change from baseline scores on the ADAS-Cog, ADCS-ADL, or CDR-sob scores over 12 months.\n\nCONCLUSION: Despite evidence of target engagement as indicated by an increase in serum insulin-like growth factor-1, the human growth hormone secretagogue MK-677 25 mg was ineffective at slowing the rate of progression of Alzheimer disease.", "author" : [ { "dropping-particle" : "", "family" : "Sevigny", "given" : "J J", "non-dropping-particle" : "", "parse-names" : false, "suffix" : "" }, { "dropping-particle" : "", "family" : "Ryan", "given" : "J M", "non-dropping-particle" : "", "parse-names" : false, "suffix" : "" }, { "dropping-particle" : "", "family" : "Dyck", "given" : "C H", "non-dropping-particle" : "van", "parse-names" : false, "suffix" : "" }, { "dropping-particle" : "", "family" : "Peng", "given" : "Y", "non-dropping-particle" : "", "parse-names" : false, "suffix" : "" }, { "dropping-particle" : "", "family" : "Lines", "given" : "C R", "non-dropping-particle" : "", "parse-names" : false, "suffix" : "" }, { "dropping-particle" : "", "family" : "Nessly", "given" : "M L", "non-dropping-particle" : "", "parse-names" : false, "suffix" : "" } ], "container-title" : "Neurology", "id" : "ITEM-1", "issue" : "21", "issued" : { "date-parts" : [ [ "2008", "11", "18" ] ] }, "page" : "1702-8", "title" : "Growth hormone secretagogue MK-677: no clinical effect on AD progression in a randomized trial.", "type" : "article-journal", "volume" : "71" }, "uris" : [ "http://www.mendeley.com/documents/?uuid=308e296f-7a7e-4d75-b6df-76262e4603ac" ] } ], "mendeley" : { "formattedCitation" : "(Sevigny et al. 2008)", "plainTextFormattedCitation" : "(Sevigny et al. 2008)", "previouslyFormattedCitation" : "(Sevigny et al. 2008)" }, "properties" : { "noteIndex" : 0 }, "schema" : "https://github.com/citation-style-language/schema/raw/master/csl-citation.json" }</w:instrText>
      </w:r>
      <w:r w:rsidR="008378FF">
        <w:rPr>
          <w:rFonts w:ascii="Times New Roman" w:hAnsi="Times New Roman" w:cs="Times New Roman"/>
        </w:rPr>
        <w:fldChar w:fldCharType="separate"/>
      </w:r>
      <w:r w:rsidR="00C148FC" w:rsidRPr="00C148FC">
        <w:rPr>
          <w:rFonts w:ascii="Times New Roman" w:hAnsi="Times New Roman" w:cs="Times New Roman"/>
          <w:noProof/>
        </w:rPr>
        <w:t>(Sevigny et al. 2008)</w:t>
      </w:r>
      <w:r w:rsidR="008378FF">
        <w:rPr>
          <w:rFonts w:ascii="Times New Roman" w:hAnsi="Times New Roman" w:cs="Times New Roman"/>
        </w:rPr>
        <w:fldChar w:fldCharType="end"/>
      </w:r>
      <w:r w:rsidR="008378FF">
        <w:rPr>
          <w:rFonts w:ascii="Times New Roman" w:hAnsi="Times New Roman" w:cs="Times New Roman"/>
        </w:rPr>
        <w:t>.</w:t>
      </w:r>
    </w:p>
    <w:p w14:paraId="46690E2B" w14:textId="77777777" w:rsidR="003770EC" w:rsidRDefault="003770EC" w:rsidP="007819E5">
      <w:pPr>
        <w:spacing w:line="360" w:lineRule="auto"/>
        <w:rPr>
          <w:rFonts w:ascii="Times New Roman" w:hAnsi="Times New Roman" w:cs="Times New Roman"/>
        </w:rPr>
      </w:pPr>
    </w:p>
    <w:p w14:paraId="50ECF2B6" w14:textId="2D281A85" w:rsidR="00C85344" w:rsidRPr="00C85344" w:rsidRDefault="00C85344" w:rsidP="007819E5">
      <w:pPr>
        <w:spacing w:line="360" w:lineRule="auto"/>
        <w:rPr>
          <w:rFonts w:ascii="Times New Roman" w:hAnsi="Times New Roman" w:cs="Times New Roman"/>
          <w:b/>
          <w:i/>
          <w:u w:val="single"/>
        </w:rPr>
      </w:pPr>
      <w:r>
        <w:rPr>
          <w:rFonts w:ascii="Times New Roman" w:hAnsi="Times New Roman" w:cs="Times New Roman"/>
          <w:b/>
          <w:i/>
          <w:u w:val="single"/>
        </w:rPr>
        <w:t>Restoring insulin sensitivity in AD</w:t>
      </w:r>
    </w:p>
    <w:p w14:paraId="45796990" w14:textId="58B3B9CA" w:rsidR="00236C78" w:rsidRPr="00E7671A" w:rsidRDefault="00F47AD3" w:rsidP="003E7BDB">
      <w:pPr>
        <w:spacing w:line="360" w:lineRule="auto"/>
        <w:jc w:val="both"/>
        <w:rPr>
          <w:rFonts w:ascii="Times New Roman" w:hAnsi="Times New Roman" w:cs="Times New Roman"/>
          <w:color w:val="FF0000"/>
        </w:rPr>
      </w:pPr>
      <w:r>
        <w:rPr>
          <w:rFonts w:ascii="Times New Roman" w:hAnsi="Times New Roman" w:cs="Times New Roman"/>
        </w:rPr>
        <w:t>D</w:t>
      </w:r>
      <w:r w:rsidR="0016200A">
        <w:rPr>
          <w:rFonts w:ascii="Times New Roman" w:hAnsi="Times New Roman" w:cs="Times New Roman"/>
        </w:rPr>
        <w:t>iabetes</w:t>
      </w:r>
      <w:r w:rsidR="00094935">
        <w:rPr>
          <w:rFonts w:ascii="Times New Roman" w:hAnsi="Times New Roman" w:cs="Times New Roman"/>
        </w:rPr>
        <w:t xml:space="preserve"> treatments have also been investigated in subjects with AD. </w:t>
      </w:r>
      <w:r>
        <w:rPr>
          <w:rFonts w:ascii="Times New Roman" w:hAnsi="Times New Roman" w:cs="Times New Roman"/>
        </w:rPr>
        <w:t xml:space="preserve">Trials involving intranasal insulin delivery to AD patients have been conducted to assess whether resensitisation of insulin signalling in the brain can restore memory and cognition. </w:t>
      </w:r>
      <w:r w:rsidR="007D0691">
        <w:rPr>
          <w:rFonts w:ascii="Times New Roman" w:hAnsi="Times New Roman" w:cs="Times New Roman"/>
        </w:rPr>
        <w:t>To avoid hypoglycemia</w:t>
      </w:r>
      <w:r w:rsidR="001F0B97">
        <w:rPr>
          <w:rFonts w:ascii="Times New Roman" w:hAnsi="Times New Roman" w:cs="Times New Roman"/>
        </w:rPr>
        <w:t xml:space="preserve"> and peripheral insulin resistance</w:t>
      </w:r>
      <w:r w:rsidR="007D0691">
        <w:rPr>
          <w:rFonts w:ascii="Times New Roman" w:hAnsi="Times New Roman" w:cs="Times New Roman"/>
        </w:rPr>
        <w:t>, insulin</w:t>
      </w:r>
      <w:r w:rsidR="002D7C5A">
        <w:rPr>
          <w:rFonts w:ascii="Times New Roman" w:hAnsi="Times New Roman" w:cs="Times New Roman"/>
        </w:rPr>
        <w:t xml:space="preserve"> has to be</w:t>
      </w:r>
      <w:r>
        <w:rPr>
          <w:rFonts w:ascii="Times New Roman" w:hAnsi="Times New Roman" w:cs="Times New Roman"/>
        </w:rPr>
        <w:t xml:space="preserve"> administered intranasally, which</w:t>
      </w:r>
      <w:r w:rsidR="007D0691">
        <w:rPr>
          <w:rFonts w:ascii="Times New Roman" w:hAnsi="Times New Roman" w:cs="Times New Roman"/>
        </w:rPr>
        <w:t xml:space="preserve"> also</w:t>
      </w:r>
      <w:r>
        <w:rPr>
          <w:rFonts w:ascii="Times New Roman" w:hAnsi="Times New Roman" w:cs="Times New Roman"/>
        </w:rPr>
        <w:t xml:space="preserve"> allows rapid access to the brain </w:t>
      </w:r>
      <w:r w:rsidR="007D0691">
        <w:rPr>
          <w:rFonts w:ascii="Times New Roman" w:hAnsi="Times New Roman" w:cs="Times New Roman"/>
        </w:rPr>
        <w:t>and</w:t>
      </w:r>
      <w:r>
        <w:rPr>
          <w:rFonts w:ascii="Times New Roman" w:hAnsi="Times New Roman" w:cs="Times New Roman"/>
        </w:rPr>
        <w:t xml:space="preserve"> little </w:t>
      </w:r>
      <w:r w:rsidR="007D0691">
        <w:rPr>
          <w:rFonts w:ascii="Times New Roman" w:hAnsi="Times New Roman" w:cs="Times New Roman"/>
        </w:rPr>
        <w:t>changes to</w:t>
      </w:r>
      <w:r>
        <w:rPr>
          <w:rFonts w:ascii="Times New Roman" w:hAnsi="Times New Roman" w:cs="Times New Roman"/>
        </w:rPr>
        <w:t xml:space="preserve"> peripheral</w:t>
      </w:r>
      <w:r w:rsidR="007D0691">
        <w:rPr>
          <w:rFonts w:ascii="Times New Roman" w:hAnsi="Times New Roman" w:cs="Times New Roman"/>
        </w:rPr>
        <w:t xml:space="preserve"> insulin</w:t>
      </w:r>
      <w:r>
        <w:rPr>
          <w:rFonts w:ascii="Times New Roman" w:hAnsi="Times New Roman" w:cs="Times New Roman"/>
        </w:rPr>
        <w:t xml:space="preserve"> levels. </w:t>
      </w:r>
      <w:r w:rsidR="003770EC">
        <w:rPr>
          <w:rFonts w:ascii="Times New Roman" w:hAnsi="Times New Roman" w:cs="Times New Roman"/>
        </w:rPr>
        <w:t>One trial involving</w:t>
      </w:r>
      <w:r w:rsidR="00E77E80">
        <w:rPr>
          <w:rFonts w:ascii="Times New Roman" w:hAnsi="Times New Roman" w:cs="Times New Roman"/>
        </w:rPr>
        <w:t xml:space="preserve"> daily intranasal insulin treatment </w:t>
      </w:r>
      <w:r w:rsidR="003770EC">
        <w:rPr>
          <w:rFonts w:ascii="Times New Roman" w:hAnsi="Times New Roman" w:cs="Times New Roman"/>
        </w:rPr>
        <w:t xml:space="preserve">over three weeks, </w:t>
      </w:r>
      <w:r w:rsidR="00E77E80">
        <w:rPr>
          <w:rFonts w:ascii="Times New Roman" w:hAnsi="Times New Roman" w:cs="Times New Roman"/>
        </w:rPr>
        <w:t xml:space="preserve">in patients with AD or amnestic </w:t>
      </w:r>
      <w:r w:rsidR="003770EC">
        <w:rPr>
          <w:rFonts w:ascii="Times New Roman" w:hAnsi="Times New Roman" w:cs="Times New Roman"/>
        </w:rPr>
        <w:t>mild cognitive impairment (MCI), resulted in</w:t>
      </w:r>
      <w:r w:rsidR="00E77E80">
        <w:rPr>
          <w:rFonts w:ascii="Times New Roman" w:hAnsi="Times New Roman" w:cs="Times New Roman"/>
        </w:rPr>
        <w:t xml:space="preserve"> better recall of verbal information a</w:t>
      </w:r>
      <w:r w:rsidR="00351817">
        <w:rPr>
          <w:rFonts w:ascii="Times New Roman" w:hAnsi="Times New Roman" w:cs="Times New Roman"/>
        </w:rPr>
        <w:t>nd lowered pathologically associated forms of Aβ</w:t>
      </w:r>
      <w:r w:rsidR="00351817">
        <w:rPr>
          <w:rFonts w:ascii="Times New Roman" w:hAnsi="Times New Roman" w:cs="Times New Roman"/>
          <w:vertAlign w:val="subscript"/>
        </w:rPr>
        <w:t>1-42</w:t>
      </w:r>
      <w:r w:rsidR="00351817">
        <w:rPr>
          <w:rFonts w:ascii="Times New Roman" w:hAnsi="Times New Roman" w:cs="Times New Roman"/>
        </w:rPr>
        <w:t xml:space="preserve"> </w:t>
      </w:r>
      <w:r w:rsidR="00351817">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"1387-2877", "PMID" : "18430999", "abstract" : "Intranasal insulin administration raises central nervous system (CNS) insulin levels in humans and acutely facilitates verbal memory in patients with Alzheimer's disease (AD), an effect that may differ by APOE genotype. The purpose of this study was to examine the cognitive dose response curves for intranasal insulin administration, and determine whether the effects of insulin differ between participants with (epsilon4+) and without (epsilon4-) the APOE- epsilon4 allele. On separate mornings, 33 memory-impaired adults with AD or amnestic mild cognitive impairment and 59 normal adults each underwent five intranasal treatment conditions consisting of insulin (10, 20, 40, or 60 IU) or placebo. Cognition was tested 15-minutes post-treatment, and blood was acquired at baseline and 45-minutes post-treatment. Plasma insulin and glucose levels were unaffected by treatment. Insulin administration facilitated recall on two measures of verbal memory in memory-impaired epsilon4- adults, with performance generally peaking at 20 IU. In contrast, memory-impaired epsilon4+ subjects demonstrated a relative decline in verbal memory. Insulin also differentially modulated plasma amyloid-beta for memory-impaired subjects and normal controls, effects that again differed by APOE genotype. These findings suggest that groups with different genetic risks for AD may show differential dose-response curves following intranasal insulin administration.", "author" : [ { "dropping-particle" : "", "family" : "Reger", "given" : "Mark A", "non-dropping-particle" : "", "parse-names" : false, "suffix" : "" }, { "dropping-particle" : "", "family" : "Watson", "given" : "G Stennis", "non-dropping-particle" : "", "parse-names" : false, "suffix" : "" }, { "dropping-particle" : "", "family" : "Green", "given" : "Pattie S", "non-dropping-particle" : "", "parse-names" : false, "suffix" : "" }, { "dropping-particle" : "", "family" : "Baker", "given" : "Laura D", "non-dropping-particle" : "", "parse-names" : false, "suffix" : "" }, { "dropping-particle" : "", "family" : "Cholerton", "given" : "Brenna", "non-dropping-particle" : "", "parse-names" : false, "suffix" : "" }, { "dropping-particle" : "", "family" : "Fishel", "given" : "Mark A", "non-dropping-particle" : "", "parse-names" : false, "suffix" : "" }, { "dropping-particle" : "", "family" : "Plymate", "given" : "Stephen R", "non-dropping-particle" : "", "parse-names" : false, "suffix" : "" }, { "dropping-particle" : "", "family" : "Cherrier", "given" : "Monique M", "non-dropping-particle" : "", "parse-names" : false, "suffix" : "" }, { "dropping-particle" : "", "family" : "Schellenberg", "given" : "Gerard D", "non-dropping-particle" : "", "parse-names" : false, "suffix" : "" }, { "dropping-particle" : "", "family" : "Frey", "given" : "William H", "non-dropping-particle" : "", "parse-names" : false, "suffix" : "" }, { "dropping-particle" : "", "family" : "Craft", "given" : "Suzanne", "non-dropping-particle" : "", "parse-names" : false, "suffix" : "" } ], "container-title" : "Journal of Alzheimer's disease : JAD", "id" : "ITEM-1", "issue" : "3", "issued" : { "date-parts" : [ [ "2008", "4" ] ] }, "page" : "323-31", "title" : "Intranasal insulin administration dose-dependently modulates verbal memory and plasma amyloid-beta in memory-impaired older adults.", "type" : "article-journal", "volume" : "13" }, "uris" : [ "http://www.mendeley.com/documents/?uuid=e289928f-89a6-4cef-83cf-c06c0e745f1f" ] } ], "mendeley" : { "formattedCitation" : "(Reger et al. 2008)", "plainTextFormattedCitation" : "(Reger et al. 2008)", "previouslyFormattedCitation" : "(Reger et al. 2008)" }, "properties" : { "noteIndex" : 0 }, "schema" : "https://github.com/citation-style-language/schema/raw/master/csl-citation.json" }</w:instrText>
      </w:r>
      <w:r w:rsidR="00351817">
        <w:rPr>
          <w:rFonts w:ascii="Times New Roman" w:hAnsi="Times New Roman" w:cs="Times New Roman"/>
        </w:rPr>
        <w:fldChar w:fldCharType="separate"/>
      </w:r>
      <w:r w:rsidR="00C148FC" w:rsidRPr="00C148FC">
        <w:rPr>
          <w:rFonts w:ascii="Times New Roman" w:hAnsi="Times New Roman" w:cs="Times New Roman"/>
          <w:noProof/>
        </w:rPr>
        <w:t>(Reger et al. 2008)</w:t>
      </w:r>
      <w:r w:rsidR="00351817">
        <w:rPr>
          <w:rFonts w:ascii="Times New Roman" w:hAnsi="Times New Roman" w:cs="Times New Roman"/>
        </w:rPr>
        <w:fldChar w:fldCharType="end"/>
      </w:r>
      <w:r w:rsidR="00351817">
        <w:rPr>
          <w:rFonts w:ascii="Times New Roman" w:hAnsi="Times New Roman" w:cs="Times New Roman"/>
        </w:rPr>
        <w:t>.</w:t>
      </w:r>
      <w:r w:rsidR="001104A9">
        <w:rPr>
          <w:rFonts w:ascii="Times New Roman" w:hAnsi="Times New Roman" w:cs="Times New Roman"/>
        </w:rPr>
        <w:t xml:space="preserve"> </w:t>
      </w:r>
      <w:r w:rsidR="00C74AF1">
        <w:rPr>
          <w:rFonts w:ascii="Times New Roman" w:hAnsi="Times New Roman" w:cs="Times New Roman"/>
        </w:rPr>
        <w:t>Long</w:t>
      </w:r>
      <w:r w:rsidR="003B5710">
        <w:rPr>
          <w:rFonts w:ascii="Times New Roman" w:hAnsi="Times New Roman" w:cs="Times New Roman"/>
        </w:rPr>
        <w:t xml:space="preserve"> term administration of insulin</w:t>
      </w:r>
      <w:r w:rsidR="00D75B1D">
        <w:rPr>
          <w:rFonts w:ascii="Times New Roman" w:hAnsi="Times New Roman" w:cs="Times New Roman"/>
        </w:rPr>
        <w:t xml:space="preserve"> </w:t>
      </w:r>
      <w:r w:rsidR="003770EC">
        <w:rPr>
          <w:rFonts w:ascii="Times New Roman" w:hAnsi="Times New Roman" w:cs="Times New Roman"/>
        </w:rPr>
        <w:t xml:space="preserve">to MCI and AD patients </w:t>
      </w:r>
      <w:r w:rsidR="00D75B1D">
        <w:rPr>
          <w:rFonts w:ascii="Times New Roman" w:hAnsi="Times New Roman" w:cs="Times New Roman"/>
        </w:rPr>
        <w:t>over a four year period,</w:t>
      </w:r>
      <w:r w:rsidR="003B5710">
        <w:rPr>
          <w:rFonts w:ascii="Times New Roman" w:hAnsi="Times New Roman" w:cs="Times New Roman"/>
        </w:rPr>
        <w:t xml:space="preserve"> has </w:t>
      </w:r>
      <w:r w:rsidR="003770EC">
        <w:rPr>
          <w:rFonts w:ascii="Times New Roman" w:hAnsi="Times New Roman" w:cs="Times New Roman"/>
        </w:rPr>
        <w:t xml:space="preserve">shown therapeutic benefit </w:t>
      </w:r>
      <w:r w:rsidR="003B5710">
        <w:rPr>
          <w:rFonts w:ascii="Times New Roman" w:hAnsi="Times New Roman" w:cs="Times New Roman"/>
        </w:rPr>
        <w:t xml:space="preserve">with improvements observed </w:t>
      </w:r>
      <w:r w:rsidR="003770EC">
        <w:rPr>
          <w:rFonts w:ascii="Times New Roman" w:hAnsi="Times New Roman" w:cs="Times New Roman"/>
        </w:rPr>
        <w:t>in cognitive function and delayed</w:t>
      </w:r>
      <w:r w:rsidR="003B5710">
        <w:rPr>
          <w:rFonts w:ascii="Times New Roman" w:hAnsi="Times New Roman" w:cs="Times New Roman"/>
        </w:rPr>
        <w:t xml:space="preserve"> in</w:t>
      </w:r>
      <w:r w:rsidR="00D75B1D">
        <w:rPr>
          <w:rFonts w:ascii="Times New Roman" w:hAnsi="Times New Roman" w:cs="Times New Roman"/>
        </w:rPr>
        <w:t xml:space="preserve"> development of</w:t>
      </w:r>
      <w:r w:rsidR="003B5710">
        <w:rPr>
          <w:rFonts w:ascii="Times New Roman" w:hAnsi="Times New Roman" w:cs="Times New Roman"/>
        </w:rPr>
        <w:t xml:space="preserve"> hypometabolism</w:t>
      </w:r>
      <w:r w:rsidR="00033E3A">
        <w:rPr>
          <w:rFonts w:ascii="Times New Roman" w:hAnsi="Times New Roman" w:cs="Times New Roman"/>
        </w:rPr>
        <w:t xml:space="preserve">. </w:t>
      </w:r>
      <w:r w:rsidR="003770EC">
        <w:rPr>
          <w:rFonts w:ascii="Times New Roman" w:hAnsi="Times New Roman" w:cs="Times New Roman"/>
        </w:rPr>
        <w:t>These improvements persisted</w:t>
      </w:r>
      <w:r w:rsidR="00033E3A">
        <w:rPr>
          <w:rFonts w:ascii="Times New Roman" w:hAnsi="Times New Roman" w:cs="Times New Roman"/>
        </w:rPr>
        <w:t xml:space="preserve"> in individuals two months after</w:t>
      </w:r>
      <w:r w:rsidR="003770EC">
        <w:rPr>
          <w:rFonts w:ascii="Times New Roman" w:hAnsi="Times New Roman" w:cs="Times New Roman"/>
        </w:rPr>
        <w:t xml:space="preserve"> insulin treatment was stopped</w:t>
      </w:r>
      <w:r w:rsidR="003B5710">
        <w:rPr>
          <w:rFonts w:ascii="Times New Roman" w:hAnsi="Times New Roman" w:cs="Times New Roman"/>
        </w:rPr>
        <w:t xml:space="preserve"> </w:t>
      </w:r>
      <w:r w:rsidR="003B571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"10.1001/archneurol.2011.233", "ISSN" : "1538-3687", "PMID" : "21911655", "abstract" : "OBJECTIVE: To examine the effects of intranasal insulin administration on cognition, function, cerebral glucose metabolism, and cerebrospinal fluid biomarkers in adults with amnestic mild cognitive impairment or Alzheimer disease (AD).\n\nDESIGN: Randomized, double-blind, placebo-controlled trial.\n\nSETTING: Clinical research unit of a Veterans Affairs medical center.\n\nPARTICIPANTS: The intent-to-treat sample consisted of 104 adults with amnestic mild cognitive impairment (n\u00a0=\u00a064) or mild to moderate AD (n\u00a0=\u00a040). Intervention\u00a0 Participants received placebo (n\u00a0=\u00a030), 20 IU of insulin (n\u00a0=\u00a036), or 40 IU of insulin (n\u00a0=\u00a038) for 4 months, administered with a nasal drug delivery device (Kurve Technology, Bothell, Washington).\n\nMAIN OUTCOME MEASURES: Primary measures consisted of delayed story recall score and the Dementia Severity Rating Scale score, and secondary measures included the Alzheimer Disease's Assessment Scale-cognitive subscale (ADAS-cog) score and the Alzheimer's Disease Cooperative Study-activities of daily living (ADCS-ADL) scale. A subset of participants underwent lumbar puncture (n\u00a0=\u00a023) and positron emission tomography with fludeoxyglucose F 18 (n\u00a0=\u00a040) before and after treatment.\n\nRESULTS: Outcome measures were analyzed using repeated-measures analysis of covariance. Treatment with 20 IU of insulin improved delayed memory (P\u00a0&lt;\u00a0.05), and both doses of insulin (20 and 40 IU) preserved caregiver-rated functional ability (P\u00a0&lt;\u00a0.01). Both insulin doses also preserved general cognition as assessed by the ADAS-cog score for younger participants and functional abilities as assessed by the ADCS-ADL scale for adults with AD (P\u00a0&lt;\u00a0.05). Cerebrospinal fluid biomarkers did not change for insulin-treated participants as a group, but, in exploratory analyses, changes in memory and function were associated with changes in the A\u03b242 level and in the tau protein-to-A\u03b242 ratio in cerebrospinal fluid. Placebo-assigned participants showed decreased fludeoxyglucose F 18 uptake in the parietotemporal, frontal, precuneus, and cuneus regions and insulin-minimized progression. No treatment-related severe adverse events occurred.\n\nCONCLUSIONS: These results support longer trials of intranasal insulin therapy for patients with amnestic mild cognitive impairment and patients with AD. Trial Registration\u00a0 clinicaltrials.gov Identifier: NCT00438568.", "author" : [ { "dropping-particle" : "", "family" : "Craft", "given" : "Suzanne", "non-dropping-particle" : "", "parse-names" : false, "suffix" : "" }, { "dropping-particle" : "", "family" : "Baker", "given" : "Laura D", "non-dropping-particle" : "", "parse-names" : false, "suffix" : "" }, { "dropping-particle" : "", "family" : "Montine", "given" : "Thomas J", "non-dropping-particle" : "", "parse-names" : false, "suffix" : "" }, { "dropping-particle" : "", "family" : "Minoshima", "given" : "Satoshi", "non-dropping-particle" : "", "parse-names" : false, "suffix" : "" }, { "dropping-particle" : "", "family" : "Watson", "given" : "G Stennis", "non-dropping-particle" : "", "parse-names" : false, "suffix" : "" }, { "dropping-particle" : "", "family" : "Claxton", "given" : "Amy", "non-dropping-particle" : "", "parse-names" : false, "suffix" : "" }, { "dropping-particle" : "", "family" : "Arbuckle", "given" : "Matthew", "non-dropping-particle" : "", "parse-names" : false, "suffix" : "" }, { "dropping-particle" : "", "family" : "Callaghan", "given" : "Maureen", "non-dropping-particle" : "", "parse-names" : false, "suffix" : "" }, { "dropping-particle" : "", "family" : "Tsai", "given" : "Elaine", "non-dropping-particle" : "", "parse-names" : false, "suffix" : "" }, { "dropping-particle" : "", "family" : "Plymate", "given" : "Stephen R", "non-dropping-particle" : "", "parse-names" : false, "suffix" : "" }, { "dropping-particle" : "", "family" : "Green", "given" : "Pattie S", "non-dropping-particle" : "", "parse-names" : false, "suffix" : "" }, { "dropping-particle" : "", "family" : "Leverenz", "given" : "James", "non-dropping-particle" : "", "parse-names" : false, "suffix" : "" }, { "dropping-particle" : "", "family" : "Cross", "given" : "Donna", "non-dropping-particle" : "", "parse-names" : false, "suffix" : "" }, { "dropping-particle" : "", "family" : "Gerton", "given" : "Brooke", "non-dropping-particle" : "", "parse-names" : false, "suffix" : "" } ], "container-title" : "Archives of neurology", "id" : "ITEM-1", "issue" : "1", "issued" : { "date-parts" : [ [ "2012", "1" ] ] }, "page" : "29-38", "title" : "Intranasal insulin therapy for Alzheimer disease and amnestic mild cognitive impairment: a pilot clinical trial.", "type" : "article-journal", "volume" : "69" }, "uris" : [ "http://www.mendeley.com/documents/?uuid=083b5f2c-c596-4d5d-8aa8-3399b940f53a" ] } ], "mendeley" : { "formattedCitation" : "(Craft et al. 2012)", "plainTextFormattedCitation" : "(Craft et al. 2012)", "previouslyFormattedCitation" : "(Craft et al. 2012)" }, "properties" : { "noteIndex" : 0 }, "schema" : "https://github.com/citation-style-language/schema/raw/master/csl-citation.json" }</w:instrText>
      </w:r>
      <w:r w:rsidR="003B5710">
        <w:rPr>
          <w:rFonts w:ascii="Times New Roman" w:hAnsi="Times New Roman" w:cs="Times New Roman"/>
        </w:rPr>
        <w:fldChar w:fldCharType="separate"/>
      </w:r>
      <w:r w:rsidR="00C148FC" w:rsidRPr="00C148FC">
        <w:rPr>
          <w:rFonts w:ascii="Times New Roman" w:hAnsi="Times New Roman" w:cs="Times New Roman"/>
          <w:noProof/>
        </w:rPr>
        <w:t>(Craft et al. 2012)</w:t>
      </w:r>
      <w:r w:rsidR="003B5710">
        <w:rPr>
          <w:rFonts w:ascii="Times New Roman" w:hAnsi="Times New Roman" w:cs="Times New Roman"/>
        </w:rPr>
        <w:fldChar w:fldCharType="end"/>
      </w:r>
      <w:r w:rsidR="00033E3A">
        <w:rPr>
          <w:rFonts w:ascii="Times New Roman" w:hAnsi="Times New Roman" w:cs="Times New Roman"/>
        </w:rPr>
        <w:t>.</w:t>
      </w:r>
      <w:r w:rsidR="003B5710">
        <w:rPr>
          <w:rFonts w:ascii="Times New Roman" w:hAnsi="Times New Roman" w:cs="Times New Roman"/>
        </w:rPr>
        <w:t xml:space="preserve"> </w:t>
      </w:r>
      <w:r w:rsidR="00AE3E39">
        <w:rPr>
          <w:rFonts w:ascii="Times New Roman" w:hAnsi="Times New Roman" w:cs="Times New Roman"/>
        </w:rPr>
        <w:t xml:space="preserve">Due to the relatively short half-life of recombinant human insulin, clinical trials have also been conducted using the insulin analog detemir. </w:t>
      </w:r>
      <w:r w:rsidR="00912260">
        <w:rPr>
          <w:rFonts w:ascii="Times New Roman" w:hAnsi="Times New Roman" w:cs="Times New Roman"/>
        </w:rPr>
        <w:t>After a three w</w:t>
      </w:r>
      <w:r w:rsidR="00552583">
        <w:rPr>
          <w:rFonts w:ascii="Times New Roman" w:hAnsi="Times New Roman" w:cs="Times New Roman"/>
        </w:rPr>
        <w:t>eek treatment with detemir, APOε</w:t>
      </w:r>
      <w:r w:rsidR="00912260">
        <w:rPr>
          <w:rFonts w:ascii="Times New Roman" w:hAnsi="Times New Roman" w:cs="Times New Roman"/>
        </w:rPr>
        <w:t xml:space="preserve">4 positive AD patients were the only group who showed improvements in verbal and working memory </w:t>
      </w:r>
      <w:r w:rsidR="0091226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"10.3233/JAD-141791", "ISSN" : "1875-8908", "PMID" : "25374101", "abstract" : "Previous trials have shown promising effects of intranasally administered insulin for adults with Alzheimer's disease dementia (AD) or amnestic mild cognitive impairment (MCI). These trials used regular insulin, which has a shorter half-life compared to long-lasting insulin analogues such as insulin detemir. The current trial examined whether intranasal insulin detemir improves cognition or daily functioning for adults with MCI or AD. Sixty adults diagnosed with MCI or mild to moderate AD received placebo (n = 20), 20 IU of insulin detemir (n = 21), or 40 IU of insulin detemir (n = 19) for 21 days, administered with a nasal drug delivery device. Results revealed a treatment effect for the memory composite for the 40 IU group compared with placebo (p &lt; 0.05). This effect was moderated by APOE status (p &lt; 0.05), reflecting improvement for APOE-\u03b54 carriers (p &lt; 0.02), and worsening for non-carriers (p &lt; 0.02). Higher insulin resistance at baseline predicted greater improvement with the 40 IU dose (r = 0.54, p &lt; 0.02). Significant treatment effects were also apparent for verbal working memory (p &lt; 0.03) and visuospatial working memory (p &lt; 0.04), reflecting improvement for subjects who received the high dose of intranasal insulin detemir. No significant differences were found for daily functioning or executive functioning. In conclusion, daily treatment with 40 IU insulin detemir modulated cognition for adults with AD or MCI, with APOE-related differences in treatment response for the primary memory composite. Future research is needed to examine the mechanistic basis of APOE-related treatment differences, and to further assess the efficacy and safety of intranasal insulin detemir.", "author" : [ { "dropping-particle" : "", "family" : "Claxton", "given" : "Amy", "non-dropping-particle" : "", "parse-names" : false, "suffix" : "" }, { "dropping-particle" : "", "family" : "Baker", "given" : "Laura D", "non-dropping-particle" : "", "parse-names" : false, "suffix" : "" }, { "dropping-particle" : "", "family" : "Hanson", "given" : "Angela", "non-dropping-particle" : "", "parse-names" : false, "suffix" : "" }, { "dropping-particle" : "", "family" : "Trittschuh", "given" : "Emily H", "non-dropping-particle" : "", "parse-names" : false, "suffix" : "" }, { "dropping-particle" : "", "family" : "Cholerton", "given" : "Brenna", "non-dropping-particle" : "", "parse-names" : false, "suffix" : "" }, { "dropping-particle" : "", "family" : "Morgan", "given" : "Amy", "non-dropping-particle" : "", "parse-names" : false, "suffix" : "" }, { "dropping-particle" : "", "family" : "Callaghan", "given" : "Maureen", "non-dropping-particle" : "", "parse-names" : false, "suffix" : "" }, { "dropping-particle" : "", "family" : "Arbuckle", "given" : "Matthew", "non-dropping-particle" : "", "parse-names" : false, "suffix" : "" }, { "dropping-particle" : "", "family" : "Behl", "given" : "Colin", "non-dropping-particle" : "", "parse-names" : false, "suffix" : "" }, { "dropping-particle" : "", "family" : "Craft", "given" : "Suzanne", "non-dropping-particle" : "", "parse-names" : false, "suffix" : "" } ], "container-title" : "Journal of Alzheimer's disease : JAD", "id" : "ITEM-1", "issue" : "3", "issued" : { "date-parts" : [ [ "2015", "1", "1" ] ] }, "page" : "897-906", "publisher" : "IOS Press", "title" : "Long-acting intranasal insulin detemir improves cognition for adults with mild cognitive impairment or early-stage Alzheimer's disease dementia.", "type" : "article-journal", "volume" : "44" }, "uris" : [ "http://www.mendeley.com/documents/?uuid=73df4f99-c444-4c5e-80af-921f72401f2b" ] } ], "mendeley" : { "formattedCitation" : "(Claxton et al. 2015)", "plainTextFormattedCitation" : "(Claxton et al. 2015)", "previouslyFormattedCitation" : "(Claxton et al. 2015)" }, "properties" : { "noteIndex" : 0 }, "schema" : "https://github.com/citation-style-language/schema/raw/master/csl-citation.json" }</w:instrText>
      </w:r>
      <w:r w:rsidR="00912260">
        <w:rPr>
          <w:rFonts w:ascii="Times New Roman" w:hAnsi="Times New Roman" w:cs="Times New Roman"/>
        </w:rPr>
        <w:fldChar w:fldCharType="separate"/>
      </w:r>
      <w:r w:rsidR="00C148FC" w:rsidRPr="00C148FC">
        <w:rPr>
          <w:rFonts w:ascii="Times New Roman" w:hAnsi="Times New Roman" w:cs="Times New Roman"/>
          <w:noProof/>
        </w:rPr>
        <w:t>(Claxton et al. 2015)</w:t>
      </w:r>
      <w:r w:rsidR="00912260">
        <w:rPr>
          <w:rFonts w:ascii="Times New Roman" w:hAnsi="Times New Roman" w:cs="Times New Roman"/>
        </w:rPr>
        <w:fldChar w:fldCharType="end"/>
      </w:r>
      <w:r w:rsidR="003770EC">
        <w:rPr>
          <w:rFonts w:ascii="Times New Roman" w:hAnsi="Times New Roman" w:cs="Times New Roman"/>
        </w:rPr>
        <w:t>, which was attributed to the higher levels of insulin resistance in</w:t>
      </w:r>
      <w:r w:rsidR="00552583">
        <w:rPr>
          <w:rFonts w:ascii="Times New Roman" w:hAnsi="Times New Roman" w:cs="Times New Roman"/>
        </w:rPr>
        <w:t xml:space="preserve"> APOε4</w:t>
      </w:r>
      <w:r w:rsidR="003770EC">
        <w:rPr>
          <w:rFonts w:ascii="Times New Roman" w:hAnsi="Times New Roman" w:cs="Times New Roman"/>
        </w:rPr>
        <w:t xml:space="preserve"> positive AD individuals</w:t>
      </w:r>
      <w:r w:rsidR="00552583">
        <w:rPr>
          <w:rFonts w:ascii="Times New Roman" w:hAnsi="Times New Roman" w:cs="Times New Roman"/>
        </w:rPr>
        <w:t>.</w:t>
      </w:r>
      <w:r w:rsidR="00912260">
        <w:rPr>
          <w:rFonts w:ascii="Times New Roman" w:hAnsi="Times New Roman" w:cs="Times New Roman"/>
        </w:rPr>
        <w:t xml:space="preserve"> This suggests that </w:t>
      </w:r>
      <w:r w:rsidR="00552583">
        <w:rPr>
          <w:rFonts w:ascii="Times New Roman" w:hAnsi="Times New Roman" w:cs="Times New Roman"/>
        </w:rPr>
        <w:t>APOε4</w:t>
      </w:r>
      <w:r w:rsidR="00912260">
        <w:rPr>
          <w:rFonts w:ascii="Times New Roman" w:hAnsi="Times New Roman" w:cs="Times New Roman"/>
        </w:rPr>
        <w:t xml:space="preserve"> status effects the insulin-associated improvements in cognitive function in AD patients</w:t>
      </w:r>
      <w:r w:rsidR="003230C6">
        <w:rPr>
          <w:rFonts w:ascii="Times New Roman" w:hAnsi="Times New Roman" w:cs="Times New Roman"/>
        </w:rPr>
        <w:t xml:space="preserve"> and may be indicative of a more insulin-resistant </w:t>
      </w:r>
      <w:r w:rsidR="00333077">
        <w:rPr>
          <w:rFonts w:ascii="Times New Roman" w:hAnsi="Times New Roman" w:cs="Times New Roman"/>
        </w:rPr>
        <w:t>like state</w:t>
      </w:r>
      <w:r w:rsidR="003230C6">
        <w:rPr>
          <w:rFonts w:ascii="Times New Roman" w:hAnsi="Times New Roman" w:cs="Times New Roman"/>
        </w:rPr>
        <w:t xml:space="preserve"> in the brain</w:t>
      </w:r>
      <w:r w:rsidR="00912260">
        <w:rPr>
          <w:rFonts w:ascii="Times New Roman" w:hAnsi="Times New Roman" w:cs="Times New Roman"/>
        </w:rPr>
        <w:t xml:space="preserve">. </w:t>
      </w:r>
      <w:r w:rsidR="00C5258F">
        <w:rPr>
          <w:rFonts w:ascii="Times New Roman" w:hAnsi="Times New Roman" w:cs="Times New Roman"/>
        </w:rPr>
        <w:t>However</w:t>
      </w:r>
      <w:r w:rsidR="0066051F">
        <w:rPr>
          <w:rFonts w:ascii="Times New Roman" w:hAnsi="Times New Roman" w:cs="Times New Roman"/>
        </w:rPr>
        <w:t xml:space="preserve"> </w:t>
      </w:r>
      <w:r w:rsidR="00BF5CBA">
        <w:rPr>
          <w:rFonts w:ascii="Times New Roman" w:hAnsi="Times New Roman" w:cs="Times New Roman"/>
        </w:rPr>
        <w:t>a drawback</w:t>
      </w:r>
      <w:r w:rsidR="0066051F">
        <w:rPr>
          <w:rFonts w:ascii="Times New Roman" w:hAnsi="Times New Roman" w:cs="Times New Roman"/>
        </w:rPr>
        <w:t xml:space="preserve"> of using insulin</w:t>
      </w:r>
      <w:r w:rsidR="00C5258F">
        <w:rPr>
          <w:rFonts w:ascii="Times New Roman" w:hAnsi="Times New Roman" w:cs="Times New Roman"/>
        </w:rPr>
        <w:t>,</w:t>
      </w:r>
      <w:r w:rsidR="0066051F">
        <w:rPr>
          <w:rFonts w:ascii="Times New Roman" w:hAnsi="Times New Roman" w:cs="Times New Roman"/>
        </w:rPr>
        <w:t xml:space="preserve"> </w:t>
      </w:r>
      <w:r w:rsidR="00347C0A">
        <w:rPr>
          <w:rFonts w:ascii="Times New Roman" w:hAnsi="Times New Roman" w:cs="Times New Roman"/>
        </w:rPr>
        <w:t>as identified in the diabetes field</w:t>
      </w:r>
      <w:r w:rsidR="003230C6">
        <w:rPr>
          <w:rFonts w:ascii="Times New Roman" w:hAnsi="Times New Roman" w:cs="Times New Roman"/>
        </w:rPr>
        <w:t xml:space="preserve"> and in this study</w:t>
      </w:r>
      <w:r w:rsidR="00F45156">
        <w:rPr>
          <w:rFonts w:ascii="Times New Roman" w:hAnsi="Times New Roman" w:cs="Times New Roman"/>
        </w:rPr>
        <w:t>,</w:t>
      </w:r>
      <w:r w:rsidR="00347C0A">
        <w:rPr>
          <w:rFonts w:ascii="Times New Roman" w:hAnsi="Times New Roman" w:cs="Times New Roman"/>
        </w:rPr>
        <w:t xml:space="preserve"> is that despite </w:t>
      </w:r>
      <w:r w:rsidR="00C5258F">
        <w:rPr>
          <w:rFonts w:ascii="Times New Roman" w:hAnsi="Times New Roman" w:cs="Times New Roman"/>
        </w:rPr>
        <w:t>causing</w:t>
      </w:r>
      <w:r w:rsidR="00347C0A">
        <w:rPr>
          <w:rFonts w:ascii="Times New Roman" w:hAnsi="Times New Roman" w:cs="Times New Roman"/>
        </w:rPr>
        <w:t xml:space="preserve"> temporary induction of the pathway</w:t>
      </w:r>
      <w:r w:rsidR="004A728B">
        <w:rPr>
          <w:rFonts w:ascii="Times New Roman" w:hAnsi="Times New Roman" w:cs="Times New Roman"/>
        </w:rPr>
        <w:t xml:space="preserve"> treatment with insulin</w:t>
      </w:r>
      <w:r w:rsidR="00347C0A">
        <w:rPr>
          <w:rFonts w:ascii="Times New Roman" w:hAnsi="Times New Roman" w:cs="Times New Roman"/>
        </w:rPr>
        <w:t xml:space="preserve"> can also result in pathway desensitization. </w:t>
      </w:r>
      <w:r w:rsidR="00BF5CBA">
        <w:rPr>
          <w:rFonts w:ascii="Times New Roman" w:hAnsi="Times New Roman" w:cs="Times New Roman"/>
        </w:rPr>
        <w:t xml:space="preserve">These trials are still ongoing and more AD/MCI patients are being recruited to </w:t>
      </w:r>
      <w:r w:rsidR="00277058">
        <w:rPr>
          <w:rFonts w:ascii="Times New Roman" w:hAnsi="Times New Roman" w:cs="Times New Roman"/>
        </w:rPr>
        <w:t>further assess</w:t>
      </w:r>
      <w:r w:rsidR="00BF5CBA">
        <w:rPr>
          <w:rFonts w:ascii="Times New Roman" w:hAnsi="Times New Roman" w:cs="Times New Roman"/>
        </w:rPr>
        <w:t xml:space="preserve"> the effects of insulin on cognition. </w:t>
      </w:r>
    </w:p>
    <w:p w14:paraId="6956B29D" w14:textId="77777777" w:rsidR="003770EC" w:rsidRDefault="003770EC" w:rsidP="007819E5">
      <w:pPr>
        <w:spacing w:line="360" w:lineRule="auto"/>
        <w:rPr>
          <w:rFonts w:ascii="Times New Roman" w:hAnsi="Times New Roman" w:cs="Times New Roman"/>
        </w:rPr>
      </w:pPr>
    </w:p>
    <w:p w14:paraId="1EC3FCA4" w14:textId="76B650AD" w:rsidR="008343FB" w:rsidRDefault="006B611A" w:rsidP="00C95197">
      <w:pPr>
        <w:pStyle w:val="Body"/>
        <w:spacing w:line="360" w:lineRule="auto"/>
        <w:jc w:val="both"/>
        <w:rPr>
          <w:rFonts w:ascii="Times New Roman" w:hAnsi="Times New Roman" w:cs="Times New Roman"/>
          <w:sz w:val="24"/>
          <w:szCs w:val="24"/>
        </w:rPr>
      </w:pPr>
      <w:r w:rsidRPr="00994670">
        <w:rPr>
          <w:rFonts w:ascii="Times New Roman" w:hAnsi="Times New Roman" w:cs="Times New Roman"/>
          <w:sz w:val="24"/>
          <w:szCs w:val="24"/>
        </w:rPr>
        <w:t xml:space="preserve">Other pathways are also being </w:t>
      </w:r>
      <w:r w:rsidR="00572B20">
        <w:rPr>
          <w:rFonts w:ascii="Times New Roman" w:hAnsi="Times New Roman" w:cs="Times New Roman"/>
          <w:sz w:val="24"/>
          <w:szCs w:val="24"/>
        </w:rPr>
        <w:t xml:space="preserve">therapeutically </w:t>
      </w:r>
      <w:r w:rsidRPr="00994670">
        <w:rPr>
          <w:rFonts w:ascii="Times New Roman" w:hAnsi="Times New Roman" w:cs="Times New Roman"/>
          <w:sz w:val="24"/>
          <w:szCs w:val="24"/>
        </w:rPr>
        <w:t xml:space="preserve">targeted to improve insulin sensitivity </w:t>
      </w:r>
      <w:r w:rsidR="00994670" w:rsidRPr="00994670">
        <w:rPr>
          <w:rFonts w:ascii="Times New Roman" w:hAnsi="Times New Roman" w:cs="Times New Roman"/>
          <w:sz w:val="24"/>
          <w:szCs w:val="24"/>
        </w:rPr>
        <w:t>and</w:t>
      </w:r>
      <w:r w:rsidRPr="00994670">
        <w:rPr>
          <w:rFonts w:ascii="Times New Roman" w:hAnsi="Times New Roman" w:cs="Times New Roman"/>
          <w:sz w:val="24"/>
          <w:szCs w:val="24"/>
        </w:rPr>
        <w:t xml:space="preserve"> avoid inducing insulin resistance following prolonged treatment</w:t>
      </w:r>
      <w:r w:rsidR="00994670" w:rsidRPr="00994670">
        <w:rPr>
          <w:rFonts w:ascii="Times New Roman" w:hAnsi="Times New Roman" w:cs="Times New Roman"/>
          <w:sz w:val="24"/>
          <w:szCs w:val="24"/>
        </w:rPr>
        <w:t>s</w:t>
      </w:r>
      <w:r w:rsidRPr="00994670">
        <w:rPr>
          <w:rFonts w:ascii="Times New Roman" w:hAnsi="Times New Roman" w:cs="Times New Roman"/>
          <w:sz w:val="24"/>
          <w:szCs w:val="24"/>
        </w:rPr>
        <w:t xml:space="preserve"> with insulin.</w:t>
      </w:r>
      <w:r w:rsidR="00994670">
        <w:rPr>
          <w:rFonts w:ascii="Times New Roman" w:hAnsi="Times New Roman" w:cs="Times New Roman"/>
          <w:sz w:val="24"/>
          <w:szCs w:val="24"/>
        </w:rPr>
        <w:t xml:space="preserve"> </w:t>
      </w:r>
      <w:r w:rsidR="00994670" w:rsidRPr="00994670">
        <w:rPr>
          <w:rFonts w:ascii="Times New Roman" w:hAnsi="Times New Roman" w:cs="Times New Roman"/>
          <w:sz w:val="24"/>
          <w:szCs w:val="24"/>
        </w:rPr>
        <w:t>Exendin 4 is a GLP1 (glucagon-like peptide 1) agonist currently used as an anti-diabetic agent that can modulate insulin signalling</w:t>
      </w:r>
      <w:r w:rsidR="00994670">
        <w:rPr>
          <w:rFonts w:ascii="Times New Roman" w:hAnsi="Times New Roman" w:cs="Times New Roman"/>
          <w:sz w:val="24"/>
          <w:szCs w:val="24"/>
        </w:rPr>
        <w:t xml:space="preserve"> without affecting insulin receptor a</w:t>
      </w:r>
      <w:r w:rsidR="00C74AF1">
        <w:rPr>
          <w:rFonts w:ascii="Times New Roman" w:hAnsi="Times New Roman" w:cs="Times New Roman"/>
          <w:sz w:val="24"/>
          <w:szCs w:val="24"/>
        </w:rPr>
        <w:t xml:space="preserve">ctivity. Exendin 4 can decrease </w:t>
      </w:r>
      <w:r w:rsidR="00C74AF1" w:rsidRPr="00C74AF1">
        <w:rPr>
          <w:rFonts w:ascii="Times New Roman" w:hAnsi="Times New Roman" w:cs="Times New Roman"/>
          <w:sz w:val="24"/>
          <w:szCs w:val="24"/>
        </w:rPr>
        <w:t>Aβ</w:t>
      </w:r>
      <w:r w:rsidR="00C74AF1">
        <w:rPr>
          <w:rFonts w:ascii="Times New Roman" w:hAnsi="Times New Roman" w:cs="Times New Roman"/>
          <w:sz w:val="24"/>
          <w:szCs w:val="24"/>
        </w:rPr>
        <w:t xml:space="preserve"> oligomer </w:t>
      </w:r>
      <w:r w:rsidR="00994670">
        <w:rPr>
          <w:rFonts w:ascii="Times New Roman" w:hAnsi="Times New Roman" w:cs="Times New Roman"/>
          <w:sz w:val="24"/>
          <w:szCs w:val="24"/>
        </w:rPr>
        <w:t>induced phosphorylation of IRS1 serine 636/639</w:t>
      </w:r>
      <w:r w:rsidR="0019148D">
        <w:rPr>
          <w:rFonts w:ascii="Times New Roman" w:hAnsi="Times New Roman" w:cs="Times New Roman"/>
          <w:sz w:val="24"/>
          <w:szCs w:val="24"/>
        </w:rPr>
        <w:t xml:space="preserve"> and resensitise insulin signalling</w:t>
      </w:r>
      <w:r w:rsidR="00C74AF1">
        <w:rPr>
          <w:rFonts w:ascii="Times New Roman" w:hAnsi="Times New Roman" w:cs="Times New Roman"/>
          <w:sz w:val="24"/>
          <w:szCs w:val="24"/>
        </w:rPr>
        <w:t xml:space="preserve"> in hippocampal neurons in an</w:t>
      </w:r>
      <w:r w:rsidR="004C6767">
        <w:rPr>
          <w:rFonts w:ascii="Times New Roman" w:hAnsi="Times New Roman" w:cs="Times New Roman"/>
          <w:sz w:val="24"/>
          <w:szCs w:val="24"/>
        </w:rPr>
        <w:t xml:space="preserve"> AD mouse </w:t>
      </w:r>
      <w:r w:rsidR="00B15196">
        <w:rPr>
          <w:rFonts w:ascii="Times New Roman" w:hAnsi="Times New Roman" w:cs="Times New Roman"/>
          <w:sz w:val="24"/>
          <w:szCs w:val="24"/>
        </w:rPr>
        <w:t>model</w:t>
      </w:r>
      <w:r w:rsidR="004C6767">
        <w:rPr>
          <w:rFonts w:ascii="Times New Roman" w:hAnsi="Times New Roman" w:cs="Times New Roman"/>
          <w:sz w:val="24"/>
          <w:szCs w:val="24"/>
        </w:rPr>
        <w:t xml:space="preserve"> </w:t>
      </w:r>
      <w:r w:rsidR="0019148D">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"10.1172/JCI57256DS1", "author" : [ { "dropping-particle" : "", "family" : "Bomfim", "given" : "Theresa R", "non-dropping-particle" : "", "parse-names" : false, "suffix" : "" }, { "dropping-particle" : "", "family" : "Forny-germano", "given" : "Leticia", "non-dropping-particle" : "", "parse-names" : false, "suffix" : "" }, { "dropping-particle" : "", "family" : "Sathler", "given" : "Luciana B", "non-dropping-particle" : "", "parse-names" : false, "suffix" : "" }, { "dropping-particle" : "", "family" : "Brito-moreira", "given" : "Jordano", "non-dropping-particle" : "", "parse-names" : false, "suffix" : "" }, { "dropping-particle" : "", "family" : "Houzel", "given" : "Jean-christophe", "non-dropping-particle" : "", "parse-names" : false, "suffix" : "" }, { "dropping-particle" : "", "family" : "Decker", "given" : "Helena", "non-dropping-particle" : "", "parse-names" : false, "suffix" : "" }, { "dropping-particle" : "", "family" : "Silverman", "given" : "Michael A", "non-dropping-particle" : "", "parse-names" : false, "suffix" : "" }, { "dropping-particle" : "", "family" : "Kazi", "given" : "Hala", "non-dropping-particle" : "", "parse-names" : false, "suffix" : "" }, { "dropping-particle" : "", "family" : "Melo", "given" : "Helen M", "non-dropping-particle" : "", "parse-names" : false, "suffix" : "" }, { "dropping-particle" : "", "family" : "Mcclean", "given" : "Paula L", "non-dropping-particle" : "", "parse-names" : false, "suffix" : "" }, { "dropping-particle" : "", "family" : "Holscher", "given" : "Christian", "non-dropping-particle" : "", "parse-names" : false, "suffix" : "" }, { "dropping-particle" : "", "family" : "Arnold", "given" : "Steven E", "non-dropping-particle" : "", "parse-names" : false, "suffix" : "" }, { "dropping-particle" : "", "family" : "Talbot", "given" : "Konrad", "non-dropping-particle" : "", "parse-names" : false, "suffix" : "" }, { "dropping-particle" : "", "family" : "Klein", "given" : "William L", "non-dropping-particle" : "", "parse-names" : false, "suffix" : "" }, { "dropping-particle" : "", "family" : "Munoz", "given" : "Douglas P", "non-dropping-particle" : "", "parse-names" : false, "suffix" : "" }, { "dropping-particle" : "", "family" : "Ferreira", "given" : "Sergio T", "non-dropping-particle" : "", "parse-names" : false, "suffix" : "" }, { "dropping-particle" : "De", "family" : "Felice", "given" : "Fernanda G", "non-dropping-particle" : "", "parse-names" : false, "suffix" : "" } ], "id" : "ITEM-1", "issue" : "4", "issued" : { "date-parts" : [ [ "2012" ] ] }, "page" : "1339-1353", "title" : "An anti-diabetes agent protects the mouse brain from defective insulin signaling caused by Alzheimer \u2019 s disease \u2013 associated A \u03b2 oligomers", "type" : "article-journal", "volume" : "122" }, "uris" : [ "http://www.mendeley.com/documents/?uuid=6e5949b9-cdba-45db-aea7-f5dd15de3603" ] } ], "mendeley" : { "formattedCitation" : "(Bomfim et al. 2012)", "plainTextFormattedCitation" : "(Bomfim et al. 2012)", "previouslyFormattedCitation" : "(Bomfim et al. 2012)" }, "properties" : { "noteIndex" : 0 }, "schema" : "https://github.com/citation-style-language/schema/raw/master/csl-citation.json" }</w:instrText>
      </w:r>
      <w:r w:rsidR="0019148D">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(Bomfim et al. 2012)</w:t>
      </w:r>
      <w:r w:rsidR="0019148D">
        <w:rPr>
          <w:rFonts w:ascii="Times New Roman" w:hAnsi="Times New Roman" w:cs="Times New Roman"/>
          <w:sz w:val="24"/>
          <w:szCs w:val="24"/>
        </w:rPr>
        <w:fldChar w:fldCharType="end"/>
      </w:r>
      <w:r w:rsidR="0019148D">
        <w:rPr>
          <w:rFonts w:ascii="Times New Roman" w:hAnsi="Times New Roman" w:cs="Times New Roman"/>
          <w:sz w:val="24"/>
          <w:szCs w:val="24"/>
        </w:rPr>
        <w:t>.</w:t>
      </w:r>
      <w:r w:rsidR="00B15196">
        <w:rPr>
          <w:rFonts w:ascii="Times New Roman" w:hAnsi="Times New Roman" w:cs="Times New Roman"/>
          <w:sz w:val="24"/>
          <w:szCs w:val="24"/>
        </w:rPr>
        <w:t xml:space="preserve"> More recently, GLP1 has been shown to protect</w:t>
      </w:r>
      <w:r w:rsidR="00D70514">
        <w:rPr>
          <w:rFonts w:ascii="Times New Roman" w:hAnsi="Times New Roman" w:cs="Times New Roman"/>
          <w:sz w:val="24"/>
          <w:szCs w:val="24"/>
        </w:rPr>
        <w:t xml:space="preserve"> mouse hippocampal neurons against additional</w:t>
      </w:r>
      <w:r w:rsidR="00BD2081">
        <w:rPr>
          <w:rFonts w:ascii="Times New Roman" w:hAnsi="Times New Roman" w:cs="Times New Roman"/>
          <w:sz w:val="24"/>
          <w:szCs w:val="24"/>
        </w:rPr>
        <w:t xml:space="preserve"> AD associated</w:t>
      </w:r>
      <w:r w:rsidR="00D70514">
        <w:rPr>
          <w:rFonts w:ascii="Times New Roman" w:hAnsi="Times New Roman" w:cs="Times New Roman"/>
          <w:sz w:val="24"/>
          <w:szCs w:val="24"/>
        </w:rPr>
        <w:t xml:space="preserve"> stressors such as l-glutamate and tunacamycin and this relies on activation of Akt and MAPK signalling</w:t>
      </w:r>
      <w:r w:rsidR="00886330">
        <w:rPr>
          <w:rFonts w:ascii="Times New Roman" w:hAnsi="Times New Roman" w:cs="Times New Roman"/>
          <w:sz w:val="24"/>
          <w:szCs w:val="24"/>
        </w:rPr>
        <w:t xml:space="preserve"> </w:t>
      </w:r>
      <w:r w:rsidR="00886330">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"10.1016/j.bbrc.2015.01.098", "ISSN" : "1090-2104", "PMID" : "25660451", "abstract" : "Alzheimer's disease (AD) is a common neurodegenerative disease characterized by cognitive dysfunction and neuronal cell death in the hippocampus and cerebral cortex. Glucagon-like peptide-1 (GLP-1) is an insulinotropic peptides. GLP-1-associated medicines are widely used as treatments for type 2 diabetes. In addition, they have been shown to ameliorate pathology in AD mouse models. Here, we investigated the effects of GLP-1 on different stressors in murine hippocampal HT22 cells. GLP-1 (7-36) prevented H2O2-, l-glutamate-, tunicamycin-, thapsigargin-, and amyloid \u03b21-42-induced neuronal cell death in a concentration-dependent manner. GLP-1 (7-36) treatment for 1 h significantly increased phosphorylated Akt and extracellular signal-regulated kinase 1 and 2 (ERK1/2) when compared with vehicle-treatment. These results suggest that GLP-1 (7-36) is protective against these stressors via activation of survival signaling molecules, such as Akt and ERK1/2 in HT22 cells. In conclusion, GLP-1 and activators of the GLP-1 receptor might be useful targets for the treatment of AD.", "author" : [ { "dropping-particle" : "", "family" : "Yoshino", "given" : "Yuta", "non-dropping-particle" : "", "parse-names" : false, "suffix" : "" }, { "dropping-particle" : "", "family" : "Ishisaka", "given" : "Mitsue", "non-dropping-particle" : "", "parse-names" : false, "suffix" : "" }, { "dropping-particle" : "", "family" : "Tsujii", "given" : "Saori", "non-dropping-particle" : "", "parse-names" : false, "suffix" : "" }, { "dropping-particle" : "", "family" : "Shimazawa", "given" : "Masamitsu", "non-dropping-particle" : "", "parse-names" : false, "suffix" : "" }, { "dropping-particle" : "", "family" : "Hara", "given" : "Hideaki", "non-dropping-particle" : "", "parse-names" : false, "suffix" : "" } ], "container-title" : "Biochemical and biophysical research communications", "id" : "ITEM-1", "issue" : "2", "issued" : { "date-parts" : [ [ "2015", "3", "6" ] ] }, "page" : "274-9", "title" : "Glucagon-like peptide-1 protects the murine hippocampus against stressors via Akt and ERK1/2 signaling.", "type" : "article-journal", "volume" : "458" }, "uris" : [ "http://www.mendeley.com/documents/?uuid=82732151-2fa7-49de-8257-5d6095844e8e" ] } ], "mendeley" : { "formattedCitation" : "(Yoshino et al. 2015)", "plainTextFormattedCitation" : "(Yoshino et al. 2015)", "previouslyFormattedCitation" : "(Yoshino et al. 2015)" }, "properties" : { "noteIndex" : 0 }, "schema" : "https://github.com/citation-style-language/schema/raw/master/csl-citation.json" }</w:instrText>
      </w:r>
      <w:r w:rsidR="00886330">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(Yoshino et al. 2015)</w:t>
      </w:r>
      <w:r w:rsidR="00886330">
        <w:rPr>
          <w:rFonts w:ascii="Times New Roman" w:hAnsi="Times New Roman" w:cs="Times New Roman"/>
          <w:sz w:val="24"/>
          <w:szCs w:val="24"/>
        </w:rPr>
        <w:fldChar w:fldCharType="end"/>
      </w:r>
      <w:r w:rsidR="00886330">
        <w:rPr>
          <w:rFonts w:ascii="Times New Roman" w:hAnsi="Times New Roman" w:cs="Times New Roman"/>
          <w:sz w:val="24"/>
          <w:szCs w:val="24"/>
        </w:rPr>
        <w:t>.</w:t>
      </w:r>
      <w:r w:rsidR="008A0867">
        <w:rPr>
          <w:rFonts w:ascii="Times New Roman" w:hAnsi="Times New Roman" w:cs="Times New Roman"/>
          <w:sz w:val="24"/>
          <w:szCs w:val="24"/>
        </w:rPr>
        <w:t xml:space="preserve"> </w:t>
      </w:r>
      <w:r w:rsidR="00572B20">
        <w:rPr>
          <w:rFonts w:ascii="Times New Roman" w:hAnsi="Times New Roman" w:cs="Times New Roman"/>
          <w:sz w:val="24"/>
          <w:szCs w:val="24"/>
        </w:rPr>
        <w:t xml:space="preserve">Increased signalling through PI3K/Akt occurs </w:t>
      </w:r>
      <w:r w:rsidR="007A1C31">
        <w:rPr>
          <w:rFonts w:ascii="Times New Roman" w:hAnsi="Times New Roman" w:cs="Times New Roman"/>
          <w:sz w:val="24"/>
          <w:szCs w:val="24"/>
        </w:rPr>
        <w:t>following an exendin 4 dependent elevation of</w:t>
      </w:r>
      <w:r w:rsidR="00572B20">
        <w:rPr>
          <w:rFonts w:ascii="Times New Roman" w:hAnsi="Times New Roman" w:cs="Times New Roman"/>
          <w:sz w:val="24"/>
          <w:szCs w:val="24"/>
        </w:rPr>
        <w:t xml:space="preserve"> insulin levels</w:t>
      </w:r>
      <w:r w:rsidR="007A1C31">
        <w:rPr>
          <w:rFonts w:ascii="Times New Roman" w:hAnsi="Times New Roman" w:cs="Times New Roman"/>
          <w:sz w:val="24"/>
          <w:szCs w:val="24"/>
        </w:rPr>
        <w:t>, which additionally reduces tau hyperphosphoryltion in a Type-2 diabetic rat model</w:t>
      </w:r>
      <w:r w:rsidR="00DA1AA0">
        <w:rPr>
          <w:rFonts w:ascii="Times New Roman" w:hAnsi="Times New Roman" w:cs="Times New Roman"/>
          <w:sz w:val="24"/>
          <w:szCs w:val="24"/>
        </w:rPr>
        <w:t xml:space="preserve"> </w:t>
      </w:r>
      <w:r w:rsidR="008A0867">
        <w:rPr>
          <w:rFonts w:ascii="Times New Roman" w:hAnsi="Times New Roman" w:cs="Times New Roman"/>
          <w:sz w:val="24"/>
          <w:szCs w:val="24"/>
        </w:rPr>
        <w:fldChar w:fldCharType="begin" w:fldLock="1"/>
      </w:r>
      <w:r w:rsidR="003E7BDB">
        <w:rPr>
          <w:rFonts w:ascii="Times New Roman" w:hAnsi="Times New Roman" w:cs="Times New Roman"/>
          <w:sz w:val="24"/>
          <w:szCs w:val="24"/>
        </w:rPr>
        <w:instrText>ADDIN CSL_CITATION { "citationItems" : [ { "id" : "ITEM-1", "itemData" : { "DOI" : "10.1016/j.mcn.2015.10.005", "ISSN" : "1095-9327", "PMID" : "26640240", "abstract" : "Type 2 diabetes (T2D) is a high risk factor for Alzheimer's disease (AD). Our previous study identified that hyperphosphorylation of tau protein, which is one of the pathophysiologic hallmarks of AD, also occurred in T2D rats' brain; while glucagon-like peptide-1 (GLP-1) mimetics, a type of drug used in T2D, could decrease the phosphorylation of tau, probably via augmenting insulin signaling pathway. The purpose of this study was to further explore the mechanisms that underlie the effect of exendin-4 (ex-4, a GLP-1 receptor agonist) in reducing tau phosphorylation. We found that peripheral ex-4 injection in T2D rats reduced hyperphosphorylation of tau protein in rat hippocampus, probably via increasing hippocampal insulin which activated insulin signaling. Furthermore, we found that ex-4 could neither activate insulin signaling, nor reduce tau phosphorylation in HT22 neuronal cells in the absence of insulin. These results suggested that insulin is required in reduction of tau hyperphosphorylation by ex-4 in brain rats with T2D.", "author" : [ { "dropping-particle" : "", "family" : "Yang", "given" : "Yan", "non-dropping-particle" : "", "parse-names" : false, "suffix" : "" }, { "dropping-particle" : "", "family" : "Ma", "given" : "Delin", "non-dropping-particle" : "", "parse-names" : false, "suffix" : "" }, { "dropping-particle" : "", "family" : "Xu", "given" : "Weijie", "non-dropping-particle" : "", "parse-names" : false, "suffix" : "" }, { "dropping-particle" : "", "family" : "Chen", "given" : "Fuqiong", "non-dropping-particle" : "", "parse-names" : false, "suffix" : "" }, { "dropping-particle" : "", "family" : "Du", "given" : "Tingting", "non-dropping-particle" : "", "parse-names" : false, "suffix" : "" }, { "dropping-particle" : "", "family" : "Yue", "given" : "Wenzhu", "non-dropping-particle" : "", "parse-names" : false, "suffix" : "" }, { "dropping-particle" : "", "family" : "Shao", "given" : "Shiying", "non-dropping-particle" : "", "parse-names" : false, "suffix" : "" }, { "dropping-particle" : "", "family" : "Yuan", "given" : "Gang", "non-dropping-particle" : "", "parse-names" : false, "suffix" : "" } ], "container-title" : "Molecular and cellular neurosciences", "id" : "ITEM-1", "issued" : { "date-parts" : [ [ "2016", "1" ] ] }, "page" : "68-75", "title" : "Exendin-4 reduces tau hyperphosphorylation in type 2 diabetic rats via increasing brain insulin level.", "type" : "article-journal", "volume" : "70" }, "uris" : [ "http://www.mendeley.com/documents/?uuid=c847a188-4830-455f-97f3-6aa221557f46" ] } ], "mendeley" : { "formattedCitation" : "(Yang et al. 2016)", "plainTextFormattedCitation" : "(Yang et al. 2016)", "previouslyFormattedCitation" : "(Yang et al. 2016)" }, "properties" : { "noteIndex" : 0 }, "schema" : "https://github.com/citation-style-language/schema/raw/master/csl-citation.json" }</w:instrText>
      </w:r>
      <w:r w:rsidR="008A0867">
        <w:rPr>
          <w:rFonts w:ascii="Times New Roman" w:hAnsi="Times New Roman" w:cs="Times New Roman"/>
          <w:sz w:val="24"/>
          <w:szCs w:val="24"/>
        </w:rPr>
        <w:fldChar w:fldCharType="separate"/>
      </w:r>
      <w:r w:rsidR="00C148FC" w:rsidRPr="00C148FC">
        <w:rPr>
          <w:rFonts w:ascii="Times New Roman" w:hAnsi="Times New Roman" w:cs="Times New Roman"/>
          <w:noProof/>
          <w:sz w:val="24"/>
          <w:szCs w:val="24"/>
        </w:rPr>
        <w:t>(Yang et al. 2016)</w:t>
      </w:r>
      <w:r w:rsidR="008A0867">
        <w:rPr>
          <w:rFonts w:ascii="Times New Roman" w:hAnsi="Times New Roman" w:cs="Times New Roman"/>
          <w:sz w:val="24"/>
          <w:szCs w:val="24"/>
        </w:rPr>
        <w:fldChar w:fldCharType="end"/>
      </w:r>
      <w:r w:rsidR="008A0867">
        <w:rPr>
          <w:rFonts w:ascii="Times New Roman" w:hAnsi="Times New Roman" w:cs="Times New Roman"/>
          <w:sz w:val="24"/>
          <w:szCs w:val="24"/>
        </w:rPr>
        <w:t>.</w:t>
      </w:r>
    </w:p>
    <w:p w14:paraId="342D36B6" w14:textId="77777777" w:rsidR="00FE7F1B" w:rsidRPr="00FE7F1B" w:rsidRDefault="00FE7F1B" w:rsidP="00FE7F1B">
      <w:bookmarkStart w:id="412" w:name="_Toc328301099"/>
      <w:bookmarkStart w:id="413" w:name="_Toc329593393"/>
      <w:bookmarkStart w:id="414" w:name="_Toc331425893"/>
      <w:bookmarkStart w:id="415" w:name="_Toc331427080"/>
      <w:bookmarkStart w:id="416" w:name="_Toc331427452"/>
      <w:bookmarkStart w:id="417" w:name="_Toc331427594"/>
    </w:p>
    <w:p w14:paraId="5B2EDDA5" w14:textId="1AA87443" w:rsidR="00D46988" w:rsidRDefault="00233453" w:rsidP="009A1D4C">
      <w:pPr>
        <w:pStyle w:val="Heading2"/>
      </w:pPr>
      <w:bookmarkStart w:id="418" w:name="_Toc332972598"/>
      <w:bookmarkStart w:id="419" w:name="_Toc333046878"/>
      <w:bookmarkStart w:id="420" w:name="_Toc333477225"/>
      <w:bookmarkStart w:id="421" w:name="_Toc333477995"/>
      <w:bookmarkStart w:id="422" w:name="_Toc333644895"/>
      <w:r>
        <w:t>1.9</w:t>
      </w:r>
      <w:r w:rsidR="003A2584">
        <w:t xml:space="preserve"> </w:t>
      </w:r>
      <w:r w:rsidR="00672E22" w:rsidRPr="00EB28D0">
        <w:t>Role of Insulin/IGF</w:t>
      </w:r>
      <w:r w:rsidR="00E15E38" w:rsidRPr="00EB28D0">
        <w:t xml:space="preserve">1 signalling in </w:t>
      </w:r>
      <w:r w:rsidR="00672E22" w:rsidRPr="00EB28D0">
        <w:t>astrocytes</w:t>
      </w:r>
      <w:bookmarkEnd w:id="412"/>
      <w:bookmarkEnd w:id="413"/>
      <w:bookmarkEnd w:id="414"/>
      <w:bookmarkEnd w:id="415"/>
      <w:bookmarkEnd w:id="416"/>
      <w:bookmarkEnd w:id="417"/>
      <w:bookmarkEnd w:id="418"/>
      <w:bookmarkEnd w:id="419"/>
      <w:bookmarkEnd w:id="420"/>
      <w:bookmarkEnd w:id="421"/>
      <w:bookmarkEnd w:id="422"/>
    </w:p>
    <w:p w14:paraId="79F1A91B" w14:textId="77777777" w:rsidR="00FC3275" w:rsidRPr="00FC3275" w:rsidRDefault="00FC3275" w:rsidP="00FC3275"/>
    <w:p w14:paraId="690D4BFF" w14:textId="77777777" w:rsidR="008D1251" w:rsidRPr="00EB28D0" w:rsidRDefault="008D1251" w:rsidP="008D1251">
      <w:pPr>
        <w:rPr>
          <w:rFonts w:ascii="Times New Roman" w:hAnsi="Times New Roman" w:cs="Times New Roman"/>
        </w:rPr>
      </w:pPr>
    </w:p>
    <w:p w14:paraId="6BC9E079" w14:textId="4D7907DE" w:rsidR="006A0FA3" w:rsidRDefault="00844843" w:rsidP="003E7BDB">
      <w:pPr>
        <w:spacing w:line="360" w:lineRule="auto"/>
        <w:jc w:val="both"/>
        <w:rPr>
          <w:rFonts w:ascii="Times New Roman" w:hAnsi="Times New Roman" w:cs="Times New Roman"/>
        </w:rPr>
      </w:pPr>
      <w:r>
        <w:rPr>
          <w:rFonts w:ascii="Times New Roman" w:hAnsi="Times New Roman" w:cs="Times New Roman"/>
        </w:rPr>
        <w:t>Astrocyte-</w:t>
      </w:r>
      <w:r w:rsidR="00CB7828" w:rsidRPr="00EB28D0">
        <w:rPr>
          <w:rFonts w:ascii="Times New Roman" w:hAnsi="Times New Roman" w:cs="Times New Roman"/>
        </w:rPr>
        <w:t>enriched rodent cultures treated with insu</w:t>
      </w:r>
      <w:r w:rsidR="00AC4C76" w:rsidRPr="00EB28D0">
        <w:rPr>
          <w:rFonts w:ascii="Times New Roman" w:hAnsi="Times New Roman" w:cs="Times New Roman"/>
        </w:rPr>
        <w:t xml:space="preserve">lin or IGF1 have increased glucose uptake, </w:t>
      </w:r>
      <w:r w:rsidR="00CB7828" w:rsidRPr="00EB28D0">
        <w:rPr>
          <w:rFonts w:ascii="Times New Roman" w:hAnsi="Times New Roman" w:cs="Times New Roman"/>
        </w:rPr>
        <w:t>glycogen content</w:t>
      </w:r>
      <w:r w:rsidR="00AC4C76" w:rsidRPr="00EB28D0">
        <w:rPr>
          <w:rFonts w:ascii="Times New Roman" w:hAnsi="Times New Roman" w:cs="Times New Roman"/>
        </w:rPr>
        <w:t xml:space="preserve"> and higher levels of </w:t>
      </w:r>
      <w:r w:rsidR="00BB5ECA" w:rsidRPr="00EB28D0">
        <w:rPr>
          <w:rFonts w:ascii="Times New Roman" w:hAnsi="Times New Roman" w:cs="Times New Roman"/>
        </w:rPr>
        <w:t>leucine incorporated in astrocytic proteins</w:t>
      </w:r>
      <w:r w:rsidR="00CB7828" w:rsidRPr="00EB28D0">
        <w:rPr>
          <w:rFonts w:ascii="Times New Roman" w:hAnsi="Times New Roman" w:cs="Times New Roman"/>
        </w:rPr>
        <w:t xml:space="preserve"> </w:t>
      </w:r>
      <w:r w:rsidR="00CB7828" w:rsidRPr="00EB28D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"0022-3042", "PMID" : "1729397", "abstract" : "The glycogen content of astroglia-rich primary cultures derived from the brains of newborn rats depends on the concentration of glucose in the culture medium. After administration of culture medium lacking glucose, the glycogen content decreases with a half-time of 7 min. Readdition of glucose results in replenishment of the glycogen stores within 2-3 h, but fully only if glucose is present in a concentration of at least 4 mM. Insulin, or the more potent insulin-like growth factor I, increases the content of glycogen approximately 1.7-fold, with the half-maximal effects being attained at concentrations of 10 and 0.5 nM, respectively. These results suggest that (a) glucose or a metabolite of it and (b) insulin-like growth factor I or a closely related peptide, but not insulin, are likely to be physiological regulators of the level of glycogen in astrocytes.", "author" : [ { "dropping-particle" : "", "family" : "Dringen", "given" : "R", "non-dropping-particle" : "", "parse-names" : false, "suffix" : "" }, { "dropping-particle" : "", "family" : "Hamprecht", "given" : "B", "non-dropping-particle" : "", "parse-names" : false, "suffix" : "" } ], "container-title" : "Journal of neurochemistry", "id" : "ITEM-1", "issue" : "2", "issued" : { "date-parts" : [ [ "1992", "2" ] ] }, "page" : "511-7", "title" : "Glucose, insulin, and insulin-like growth factor I regulate the glycogen content of astroglia-rich primary cultures.", "type" : "article-journal", "volume" : "58" }, "uris" : [ "http://www.mendeley.com/documents/?uuid=5b51d2d0-7d56-4c29-bbea-0cf2453773bb" ] }, { "id" : "ITEM-2", "itemData" : { "DOI" : "10.1002/glia.440060404", "ISSN" : "0894-1491", "PMID" : "1464458", "abstract" : "Insulin, following binding to its receptor, produces a dose- and time-dependent stimulation of entry of 2-deoxy-D-[U-14C] glucose and glycogen synthesis from D-[U-14C] glucose in cultured mouse astrocytes following differentiation. Maximal stimulation of both glucose entry (217% above basal) and of glycogen synthesis (209% above basal) was observed at an insulin concentration of 1.7 x 10(-8) M. Insulin also stimulates the incorporation of leucine into astrocytic proteins with maximal stimulation (156% above basal) at an insulin concentration of 1.7 x 10(-7) M, but no effect on leucine uptake was observed at an insulin concentration of 1.7 x 10(-6) M. These results, together with a previous demonstration that insulin and certain insulin analogues stimulate pyrimidine nucleoside incorporation into nucleic acid, indicate that insulin has diverse actions on biomacromolecular metabolism in cultured mouse astrocytes.", "author" : [ { "dropping-particle" : "", "family" : "Kum", "given" : "W", "non-dropping-particle" : "", "parse-names" : false, "suffix" : "" }, { "dropping-particle" : "", "family" : "Zhu", "given" : "S Q", "non-dropping-particle" : "", "parse-names" : false, "suffix" : "" }, { "dropping-particle" : "", "family" : "Ho", "given" : "S K", "non-dropping-particle" : "", "parse-names" : false, "suffix" : "" }, { "dropping-particle" : "", "family" : "Young", "given" : "J D", "non-dropping-particle" : "", "parse-names" : false, "suffix" : "" }, { "dropping-particle" : "", "family" : "Cockram", "given" : "C S", "non-dropping-particle" : "", "parse-names" : false, "suffix" : "" } ], "container-title" : "Glia", "id" : "ITEM-2", "issue" : "4", "issued" : { "date-parts" : [ [ "1992", "1" ] ] }, "page" : "264-8", "title" : "Effect of insulin on glucose and glycogen metabolism and leucine incorporation into protein in cultured mouse astrocytes.", "type" : "article-journal", "volume" : "6" }, "uris" : [ "http://www.mendeley.com/documents/?uuid=87c09c49-89ea-41b2-9f7d-e236900821d0" ] } ], "mendeley" : { "formattedCitation" : "(R Dringen &amp; Hamprecht 1992; Kum et al. 1992)", "plainTextFormattedCitation" : "(R Dringen &amp; Hamprecht 1992; Kum et al. 1992)", "previouslyFormattedCitation" : "(R Dringen &amp; Hamprecht 1992; Kum et al. 1992)" }, "properties" : { "noteIndex" : 0 }, "schema" : "https://github.com/citation-style-language/schema/raw/master/csl-citation.json" }</w:instrText>
      </w:r>
      <w:r w:rsidR="00CB7828" w:rsidRPr="00EB28D0">
        <w:rPr>
          <w:rFonts w:ascii="Times New Roman" w:hAnsi="Times New Roman" w:cs="Times New Roman"/>
        </w:rPr>
        <w:fldChar w:fldCharType="separate"/>
      </w:r>
      <w:r w:rsidR="00C148FC" w:rsidRPr="00C148FC">
        <w:rPr>
          <w:rFonts w:ascii="Times New Roman" w:hAnsi="Times New Roman" w:cs="Times New Roman"/>
          <w:noProof/>
        </w:rPr>
        <w:t>(R Dringen &amp; Hamprecht 1992; Kum et al. 1992)</w:t>
      </w:r>
      <w:r w:rsidR="00CB7828" w:rsidRPr="00EB28D0">
        <w:rPr>
          <w:rFonts w:ascii="Times New Roman" w:hAnsi="Times New Roman" w:cs="Times New Roman"/>
        </w:rPr>
        <w:fldChar w:fldCharType="end"/>
      </w:r>
      <w:r w:rsidR="00BB5ECA" w:rsidRPr="00EB28D0">
        <w:rPr>
          <w:rFonts w:ascii="Times New Roman" w:hAnsi="Times New Roman" w:cs="Times New Roman"/>
        </w:rPr>
        <w:t>.</w:t>
      </w:r>
      <w:r w:rsidR="00E83F64" w:rsidRPr="00EB28D0">
        <w:rPr>
          <w:rFonts w:ascii="Times New Roman" w:hAnsi="Times New Roman" w:cs="Times New Roman"/>
        </w:rPr>
        <w:t xml:space="preserve"> </w:t>
      </w:r>
      <w:r w:rsidR="001814CF">
        <w:rPr>
          <w:rFonts w:ascii="Times New Roman" w:hAnsi="Times New Roman" w:cs="Times New Roman"/>
        </w:rPr>
        <w:t>Stimulation of the i</w:t>
      </w:r>
      <w:r w:rsidR="00573815">
        <w:rPr>
          <w:rFonts w:ascii="Times New Roman" w:hAnsi="Times New Roman" w:cs="Times New Roman"/>
        </w:rPr>
        <w:t>nsulin/IGF</w:t>
      </w:r>
      <w:r w:rsidR="00372836" w:rsidRPr="00EB28D0">
        <w:rPr>
          <w:rFonts w:ascii="Times New Roman" w:hAnsi="Times New Roman" w:cs="Times New Roman"/>
        </w:rPr>
        <w:t>1</w:t>
      </w:r>
      <w:r w:rsidR="00DD71BD">
        <w:rPr>
          <w:rFonts w:ascii="Times New Roman" w:hAnsi="Times New Roman" w:cs="Times New Roman"/>
        </w:rPr>
        <w:t xml:space="preserve"> signalling</w:t>
      </w:r>
      <w:r w:rsidR="001814CF">
        <w:rPr>
          <w:rFonts w:ascii="Times New Roman" w:hAnsi="Times New Roman" w:cs="Times New Roman"/>
        </w:rPr>
        <w:t xml:space="preserve"> pathway</w:t>
      </w:r>
      <w:r w:rsidR="00DD71BD">
        <w:rPr>
          <w:rFonts w:ascii="Times New Roman" w:hAnsi="Times New Roman" w:cs="Times New Roman"/>
        </w:rPr>
        <w:t xml:space="preserve"> al</w:t>
      </w:r>
      <w:r w:rsidR="001814CF">
        <w:rPr>
          <w:rFonts w:ascii="Times New Roman" w:hAnsi="Times New Roman" w:cs="Times New Roman"/>
        </w:rPr>
        <w:t>so activates glutamate synthase which produces glutamate and</w:t>
      </w:r>
      <w:r w:rsidR="00DD71BD">
        <w:rPr>
          <w:rFonts w:ascii="Times New Roman" w:hAnsi="Times New Roman" w:cs="Times New Roman"/>
        </w:rPr>
        <w:t xml:space="preserve"> directl</w:t>
      </w:r>
      <w:r w:rsidR="006A0FA3">
        <w:rPr>
          <w:rFonts w:ascii="Times New Roman" w:hAnsi="Times New Roman" w:cs="Times New Roman"/>
        </w:rPr>
        <w:t>y influences glucose uptake in rodent</w:t>
      </w:r>
      <w:r w:rsidR="00DD71BD">
        <w:rPr>
          <w:rFonts w:ascii="Times New Roman" w:hAnsi="Times New Roman" w:cs="Times New Roman"/>
        </w:rPr>
        <w:t xml:space="preserve"> astrocytes</w:t>
      </w:r>
      <w:r w:rsidR="00372836" w:rsidRPr="00EB28D0">
        <w:rPr>
          <w:rFonts w:ascii="Times New Roman" w:hAnsi="Times New Roman" w:cs="Times New Roman"/>
        </w:rPr>
        <w:t xml:space="preserve"> </w:t>
      </w:r>
      <w:r w:rsidR="00372836" w:rsidRPr="00EB28D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"10.1046/j.1471-4159.1999.0730400.x", "ISSN" : "00223042", "author" : [ { "dropping-particle" : "", "family" : "Hamai", "given" : "Meiko", "non-dropping-particle" : "", "parse-names" : false, "suffix" : "" }, { "dropping-particle" : "", "family" : "Minokoshi", "given" : "Yasuhiko", "non-dropping-particle" : "", "parse-names" : false, "suffix" : "" }, { "dropping-particle" : "", "family" : "Shimazu", "given" : "Takashi", "non-dropping-particle" : "", "parse-names" : false, "suffix" : "" } ], "container-title" : "Journal of Neurochemistry", "id" : "ITEM-1", "issue" : "1", "issued" : { "date-parts" : [ [ "2002", "1", "18" ] ] }, "page" : "400-407", "title" : "L-Glutamate and Insulin Enhance Glycogen Synthesis in Cultured Astrocytes from the Rat Brain Through Different Intracellular Mechanisms", "type" : "article-journal", "volume" : "73" }, "uris" : [ "http://www.mendeley.com/documents/?uuid=333fec49-9563-4efd-92a0-d6aecf8cb812" ] } ], "mendeley" : { "formattedCitation" : "(Hamai et al. 2002)", "plainTextFormattedCitation" : "(Hamai et al. 2002)", "previouslyFormattedCitation" : "(Hamai et al. 2002)" }, "properties" : { "noteIndex" : 0 }, "schema" : "https://github.com/citation-style-language/schema/raw/master/csl-citation.json" }</w:instrText>
      </w:r>
      <w:r w:rsidR="00372836" w:rsidRPr="00EB28D0">
        <w:rPr>
          <w:rFonts w:ascii="Times New Roman" w:hAnsi="Times New Roman" w:cs="Times New Roman"/>
        </w:rPr>
        <w:fldChar w:fldCharType="separate"/>
      </w:r>
      <w:r w:rsidR="00C148FC" w:rsidRPr="00C148FC">
        <w:rPr>
          <w:rFonts w:ascii="Times New Roman" w:hAnsi="Times New Roman" w:cs="Times New Roman"/>
          <w:noProof/>
        </w:rPr>
        <w:t>(Hamai et al. 2002)</w:t>
      </w:r>
      <w:r w:rsidR="00372836" w:rsidRPr="00EB28D0">
        <w:rPr>
          <w:rFonts w:ascii="Times New Roman" w:hAnsi="Times New Roman" w:cs="Times New Roman"/>
        </w:rPr>
        <w:fldChar w:fldCharType="end"/>
      </w:r>
      <w:r w:rsidR="00372836" w:rsidRPr="00EB28D0">
        <w:rPr>
          <w:rFonts w:ascii="Times New Roman" w:hAnsi="Times New Roman" w:cs="Times New Roman"/>
        </w:rPr>
        <w:t>.</w:t>
      </w:r>
      <w:r w:rsidR="001C7ECF" w:rsidRPr="00EB28D0">
        <w:rPr>
          <w:rFonts w:ascii="Times New Roman" w:hAnsi="Times New Roman" w:cs="Times New Roman"/>
        </w:rPr>
        <w:t xml:space="preserve"> </w:t>
      </w:r>
      <w:r w:rsidR="00DE4D10">
        <w:rPr>
          <w:rFonts w:ascii="Times New Roman" w:hAnsi="Times New Roman" w:cs="Times New Roman"/>
        </w:rPr>
        <w:t>In addition, insulin is</w:t>
      </w:r>
      <w:r w:rsidR="005A7BBF">
        <w:rPr>
          <w:rFonts w:ascii="Times New Roman" w:hAnsi="Times New Roman" w:cs="Times New Roman"/>
        </w:rPr>
        <w:t xml:space="preserve"> involved</w:t>
      </w:r>
      <w:r w:rsidR="00D04BDD" w:rsidRPr="00EB28D0">
        <w:rPr>
          <w:rFonts w:ascii="Times New Roman" w:hAnsi="Times New Roman" w:cs="Times New Roman"/>
        </w:rPr>
        <w:t xml:space="preserve"> in regulating the distribution and levels of</w:t>
      </w:r>
      <w:r w:rsidR="00DD71BD">
        <w:rPr>
          <w:rFonts w:ascii="Times New Roman" w:hAnsi="Times New Roman" w:cs="Times New Roman"/>
        </w:rPr>
        <w:t xml:space="preserve"> the glutamate transporter</w:t>
      </w:r>
      <w:r w:rsidR="00D04BDD" w:rsidRPr="00EB28D0">
        <w:rPr>
          <w:rFonts w:ascii="Times New Roman" w:hAnsi="Times New Roman" w:cs="Times New Roman"/>
        </w:rPr>
        <w:t xml:space="preserve"> GLT1</w:t>
      </w:r>
      <w:r w:rsidR="00DD71BD">
        <w:rPr>
          <w:rFonts w:ascii="Times New Roman" w:hAnsi="Times New Roman" w:cs="Times New Roman"/>
        </w:rPr>
        <w:t>, which is</w:t>
      </w:r>
      <w:r w:rsidR="008343FB">
        <w:rPr>
          <w:rFonts w:ascii="Times New Roman" w:hAnsi="Times New Roman" w:cs="Times New Roman"/>
        </w:rPr>
        <w:t xml:space="preserve"> expressed by astrocytes. </w:t>
      </w:r>
      <w:r>
        <w:rPr>
          <w:rFonts w:ascii="Times New Roman" w:hAnsi="Times New Roman" w:cs="Times New Roman"/>
        </w:rPr>
        <w:t>Similarly</w:t>
      </w:r>
      <w:r w:rsidR="008343FB">
        <w:rPr>
          <w:rFonts w:ascii="Times New Roman" w:hAnsi="Times New Roman" w:cs="Times New Roman"/>
        </w:rPr>
        <w:t xml:space="preserve">, IGF1 enhances glutamate transport in rat astrocytes through increased transcription and translation of GLAST </w:t>
      </w:r>
      <w:r w:rsidR="008343FB">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"0021-9533", "PMID" : "11707523", "abstract" : "Although expression of the glial glutamate transporter GLAST is tightly regulated during development and under pathophysiological conditions, little is known about endogenous modulators of GLAST expression. Because growth factors are generally believed to regulate glial functions, we addressed their possible contribution to GLAST regulation in cultured rat astrocytes. Of the six growth factors tested (basic fibroblast growth factor (bFGF), insulin-like growth factor-1 (IGF-1), epidermal growth factor (EGF), insulin, platelet-derived growth factor, and hepatocyte growth factor), bFGF, IGF-1 and EGF enhanced [(3)H]glutamate transport activity in a concentration-dependent manner. These effects were accompanied by an increase in the V(max) value for transport activity and in GLAST protein and mRNA levels, which suggests that GLAST expression is transcriptionally regulated by the growth factors. Interestingly, the effects reached a peak after 36 hours of exposure to growth factors, and rapidly returned to baseline by 48 hours. A combination of IGF-1 with either bFGF or EGF showed an additive effect on the glutamate uptake activity, but a combination of bFGF and EGF did not. Pharmacological blockade of protein kinase C inhibited the effects of IGF-1 and EGF, but not bFGF. By contrast, genistein, an inhibitor of tyrosine kinases, blocked the effects of bFGF and EGF without affecting the effect of IGF-1. These results suggest that the growth factors activate different signaling pathways for GLAST upregulation. The present study may indicate a novel regulatory system of glial glutamate transporters.", "author" : [ { "dropping-particle" : "", "family" : "Suzuki", "given" : "K", "non-dropping-particle" : "", "parse-names" : false, "suffix" : "" }, { "dropping-particle" : "", "family" : "Ikegaya", "given" : "Y", "non-dropping-particle" : "", "parse-names" : false, "suffix" : "" }, { "dropping-particle" : "", "family" : "Matsuura", "given" : "S", "non-dropping-particle" : "", "parse-names" : false, "suffix" : "" }, { "dropping-particle" : "", "family" : "Kanai", "given" : "Y", "non-dropping-particle" : "", "parse-names" : false, "suffix" : "" }, { "dropping-particle" : "", "family" : "Endou", "given" : "H", "non-dropping-particle" : "", "parse-names" : false, "suffix" : "" }, { "dropping-particle" : "", "family" : "Matsuki", "given" : "N", "non-dropping-particle" : "", "parse-names" : false, "suffix" : "" } ], "container-title" : "Journal of cell science", "id" : "ITEM-1", "issue" : "Pt 20", "issued" : { "date-parts" : [ [ "2001", "10" ] ] }, "page" : "3717-25", "title" : "Transient upregulation of the glial glutamate transporter GLAST in response to fibroblast growth factor, insulin-like growth factor and epidermal growth factor in cultured astrocytes.", "type" : "article-journal", "volume" : "114" }, "uris" : [ "http://www.mendeley.com/documents/?uuid=e25bdc28-8590-436a-8c06-3500ee6bcb82" ] } ], "mendeley" : { "formattedCitation" : "(Suzuki et al. 2001)", "plainTextFormattedCitation" : "(Suzuki et al. 2001)", "previouslyFormattedCitation" : "(Suzuki et al. 2001)" }, "properties" : { "noteIndex" : 0 }, "schema" : "https://github.com/citation-style-language/schema/raw/master/csl-citation.json" }</w:instrText>
      </w:r>
      <w:r w:rsidR="008343FB">
        <w:rPr>
          <w:rFonts w:ascii="Times New Roman" w:hAnsi="Times New Roman" w:cs="Times New Roman"/>
        </w:rPr>
        <w:fldChar w:fldCharType="separate"/>
      </w:r>
      <w:r w:rsidR="00C148FC" w:rsidRPr="00C148FC">
        <w:rPr>
          <w:rFonts w:ascii="Times New Roman" w:hAnsi="Times New Roman" w:cs="Times New Roman"/>
          <w:noProof/>
        </w:rPr>
        <w:t>(Suzuki et al. 2001)</w:t>
      </w:r>
      <w:r w:rsidR="008343FB">
        <w:rPr>
          <w:rFonts w:ascii="Times New Roman" w:hAnsi="Times New Roman" w:cs="Times New Roman"/>
        </w:rPr>
        <w:fldChar w:fldCharType="end"/>
      </w:r>
      <w:r w:rsidR="008343FB">
        <w:rPr>
          <w:rFonts w:ascii="Times New Roman" w:hAnsi="Times New Roman" w:cs="Times New Roman"/>
        </w:rPr>
        <w:t>.</w:t>
      </w:r>
      <w:r>
        <w:rPr>
          <w:rFonts w:ascii="Times New Roman" w:hAnsi="Times New Roman" w:cs="Times New Roman"/>
        </w:rPr>
        <w:t xml:space="preserve"> Therefore, </w:t>
      </w:r>
      <w:r w:rsidRPr="00EB28D0">
        <w:rPr>
          <w:rFonts w:ascii="Times New Roman" w:hAnsi="Times New Roman" w:cs="Times New Roman"/>
        </w:rPr>
        <w:t>insulin/IG</w:t>
      </w:r>
      <w:r>
        <w:rPr>
          <w:rFonts w:ascii="Times New Roman" w:hAnsi="Times New Roman" w:cs="Times New Roman"/>
        </w:rPr>
        <w:t>F</w:t>
      </w:r>
      <w:r w:rsidRPr="00EB28D0">
        <w:rPr>
          <w:rFonts w:ascii="Times New Roman" w:hAnsi="Times New Roman" w:cs="Times New Roman"/>
        </w:rPr>
        <w:t xml:space="preserve">1 signalling </w:t>
      </w:r>
      <w:r>
        <w:rPr>
          <w:rFonts w:ascii="Times New Roman" w:hAnsi="Times New Roman" w:cs="Times New Roman"/>
        </w:rPr>
        <w:t>in</w:t>
      </w:r>
      <w:r w:rsidRPr="00EB28D0">
        <w:rPr>
          <w:rFonts w:ascii="Times New Roman" w:hAnsi="Times New Roman" w:cs="Times New Roman"/>
        </w:rPr>
        <w:t xml:space="preserve"> astrocytes</w:t>
      </w:r>
      <w:r>
        <w:rPr>
          <w:rFonts w:ascii="Times New Roman" w:hAnsi="Times New Roman" w:cs="Times New Roman"/>
        </w:rPr>
        <w:t xml:space="preserve"> may co-ordinate energy</w:t>
      </w:r>
      <w:r w:rsidRPr="00EB28D0">
        <w:rPr>
          <w:rFonts w:ascii="Times New Roman" w:hAnsi="Times New Roman" w:cs="Times New Roman"/>
        </w:rPr>
        <w:t xml:space="preserve"> me</w:t>
      </w:r>
      <w:r w:rsidR="006E4760">
        <w:rPr>
          <w:rFonts w:ascii="Times New Roman" w:hAnsi="Times New Roman" w:cs="Times New Roman"/>
        </w:rPr>
        <w:t xml:space="preserve">tabolism with </w:t>
      </w:r>
      <w:r>
        <w:rPr>
          <w:rFonts w:ascii="Times New Roman" w:hAnsi="Times New Roman" w:cs="Times New Roman"/>
        </w:rPr>
        <w:t xml:space="preserve">neurotransmission. </w:t>
      </w:r>
      <w:r w:rsidR="00333077">
        <w:rPr>
          <w:rFonts w:ascii="Times New Roman" w:hAnsi="Times New Roman" w:cs="Times New Roman"/>
        </w:rPr>
        <w:t xml:space="preserve">This link has recently been made in a mouse model in which IGF1 has been virally knocked down in the liver, which reduces levels of IGF1 in the serum and the cortex. </w:t>
      </w:r>
      <w:r w:rsidR="00FC0F10">
        <w:rPr>
          <w:rFonts w:ascii="Times New Roman" w:hAnsi="Times New Roman" w:cs="Times New Roman"/>
        </w:rPr>
        <w:t>Using this model, t</w:t>
      </w:r>
      <w:r w:rsidR="00A11733">
        <w:rPr>
          <w:rFonts w:ascii="Times New Roman" w:hAnsi="Times New Roman" w:cs="Times New Roman"/>
        </w:rPr>
        <w:t>hey show that</w:t>
      </w:r>
      <w:r w:rsidR="005A7BBF">
        <w:rPr>
          <w:rFonts w:ascii="Times New Roman" w:hAnsi="Times New Roman" w:cs="Times New Roman"/>
        </w:rPr>
        <w:t xml:space="preserve"> an overall</w:t>
      </w:r>
      <w:r w:rsidR="00A11733">
        <w:rPr>
          <w:rFonts w:ascii="Times New Roman" w:hAnsi="Times New Roman" w:cs="Times New Roman"/>
        </w:rPr>
        <w:t xml:space="preserve"> IGF1 defic</w:t>
      </w:r>
      <w:r w:rsidR="005A7BBF">
        <w:rPr>
          <w:rFonts w:ascii="Times New Roman" w:hAnsi="Times New Roman" w:cs="Times New Roman"/>
        </w:rPr>
        <w:t>it in the brain</w:t>
      </w:r>
      <w:r w:rsidR="00A11733">
        <w:rPr>
          <w:rFonts w:ascii="Times New Roman" w:hAnsi="Times New Roman" w:cs="Times New Roman"/>
        </w:rPr>
        <w:t xml:space="preserve"> </w:t>
      </w:r>
      <w:r w:rsidR="00FE7F1B">
        <w:rPr>
          <w:rFonts w:ascii="Times New Roman" w:hAnsi="Times New Roman" w:cs="Times New Roman"/>
        </w:rPr>
        <w:t>lowers</w:t>
      </w:r>
      <w:r w:rsidR="00A11733">
        <w:rPr>
          <w:rFonts w:ascii="Times New Roman" w:hAnsi="Times New Roman" w:cs="Times New Roman"/>
        </w:rPr>
        <w:t xml:space="preserve"> the</w:t>
      </w:r>
      <w:r>
        <w:rPr>
          <w:rFonts w:ascii="Times New Roman" w:hAnsi="Times New Roman" w:cs="Times New Roman"/>
        </w:rPr>
        <w:t xml:space="preserve"> expression of astrocytic metabotropic glutamate receptors and</w:t>
      </w:r>
      <w:r w:rsidR="00A11733">
        <w:rPr>
          <w:rFonts w:ascii="Times New Roman" w:hAnsi="Times New Roman" w:cs="Times New Roman"/>
        </w:rPr>
        <w:t xml:space="preserve"> reduces the</w:t>
      </w:r>
      <w:r>
        <w:rPr>
          <w:rFonts w:ascii="Times New Roman" w:hAnsi="Times New Roman" w:cs="Times New Roman"/>
        </w:rPr>
        <w:t xml:space="preserve"> release of vasodilator mediators such as arachidonic acid</w:t>
      </w:r>
      <w:r w:rsidR="00A11733">
        <w:rPr>
          <w:rFonts w:ascii="Times New Roman" w:hAnsi="Times New Roman" w:cs="Times New Roman"/>
        </w:rPr>
        <w:t>, causing neurovascular uncoupling and impairments in learning an</w:t>
      </w:r>
      <w:r w:rsidR="00FE7F1B">
        <w:rPr>
          <w:rFonts w:ascii="Times New Roman" w:hAnsi="Times New Roman" w:cs="Times New Roman"/>
        </w:rPr>
        <w:t>d</w:t>
      </w:r>
      <w:r w:rsidR="00A11733">
        <w:rPr>
          <w:rFonts w:ascii="Times New Roman" w:hAnsi="Times New Roman" w:cs="Times New Roman"/>
        </w:rPr>
        <w:t xml:space="preserve"> spatial working memory</w:t>
      </w:r>
      <w:r>
        <w:rPr>
          <w:rFonts w:ascii="Times New Roman" w:hAnsi="Times New Roman" w:cs="Times New Roman"/>
        </w:rPr>
        <w:t xml:space="preserve">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"10.1111/acel.12372", "ISSN" : "14749718", "author" : [ { "dropping-particle" : "", "family" : "Toth", "given" : "Peter", "non-dropping-particle" : "", "parse-names" : false, "suffix" : "" }, { "dropping-particle" : "", "family" : "Tarantini", "given" : "Stefano", "non-dropping-particle" : "", "parse-names" : false, "suffix" : "" }, { "dropping-particle" : "", "family" : "Ashpole", "given" : "Nicole M.", "non-dropping-particle" : "", "parse-names" : false, "suffix" : "" }, { "dropping-particle" : "", "family" : "Tucsek", "given" : "Zsuzsanna", "non-dropping-particle" : "", "parse-names" : false, "suffix" : "" }, { "dropping-particle" : "", "family" : "Milne", "given" : "Ginger L.", "non-dropping-particle" : "", "parse-names" : false, "suffix" : "" }, { "dropping-particle" : "", "family" : "Valcarcel-Ares", "given" : "Noa M.", "non-dropping-particle" : "", "parse-names" : false, "suffix" : "" }, { "dropping-particle" : "", "family" : "Menyhart", "given" : "Akos", "non-dropping-particle" : "", "parse-names" : false, "suffix" : "" }, { "dropping-particle" : "", "family" : "Farkas", "given" : "Eszter", "non-dropping-particle" : "", "parse-names" : false, "suffix" : "" }, { "dropping-particle" : "", "family" : "Sonntag", "given" : "William E.", "non-dropping-particle" : "", "parse-names" : false, "suffix" : "" }, { "dropping-particle" : "", "family" : "Csiszar", "given" : "Anna", "non-dropping-particle" : "", "parse-names" : false, "suffix" : "" }, { "dropping-particle" : "", "family" : "Ungvari", "given" : "Zoltan", "non-dropping-particle" : "", "parse-names" : false, "suffix" : "" } ], "container-title" : "Aging Cell", "id" : "ITEM-1", "issue" : "6", "issued" : { "date-parts" : [ [ "2015", "12" ] ] }, "page" : "1034-1044", "title" : "IGF-1 deficiency impairs neurovascular coupling in mice: implications for cerebromicrovascular aging", "type" : "article-journal", "volume" : "14" }, "uris" : [ "http://www.mendeley.com/documents/?uuid=25bcd1d0-b27e-39e7-92ff-46756afe09c4" ] } ], "mendeley" : { "formattedCitation" : "(Toth et al. 2015)", "plainTextFormattedCitation" : "(Toth et al. 2015)", "previouslyFormattedCitation" : "(Toth et al. 2015)"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(Toth et al. 2015)</w:t>
      </w:r>
      <w:r>
        <w:rPr>
          <w:rFonts w:ascii="Times New Roman" w:hAnsi="Times New Roman" w:cs="Times New Roman"/>
        </w:rPr>
        <w:fldChar w:fldCharType="end"/>
      </w:r>
      <w:r>
        <w:rPr>
          <w:rFonts w:ascii="Times New Roman" w:hAnsi="Times New Roman" w:cs="Times New Roman"/>
        </w:rPr>
        <w:t xml:space="preserve">. </w:t>
      </w:r>
    </w:p>
    <w:p w14:paraId="4F869C7F" w14:textId="77777777" w:rsidR="00567751" w:rsidRDefault="00567751" w:rsidP="00CB7828">
      <w:pPr>
        <w:spacing w:line="360" w:lineRule="auto"/>
        <w:rPr>
          <w:rFonts w:ascii="Times New Roman" w:hAnsi="Times New Roman" w:cs="Times New Roman"/>
        </w:rPr>
      </w:pPr>
    </w:p>
    <w:p w14:paraId="695554BD" w14:textId="23787299" w:rsidR="001E5946" w:rsidRDefault="006A0FA3" w:rsidP="003E7BDB">
      <w:pPr>
        <w:spacing w:line="360" w:lineRule="auto"/>
        <w:jc w:val="both"/>
        <w:rPr>
          <w:rFonts w:ascii="Times New Roman" w:hAnsi="Times New Roman" w:cs="Times New Roman"/>
        </w:rPr>
      </w:pPr>
      <w:r>
        <w:rPr>
          <w:rFonts w:ascii="Times New Roman" w:hAnsi="Times New Roman" w:cs="Times New Roman"/>
        </w:rPr>
        <w:t>The link between insulin/IGF1 and glucose metabolism has been further substantiated recently.</w:t>
      </w:r>
      <w:r w:rsidRPr="006A0FA3">
        <w:rPr>
          <w:rFonts w:ascii="Times New Roman" w:hAnsi="Times New Roman" w:cs="Times New Roman"/>
        </w:rPr>
        <w:t xml:space="preserve"> </w:t>
      </w:r>
      <w:r w:rsidR="001E5946">
        <w:rPr>
          <w:rFonts w:ascii="Times New Roman" w:hAnsi="Times New Roman" w:cs="Times New Roman"/>
        </w:rPr>
        <w:t>In mouse astrocytes,</w:t>
      </w:r>
      <w:r>
        <w:rPr>
          <w:rFonts w:ascii="Times New Roman" w:hAnsi="Times New Roman" w:cs="Times New Roman"/>
        </w:rPr>
        <w:t xml:space="preserve"> reduced basal expression of IR downregulates glucose uptake whilst loss of I</w:t>
      </w:r>
      <w:r w:rsidR="001E5946">
        <w:rPr>
          <w:rFonts w:ascii="Times New Roman" w:hAnsi="Times New Roman" w:cs="Times New Roman"/>
        </w:rPr>
        <w:t>GF1R increases glucose uptake</w:t>
      </w:r>
      <w:r w:rsidR="003770EC">
        <w:rPr>
          <w:rFonts w:ascii="Times New Roman" w:hAnsi="Times New Roman" w:cs="Times New Roman"/>
        </w:rPr>
        <w:t xml:space="preserve"> indicating that </w:t>
      </w:r>
      <w:r>
        <w:rPr>
          <w:rFonts w:ascii="Times New Roman" w:hAnsi="Times New Roman" w:cs="Times New Roman"/>
        </w:rPr>
        <w:t xml:space="preserve">unbound IR has a stimulatory effect whereas IGF1R has an inhibitory effect on glucose entry into the cell. </w:t>
      </w:r>
      <w:r w:rsidR="00C44231">
        <w:rPr>
          <w:rFonts w:ascii="Times New Roman" w:hAnsi="Times New Roman" w:cs="Times New Roman"/>
        </w:rPr>
        <w:t>The same study also</w:t>
      </w:r>
      <w:r w:rsidR="001E5946">
        <w:rPr>
          <w:rFonts w:ascii="Times New Roman" w:hAnsi="Times New Roman" w:cs="Times New Roman"/>
        </w:rPr>
        <w:t xml:space="preserve"> demonstrated that</w:t>
      </w:r>
      <w:r>
        <w:rPr>
          <w:rFonts w:ascii="Times New Roman" w:hAnsi="Times New Roman" w:cs="Times New Roman"/>
        </w:rPr>
        <w:t xml:space="preserve"> both insulin and IGF1 ligands </w:t>
      </w:r>
      <w:r w:rsidR="001E5946">
        <w:rPr>
          <w:rFonts w:ascii="Times New Roman" w:hAnsi="Times New Roman" w:cs="Times New Roman"/>
        </w:rPr>
        <w:t>are</w:t>
      </w:r>
      <w:r>
        <w:rPr>
          <w:rFonts w:ascii="Times New Roman" w:hAnsi="Times New Roman" w:cs="Times New Roman"/>
        </w:rPr>
        <w:t xml:space="preserve"> necessary to increase glucose uptake, as this increases recycling of IGF1R and GLUT1 to the membrane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"10.1101/023556", "author" : [ { "dropping-particle" : "", "family" : "Hernandez", "given" : "Edwin", "non-dropping-particle" : "", "parse-names" : false, "suffix" : "" }, { "dropping-particle" : "", "family" : "Fernandez", "given" : "Ana M", "non-dropping-particle" : "", "parse-names" : false, "suffix" : "" }, { "dropping-particle" : "", "family" : "Perez Alvarez", "given" : "Alberto", "non-dropping-particle" : "", "parse-names" : false, "suffix" : "" }, { "dropping-particle" : "", "family" : "Mederos", "given" : "Sara", "non-dropping-particle" : "", "parse-names" : false, "suffix" : "" }, { "dropping-particle" : "", "family" : "Perez Domper", "given" : "Paloma", "non-dropping-particle" : "", "parse-names" : false, "suffix" : "" }, { "dropping-particle" : "", "family" : "Bascu\u00f1ana", "given" : "Pablo", "non-dropping-particle" : "", "parse-names" : false, "suffix" : "" }, { "dropping-particle" : "", "family" : "Fernandez de la Rosa", "given" : "Ruben", "non-dropping-particle" : "", "parse-names" : false, "suffix" : "" }, { "dropping-particle" : "", "family" : "Delgado", "given" : "Mercedes", "non-dropping-particle" : "", "parse-names" : false, "suffix" : "" }, { "dropping-particle" : "", "family" : "Pozo", "given" : "Miguel Angel", "non-dropping-particle" : "", "parse-names" : false, "suffix" : "" }, { "dropping-particle" : "", "family" : "Miranda Vizuete", "given" : "Antonio", "non-dropping-particle" : "", "parse-names" : false, "suffix" : "" }, { "dropping-particle" : "", "family" : "Guerrero Gomez", "given" : "Diego", "non-dropping-particle" : "", "parse-names" : false, "suffix" : "" }, { "dropping-particle" : "", "family" : "Moreno", "given" : "Estefania", "non-dropping-particle" : "", "parse-names" : false, "suffix" : "" }, { "dropping-particle" : "", "family" : "McCormick", "given" : "Peter J", "non-dropping-particle" : "", "parse-names" : false, "suffix" : "" }, { "dropping-particle" : "", "family" : "Santi", "given" : "Andrea", "non-dropping-particle" : "", "parse-names" : false, "suffix" : "" }, { "dropping-particle" : "", "family" : "Genis", "given" : "Laura", "non-dropping-particle" : "", "parse-names" : false, "suffix" : "" }, { "dropping-particle" : "", "family" : "Trueba Saiz", "given" : "Angel", "non-dropping-particle" : "", "parse-names" : false, "suffix" : "" }, { "dropping-particle" : "", "family" : "Garcia-Caceres", "given" : "Cristina", "non-dropping-particle" : "", "parse-names" : false, "suffix" : "" }, { "dropping-particle" : "", "family" : "Tsch\u00f6p", "given" : "Matthias", "non-dropping-particle" : "", "parse-names" : false, "suffix" : "" }, { "dropping-particle" : "", "family" : "Araque", "given" : "Alfonso", "non-dropping-particle" : "", "parse-names" : false, "suffix" : "" }, { "dropping-particle" : "", "family" : "Perea", "given" : "Gertrudis", "non-dropping-particle" : "", "parse-names" : false, "suffix" : "" }, { "dropping-particle" : "", "family" : "Martin", "given" : "Eduardo D", "non-dropping-particle" : "", "parse-names" : false, "suffix" : "" }, { "dropping-particle" : "", "family" : "Torres Aleman", "given" : "Ignacio", "non-dropping-particle" : "", "parse-names" : false, "suffix" : "" } ], "container-title" : "bioRxiv", "id" : "ITEM-1", "issued" : { "date-parts" : [ [ "2015", "7", "31" ] ] }, "language" : "en", "number-of-pages" : "023556", "publisher" : "Cold Spring Harbor Labs Journals", "title" : "INSULIN GROWTH FACTOR I AND ITS RECEPTOR ARE ANTAGONISTIC MODULATORS OF GLUCOSE HANDLING BY ASTROCYTES", "type" : "report" }, "uris" : [ "http://www.mendeley.com/documents/?uuid=2f811be5-90c4-4f14-9395-26972fb26c95" ] } ], "mendeley" : { "formattedCitation" : "(Hernandez et al. 2015a)", "manualFormatting" : "(Hernandez et al., 2015)", "plainTextFormattedCitation" : "(Hernandez et al. 2015a)", "previouslyFormattedCitation" : "(Hernandez et al. 2015a)" }, "properties" : { "noteIndex" : 0 }, "schema" : "https://github.com/citation-style-language/schema/raw/master/csl-citation.json" }</w:instrText>
      </w:r>
      <w:r>
        <w:rPr>
          <w:rFonts w:ascii="Times New Roman" w:hAnsi="Times New Roman" w:cs="Times New Roman"/>
        </w:rPr>
        <w:fldChar w:fldCharType="separate"/>
      </w:r>
      <w:r w:rsidR="00AB06FB">
        <w:rPr>
          <w:rFonts w:ascii="Times New Roman" w:hAnsi="Times New Roman" w:cs="Times New Roman"/>
          <w:noProof/>
        </w:rPr>
        <w:t>(Hernandez et al., 2015</w:t>
      </w:r>
      <w:r w:rsidR="00E84D82" w:rsidRPr="00E84D82">
        <w:rPr>
          <w:rFonts w:ascii="Times New Roman" w:hAnsi="Times New Roman" w:cs="Times New Roman"/>
          <w:noProof/>
        </w:rPr>
        <w:t>)</w:t>
      </w:r>
      <w:r>
        <w:rPr>
          <w:rFonts w:ascii="Times New Roman" w:hAnsi="Times New Roman" w:cs="Times New Roman"/>
        </w:rPr>
        <w:fldChar w:fldCharType="end"/>
      </w:r>
      <w:r>
        <w:rPr>
          <w:rFonts w:ascii="Times New Roman" w:hAnsi="Times New Roman" w:cs="Times New Roman"/>
        </w:rPr>
        <w:t xml:space="preserve">. Therefore, a fine balance in the levels of ligand and receptors in this pathway are necessary to maintain glucose uptake into cells, which </w:t>
      </w:r>
      <w:r w:rsidR="00BF0FB4">
        <w:rPr>
          <w:rFonts w:ascii="Times New Roman" w:hAnsi="Times New Roman" w:cs="Times New Roman"/>
        </w:rPr>
        <w:t xml:space="preserve">they showed </w:t>
      </w:r>
      <w:r>
        <w:rPr>
          <w:rFonts w:ascii="Times New Roman" w:hAnsi="Times New Roman" w:cs="Times New Roman"/>
        </w:rPr>
        <w:t xml:space="preserve">was </w:t>
      </w:r>
      <w:r w:rsidR="001E5946">
        <w:rPr>
          <w:rFonts w:ascii="Times New Roman" w:hAnsi="Times New Roman" w:cs="Times New Roman"/>
        </w:rPr>
        <w:t>absent in neurons and</w:t>
      </w:r>
      <w:r>
        <w:rPr>
          <w:rFonts w:ascii="Times New Roman" w:hAnsi="Times New Roman" w:cs="Times New Roman"/>
        </w:rPr>
        <w:t xml:space="preserve"> endothelial cells. </w:t>
      </w:r>
      <w:r w:rsidR="001E5946">
        <w:rPr>
          <w:rFonts w:ascii="Times New Roman" w:hAnsi="Times New Roman" w:cs="Times New Roman"/>
        </w:rPr>
        <w:t>In addition,</w:t>
      </w:r>
      <w:r>
        <w:rPr>
          <w:rFonts w:ascii="Times New Roman" w:hAnsi="Times New Roman" w:cs="Times New Roman"/>
        </w:rPr>
        <w:t xml:space="preserve"> </w:t>
      </w:r>
      <w:r w:rsidR="00C44231">
        <w:rPr>
          <w:rFonts w:ascii="Times New Roman" w:hAnsi="Times New Roman" w:cs="Times New Roman"/>
        </w:rPr>
        <w:t>this study showed</w:t>
      </w:r>
      <w:r w:rsidR="001E5946">
        <w:rPr>
          <w:rFonts w:ascii="Times New Roman" w:hAnsi="Times New Roman" w:cs="Times New Roman"/>
        </w:rPr>
        <w:t xml:space="preserve"> that</w:t>
      </w:r>
      <w:r>
        <w:rPr>
          <w:rFonts w:ascii="Times New Roman" w:hAnsi="Times New Roman" w:cs="Times New Roman"/>
        </w:rPr>
        <w:t xml:space="preserve"> loss of IGF1R and reductions in IGF1 do not produce the same effect and that beneficial effects on glucose uptake are apparent when IGF1R levels are low and IGF1 levels are high, as also demonstrated in previous studies</w:t>
      </w:r>
      <w:r w:rsidRPr="008378FF">
        <w:rPr>
          <w:rFonts w:ascii="Times New Roman" w:hAnsi="Times New Roman" w:cs="Times New Roman"/>
        </w:rPr>
        <w:t xml:space="preserve"> </w:t>
      </w:r>
      <w:r w:rsidRPr="008378FF">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"10.1016/j.cell.2009.11.014", "ISSN" : "1097-4172", "PMID" : "20005808", "abstract" : "The insulin/insulin growth factor (IGF) signaling (IIS) pathway is a key regulator of aging of worms, flies, mice, and likely humans. Delayed aging by IIS reduction protects the nematode C. elegans from toxicity associated with the aggregation of the Alzheimer's disease-linked human peptide, Abeta. We reduced IGF signaling in Alzheimer's model mice and discovered that these animals are protected from Alzheimer's-like disease symptoms, including reduced behavioral impairment, neuroinflammation, and neuronal loss. This protection is correlated with the hyperaggregation of Abeta leading to tightly packed, ordered plaques, suggesting that one aspect of the protection conferred by reduced IGF signaling is the sequestration of soluble Abeta oligomers into dense aggregates of lower toxicity. These findings indicate that the IGF signaling-regulated mechanism that protects from Abeta toxicity is conserved from worms to mammals and point to the modulation of this signaling pathway as a promising strategy for the development of Alzheimer's disease therapy.", "author" : [ { "dropping-particle" : "", "family" : "Cohen", "given" : "Ehud", "non-dropping-particle" : "", "parse-names" : false, "suffix" : "" }, { "dropping-particle" : "", "family" : "Paulsson", "given" : "Johan F", "non-dropping-particle" : "", "parse-names" : false, "suffix" : "" }, { "dropping-particle" : "", "family" : "Blinder", "given" : "Pablo", "non-dropping-particle" : "", "parse-names" : false, "suffix" : "" }, { "dropping-particle" : "", "family" : "Burstyn-Cohen", "given" : "Tal", "non-dropping-particle" : "", "parse-names" : false, "suffix" : "" }, { "dropping-particle" : "", "family" : "Du", "given" : "Deguo", "non-dropping-particle" : "", "parse-names" : false, "suffix" : "" }, { "dropping-particle" : "", "family" : "Estepa", "given" : "Gabriela", "non-dropping-particle" : "", "parse-names" : false, "suffix" : "" }, { "dropping-particle" : "", "family" : "Adame", "given" : "Anthony", "non-dropping-particle" : "", "parse-names" : false, "suffix" : "" }, { "dropping-particle" : "", "family" : "Pham", "given" : "Hang M", "non-dropping-particle" : "", "parse-names" : false, "suffix" : "" }, { "dropping-particle" : "", "family" : "Holzenberger", "given" : "Martin", "non-dropping-particle" : "", "parse-names" : false, "suffix" : "" }, { "dropping-particle" : "", "family" : "Kelly", "given" : "Jeffery W", "non-dropping-particle" : "", "parse-names" : false, "suffix" : "" }, { "dropping-particle" : "", "family" : "Masliah", "given" : "Eliezer", "non-dropping-particle" : "", "parse-names" : false, "suffix" : "" }, { "dropping-particle" : "", "family" : "Dillin", "given" : "Andrew", "non-dropping-particle" : "", "parse-names" : false, "suffix" : "" } ], "container-title" : "Cell", "id" : "ITEM-1", "issue" : "6", "issued" : { "date-parts" : [ [ "2009", "12", "11" ] ] }, "page" : "1157-69", "title" : "Reduced IGF-1 signaling delays age-associated proteotoxicity in mice.", "type" : "article-journal", "volume" : "139" }, "uris" : [ "http://www.mendeley.com/documents/?uuid=3513f808-077a-39a6-8bc6-a1d126fd6e12" ] }, { "id" : "ITEM-2", "itemData" : { "DOI" : "10.1038/nm793", "ISSN" : "1078-8956", "PMID" : "12415260", "abstract" : "Levels of insulin-like growth factor I (IGF-I), a neuroprotective hormone, decrease in serum during aging, whereas amyloid-beta (Abeta), which is involved in the pathogenesis of Alzheimer disease, accumulates in the brain. High brain Abeta levels are found at an early age in mutant mice with low circulating IGF-I, and Abeta burden can be reduced in aging rats by increasing serum IGF-I. This opposing relationship between serum IGF-I and brain Abeta levels reflects the ability of IGF-I to induce clearance of brain Abeta, probably by enhancing transport of Abeta carrier proteins such as albumin and transthyretin into the brain. This effect is antagonized by tumor necrosis factor-alpha, a pro-inflammatory cytokine putatively involved in dementia and aging. Because IGF-I treatment of mice overexpressing mutant amyloid markedly reduces their brain Abeta burden, we consider that circulating IGF-I is a physiological regulator of brain amyloid levels with therapeutic potential.", "author" : [ { "dropping-particle" : "", "family" : "Carro", "given" : "E", "non-dropping-particle" : "", "parse-names" : false, "suffix" : "" }, { "dropping-particle" : "", "family" : "Trejo", "given" : "J L", "non-dropping-particle" : "", "parse-names" : false, "suffix" : "" }, { "dropping-particle" : "", "family" : "Gomez-Isla", "given" : "T", "non-dropping-particle" : "", "parse-names" : false, "suffix" : "" }, { "dropping-particle" : "", "family" : "LeRoith", "given" : "D", "non-dropping-particle" : "", "parse-names" : false, "suffix" : "" }, { "dropping-particle" : "", "family" : "Torres-Aleman", "given" : "I", "non-dropping-particle" : "", "parse-names" : false, "suffix" : "" } ], "container-title" : "Nature medicine", "id" : "ITEM-2", "issue" : "12", "issued" : { "date-parts" : [ [ "2002", "12" ] ] }, "page" : "1390-7", "title" : "Serum insulin-like growth factor I regulates brain amyloid-beta levels.", "type" : "article-journal", "volume" : "8" }, "uris" : [ "http://www.mendeley.com/documents/?uuid=69646b7e-5fbb-4ce0-82a1-c5dd3d5b21a0" ] } ], "mendeley" : { "formattedCitation" : "(Cohen et al. 2009b; Carro et al. 2002)", "manualFormatting" : "(Carro et al., 2002; Ehud Cohen et al., 2009)", "plainTextFormattedCitation" : "(Cohen et al. 2009b; Carro et al. 2002)", "previouslyFormattedCitation" : "(Cohen et al. 2009b; Carro et al. 2002)" }, "properties" : { "noteIndex" : 0 }, "schema" : "https://github.com/citation-style-language/schema/raw/master/csl-citation.json" }</w:instrText>
      </w:r>
      <w:r w:rsidRPr="008378FF">
        <w:rPr>
          <w:rFonts w:ascii="Times New Roman" w:hAnsi="Times New Roman" w:cs="Times New Roman"/>
        </w:rPr>
        <w:fldChar w:fldCharType="separate"/>
      </w:r>
      <w:r w:rsidRPr="008378FF">
        <w:rPr>
          <w:rFonts w:ascii="Times New Roman" w:hAnsi="Times New Roman" w:cs="Times New Roman"/>
          <w:noProof/>
        </w:rPr>
        <w:t>(Carro et al., 2002; Ehud Cohen et al., 2009)</w:t>
      </w:r>
      <w:r w:rsidRPr="008378FF">
        <w:rPr>
          <w:rFonts w:ascii="Times New Roman" w:hAnsi="Times New Roman" w:cs="Times New Roman"/>
        </w:rPr>
        <w:fldChar w:fldCharType="end"/>
      </w:r>
      <w:r>
        <w:rPr>
          <w:rFonts w:ascii="Times New Roman" w:hAnsi="Times New Roman" w:cs="Times New Roman"/>
        </w:rPr>
        <w:t xml:space="preserve">. </w:t>
      </w:r>
    </w:p>
    <w:p w14:paraId="65654679" w14:textId="77777777" w:rsidR="00C44231" w:rsidRDefault="00C44231" w:rsidP="00CB7828">
      <w:pPr>
        <w:spacing w:line="360" w:lineRule="auto"/>
        <w:rPr>
          <w:rFonts w:ascii="Times New Roman" w:hAnsi="Times New Roman" w:cs="Times New Roman"/>
        </w:rPr>
      </w:pPr>
    </w:p>
    <w:p w14:paraId="7D4DC1CC" w14:textId="4792D9E9" w:rsidR="00BA676C" w:rsidRPr="00BF0FB4" w:rsidRDefault="00BF0FB4" w:rsidP="003E7BDB">
      <w:pPr>
        <w:spacing w:line="360" w:lineRule="auto"/>
        <w:jc w:val="both"/>
        <w:rPr>
          <w:rFonts w:ascii="Times New Roman" w:hAnsi="Times New Roman" w:cs="Times New Roman"/>
        </w:rPr>
      </w:pPr>
      <w:r>
        <w:rPr>
          <w:rFonts w:ascii="Times New Roman" w:hAnsi="Times New Roman" w:cs="Times New Roman"/>
        </w:rPr>
        <w:t xml:space="preserve">IGF1 has been shown to have antioxidant properties in </w:t>
      </w:r>
      <w:r w:rsidR="001E5946">
        <w:rPr>
          <w:rFonts w:ascii="Times New Roman" w:hAnsi="Times New Roman" w:cs="Times New Roman"/>
        </w:rPr>
        <w:t>rodent astrocytes</w:t>
      </w:r>
      <w:r>
        <w:rPr>
          <w:rFonts w:ascii="Times New Roman" w:hAnsi="Times New Roman" w:cs="Times New Roman"/>
        </w:rPr>
        <w:t xml:space="preserve">. </w:t>
      </w:r>
      <w:r w:rsidR="001E5946">
        <w:rPr>
          <w:rFonts w:ascii="Times New Roman" w:hAnsi="Times New Roman" w:cs="Times New Roman"/>
        </w:rPr>
        <w:t>Signalling through the IGF1 pathway</w:t>
      </w:r>
      <w:r w:rsidR="001E5946" w:rsidRPr="00EB28D0">
        <w:rPr>
          <w:rFonts w:ascii="Times New Roman" w:hAnsi="Times New Roman" w:cs="Times New Roman"/>
        </w:rPr>
        <w:t xml:space="preserve"> </w:t>
      </w:r>
      <w:r w:rsidR="001E5946">
        <w:rPr>
          <w:rFonts w:ascii="Times New Roman" w:hAnsi="Times New Roman" w:cs="Times New Roman"/>
        </w:rPr>
        <w:t>increases</w:t>
      </w:r>
      <w:r w:rsidR="001E5946" w:rsidRPr="00EB28D0">
        <w:rPr>
          <w:rFonts w:ascii="Times New Roman" w:hAnsi="Times New Roman" w:cs="Times New Roman"/>
        </w:rPr>
        <w:t xml:space="preserve"> the resilience of astrocytes to oxidative stress</w:t>
      </w:r>
      <w:r w:rsidR="001E5946">
        <w:rPr>
          <w:rFonts w:ascii="Times New Roman" w:hAnsi="Times New Roman" w:cs="Times New Roman"/>
        </w:rPr>
        <w:t xml:space="preserve"> and acts</w:t>
      </w:r>
      <w:r w:rsidR="001E5946" w:rsidRPr="00EB28D0">
        <w:rPr>
          <w:rFonts w:ascii="Times New Roman" w:hAnsi="Times New Roman" w:cs="Times New Roman"/>
        </w:rPr>
        <w:t xml:space="preserve"> co-operatively with </w:t>
      </w:r>
      <w:r w:rsidR="00C44231">
        <w:rPr>
          <w:rFonts w:ascii="Times New Roman" w:hAnsi="Times New Roman" w:cs="Times New Roman"/>
        </w:rPr>
        <w:t>stem-cell factor (</w:t>
      </w:r>
      <w:r w:rsidR="001E5946" w:rsidRPr="00EB28D0">
        <w:rPr>
          <w:rFonts w:ascii="Times New Roman" w:hAnsi="Times New Roman" w:cs="Times New Roman"/>
        </w:rPr>
        <w:t>SCF</w:t>
      </w:r>
      <w:r w:rsidR="00C44231">
        <w:rPr>
          <w:rFonts w:ascii="Times New Roman" w:hAnsi="Times New Roman" w:cs="Times New Roman"/>
        </w:rPr>
        <w:t xml:space="preserve">) </w:t>
      </w:r>
      <w:r w:rsidR="001E5946" w:rsidRPr="00EB28D0">
        <w:rPr>
          <w:rFonts w:ascii="Times New Roman" w:hAnsi="Times New Roman" w:cs="Times New Roman"/>
        </w:rPr>
        <w:t xml:space="preserve">secreted from astrocytes to </w:t>
      </w:r>
      <w:r w:rsidR="00664CBC">
        <w:rPr>
          <w:rFonts w:ascii="Times New Roman" w:hAnsi="Times New Roman" w:cs="Times New Roman"/>
        </w:rPr>
        <w:t xml:space="preserve">provide </w:t>
      </w:r>
      <w:r w:rsidR="001E5946" w:rsidRPr="00EB28D0">
        <w:rPr>
          <w:rFonts w:ascii="Times New Roman" w:hAnsi="Times New Roman" w:cs="Times New Roman"/>
        </w:rPr>
        <w:t>support</w:t>
      </w:r>
      <w:r w:rsidR="00664CBC">
        <w:rPr>
          <w:rFonts w:ascii="Times New Roman" w:hAnsi="Times New Roman" w:cs="Times New Roman"/>
        </w:rPr>
        <w:t xml:space="preserve"> for</w:t>
      </w:r>
      <w:r w:rsidR="001E5946" w:rsidRPr="00EB28D0">
        <w:rPr>
          <w:rFonts w:ascii="Times New Roman" w:hAnsi="Times New Roman" w:cs="Times New Roman"/>
        </w:rPr>
        <w:t xml:space="preserve"> neurons </w:t>
      </w:r>
      <w:r w:rsidR="001E5946" w:rsidRPr="00EB28D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"10.12688/f1000research.3-28.v1", "ISSN" : "2046-1402", "author" : [ { "dropping-particle" : "", "family" : "Genis", "given" : "Laura", "non-dropping-particle" : "", "parse-names" : false, "suffix" : "" }, { "dropping-particle" : "", "family" : "D\u00e1vila", "given" : "David", "non-dropping-particle" : "", "parse-names" : false, "suffix" : "" }, { "dropping-particle" : "", "family" : "Fernandez", "given" : "Silvia", "non-dropping-particle" : "", "parse-names" : false, "suffix" : "" }, { "dropping-particle" : "", "family" : "Pozo-Rodrig\u00e1lvarez", "given" : "Andrea", "non-dropping-particle" : "", "parse-names" : false, "suffix" : "" }, { "dropping-particle" : "", "family" : "Mart\u00ednez-Murillo", "given" : "Ricardo", "non-dropping-particle" : "", "parse-names" : false, "suffix" : "" }, { "dropping-particle" : "", "family" : "Torres-Aleman", "given" : "Ignacio", "non-dropping-particle" : "", "parse-names" : false, "suffix" : "" } ], "container-title" : "F1000Research", "id" : "ITEM-1", "issued" : { "date-parts" : [ [ "2014", "1", "28" ] ] }, "title" : "Astrocytes require insulin-like growth factor I to protect neurons against oxidative injury", "type" : "article-journal", "volume" : "3" }, "uris" : [ "http://www.mendeley.com/documents/?uuid=ad994b94-d7cf-4a27-9bfb-2351db2f4759" ] } ], "mendeley" : { "formattedCitation" : "(Genis et al. 2014)", "plainTextFormattedCitation" : "(Genis et al. 2014)", "previouslyFormattedCitation" : "(Genis et al. 2014)" }, "properties" : { "noteIndex" : 0 }, "schema" : "https://github.com/citation-style-language/schema/raw/master/csl-citation.json" }</w:instrText>
      </w:r>
      <w:r w:rsidR="001E5946" w:rsidRPr="00EB28D0">
        <w:rPr>
          <w:rFonts w:ascii="Times New Roman" w:hAnsi="Times New Roman" w:cs="Times New Roman"/>
        </w:rPr>
        <w:fldChar w:fldCharType="separate"/>
      </w:r>
      <w:r w:rsidR="00C148FC" w:rsidRPr="00C148FC">
        <w:rPr>
          <w:rFonts w:ascii="Times New Roman" w:hAnsi="Times New Roman" w:cs="Times New Roman"/>
          <w:noProof/>
        </w:rPr>
        <w:t>(Genis et al. 2014)</w:t>
      </w:r>
      <w:r w:rsidR="001E5946" w:rsidRPr="00EB28D0">
        <w:rPr>
          <w:rFonts w:ascii="Times New Roman" w:hAnsi="Times New Roman" w:cs="Times New Roman"/>
        </w:rPr>
        <w:fldChar w:fldCharType="end"/>
      </w:r>
      <w:r w:rsidR="00664CBC">
        <w:rPr>
          <w:rFonts w:ascii="Times New Roman" w:hAnsi="Times New Roman" w:cs="Times New Roman"/>
        </w:rPr>
        <w:t>. In this study, direct</w:t>
      </w:r>
      <w:r w:rsidR="001E5946" w:rsidRPr="00EB28D0">
        <w:rPr>
          <w:rFonts w:ascii="Times New Roman" w:hAnsi="Times New Roman" w:cs="Times New Roman"/>
        </w:rPr>
        <w:t xml:space="preserve"> treatment of neurons</w:t>
      </w:r>
      <w:r w:rsidR="00664CBC">
        <w:rPr>
          <w:rFonts w:ascii="Times New Roman" w:hAnsi="Times New Roman" w:cs="Times New Roman"/>
        </w:rPr>
        <w:t xml:space="preserve"> with IGF1</w:t>
      </w:r>
      <w:r w:rsidR="001E5946" w:rsidRPr="00EB28D0">
        <w:rPr>
          <w:rFonts w:ascii="Times New Roman" w:hAnsi="Times New Roman" w:cs="Times New Roman"/>
        </w:rPr>
        <w:t xml:space="preserve"> was not protective against oxidative stress </w:t>
      </w:r>
      <w:r w:rsidR="00664CBC">
        <w:rPr>
          <w:rFonts w:ascii="Times New Roman" w:hAnsi="Times New Roman" w:cs="Times New Roman"/>
        </w:rPr>
        <w:t xml:space="preserve">but in astrocytes this pathway is necessary to preserve </w:t>
      </w:r>
      <w:r w:rsidR="001E5946" w:rsidRPr="00EB28D0">
        <w:rPr>
          <w:rFonts w:ascii="Times New Roman" w:hAnsi="Times New Roman" w:cs="Times New Roman"/>
        </w:rPr>
        <w:t>neuronal function</w:t>
      </w:r>
      <w:r w:rsidR="001E5946">
        <w:rPr>
          <w:rFonts w:ascii="Times New Roman" w:hAnsi="Times New Roman" w:cs="Times New Roman"/>
        </w:rPr>
        <w:t>, especially</w:t>
      </w:r>
      <w:r w:rsidR="001E5946" w:rsidRPr="00EB28D0">
        <w:rPr>
          <w:rFonts w:ascii="Times New Roman" w:hAnsi="Times New Roman" w:cs="Times New Roman"/>
        </w:rPr>
        <w:t xml:space="preserve"> during oxidative insult. </w:t>
      </w:r>
      <w:r w:rsidR="001E5946">
        <w:rPr>
          <w:rFonts w:ascii="Times New Roman" w:hAnsi="Times New Roman" w:cs="Times New Roman"/>
        </w:rPr>
        <w:t xml:space="preserve">In neurons it has been demonstrated that oxidative stress causes activation of p38 kinase, which prevents docking of phosphorylated IRS1 on IGF1R thereby inhibiting downstream signalling through Akt. In rodent astrocytes, IGF1 induced signalling through Akt is preserved despite p38 kinase activation following a similar oxidative insult </w:t>
      </w:r>
      <w:r w:rsidR="001E5946">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"10.1074/jbc.M115.695478", "ISSN" : "1083-351X", "PMID" : "26631726", "abstract" : "Disruption of insulin-like growth factor I (IGF-I) signaling is a key step in the development of cancer or neurodegeneration. For example, interference of the prosurvival IGF-I/AKT/FOXO3 pathway by redox activation of the stress kinases p38 and JNK is instrumental in neuronal death by oxidative stress. However, in astrocytes, IGF-I retains its protective action against oxidative stress. The molecular mechanisms underlying this cell-specific protection remain obscure but may be relevant to unveil new ways to combat IGF-I/insulin resistance. Here, we describe that, in astrocytes exposed to oxidative stress by hydrogen peroxide (H2O2), p38 activation did not inhibit AKT (protein kinase B) activation by IGF-I, which is in contrast to our previous observations in neurons. Rather, stimulation of AKT by IGF-I was significantly higher and more sustained in astrocytes than in neurons either under normal or oxidative conditions. This may be explained by phosphorylation of the phosphatase PTEN at the plasma membrane in response to IGF-I, inducing its cytosolic translocation and preserving in this way AKT activity. Stimulation of AKT by IGF-I, mimicked also by a constitutively active AKT mutant, reduced oxidative stress levels and cell death in H2O2-exposed astrocytes, boosting their neuroprotective action in co-cultured neurons. These results indicate that armoring of AKT activation by IGF-I is crucial to preserve its cytoprotective effect in astrocytes and may form part of the brain defense mechanism against oxidative stress injury.", "author" : [ { "dropping-particle" : "", "family" : "D\u00e1vila", "given" : "David", "non-dropping-particle" : "", "parse-names" : false, "suffix" : "" }, { "dropping-particle" : "", "family" : "Fern\u00e1ndez", "given" : "Silvia", "non-dropping-particle" : "", "parse-names" : false, "suffix" : "" }, { "dropping-particle" : "", "family" : "Torres-Alem\u00e1n", "given" : "Ignacio", "non-dropping-particle" : "", "parse-names" : false, "suffix" : "" } ], "container-title" : "The Journal of biological chemistry", "id" : "ITEM-1", "issue" : "5", "issued" : { "date-parts" : [ [ "2016", "1", "29" ] ] }, "page" : "2510-23", "title" : "Astrocyte Resilience to Oxidative Stress Induced by Insulin-like Growth Factor I (IGF-I) Involves Preserved AKT (Protein Kinase B) Activity.", "type" : "article-journal", "volume" : "291" }, "uris" : [ "http://www.mendeley.com/documents/?uuid=f46d4255-04af-41f5-aafb-51f099500ab8" ] } ], "mendeley" : { "formattedCitation" : "(D\u00e1vila et al. 2016b)", "manualFormatting" : "(D\u00e1vila, Fern\u00e1ndez, &amp; Torres-Alem\u00e1n, 2016)", "plainTextFormattedCitation" : "(D\u00e1vila et al. 2016b)", "previouslyFormattedCitation" : "(D\u00e1vila et al. 2016b)" }, "properties" : { "noteIndex" : 0 }, "schema" : "https://github.com/citation-style-language/schema/raw/master/csl-citation.json" }</w:instrText>
      </w:r>
      <w:r w:rsidR="001E5946">
        <w:rPr>
          <w:rFonts w:ascii="Times New Roman" w:hAnsi="Times New Roman" w:cs="Times New Roman"/>
        </w:rPr>
        <w:fldChar w:fldCharType="separate"/>
      </w:r>
      <w:r w:rsidR="00970704" w:rsidRPr="00970704">
        <w:rPr>
          <w:rFonts w:ascii="Times New Roman" w:hAnsi="Times New Roman" w:cs="Times New Roman"/>
          <w:noProof/>
        </w:rPr>
        <w:t>(Dávila, F</w:t>
      </w:r>
      <w:r>
        <w:rPr>
          <w:rFonts w:ascii="Times New Roman" w:hAnsi="Times New Roman" w:cs="Times New Roman"/>
          <w:noProof/>
        </w:rPr>
        <w:t>ernández, &amp; Torres-Alemán, 2016</w:t>
      </w:r>
      <w:r w:rsidR="00970704" w:rsidRPr="00970704">
        <w:rPr>
          <w:rFonts w:ascii="Times New Roman" w:hAnsi="Times New Roman" w:cs="Times New Roman"/>
          <w:noProof/>
        </w:rPr>
        <w:t>)</w:t>
      </w:r>
      <w:r w:rsidR="001E5946">
        <w:rPr>
          <w:rFonts w:ascii="Times New Roman" w:hAnsi="Times New Roman" w:cs="Times New Roman"/>
        </w:rPr>
        <w:fldChar w:fldCharType="end"/>
      </w:r>
      <w:r w:rsidR="001E5946">
        <w:rPr>
          <w:rFonts w:ascii="Times New Roman" w:hAnsi="Times New Roman" w:cs="Times New Roman"/>
        </w:rPr>
        <w:t>. In addition, IGF1 signalling in astrocytes is sustained</w:t>
      </w:r>
      <w:r w:rsidR="00664CBC">
        <w:rPr>
          <w:rFonts w:ascii="Times New Roman" w:hAnsi="Times New Roman" w:cs="Times New Roman"/>
        </w:rPr>
        <w:t xml:space="preserve"> over longer periods</w:t>
      </w:r>
      <w:r w:rsidR="001E5946">
        <w:rPr>
          <w:rFonts w:ascii="Times New Roman" w:hAnsi="Times New Roman" w:cs="Times New Roman"/>
        </w:rPr>
        <w:t xml:space="preserve"> than in neurons. This is because stimulation with IGF1 results in phosphorylation of PTEN, which is further enhanced during oxidative stress, thereby preserving Akt activity and Foxo3 inactivation. This study also demonstrated that IGF1 signalling through Akt protects</w:t>
      </w:r>
      <w:r>
        <w:rPr>
          <w:rFonts w:ascii="Times New Roman" w:hAnsi="Times New Roman" w:cs="Times New Roman"/>
        </w:rPr>
        <w:t xml:space="preserve"> against</w:t>
      </w:r>
      <w:r w:rsidR="001E5946">
        <w:rPr>
          <w:rFonts w:ascii="Times New Roman" w:hAnsi="Times New Roman" w:cs="Times New Roman"/>
        </w:rPr>
        <w:t xml:space="preserve"> ROS formation in astrocytes and </w:t>
      </w:r>
      <w:r w:rsidR="00DE4D10">
        <w:rPr>
          <w:rFonts w:ascii="Times New Roman" w:hAnsi="Times New Roman" w:cs="Times New Roman"/>
        </w:rPr>
        <w:t xml:space="preserve">prevents neuronal damage during </w:t>
      </w:r>
      <w:r w:rsidR="001E5946">
        <w:rPr>
          <w:rFonts w:ascii="Times New Roman" w:hAnsi="Times New Roman" w:cs="Times New Roman"/>
        </w:rPr>
        <w:t>oxidative stress. The neuroprotective effect of IGF1 has not yet been confirmed in human astrocytes.</w:t>
      </w:r>
      <w:r w:rsidR="00575072">
        <w:rPr>
          <w:rFonts w:ascii="Times New Roman" w:hAnsi="Times New Roman" w:cs="Times New Roman"/>
        </w:rPr>
        <w:t xml:space="preserve"> The known roles of insulin/IGF1 signalling in rodent astrocy</w:t>
      </w:r>
      <w:r>
        <w:rPr>
          <w:rFonts w:ascii="Times New Roman" w:hAnsi="Times New Roman" w:cs="Times New Roman"/>
        </w:rPr>
        <w:t>tes are</w:t>
      </w:r>
      <w:r w:rsidR="00575072">
        <w:rPr>
          <w:rFonts w:ascii="Times New Roman" w:hAnsi="Times New Roman" w:cs="Times New Roman"/>
        </w:rPr>
        <w:t xml:space="preserve"> summarised in </w:t>
      </w:r>
      <w:r w:rsidR="0099050D">
        <w:rPr>
          <w:rFonts w:ascii="Times New Roman" w:hAnsi="Times New Roman" w:cs="Times New Roman"/>
          <w:b/>
        </w:rPr>
        <w:t>figure 1.7</w:t>
      </w:r>
      <w:r w:rsidR="00575072">
        <w:rPr>
          <w:rFonts w:ascii="Times New Roman" w:hAnsi="Times New Roman" w:cs="Times New Roman"/>
          <w:b/>
        </w:rPr>
        <w:t>.</w:t>
      </w:r>
    </w:p>
    <w:p w14:paraId="0893E4EA" w14:textId="77777777" w:rsidR="00567751" w:rsidRDefault="00567751" w:rsidP="00675415">
      <w:pPr>
        <w:spacing w:line="360" w:lineRule="auto"/>
        <w:rPr>
          <w:rFonts w:ascii="Times New Roman" w:hAnsi="Times New Roman" w:cs="Times New Roman"/>
        </w:rPr>
      </w:pPr>
    </w:p>
    <w:p w14:paraId="5C4F998B" w14:textId="36624E2F" w:rsidR="00C54886" w:rsidRDefault="00665361" w:rsidP="003E7BDB">
      <w:pPr>
        <w:spacing w:line="360" w:lineRule="auto"/>
        <w:jc w:val="both"/>
        <w:rPr>
          <w:rFonts w:ascii="Times New Roman" w:hAnsi="Times New Roman" w:cs="Times New Roman"/>
        </w:rPr>
      </w:pPr>
      <w:r>
        <w:rPr>
          <w:rFonts w:ascii="Times New Roman" w:hAnsi="Times New Roman" w:cs="Times New Roman"/>
        </w:rPr>
        <w:t>S</w:t>
      </w:r>
      <w:r w:rsidR="006A0FA3">
        <w:rPr>
          <w:rFonts w:ascii="Times New Roman" w:hAnsi="Times New Roman" w:cs="Times New Roman"/>
        </w:rPr>
        <w:t>ince human astrocytes are more complex than their rodent counterparts</w:t>
      </w:r>
      <w:r w:rsidR="006A0FA3" w:rsidRPr="00EB28D0">
        <w:rPr>
          <w:rFonts w:ascii="Times New Roman" w:hAnsi="Times New Roman" w:cs="Times New Roman"/>
        </w:rPr>
        <w:t xml:space="preserve"> </w:t>
      </w:r>
      <w:r w:rsidR="006A0FA3" w:rsidRPr="00EB28D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"10.1016/j.tins.2006.08.004", "ISSN" : "0166-2236", "PMID" : "16938356", "abstract" : "One of the most distinguishing features of the adult human brain is the complexity and diversity of its cortical astrocytes. Human protoplasmic astrocytes manifest a threefold larger diameter and have tenfold more primary processes than those of rodents. In all mammals, protoplasmic astrocytes are organized into spatially non-overlapping domains that encompass both neurons and vasculature. Yet unique to humans and primates are additional populations of layer 1 interlaminar astrocytes that extend long (millimeter) fibers, and layer 5-6 polarized astrocytes that also project distinctive long processes. We propose that human cortical evolution has been accompanied by increasing complexity in the form and function of astrocytes, which reflects an expansion of their functional roles in synaptic modulation and cortical circuitry.", "author" : [ { "dropping-particle" : "", "family" : "Oberheim", "given" : "Nancy Ann", "non-dropping-particle" : "", "parse-names" : false, "suffix" : "" }, { "dropping-particle" : "", "family" : "Wang", "given" : "Xiaohai", "non-dropping-particle" : "", "parse-names" : false, "suffix" : "" }, { "dropping-particle" : "", "family" : "Goldman", "given" : "Steven", "non-dropping-particle" : "", "parse-names" : false, "suffix" : "" }, { "dropping-particle" : "", "family" : "Nedergaard", "given" : "Maiken", "non-dropping-particle" : "", "parse-names" : false, "suffix" : "" } ], "container-title" : "Trends in neurosciences", "id" : "ITEM-1", "issue" : "10", "issued" : { "date-parts" : [ [ "2006", "10", "1" ] ] }, "language" : "English", "page" : "547-53", "publisher" : "Elsevier", "title" : "Astrocytic complexity distinguishes the human brain.", "type" : "article-journal", "volume" : "29" }, "uris" : [ "http://www.mendeley.com/documents/?uuid=c61b7cad-1cf5-46ed-ad24-67fd34e0cab9" ] } ], "mendeley" : { "formattedCitation" : "(Oberheim et al. 2006)", "plainTextFormattedCitation" : "(Oberheim et al. 2006)", "previouslyFormattedCitation" : "(Oberheim et al. 2006)" }, "properties" : { "noteIndex" : 0 }, "schema" : "https://github.com/citation-style-language/schema/raw/master/csl-citation.json" }</w:instrText>
      </w:r>
      <w:r w:rsidR="006A0FA3" w:rsidRPr="00EB28D0">
        <w:rPr>
          <w:rFonts w:ascii="Times New Roman" w:hAnsi="Times New Roman" w:cs="Times New Roman"/>
        </w:rPr>
        <w:fldChar w:fldCharType="separate"/>
      </w:r>
      <w:r w:rsidR="00C148FC" w:rsidRPr="00C148FC">
        <w:rPr>
          <w:rFonts w:ascii="Times New Roman" w:hAnsi="Times New Roman" w:cs="Times New Roman"/>
          <w:noProof/>
        </w:rPr>
        <w:t>(Oberheim et al. 2006)</w:t>
      </w:r>
      <w:r w:rsidR="006A0FA3" w:rsidRPr="00EB28D0">
        <w:rPr>
          <w:rFonts w:ascii="Times New Roman" w:hAnsi="Times New Roman" w:cs="Times New Roman"/>
        </w:rPr>
        <w:fldChar w:fldCharType="end"/>
      </w:r>
      <w:r>
        <w:rPr>
          <w:rFonts w:ascii="Times New Roman" w:hAnsi="Times New Roman" w:cs="Times New Roman"/>
        </w:rPr>
        <w:t xml:space="preserve">, </w:t>
      </w:r>
      <w:r w:rsidR="00C44231">
        <w:rPr>
          <w:rFonts w:ascii="Times New Roman" w:hAnsi="Times New Roman" w:cs="Times New Roman"/>
        </w:rPr>
        <w:t xml:space="preserve">there </w:t>
      </w:r>
      <w:r w:rsidR="00BF0FB4">
        <w:rPr>
          <w:rFonts w:ascii="Times New Roman" w:hAnsi="Times New Roman" w:cs="Times New Roman"/>
        </w:rPr>
        <w:t>are likely to</w:t>
      </w:r>
      <w:r w:rsidR="00C44231">
        <w:rPr>
          <w:rFonts w:ascii="Times New Roman" w:hAnsi="Times New Roman" w:cs="Times New Roman"/>
        </w:rPr>
        <w:t xml:space="preserve"> be</w:t>
      </w:r>
      <w:r>
        <w:rPr>
          <w:rFonts w:ascii="Times New Roman" w:hAnsi="Times New Roman" w:cs="Times New Roman"/>
        </w:rPr>
        <w:t xml:space="preserve"> species-specific</w:t>
      </w:r>
      <w:r w:rsidR="00C44231">
        <w:rPr>
          <w:rFonts w:ascii="Times New Roman" w:hAnsi="Times New Roman" w:cs="Times New Roman"/>
        </w:rPr>
        <w:t xml:space="preserve"> differences in the</w:t>
      </w:r>
      <w:r>
        <w:rPr>
          <w:rFonts w:ascii="Times New Roman" w:hAnsi="Times New Roman" w:cs="Times New Roman"/>
        </w:rPr>
        <w:t xml:space="preserve"> kinetics and function of</w:t>
      </w:r>
      <w:r w:rsidR="00C44231">
        <w:rPr>
          <w:rFonts w:ascii="Times New Roman" w:hAnsi="Times New Roman" w:cs="Times New Roman"/>
        </w:rPr>
        <w:t xml:space="preserve"> signalling pathways</w:t>
      </w:r>
      <w:r>
        <w:rPr>
          <w:rFonts w:ascii="Times New Roman" w:hAnsi="Times New Roman" w:cs="Times New Roman"/>
        </w:rPr>
        <w:t xml:space="preserve"> in astrocytes</w:t>
      </w:r>
      <w:r w:rsidR="00C44231">
        <w:rPr>
          <w:rFonts w:ascii="Times New Roman" w:hAnsi="Times New Roman" w:cs="Times New Roman"/>
        </w:rPr>
        <w:t>.</w:t>
      </w:r>
      <w:r w:rsidR="00CF3BDB" w:rsidRPr="00EB28D0">
        <w:rPr>
          <w:rFonts w:ascii="Times New Roman" w:hAnsi="Times New Roman" w:cs="Times New Roman"/>
        </w:rPr>
        <w:t xml:space="preserve"> Stimulation of human astrocytes (commercially available from Lonza) </w:t>
      </w:r>
      <w:r w:rsidR="00981E52" w:rsidRPr="00EB28D0">
        <w:rPr>
          <w:rFonts w:ascii="Times New Roman" w:hAnsi="Times New Roman" w:cs="Times New Roman"/>
        </w:rPr>
        <w:t xml:space="preserve">with insulin </w:t>
      </w:r>
      <w:r w:rsidR="00CF3BDB" w:rsidRPr="00EB28D0">
        <w:rPr>
          <w:rFonts w:ascii="Times New Roman" w:hAnsi="Times New Roman" w:cs="Times New Roman"/>
        </w:rPr>
        <w:t xml:space="preserve">promotes glycogen storage </w:t>
      </w:r>
      <w:r w:rsidR="005345CC">
        <w:rPr>
          <w:rFonts w:ascii="Times New Roman" w:hAnsi="Times New Roman" w:cs="Times New Roman"/>
        </w:rPr>
        <w:t>in a PI3K-Akt</w:t>
      </w:r>
      <w:r w:rsidR="00BA676C" w:rsidRPr="00EB28D0">
        <w:rPr>
          <w:rFonts w:ascii="Times New Roman" w:hAnsi="Times New Roman" w:cs="Times New Roman"/>
        </w:rPr>
        <w:t xml:space="preserve"> dependent manner and also </w:t>
      </w:r>
      <w:r w:rsidR="00CF3BDB" w:rsidRPr="00EB28D0">
        <w:rPr>
          <w:rFonts w:ascii="Times New Roman" w:hAnsi="Times New Roman" w:cs="Times New Roman"/>
        </w:rPr>
        <w:t xml:space="preserve">regulates cell growth </w:t>
      </w:r>
      <w:r w:rsidR="00CF3BDB" w:rsidRPr="00EB28D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"10.1371/journal.pone.0021594", "ISSN" : "1932-6203", "PMID" : "21738722", "abstract" : "INTRODUCTION: In the human brain, there are at least as many astrocytes as neurons. Astrocytes are known to modulate neuronal function in several ways. Thus, they may also contribute to cerebral insulin actions. Therefore, we examined whether primary human astrocytes are insulin-responsive and whether their metabolic functions are affected by the hormone.\n\nMETHODS: Commercially available Normal Human Astrocytes were grown in the recommended medium. Major players in the insulin signaling pathway were detected by real-time RT-PCR and Western blotting. Phosphorylation events were detected by phospho-specific antibodies. Glucose uptake and glycogen synthesis were assessed using radio-labeled glucose. Glycogen content was assessed by histochemistry. Lactate levels were measured enzymatically. Cell proliferation was assessed by WST-1 assay.\n\nRESULTS: We detected expression of key proteins for insulin signaling, such as insulin receptor \u03b2-subunit, insulin receptor substrat-1, Akt/protein kinase B and glycogen synthase kinase 3, in human astrocytes. Akt was phosphorylated and PI-3 kinase activity increased following insulin stimulation in a dose-dependent manner. Neither increased glucose uptake nor lactate secretion after insulin stimulation could be evidenced in this cell type. However, we found increased insulin-dependent glucose incorporation into glycogen. Furthermore, cell numbers increased dose-dependently upon insulin treatment.\n\nDISCUSSION: This study demonstrated that human astrocytes are insulin-responsive at the molecular level. We identified glycogen synthesis and cell proliferation as biological responses of insulin signaling in these brain cells. Hence, this cell type may contribute to the effects of insulin in the human brain.", "author" : [ { "dropping-particle" : "", "family" : "Heni", "given" : "Martin", "non-dropping-particle" : "", "parse-names" : false, "suffix" : "" }, { "dropping-particle" : "", "family" : "Hennige", "given" : "Anita M", "non-dropping-particle" : "", "parse-names" : false, "suffix" : "" }, { "dropping-particle" : "", "family" : "Peter", "given" : "Andreas", "non-dropping-particle" : "", "parse-names" : false, "suffix" : "" }, { "dropping-particle" : "", "family" : "Siegel-Axel", "given" : "Dorothea", "non-dropping-particle" : "", "parse-names" : false, "suffix" : "" }, { "dropping-particle" : "", "family" : "Ordelheide", "given" : "Anna-Maria", "non-dropping-particle" : "", "parse-names" : false, "suffix" : "" }, { "dropping-particle" : "", "family" : "Krebs", "given" : "Norbert", "non-dropping-particle" : "", "parse-names" : false, "suffix" : "" }, { "dropping-particle" : "", "family" : "Machicao", "given" : "Fausto", "non-dropping-particle" : "", "parse-names" : false, "suffix" : "" }, { "dropping-particle" : "", "family" : "Fritsche", "given" : "Andreas", "non-dropping-particle" : "", "parse-names" : false, "suffix" : "" }, { "dropping-particle" : "", "family" : "H\u00e4ring", "given" : "Hans-Ulrich", "non-dropping-particle" : "", "parse-names" : false, "suffix" : "" }, { "dropping-particle" : "", "family" : "Staiger", "given" : "Harald", "non-dropping-particle" : "", "parse-names" : false, "suffix" : "" } ], "container-title" : "PloS one", "editor" : [ { "dropping-particle" : "", "family" : "Maedler", "given" : "Kathrin", "non-dropping-particle" : "", "parse-names" : false, "suffix" : "" } ], "id" : "ITEM-1", "issue" : "6", "issued" : { "date-parts" : [ [ "2011", "1" ] ] }, "page" : "e21594", "publisher" : "Public Library of Science", "title" : "Insulin promotes glycogen storage and cell proliferation in primary human astrocytes.", "type" : "article-journal", "volume" : "6" }, "uris" : [ "http://www.mendeley.com/documents/?uuid=94871f17-88bd-41bf-85c5-f9819381253d" ] }, { "id" : "ITEM-2", "itemData" : { "ISSN" : "0027-8424", "PMID" : "7938003", "abstract" : "Glutamate, released at a majority of excitatory synapses in the central nervous system, depolarizes neurons by acting at specific receptors. Its action is terminated by removal from the synaptic cleft mostly via Na(+)-dependent uptake systems located on both neurons and astrocytes. Here we report that glutamate, in addition to its receptor-mediated actions on neuronal excitability, stimulates glycolysis--i.e., glucose utilization and lactate production--in astrocytes. This metabolic action is mediated by activation of a Na(+)-dependent uptake system and not by interaction with receptors. The mechanism involves the Na+/K(+)-ATPase, which is activated by an increase in the intracellular concentration of Na+ cotransported with glutamate by the electrogenic uptake system. Thus, when glutamate is released from active synapses and taken up by astrocytes, the newly identified signaling pathway described here would provide a simple and direct mechanism to tightly couple neuronal activity to glucose utilization. In addition, glutamate-stimulated glycolysis is consistent with data obtained from functional brain imaging studies indicating local nonoxidative glucose utilization during physiological activation.", "author" : [ { "dropping-particle" : "", "family" : "Pellerin", "given" : "L", "non-dropping-particle" : "", "parse-names" : false, "suffix" : "" }, { "dropping-particle" : "", "family" : "Magistretti", "given" : "P J", "non-dropping-particle" : "", "parse-names" : false, "suffix" : "" } ], "container-title" : "Proceedings of the National Academy of Sciences of the United States of America", "id" : "ITEM-2", "issue" : "22", "issued" : { "date-parts" : [ [ "1994", "10", "25" ] ] }, "page" : "10625-9", "title" : "Glutamate uptake into astrocytes stimulates aerobic glycolysis: a mechanism coupling neuronal activity to glucose utilization.", "type" : "article-journal", "volume" : "91" }, "uris" : [ "http://www.mendeley.com/documents/?uuid=48c137c0-934a-4aef-9569-807e0d798687" ] } ], "mendeley" : { "formattedCitation" : "(Heni et al. 2011; Pellerin &amp; Magistretti 1994)", "plainTextFormattedCitation" : "(Heni et al. 2011; Pellerin &amp; Magistretti 1994)", "previouslyFormattedCitation" : "(Heni et al. 2011; Pellerin &amp; Magistretti 1994)" }, "properties" : { "noteIndex" : 0 }, "schema" : "https://github.com/citation-style-language/schema/raw/master/csl-citation.json" }</w:instrText>
      </w:r>
      <w:r w:rsidR="00CF3BDB" w:rsidRPr="00EB28D0">
        <w:rPr>
          <w:rFonts w:ascii="Times New Roman" w:hAnsi="Times New Roman" w:cs="Times New Roman"/>
        </w:rPr>
        <w:fldChar w:fldCharType="separate"/>
      </w:r>
      <w:r w:rsidR="00C148FC" w:rsidRPr="00C148FC">
        <w:rPr>
          <w:rFonts w:ascii="Times New Roman" w:hAnsi="Times New Roman" w:cs="Times New Roman"/>
          <w:noProof/>
        </w:rPr>
        <w:t>(Heni et al. 2011; Pellerin &amp; Magistretti 1994)</w:t>
      </w:r>
      <w:r w:rsidR="00CF3BDB" w:rsidRPr="00EB28D0">
        <w:rPr>
          <w:rFonts w:ascii="Times New Roman" w:hAnsi="Times New Roman" w:cs="Times New Roman"/>
        </w:rPr>
        <w:fldChar w:fldCharType="end"/>
      </w:r>
      <w:r w:rsidR="00CF3BDB" w:rsidRPr="00EB28D0">
        <w:rPr>
          <w:rFonts w:ascii="Times New Roman" w:hAnsi="Times New Roman" w:cs="Times New Roman"/>
        </w:rPr>
        <w:t>.</w:t>
      </w:r>
      <w:r w:rsidR="00C44231">
        <w:rPr>
          <w:rFonts w:ascii="Times New Roman" w:hAnsi="Times New Roman" w:cs="Times New Roman"/>
        </w:rPr>
        <w:t xml:space="preserve"> Treatment</w:t>
      </w:r>
      <w:r w:rsidR="009C019C" w:rsidRPr="00EB28D0">
        <w:rPr>
          <w:rFonts w:ascii="Times New Roman" w:hAnsi="Times New Roman" w:cs="Times New Roman"/>
        </w:rPr>
        <w:t xml:space="preserve"> of human astrocytes</w:t>
      </w:r>
      <w:r w:rsidR="00941508" w:rsidRPr="00EB28D0">
        <w:rPr>
          <w:rFonts w:ascii="Times New Roman" w:hAnsi="Times New Roman" w:cs="Times New Roman"/>
        </w:rPr>
        <w:t xml:space="preserve"> (ScienCell)</w:t>
      </w:r>
      <w:r w:rsidR="009C019C" w:rsidRPr="00EB28D0">
        <w:rPr>
          <w:rFonts w:ascii="Times New Roman" w:hAnsi="Times New Roman" w:cs="Times New Roman"/>
        </w:rPr>
        <w:t xml:space="preserve"> with Aβ</w:t>
      </w:r>
      <w:r w:rsidR="009C019C" w:rsidRPr="00EB28D0">
        <w:rPr>
          <w:rFonts w:ascii="Times New Roman" w:hAnsi="Times New Roman" w:cs="Times New Roman"/>
          <w:vertAlign w:val="subscript"/>
        </w:rPr>
        <w:t>1-42</w:t>
      </w:r>
      <w:r w:rsidR="00C44231">
        <w:rPr>
          <w:rFonts w:ascii="Times New Roman" w:hAnsi="Times New Roman" w:cs="Times New Roman"/>
        </w:rPr>
        <w:t xml:space="preserve"> impairs insulin signalling via </w:t>
      </w:r>
      <w:r w:rsidR="009C019C" w:rsidRPr="00EB28D0">
        <w:rPr>
          <w:rFonts w:ascii="Times New Roman" w:hAnsi="Times New Roman" w:cs="Times New Roman"/>
        </w:rPr>
        <w:t xml:space="preserve">ERK mediated phosphorylation of IRS1 at serine resides 636/639, which suppresses insulin-induced glycogen storage </w:t>
      </w:r>
      <w:r w:rsidR="009C019C" w:rsidRPr="00EB28D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"10.1016/j.gene.2015.02.011", "ISSN" : "1879-0038", "PMID" : "25667991", "abstract" : "AIMS: This study is to investigate the effect of amyloid \u03b21-42 oligomers on insulin signaling in astrocytes.\n\nMETHODS: Synthetic A\u03b21-42 oligomers were prepared and the oligomeric form of A\u03b21-42 was verified by an electron microscope. Normal human astrocytes were cultured in Dulbecco's Modified Eagle Medium. Western blotting was employed to measure the amount of lysate proteins. Immunofluorescence was performed to detect the distribution of phosphorylated insulin receptor substrate-1 and expression of P-GSK3\u03b2 in astrocytes under confocal microscopy and fluorescent microscopy, respectively. Periodic Acid-Schiff staining was used to detect glycogen, the content of which was measured using glycogen assay.\n\nRESULTS: Our data showed that A\u03b21-42 oligomers inhibited insulin-induced serine phosphorylation of Akt at 473 and GSK3\u03b2 at serine 9, as well as glycogen storage. However, the levels of phosphorylated GSK3\u03b2 at tyrosine 216 were significantly increased in the presence of A\u03b21-42 oligomers. In addition, the levels of phosphorylated ERK1/2 and insulin receptor substrate-1 at serine 636/639 were significantly increased in response to treatment with A\u03b21-42 oligomers. Of note, the responses and inhibitory effects of A\u03b21-42 oligomers on insulin signaling were partially reversed by ERK1/2 upstream inhibitor PD98059.\n\nCONCLUSIONS: Our results demonstrated that A\u03b21-42 oligomers impaired insulin signaling and suppressed insulin-induced glycogen storage in human astrocytes, probably due to ERK1/2-dependent serine phosphorylation of insulin receptor substrate-1 at 636/639 induced by A\u03b21-42 oligomers.", "author" : [ { "dropping-particle" : "", "family" : "Zhang", "given" : "Qinghua", "non-dropping-particle" : "", "parse-names" : false, "suffix" : "" }, { "dropping-particle" : "", "family" : "Guo", "given" : "Shougang", "non-dropping-particle" : "", "parse-names" : false, "suffix" : "" }, { "dropping-particle" : "", "family" : "Zhang", "given" : "Xiao", "non-dropping-particle" : "", "parse-names" : false, "suffix" : "" }, { "dropping-particle" : "", "family" : "Tang", "given" : "Shi", "non-dropping-particle" : "", "parse-names" : false, "suffix" : "" }, { "dropping-particle" : "", "family" : "Wang", "given" : "Lu", "non-dropping-particle" : "", "parse-names" : false, "suffix" : "" }, { "dropping-particle" : "", "family" : "Han", "given" : "Xiaojuan", "non-dropping-particle" : "", "parse-names" : false, "suffix" : "" }, { "dropping-particle" : "", "family" : "Shao", "given" : "Wen", "non-dropping-particle" : "", "parse-names" : false, "suffix" : "" }, { "dropping-particle" : "", "family" : "Cong", "given" : "Lin", "non-dropping-particle" : "", "parse-names" : false, "suffix" : "" }, { "dropping-particle" : "", "family" : "Du", "given" : "Yifeng", "non-dropping-particle" : "", "parse-names" : false, "suffix" : "" } ], "container-title" : "Gene", "id" : "ITEM-1", "issue" : "1", "issued" : { "date-parts" : [ [ "2015", "4", "25" ] ] }, "page" : "76-81", "title" : "Amyloid \u03b2 oligomer-induced ERK1/2-dependent serine 636/639 phosphorylation of insulin receptor substrate-1 impairs insulin signaling and glycogen storage in human astrocytes.", "type" : "article-journal", "volume" : "561" }, "uris" : [ "http://www.mendeley.com/documents/?uuid=2e1f502e-acd1-4cd8-8acb-2967086fe2ad" ] } ], "mendeley" : { "formattedCitation" : "(Q. Zhang et al. 2015)", "plainTextFormattedCitation" : "(Q. Zhang et al. 2015)", "previouslyFormattedCitation" : "(Q. Zhang et al. 2015)" }, "properties" : { "noteIndex" : 0 }, "schema" : "https://github.com/citation-style-language/schema/raw/master/csl-citation.json" }</w:instrText>
      </w:r>
      <w:r w:rsidR="009C019C" w:rsidRPr="00EB28D0">
        <w:rPr>
          <w:rFonts w:ascii="Times New Roman" w:hAnsi="Times New Roman" w:cs="Times New Roman"/>
        </w:rPr>
        <w:fldChar w:fldCharType="separate"/>
      </w:r>
      <w:r w:rsidR="00C148FC" w:rsidRPr="00C148FC">
        <w:rPr>
          <w:rFonts w:ascii="Times New Roman" w:hAnsi="Times New Roman" w:cs="Times New Roman"/>
          <w:noProof/>
        </w:rPr>
        <w:t>(Q. Zhang et al. 2015)</w:t>
      </w:r>
      <w:r w:rsidR="009C019C" w:rsidRPr="00EB28D0">
        <w:rPr>
          <w:rFonts w:ascii="Times New Roman" w:hAnsi="Times New Roman" w:cs="Times New Roman"/>
        </w:rPr>
        <w:fldChar w:fldCharType="end"/>
      </w:r>
      <w:r w:rsidR="009C019C" w:rsidRPr="00EB28D0">
        <w:rPr>
          <w:rFonts w:ascii="Times New Roman" w:hAnsi="Times New Roman" w:cs="Times New Roman"/>
        </w:rPr>
        <w:t>.</w:t>
      </w:r>
      <w:r w:rsidR="006A2EE7">
        <w:rPr>
          <w:rFonts w:ascii="Times New Roman" w:hAnsi="Times New Roman" w:cs="Times New Roman"/>
        </w:rPr>
        <w:t xml:space="preserve"> </w:t>
      </w:r>
      <w:r>
        <w:rPr>
          <w:rFonts w:ascii="Times New Roman" w:hAnsi="Times New Roman" w:cs="Times New Roman"/>
        </w:rPr>
        <w:t xml:space="preserve">Currently, there are no known </w:t>
      </w:r>
      <w:r>
        <w:rPr>
          <w:rFonts w:ascii="Times New Roman" w:hAnsi="Times New Roman" w:cs="Times New Roman"/>
          <w:i/>
        </w:rPr>
        <w:t xml:space="preserve">in </w:t>
      </w:r>
      <w:r w:rsidRPr="00665361">
        <w:rPr>
          <w:rFonts w:ascii="Times New Roman" w:hAnsi="Times New Roman" w:cs="Times New Roman"/>
          <w:i/>
        </w:rPr>
        <w:t>vitro</w:t>
      </w:r>
      <w:r w:rsidR="00EF5E99">
        <w:rPr>
          <w:rFonts w:ascii="Times New Roman" w:hAnsi="Times New Roman" w:cs="Times New Roman"/>
          <w:i/>
        </w:rPr>
        <w:t xml:space="preserve"> </w:t>
      </w:r>
      <w:r w:rsidR="00EF5E99">
        <w:rPr>
          <w:rFonts w:ascii="Times New Roman" w:hAnsi="Times New Roman" w:cs="Times New Roman"/>
        </w:rPr>
        <w:t xml:space="preserve">or </w:t>
      </w:r>
      <w:r w:rsidR="00EF5E99">
        <w:rPr>
          <w:rFonts w:ascii="Times New Roman" w:hAnsi="Times New Roman" w:cs="Times New Roman"/>
          <w:i/>
        </w:rPr>
        <w:t>in vivo</w:t>
      </w:r>
      <w:r>
        <w:rPr>
          <w:rFonts w:ascii="Times New Roman" w:hAnsi="Times New Roman" w:cs="Times New Roman"/>
          <w:i/>
        </w:rPr>
        <w:t xml:space="preserve"> </w:t>
      </w:r>
      <w:r>
        <w:rPr>
          <w:rFonts w:ascii="Times New Roman" w:hAnsi="Times New Roman" w:cs="Times New Roman"/>
        </w:rPr>
        <w:t xml:space="preserve">demonstrations of </w:t>
      </w:r>
      <w:r w:rsidR="00EF5E99">
        <w:rPr>
          <w:rFonts w:ascii="Times New Roman" w:hAnsi="Times New Roman" w:cs="Times New Roman"/>
        </w:rPr>
        <w:t xml:space="preserve">what </w:t>
      </w:r>
      <w:r>
        <w:rPr>
          <w:rFonts w:ascii="Times New Roman" w:hAnsi="Times New Roman" w:cs="Times New Roman"/>
        </w:rPr>
        <w:t>the role of IGF1 signalling</w:t>
      </w:r>
      <w:r w:rsidR="00EF5E99">
        <w:rPr>
          <w:rFonts w:ascii="Times New Roman" w:hAnsi="Times New Roman" w:cs="Times New Roman"/>
        </w:rPr>
        <w:t xml:space="preserve"> is</w:t>
      </w:r>
      <w:r>
        <w:rPr>
          <w:rFonts w:ascii="Times New Roman" w:hAnsi="Times New Roman" w:cs="Times New Roman"/>
        </w:rPr>
        <w:t xml:space="preserve"> in human astrocytes</w:t>
      </w:r>
      <w:r w:rsidR="00800549">
        <w:rPr>
          <w:rFonts w:ascii="Times New Roman" w:hAnsi="Times New Roman" w:cs="Times New Roman"/>
        </w:rPr>
        <w:t>. T</w:t>
      </w:r>
      <w:r w:rsidR="00EF5E99">
        <w:rPr>
          <w:rFonts w:ascii="Times New Roman" w:hAnsi="Times New Roman" w:cs="Times New Roman"/>
        </w:rPr>
        <w:t xml:space="preserve">hese experiments will be necessary to </w:t>
      </w:r>
      <w:r w:rsidR="00800549">
        <w:rPr>
          <w:rFonts w:ascii="Times New Roman" w:hAnsi="Times New Roman" w:cs="Times New Roman"/>
        </w:rPr>
        <w:t>decide whether impairments in IGF1 signalling in astrocytes contribute to progression of neurodegenerative diseases, such as AD.</w:t>
      </w:r>
    </w:p>
    <w:p w14:paraId="58AB4CB6" w14:textId="77777777" w:rsidR="00C54886" w:rsidRDefault="00C54886" w:rsidP="00C54886">
      <w:pPr>
        <w:spacing w:line="360" w:lineRule="auto"/>
        <w:rPr>
          <w:rFonts w:ascii="Times New Roman" w:hAnsi="Times New Roman" w:cs="Times New Roman"/>
        </w:rPr>
      </w:pPr>
      <w:r>
        <w:rPr>
          <w:rFonts w:ascii="Times New Roman" w:hAnsi="Times New Roman" w:cs="Times New Roman"/>
        </w:rPr>
        <w:t xml:space="preserve">           </w:t>
      </w:r>
      <w:r w:rsidR="00664CBC">
        <w:rPr>
          <w:rFonts w:ascii="Times New Roman" w:hAnsi="Times New Roman" w:cs="Times New Roman"/>
        </w:rPr>
        <w:t xml:space="preserve"> </w:t>
      </w:r>
      <w:r w:rsidRPr="00C54886">
        <w:rPr>
          <w:rFonts w:ascii="Times New Roman" w:hAnsi="Times New Roman" w:cs="Times New Roman"/>
          <w:noProof/>
        </w:rPr>
        <w:drawing>
          <wp:inline distT="0" distB="0" distL="0" distR="0" wp14:anchorId="1B2E4719" wp14:editId="20AFEC05">
            <wp:extent cx="4691380" cy="3434090"/>
            <wp:effectExtent l="0" t="0" r="7620" b="0"/>
            <wp:docPr id="1073741833" name="Picture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20">
                      <a:extLst>
                        <a:ext uri="{28A0092B-C50C-407E-A947-70E740481C1C}">
                          <a14:useLocalDpi xmlns:a14="http://schemas.microsoft.com/office/drawing/2010/main" val="0"/>
                        </a:ext>
                      </a:extLst>
                    </a:blip>
                    <a:srcRect l="17155" t="9262" r="8246" b="21840"/>
                    <a:stretch/>
                  </pic:blipFill>
                  <pic:spPr bwMode="auto">
                    <a:xfrm>
                      <a:off x="0" y="0"/>
                      <a:ext cx="4698484" cy="3439290"/>
                    </a:xfrm>
                    <a:prstGeom prst="rect">
                      <a:avLst/>
                    </a:prstGeom>
                    <a:ln>
                      <a:noFill/>
                    </a:ln>
                    <a:extLst>
                      <a:ext uri="{53640926-AAD7-44d8-BBD7-CCE9431645EC}">
                        <a14:shadowObscured xmlns:a14="http://schemas.microsoft.com/office/drawing/2010/main"/>
                      </a:ext>
                    </a:extLst>
                  </pic:spPr>
                </pic:pic>
              </a:graphicData>
            </a:graphic>
          </wp:inline>
        </w:drawing>
      </w:r>
    </w:p>
    <w:p w14:paraId="529AC80E" w14:textId="03095B06" w:rsidR="0019787A" w:rsidRDefault="00333077" w:rsidP="001627E2">
      <w:pPr>
        <w:pStyle w:val="Caption"/>
      </w:pPr>
      <w:bookmarkStart w:id="423" w:name="_Toc333569045"/>
      <w:bookmarkStart w:id="424" w:name="_Toc333569270"/>
      <w:bookmarkStart w:id="425" w:name="_Toc333570824"/>
      <w:bookmarkStart w:id="426" w:name="_Toc333582207"/>
      <w:bookmarkStart w:id="427" w:name="_Toc333582327"/>
      <w:bookmarkStart w:id="428" w:name="_Toc333582739"/>
      <w:bookmarkStart w:id="429" w:name="_Toc333583109"/>
      <w:bookmarkStart w:id="430" w:name="_Toc333584078"/>
      <w:bookmarkStart w:id="431" w:name="_Toc333585212"/>
      <w:bookmarkStart w:id="432" w:name="_Toc333586764"/>
      <w:bookmarkStart w:id="433" w:name="_Toc333644463"/>
      <w:bookmarkStart w:id="434" w:name="_Toc333644757"/>
      <w:r>
        <w:t>Figure 1.7</w:t>
      </w:r>
      <w:r w:rsidR="0052651A">
        <w:t>.</w:t>
      </w:r>
      <w:r w:rsidRPr="00C54886">
        <w:t xml:space="preserve"> </w:t>
      </w:r>
      <w:r>
        <w:t>Schematic diagram to summarise</w:t>
      </w:r>
      <w:r w:rsidRPr="00C54886">
        <w:t xml:space="preserve"> the known roles of insulin/IGF1 signalling in rodent astrocytes</w:t>
      </w:r>
      <w:r>
        <w:t>.</w:t>
      </w:r>
      <w:bookmarkStart w:id="435" w:name="_Toc329593394"/>
      <w:bookmarkStart w:id="436" w:name="_Toc331425894"/>
      <w:bookmarkStart w:id="437" w:name="_Toc331427081"/>
      <w:bookmarkStart w:id="438" w:name="_Toc331427453"/>
      <w:bookmarkStart w:id="439" w:name="_Toc331427595"/>
      <w:bookmarkStart w:id="440" w:name="_Toc332972599"/>
      <w:bookmarkStart w:id="441" w:name="_Toc333046879"/>
      <w:bookmarkStart w:id="442" w:name="_Toc333477226"/>
      <w:bookmarkStart w:id="443" w:name="_Toc333477996"/>
      <w:bookmarkEnd w:id="423"/>
      <w:bookmarkEnd w:id="424"/>
      <w:bookmarkEnd w:id="425"/>
      <w:bookmarkEnd w:id="426"/>
      <w:bookmarkEnd w:id="427"/>
      <w:bookmarkEnd w:id="428"/>
      <w:bookmarkEnd w:id="429"/>
      <w:bookmarkEnd w:id="430"/>
      <w:bookmarkEnd w:id="431"/>
      <w:bookmarkEnd w:id="432"/>
      <w:bookmarkEnd w:id="433"/>
      <w:bookmarkEnd w:id="434"/>
    </w:p>
    <w:p w14:paraId="7703F502" w14:textId="77777777" w:rsidR="0019787A" w:rsidRDefault="0019787A" w:rsidP="0019787A"/>
    <w:p w14:paraId="41A59736" w14:textId="77777777" w:rsidR="0019787A" w:rsidRPr="0019787A" w:rsidRDefault="0019787A" w:rsidP="0019787A"/>
    <w:p w14:paraId="01EFDFC2" w14:textId="162C9A60" w:rsidR="007368FB" w:rsidRDefault="00C05B02" w:rsidP="007368FB">
      <w:pPr>
        <w:pStyle w:val="Heading2"/>
      </w:pPr>
      <w:bookmarkStart w:id="444" w:name="_Toc333644896"/>
      <w:r>
        <w:t>1.10</w:t>
      </w:r>
      <w:r w:rsidR="007368FB">
        <w:t xml:space="preserve"> Overall aims of this thesis</w:t>
      </w:r>
      <w:bookmarkEnd w:id="435"/>
      <w:bookmarkEnd w:id="436"/>
      <w:bookmarkEnd w:id="437"/>
      <w:bookmarkEnd w:id="438"/>
      <w:bookmarkEnd w:id="439"/>
      <w:bookmarkEnd w:id="440"/>
      <w:bookmarkEnd w:id="441"/>
      <w:bookmarkEnd w:id="442"/>
      <w:bookmarkEnd w:id="443"/>
      <w:bookmarkEnd w:id="444"/>
    </w:p>
    <w:p w14:paraId="5B79A863" w14:textId="77777777" w:rsidR="006C0119" w:rsidRPr="006C0119" w:rsidRDefault="006C0119" w:rsidP="003E7BDB">
      <w:pPr>
        <w:spacing w:line="360" w:lineRule="auto"/>
        <w:jc w:val="both"/>
      </w:pPr>
    </w:p>
    <w:p w14:paraId="0F922DD5" w14:textId="690AC136" w:rsidR="00587C2C" w:rsidRPr="00851F8B" w:rsidRDefault="006C0119" w:rsidP="003E7BDB">
      <w:pPr>
        <w:spacing w:line="360" w:lineRule="auto"/>
        <w:jc w:val="both"/>
        <w:rPr>
          <w:rFonts w:ascii="Times New Roman" w:hAnsi="Times New Roman" w:cs="Times New Roman"/>
        </w:rPr>
      </w:pPr>
      <w:r>
        <w:rPr>
          <w:rFonts w:ascii="Times New Roman" w:hAnsi="Times New Roman" w:cs="Times New Roman"/>
        </w:rPr>
        <w:t>Astrocytes are critical in maintaining brain homeostasis. They accomplish this by integrating stimul</w:t>
      </w:r>
      <w:r w:rsidR="00296C97">
        <w:rPr>
          <w:rFonts w:ascii="Times New Roman" w:hAnsi="Times New Roman" w:cs="Times New Roman"/>
        </w:rPr>
        <w:t>us from their surroundings and tailor their function to provide maximum support for neurons. Studies have demonstrated changes in astrocyte function during ageing and neurodegenerative</w:t>
      </w:r>
      <w:r w:rsidR="00851F8B">
        <w:rPr>
          <w:rFonts w:ascii="Times New Roman" w:hAnsi="Times New Roman" w:cs="Times New Roman"/>
        </w:rPr>
        <w:t xml:space="preserve"> diseases such as AD, which have profound effects on brain </w:t>
      </w:r>
      <w:r w:rsidR="00203A3A">
        <w:rPr>
          <w:rFonts w:ascii="Times New Roman" w:hAnsi="Times New Roman" w:cs="Times New Roman"/>
        </w:rPr>
        <w:t>function. One of these changes</w:t>
      </w:r>
      <w:r w:rsidR="002408F3">
        <w:rPr>
          <w:rFonts w:ascii="Times New Roman" w:hAnsi="Times New Roman" w:cs="Times New Roman"/>
        </w:rPr>
        <w:t xml:space="preserve"> is </w:t>
      </w:r>
      <w:r w:rsidR="00851F8B">
        <w:rPr>
          <w:rFonts w:ascii="Times New Roman" w:hAnsi="Times New Roman" w:cs="Times New Roman"/>
        </w:rPr>
        <w:t xml:space="preserve">an impairment in the insulin/IGF1 signalling pathway. </w:t>
      </w:r>
      <w:r w:rsidR="003A2434">
        <w:rPr>
          <w:rFonts w:ascii="Times New Roman" w:hAnsi="Times New Roman" w:cs="Times New Roman"/>
          <w:color w:val="000000" w:themeColor="text1"/>
        </w:rPr>
        <w:t>Altered IGF1 signalling in astrocytes in the ageing AD brain has</w:t>
      </w:r>
      <w:r w:rsidR="008818A3">
        <w:rPr>
          <w:rFonts w:ascii="Times New Roman" w:hAnsi="Times New Roman" w:cs="Times New Roman"/>
          <w:color w:val="000000" w:themeColor="text1"/>
        </w:rPr>
        <w:t xml:space="preserve"> also</w:t>
      </w:r>
      <w:r w:rsidR="003A2434">
        <w:rPr>
          <w:rFonts w:ascii="Times New Roman" w:hAnsi="Times New Roman" w:cs="Times New Roman"/>
          <w:color w:val="000000" w:themeColor="text1"/>
        </w:rPr>
        <w:t xml:space="preserve"> been demonstrated at both the transcript and protein level </w:t>
      </w:r>
      <w:r w:rsidR="003A2434">
        <w:rPr>
          <w:rFonts w:ascii="Times New Roman" w:hAnsi="Times New Roman" w:cs="Times New Roman"/>
          <w:color w:val="000000" w:themeColor="text1"/>
        </w:rPr>
        <w:fldChar w:fldCharType="begin" w:fldLock="1"/>
      </w:r>
      <w:r w:rsidR="003E7BDB">
        <w:rPr>
          <w:rFonts w:ascii="Times New Roman" w:hAnsi="Times New Roman" w:cs="Times New Roman"/>
          <w:color w:val="000000" w:themeColor="text1"/>
        </w:rPr>
        <w:instrText>ADDIN CSL_CITATION { "citationItems" : [ { "id" : "ITEM-1", "itemData" : { "DOI" : "10.1016/j.neurobiolaging.2011.04.013", "ISSN" : "1558-1497", "PMID" : "21705112", "abstract" : "Astrocytes contribute to a variety of functions in the brain, including homeostasis, synapse formation, plasticity, and metabolism. Astrocyte dysfunction may disrupt their normal role, including neuronal support, thereby contributing to neurodegenerative pathologies, including Alzheimer's disease (AD). To understand the role of astrocytes in the pathogenesis of age-related disorders, we isolated astrocytes by laser capture microdissection, using glial fibrillary acidic protein (GFAP) as a marker, and characterized the astrocyte transcriptome at different Braak neurofibrillary tangle stages in postmortem temporal cortex samples derived from the Medical Research Council Cognitive Function and Ageing Study (MRC CFAS) cohort, using microarray analysis. The largest number of significant, differentially expressed genes were identified when the expression profile of astrocytes from isocortical stages of neurofibrillary tangle pathology (Braak stages V-VI) were compared with entorhinal stages (Braak stages I-II). Dysregulation of genes associated with the actin cytoskeleton, proliferation, apoptosis, and ubiquitin-mediated proteolysis occurred at low Braak stages, while altered regulation of intracellular signaling pathways, including insulin, phosphatidylinositol 3-kinase (PI3K)/Akt, and mitogen-activated protein kinase (MAPK) pathways were primarily associated with high levels of Alzheimer-type pathology, and occurred at lower Braak stages in individuals with the APOE\u03b54 allele. Our findings implicate astrocyte dysfunction in the pathogenesis of neurodegenerative pathology in the aging brain, and provide a basis for future candidate studies based on specific pathways.", "author" : [ { "dropping-particle" : "", "family" : "Simpson", "given" : "Julie E", "non-dropping-particle" : "", "parse-names" : false, "suffix" : "" }, { "dropping-particle" : "", "family" : "Ince", "given" : "Paul G", "non-dropping-particle" : "", "parse-names" : false, "suffix" : "" }, { "dropping-particle" : "", "family" : "Shaw", "given" : "Pamela J", "non-dropping-particle" : "", "parse-names" : false, "suffix" : "" }, { "dropping-particle" : "", "family" : "Heath", "given" : "Paul R", "non-dropping-particle" : "", "parse-names" : false, "suffix" : "" }, { "dropping-particle" : "", "family" : "Raman", "given" : "Rohini", "non-dropping-particle" : "", "parse-names" : false, "suffix" : "" }, { "dropping-particle" : "", "family" : "Garwood", "given" : "Claire J", "non-dropping-particle" : "", "parse-names" : false, "suffix" : "" }, { "dropping-particle" : "", "family" : "Gelsthorpe", "given" : "Catherine", "non-dropping-particle" : "", "parse-names" : false, "suffix" : "" }, { "dropping-particle" : "", "family" : "Baxter", "given" : "Lynne", "non-dropping-particle" : "", "parse-names" : false, "suffix" : "" }, { "dropping-particle" : "", "family" : "Forster", "given" : "Gillian", "non-dropping-particle" : "", "parse-names" : false, "suffix" : "" }, { "dropping-particle" : "", "family" : "Matthews", "given" : "Fiona E", "non-dropping-particle" : "", "parse-names" : false, "suffix" : "" }, { "dropping-particle" : "", "family" : "Brayne", "given" : "Carol", "non-dropping-particle" : "", "parse-names" : false, "suffix" : "" }, { "dropping-particle" : "", "family" : "Wharton", "given" : "Stephen B", "non-dropping-particle" : "", "parse-names" : false, "suffix" : "" } ], "container-title" : "Neurobiology of aging", "id" : "ITEM-1", "issue" : "10", "issued" : { "date-parts" : [ [ "2011", "10" ] ] }, "page" : "1795-807", "title" : "Microarray analysis of the astrocyte transcriptome in the aging brain: relationship to Alzheimer's pathology and APOE genotype.", "type" : "article-journal", "volume" : "32" }, "uris" : [ "http://www.mendeley.com/documents/?uuid=181521a1-c6ce-4312-8031-143f5a245149" ] }, { "id" : "ITEM-2", "itemData" : { "DOI" : "10.1016/j.neurobiolaging.2008.04.002", "ISSN" : "1558-1497", "PMID" : "18479783", "abstract" : "Insulin like growth factor-1 receptor (IGF-1R) and insulin receptor (IR) signalling control vital growth, survival and metabolic functions in the brain. Here we describe specific and significant alterations in IGF-1R, IR, and their key substrate adaptor proteins IRS-1 and IRS-2 in Alzheimer's disease (AD). Western immunoblot analysis detected increased IGF-1R levels, and decreased levels of IGF-1-binding protein-2 (IGFBP-2), a major IGF-1-binding protein, in AD temporal cortex. Increased IGF-1R was observed surrounding and within amyloid-beta (Abeta)-containing plaques, also evident in an animal model of AD, and in astrocytes in AD. However, despite the overall increase in IGF-1R levels, a significantly lower number of neurons expressed IGF-1R in AD, and IGF-1R was aberrantly distributed in AD neurons especially evident in those with neurofibrillary tangles (NFTs). IR protein levels were similar in AD and control cases, however, the IR was concentrated intracellularly in AD neurons, unlike its distribution throughout the neuronal cell soma and in dendrites in control brain. Significant decreases in IRS-1 and IRS-2 levels were identified in AD neurons, in association with increased levels of inactivated phospho(Ser312)IRS-1 and phospho(Ser616)IRS-1, where increased levels of these phosphoserine epitopes colocalised strongly with NFTs. Our results show that IGF-1R and IR signalling is compromised in AD neurons and suggest that neurons that degenerate in AD may be resistant to IGF-1R/IR signalling.", "author" : [ { "dropping-particle" : "", "family" : "Moloney", "given" : "Aileen M", "non-dropping-particle" : "", "parse-names" : false, "suffix" : "" }, { "dropping-particle" : "", "family" : "Griffin", "given" : "Rebecca J", "non-dropping-particle" : "", "parse-names" : false, "suffix" : "" }, { "dropping-particle" : "", "family" : "Timmons", "given" : "Suzanne", "non-dropping-particle" : "", "parse-names" : false, "suffix" : "" }, { "dropping-particle" : "", "family" : "O'Connor", "given" : "Rosemary", "non-dropping-particle" : "", "parse-names" : false, "suffix" : "" }, { "dropping-particle" : "", "family" : "Ravid", "given" : "Rivka", "non-dropping-particle" : "", "parse-names" : false, "suffix" : "" }, { "dropping-particle" : "", "family" : "O'Neill", "given" : "Cora", "non-dropping-particle" : "", "parse-names" : false, "suffix" : "" } ], "container-title" : "Neurobiology of aging", "id" : "ITEM-2", "issue" : "2", "issued" : { "date-parts" : [ [ "2010", "2" ] ] }, "page" : "224-43", "title" : "Defects in IGF-1 receptor, insulin receptor and IRS-1/2 in Alzheimer's disease indicate possible resistance to IGF-1 and insulin signalling.", "type" : "article-journal", "volume" : "31" }, "uris" : [ "http://www.mendeley.com/documents/?uuid=54a00811-6d6c-3ddd-bf02-1e5ba5a93159" ] } ], "mendeley" : { "formattedCitation" : "(Simpson et al. 2011; Moloney et al. 2010b)", "manualFormatting" : "(Moloney et al., 2010; Julie E Simpson et al., 2011)", "plainTextFormattedCitation" : "(Simpson et al. 2011; Moloney et al. 2010b)", "previouslyFormattedCitation" : "(Simpson et al. 2011; Moloney et al. 2010b)" }, "properties" : { "noteIndex" : 0 }, "schema" : "https://github.com/citation-style-language/schema/raw/master/csl-citation.json" }</w:instrText>
      </w:r>
      <w:r w:rsidR="003A2434">
        <w:rPr>
          <w:rFonts w:ascii="Times New Roman" w:hAnsi="Times New Roman" w:cs="Times New Roman"/>
          <w:color w:val="000000" w:themeColor="text1"/>
        </w:rPr>
        <w:fldChar w:fldCharType="separate"/>
      </w:r>
      <w:r w:rsidR="003A2434">
        <w:rPr>
          <w:rFonts w:ascii="Times New Roman" w:hAnsi="Times New Roman" w:cs="Times New Roman"/>
          <w:noProof/>
          <w:color w:val="000000" w:themeColor="text1"/>
        </w:rPr>
        <w:t>(Moloney et al., 2010</w:t>
      </w:r>
      <w:r w:rsidR="003A2434" w:rsidRPr="003A2434">
        <w:rPr>
          <w:rFonts w:ascii="Times New Roman" w:hAnsi="Times New Roman" w:cs="Times New Roman"/>
          <w:noProof/>
          <w:color w:val="000000" w:themeColor="text1"/>
        </w:rPr>
        <w:t>; Julie E Simpson et al., 2011)</w:t>
      </w:r>
      <w:r w:rsidR="003A2434">
        <w:rPr>
          <w:rFonts w:ascii="Times New Roman" w:hAnsi="Times New Roman" w:cs="Times New Roman"/>
          <w:color w:val="000000" w:themeColor="text1"/>
        </w:rPr>
        <w:fldChar w:fldCharType="end"/>
      </w:r>
      <w:r w:rsidR="003A2434">
        <w:rPr>
          <w:rFonts w:ascii="Times New Roman" w:hAnsi="Times New Roman" w:cs="Times New Roman"/>
          <w:color w:val="000000" w:themeColor="text1"/>
        </w:rPr>
        <w:t>.</w:t>
      </w:r>
      <w:r w:rsidR="0066370A">
        <w:rPr>
          <w:rFonts w:ascii="Times New Roman" w:hAnsi="Times New Roman" w:cs="Times New Roman"/>
          <w:color w:val="000000" w:themeColor="text1"/>
        </w:rPr>
        <w:t xml:space="preserve"> There are conflicting reports of the role of IGF1 in ageing and AD, with demonstrations </w:t>
      </w:r>
      <w:r w:rsidR="00203A3A">
        <w:rPr>
          <w:rFonts w:ascii="Times New Roman" w:hAnsi="Times New Roman" w:cs="Times New Roman"/>
          <w:color w:val="000000" w:themeColor="text1"/>
        </w:rPr>
        <w:t>that IGF1 deficiency contributes to both longevity</w:t>
      </w:r>
      <w:r w:rsidR="0066370A">
        <w:rPr>
          <w:rFonts w:ascii="Times New Roman" w:hAnsi="Times New Roman" w:cs="Times New Roman"/>
          <w:color w:val="000000" w:themeColor="text1"/>
        </w:rPr>
        <w:t xml:space="preserve"> and </w:t>
      </w:r>
      <w:r w:rsidR="00203A3A">
        <w:rPr>
          <w:rFonts w:ascii="Times New Roman" w:hAnsi="Times New Roman" w:cs="Times New Roman"/>
          <w:color w:val="000000" w:themeColor="text1"/>
        </w:rPr>
        <w:t>neurodegeneration</w:t>
      </w:r>
      <w:r w:rsidR="0066370A">
        <w:rPr>
          <w:rFonts w:ascii="Times New Roman" w:hAnsi="Times New Roman" w:cs="Times New Roman"/>
          <w:color w:val="000000" w:themeColor="text1"/>
        </w:rPr>
        <w:t xml:space="preserve">. </w:t>
      </w:r>
      <w:r w:rsidR="003A2434">
        <w:rPr>
          <w:rFonts w:ascii="Times New Roman" w:hAnsi="Times New Roman" w:cs="Times New Roman"/>
          <w:color w:val="000000" w:themeColor="text1"/>
        </w:rPr>
        <w:t xml:space="preserve">The role of IGF1 signalling in rodent astrocytes has been investigated however </w:t>
      </w:r>
      <w:r w:rsidR="007F2755">
        <w:rPr>
          <w:rFonts w:ascii="Times New Roman" w:hAnsi="Times New Roman" w:cs="Times New Roman"/>
          <w:color w:val="000000" w:themeColor="text1"/>
        </w:rPr>
        <w:t xml:space="preserve">the function of this pathway has not yet been explored in human astrocytes </w:t>
      </w:r>
      <w:r w:rsidR="007F2755">
        <w:rPr>
          <w:rFonts w:ascii="Times New Roman" w:hAnsi="Times New Roman" w:cs="Times New Roman"/>
          <w:i/>
          <w:color w:val="000000" w:themeColor="text1"/>
        </w:rPr>
        <w:t>in vitro</w:t>
      </w:r>
      <w:r w:rsidR="00203A3A">
        <w:rPr>
          <w:rFonts w:ascii="Times New Roman" w:hAnsi="Times New Roman" w:cs="Times New Roman"/>
          <w:i/>
          <w:color w:val="000000" w:themeColor="text1"/>
        </w:rPr>
        <w:t xml:space="preserve"> </w:t>
      </w:r>
      <w:r w:rsidR="00203A3A">
        <w:rPr>
          <w:rFonts w:ascii="Times New Roman" w:hAnsi="Times New Roman" w:cs="Times New Roman"/>
          <w:color w:val="000000" w:themeColor="text1"/>
        </w:rPr>
        <w:t xml:space="preserve">or </w:t>
      </w:r>
      <w:r w:rsidR="00203A3A">
        <w:rPr>
          <w:rFonts w:ascii="Times New Roman" w:hAnsi="Times New Roman" w:cs="Times New Roman"/>
          <w:i/>
          <w:color w:val="000000" w:themeColor="text1"/>
        </w:rPr>
        <w:t>in vivo</w:t>
      </w:r>
      <w:r w:rsidR="007F2755">
        <w:rPr>
          <w:rFonts w:ascii="Times New Roman" w:hAnsi="Times New Roman" w:cs="Times New Roman"/>
          <w:color w:val="000000" w:themeColor="text1"/>
        </w:rPr>
        <w:t>. It is important to fill this gap in knowledge since human astrocytes are much more complex than their rodent counterparts</w:t>
      </w:r>
      <w:r>
        <w:rPr>
          <w:rFonts w:ascii="Times New Roman" w:hAnsi="Times New Roman" w:cs="Times New Roman"/>
          <w:color w:val="000000" w:themeColor="text1"/>
        </w:rPr>
        <w:t xml:space="preserve"> </w:t>
      </w:r>
      <w:r>
        <w:rPr>
          <w:rFonts w:ascii="Times New Roman" w:hAnsi="Times New Roman" w:cs="Times New Roman"/>
          <w:color w:val="000000" w:themeColor="text1"/>
        </w:rPr>
        <w:fldChar w:fldCharType="begin" w:fldLock="1"/>
      </w:r>
      <w:r w:rsidR="003E7BDB">
        <w:rPr>
          <w:rFonts w:ascii="Times New Roman" w:hAnsi="Times New Roman" w:cs="Times New Roman"/>
          <w:color w:val="000000" w:themeColor="text1"/>
        </w:rPr>
        <w:instrText>ADDIN CSL_CITATION { "citationItems" : [ { "id" : "ITEM-1", "itemData" : { "DOI" : "10.1016/j.tins.2006.08.004", "ISSN" : "0166-2236", "PMID" : "16938356", "abstract" : "One of the most distinguishing features of the adult human brain is the complexity and diversity of its cortical astrocytes. Human protoplasmic astrocytes manifest a threefold larger diameter and have tenfold more primary processes than those of rodents. In all mammals, protoplasmic astrocytes are organized into spatially non-overlapping domains that encompass both neurons and vasculature. Yet unique to humans and primates are additional populations of layer 1 interlaminar astrocytes that extend long (millimeter) fibers, and layer 5-6 polarized astrocytes that also project distinctive long processes. We propose that human cortical evolution has been accompanied by increasing complexity in the form and function of astrocytes, which reflects an expansion of their functional roles in synaptic modulation and cortical circuitry.", "author" : [ { "dropping-particle" : "", "family" : "Oberheim", "given" : "Nancy Ann", "non-dropping-particle" : "", "parse-names" : false, "suffix" : "" }, { "dropping-particle" : "", "family" : "Wang", "given" : "Xiaohai", "non-dropping-particle" : "", "parse-names" : false, "suffix" : "" }, { "dropping-particle" : "", "family" : "Goldman", "given" : "Steven", "non-dropping-particle" : "", "parse-names" : false, "suffix" : "" }, { "dropping-particle" : "", "family" : "Nedergaard", "given" : "Maiken", "non-dropping-particle" : "", "parse-names" : false, "suffix" : "" } ], "container-title" : "Trends in neurosciences", "id" : "ITEM-1", "issue" : "10", "issued" : { "date-parts" : [ [ "2006", "10", "1" ] ] }, "language" : "English", "page" : "547-53", "publisher" : "Elsevier", "title" : "Astrocytic complexity distinguishes the human brain.", "type" : "article-journal", "volume" : "29" }, "uris" : [ "http://www.mendeley.com/documents/?uuid=c61b7cad-1cf5-46ed-ad24-67fd34e0cab9" ] } ], "mendeley" : { "formattedCitation" : "(Oberheim et al. 2006)", "plainTextFormattedCitation" : "(Oberheim et al. 2006)", "previouslyFormattedCitation" : "(Oberheim et al. 2006)" }, "properties" : { "noteIndex" : 0 }, "schema" : "https://github.com/citation-style-language/schema/raw/master/csl-citation.json" }</w:instrText>
      </w:r>
      <w:r>
        <w:rPr>
          <w:rFonts w:ascii="Times New Roman" w:hAnsi="Times New Roman" w:cs="Times New Roman"/>
          <w:color w:val="000000" w:themeColor="text1"/>
        </w:rPr>
        <w:fldChar w:fldCharType="separate"/>
      </w:r>
      <w:r w:rsidR="00C148FC" w:rsidRPr="00C148FC">
        <w:rPr>
          <w:rFonts w:ascii="Times New Roman" w:hAnsi="Times New Roman" w:cs="Times New Roman"/>
          <w:noProof/>
          <w:color w:val="000000" w:themeColor="text1"/>
        </w:rPr>
        <w:t>(Oberheim et al. 2006)</w:t>
      </w:r>
      <w:r>
        <w:rPr>
          <w:rFonts w:ascii="Times New Roman" w:hAnsi="Times New Roman" w:cs="Times New Roman"/>
          <w:color w:val="000000" w:themeColor="text1"/>
        </w:rPr>
        <w:fldChar w:fldCharType="end"/>
      </w:r>
      <w:r w:rsidR="007F2755">
        <w:rPr>
          <w:rFonts w:ascii="Times New Roman" w:hAnsi="Times New Roman" w:cs="Times New Roman"/>
          <w:color w:val="000000" w:themeColor="text1"/>
        </w:rPr>
        <w:t xml:space="preserve"> and are a </w:t>
      </w:r>
      <w:r>
        <w:rPr>
          <w:rFonts w:ascii="Times New Roman" w:hAnsi="Times New Roman" w:cs="Times New Roman"/>
          <w:color w:val="000000" w:themeColor="text1"/>
        </w:rPr>
        <w:t>more relevant</w:t>
      </w:r>
      <w:r w:rsidR="007F2755">
        <w:rPr>
          <w:rFonts w:ascii="Times New Roman" w:hAnsi="Times New Roman" w:cs="Times New Roman"/>
          <w:color w:val="000000" w:themeColor="text1"/>
        </w:rPr>
        <w:t xml:space="preserve"> mod</w:t>
      </w:r>
      <w:r>
        <w:rPr>
          <w:rFonts w:ascii="Times New Roman" w:hAnsi="Times New Roman" w:cs="Times New Roman"/>
          <w:color w:val="000000" w:themeColor="text1"/>
        </w:rPr>
        <w:t>el to investigate human disease</w:t>
      </w:r>
      <w:r w:rsidR="007F2755">
        <w:rPr>
          <w:rFonts w:ascii="Times New Roman" w:hAnsi="Times New Roman" w:cs="Times New Roman"/>
          <w:color w:val="000000" w:themeColor="text1"/>
        </w:rPr>
        <w:t xml:space="preserve">. </w:t>
      </w:r>
      <w:r w:rsidR="003A2434">
        <w:rPr>
          <w:rFonts w:ascii="Times New Roman" w:hAnsi="Times New Roman" w:cs="Times New Roman"/>
          <w:color w:val="000000" w:themeColor="text1"/>
        </w:rPr>
        <w:t xml:space="preserve"> </w:t>
      </w:r>
    </w:p>
    <w:p w14:paraId="51E91618" w14:textId="77777777" w:rsidR="00C54886" w:rsidRDefault="00FC5E5B" w:rsidP="006C0119">
      <w:pPr>
        <w:spacing w:line="360" w:lineRule="auto"/>
        <w:rPr>
          <w:rFonts w:ascii="Times New Roman" w:hAnsi="Times New Roman" w:cs="Times New Roman"/>
          <w:color w:val="FF0000"/>
        </w:rPr>
      </w:pPr>
      <w:r w:rsidRPr="00CB63DF">
        <w:rPr>
          <w:rFonts w:ascii="Times New Roman" w:hAnsi="Times New Roman" w:cs="Times New Roman"/>
          <w:color w:val="FF0000"/>
        </w:rPr>
        <w:t xml:space="preserve">  </w:t>
      </w:r>
    </w:p>
    <w:p w14:paraId="17338FD4" w14:textId="14B02762" w:rsidR="00FC5E5B" w:rsidRDefault="00FC5E5B" w:rsidP="003E7BDB">
      <w:pPr>
        <w:spacing w:line="360" w:lineRule="auto"/>
        <w:jc w:val="both"/>
        <w:rPr>
          <w:rFonts w:ascii="Times New Roman" w:hAnsi="Times New Roman" w:cs="Times New Roman"/>
          <w:color w:val="000000" w:themeColor="text1"/>
        </w:rPr>
      </w:pPr>
      <w:r w:rsidRPr="007368FB">
        <w:rPr>
          <w:rFonts w:ascii="Times New Roman" w:hAnsi="Times New Roman" w:cs="Times New Roman"/>
          <w:color w:val="000000" w:themeColor="text1"/>
        </w:rPr>
        <w:t>This thesis will specifically investigate the role of IGF1 si</w:t>
      </w:r>
      <w:r w:rsidR="007368FB" w:rsidRPr="007368FB">
        <w:rPr>
          <w:rFonts w:ascii="Times New Roman" w:hAnsi="Times New Roman" w:cs="Times New Roman"/>
          <w:color w:val="000000" w:themeColor="text1"/>
        </w:rPr>
        <w:t>gnalling in</w:t>
      </w:r>
      <w:r w:rsidR="00BB0C54">
        <w:rPr>
          <w:rFonts w:ascii="Times New Roman" w:hAnsi="Times New Roman" w:cs="Times New Roman"/>
          <w:color w:val="000000" w:themeColor="text1"/>
        </w:rPr>
        <w:t xml:space="preserve"> human</w:t>
      </w:r>
      <w:r w:rsidR="007368FB" w:rsidRPr="007368FB">
        <w:rPr>
          <w:rFonts w:ascii="Times New Roman" w:hAnsi="Times New Roman" w:cs="Times New Roman"/>
          <w:color w:val="000000" w:themeColor="text1"/>
        </w:rPr>
        <w:t xml:space="preserve"> astrocytes, how</w:t>
      </w:r>
      <w:r w:rsidRPr="007368FB">
        <w:rPr>
          <w:rFonts w:ascii="Times New Roman" w:hAnsi="Times New Roman" w:cs="Times New Roman"/>
          <w:color w:val="000000" w:themeColor="text1"/>
        </w:rPr>
        <w:t xml:space="preserve"> downregulation of this pat</w:t>
      </w:r>
      <w:r w:rsidR="007368FB" w:rsidRPr="007368FB">
        <w:rPr>
          <w:rFonts w:ascii="Times New Roman" w:hAnsi="Times New Roman" w:cs="Times New Roman"/>
          <w:color w:val="000000" w:themeColor="text1"/>
        </w:rPr>
        <w:t>hway alters astrocytic function and whether this affects support for neurons.</w:t>
      </w:r>
      <w:r w:rsidR="007368FB">
        <w:rPr>
          <w:rFonts w:ascii="Times New Roman" w:hAnsi="Times New Roman" w:cs="Times New Roman"/>
          <w:color w:val="000000" w:themeColor="text1"/>
        </w:rPr>
        <w:t xml:space="preserve"> </w:t>
      </w:r>
      <w:r w:rsidR="000C1785">
        <w:rPr>
          <w:rFonts w:ascii="Times New Roman" w:hAnsi="Times New Roman" w:cs="Times New Roman"/>
        </w:rPr>
        <w:t>It is hypothesised that impairments in the IGF1 signalling pathway in astrocytes will impair the capacity to support and protect neurons.</w:t>
      </w:r>
      <w:r w:rsidR="0016200A">
        <w:rPr>
          <w:rFonts w:ascii="Times New Roman" w:hAnsi="Times New Roman" w:cs="Times New Roman"/>
          <w:color w:val="FF0000"/>
        </w:rPr>
        <w:t xml:space="preserve"> </w:t>
      </w:r>
      <w:r w:rsidR="000C1785">
        <w:rPr>
          <w:rFonts w:ascii="Times New Roman" w:hAnsi="Times New Roman" w:cs="Times New Roman"/>
        </w:rPr>
        <w:t>To investigate this</w:t>
      </w:r>
      <w:r w:rsidR="009E292B">
        <w:rPr>
          <w:rFonts w:ascii="Times New Roman" w:hAnsi="Times New Roman" w:cs="Times New Roman"/>
        </w:rPr>
        <w:t>, the following objectives will be carried out</w:t>
      </w:r>
      <w:r w:rsidR="009E292B">
        <w:rPr>
          <w:rFonts w:ascii="Times New Roman" w:hAnsi="Times New Roman" w:cs="Times New Roman"/>
          <w:color w:val="000000" w:themeColor="text1"/>
        </w:rPr>
        <w:t>:</w:t>
      </w:r>
    </w:p>
    <w:p w14:paraId="0EC61039" w14:textId="77777777" w:rsidR="007368FB" w:rsidRDefault="007368FB" w:rsidP="006C0119">
      <w:pPr>
        <w:spacing w:line="360" w:lineRule="auto"/>
        <w:rPr>
          <w:rFonts w:ascii="Times New Roman" w:hAnsi="Times New Roman" w:cs="Times New Roman"/>
          <w:color w:val="000000" w:themeColor="text1"/>
        </w:rPr>
      </w:pPr>
    </w:p>
    <w:p w14:paraId="13DF18D3" w14:textId="77777777" w:rsidR="00BD6709" w:rsidRDefault="007368FB" w:rsidP="003E7BDB">
      <w:p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1. Determine whether IGF1 signalling is present and functional in human astrocytes. </w:t>
      </w:r>
    </w:p>
    <w:p w14:paraId="4CA9D51C" w14:textId="08A6BE13" w:rsidR="007368FB" w:rsidRDefault="00BD6709" w:rsidP="003E7BDB">
      <w:p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2. </w:t>
      </w:r>
      <w:r w:rsidR="007368FB">
        <w:rPr>
          <w:rFonts w:ascii="Times New Roman" w:hAnsi="Times New Roman" w:cs="Times New Roman"/>
          <w:color w:val="000000" w:themeColor="text1"/>
        </w:rPr>
        <w:t xml:space="preserve">Establish a model of IGF1 signalling pathway impairment and characterise astrocyte function. </w:t>
      </w:r>
    </w:p>
    <w:p w14:paraId="72C4498A" w14:textId="7FD68F01" w:rsidR="007368FB" w:rsidRDefault="00BD6709" w:rsidP="003E7BDB">
      <w:p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3</w:t>
      </w:r>
      <w:r w:rsidR="007368FB">
        <w:rPr>
          <w:rFonts w:ascii="Times New Roman" w:hAnsi="Times New Roman" w:cs="Times New Roman"/>
          <w:color w:val="000000" w:themeColor="text1"/>
        </w:rPr>
        <w:t>. Establish a human astrocyte-n</w:t>
      </w:r>
      <w:r w:rsidR="009904F7">
        <w:rPr>
          <w:rFonts w:ascii="Times New Roman" w:hAnsi="Times New Roman" w:cs="Times New Roman"/>
          <w:color w:val="000000" w:themeColor="text1"/>
        </w:rPr>
        <w:t>euronal co-culture system and develop an</w:t>
      </w:r>
      <w:r w:rsidR="003A2434">
        <w:rPr>
          <w:rFonts w:ascii="Times New Roman" w:hAnsi="Times New Roman" w:cs="Times New Roman"/>
          <w:color w:val="000000" w:themeColor="text1"/>
        </w:rPr>
        <w:t xml:space="preserve"> assay to assess astrocytic</w:t>
      </w:r>
      <w:r w:rsidR="007368FB">
        <w:rPr>
          <w:rFonts w:ascii="Times New Roman" w:hAnsi="Times New Roman" w:cs="Times New Roman"/>
          <w:color w:val="000000" w:themeColor="text1"/>
        </w:rPr>
        <w:t xml:space="preserve"> support for neurons. Investigate whether intact IGF1 signalling</w:t>
      </w:r>
      <w:r w:rsidR="003A2434">
        <w:rPr>
          <w:rFonts w:ascii="Times New Roman" w:hAnsi="Times New Roman" w:cs="Times New Roman"/>
          <w:color w:val="000000" w:themeColor="text1"/>
        </w:rPr>
        <w:t xml:space="preserve"> in astrocytes</w:t>
      </w:r>
      <w:r w:rsidR="007368FB">
        <w:rPr>
          <w:rFonts w:ascii="Times New Roman" w:hAnsi="Times New Roman" w:cs="Times New Roman"/>
          <w:color w:val="000000" w:themeColor="text1"/>
        </w:rPr>
        <w:t xml:space="preserve"> is important </w:t>
      </w:r>
      <w:r w:rsidR="003A2434">
        <w:rPr>
          <w:rFonts w:ascii="Times New Roman" w:hAnsi="Times New Roman" w:cs="Times New Roman"/>
          <w:color w:val="000000" w:themeColor="text1"/>
        </w:rPr>
        <w:t>to retain</w:t>
      </w:r>
      <w:r w:rsidR="007368FB">
        <w:rPr>
          <w:rFonts w:ascii="Times New Roman" w:hAnsi="Times New Roman" w:cs="Times New Roman"/>
          <w:color w:val="000000" w:themeColor="text1"/>
        </w:rPr>
        <w:t xml:space="preserve"> support for neurons.</w:t>
      </w:r>
    </w:p>
    <w:p w14:paraId="712C9302" w14:textId="14EF5AF1" w:rsidR="007368FB" w:rsidRPr="007368FB" w:rsidRDefault="00BD6709" w:rsidP="003E7BDB">
      <w:p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4</w:t>
      </w:r>
      <w:r w:rsidR="007368FB">
        <w:rPr>
          <w:rFonts w:ascii="Times New Roman" w:hAnsi="Times New Roman" w:cs="Times New Roman"/>
          <w:color w:val="000000" w:themeColor="text1"/>
        </w:rPr>
        <w:t xml:space="preserve">. Explore the transcriptomic differences in IGF1 signalling pathway impaired astrocytes to determine </w:t>
      </w:r>
      <w:r>
        <w:rPr>
          <w:rFonts w:ascii="Times New Roman" w:hAnsi="Times New Roman" w:cs="Times New Roman"/>
          <w:color w:val="000000" w:themeColor="text1"/>
        </w:rPr>
        <w:t>potential astrocytic cellular pathways accounting for changes in neuronal support</w:t>
      </w:r>
      <w:r w:rsidR="009904F7">
        <w:rPr>
          <w:rFonts w:ascii="Times New Roman" w:hAnsi="Times New Roman" w:cs="Times New Roman"/>
          <w:color w:val="000000" w:themeColor="text1"/>
        </w:rPr>
        <w:t>.</w:t>
      </w:r>
    </w:p>
    <w:p w14:paraId="047E22DB" w14:textId="77777777" w:rsidR="00722323" w:rsidRPr="00AF4DD4" w:rsidRDefault="00722323" w:rsidP="00AF4DD4">
      <w:bookmarkStart w:id="445" w:name="_Toc328301101"/>
      <w:bookmarkStart w:id="446" w:name="_Toc329593395"/>
      <w:bookmarkStart w:id="447" w:name="_Toc331425895"/>
      <w:bookmarkStart w:id="448" w:name="_Toc331427082"/>
      <w:bookmarkStart w:id="449" w:name="_Toc331427454"/>
      <w:bookmarkStart w:id="450" w:name="_Toc331427596"/>
    </w:p>
    <w:p w14:paraId="6A80FAAD" w14:textId="720B23E8" w:rsidR="009A1D4C" w:rsidRDefault="00AF4DD4" w:rsidP="009A1D4C">
      <w:pPr>
        <w:pStyle w:val="Heading1"/>
      </w:pPr>
      <w:r w:rsidRPr="00AF4DD4">
        <w:rPr>
          <w:u w:val="none"/>
        </w:rPr>
        <w:t xml:space="preserve">                                </w:t>
      </w:r>
      <w:r>
        <w:t xml:space="preserve"> </w:t>
      </w:r>
      <w:bookmarkStart w:id="451" w:name="_Toc332972600"/>
      <w:bookmarkStart w:id="452" w:name="_Toc333046880"/>
      <w:bookmarkStart w:id="453" w:name="_Toc333477227"/>
      <w:bookmarkStart w:id="454" w:name="_Toc333477997"/>
      <w:bookmarkStart w:id="455" w:name="_Toc333644897"/>
      <w:r w:rsidR="00935CCB" w:rsidRPr="009A1D4C">
        <w:t>C</w:t>
      </w:r>
      <w:r w:rsidR="00A81C1E" w:rsidRPr="009A1D4C">
        <w:t>hapt</w:t>
      </w:r>
      <w:r w:rsidR="009A1D4C">
        <w:t>er 2</w:t>
      </w:r>
      <w:bookmarkEnd w:id="445"/>
      <w:bookmarkEnd w:id="446"/>
      <w:bookmarkEnd w:id="447"/>
      <w:bookmarkEnd w:id="448"/>
      <w:bookmarkEnd w:id="449"/>
      <w:bookmarkEnd w:id="450"/>
      <w:bookmarkEnd w:id="451"/>
      <w:bookmarkEnd w:id="452"/>
      <w:bookmarkEnd w:id="453"/>
      <w:bookmarkEnd w:id="454"/>
      <w:bookmarkEnd w:id="455"/>
    </w:p>
    <w:p w14:paraId="5153261B" w14:textId="0FDF4E29" w:rsidR="00A81C1E" w:rsidRPr="00C24EFD" w:rsidRDefault="009A1D4C" w:rsidP="009A1D4C">
      <w:pPr>
        <w:pStyle w:val="Heading1"/>
        <w:rPr>
          <w:u w:val="none"/>
        </w:rPr>
      </w:pPr>
      <w:r w:rsidRPr="009A1D4C">
        <w:rPr>
          <w:u w:val="none"/>
        </w:rPr>
        <w:t xml:space="preserve">               </w:t>
      </w:r>
      <w:r w:rsidR="000C0B1C">
        <w:rPr>
          <w:u w:val="none"/>
        </w:rPr>
        <w:t xml:space="preserve">       </w:t>
      </w:r>
      <w:bookmarkStart w:id="456" w:name="_Toc328301102"/>
      <w:bookmarkStart w:id="457" w:name="_Toc329593396"/>
      <w:bookmarkStart w:id="458" w:name="_Toc331425896"/>
      <w:bookmarkStart w:id="459" w:name="_Toc331427083"/>
      <w:bookmarkStart w:id="460" w:name="_Toc331427455"/>
      <w:bookmarkStart w:id="461" w:name="_Toc331427597"/>
      <w:bookmarkStart w:id="462" w:name="_Toc332972601"/>
      <w:bookmarkStart w:id="463" w:name="_Toc333046881"/>
      <w:bookmarkStart w:id="464" w:name="_Toc333477228"/>
      <w:bookmarkStart w:id="465" w:name="_Toc333477998"/>
      <w:bookmarkStart w:id="466" w:name="_Toc333644898"/>
      <w:r w:rsidR="00A81C1E" w:rsidRPr="00C24EFD">
        <w:rPr>
          <w:u w:val="none"/>
        </w:rPr>
        <w:t>Materials and Methods</w:t>
      </w:r>
      <w:bookmarkEnd w:id="456"/>
      <w:bookmarkEnd w:id="457"/>
      <w:bookmarkEnd w:id="458"/>
      <w:bookmarkEnd w:id="459"/>
      <w:bookmarkEnd w:id="460"/>
      <w:bookmarkEnd w:id="461"/>
      <w:bookmarkEnd w:id="462"/>
      <w:bookmarkEnd w:id="463"/>
      <w:bookmarkEnd w:id="464"/>
      <w:bookmarkEnd w:id="465"/>
      <w:bookmarkEnd w:id="466"/>
    </w:p>
    <w:p w14:paraId="239798EE" w14:textId="77777777" w:rsidR="006D62C0" w:rsidRDefault="006D62C0" w:rsidP="006D62C0">
      <w:pPr>
        <w:pStyle w:val="Heading2"/>
      </w:pPr>
    </w:p>
    <w:p w14:paraId="6C200985" w14:textId="44198F34" w:rsidR="000C0B1C" w:rsidRPr="002659AE" w:rsidRDefault="006D62C0" w:rsidP="002659AE">
      <w:pPr>
        <w:rPr>
          <w:rFonts w:ascii="Times New Roman" w:hAnsi="Times New Roman" w:cs="Times New Roman"/>
          <w:b/>
          <w:sz w:val="28"/>
          <w:szCs w:val="28"/>
        </w:rPr>
      </w:pPr>
      <w:bookmarkStart w:id="467" w:name="_Toc328301103"/>
      <w:bookmarkStart w:id="468" w:name="_Toc329593397"/>
      <w:bookmarkStart w:id="469" w:name="_Toc331425897"/>
      <w:bookmarkStart w:id="470" w:name="_Toc331427084"/>
      <w:bookmarkStart w:id="471" w:name="_Toc331427456"/>
      <w:bookmarkStart w:id="472" w:name="_Toc331427598"/>
      <w:bookmarkStart w:id="473" w:name="_Toc332972602"/>
      <w:r w:rsidRPr="002659AE">
        <w:rPr>
          <w:rFonts w:ascii="Times New Roman" w:hAnsi="Times New Roman" w:cs="Times New Roman"/>
          <w:b/>
          <w:sz w:val="28"/>
          <w:szCs w:val="28"/>
        </w:rPr>
        <w:t>2. Materials and Methods</w:t>
      </w:r>
      <w:bookmarkEnd w:id="467"/>
      <w:bookmarkEnd w:id="468"/>
      <w:bookmarkEnd w:id="469"/>
      <w:bookmarkEnd w:id="470"/>
      <w:bookmarkEnd w:id="471"/>
      <w:bookmarkEnd w:id="472"/>
      <w:bookmarkEnd w:id="473"/>
    </w:p>
    <w:p w14:paraId="70CBA781" w14:textId="723F789E" w:rsidR="0085074F" w:rsidRPr="00042C69" w:rsidRDefault="00B833FD" w:rsidP="009A1D4C">
      <w:pPr>
        <w:pStyle w:val="Heading2"/>
      </w:pPr>
      <w:bookmarkStart w:id="474" w:name="_Toc262895393"/>
      <w:bookmarkStart w:id="475" w:name="_Toc328301104"/>
      <w:bookmarkStart w:id="476" w:name="_Toc329593398"/>
      <w:bookmarkStart w:id="477" w:name="_Toc331425898"/>
      <w:bookmarkStart w:id="478" w:name="_Toc331427085"/>
      <w:bookmarkStart w:id="479" w:name="_Toc331427457"/>
      <w:bookmarkStart w:id="480" w:name="_Toc331427599"/>
      <w:bookmarkStart w:id="481" w:name="_Toc332972603"/>
      <w:bookmarkStart w:id="482" w:name="_Toc333046882"/>
      <w:bookmarkStart w:id="483" w:name="_Toc333477229"/>
      <w:bookmarkStart w:id="484" w:name="_Toc333477999"/>
      <w:bookmarkStart w:id="485" w:name="_Toc333644899"/>
      <w:bookmarkEnd w:id="29"/>
      <w:r>
        <w:t xml:space="preserve">2.1 </w:t>
      </w:r>
      <w:r w:rsidR="0085074F" w:rsidRPr="00042C69">
        <w:t>Material</w:t>
      </w:r>
      <w:bookmarkEnd w:id="474"/>
      <w:r w:rsidR="0085074F" w:rsidRPr="00042C69">
        <w:t>s</w:t>
      </w:r>
      <w:bookmarkEnd w:id="475"/>
      <w:bookmarkEnd w:id="476"/>
      <w:bookmarkEnd w:id="477"/>
      <w:bookmarkEnd w:id="478"/>
      <w:bookmarkEnd w:id="479"/>
      <w:bookmarkEnd w:id="480"/>
      <w:bookmarkEnd w:id="481"/>
      <w:bookmarkEnd w:id="482"/>
      <w:bookmarkEnd w:id="483"/>
      <w:bookmarkEnd w:id="484"/>
      <w:bookmarkEnd w:id="485"/>
    </w:p>
    <w:p w14:paraId="0B617812" w14:textId="77777777" w:rsidR="001C1C81" w:rsidRDefault="001C1C81" w:rsidP="00C65E14">
      <w:pPr>
        <w:pStyle w:val="NoSpacing"/>
        <w:spacing w:line="360" w:lineRule="auto"/>
        <w:rPr>
          <w:rFonts w:ascii="Times New Roman" w:hAnsi="Times New Roman" w:cs="Times New Roman"/>
        </w:rPr>
      </w:pPr>
      <w:bookmarkStart w:id="486" w:name="_Toc328301105"/>
      <w:bookmarkStart w:id="487" w:name="_Toc329593399"/>
      <w:bookmarkStart w:id="488" w:name="_Toc262895394"/>
      <w:r>
        <w:rPr>
          <w:rFonts w:ascii="Times New Roman" w:hAnsi="Times New Roman" w:cs="Times New Roman"/>
        </w:rPr>
        <w:t>Unless stated otherwise:</w:t>
      </w:r>
    </w:p>
    <w:p w14:paraId="1BBB9EDF" w14:textId="77777777" w:rsidR="001C1C81" w:rsidRDefault="001C1C81" w:rsidP="001C1C81">
      <w:pPr>
        <w:pStyle w:val="NoSpacing"/>
        <w:numPr>
          <w:ilvl w:val="0"/>
          <w:numId w:val="16"/>
        </w:numPr>
        <w:spacing w:line="360" w:lineRule="auto"/>
        <w:rPr>
          <w:rFonts w:ascii="Times New Roman" w:hAnsi="Times New Roman" w:cs="Times New Roman"/>
        </w:rPr>
      </w:pPr>
      <w:r>
        <w:rPr>
          <w:rFonts w:ascii="Times New Roman" w:hAnsi="Times New Roman" w:cs="Times New Roman"/>
        </w:rPr>
        <w:t>A</w:t>
      </w:r>
      <w:r w:rsidR="006D62C0" w:rsidRPr="00C65E14">
        <w:rPr>
          <w:rFonts w:ascii="Times New Roman" w:hAnsi="Times New Roman" w:cs="Times New Roman"/>
        </w:rPr>
        <w:t>ll molecular biology and cell culture reagents were purchased from Gibco, Invitrogen Ltd (UK)</w:t>
      </w:r>
    </w:p>
    <w:p w14:paraId="529129EA" w14:textId="77777777" w:rsidR="001C1C81" w:rsidRDefault="001C1C81" w:rsidP="001C1C81">
      <w:pPr>
        <w:pStyle w:val="NoSpacing"/>
        <w:numPr>
          <w:ilvl w:val="0"/>
          <w:numId w:val="16"/>
        </w:numPr>
        <w:spacing w:line="360" w:lineRule="auto"/>
        <w:rPr>
          <w:rFonts w:ascii="Times New Roman" w:hAnsi="Times New Roman" w:cs="Times New Roman"/>
        </w:rPr>
      </w:pPr>
      <w:r>
        <w:rPr>
          <w:rFonts w:ascii="Times New Roman" w:hAnsi="Times New Roman" w:cs="Times New Roman"/>
        </w:rPr>
        <w:t>A</w:t>
      </w:r>
      <w:r w:rsidR="006D62C0" w:rsidRPr="00C65E14">
        <w:rPr>
          <w:rFonts w:ascii="Times New Roman" w:hAnsi="Times New Roman" w:cs="Times New Roman"/>
        </w:rPr>
        <w:t xml:space="preserve">ll other chemicals were purchased from Sigma-Aldrich Company Ltd (UK). </w:t>
      </w:r>
    </w:p>
    <w:p w14:paraId="3061348E" w14:textId="77777777" w:rsidR="001C1C81" w:rsidRDefault="006D62C0" w:rsidP="001C1C81">
      <w:pPr>
        <w:pStyle w:val="NoSpacing"/>
        <w:numPr>
          <w:ilvl w:val="0"/>
          <w:numId w:val="16"/>
        </w:numPr>
        <w:spacing w:line="360" w:lineRule="auto"/>
        <w:rPr>
          <w:rFonts w:ascii="Times New Roman" w:hAnsi="Times New Roman" w:cs="Times New Roman"/>
        </w:rPr>
      </w:pPr>
      <w:r w:rsidRPr="00C65E14">
        <w:rPr>
          <w:rFonts w:ascii="Times New Roman" w:hAnsi="Times New Roman" w:cs="Times New Roman"/>
        </w:rPr>
        <w:t>Stock solutions and buffers were prepared using ultrapure H</w:t>
      </w:r>
      <w:r w:rsidRPr="00C65E14">
        <w:rPr>
          <w:rFonts w:ascii="Times New Roman" w:hAnsi="Times New Roman" w:cs="Times New Roman"/>
          <w:vertAlign w:val="subscript"/>
        </w:rPr>
        <w:t>2</w:t>
      </w:r>
      <w:r w:rsidRPr="00C65E14">
        <w:rPr>
          <w:rFonts w:ascii="Times New Roman" w:hAnsi="Times New Roman" w:cs="Times New Roman"/>
        </w:rPr>
        <w:t xml:space="preserve">O from an Elga Maxima purification system. </w:t>
      </w:r>
    </w:p>
    <w:p w14:paraId="09D2B08A" w14:textId="53D797A2" w:rsidR="006D62C0" w:rsidRPr="00C65E14" w:rsidRDefault="001C1C81" w:rsidP="001C1C81">
      <w:pPr>
        <w:pStyle w:val="NoSpacing"/>
        <w:numPr>
          <w:ilvl w:val="0"/>
          <w:numId w:val="16"/>
        </w:numPr>
        <w:spacing w:line="360" w:lineRule="auto"/>
        <w:rPr>
          <w:rFonts w:ascii="Times New Roman" w:hAnsi="Times New Roman" w:cs="Times New Roman"/>
        </w:rPr>
      </w:pPr>
      <w:r>
        <w:rPr>
          <w:rFonts w:ascii="Times New Roman" w:hAnsi="Times New Roman" w:cs="Times New Roman"/>
        </w:rPr>
        <w:t>Where</w:t>
      </w:r>
      <w:r w:rsidR="006D62C0" w:rsidRPr="00C65E14">
        <w:rPr>
          <w:rFonts w:ascii="Times New Roman" w:hAnsi="Times New Roman" w:cs="Times New Roman"/>
        </w:rPr>
        <w:t xml:space="preserve"> necessary, solutions were sterilized by autoclaving for 20 minutes at 15lb/square inch.</w:t>
      </w:r>
      <w:bookmarkEnd w:id="486"/>
      <w:bookmarkEnd w:id="487"/>
    </w:p>
    <w:p w14:paraId="4FE602EA" w14:textId="1A2E33D5" w:rsidR="0085074F" w:rsidRPr="00EB4F0E" w:rsidRDefault="00B833FD" w:rsidP="009A1D4C">
      <w:pPr>
        <w:pStyle w:val="Heading3"/>
        <w:rPr>
          <w:u w:val="single"/>
        </w:rPr>
      </w:pPr>
      <w:bookmarkStart w:id="489" w:name="_Toc328301106"/>
      <w:bookmarkStart w:id="490" w:name="_Toc329593400"/>
      <w:bookmarkStart w:id="491" w:name="_Toc331425899"/>
      <w:bookmarkStart w:id="492" w:name="_Toc331427086"/>
      <w:bookmarkStart w:id="493" w:name="_Toc331427458"/>
      <w:bookmarkStart w:id="494" w:name="_Toc331427600"/>
      <w:bookmarkStart w:id="495" w:name="_Toc332972604"/>
      <w:bookmarkStart w:id="496" w:name="_Toc333046883"/>
      <w:bookmarkStart w:id="497" w:name="_Toc333477230"/>
      <w:bookmarkStart w:id="498" w:name="_Toc333478000"/>
      <w:bookmarkStart w:id="499" w:name="_Toc333644900"/>
      <w:r w:rsidRPr="00EB4F0E">
        <w:rPr>
          <w:u w:val="single"/>
        </w:rPr>
        <w:t xml:space="preserve">2.1.1 </w:t>
      </w:r>
      <w:r w:rsidR="006D62C0" w:rsidRPr="00EB4F0E">
        <w:rPr>
          <w:u w:val="single"/>
        </w:rPr>
        <w:t>Cell culture and treatments</w:t>
      </w:r>
      <w:bookmarkEnd w:id="488"/>
      <w:bookmarkEnd w:id="489"/>
      <w:bookmarkEnd w:id="490"/>
      <w:bookmarkEnd w:id="491"/>
      <w:bookmarkEnd w:id="492"/>
      <w:bookmarkEnd w:id="493"/>
      <w:bookmarkEnd w:id="494"/>
      <w:bookmarkEnd w:id="495"/>
      <w:bookmarkEnd w:id="496"/>
      <w:bookmarkEnd w:id="497"/>
      <w:bookmarkEnd w:id="498"/>
      <w:bookmarkEnd w:id="499"/>
    </w:p>
    <w:p w14:paraId="79874386" w14:textId="77777777" w:rsidR="006D62C0" w:rsidRDefault="006D62C0" w:rsidP="006D62C0"/>
    <w:p w14:paraId="55366104" w14:textId="77777777" w:rsidR="006D62C0" w:rsidRPr="006D62C0" w:rsidRDefault="006D62C0" w:rsidP="006D62C0"/>
    <w:p w14:paraId="3706C7B8" w14:textId="30BB5016" w:rsidR="006473BF" w:rsidRPr="006D62C0" w:rsidRDefault="006D62C0" w:rsidP="006D62C0">
      <w:pPr>
        <w:jc w:val="both"/>
        <w:rPr>
          <w:rFonts w:ascii="Times New Roman" w:hAnsi="Times New Roman" w:cs="Times New Roman"/>
          <w:b/>
        </w:rPr>
      </w:pPr>
      <w:r w:rsidRPr="006D62C0">
        <w:rPr>
          <w:rFonts w:ascii="Times New Roman" w:hAnsi="Times New Roman" w:cs="Times New Roman"/>
          <w:b/>
          <w:lang w:val="en-GB"/>
        </w:rPr>
        <w:t>a)</w:t>
      </w:r>
      <w:r>
        <w:rPr>
          <w:rFonts w:ascii="Times New Roman" w:hAnsi="Times New Roman" w:cs="Times New Roman"/>
          <w:b/>
        </w:rPr>
        <w:t xml:space="preserve"> </w:t>
      </w:r>
      <w:r w:rsidR="0080303B">
        <w:rPr>
          <w:rFonts w:ascii="Times New Roman" w:hAnsi="Times New Roman" w:cs="Times New Roman"/>
          <w:b/>
        </w:rPr>
        <w:t xml:space="preserve">  </w:t>
      </w:r>
      <w:r w:rsidRPr="006D62C0">
        <w:rPr>
          <w:rFonts w:ascii="Times New Roman" w:hAnsi="Times New Roman" w:cs="Times New Roman"/>
          <w:b/>
        </w:rPr>
        <w:t>General</w:t>
      </w:r>
    </w:p>
    <w:p w14:paraId="2234C1AD" w14:textId="77777777" w:rsidR="006D62C0" w:rsidRPr="006D62C0" w:rsidRDefault="006D62C0" w:rsidP="006D62C0"/>
    <w:p w14:paraId="7EBECA1A" w14:textId="77777777" w:rsidR="006D62C0" w:rsidRDefault="0085074F" w:rsidP="0085074F">
      <w:pPr>
        <w:spacing w:line="360" w:lineRule="auto"/>
        <w:jc w:val="both"/>
        <w:rPr>
          <w:rFonts w:ascii="Times New Roman" w:hAnsi="Times New Roman" w:cs="Times New Roman"/>
          <w:b/>
          <w:lang w:val="en-GB"/>
        </w:rPr>
      </w:pPr>
      <w:r w:rsidRPr="004975E3">
        <w:rPr>
          <w:rFonts w:ascii="Times New Roman" w:hAnsi="Times New Roman" w:cs="Times New Roman"/>
          <w:b/>
          <w:lang w:val="en-GB"/>
        </w:rPr>
        <w:t>1x Phosphate buffered saline</w:t>
      </w:r>
    </w:p>
    <w:p w14:paraId="16BFFCC9" w14:textId="77777777" w:rsidR="0080303B" w:rsidRDefault="0080303B" w:rsidP="006D62C0">
      <w:pPr>
        <w:spacing w:line="360" w:lineRule="auto"/>
        <w:ind w:left="720"/>
        <w:jc w:val="both"/>
        <w:rPr>
          <w:rFonts w:ascii="Times New Roman" w:hAnsi="Times New Roman" w:cs="Times New Roman"/>
          <w:lang w:val="en-GB"/>
        </w:rPr>
      </w:pPr>
      <w:r>
        <w:rPr>
          <w:rFonts w:ascii="Times New Roman" w:hAnsi="Times New Roman" w:cs="Times New Roman"/>
          <w:lang w:val="en-GB"/>
        </w:rPr>
        <w:t>8g/L Sodium chloride</w:t>
      </w:r>
    </w:p>
    <w:p w14:paraId="75719F79" w14:textId="7998C966" w:rsidR="0080303B" w:rsidRDefault="00056AD7" w:rsidP="006D62C0">
      <w:pPr>
        <w:spacing w:line="360" w:lineRule="auto"/>
        <w:ind w:left="720"/>
        <w:jc w:val="both"/>
        <w:rPr>
          <w:rFonts w:ascii="Times New Roman" w:hAnsi="Times New Roman" w:cs="Times New Roman"/>
          <w:lang w:val="en-GB"/>
        </w:rPr>
      </w:pPr>
      <w:r>
        <w:rPr>
          <w:rFonts w:ascii="Times New Roman" w:hAnsi="Times New Roman" w:cs="Times New Roman"/>
          <w:lang w:val="en-GB"/>
        </w:rPr>
        <w:t>0.</w:t>
      </w:r>
      <w:r w:rsidR="0080303B">
        <w:rPr>
          <w:rFonts w:ascii="Times New Roman" w:hAnsi="Times New Roman" w:cs="Times New Roman"/>
          <w:lang w:val="en-GB"/>
        </w:rPr>
        <w:t>2g/L Potassium chloride</w:t>
      </w:r>
    </w:p>
    <w:p w14:paraId="4ECA9ED9" w14:textId="02A58CFD" w:rsidR="0080303B" w:rsidRDefault="0080303B" w:rsidP="006D62C0">
      <w:pPr>
        <w:spacing w:line="360" w:lineRule="auto"/>
        <w:ind w:left="720"/>
        <w:jc w:val="both"/>
        <w:rPr>
          <w:rFonts w:ascii="Times New Roman" w:hAnsi="Times New Roman" w:cs="Times New Roman"/>
          <w:lang w:val="en-GB"/>
        </w:rPr>
      </w:pPr>
      <w:r>
        <w:rPr>
          <w:rFonts w:ascii="Times New Roman" w:hAnsi="Times New Roman" w:cs="Times New Roman"/>
          <w:lang w:val="en-GB"/>
        </w:rPr>
        <w:t>1</w:t>
      </w:r>
      <w:r w:rsidR="00056AD7">
        <w:rPr>
          <w:rFonts w:ascii="Times New Roman" w:hAnsi="Times New Roman" w:cs="Times New Roman"/>
          <w:lang w:val="en-GB"/>
        </w:rPr>
        <w:t>.</w:t>
      </w:r>
      <w:r>
        <w:rPr>
          <w:rFonts w:ascii="Times New Roman" w:hAnsi="Times New Roman" w:cs="Times New Roman"/>
          <w:lang w:val="en-GB"/>
        </w:rPr>
        <w:t>44g/L Sodium phosphate dibasic</w:t>
      </w:r>
    </w:p>
    <w:p w14:paraId="0B8B7515" w14:textId="42C15E82" w:rsidR="0080303B" w:rsidRDefault="0080303B" w:rsidP="006D62C0">
      <w:pPr>
        <w:spacing w:line="360" w:lineRule="auto"/>
        <w:ind w:left="720"/>
        <w:jc w:val="both"/>
        <w:rPr>
          <w:rFonts w:ascii="Times New Roman" w:hAnsi="Times New Roman" w:cs="Times New Roman"/>
          <w:lang w:val="en-GB"/>
        </w:rPr>
      </w:pPr>
      <w:r>
        <w:rPr>
          <w:rFonts w:ascii="Times New Roman" w:hAnsi="Times New Roman" w:cs="Times New Roman"/>
          <w:lang w:val="en-GB"/>
        </w:rPr>
        <w:t>0</w:t>
      </w:r>
      <w:r w:rsidR="00056AD7">
        <w:rPr>
          <w:rFonts w:ascii="Times New Roman" w:hAnsi="Times New Roman" w:cs="Times New Roman"/>
          <w:lang w:val="en-GB"/>
        </w:rPr>
        <w:t>.</w:t>
      </w:r>
      <w:r>
        <w:rPr>
          <w:rFonts w:ascii="Times New Roman" w:hAnsi="Times New Roman" w:cs="Times New Roman"/>
          <w:lang w:val="en-GB"/>
        </w:rPr>
        <w:t>24g/L Potassium phosphate monobasic</w:t>
      </w:r>
    </w:p>
    <w:p w14:paraId="41645D55" w14:textId="77777777" w:rsidR="0080303B" w:rsidRDefault="0080303B" w:rsidP="006D62C0">
      <w:pPr>
        <w:spacing w:line="360" w:lineRule="auto"/>
        <w:ind w:left="720"/>
        <w:jc w:val="both"/>
        <w:rPr>
          <w:rFonts w:ascii="Times New Roman" w:hAnsi="Times New Roman" w:cs="Times New Roman"/>
          <w:lang w:val="en-GB"/>
        </w:rPr>
      </w:pPr>
      <w:r>
        <w:rPr>
          <w:rFonts w:ascii="Times New Roman" w:hAnsi="Times New Roman" w:cs="Times New Roman"/>
          <w:lang w:val="en-GB"/>
        </w:rPr>
        <w:t>Diluted in ultrapure H</w:t>
      </w:r>
      <w:r>
        <w:rPr>
          <w:rFonts w:ascii="Times New Roman" w:hAnsi="Times New Roman" w:cs="Times New Roman"/>
          <w:vertAlign w:val="subscript"/>
          <w:lang w:val="en-GB"/>
        </w:rPr>
        <w:t>2</w:t>
      </w:r>
      <w:r>
        <w:rPr>
          <w:rFonts w:ascii="Times New Roman" w:hAnsi="Times New Roman" w:cs="Times New Roman"/>
          <w:lang w:val="en-GB"/>
        </w:rPr>
        <w:t>O</w:t>
      </w:r>
    </w:p>
    <w:p w14:paraId="460A9902" w14:textId="6336A973" w:rsidR="0085074F" w:rsidRPr="004975E3" w:rsidRDefault="0080303B" w:rsidP="006D62C0">
      <w:pPr>
        <w:spacing w:line="360" w:lineRule="auto"/>
        <w:ind w:left="720"/>
        <w:jc w:val="both"/>
        <w:rPr>
          <w:rFonts w:ascii="Times New Roman" w:hAnsi="Times New Roman" w:cs="Times New Roman"/>
          <w:color w:val="000000" w:themeColor="text1"/>
          <w:lang w:val="en-GB"/>
        </w:rPr>
      </w:pPr>
      <w:r>
        <w:rPr>
          <w:rFonts w:ascii="Times New Roman" w:hAnsi="Times New Roman" w:cs="Times New Roman"/>
          <w:lang w:val="en-GB"/>
        </w:rPr>
        <w:t>pH 7.4</w:t>
      </w:r>
      <w:r w:rsidR="0085074F" w:rsidRPr="004975E3">
        <w:rPr>
          <w:rFonts w:ascii="Times New Roman" w:hAnsi="Times New Roman" w:cs="Times New Roman"/>
          <w:color w:val="4F81BD" w:themeColor="accent1"/>
          <w:lang w:val="en-GB"/>
        </w:rPr>
        <w:t xml:space="preserve"> </w:t>
      </w:r>
    </w:p>
    <w:p w14:paraId="3B1EF57F" w14:textId="77777777" w:rsidR="004A33CB" w:rsidRPr="004975E3" w:rsidRDefault="004A33CB" w:rsidP="00C300AF">
      <w:pPr>
        <w:rPr>
          <w:rFonts w:ascii="Times New Roman" w:hAnsi="Times New Roman" w:cs="Times New Roman"/>
          <w:b/>
          <w:u w:val="single"/>
        </w:rPr>
      </w:pPr>
    </w:p>
    <w:p w14:paraId="430F7D04" w14:textId="77777777" w:rsidR="0080303B" w:rsidRDefault="004A33CB" w:rsidP="004A33CB">
      <w:pPr>
        <w:spacing w:line="360" w:lineRule="auto"/>
        <w:jc w:val="both"/>
        <w:rPr>
          <w:rFonts w:ascii="Times New Roman" w:hAnsi="Times New Roman" w:cs="Times New Roman"/>
          <w:b/>
          <w:lang w:val="en-GB"/>
        </w:rPr>
      </w:pPr>
      <w:r w:rsidRPr="004975E3">
        <w:rPr>
          <w:rFonts w:ascii="Times New Roman" w:hAnsi="Times New Roman" w:cs="Times New Roman"/>
          <w:b/>
          <w:lang w:val="en-GB"/>
        </w:rPr>
        <w:t>Trypsin</w:t>
      </w:r>
      <w:r w:rsidR="0080303B">
        <w:rPr>
          <w:rFonts w:ascii="Times New Roman" w:hAnsi="Times New Roman" w:cs="Times New Roman"/>
          <w:b/>
          <w:lang w:val="en-GB"/>
        </w:rPr>
        <w:t>ising Solution</w:t>
      </w:r>
    </w:p>
    <w:p w14:paraId="4AA4669E" w14:textId="77777777" w:rsidR="0080303B" w:rsidRDefault="004A33CB" w:rsidP="0080303B">
      <w:pPr>
        <w:spacing w:line="360" w:lineRule="auto"/>
        <w:ind w:left="720"/>
        <w:jc w:val="both"/>
        <w:rPr>
          <w:rFonts w:ascii="Times New Roman" w:hAnsi="Times New Roman" w:cs="Times New Roman"/>
          <w:lang w:val="en-GB"/>
        </w:rPr>
      </w:pPr>
      <w:r w:rsidRPr="004975E3">
        <w:rPr>
          <w:rFonts w:ascii="Times New Roman" w:hAnsi="Times New Roman" w:cs="Times New Roman"/>
          <w:color w:val="548DD4" w:themeColor="text2" w:themeTint="99"/>
          <w:lang w:val="en-GB"/>
        </w:rPr>
        <w:t xml:space="preserve">  </w:t>
      </w:r>
      <w:r w:rsidRPr="004975E3">
        <w:rPr>
          <w:rFonts w:ascii="Times New Roman" w:hAnsi="Times New Roman" w:cs="Times New Roman"/>
          <w:lang w:val="en-GB"/>
        </w:rPr>
        <w:t xml:space="preserve">Trypsin-versene (EDTA) </w:t>
      </w:r>
      <w:r w:rsidR="0080303B">
        <w:rPr>
          <w:rFonts w:ascii="Times New Roman" w:hAnsi="Times New Roman" w:cs="Times New Roman"/>
          <w:lang w:val="en-GB"/>
        </w:rPr>
        <w:t>(</w:t>
      </w:r>
      <w:r w:rsidRPr="004975E3">
        <w:rPr>
          <w:rFonts w:ascii="Times New Roman" w:hAnsi="Times New Roman" w:cs="Times New Roman"/>
          <w:lang w:val="en-GB"/>
        </w:rPr>
        <w:t xml:space="preserve">Lonza (UK) </w:t>
      </w:r>
    </w:p>
    <w:p w14:paraId="08DDAC12" w14:textId="78C6EB52" w:rsidR="004A33CB" w:rsidRDefault="0080303B" w:rsidP="0080303B">
      <w:pPr>
        <w:spacing w:line="360" w:lineRule="auto"/>
        <w:ind w:left="720"/>
        <w:jc w:val="both"/>
        <w:rPr>
          <w:rFonts w:ascii="Times New Roman" w:hAnsi="Times New Roman" w:cs="Times New Roman"/>
          <w:lang w:val="en-GB"/>
        </w:rPr>
      </w:pPr>
      <w:r>
        <w:rPr>
          <w:rFonts w:ascii="Times New Roman" w:hAnsi="Times New Roman" w:cs="Times New Roman"/>
          <w:lang w:val="en-GB"/>
        </w:rPr>
        <w:t xml:space="preserve">  Diluted </w:t>
      </w:r>
      <w:r w:rsidR="004A33CB" w:rsidRPr="004975E3">
        <w:rPr>
          <w:rFonts w:ascii="Times New Roman" w:hAnsi="Times New Roman" w:cs="Times New Roman"/>
          <w:lang w:val="en-GB"/>
        </w:rPr>
        <w:t>in 1x PBS.</w:t>
      </w:r>
    </w:p>
    <w:p w14:paraId="38022679" w14:textId="77777777" w:rsidR="00042C69" w:rsidRDefault="00042C69" w:rsidP="004A33CB">
      <w:pPr>
        <w:spacing w:line="360" w:lineRule="auto"/>
        <w:jc w:val="both"/>
        <w:rPr>
          <w:rFonts w:ascii="Times New Roman" w:hAnsi="Times New Roman" w:cs="Times New Roman"/>
          <w:lang w:val="en-GB"/>
        </w:rPr>
      </w:pPr>
    </w:p>
    <w:p w14:paraId="210BB4BE" w14:textId="77777777" w:rsidR="003E7BDB" w:rsidRDefault="003E7BDB" w:rsidP="00C300AF">
      <w:pPr>
        <w:rPr>
          <w:rFonts w:ascii="Times New Roman" w:hAnsi="Times New Roman" w:cs="Times New Roman"/>
          <w:b/>
          <w:lang w:val="en-GB"/>
        </w:rPr>
      </w:pPr>
    </w:p>
    <w:p w14:paraId="5921B31D" w14:textId="77777777" w:rsidR="003E7BDB" w:rsidRDefault="003E7BDB" w:rsidP="00C300AF">
      <w:pPr>
        <w:rPr>
          <w:rFonts w:ascii="Times New Roman" w:hAnsi="Times New Roman" w:cs="Times New Roman"/>
          <w:b/>
          <w:lang w:val="en-GB"/>
        </w:rPr>
      </w:pPr>
    </w:p>
    <w:p w14:paraId="7CE1546B" w14:textId="77777777" w:rsidR="003E7BDB" w:rsidRDefault="003E7BDB" w:rsidP="00C300AF">
      <w:pPr>
        <w:rPr>
          <w:rFonts w:ascii="Times New Roman" w:hAnsi="Times New Roman" w:cs="Times New Roman"/>
          <w:b/>
          <w:lang w:val="en-GB"/>
        </w:rPr>
      </w:pPr>
    </w:p>
    <w:p w14:paraId="6B709ADC" w14:textId="77777777" w:rsidR="003E7BDB" w:rsidRDefault="003E7BDB" w:rsidP="00C300AF">
      <w:pPr>
        <w:rPr>
          <w:rFonts w:ascii="Times New Roman" w:hAnsi="Times New Roman" w:cs="Times New Roman"/>
          <w:b/>
          <w:lang w:val="en-GB"/>
        </w:rPr>
      </w:pPr>
    </w:p>
    <w:p w14:paraId="4466261A" w14:textId="359BAFFD" w:rsidR="004A33CB" w:rsidRPr="004975E3" w:rsidRDefault="0080303B" w:rsidP="00C300AF">
      <w:pPr>
        <w:rPr>
          <w:rFonts w:ascii="Times New Roman" w:hAnsi="Times New Roman" w:cs="Times New Roman"/>
          <w:b/>
          <w:u w:val="single"/>
        </w:rPr>
      </w:pPr>
      <w:r>
        <w:rPr>
          <w:rFonts w:ascii="Times New Roman" w:hAnsi="Times New Roman" w:cs="Times New Roman"/>
          <w:b/>
          <w:lang w:val="en-GB"/>
        </w:rPr>
        <w:t>b)   Astrocytes</w:t>
      </w:r>
    </w:p>
    <w:p w14:paraId="6267969B" w14:textId="77777777" w:rsidR="004A33CB" w:rsidRPr="004975E3" w:rsidRDefault="004A33CB" w:rsidP="00C300AF">
      <w:pPr>
        <w:rPr>
          <w:rFonts w:ascii="Times New Roman" w:hAnsi="Times New Roman" w:cs="Times New Roman"/>
        </w:rPr>
      </w:pPr>
    </w:p>
    <w:p w14:paraId="546E235B" w14:textId="0E2F11A8" w:rsidR="00240A85" w:rsidRDefault="0080303B" w:rsidP="00240A85">
      <w:pPr>
        <w:rPr>
          <w:rFonts w:ascii="Times New Roman" w:hAnsi="Times New Roman" w:cs="Times New Roman"/>
          <w:b/>
        </w:rPr>
      </w:pPr>
      <w:r>
        <w:rPr>
          <w:rFonts w:ascii="Times New Roman" w:hAnsi="Times New Roman" w:cs="Times New Roman"/>
          <w:b/>
        </w:rPr>
        <w:t>Astrocyte medium</w:t>
      </w:r>
    </w:p>
    <w:p w14:paraId="1CFC17F0" w14:textId="77777777" w:rsidR="0080303B" w:rsidRPr="0080303B" w:rsidRDefault="0080303B" w:rsidP="00240A85">
      <w:pPr>
        <w:rPr>
          <w:rFonts w:ascii="Times New Roman" w:hAnsi="Times New Roman" w:cs="Times New Roman"/>
          <w:b/>
        </w:rPr>
      </w:pPr>
    </w:p>
    <w:p w14:paraId="5960415B" w14:textId="0C55485E" w:rsidR="00142C18" w:rsidRDefault="0080303B" w:rsidP="0080303B">
      <w:pPr>
        <w:spacing w:line="360" w:lineRule="auto"/>
        <w:ind w:left="720"/>
        <w:rPr>
          <w:rFonts w:ascii="Times New Roman" w:hAnsi="Times New Roman" w:cs="Times New Roman"/>
          <w:color w:val="000000" w:themeColor="text1"/>
          <w:lang w:val="en-GB"/>
        </w:rPr>
      </w:pPr>
      <w:r>
        <w:rPr>
          <w:rFonts w:ascii="Times New Roman" w:hAnsi="Times New Roman" w:cs="Times New Roman"/>
          <w:color w:val="000000" w:themeColor="text1"/>
          <w:lang w:val="en-GB"/>
        </w:rPr>
        <w:t>Astrocyte medium</w:t>
      </w:r>
    </w:p>
    <w:p w14:paraId="27C6AFDC" w14:textId="4A82DC6B" w:rsidR="0080303B" w:rsidRDefault="0080303B" w:rsidP="0080303B">
      <w:pPr>
        <w:spacing w:line="360" w:lineRule="auto"/>
        <w:ind w:left="720"/>
        <w:rPr>
          <w:rFonts w:ascii="Times New Roman" w:hAnsi="Times New Roman" w:cs="Times New Roman"/>
          <w:color w:val="000000" w:themeColor="text1"/>
          <w:lang w:val="en-GB"/>
        </w:rPr>
      </w:pPr>
      <w:r>
        <w:rPr>
          <w:rFonts w:ascii="Times New Roman" w:hAnsi="Times New Roman" w:cs="Times New Roman"/>
          <w:color w:val="000000" w:themeColor="text1"/>
          <w:lang w:val="en-GB"/>
        </w:rPr>
        <w:t>2% (v/v) fetal bovine serum (FBS)</w:t>
      </w:r>
    </w:p>
    <w:p w14:paraId="3EC5EF87" w14:textId="5EE5D065" w:rsidR="0080303B" w:rsidRDefault="0080303B" w:rsidP="0080303B">
      <w:pPr>
        <w:spacing w:line="360" w:lineRule="auto"/>
        <w:ind w:left="720"/>
        <w:rPr>
          <w:rFonts w:ascii="Times New Roman" w:hAnsi="Times New Roman" w:cs="Times New Roman"/>
          <w:color w:val="000000" w:themeColor="text1"/>
          <w:lang w:val="en-GB"/>
        </w:rPr>
      </w:pPr>
      <w:r>
        <w:rPr>
          <w:rFonts w:ascii="Times New Roman" w:hAnsi="Times New Roman" w:cs="Times New Roman"/>
          <w:color w:val="000000" w:themeColor="text1"/>
          <w:lang w:val="en-GB"/>
        </w:rPr>
        <w:t>1% (v/v) astrocyte growth supplement (AGS)</w:t>
      </w:r>
    </w:p>
    <w:p w14:paraId="78047ABE" w14:textId="7A8B79DE" w:rsidR="0080303B" w:rsidRDefault="0080303B" w:rsidP="0080303B">
      <w:pPr>
        <w:spacing w:line="360" w:lineRule="auto"/>
        <w:ind w:left="720"/>
        <w:rPr>
          <w:rFonts w:ascii="Times New Roman" w:hAnsi="Times New Roman" w:cs="Times New Roman"/>
          <w:color w:val="000000" w:themeColor="text1"/>
          <w:lang w:val="en-GB"/>
        </w:rPr>
      </w:pPr>
      <w:r>
        <w:rPr>
          <w:rFonts w:ascii="Times New Roman" w:hAnsi="Times New Roman" w:cs="Times New Roman"/>
          <w:color w:val="000000" w:themeColor="text1"/>
          <w:lang w:val="en-GB"/>
        </w:rPr>
        <w:t>1% (v/v) penicillin/streptomycin (P/S) solution</w:t>
      </w:r>
    </w:p>
    <w:p w14:paraId="317898D2" w14:textId="0D633576" w:rsidR="0080303B" w:rsidRDefault="0080303B" w:rsidP="0080303B">
      <w:pPr>
        <w:spacing w:line="360" w:lineRule="auto"/>
        <w:ind w:left="720"/>
        <w:rPr>
          <w:rFonts w:ascii="Times New Roman" w:hAnsi="Times New Roman" w:cs="Times New Roman"/>
          <w:color w:val="000000" w:themeColor="text1"/>
          <w:lang w:val="en-GB"/>
        </w:rPr>
      </w:pPr>
      <w:r>
        <w:rPr>
          <w:rFonts w:ascii="Times New Roman" w:hAnsi="Times New Roman" w:cs="Times New Roman"/>
          <w:color w:val="000000" w:themeColor="text1"/>
          <w:lang w:val="en-GB"/>
        </w:rPr>
        <w:t>all ScienCell ResearchLaboratories™ Carlasbad, CA, USA</w:t>
      </w:r>
    </w:p>
    <w:p w14:paraId="58569A1D" w14:textId="77777777" w:rsidR="0080303B" w:rsidRPr="004975E3" w:rsidRDefault="0080303B" w:rsidP="0080303B">
      <w:pPr>
        <w:spacing w:line="360" w:lineRule="auto"/>
        <w:ind w:left="720"/>
        <w:rPr>
          <w:rFonts w:ascii="Times New Roman" w:hAnsi="Times New Roman" w:cs="Times New Roman"/>
          <w:color w:val="000000" w:themeColor="text1"/>
          <w:lang w:val="en-GB"/>
        </w:rPr>
      </w:pPr>
    </w:p>
    <w:p w14:paraId="7BA6A2AE" w14:textId="77777777" w:rsidR="0085074F" w:rsidRPr="004975E3" w:rsidRDefault="0085074F" w:rsidP="0085074F">
      <w:pPr>
        <w:spacing w:line="360" w:lineRule="auto"/>
        <w:jc w:val="both"/>
        <w:rPr>
          <w:rFonts w:ascii="Times New Roman" w:hAnsi="Times New Roman" w:cs="Times New Roman"/>
          <w:color w:val="000000" w:themeColor="text1"/>
          <w:lang w:val="en-GB"/>
        </w:rPr>
      </w:pPr>
    </w:p>
    <w:p w14:paraId="44DD4B52" w14:textId="0C94E774" w:rsidR="0080303B" w:rsidRDefault="0085074F" w:rsidP="0085074F">
      <w:pPr>
        <w:spacing w:line="360" w:lineRule="auto"/>
        <w:jc w:val="both"/>
        <w:rPr>
          <w:rFonts w:ascii="Times New Roman" w:hAnsi="Times New Roman" w:cs="Times New Roman"/>
          <w:lang w:val="en-GB"/>
        </w:rPr>
      </w:pPr>
      <w:r w:rsidRPr="004975E3">
        <w:rPr>
          <w:rFonts w:ascii="Times New Roman" w:hAnsi="Times New Roman" w:cs="Times New Roman"/>
          <w:b/>
          <w:lang w:val="en-GB"/>
        </w:rPr>
        <w:t>F10</w:t>
      </w:r>
      <w:r w:rsidR="00DF113C">
        <w:rPr>
          <w:rFonts w:ascii="Times New Roman" w:hAnsi="Times New Roman" w:cs="Times New Roman"/>
          <w:b/>
          <w:lang w:val="en-GB"/>
        </w:rPr>
        <w:t>:</w:t>
      </w:r>
      <w:r w:rsidRPr="004975E3">
        <w:rPr>
          <w:rFonts w:ascii="Times New Roman" w:hAnsi="Times New Roman" w:cs="Times New Roman"/>
          <w:b/>
          <w:lang w:val="en-GB"/>
        </w:rPr>
        <w:t>MEM</w:t>
      </w:r>
      <w:r w:rsidR="00DF113C">
        <w:rPr>
          <w:rFonts w:ascii="Times New Roman" w:hAnsi="Times New Roman" w:cs="Times New Roman"/>
          <w:b/>
          <w:lang w:val="en-GB"/>
        </w:rPr>
        <w:t>α</w:t>
      </w:r>
      <w:r w:rsidRPr="004975E3">
        <w:rPr>
          <w:rFonts w:ascii="Times New Roman" w:hAnsi="Times New Roman" w:cs="Times New Roman"/>
          <w:b/>
          <w:lang w:val="en-GB"/>
        </w:rPr>
        <w:t xml:space="preserve"> medium</w:t>
      </w:r>
      <w:r w:rsidRPr="004975E3">
        <w:rPr>
          <w:rFonts w:ascii="Times New Roman" w:hAnsi="Times New Roman" w:cs="Times New Roman"/>
          <w:color w:val="548DD4" w:themeColor="text2" w:themeTint="99"/>
          <w:lang w:val="en-GB"/>
        </w:rPr>
        <w:t xml:space="preserve"> </w:t>
      </w:r>
    </w:p>
    <w:p w14:paraId="0260F103" w14:textId="77777777" w:rsidR="00A260F5" w:rsidRDefault="0085074F" w:rsidP="0080303B">
      <w:pPr>
        <w:spacing w:line="360" w:lineRule="auto"/>
        <w:ind w:left="720"/>
        <w:jc w:val="both"/>
        <w:rPr>
          <w:rFonts w:ascii="Times New Roman" w:hAnsi="Times New Roman" w:cs="Times New Roman"/>
          <w:lang w:val="en-GB"/>
        </w:rPr>
      </w:pPr>
      <w:r w:rsidRPr="004975E3">
        <w:rPr>
          <w:rFonts w:ascii="Times New Roman" w:hAnsi="Times New Roman" w:cs="Times New Roman"/>
          <w:lang w:val="en-GB"/>
        </w:rPr>
        <w:t>50:50 mix of</w:t>
      </w:r>
      <w:r w:rsidR="0080303B">
        <w:rPr>
          <w:rFonts w:ascii="Times New Roman" w:hAnsi="Times New Roman" w:cs="Times New Roman"/>
          <w:lang w:val="en-GB"/>
        </w:rPr>
        <w:t xml:space="preserve"> 1 x</w:t>
      </w:r>
      <w:r w:rsidRPr="004975E3">
        <w:rPr>
          <w:rFonts w:ascii="Times New Roman" w:hAnsi="Times New Roman" w:cs="Times New Roman"/>
          <w:lang w:val="en-GB"/>
        </w:rPr>
        <w:t xml:space="preserve"> F10 Nutrient mixture (Ham</w:t>
      </w:r>
      <w:r w:rsidR="0080303B">
        <w:rPr>
          <w:rFonts w:ascii="Times New Roman" w:hAnsi="Times New Roman" w:cs="Times New Roman"/>
          <w:lang w:val="en-GB"/>
        </w:rPr>
        <w:t>’s</w:t>
      </w:r>
      <w:r w:rsidRPr="004975E3">
        <w:rPr>
          <w:rFonts w:ascii="Times New Roman" w:hAnsi="Times New Roman" w:cs="Times New Roman"/>
          <w:lang w:val="en-GB"/>
        </w:rPr>
        <w:t>) and Minimum essential media alpha medium</w:t>
      </w:r>
      <w:r w:rsidR="00A260F5">
        <w:rPr>
          <w:rFonts w:ascii="Times New Roman" w:hAnsi="Times New Roman" w:cs="Times New Roman"/>
          <w:lang w:val="en-GB"/>
        </w:rPr>
        <w:t xml:space="preserve"> (MEM)</w:t>
      </w:r>
      <w:r w:rsidRPr="004975E3">
        <w:rPr>
          <w:rFonts w:ascii="Times New Roman" w:hAnsi="Times New Roman" w:cs="Times New Roman"/>
          <w:lang w:val="en-GB"/>
        </w:rPr>
        <w:t xml:space="preserve"> </w:t>
      </w:r>
    </w:p>
    <w:p w14:paraId="4D610DEA" w14:textId="229E8C2B" w:rsidR="00A260F5" w:rsidRPr="000C23A8" w:rsidRDefault="0085074F" w:rsidP="0080303B">
      <w:pPr>
        <w:spacing w:line="360" w:lineRule="auto"/>
        <w:ind w:left="720"/>
        <w:jc w:val="both"/>
        <w:rPr>
          <w:rFonts w:ascii="Times New Roman" w:hAnsi="Times New Roman" w:cs="Times New Roman"/>
          <w:color w:val="FF0000"/>
          <w:lang w:val="en-GB"/>
        </w:rPr>
      </w:pPr>
      <w:r w:rsidRPr="004975E3">
        <w:rPr>
          <w:rFonts w:ascii="Times New Roman" w:hAnsi="Times New Roman" w:cs="Times New Roman"/>
          <w:lang w:val="en-GB"/>
        </w:rPr>
        <w:t>10%</w:t>
      </w:r>
      <w:r w:rsidR="00A260F5">
        <w:rPr>
          <w:rFonts w:ascii="Times New Roman" w:hAnsi="Times New Roman" w:cs="Times New Roman"/>
          <w:lang w:val="en-GB"/>
        </w:rPr>
        <w:t xml:space="preserve"> (v/v)</w:t>
      </w:r>
      <w:r w:rsidRPr="004975E3">
        <w:rPr>
          <w:rFonts w:ascii="Times New Roman" w:hAnsi="Times New Roman" w:cs="Times New Roman"/>
          <w:lang w:val="en-GB"/>
        </w:rPr>
        <w:t xml:space="preserve"> fetal bovine serum (FBS) </w:t>
      </w:r>
      <w:r w:rsidR="00120C25">
        <w:rPr>
          <w:rFonts w:ascii="Times New Roman" w:hAnsi="Times New Roman" w:cs="Times New Roman"/>
          <w:lang w:val="en-GB"/>
        </w:rPr>
        <w:t>Biosera, South America origin</w:t>
      </w:r>
    </w:p>
    <w:p w14:paraId="42BBD908" w14:textId="5BA50B03" w:rsidR="0085074F" w:rsidRDefault="0085074F" w:rsidP="0080303B">
      <w:pPr>
        <w:spacing w:line="360" w:lineRule="auto"/>
        <w:ind w:left="720"/>
        <w:jc w:val="both"/>
        <w:rPr>
          <w:rFonts w:ascii="Times New Roman" w:hAnsi="Times New Roman" w:cs="Times New Roman"/>
          <w:lang w:val="en-GB"/>
        </w:rPr>
      </w:pPr>
      <w:r w:rsidRPr="004975E3">
        <w:rPr>
          <w:rFonts w:ascii="Times New Roman" w:hAnsi="Times New Roman" w:cs="Times New Roman"/>
          <w:lang w:val="en-GB"/>
        </w:rPr>
        <w:t>1% penicillin/streptomycin (P/S) solution</w:t>
      </w:r>
      <w:r w:rsidR="00120C25">
        <w:rPr>
          <w:rFonts w:ascii="Times New Roman" w:hAnsi="Times New Roman" w:cs="Times New Roman"/>
          <w:lang w:val="en-GB"/>
        </w:rPr>
        <w:t>, Lonza, Walkersville, USA</w:t>
      </w:r>
    </w:p>
    <w:p w14:paraId="6BB7AB8B" w14:textId="77777777" w:rsidR="00546750" w:rsidRDefault="00546750" w:rsidP="0085074F">
      <w:pPr>
        <w:spacing w:line="360" w:lineRule="auto"/>
        <w:jc w:val="both"/>
        <w:rPr>
          <w:rFonts w:ascii="Times New Roman" w:hAnsi="Times New Roman" w:cs="Times New Roman"/>
          <w:lang w:val="en-GB"/>
        </w:rPr>
      </w:pPr>
    </w:p>
    <w:p w14:paraId="43078084" w14:textId="77777777" w:rsidR="000C23A8" w:rsidRDefault="00546750" w:rsidP="0085074F">
      <w:pPr>
        <w:spacing w:line="360" w:lineRule="auto"/>
        <w:jc w:val="both"/>
        <w:rPr>
          <w:rFonts w:ascii="Times New Roman" w:hAnsi="Times New Roman" w:cs="Times New Roman"/>
          <w:lang w:val="en-GB"/>
        </w:rPr>
      </w:pPr>
      <w:r>
        <w:rPr>
          <w:rFonts w:ascii="Times New Roman" w:hAnsi="Times New Roman" w:cs="Times New Roman"/>
          <w:b/>
          <w:lang w:val="en-GB"/>
        </w:rPr>
        <w:t xml:space="preserve">Astrocyte </w:t>
      </w:r>
      <w:r w:rsidR="00CE4A32">
        <w:rPr>
          <w:rFonts w:ascii="Times New Roman" w:hAnsi="Times New Roman" w:cs="Times New Roman"/>
          <w:b/>
          <w:lang w:val="en-GB"/>
        </w:rPr>
        <w:t>cryopreservation</w:t>
      </w:r>
      <w:r>
        <w:rPr>
          <w:rFonts w:ascii="Times New Roman" w:hAnsi="Times New Roman" w:cs="Times New Roman"/>
          <w:b/>
          <w:lang w:val="en-GB"/>
        </w:rPr>
        <w:t xml:space="preserve"> media</w:t>
      </w:r>
      <w:r>
        <w:rPr>
          <w:rFonts w:ascii="Times New Roman" w:hAnsi="Times New Roman" w:cs="Times New Roman"/>
          <w:lang w:val="en-GB"/>
        </w:rPr>
        <w:t xml:space="preserve">. </w:t>
      </w:r>
    </w:p>
    <w:p w14:paraId="770D48E6" w14:textId="77777777" w:rsidR="000C23A8" w:rsidRDefault="00546750" w:rsidP="000C23A8">
      <w:pPr>
        <w:spacing w:line="360" w:lineRule="auto"/>
        <w:ind w:left="720"/>
        <w:jc w:val="both"/>
        <w:rPr>
          <w:rFonts w:ascii="Times New Roman" w:hAnsi="Times New Roman" w:cs="Times New Roman"/>
          <w:lang w:val="en-GB"/>
        </w:rPr>
      </w:pPr>
      <w:r>
        <w:rPr>
          <w:rFonts w:ascii="Times New Roman" w:hAnsi="Times New Roman" w:cs="Times New Roman"/>
          <w:lang w:val="en-GB"/>
        </w:rPr>
        <w:t xml:space="preserve">80% FBS </w:t>
      </w:r>
    </w:p>
    <w:p w14:paraId="2D990907" w14:textId="4A56D7BA" w:rsidR="00546750" w:rsidRPr="002E0156" w:rsidRDefault="00546750" w:rsidP="000C23A8">
      <w:pPr>
        <w:spacing w:line="360" w:lineRule="auto"/>
        <w:ind w:left="720"/>
        <w:jc w:val="both"/>
        <w:rPr>
          <w:rFonts w:ascii="Times New Roman" w:hAnsi="Times New Roman" w:cs="Times New Roman"/>
          <w:lang w:val="en-GB"/>
        </w:rPr>
      </w:pPr>
      <w:r>
        <w:rPr>
          <w:rFonts w:ascii="Times New Roman" w:hAnsi="Times New Roman" w:cs="Times New Roman"/>
          <w:lang w:val="en-GB"/>
        </w:rPr>
        <w:t>20% D</w:t>
      </w:r>
      <w:r w:rsidR="000C23A8">
        <w:rPr>
          <w:rFonts w:ascii="Times New Roman" w:hAnsi="Times New Roman" w:cs="Times New Roman"/>
          <w:lang w:val="en-GB"/>
        </w:rPr>
        <w:t>imethyl sulphoxide (D</w:t>
      </w:r>
      <w:r>
        <w:rPr>
          <w:rFonts w:ascii="Times New Roman" w:hAnsi="Times New Roman" w:cs="Times New Roman"/>
          <w:lang w:val="en-GB"/>
        </w:rPr>
        <w:t>MSO</w:t>
      </w:r>
      <w:r w:rsidR="000C23A8">
        <w:rPr>
          <w:rFonts w:ascii="Times New Roman" w:hAnsi="Times New Roman" w:cs="Times New Roman"/>
          <w:lang w:val="en-GB"/>
        </w:rPr>
        <w:t xml:space="preserve">) </w:t>
      </w:r>
      <w:r w:rsidR="002E0156">
        <w:rPr>
          <w:rFonts w:ascii="Times New Roman" w:hAnsi="Times New Roman" w:cs="Times New Roman"/>
          <w:lang w:val="en-GB"/>
        </w:rPr>
        <w:t>Cat no. D2650</w:t>
      </w:r>
    </w:p>
    <w:p w14:paraId="76FF5FB4" w14:textId="77777777" w:rsidR="009544BA" w:rsidRPr="009544BA" w:rsidRDefault="009544BA" w:rsidP="0085074F">
      <w:pPr>
        <w:spacing w:line="360" w:lineRule="auto"/>
        <w:jc w:val="both"/>
        <w:rPr>
          <w:rFonts w:ascii="Times New Roman" w:hAnsi="Times New Roman" w:cs="Times New Roman"/>
          <w:b/>
          <w:u w:val="single"/>
          <w:lang w:val="en-GB"/>
        </w:rPr>
      </w:pPr>
    </w:p>
    <w:p w14:paraId="3395A7B5" w14:textId="77777777" w:rsidR="000C23A8" w:rsidRDefault="000C23A8" w:rsidP="0085074F">
      <w:pPr>
        <w:spacing w:line="360" w:lineRule="auto"/>
        <w:jc w:val="both"/>
        <w:rPr>
          <w:rFonts w:ascii="Times New Roman" w:hAnsi="Times New Roman" w:cs="Times New Roman"/>
          <w:color w:val="548DD4" w:themeColor="text2" w:themeTint="99"/>
          <w:lang w:val="en-GB"/>
        </w:rPr>
      </w:pPr>
      <w:r>
        <w:rPr>
          <w:rFonts w:ascii="Times New Roman" w:hAnsi="Times New Roman" w:cs="Times New Roman"/>
          <w:b/>
          <w:lang w:val="en-GB"/>
        </w:rPr>
        <w:t>Recombinant human i</w:t>
      </w:r>
      <w:r w:rsidR="0085074F" w:rsidRPr="004975E3">
        <w:rPr>
          <w:rFonts w:ascii="Times New Roman" w:hAnsi="Times New Roman" w:cs="Times New Roman"/>
          <w:b/>
          <w:lang w:val="en-GB"/>
        </w:rPr>
        <w:t>nsulin-like growth factor (IGF1)</w:t>
      </w:r>
      <w:r w:rsidR="0085074F" w:rsidRPr="004975E3">
        <w:rPr>
          <w:rFonts w:ascii="Times New Roman" w:hAnsi="Times New Roman" w:cs="Times New Roman"/>
          <w:color w:val="548DD4" w:themeColor="text2" w:themeTint="99"/>
          <w:lang w:val="en-GB"/>
        </w:rPr>
        <w:t xml:space="preserve"> </w:t>
      </w:r>
    </w:p>
    <w:p w14:paraId="09B66FF4" w14:textId="2F1B3517" w:rsidR="0085074F" w:rsidRPr="004975E3" w:rsidRDefault="00471314" w:rsidP="000C23A8">
      <w:pPr>
        <w:spacing w:line="360" w:lineRule="auto"/>
        <w:ind w:left="720"/>
        <w:jc w:val="both"/>
        <w:rPr>
          <w:rFonts w:ascii="Times New Roman" w:hAnsi="Times New Roman" w:cs="Times New Roman"/>
          <w:lang w:val="en-GB"/>
        </w:rPr>
      </w:pPr>
      <w:r>
        <w:rPr>
          <w:rFonts w:ascii="Times New Roman" w:hAnsi="Times New Roman" w:cs="Times New Roman"/>
          <w:lang w:val="en-GB"/>
        </w:rPr>
        <w:t>200μ</w:t>
      </w:r>
      <w:r w:rsidR="000C23A8" w:rsidRPr="004975E3">
        <w:rPr>
          <w:rFonts w:ascii="Times New Roman" w:hAnsi="Times New Roman" w:cs="Times New Roman"/>
          <w:lang w:val="en-GB"/>
        </w:rPr>
        <w:t xml:space="preserve">g/ml </w:t>
      </w:r>
      <w:r w:rsidR="0085074F" w:rsidRPr="004975E3">
        <w:rPr>
          <w:rFonts w:ascii="Times New Roman" w:hAnsi="Times New Roman" w:cs="Times New Roman"/>
          <w:lang w:val="en-GB"/>
        </w:rPr>
        <w:t xml:space="preserve">Recombinant Human IGF1 </w:t>
      </w:r>
      <w:r w:rsidR="000C23A8">
        <w:rPr>
          <w:rFonts w:ascii="Times New Roman" w:hAnsi="Times New Roman" w:cs="Times New Roman"/>
          <w:lang w:val="en-GB"/>
        </w:rPr>
        <w:t>(R &amp;</w:t>
      </w:r>
      <w:r w:rsidR="0085074F" w:rsidRPr="004975E3">
        <w:rPr>
          <w:rFonts w:ascii="Times New Roman" w:hAnsi="Times New Roman" w:cs="Times New Roman"/>
          <w:lang w:val="en-GB"/>
        </w:rPr>
        <w:t xml:space="preserve"> D systems</w:t>
      </w:r>
      <w:r w:rsidR="00D90696">
        <w:rPr>
          <w:rFonts w:ascii="Times New Roman" w:hAnsi="Times New Roman" w:cs="Times New Roman"/>
          <w:lang w:val="en-GB"/>
        </w:rPr>
        <w:t>/</w:t>
      </w:r>
      <w:r w:rsidR="000C23A8">
        <w:rPr>
          <w:rFonts w:ascii="Times New Roman" w:hAnsi="Times New Roman" w:cs="Times New Roman"/>
          <w:lang w:val="en-GB"/>
        </w:rPr>
        <w:t xml:space="preserve"> </w:t>
      </w:r>
      <w:r w:rsidR="00D90696">
        <w:rPr>
          <w:rFonts w:ascii="Times New Roman" w:hAnsi="Times New Roman" w:cs="Times New Roman"/>
          <w:lang w:val="en-GB"/>
        </w:rPr>
        <w:t>Bio-Techne, Abingdon, UK)</w:t>
      </w:r>
      <w:r w:rsidR="00D06B57">
        <w:rPr>
          <w:rFonts w:ascii="Times New Roman" w:hAnsi="Times New Roman" w:cs="Times New Roman"/>
          <w:lang w:val="en-GB"/>
        </w:rPr>
        <w:t xml:space="preserve"> in 1 x PBS (sterile)</w:t>
      </w:r>
      <w:r w:rsidR="0085074F" w:rsidRPr="004975E3">
        <w:rPr>
          <w:rFonts w:ascii="Times New Roman" w:hAnsi="Times New Roman" w:cs="Times New Roman"/>
          <w:lang w:val="en-GB"/>
        </w:rPr>
        <w:t xml:space="preserve"> </w:t>
      </w:r>
    </w:p>
    <w:p w14:paraId="36F18CCF" w14:textId="77777777" w:rsidR="0085074F" w:rsidRPr="004975E3" w:rsidRDefault="0085074F" w:rsidP="0085074F">
      <w:pPr>
        <w:spacing w:line="360" w:lineRule="auto"/>
        <w:jc w:val="both"/>
        <w:rPr>
          <w:rFonts w:ascii="Times New Roman" w:hAnsi="Times New Roman" w:cs="Times New Roman"/>
          <w:color w:val="548DD4" w:themeColor="text2" w:themeTint="99"/>
          <w:lang w:val="en-GB"/>
        </w:rPr>
      </w:pPr>
    </w:p>
    <w:p w14:paraId="0F486315" w14:textId="77777777" w:rsidR="00D06B57" w:rsidRDefault="0085074F" w:rsidP="0085074F">
      <w:pPr>
        <w:spacing w:line="360" w:lineRule="auto"/>
        <w:jc w:val="both"/>
        <w:rPr>
          <w:rFonts w:ascii="Times New Roman" w:hAnsi="Times New Roman" w:cs="Times New Roman"/>
          <w:color w:val="548DD4" w:themeColor="text2" w:themeTint="99"/>
          <w:lang w:val="en-GB"/>
        </w:rPr>
      </w:pPr>
      <w:r w:rsidRPr="004975E3">
        <w:rPr>
          <w:rFonts w:ascii="Times New Roman" w:hAnsi="Times New Roman" w:cs="Times New Roman"/>
          <w:b/>
          <w:lang w:val="en-GB"/>
        </w:rPr>
        <w:t>Monoclonal anti-human IGF-1R antibody (MAB391)</w:t>
      </w:r>
      <w:r w:rsidRPr="004975E3">
        <w:rPr>
          <w:rFonts w:ascii="Times New Roman" w:hAnsi="Times New Roman" w:cs="Times New Roman"/>
          <w:color w:val="548DD4" w:themeColor="text2" w:themeTint="99"/>
          <w:lang w:val="en-GB"/>
        </w:rPr>
        <w:t xml:space="preserve"> </w:t>
      </w:r>
    </w:p>
    <w:p w14:paraId="6BB3A85C" w14:textId="0CD5DF39" w:rsidR="0085074F" w:rsidRPr="004975E3" w:rsidRDefault="00D06B57" w:rsidP="00D06B57">
      <w:pPr>
        <w:spacing w:line="360" w:lineRule="auto"/>
        <w:ind w:left="720"/>
        <w:jc w:val="both"/>
        <w:rPr>
          <w:rFonts w:ascii="Times New Roman" w:hAnsi="Times New Roman" w:cs="Times New Roman"/>
          <w:lang w:val="en-GB"/>
        </w:rPr>
      </w:pPr>
      <w:r w:rsidRPr="004975E3">
        <w:rPr>
          <w:rFonts w:ascii="Times New Roman" w:hAnsi="Times New Roman" w:cs="Times New Roman"/>
          <w:lang w:val="en-GB"/>
        </w:rPr>
        <w:t xml:space="preserve">500ug/ml </w:t>
      </w:r>
      <w:r w:rsidR="0085074F" w:rsidRPr="004975E3">
        <w:rPr>
          <w:rFonts w:ascii="Times New Roman" w:hAnsi="Times New Roman" w:cs="Times New Roman"/>
          <w:lang w:val="en-GB"/>
        </w:rPr>
        <w:t xml:space="preserve">MAB391  (clone 33255 lot number YY15) </w:t>
      </w:r>
      <w:r>
        <w:rPr>
          <w:rFonts w:ascii="Times New Roman" w:hAnsi="Times New Roman" w:cs="Times New Roman"/>
          <w:lang w:val="en-GB"/>
        </w:rPr>
        <w:t>(R &amp;</w:t>
      </w:r>
      <w:r w:rsidR="0085074F" w:rsidRPr="004975E3">
        <w:rPr>
          <w:rFonts w:ascii="Times New Roman" w:hAnsi="Times New Roman" w:cs="Times New Roman"/>
          <w:lang w:val="en-GB"/>
        </w:rPr>
        <w:t xml:space="preserve"> D systems</w:t>
      </w:r>
      <w:r w:rsidR="00D90696">
        <w:rPr>
          <w:rFonts w:ascii="Times New Roman" w:hAnsi="Times New Roman" w:cs="Times New Roman"/>
          <w:lang w:val="en-GB"/>
        </w:rPr>
        <w:t>/ Bio-Techne</w:t>
      </w:r>
      <w:r>
        <w:rPr>
          <w:rFonts w:ascii="Times New Roman" w:hAnsi="Times New Roman" w:cs="Times New Roman"/>
          <w:lang w:val="en-GB"/>
        </w:rPr>
        <w:t xml:space="preserve">, </w:t>
      </w:r>
      <w:r w:rsidR="00D90696">
        <w:rPr>
          <w:rFonts w:ascii="Times New Roman" w:hAnsi="Times New Roman" w:cs="Times New Roman"/>
          <w:lang w:val="en-GB"/>
        </w:rPr>
        <w:t xml:space="preserve">Abingdon, UK) </w:t>
      </w:r>
      <w:r>
        <w:rPr>
          <w:rFonts w:ascii="Times New Roman" w:hAnsi="Times New Roman" w:cs="Times New Roman"/>
          <w:lang w:val="en-GB"/>
        </w:rPr>
        <w:t>in 1 x PBS (sterile)</w:t>
      </w:r>
    </w:p>
    <w:p w14:paraId="664EC88E" w14:textId="77777777" w:rsidR="0085074F" w:rsidRPr="004975E3" w:rsidRDefault="0085074F" w:rsidP="0085074F">
      <w:pPr>
        <w:spacing w:line="360" w:lineRule="auto"/>
        <w:jc w:val="both"/>
        <w:rPr>
          <w:rFonts w:ascii="Times New Roman" w:hAnsi="Times New Roman" w:cs="Times New Roman"/>
          <w:color w:val="548DD4" w:themeColor="text2" w:themeTint="99"/>
          <w:lang w:val="en-GB"/>
        </w:rPr>
      </w:pPr>
    </w:p>
    <w:p w14:paraId="4F6E523F" w14:textId="77777777" w:rsidR="00D06B57" w:rsidRDefault="0085074F" w:rsidP="0085074F">
      <w:pPr>
        <w:spacing w:line="360" w:lineRule="auto"/>
        <w:jc w:val="both"/>
        <w:rPr>
          <w:rFonts w:ascii="Times New Roman" w:hAnsi="Times New Roman" w:cs="Times New Roman"/>
          <w:color w:val="548DD4" w:themeColor="text2" w:themeTint="99"/>
          <w:lang w:val="en-GB"/>
        </w:rPr>
      </w:pPr>
      <w:r w:rsidRPr="004975E3">
        <w:rPr>
          <w:rFonts w:ascii="Times New Roman" w:hAnsi="Times New Roman" w:cs="Times New Roman"/>
          <w:b/>
          <w:lang w:val="en-GB"/>
        </w:rPr>
        <w:t>Mouse monoclonal IgG</w:t>
      </w:r>
      <w:r w:rsidRPr="004975E3">
        <w:rPr>
          <w:rFonts w:ascii="Times New Roman" w:hAnsi="Times New Roman" w:cs="Times New Roman"/>
          <w:b/>
          <w:vertAlign w:val="subscript"/>
          <w:lang w:val="en-GB"/>
        </w:rPr>
        <w:t xml:space="preserve">1 </w:t>
      </w:r>
      <w:r w:rsidRPr="004975E3">
        <w:rPr>
          <w:rFonts w:ascii="Times New Roman" w:hAnsi="Times New Roman" w:cs="Times New Roman"/>
          <w:b/>
          <w:lang w:val="en-GB"/>
        </w:rPr>
        <w:t>Isotype control antibody (MAB002)</w:t>
      </w:r>
      <w:r w:rsidRPr="004975E3">
        <w:rPr>
          <w:rFonts w:ascii="Times New Roman" w:hAnsi="Times New Roman" w:cs="Times New Roman"/>
          <w:color w:val="548DD4" w:themeColor="text2" w:themeTint="99"/>
          <w:lang w:val="en-GB"/>
        </w:rPr>
        <w:t xml:space="preserve"> </w:t>
      </w:r>
    </w:p>
    <w:p w14:paraId="7770E898" w14:textId="4D4B5910" w:rsidR="0085074F" w:rsidRPr="00D06B57" w:rsidRDefault="00471314" w:rsidP="00D06B57">
      <w:pPr>
        <w:spacing w:line="360" w:lineRule="auto"/>
        <w:ind w:left="720"/>
        <w:jc w:val="both"/>
        <w:rPr>
          <w:rFonts w:ascii="Times New Roman" w:hAnsi="Times New Roman" w:cs="Times New Roman"/>
          <w:lang w:val="en-GB"/>
        </w:rPr>
      </w:pPr>
      <w:r>
        <w:rPr>
          <w:rFonts w:ascii="Times New Roman" w:hAnsi="Times New Roman" w:cs="Times New Roman"/>
          <w:lang w:val="en-GB"/>
        </w:rPr>
        <w:t>500μ</w:t>
      </w:r>
      <w:r w:rsidR="00D06B57" w:rsidRPr="004975E3">
        <w:rPr>
          <w:rFonts w:ascii="Times New Roman" w:hAnsi="Times New Roman" w:cs="Times New Roman"/>
          <w:lang w:val="en-GB"/>
        </w:rPr>
        <w:t xml:space="preserve">g/ml </w:t>
      </w:r>
      <w:r w:rsidR="0085074F" w:rsidRPr="004975E3">
        <w:rPr>
          <w:rFonts w:ascii="Times New Roman" w:hAnsi="Times New Roman" w:cs="Times New Roman"/>
          <w:lang w:val="en-GB"/>
        </w:rPr>
        <w:t xml:space="preserve">MAB002 (clone 11711, lot number IX2612061) </w:t>
      </w:r>
      <w:r w:rsidR="00D06B57">
        <w:rPr>
          <w:rFonts w:ascii="Times New Roman" w:hAnsi="Times New Roman" w:cs="Times New Roman"/>
          <w:lang w:val="en-GB"/>
        </w:rPr>
        <w:t>(R &amp;</w:t>
      </w:r>
      <w:r w:rsidR="0085074F" w:rsidRPr="004975E3">
        <w:rPr>
          <w:rFonts w:ascii="Times New Roman" w:hAnsi="Times New Roman" w:cs="Times New Roman"/>
          <w:lang w:val="en-GB"/>
        </w:rPr>
        <w:t xml:space="preserve"> D systems</w:t>
      </w:r>
      <w:r w:rsidR="00D90696">
        <w:rPr>
          <w:rFonts w:ascii="Times New Roman" w:hAnsi="Times New Roman" w:cs="Times New Roman"/>
          <w:lang w:val="en-GB"/>
        </w:rPr>
        <w:t>/</w:t>
      </w:r>
      <w:r w:rsidR="0085074F" w:rsidRPr="004975E3">
        <w:rPr>
          <w:rFonts w:ascii="Times New Roman" w:hAnsi="Times New Roman" w:cs="Times New Roman"/>
          <w:lang w:val="en-GB"/>
        </w:rPr>
        <w:t xml:space="preserve"> </w:t>
      </w:r>
      <w:r w:rsidR="00D90696">
        <w:rPr>
          <w:rFonts w:ascii="Times New Roman" w:hAnsi="Times New Roman" w:cs="Times New Roman"/>
          <w:lang w:val="en-GB"/>
        </w:rPr>
        <w:t>Bio-Techne, Abingdon, UK)</w:t>
      </w:r>
      <w:r w:rsidR="00A00F3B">
        <w:rPr>
          <w:rFonts w:ascii="Times New Roman" w:hAnsi="Times New Roman" w:cs="Times New Roman"/>
          <w:lang w:val="en-GB"/>
        </w:rPr>
        <w:t xml:space="preserve"> </w:t>
      </w:r>
      <w:r w:rsidR="00D06B57">
        <w:rPr>
          <w:rFonts w:ascii="Times New Roman" w:hAnsi="Times New Roman" w:cs="Times New Roman"/>
          <w:lang w:val="en-GB"/>
        </w:rPr>
        <w:t>in 1 x PBS.</w:t>
      </w:r>
    </w:p>
    <w:p w14:paraId="7B8E8B65" w14:textId="77777777" w:rsidR="005979EC" w:rsidRPr="004975E3" w:rsidRDefault="005979EC" w:rsidP="0085074F">
      <w:pPr>
        <w:spacing w:line="360" w:lineRule="auto"/>
        <w:jc w:val="both"/>
        <w:rPr>
          <w:rFonts w:ascii="Times New Roman" w:hAnsi="Times New Roman" w:cs="Times New Roman"/>
          <w:b/>
          <w:lang w:val="en-GB"/>
        </w:rPr>
      </w:pPr>
    </w:p>
    <w:p w14:paraId="59F1CBDA" w14:textId="77777777" w:rsidR="003E7BDB" w:rsidRDefault="003E7BDB" w:rsidP="0085074F">
      <w:pPr>
        <w:spacing w:line="360" w:lineRule="auto"/>
        <w:jc w:val="both"/>
        <w:rPr>
          <w:rFonts w:ascii="Times New Roman" w:hAnsi="Times New Roman" w:cs="Times New Roman"/>
          <w:b/>
          <w:lang w:val="en-GB"/>
        </w:rPr>
      </w:pPr>
    </w:p>
    <w:p w14:paraId="2C26539F" w14:textId="77777777" w:rsidR="003E7BDB" w:rsidRDefault="003E7BDB" w:rsidP="0085074F">
      <w:pPr>
        <w:spacing w:line="360" w:lineRule="auto"/>
        <w:jc w:val="both"/>
        <w:rPr>
          <w:rFonts w:ascii="Times New Roman" w:hAnsi="Times New Roman" w:cs="Times New Roman"/>
          <w:b/>
          <w:lang w:val="en-GB"/>
        </w:rPr>
      </w:pPr>
    </w:p>
    <w:p w14:paraId="71B25A1E" w14:textId="77777777" w:rsidR="00D06B57" w:rsidRDefault="0085074F" w:rsidP="0085074F">
      <w:pPr>
        <w:spacing w:line="360" w:lineRule="auto"/>
        <w:jc w:val="both"/>
        <w:rPr>
          <w:rFonts w:ascii="Times New Roman" w:hAnsi="Times New Roman" w:cs="Times New Roman"/>
          <w:b/>
          <w:lang w:val="en-GB"/>
        </w:rPr>
      </w:pPr>
      <w:r w:rsidRPr="004975E3">
        <w:rPr>
          <w:rFonts w:ascii="Times New Roman" w:hAnsi="Times New Roman" w:cs="Times New Roman"/>
          <w:b/>
          <w:lang w:val="en-GB"/>
        </w:rPr>
        <w:t>Wortmannin</w:t>
      </w:r>
    </w:p>
    <w:p w14:paraId="0DDEE44E" w14:textId="1996D342" w:rsidR="00D06B57" w:rsidRPr="00D90696" w:rsidRDefault="00D06B57" w:rsidP="00D06B57">
      <w:pPr>
        <w:spacing w:line="360" w:lineRule="auto"/>
        <w:ind w:left="720"/>
        <w:jc w:val="both"/>
        <w:rPr>
          <w:rFonts w:ascii="Times New Roman" w:hAnsi="Times New Roman" w:cs="Times New Roman"/>
          <w:lang w:val="en-GB"/>
        </w:rPr>
      </w:pPr>
      <w:r>
        <w:rPr>
          <w:rFonts w:ascii="Times New Roman" w:hAnsi="Times New Roman" w:cs="Times New Roman"/>
          <w:lang w:val="en-GB"/>
        </w:rPr>
        <w:t>2mM</w:t>
      </w:r>
      <w:r w:rsidR="0085074F" w:rsidRPr="004975E3">
        <w:rPr>
          <w:rFonts w:ascii="Times New Roman" w:hAnsi="Times New Roman" w:cs="Times New Roman"/>
          <w:b/>
          <w:lang w:val="en-GB"/>
        </w:rPr>
        <w:t xml:space="preserve"> </w:t>
      </w:r>
      <w:r>
        <w:rPr>
          <w:rFonts w:ascii="Times New Roman" w:hAnsi="Times New Roman" w:cs="Times New Roman"/>
          <w:lang w:val="en-GB"/>
        </w:rPr>
        <w:t>Wortmannin (Cel</w:t>
      </w:r>
      <w:r w:rsidR="00D90696">
        <w:rPr>
          <w:rFonts w:ascii="Times New Roman" w:hAnsi="Times New Roman" w:cs="Times New Roman"/>
          <w:lang w:val="en-GB"/>
        </w:rPr>
        <w:t>l Signaling Technologies (CST), Hertfordshire, UK)</w:t>
      </w:r>
    </w:p>
    <w:p w14:paraId="0C7BCEA7" w14:textId="3AE942D4" w:rsidR="0085074F" w:rsidRDefault="00D06B57" w:rsidP="00D06B57">
      <w:pPr>
        <w:spacing w:line="360" w:lineRule="auto"/>
        <w:ind w:left="720"/>
        <w:jc w:val="both"/>
        <w:rPr>
          <w:rFonts w:ascii="Times New Roman" w:hAnsi="Times New Roman" w:cs="Times New Roman"/>
          <w:lang w:val="en-GB"/>
        </w:rPr>
      </w:pPr>
      <w:r>
        <w:rPr>
          <w:rFonts w:ascii="Times New Roman" w:hAnsi="Times New Roman" w:cs="Times New Roman"/>
          <w:lang w:val="en-GB"/>
        </w:rPr>
        <w:t>in DMSO</w:t>
      </w:r>
      <w:r w:rsidR="0085074F" w:rsidRPr="004975E3">
        <w:rPr>
          <w:rFonts w:ascii="Times New Roman" w:hAnsi="Times New Roman" w:cs="Times New Roman"/>
          <w:lang w:val="en-GB"/>
        </w:rPr>
        <w:t xml:space="preserve"> </w:t>
      </w:r>
    </w:p>
    <w:p w14:paraId="5CD428A9" w14:textId="77777777" w:rsidR="009544BA" w:rsidRDefault="009544BA" w:rsidP="0085074F">
      <w:pPr>
        <w:spacing w:line="360" w:lineRule="auto"/>
        <w:jc w:val="both"/>
        <w:rPr>
          <w:rFonts w:ascii="Times New Roman" w:hAnsi="Times New Roman" w:cs="Times New Roman"/>
          <w:lang w:val="en-GB"/>
        </w:rPr>
      </w:pPr>
    </w:p>
    <w:p w14:paraId="794B3D29" w14:textId="77777777" w:rsidR="00D06B57" w:rsidRDefault="00957080" w:rsidP="0085074F">
      <w:pPr>
        <w:spacing w:line="360" w:lineRule="auto"/>
        <w:jc w:val="both"/>
        <w:rPr>
          <w:rFonts w:ascii="Times New Roman" w:hAnsi="Times New Roman" w:cs="Times New Roman"/>
          <w:b/>
          <w:lang w:val="en-GB"/>
        </w:rPr>
      </w:pPr>
      <w:r>
        <w:rPr>
          <w:rFonts w:ascii="Times New Roman" w:hAnsi="Times New Roman" w:cs="Times New Roman"/>
          <w:b/>
          <w:lang w:val="en-GB"/>
        </w:rPr>
        <w:t xml:space="preserve">Hydrogen </w:t>
      </w:r>
      <w:r w:rsidR="009544BA">
        <w:rPr>
          <w:rFonts w:ascii="Times New Roman" w:hAnsi="Times New Roman" w:cs="Times New Roman"/>
          <w:b/>
          <w:lang w:val="en-GB"/>
        </w:rPr>
        <w:t>peroxide</w:t>
      </w:r>
      <w:r w:rsidR="00D06B57">
        <w:rPr>
          <w:rFonts w:ascii="Times New Roman" w:hAnsi="Times New Roman" w:cs="Times New Roman"/>
          <w:b/>
          <w:lang w:val="en-GB"/>
        </w:rPr>
        <w:t xml:space="preserve"> (H</w:t>
      </w:r>
      <w:r w:rsidR="00D06B57">
        <w:rPr>
          <w:rFonts w:ascii="Times New Roman" w:hAnsi="Times New Roman" w:cs="Times New Roman"/>
          <w:b/>
          <w:vertAlign w:val="subscript"/>
          <w:lang w:val="en-GB"/>
        </w:rPr>
        <w:t>2</w:t>
      </w:r>
      <w:r w:rsidR="00D06B57">
        <w:rPr>
          <w:rFonts w:ascii="Times New Roman" w:hAnsi="Times New Roman" w:cs="Times New Roman"/>
          <w:b/>
          <w:lang w:val="en-GB"/>
        </w:rPr>
        <w:t>O</w:t>
      </w:r>
      <w:r w:rsidR="00D06B57">
        <w:rPr>
          <w:rFonts w:ascii="Times New Roman" w:hAnsi="Times New Roman" w:cs="Times New Roman"/>
          <w:b/>
          <w:vertAlign w:val="subscript"/>
          <w:lang w:val="en-GB"/>
        </w:rPr>
        <w:t>2</w:t>
      </w:r>
      <w:r w:rsidR="00D06B57">
        <w:rPr>
          <w:rFonts w:ascii="Times New Roman" w:hAnsi="Times New Roman" w:cs="Times New Roman"/>
          <w:b/>
          <w:lang w:val="en-GB"/>
        </w:rPr>
        <w:t>)</w:t>
      </w:r>
    </w:p>
    <w:p w14:paraId="1D3E99D6" w14:textId="4E4F7A67" w:rsidR="00D06B57" w:rsidRDefault="009544BA" w:rsidP="00D06B57">
      <w:pPr>
        <w:spacing w:line="360" w:lineRule="auto"/>
        <w:ind w:left="720"/>
        <w:jc w:val="both"/>
        <w:rPr>
          <w:rFonts w:ascii="Times New Roman" w:hAnsi="Times New Roman" w:cs="Times New Roman"/>
          <w:lang w:val="en-GB"/>
        </w:rPr>
      </w:pPr>
      <w:r>
        <w:rPr>
          <w:rFonts w:ascii="Times New Roman" w:hAnsi="Times New Roman" w:cs="Times New Roman"/>
          <w:b/>
          <w:lang w:val="en-GB"/>
        </w:rPr>
        <w:t xml:space="preserve"> </w:t>
      </w:r>
      <w:r>
        <w:rPr>
          <w:rFonts w:ascii="Times New Roman" w:hAnsi="Times New Roman" w:cs="Times New Roman"/>
          <w:lang w:val="en-GB"/>
        </w:rPr>
        <w:t>30% (w/w) in H</w:t>
      </w:r>
      <w:r>
        <w:rPr>
          <w:rFonts w:ascii="Times New Roman" w:hAnsi="Times New Roman" w:cs="Times New Roman"/>
          <w:vertAlign w:val="subscript"/>
          <w:lang w:val="en-GB"/>
        </w:rPr>
        <w:t>2</w:t>
      </w:r>
      <w:r w:rsidR="00A00F3B">
        <w:rPr>
          <w:rFonts w:ascii="Times New Roman" w:hAnsi="Times New Roman" w:cs="Times New Roman"/>
          <w:lang w:val="en-GB"/>
        </w:rPr>
        <w:t>O</w:t>
      </w:r>
      <w:r>
        <w:rPr>
          <w:rFonts w:ascii="Times New Roman" w:hAnsi="Times New Roman" w:cs="Times New Roman"/>
          <w:lang w:val="en-GB"/>
        </w:rPr>
        <w:t xml:space="preserve">. </w:t>
      </w:r>
    </w:p>
    <w:p w14:paraId="5228C75E" w14:textId="74030E4E" w:rsidR="009544BA" w:rsidRPr="009544BA" w:rsidRDefault="00D06B57" w:rsidP="00D06B57">
      <w:pPr>
        <w:spacing w:line="360" w:lineRule="auto"/>
        <w:ind w:left="720"/>
        <w:jc w:val="both"/>
        <w:rPr>
          <w:rFonts w:ascii="Times New Roman" w:hAnsi="Times New Roman" w:cs="Times New Roman"/>
          <w:lang w:val="en-GB"/>
        </w:rPr>
      </w:pPr>
      <w:r>
        <w:rPr>
          <w:rFonts w:ascii="Times New Roman" w:hAnsi="Times New Roman" w:cs="Times New Roman"/>
          <w:lang w:val="en-GB"/>
        </w:rPr>
        <w:t>d</w:t>
      </w:r>
      <w:r w:rsidR="009544BA">
        <w:rPr>
          <w:rFonts w:ascii="Times New Roman" w:hAnsi="Times New Roman" w:cs="Times New Roman"/>
          <w:lang w:val="en-GB"/>
        </w:rPr>
        <w:t>iluted in 1</w:t>
      </w:r>
      <w:r>
        <w:rPr>
          <w:rFonts w:ascii="Times New Roman" w:hAnsi="Times New Roman" w:cs="Times New Roman"/>
          <w:lang w:val="en-GB"/>
        </w:rPr>
        <w:t xml:space="preserve"> </w:t>
      </w:r>
      <w:r w:rsidR="009544BA">
        <w:rPr>
          <w:rFonts w:ascii="Times New Roman" w:hAnsi="Times New Roman" w:cs="Times New Roman"/>
          <w:lang w:val="en-GB"/>
        </w:rPr>
        <w:t>x</w:t>
      </w:r>
      <w:r>
        <w:rPr>
          <w:rFonts w:ascii="Times New Roman" w:hAnsi="Times New Roman" w:cs="Times New Roman"/>
          <w:lang w:val="en-GB"/>
        </w:rPr>
        <w:t xml:space="preserve"> </w:t>
      </w:r>
      <w:r w:rsidR="009544BA">
        <w:rPr>
          <w:rFonts w:ascii="Times New Roman" w:hAnsi="Times New Roman" w:cs="Times New Roman"/>
          <w:lang w:val="en-GB"/>
        </w:rPr>
        <w:t>PBS</w:t>
      </w:r>
      <w:r>
        <w:rPr>
          <w:rFonts w:ascii="Times New Roman" w:hAnsi="Times New Roman" w:cs="Times New Roman"/>
          <w:lang w:val="en-GB"/>
        </w:rPr>
        <w:t xml:space="preserve"> for cell treatments</w:t>
      </w:r>
      <w:r w:rsidR="009544BA">
        <w:rPr>
          <w:rFonts w:ascii="Times New Roman" w:hAnsi="Times New Roman" w:cs="Times New Roman"/>
          <w:lang w:val="en-GB"/>
        </w:rPr>
        <w:t>.</w:t>
      </w:r>
    </w:p>
    <w:p w14:paraId="1A577C49" w14:textId="77777777" w:rsidR="00B833FD" w:rsidRPr="00B833FD" w:rsidRDefault="00B833FD" w:rsidP="00B833FD"/>
    <w:p w14:paraId="1EE18A83" w14:textId="7FEA9113" w:rsidR="005979EC" w:rsidRDefault="00D06B57" w:rsidP="0085074F">
      <w:pPr>
        <w:spacing w:line="360" w:lineRule="auto"/>
        <w:jc w:val="both"/>
        <w:rPr>
          <w:rFonts w:ascii="Times New Roman" w:hAnsi="Times New Roman" w:cs="Times New Roman"/>
          <w:b/>
          <w:lang w:val="en-GB"/>
        </w:rPr>
      </w:pPr>
      <w:r>
        <w:rPr>
          <w:rFonts w:ascii="Times New Roman" w:hAnsi="Times New Roman" w:cs="Times New Roman"/>
          <w:b/>
          <w:lang w:val="en-GB"/>
        </w:rPr>
        <w:t>c) Lund Human Mesencaephalic embryonic cells (LUHMES)</w:t>
      </w:r>
    </w:p>
    <w:p w14:paraId="679951F8" w14:textId="77777777" w:rsidR="00D06B57" w:rsidRPr="00D06B57" w:rsidRDefault="00D06B57" w:rsidP="0085074F">
      <w:pPr>
        <w:spacing w:line="360" w:lineRule="auto"/>
        <w:jc w:val="both"/>
        <w:rPr>
          <w:rFonts w:ascii="Times New Roman" w:hAnsi="Times New Roman" w:cs="Times New Roman"/>
          <w:b/>
          <w:lang w:val="en-GB"/>
        </w:rPr>
      </w:pPr>
    </w:p>
    <w:p w14:paraId="2F552BE7" w14:textId="26A462AB" w:rsidR="004A33CB" w:rsidRPr="004975E3" w:rsidRDefault="004A33CB" w:rsidP="0085074F">
      <w:pPr>
        <w:spacing w:line="360" w:lineRule="auto"/>
        <w:jc w:val="both"/>
        <w:rPr>
          <w:rFonts w:ascii="Times New Roman" w:hAnsi="Times New Roman" w:cs="Times New Roman"/>
          <w:b/>
          <w:lang w:val="en-GB"/>
        </w:rPr>
      </w:pPr>
      <w:r w:rsidRPr="004975E3">
        <w:rPr>
          <w:rFonts w:ascii="Times New Roman" w:hAnsi="Times New Roman" w:cs="Times New Roman"/>
          <w:b/>
          <w:lang w:val="en-GB"/>
        </w:rPr>
        <w:t>Poly-L-Ornithine</w:t>
      </w:r>
    </w:p>
    <w:p w14:paraId="251F945C" w14:textId="13981EB3" w:rsidR="001270A1" w:rsidRDefault="001270A1" w:rsidP="00D06B57">
      <w:pPr>
        <w:spacing w:line="360" w:lineRule="auto"/>
        <w:ind w:left="720"/>
        <w:jc w:val="both"/>
        <w:rPr>
          <w:rFonts w:ascii="Times New Roman" w:hAnsi="Times New Roman" w:cs="Times New Roman"/>
        </w:rPr>
      </w:pPr>
      <w:r w:rsidRPr="004975E3">
        <w:rPr>
          <w:rFonts w:ascii="Times New Roman" w:hAnsi="Times New Roman" w:cs="Times New Roman"/>
        </w:rPr>
        <w:t>50 µg/mL poly-L-ornithin</w:t>
      </w:r>
      <w:r w:rsidR="00D06B57">
        <w:rPr>
          <w:rFonts w:ascii="Times New Roman" w:hAnsi="Times New Roman" w:cs="Times New Roman"/>
        </w:rPr>
        <w:t>e</w:t>
      </w:r>
      <w:r w:rsidRPr="004975E3">
        <w:rPr>
          <w:rFonts w:ascii="Times New Roman" w:hAnsi="Times New Roman" w:cs="Times New Roman"/>
        </w:rPr>
        <w:t xml:space="preserve"> (p-L-o) </w:t>
      </w:r>
    </w:p>
    <w:p w14:paraId="4DDE6F20" w14:textId="6959FE02" w:rsidR="00D06B57" w:rsidRPr="004975E3" w:rsidRDefault="00D06B57" w:rsidP="00D06B57">
      <w:pPr>
        <w:spacing w:line="360" w:lineRule="auto"/>
        <w:ind w:left="720"/>
        <w:jc w:val="both"/>
        <w:rPr>
          <w:rFonts w:ascii="Times New Roman" w:hAnsi="Times New Roman" w:cs="Times New Roman"/>
          <w:b/>
          <w:lang w:val="en-GB"/>
        </w:rPr>
      </w:pPr>
      <w:r>
        <w:rPr>
          <w:rFonts w:ascii="Times New Roman" w:hAnsi="Times New Roman" w:cs="Times New Roman"/>
        </w:rPr>
        <w:t>in 1x PBS</w:t>
      </w:r>
    </w:p>
    <w:p w14:paraId="0B69FDC9" w14:textId="77777777" w:rsidR="004A33CB" w:rsidRPr="004975E3" w:rsidRDefault="004A33CB" w:rsidP="0085074F">
      <w:pPr>
        <w:spacing w:line="360" w:lineRule="auto"/>
        <w:jc w:val="both"/>
        <w:rPr>
          <w:rFonts w:ascii="Times New Roman" w:hAnsi="Times New Roman" w:cs="Times New Roman"/>
          <w:b/>
          <w:lang w:val="en-GB"/>
        </w:rPr>
      </w:pPr>
    </w:p>
    <w:p w14:paraId="7C39BC51" w14:textId="1A5D1377" w:rsidR="004A33CB" w:rsidRPr="004975E3" w:rsidRDefault="004A33CB" w:rsidP="0085074F">
      <w:pPr>
        <w:spacing w:line="360" w:lineRule="auto"/>
        <w:jc w:val="both"/>
        <w:rPr>
          <w:rFonts w:ascii="Times New Roman" w:hAnsi="Times New Roman" w:cs="Times New Roman"/>
          <w:b/>
          <w:lang w:val="en-GB"/>
        </w:rPr>
      </w:pPr>
      <w:r w:rsidRPr="004975E3">
        <w:rPr>
          <w:rFonts w:ascii="Times New Roman" w:hAnsi="Times New Roman" w:cs="Times New Roman"/>
          <w:b/>
          <w:lang w:val="en-GB"/>
        </w:rPr>
        <w:t>Fibronectin</w:t>
      </w:r>
    </w:p>
    <w:p w14:paraId="75310B6A" w14:textId="3C727555" w:rsidR="00EE02E2" w:rsidRDefault="001270A1" w:rsidP="00D06B57">
      <w:pPr>
        <w:spacing w:line="360" w:lineRule="auto"/>
        <w:ind w:left="720"/>
        <w:jc w:val="both"/>
        <w:rPr>
          <w:rFonts w:ascii="Times New Roman" w:hAnsi="Times New Roman" w:cs="Times New Roman"/>
        </w:rPr>
      </w:pPr>
      <w:r w:rsidRPr="004975E3">
        <w:rPr>
          <w:rFonts w:ascii="Times New Roman" w:hAnsi="Times New Roman" w:cs="Times New Roman"/>
        </w:rPr>
        <w:t xml:space="preserve">1 µg/mL fibronectin </w:t>
      </w:r>
    </w:p>
    <w:p w14:paraId="0E0C1938" w14:textId="01303CEF" w:rsidR="00D06B57" w:rsidRPr="00EE02E2" w:rsidRDefault="00D06B57" w:rsidP="00D06B57">
      <w:pPr>
        <w:spacing w:line="360" w:lineRule="auto"/>
        <w:ind w:left="720"/>
        <w:jc w:val="both"/>
        <w:rPr>
          <w:rFonts w:ascii="Times New Roman" w:hAnsi="Times New Roman" w:cs="Times New Roman"/>
        </w:rPr>
      </w:pPr>
      <w:r>
        <w:rPr>
          <w:rFonts w:ascii="Times New Roman" w:hAnsi="Times New Roman" w:cs="Times New Roman"/>
        </w:rPr>
        <w:t>in 1 x PBS</w:t>
      </w:r>
    </w:p>
    <w:p w14:paraId="2B1DBCF0" w14:textId="77777777" w:rsidR="00EE02E2" w:rsidRDefault="00EE02E2" w:rsidP="001270A1">
      <w:pPr>
        <w:spacing w:line="360" w:lineRule="auto"/>
        <w:rPr>
          <w:rFonts w:ascii="Times New Roman" w:hAnsi="Times New Roman" w:cs="Times New Roman"/>
          <w:b/>
          <w:lang w:val="en-GB"/>
        </w:rPr>
      </w:pPr>
    </w:p>
    <w:p w14:paraId="0CC21D26" w14:textId="0DBAAA54" w:rsidR="00771DCA" w:rsidRDefault="009D7D8E" w:rsidP="001270A1">
      <w:pPr>
        <w:spacing w:line="360" w:lineRule="auto"/>
        <w:rPr>
          <w:rFonts w:ascii="Times New Roman" w:hAnsi="Times New Roman" w:cs="Times New Roman"/>
          <w:b/>
          <w:lang w:val="en-GB"/>
        </w:rPr>
      </w:pPr>
      <w:r>
        <w:rPr>
          <w:rFonts w:ascii="Times New Roman" w:hAnsi="Times New Roman" w:cs="Times New Roman"/>
          <w:b/>
          <w:lang w:val="en-GB"/>
        </w:rPr>
        <w:t>Proliferation media</w:t>
      </w:r>
    </w:p>
    <w:p w14:paraId="3F718438" w14:textId="77777777" w:rsidR="009D7D8E" w:rsidRDefault="001270A1" w:rsidP="009D7D8E">
      <w:pPr>
        <w:spacing w:line="360" w:lineRule="auto"/>
        <w:ind w:left="720"/>
        <w:rPr>
          <w:rFonts w:ascii="Times New Roman" w:hAnsi="Times New Roman" w:cs="Times New Roman"/>
        </w:rPr>
      </w:pPr>
      <w:r w:rsidRPr="004975E3">
        <w:rPr>
          <w:rFonts w:ascii="Times New Roman" w:hAnsi="Times New Roman" w:cs="Times New Roman"/>
        </w:rPr>
        <w:t>Dulbecco's Modified Eagle Medium/Nutrient Mixture F-12 (DMEM/F12) GlutaMAX</w:t>
      </w:r>
      <w:r w:rsidRPr="004975E3">
        <w:rPr>
          <w:rFonts w:ascii="Times New Roman" w:hAnsi="Times New Roman" w:cs="Times New Roman"/>
          <w:vertAlign w:val="superscript"/>
        </w:rPr>
        <w:t>TM</w:t>
      </w:r>
      <w:r w:rsidRPr="004975E3">
        <w:rPr>
          <w:rFonts w:ascii="Times New Roman" w:hAnsi="Times New Roman" w:cs="Times New Roman"/>
        </w:rPr>
        <w:t xml:space="preserve">  supplement medium </w:t>
      </w:r>
    </w:p>
    <w:p w14:paraId="49B074F9" w14:textId="77777777" w:rsidR="009D7D8E" w:rsidRDefault="009D7D8E" w:rsidP="009D7D8E">
      <w:pPr>
        <w:spacing w:line="360" w:lineRule="auto"/>
        <w:ind w:left="720"/>
        <w:rPr>
          <w:rFonts w:ascii="Times New Roman" w:hAnsi="Times New Roman" w:cs="Times New Roman"/>
        </w:rPr>
      </w:pPr>
      <w:r>
        <w:rPr>
          <w:rFonts w:ascii="Times New Roman" w:hAnsi="Times New Roman" w:cs="Times New Roman"/>
        </w:rPr>
        <w:t>1%</w:t>
      </w:r>
      <w:r w:rsidR="001270A1" w:rsidRPr="004975E3">
        <w:rPr>
          <w:rFonts w:ascii="Times New Roman" w:hAnsi="Times New Roman" w:cs="Times New Roman"/>
        </w:rPr>
        <w:t xml:space="preserve"> N2 supplement-100X (Life Technologies, Grand Island NY, USA) </w:t>
      </w:r>
    </w:p>
    <w:p w14:paraId="4960BC73" w14:textId="1C85C23B" w:rsidR="001270A1" w:rsidRDefault="001270A1" w:rsidP="009D7D8E">
      <w:pPr>
        <w:spacing w:line="360" w:lineRule="auto"/>
        <w:ind w:left="720"/>
        <w:rPr>
          <w:rFonts w:ascii="Times New Roman" w:hAnsi="Times New Roman" w:cs="Times New Roman"/>
        </w:rPr>
      </w:pPr>
      <w:r w:rsidRPr="004975E3">
        <w:rPr>
          <w:rFonts w:ascii="Times New Roman" w:hAnsi="Times New Roman" w:cs="Times New Roman"/>
        </w:rPr>
        <w:t>40 ng/mL human recombinant basic fibroblast growth factor (bFGF) (Gibco</w:t>
      </w:r>
      <w:r w:rsidRPr="004975E3">
        <w:rPr>
          <w:rFonts w:ascii="Times New Roman" w:hAnsi="Times New Roman" w:cs="Times New Roman"/>
          <w:vertAlign w:val="superscript"/>
        </w:rPr>
        <w:t>®</w:t>
      </w:r>
      <w:r w:rsidRPr="004975E3">
        <w:rPr>
          <w:rFonts w:ascii="Times New Roman" w:hAnsi="Times New Roman" w:cs="Times New Roman"/>
        </w:rPr>
        <w:t>, Life Technologies, Grand Island NY, USA</w:t>
      </w:r>
    </w:p>
    <w:p w14:paraId="0A701148" w14:textId="77777777" w:rsidR="009D7D8E" w:rsidRDefault="009D7D8E" w:rsidP="009D7D8E">
      <w:pPr>
        <w:spacing w:line="360" w:lineRule="auto"/>
        <w:rPr>
          <w:rFonts w:ascii="Times New Roman" w:hAnsi="Times New Roman" w:cs="Times New Roman"/>
        </w:rPr>
      </w:pPr>
    </w:p>
    <w:p w14:paraId="0853B294" w14:textId="4684F87B" w:rsidR="009D7D8E" w:rsidRDefault="009D7D8E" w:rsidP="009D7D8E">
      <w:pPr>
        <w:spacing w:line="360" w:lineRule="auto"/>
        <w:rPr>
          <w:rFonts w:ascii="Times New Roman" w:hAnsi="Times New Roman" w:cs="Times New Roman"/>
          <w:b/>
        </w:rPr>
      </w:pPr>
      <w:r>
        <w:rPr>
          <w:rFonts w:ascii="Times New Roman" w:hAnsi="Times New Roman" w:cs="Times New Roman"/>
          <w:b/>
        </w:rPr>
        <w:t>Differentiation media</w:t>
      </w:r>
    </w:p>
    <w:p w14:paraId="0DF68CD1" w14:textId="2968396E" w:rsidR="009D7D8E" w:rsidRPr="00FB13DD" w:rsidRDefault="009D7D8E" w:rsidP="009D7D8E">
      <w:pPr>
        <w:spacing w:line="360" w:lineRule="auto"/>
        <w:ind w:left="720"/>
        <w:rPr>
          <w:rFonts w:ascii="Times New Roman" w:hAnsi="Times New Roman" w:cs="Times New Roman"/>
        </w:rPr>
      </w:pPr>
      <w:r>
        <w:rPr>
          <w:rFonts w:ascii="Times New Roman" w:hAnsi="Times New Roman" w:cs="Times New Roman"/>
        </w:rPr>
        <w:t xml:space="preserve">Dulbecco’s Modified Eagle Medium/Nutrient Mixture F-12 (DMEM/F12) </w:t>
      </w:r>
      <w:r w:rsidRPr="004975E3">
        <w:rPr>
          <w:rFonts w:ascii="Times New Roman" w:hAnsi="Times New Roman" w:cs="Times New Roman"/>
        </w:rPr>
        <w:t>GlutaMAX</w:t>
      </w:r>
      <w:r w:rsidRPr="004975E3">
        <w:rPr>
          <w:rFonts w:ascii="Times New Roman" w:hAnsi="Times New Roman" w:cs="Times New Roman"/>
          <w:vertAlign w:val="superscript"/>
        </w:rPr>
        <w:t>TM</w:t>
      </w:r>
      <w:r>
        <w:rPr>
          <w:rFonts w:ascii="Times New Roman" w:hAnsi="Times New Roman" w:cs="Times New Roman"/>
          <w:vertAlign w:val="superscript"/>
        </w:rPr>
        <w:t xml:space="preserve"> </w:t>
      </w:r>
      <w:r>
        <w:rPr>
          <w:rFonts w:ascii="Times New Roman" w:hAnsi="Times New Roman" w:cs="Times New Roman"/>
        </w:rPr>
        <w:t xml:space="preserve"> supplement medium (</w:t>
      </w:r>
      <w:r w:rsidR="00FB13DD">
        <w:rPr>
          <w:rFonts w:ascii="Times New Roman" w:hAnsi="Times New Roman" w:cs="Times New Roman"/>
        </w:rPr>
        <w:t>3.5g/L, with phenol red)</w:t>
      </w:r>
    </w:p>
    <w:p w14:paraId="60BBA2B3" w14:textId="35D4CFC2" w:rsidR="009D7D8E" w:rsidRDefault="009D7D8E" w:rsidP="009D7D8E">
      <w:pPr>
        <w:spacing w:line="360" w:lineRule="auto"/>
        <w:ind w:left="720"/>
        <w:rPr>
          <w:rFonts w:ascii="Times New Roman" w:hAnsi="Times New Roman" w:cs="Times New Roman"/>
        </w:rPr>
      </w:pPr>
      <w:r>
        <w:rPr>
          <w:rFonts w:ascii="Times New Roman" w:hAnsi="Times New Roman" w:cs="Times New Roman"/>
        </w:rPr>
        <w:t>1% N2 supplement</w:t>
      </w:r>
    </w:p>
    <w:p w14:paraId="66F72663" w14:textId="77777777" w:rsidR="009D7D8E" w:rsidRDefault="009D7D8E" w:rsidP="009D7D8E">
      <w:pPr>
        <w:spacing w:line="360" w:lineRule="auto"/>
        <w:ind w:left="720"/>
        <w:rPr>
          <w:rFonts w:ascii="Times New Roman" w:hAnsi="Times New Roman" w:cs="Times New Roman"/>
        </w:rPr>
      </w:pPr>
      <w:r w:rsidRPr="004975E3">
        <w:rPr>
          <w:rFonts w:ascii="Times New Roman" w:hAnsi="Times New Roman" w:cs="Times New Roman"/>
        </w:rPr>
        <w:t>1 µg/mL tetracycline (Sigma-Aldrich, St. Louis, MO, USA).</w:t>
      </w:r>
    </w:p>
    <w:p w14:paraId="3C71593C" w14:textId="77777777" w:rsidR="001F356C" w:rsidRDefault="001F356C" w:rsidP="00307968">
      <w:pPr>
        <w:spacing w:line="360" w:lineRule="auto"/>
        <w:rPr>
          <w:rFonts w:ascii="Times New Roman" w:hAnsi="Times New Roman" w:cs="Times New Roman"/>
        </w:rPr>
      </w:pPr>
    </w:p>
    <w:p w14:paraId="5562C40A" w14:textId="77777777" w:rsidR="003E7BDB" w:rsidRDefault="003E7BDB" w:rsidP="00307968">
      <w:pPr>
        <w:spacing w:line="360" w:lineRule="auto"/>
        <w:rPr>
          <w:rFonts w:ascii="Times New Roman" w:hAnsi="Times New Roman" w:cs="Times New Roman"/>
          <w:b/>
        </w:rPr>
      </w:pPr>
    </w:p>
    <w:p w14:paraId="4907A633" w14:textId="77777777" w:rsidR="003E7BDB" w:rsidRDefault="003E7BDB" w:rsidP="00307968">
      <w:pPr>
        <w:spacing w:line="360" w:lineRule="auto"/>
        <w:rPr>
          <w:rFonts w:ascii="Times New Roman" w:hAnsi="Times New Roman" w:cs="Times New Roman"/>
          <w:b/>
        </w:rPr>
      </w:pPr>
    </w:p>
    <w:p w14:paraId="457FC1F4" w14:textId="77777777" w:rsidR="003E7BDB" w:rsidRDefault="003E7BDB" w:rsidP="00307968">
      <w:pPr>
        <w:spacing w:line="360" w:lineRule="auto"/>
        <w:rPr>
          <w:rFonts w:ascii="Times New Roman" w:hAnsi="Times New Roman" w:cs="Times New Roman"/>
          <w:b/>
        </w:rPr>
      </w:pPr>
    </w:p>
    <w:p w14:paraId="3E6AFEAA" w14:textId="77777777" w:rsidR="009D7D8E" w:rsidRDefault="001F356C" w:rsidP="00307968">
      <w:pPr>
        <w:spacing w:line="360" w:lineRule="auto"/>
        <w:rPr>
          <w:rFonts w:ascii="Times New Roman" w:hAnsi="Times New Roman" w:cs="Times New Roman"/>
          <w:b/>
        </w:rPr>
      </w:pPr>
      <w:r>
        <w:rPr>
          <w:rFonts w:ascii="Times New Roman" w:hAnsi="Times New Roman" w:cs="Times New Roman"/>
          <w:b/>
        </w:rPr>
        <w:t xml:space="preserve">LUHMES </w:t>
      </w:r>
      <w:r w:rsidR="00CE4A32">
        <w:rPr>
          <w:rFonts w:ascii="Times New Roman" w:hAnsi="Times New Roman" w:cs="Times New Roman"/>
          <w:b/>
        </w:rPr>
        <w:t>cryopreservation</w:t>
      </w:r>
      <w:r>
        <w:rPr>
          <w:rFonts w:ascii="Times New Roman" w:hAnsi="Times New Roman" w:cs="Times New Roman"/>
          <w:b/>
        </w:rPr>
        <w:t xml:space="preserve"> media </w:t>
      </w:r>
    </w:p>
    <w:p w14:paraId="04FFAEC6" w14:textId="77777777" w:rsidR="009D7D8E" w:rsidRDefault="009D7D8E" w:rsidP="009D7D8E">
      <w:pPr>
        <w:spacing w:line="360" w:lineRule="auto"/>
        <w:ind w:left="720"/>
        <w:rPr>
          <w:rFonts w:ascii="Times New Roman" w:hAnsi="Times New Roman" w:cs="Times New Roman"/>
        </w:rPr>
      </w:pPr>
      <w:r>
        <w:rPr>
          <w:rFonts w:ascii="Times New Roman" w:hAnsi="Times New Roman" w:cs="Times New Roman"/>
        </w:rPr>
        <w:t>70% Advanced DMEM media</w:t>
      </w:r>
    </w:p>
    <w:p w14:paraId="6BD16950" w14:textId="77777777" w:rsidR="009D7D8E" w:rsidRDefault="009D7D8E" w:rsidP="009D7D8E">
      <w:pPr>
        <w:spacing w:line="360" w:lineRule="auto"/>
        <w:ind w:left="720"/>
        <w:rPr>
          <w:rFonts w:ascii="Times New Roman" w:hAnsi="Times New Roman" w:cs="Times New Roman"/>
        </w:rPr>
      </w:pPr>
      <w:r>
        <w:rPr>
          <w:rFonts w:ascii="Times New Roman" w:hAnsi="Times New Roman" w:cs="Times New Roman"/>
        </w:rPr>
        <w:t xml:space="preserve">10% FBS </w:t>
      </w:r>
    </w:p>
    <w:p w14:paraId="63793613" w14:textId="5EA488A9" w:rsidR="001F356C" w:rsidRDefault="001F356C" w:rsidP="009D7D8E">
      <w:pPr>
        <w:spacing w:line="360" w:lineRule="auto"/>
        <w:ind w:left="720"/>
        <w:rPr>
          <w:rFonts w:ascii="Times New Roman" w:hAnsi="Times New Roman" w:cs="Times New Roman"/>
        </w:rPr>
      </w:pPr>
      <w:r>
        <w:rPr>
          <w:rFonts w:ascii="Times New Roman" w:hAnsi="Times New Roman" w:cs="Times New Roman"/>
        </w:rPr>
        <w:t>20% DMSO</w:t>
      </w:r>
    </w:p>
    <w:p w14:paraId="018ABA44" w14:textId="77777777" w:rsidR="00120C25" w:rsidRDefault="00120C25" w:rsidP="00120C25">
      <w:bookmarkStart w:id="500" w:name="_Toc328301107"/>
      <w:bookmarkStart w:id="501" w:name="_Toc329593401"/>
    </w:p>
    <w:p w14:paraId="46A25FDD" w14:textId="2DEEDB4A" w:rsidR="009D7D8E" w:rsidRPr="00EB4F0E" w:rsidRDefault="009D7D8E" w:rsidP="009D7D8E">
      <w:pPr>
        <w:pStyle w:val="Heading3"/>
        <w:rPr>
          <w:u w:val="single"/>
        </w:rPr>
      </w:pPr>
      <w:bookmarkStart w:id="502" w:name="_Toc331425900"/>
      <w:bookmarkStart w:id="503" w:name="_Toc331427087"/>
      <w:bookmarkStart w:id="504" w:name="_Toc331427459"/>
      <w:bookmarkStart w:id="505" w:name="_Toc331427601"/>
      <w:bookmarkStart w:id="506" w:name="_Toc332972605"/>
      <w:bookmarkStart w:id="507" w:name="_Toc333046884"/>
      <w:bookmarkStart w:id="508" w:name="_Toc333477231"/>
      <w:bookmarkStart w:id="509" w:name="_Toc333478001"/>
      <w:bookmarkStart w:id="510" w:name="_Toc333644901"/>
      <w:r w:rsidRPr="00EB4F0E">
        <w:rPr>
          <w:u w:val="single"/>
        </w:rPr>
        <w:t>2.1.2 Biochemicals</w:t>
      </w:r>
      <w:bookmarkEnd w:id="500"/>
      <w:bookmarkEnd w:id="501"/>
      <w:bookmarkEnd w:id="502"/>
      <w:bookmarkEnd w:id="503"/>
      <w:bookmarkEnd w:id="504"/>
      <w:bookmarkEnd w:id="505"/>
      <w:bookmarkEnd w:id="506"/>
      <w:bookmarkEnd w:id="507"/>
      <w:bookmarkEnd w:id="508"/>
      <w:bookmarkEnd w:id="509"/>
      <w:bookmarkEnd w:id="510"/>
    </w:p>
    <w:p w14:paraId="3CDB6FE7" w14:textId="77777777" w:rsidR="001270A1" w:rsidRPr="004975E3" w:rsidRDefault="001270A1" w:rsidP="001270A1">
      <w:pPr>
        <w:spacing w:line="360" w:lineRule="auto"/>
        <w:rPr>
          <w:rFonts w:ascii="Times New Roman" w:hAnsi="Times New Roman" w:cs="Times New Roman"/>
          <w:lang w:val="en-GB"/>
        </w:rPr>
      </w:pPr>
    </w:p>
    <w:p w14:paraId="56D14DE2" w14:textId="17E89ECD" w:rsidR="0085074F" w:rsidRPr="007E7341" w:rsidRDefault="009D7D8E" w:rsidP="007E7341">
      <w:pPr>
        <w:pStyle w:val="NoSpacing"/>
        <w:rPr>
          <w:rFonts w:ascii="Times New Roman" w:hAnsi="Times New Roman" w:cs="Times New Roman"/>
          <w:b/>
        </w:rPr>
      </w:pPr>
      <w:bookmarkStart w:id="511" w:name="_Toc262895397"/>
      <w:bookmarkStart w:id="512" w:name="_Toc328301108"/>
      <w:bookmarkStart w:id="513" w:name="_Toc329593402"/>
      <w:bookmarkStart w:id="514" w:name="_Toc331425901"/>
      <w:r w:rsidRPr="007E7341">
        <w:rPr>
          <w:rFonts w:ascii="Times New Roman" w:hAnsi="Times New Roman" w:cs="Times New Roman"/>
          <w:b/>
        </w:rPr>
        <w:t xml:space="preserve">a) </w:t>
      </w:r>
      <w:r w:rsidR="0085074F" w:rsidRPr="007E7341">
        <w:rPr>
          <w:rFonts w:ascii="Times New Roman" w:hAnsi="Times New Roman" w:cs="Times New Roman"/>
          <w:b/>
        </w:rPr>
        <w:t>Protein extraction and bicinchoninic acid (BCA) protein assay</w:t>
      </w:r>
      <w:bookmarkEnd w:id="511"/>
      <w:bookmarkEnd w:id="512"/>
      <w:bookmarkEnd w:id="513"/>
      <w:bookmarkEnd w:id="514"/>
    </w:p>
    <w:p w14:paraId="36A5C8EB" w14:textId="77777777" w:rsidR="0085074F" w:rsidRPr="004975E3" w:rsidRDefault="0085074F" w:rsidP="001270A1">
      <w:pPr>
        <w:spacing w:line="360" w:lineRule="auto"/>
        <w:rPr>
          <w:rFonts w:ascii="Times New Roman" w:hAnsi="Times New Roman" w:cs="Times New Roman"/>
          <w:lang w:val="en-GB"/>
        </w:rPr>
      </w:pPr>
    </w:p>
    <w:p w14:paraId="51177DF5" w14:textId="77777777" w:rsidR="009D7D8E" w:rsidRDefault="0085074F" w:rsidP="001270A1">
      <w:pPr>
        <w:spacing w:line="360" w:lineRule="auto"/>
        <w:rPr>
          <w:rFonts w:ascii="Times New Roman" w:hAnsi="Times New Roman" w:cs="Times New Roman"/>
          <w:b/>
          <w:lang w:val="en-GB"/>
        </w:rPr>
      </w:pPr>
      <w:r w:rsidRPr="004975E3">
        <w:rPr>
          <w:rFonts w:ascii="Times New Roman" w:hAnsi="Times New Roman" w:cs="Times New Roman"/>
          <w:b/>
          <w:lang w:val="en-GB"/>
        </w:rPr>
        <w:t xml:space="preserve">Extra strong lysis (XSLB) </w:t>
      </w:r>
    </w:p>
    <w:p w14:paraId="14DFFD74" w14:textId="6EB5B005" w:rsidR="009D7D8E" w:rsidRDefault="00056AD7" w:rsidP="009D7D8E">
      <w:pPr>
        <w:spacing w:line="360" w:lineRule="auto"/>
        <w:ind w:left="720"/>
        <w:rPr>
          <w:rFonts w:ascii="Times New Roman" w:hAnsi="Times New Roman" w:cs="Times New Roman"/>
          <w:color w:val="000000" w:themeColor="text1"/>
          <w:lang w:val="en-GB"/>
        </w:rPr>
      </w:pPr>
      <w:r>
        <w:rPr>
          <w:rFonts w:ascii="Times New Roman" w:hAnsi="Times New Roman" w:cs="Times New Roman"/>
          <w:color w:val="000000" w:themeColor="text1"/>
          <w:lang w:val="en-GB"/>
        </w:rPr>
        <w:t>10</w:t>
      </w:r>
      <w:r w:rsidR="009D7D8E">
        <w:rPr>
          <w:rFonts w:ascii="Times New Roman" w:hAnsi="Times New Roman" w:cs="Times New Roman"/>
          <w:color w:val="000000" w:themeColor="text1"/>
          <w:lang w:val="en-GB"/>
        </w:rPr>
        <w:t>mM Tris-HCL (pH 7.5)</w:t>
      </w:r>
    </w:p>
    <w:p w14:paraId="081FCDF5" w14:textId="77777777" w:rsidR="009D7D8E" w:rsidRDefault="0085074F" w:rsidP="009D7D8E">
      <w:pPr>
        <w:spacing w:line="360" w:lineRule="auto"/>
        <w:ind w:left="1440"/>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0.5% (w/v)</w:t>
      </w:r>
      <w:r w:rsidR="009D7D8E">
        <w:rPr>
          <w:rFonts w:ascii="Times New Roman" w:hAnsi="Times New Roman" w:cs="Times New Roman"/>
          <w:color w:val="000000" w:themeColor="text1"/>
          <w:lang w:val="en-GB"/>
        </w:rPr>
        <w:t xml:space="preserve"> sodium dodecyl sulphate (SDS)</w:t>
      </w:r>
    </w:p>
    <w:p w14:paraId="0996A854" w14:textId="77777777" w:rsidR="009D7D8E" w:rsidRDefault="009D7D8E" w:rsidP="009D7D8E">
      <w:pPr>
        <w:spacing w:line="360" w:lineRule="auto"/>
        <w:ind w:left="1440"/>
        <w:rPr>
          <w:rFonts w:ascii="Times New Roman" w:hAnsi="Times New Roman" w:cs="Times New Roman"/>
          <w:color w:val="000000" w:themeColor="text1"/>
          <w:lang w:val="en-GB"/>
        </w:rPr>
      </w:pPr>
      <w:r>
        <w:rPr>
          <w:rFonts w:ascii="Times New Roman" w:hAnsi="Times New Roman" w:cs="Times New Roman"/>
          <w:color w:val="000000" w:themeColor="text1"/>
          <w:lang w:val="en-GB"/>
        </w:rPr>
        <w:t>0.5% (w/v) sodium deoxycholate</w:t>
      </w:r>
    </w:p>
    <w:p w14:paraId="4E60CAB3" w14:textId="77777777" w:rsidR="009D7D8E" w:rsidRDefault="0085074F" w:rsidP="009D7D8E">
      <w:pPr>
        <w:spacing w:line="360" w:lineRule="auto"/>
        <w:ind w:left="1440"/>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1% (v/v) Trit</w:t>
      </w:r>
      <w:r w:rsidR="009D7D8E">
        <w:rPr>
          <w:rFonts w:ascii="Times New Roman" w:hAnsi="Times New Roman" w:cs="Times New Roman"/>
          <w:color w:val="000000" w:themeColor="text1"/>
          <w:lang w:val="en-GB"/>
        </w:rPr>
        <w:t>on X-100, 75mM sodium chloride</w:t>
      </w:r>
    </w:p>
    <w:p w14:paraId="4C5DBEAD" w14:textId="77777777" w:rsidR="009D7D8E" w:rsidRDefault="0085074F" w:rsidP="009D7D8E">
      <w:pPr>
        <w:spacing w:line="360" w:lineRule="auto"/>
        <w:ind w:left="1440"/>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10mM e</w:t>
      </w:r>
      <w:r w:rsidR="009D7D8E">
        <w:rPr>
          <w:rFonts w:ascii="Times New Roman" w:hAnsi="Times New Roman" w:cs="Times New Roman"/>
          <w:color w:val="000000" w:themeColor="text1"/>
          <w:lang w:val="en-GB"/>
        </w:rPr>
        <w:t>thylenediaminetetraacetic acid</w:t>
      </w:r>
    </w:p>
    <w:p w14:paraId="149CAAF3" w14:textId="77777777" w:rsidR="009D7D8E" w:rsidRDefault="0085074F" w:rsidP="009D7D8E">
      <w:pPr>
        <w:spacing w:line="360" w:lineRule="auto"/>
        <w:ind w:left="1440"/>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2mM sodium orthovanadate</w:t>
      </w:r>
    </w:p>
    <w:p w14:paraId="209782D4" w14:textId="77777777" w:rsidR="009D7D8E" w:rsidRDefault="009D7D8E" w:rsidP="009D7D8E">
      <w:pPr>
        <w:spacing w:line="360" w:lineRule="auto"/>
        <w:ind w:left="1440"/>
        <w:rPr>
          <w:rFonts w:ascii="Times New Roman" w:hAnsi="Times New Roman" w:cs="Times New Roman"/>
          <w:color w:val="000000" w:themeColor="text1"/>
          <w:lang w:val="en-GB"/>
        </w:rPr>
      </w:pPr>
      <w:r>
        <w:rPr>
          <w:rFonts w:ascii="Times New Roman" w:hAnsi="Times New Roman" w:cs="Times New Roman"/>
          <w:color w:val="000000" w:themeColor="text1"/>
          <w:lang w:val="en-GB"/>
        </w:rPr>
        <w:t xml:space="preserve">1.25mM sodium fluoride </w:t>
      </w:r>
    </w:p>
    <w:p w14:paraId="461ED265" w14:textId="0DB84995" w:rsidR="009D7D8E" w:rsidRDefault="009D7D8E" w:rsidP="009D7D8E">
      <w:pPr>
        <w:spacing w:line="360" w:lineRule="auto"/>
        <w:ind w:left="720"/>
        <w:rPr>
          <w:rFonts w:ascii="Times New Roman" w:hAnsi="Times New Roman" w:cs="Times New Roman"/>
          <w:color w:val="FF0000"/>
          <w:lang w:val="en-GB"/>
        </w:rPr>
      </w:pPr>
      <w:r>
        <w:rPr>
          <w:rFonts w:ascii="Times New Roman" w:hAnsi="Times New Roman" w:cs="Times New Roman"/>
          <w:color w:val="000000" w:themeColor="text1"/>
          <w:lang w:val="en-GB"/>
        </w:rPr>
        <w:t xml:space="preserve"> P</w:t>
      </w:r>
      <w:r w:rsidR="0085074F" w:rsidRPr="004975E3">
        <w:rPr>
          <w:rFonts w:ascii="Times New Roman" w:hAnsi="Times New Roman" w:cs="Times New Roman"/>
          <w:color w:val="000000" w:themeColor="text1"/>
          <w:lang w:val="en-GB"/>
        </w:rPr>
        <w:t>rotease inhibitor cockt</w:t>
      </w:r>
      <w:r w:rsidR="00EE02E2">
        <w:rPr>
          <w:rFonts w:ascii="Times New Roman" w:hAnsi="Times New Roman" w:cs="Times New Roman"/>
          <w:color w:val="000000" w:themeColor="text1"/>
          <w:lang w:val="en-GB"/>
        </w:rPr>
        <w:t>ail (PIC) for mammalian tissues</w:t>
      </w:r>
      <w:r>
        <w:rPr>
          <w:rFonts w:ascii="Times New Roman" w:hAnsi="Times New Roman" w:cs="Times New Roman"/>
          <w:color w:val="000000" w:themeColor="text1"/>
          <w:lang w:val="en-GB"/>
        </w:rPr>
        <w:t xml:space="preserve"> (1 tablet/ 10ml of XSLB) (Roche</w:t>
      </w:r>
      <w:r w:rsidR="00FB13DD">
        <w:rPr>
          <w:rFonts w:ascii="Times New Roman" w:hAnsi="Times New Roman" w:cs="Times New Roman"/>
          <w:lang w:val="en-GB"/>
        </w:rPr>
        <w:t>, Mannheim, Germany)</w:t>
      </w:r>
      <w:r>
        <w:rPr>
          <w:rFonts w:ascii="Times New Roman" w:hAnsi="Times New Roman" w:cs="Times New Roman"/>
          <w:color w:val="000000" w:themeColor="text1"/>
          <w:lang w:val="en-GB"/>
        </w:rPr>
        <w:t xml:space="preserve"> </w:t>
      </w:r>
    </w:p>
    <w:p w14:paraId="1119B5D7" w14:textId="2F9279DB" w:rsidR="0085074F" w:rsidRPr="004975E3" w:rsidRDefault="00EE02E2" w:rsidP="009D7D8E">
      <w:pPr>
        <w:spacing w:line="360" w:lineRule="auto"/>
        <w:ind w:left="720"/>
        <w:rPr>
          <w:rFonts w:ascii="Times New Roman" w:hAnsi="Times New Roman" w:cs="Times New Roman"/>
          <w:color w:val="000000" w:themeColor="text1"/>
          <w:lang w:val="en-GB"/>
        </w:rPr>
      </w:pPr>
      <w:r>
        <w:rPr>
          <w:rFonts w:ascii="Times New Roman" w:hAnsi="Times New Roman" w:cs="Times New Roman"/>
          <w:color w:val="000000" w:themeColor="text1"/>
          <w:lang w:val="en-GB"/>
        </w:rPr>
        <w:t xml:space="preserve"> </w:t>
      </w:r>
      <w:r w:rsidR="00AB2492" w:rsidRPr="00AB2492">
        <w:rPr>
          <w:rFonts w:ascii="Times New Roman" w:hAnsi="Times New Roman" w:cs="Times New Roman"/>
        </w:rPr>
        <w:t>Phosphatase inhibitor tab</w:t>
      </w:r>
      <w:r w:rsidR="009D7D8E">
        <w:rPr>
          <w:rFonts w:ascii="Times New Roman" w:hAnsi="Times New Roman" w:cs="Times New Roman"/>
        </w:rPr>
        <w:t>lets (PhosSTOP™) (1 tablet used/ 10ml XSLB</w:t>
      </w:r>
      <w:r w:rsidR="00AB2492" w:rsidRPr="00AB2492">
        <w:rPr>
          <w:rFonts w:ascii="Times New Roman" w:hAnsi="Times New Roman" w:cs="Times New Roman"/>
        </w:rPr>
        <w:t xml:space="preserve">) </w:t>
      </w:r>
      <w:r w:rsidR="009D7D8E">
        <w:rPr>
          <w:rFonts w:ascii="Times New Roman" w:hAnsi="Times New Roman" w:cs="Times New Roman"/>
        </w:rPr>
        <w:t>(</w:t>
      </w:r>
      <w:r w:rsidR="00AB2492" w:rsidRPr="00AB2492">
        <w:rPr>
          <w:rFonts w:ascii="Times New Roman" w:hAnsi="Times New Roman" w:cs="Times New Roman"/>
        </w:rPr>
        <w:t>Roche</w:t>
      </w:r>
      <w:r w:rsidR="00FB13DD">
        <w:rPr>
          <w:rFonts w:ascii="Times New Roman" w:hAnsi="Times New Roman" w:cs="Times New Roman"/>
          <w:lang w:val="en-GB"/>
        </w:rPr>
        <w:t>, Mannheim, Germany)</w:t>
      </w:r>
      <w:r w:rsidR="00FB13DD">
        <w:rPr>
          <w:rFonts w:ascii="Times New Roman" w:hAnsi="Times New Roman" w:cs="Times New Roman"/>
          <w:color w:val="000000" w:themeColor="text1"/>
          <w:lang w:val="en-GB"/>
        </w:rPr>
        <w:t xml:space="preserve"> </w:t>
      </w:r>
      <w:r w:rsidR="009D7D8E">
        <w:rPr>
          <w:rFonts w:ascii="Times New Roman" w:hAnsi="Times New Roman" w:cs="Times New Roman"/>
        </w:rPr>
        <w:t xml:space="preserve"> </w:t>
      </w:r>
    </w:p>
    <w:p w14:paraId="2261C41C" w14:textId="77777777" w:rsidR="0085074F" w:rsidRPr="004975E3" w:rsidRDefault="0085074F" w:rsidP="001270A1">
      <w:pPr>
        <w:spacing w:line="360" w:lineRule="auto"/>
        <w:rPr>
          <w:rFonts w:ascii="Times New Roman" w:hAnsi="Times New Roman" w:cs="Times New Roman"/>
          <w:b/>
          <w:lang w:val="en-GB"/>
        </w:rPr>
      </w:pPr>
    </w:p>
    <w:p w14:paraId="285D335A" w14:textId="77777777" w:rsidR="009D7D8E" w:rsidRDefault="0085074F" w:rsidP="001270A1">
      <w:pPr>
        <w:spacing w:line="360" w:lineRule="auto"/>
        <w:rPr>
          <w:rFonts w:ascii="Times New Roman" w:hAnsi="Times New Roman" w:cs="Times New Roman"/>
          <w:color w:val="548DD4" w:themeColor="text2" w:themeTint="99"/>
          <w:lang w:val="en-GB"/>
        </w:rPr>
      </w:pPr>
      <w:r w:rsidRPr="004975E3">
        <w:rPr>
          <w:rFonts w:ascii="Times New Roman" w:hAnsi="Times New Roman" w:cs="Times New Roman"/>
          <w:b/>
          <w:lang w:val="en-GB"/>
        </w:rPr>
        <w:t>B</w:t>
      </w:r>
      <w:r w:rsidR="009D7D8E">
        <w:rPr>
          <w:rFonts w:ascii="Times New Roman" w:hAnsi="Times New Roman" w:cs="Times New Roman"/>
          <w:b/>
          <w:lang w:val="en-GB"/>
        </w:rPr>
        <w:t>ichinoic (B</w:t>
      </w:r>
      <w:r w:rsidRPr="004975E3">
        <w:rPr>
          <w:rFonts w:ascii="Times New Roman" w:hAnsi="Times New Roman" w:cs="Times New Roman"/>
          <w:b/>
          <w:lang w:val="en-GB"/>
        </w:rPr>
        <w:t>CA</w:t>
      </w:r>
      <w:r w:rsidR="009D7D8E">
        <w:rPr>
          <w:rFonts w:ascii="Times New Roman" w:hAnsi="Times New Roman" w:cs="Times New Roman"/>
          <w:b/>
          <w:lang w:val="en-GB"/>
        </w:rPr>
        <w:t>)</w:t>
      </w:r>
      <w:r w:rsidRPr="004975E3">
        <w:rPr>
          <w:rFonts w:ascii="Times New Roman" w:hAnsi="Times New Roman" w:cs="Times New Roman"/>
          <w:b/>
          <w:lang w:val="en-GB"/>
        </w:rPr>
        <w:t xml:space="preserve"> protein assay</w:t>
      </w:r>
      <w:r w:rsidRPr="004975E3">
        <w:rPr>
          <w:rFonts w:ascii="Times New Roman" w:hAnsi="Times New Roman" w:cs="Times New Roman"/>
          <w:color w:val="548DD4" w:themeColor="text2" w:themeTint="99"/>
          <w:lang w:val="en-GB"/>
        </w:rPr>
        <w:t xml:space="preserve">  </w:t>
      </w:r>
    </w:p>
    <w:p w14:paraId="1BAD3932" w14:textId="22FEBE83" w:rsidR="0085074F" w:rsidRPr="004975E3" w:rsidRDefault="0085074F" w:rsidP="009D7D8E">
      <w:pPr>
        <w:spacing w:line="360" w:lineRule="auto"/>
        <w:ind w:left="720"/>
        <w:rPr>
          <w:rFonts w:ascii="Times New Roman" w:hAnsi="Times New Roman" w:cs="Times New Roman"/>
          <w:lang w:val="en-GB"/>
        </w:rPr>
      </w:pPr>
      <w:r w:rsidRPr="004975E3">
        <w:rPr>
          <w:rFonts w:ascii="Times New Roman" w:hAnsi="Times New Roman" w:cs="Times New Roman"/>
          <w:lang w:val="en-GB"/>
        </w:rPr>
        <w:t>BCA Protein Assay Kit (</w:t>
      </w:r>
      <w:r w:rsidR="003136A3">
        <w:rPr>
          <w:rFonts w:ascii="Times New Roman" w:hAnsi="Times New Roman" w:cs="Times New Roman"/>
          <w:lang w:val="en-GB"/>
        </w:rPr>
        <w:t>ThermoFisher Scientific, Waltham, MA</w:t>
      </w:r>
      <w:r w:rsidRPr="004975E3">
        <w:rPr>
          <w:rFonts w:ascii="Times New Roman" w:hAnsi="Times New Roman" w:cs="Times New Roman"/>
          <w:lang w:val="en-GB"/>
        </w:rPr>
        <w:t>, USA)</w:t>
      </w:r>
    </w:p>
    <w:p w14:paraId="5F77F087" w14:textId="77777777" w:rsidR="0085074F" w:rsidRPr="004975E3" w:rsidRDefault="0085074F" w:rsidP="001270A1">
      <w:pPr>
        <w:spacing w:line="360" w:lineRule="auto"/>
        <w:rPr>
          <w:rFonts w:ascii="Times New Roman" w:hAnsi="Times New Roman" w:cs="Times New Roman"/>
          <w:b/>
          <w:lang w:val="en-GB"/>
        </w:rPr>
      </w:pPr>
    </w:p>
    <w:p w14:paraId="13982B9B" w14:textId="77777777" w:rsidR="009D7D8E" w:rsidRDefault="0085074F" w:rsidP="001270A1">
      <w:pPr>
        <w:spacing w:line="360" w:lineRule="auto"/>
        <w:rPr>
          <w:rFonts w:ascii="Times New Roman" w:hAnsi="Times New Roman" w:cs="Times New Roman"/>
          <w:color w:val="548DD4" w:themeColor="text2" w:themeTint="99"/>
          <w:lang w:val="en-GB"/>
        </w:rPr>
      </w:pPr>
      <w:r w:rsidRPr="004975E3">
        <w:rPr>
          <w:rFonts w:ascii="Times New Roman" w:hAnsi="Times New Roman" w:cs="Times New Roman"/>
          <w:b/>
          <w:lang w:val="en-GB"/>
        </w:rPr>
        <w:t>B</w:t>
      </w:r>
      <w:r w:rsidR="009D7D8E">
        <w:rPr>
          <w:rFonts w:ascii="Times New Roman" w:hAnsi="Times New Roman" w:cs="Times New Roman"/>
          <w:b/>
          <w:lang w:val="en-GB"/>
        </w:rPr>
        <w:t>ovine serum albumin (BSA)</w:t>
      </w:r>
      <w:r w:rsidRPr="004975E3">
        <w:rPr>
          <w:rFonts w:ascii="Times New Roman" w:hAnsi="Times New Roman" w:cs="Times New Roman"/>
          <w:b/>
          <w:lang w:val="en-GB"/>
        </w:rPr>
        <w:t xml:space="preserve"> standard</w:t>
      </w:r>
      <w:r w:rsidRPr="004975E3">
        <w:rPr>
          <w:rFonts w:ascii="Times New Roman" w:hAnsi="Times New Roman" w:cs="Times New Roman"/>
          <w:color w:val="548DD4" w:themeColor="text2" w:themeTint="99"/>
          <w:lang w:val="en-GB"/>
        </w:rPr>
        <w:t xml:space="preserve">  </w:t>
      </w:r>
    </w:p>
    <w:p w14:paraId="1753622F" w14:textId="4A184191" w:rsidR="0085074F" w:rsidRPr="00FB13DD" w:rsidRDefault="00FB13DD" w:rsidP="00FB13DD">
      <w:pPr>
        <w:spacing w:line="360" w:lineRule="auto"/>
        <w:ind w:left="720"/>
        <w:rPr>
          <w:rFonts w:ascii="Times New Roman" w:hAnsi="Times New Roman" w:cs="Times New Roman"/>
          <w:color w:val="FF0000"/>
          <w:lang w:val="en-GB"/>
        </w:rPr>
      </w:pPr>
      <w:r>
        <w:rPr>
          <w:rFonts w:ascii="Times New Roman" w:hAnsi="Times New Roman" w:cs="Times New Roman"/>
          <w:lang w:val="en-GB"/>
        </w:rPr>
        <w:t xml:space="preserve">Thermo Scientific™Pierce™ </w:t>
      </w:r>
      <w:r w:rsidR="00CC6FA8">
        <w:rPr>
          <w:rFonts w:ascii="Times New Roman" w:hAnsi="Times New Roman" w:cs="Times New Roman"/>
          <w:lang w:val="en-GB"/>
        </w:rPr>
        <w:t>Albumin</w:t>
      </w:r>
      <w:r w:rsidR="009D7D8E">
        <w:rPr>
          <w:rFonts w:ascii="Times New Roman" w:hAnsi="Times New Roman" w:cs="Times New Roman"/>
          <w:lang w:val="en-GB"/>
        </w:rPr>
        <w:t xml:space="preserve"> </w:t>
      </w:r>
      <w:r>
        <w:rPr>
          <w:rFonts w:ascii="Times New Roman" w:hAnsi="Times New Roman" w:cs="Times New Roman"/>
          <w:lang w:val="en-GB"/>
        </w:rPr>
        <w:t>standard</w:t>
      </w:r>
      <w:r w:rsidR="009D7D8E">
        <w:rPr>
          <w:rFonts w:ascii="Times New Roman" w:hAnsi="Times New Roman" w:cs="Times New Roman"/>
          <w:color w:val="FF0000"/>
          <w:lang w:val="en-GB"/>
        </w:rPr>
        <w:t xml:space="preserve"> </w:t>
      </w:r>
      <w:r w:rsidR="0085074F" w:rsidRPr="004975E3">
        <w:rPr>
          <w:rFonts w:ascii="Times New Roman" w:hAnsi="Times New Roman" w:cs="Times New Roman"/>
          <w:lang w:val="en-GB"/>
        </w:rPr>
        <w:t xml:space="preserve">(Pierce Endogen, Rockford, IL, USA) </w:t>
      </w:r>
    </w:p>
    <w:p w14:paraId="74EA5134" w14:textId="77777777" w:rsidR="0085074F" w:rsidRPr="004975E3" w:rsidRDefault="0085074F" w:rsidP="001270A1">
      <w:pPr>
        <w:spacing w:line="360" w:lineRule="auto"/>
        <w:rPr>
          <w:rFonts w:ascii="Times New Roman" w:hAnsi="Times New Roman" w:cs="Times New Roman"/>
          <w:lang w:val="en-GB"/>
        </w:rPr>
      </w:pPr>
    </w:p>
    <w:p w14:paraId="5C3A3791" w14:textId="0E4109D1" w:rsidR="0085074F" w:rsidRPr="007E7341" w:rsidRDefault="009D7D8E" w:rsidP="007E7341">
      <w:pPr>
        <w:pStyle w:val="NoSpacing"/>
        <w:rPr>
          <w:rFonts w:ascii="Times New Roman" w:hAnsi="Times New Roman" w:cs="Times New Roman"/>
          <w:b/>
        </w:rPr>
      </w:pPr>
      <w:bookmarkStart w:id="515" w:name="_Toc262895398"/>
      <w:bookmarkStart w:id="516" w:name="_Toc328301109"/>
      <w:bookmarkStart w:id="517" w:name="_Toc329593403"/>
      <w:bookmarkStart w:id="518" w:name="_Toc331425902"/>
      <w:r w:rsidRPr="007E7341">
        <w:rPr>
          <w:rFonts w:ascii="Times New Roman" w:hAnsi="Times New Roman" w:cs="Times New Roman"/>
          <w:b/>
        </w:rPr>
        <w:t xml:space="preserve">b) </w:t>
      </w:r>
      <w:r w:rsidR="00D01519" w:rsidRPr="007E7341">
        <w:rPr>
          <w:rFonts w:ascii="Times New Roman" w:hAnsi="Times New Roman" w:cs="Times New Roman"/>
          <w:b/>
        </w:rPr>
        <w:t xml:space="preserve"> </w:t>
      </w:r>
      <w:r w:rsidR="0085074F" w:rsidRPr="007E7341">
        <w:rPr>
          <w:rFonts w:ascii="Times New Roman" w:hAnsi="Times New Roman" w:cs="Times New Roman"/>
          <w:b/>
        </w:rPr>
        <w:t>Sodium Dodecyl Sulphate Polyacrylamide gel electrophoresis (SDS-PAGE)</w:t>
      </w:r>
      <w:bookmarkEnd w:id="515"/>
      <w:bookmarkEnd w:id="516"/>
      <w:bookmarkEnd w:id="517"/>
      <w:bookmarkEnd w:id="518"/>
    </w:p>
    <w:p w14:paraId="4072A34C" w14:textId="77777777" w:rsidR="0085074F" w:rsidRDefault="0085074F" w:rsidP="0085074F">
      <w:pPr>
        <w:spacing w:line="360" w:lineRule="auto"/>
        <w:jc w:val="both"/>
        <w:rPr>
          <w:rFonts w:ascii="Times New Roman" w:hAnsi="Times New Roman" w:cs="Times New Roman"/>
          <w:b/>
          <w:color w:val="548DD4" w:themeColor="text2" w:themeTint="99"/>
          <w:u w:val="single"/>
          <w:lang w:val="en-GB"/>
        </w:rPr>
      </w:pPr>
    </w:p>
    <w:p w14:paraId="17F8B454" w14:textId="7E64BA6D" w:rsidR="00A13421" w:rsidRPr="00431430" w:rsidRDefault="00431430" w:rsidP="0085074F">
      <w:pPr>
        <w:spacing w:line="360" w:lineRule="auto"/>
        <w:jc w:val="both"/>
        <w:rPr>
          <w:rFonts w:ascii="Times New Roman" w:hAnsi="Times New Roman" w:cs="Times New Roman"/>
          <w:b/>
          <w:color w:val="000000" w:themeColor="text1"/>
          <w:lang w:val="en-GB"/>
        </w:rPr>
      </w:pPr>
      <w:r>
        <w:rPr>
          <w:rFonts w:ascii="Times New Roman" w:hAnsi="Times New Roman" w:cs="Times New Roman"/>
          <w:b/>
          <w:color w:val="000000" w:themeColor="text1"/>
          <w:lang w:val="en-GB"/>
        </w:rPr>
        <w:t xml:space="preserve">30% </w:t>
      </w:r>
      <w:r w:rsidR="00A13421" w:rsidRPr="00431430">
        <w:rPr>
          <w:rFonts w:ascii="Times New Roman" w:hAnsi="Times New Roman" w:cs="Times New Roman"/>
          <w:b/>
          <w:color w:val="000000" w:themeColor="text1"/>
          <w:lang w:val="en-GB"/>
        </w:rPr>
        <w:t>Acrylamide</w:t>
      </w:r>
      <w:r>
        <w:rPr>
          <w:rFonts w:ascii="Times New Roman" w:hAnsi="Times New Roman" w:cs="Times New Roman"/>
          <w:b/>
          <w:color w:val="000000" w:themeColor="text1"/>
          <w:lang w:val="en-GB"/>
        </w:rPr>
        <w:t>/Bis solution (</w:t>
      </w:r>
      <w:r w:rsidRPr="004975E3">
        <w:rPr>
          <w:rFonts w:ascii="Times New Roman" w:hAnsi="Times New Roman" w:cs="Times New Roman"/>
          <w:lang w:val="en-GB"/>
        </w:rPr>
        <w:t>Bio-Rad Laboratories Ltd., Hertfordshire, UK</w:t>
      </w:r>
      <w:r>
        <w:rPr>
          <w:rFonts w:ascii="Times New Roman" w:hAnsi="Times New Roman" w:cs="Times New Roman"/>
          <w:lang w:val="en-GB"/>
        </w:rPr>
        <w:t>)</w:t>
      </w:r>
    </w:p>
    <w:p w14:paraId="3B2AC0B9" w14:textId="77777777" w:rsidR="00A13421" w:rsidRPr="00A13421" w:rsidRDefault="00A13421" w:rsidP="0085074F">
      <w:pPr>
        <w:spacing w:line="360" w:lineRule="auto"/>
        <w:jc w:val="both"/>
        <w:rPr>
          <w:rFonts w:ascii="Times New Roman" w:hAnsi="Times New Roman" w:cs="Times New Roman"/>
          <w:b/>
          <w:color w:val="FF0000"/>
          <w:lang w:val="en-GB"/>
        </w:rPr>
      </w:pPr>
    </w:p>
    <w:p w14:paraId="441117F8" w14:textId="6A5F2FE0" w:rsidR="00A13421" w:rsidRPr="00F51B4B" w:rsidRDefault="00A13421" w:rsidP="0085074F">
      <w:pPr>
        <w:spacing w:line="360" w:lineRule="auto"/>
        <w:jc w:val="both"/>
        <w:rPr>
          <w:rFonts w:ascii="Times New Roman" w:hAnsi="Times New Roman" w:cs="Times New Roman"/>
          <w:color w:val="000000" w:themeColor="text1"/>
          <w:lang w:val="en-GB"/>
        </w:rPr>
      </w:pPr>
      <w:r w:rsidRPr="00385E26">
        <w:rPr>
          <w:rFonts w:ascii="Times New Roman" w:hAnsi="Times New Roman" w:cs="Times New Roman"/>
          <w:b/>
          <w:color w:val="000000" w:themeColor="text1"/>
          <w:lang w:val="en-GB"/>
        </w:rPr>
        <w:t>A</w:t>
      </w:r>
      <w:r w:rsidR="00385E26">
        <w:rPr>
          <w:rFonts w:ascii="Times New Roman" w:hAnsi="Times New Roman" w:cs="Times New Roman"/>
          <w:b/>
          <w:color w:val="000000" w:themeColor="text1"/>
          <w:lang w:val="en-GB"/>
        </w:rPr>
        <w:t>mmonium Persulpha</w:t>
      </w:r>
      <w:r w:rsidR="00F51B4B">
        <w:rPr>
          <w:rFonts w:ascii="Times New Roman" w:hAnsi="Times New Roman" w:cs="Times New Roman"/>
          <w:b/>
          <w:color w:val="000000" w:themeColor="text1"/>
          <w:lang w:val="en-GB"/>
        </w:rPr>
        <w:t>t</w:t>
      </w:r>
      <w:r w:rsidR="00385E26">
        <w:rPr>
          <w:rFonts w:ascii="Times New Roman" w:hAnsi="Times New Roman" w:cs="Times New Roman"/>
          <w:b/>
          <w:color w:val="000000" w:themeColor="text1"/>
          <w:lang w:val="en-GB"/>
        </w:rPr>
        <w:t>e (APS)</w:t>
      </w:r>
      <w:r w:rsidR="00F51B4B">
        <w:rPr>
          <w:rFonts w:ascii="Times New Roman" w:hAnsi="Times New Roman" w:cs="Times New Roman"/>
          <w:b/>
          <w:color w:val="000000" w:themeColor="text1"/>
          <w:lang w:val="en-GB"/>
        </w:rPr>
        <w:t xml:space="preserve"> </w:t>
      </w:r>
      <w:r w:rsidR="00F51B4B">
        <w:rPr>
          <w:rFonts w:ascii="Times New Roman" w:hAnsi="Times New Roman" w:cs="Times New Roman"/>
          <w:color w:val="000000" w:themeColor="text1"/>
          <w:lang w:val="en-GB"/>
        </w:rPr>
        <w:t>(Cat. No- A3678)</w:t>
      </w:r>
    </w:p>
    <w:p w14:paraId="5ED16453" w14:textId="4C56E3A9" w:rsidR="00A13421" w:rsidRPr="00223CD8" w:rsidRDefault="00223CD8" w:rsidP="0085074F">
      <w:pPr>
        <w:spacing w:line="360" w:lineRule="auto"/>
        <w:jc w:val="both"/>
        <w:rPr>
          <w:rFonts w:ascii="Times New Roman" w:hAnsi="Times New Roman" w:cs="Times New Roman"/>
          <w:color w:val="000000" w:themeColor="text1"/>
          <w:lang w:val="en-GB"/>
        </w:rPr>
      </w:pPr>
      <w:r w:rsidRPr="00223CD8">
        <w:rPr>
          <w:rFonts w:ascii="Times New Roman" w:hAnsi="Times New Roman" w:cs="Times New Roman"/>
          <w:b/>
          <w:color w:val="262626"/>
        </w:rPr>
        <w:t>Tetramethylethylenediamine</w:t>
      </w:r>
      <w:r w:rsidRPr="00223CD8">
        <w:rPr>
          <w:rFonts w:ascii="Times New Roman" w:hAnsi="Times New Roman" w:cs="Times New Roman"/>
          <w:b/>
          <w:color w:val="000000" w:themeColor="text1"/>
          <w:lang w:val="en-GB"/>
        </w:rPr>
        <w:t xml:space="preserve"> </w:t>
      </w:r>
      <w:r>
        <w:rPr>
          <w:rFonts w:ascii="Times New Roman" w:hAnsi="Times New Roman" w:cs="Times New Roman"/>
          <w:b/>
          <w:color w:val="000000" w:themeColor="text1"/>
          <w:lang w:val="en-GB"/>
        </w:rPr>
        <w:t>(</w:t>
      </w:r>
      <w:r w:rsidR="00A13421" w:rsidRPr="00223CD8">
        <w:rPr>
          <w:rFonts w:ascii="Times New Roman" w:hAnsi="Times New Roman" w:cs="Times New Roman"/>
          <w:b/>
          <w:color w:val="000000" w:themeColor="text1"/>
          <w:lang w:val="en-GB"/>
        </w:rPr>
        <w:t>TEMED</w:t>
      </w:r>
      <w:r>
        <w:rPr>
          <w:rFonts w:ascii="Times New Roman" w:hAnsi="Times New Roman" w:cs="Times New Roman"/>
          <w:b/>
          <w:color w:val="000000" w:themeColor="text1"/>
          <w:lang w:val="en-GB"/>
        </w:rPr>
        <w:t xml:space="preserve">) </w:t>
      </w:r>
      <w:r>
        <w:rPr>
          <w:rFonts w:ascii="Times New Roman" w:hAnsi="Times New Roman" w:cs="Times New Roman"/>
          <w:lang w:val="en-GB"/>
        </w:rPr>
        <w:t>Thermo Scientific, Cat. No.-17919</w:t>
      </w:r>
    </w:p>
    <w:p w14:paraId="61118B63" w14:textId="77777777" w:rsidR="00A13421" w:rsidRPr="00A13421" w:rsidRDefault="00A13421" w:rsidP="0085074F">
      <w:pPr>
        <w:spacing w:line="360" w:lineRule="auto"/>
        <w:jc w:val="both"/>
        <w:rPr>
          <w:rFonts w:ascii="Times New Roman" w:hAnsi="Times New Roman" w:cs="Times New Roman"/>
          <w:b/>
          <w:color w:val="000000" w:themeColor="text1"/>
          <w:lang w:val="en-GB"/>
        </w:rPr>
      </w:pPr>
    </w:p>
    <w:p w14:paraId="71BD6665" w14:textId="77777777" w:rsidR="00243911" w:rsidRDefault="0085074F" w:rsidP="009D7D8E">
      <w:pPr>
        <w:spacing w:line="360" w:lineRule="auto"/>
        <w:jc w:val="both"/>
        <w:rPr>
          <w:rFonts w:ascii="Times New Roman" w:hAnsi="Times New Roman" w:cs="Times New Roman"/>
          <w:lang w:val="en-GB"/>
        </w:rPr>
      </w:pPr>
      <w:r w:rsidRPr="004975E3">
        <w:rPr>
          <w:rFonts w:ascii="Times New Roman" w:hAnsi="Times New Roman" w:cs="Times New Roman"/>
          <w:b/>
          <w:lang w:val="en-GB"/>
        </w:rPr>
        <w:t>Resolving buffer</w:t>
      </w:r>
      <w:r w:rsidRPr="004975E3">
        <w:rPr>
          <w:rFonts w:ascii="Times New Roman" w:hAnsi="Times New Roman" w:cs="Times New Roman"/>
          <w:color w:val="548DD4" w:themeColor="text2" w:themeTint="99"/>
          <w:lang w:val="en-GB"/>
        </w:rPr>
        <w:t xml:space="preserve">  </w:t>
      </w:r>
      <w:r w:rsidR="009D7D8E">
        <w:rPr>
          <w:rFonts w:ascii="Times New Roman" w:hAnsi="Times New Roman" w:cs="Times New Roman"/>
          <w:color w:val="548DD4" w:themeColor="text2" w:themeTint="99"/>
          <w:lang w:val="en-GB"/>
        </w:rPr>
        <w:t xml:space="preserve">                         </w:t>
      </w:r>
      <w:r w:rsidRPr="004975E3">
        <w:rPr>
          <w:rFonts w:ascii="Times New Roman" w:hAnsi="Times New Roman" w:cs="Times New Roman"/>
          <w:lang w:val="en-GB"/>
        </w:rPr>
        <w:t xml:space="preserve">1.5M Tris-HCl pH 8.8 </w:t>
      </w:r>
    </w:p>
    <w:p w14:paraId="08EF6A7D" w14:textId="5A9993D7" w:rsidR="0085074F" w:rsidRPr="004975E3" w:rsidRDefault="00243911" w:rsidP="009D7D8E">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85074F" w:rsidRPr="004975E3">
        <w:rPr>
          <w:rFonts w:ascii="Times New Roman" w:hAnsi="Times New Roman" w:cs="Times New Roman"/>
          <w:lang w:val="en-GB"/>
        </w:rPr>
        <w:t>4% (v/v) 10% SDS solution</w:t>
      </w:r>
    </w:p>
    <w:p w14:paraId="63D4E2A6" w14:textId="77777777" w:rsidR="0085074F" w:rsidRPr="004975E3" w:rsidRDefault="0085074F" w:rsidP="0085074F">
      <w:pPr>
        <w:spacing w:line="360" w:lineRule="auto"/>
        <w:jc w:val="both"/>
        <w:rPr>
          <w:rFonts w:ascii="Times New Roman" w:hAnsi="Times New Roman" w:cs="Times New Roman"/>
          <w:lang w:val="en-GB"/>
        </w:rPr>
      </w:pPr>
    </w:p>
    <w:p w14:paraId="5E62345E" w14:textId="77777777" w:rsidR="00243911" w:rsidRDefault="0085074F" w:rsidP="0085074F">
      <w:pPr>
        <w:spacing w:line="360" w:lineRule="auto"/>
        <w:jc w:val="both"/>
        <w:rPr>
          <w:rFonts w:ascii="Times New Roman" w:hAnsi="Times New Roman" w:cs="Times New Roman"/>
          <w:lang w:val="en-GB"/>
        </w:rPr>
      </w:pPr>
      <w:r w:rsidRPr="004975E3">
        <w:rPr>
          <w:rFonts w:ascii="Times New Roman" w:hAnsi="Times New Roman" w:cs="Times New Roman"/>
          <w:b/>
          <w:lang w:val="en-GB"/>
        </w:rPr>
        <w:t>Stacking buffer</w:t>
      </w:r>
      <w:r w:rsidRPr="004975E3">
        <w:rPr>
          <w:rFonts w:ascii="Times New Roman" w:hAnsi="Times New Roman" w:cs="Times New Roman"/>
          <w:color w:val="548DD4" w:themeColor="text2" w:themeTint="99"/>
          <w:lang w:val="en-GB"/>
        </w:rPr>
        <w:t xml:space="preserve">   </w:t>
      </w:r>
      <w:r w:rsidR="00243911">
        <w:rPr>
          <w:rFonts w:ascii="Times New Roman" w:hAnsi="Times New Roman" w:cs="Times New Roman"/>
          <w:color w:val="548DD4" w:themeColor="text2" w:themeTint="99"/>
          <w:lang w:val="en-GB"/>
        </w:rPr>
        <w:t xml:space="preserve">                         </w:t>
      </w:r>
      <w:r w:rsidRPr="004975E3">
        <w:rPr>
          <w:rFonts w:ascii="Times New Roman" w:hAnsi="Times New Roman" w:cs="Times New Roman"/>
          <w:lang w:val="en-GB"/>
        </w:rPr>
        <w:t xml:space="preserve">0.5M Tris HCl pH 6.8 </w:t>
      </w:r>
    </w:p>
    <w:p w14:paraId="1E93400A" w14:textId="514075CC" w:rsidR="00243911" w:rsidRPr="003E7BDB" w:rsidRDefault="00243911" w:rsidP="0085074F">
      <w:pPr>
        <w:spacing w:line="360" w:lineRule="auto"/>
        <w:jc w:val="both"/>
        <w:rPr>
          <w:rFonts w:ascii="Times New Roman" w:hAnsi="Times New Roman" w:cs="Times New Roman"/>
          <w:color w:val="1F497D" w:themeColor="text2"/>
          <w:lang w:val="en-GB"/>
        </w:rPr>
      </w:pPr>
      <w:r>
        <w:rPr>
          <w:rFonts w:ascii="Times New Roman" w:hAnsi="Times New Roman" w:cs="Times New Roman"/>
          <w:lang w:val="en-GB"/>
        </w:rPr>
        <w:t xml:space="preserve">                                                      </w:t>
      </w:r>
      <w:r w:rsidR="0085074F" w:rsidRPr="004975E3">
        <w:rPr>
          <w:rFonts w:ascii="Times New Roman" w:hAnsi="Times New Roman" w:cs="Times New Roman"/>
          <w:lang w:val="en-GB"/>
        </w:rPr>
        <w:t>4% (v/v) 10% SDS solution</w:t>
      </w:r>
    </w:p>
    <w:p w14:paraId="120C8F36" w14:textId="77777777" w:rsidR="00243911" w:rsidRDefault="00243911" w:rsidP="0085074F">
      <w:pPr>
        <w:spacing w:line="360" w:lineRule="auto"/>
        <w:jc w:val="both"/>
        <w:rPr>
          <w:rFonts w:ascii="Times New Roman" w:hAnsi="Times New Roman" w:cs="Times New Roman"/>
          <w:b/>
          <w:lang w:val="en-GB"/>
        </w:rPr>
      </w:pPr>
    </w:p>
    <w:p w14:paraId="783D774B" w14:textId="77777777" w:rsidR="00243911" w:rsidRDefault="00122C02" w:rsidP="0085074F">
      <w:pPr>
        <w:spacing w:line="360" w:lineRule="auto"/>
        <w:jc w:val="both"/>
        <w:rPr>
          <w:rFonts w:ascii="Times New Roman" w:hAnsi="Times New Roman" w:cs="Times New Roman"/>
          <w:color w:val="548DD4" w:themeColor="text2" w:themeTint="99"/>
          <w:lang w:val="en-GB"/>
        </w:rPr>
      </w:pPr>
      <w:r w:rsidRPr="004975E3">
        <w:rPr>
          <w:rFonts w:ascii="Times New Roman" w:hAnsi="Times New Roman" w:cs="Times New Roman"/>
          <w:b/>
          <w:lang w:val="en-GB"/>
        </w:rPr>
        <w:t>NuPAGE Bis-Tris Pre-cast</w:t>
      </w:r>
      <w:r w:rsidR="0085074F" w:rsidRPr="004975E3">
        <w:rPr>
          <w:rFonts w:ascii="Times New Roman" w:hAnsi="Times New Roman" w:cs="Times New Roman"/>
          <w:b/>
          <w:lang w:val="en-GB"/>
        </w:rPr>
        <w:t xml:space="preserve"> gel </w:t>
      </w:r>
      <w:r w:rsidR="0085074F" w:rsidRPr="004975E3">
        <w:rPr>
          <w:rFonts w:ascii="Times New Roman" w:hAnsi="Times New Roman" w:cs="Times New Roman"/>
          <w:color w:val="548DD4" w:themeColor="text2" w:themeTint="99"/>
          <w:lang w:val="en-GB"/>
        </w:rPr>
        <w:t xml:space="preserve"> </w:t>
      </w:r>
    </w:p>
    <w:p w14:paraId="61FCC195" w14:textId="0E90ED02" w:rsidR="0085074F" w:rsidRPr="004975E3" w:rsidRDefault="001154D5" w:rsidP="00243911">
      <w:pPr>
        <w:spacing w:line="360" w:lineRule="auto"/>
        <w:ind w:left="720"/>
        <w:jc w:val="both"/>
        <w:rPr>
          <w:rFonts w:ascii="Times New Roman" w:hAnsi="Times New Roman" w:cs="Times New Roman"/>
          <w:lang w:val="en-GB"/>
        </w:rPr>
      </w:pPr>
      <w:r>
        <w:rPr>
          <w:rFonts w:ascii="Times New Roman" w:hAnsi="Times New Roman" w:cs="Times New Roman"/>
          <w:lang w:val="en-GB"/>
        </w:rPr>
        <w:t>4-12% Bis</w:t>
      </w:r>
      <w:r w:rsidR="0085074F" w:rsidRPr="004975E3">
        <w:rPr>
          <w:rFonts w:ascii="Times New Roman" w:hAnsi="Times New Roman" w:cs="Times New Roman"/>
          <w:lang w:val="en-GB"/>
        </w:rPr>
        <w:t>-Tris Mini (8cm x8m) Precast gels (Life Technologies, grand Island, NY, USA) of 1.0mm thickness and 15 wells, used for the separation of larger molecular weight proteins ranging from 150-200kDa</w:t>
      </w:r>
    </w:p>
    <w:p w14:paraId="389B54C9" w14:textId="77777777" w:rsidR="0085074F" w:rsidRPr="004975E3" w:rsidRDefault="0085074F" w:rsidP="0085074F">
      <w:pPr>
        <w:spacing w:line="360" w:lineRule="auto"/>
        <w:jc w:val="both"/>
        <w:rPr>
          <w:rFonts w:ascii="Times New Roman" w:hAnsi="Times New Roman" w:cs="Times New Roman"/>
          <w:lang w:val="en-GB"/>
        </w:rPr>
      </w:pPr>
    </w:p>
    <w:p w14:paraId="75883FA4" w14:textId="77777777" w:rsidR="00243911" w:rsidRDefault="0085074F" w:rsidP="00243911">
      <w:pPr>
        <w:spacing w:line="360" w:lineRule="auto"/>
        <w:jc w:val="both"/>
        <w:rPr>
          <w:rFonts w:ascii="Times New Roman" w:hAnsi="Times New Roman" w:cs="Times New Roman"/>
          <w:lang w:val="en-GB"/>
        </w:rPr>
      </w:pPr>
      <w:r w:rsidRPr="004975E3">
        <w:rPr>
          <w:rFonts w:ascii="Times New Roman" w:hAnsi="Times New Roman" w:cs="Times New Roman"/>
          <w:b/>
          <w:lang w:val="en-GB"/>
        </w:rPr>
        <w:t>6x Laemmli Sample buffer</w:t>
      </w:r>
      <w:r w:rsidRPr="004975E3">
        <w:rPr>
          <w:rFonts w:ascii="Times New Roman" w:hAnsi="Times New Roman" w:cs="Times New Roman"/>
          <w:color w:val="548DD4" w:themeColor="text2" w:themeTint="99"/>
          <w:lang w:val="en-GB"/>
        </w:rPr>
        <w:t xml:space="preserve">  </w:t>
      </w:r>
      <w:r w:rsidR="00243911">
        <w:rPr>
          <w:rFonts w:ascii="Times New Roman" w:hAnsi="Times New Roman" w:cs="Times New Roman"/>
          <w:color w:val="548DD4" w:themeColor="text2" w:themeTint="99"/>
          <w:lang w:val="en-GB"/>
        </w:rPr>
        <w:t xml:space="preserve">    </w:t>
      </w:r>
      <w:r w:rsidR="00243911">
        <w:rPr>
          <w:rFonts w:ascii="Times New Roman" w:hAnsi="Times New Roman" w:cs="Times New Roman"/>
          <w:lang w:val="en-GB"/>
        </w:rPr>
        <w:t>60mM Tris, pH 6.8</w:t>
      </w:r>
    </w:p>
    <w:p w14:paraId="5CEC6653" w14:textId="77777777" w:rsidR="00243911" w:rsidRDefault="00243911" w:rsidP="00243911">
      <w:pPr>
        <w:spacing w:line="360" w:lineRule="auto"/>
        <w:jc w:val="both"/>
        <w:rPr>
          <w:rFonts w:ascii="Times New Roman" w:hAnsi="Times New Roman" w:cs="Times New Roman"/>
          <w:lang w:val="en-GB"/>
        </w:rPr>
      </w:pPr>
      <w:r>
        <w:rPr>
          <w:rFonts w:ascii="Times New Roman" w:hAnsi="Times New Roman" w:cs="Times New Roman"/>
          <w:lang w:val="en-GB"/>
        </w:rPr>
        <w:t xml:space="preserve">                                                    12% (w/v) SDS</w:t>
      </w:r>
    </w:p>
    <w:p w14:paraId="690CFC84" w14:textId="77777777" w:rsidR="00243911" w:rsidRDefault="00243911" w:rsidP="00243911">
      <w:pPr>
        <w:spacing w:line="360" w:lineRule="auto"/>
        <w:jc w:val="both"/>
        <w:rPr>
          <w:rFonts w:ascii="Times New Roman" w:hAnsi="Times New Roman" w:cs="Times New Roman"/>
          <w:lang w:val="en-GB"/>
        </w:rPr>
      </w:pPr>
      <w:r>
        <w:rPr>
          <w:rFonts w:ascii="Times New Roman" w:hAnsi="Times New Roman" w:cs="Times New Roman"/>
          <w:lang w:val="en-GB"/>
        </w:rPr>
        <w:t xml:space="preserve">                                                    47% (v/v) glycerol</w:t>
      </w:r>
    </w:p>
    <w:p w14:paraId="7E528337" w14:textId="77777777" w:rsidR="00243911" w:rsidRDefault="00243911" w:rsidP="00243911">
      <w:pPr>
        <w:spacing w:line="360" w:lineRule="auto"/>
        <w:jc w:val="both"/>
        <w:rPr>
          <w:rFonts w:ascii="Times New Roman" w:hAnsi="Times New Roman" w:cs="Times New Roman"/>
          <w:lang w:val="en-GB"/>
        </w:rPr>
      </w:pPr>
      <w:r>
        <w:rPr>
          <w:rFonts w:ascii="Times New Roman" w:hAnsi="Times New Roman" w:cs="Times New Roman"/>
          <w:lang w:val="en-GB"/>
        </w:rPr>
        <w:t xml:space="preserve">                                                    0.12% beta-mercaptoethanol</w:t>
      </w:r>
    </w:p>
    <w:p w14:paraId="3A106CD3" w14:textId="717EE6CC" w:rsidR="0085074F" w:rsidRPr="004975E3" w:rsidRDefault="00243911" w:rsidP="00243911">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85074F" w:rsidRPr="004975E3">
        <w:rPr>
          <w:rFonts w:ascii="Times New Roman" w:hAnsi="Times New Roman" w:cs="Times New Roman"/>
          <w:lang w:val="en-GB"/>
        </w:rPr>
        <w:t>0.6M DTT</w:t>
      </w:r>
    </w:p>
    <w:p w14:paraId="232BB146" w14:textId="77777777" w:rsidR="0085074F" w:rsidRPr="004975E3" w:rsidRDefault="0085074F" w:rsidP="0085074F">
      <w:pPr>
        <w:spacing w:line="360" w:lineRule="auto"/>
        <w:jc w:val="both"/>
        <w:rPr>
          <w:rFonts w:ascii="Times New Roman" w:hAnsi="Times New Roman" w:cs="Times New Roman"/>
          <w:lang w:val="en-GB"/>
        </w:rPr>
      </w:pPr>
    </w:p>
    <w:p w14:paraId="41CA52F4" w14:textId="77777777" w:rsidR="00243911" w:rsidRDefault="0085074F" w:rsidP="0085074F">
      <w:pPr>
        <w:spacing w:line="360" w:lineRule="auto"/>
        <w:jc w:val="both"/>
        <w:rPr>
          <w:rFonts w:ascii="Times New Roman" w:hAnsi="Times New Roman" w:cs="Times New Roman"/>
          <w:lang w:val="en-GB"/>
        </w:rPr>
      </w:pPr>
      <w:r w:rsidRPr="004975E3">
        <w:rPr>
          <w:rFonts w:ascii="Times New Roman" w:hAnsi="Times New Roman" w:cs="Times New Roman"/>
          <w:b/>
          <w:lang w:val="en-GB"/>
        </w:rPr>
        <w:t>Running buffer</w:t>
      </w:r>
      <w:r w:rsidRPr="004975E3">
        <w:rPr>
          <w:rFonts w:ascii="Times New Roman" w:hAnsi="Times New Roman" w:cs="Times New Roman"/>
          <w:color w:val="548DD4" w:themeColor="text2" w:themeTint="99"/>
          <w:lang w:val="en-GB"/>
        </w:rPr>
        <w:t xml:space="preserve">  </w:t>
      </w:r>
      <w:r w:rsidR="00243911">
        <w:rPr>
          <w:rFonts w:ascii="Times New Roman" w:hAnsi="Times New Roman" w:cs="Times New Roman"/>
          <w:color w:val="548DD4" w:themeColor="text2" w:themeTint="99"/>
          <w:lang w:val="en-GB"/>
        </w:rPr>
        <w:t xml:space="preserve">                        </w:t>
      </w:r>
      <w:r w:rsidRPr="004975E3">
        <w:rPr>
          <w:rFonts w:ascii="Times New Roman" w:hAnsi="Times New Roman" w:cs="Times New Roman"/>
          <w:lang w:val="en-GB"/>
        </w:rPr>
        <w:t>24.8mM Tris</w:t>
      </w:r>
      <w:r w:rsidR="00243911">
        <w:rPr>
          <w:rFonts w:ascii="Times New Roman" w:hAnsi="Times New Roman" w:cs="Times New Roman"/>
          <w:lang w:val="en-GB"/>
        </w:rPr>
        <w:t xml:space="preserve"> base, pH 8.3</w:t>
      </w:r>
    </w:p>
    <w:p w14:paraId="5E3C7D01" w14:textId="05DCE83D" w:rsidR="0085074F" w:rsidRPr="004975E3" w:rsidRDefault="00243911"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85074F" w:rsidRPr="004975E3">
        <w:rPr>
          <w:rFonts w:ascii="Times New Roman" w:hAnsi="Times New Roman" w:cs="Times New Roman"/>
          <w:lang w:val="en-GB"/>
        </w:rPr>
        <w:t xml:space="preserve"> 192mM Glycine</w:t>
      </w:r>
    </w:p>
    <w:p w14:paraId="51948081" w14:textId="77777777" w:rsidR="0085074F" w:rsidRPr="004975E3" w:rsidRDefault="0085074F" w:rsidP="0085074F">
      <w:pPr>
        <w:spacing w:line="360" w:lineRule="auto"/>
        <w:jc w:val="both"/>
        <w:rPr>
          <w:rFonts w:ascii="Times New Roman" w:hAnsi="Times New Roman" w:cs="Times New Roman"/>
          <w:lang w:val="en-GB"/>
        </w:rPr>
      </w:pPr>
    </w:p>
    <w:p w14:paraId="4912B958" w14:textId="6B8DF17D" w:rsidR="0085074F" w:rsidRPr="004975E3" w:rsidRDefault="0085074F" w:rsidP="0085074F">
      <w:pPr>
        <w:spacing w:line="360" w:lineRule="auto"/>
        <w:jc w:val="both"/>
        <w:rPr>
          <w:rFonts w:ascii="Times New Roman" w:hAnsi="Times New Roman" w:cs="Times New Roman"/>
          <w:lang w:val="en-GB"/>
        </w:rPr>
      </w:pPr>
      <w:r w:rsidRPr="004975E3">
        <w:rPr>
          <w:rFonts w:ascii="Times New Roman" w:hAnsi="Times New Roman" w:cs="Times New Roman"/>
          <w:b/>
          <w:lang w:val="en-GB"/>
        </w:rPr>
        <w:t>Protein ladder</w:t>
      </w:r>
      <w:r w:rsidRPr="004975E3">
        <w:rPr>
          <w:rFonts w:ascii="Times New Roman" w:hAnsi="Times New Roman" w:cs="Times New Roman"/>
          <w:color w:val="548DD4" w:themeColor="text2" w:themeTint="99"/>
          <w:lang w:val="en-GB"/>
        </w:rPr>
        <w:t xml:space="preserve"> </w:t>
      </w:r>
      <w:r w:rsidRPr="004975E3">
        <w:rPr>
          <w:rFonts w:ascii="Times New Roman" w:hAnsi="Times New Roman" w:cs="Times New Roman"/>
          <w:lang w:val="en-GB"/>
        </w:rPr>
        <w:t>The Precision Plus Dual Color Protein Standard was used as the standard for Western Blot analysis consisting of 10 pre-stain</w:t>
      </w:r>
      <w:r w:rsidR="002C0EA0">
        <w:rPr>
          <w:rFonts w:ascii="Times New Roman" w:hAnsi="Times New Roman" w:cs="Times New Roman"/>
          <w:lang w:val="en-GB"/>
        </w:rPr>
        <w:t>ed bands ranging from 250 kDa to</w:t>
      </w:r>
      <w:r w:rsidRPr="004975E3">
        <w:rPr>
          <w:rFonts w:ascii="Times New Roman" w:hAnsi="Times New Roman" w:cs="Times New Roman"/>
          <w:lang w:val="en-GB"/>
        </w:rPr>
        <w:t xml:space="preserve"> 4 kDa (Bio-Rad Laboratories Ltd., Hertfordshire, UK)</w:t>
      </w:r>
    </w:p>
    <w:p w14:paraId="045BA9FE" w14:textId="77777777" w:rsidR="002333D0" w:rsidRPr="002333D0" w:rsidRDefault="002333D0" w:rsidP="002333D0">
      <w:bookmarkStart w:id="519" w:name="_Toc262895399"/>
    </w:p>
    <w:p w14:paraId="7D3887DA" w14:textId="77777777" w:rsidR="00957080" w:rsidRPr="00957080" w:rsidRDefault="00957080" w:rsidP="00957080"/>
    <w:p w14:paraId="07D558AE" w14:textId="312107BE" w:rsidR="0085074F" w:rsidRPr="00C05B02" w:rsidRDefault="00243911" w:rsidP="009A1D4C">
      <w:pPr>
        <w:pStyle w:val="Heading3"/>
        <w:rPr>
          <w:u w:val="single"/>
        </w:rPr>
      </w:pPr>
      <w:bookmarkStart w:id="520" w:name="_Toc328301110"/>
      <w:bookmarkStart w:id="521" w:name="_Toc329593404"/>
      <w:bookmarkStart w:id="522" w:name="_Toc331425903"/>
      <w:bookmarkStart w:id="523" w:name="_Toc331427088"/>
      <w:bookmarkStart w:id="524" w:name="_Toc331427460"/>
      <w:bookmarkStart w:id="525" w:name="_Toc331427602"/>
      <w:bookmarkStart w:id="526" w:name="_Toc332972606"/>
      <w:bookmarkStart w:id="527" w:name="_Toc333046885"/>
      <w:bookmarkStart w:id="528" w:name="_Toc333477232"/>
      <w:bookmarkStart w:id="529" w:name="_Toc333478002"/>
      <w:bookmarkStart w:id="530" w:name="_Toc333644902"/>
      <w:r w:rsidRPr="00C05B02">
        <w:rPr>
          <w:u w:val="single"/>
        </w:rPr>
        <w:t>2.1.3</w:t>
      </w:r>
      <w:r w:rsidR="00D01519" w:rsidRPr="00C05B02">
        <w:rPr>
          <w:u w:val="single"/>
        </w:rPr>
        <w:t xml:space="preserve"> </w:t>
      </w:r>
      <w:bookmarkEnd w:id="519"/>
      <w:bookmarkEnd w:id="520"/>
      <w:bookmarkEnd w:id="521"/>
      <w:bookmarkEnd w:id="522"/>
      <w:bookmarkEnd w:id="523"/>
      <w:bookmarkEnd w:id="524"/>
      <w:bookmarkEnd w:id="525"/>
      <w:bookmarkEnd w:id="526"/>
      <w:bookmarkEnd w:id="527"/>
      <w:r w:rsidR="000B2168">
        <w:rPr>
          <w:u w:val="single"/>
        </w:rPr>
        <w:t>Western Blotting</w:t>
      </w:r>
      <w:bookmarkEnd w:id="528"/>
      <w:bookmarkEnd w:id="529"/>
      <w:bookmarkEnd w:id="530"/>
    </w:p>
    <w:p w14:paraId="1EB7C1FC" w14:textId="77777777" w:rsidR="0085074F" w:rsidRDefault="0085074F" w:rsidP="0085074F">
      <w:pPr>
        <w:spacing w:line="360" w:lineRule="auto"/>
        <w:jc w:val="both"/>
        <w:rPr>
          <w:rFonts w:ascii="Times New Roman" w:hAnsi="Times New Roman" w:cs="Times New Roman"/>
          <w:b/>
          <w:color w:val="548DD4" w:themeColor="text2" w:themeTint="99"/>
          <w:u w:val="single"/>
          <w:lang w:val="en-GB"/>
        </w:rPr>
      </w:pPr>
    </w:p>
    <w:p w14:paraId="388C737F" w14:textId="476B107F" w:rsidR="00243911" w:rsidRDefault="000B2168" w:rsidP="0085074F">
      <w:pPr>
        <w:spacing w:line="360" w:lineRule="auto"/>
        <w:jc w:val="both"/>
        <w:rPr>
          <w:rFonts w:ascii="Times New Roman" w:hAnsi="Times New Roman" w:cs="Times New Roman"/>
          <w:lang w:val="en-GB"/>
        </w:rPr>
      </w:pPr>
      <w:r>
        <w:rPr>
          <w:rFonts w:ascii="Times New Roman" w:hAnsi="Times New Roman" w:cs="Times New Roman"/>
          <w:b/>
          <w:lang w:val="en-GB"/>
        </w:rPr>
        <w:t>Western blotting</w:t>
      </w:r>
      <w:r w:rsidR="005735EF">
        <w:rPr>
          <w:rFonts w:ascii="Times New Roman" w:hAnsi="Times New Roman" w:cs="Times New Roman"/>
          <w:b/>
          <w:lang w:val="en-GB"/>
        </w:rPr>
        <w:t xml:space="preserve"> transfer buffer</w:t>
      </w:r>
      <w:r w:rsidR="00AB2492">
        <w:rPr>
          <w:rFonts w:ascii="Times New Roman" w:hAnsi="Times New Roman" w:cs="Times New Roman"/>
          <w:b/>
          <w:lang w:val="en-GB"/>
        </w:rPr>
        <w:t xml:space="preserve"> </w:t>
      </w:r>
      <w:r w:rsidR="004451E0">
        <w:rPr>
          <w:rFonts w:ascii="Times New Roman" w:hAnsi="Times New Roman" w:cs="Times New Roman"/>
          <w:b/>
          <w:lang w:val="en-GB"/>
        </w:rPr>
        <w:t xml:space="preserve"> </w:t>
      </w:r>
      <w:r w:rsidR="00243911">
        <w:rPr>
          <w:rFonts w:ascii="Times New Roman" w:hAnsi="Times New Roman" w:cs="Times New Roman"/>
          <w:b/>
          <w:lang w:val="en-GB"/>
        </w:rPr>
        <w:t xml:space="preserve"> </w:t>
      </w:r>
      <w:r w:rsidR="00243911">
        <w:rPr>
          <w:rFonts w:ascii="Times New Roman" w:hAnsi="Times New Roman" w:cs="Times New Roman"/>
          <w:lang w:val="en-GB"/>
        </w:rPr>
        <w:t>25mM Tris</w:t>
      </w:r>
    </w:p>
    <w:p w14:paraId="279E26C0" w14:textId="77777777" w:rsidR="00243911" w:rsidRDefault="00243911"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100mM glycine </w:t>
      </w:r>
    </w:p>
    <w:p w14:paraId="42777AC7" w14:textId="10EA31B7" w:rsidR="005735EF" w:rsidRPr="0001369D" w:rsidRDefault="00243911"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01369D">
        <w:rPr>
          <w:rFonts w:ascii="Times New Roman" w:hAnsi="Times New Roman" w:cs="Times New Roman"/>
          <w:lang w:val="en-GB"/>
        </w:rPr>
        <w:t>10%</w:t>
      </w:r>
      <w:r>
        <w:rPr>
          <w:rFonts w:ascii="Times New Roman" w:hAnsi="Times New Roman" w:cs="Times New Roman"/>
          <w:lang w:val="en-GB"/>
        </w:rPr>
        <w:t xml:space="preserve"> (v/v)</w:t>
      </w:r>
      <w:r w:rsidR="0001369D">
        <w:rPr>
          <w:rFonts w:ascii="Times New Roman" w:hAnsi="Times New Roman" w:cs="Times New Roman"/>
          <w:lang w:val="en-GB"/>
        </w:rPr>
        <w:t xml:space="preserve"> methanol</w:t>
      </w:r>
    </w:p>
    <w:p w14:paraId="7CADF583" w14:textId="77777777" w:rsidR="005735EF" w:rsidRPr="005735EF" w:rsidRDefault="005735EF" w:rsidP="0085074F">
      <w:pPr>
        <w:spacing w:line="360" w:lineRule="auto"/>
        <w:jc w:val="both"/>
        <w:rPr>
          <w:rFonts w:ascii="Times New Roman" w:hAnsi="Times New Roman" w:cs="Times New Roman"/>
          <w:b/>
          <w:lang w:val="en-GB"/>
        </w:rPr>
      </w:pPr>
    </w:p>
    <w:p w14:paraId="3E15DD79" w14:textId="550AB764" w:rsidR="00243911" w:rsidRDefault="0085074F" w:rsidP="0085074F">
      <w:pPr>
        <w:spacing w:line="360" w:lineRule="auto"/>
        <w:jc w:val="both"/>
        <w:rPr>
          <w:rFonts w:ascii="Times New Roman" w:hAnsi="Times New Roman" w:cs="Times New Roman"/>
          <w:lang w:val="en-GB"/>
        </w:rPr>
      </w:pPr>
      <w:r w:rsidRPr="004975E3">
        <w:rPr>
          <w:rFonts w:ascii="Times New Roman" w:hAnsi="Times New Roman" w:cs="Times New Roman"/>
          <w:b/>
          <w:lang w:val="en-GB"/>
        </w:rPr>
        <w:t>Ponceau Red</w:t>
      </w:r>
      <w:r w:rsidRPr="004975E3">
        <w:rPr>
          <w:rFonts w:ascii="Times New Roman" w:hAnsi="Times New Roman" w:cs="Times New Roman"/>
          <w:lang w:val="en-GB"/>
        </w:rPr>
        <w:t xml:space="preserve"> </w:t>
      </w:r>
      <w:r w:rsidR="00243911">
        <w:rPr>
          <w:rFonts w:ascii="Times New Roman" w:hAnsi="Times New Roman" w:cs="Times New Roman"/>
          <w:lang w:val="en-GB"/>
        </w:rPr>
        <w:t xml:space="preserve">                                  </w:t>
      </w:r>
      <w:r w:rsidRPr="004975E3">
        <w:rPr>
          <w:rFonts w:ascii="Times New Roman" w:hAnsi="Times New Roman" w:cs="Times New Roman"/>
          <w:lang w:val="en-GB"/>
        </w:rPr>
        <w:t>0.1%(w/v)</w:t>
      </w:r>
      <w:r w:rsidR="00243911">
        <w:rPr>
          <w:rFonts w:ascii="Times New Roman" w:hAnsi="Times New Roman" w:cs="Times New Roman"/>
          <w:lang w:val="en-GB"/>
        </w:rPr>
        <w:t xml:space="preserve"> </w:t>
      </w:r>
      <w:r w:rsidRPr="004975E3">
        <w:rPr>
          <w:rFonts w:ascii="Times New Roman" w:hAnsi="Times New Roman" w:cs="Times New Roman"/>
          <w:lang w:val="en-GB"/>
        </w:rPr>
        <w:t xml:space="preserve">Ponceau S </w:t>
      </w:r>
    </w:p>
    <w:p w14:paraId="0A99B1EC" w14:textId="27A7C0A2" w:rsidR="0085074F" w:rsidRDefault="00243911"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in 5%(v/v) acetic acid diluted in ddH</w:t>
      </w:r>
      <w:r>
        <w:rPr>
          <w:rFonts w:ascii="Times New Roman" w:hAnsi="Times New Roman" w:cs="Times New Roman"/>
          <w:vertAlign w:val="subscript"/>
          <w:lang w:val="en-GB"/>
        </w:rPr>
        <w:t>2</w:t>
      </w:r>
      <w:r>
        <w:rPr>
          <w:rFonts w:ascii="Times New Roman" w:hAnsi="Times New Roman" w:cs="Times New Roman"/>
          <w:lang w:val="en-GB"/>
        </w:rPr>
        <w:t>O</w:t>
      </w:r>
      <w:r w:rsidR="0085074F" w:rsidRPr="004975E3">
        <w:rPr>
          <w:rFonts w:ascii="Times New Roman" w:hAnsi="Times New Roman" w:cs="Times New Roman"/>
          <w:lang w:val="en-GB"/>
        </w:rPr>
        <w:t>.</w:t>
      </w:r>
    </w:p>
    <w:p w14:paraId="0F9CA583" w14:textId="77777777" w:rsidR="00DF113C" w:rsidRDefault="00DF113C" w:rsidP="0085074F">
      <w:pPr>
        <w:spacing w:line="360" w:lineRule="auto"/>
        <w:jc w:val="both"/>
        <w:rPr>
          <w:rFonts w:ascii="Times New Roman" w:hAnsi="Times New Roman" w:cs="Times New Roman"/>
          <w:lang w:val="en-GB"/>
        </w:rPr>
      </w:pPr>
    </w:p>
    <w:p w14:paraId="6D92D4E3" w14:textId="0AB3E959" w:rsidR="00DF113C" w:rsidRPr="00DF113C" w:rsidRDefault="00DF113C" w:rsidP="0085074F">
      <w:pPr>
        <w:spacing w:line="360" w:lineRule="auto"/>
        <w:jc w:val="both"/>
        <w:rPr>
          <w:rFonts w:ascii="Times New Roman" w:hAnsi="Times New Roman" w:cs="Times New Roman"/>
          <w:lang w:val="en-GB"/>
        </w:rPr>
      </w:pPr>
      <w:r>
        <w:rPr>
          <w:rFonts w:ascii="Times New Roman" w:hAnsi="Times New Roman" w:cs="Times New Roman"/>
          <w:b/>
          <w:lang w:val="en-GB"/>
        </w:rPr>
        <w:t xml:space="preserve">Nitrocellulose membrane </w:t>
      </w:r>
      <w:r>
        <w:rPr>
          <w:rFonts w:ascii="Times New Roman" w:hAnsi="Times New Roman" w:cs="Times New Roman"/>
          <w:lang w:val="en-GB"/>
        </w:rPr>
        <w:t>(GE Healthcare, Little Chalfont, Bucks, UK)</w:t>
      </w:r>
    </w:p>
    <w:p w14:paraId="454B6840" w14:textId="77777777" w:rsidR="0085074F" w:rsidRPr="004975E3" w:rsidRDefault="0085074F" w:rsidP="0085074F">
      <w:pPr>
        <w:spacing w:line="360" w:lineRule="auto"/>
        <w:jc w:val="both"/>
        <w:rPr>
          <w:rFonts w:ascii="Times New Roman" w:hAnsi="Times New Roman" w:cs="Times New Roman"/>
          <w:lang w:val="en-GB"/>
        </w:rPr>
      </w:pPr>
    </w:p>
    <w:p w14:paraId="73B4D09E" w14:textId="6753C77C" w:rsidR="0085074F" w:rsidRPr="00042C69" w:rsidRDefault="0085074F" w:rsidP="0085074F">
      <w:pPr>
        <w:spacing w:line="360" w:lineRule="auto"/>
        <w:jc w:val="both"/>
        <w:rPr>
          <w:rFonts w:ascii="Times New Roman" w:hAnsi="Times New Roman" w:cs="Times New Roman"/>
          <w:b/>
          <w:lang w:val="en-GB"/>
        </w:rPr>
      </w:pPr>
      <w:r w:rsidRPr="004975E3">
        <w:rPr>
          <w:rFonts w:ascii="Times New Roman" w:hAnsi="Times New Roman" w:cs="Times New Roman"/>
          <w:b/>
          <w:lang w:val="en-GB"/>
        </w:rPr>
        <w:t>Blocking solutions:</w:t>
      </w:r>
    </w:p>
    <w:p w14:paraId="1C94A0C2" w14:textId="77777777" w:rsidR="00243911" w:rsidRDefault="0085074F" w:rsidP="0085074F">
      <w:pPr>
        <w:spacing w:line="360" w:lineRule="auto"/>
        <w:jc w:val="both"/>
        <w:rPr>
          <w:rFonts w:ascii="Times New Roman" w:hAnsi="Times New Roman" w:cs="Times New Roman"/>
          <w:lang w:val="en-GB"/>
        </w:rPr>
      </w:pPr>
      <w:r w:rsidRPr="004975E3">
        <w:rPr>
          <w:rFonts w:ascii="Times New Roman" w:hAnsi="Times New Roman" w:cs="Times New Roman"/>
          <w:b/>
          <w:lang w:val="en-GB"/>
        </w:rPr>
        <w:t>Milk</w:t>
      </w:r>
      <w:r w:rsidR="00243911">
        <w:rPr>
          <w:rFonts w:ascii="Times New Roman" w:hAnsi="Times New Roman" w:cs="Times New Roman"/>
          <w:b/>
          <w:lang w:val="en-GB"/>
        </w:rPr>
        <w:t xml:space="preserve">-PBST  </w:t>
      </w:r>
      <w:r w:rsidRPr="004975E3">
        <w:rPr>
          <w:rFonts w:ascii="Times New Roman" w:hAnsi="Times New Roman" w:cs="Times New Roman"/>
          <w:b/>
          <w:lang w:val="en-GB"/>
        </w:rPr>
        <w:t xml:space="preserve"> </w:t>
      </w:r>
      <w:r w:rsidR="00243911">
        <w:rPr>
          <w:rFonts w:ascii="Times New Roman" w:hAnsi="Times New Roman" w:cs="Times New Roman"/>
          <w:b/>
          <w:lang w:val="en-GB"/>
        </w:rPr>
        <w:t xml:space="preserve">                                </w:t>
      </w:r>
      <w:r w:rsidR="00243911">
        <w:rPr>
          <w:rFonts w:ascii="Times New Roman" w:hAnsi="Times New Roman" w:cs="Times New Roman"/>
          <w:lang w:val="en-GB"/>
        </w:rPr>
        <w:t>5% (w/v) Marvel Original Dried</w:t>
      </w:r>
      <w:r w:rsidRPr="004975E3">
        <w:rPr>
          <w:rFonts w:ascii="Times New Roman" w:hAnsi="Times New Roman" w:cs="Times New Roman"/>
          <w:lang w:val="en-GB"/>
        </w:rPr>
        <w:t xml:space="preserve"> Skimmed Milk </w:t>
      </w:r>
    </w:p>
    <w:p w14:paraId="7AB43DE6" w14:textId="54664598" w:rsidR="0085074F" w:rsidRDefault="00243911"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0.01% (v/v) </w:t>
      </w:r>
      <w:r w:rsidR="0085074F" w:rsidRPr="004975E3">
        <w:rPr>
          <w:rFonts w:ascii="Times New Roman" w:hAnsi="Times New Roman" w:cs="Times New Roman"/>
          <w:lang w:val="en-GB"/>
        </w:rPr>
        <w:t xml:space="preserve">Tween 20 </w:t>
      </w:r>
    </w:p>
    <w:p w14:paraId="7288ACCF" w14:textId="005A842E" w:rsidR="00243911" w:rsidRPr="004975E3" w:rsidRDefault="00243911"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in 1x PBS</w:t>
      </w:r>
    </w:p>
    <w:p w14:paraId="6FB78E2C" w14:textId="77777777" w:rsidR="0085074F" w:rsidRPr="004975E3" w:rsidRDefault="0085074F" w:rsidP="0085074F">
      <w:pPr>
        <w:spacing w:line="360" w:lineRule="auto"/>
        <w:jc w:val="both"/>
        <w:rPr>
          <w:rFonts w:ascii="Times New Roman" w:hAnsi="Times New Roman" w:cs="Times New Roman"/>
          <w:color w:val="548DD4" w:themeColor="text2" w:themeTint="99"/>
          <w:lang w:val="en-GB"/>
        </w:rPr>
      </w:pPr>
    </w:p>
    <w:p w14:paraId="5A6FE181" w14:textId="0D797A6C" w:rsidR="00243911" w:rsidRDefault="0085074F" w:rsidP="0085074F">
      <w:pPr>
        <w:spacing w:line="360" w:lineRule="auto"/>
        <w:jc w:val="both"/>
        <w:rPr>
          <w:rFonts w:ascii="Times New Roman" w:hAnsi="Times New Roman" w:cs="Times New Roman"/>
          <w:lang w:val="en-GB"/>
        </w:rPr>
      </w:pPr>
      <w:r w:rsidRPr="004975E3">
        <w:rPr>
          <w:rFonts w:ascii="Times New Roman" w:hAnsi="Times New Roman" w:cs="Times New Roman"/>
          <w:b/>
          <w:lang w:val="en-GB"/>
        </w:rPr>
        <w:t>BSA</w:t>
      </w:r>
      <w:r w:rsidR="00243911">
        <w:rPr>
          <w:rFonts w:ascii="Times New Roman" w:hAnsi="Times New Roman" w:cs="Times New Roman"/>
          <w:b/>
          <w:lang w:val="en-GB"/>
        </w:rPr>
        <w:t xml:space="preserve">-PBST  </w:t>
      </w:r>
      <w:r w:rsidR="00471314">
        <w:rPr>
          <w:rFonts w:ascii="Times New Roman" w:hAnsi="Times New Roman" w:cs="Times New Roman"/>
          <w:b/>
          <w:lang w:val="en-GB"/>
        </w:rPr>
        <w:t xml:space="preserve">                               </w:t>
      </w:r>
      <w:r w:rsidR="00243911">
        <w:rPr>
          <w:rFonts w:ascii="Times New Roman" w:hAnsi="Times New Roman" w:cs="Times New Roman"/>
          <w:lang w:val="en-GB"/>
        </w:rPr>
        <w:t>5%</w:t>
      </w:r>
      <w:r w:rsidRPr="004975E3">
        <w:rPr>
          <w:rFonts w:ascii="Times New Roman" w:hAnsi="Times New Roman" w:cs="Times New Roman"/>
          <w:color w:val="548DD4" w:themeColor="text2" w:themeTint="99"/>
          <w:lang w:val="en-GB"/>
        </w:rPr>
        <w:t xml:space="preserve"> </w:t>
      </w:r>
      <w:r w:rsidRPr="004975E3">
        <w:rPr>
          <w:rFonts w:ascii="Times New Roman" w:hAnsi="Times New Roman" w:cs="Times New Roman"/>
          <w:lang w:val="en-GB"/>
        </w:rPr>
        <w:t xml:space="preserve">Albumin bovine fraction V (BSA) (Melford </w:t>
      </w:r>
      <w:r w:rsidR="00243911">
        <w:rPr>
          <w:rFonts w:ascii="Times New Roman" w:hAnsi="Times New Roman" w:cs="Times New Roman"/>
          <w:lang w:val="en-GB"/>
        </w:rPr>
        <w:t xml:space="preserve">           </w:t>
      </w:r>
    </w:p>
    <w:p w14:paraId="4ABED0A5" w14:textId="58CA0255" w:rsidR="00243911" w:rsidRDefault="00243911"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85074F" w:rsidRPr="004975E3">
        <w:rPr>
          <w:rFonts w:ascii="Times New Roman" w:hAnsi="Times New Roman" w:cs="Times New Roman"/>
          <w:lang w:val="en-GB"/>
        </w:rPr>
        <w:t xml:space="preserve">Laboratories Ltd., Chelsworth, Ipswich, UK) </w:t>
      </w:r>
    </w:p>
    <w:p w14:paraId="6FD6244B" w14:textId="58C86EC3" w:rsidR="0085074F" w:rsidRDefault="00243911"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0.01% (v/v)</w:t>
      </w:r>
      <w:r w:rsidR="0085074F" w:rsidRPr="004975E3">
        <w:rPr>
          <w:rFonts w:ascii="Times New Roman" w:hAnsi="Times New Roman" w:cs="Times New Roman"/>
          <w:lang w:val="en-GB"/>
        </w:rPr>
        <w:t xml:space="preserve"> Tween20 </w:t>
      </w:r>
    </w:p>
    <w:p w14:paraId="30DAC6BC" w14:textId="1C4E20A9" w:rsidR="00243911" w:rsidRPr="004975E3" w:rsidRDefault="00243911"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in 1x PBS</w:t>
      </w:r>
    </w:p>
    <w:p w14:paraId="053B4A42" w14:textId="77777777" w:rsidR="0085074F" w:rsidRPr="004975E3" w:rsidRDefault="0085074F" w:rsidP="0085074F">
      <w:pPr>
        <w:spacing w:line="360" w:lineRule="auto"/>
        <w:jc w:val="both"/>
        <w:rPr>
          <w:rFonts w:ascii="Times New Roman" w:hAnsi="Times New Roman" w:cs="Times New Roman"/>
          <w:color w:val="548DD4" w:themeColor="text2" w:themeTint="99"/>
          <w:lang w:val="en-GB"/>
        </w:rPr>
      </w:pPr>
    </w:p>
    <w:p w14:paraId="276C6FEF" w14:textId="77777777" w:rsidR="00243911" w:rsidRDefault="0085074F" w:rsidP="0085074F">
      <w:pPr>
        <w:spacing w:line="360" w:lineRule="auto"/>
        <w:jc w:val="both"/>
        <w:rPr>
          <w:rFonts w:ascii="Times New Roman" w:hAnsi="Times New Roman" w:cs="Times New Roman"/>
          <w:color w:val="548DD4" w:themeColor="text2" w:themeTint="99"/>
          <w:lang w:val="en-GB"/>
        </w:rPr>
      </w:pPr>
      <w:r w:rsidRPr="004975E3">
        <w:rPr>
          <w:rFonts w:ascii="Times New Roman" w:hAnsi="Times New Roman" w:cs="Times New Roman"/>
          <w:b/>
          <w:lang w:val="en-GB"/>
        </w:rPr>
        <w:t>Western Ezier Super Blocking Buffer for Phospho-Specific Antibody</w:t>
      </w:r>
      <w:r w:rsidRPr="004975E3">
        <w:rPr>
          <w:rFonts w:ascii="Times New Roman" w:hAnsi="Times New Roman" w:cs="Times New Roman"/>
          <w:color w:val="548DD4" w:themeColor="text2" w:themeTint="99"/>
          <w:lang w:val="en-GB"/>
        </w:rPr>
        <w:t xml:space="preserve"> </w:t>
      </w:r>
    </w:p>
    <w:p w14:paraId="4E9C86F0" w14:textId="041B6178" w:rsidR="0085074F" w:rsidRPr="004975E3" w:rsidRDefault="0085074F" w:rsidP="00243911">
      <w:pPr>
        <w:spacing w:line="360" w:lineRule="auto"/>
        <w:ind w:left="720"/>
        <w:jc w:val="both"/>
        <w:rPr>
          <w:rFonts w:ascii="Times New Roman" w:hAnsi="Times New Roman" w:cs="Times New Roman"/>
          <w:lang w:val="en-GB"/>
        </w:rPr>
      </w:pPr>
      <w:r w:rsidRPr="004975E3">
        <w:rPr>
          <w:rFonts w:ascii="Times New Roman" w:hAnsi="Times New Roman" w:cs="Times New Roman"/>
          <w:color w:val="548DD4" w:themeColor="text2" w:themeTint="99"/>
          <w:lang w:val="en-GB"/>
        </w:rPr>
        <w:t xml:space="preserve"> </w:t>
      </w:r>
      <w:r w:rsidRPr="004975E3">
        <w:rPr>
          <w:rFonts w:ascii="Times New Roman" w:hAnsi="Times New Roman" w:cs="Times New Roman"/>
          <w:lang w:val="en-GB"/>
        </w:rPr>
        <w:t>Purchased from GenDEPOT to specifically preserve phospho</w:t>
      </w:r>
      <w:r w:rsidR="003136A3">
        <w:rPr>
          <w:rFonts w:ascii="Times New Roman" w:hAnsi="Times New Roman" w:cs="Times New Roman"/>
          <w:lang w:val="en-GB"/>
        </w:rPr>
        <w:t>protein antigen during blotting (GenDEPOT, Barker, TX, US)</w:t>
      </w:r>
    </w:p>
    <w:p w14:paraId="65F19188" w14:textId="77777777" w:rsidR="0085074F" w:rsidRPr="004975E3" w:rsidRDefault="0085074F" w:rsidP="0085074F">
      <w:pPr>
        <w:spacing w:line="360" w:lineRule="auto"/>
        <w:jc w:val="both"/>
        <w:rPr>
          <w:rFonts w:ascii="Times New Roman" w:hAnsi="Times New Roman" w:cs="Times New Roman"/>
          <w:b/>
          <w:color w:val="548DD4" w:themeColor="text2" w:themeTint="99"/>
          <w:u w:val="single"/>
          <w:lang w:val="en-GB"/>
        </w:rPr>
      </w:pPr>
    </w:p>
    <w:p w14:paraId="37909853" w14:textId="63583080" w:rsidR="00943191" w:rsidRDefault="0085074F" w:rsidP="00B833FD">
      <w:pPr>
        <w:spacing w:line="360" w:lineRule="auto"/>
        <w:jc w:val="both"/>
        <w:rPr>
          <w:rFonts w:ascii="Times New Roman" w:hAnsi="Times New Roman" w:cs="Times New Roman"/>
          <w:lang w:val="en-GB"/>
        </w:rPr>
      </w:pPr>
      <w:r w:rsidRPr="004975E3">
        <w:rPr>
          <w:rFonts w:ascii="Times New Roman" w:hAnsi="Times New Roman" w:cs="Times New Roman"/>
          <w:b/>
          <w:lang w:val="en-GB"/>
        </w:rPr>
        <w:t>Wash buffer</w:t>
      </w:r>
      <w:r w:rsidRPr="004975E3">
        <w:rPr>
          <w:rFonts w:ascii="Times New Roman" w:hAnsi="Times New Roman" w:cs="Times New Roman"/>
          <w:color w:val="548DD4" w:themeColor="text2" w:themeTint="99"/>
          <w:lang w:val="en-GB"/>
        </w:rPr>
        <w:t xml:space="preserve">  </w:t>
      </w:r>
      <w:bookmarkStart w:id="531" w:name="_Toc262895400"/>
      <w:r w:rsidR="00243911">
        <w:rPr>
          <w:rFonts w:ascii="Times New Roman" w:hAnsi="Times New Roman" w:cs="Times New Roman"/>
          <w:color w:val="548DD4" w:themeColor="text2" w:themeTint="99"/>
          <w:lang w:val="en-GB"/>
        </w:rPr>
        <w:t xml:space="preserve">                            </w:t>
      </w:r>
      <w:r w:rsidR="00B833FD">
        <w:rPr>
          <w:rFonts w:ascii="Times New Roman" w:hAnsi="Times New Roman" w:cs="Times New Roman"/>
          <w:lang w:val="en-GB"/>
        </w:rPr>
        <w:t xml:space="preserve">0.01% (v/v) Tween-20 </w:t>
      </w:r>
    </w:p>
    <w:p w14:paraId="494997F5" w14:textId="1D7D5E2E" w:rsidR="00243911" w:rsidRDefault="00243911" w:rsidP="00B833FD">
      <w:pPr>
        <w:spacing w:line="360" w:lineRule="auto"/>
        <w:jc w:val="both"/>
        <w:rPr>
          <w:rFonts w:ascii="Times New Roman" w:hAnsi="Times New Roman" w:cs="Times New Roman"/>
          <w:lang w:val="en-GB"/>
        </w:rPr>
      </w:pPr>
      <w:r>
        <w:rPr>
          <w:rFonts w:ascii="Times New Roman" w:hAnsi="Times New Roman" w:cs="Times New Roman"/>
          <w:lang w:val="en-GB"/>
        </w:rPr>
        <w:t xml:space="preserve">                                                    in 1 x PBS</w:t>
      </w:r>
    </w:p>
    <w:p w14:paraId="78571D0E" w14:textId="77777777" w:rsidR="00DF113C" w:rsidRDefault="00DF113C" w:rsidP="00B833FD">
      <w:pPr>
        <w:spacing w:line="360" w:lineRule="auto"/>
        <w:jc w:val="both"/>
        <w:rPr>
          <w:rFonts w:ascii="Times New Roman" w:hAnsi="Times New Roman" w:cs="Times New Roman"/>
          <w:lang w:val="en-GB"/>
        </w:rPr>
      </w:pPr>
    </w:p>
    <w:p w14:paraId="2976FBF5" w14:textId="427309E8" w:rsidR="003136A3" w:rsidRPr="003136A3" w:rsidRDefault="003136A3" w:rsidP="00B833FD">
      <w:pPr>
        <w:spacing w:line="360" w:lineRule="auto"/>
        <w:jc w:val="both"/>
        <w:rPr>
          <w:rFonts w:ascii="Times New Roman" w:hAnsi="Times New Roman" w:cs="Times New Roman"/>
          <w:lang w:val="en-GB"/>
        </w:rPr>
      </w:pPr>
      <w:r>
        <w:rPr>
          <w:rFonts w:ascii="Times New Roman" w:hAnsi="Times New Roman" w:cs="Times New Roman"/>
          <w:b/>
          <w:lang w:val="en-GB"/>
        </w:rPr>
        <w:t>Enhanced chemiluminescent substrate (ECL)</w:t>
      </w:r>
      <w:r>
        <w:rPr>
          <w:rFonts w:ascii="Times New Roman" w:hAnsi="Times New Roman" w:cs="Times New Roman"/>
          <w:lang w:val="en-GB"/>
        </w:rPr>
        <w:t xml:space="preserve">  (EZ-ECL Biological Industries, Israel)  </w:t>
      </w:r>
    </w:p>
    <w:p w14:paraId="70CB2FEC" w14:textId="77777777" w:rsidR="007E7341" w:rsidRPr="00B833FD" w:rsidRDefault="007E7341" w:rsidP="00A83395">
      <w:pPr>
        <w:pStyle w:val="Heading6"/>
        <w:rPr>
          <w:lang w:val="en-GB"/>
        </w:rPr>
      </w:pPr>
    </w:p>
    <w:p w14:paraId="7628A0A0" w14:textId="73F5627C" w:rsidR="0085074F" w:rsidRPr="00A83395" w:rsidRDefault="0085074F" w:rsidP="00AB1419">
      <w:pPr>
        <w:pStyle w:val="Heading5"/>
      </w:pPr>
      <w:bookmarkStart w:id="532" w:name="_Toc328301111"/>
      <w:bookmarkStart w:id="533" w:name="_Toc329593405"/>
      <w:bookmarkStart w:id="534" w:name="_Toc331425904"/>
      <w:bookmarkStart w:id="535" w:name="_Toc333569344"/>
      <w:bookmarkStart w:id="536" w:name="_Toc333570882"/>
      <w:bookmarkStart w:id="537" w:name="_Toc333585961"/>
      <w:bookmarkStart w:id="538" w:name="_Toc333586836"/>
      <w:bookmarkStart w:id="539" w:name="_Toc333644535"/>
      <w:bookmarkStart w:id="540" w:name="_Toc333644829"/>
      <w:r w:rsidRPr="00A83395">
        <w:t xml:space="preserve">Table </w:t>
      </w:r>
      <w:r w:rsidR="00B345EC" w:rsidRPr="00A83395">
        <w:t>2.1</w:t>
      </w:r>
      <w:r w:rsidR="004D474F">
        <w:t>.</w:t>
      </w:r>
      <w:r w:rsidR="00B345EC" w:rsidRPr="00A83395">
        <w:t xml:space="preserve"> </w:t>
      </w:r>
      <w:r w:rsidRPr="00A83395">
        <w:t>Primary antibodies used for western blotting</w:t>
      </w:r>
      <w:bookmarkEnd w:id="531"/>
      <w:bookmarkEnd w:id="532"/>
      <w:bookmarkEnd w:id="533"/>
      <w:bookmarkEnd w:id="534"/>
      <w:bookmarkEnd w:id="535"/>
      <w:bookmarkEnd w:id="536"/>
      <w:bookmarkEnd w:id="537"/>
      <w:bookmarkEnd w:id="538"/>
      <w:bookmarkEnd w:id="539"/>
      <w:bookmarkEnd w:id="540"/>
    </w:p>
    <w:p w14:paraId="322C60A4" w14:textId="52AABD1D" w:rsidR="00B345EC" w:rsidRPr="004975E3" w:rsidRDefault="00AB06FB" w:rsidP="00AB06FB">
      <w:pPr>
        <w:spacing w:line="360" w:lineRule="auto"/>
        <w:rPr>
          <w:rFonts w:ascii="Times New Roman" w:hAnsi="Times New Roman" w:cs="Times New Roman"/>
        </w:rPr>
      </w:pPr>
      <w:r w:rsidRPr="004975E3">
        <w:rPr>
          <w:rFonts w:ascii="Times New Roman" w:hAnsi="Times New Roman" w:cs="Times New Roman"/>
          <w:lang w:val="en-GB"/>
        </w:rPr>
        <w:t>Primary antibodies used for western blotting in this study. Antibody name, specificity, species, dilution, and source are shown. Abbreviation CST – Cell Signaling Technology.</w:t>
      </w:r>
      <w:r w:rsidR="00DF113C">
        <w:rPr>
          <w:rFonts w:ascii="Times New Roman" w:hAnsi="Times New Roman" w:cs="Times New Roman"/>
          <w:lang w:val="en-GB"/>
        </w:rPr>
        <w:t xml:space="preserve"> Beverly, MA, US</w:t>
      </w:r>
    </w:p>
    <w:tbl>
      <w:tblPr>
        <w:tblStyle w:val="TableGrid"/>
        <w:tblW w:w="8559" w:type="dxa"/>
        <w:tblLayout w:type="fixed"/>
        <w:tblLook w:val="04A0" w:firstRow="1" w:lastRow="0" w:firstColumn="1" w:lastColumn="0" w:noHBand="0" w:noVBand="1"/>
      </w:tblPr>
      <w:tblGrid>
        <w:gridCol w:w="1791"/>
        <w:gridCol w:w="2082"/>
        <w:gridCol w:w="1952"/>
        <w:gridCol w:w="1433"/>
        <w:gridCol w:w="1301"/>
      </w:tblGrid>
      <w:tr w:rsidR="0085074F" w:rsidRPr="004975E3" w14:paraId="2260AC77" w14:textId="77777777" w:rsidTr="00AB2F63">
        <w:trPr>
          <w:trHeight w:val="540"/>
        </w:trPr>
        <w:tc>
          <w:tcPr>
            <w:tcW w:w="1791" w:type="dxa"/>
            <w:shd w:val="clear" w:color="auto" w:fill="000000" w:themeFill="text1"/>
          </w:tcPr>
          <w:p w14:paraId="198CF020" w14:textId="77777777" w:rsidR="0085074F" w:rsidRPr="004975E3" w:rsidRDefault="0085074F" w:rsidP="00CF0DE6">
            <w:pPr>
              <w:jc w:val="center"/>
              <w:rPr>
                <w:rFonts w:ascii="Times New Roman" w:hAnsi="Times New Roman" w:cs="Times New Roman"/>
                <w:b/>
                <w:color w:val="FFFFFF" w:themeColor="background1"/>
                <w:lang w:val="en-GB"/>
              </w:rPr>
            </w:pPr>
            <w:r w:rsidRPr="004975E3">
              <w:rPr>
                <w:rFonts w:ascii="Times New Roman" w:hAnsi="Times New Roman" w:cs="Times New Roman"/>
                <w:b/>
                <w:color w:val="FFFFFF" w:themeColor="background1"/>
                <w:lang w:val="en-GB"/>
              </w:rPr>
              <w:t>Antibody</w:t>
            </w:r>
          </w:p>
        </w:tc>
        <w:tc>
          <w:tcPr>
            <w:tcW w:w="2082" w:type="dxa"/>
            <w:shd w:val="clear" w:color="auto" w:fill="000000" w:themeFill="text1"/>
          </w:tcPr>
          <w:p w14:paraId="4EE4A9EE" w14:textId="77777777" w:rsidR="0085074F" w:rsidRPr="004975E3" w:rsidRDefault="0085074F" w:rsidP="00CF0DE6">
            <w:pPr>
              <w:jc w:val="center"/>
              <w:rPr>
                <w:rFonts w:ascii="Times New Roman" w:hAnsi="Times New Roman" w:cs="Times New Roman"/>
                <w:b/>
                <w:color w:val="FFFFFF" w:themeColor="background1"/>
                <w:lang w:val="en-GB"/>
              </w:rPr>
            </w:pPr>
            <w:r w:rsidRPr="004975E3">
              <w:rPr>
                <w:rFonts w:ascii="Times New Roman" w:hAnsi="Times New Roman" w:cs="Times New Roman"/>
                <w:b/>
                <w:color w:val="FFFFFF" w:themeColor="background1"/>
                <w:lang w:val="en-GB"/>
              </w:rPr>
              <w:t>Specificity</w:t>
            </w:r>
          </w:p>
        </w:tc>
        <w:tc>
          <w:tcPr>
            <w:tcW w:w="1952" w:type="dxa"/>
            <w:shd w:val="clear" w:color="auto" w:fill="000000" w:themeFill="text1"/>
          </w:tcPr>
          <w:p w14:paraId="3557F30B" w14:textId="77777777" w:rsidR="0085074F" w:rsidRPr="004975E3" w:rsidRDefault="0085074F" w:rsidP="00CF0DE6">
            <w:pPr>
              <w:jc w:val="center"/>
              <w:rPr>
                <w:rFonts w:ascii="Times New Roman" w:hAnsi="Times New Roman" w:cs="Times New Roman"/>
                <w:b/>
                <w:color w:val="FFFFFF" w:themeColor="background1"/>
                <w:lang w:val="en-GB"/>
              </w:rPr>
            </w:pPr>
            <w:r w:rsidRPr="004975E3">
              <w:rPr>
                <w:rFonts w:ascii="Times New Roman" w:hAnsi="Times New Roman" w:cs="Times New Roman"/>
                <w:b/>
                <w:color w:val="FFFFFF" w:themeColor="background1"/>
                <w:lang w:val="en-GB"/>
              </w:rPr>
              <w:t>Species/Type</w:t>
            </w:r>
          </w:p>
        </w:tc>
        <w:tc>
          <w:tcPr>
            <w:tcW w:w="1433" w:type="dxa"/>
            <w:shd w:val="clear" w:color="auto" w:fill="000000" w:themeFill="text1"/>
          </w:tcPr>
          <w:p w14:paraId="0A13AFD6" w14:textId="77777777" w:rsidR="0085074F" w:rsidRPr="004975E3" w:rsidRDefault="0085074F" w:rsidP="00CF0DE6">
            <w:pPr>
              <w:jc w:val="center"/>
              <w:rPr>
                <w:rFonts w:ascii="Times New Roman" w:hAnsi="Times New Roman" w:cs="Times New Roman"/>
                <w:b/>
                <w:color w:val="FFFFFF" w:themeColor="background1"/>
                <w:lang w:val="en-GB"/>
              </w:rPr>
            </w:pPr>
            <w:r w:rsidRPr="004975E3">
              <w:rPr>
                <w:rFonts w:ascii="Times New Roman" w:hAnsi="Times New Roman" w:cs="Times New Roman"/>
                <w:b/>
                <w:color w:val="FFFFFF" w:themeColor="background1"/>
                <w:lang w:val="en-GB"/>
              </w:rPr>
              <w:t>Diluent and dilution</w:t>
            </w:r>
          </w:p>
        </w:tc>
        <w:tc>
          <w:tcPr>
            <w:tcW w:w="1301" w:type="dxa"/>
            <w:shd w:val="clear" w:color="auto" w:fill="000000" w:themeFill="text1"/>
          </w:tcPr>
          <w:p w14:paraId="304D591E" w14:textId="77777777" w:rsidR="0085074F" w:rsidRPr="004975E3" w:rsidRDefault="0085074F" w:rsidP="00CF0DE6">
            <w:pPr>
              <w:jc w:val="center"/>
              <w:rPr>
                <w:rFonts w:ascii="Times New Roman" w:hAnsi="Times New Roman" w:cs="Times New Roman"/>
                <w:b/>
                <w:color w:val="FFFFFF" w:themeColor="background1"/>
                <w:lang w:val="en-GB"/>
              </w:rPr>
            </w:pPr>
            <w:r w:rsidRPr="004975E3">
              <w:rPr>
                <w:rFonts w:ascii="Times New Roman" w:hAnsi="Times New Roman" w:cs="Times New Roman"/>
                <w:b/>
                <w:color w:val="FFFFFF" w:themeColor="background1"/>
                <w:lang w:val="en-GB"/>
              </w:rPr>
              <w:t>Source</w:t>
            </w:r>
          </w:p>
        </w:tc>
      </w:tr>
      <w:tr w:rsidR="0085074F" w:rsidRPr="004975E3" w14:paraId="3942877D" w14:textId="77777777" w:rsidTr="00AB2F63">
        <w:trPr>
          <w:trHeight w:val="807"/>
        </w:trPr>
        <w:tc>
          <w:tcPr>
            <w:tcW w:w="1791" w:type="dxa"/>
          </w:tcPr>
          <w:p w14:paraId="71C51F87"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 xml:space="preserve">IGF1Rβ (C-20) </w:t>
            </w:r>
          </w:p>
        </w:tc>
        <w:tc>
          <w:tcPr>
            <w:tcW w:w="2082" w:type="dxa"/>
          </w:tcPr>
          <w:p w14:paraId="32577721" w14:textId="6257863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C-terminus of the IGF</w:t>
            </w:r>
            <w:r w:rsidR="00D15004">
              <w:rPr>
                <w:rFonts w:ascii="Times New Roman" w:hAnsi="Times New Roman" w:cs="Times New Roman"/>
                <w:color w:val="000000" w:themeColor="text1"/>
                <w:lang w:val="en-GB"/>
              </w:rPr>
              <w:t>1</w:t>
            </w:r>
            <w:r w:rsidRPr="004975E3">
              <w:rPr>
                <w:rFonts w:ascii="Times New Roman" w:hAnsi="Times New Roman" w:cs="Times New Roman"/>
                <w:color w:val="000000" w:themeColor="text1"/>
                <w:lang w:val="en-GB"/>
              </w:rPr>
              <w:t xml:space="preserve"> receptor β</w:t>
            </w:r>
          </w:p>
        </w:tc>
        <w:tc>
          <w:tcPr>
            <w:tcW w:w="1952" w:type="dxa"/>
          </w:tcPr>
          <w:p w14:paraId="6081F4D8"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Rabbit polyclonal</w:t>
            </w:r>
          </w:p>
        </w:tc>
        <w:tc>
          <w:tcPr>
            <w:tcW w:w="1433" w:type="dxa"/>
          </w:tcPr>
          <w:p w14:paraId="749AE3B9"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5% BSA/PBST</w:t>
            </w:r>
          </w:p>
          <w:p w14:paraId="751F2791"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1:50</w:t>
            </w:r>
          </w:p>
        </w:tc>
        <w:tc>
          <w:tcPr>
            <w:tcW w:w="1301" w:type="dxa"/>
          </w:tcPr>
          <w:p w14:paraId="473DCD27" w14:textId="330BBC4C"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Santa Cruz</w:t>
            </w:r>
            <w:r w:rsidR="00DF113C">
              <w:rPr>
                <w:rFonts w:ascii="Times New Roman" w:hAnsi="Times New Roman" w:cs="Times New Roman"/>
                <w:color w:val="000000" w:themeColor="text1"/>
                <w:lang w:val="en-GB"/>
              </w:rPr>
              <w:t xml:space="preserve"> Biotechnlogy (SCBT), Dallas, Texas, US</w:t>
            </w:r>
            <w:r w:rsidRPr="004975E3">
              <w:rPr>
                <w:rFonts w:ascii="Times New Roman" w:hAnsi="Times New Roman" w:cs="Times New Roman"/>
                <w:color w:val="000000" w:themeColor="text1"/>
                <w:lang w:val="en-GB"/>
              </w:rPr>
              <w:t xml:space="preserve"> </w:t>
            </w:r>
          </w:p>
          <w:p w14:paraId="28F4252A" w14:textId="77777777" w:rsidR="0085074F" w:rsidRPr="004975E3" w:rsidRDefault="0085074F" w:rsidP="00CF0DE6">
            <w:pPr>
              <w:jc w:val="both"/>
              <w:rPr>
                <w:rFonts w:ascii="Times New Roman" w:hAnsi="Times New Roman" w:cs="Times New Roman"/>
                <w:color w:val="000000" w:themeColor="text1"/>
                <w:lang w:val="en-GB"/>
              </w:rPr>
            </w:pPr>
          </w:p>
        </w:tc>
      </w:tr>
      <w:tr w:rsidR="0085074F" w:rsidRPr="004975E3" w14:paraId="7C93CCBA" w14:textId="77777777" w:rsidTr="00AB2F63">
        <w:trPr>
          <w:trHeight w:val="807"/>
        </w:trPr>
        <w:tc>
          <w:tcPr>
            <w:tcW w:w="1791" w:type="dxa"/>
          </w:tcPr>
          <w:p w14:paraId="485487F9"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 xml:space="preserve">IRβ </w:t>
            </w:r>
          </w:p>
        </w:tc>
        <w:tc>
          <w:tcPr>
            <w:tcW w:w="2082" w:type="dxa"/>
          </w:tcPr>
          <w:p w14:paraId="6DF132D2"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C-terminus of the human insulin receptor β</w:t>
            </w:r>
          </w:p>
        </w:tc>
        <w:tc>
          <w:tcPr>
            <w:tcW w:w="1952" w:type="dxa"/>
          </w:tcPr>
          <w:p w14:paraId="59379A8C"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Rabbit monoclonal</w:t>
            </w:r>
          </w:p>
        </w:tc>
        <w:tc>
          <w:tcPr>
            <w:tcW w:w="1433" w:type="dxa"/>
          </w:tcPr>
          <w:p w14:paraId="4530DB3B"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 xml:space="preserve">5% BSA/PBST </w:t>
            </w:r>
          </w:p>
          <w:p w14:paraId="7E572F43"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1:1000</w:t>
            </w:r>
          </w:p>
        </w:tc>
        <w:tc>
          <w:tcPr>
            <w:tcW w:w="1301" w:type="dxa"/>
          </w:tcPr>
          <w:p w14:paraId="71BD0C75" w14:textId="3628D3AA" w:rsidR="0085074F" w:rsidRPr="004975E3" w:rsidRDefault="0085074F" w:rsidP="00DF113C">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CST</w:t>
            </w:r>
          </w:p>
        </w:tc>
      </w:tr>
      <w:tr w:rsidR="0085074F" w:rsidRPr="004975E3" w14:paraId="7D08A6EB" w14:textId="77777777" w:rsidTr="00AB2F63">
        <w:trPr>
          <w:trHeight w:val="807"/>
        </w:trPr>
        <w:tc>
          <w:tcPr>
            <w:tcW w:w="1791" w:type="dxa"/>
          </w:tcPr>
          <w:p w14:paraId="4D21EEE2"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IRS1</w:t>
            </w:r>
          </w:p>
        </w:tc>
        <w:tc>
          <w:tcPr>
            <w:tcW w:w="2082" w:type="dxa"/>
          </w:tcPr>
          <w:p w14:paraId="29D642EC"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Amino acids 905-1070 of IRS-1 human protein.</w:t>
            </w:r>
          </w:p>
        </w:tc>
        <w:tc>
          <w:tcPr>
            <w:tcW w:w="1952" w:type="dxa"/>
          </w:tcPr>
          <w:p w14:paraId="1BD22404"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Rabbit polyclonal</w:t>
            </w:r>
          </w:p>
        </w:tc>
        <w:tc>
          <w:tcPr>
            <w:tcW w:w="1433" w:type="dxa"/>
          </w:tcPr>
          <w:p w14:paraId="67BC5D7B"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Western Ezier</w:t>
            </w:r>
          </w:p>
          <w:p w14:paraId="405B2215"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1:1000</w:t>
            </w:r>
          </w:p>
        </w:tc>
        <w:tc>
          <w:tcPr>
            <w:tcW w:w="1301" w:type="dxa"/>
          </w:tcPr>
          <w:p w14:paraId="033756C6" w14:textId="3E5EFAF4" w:rsidR="0085074F" w:rsidRPr="004975E3" w:rsidRDefault="0085074F" w:rsidP="00DF113C">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CST</w:t>
            </w:r>
          </w:p>
        </w:tc>
      </w:tr>
      <w:tr w:rsidR="0085074F" w:rsidRPr="004975E3" w14:paraId="46A1CAE1" w14:textId="77777777" w:rsidTr="00AB2F63">
        <w:trPr>
          <w:trHeight w:val="807"/>
        </w:trPr>
        <w:tc>
          <w:tcPr>
            <w:tcW w:w="1791" w:type="dxa"/>
          </w:tcPr>
          <w:p w14:paraId="7593EAAB" w14:textId="64E6210F"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 xml:space="preserve">IRS2 </w:t>
            </w:r>
          </w:p>
        </w:tc>
        <w:tc>
          <w:tcPr>
            <w:tcW w:w="2082" w:type="dxa"/>
          </w:tcPr>
          <w:p w14:paraId="469E8FAB"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IRS-2 human protein</w:t>
            </w:r>
          </w:p>
        </w:tc>
        <w:tc>
          <w:tcPr>
            <w:tcW w:w="1952" w:type="dxa"/>
          </w:tcPr>
          <w:p w14:paraId="4BFA5C2D"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Rabbit polyclonal</w:t>
            </w:r>
          </w:p>
        </w:tc>
        <w:tc>
          <w:tcPr>
            <w:tcW w:w="1433" w:type="dxa"/>
          </w:tcPr>
          <w:p w14:paraId="5EAF0802"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 xml:space="preserve">Western Ezier </w:t>
            </w:r>
          </w:p>
          <w:p w14:paraId="7BD31083"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1:1000</w:t>
            </w:r>
          </w:p>
        </w:tc>
        <w:tc>
          <w:tcPr>
            <w:tcW w:w="1301" w:type="dxa"/>
          </w:tcPr>
          <w:p w14:paraId="6B2D5EFC" w14:textId="6F352961" w:rsidR="0085074F" w:rsidRPr="004975E3" w:rsidRDefault="0085074F" w:rsidP="00DF113C">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CST</w:t>
            </w:r>
          </w:p>
        </w:tc>
      </w:tr>
      <w:tr w:rsidR="0085074F" w:rsidRPr="004975E3" w14:paraId="0C4EDD9F" w14:textId="77777777" w:rsidTr="00AB2F63">
        <w:trPr>
          <w:trHeight w:val="807"/>
        </w:trPr>
        <w:tc>
          <w:tcPr>
            <w:tcW w:w="1791" w:type="dxa"/>
          </w:tcPr>
          <w:p w14:paraId="47F0F1C7" w14:textId="69AC6769" w:rsidR="0085074F" w:rsidRPr="004975E3" w:rsidRDefault="006D3C13"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Phospho Akt</w:t>
            </w:r>
            <w:r w:rsidR="0085074F" w:rsidRPr="004975E3">
              <w:rPr>
                <w:rFonts w:ascii="Times New Roman" w:hAnsi="Times New Roman" w:cs="Times New Roman"/>
                <w:color w:val="000000" w:themeColor="text1"/>
                <w:lang w:val="en-GB"/>
              </w:rPr>
              <w:t xml:space="preserve"> XP (ser473) </w:t>
            </w:r>
          </w:p>
        </w:tc>
        <w:tc>
          <w:tcPr>
            <w:tcW w:w="2082" w:type="dxa"/>
          </w:tcPr>
          <w:p w14:paraId="0178498C" w14:textId="6AFAB344" w:rsidR="0085074F" w:rsidRPr="004975E3" w:rsidRDefault="006D3C13"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Human Akt</w:t>
            </w:r>
            <w:r w:rsidR="0085074F" w:rsidRPr="004975E3">
              <w:rPr>
                <w:rFonts w:ascii="Times New Roman" w:hAnsi="Times New Roman" w:cs="Times New Roman"/>
                <w:color w:val="000000" w:themeColor="text1"/>
                <w:lang w:val="en-GB"/>
              </w:rPr>
              <w:t xml:space="preserve"> phosphorylated at ser473 site.</w:t>
            </w:r>
          </w:p>
        </w:tc>
        <w:tc>
          <w:tcPr>
            <w:tcW w:w="1952" w:type="dxa"/>
          </w:tcPr>
          <w:p w14:paraId="7EAA22B3"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 xml:space="preserve"> Rabbit monoclonal</w:t>
            </w:r>
          </w:p>
        </w:tc>
        <w:tc>
          <w:tcPr>
            <w:tcW w:w="1433" w:type="dxa"/>
          </w:tcPr>
          <w:p w14:paraId="600218A0"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 xml:space="preserve">Western Ezier </w:t>
            </w:r>
          </w:p>
          <w:p w14:paraId="4B779135"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1:1000</w:t>
            </w:r>
          </w:p>
        </w:tc>
        <w:tc>
          <w:tcPr>
            <w:tcW w:w="1301" w:type="dxa"/>
          </w:tcPr>
          <w:p w14:paraId="450A8B59"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CST</w:t>
            </w:r>
          </w:p>
          <w:p w14:paraId="4090C127" w14:textId="77777777" w:rsidR="0085074F" w:rsidRPr="004975E3" w:rsidRDefault="0085074F" w:rsidP="00CF0DE6">
            <w:pPr>
              <w:jc w:val="both"/>
              <w:rPr>
                <w:rFonts w:ascii="Times New Roman" w:hAnsi="Times New Roman" w:cs="Times New Roman"/>
                <w:color w:val="000000" w:themeColor="text1"/>
                <w:lang w:val="en-GB"/>
              </w:rPr>
            </w:pPr>
          </w:p>
        </w:tc>
      </w:tr>
      <w:tr w:rsidR="0085074F" w:rsidRPr="004975E3" w14:paraId="2E3C5E86" w14:textId="77777777" w:rsidTr="00AB2F63">
        <w:trPr>
          <w:trHeight w:val="791"/>
        </w:trPr>
        <w:tc>
          <w:tcPr>
            <w:tcW w:w="1791" w:type="dxa"/>
          </w:tcPr>
          <w:p w14:paraId="4898D82E" w14:textId="374AB5B9" w:rsidR="0085074F" w:rsidRPr="004975E3" w:rsidRDefault="006D3C13"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Akt</w:t>
            </w:r>
            <w:r w:rsidR="0085074F" w:rsidRPr="004975E3">
              <w:rPr>
                <w:rFonts w:ascii="Times New Roman" w:hAnsi="Times New Roman" w:cs="Times New Roman"/>
                <w:color w:val="000000" w:themeColor="text1"/>
                <w:lang w:val="en-GB"/>
              </w:rPr>
              <w:t xml:space="preserve"> </w:t>
            </w:r>
          </w:p>
        </w:tc>
        <w:tc>
          <w:tcPr>
            <w:tcW w:w="2082" w:type="dxa"/>
          </w:tcPr>
          <w:p w14:paraId="2AAA3820" w14:textId="055215B0" w:rsidR="0085074F" w:rsidRPr="004975E3" w:rsidRDefault="006D3C13"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Akt</w:t>
            </w:r>
            <w:r w:rsidR="0085074F" w:rsidRPr="004975E3">
              <w:rPr>
                <w:rFonts w:ascii="Times New Roman" w:hAnsi="Times New Roman" w:cs="Times New Roman"/>
                <w:color w:val="000000" w:themeColor="text1"/>
                <w:lang w:val="en-GB"/>
              </w:rPr>
              <w:t xml:space="preserve"> human protein</w:t>
            </w:r>
          </w:p>
        </w:tc>
        <w:tc>
          <w:tcPr>
            <w:tcW w:w="1952" w:type="dxa"/>
          </w:tcPr>
          <w:p w14:paraId="5F37EE2D"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Rabbit polyclonal</w:t>
            </w:r>
          </w:p>
        </w:tc>
        <w:tc>
          <w:tcPr>
            <w:tcW w:w="1433" w:type="dxa"/>
          </w:tcPr>
          <w:p w14:paraId="7FB92A48"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 xml:space="preserve">Western Ezier </w:t>
            </w:r>
          </w:p>
          <w:p w14:paraId="7D98089C"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1:1000</w:t>
            </w:r>
          </w:p>
        </w:tc>
        <w:tc>
          <w:tcPr>
            <w:tcW w:w="1301" w:type="dxa"/>
          </w:tcPr>
          <w:p w14:paraId="4C8F3DA2"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CST</w:t>
            </w:r>
          </w:p>
        </w:tc>
      </w:tr>
      <w:tr w:rsidR="0085074F" w:rsidRPr="004975E3" w14:paraId="626EEA4F" w14:textId="77777777" w:rsidTr="00AB2F63">
        <w:trPr>
          <w:trHeight w:val="824"/>
        </w:trPr>
        <w:tc>
          <w:tcPr>
            <w:tcW w:w="1791" w:type="dxa"/>
          </w:tcPr>
          <w:p w14:paraId="5D02F905"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Phospho-p44/42 MAPK (Erk1/2) (Thr202/Tyr204)</w:t>
            </w:r>
          </w:p>
        </w:tc>
        <w:tc>
          <w:tcPr>
            <w:tcW w:w="2082" w:type="dxa"/>
          </w:tcPr>
          <w:p w14:paraId="56181373" w14:textId="1864D516"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 xml:space="preserve">MAPK human protein phosphorylated at residue </w:t>
            </w:r>
            <w:r w:rsidR="00491E16">
              <w:t>Thr202/Tyr204</w:t>
            </w:r>
          </w:p>
        </w:tc>
        <w:tc>
          <w:tcPr>
            <w:tcW w:w="1952" w:type="dxa"/>
          </w:tcPr>
          <w:p w14:paraId="74AF0C6C"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Rabbit polyclonal</w:t>
            </w:r>
          </w:p>
        </w:tc>
        <w:tc>
          <w:tcPr>
            <w:tcW w:w="1433" w:type="dxa"/>
          </w:tcPr>
          <w:p w14:paraId="7A7C8FC7"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 xml:space="preserve">Western Ezier </w:t>
            </w:r>
          </w:p>
          <w:p w14:paraId="17A4D1F0"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1:1000</w:t>
            </w:r>
          </w:p>
        </w:tc>
        <w:tc>
          <w:tcPr>
            <w:tcW w:w="1301" w:type="dxa"/>
          </w:tcPr>
          <w:p w14:paraId="2916956B"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CST</w:t>
            </w:r>
          </w:p>
        </w:tc>
      </w:tr>
      <w:tr w:rsidR="0085074F" w:rsidRPr="004975E3" w14:paraId="4A6EA867" w14:textId="77777777" w:rsidTr="00AB2F63">
        <w:trPr>
          <w:trHeight w:val="769"/>
        </w:trPr>
        <w:tc>
          <w:tcPr>
            <w:tcW w:w="1791" w:type="dxa"/>
          </w:tcPr>
          <w:p w14:paraId="541FBAA1"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 xml:space="preserve">p44/42 MAPK (Erk1/2) </w:t>
            </w:r>
          </w:p>
        </w:tc>
        <w:tc>
          <w:tcPr>
            <w:tcW w:w="2082" w:type="dxa"/>
          </w:tcPr>
          <w:p w14:paraId="60479BD6"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MAPK human protein</w:t>
            </w:r>
          </w:p>
        </w:tc>
        <w:tc>
          <w:tcPr>
            <w:tcW w:w="1952" w:type="dxa"/>
          </w:tcPr>
          <w:p w14:paraId="3632496B"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Rabbit polyclonal</w:t>
            </w:r>
          </w:p>
        </w:tc>
        <w:tc>
          <w:tcPr>
            <w:tcW w:w="1433" w:type="dxa"/>
          </w:tcPr>
          <w:p w14:paraId="42375E32"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 xml:space="preserve">Western Ezier </w:t>
            </w:r>
          </w:p>
          <w:p w14:paraId="61257336"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1:1000</w:t>
            </w:r>
          </w:p>
        </w:tc>
        <w:tc>
          <w:tcPr>
            <w:tcW w:w="1301" w:type="dxa"/>
          </w:tcPr>
          <w:p w14:paraId="74C1D0A8"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CST</w:t>
            </w:r>
          </w:p>
        </w:tc>
      </w:tr>
      <w:tr w:rsidR="0085074F" w:rsidRPr="004975E3" w14:paraId="17FD28B2" w14:textId="77777777" w:rsidTr="00AB2F63">
        <w:trPr>
          <w:trHeight w:val="807"/>
        </w:trPr>
        <w:tc>
          <w:tcPr>
            <w:tcW w:w="1791" w:type="dxa"/>
          </w:tcPr>
          <w:p w14:paraId="123F5C80"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 xml:space="preserve">β-actin antibody </w:t>
            </w:r>
          </w:p>
        </w:tc>
        <w:tc>
          <w:tcPr>
            <w:tcW w:w="2082" w:type="dxa"/>
          </w:tcPr>
          <w:p w14:paraId="23CC4F40"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β-actin human protein</w:t>
            </w:r>
          </w:p>
        </w:tc>
        <w:tc>
          <w:tcPr>
            <w:tcW w:w="1952" w:type="dxa"/>
          </w:tcPr>
          <w:p w14:paraId="70091F4A"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Mouse monoclonal</w:t>
            </w:r>
          </w:p>
        </w:tc>
        <w:tc>
          <w:tcPr>
            <w:tcW w:w="1433" w:type="dxa"/>
          </w:tcPr>
          <w:p w14:paraId="2902604E"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 xml:space="preserve">5% Milk/PBST </w:t>
            </w:r>
          </w:p>
          <w:p w14:paraId="5B356514"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1:10000</w:t>
            </w:r>
          </w:p>
        </w:tc>
        <w:tc>
          <w:tcPr>
            <w:tcW w:w="1301" w:type="dxa"/>
          </w:tcPr>
          <w:p w14:paraId="2A739AD1" w14:textId="5C2DD029"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Abcam</w:t>
            </w:r>
            <w:r w:rsidR="00DF113C">
              <w:rPr>
                <w:rFonts w:ascii="Times New Roman" w:hAnsi="Times New Roman" w:cs="Times New Roman"/>
                <w:color w:val="000000" w:themeColor="text1"/>
                <w:lang w:val="en-GB"/>
              </w:rPr>
              <w:t>, Cambridge, UK</w:t>
            </w:r>
          </w:p>
          <w:p w14:paraId="161BD20A" w14:textId="77777777" w:rsidR="00B84AFA" w:rsidRDefault="00B84AFA" w:rsidP="00CF0DE6">
            <w:pPr>
              <w:jc w:val="both"/>
              <w:rPr>
                <w:rFonts w:ascii="Times New Roman" w:hAnsi="Times New Roman" w:cs="Times New Roman"/>
                <w:color w:val="000000" w:themeColor="text1"/>
                <w:lang w:val="en-GB"/>
              </w:rPr>
            </w:pPr>
          </w:p>
          <w:p w14:paraId="44559277" w14:textId="77777777" w:rsidR="00B84AFA" w:rsidRDefault="00B84AFA" w:rsidP="00CF0DE6">
            <w:pPr>
              <w:jc w:val="both"/>
              <w:rPr>
                <w:rFonts w:ascii="Times New Roman" w:hAnsi="Times New Roman" w:cs="Times New Roman"/>
                <w:color w:val="000000" w:themeColor="text1"/>
                <w:lang w:val="en-GB"/>
              </w:rPr>
            </w:pPr>
          </w:p>
          <w:p w14:paraId="300702A4" w14:textId="77777777" w:rsidR="00B84AFA" w:rsidRPr="004975E3" w:rsidRDefault="00B84AFA" w:rsidP="00CF0DE6">
            <w:pPr>
              <w:jc w:val="both"/>
              <w:rPr>
                <w:rFonts w:ascii="Times New Roman" w:hAnsi="Times New Roman" w:cs="Times New Roman"/>
                <w:color w:val="000000" w:themeColor="text1"/>
                <w:lang w:val="en-GB"/>
              </w:rPr>
            </w:pPr>
          </w:p>
        </w:tc>
      </w:tr>
      <w:tr w:rsidR="00B84AFA" w:rsidRPr="004975E3" w14:paraId="7F0F7AAC" w14:textId="77777777" w:rsidTr="00AB2F63">
        <w:trPr>
          <w:trHeight w:val="807"/>
        </w:trPr>
        <w:tc>
          <w:tcPr>
            <w:tcW w:w="1791" w:type="dxa"/>
          </w:tcPr>
          <w:p w14:paraId="6EC65430" w14:textId="24D0AB17" w:rsidR="00B84AFA" w:rsidRPr="004975E3" w:rsidRDefault="00CB3B19"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ϒ-H2AX</w:t>
            </w:r>
          </w:p>
        </w:tc>
        <w:tc>
          <w:tcPr>
            <w:tcW w:w="2082" w:type="dxa"/>
          </w:tcPr>
          <w:p w14:paraId="4998B3FE" w14:textId="37EE818F" w:rsidR="00B84AFA" w:rsidRPr="00AB2F63" w:rsidRDefault="00AB2F63" w:rsidP="00CF0DE6">
            <w:pPr>
              <w:jc w:val="both"/>
              <w:rPr>
                <w:rFonts w:ascii="Times New Roman" w:hAnsi="Times New Roman" w:cs="Times New Roman"/>
                <w:color w:val="000000" w:themeColor="text1"/>
                <w:lang w:val="en-GB"/>
              </w:rPr>
            </w:pPr>
            <w:r w:rsidRPr="00AB2F63">
              <w:rPr>
                <w:rFonts w:ascii="Times New Roman" w:hAnsi="Times New Roman" w:cs="Times New Roman"/>
                <w:color w:val="2A2A2A"/>
              </w:rPr>
              <w:t>Phosphopeptide containing human Histone H2AX S139 site</w:t>
            </w:r>
          </w:p>
        </w:tc>
        <w:tc>
          <w:tcPr>
            <w:tcW w:w="1952" w:type="dxa"/>
          </w:tcPr>
          <w:p w14:paraId="5CBF086E" w14:textId="27B3449F" w:rsidR="00AB2F63" w:rsidRDefault="00AB2F63"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Rabbit</w:t>
            </w:r>
          </w:p>
          <w:p w14:paraId="023DE92D" w14:textId="123A2C38" w:rsidR="00B84AFA" w:rsidRPr="004975E3" w:rsidRDefault="00AB2F63"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 xml:space="preserve">polyclonal </w:t>
            </w:r>
          </w:p>
        </w:tc>
        <w:tc>
          <w:tcPr>
            <w:tcW w:w="1433" w:type="dxa"/>
          </w:tcPr>
          <w:p w14:paraId="6F4F7AC4" w14:textId="77777777" w:rsidR="00B84AFA" w:rsidRDefault="00AB2F63"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Western Ezier</w:t>
            </w:r>
          </w:p>
          <w:p w14:paraId="1C2704EB" w14:textId="57259FDF" w:rsidR="00491E16" w:rsidRPr="004975E3" w:rsidRDefault="00491E16"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1:1000</w:t>
            </w:r>
          </w:p>
        </w:tc>
        <w:tc>
          <w:tcPr>
            <w:tcW w:w="1301" w:type="dxa"/>
          </w:tcPr>
          <w:p w14:paraId="1FF46D3D" w14:textId="3C7E5C8D" w:rsidR="00B84AFA" w:rsidRPr="004975E3" w:rsidRDefault="00AB2F63" w:rsidP="00DF113C">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R</w:t>
            </w:r>
            <w:r w:rsidR="00DF113C">
              <w:rPr>
                <w:rFonts w:ascii="Times New Roman" w:hAnsi="Times New Roman" w:cs="Times New Roman"/>
                <w:color w:val="000000" w:themeColor="text1"/>
                <w:lang w:val="en-GB"/>
              </w:rPr>
              <w:t>&amp;</w:t>
            </w:r>
            <w:r>
              <w:rPr>
                <w:rFonts w:ascii="Times New Roman" w:hAnsi="Times New Roman" w:cs="Times New Roman"/>
                <w:color w:val="000000" w:themeColor="text1"/>
                <w:lang w:val="en-GB"/>
              </w:rPr>
              <w:t>D systems</w:t>
            </w:r>
            <w:r w:rsidR="00DF113C">
              <w:rPr>
                <w:rFonts w:ascii="Times New Roman" w:hAnsi="Times New Roman" w:cs="Times New Roman"/>
                <w:color w:val="000000" w:themeColor="text1"/>
                <w:lang w:val="en-GB"/>
              </w:rPr>
              <w:t>, MN, USA</w:t>
            </w:r>
          </w:p>
        </w:tc>
      </w:tr>
      <w:tr w:rsidR="00B84AFA" w:rsidRPr="004975E3" w14:paraId="0E53C521" w14:textId="77777777" w:rsidTr="00AB2F63">
        <w:trPr>
          <w:trHeight w:val="807"/>
        </w:trPr>
        <w:tc>
          <w:tcPr>
            <w:tcW w:w="1791" w:type="dxa"/>
          </w:tcPr>
          <w:p w14:paraId="4D4D32A8" w14:textId="41A44E7B" w:rsidR="00B84AFA" w:rsidRPr="004975E3" w:rsidRDefault="00CB3B19"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GFAP</w:t>
            </w:r>
          </w:p>
        </w:tc>
        <w:tc>
          <w:tcPr>
            <w:tcW w:w="2082" w:type="dxa"/>
          </w:tcPr>
          <w:p w14:paraId="259D30F2" w14:textId="1F029074" w:rsidR="00B84AFA" w:rsidRPr="004975E3" w:rsidRDefault="005735EF"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GFAP</w:t>
            </w:r>
          </w:p>
        </w:tc>
        <w:tc>
          <w:tcPr>
            <w:tcW w:w="1952" w:type="dxa"/>
          </w:tcPr>
          <w:p w14:paraId="1A6B8C8F" w14:textId="646F4E8D" w:rsidR="00B84AFA" w:rsidRPr="004975E3" w:rsidRDefault="003665A6"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Rabbit</w:t>
            </w:r>
            <w:r w:rsidR="004F2C69">
              <w:rPr>
                <w:rFonts w:ascii="Times New Roman" w:hAnsi="Times New Roman" w:cs="Times New Roman"/>
                <w:color w:val="000000" w:themeColor="text1"/>
                <w:lang w:val="en-GB"/>
              </w:rPr>
              <w:t xml:space="preserve"> polyclonal</w:t>
            </w:r>
          </w:p>
        </w:tc>
        <w:tc>
          <w:tcPr>
            <w:tcW w:w="1433" w:type="dxa"/>
          </w:tcPr>
          <w:p w14:paraId="597312CA" w14:textId="77777777" w:rsidR="00B84AFA" w:rsidRDefault="004F2C69"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Western Ezier</w:t>
            </w:r>
          </w:p>
          <w:p w14:paraId="2AFBF8DB" w14:textId="2EA4B4FD" w:rsidR="00491E16" w:rsidRPr="004975E3" w:rsidRDefault="00491E16"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1:1000</w:t>
            </w:r>
          </w:p>
        </w:tc>
        <w:tc>
          <w:tcPr>
            <w:tcW w:w="1301" w:type="dxa"/>
          </w:tcPr>
          <w:p w14:paraId="3ECBE2CB" w14:textId="5CC8075F" w:rsidR="00B84AFA" w:rsidRDefault="004F2C69"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Abcam</w:t>
            </w:r>
            <w:r w:rsidR="00DF113C">
              <w:rPr>
                <w:rFonts w:ascii="Times New Roman" w:hAnsi="Times New Roman" w:cs="Times New Roman"/>
                <w:color w:val="000000" w:themeColor="text1"/>
                <w:lang w:val="en-GB"/>
              </w:rPr>
              <w:t>, Cambridge, UK</w:t>
            </w:r>
          </w:p>
          <w:p w14:paraId="1F86B829" w14:textId="0E09D00F" w:rsidR="004F2C69" w:rsidRPr="004975E3" w:rsidRDefault="004F2C69"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Ab7260</w:t>
            </w:r>
          </w:p>
        </w:tc>
      </w:tr>
      <w:tr w:rsidR="00CB3B19" w:rsidRPr="004975E3" w14:paraId="797B4B82" w14:textId="77777777" w:rsidTr="00AB2F63">
        <w:trPr>
          <w:trHeight w:val="925"/>
        </w:trPr>
        <w:tc>
          <w:tcPr>
            <w:tcW w:w="1791" w:type="dxa"/>
          </w:tcPr>
          <w:p w14:paraId="6B8F342F" w14:textId="77777777" w:rsidR="00CB3B19" w:rsidRDefault="00CB3B19"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Alpha-tubulin</w:t>
            </w:r>
          </w:p>
          <w:p w14:paraId="6FD1D2F3" w14:textId="77777777" w:rsidR="005735EF" w:rsidRDefault="005735EF" w:rsidP="00CF0DE6">
            <w:pPr>
              <w:jc w:val="both"/>
              <w:rPr>
                <w:rFonts w:ascii="Times New Roman" w:hAnsi="Times New Roman" w:cs="Times New Roman"/>
                <w:color w:val="000000" w:themeColor="text1"/>
                <w:lang w:val="en-GB"/>
              </w:rPr>
            </w:pPr>
          </w:p>
          <w:p w14:paraId="794A5666" w14:textId="7AB66096" w:rsidR="005735EF" w:rsidRDefault="005735EF" w:rsidP="00CF0DE6">
            <w:pPr>
              <w:jc w:val="both"/>
              <w:rPr>
                <w:rFonts w:ascii="Times New Roman" w:hAnsi="Times New Roman" w:cs="Times New Roman"/>
                <w:color w:val="000000" w:themeColor="text1"/>
                <w:lang w:val="en-GB"/>
              </w:rPr>
            </w:pPr>
          </w:p>
        </w:tc>
        <w:tc>
          <w:tcPr>
            <w:tcW w:w="2082" w:type="dxa"/>
          </w:tcPr>
          <w:p w14:paraId="33E178CC" w14:textId="42F08BE0" w:rsidR="00CB3B19" w:rsidRPr="00AB2F63" w:rsidRDefault="00AB2F63" w:rsidP="00CF0DE6">
            <w:pPr>
              <w:jc w:val="both"/>
              <w:rPr>
                <w:rFonts w:ascii="Times New Roman" w:hAnsi="Times New Roman" w:cs="Times New Roman"/>
                <w:color w:val="000000" w:themeColor="text1"/>
                <w:lang w:val="en-GB"/>
              </w:rPr>
            </w:pPr>
            <w:r w:rsidRPr="00AB2F63">
              <w:rPr>
                <w:rFonts w:ascii="Times New Roman" w:hAnsi="Times New Roman" w:cs="Times New Roman"/>
                <w:color w:val="262626"/>
              </w:rPr>
              <w:t>Synthetic peptide conjugated to KLH derived from within residues 1 - 100 of Human alpha Tubulin.</w:t>
            </w:r>
          </w:p>
        </w:tc>
        <w:tc>
          <w:tcPr>
            <w:tcW w:w="1952" w:type="dxa"/>
          </w:tcPr>
          <w:p w14:paraId="6BE3F9C1" w14:textId="79C712A9" w:rsidR="00CB3B19" w:rsidRPr="004975E3" w:rsidRDefault="004F2C69"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Rabbit polyclonal</w:t>
            </w:r>
          </w:p>
        </w:tc>
        <w:tc>
          <w:tcPr>
            <w:tcW w:w="1433" w:type="dxa"/>
          </w:tcPr>
          <w:p w14:paraId="7FC00D12" w14:textId="77777777" w:rsidR="00CB3B19" w:rsidRDefault="004F2C69"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Western Ezier</w:t>
            </w:r>
          </w:p>
          <w:p w14:paraId="23F1648A" w14:textId="05C27077" w:rsidR="00491E16" w:rsidRPr="004975E3" w:rsidRDefault="00491E16"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1:5000</w:t>
            </w:r>
          </w:p>
        </w:tc>
        <w:tc>
          <w:tcPr>
            <w:tcW w:w="1301" w:type="dxa"/>
          </w:tcPr>
          <w:p w14:paraId="297F8A45" w14:textId="00CFBC7B" w:rsidR="00CB3B19" w:rsidRDefault="004F2C69"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Abcam</w:t>
            </w:r>
            <w:r w:rsidR="00DF113C">
              <w:rPr>
                <w:rFonts w:ascii="Times New Roman" w:hAnsi="Times New Roman" w:cs="Times New Roman"/>
                <w:color w:val="000000" w:themeColor="text1"/>
                <w:lang w:val="en-GB"/>
              </w:rPr>
              <w:t>, Cambridge, UK</w:t>
            </w:r>
          </w:p>
          <w:p w14:paraId="7EAACCAF" w14:textId="1CE84319" w:rsidR="004F2C69" w:rsidRPr="004975E3" w:rsidRDefault="004F2C69"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Ab4074</w:t>
            </w:r>
          </w:p>
        </w:tc>
      </w:tr>
      <w:tr w:rsidR="005735EF" w:rsidRPr="004975E3" w14:paraId="73678FEF" w14:textId="77777777" w:rsidTr="00AB2F63">
        <w:trPr>
          <w:trHeight w:val="964"/>
        </w:trPr>
        <w:tc>
          <w:tcPr>
            <w:tcW w:w="1791" w:type="dxa"/>
          </w:tcPr>
          <w:p w14:paraId="336C1587" w14:textId="358E3084" w:rsidR="005735EF" w:rsidRDefault="005735EF"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Neurofilament Light (NFL)</w:t>
            </w:r>
          </w:p>
          <w:p w14:paraId="5482B608" w14:textId="77777777" w:rsidR="005735EF" w:rsidRDefault="005735EF" w:rsidP="00CF0DE6">
            <w:pPr>
              <w:jc w:val="both"/>
              <w:rPr>
                <w:rFonts w:ascii="Times New Roman" w:hAnsi="Times New Roman" w:cs="Times New Roman"/>
                <w:color w:val="000000" w:themeColor="text1"/>
                <w:lang w:val="en-GB"/>
              </w:rPr>
            </w:pPr>
          </w:p>
          <w:p w14:paraId="2D6E1A10" w14:textId="77777777" w:rsidR="005735EF" w:rsidRDefault="005735EF" w:rsidP="00CF0DE6">
            <w:pPr>
              <w:jc w:val="both"/>
              <w:rPr>
                <w:rFonts w:ascii="Times New Roman" w:hAnsi="Times New Roman" w:cs="Times New Roman"/>
                <w:color w:val="000000" w:themeColor="text1"/>
                <w:lang w:val="en-GB"/>
              </w:rPr>
            </w:pPr>
          </w:p>
        </w:tc>
        <w:tc>
          <w:tcPr>
            <w:tcW w:w="2082" w:type="dxa"/>
          </w:tcPr>
          <w:p w14:paraId="73EA90FB" w14:textId="36D85A9E" w:rsidR="005735EF" w:rsidRPr="004975E3" w:rsidRDefault="00AB2F63"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NFL</w:t>
            </w:r>
          </w:p>
        </w:tc>
        <w:tc>
          <w:tcPr>
            <w:tcW w:w="1952" w:type="dxa"/>
          </w:tcPr>
          <w:p w14:paraId="08C8DDBB" w14:textId="5D8541D5" w:rsidR="005735EF" w:rsidRDefault="00FF4E6A"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Mouse monoclonal</w:t>
            </w:r>
          </w:p>
        </w:tc>
        <w:tc>
          <w:tcPr>
            <w:tcW w:w="1433" w:type="dxa"/>
          </w:tcPr>
          <w:p w14:paraId="0F6141B3" w14:textId="77777777" w:rsidR="005735EF" w:rsidRDefault="00FF4E6A"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Western Ezier</w:t>
            </w:r>
          </w:p>
          <w:p w14:paraId="1CEEFBD1" w14:textId="212239E9" w:rsidR="00491E16" w:rsidRDefault="00491E16"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1:1000</w:t>
            </w:r>
          </w:p>
        </w:tc>
        <w:tc>
          <w:tcPr>
            <w:tcW w:w="1301" w:type="dxa"/>
          </w:tcPr>
          <w:p w14:paraId="1998433E" w14:textId="77777777" w:rsidR="005735EF" w:rsidRDefault="00FF4E6A"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Novus Biologicals</w:t>
            </w:r>
          </w:p>
          <w:p w14:paraId="173F5333" w14:textId="015862F1" w:rsidR="00AB2F63" w:rsidRDefault="00AB2F63"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NB300-132B1</w:t>
            </w:r>
          </w:p>
        </w:tc>
      </w:tr>
    </w:tbl>
    <w:p w14:paraId="64E11947" w14:textId="0AE4509E" w:rsidR="0085074F" w:rsidRPr="007E7341" w:rsidRDefault="0085074F" w:rsidP="00AB1419">
      <w:pPr>
        <w:pStyle w:val="Heading5"/>
      </w:pPr>
      <w:bookmarkStart w:id="541" w:name="_Toc262895401"/>
      <w:bookmarkStart w:id="542" w:name="_Toc328301112"/>
      <w:bookmarkStart w:id="543" w:name="_Toc329593406"/>
      <w:bookmarkStart w:id="544" w:name="_Toc331425905"/>
      <w:bookmarkStart w:id="545" w:name="_Toc333569345"/>
      <w:bookmarkStart w:id="546" w:name="_Toc333570883"/>
      <w:bookmarkStart w:id="547" w:name="_Toc333585962"/>
      <w:bookmarkStart w:id="548" w:name="_Toc333586837"/>
      <w:bookmarkStart w:id="549" w:name="_Toc333644536"/>
      <w:bookmarkStart w:id="550" w:name="_Toc333644830"/>
      <w:r w:rsidRPr="007E7341">
        <w:t xml:space="preserve">Table </w:t>
      </w:r>
      <w:r w:rsidR="00B345EC" w:rsidRPr="007E7341">
        <w:t>2.2</w:t>
      </w:r>
      <w:r w:rsidR="004D474F">
        <w:t>.</w:t>
      </w:r>
      <w:r w:rsidR="00B345EC" w:rsidRPr="007E7341">
        <w:t xml:space="preserve"> </w:t>
      </w:r>
      <w:r w:rsidRPr="007E7341">
        <w:t>Secondary antibodies used in western blotting</w:t>
      </w:r>
      <w:bookmarkEnd w:id="541"/>
      <w:bookmarkEnd w:id="542"/>
      <w:bookmarkEnd w:id="543"/>
      <w:bookmarkEnd w:id="544"/>
      <w:bookmarkEnd w:id="545"/>
      <w:bookmarkEnd w:id="546"/>
      <w:bookmarkEnd w:id="547"/>
      <w:bookmarkEnd w:id="548"/>
      <w:bookmarkEnd w:id="549"/>
      <w:bookmarkEnd w:id="550"/>
    </w:p>
    <w:p w14:paraId="487B1DC5" w14:textId="3631D7EC" w:rsidR="00AB06FB" w:rsidRPr="004975E3" w:rsidRDefault="00AB06FB" w:rsidP="00AB06FB">
      <w:pPr>
        <w:autoSpaceDE w:val="0"/>
        <w:autoSpaceDN w:val="0"/>
        <w:adjustRightInd w:val="0"/>
        <w:spacing w:line="360" w:lineRule="auto"/>
        <w:rPr>
          <w:rFonts w:ascii="Times New Roman" w:hAnsi="Times New Roman" w:cs="Times New Roman"/>
          <w:lang w:val="en-GB"/>
        </w:rPr>
      </w:pPr>
      <w:r w:rsidRPr="004975E3">
        <w:rPr>
          <w:rFonts w:ascii="Times New Roman" w:hAnsi="Times New Roman" w:cs="Times New Roman"/>
          <w:lang w:val="en-GB"/>
        </w:rPr>
        <w:t>Secondary antibodies used for western blotting in this study. Antibody reactivity, dilution and source are shown.</w:t>
      </w:r>
      <w:r>
        <w:rPr>
          <w:rFonts w:ascii="Times New Roman" w:hAnsi="Times New Roman" w:cs="Times New Roman"/>
          <w:lang w:val="en-GB"/>
        </w:rPr>
        <w:t xml:space="preserve"> Abbreviation HRP- Horseradish peroxidase</w:t>
      </w:r>
    </w:p>
    <w:p w14:paraId="2A93B001" w14:textId="46D0EC7E" w:rsidR="0085074F" w:rsidRPr="004975E3" w:rsidRDefault="0085074F" w:rsidP="0085074F">
      <w:pPr>
        <w:spacing w:line="360" w:lineRule="auto"/>
        <w:jc w:val="both"/>
        <w:rPr>
          <w:rFonts w:ascii="Times New Roman" w:hAnsi="Times New Roman" w:cs="Times New Roman"/>
          <w:color w:val="548DD4" w:themeColor="text2" w:themeTint="99"/>
          <w:lang w:val="en-GB"/>
        </w:rPr>
      </w:pPr>
    </w:p>
    <w:tbl>
      <w:tblPr>
        <w:tblStyle w:val="TableGrid"/>
        <w:tblW w:w="0" w:type="auto"/>
        <w:tblLayout w:type="fixed"/>
        <w:tblLook w:val="04A0" w:firstRow="1" w:lastRow="0" w:firstColumn="1" w:lastColumn="0" w:noHBand="0" w:noVBand="1"/>
      </w:tblPr>
      <w:tblGrid>
        <w:gridCol w:w="3023"/>
        <w:gridCol w:w="2900"/>
        <w:gridCol w:w="2095"/>
      </w:tblGrid>
      <w:tr w:rsidR="0085074F" w:rsidRPr="004975E3" w14:paraId="3E5ADB79" w14:textId="77777777" w:rsidTr="00202F9B">
        <w:trPr>
          <w:trHeight w:val="289"/>
        </w:trPr>
        <w:tc>
          <w:tcPr>
            <w:tcW w:w="3023" w:type="dxa"/>
            <w:shd w:val="clear" w:color="auto" w:fill="000000" w:themeFill="text1"/>
          </w:tcPr>
          <w:p w14:paraId="7ED3EFD3" w14:textId="77777777" w:rsidR="0085074F" w:rsidRPr="004975E3" w:rsidRDefault="0085074F" w:rsidP="00CF0DE6">
            <w:pPr>
              <w:spacing w:line="360" w:lineRule="auto"/>
              <w:jc w:val="both"/>
              <w:rPr>
                <w:rFonts w:ascii="Times New Roman" w:hAnsi="Times New Roman" w:cs="Times New Roman"/>
                <w:b/>
                <w:color w:val="FFFFFF" w:themeColor="background1"/>
                <w:lang w:val="en-GB"/>
              </w:rPr>
            </w:pPr>
            <w:r w:rsidRPr="004975E3">
              <w:rPr>
                <w:rFonts w:ascii="Times New Roman" w:hAnsi="Times New Roman" w:cs="Times New Roman"/>
                <w:b/>
                <w:color w:val="FFFFFF" w:themeColor="background1"/>
                <w:lang w:val="en-GB"/>
              </w:rPr>
              <w:t>Antibody</w:t>
            </w:r>
          </w:p>
        </w:tc>
        <w:tc>
          <w:tcPr>
            <w:tcW w:w="2900" w:type="dxa"/>
            <w:shd w:val="clear" w:color="auto" w:fill="000000" w:themeFill="text1"/>
          </w:tcPr>
          <w:p w14:paraId="23A46D36" w14:textId="77777777" w:rsidR="0085074F" w:rsidRPr="004975E3" w:rsidRDefault="0085074F" w:rsidP="00CF0DE6">
            <w:pPr>
              <w:spacing w:line="360" w:lineRule="auto"/>
              <w:jc w:val="both"/>
              <w:rPr>
                <w:rFonts w:ascii="Times New Roman" w:hAnsi="Times New Roman" w:cs="Times New Roman"/>
                <w:b/>
                <w:color w:val="FFFFFF" w:themeColor="background1"/>
                <w:lang w:val="en-GB"/>
              </w:rPr>
            </w:pPr>
            <w:r w:rsidRPr="004975E3">
              <w:rPr>
                <w:rFonts w:ascii="Times New Roman" w:hAnsi="Times New Roman" w:cs="Times New Roman"/>
                <w:b/>
                <w:color w:val="FFFFFF" w:themeColor="background1"/>
                <w:lang w:val="en-GB"/>
              </w:rPr>
              <w:t>Dilution</w:t>
            </w:r>
          </w:p>
        </w:tc>
        <w:tc>
          <w:tcPr>
            <w:tcW w:w="2095" w:type="dxa"/>
            <w:shd w:val="clear" w:color="auto" w:fill="000000" w:themeFill="text1"/>
          </w:tcPr>
          <w:p w14:paraId="75FE7852" w14:textId="77777777" w:rsidR="0085074F" w:rsidRPr="004975E3" w:rsidRDefault="0085074F" w:rsidP="00CF0DE6">
            <w:pPr>
              <w:spacing w:line="360" w:lineRule="auto"/>
              <w:jc w:val="both"/>
              <w:rPr>
                <w:rFonts w:ascii="Times New Roman" w:hAnsi="Times New Roman" w:cs="Times New Roman"/>
                <w:b/>
                <w:color w:val="FFFFFF" w:themeColor="background1"/>
                <w:lang w:val="en-GB"/>
              </w:rPr>
            </w:pPr>
            <w:r w:rsidRPr="004975E3">
              <w:rPr>
                <w:rFonts w:ascii="Times New Roman" w:hAnsi="Times New Roman" w:cs="Times New Roman"/>
                <w:b/>
                <w:color w:val="FFFFFF" w:themeColor="background1"/>
                <w:lang w:val="en-GB"/>
              </w:rPr>
              <w:t>Source</w:t>
            </w:r>
          </w:p>
        </w:tc>
      </w:tr>
      <w:tr w:rsidR="0085074F" w:rsidRPr="004975E3" w14:paraId="678AD009" w14:textId="77777777" w:rsidTr="00202F9B">
        <w:trPr>
          <w:trHeight w:val="578"/>
        </w:trPr>
        <w:tc>
          <w:tcPr>
            <w:tcW w:w="3023" w:type="dxa"/>
          </w:tcPr>
          <w:p w14:paraId="3EA28A32" w14:textId="77777777" w:rsidR="0085074F" w:rsidRPr="004975E3" w:rsidRDefault="0085074F" w:rsidP="00CF0DE6">
            <w:pPr>
              <w:spacing w:line="360" w:lineRule="auto"/>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Goat anti-rabbit IgG-HRP</w:t>
            </w:r>
          </w:p>
        </w:tc>
        <w:tc>
          <w:tcPr>
            <w:tcW w:w="2900" w:type="dxa"/>
          </w:tcPr>
          <w:p w14:paraId="7C9C86D0" w14:textId="77777777" w:rsidR="0085074F" w:rsidRPr="004975E3" w:rsidRDefault="0085074F" w:rsidP="00CF0DE6">
            <w:pPr>
              <w:spacing w:line="360" w:lineRule="auto"/>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1/5000</w:t>
            </w:r>
          </w:p>
        </w:tc>
        <w:tc>
          <w:tcPr>
            <w:tcW w:w="2095" w:type="dxa"/>
          </w:tcPr>
          <w:p w14:paraId="1BECD3EC" w14:textId="0A1C1627" w:rsidR="0085074F" w:rsidRPr="004975E3" w:rsidRDefault="0085074F" w:rsidP="00CF0DE6">
            <w:pPr>
              <w:spacing w:line="360" w:lineRule="auto"/>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DAKO</w:t>
            </w:r>
            <w:r w:rsidR="003136A3">
              <w:rPr>
                <w:rFonts w:ascii="Times New Roman" w:hAnsi="Times New Roman" w:cs="Times New Roman"/>
                <w:color w:val="000000" w:themeColor="text1"/>
                <w:lang w:val="en-GB"/>
              </w:rPr>
              <w:t>, Copenhagen, Denmark</w:t>
            </w:r>
          </w:p>
        </w:tc>
      </w:tr>
      <w:tr w:rsidR="0085074F" w:rsidRPr="004975E3" w14:paraId="663DF41F" w14:textId="77777777" w:rsidTr="00202F9B">
        <w:trPr>
          <w:trHeight w:val="578"/>
        </w:trPr>
        <w:tc>
          <w:tcPr>
            <w:tcW w:w="3023" w:type="dxa"/>
          </w:tcPr>
          <w:p w14:paraId="535BD82A" w14:textId="77777777" w:rsidR="0085074F" w:rsidRPr="004975E3" w:rsidRDefault="0085074F" w:rsidP="00CF0DE6">
            <w:pPr>
              <w:spacing w:line="360" w:lineRule="auto"/>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Goat anti-mouse IgG-HRP</w:t>
            </w:r>
          </w:p>
        </w:tc>
        <w:tc>
          <w:tcPr>
            <w:tcW w:w="2900" w:type="dxa"/>
          </w:tcPr>
          <w:p w14:paraId="05809682" w14:textId="77777777" w:rsidR="0085074F" w:rsidRPr="004975E3" w:rsidRDefault="0085074F" w:rsidP="00CF0DE6">
            <w:pPr>
              <w:spacing w:line="360" w:lineRule="auto"/>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1/5000</w:t>
            </w:r>
          </w:p>
        </w:tc>
        <w:tc>
          <w:tcPr>
            <w:tcW w:w="2095" w:type="dxa"/>
          </w:tcPr>
          <w:p w14:paraId="311AA523" w14:textId="728A7BEE" w:rsidR="0085074F" w:rsidRPr="004975E3" w:rsidRDefault="0085074F" w:rsidP="00CF0DE6">
            <w:pPr>
              <w:spacing w:line="360" w:lineRule="auto"/>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DAKO</w:t>
            </w:r>
            <w:r w:rsidR="003136A3">
              <w:rPr>
                <w:rFonts w:ascii="Times New Roman" w:hAnsi="Times New Roman" w:cs="Times New Roman"/>
                <w:color w:val="000000" w:themeColor="text1"/>
                <w:lang w:val="en-GB"/>
              </w:rPr>
              <w:t>, Copenhagen, Denmark</w:t>
            </w:r>
          </w:p>
        </w:tc>
      </w:tr>
    </w:tbl>
    <w:p w14:paraId="2293E35D" w14:textId="77777777" w:rsidR="005735EF" w:rsidRDefault="005735EF" w:rsidP="005735EF">
      <w:pPr>
        <w:autoSpaceDE w:val="0"/>
        <w:autoSpaceDN w:val="0"/>
        <w:adjustRightInd w:val="0"/>
        <w:spacing w:line="360" w:lineRule="auto"/>
        <w:rPr>
          <w:rFonts w:ascii="Times New Roman" w:hAnsi="Times New Roman" w:cs="Times New Roman"/>
          <w:lang w:val="en-GB"/>
        </w:rPr>
      </w:pPr>
    </w:p>
    <w:p w14:paraId="6FE481F6" w14:textId="77777777" w:rsidR="0085074F" w:rsidRPr="004975E3" w:rsidRDefault="0085074F" w:rsidP="0085074F">
      <w:pPr>
        <w:autoSpaceDE w:val="0"/>
        <w:autoSpaceDN w:val="0"/>
        <w:adjustRightInd w:val="0"/>
        <w:spacing w:line="360" w:lineRule="auto"/>
        <w:rPr>
          <w:rFonts w:ascii="Times New Roman" w:hAnsi="Times New Roman" w:cs="Times New Roman"/>
          <w:b/>
          <w:color w:val="548DD4" w:themeColor="text2" w:themeTint="99"/>
          <w:u w:val="single"/>
          <w:lang w:val="en-GB"/>
        </w:rPr>
      </w:pPr>
    </w:p>
    <w:p w14:paraId="2C5AC01E" w14:textId="1207DD90" w:rsidR="0085074F" w:rsidRPr="00EB4F0E" w:rsidRDefault="00243911" w:rsidP="009A1D4C">
      <w:pPr>
        <w:pStyle w:val="Heading3"/>
        <w:rPr>
          <w:u w:val="single"/>
        </w:rPr>
      </w:pPr>
      <w:bookmarkStart w:id="551" w:name="_Toc262895402"/>
      <w:bookmarkStart w:id="552" w:name="_Toc328301113"/>
      <w:bookmarkStart w:id="553" w:name="_Toc329593407"/>
      <w:bookmarkStart w:id="554" w:name="_Toc331425906"/>
      <w:bookmarkStart w:id="555" w:name="_Toc331427089"/>
      <w:bookmarkStart w:id="556" w:name="_Toc331427461"/>
      <w:bookmarkStart w:id="557" w:name="_Toc331427603"/>
      <w:bookmarkStart w:id="558" w:name="_Toc332972607"/>
      <w:bookmarkStart w:id="559" w:name="_Toc333046886"/>
      <w:bookmarkStart w:id="560" w:name="_Toc333477233"/>
      <w:bookmarkStart w:id="561" w:name="_Toc333478003"/>
      <w:bookmarkStart w:id="562" w:name="_Toc333644903"/>
      <w:r w:rsidRPr="00EB4F0E">
        <w:rPr>
          <w:u w:val="single"/>
        </w:rPr>
        <w:t>2.1.4</w:t>
      </w:r>
      <w:r w:rsidR="00D01519" w:rsidRPr="00EB4F0E">
        <w:rPr>
          <w:u w:val="single"/>
        </w:rPr>
        <w:t xml:space="preserve"> </w:t>
      </w:r>
      <w:r w:rsidR="0085074F" w:rsidRPr="00EB4F0E">
        <w:rPr>
          <w:u w:val="single"/>
        </w:rPr>
        <w:t xml:space="preserve">RNA </w:t>
      </w:r>
      <w:r w:rsidR="00967133">
        <w:rPr>
          <w:u w:val="single"/>
        </w:rPr>
        <w:t>isolation, cDNA synthesis and q</w:t>
      </w:r>
      <w:r w:rsidR="00122C02" w:rsidRPr="00EB4F0E">
        <w:rPr>
          <w:u w:val="single"/>
        </w:rPr>
        <w:t>RT</w:t>
      </w:r>
      <w:r w:rsidR="00967133">
        <w:rPr>
          <w:u w:val="single"/>
        </w:rPr>
        <w:t>-</w:t>
      </w:r>
      <w:r w:rsidR="0085074F" w:rsidRPr="00EB4F0E">
        <w:rPr>
          <w:u w:val="single"/>
        </w:rPr>
        <w:t>PCR</w:t>
      </w:r>
      <w:bookmarkEnd w:id="551"/>
      <w:bookmarkEnd w:id="552"/>
      <w:bookmarkEnd w:id="553"/>
      <w:bookmarkEnd w:id="554"/>
      <w:bookmarkEnd w:id="555"/>
      <w:bookmarkEnd w:id="556"/>
      <w:bookmarkEnd w:id="557"/>
      <w:bookmarkEnd w:id="558"/>
      <w:bookmarkEnd w:id="559"/>
      <w:bookmarkEnd w:id="560"/>
      <w:bookmarkEnd w:id="561"/>
      <w:bookmarkEnd w:id="562"/>
    </w:p>
    <w:p w14:paraId="3088FB38" w14:textId="77777777" w:rsidR="0085074F" w:rsidRPr="004975E3" w:rsidRDefault="0085074F" w:rsidP="0085074F">
      <w:pPr>
        <w:spacing w:line="360" w:lineRule="auto"/>
        <w:jc w:val="both"/>
        <w:rPr>
          <w:rFonts w:ascii="Times New Roman" w:hAnsi="Times New Roman" w:cs="Times New Roman"/>
          <w:b/>
          <w:color w:val="548DD4" w:themeColor="text2" w:themeTint="99"/>
          <w:lang w:val="en-GB"/>
        </w:rPr>
      </w:pPr>
    </w:p>
    <w:p w14:paraId="121A4F4A" w14:textId="67A6990E" w:rsidR="0085074F" w:rsidRPr="002E0156" w:rsidRDefault="0085074F" w:rsidP="0085074F">
      <w:pPr>
        <w:spacing w:line="360" w:lineRule="auto"/>
        <w:jc w:val="both"/>
        <w:rPr>
          <w:rFonts w:ascii="Times New Roman" w:hAnsi="Times New Roman" w:cs="Times New Roman"/>
          <w:lang w:val="en-GB"/>
        </w:rPr>
      </w:pPr>
      <w:r w:rsidRPr="004975E3">
        <w:rPr>
          <w:rFonts w:ascii="Times New Roman" w:hAnsi="Times New Roman" w:cs="Times New Roman"/>
          <w:b/>
          <w:lang w:val="en-GB"/>
        </w:rPr>
        <w:t>TRIzol</w:t>
      </w:r>
      <w:r w:rsidR="00FB13DD">
        <w:rPr>
          <w:rFonts w:ascii="Times New Roman" w:hAnsi="Times New Roman" w:cs="Times New Roman"/>
          <w:b/>
          <w:lang w:val="en-GB"/>
        </w:rPr>
        <w:t>®</w:t>
      </w:r>
      <w:r w:rsidRPr="004975E3">
        <w:rPr>
          <w:rFonts w:ascii="Times New Roman" w:hAnsi="Times New Roman" w:cs="Times New Roman"/>
          <w:b/>
          <w:lang w:val="en-GB"/>
        </w:rPr>
        <w:t xml:space="preserve"> Reagent</w:t>
      </w:r>
      <w:r w:rsidRPr="004975E3">
        <w:rPr>
          <w:rFonts w:ascii="Times New Roman" w:hAnsi="Times New Roman" w:cs="Times New Roman"/>
          <w:color w:val="548DD4" w:themeColor="text2" w:themeTint="99"/>
          <w:lang w:val="en-GB"/>
        </w:rPr>
        <w:t xml:space="preserve"> </w:t>
      </w:r>
      <w:r w:rsidR="00243911">
        <w:rPr>
          <w:rFonts w:ascii="Times New Roman" w:hAnsi="Times New Roman" w:cs="Times New Roman"/>
          <w:lang w:val="en-GB"/>
        </w:rPr>
        <w:t>(</w:t>
      </w:r>
      <w:r w:rsidRPr="004975E3">
        <w:rPr>
          <w:rFonts w:ascii="Times New Roman" w:hAnsi="Times New Roman" w:cs="Times New Roman"/>
          <w:lang w:val="en-GB"/>
        </w:rPr>
        <w:t>Life Technologies</w:t>
      </w:r>
      <w:r w:rsidR="002E0156">
        <w:rPr>
          <w:rFonts w:ascii="Times New Roman" w:hAnsi="Times New Roman" w:cs="Times New Roman"/>
          <w:lang w:val="en-GB"/>
        </w:rPr>
        <w:t>, Carlasbad, CA Ref 15596026)</w:t>
      </w:r>
      <w:r w:rsidR="00243911">
        <w:rPr>
          <w:rFonts w:ascii="Times New Roman" w:hAnsi="Times New Roman" w:cs="Times New Roman"/>
          <w:lang w:val="en-GB"/>
        </w:rPr>
        <w:t xml:space="preserve"> </w:t>
      </w:r>
    </w:p>
    <w:p w14:paraId="1660895A" w14:textId="77777777" w:rsidR="0085074F" w:rsidRPr="004975E3" w:rsidRDefault="0085074F" w:rsidP="0085074F">
      <w:pPr>
        <w:spacing w:line="360" w:lineRule="auto"/>
        <w:jc w:val="both"/>
        <w:rPr>
          <w:rFonts w:ascii="Times New Roman" w:hAnsi="Times New Roman" w:cs="Times New Roman"/>
          <w:b/>
          <w:color w:val="548DD4" w:themeColor="text2" w:themeTint="99"/>
          <w:u w:val="single"/>
          <w:lang w:val="en-GB"/>
        </w:rPr>
      </w:pPr>
    </w:p>
    <w:p w14:paraId="1081EF68" w14:textId="4780044A" w:rsidR="0085074F" w:rsidRPr="002E0156" w:rsidRDefault="0085074F" w:rsidP="0085074F">
      <w:pPr>
        <w:spacing w:line="360" w:lineRule="auto"/>
        <w:jc w:val="both"/>
        <w:rPr>
          <w:rFonts w:ascii="Times New Roman" w:hAnsi="Times New Roman" w:cs="Times New Roman"/>
          <w:lang w:val="en-GB"/>
        </w:rPr>
      </w:pPr>
      <w:r w:rsidRPr="004975E3">
        <w:rPr>
          <w:rFonts w:ascii="Times New Roman" w:hAnsi="Times New Roman" w:cs="Times New Roman"/>
          <w:b/>
          <w:lang w:val="en-GB"/>
        </w:rPr>
        <w:t>RNA clean and concentrator isolation kit</w:t>
      </w:r>
      <w:r w:rsidRPr="004975E3">
        <w:rPr>
          <w:rFonts w:ascii="Times New Roman" w:hAnsi="Times New Roman" w:cs="Times New Roman"/>
          <w:lang w:val="en-GB"/>
        </w:rPr>
        <w:t xml:space="preserve"> </w:t>
      </w:r>
      <w:r w:rsidR="00943191">
        <w:rPr>
          <w:rFonts w:ascii="Times New Roman" w:hAnsi="Times New Roman" w:cs="Times New Roman"/>
          <w:lang w:val="en-GB"/>
        </w:rPr>
        <w:t>Direct-Zol</w:t>
      </w:r>
      <w:r w:rsidR="003A4D75">
        <w:rPr>
          <w:rFonts w:ascii="Times New Roman" w:hAnsi="Times New Roman" w:cs="Times New Roman"/>
          <w:lang w:val="en-GB"/>
        </w:rPr>
        <w:t>™</w:t>
      </w:r>
      <w:r w:rsidR="00943191">
        <w:rPr>
          <w:rFonts w:ascii="Times New Roman" w:hAnsi="Times New Roman" w:cs="Times New Roman"/>
          <w:lang w:val="en-GB"/>
        </w:rPr>
        <w:t xml:space="preserve"> </w:t>
      </w:r>
      <w:r w:rsidRPr="004975E3">
        <w:rPr>
          <w:rFonts w:ascii="Times New Roman" w:hAnsi="Times New Roman" w:cs="Times New Roman"/>
          <w:lang w:val="en-GB"/>
        </w:rPr>
        <w:t xml:space="preserve">RNA isolation kit </w:t>
      </w:r>
      <w:r w:rsidR="00243911">
        <w:rPr>
          <w:rFonts w:ascii="Times New Roman" w:hAnsi="Times New Roman" w:cs="Times New Roman"/>
          <w:lang w:val="en-GB"/>
        </w:rPr>
        <w:t>(Zymo Research</w:t>
      </w:r>
      <w:r w:rsidR="002E0156">
        <w:rPr>
          <w:rFonts w:ascii="Times New Roman" w:hAnsi="Times New Roman" w:cs="Times New Roman"/>
          <w:lang w:val="en-GB"/>
        </w:rPr>
        <w:t>,</w:t>
      </w:r>
      <w:r w:rsidR="00DF113C">
        <w:rPr>
          <w:rFonts w:ascii="Times New Roman" w:hAnsi="Times New Roman" w:cs="Times New Roman"/>
          <w:lang w:val="en-GB"/>
        </w:rPr>
        <w:t xml:space="preserve"> Irvine, CA,</w:t>
      </w:r>
      <w:r w:rsidR="002E0156">
        <w:rPr>
          <w:rFonts w:ascii="Times New Roman" w:hAnsi="Times New Roman" w:cs="Times New Roman"/>
          <w:lang w:val="en-GB"/>
        </w:rPr>
        <w:t xml:space="preserve"> USA) Cat no. R1015</w:t>
      </w:r>
    </w:p>
    <w:p w14:paraId="63CA149D" w14:textId="77777777" w:rsidR="0085074F" w:rsidRPr="004975E3" w:rsidRDefault="0085074F" w:rsidP="0085074F">
      <w:pPr>
        <w:spacing w:line="360" w:lineRule="auto"/>
        <w:jc w:val="both"/>
        <w:rPr>
          <w:rFonts w:ascii="Times New Roman" w:hAnsi="Times New Roman" w:cs="Times New Roman"/>
          <w:b/>
          <w:color w:val="548DD4" w:themeColor="text2" w:themeTint="99"/>
          <w:u w:val="single"/>
          <w:lang w:val="en-GB"/>
        </w:rPr>
      </w:pPr>
    </w:p>
    <w:p w14:paraId="41316435" w14:textId="3835CA56" w:rsidR="0085074F" w:rsidRPr="007A2989" w:rsidRDefault="0085074F" w:rsidP="00B345EC">
      <w:pPr>
        <w:spacing w:line="360" w:lineRule="auto"/>
        <w:rPr>
          <w:rFonts w:ascii="Times New Roman" w:hAnsi="Times New Roman" w:cs="Times New Roman"/>
        </w:rPr>
      </w:pPr>
      <w:r w:rsidRPr="004975E3">
        <w:rPr>
          <w:rFonts w:ascii="Times New Roman" w:hAnsi="Times New Roman" w:cs="Times New Roman"/>
          <w:b/>
        </w:rPr>
        <w:t xml:space="preserve">iScript </w:t>
      </w:r>
      <w:r w:rsidRPr="004975E3">
        <w:rPr>
          <w:rFonts w:ascii="Times New Roman" w:hAnsi="Times New Roman" w:cs="Times New Roman"/>
          <w:b/>
          <w:vertAlign w:val="superscript"/>
        </w:rPr>
        <w:t>TM</w:t>
      </w:r>
      <w:r w:rsidRPr="004975E3">
        <w:rPr>
          <w:rFonts w:ascii="Times New Roman" w:hAnsi="Times New Roman" w:cs="Times New Roman"/>
          <w:b/>
        </w:rPr>
        <w:t xml:space="preserve"> Select cDNA synthesis kit</w:t>
      </w:r>
      <w:r w:rsidR="00B345EC">
        <w:rPr>
          <w:rFonts w:ascii="Times New Roman" w:hAnsi="Times New Roman" w:cs="Times New Roman"/>
          <w:b/>
        </w:rPr>
        <w:t xml:space="preserve"> </w:t>
      </w:r>
      <w:r w:rsidR="00243911">
        <w:rPr>
          <w:rFonts w:ascii="Times New Roman" w:hAnsi="Times New Roman" w:cs="Times New Roman"/>
        </w:rPr>
        <w:t>(</w:t>
      </w:r>
      <w:r w:rsidRPr="004975E3">
        <w:rPr>
          <w:rFonts w:ascii="Times New Roman" w:hAnsi="Times New Roman" w:cs="Times New Roman"/>
        </w:rPr>
        <w:t>Bio-Rad</w:t>
      </w:r>
      <w:r w:rsidR="007A2989">
        <w:rPr>
          <w:rFonts w:ascii="Times New Roman" w:hAnsi="Times New Roman" w:cs="Times New Roman"/>
        </w:rPr>
        <w:t>, Hercules, CA)</w:t>
      </w:r>
    </w:p>
    <w:p w14:paraId="257CD22F" w14:textId="77777777" w:rsidR="00B345EC" w:rsidRDefault="00B345EC" w:rsidP="00B345EC">
      <w:pPr>
        <w:rPr>
          <w:rFonts w:ascii="Times New Roman" w:hAnsi="Times New Roman" w:cs="Times New Roman"/>
        </w:rPr>
      </w:pPr>
    </w:p>
    <w:p w14:paraId="252915B4" w14:textId="779D9AC5" w:rsidR="00B833FD" w:rsidRDefault="00B345EC" w:rsidP="006869AC">
      <w:pPr>
        <w:spacing w:line="360" w:lineRule="auto"/>
        <w:rPr>
          <w:rFonts w:ascii="Times New Roman" w:hAnsi="Times New Roman" w:cs="Times New Roman"/>
        </w:rPr>
      </w:pPr>
      <w:r>
        <w:rPr>
          <w:rFonts w:ascii="Times New Roman" w:hAnsi="Times New Roman" w:cs="Times New Roman"/>
          <w:b/>
        </w:rPr>
        <w:t xml:space="preserve">qScript™ cDNA SuperMix </w:t>
      </w:r>
      <w:r w:rsidR="00243911">
        <w:rPr>
          <w:rFonts w:ascii="Times New Roman" w:hAnsi="Times New Roman" w:cs="Times New Roman"/>
        </w:rPr>
        <w:t>(Q</w:t>
      </w:r>
      <w:r w:rsidR="00312125">
        <w:rPr>
          <w:rFonts w:ascii="Times New Roman" w:hAnsi="Times New Roman" w:cs="Times New Roman"/>
        </w:rPr>
        <w:t>uanta,</w:t>
      </w:r>
      <w:r w:rsidR="00243911">
        <w:rPr>
          <w:rFonts w:ascii="Times New Roman" w:hAnsi="Times New Roman" w:cs="Times New Roman"/>
        </w:rPr>
        <w:t xml:space="preserve"> Biosciences</w:t>
      </w:r>
      <w:r w:rsidR="007A2989">
        <w:rPr>
          <w:rFonts w:ascii="Times New Roman" w:hAnsi="Times New Roman" w:cs="Times New Roman"/>
        </w:rPr>
        <w:t>, Beverly, US)</w:t>
      </w:r>
    </w:p>
    <w:p w14:paraId="4CD13D06" w14:textId="77777777" w:rsidR="006869AC" w:rsidRPr="006869AC" w:rsidRDefault="006869AC" w:rsidP="006869AC">
      <w:pPr>
        <w:spacing w:line="360" w:lineRule="auto"/>
        <w:rPr>
          <w:rFonts w:ascii="Times New Roman" w:hAnsi="Times New Roman" w:cs="Times New Roman"/>
        </w:rPr>
      </w:pPr>
    </w:p>
    <w:p w14:paraId="030EE87F" w14:textId="77777777" w:rsidR="003E7BDB" w:rsidRDefault="003E7BDB" w:rsidP="00AB06FB">
      <w:pPr>
        <w:spacing w:line="360" w:lineRule="auto"/>
        <w:jc w:val="both"/>
        <w:rPr>
          <w:rFonts w:ascii="Times New Roman" w:hAnsi="Times New Roman" w:cs="Times New Roman"/>
          <w:b/>
          <w:lang w:val="en-GB"/>
        </w:rPr>
      </w:pPr>
    </w:p>
    <w:p w14:paraId="6DFA0389" w14:textId="77777777" w:rsidR="003E7BDB" w:rsidRDefault="003E7BDB" w:rsidP="00AB06FB">
      <w:pPr>
        <w:spacing w:line="360" w:lineRule="auto"/>
        <w:jc w:val="both"/>
        <w:rPr>
          <w:rFonts w:ascii="Times New Roman" w:hAnsi="Times New Roman" w:cs="Times New Roman"/>
          <w:b/>
          <w:lang w:val="en-GB"/>
        </w:rPr>
      </w:pPr>
    </w:p>
    <w:p w14:paraId="2B668FD7" w14:textId="77777777" w:rsidR="003E7BDB" w:rsidRDefault="003E7BDB" w:rsidP="00AB06FB">
      <w:pPr>
        <w:spacing w:line="360" w:lineRule="auto"/>
        <w:jc w:val="both"/>
        <w:rPr>
          <w:rFonts w:ascii="Times New Roman" w:hAnsi="Times New Roman" w:cs="Times New Roman"/>
          <w:b/>
          <w:lang w:val="en-GB"/>
        </w:rPr>
      </w:pPr>
    </w:p>
    <w:p w14:paraId="516E0BC9" w14:textId="77777777" w:rsidR="003E7BDB" w:rsidRDefault="003E7BDB" w:rsidP="00AB06FB">
      <w:pPr>
        <w:spacing w:line="360" w:lineRule="auto"/>
        <w:jc w:val="both"/>
        <w:rPr>
          <w:rFonts w:ascii="Times New Roman" w:hAnsi="Times New Roman" w:cs="Times New Roman"/>
          <w:b/>
          <w:lang w:val="en-GB"/>
        </w:rPr>
      </w:pPr>
    </w:p>
    <w:p w14:paraId="17824BAD" w14:textId="77777777" w:rsidR="00223CD8" w:rsidRDefault="00223CD8" w:rsidP="00AB1419">
      <w:pPr>
        <w:pStyle w:val="Heading5"/>
        <w:rPr>
          <w:lang w:val="en-GB"/>
        </w:rPr>
      </w:pPr>
      <w:bookmarkStart w:id="563" w:name="_Toc333569346"/>
      <w:bookmarkStart w:id="564" w:name="_Toc333570884"/>
      <w:bookmarkStart w:id="565" w:name="_Toc333585963"/>
      <w:bookmarkStart w:id="566" w:name="_Toc333586838"/>
      <w:bookmarkStart w:id="567" w:name="_Toc333644537"/>
      <w:bookmarkStart w:id="568" w:name="_Toc333644831"/>
    </w:p>
    <w:p w14:paraId="7C9DE7DD" w14:textId="77777777" w:rsidR="00223CD8" w:rsidRPr="00223CD8" w:rsidRDefault="00223CD8" w:rsidP="00223CD8"/>
    <w:p w14:paraId="6EAFAE3C" w14:textId="73D69A24" w:rsidR="00AB06FB" w:rsidRPr="00A83395" w:rsidRDefault="00307968" w:rsidP="00AB1419">
      <w:pPr>
        <w:pStyle w:val="Heading5"/>
        <w:rPr>
          <w:lang w:val="en-GB"/>
        </w:rPr>
      </w:pPr>
      <w:r w:rsidRPr="00A83395">
        <w:rPr>
          <w:lang w:val="en-GB"/>
        </w:rPr>
        <w:t xml:space="preserve">Table </w:t>
      </w:r>
      <w:r w:rsidR="00B345EC" w:rsidRPr="00A83395">
        <w:rPr>
          <w:lang w:val="en-GB"/>
        </w:rPr>
        <w:t>2.3</w:t>
      </w:r>
      <w:r w:rsidR="004D474F">
        <w:rPr>
          <w:lang w:val="en-GB"/>
        </w:rPr>
        <w:t>.</w:t>
      </w:r>
      <w:r w:rsidR="00B345EC" w:rsidRPr="00A83395">
        <w:rPr>
          <w:lang w:val="en-GB"/>
        </w:rPr>
        <w:t xml:space="preserve"> </w:t>
      </w:r>
      <w:r w:rsidRPr="00A83395">
        <w:rPr>
          <w:lang w:val="en-GB"/>
        </w:rPr>
        <w:t>List of Primers</w:t>
      </w:r>
      <w:r w:rsidR="00967133" w:rsidRPr="00A83395">
        <w:rPr>
          <w:lang w:val="en-GB"/>
        </w:rPr>
        <w:t xml:space="preserve"> used in PCR and q</w:t>
      </w:r>
      <w:r w:rsidR="00B345EC" w:rsidRPr="00A83395">
        <w:rPr>
          <w:lang w:val="en-GB"/>
        </w:rPr>
        <w:t>RT</w:t>
      </w:r>
      <w:r w:rsidR="00967133" w:rsidRPr="00A83395">
        <w:rPr>
          <w:lang w:val="en-GB"/>
        </w:rPr>
        <w:t>-</w:t>
      </w:r>
      <w:r w:rsidR="00B345EC" w:rsidRPr="00A83395">
        <w:rPr>
          <w:lang w:val="en-GB"/>
        </w:rPr>
        <w:t>PCR</w:t>
      </w:r>
      <w:bookmarkEnd w:id="563"/>
      <w:bookmarkEnd w:id="564"/>
      <w:bookmarkEnd w:id="565"/>
      <w:bookmarkEnd w:id="566"/>
      <w:bookmarkEnd w:id="567"/>
      <w:bookmarkEnd w:id="568"/>
      <w:r w:rsidR="00B345EC" w:rsidRPr="00A83395">
        <w:rPr>
          <w:lang w:val="en-GB"/>
        </w:rPr>
        <w:t xml:space="preserve"> </w:t>
      </w:r>
    </w:p>
    <w:p w14:paraId="17248284" w14:textId="64BC1B0C" w:rsidR="00AB06FB" w:rsidRPr="00B84AFA" w:rsidRDefault="00AB06FB" w:rsidP="00AB06FB">
      <w:pPr>
        <w:spacing w:line="360" w:lineRule="auto"/>
        <w:jc w:val="both"/>
        <w:rPr>
          <w:rFonts w:ascii="Times New Roman" w:hAnsi="Times New Roman" w:cs="Times New Roman"/>
          <w:lang w:val="en-GB"/>
        </w:rPr>
      </w:pPr>
      <w:r>
        <w:rPr>
          <w:rFonts w:ascii="Times New Roman" w:hAnsi="Times New Roman" w:cs="Times New Roman"/>
          <w:lang w:val="en-GB"/>
        </w:rPr>
        <w:t>Abbreviations from table 2.3 IGF1R- Insulin-like growth factor 1 receptor, β-actin- Beta actin, GFAP- Glial fibrially acidic protein, NFL- Neurofilament light, NeuN- neuronal nuclear antigen</w:t>
      </w:r>
    </w:p>
    <w:p w14:paraId="5616C442" w14:textId="2A9F03AA" w:rsidR="00307968" w:rsidRPr="00307968" w:rsidRDefault="00307968" w:rsidP="0085074F">
      <w:pPr>
        <w:spacing w:line="360" w:lineRule="auto"/>
        <w:jc w:val="both"/>
        <w:rPr>
          <w:rFonts w:ascii="Times New Roman" w:hAnsi="Times New Roman" w:cs="Times New Roman"/>
          <w:b/>
          <w:lang w:val="en-GB"/>
        </w:rPr>
      </w:pPr>
    </w:p>
    <w:tbl>
      <w:tblPr>
        <w:tblStyle w:val="TableGrid"/>
        <w:tblW w:w="8930" w:type="dxa"/>
        <w:jc w:val="center"/>
        <w:tblLayout w:type="fixed"/>
        <w:tblLook w:val="04A0" w:firstRow="1" w:lastRow="0" w:firstColumn="1" w:lastColumn="0" w:noHBand="0" w:noVBand="1"/>
      </w:tblPr>
      <w:tblGrid>
        <w:gridCol w:w="1273"/>
        <w:gridCol w:w="3560"/>
        <w:gridCol w:w="4097"/>
      </w:tblGrid>
      <w:tr w:rsidR="00202F9B" w14:paraId="32AE52D1" w14:textId="77777777" w:rsidTr="00202F9B">
        <w:trPr>
          <w:trHeight w:val="766"/>
          <w:jc w:val="center"/>
        </w:trPr>
        <w:tc>
          <w:tcPr>
            <w:tcW w:w="1273" w:type="dxa"/>
          </w:tcPr>
          <w:p w14:paraId="4D26DDE4" w14:textId="6D22D2BA" w:rsidR="00B84AFA" w:rsidRPr="00945812" w:rsidRDefault="00945812" w:rsidP="0085074F">
            <w:pPr>
              <w:spacing w:line="360" w:lineRule="auto"/>
              <w:jc w:val="both"/>
              <w:rPr>
                <w:rFonts w:ascii="Times New Roman" w:hAnsi="Times New Roman" w:cs="Times New Roman"/>
                <w:b/>
                <w:lang w:val="en-GB"/>
              </w:rPr>
            </w:pPr>
            <w:r w:rsidRPr="00945812">
              <w:rPr>
                <w:rFonts w:ascii="Times New Roman" w:hAnsi="Times New Roman" w:cs="Times New Roman"/>
                <w:b/>
                <w:lang w:val="en-GB"/>
              </w:rPr>
              <w:t>Primer type</w:t>
            </w:r>
          </w:p>
        </w:tc>
        <w:tc>
          <w:tcPr>
            <w:tcW w:w="3560" w:type="dxa"/>
          </w:tcPr>
          <w:p w14:paraId="671B402E" w14:textId="047C402B" w:rsidR="00B84AFA" w:rsidRPr="00945812" w:rsidRDefault="00945812" w:rsidP="0085074F">
            <w:pPr>
              <w:spacing w:line="360" w:lineRule="auto"/>
              <w:jc w:val="both"/>
              <w:rPr>
                <w:rFonts w:ascii="Times New Roman" w:hAnsi="Times New Roman" w:cs="Times New Roman"/>
                <w:b/>
                <w:lang w:val="en-GB"/>
              </w:rPr>
            </w:pPr>
            <w:r>
              <w:rPr>
                <w:rFonts w:ascii="Times New Roman" w:hAnsi="Times New Roman" w:cs="Times New Roman"/>
                <w:b/>
                <w:lang w:val="en-GB"/>
              </w:rPr>
              <w:t>Forward sequence</w:t>
            </w:r>
          </w:p>
        </w:tc>
        <w:tc>
          <w:tcPr>
            <w:tcW w:w="4097" w:type="dxa"/>
          </w:tcPr>
          <w:p w14:paraId="1B7A0213" w14:textId="2DB65450" w:rsidR="00B84AFA" w:rsidRPr="00945812" w:rsidRDefault="00945812" w:rsidP="0085074F">
            <w:pPr>
              <w:spacing w:line="360" w:lineRule="auto"/>
              <w:jc w:val="both"/>
              <w:rPr>
                <w:rFonts w:ascii="Times New Roman" w:hAnsi="Times New Roman" w:cs="Times New Roman"/>
                <w:b/>
                <w:lang w:val="en-GB"/>
              </w:rPr>
            </w:pPr>
            <w:r>
              <w:rPr>
                <w:rFonts w:ascii="Times New Roman" w:hAnsi="Times New Roman" w:cs="Times New Roman"/>
                <w:b/>
                <w:lang w:val="en-GB"/>
              </w:rPr>
              <w:t>Reverse Sequence</w:t>
            </w:r>
          </w:p>
        </w:tc>
      </w:tr>
      <w:tr w:rsidR="00202F9B" w14:paraId="7FD87224" w14:textId="77777777" w:rsidTr="00202F9B">
        <w:trPr>
          <w:trHeight w:val="766"/>
          <w:jc w:val="center"/>
        </w:trPr>
        <w:tc>
          <w:tcPr>
            <w:tcW w:w="1273" w:type="dxa"/>
          </w:tcPr>
          <w:p w14:paraId="64ABF371" w14:textId="6BFB110B" w:rsidR="00B84AFA" w:rsidRDefault="00945812" w:rsidP="0085074F">
            <w:pPr>
              <w:spacing w:line="360" w:lineRule="auto"/>
              <w:jc w:val="both"/>
              <w:rPr>
                <w:rFonts w:ascii="Times New Roman" w:hAnsi="Times New Roman" w:cs="Times New Roman"/>
                <w:lang w:val="en-GB"/>
              </w:rPr>
            </w:pPr>
            <w:r>
              <w:rPr>
                <w:rFonts w:ascii="Times New Roman" w:hAnsi="Times New Roman" w:cs="Times New Roman"/>
                <w:lang w:val="en-GB"/>
              </w:rPr>
              <w:t>IGF1R</w:t>
            </w:r>
          </w:p>
        </w:tc>
        <w:tc>
          <w:tcPr>
            <w:tcW w:w="3560" w:type="dxa"/>
          </w:tcPr>
          <w:p w14:paraId="33A715E3" w14:textId="0FCD7475" w:rsidR="00B84AFA" w:rsidRDefault="00945812" w:rsidP="0085074F">
            <w:pPr>
              <w:spacing w:line="360" w:lineRule="auto"/>
              <w:jc w:val="both"/>
              <w:rPr>
                <w:rFonts w:ascii="Times New Roman" w:hAnsi="Times New Roman" w:cs="Times New Roman"/>
                <w:lang w:val="en-GB"/>
              </w:rPr>
            </w:pPr>
            <w:r w:rsidRPr="004975E3">
              <w:rPr>
                <w:rFonts w:ascii="Times New Roman" w:hAnsi="Times New Roman" w:cs="Times New Roman"/>
                <w:lang w:val="en-GB"/>
              </w:rPr>
              <w:t>ACCTCAACGCCAATAAGTTCGT</w:t>
            </w:r>
          </w:p>
        </w:tc>
        <w:tc>
          <w:tcPr>
            <w:tcW w:w="4097" w:type="dxa"/>
          </w:tcPr>
          <w:p w14:paraId="2BFF6528" w14:textId="42E1E0AE" w:rsidR="00B84AFA" w:rsidRDefault="00945812" w:rsidP="0085074F">
            <w:pPr>
              <w:spacing w:line="360" w:lineRule="auto"/>
              <w:jc w:val="both"/>
              <w:rPr>
                <w:rFonts w:ascii="Times New Roman" w:hAnsi="Times New Roman" w:cs="Times New Roman"/>
                <w:lang w:val="en-GB"/>
              </w:rPr>
            </w:pPr>
            <w:r w:rsidRPr="004975E3">
              <w:rPr>
                <w:rFonts w:ascii="Times New Roman" w:hAnsi="Times New Roman" w:cs="Times New Roman"/>
                <w:lang w:val="en-GB"/>
              </w:rPr>
              <w:t>CGTCATACCAAAATCTCCGATTT</w:t>
            </w:r>
          </w:p>
        </w:tc>
      </w:tr>
      <w:tr w:rsidR="00202F9B" w14:paraId="5BFCE1DE" w14:textId="77777777" w:rsidTr="00202F9B">
        <w:trPr>
          <w:trHeight w:val="766"/>
          <w:jc w:val="center"/>
        </w:trPr>
        <w:tc>
          <w:tcPr>
            <w:tcW w:w="1273" w:type="dxa"/>
          </w:tcPr>
          <w:p w14:paraId="2D9FBB47" w14:textId="088FBF95" w:rsidR="00B84AFA" w:rsidRDefault="007F2935" w:rsidP="0085074F">
            <w:pPr>
              <w:spacing w:line="360" w:lineRule="auto"/>
              <w:jc w:val="both"/>
              <w:rPr>
                <w:rFonts w:ascii="Times New Roman" w:hAnsi="Times New Roman" w:cs="Times New Roman"/>
                <w:lang w:val="en-GB"/>
              </w:rPr>
            </w:pPr>
            <w:r>
              <w:rPr>
                <w:rFonts w:ascii="Times New Roman" w:hAnsi="Times New Roman" w:cs="Times New Roman"/>
                <w:lang w:val="en-GB"/>
              </w:rPr>
              <w:t>β</w:t>
            </w:r>
            <w:r w:rsidR="00945812">
              <w:rPr>
                <w:rFonts w:ascii="Times New Roman" w:hAnsi="Times New Roman" w:cs="Times New Roman"/>
                <w:lang w:val="en-GB"/>
              </w:rPr>
              <w:t>-actin</w:t>
            </w:r>
          </w:p>
        </w:tc>
        <w:tc>
          <w:tcPr>
            <w:tcW w:w="3560" w:type="dxa"/>
          </w:tcPr>
          <w:p w14:paraId="63E0515B" w14:textId="57539BDD" w:rsidR="00B84AFA" w:rsidRDefault="00945812" w:rsidP="0085074F">
            <w:pPr>
              <w:spacing w:line="360" w:lineRule="auto"/>
              <w:jc w:val="both"/>
              <w:rPr>
                <w:rFonts w:ascii="Times New Roman" w:hAnsi="Times New Roman" w:cs="Times New Roman"/>
                <w:lang w:val="en-GB"/>
              </w:rPr>
            </w:pPr>
            <w:r w:rsidRPr="004975E3">
              <w:rPr>
                <w:rFonts w:ascii="Times New Roman" w:hAnsi="Times New Roman" w:cs="Times New Roman"/>
                <w:lang w:val="en-GB"/>
              </w:rPr>
              <w:t>TCCCCCAACTTGAGATGTATGAAG</w:t>
            </w:r>
          </w:p>
        </w:tc>
        <w:tc>
          <w:tcPr>
            <w:tcW w:w="4097" w:type="dxa"/>
          </w:tcPr>
          <w:p w14:paraId="2F9E0399" w14:textId="13A518BE" w:rsidR="00B84AFA" w:rsidRDefault="00945812" w:rsidP="0085074F">
            <w:pPr>
              <w:spacing w:line="360" w:lineRule="auto"/>
              <w:jc w:val="both"/>
              <w:rPr>
                <w:rFonts w:ascii="Times New Roman" w:hAnsi="Times New Roman" w:cs="Times New Roman"/>
                <w:lang w:val="en-GB"/>
              </w:rPr>
            </w:pPr>
            <w:r w:rsidRPr="004975E3">
              <w:rPr>
                <w:rFonts w:ascii="Times New Roman" w:hAnsi="Times New Roman" w:cs="Times New Roman"/>
                <w:lang w:val="en-GB"/>
              </w:rPr>
              <w:t>AACTGGTCTCAAGTCAGTGTACAGG</w:t>
            </w:r>
          </w:p>
        </w:tc>
      </w:tr>
      <w:tr w:rsidR="00202F9B" w14:paraId="4BAA0BD8" w14:textId="77777777" w:rsidTr="00202F9B">
        <w:trPr>
          <w:trHeight w:val="787"/>
          <w:jc w:val="center"/>
        </w:trPr>
        <w:tc>
          <w:tcPr>
            <w:tcW w:w="1273" w:type="dxa"/>
          </w:tcPr>
          <w:p w14:paraId="0F71E0F6" w14:textId="6DD7E75C" w:rsidR="00B84AFA" w:rsidRDefault="00945812" w:rsidP="0085074F">
            <w:pPr>
              <w:spacing w:line="360" w:lineRule="auto"/>
              <w:jc w:val="both"/>
              <w:rPr>
                <w:rFonts w:ascii="Times New Roman" w:hAnsi="Times New Roman" w:cs="Times New Roman"/>
                <w:lang w:val="en-GB"/>
              </w:rPr>
            </w:pPr>
            <w:r>
              <w:rPr>
                <w:rFonts w:ascii="Times New Roman" w:hAnsi="Times New Roman" w:cs="Times New Roman"/>
                <w:lang w:val="en-GB"/>
              </w:rPr>
              <w:t>GFAP</w:t>
            </w:r>
          </w:p>
        </w:tc>
        <w:tc>
          <w:tcPr>
            <w:tcW w:w="3560" w:type="dxa"/>
          </w:tcPr>
          <w:p w14:paraId="1ECFF2A5" w14:textId="0D093820" w:rsidR="00B84AFA" w:rsidRDefault="00181B08" w:rsidP="0085074F">
            <w:pPr>
              <w:spacing w:line="360" w:lineRule="auto"/>
              <w:jc w:val="both"/>
              <w:rPr>
                <w:rFonts w:ascii="Times New Roman" w:hAnsi="Times New Roman" w:cs="Times New Roman"/>
                <w:lang w:val="en-GB"/>
              </w:rPr>
            </w:pPr>
            <w:r>
              <w:rPr>
                <w:rFonts w:ascii="Times New Roman" w:hAnsi="Times New Roman" w:cs="Times New Roman"/>
                <w:lang w:val="en-GB"/>
              </w:rPr>
              <w:t>GCAGAAGCTCCAGGATGAAAC</w:t>
            </w:r>
          </w:p>
        </w:tc>
        <w:tc>
          <w:tcPr>
            <w:tcW w:w="4097" w:type="dxa"/>
          </w:tcPr>
          <w:p w14:paraId="2A9C5D0A" w14:textId="35BADEF8" w:rsidR="00B84AFA" w:rsidRDefault="00181B08" w:rsidP="0085074F">
            <w:pPr>
              <w:spacing w:line="360" w:lineRule="auto"/>
              <w:jc w:val="both"/>
              <w:rPr>
                <w:rFonts w:ascii="Times New Roman" w:hAnsi="Times New Roman" w:cs="Times New Roman"/>
                <w:lang w:val="en-GB"/>
              </w:rPr>
            </w:pPr>
            <w:r>
              <w:rPr>
                <w:rFonts w:ascii="Times New Roman" w:hAnsi="Times New Roman" w:cs="Times New Roman"/>
                <w:lang w:val="en-GB"/>
              </w:rPr>
              <w:t>TCCACATGGACCTGCTGTC</w:t>
            </w:r>
          </w:p>
        </w:tc>
      </w:tr>
      <w:tr w:rsidR="00202F9B" w14:paraId="18BE3943" w14:textId="77777777" w:rsidTr="00202F9B">
        <w:trPr>
          <w:trHeight w:val="766"/>
          <w:jc w:val="center"/>
        </w:trPr>
        <w:tc>
          <w:tcPr>
            <w:tcW w:w="1273" w:type="dxa"/>
          </w:tcPr>
          <w:p w14:paraId="1E4704FC" w14:textId="708365C7" w:rsidR="00945812" w:rsidRDefault="00945812" w:rsidP="0085074F">
            <w:pPr>
              <w:spacing w:line="360" w:lineRule="auto"/>
              <w:jc w:val="both"/>
              <w:rPr>
                <w:rFonts w:ascii="Times New Roman" w:hAnsi="Times New Roman" w:cs="Times New Roman"/>
                <w:lang w:val="en-GB"/>
              </w:rPr>
            </w:pPr>
            <w:r>
              <w:rPr>
                <w:rFonts w:ascii="Times New Roman" w:hAnsi="Times New Roman" w:cs="Times New Roman"/>
                <w:lang w:val="en-GB"/>
              </w:rPr>
              <w:t>NFL</w:t>
            </w:r>
          </w:p>
        </w:tc>
        <w:tc>
          <w:tcPr>
            <w:tcW w:w="3560" w:type="dxa"/>
          </w:tcPr>
          <w:p w14:paraId="2596F00B" w14:textId="4844B0DC" w:rsidR="00945812" w:rsidRDefault="00181B08" w:rsidP="0085074F">
            <w:pPr>
              <w:spacing w:line="360" w:lineRule="auto"/>
              <w:jc w:val="both"/>
              <w:rPr>
                <w:rFonts w:ascii="Times New Roman" w:hAnsi="Times New Roman" w:cs="Times New Roman"/>
                <w:lang w:val="en-GB"/>
              </w:rPr>
            </w:pPr>
            <w:r>
              <w:rPr>
                <w:rFonts w:ascii="Times New Roman" w:hAnsi="Times New Roman" w:cs="Times New Roman"/>
                <w:lang w:val="en-GB"/>
              </w:rPr>
              <w:t>GGCTCTCAGTGTATTGGCTTCTGT</w:t>
            </w:r>
          </w:p>
        </w:tc>
        <w:tc>
          <w:tcPr>
            <w:tcW w:w="4097" w:type="dxa"/>
          </w:tcPr>
          <w:p w14:paraId="2A83AE30" w14:textId="0E41CAAE" w:rsidR="00945812" w:rsidRDefault="00181B08" w:rsidP="0085074F">
            <w:pPr>
              <w:spacing w:line="360" w:lineRule="auto"/>
              <w:jc w:val="both"/>
              <w:rPr>
                <w:rFonts w:ascii="Times New Roman" w:hAnsi="Times New Roman" w:cs="Times New Roman"/>
                <w:lang w:val="en-GB"/>
              </w:rPr>
            </w:pPr>
            <w:r>
              <w:rPr>
                <w:rFonts w:ascii="Times New Roman" w:hAnsi="Times New Roman" w:cs="Times New Roman"/>
                <w:lang w:val="en-GB"/>
              </w:rPr>
              <w:t>AACCCAGGTCTAGTAAGCAGAAAT</w:t>
            </w:r>
          </w:p>
        </w:tc>
      </w:tr>
      <w:tr w:rsidR="00202F9B" w14:paraId="0F11262F" w14:textId="77777777" w:rsidTr="00202F9B">
        <w:trPr>
          <w:trHeight w:val="383"/>
          <w:jc w:val="center"/>
        </w:trPr>
        <w:tc>
          <w:tcPr>
            <w:tcW w:w="1273" w:type="dxa"/>
          </w:tcPr>
          <w:p w14:paraId="54A7804D" w14:textId="7BE46825" w:rsidR="00945812" w:rsidRDefault="00945812" w:rsidP="0085074F">
            <w:pPr>
              <w:spacing w:line="360" w:lineRule="auto"/>
              <w:jc w:val="both"/>
              <w:rPr>
                <w:rFonts w:ascii="Times New Roman" w:hAnsi="Times New Roman" w:cs="Times New Roman"/>
                <w:lang w:val="en-GB"/>
              </w:rPr>
            </w:pPr>
            <w:r>
              <w:rPr>
                <w:rFonts w:ascii="Times New Roman" w:hAnsi="Times New Roman" w:cs="Times New Roman"/>
                <w:lang w:val="en-GB"/>
              </w:rPr>
              <w:t>NeuN</w:t>
            </w:r>
          </w:p>
        </w:tc>
        <w:tc>
          <w:tcPr>
            <w:tcW w:w="3560" w:type="dxa"/>
          </w:tcPr>
          <w:p w14:paraId="38F1F652" w14:textId="7B28C9B9" w:rsidR="00945812" w:rsidRDefault="00181B08" w:rsidP="0085074F">
            <w:pPr>
              <w:spacing w:line="360" w:lineRule="auto"/>
              <w:jc w:val="both"/>
              <w:rPr>
                <w:rFonts w:ascii="Times New Roman" w:hAnsi="Times New Roman" w:cs="Times New Roman"/>
                <w:lang w:val="en-GB"/>
              </w:rPr>
            </w:pPr>
            <w:r>
              <w:rPr>
                <w:rFonts w:ascii="Times New Roman" w:hAnsi="Times New Roman" w:cs="Times New Roman"/>
                <w:lang w:val="en-GB"/>
              </w:rPr>
              <w:t>ACGATCGTAGAGGACGGAA</w:t>
            </w:r>
          </w:p>
        </w:tc>
        <w:tc>
          <w:tcPr>
            <w:tcW w:w="4097" w:type="dxa"/>
          </w:tcPr>
          <w:p w14:paraId="3583744B" w14:textId="66CFADA0" w:rsidR="00945812" w:rsidRDefault="00181B08" w:rsidP="0085074F">
            <w:pPr>
              <w:spacing w:line="360" w:lineRule="auto"/>
              <w:jc w:val="both"/>
              <w:rPr>
                <w:rFonts w:ascii="Times New Roman" w:hAnsi="Times New Roman" w:cs="Times New Roman"/>
                <w:lang w:val="en-GB"/>
              </w:rPr>
            </w:pPr>
            <w:r>
              <w:rPr>
                <w:rFonts w:ascii="Times New Roman" w:hAnsi="Times New Roman" w:cs="Times New Roman"/>
                <w:lang w:val="en-GB"/>
              </w:rPr>
              <w:t>AATTCAGGCCCGTAGACTGC</w:t>
            </w:r>
          </w:p>
        </w:tc>
      </w:tr>
    </w:tbl>
    <w:p w14:paraId="7523F346" w14:textId="77777777" w:rsidR="00B84AFA" w:rsidRDefault="00B84AFA" w:rsidP="0085074F">
      <w:pPr>
        <w:spacing w:line="360" w:lineRule="auto"/>
        <w:jc w:val="both"/>
        <w:rPr>
          <w:rFonts w:ascii="Times New Roman" w:hAnsi="Times New Roman" w:cs="Times New Roman"/>
          <w:lang w:val="en-GB"/>
        </w:rPr>
      </w:pPr>
    </w:p>
    <w:p w14:paraId="61CB3442" w14:textId="77777777" w:rsidR="004451E0" w:rsidRDefault="004451E0" w:rsidP="0085074F">
      <w:pPr>
        <w:spacing w:line="360" w:lineRule="auto"/>
        <w:jc w:val="both"/>
        <w:rPr>
          <w:rFonts w:ascii="Times New Roman" w:hAnsi="Times New Roman" w:cs="Times New Roman"/>
          <w:b/>
          <w:lang w:val="en-GB"/>
        </w:rPr>
      </w:pPr>
    </w:p>
    <w:p w14:paraId="6B0ECBFB" w14:textId="77777777" w:rsidR="00F0363B" w:rsidRDefault="00F0363B" w:rsidP="0085074F">
      <w:pPr>
        <w:spacing w:line="360" w:lineRule="auto"/>
        <w:jc w:val="both"/>
        <w:rPr>
          <w:rFonts w:ascii="Times New Roman" w:hAnsi="Times New Roman" w:cs="Times New Roman"/>
          <w:lang w:val="en-GB"/>
        </w:rPr>
      </w:pPr>
      <w:r>
        <w:rPr>
          <w:rFonts w:ascii="Times New Roman" w:hAnsi="Times New Roman" w:cs="Times New Roman"/>
          <w:b/>
          <w:lang w:val="en-GB"/>
        </w:rPr>
        <w:t xml:space="preserve">Brilliant III </w:t>
      </w:r>
      <w:r w:rsidR="0085074F" w:rsidRPr="004975E3">
        <w:rPr>
          <w:rFonts w:ascii="Times New Roman" w:hAnsi="Times New Roman" w:cs="Times New Roman"/>
          <w:b/>
          <w:lang w:val="en-GB"/>
        </w:rPr>
        <w:t xml:space="preserve">SYBR Green </w:t>
      </w:r>
      <w:r>
        <w:rPr>
          <w:rFonts w:ascii="Times New Roman" w:hAnsi="Times New Roman" w:cs="Times New Roman"/>
          <w:b/>
          <w:lang w:val="en-GB"/>
        </w:rPr>
        <w:t>q</w:t>
      </w:r>
      <w:r w:rsidR="0085074F" w:rsidRPr="004975E3">
        <w:rPr>
          <w:rFonts w:ascii="Times New Roman" w:hAnsi="Times New Roman" w:cs="Times New Roman"/>
          <w:b/>
          <w:lang w:val="en-GB"/>
        </w:rPr>
        <w:t>PCR Mastermix</w:t>
      </w:r>
      <w:r>
        <w:rPr>
          <w:rFonts w:ascii="Times New Roman" w:hAnsi="Times New Roman" w:cs="Times New Roman"/>
          <w:b/>
          <w:lang w:val="en-GB"/>
        </w:rPr>
        <w:t xml:space="preserve"> (2 x)</w:t>
      </w:r>
      <w:r w:rsidR="007F2935">
        <w:rPr>
          <w:rFonts w:ascii="Times New Roman" w:hAnsi="Times New Roman" w:cs="Times New Roman"/>
          <w:b/>
          <w:lang w:val="en-GB"/>
        </w:rPr>
        <w:t xml:space="preserve"> </w:t>
      </w:r>
      <w:r>
        <w:rPr>
          <w:rFonts w:ascii="Times New Roman" w:hAnsi="Times New Roman" w:cs="Times New Roman"/>
          <w:lang w:val="en-GB"/>
        </w:rPr>
        <w:t xml:space="preserve">Agilent Technologies Ltd, Santa </w:t>
      </w:r>
    </w:p>
    <w:p w14:paraId="7D8E5581" w14:textId="6E1E2129" w:rsidR="0085074F" w:rsidRPr="00F0363B" w:rsidRDefault="00F0363B" w:rsidP="0085074F">
      <w:pPr>
        <w:spacing w:line="360" w:lineRule="auto"/>
        <w:jc w:val="both"/>
        <w:rPr>
          <w:rFonts w:ascii="Times New Roman" w:hAnsi="Times New Roman" w:cs="Times New Roman"/>
          <w:color w:val="FF0000"/>
          <w:lang w:val="en-GB"/>
        </w:rPr>
      </w:pPr>
      <w:r>
        <w:rPr>
          <w:rFonts w:ascii="Times New Roman" w:hAnsi="Times New Roman" w:cs="Times New Roman"/>
          <w:lang w:val="en-GB"/>
        </w:rPr>
        <w:t xml:space="preserve">                                                                                    Clara, USA</w:t>
      </w:r>
    </w:p>
    <w:p w14:paraId="1D9FC7B4" w14:textId="77777777" w:rsidR="00413FE4" w:rsidRDefault="00413FE4" w:rsidP="0085074F">
      <w:pPr>
        <w:spacing w:line="360" w:lineRule="auto"/>
        <w:jc w:val="both"/>
        <w:rPr>
          <w:rFonts w:ascii="Times New Roman" w:hAnsi="Times New Roman" w:cs="Times New Roman"/>
          <w:lang w:val="en-GB"/>
        </w:rPr>
      </w:pPr>
    </w:p>
    <w:p w14:paraId="113DE621" w14:textId="561A5E2C" w:rsidR="00413FE4" w:rsidRPr="002E0156" w:rsidRDefault="004F2C69" w:rsidP="0085074F">
      <w:pPr>
        <w:spacing w:line="360" w:lineRule="auto"/>
        <w:jc w:val="both"/>
        <w:rPr>
          <w:rFonts w:ascii="Times New Roman" w:hAnsi="Times New Roman" w:cs="Times New Roman"/>
          <w:lang w:val="en-GB"/>
        </w:rPr>
      </w:pPr>
      <w:r>
        <w:rPr>
          <w:rFonts w:ascii="Times New Roman" w:hAnsi="Times New Roman" w:cs="Times New Roman"/>
          <w:b/>
          <w:lang w:val="en-GB"/>
        </w:rPr>
        <w:t>Dream</w:t>
      </w:r>
      <w:r w:rsidR="00413FE4">
        <w:rPr>
          <w:rFonts w:ascii="Times New Roman" w:hAnsi="Times New Roman" w:cs="Times New Roman"/>
          <w:b/>
          <w:lang w:val="en-GB"/>
        </w:rPr>
        <w:t>Taq</w:t>
      </w:r>
      <w:r>
        <w:rPr>
          <w:rFonts w:ascii="Times New Roman" w:hAnsi="Times New Roman" w:cs="Times New Roman"/>
          <w:b/>
          <w:lang w:val="en-GB"/>
        </w:rPr>
        <w:t xml:space="preserve"> Green</w:t>
      </w:r>
      <w:r w:rsidR="00413FE4">
        <w:rPr>
          <w:rFonts w:ascii="Times New Roman" w:hAnsi="Times New Roman" w:cs="Times New Roman"/>
          <w:b/>
          <w:lang w:val="en-GB"/>
        </w:rPr>
        <w:t xml:space="preserve"> </w:t>
      </w:r>
      <w:r>
        <w:rPr>
          <w:rFonts w:ascii="Times New Roman" w:hAnsi="Times New Roman" w:cs="Times New Roman"/>
          <w:b/>
          <w:lang w:val="en-GB"/>
        </w:rPr>
        <w:t xml:space="preserve">PCR Master Mix (2x) </w:t>
      </w:r>
      <w:r>
        <w:rPr>
          <w:rFonts w:ascii="Times New Roman" w:hAnsi="Times New Roman" w:cs="Times New Roman"/>
          <w:lang w:val="en-GB"/>
        </w:rPr>
        <w:t xml:space="preserve">Thermo Scientific </w:t>
      </w:r>
      <w:r w:rsidR="002E0156">
        <w:rPr>
          <w:rFonts w:ascii="Times New Roman" w:hAnsi="Times New Roman" w:cs="Times New Roman"/>
          <w:lang w:val="en-GB"/>
        </w:rPr>
        <w:t>Cat No 1081</w:t>
      </w:r>
    </w:p>
    <w:p w14:paraId="3EB200F0" w14:textId="77777777" w:rsidR="00B345EC" w:rsidRPr="00B345EC" w:rsidRDefault="00B345EC" w:rsidP="0085074F">
      <w:pPr>
        <w:spacing w:line="360" w:lineRule="auto"/>
        <w:jc w:val="both"/>
        <w:rPr>
          <w:rFonts w:ascii="Times New Roman" w:hAnsi="Times New Roman" w:cs="Times New Roman"/>
          <w:lang w:val="en-GB"/>
        </w:rPr>
      </w:pPr>
    </w:p>
    <w:p w14:paraId="660E26A8" w14:textId="1A4B9E7E" w:rsidR="00413FE4" w:rsidRPr="007F2935" w:rsidRDefault="00413FE4" w:rsidP="0085074F">
      <w:pPr>
        <w:spacing w:line="360" w:lineRule="auto"/>
        <w:jc w:val="both"/>
        <w:rPr>
          <w:rFonts w:ascii="Times New Roman" w:hAnsi="Times New Roman" w:cs="Times New Roman"/>
          <w:color w:val="FF0000"/>
          <w:lang w:val="en-GB"/>
        </w:rPr>
      </w:pPr>
      <w:r>
        <w:rPr>
          <w:rFonts w:ascii="Times New Roman" w:hAnsi="Times New Roman" w:cs="Times New Roman"/>
          <w:b/>
          <w:lang w:val="en-GB"/>
        </w:rPr>
        <w:t>Hyperladder V</w:t>
      </w:r>
      <w:r w:rsidR="004F2C69">
        <w:rPr>
          <w:rFonts w:ascii="Times New Roman" w:hAnsi="Times New Roman" w:cs="Times New Roman"/>
          <w:b/>
          <w:lang w:val="en-GB"/>
        </w:rPr>
        <w:t xml:space="preserve"> </w:t>
      </w:r>
      <w:r w:rsidR="004F2C69">
        <w:rPr>
          <w:rFonts w:ascii="Times New Roman" w:hAnsi="Times New Roman" w:cs="Times New Roman"/>
          <w:lang w:val="en-GB"/>
        </w:rPr>
        <w:t>Bioline</w:t>
      </w:r>
      <w:r w:rsidR="002E0156">
        <w:rPr>
          <w:rFonts w:ascii="Times New Roman" w:hAnsi="Times New Roman" w:cs="Times New Roman"/>
          <w:lang w:val="en-GB"/>
        </w:rPr>
        <w:t>, London</w:t>
      </w:r>
    </w:p>
    <w:p w14:paraId="03DF54A2" w14:textId="77777777" w:rsidR="009A1D4C" w:rsidRPr="004F2C69" w:rsidRDefault="009A1D4C" w:rsidP="0085074F">
      <w:pPr>
        <w:spacing w:line="360" w:lineRule="auto"/>
        <w:jc w:val="both"/>
        <w:rPr>
          <w:rFonts w:ascii="Times New Roman" w:hAnsi="Times New Roman" w:cs="Times New Roman"/>
          <w:lang w:val="en-GB"/>
        </w:rPr>
      </w:pPr>
    </w:p>
    <w:p w14:paraId="60362633" w14:textId="77777777" w:rsidR="00F0363B" w:rsidRDefault="00F0363B" w:rsidP="00F0363B">
      <w:pPr>
        <w:spacing w:line="360" w:lineRule="auto"/>
        <w:rPr>
          <w:rFonts w:ascii="Times New Roman" w:hAnsi="Times New Roman" w:cs="Times New Roman"/>
        </w:rPr>
      </w:pPr>
      <w:r>
        <w:rPr>
          <w:rFonts w:ascii="Times New Roman" w:hAnsi="Times New Roman" w:cs="Times New Roman"/>
          <w:b/>
        </w:rPr>
        <w:t xml:space="preserve">TE buffer               </w:t>
      </w:r>
      <w:r>
        <w:rPr>
          <w:rFonts w:ascii="Times New Roman" w:hAnsi="Times New Roman" w:cs="Times New Roman"/>
        </w:rPr>
        <w:t>10mM Tris</w:t>
      </w:r>
    </w:p>
    <w:p w14:paraId="18645223" w14:textId="77777777" w:rsidR="00F0363B" w:rsidRDefault="00F0363B" w:rsidP="00F0363B">
      <w:pPr>
        <w:spacing w:line="360" w:lineRule="auto"/>
        <w:rPr>
          <w:rFonts w:ascii="Times New Roman" w:hAnsi="Times New Roman" w:cs="Times New Roman"/>
        </w:rPr>
      </w:pPr>
      <w:r>
        <w:rPr>
          <w:rFonts w:ascii="Times New Roman" w:hAnsi="Times New Roman" w:cs="Times New Roman"/>
        </w:rPr>
        <w:t xml:space="preserve">                                0.1mM EDTA in ddH</w:t>
      </w:r>
      <w:r>
        <w:rPr>
          <w:rFonts w:ascii="Times New Roman" w:hAnsi="Times New Roman" w:cs="Times New Roman"/>
          <w:vertAlign w:val="subscript"/>
        </w:rPr>
        <w:t>2</w:t>
      </w:r>
      <w:r>
        <w:rPr>
          <w:rFonts w:ascii="Times New Roman" w:hAnsi="Times New Roman" w:cs="Times New Roman"/>
        </w:rPr>
        <w:t>O, pH 8.0</w:t>
      </w:r>
    </w:p>
    <w:p w14:paraId="5CEAD58C" w14:textId="2C491D73" w:rsidR="00B833FD" w:rsidRPr="006869AC" w:rsidRDefault="00943191" w:rsidP="00AB1419">
      <w:pPr>
        <w:spacing w:line="360" w:lineRule="auto"/>
        <w:jc w:val="both"/>
        <w:rPr>
          <w:rFonts w:ascii="Times New Roman" w:hAnsi="Times New Roman" w:cs="Times New Roman"/>
        </w:rPr>
        <w:sectPr w:rsidR="00B833FD" w:rsidRPr="006869AC" w:rsidSect="000548D1">
          <w:pgSz w:w="11900" w:h="16840"/>
          <w:pgMar w:top="1440" w:right="1134" w:bottom="1440" w:left="2268" w:header="709" w:footer="709" w:gutter="0"/>
          <w:cols w:space="708"/>
          <w:docGrid w:linePitch="360"/>
        </w:sectPr>
      </w:pPr>
      <w:r w:rsidRPr="009A1D4C">
        <w:rPr>
          <w:rFonts w:ascii="Times New Roman" w:hAnsi="Times New Roman" w:cs="Times New Roman"/>
          <w:b/>
        </w:rPr>
        <w:t>PrimeTime® qPCR Assay (Integrated DNA Technologies®)</w:t>
      </w:r>
      <w:r w:rsidR="000B084A" w:rsidRPr="009A1D4C">
        <w:rPr>
          <w:rFonts w:ascii="Times New Roman" w:hAnsi="Times New Roman" w:cs="Times New Roman"/>
          <w:b/>
        </w:rPr>
        <w:t>.</w:t>
      </w:r>
      <w:r w:rsidR="000B084A" w:rsidRPr="009A1D4C">
        <w:rPr>
          <w:rFonts w:ascii="Times New Roman" w:hAnsi="Times New Roman" w:cs="Times New Roman"/>
        </w:rPr>
        <w:t xml:space="preserve"> </w:t>
      </w:r>
      <w:r w:rsidR="00815571" w:rsidRPr="009A1D4C">
        <w:rPr>
          <w:rFonts w:ascii="Times New Roman" w:hAnsi="Times New Roman" w:cs="Times New Roman"/>
        </w:rPr>
        <w:t xml:space="preserve">Mini qPCR assays </w:t>
      </w:r>
      <w:r w:rsidR="000B084A" w:rsidRPr="009A1D4C">
        <w:rPr>
          <w:rFonts w:ascii="Times New Roman" w:hAnsi="Times New Roman" w:cs="Times New Roman"/>
        </w:rPr>
        <w:t>were resuspended in</w:t>
      </w:r>
      <w:r w:rsidR="00815571" w:rsidRPr="009A1D4C">
        <w:rPr>
          <w:rFonts w:ascii="Times New Roman" w:hAnsi="Times New Roman" w:cs="Times New Roman"/>
        </w:rPr>
        <w:t xml:space="preserve"> 200μl</w:t>
      </w:r>
      <w:r w:rsidR="000B084A" w:rsidRPr="009A1D4C">
        <w:rPr>
          <w:rFonts w:ascii="Times New Roman" w:hAnsi="Times New Roman" w:cs="Times New Roman"/>
        </w:rPr>
        <w:t xml:space="preserve"> 1x TE buffer</w:t>
      </w:r>
      <w:r w:rsidR="00815571" w:rsidRPr="009A1D4C">
        <w:rPr>
          <w:rFonts w:ascii="Times New Roman" w:hAnsi="Times New Roman" w:cs="Times New Roman"/>
        </w:rPr>
        <w:t xml:space="preserve"> and standard qPCR assays were resuspended in 1000 μl 1 x TE buffer.</w:t>
      </w:r>
      <w:r w:rsidR="0053180D" w:rsidRPr="009A1D4C">
        <w:rPr>
          <w:rFonts w:ascii="Times New Roman" w:hAnsi="Times New Roman" w:cs="Times New Roman"/>
        </w:rPr>
        <w:t xml:space="preserve"> All assays can be found in </w:t>
      </w:r>
      <w:r w:rsidR="0053180D" w:rsidRPr="0066174F">
        <w:rPr>
          <w:rFonts w:ascii="Times New Roman" w:hAnsi="Times New Roman" w:cs="Times New Roman"/>
          <w:b/>
        </w:rPr>
        <w:t>table 2.4</w:t>
      </w:r>
      <w:r w:rsidR="00223CD8">
        <w:rPr>
          <w:rFonts w:ascii="Times New Roman" w:hAnsi="Times New Roman" w:cs="Times New Roman"/>
        </w:rPr>
        <w:t>.</w:t>
      </w:r>
    </w:p>
    <w:p w14:paraId="4526CE40" w14:textId="6C0C472F" w:rsidR="00B833FD" w:rsidRPr="0042570B" w:rsidRDefault="004D474F" w:rsidP="004D474F">
      <w:pPr>
        <w:pStyle w:val="Heading5"/>
      </w:pPr>
      <w:bookmarkStart w:id="569" w:name="_Toc333585964"/>
      <w:bookmarkStart w:id="570" w:name="_Toc333586839"/>
      <w:bookmarkStart w:id="571" w:name="_Toc333644538"/>
      <w:bookmarkStart w:id="572" w:name="_Toc333644832"/>
      <w:r>
        <w:t>Table 2.4. List of all PrimeTime</w:t>
      </w:r>
      <w:r>
        <w:rPr>
          <w:rFonts w:cs="Times New Roman"/>
        </w:rPr>
        <w:t>®</w:t>
      </w:r>
      <w:r>
        <w:t xml:space="preserve"> qPCR Assays used for validating genes identified in Gene expression profiling</w:t>
      </w:r>
      <w:bookmarkEnd w:id="569"/>
      <w:bookmarkEnd w:id="570"/>
      <w:bookmarkEnd w:id="571"/>
      <w:bookmarkEnd w:id="572"/>
    </w:p>
    <w:p w14:paraId="6EA597A7" w14:textId="77777777" w:rsidR="004D474F" w:rsidRPr="00BE5386" w:rsidRDefault="004D474F" w:rsidP="004D474F">
      <w:pPr>
        <w:spacing w:line="360" w:lineRule="auto"/>
        <w:rPr>
          <w:rFonts w:ascii="Times New Roman" w:hAnsi="Times New Roman" w:cs="Times New Roman"/>
        </w:rPr>
      </w:pPr>
      <w:r>
        <w:rPr>
          <w:rFonts w:ascii="Times New Roman" w:hAnsi="Times New Roman" w:cs="Times New Roman"/>
        </w:rPr>
        <w:t>PrimeTime® Assay ID, Ref Seq, Region, Primer Sequence and Probe Sequence are shown</w:t>
      </w:r>
    </w:p>
    <w:tbl>
      <w:tblPr>
        <w:tblpPr w:leftFromText="180" w:rightFromText="180" w:vertAnchor="page" w:horzAnchor="page" w:tblpX="1549" w:tblpY="3349"/>
        <w:tblW w:w="13966" w:type="dxa"/>
        <w:tblLook w:val="04A0" w:firstRow="1" w:lastRow="0" w:firstColumn="1" w:lastColumn="0" w:noHBand="0" w:noVBand="1"/>
      </w:tblPr>
      <w:tblGrid>
        <w:gridCol w:w="1044"/>
        <w:gridCol w:w="1797"/>
        <w:gridCol w:w="1407"/>
        <w:gridCol w:w="930"/>
        <w:gridCol w:w="3129"/>
        <w:gridCol w:w="5659"/>
      </w:tblGrid>
      <w:tr w:rsidR="004D474F" w:rsidRPr="006B5E9B" w14:paraId="1F914F26" w14:textId="77777777" w:rsidTr="004D474F">
        <w:trPr>
          <w:trHeight w:val="300"/>
        </w:trPr>
        <w:tc>
          <w:tcPr>
            <w:tcW w:w="1044" w:type="dxa"/>
            <w:tcBorders>
              <w:top w:val="single" w:sz="4" w:space="0" w:color="auto"/>
              <w:left w:val="nil"/>
              <w:bottom w:val="single" w:sz="4" w:space="0" w:color="auto"/>
              <w:right w:val="nil"/>
            </w:tcBorders>
            <w:shd w:val="clear" w:color="auto" w:fill="auto"/>
            <w:noWrap/>
            <w:vAlign w:val="bottom"/>
            <w:hideMark/>
          </w:tcPr>
          <w:p w14:paraId="551123FA" w14:textId="77777777" w:rsidR="004D474F" w:rsidRPr="00921583" w:rsidRDefault="004D474F" w:rsidP="004D474F">
            <w:pPr>
              <w:rPr>
                <w:rFonts w:ascii="Times New Roman" w:eastAsia="Times New Roman" w:hAnsi="Times New Roman" w:cs="Times New Roman"/>
                <w:b/>
                <w:bCs/>
                <w:color w:val="000000"/>
                <w:sz w:val="20"/>
                <w:szCs w:val="20"/>
                <w:lang w:val="en-GB"/>
              </w:rPr>
            </w:pPr>
            <w:r w:rsidRPr="00921583">
              <w:rPr>
                <w:rFonts w:ascii="Times New Roman" w:eastAsia="Times New Roman" w:hAnsi="Times New Roman" w:cs="Times New Roman"/>
                <w:b/>
                <w:bCs/>
                <w:color w:val="000000"/>
                <w:sz w:val="20"/>
                <w:szCs w:val="20"/>
                <w:lang w:val="en-GB"/>
              </w:rPr>
              <w:t>Gene</w:t>
            </w:r>
          </w:p>
        </w:tc>
        <w:tc>
          <w:tcPr>
            <w:tcW w:w="1797" w:type="dxa"/>
            <w:tcBorders>
              <w:top w:val="single" w:sz="4" w:space="0" w:color="auto"/>
              <w:left w:val="nil"/>
              <w:bottom w:val="single" w:sz="4" w:space="0" w:color="auto"/>
              <w:right w:val="nil"/>
            </w:tcBorders>
            <w:shd w:val="clear" w:color="auto" w:fill="auto"/>
            <w:noWrap/>
            <w:vAlign w:val="bottom"/>
            <w:hideMark/>
          </w:tcPr>
          <w:p w14:paraId="0D9E0C29" w14:textId="77777777" w:rsidR="004D474F" w:rsidRPr="00921583" w:rsidRDefault="004D474F" w:rsidP="004D474F">
            <w:pPr>
              <w:rPr>
                <w:rFonts w:ascii="Times New Roman" w:eastAsia="Times New Roman" w:hAnsi="Times New Roman" w:cs="Times New Roman"/>
                <w:b/>
                <w:bCs/>
                <w:color w:val="000000"/>
                <w:sz w:val="20"/>
                <w:szCs w:val="20"/>
                <w:lang w:val="en-GB"/>
              </w:rPr>
            </w:pPr>
            <w:r w:rsidRPr="00921583">
              <w:rPr>
                <w:rFonts w:ascii="Times New Roman" w:eastAsia="Times New Roman" w:hAnsi="Times New Roman" w:cs="Times New Roman"/>
                <w:b/>
                <w:bCs/>
                <w:color w:val="000000"/>
                <w:sz w:val="20"/>
                <w:szCs w:val="20"/>
                <w:lang w:val="en-GB"/>
              </w:rPr>
              <w:t>PrimeTime® Assay ID</w:t>
            </w:r>
          </w:p>
        </w:tc>
        <w:tc>
          <w:tcPr>
            <w:tcW w:w="1407" w:type="dxa"/>
            <w:tcBorders>
              <w:top w:val="single" w:sz="4" w:space="0" w:color="auto"/>
              <w:left w:val="nil"/>
              <w:bottom w:val="single" w:sz="4" w:space="0" w:color="auto"/>
              <w:right w:val="nil"/>
            </w:tcBorders>
            <w:shd w:val="clear" w:color="auto" w:fill="auto"/>
            <w:noWrap/>
            <w:vAlign w:val="bottom"/>
            <w:hideMark/>
          </w:tcPr>
          <w:p w14:paraId="03452850" w14:textId="77777777" w:rsidR="004D474F" w:rsidRPr="00921583" w:rsidRDefault="004D474F" w:rsidP="004D474F">
            <w:pPr>
              <w:rPr>
                <w:rFonts w:ascii="Times New Roman" w:eastAsia="Times New Roman" w:hAnsi="Times New Roman" w:cs="Times New Roman"/>
                <w:b/>
                <w:bCs/>
                <w:color w:val="000000"/>
                <w:sz w:val="20"/>
                <w:szCs w:val="20"/>
                <w:lang w:val="en-GB"/>
              </w:rPr>
            </w:pPr>
            <w:r w:rsidRPr="00921583">
              <w:rPr>
                <w:rFonts w:ascii="Times New Roman" w:eastAsia="Times New Roman" w:hAnsi="Times New Roman" w:cs="Times New Roman"/>
                <w:b/>
                <w:bCs/>
                <w:color w:val="000000"/>
                <w:sz w:val="20"/>
                <w:szCs w:val="20"/>
                <w:lang w:val="en-GB"/>
              </w:rPr>
              <w:t>Ref Seq</w:t>
            </w:r>
          </w:p>
        </w:tc>
        <w:tc>
          <w:tcPr>
            <w:tcW w:w="930" w:type="dxa"/>
            <w:tcBorders>
              <w:top w:val="single" w:sz="4" w:space="0" w:color="auto"/>
              <w:left w:val="nil"/>
              <w:bottom w:val="single" w:sz="4" w:space="0" w:color="auto"/>
              <w:right w:val="nil"/>
            </w:tcBorders>
            <w:shd w:val="clear" w:color="auto" w:fill="auto"/>
            <w:noWrap/>
            <w:vAlign w:val="bottom"/>
            <w:hideMark/>
          </w:tcPr>
          <w:p w14:paraId="0F282702" w14:textId="77777777" w:rsidR="004D474F" w:rsidRPr="00921583" w:rsidRDefault="004D474F" w:rsidP="004D474F">
            <w:pPr>
              <w:rPr>
                <w:rFonts w:ascii="Times New Roman" w:eastAsia="Times New Roman" w:hAnsi="Times New Roman" w:cs="Times New Roman"/>
                <w:b/>
                <w:bCs/>
                <w:color w:val="000000"/>
                <w:sz w:val="20"/>
                <w:szCs w:val="20"/>
                <w:lang w:val="en-GB"/>
              </w:rPr>
            </w:pPr>
            <w:r w:rsidRPr="00921583">
              <w:rPr>
                <w:rFonts w:ascii="Times New Roman" w:eastAsia="Times New Roman" w:hAnsi="Times New Roman" w:cs="Times New Roman"/>
                <w:b/>
                <w:bCs/>
                <w:color w:val="000000"/>
                <w:sz w:val="20"/>
                <w:szCs w:val="20"/>
                <w:lang w:val="en-GB"/>
              </w:rPr>
              <w:t>Region</w:t>
            </w:r>
          </w:p>
        </w:tc>
        <w:tc>
          <w:tcPr>
            <w:tcW w:w="3129" w:type="dxa"/>
            <w:tcBorders>
              <w:top w:val="single" w:sz="4" w:space="0" w:color="auto"/>
              <w:left w:val="nil"/>
              <w:bottom w:val="single" w:sz="4" w:space="0" w:color="auto"/>
              <w:right w:val="nil"/>
            </w:tcBorders>
            <w:shd w:val="clear" w:color="auto" w:fill="auto"/>
            <w:noWrap/>
            <w:vAlign w:val="bottom"/>
            <w:hideMark/>
          </w:tcPr>
          <w:p w14:paraId="126D3613" w14:textId="77777777" w:rsidR="004D474F" w:rsidRPr="00921583" w:rsidRDefault="004D474F" w:rsidP="004D474F">
            <w:pPr>
              <w:rPr>
                <w:rFonts w:ascii="Times New Roman" w:eastAsia="Times New Roman" w:hAnsi="Times New Roman" w:cs="Times New Roman"/>
                <w:b/>
                <w:bCs/>
                <w:color w:val="000000"/>
                <w:sz w:val="20"/>
                <w:szCs w:val="20"/>
                <w:lang w:val="en-GB"/>
              </w:rPr>
            </w:pPr>
            <w:r w:rsidRPr="00921583">
              <w:rPr>
                <w:rFonts w:ascii="Times New Roman" w:eastAsia="Times New Roman" w:hAnsi="Times New Roman" w:cs="Times New Roman"/>
                <w:b/>
                <w:bCs/>
                <w:color w:val="000000"/>
                <w:sz w:val="20"/>
                <w:szCs w:val="20"/>
                <w:lang w:val="en-GB"/>
              </w:rPr>
              <w:t>Primer Sequence</w:t>
            </w:r>
          </w:p>
        </w:tc>
        <w:tc>
          <w:tcPr>
            <w:tcW w:w="5659" w:type="dxa"/>
            <w:tcBorders>
              <w:top w:val="single" w:sz="4" w:space="0" w:color="auto"/>
              <w:left w:val="nil"/>
              <w:bottom w:val="single" w:sz="4" w:space="0" w:color="auto"/>
              <w:right w:val="nil"/>
            </w:tcBorders>
            <w:shd w:val="clear" w:color="auto" w:fill="auto"/>
            <w:noWrap/>
            <w:vAlign w:val="bottom"/>
            <w:hideMark/>
          </w:tcPr>
          <w:p w14:paraId="02C01FD1" w14:textId="77777777" w:rsidR="004D474F" w:rsidRPr="00921583" w:rsidRDefault="004D474F" w:rsidP="004D474F">
            <w:pPr>
              <w:rPr>
                <w:rFonts w:ascii="Times New Roman" w:eastAsia="Times New Roman" w:hAnsi="Times New Roman" w:cs="Times New Roman"/>
                <w:b/>
                <w:bCs/>
                <w:color w:val="000000"/>
                <w:sz w:val="20"/>
                <w:szCs w:val="20"/>
                <w:lang w:val="en-GB"/>
              </w:rPr>
            </w:pPr>
            <w:r w:rsidRPr="00921583">
              <w:rPr>
                <w:rFonts w:ascii="Times New Roman" w:eastAsia="Times New Roman" w:hAnsi="Times New Roman" w:cs="Times New Roman"/>
                <w:b/>
                <w:bCs/>
                <w:color w:val="000000"/>
                <w:sz w:val="20"/>
                <w:szCs w:val="20"/>
                <w:lang w:val="en-GB"/>
              </w:rPr>
              <w:t>Probe Sequence</w:t>
            </w:r>
          </w:p>
        </w:tc>
      </w:tr>
      <w:tr w:rsidR="004D474F" w:rsidRPr="006B5E9B" w14:paraId="2ED7EE37" w14:textId="77777777" w:rsidTr="004D474F">
        <w:trPr>
          <w:trHeight w:val="300"/>
        </w:trPr>
        <w:tc>
          <w:tcPr>
            <w:tcW w:w="1044" w:type="dxa"/>
            <w:tcBorders>
              <w:top w:val="nil"/>
              <w:left w:val="nil"/>
              <w:bottom w:val="nil"/>
              <w:right w:val="nil"/>
            </w:tcBorders>
            <w:shd w:val="clear" w:color="auto" w:fill="auto"/>
            <w:noWrap/>
            <w:vAlign w:val="bottom"/>
            <w:hideMark/>
          </w:tcPr>
          <w:p w14:paraId="24961D74" w14:textId="77777777" w:rsidR="004D474F" w:rsidRPr="00433232" w:rsidRDefault="004D474F" w:rsidP="004D474F">
            <w:pPr>
              <w:rPr>
                <w:rFonts w:ascii="Times New Roman" w:eastAsia="Times New Roman" w:hAnsi="Times New Roman" w:cs="Times New Roman"/>
                <w:b/>
                <w:color w:val="000000"/>
                <w:sz w:val="18"/>
                <w:szCs w:val="18"/>
                <w:lang w:val="en-GB"/>
              </w:rPr>
            </w:pPr>
            <w:r w:rsidRPr="00433232">
              <w:rPr>
                <w:rFonts w:ascii="Times New Roman" w:eastAsia="Times New Roman" w:hAnsi="Times New Roman" w:cs="Times New Roman"/>
                <w:b/>
                <w:color w:val="000000"/>
                <w:sz w:val="18"/>
                <w:szCs w:val="18"/>
                <w:lang w:val="en-GB"/>
              </w:rPr>
              <w:t>NDUFA2</w:t>
            </w:r>
          </w:p>
        </w:tc>
        <w:tc>
          <w:tcPr>
            <w:tcW w:w="1797" w:type="dxa"/>
            <w:tcBorders>
              <w:top w:val="nil"/>
              <w:left w:val="nil"/>
              <w:bottom w:val="nil"/>
              <w:right w:val="nil"/>
            </w:tcBorders>
            <w:shd w:val="clear" w:color="auto" w:fill="auto"/>
            <w:noWrap/>
            <w:vAlign w:val="bottom"/>
            <w:hideMark/>
          </w:tcPr>
          <w:p w14:paraId="2DF4C1E9"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Hs.PT.58.38915668</w:t>
            </w:r>
          </w:p>
        </w:tc>
        <w:tc>
          <w:tcPr>
            <w:tcW w:w="1407" w:type="dxa"/>
            <w:tcBorders>
              <w:top w:val="nil"/>
              <w:left w:val="nil"/>
              <w:bottom w:val="nil"/>
              <w:right w:val="nil"/>
            </w:tcBorders>
            <w:shd w:val="clear" w:color="auto" w:fill="auto"/>
            <w:noWrap/>
            <w:vAlign w:val="bottom"/>
            <w:hideMark/>
          </w:tcPr>
          <w:p w14:paraId="21BFC829"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NR_033697</w:t>
            </w:r>
          </w:p>
        </w:tc>
        <w:tc>
          <w:tcPr>
            <w:tcW w:w="930" w:type="dxa"/>
            <w:tcBorders>
              <w:top w:val="nil"/>
              <w:left w:val="nil"/>
              <w:bottom w:val="nil"/>
              <w:right w:val="nil"/>
            </w:tcBorders>
            <w:shd w:val="clear" w:color="auto" w:fill="auto"/>
            <w:noWrap/>
            <w:vAlign w:val="bottom"/>
            <w:hideMark/>
          </w:tcPr>
          <w:p w14:paraId="556E8F6E"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Exon 2-3</w:t>
            </w:r>
          </w:p>
        </w:tc>
        <w:tc>
          <w:tcPr>
            <w:tcW w:w="3129" w:type="dxa"/>
            <w:tcBorders>
              <w:top w:val="nil"/>
              <w:left w:val="nil"/>
              <w:bottom w:val="nil"/>
              <w:right w:val="nil"/>
            </w:tcBorders>
            <w:shd w:val="clear" w:color="auto" w:fill="auto"/>
            <w:noWrap/>
            <w:vAlign w:val="bottom"/>
            <w:hideMark/>
          </w:tcPr>
          <w:p w14:paraId="0D815431"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5'-AGCACTGAAGTTGTTCAAAGG-3'</w:t>
            </w:r>
          </w:p>
        </w:tc>
        <w:tc>
          <w:tcPr>
            <w:tcW w:w="5659" w:type="dxa"/>
            <w:tcBorders>
              <w:top w:val="nil"/>
              <w:left w:val="nil"/>
              <w:bottom w:val="nil"/>
              <w:right w:val="nil"/>
            </w:tcBorders>
            <w:shd w:val="clear" w:color="auto" w:fill="auto"/>
            <w:noWrap/>
            <w:vAlign w:val="bottom"/>
            <w:hideMark/>
          </w:tcPr>
          <w:p w14:paraId="35879E7D"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5'-/56/FAM/TCCCGACCT/ZEN/ACCCATCCTAATCCG/SIABkFQ/-3'</w:t>
            </w:r>
          </w:p>
        </w:tc>
      </w:tr>
      <w:tr w:rsidR="004D474F" w:rsidRPr="006B5E9B" w14:paraId="33890109" w14:textId="77777777" w:rsidTr="004D474F">
        <w:trPr>
          <w:trHeight w:val="300"/>
        </w:trPr>
        <w:tc>
          <w:tcPr>
            <w:tcW w:w="1044" w:type="dxa"/>
            <w:tcBorders>
              <w:top w:val="nil"/>
              <w:left w:val="nil"/>
              <w:bottom w:val="nil"/>
              <w:right w:val="nil"/>
            </w:tcBorders>
            <w:shd w:val="clear" w:color="auto" w:fill="auto"/>
            <w:noWrap/>
            <w:vAlign w:val="bottom"/>
            <w:hideMark/>
          </w:tcPr>
          <w:p w14:paraId="2CDA6E6D"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1797" w:type="dxa"/>
            <w:tcBorders>
              <w:top w:val="nil"/>
              <w:left w:val="nil"/>
              <w:bottom w:val="nil"/>
              <w:right w:val="nil"/>
            </w:tcBorders>
            <w:shd w:val="clear" w:color="auto" w:fill="auto"/>
            <w:noWrap/>
            <w:vAlign w:val="bottom"/>
            <w:hideMark/>
          </w:tcPr>
          <w:p w14:paraId="52CB1926"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1407" w:type="dxa"/>
            <w:tcBorders>
              <w:top w:val="nil"/>
              <w:left w:val="nil"/>
              <w:bottom w:val="nil"/>
              <w:right w:val="nil"/>
            </w:tcBorders>
            <w:shd w:val="clear" w:color="auto" w:fill="auto"/>
            <w:noWrap/>
            <w:vAlign w:val="bottom"/>
            <w:hideMark/>
          </w:tcPr>
          <w:p w14:paraId="5490A091"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930" w:type="dxa"/>
            <w:tcBorders>
              <w:top w:val="nil"/>
              <w:left w:val="nil"/>
              <w:bottom w:val="nil"/>
              <w:right w:val="nil"/>
            </w:tcBorders>
            <w:shd w:val="clear" w:color="auto" w:fill="auto"/>
            <w:noWrap/>
            <w:vAlign w:val="bottom"/>
            <w:hideMark/>
          </w:tcPr>
          <w:p w14:paraId="4B6CCBBE"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3129" w:type="dxa"/>
            <w:tcBorders>
              <w:top w:val="nil"/>
              <w:left w:val="nil"/>
              <w:bottom w:val="nil"/>
              <w:right w:val="nil"/>
            </w:tcBorders>
            <w:shd w:val="clear" w:color="auto" w:fill="auto"/>
            <w:noWrap/>
            <w:vAlign w:val="bottom"/>
            <w:hideMark/>
          </w:tcPr>
          <w:p w14:paraId="27D11589"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5'-GACTTCATTGAGAAACGCTACG-3'</w:t>
            </w:r>
          </w:p>
        </w:tc>
        <w:tc>
          <w:tcPr>
            <w:tcW w:w="5659" w:type="dxa"/>
            <w:tcBorders>
              <w:top w:val="nil"/>
              <w:left w:val="nil"/>
              <w:bottom w:val="nil"/>
              <w:right w:val="nil"/>
            </w:tcBorders>
            <w:shd w:val="clear" w:color="auto" w:fill="auto"/>
            <w:noWrap/>
            <w:vAlign w:val="bottom"/>
            <w:hideMark/>
          </w:tcPr>
          <w:p w14:paraId="1B33F69F" w14:textId="77777777" w:rsidR="004D474F" w:rsidRPr="006B5E9B" w:rsidRDefault="004D474F" w:rsidP="004D474F">
            <w:pPr>
              <w:rPr>
                <w:rFonts w:ascii="Times New Roman" w:eastAsia="Times New Roman" w:hAnsi="Times New Roman" w:cs="Times New Roman"/>
                <w:color w:val="000000"/>
                <w:sz w:val="18"/>
                <w:szCs w:val="18"/>
                <w:lang w:val="en-GB"/>
              </w:rPr>
            </w:pPr>
          </w:p>
        </w:tc>
      </w:tr>
      <w:tr w:rsidR="004D474F" w:rsidRPr="006B5E9B" w14:paraId="7E2068E1" w14:textId="77777777" w:rsidTr="004D474F">
        <w:trPr>
          <w:trHeight w:val="300"/>
        </w:trPr>
        <w:tc>
          <w:tcPr>
            <w:tcW w:w="1044" w:type="dxa"/>
            <w:tcBorders>
              <w:top w:val="nil"/>
              <w:left w:val="nil"/>
              <w:bottom w:val="nil"/>
              <w:right w:val="nil"/>
            </w:tcBorders>
            <w:shd w:val="clear" w:color="auto" w:fill="auto"/>
            <w:noWrap/>
            <w:vAlign w:val="bottom"/>
            <w:hideMark/>
          </w:tcPr>
          <w:p w14:paraId="29F996DB" w14:textId="77777777" w:rsidR="004D474F" w:rsidRPr="00433232" w:rsidRDefault="004D474F" w:rsidP="004D474F">
            <w:pPr>
              <w:rPr>
                <w:rFonts w:ascii="Times New Roman" w:eastAsia="Times New Roman" w:hAnsi="Times New Roman" w:cs="Times New Roman"/>
                <w:b/>
                <w:color w:val="000000"/>
                <w:sz w:val="18"/>
                <w:szCs w:val="18"/>
                <w:lang w:val="en-GB"/>
              </w:rPr>
            </w:pPr>
            <w:r w:rsidRPr="00433232">
              <w:rPr>
                <w:rFonts w:ascii="Times New Roman" w:eastAsia="Times New Roman" w:hAnsi="Times New Roman" w:cs="Times New Roman"/>
                <w:b/>
                <w:color w:val="000000"/>
                <w:sz w:val="18"/>
                <w:szCs w:val="18"/>
                <w:lang w:val="en-GB"/>
              </w:rPr>
              <w:t>PRDX3</w:t>
            </w:r>
          </w:p>
        </w:tc>
        <w:tc>
          <w:tcPr>
            <w:tcW w:w="1797" w:type="dxa"/>
            <w:tcBorders>
              <w:top w:val="nil"/>
              <w:left w:val="nil"/>
              <w:bottom w:val="nil"/>
              <w:right w:val="nil"/>
            </w:tcBorders>
            <w:shd w:val="clear" w:color="auto" w:fill="auto"/>
            <w:noWrap/>
            <w:vAlign w:val="bottom"/>
            <w:hideMark/>
          </w:tcPr>
          <w:p w14:paraId="671D0834"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Hs.PT.58.20414791</w:t>
            </w:r>
          </w:p>
        </w:tc>
        <w:tc>
          <w:tcPr>
            <w:tcW w:w="1407" w:type="dxa"/>
            <w:tcBorders>
              <w:top w:val="nil"/>
              <w:left w:val="nil"/>
              <w:bottom w:val="nil"/>
              <w:right w:val="nil"/>
            </w:tcBorders>
            <w:shd w:val="clear" w:color="auto" w:fill="auto"/>
            <w:noWrap/>
            <w:vAlign w:val="bottom"/>
            <w:hideMark/>
          </w:tcPr>
          <w:p w14:paraId="5FD09904"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NM_014098</w:t>
            </w:r>
          </w:p>
        </w:tc>
        <w:tc>
          <w:tcPr>
            <w:tcW w:w="930" w:type="dxa"/>
            <w:tcBorders>
              <w:top w:val="nil"/>
              <w:left w:val="nil"/>
              <w:bottom w:val="nil"/>
              <w:right w:val="nil"/>
            </w:tcBorders>
            <w:shd w:val="clear" w:color="auto" w:fill="auto"/>
            <w:noWrap/>
            <w:vAlign w:val="bottom"/>
            <w:hideMark/>
          </w:tcPr>
          <w:p w14:paraId="608B1E65"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Exon 6-7</w:t>
            </w:r>
          </w:p>
        </w:tc>
        <w:tc>
          <w:tcPr>
            <w:tcW w:w="3129" w:type="dxa"/>
            <w:tcBorders>
              <w:top w:val="nil"/>
              <w:left w:val="nil"/>
              <w:bottom w:val="nil"/>
              <w:right w:val="nil"/>
            </w:tcBorders>
            <w:shd w:val="clear" w:color="auto" w:fill="auto"/>
            <w:noWrap/>
            <w:vAlign w:val="bottom"/>
            <w:hideMark/>
          </w:tcPr>
          <w:p w14:paraId="5419F0C4"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5'-TCAACTGTGGTTCTTCTCTCAG-3'</w:t>
            </w:r>
          </w:p>
        </w:tc>
        <w:tc>
          <w:tcPr>
            <w:tcW w:w="5659" w:type="dxa"/>
            <w:tcBorders>
              <w:top w:val="nil"/>
              <w:left w:val="nil"/>
              <w:bottom w:val="nil"/>
              <w:right w:val="nil"/>
            </w:tcBorders>
            <w:shd w:val="clear" w:color="auto" w:fill="auto"/>
            <w:noWrap/>
            <w:vAlign w:val="bottom"/>
            <w:hideMark/>
          </w:tcPr>
          <w:p w14:paraId="02367483"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5'/56fFAM/AGATCACCC/ZEN/ATGTGTATCTGCACCTTC/3IABkFQ/-3'</w:t>
            </w:r>
          </w:p>
        </w:tc>
      </w:tr>
      <w:tr w:rsidR="004D474F" w:rsidRPr="006B5E9B" w14:paraId="2D8B6806" w14:textId="77777777" w:rsidTr="004D474F">
        <w:trPr>
          <w:trHeight w:val="300"/>
        </w:trPr>
        <w:tc>
          <w:tcPr>
            <w:tcW w:w="1044" w:type="dxa"/>
            <w:tcBorders>
              <w:top w:val="nil"/>
              <w:left w:val="nil"/>
              <w:bottom w:val="nil"/>
              <w:right w:val="nil"/>
            </w:tcBorders>
            <w:shd w:val="clear" w:color="auto" w:fill="auto"/>
            <w:noWrap/>
            <w:vAlign w:val="bottom"/>
            <w:hideMark/>
          </w:tcPr>
          <w:p w14:paraId="3C646EC9"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1797" w:type="dxa"/>
            <w:tcBorders>
              <w:top w:val="nil"/>
              <w:left w:val="nil"/>
              <w:bottom w:val="nil"/>
              <w:right w:val="nil"/>
            </w:tcBorders>
            <w:shd w:val="clear" w:color="auto" w:fill="auto"/>
            <w:noWrap/>
            <w:vAlign w:val="bottom"/>
            <w:hideMark/>
          </w:tcPr>
          <w:p w14:paraId="73FAE6EA"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1407" w:type="dxa"/>
            <w:tcBorders>
              <w:top w:val="nil"/>
              <w:left w:val="nil"/>
              <w:bottom w:val="nil"/>
              <w:right w:val="nil"/>
            </w:tcBorders>
            <w:shd w:val="clear" w:color="auto" w:fill="auto"/>
            <w:noWrap/>
            <w:vAlign w:val="bottom"/>
            <w:hideMark/>
          </w:tcPr>
          <w:p w14:paraId="7B798D4D"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930" w:type="dxa"/>
            <w:tcBorders>
              <w:top w:val="nil"/>
              <w:left w:val="nil"/>
              <w:bottom w:val="nil"/>
              <w:right w:val="nil"/>
            </w:tcBorders>
            <w:shd w:val="clear" w:color="auto" w:fill="auto"/>
            <w:noWrap/>
            <w:vAlign w:val="bottom"/>
            <w:hideMark/>
          </w:tcPr>
          <w:p w14:paraId="012EAB34"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3129" w:type="dxa"/>
            <w:tcBorders>
              <w:top w:val="nil"/>
              <w:left w:val="nil"/>
              <w:bottom w:val="nil"/>
              <w:right w:val="nil"/>
            </w:tcBorders>
            <w:shd w:val="clear" w:color="auto" w:fill="auto"/>
            <w:noWrap/>
            <w:vAlign w:val="bottom"/>
            <w:hideMark/>
          </w:tcPr>
          <w:p w14:paraId="766A907A"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5'-GAAGTCTGCCCAGCGAA-3'</w:t>
            </w:r>
          </w:p>
        </w:tc>
        <w:tc>
          <w:tcPr>
            <w:tcW w:w="5659" w:type="dxa"/>
            <w:tcBorders>
              <w:top w:val="nil"/>
              <w:left w:val="nil"/>
              <w:bottom w:val="nil"/>
              <w:right w:val="nil"/>
            </w:tcBorders>
            <w:shd w:val="clear" w:color="auto" w:fill="auto"/>
            <w:noWrap/>
            <w:vAlign w:val="bottom"/>
            <w:hideMark/>
          </w:tcPr>
          <w:p w14:paraId="71358710" w14:textId="77777777" w:rsidR="004D474F" w:rsidRPr="006B5E9B" w:rsidRDefault="004D474F" w:rsidP="004D474F">
            <w:pPr>
              <w:rPr>
                <w:rFonts w:ascii="Times New Roman" w:eastAsia="Times New Roman" w:hAnsi="Times New Roman" w:cs="Times New Roman"/>
                <w:color w:val="000000"/>
                <w:sz w:val="18"/>
                <w:szCs w:val="18"/>
                <w:lang w:val="en-GB"/>
              </w:rPr>
            </w:pPr>
          </w:p>
        </w:tc>
      </w:tr>
      <w:tr w:rsidR="004D474F" w:rsidRPr="006B5E9B" w14:paraId="0FFC601F" w14:textId="77777777" w:rsidTr="004D474F">
        <w:trPr>
          <w:trHeight w:val="300"/>
        </w:trPr>
        <w:tc>
          <w:tcPr>
            <w:tcW w:w="1044" w:type="dxa"/>
            <w:tcBorders>
              <w:top w:val="nil"/>
              <w:left w:val="nil"/>
              <w:bottom w:val="nil"/>
              <w:right w:val="nil"/>
            </w:tcBorders>
            <w:shd w:val="clear" w:color="auto" w:fill="auto"/>
            <w:noWrap/>
            <w:vAlign w:val="bottom"/>
            <w:hideMark/>
          </w:tcPr>
          <w:p w14:paraId="582287B8" w14:textId="77777777" w:rsidR="004D474F" w:rsidRPr="00433232" w:rsidRDefault="004D474F" w:rsidP="004D474F">
            <w:pPr>
              <w:rPr>
                <w:rFonts w:ascii="Times New Roman" w:eastAsia="Times New Roman" w:hAnsi="Times New Roman" w:cs="Times New Roman"/>
                <w:b/>
                <w:color w:val="000000"/>
                <w:sz w:val="18"/>
                <w:szCs w:val="18"/>
                <w:lang w:val="en-GB"/>
              </w:rPr>
            </w:pPr>
            <w:r w:rsidRPr="00433232">
              <w:rPr>
                <w:rFonts w:ascii="Times New Roman" w:eastAsia="Times New Roman" w:hAnsi="Times New Roman" w:cs="Times New Roman"/>
                <w:b/>
                <w:color w:val="000000"/>
                <w:sz w:val="18"/>
                <w:szCs w:val="18"/>
                <w:lang w:val="en-GB"/>
              </w:rPr>
              <w:t>TPI1</w:t>
            </w:r>
          </w:p>
        </w:tc>
        <w:tc>
          <w:tcPr>
            <w:tcW w:w="1797" w:type="dxa"/>
            <w:tcBorders>
              <w:top w:val="nil"/>
              <w:left w:val="nil"/>
              <w:bottom w:val="nil"/>
              <w:right w:val="nil"/>
            </w:tcBorders>
            <w:shd w:val="clear" w:color="auto" w:fill="auto"/>
            <w:noWrap/>
            <w:vAlign w:val="bottom"/>
            <w:hideMark/>
          </w:tcPr>
          <w:p w14:paraId="3FBD7A02"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Hs.PT.58.40028166.g</w:t>
            </w:r>
          </w:p>
        </w:tc>
        <w:tc>
          <w:tcPr>
            <w:tcW w:w="1407" w:type="dxa"/>
            <w:tcBorders>
              <w:top w:val="nil"/>
              <w:left w:val="nil"/>
              <w:bottom w:val="nil"/>
              <w:right w:val="nil"/>
            </w:tcBorders>
            <w:shd w:val="clear" w:color="auto" w:fill="auto"/>
            <w:noWrap/>
            <w:vAlign w:val="bottom"/>
            <w:hideMark/>
          </w:tcPr>
          <w:p w14:paraId="62FE623C"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NM_001159287</w:t>
            </w:r>
          </w:p>
        </w:tc>
        <w:tc>
          <w:tcPr>
            <w:tcW w:w="930" w:type="dxa"/>
            <w:tcBorders>
              <w:top w:val="nil"/>
              <w:left w:val="nil"/>
              <w:bottom w:val="nil"/>
              <w:right w:val="nil"/>
            </w:tcBorders>
            <w:shd w:val="clear" w:color="auto" w:fill="auto"/>
            <w:noWrap/>
            <w:vAlign w:val="bottom"/>
            <w:hideMark/>
          </w:tcPr>
          <w:p w14:paraId="540B8AE3"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Exon 3-4</w:t>
            </w:r>
          </w:p>
        </w:tc>
        <w:tc>
          <w:tcPr>
            <w:tcW w:w="3129" w:type="dxa"/>
            <w:tcBorders>
              <w:top w:val="nil"/>
              <w:left w:val="nil"/>
              <w:bottom w:val="nil"/>
              <w:right w:val="nil"/>
            </w:tcBorders>
            <w:shd w:val="clear" w:color="auto" w:fill="auto"/>
            <w:noWrap/>
            <w:vAlign w:val="bottom"/>
            <w:hideMark/>
          </w:tcPr>
          <w:p w14:paraId="59DC004D"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5'-TCCGCAGTCTTTGATCATGC-3'</w:t>
            </w:r>
          </w:p>
        </w:tc>
        <w:tc>
          <w:tcPr>
            <w:tcW w:w="5659" w:type="dxa"/>
            <w:tcBorders>
              <w:top w:val="nil"/>
              <w:left w:val="nil"/>
              <w:bottom w:val="nil"/>
              <w:right w:val="nil"/>
            </w:tcBorders>
            <w:shd w:val="clear" w:color="auto" w:fill="auto"/>
            <w:noWrap/>
            <w:vAlign w:val="bottom"/>
            <w:hideMark/>
          </w:tcPr>
          <w:p w14:paraId="68048201"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5'-/56-FAM/AGCCACAGC/ZEN/AATCTTGGGATCTAGC/3IABkFQ/-3'</w:t>
            </w:r>
          </w:p>
        </w:tc>
      </w:tr>
      <w:tr w:rsidR="004D474F" w:rsidRPr="006B5E9B" w14:paraId="0903DE34" w14:textId="77777777" w:rsidTr="004D474F">
        <w:trPr>
          <w:trHeight w:val="300"/>
        </w:trPr>
        <w:tc>
          <w:tcPr>
            <w:tcW w:w="1044" w:type="dxa"/>
            <w:tcBorders>
              <w:top w:val="nil"/>
              <w:left w:val="nil"/>
              <w:bottom w:val="nil"/>
              <w:right w:val="nil"/>
            </w:tcBorders>
            <w:shd w:val="clear" w:color="auto" w:fill="auto"/>
            <w:noWrap/>
            <w:vAlign w:val="bottom"/>
            <w:hideMark/>
          </w:tcPr>
          <w:p w14:paraId="60002D1F"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1797" w:type="dxa"/>
            <w:tcBorders>
              <w:top w:val="nil"/>
              <w:left w:val="nil"/>
              <w:bottom w:val="nil"/>
              <w:right w:val="nil"/>
            </w:tcBorders>
            <w:shd w:val="clear" w:color="auto" w:fill="auto"/>
            <w:noWrap/>
            <w:vAlign w:val="bottom"/>
            <w:hideMark/>
          </w:tcPr>
          <w:p w14:paraId="01CFF062"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1407" w:type="dxa"/>
            <w:tcBorders>
              <w:top w:val="nil"/>
              <w:left w:val="nil"/>
              <w:bottom w:val="nil"/>
              <w:right w:val="nil"/>
            </w:tcBorders>
            <w:shd w:val="clear" w:color="auto" w:fill="auto"/>
            <w:noWrap/>
            <w:vAlign w:val="bottom"/>
            <w:hideMark/>
          </w:tcPr>
          <w:p w14:paraId="21458538"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930" w:type="dxa"/>
            <w:tcBorders>
              <w:top w:val="nil"/>
              <w:left w:val="nil"/>
              <w:bottom w:val="nil"/>
              <w:right w:val="nil"/>
            </w:tcBorders>
            <w:shd w:val="clear" w:color="auto" w:fill="auto"/>
            <w:noWrap/>
            <w:vAlign w:val="bottom"/>
            <w:hideMark/>
          </w:tcPr>
          <w:p w14:paraId="03146FDE"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3129" w:type="dxa"/>
            <w:tcBorders>
              <w:top w:val="nil"/>
              <w:left w:val="nil"/>
              <w:bottom w:val="nil"/>
              <w:right w:val="nil"/>
            </w:tcBorders>
            <w:shd w:val="clear" w:color="auto" w:fill="auto"/>
            <w:noWrap/>
            <w:vAlign w:val="bottom"/>
            <w:hideMark/>
          </w:tcPr>
          <w:p w14:paraId="42145CCF"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5'-CTACTGCCTATATCGACTTCGC-3'</w:t>
            </w:r>
          </w:p>
        </w:tc>
        <w:tc>
          <w:tcPr>
            <w:tcW w:w="5659" w:type="dxa"/>
            <w:tcBorders>
              <w:top w:val="nil"/>
              <w:left w:val="nil"/>
              <w:bottom w:val="nil"/>
              <w:right w:val="nil"/>
            </w:tcBorders>
            <w:shd w:val="clear" w:color="auto" w:fill="auto"/>
            <w:noWrap/>
            <w:vAlign w:val="bottom"/>
            <w:hideMark/>
          </w:tcPr>
          <w:p w14:paraId="22393DC8" w14:textId="77777777" w:rsidR="004D474F" w:rsidRPr="006B5E9B" w:rsidRDefault="004D474F" w:rsidP="004D474F">
            <w:pPr>
              <w:rPr>
                <w:rFonts w:ascii="Times New Roman" w:eastAsia="Times New Roman" w:hAnsi="Times New Roman" w:cs="Times New Roman"/>
                <w:color w:val="000000"/>
                <w:sz w:val="18"/>
                <w:szCs w:val="18"/>
                <w:lang w:val="en-GB"/>
              </w:rPr>
            </w:pPr>
          </w:p>
        </w:tc>
      </w:tr>
      <w:tr w:rsidR="004D474F" w:rsidRPr="006B5E9B" w14:paraId="50B091A1" w14:textId="77777777" w:rsidTr="004D474F">
        <w:trPr>
          <w:trHeight w:val="300"/>
        </w:trPr>
        <w:tc>
          <w:tcPr>
            <w:tcW w:w="1044" w:type="dxa"/>
            <w:tcBorders>
              <w:top w:val="nil"/>
              <w:left w:val="nil"/>
              <w:bottom w:val="nil"/>
              <w:right w:val="nil"/>
            </w:tcBorders>
            <w:shd w:val="clear" w:color="auto" w:fill="auto"/>
            <w:noWrap/>
            <w:vAlign w:val="bottom"/>
            <w:hideMark/>
          </w:tcPr>
          <w:p w14:paraId="74701B5F" w14:textId="77777777" w:rsidR="004D474F" w:rsidRPr="00433232" w:rsidRDefault="004D474F" w:rsidP="004D474F">
            <w:pPr>
              <w:rPr>
                <w:rFonts w:ascii="Times New Roman" w:eastAsia="Times New Roman" w:hAnsi="Times New Roman" w:cs="Times New Roman"/>
                <w:b/>
                <w:color w:val="000000"/>
                <w:sz w:val="18"/>
                <w:szCs w:val="18"/>
                <w:lang w:val="en-GB"/>
              </w:rPr>
            </w:pPr>
            <w:r w:rsidRPr="00433232">
              <w:rPr>
                <w:rFonts w:ascii="Times New Roman" w:eastAsia="Times New Roman" w:hAnsi="Times New Roman" w:cs="Times New Roman"/>
                <w:b/>
                <w:color w:val="000000"/>
                <w:sz w:val="18"/>
                <w:szCs w:val="18"/>
                <w:lang w:val="en-GB"/>
              </w:rPr>
              <w:t>GLRX3</w:t>
            </w:r>
          </w:p>
        </w:tc>
        <w:tc>
          <w:tcPr>
            <w:tcW w:w="1797" w:type="dxa"/>
            <w:tcBorders>
              <w:top w:val="nil"/>
              <w:left w:val="nil"/>
              <w:bottom w:val="nil"/>
              <w:right w:val="nil"/>
            </w:tcBorders>
            <w:shd w:val="clear" w:color="auto" w:fill="auto"/>
            <w:noWrap/>
            <w:vAlign w:val="bottom"/>
            <w:hideMark/>
          </w:tcPr>
          <w:p w14:paraId="0BD70B58"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Hs.PT.58.19556026</w:t>
            </w:r>
          </w:p>
        </w:tc>
        <w:tc>
          <w:tcPr>
            <w:tcW w:w="1407" w:type="dxa"/>
            <w:tcBorders>
              <w:top w:val="nil"/>
              <w:left w:val="nil"/>
              <w:bottom w:val="nil"/>
              <w:right w:val="nil"/>
            </w:tcBorders>
            <w:shd w:val="clear" w:color="auto" w:fill="auto"/>
            <w:noWrap/>
            <w:vAlign w:val="bottom"/>
            <w:hideMark/>
          </w:tcPr>
          <w:p w14:paraId="53DADDF3"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NM_001199868</w:t>
            </w:r>
          </w:p>
        </w:tc>
        <w:tc>
          <w:tcPr>
            <w:tcW w:w="930" w:type="dxa"/>
            <w:tcBorders>
              <w:top w:val="nil"/>
              <w:left w:val="nil"/>
              <w:bottom w:val="nil"/>
              <w:right w:val="nil"/>
            </w:tcBorders>
            <w:shd w:val="clear" w:color="auto" w:fill="auto"/>
            <w:noWrap/>
            <w:vAlign w:val="bottom"/>
            <w:hideMark/>
          </w:tcPr>
          <w:p w14:paraId="0E8188D9"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Exon 1-3</w:t>
            </w:r>
          </w:p>
        </w:tc>
        <w:tc>
          <w:tcPr>
            <w:tcW w:w="3129" w:type="dxa"/>
            <w:tcBorders>
              <w:top w:val="nil"/>
              <w:left w:val="nil"/>
              <w:bottom w:val="nil"/>
              <w:right w:val="nil"/>
            </w:tcBorders>
            <w:shd w:val="clear" w:color="auto" w:fill="auto"/>
            <w:noWrap/>
            <w:vAlign w:val="bottom"/>
            <w:hideMark/>
          </w:tcPr>
          <w:p w14:paraId="1A6BB0F2"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5'-GAACACCTTCAGCTTCCAAC-3'</w:t>
            </w:r>
          </w:p>
        </w:tc>
        <w:tc>
          <w:tcPr>
            <w:tcW w:w="5659" w:type="dxa"/>
            <w:tcBorders>
              <w:top w:val="nil"/>
              <w:left w:val="nil"/>
              <w:bottom w:val="nil"/>
              <w:right w:val="nil"/>
            </w:tcBorders>
            <w:shd w:val="clear" w:color="auto" w:fill="auto"/>
            <w:noWrap/>
            <w:vAlign w:val="bottom"/>
            <w:hideMark/>
          </w:tcPr>
          <w:p w14:paraId="306FEBA9"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5'-/56-FAM/CCCATGGTG/ZEN/CCCAGAAATGGAC/3IABkFQ/-3'</w:t>
            </w:r>
          </w:p>
        </w:tc>
      </w:tr>
      <w:tr w:rsidR="004D474F" w:rsidRPr="006B5E9B" w14:paraId="4A1AD4CA" w14:textId="77777777" w:rsidTr="004D474F">
        <w:trPr>
          <w:trHeight w:val="300"/>
        </w:trPr>
        <w:tc>
          <w:tcPr>
            <w:tcW w:w="1044" w:type="dxa"/>
            <w:tcBorders>
              <w:top w:val="nil"/>
              <w:left w:val="nil"/>
              <w:bottom w:val="nil"/>
              <w:right w:val="nil"/>
            </w:tcBorders>
            <w:shd w:val="clear" w:color="auto" w:fill="auto"/>
            <w:noWrap/>
            <w:vAlign w:val="bottom"/>
            <w:hideMark/>
          </w:tcPr>
          <w:p w14:paraId="20CFA229"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1797" w:type="dxa"/>
            <w:tcBorders>
              <w:top w:val="nil"/>
              <w:left w:val="nil"/>
              <w:bottom w:val="nil"/>
              <w:right w:val="nil"/>
            </w:tcBorders>
            <w:shd w:val="clear" w:color="auto" w:fill="auto"/>
            <w:noWrap/>
            <w:vAlign w:val="bottom"/>
            <w:hideMark/>
          </w:tcPr>
          <w:p w14:paraId="588CBC1C"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1407" w:type="dxa"/>
            <w:tcBorders>
              <w:top w:val="nil"/>
              <w:left w:val="nil"/>
              <w:bottom w:val="nil"/>
              <w:right w:val="nil"/>
            </w:tcBorders>
            <w:shd w:val="clear" w:color="auto" w:fill="auto"/>
            <w:noWrap/>
            <w:vAlign w:val="bottom"/>
            <w:hideMark/>
          </w:tcPr>
          <w:p w14:paraId="2A19675F"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930" w:type="dxa"/>
            <w:tcBorders>
              <w:top w:val="nil"/>
              <w:left w:val="nil"/>
              <w:bottom w:val="nil"/>
              <w:right w:val="nil"/>
            </w:tcBorders>
            <w:shd w:val="clear" w:color="auto" w:fill="auto"/>
            <w:noWrap/>
            <w:vAlign w:val="bottom"/>
            <w:hideMark/>
          </w:tcPr>
          <w:p w14:paraId="2B9F8240"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3129" w:type="dxa"/>
            <w:tcBorders>
              <w:top w:val="nil"/>
              <w:left w:val="nil"/>
              <w:bottom w:val="nil"/>
              <w:right w:val="nil"/>
            </w:tcBorders>
            <w:shd w:val="clear" w:color="auto" w:fill="auto"/>
            <w:noWrap/>
            <w:vAlign w:val="bottom"/>
            <w:hideMark/>
          </w:tcPr>
          <w:p w14:paraId="2154A9D1"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5'-CCTCAAAGCCAAGTCCCT-3'</w:t>
            </w:r>
          </w:p>
        </w:tc>
        <w:tc>
          <w:tcPr>
            <w:tcW w:w="5659" w:type="dxa"/>
            <w:tcBorders>
              <w:top w:val="nil"/>
              <w:left w:val="nil"/>
              <w:bottom w:val="nil"/>
              <w:right w:val="nil"/>
            </w:tcBorders>
            <w:shd w:val="clear" w:color="auto" w:fill="auto"/>
            <w:noWrap/>
            <w:vAlign w:val="bottom"/>
            <w:hideMark/>
          </w:tcPr>
          <w:p w14:paraId="4803853A" w14:textId="77777777" w:rsidR="004D474F" w:rsidRPr="006B5E9B" w:rsidRDefault="004D474F" w:rsidP="004D474F">
            <w:pPr>
              <w:rPr>
                <w:rFonts w:ascii="Times New Roman" w:eastAsia="Times New Roman" w:hAnsi="Times New Roman" w:cs="Times New Roman"/>
                <w:color w:val="000000"/>
                <w:sz w:val="18"/>
                <w:szCs w:val="18"/>
                <w:lang w:val="en-GB"/>
              </w:rPr>
            </w:pPr>
          </w:p>
        </w:tc>
      </w:tr>
      <w:tr w:rsidR="004D474F" w:rsidRPr="006B5E9B" w14:paraId="1D702F6B" w14:textId="77777777" w:rsidTr="004D474F">
        <w:trPr>
          <w:trHeight w:val="300"/>
        </w:trPr>
        <w:tc>
          <w:tcPr>
            <w:tcW w:w="1044" w:type="dxa"/>
            <w:tcBorders>
              <w:top w:val="nil"/>
              <w:left w:val="nil"/>
              <w:bottom w:val="nil"/>
              <w:right w:val="nil"/>
            </w:tcBorders>
            <w:shd w:val="clear" w:color="auto" w:fill="auto"/>
            <w:noWrap/>
            <w:vAlign w:val="bottom"/>
            <w:hideMark/>
          </w:tcPr>
          <w:p w14:paraId="0262379B" w14:textId="77777777" w:rsidR="004D474F" w:rsidRPr="00433232" w:rsidRDefault="004D474F" w:rsidP="004D474F">
            <w:pPr>
              <w:rPr>
                <w:rFonts w:ascii="Times New Roman" w:eastAsia="Times New Roman" w:hAnsi="Times New Roman" w:cs="Times New Roman"/>
                <w:b/>
                <w:color w:val="000000"/>
                <w:sz w:val="18"/>
                <w:szCs w:val="18"/>
                <w:lang w:val="en-GB"/>
              </w:rPr>
            </w:pPr>
            <w:r w:rsidRPr="00433232">
              <w:rPr>
                <w:rFonts w:ascii="Times New Roman" w:eastAsia="Times New Roman" w:hAnsi="Times New Roman" w:cs="Times New Roman"/>
                <w:b/>
                <w:color w:val="000000"/>
                <w:sz w:val="18"/>
                <w:szCs w:val="18"/>
                <w:lang w:val="en-GB"/>
              </w:rPr>
              <w:t>ENO2</w:t>
            </w:r>
          </w:p>
        </w:tc>
        <w:tc>
          <w:tcPr>
            <w:tcW w:w="1797" w:type="dxa"/>
            <w:tcBorders>
              <w:top w:val="nil"/>
              <w:left w:val="nil"/>
              <w:bottom w:val="nil"/>
              <w:right w:val="nil"/>
            </w:tcBorders>
            <w:shd w:val="clear" w:color="auto" w:fill="auto"/>
            <w:noWrap/>
            <w:vAlign w:val="bottom"/>
            <w:hideMark/>
          </w:tcPr>
          <w:p w14:paraId="0CFBF035"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Hs.PT.58.578449</w:t>
            </w:r>
          </w:p>
        </w:tc>
        <w:tc>
          <w:tcPr>
            <w:tcW w:w="1407" w:type="dxa"/>
            <w:tcBorders>
              <w:top w:val="nil"/>
              <w:left w:val="nil"/>
              <w:bottom w:val="nil"/>
              <w:right w:val="nil"/>
            </w:tcBorders>
            <w:shd w:val="clear" w:color="auto" w:fill="auto"/>
            <w:noWrap/>
            <w:vAlign w:val="bottom"/>
            <w:hideMark/>
          </w:tcPr>
          <w:p w14:paraId="383ACBE4"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NM_001975</w:t>
            </w:r>
          </w:p>
        </w:tc>
        <w:tc>
          <w:tcPr>
            <w:tcW w:w="930" w:type="dxa"/>
            <w:tcBorders>
              <w:top w:val="nil"/>
              <w:left w:val="nil"/>
              <w:bottom w:val="nil"/>
              <w:right w:val="nil"/>
            </w:tcBorders>
            <w:shd w:val="clear" w:color="auto" w:fill="auto"/>
            <w:noWrap/>
            <w:vAlign w:val="bottom"/>
            <w:hideMark/>
          </w:tcPr>
          <w:p w14:paraId="42ACC1DC"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Exon 7-8</w:t>
            </w:r>
          </w:p>
        </w:tc>
        <w:tc>
          <w:tcPr>
            <w:tcW w:w="3129" w:type="dxa"/>
            <w:tcBorders>
              <w:top w:val="nil"/>
              <w:left w:val="nil"/>
              <w:bottom w:val="nil"/>
              <w:right w:val="nil"/>
            </w:tcBorders>
            <w:shd w:val="clear" w:color="auto" w:fill="auto"/>
            <w:noWrap/>
            <w:vAlign w:val="bottom"/>
            <w:hideMark/>
          </w:tcPr>
          <w:p w14:paraId="7895EFE2"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5'-TTCCTTCACCAGCTCCAAG-3'</w:t>
            </w:r>
          </w:p>
        </w:tc>
        <w:tc>
          <w:tcPr>
            <w:tcW w:w="5659" w:type="dxa"/>
            <w:tcBorders>
              <w:top w:val="nil"/>
              <w:left w:val="nil"/>
              <w:bottom w:val="nil"/>
              <w:right w:val="nil"/>
            </w:tcBorders>
            <w:shd w:val="clear" w:color="auto" w:fill="auto"/>
            <w:noWrap/>
            <w:vAlign w:val="bottom"/>
            <w:hideMark/>
          </w:tcPr>
          <w:p w14:paraId="2B209E93"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5'-/56-FAM/AGCCACCTT/ZEN/CATCCCCCACATT/3IABkFQ/-3'</w:t>
            </w:r>
          </w:p>
        </w:tc>
      </w:tr>
      <w:tr w:rsidR="004D474F" w:rsidRPr="006B5E9B" w14:paraId="5067FC76" w14:textId="77777777" w:rsidTr="004D474F">
        <w:trPr>
          <w:trHeight w:val="300"/>
        </w:trPr>
        <w:tc>
          <w:tcPr>
            <w:tcW w:w="1044" w:type="dxa"/>
            <w:tcBorders>
              <w:top w:val="nil"/>
              <w:left w:val="nil"/>
              <w:bottom w:val="nil"/>
              <w:right w:val="nil"/>
            </w:tcBorders>
            <w:shd w:val="clear" w:color="auto" w:fill="auto"/>
            <w:noWrap/>
            <w:vAlign w:val="bottom"/>
            <w:hideMark/>
          </w:tcPr>
          <w:p w14:paraId="73D7D051"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1797" w:type="dxa"/>
            <w:tcBorders>
              <w:top w:val="nil"/>
              <w:left w:val="nil"/>
              <w:bottom w:val="nil"/>
              <w:right w:val="nil"/>
            </w:tcBorders>
            <w:shd w:val="clear" w:color="auto" w:fill="auto"/>
            <w:noWrap/>
            <w:vAlign w:val="bottom"/>
            <w:hideMark/>
          </w:tcPr>
          <w:p w14:paraId="395FB953"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1407" w:type="dxa"/>
            <w:tcBorders>
              <w:top w:val="nil"/>
              <w:left w:val="nil"/>
              <w:bottom w:val="nil"/>
              <w:right w:val="nil"/>
            </w:tcBorders>
            <w:shd w:val="clear" w:color="auto" w:fill="auto"/>
            <w:noWrap/>
            <w:vAlign w:val="bottom"/>
            <w:hideMark/>
          </w:tcPr>
          <w:p w14:paraId="28556F68"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930" w:type="dxa"/>
            <w:tcBorders>
              <w:top w:val="nil"/>
              <w:left w:val="nil"/>
              <w:bottom w:val="nil"/>
              <w:right w:val="nil"/>
            </w:tcBorders>
            <w:shd w:val="clear" w:color="auto" w:fill="auto"/>
            <w:noWrap/>
            <w:vAlign w:val="bottom"/>
            <w:hideMark/>
          </w:tcPr>
          <w:p w14:paraId="709FC2D8"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8788" w:type="dxa"/>
            <w:gridSpan w:val="2"/>
            <w:tcBorders>
              <w:top w:val="nil"/>
              <w:left w:val="nil"/>
              <w:bottom w:val="nil"/>
              <w:right w:val="nil"/>
            </w:tcBorders>
            <w:shd w:val="clear" w:color="auto" w:fill="auto"/>
            <w:noWrap/>
            <w:vAlign w:val="bottom"/>
            <w:hideMark/>
          </w:tcPr>
          <w:p w14:paraId="3C02BF0C"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5'-CAGAGGTCTACCATACACTCAAG-3'</w:t>
            </w:r>
          </w:p>
        </w:tc>
      </w:tr>
      <w:tr w:rsidR="004D474F" w:rsidRPr="006B5E9B" w14:paraId="67AD408D" w14:textId="77777777" w:rsidTr="004D474F">
        <w:trPr>
          <w:trHeight w:val="300"/>
        </w:trPr>
        <w:tc>
          <w:tcPr>
            <w:tcW w:w="1044" w:type="dxa"/>
            <w:tcBorders>
              <w:top w:val="nil"/>
              <w:left w:val="nil"/>
              <w:bottom w:val="nil"/>
              <w:right w:val="nil"/>
            </w:tcBorders>
            <w:shd w:val="clear" w:color="auto" w:fill="auto"/>
            <w:noWrap/>
            <w:vAlign w:val="bottom"/>
            <w:hideMark/>
          </w:tcPr>
          <w:p w14:paraId="404D112F" w14:textId="77777777" w:rsidR="004D474F" w:rsidRPr="00433232" w:rsidRDefault="004D474F" w:rsidP="004D474F">
            <w:pPr>
              <w:rPr>
                <w:rFonts w:ascii="Times New Roman" w:eastAsia="Times New Roman" w:hAnsi="Times New Roman" w:cs="Times New Roman"/>
                <w:b/>
                <w:color w:val="000000"/>
                <w:sz w:val="18"/>
                <w:szCs w:val="18"/>
                <w:lang w:val="en-GB"/>
              </w:rPr>
            </w:pPr>
            <w:r w:rsidRPr="00433232">
              <w:rPr>
                <w:rFonts w:ascii="Times New Roman" w:eastAsia="Times New Roman" w:hAnsi="Times New Roman" w:cs="Times New Roman"/>
                <w:b/>
                <w:color w:val="000000"/>
                <w:sz w:val="18"/>
                <w:szCs w:val="18"/>
                <w:lang w:val="en-GB"/>
              </w:rPr>
              <w:t>MGST1</w:t>
            </w:r>
          </w:p>
        </w:tc>
        <w:tc>
          <w:tcPr>
            <w:tcW w:w="1797" w:type="dxa"/>
            <w:tcBorders>
              <w:top w:val="nil"/>
              <w:left w:val="nil"/>
              <w:bottom w:val="nil"/>
              <w:right w:val="nil"/>
            </w:tcBorders>
            <w:shd w:val="clear" w:color="auto" w:fill="auto"/>
            <w:noWrap/>
            <w:vAlign w:val="bottom"/>
            <w:hideMark/>
          </w:tcPr>
          <w:p w14:paraId="67991B81"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Hs.PT.58.47792779</w:t>
            </w:r>
          </w:p>
        </w:tc>
        <w:tc>
          <w:tcPr>
            <w:tcW w:w="1407" w:type="dxa"/>
            <w:tcBorders>
              <w:top w:val="nil"/>
              <w:left w:val="nil"/>
              <w:bottom w:val="nil"/>
              <w:right w:val="nil"/>
            </w:tcBorders>
            <w:shd w:val="clear" w:color="auto" w:fill="auto"/>
            <w:noWrap/>
            <w:vAlign w:val="bottom"/>
            <w:hideMark/>
          </w:tcPr>
          <w:p w14:paraId="77C0FF1F"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NM_001260512</w:t>
            </w:r>
          </w:p>
        </w:tc>
        <w:tc>
          <w:tcPr>
            <w:tcW w:w="930" w:type="dxa"/>
            <w:tcBorders>
              <w:top w:val="nil"/>
              <w:left w:val="nil"/>
              <w:bottom w:val="nil"/>
              <w:right w:val="nil"/>
            </w:tcBorders>
            <w:shd w:val="clear" w:color="auto" w:fill="auto"/>
            <w:noWrap/>
            <w:vAlign w:val="bottom"/>
            <w:hideMark/>
          </w:tcPr>
          <w:p w14:paraId="4208519B"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Exon 6-7</w:t>
            </w:r>
          </w:p>
        </w:tc>
        <w:tc>
          <w:tcPr>
            <w:tcW w:w="3129" w:type="dxa"/>
            <w:tcBorders>
              <w:top w:val="nil"/>
              <w:left w:val="nil"/>
              <w:bottom w:val="nil"/>
              <w:right w:val="nil"/>
            </w:tcBorders>
            <w:shd w:val="clear" w:color="auto" w:fill="auto"/>
            <w:noWrap/>
            <w:vAlign w:val="bottom"/>
            <w:hideMark/>
          </w:tcPr>
          <w:p w14:paraId="542F7F33"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5'-CTGCCGTTCAAATATGCTAATCG-3'</w:t>
            </w:r>
          </w:p>
        </w:tc>
        <w:tc>
          <w:tcPr>
            <w:tcW w:w="5659" w:type="dxa"/>
            <w:tcBorders>
              <w:top w:val="nil"/>
              <w:left w:val="nil"/>
              <w:bottom w:val="nil"/>
              <w:right w:val="nil"/>
            </w:tcBorders>
            <w:shd w:val="clear" w:color="auto" w:fill="auto"/>
            <w:noWrap/>
            <w:vAlign w:val="bottom"/>
            <w:hideMark/>
          </w:tcPr>
          <w:p w14:paraId="3D2FA3D7"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5'-/56-FAM/ACAGCTTTA/ZEN/CAATGACTGCGTACACGT/3IABkFQ/-3'</w:t>
            </w:r>
          </w:p>
        </w:tc>
      </w:tr>
      <w:tr w:rsidR="004D474F" w:rsidRPr="006B5E9B" w14:paraId="3F6F073D" w14:textId="77777777" w:rsidTr="004D474F">
        <w:trPr>
          <w:trHeight w:val="300"/>
        </w:trPr>
        <w:tc>
          <w:tcPr>
            <w:tcW w:w="1044" w:type="dxa"/>
            <w:tcBorders>
              <w:top w:val="nil"/>
              <w:left w:val="nil"/>
              <w:bottom w:val="nil"/>
              <w:right w:val="nil"/>
            </w:tcBorders>
            <w:shd w:val="clear" w:color="auto" w:fill="auto"/>
            <w:noWrap/>
            <w:vAlign w:val="bottom"/>
            <w:hideMark/>
          </w:tcPr>
          <w:p w14:paraId="7C924C11"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1797" w:type="dxa"/>
            <w:tcBorders>
              <w:top w:val="nil"/>
              <w:left w:val="nil"/>
              <w:bottom w:val="nil"/>
              <w:right w:val="nil"/>
            </w:tcBorders>
            <w:shd w:val="clear" w:color="auto" w:fill="auto"/>
            <w:noWrap/>
            <w:vAlign w:val="bottom"/>
            <w:hideMark/>
          </w:tcPr>
          <w:p w14:paraId="137D2921"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1407" w:type="dxa"/>
            <w:tcBorders>
              <w:top w:val="nil"/>
              <w:left w:val="nil"/>
              <w:bottom w:val="nil"/>
              <w:right w:val="nil"/>
            </w:tcBorders>
            <w:shd w:val="clear" w:color="auto" w:fill="auto"/>
            <w:noWrap/>
            <w:vAlign w:val="bottom"/>
            <w:hideMark/>
          </w:tcPr>
          <w:p w14:paraId="439FA1B1"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930" w:type="dxa"/>
            <w:tcBorders>
              <w:top w:val="nil"/>
              <w:left w:val="nil"/>
              <w:bottom w:val="nil"/>
              <w:right w:val="nil"/>
            </w:tcBorders>
            <w:shd w:val="clear" w:color="auto" w:fill="auto"/>
            <w:noWrap/>
            <w:vAlign w:val="bottom"/>
            <w:hideMark/>
          </w:tcPr>
          <w:p w14:paraId="5E0AE0CF"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3129" w:type="dxa"/>
            <w:tcBorders>
              <w:top w:val="nil"/>
              <w:left w:val="nil"/>
              <w:bottom w:val="nil"/>
              <w:right w:val="nil"/>
            </w:tcBorders>
            <w:shd w:val="clear" w:color="auto" w:fill="auto"/>
            <w:noWrap/>
            <w:vAlign w:val="bottom"/>
            <w:hideMark/>
          </w:tcPr>
          <w:p w14:paraId="625F5969"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5'-CAATCCAGAAGACTGTGTAGCA-3'</w:t>
            </w:r>
          </w:p>
        </w:tc>
        <w:tc>
          <w:tcPr>
            <w:tcW w:w="5659" w:type="dxa"/>
            <w:tcBorders>
              <w:top w:val="nil"/>
              <w:left w:val="nil"/>
              <w:bottom w:val="nil"/>
              <w:right w:val="nil"/>
            </w:tcBorders>
            <w:shd w:val="clear" w:color="auto" w:fill="auto"/>
            <w:noWrap/>
            <w:vAlign w:val="bottom"/>
            <w:hideMark/>
          </w:tcPr>
          <w:p w14:paraId="7EF606C7" w14:textId="77777777" w:rsidR="004D474F" w:rsidRPr="006B5E9B" w:rsidRDefault="004D474F" w:rsidP="004D474F">
            <w:pPr>
              <w:rPr>
                <w:rFonts w:ascii="Times New Roman" w:eastAsia="Times New Roman" w:hAnsi="Times New Roman" w:cs="Times New Roman"/>
                <w:color w:val="000000"/>
                <w:sz w:val="18"/>
                <w:szCs w:val="18"/>
                <w:lang w:val="en-GB"/>
              </w:rPr>
            </w:pPr>
          </w:p>
        </w:tc>
      </w:tr>
      <w:tr w:rsidR="004D474F" w:rsidRPr="006B5E9B" w14:paraId="4449F40F" w14:textId="77777777" w:rsidTr="004D474F">
        <w:trPr>
          <w:trHeight w:val="300"/>
        </w:trPr>
        <w:tc>
          <w:tcPr>
            <w:tcW w:w="1044" w:type="dxa"/>
            <w:tcBorders>
              <w:top w:val="nil"/>
              <w:left w:val="nil"/>
              <w:bottom w:val="nil"/>
              <w:right w:val="nil"/>
            </w:tcBorders>
            <w:shd w:val="clear" w:color="auto" w:fill="auto"/>
            <w:noWrap/>
            <w:vAlign w:val="bottom"/>
            <w:hideMark/>
          </w:tcPr>
          <w:p w14:paraId="21758E3F" w14:textId="77777777" w:rsidR="004D474F" w:rsidRPr="00433232" w:rsidRDefault="004D474F" w:rsidP="004D474F">
            <w:pPr>
              <w:rPr>
                <w:rFonts w:ascii="Times New Roman" w:eastAsia="Times New Roman" w:hAnsi="Times New Roman" w:cs="Times New Roman"/>
                <w:b/>
                <w:color w:val="000000"/>
                <w:sz w:val="18"/>
                <w:szCs w:val="18"/>
                <w:lang w:val="en-GB"/>
              </w:rPr>
            </w:pPr>
            <w:r w:rsidRPr="00433232">
              <w:rPr>
                <w:rFonts w:ascii="Times New Roman" w:eastAsia="Times New Roman" w:hAnsi="Times New Roman" w:cs="Times New Roman"/>
                <w:b/>
                <w:color w:val="000000"/>
                <w:sz w:val="18"/>
                <w:szCs w:val="18"/>
                <w:lang w:val="en-GB"/>
              </w:rPr>
              <w:t>NDUFB6</w:t>
            </w:r>
          </w:p>
        </w:tc>
        <w:tc>
          <w:tcPr>
            <w:tcW w:w="1797" w:type="dxa"/>
            <w:tcBorders>
              <w:top w:val="nil"/>
              <w:left w:val="nil"/>
              <w:bottom w:val="nil"/>
              <w:right w:val="nil"/>
            </w:tcBorders>
            <w:shd w:val="clear" w:color="auto" w:fill="auto"/>
            <w:noWrap/>
            <w:vAlign w:val="bottom"/>
            <w:hideMark/>
          </w:tcPr>
          <w:p w14:paraId="35DECD9F"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Hs.PT.58.20921068.g</w:t>
            </w:r>
          </w:p>
        </w:tc>
        <w:tc>
          <w:tcPr>
            <w:tcW w:w="1407" w:type="dxa"/>
            <w:tcBorders>
              <w:top w:val="nil"/>
              <w:left w:val="nil"/>
              <w:bottom w:val="nil"/>
              <w:right w:val="nil"/>
            </w:tcBorders>
            <w:shd w:val="clear" w:color="auto" w:fill="auto"/>
            <w:noWrap/>
            <w:vAlign w:val="bottom"/>
            <w:hideMark/>
          </w:tcPr>
          <w:p w14:paraId="3F831238"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NM_002493</w:t>
            </w:r>
          </w:p>
        </w:tc>
        <w:tc>
          <w:tcPr>
            <w:tcW w:w="930" w:type="dxa"/>
            <w:tcBorders>
              <w:top w:val="nil"/>
              <w:left w:val="nil"/>
              <w:bottom w:val="nil"/>
              <w:right w:val="nil"/>
            </w:tcBorders>
            <w:shd w:val="clear" w:color="auto" w:fill="auto"/>
            <w:noWrap/>
            <w:vAlign w:val="bottom"/>
            <w:hideMark/>
          </w:tcPr>
          <w:p w14:paraId="225ED6CC"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Exon 1-1</w:t>
            </w:r>
          </w:p>
        </w:tc>
        <w:tc>
          <w:tcPr>
            <w:tcW w:w="3129" w:type="dxa"/>
            <w:tcBorders>
              <w:top w:val="nil"/>
              <w:left w:val="nil"/>
              <w:bottom w:val="nil"/>
              <w:right w:val="nil"/>
            </w:tcBorders>
            <w:shd w:val="clear" w:color="auto" w:fill="auto"/>
            <w:noWrap/>
            <w:vAlign w:val="bottom"/>
            <w:hideMark/>
          </w:tcPr>
          <w:p w14:paraId="2B630B87"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5'-CATCGCCTTCTCAGCTCTC-3'</w:t>
            </w:r>
          </w:p>
        </w:tc>
        <w:tc>
          <w:tcPr>
            <w:tcW w:w="5659" w:type="dxa"/>
            <w:tcBorders>
              <w:top w:val="nil"/>
              <w:left w:val="nil"/>
              <w:bottom w:val="nil"/>
              <w:right w:val="nil"/>
            </w:tcBorders>
            <w:shd w:val="clear" w:color="auto" w:fill="auto"/>
            <w:noWrap/>
            <w:vAlign w:val="bottom"/>
            <w:hideMark/>
          </w:tcPr>
          <w:p w14:paraId="11BE1575"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5'-/56-FAM/CCGTGTCCT/ZEN/TTTGCGTTGGTACC/SIABkFQ/-3'</w:t>
            </w:r>
          </w:p>
        </w:tc>
      </w:tr>
      <w:tr w:rsidR="004D474F" w:rsidRPr="006B5E9B" w14:paraId="3E8CCF50" w14:textId="77777777" w:rsidTr="004D474F">
        <w:trPr>
          <w:trHeight w:val="300"/>
        </w:trPr>
        <w:tc>
          <w:tcPr>
            <w:tcW w:w="1044" w:type="dxa"/>
            <w:tcBorders>
              <w:top w:val="nil"/>
              <w:left w:val="nil"/>
              <w:bottom w:val="nil"/>
              <w:right w:val="nil"/>
            </w:tcBorders>
            <w:shd w:val="clear" w:color="auto" w:fill="auto"/>
            <w:noWrap/>
            <w:vAlign w:val="bottom"/>
            <w:hideMark/>
          </w:tcPr>
          <w:p w14:paraId="6424B305"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1797" w:type="dxa"/>
            <w:tcBorders>
              <w:top w:val="nil"/>
              <w:left w:val="nil"/>
              <w:bottom w:val="nil"/>
              <w:right w:val="nil"/>
            </w:tcBorders>
            <w:shd w:val="clear" w:color="auto" w:fill="auto"/>
            <w:noWrap/>
            <w:vAlign w:val="bottom"/>
            <w:hideMark/>
          </w:tcPr>
          <w:p w14:paraId="6EF4C345"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1407" w:type="dxa"/>
            <w:tcBorders>
              <w:top w:val="nil"/>
              <w:left w:val="nil"/>
              <w:bottom w:val="nil"/>
              <w:right w:val="nil"/>
            </w:tcBorders>
            <w:shd w:val="clear" w:color="auto" w:fill="auto"/>
            <w:noWrap/>
            <w:vAlign w:val="bottom"/>
            <w:hideMark/>
          </w:tcPr>
          <w:p w14:paraId="3EF422F4"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930" w:type="dxa"/>
            <w:tcBorders>
              <w:top w:val="nil"/>
              <w:left w:val="nil"/>
              <w:bottom w:val="nil"/>
              <w:right w:val="nil"/>
            </w:tcBorders>
            <w:shd w:val="clear" w:color="auto" w:fill="auto"/>
            <w:noWrap/>
            <w:vAlign w:val="bottom"/>
            <w:hideMark/>
          </w:tcPr>
          <w:p w14:paraId="36EDD244"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3129" w:type="dxa"/>
            <w:tcBorders>
              <w:top w:val="nil"/>
              <w:left w:val="nil"/>
              <w:bottom w:val="nil"/>
              <w:right w:val="nil"/>
            </w:tcBorders>
            <w:shd w:val="clear" w:color="auto" w:fill="auto"/>
            <w:noWrap/>
            <w:vAlign w:val="bottom"/>
            <w:hideMark/>
          </w:tcPr>
          <w:p w14:paraId="5CA85C8F"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5'-CTAGTCCGTAGTTCGAGGGT-3'</w:t>
            </w:r>
          </w:p>
        </w:tc>
        <w:tc>
          <w:tcPr>
            <w:tcW w:w="5659" w:type="dxa"/>
            <w:tcBorders>
              <w:top w:val="nil"/>
              <w:left w:val="nil"/>
              <w:bottom w:val="nil"/>
              <w:right w:val="nil"/>
            </w:tcBorders>
            <w:shd w:val="clear" w:color="auto" w:fill="auto"/>
            <w:noWrap/>
            <w:vAlign w:val="bottom"/>
            <w:hideMark/>
          </w:tcPr>
          <w:p w14:paraId="41F3BC55" w14:textId="77777777" w:rsidR="004D474F" w:rsidRPr="006B5E9B" w:rsidRDefault="004D474F" w:rsidP="004D474F">
            <w:pPr>
              <w:rPr>
                <w:rFonts w:ascii="Times New Roman" w:eastAsia="Times New Roman" w:hAnsi="Times New Roman" w:cs="Times New Roman"/>
                <w:color w:val="000000"/>
                <w:sz w:val="18"/>
                <w:szCs w:val="18"/>
                <w:lang w:val="en-GB"/>
              </w:rPr>
            </w:pPr>
          </w:p>
        </w:tc>
      </w:tr>
      <w:tr w:rsidR="004D474F" w:rsidRPr="006B5E9B" w14:paraId="58999B6A" w14:textId="77777777" w:rsidTr="004D474F">
        <w:trPr>
          <w:trHeight w:val="300"/>
        </w:trPr>
        <w:tc>
          <w:tcPr>
            <w:tcW w:w="1044" w:type="dxa"/>
            <w:tcBorders>
              <w:top w:val="nil"/>
              <w:left w:val="nil"/>
              <w:bottom w:val="nil"/>
              <w:right w:val="nil"/>
            </w:tcBorders>
            <w:shd w:val="clear" w:color="auto" w:fill="auto"/>
            <w:noWrap/>
            <w:vAlign w:val="bottom"/>
            <w:hideMark/>
          </w:tcPr>
          <w:p w14:paraId="3AFA0003" w14:textId="77777777" w:rsidR="004D474F" w:rsidRPr="00433232" w:rsidRDefault="004D474F" w:rsidP="004D474F">
            <w:pPr>
              <w:rPr>
                <w:rFonts w:ascii="Times New Roman" w:eastAsia="Times New Roman" w:hAnsi="Times New Roman" w:cs="Times New Roman"/>
                <w:b/>
                <w:color w:val="000000"/>
                <w:sz w:val="18"/>
                <w:szCs w:val="18"/>
                <w:lang w:val="en-GB"/>
              </w:rPr>
            </w:pPr>
            <w:r w:rsidRPr="00433232">
              <w:rPr>
                <w:rFonts w:ascii="Times New Roman" w:eastAsia="Times New Roman" w:hAnsi="Times New Roman" w:cs="Times New Roman"/>
                <w:b/>
                <w:color w:val="000000"/>
                <w:sz w:val="18"/>
                <w:szCs w:val="18"/>
                <w:lang w:val="en-GB"/>
              </w:rPr>
              <w:t>GAPDH</w:t>
            </w:r>
          </w:p>
        </w:tc>
        <w:tc>
          <w:tcPr>
            <w:tcW w:w="1797" w:type="dxa"/>
            <w:tcBorders>
              <w:top w:val="nil"/>
              <w:left w:val="nil"/>
              <w:bottom w:val="nil"/>
              <w:right w:val="nil"/>
            </w:tcBorders>
            <w:shd w:val="clear" w:color="auto" w:fill="auto"/>
            <w:noWrap/>
            <w:vAlign w:val="bottom"/>
            <w:hideMark/>
          </w:tcPr>
          <w:p w14:paraId="23DF45AA"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Hs.PT.39a.22214836</w:t>
            </w:r>
          </w:p>
        </w:tc>
        <w:tc>
          <w:tcPr>
            <w:tcW w:w="1407" w:type="dxa"/>
            <w:tcBorders>
              <w:top w:val="nil"/>
              <w:left w:val="nil"/>
              <w:bottom w:val="nil"/>
              <w:right w:val="nil"/>
            </w:tcBorders>
            <w:shd w:val="clear" w:color="auto" w:fill="auto"/>
            <w:noWrap/>
            <w:vAlign w:val="bottom"/>
            <w:hideMark/>
          </w:tcPr>
          <w:p w14:paraId="478044AD"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NM_002046</w:t>
            </w:r>
          </w:p>
        </w:tc>
        <w:tc>
          <w:tcPr>
            <w:tcW w:w="930" w:type="dxa"/>
            <w:tcBorders>
              <w:top w:val="nil"/>
              <w:left w:val="nil"/>
              <w:bottom w:val="nil"/>
              <w:right w:val="nil"/>
            </w:tcBorders>
            <w:shd w:val="clear" w:color="auto" w:fill="auto"/>
            <w:noWrap/>
            <w:vAlign w:val="bottom"/>
            <w:hideMark/>
          </w:tcPr>
          <w:p w14:paraId="1ED78A59"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Exon 2-3</w:t>
            </w:r>
          </w:p>
        </w:tc>
        <w:tc>
          <w:tcPr>
            <w:tcW w:w="3129" w:type="dxa"/>
            <w:tcBorders>
              <w:top w:val="nil"/>
              <w:left w:val="nil"/>
              <w:bottom w:val="nil"/>
              <w:right w:val="nil"/>
            </w:tcBorders>
            <w:shd w:val="clear" w:color="auto" w:fill="auto"/>
            <w:noWrap/>
            <w:vAlign w:val="bottom"/>
            <w:hideMark/>
          </w:tcPr>
          <w:p w14:paraId="4DE34894"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5'TGTAGTTGAGGTCAATGAAGGG-3'</w:t>
            </w:r>
          </w:p>
        </w:tc>
        <w:tc>
          <w:tcPr>
            <w:tcW w:w="5659" w:type="dxa"/>
            <w:tcBorders>
              <w:top w:val="nil"/>
              <w:left w:val="nil"/>
              <w:bottom w:val="nil"/>
              <w:right w:val="nil"/>
            </w:tcBorders>
            <w:shd w:val="clear" w:color="auto" w:fill="auto"/>
            <w:noWrap/>
            <w:vAlign w:val="bottom"/>
            <w:hideMark/>
          </w:tcPr>
          <w:p w14:paraId="23644436"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5'-/56-FAM/AAGGTCGGA/ZEN/GTCAACGGATTTGGTC/3IABkFQ/3'</w:t>
            </w:r>
          </w:p>
        </w:tc>
      </w:tr>
      <w:tr w:rsidR="004D474F" w:rsidRPr="006B5E9B" w14:paraId="35E55762" w14:textId="77777777" w:rsidTr="004D474F">
        <w:trPr>
          <w:trHeight w:val="300"/>
        </w:trPr>
        <w:tc>
          <w:tcPr>
            <w:tcW w:w="1044" w:type="dxa"/>
            <w:tcBorders>
              <w:top w:val="nil"/>
              <w:left w:val="nil"/>
              <w:bottom w:val="nil"/>
              <w:right w:val="nil"/>
            </w:tcBorders>
            <w:shd w:val="clear" w:color="auto" w:fill="auto"/>
            <w:noWrap/>
            <w:vAlign w:val="bottom"/>
            <w:hideMark/>
          </w:tcPr>
          <w:p w14:paraId="17EC1C82"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1797" w:type="dxa"/>
            <w:tcBorders>
              <w:top w:val="nil"/>
              <w:left w:val="nil"/>
              <w:bottom w:val="nil"/>
              <w:right w:val="nil"/>
            </w:tcBorders>
            <w:shd w:val="clear" w:color="auto" w:fill="auto"/>
            <w:noWrap/>
            <w:vAlign w:val="bottom"/>
            <w:hideMark/>
          </w:tcPr>
          <w:p w14:paraId="580E6963"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1407" w:type="dxa"/>
            <w:tcBorders>
              <w:top w:val="nil"/>
              <w:left w:val="nil"/>
              <w:bottom w:val="nil"/>
              <w:right w:val="nil"/>
            </w:tcBorders>
            <w:shd w:val="clear" w:color="auto" w:fill="auto"/>
            <w:noWrap/>
            <w:vAlign w:val="bottom"/>
            <w:hideMark/>
          </w:tcPr>
          <w:p w14:paraId="3BEDE3B7"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930" w:type="dxa"/>
            <w:tcBorders>
              <w:top w:val="nil"/>
              <w:left w:val="nil"/>
              <w:bottom w:val="nil"/>
              <w:right w:val="nil"/>
            </w:tcBorders>
            <w:shd w:val="clear" w:color="auto" w:fill="auto"/>
            <w:noWrap/>
            <w:vAlign w:val="bottom"/>
            <w:hideMark/>
          </w:tcPr>
          <w:p w14:paraId="3045BAC6" w14:textId="77777777" w:rsidR="004D474F" w:rsidRPr="006B5E9B" w:rsidRDefault="004D474F" w:rsidP="004D474F">
            <w:pPr>
              <w:rPr>
                <w:rFonts w:ascii="Times New Roman" w:eastAsia="Times New Roman" w:hAnsi="Times New Roman" w:cs="Times New Roman"/>
                <w:color w:val="000000"/>
                <w:sz w:val="18"/>
                <w:szCs w:val="18"/>
                <w:lang w:val="en-GB"/>
              </w:rPr>
            </w:pPr>
          </w:p>
        </w:tc>
        <w:tc>
          <w:tcPr>
            <w:tcW w:w="3129" w:type="dxa"/>
            <w:tcBorders>
              <w:top w:val="nil"/>
              <w:left w:val="nil"/>
              <w:bottom w:val="nil"/>
              <w:right w:val="nil"/>
            </w:tcBorders>
            <w:shd w:val="clear" w:color="auto" w:fill="auto"/>
            <w:noWrap/>
            <w:vAlign w:val="bottom"/>
            <w:hideMark/>
          </w:tcPr>
          <w:p w14:paraId="7E1B08DB" w14:textId="77777777" w:rsidR="004D474F" w:rsidRPr="006B5E9B" w:rsidRDefault="004D474F" w:rsidP="004D474F">
            <w:pPr>
              <w:rPr>
                <w:rFonts w:ascii="Times New Roman" w:eastAsia="Times New Roman" w:hAnsi="Times New Roman" w:cs="Times New Roman"/>
                <w:color w:val="000000"/>
                <w:sz w:val="18"/>
                <w:szCs w:val="18"/>
                <w:lang w:val="en-GB"/>
              </w:rPr>
            </w:pPr>
            <w:r w:rsidRPr="006B5E9B">
              <w:rPr>
                <w:rFonts w:ascii="Times New Roman" w:eastAsia="Times New Roman" w:hAnsi="Times New Roman" w:cs="Times New Roman"/>
                <w:color w:val="000000"/>
                <w:sz w:val="18"/>
                <w:szCs w:val="18"/>
                <w:lang w:val="en-GB"/>
              </w:rPr>
              <w:t>5'ACATCGCTCAGACACCATG-3'</w:t>
            </w:r>
          </w:p>
        </w:tc>
        <w:tc>
          <w:tcPr>
            <w:tcW w:w="5659" w:type="dxa"/>
            <w:tcBorders>
              <w:top w:val="nil"/>
              <w:left w:val="nil"/>
              <w:bottom w:val="nil"/>
              <w:right w:val="nil"/>
            </w:tcBorders>
            <w:shd w:val="clear" w:color="auto" w:fill="auto"/>
            <w:noWrap/>
            <w:vAlign w:val="bottom"/>
            <w:hideMark/>
          </w:tcPr>
          <w:p w14:paraId="6E2FABF9" w14:textId="77777777" w:rsidR="004D474F" w:rsidRPr="006B5E9B" w:rsidRDefault="004D474F" w:rsidP="004D474F">
            <w:pPr>
              <w:rPr>
                <w:rFonts w:ascii="Times New Roman" w:eastAsia="Times New Roman" w:hAnsi="Times New Roman" w:cs="Times New Roman"/>
                <w:color w:val="000000"/>
                <w:sz w:val="18"/>
                <w:szCs w:val="18"/>
                <w:lang w:val="en-GB"/>
              </w:rPr>
            </w:pPr>
          </w:p>
        </w:tc>
      </w:tr>
    </w:tbl>
    <w:p w14:paraId="4D3EC7D8" w14:textId="77777777" w:rsidR="00B833FD" w:rsidRDefault="00B833FD" w:rsidP="00B833FD"/>
    <w:p w14:paraId="259A5794" w14:textId="77777777" w:rsidR="006473BF" w:rsidRDefault="006473BF" w:rsidP="00B833FD">
      <w:pPr>
        <w:sectPr w:rsidR="006473BF" w:rsidSect="00B833FD">
          <w:pgSz w:w="16840" w:h="11900" w:orient="landscape"/>
          <w:pgMar w:top="2268" w:right="1440" w:bottom="1134" w:left="1440" w:header="709" w:footer="709" w:gutter="0"/>
          <w:cols w:space="708"/>
          <w:docGrid w:linePitch="360"/>
        </w:sectPr>
      </w:pPr>
    </w:p>
    <w:p w14:paraId="55EB4790" w14:textId="7114A828" w:rsidR="0085074F" w:rsidRPr="00EB4F0E" w:rsidRDefault="007F2935" w:rsidP="009A1D4C">
      <w:pPr>
        <w:pStyle w:val="Heading3"/>
        <w:rPr>
          <w:u w:val="single"/>
        </w:rPr>
      </w:pPr>
      <w:bookmarkStart w:id="573" w:name="_Toc262895403"/>
      <w:bookmarkStart w:id="574" w:name="_Toc328301114"/>
      <w:bookmarkStart w:id="575" w:name="_Toc329593408"/>
      <w:bookmarkStart w:id="576" w:name="_Toc331425907"/>
      <w:bookmarkStart w:id="577" w:name="_Toc331427090"/>
      <w:bookmarkStart w:id="578" w:name="_Toc331427462"/>
      <w:bookmarkStart w:id="579" w:name="_Toc331427604"/>
      <w:bookmarkStart w:id="580" w:name="_Toc332972608"/>
      <w:bookmarkStart w:id="581" w:name="_Toc333046887"/>
      <w:bookmarkStart w:id="582" w:name="_Toc333477234"/>
      <w:bookmarkStart w:id="583" w:name="_Toc333478004"/>
      <w:bookmarkStart w:id="584" w:name="_Toc333644904"/>
      <w:r w:rsidRPr="00EB4F0E">
        <w:rPr>
          <w:u w:val="single"/>
        </w:rPr>
        <w:t>2.1.5</w:t>
      </w:r>
      <w:r w:rsidR="00D01519" w:rsidRPr="00EB4F0E">
        <w:rPr>
          <w:u w:val="single"/>
        </w:rPr>
        <w:t xml:space="preserve"> </w:t>
      </w:r>
      <w:r w:rsidR="0085074F" w:rsidRPr="00EB4F0E">
        <w:rPr>
          <w:u w:val="single"/>
        </w:rPr>
        <w:t>CyQUANT assay</w:t>
      </w:r>
      <w:bookmarkEnd w:id="573"/>
      <w:bookmarkEnd w:id="574"/>
      <w:bookmarkEnd w:id="575"/>
      <w:bookmarkEnd w:id="576"/>
      <w:bookmarkEnd w:id="577"/>
      <w:bookmarkEnd w:id="578"/>
      <w:bookmarkEnd w:id="579"/>
      <w:bookmarkEnd w:id="580"/>
      <w:bookmarkEnd w:id="581"/>
      <w:bookmarkEnd w:id="582"/>
      <w:bookmarkEnd w:id="583"/>
      <w:bookmarkEnd w:id="584"/>
    </w:p>
    <w:p w14:paraId="3E2532EF" w14:textId="77777777" w:rsidR="0085074F" w:rsidRPr="004975E3" w:rsidRDefault="0085074F" w:rsidP="0085074F">
      <w:pPr>
        <w:spacing w:line="360" w:lineRule="auto"/>
        <w:jc w:val="both"/>
        <w:rPr>
          <w:rFonts w:ascii="Times New Roman" w:hAnsi="Times New Roman" w:cs="Times New Roman"/>
          <w:b/>
          <w:color w:val="548DD4" w:themeColor="text2" w:themeTint="99"/>
          <w:u w:val="single"/>
          <w:lang w:val="en-GB"/>
        </w:rPr>
      </w:pPr>
    </w:p>
    <w:p w14:paraId="341FC993" w14:textId="176AB195" w:rsidR="0085074F" w:rsidRPr="007A2989" w:rsidRDefault="0085074F" w:rsidP="0085074F">
      <w:pPr>
        <w:spacing w:line="360" w:lineRule="auto"/>
        <w:jc w:val="both"/>
        <w:rPr>
          <w:rFonts w:ascii="Times New Roman" w:hAnsi="Times New Roman" w:cs="Times New Roman"/>
          <w:lang w:val="en-GB"/>
        </w:rPr>
      </w:pPr>
      <w:r w:rsidRPr="004975E3">
        <w:rPr>
          <w:rFonts w:ascii="Times New Roman" w:hAnsi="Times New Roman" w:cs="Times New Roman"/>
          <w:b/>
          <w:lang w:val="en-GB"/>
        </w:rPr>
        <w:t>CyQUANT</w:t>
      </w:r>
      <w:r w:rsidRPr="004975E3">
        <w:rPr>
          <w:rFonts w:ascii="Times New Roman" w:hAnsi="Times New Roman" w:cs="Times New Roman"/>
          <w:b/>
          <w:lang w:val="en-GB"/>
        </w:rPr>
        <w:sym w:font="Symbol" w:char="F0D2"/>
      </w:r>
      <w:r w:rsidRPr="004975E3">
        <w:rPr>
          <w:rFonts w:ascii="Times New Roman" w:hAnsi="Times New Roman" w:cs="Times New Roman"/>
          <w:b/>
          <w:lang w:val="en-GB"/>
        </w:rPr>
        <w:t xml:space="preserve"> Direct Cell Proliferation Assay</w:t>
      </w:r>
      <w:r w:rsidR="00403446">
        <w:rPr>
          <w:rFonts w:ascii="Times New Roman" w:hAnsi="Times New Roman" w:cs="Times New Roman"/>
          <w:color w:val="548DD4" w:themeColor="text2" w:themeTint="99"/>
          <w:lang w:val="en-GB"/>
        </w:rPr>
        <w:t xml:space="preserve"> </w:t>
      </w:r>
      <w:r w:rsidR="007F2935">
        <w:rPr>
          <w:rFonts w:ascii="Times New Roman" w:hAnsi="Times New Roman" w:cs="Times New Roman"/>
          <w:lang w:val="en-GB"/>
        </w:rPr>
        <w:t>(</w:t>
      </w:r>
      <w:r w:rsidRPr="004975E3">
        <w:rPr>
          <w:rFonts w:ascii="Times New Roman" w:hAnsi="Times New Roman" w:cs="Times New Roman"/>
          <w:lang w:val="en-GB"/>
        </w:rPr>
        <w:t>Life Technologies</w:t>
      </w:r>
      <w:r w:rsidR="007A2989">
        <w:rPr>
          <w:rFonts w:ascii="Times New Roman" w:hAnsi="Times New Roman" w:cs="Times New Roman"/>
          <w:lang w:val="en-GB"/>
        </w:rPr>
        <w:t>, USA)</w:t>
      </w:r>
    </w:p>
    <w:p w14:paraId="7ABED92B" w14:textId="77777777" w:rsidR="005979EC" w:rsidRPr="004975E3" w:rsidRDefault="005979EC" w:rsidP="0085074F">
      <w:pPr>
        <w:spacing w:line="360" w:lineRule="auto"/>
        <w:jc w:val="both"/>
        <w:rPr>
          <w:rFonts w:ascii="Times New Roman" w:hAnsi="Times New Roman" w:cs="Times New Roman"/>
          <w:lang w:val="en-GB"/>
        </w:rPr>
      </w:pPr>
    </w:p>
    <w:p w14:paraId="069E482D" w14:textId="4FC76CDB" w:rsidR="005979EC" w:rsidRPr="00EB4F0E" w:rsidRDefault="007F2935" w:rsidP="009A1D4C">
      <w:pPr>
        <w:pStyle w:val="Heading3"/>
        <w:rPr>
          <w:u w:val="single"/>
          <w:lang w:val="en-GB"/>
        </w:rPr>
      </w:pPr>
      <w:bookmarkStart w:id="585" w:name="_Toc328301115"/>
      <w:bookmarkStart w:id="586" w:name="_Toc329593409"/>
      <w:bookmarkStart w:id="587" w:name="_Toc331425908"/>
      <w:bookmarkStart w:id="588" w:name="_Toc331427091"/>
      <w:bookmarkStart w:id="589" w:name="_Toc331427463"/>
      <w:bookmarkStart w:id="590" w:name="_Toc331427605"/>
      <w:bookmarkStart w:id="591" w:name="_Toc332972609"/>
      <w:bookmarkStart w:id="592" w:name="_Toc333046888"/>
      <w:bookmarkStart w:id="593" w:name="_Toc333477235"/>
      <w:bookmarkStart w:id="594" w:name="_Toc333478005"/>
      <w:bookmarkStart w:id="595" w:name="_Toc333644905"/>
      <w:r w:rsidRPr="00EB4F0E">
        <w:rPr>
          <w:u w:val="single"/>
          <w:lang w:val="en-GB"/>
        </w:rPr>
        <w:t>2.1.6</w:t>
      </w:r>
      <w:r w:rsidR="00D01519" w:rsidRPr="00EB4F0E">
        <w:rPr>
          <w:u w:val="single"/>
          <w:lang w:val="en-GB"/>
        </w:rPr>
        <w:t xml:space="preserve"> </w:t>
      </w:r>
      <w:r w:rsidR="005979EC" w:rsidRPr="00EB4F0E">
        <w:rPr>
          <w:u w:val="single"/>
          <w:lang w:val="en-GB"/>
        </w:rPr>
        <w:t>MTT</w:t>
      </w:r>
      <w:r w:rsidR="00FF5809" w:rsidRPr="00EB4F0E">
        <w:rPr>
          <w:u w:val="single"/>
          <w:lang w:val="en-GB"/>
        </w:rPr>
        <w:t xml:space="preserve"> assay</w:t>
      </w:r>
      <w:bookmarkEnd w:id="585"/>
      <w:bookmarkEnd w:id="586"/>
      <w:bookmarkEnd w:id="587"/>
      <w:bookmarkEnd w:id="588"/>
      <w:bookmarkEnd w:id="589"/>
      <w:bookmarkEnd w:id="590"/>
      <w:bookmarkEnd w:id="591"/>
      <w:bookmarkEnd w:id="592"/>
      <w:bookmarkEnd w:id="593"/>
      <w:bookmarkEnd w:id="594"/>
      <w:bookmarkEnd w:id="595"/>
    </w:p>
    <w:p w14:paraId="5B36E5E4" w14:textId="77777777" w:rsidR="004C59BE" w:rsidRPr="004975E3" w:rsidRDefault="004C59BE" w:rsidP="0085074F">
      <w:pPr>
        <w:spacing w:line="360" w:lineRule="auto"/>
        <w:jc w:val="both"/>
        <w:rPr>
          <w:rFonts w:ascii="Times New Roman" w:hAnsi="Times New Roman" w:cs="Times New Roman"/>
          <w:b/>
          <w:u w:val="single"/>
          <w:lang w:val="en-GB"/>
        </w:rPr>
      </w:pPr>
    </w:p>
    <w:p w14:paraId="368FCCC4" w14:textId="77777777" w:rsidR="007F2935" w:rsidRDefault="004C59BE" w:rsidP="0085074F">
      <w:pPr>
        <w:spacing w:line="360" w:lineRule="auto"/>
        <w:jc w:val="both"/>
        <w:rPr>
          <w:rFonts w:ascii="Times New Roman" w:hAnsi="Times New Roman" w:cs="Times New Roman"/>
          <w:lang w:val="en-GB"/>
        </w:rPr>
      </w:pPr>
      <w:r w:rsidRPr="004975E3">
        <w:rPr>
          <w:rFonts w:ascii="Times New Roman" w:hAnsi="Times New Roman" w:cs="Times New Roman"/>
          <w:b/>
          <w:lang w:val="en-GB"/>
        </w:rPr>
        <w:t>MTT reagent</w:t>
      </w:r>
      <w:r w:rsidR="009E356D">
        <w:rPr>
          <w:rFonts w:ascii="Times New Roman" w:hAnsi="Times New Roman" w:cs="Times New Roman"/>
          <w:b/>
          <w:lang w:val="en-GB"/>
        </w:rPr>
        <w:t xml:space="preserve">  </w:t>
      </w:r>
      <w:r w:rsidR="007F2935">
        <w:rPr>
          <w:rFonts w:ascii="Times New Roman" w:hAnsi="Times New Roman" w:cs="Times New Roman"/>
          <w:b/>
          <w:lang w:val="en-GB"/>
        </w:rPr>
        <w:t xml:space="preserve">                                       </w:t>
      </w:r>
      <w:r w:rsidR="009E356D">
        <w:rPr>
          <w:rFonts w:ascii="Times New Roman" w:hAnsi="Times New Roman" w:cs="Times New Roman"/>
          <w:lang w:val="en-GB"/>
        </w:rPr>
        <w:t>5mg/ml MTT</w:t>
      </w:r>
    </w:p>
    <w:p w14:paraId="3AA2DD04" w14:textId="77777777" w:rsidR="007F2935" w:rsidRDefault="007F2935"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9E356D">
        <w:rPr>
          <w:rFonts w:ascii="Times New Roman" w:hAnsi="Times New Roman" w:cs="Times New Roman"/>
          <w:lang w:val="en-GB"/>
        </w:rPr>
        <w:t xml:space="preserve"> </w:t>
      </w:r>
      <w:r>
        <w:rPr>
          <w:rFonts w:ascii="Times New Roman" w:hAnsi="Times New Roman" w:cs="Times New Roman"/>
          <w:lang w:val="en-GB"/>
        </w:rPr>
        <w:t>I</w:t>
      </w:r>
      <w:r w:rsidR="009E356D">
        <w:rPr>
          <w:rFonts w:ascii="Times New Roman" w:hAnsi="Times New Roman" w:cs="Times New Roman"/>
          <w:lang w:val="en-GB"/>
        </w:rPr>
        <w:t>n</w:t>
      </w:r>
      <w:r>
        <w:rPr>
          <w:rFonts w:ascii="Times New Roman" w:hAnsi="Times New Roman" w:cs="Times New Roman"/>
          <w:lang w:val="en-GB"/>
        </w:rPr>
        <w:t xml:space="preserve"> 1 x PBS</w:t>
      </w:r>
    </w:p>
    <w:p w14:paraId="641E35BD" w14:textId="5F34DA69" w:rsidR="004C59BE" w:rsidRPr="009E356D" w:rsidRDefault="007F2935"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9E356D">
        <w:rPr>
          <w:rFonts w:ascii="Times New Roman" w:hAnsi="Times New Roman" w:cs="Times New Roman"/>
          <w:lang w:val="en-GB"/>
        </w:rPr>
        <w:t xml:space="preserve"> Filter </w:t>
      </w:r>
      <w:r w:rsidR="00333077">
        <w:rPr>
          <w:rFonts w:ascii="Times New Roman" w:hAnsi="Times New Roman" w:cs="Times New Roman"/>
          <w:lang w:val="en-GB"/>
        </w:rPr>
        <w:t>sterilised</w:t>
      </w:r>
      <w:r w:rsidR="009E356D">
        <w:rPr>
          <w:rFonts w:ascii="Times New Roman" w:hAnsi="Times New Roman" w:cs="Times New Roman"/>
          <w:lang w:val="en-GB"/>
        </w:rPr>
        <w:t xml:space="preserve"> before use.</w:t>
      </w:r>
    </w:p>
    <w:p w14:paraId="760092A9" w14:textId="77777777" w:rsidR="004C59BE" w:rsidRPr="004975E3" w:rsidRDefault="004C59BE" w:rsidP="0085074F">
      <w:pPr>
        <w:spacing w:line="360" w:lineRule="auto"/>
        <w:jc w:val="both"/>
        <w:rPr>
          <w:rFonts w:ascii="Times New Roman" w:hAnsi="Times New Roman" w:cs="Times New Roman"/>
          <w:b/>
          <w:lang w:val="en-GB"/>
        </w:rPr>
      </w:pPr>
    </w:p>
    <w:p w14:paraId="0B42917C" w14:textId="63288DD0" w:rsidR="007F2935" w:rsidRDefault="00042C69" w:rsidP="005C61CC">
      <w:pPr>
        <w:spacing w:line="360" w:lineRule="auto"/>
        <w:jc w:val="both"/>
        <w:rPr>
          <w:rFonts w:ascii="Times New Roman" w:hAnsi="Times New Roman" w:cs="Times New Roman"/>
          <w:lang w:val="en-GB"/>
        </w:rPr>
      </w:pPr>
      <w:r>
        <w:rPr>
          <w:rFonts w:ascii="Times New Roman" w:hAnsi="Times New Roman" w:cs="Times New Roman"/>
          <w:b/>
          <w:lang w:val="en-GB"/>
        </w:rPr>
        <w:t>SDS/DM</w:t>
      </w:r>
      <w:r w:rsidR="004C59BE" w:rsidRPr="004975E3">
        <w:rPr>
          <w:rFonts w:ascii="Times New Roman" w:hAnsi="Times New Roman" w:cs="Times New Roman"/>
          <w:b/>
          <w:lang w:val="en-GB"/>
        </w:rPr>
        <w:t>F</w:t>
      </w:r>
      <w:r>
        <w:rPr>
          <w:rFonts w:ascii="Times New Roman" w:hAnsi="Times New Roman" w:cs="Times New Roman"/>
          <w:b/>
          <w:lang w:val="en-GB"/>
        </w:rPr>
        <w:t xml:space="preserve"> </w:t>
      </w:r>
      <w:r>
        <w:rPr>
          <w:rFonts w:ascii="Times New Roman" w:hAnsi="Times New Roman" w:cs="Times New Roman"/>
          <w:lang w:val="en-GB"/>
        </w:rPr>
        <w:t xml:space="preserve"> </w:t>
      </w:r>
      <w:r w:rsidR="007F2935">
        <w:rPr>
          <w:rFonts w:ascii="Times New Roman" w:hAnsi="Times New Roman" w:cs="Times New Roman"/>
          <w:lang w:val="en-GB"/>
        </w:rPr>
        <w:t xml:space="preserve">                                            </w:t>
      </w:r>
      <w:r>
        <w:rPr>
          <w:rFonts w:ascii="Times New Roman" w:hAnsi="Times New Roman" w:cs="Times New Roman"/>
          <w:lang w:val="en-GB"/>
        </w:rPr>
        <w:t>20%</w:t>
      </w:r>
      <w:r w:rsidR="007F2935">
        <w:rPr>
          <w:rFonts w:ascii="Times New Roman" w:hAnsi="Times New Roman" w:cs="Times New Roman"/>
          <w:lang w:val="en-GB"/>
        </w:rPr>
        <w:t xml:space="preserve"> (w/v)</w:t>
      </w:r>
      <w:r>
        <w:rPr>
          <w:rFonts w:ascii="Times New Roman" w:hAnsi="Times New Roman" w:cs="Times New Roman"/>
          <w:lang w:val="en-GB"/>
        </w:rPr>
        <w:t xml:space="preserve"> sodium dodecyl sulphate</w:t>
      </w:r>
    </w:p>
    <w:p w14:paraId="4BCBBAB6" w14:textId="2ACF8E82" w:rsidR="000941F6" w:rsidRDefault="007F2935" w:rsidP="005C61CC">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042C69">
        <w:rPr>
          <w:rFonts w:ascii="Times New Roman" w:hAnsi="Times New Roman" w:cs="Times New Roman"/>
          <w:lang w:val="en-GB"/>
        </w:rPr>
        <w:t xml:space="preserve"> in 50% dimethylformamide</w:t>
      </w:r>
      <w:bookmarkStart w:id="596" w:name="_Toc262895404"/>
    </w:p>
    <w:p w14:paraId="4E630A52" w14:textId="77777777" w:rsidR="005C61CC" w:rsidRPr="005C61CC" w:rsidRDefault="005C61CC" w:rsidP="005C61CC">
      <w:pPr>
        <w:spacing w:line="360" w:lineRule="auto"/>
        <w:jc w:val="both"/>
        <w:rPr>
          <w:rFonts w:ascii="Times New Roman" w:hAnsi="Times New Roman" w:cs="Times New Roman"/>
          <w:b/>
          <w:lang w:val="en-GB"/>
        </w:rPr>
      </w:pPr>
    </w:p>
    <w:p w14:paraId="7EF4D087" w14:textId="6130D34E" w:rsidR="0085074F" w:rsidRPr="00EB4F0E" w:rsidRDefault="00EB4F0E" w:rsidP="009A1D4C">
      <w:pPr>
        <w:pStyle w:val="Heading3"/>
        <w:rPr>
          <w:u w:val="single"/>
        </w:rPr>
      </w:pPr>
      <w:bookmarkStart w:id="597" w:name="_Toc328301116"/>
      <w:bookmarkStart w:id="598" w:name="_Toc329593410"/>
      <w:bookmarkStart w:id="599" w:name="_Toc331425909"/>
      <w:bookmarkStart w:id="600" w:name="_Toc331427092"/>
      <w:bookmarkStart w:id="601" w:name="_Toc331427464"/>
      <w:bookmarkStart w:id="602" w:name="_Toc331427606"/>
      <w:bookmarkStart w:id="603" w:name="_Toc332972610"/>
      <w:bookmarkStart w:id="604" w:name="_Toc333046889"/>
      <w:bookmarkStart w:id="605" w:name="_Toc333477236"/>
      <w:bookmarkStart w:id="606" w:name="_Toc333478006"/>
      <w:bookmarkStart w:id="607" w:name="_Toc333644906"/>
      <w:r w:rsidRPr="00EB4F0E">
        <w:rPr>
          <w:u w:val="single"/>
        </w:rPr>
        <w:t>2.1.7</w:t>
      </w:r>
      <w:r w:rsidR="00D01519" w:rsidRPr="00EB4F0E">
        <w:rPr>
          <w:u w:val="single"/>
        </w:rPr>
        <w:t xml:space="preserve"> </w:t>
      </w:r>
      <w:r w:rsidR="0085074F" w:rsidRPr="00EB4F0E">
        <w:rPr>
          <w:u w:val="single"/>
        </w:rPr>
        <w:t>Immunocytochemistry</w:t>
      </w:r>
      <w:bookmarkEnd w:id="596"/>
      <w:r w:rsidR="005735EF" w:rsidRPr="00EB4F0E">
        <w:rPr>
          <w:u w:val="single"/>
        </w:rPr>
        <w:t xml:space="preserve">  (ICC)</w:t>
      </w:r>
      <w:bookmarkEnd w:id="597"/>
      <w:bookmarkEnd w:id="598"/>
      <w:bookmarkEnd w:id="599"/>
      <w:bookmarkEnd w:id="600"/>
      <w:bookmarkEnd w:id="601"/>
      <w:bookmarkEnd w:id="602"/>
      <w:bookmarkEnd w:id="603"/>
      <w:bookmarkEnd w:id="604"/>
      <w:bookmarkEnd w:id="605"/>
      <w:bookmarkEnd w:id="606"/>
      <w:bookmarkEnd w:id="607"/>
    </w:p>
    <w:p w14:paraId="10F0D4EA" w14:textId="77777777" w:rsidR="0085074F" w:rsidRDefault="0085074F" w:rsidP="0085074F">
      <w:pPr>
        <w:spacing w:line="360" w:lineRule="auto"/>
        <w:jc w:val="both"/>
        <w:rPr>
          <w:rFonts w:ascii="Times New Roman" w:hAnsi="Times New Roman" w:cs="Times New Roman"/>
          <w:b/>
          <w:lang w:val="en-GB"/>
        </w:rPr>
      </w:pPr>
    </w:p>
    <w:p w14:paraId="39BA517C" w14:textId="3FB35308" w:rsidR="00AB2492" w:rsidRPr="00FF4E6A" w:rsidRDefault="00D46DE4" w:rsidP="0085074F">
      <w:pPr>
        <w:spacing w:line="360" w:lineRule="auto"/>
        <w:jc w:val="both"/>
        <w:rPr>
          <w:rFonts w:ascii="Times New Roman" w:hAnsi="Times New Roman" w:cs="Times New Roman"/>
          <w:lang w:val="en-GB"/>
        </w:rPr>
      </w:pPr>
      <w:r w:rsidRPr="00FF4E6A">
        <w:rPr>
          <w:rFonts w:ascii="Times New Roman" w:hAnsi="Times New Roman" w:cs="Times New Roman"/>
          <w:b/>
          <w:lang w:val="en-GB"/>
        </w:rPr>
        <w:t xml:space="preserve">Glass Coverslips </w:t>
      </w:r>
      <w:r w:rsidR="00FF4E6A">
        <w:rPr>
          <w:rFonts w:ascii="Times New Roman" w:hAnsi="Times New Roman" w:cs="Times New Roman"/>
          <w:lang w:val="en-GB"/>
        </w:rPr>
        <w:t>(SLS) 13mm diameter.</w:t>
      </w:r>
    </w:p>
    <w:p w14:paraId="09AC9BC6" w14:textId="77777777" w:rsidR="00D46DE4" w:rsidRPr="004975E3" w:rsidRDefault="00D46DE4" w:rsidP="0085074F">
      <w:pPr>
        <w:spacing w:line="360" w:lineRule="auto"/>
        <w:jc w:val="both"/>
        <w:rPr>
          <w:rFonts w:ascii="Times New Roman" w:hAnsi="Times New Roman" w:cs="Times New Roman"/>
          <w:b/>
          <w:lang w:val="en-GB"/>
        </w:rPr>
      </w:pPr>
    </w:p>
    <w:p w14:paraId="63988ED9" w14:textId="3088E63E" w:rsidR="00EB4F0E" w:rsidRDefault="0085074F" w:rsidP="0085074F">
      <w:pPr>
        <w:spacing w:line="360" w:lineRule="auto"/>
        <w:jc w:val="both"/>
        <w:rPr>
          <w:rFonts w:ascii="Times New Roman" w:hAnsi="Times New Roman" w:cs="Times New Roman"/>
          <w:lang w:val="en-GB"/>
        </w:rPr>
      </w:pPr>
      <w:r w:rsidRPr="004975E3">
        <w:rPr>
          <w:rFonts w:ascii="Times New Roman" w:hAnsi="Times New Roman" w:cs="Times New Roman"/>
          <w:b/>
          <w:lang w:val="en-GB"/>
        </w:rPr>
        <w:t>4% paraformaldehyde (PFA)</w:t>
      </w:r>
      <w:r w:rsidRPr="004975E3">
        <w:rPr>
          <w:rFonts w:ascii="Times New Roman" w:hAnsi="Times New Roman" w:cs="Times New Roman"/>
          <w:color w:val="548DD4" w:themeColor="text2" w:themeTint="99"/>
          <w:lang w:val="en-GB"/>
        </w:rPr>
        <w:t xml:space="preserve">  </w:t>
      </w:r>
      <w:r w:rsidR="00EB4F0E">
        <w:rPr>
          <w:rFonts w:ascii="Times New Roman" w:hAnsi="Times New Roman" w:cs="Times New Roman"/>
          <w:color w:val="548DD4" w:themeColor="text2" w:themeTint="99"/>
          <w:lang w:val="en-GB"/>
        </w:rPr>
        <w:t xml:space="preserve">           </w:t>
      </w:r>
      <w:r w:rsidRPr="004975E3">
        <w:rPr>
          <w:rFonts w:ascii="Times New Roman" w:hAnsi="Times New Roman" w:cs="Times New Roman"/>
          <w:lang w:val="en-GB"/>
        </w:rPr>
        <w:t xml:space="preserve">4% (w/v) PFA </w:t>
      </w:r>
    </w:p>
    <w:p w14:paraId="704D471F" w14:textId="77777777" w:rsidR="00EB4F0E" w:rsidRDefault="00EB4F0E"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85074F" w:rsidRPr="004975E3">
        <w:rPr>
          <w:rFonts w:ascii="Times New Roman" w:hAnsi="Times New Roman" w:cs="Times New Roman"/>
          <w:lang w:val="en-GB"/>
        </w:rPr>
        <w:t>in</w:t>
      </w:r>
      <w:r>
        <w:rPr>
          <w:rFonts w:ascii="Times New Roman" w:hAnsi="Times New Roman" w:cs="Times New Roman"/>
          <w:lang w:val="en-GB"/>
        </w:rPr>
        <w:t xml:space="preserve"> 1 x</w:t>
      </w:r>
      <w:r w:rsidR="0085074F" w:rsidRPr="004975E3">
        <w:rPr>
          <w:rFonts w:ascii="Times New Roman" w:hAnsi="Times New Roman" w:cs="Times New Roman"/>
          <w:lang w:val="en-GB"/>
        </w:rPr>
        <w:t xml:space="preserve"> PBS</w:t>
      </w:r>
      <w:r w:rsidR="00A7794D">
        <w:rPr>
          <w:rFonts w:ascii="Times New Roman" w:hAnsi="Times New Roman" w:cs="Times New Roman"/>
          <w:lang w:val="en-GB"/>
        </w:rPr>
        <w:t xml:space="preserve"> </w:t>
      </w:r>
    </w:p>
    <w:p w14:paraId="0224D0E1" w14:textId="127A5B5D" w:rsidR="0085074F" w:rsidRPr="004975E3" w:rsidRDefault="00EB4F0E"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A7794D">
        <w:rPr>
          <w:rFonts w:ascii="Times New Roman" w:hAnsi="Times New Roman" w:cs="Times New Roman"/>
          <w:lang w:val="en-GB"/>
        </w:rPr>
        <w:t>Filter</w:t>
      </w:r>
      <w:r>
        <w:rPr>
          <w:rFonts w:ascii="Times New Roman" w:hAnsi="Times New Roman" w:cs="Times New Roman"/>
          <w:lang w:val="en-GB"/>
        </w:rPr>
        <w:t>ed</w:t>
      </w:r>
      <w:r w:rsidR="00A7794D">
        <w:rPr>
          <w:rFonts w:ascii="Times New Roman" w:hAnsi="Times New Roman" w:cs="Times New Roman"/>
          <w:lang w:val="en-GB"/>
        </w:rPr>
        <w:t xml:space="preserve"> through 0.45μM filter </w:t>
      </w:r>
    </w:p>
    <w:p w14:paraId="596E003C" w14:textId="77777777" w:rsidR="0085074F" w:rsidRPr="004975E3" w:rsidRDefault="0085074F" w:rsidP="0085074F">
      <w:pPr>
        <w:spacing w:line="360" w:lineRule="auto"/>
        <w:jc w:val="both"/>
        <w:rPr>
          <w:rFonts w:ascii="Times New Roman" w:hAnsi="Times New Roman" w:cs="Times New Roman"/>
          <w:lang w:val="en-GB"/>
        </w:rPr>
      </w:pPr>
    </w:p>
    <w:p w14:paraId="6C0BD5FD" w14:textId="6971831C" w:rsidR="0085074F" w:rsidRDefault="0085074F" w:rsidP="0085074F">
      <w:pPr>
        <w:spacing w:line="360" w:lineRule="auto"/>
        <w:jc w:val="both"/>
        <w:rPr>
          <w:rFonts w:ascii="Times New Roman" w:hAnsi="Times New Roman" w:cs="Times New Roman"/>
          <w:lang w:val="en-GB"/>
        </w:rPr>
      </w:pPr>
      <w:r w:rsidRPr="004975E3">
        <w:rPr>
          <w:rFonts w:ascii="Times New Roman" w:hAnsi="Times New Roman" w:cs="Times New Roman"/>
          <w:b/>
          <w:lang w:val="en-GB"/>
        </w:rPr>
        <w:t xml:space="preserve">Permeabilising </w:t>
      </w:r>
      <w:r w:rsidRPr="00EB4F0E">
        <w:rPr>
          <w:rFonts w:ascii="Times New Roman" w:hAnsi="Times New Roman" w:cs="Times New Roman"/>
          <w:b/>
          <w:lang w:val="en-GB"/>
        </w:rPr>
        <w:t>solution</w:t>
      </w:r>
      <w:r w:rsidRPr="00EB4F0E">
        <w:rPr>
          <w:rFonts w:ascii="Times New Roman" w:hAnsi="Times New Roman" w:cs="Times New Roman"/>
          <w:lang w:val="en-GB"/>
        </w:rPr>
        <w:t xml:space="preserve">  </w:t>
      </w:r>
      <w:r w:rsidR="00EB4F0E" w:rsidRPr="00EB4F0E">
        <w:rPr>
          <w:rFonts w:ascii="Times New Roman" w:hAnsi="Times New Roman" w:cs="Times New Roman"/>
          <w:lang w:val="en-GB"/>
        </w:rPr>
        <w:t xml:space="preserve">               </w:t>
      </w:r>
      <w:r w:rsidR="00EB4F0E">
        <w:rPr>
          <w:rFonts w:ascii="Times New Roman" w:hAnsi="Times New Roman" w:cs="Times New Roman"/>
          <w:lang w:val="en-GB"/>
        </w:rPr>
        <w:t xml:space="preserve">     </w:t>
      </w:r>
      <w:r w:rsidR="00EB4F0E" w:rsidRPr="00EB4F0E">
        <w:rPr>
          <w:rFonts w:ascii="Times New Roman" w:hAnsi="Times New Roman" w:cs="Times New Roman"/>
          <w:lang w:val="en-GB"/>
        </w:rPr>
        <w:t xml:space="preserve"> 0.03% (v/v)</w:t>
      </w:r>
      <w:r w:rsidR="00EB4F0E">
        <w:rPr>
          <w:rFonts w:ascii="Times New Roman" w:hAnsi="Times New Roman" w:cs="Times New Roman"/>
          <w:color w:val="548DD4" w:themeColor="text2" w:themeTint="99"/>
          <w:lang w:val="en-GB"/>
        </w:rPr>
        <w:t xml:space="preserve"> </w:t>
      </w:r>
      <w:r w:rsidRPr="004975E3">
        <w:rPr>
          <w:rFonts w:ascii="Times New Roman" w:hAnsi="Times New Roman" w:cs="Times New Roman"/>
          <w:lang w:val="en-GB"/>
        </w:rPr>
        <w:t xml:space="preserve">Triton- X100 </w:t>
      </w:r>
    </w:p>
    <w:p w14:paraId="42BFB9A4" w14:textId="34FCAABC" w:rsidR="00EB4F0E" w:rsidRDefault="00EB4F0E"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In 1 x PBS</w:t>
      </w:r>
    </w:p>
    <w:p w14:paraId="05715FB6" w14:textId="77777777" w:rsidR="00EB4F0E" w:rsidRPr="004975E3" w:rsidRDefault="00EB4F0E" w:rsidP="0085074F">
      <w:pPr>
        <w:spacing w:line="360" w:lineRule="auto"/>
        <w:jc w:val="both"/>
        <w:rPr>
          <w:rFonts w:ascii="Times New Roman" w:hAnsi="Times New Roman" w:cs="Times New Roman"/>
          <w:lang w:val="en-GB"/>
        </w:rPr>
      </w:pPr>
    </w:p>
    <w:p w14:paraId="1D1D33BD" w14:textId="77777777" w:rsidR="0085074F" w:rsidRPr="004975E3" w:rsidRDefault="0085074F" w:rsidP="0085074F">
      <w:pPr>
        <w:spacing w:line="360" w:lineRule="auto"/>
        <w:jc w:val="both"/>
        <w:rPr>
          <w:rFonts w:ascii="Times New Roman" w:hAnsi="Times New Roman" w:cs="Times New Roman"/>
          <w:lang w:val="en-GB"/>
        </w:rPr>
      </w:pPr>
    </w:p>
    <w:p w14:paraId="487D8061" w14:textId="39FD8A12" w:rsidR="00EB4F0E" w:rsidRDefault="0085074F" w:rsidP="0085074F">
      <w:pPr>
        <w:spacing w:line="360" w:lineRule="auto"/>
        <w:jc w:val="both"/>
        <w:rPr>
          <w:rFonts w:ascii="Times New Roman" w:hAnsi="Times New Roman" w:cs="Times New Roman"/>
          <w:lang w:val="en-GB"/>
        </w:rPr>
      </w:pPr>
      <w:r w:rsidRPr="004975E3">
        <w:rPr>
          <w:rFonts w:ascii="Times New Roman" w:hAnsi="Times New Roman" w:cs="Times New Roman"/>
          <w:b/>
          <w:lang w:val="en-GB"/>
        </w:rPr>
        <w:t>ICC Blocking solution</w:t>
      </w:r>
      <w:r w:rsidRPr="004975E3">
        <w:rPr>
          <w:rFonts w:ascii="Times New Roman" w:hAnsi="Times New Roman" w:cs="Times New Roman"/>
          <w:color w:val="548DD4" w:themeColor="text2" w:themeTint="99"/>
          <w:lang w:val="en-GB"/>
        </w:rPr>
        <w:t xml:space="preserve">  </w:t>
      </w:r>
      <w:r w:rsidR="00EB4F0E">
        <w:rPr>
          <w:rFonts w:ascii="Times New Roman" w:hAnsi="Times New Roman" w:cs="Times New Roman"/>
          <w:color w:val="548DD4" w:themeColor="text2" w:themeTint="99"/>
          <w:lang w:val="en-GB"/>
        </w:rPr>
        <w:t xml:space="preserve">                      </w:t>
      </w:r>
      <w:r w:rsidR="00EB4F0E">
        <w:rPr>
          <w:rFonts w:ascii="Times New Roman" w:hAnsi="Times New Roman" w:cs="Times New Roman"/>
          <w:lang w:val="en-GB"/>
        </w:rPr>
        <w:t>3% Albumin bovine fraction V (BSA)</w:t>
      </w:r>
      <w:r w:rsidRPr="004975E3">
        <w:rPr>
          <w:rFonts w:ascii="Times New Roman" w:hAnsi="Times New Roman" w:cs="Times New Roman"/>
          <w:lang w:val="en-GB"/>
        </w:rPr>
        <w:t xml:space="preserve"> (Melford </w:t>
      </w:r>
    </w:p>
    <w:p w14:paraId="045691A3" w14:textId="6A519E5C" w:rsidR="0085074F" w:rsidRDefault="00EB4F0E"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85074F" w:rsidRPr="004975E3">
        <w:rPr>
          <w:rFonts w:ascii="Times New Roman" w:hAnsi="Times New Roman" w:cs="Times New Roman"/>
          <w:lang w:val="en-GB"/>
        </w:rPr>
        <w:t xml:space="preserve">Laboratories Ltd., Chelsworth, Ipswich, UK) </w:t>
      </w:r>
    </w:p>
    <w:p w14:paraId="58350F67" w14:textId="069CD669" w:rsidR="00EB4F0E" w:rsidRDefault="00EB4F0E"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0.01% Tween20</w:t>
      </w:r>
    </w:p>
    <w:p w14:paraId="49DA3483" w14:textId="531D7289" w:rsidR="00EB4F0E" w:rsidRPr="004975E3" w:rsidRDefault="00EB4F0E"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in 1 x PBS</w:t>
      </w:r>
    </w:p>
    <w:p w14:paraId="081DC1A2" w14:textId="77777777" w:rsidR="0085074F" w:rsidRPr="004975E3" w:rsidRDefault="0085074F" w:rsidP="0085074F">
      <w:pPr>
        <w:spacing w:line="360" w:lineRule="auto"/>
        <w:jc w:val="both"/>
        <w:rPr>
          <w:rFonts w:ascii="Times New Roman" w:hAnsi="Times New Roman" w:cs="Times New Roman"/>
          <w:b/>
          <w:lang w:val="en-GB"/>
        </w:rPr>
      </w:pPr>
    </w:p>
    <w:p w14:paraId="00FBEC75" w14:textId="147E49BA" w:rsidR="00EB4F0E" w:rsidRDefault="0085074F" w:rsidP="0085074F">
      <w:pPr>
        <w:spacing w:line="360" w:lineRule="auto"/>
        <w:jc w:val="both"/>
        <w:rPr>
          <w:rFonts w:ascii="Times New Roman" w:hAnsi="Times New Roman" w:cs="Times New Roman"/>
          <w:lang w:val="en-GB"/>
        </w:rPr>
      </w:pPr>
      <w:r w:rsidRPr="004975E3">
        <w:rPr>
          <w:rFonts w:ascii="Times New Roman" w:hAnsi="Times New Roman" w:cs="Times New Roman"/>
          <w:b/>
          <w:lang w:val="en-GB"/>
        </w:rPr>
        <w:t>Hoescht staining solution</w:t>
      </w:r>
      <w:r w:rsidR="00312125">
        <w:rPr>
          <w:rFonts w:ascii="Times New Roman" w:hAnsi="Times New Roman" w:cs="Times New Roman"/>
          <w:b/>
          <w:lang w:val="en-GB"/>
        </w:rPr>
        <w:t xml:space="preserve"> (33342)</w:t>
      </w:r>
      <w:r w:rsidRPr="004975E3">
        <w:rPr>
          <w:rFonts w:ascii="Times New Roman" w:hAnsi="Times New Roman" w:cs="Times New Roman"/>
          <w:color w:val="548DD4" w:themeColor="text2" w:themeTint="99"/>
          <w:lang w:val="en-GB"/>
        </w:rPr>
        <w:t xml:space="preserve"> </w:t>
      </w:r>
      <w:r w:rsidR="00312125">
        <w:rPr>
          <w:rFonts w:ascii="Times New Roman" w:hAnsi="Times New Roman" w:cs="Times New Roman"/>
          <w:color w:val="548DD4" w:themeColor="text2" w:themeTint="99"/>
          <w:lang w:val="en-GB"/>
        </w:rPr>
        <w:t xml:space="preserve">    </w:t>
      </w:r>
      <w:r w:rsidR="002C0EA0">
        <w:rPr>
          <w:rFonts w:ascii="Times New Roman" w:hAnsi="Times New Roman" w:cs="Times New Roman"/>
          <w:lang w:val="en-GB"/>
        </w:rPr>
        <w:t>10mg/ml Bisbenz</w:t>
      </w:r>
      <w:r w:rsidR="00EB4F0E">
        <w:rPr>
          <w:rFonts w:ascii="Times New Roman" w:hAnsi="Times New Roman" w:cs="Times New Roman"/>
          <w:lang w:val="en-GB"/>
        </w:rPr>
        <w:t xml:space="preserve">imide H 33342 trihydrochloride </w:t>
      </w:r>
    </w:p>
    <w:p w14:paraId="39E400CB" w14:textId="231E3021" w:rsidR="0085074F" w:rsidRDefault="00EB4F0E"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3D623A">
        <w:rPr>
          <w:rFonts w:ascii="Times New Roman" w:hAnsi="Times New Roman" w:cs="Times New Roman"/>
          <w:lang w:val="en-GB"/>
        </w:rPr>
        <w:t xml:space="preserve"> </w:t>
      </w:r>
      <w:r>
        <w:rPr>
          <w:rFonts w:ascii="Times New Roman" w:hAnsi="Times New Roman" w:cs="Times New Roman"/>
          <w:lang w:val="en-GB"/>
        </w:rPr>
        <w:t xml:space="preserve"> In dd H</w:t>
      </w:r>
      <w:r>
        <w:rPr>
          <w:rFonts w:ascii="Times New Roman" w:hAnsi="Times New Roman" w:cs="Times New Roman"/>
          <w:vertAlign w:val="subscript"/>
          <w:lang w:val="en-GB"/>
        </w:rPr>
        <w:t>2</w:t>
      </w:r>
      <w:r>
        <w:rPr>
          <w:rFonts w:ascii="Times New Roman" w:hAnsi="Times New Roman" w:cs="Times New Roman"/>
          <w:lang w:val="en-GB"/>
        </w:rPr>
        <w:t>O</w:t>
      </w:r>
    </w:p>
    <w:p w14:paraId="61DB763E" w14:textId="77777777" w:rsidR="000D28EE" w:rsidRPr="00EB4F0E" w:rsidRDefault="000D28EE" w:rsidP="0085074F">
      <w:pPr>
        <w:spacing w:line="360" w:lineRule="auto"/>
        <w:jc w:val="both"/>
        <w:rPr>
          <w:rFonts w:ascii="Times New Roman" w:hAnsi="Times New Roman" w:cs="Times New Roman"/>
          <w:lang w:val="en-GB"/>
        </w:rPr>
      </w:pPr>
    </w:p>
    <w:p w14:paraId="3B473769" w14:textId="6A040C67" w:rsidR="000E259C" w:rsidRPr="000D28EE" w:rsidRDefault="00042C69" w:rsidP="000D28EE">
      <w:pPr>
        <w:rPr>
          <w:rFonts w:ascii="Times New Roman" w:hAnsi="Times New Roman" w:cs="Times New Roman"/>
        </w:rPr>
      </w:pPr>
      <w:bookmarkStart w:id="608" w:name="_Toc328301117"/>
      <w:bookmarkStart w:id="609" w:name="_Toc329593411"/>
      <w:bookmarkStart w:id="610" w:name="_Toc331425910"/>
      <w:bookmarkStart w:id="611" w:name="_Toc331427093"/>
      <w:bookmarkStart w:id="612" w:name="_Toc331427465"/>
      <w:bookmarkStart w:id="613" w:name="_Toc331427607"/>
      <w:bookmarkStart w:id="614" w:name="_Toc262895405"/>
      <w:r w:rsidRPr="000D28EE">
        <w:rPr>
          <w:rFonts w:ascii="Times New Roman" w:hAnsi="Times New Roman" w:cs="Times New Roman"/>
          <w:b/>
        </w:rPr>
        <w:t>Mounting media</w:t>
      </w:r>
      <w:r w:rsidR="00EB4F0E" w:rsidRPr="000D28EE">
        <w:rPr>
          <w:rFonts w:ascii="Times New Roman" w:hAnsi="Times New Roman" w:cs="Times New Roman"/>
        </w:rPr>
        <w:t xml:space="preserve">  </w:t>
      </w:r>
      <w:r w:rsidR="004F2C69" w:rsidRPr="000D28EE">
        <w:rPr>
          <w:rFonts w:ascii="Times New Roman" w:hAnsi="Times New Roman" w:cs="Times New Roman"/>
        </w:rPr>
        <w:t xml:space="preserve"> Fluoromount Aqueous mounting medium (Sigma F4680)</w:t>
      </w:r>
      <w:bookmarkEnd w:id="608"/>
      <w:bookmarkEnd w:id="609"/>
      <w:bookmarkEnd w:id="610"/>
      <w:bookmarkEnd w:id="611"/>
      <w:bookmarkEnd w:id="612"/>
      <w:bookmarkEnd w:id="613"/>
    </w:p>
    <w:p w14:paraId="05E7E749" w14:textId="77777777" w:rsidR="00A618E5" w:rsidRPr="00042C69" w:rsidRDefault="00A618E5" w:rsidP="00042C69"/>
    <w:p w14:paraId="3B357213" w14:textId="31ED3352" w:rsidR="00A83395" w:rsidRDefault="0085074F" w:rsidP="004D474F">
      <w:pPr>
        <w:pStyle w:val="Heading5"/>
      </w:pPr>
      <w:bookmarkStart w:id="615" w:name="_Toc328301118"/>
      <w:bookmarkStart w:id="616" w:name="_Toc329593412"/>
      <w:bookmarkStart w:id="617" w:name="_Toc331425911"/>
      <w:bookmarkStart w:id="618" w:name="_Toc333569347"/>
      <w:bookmarkStart w:id="619" w:name="_Toc333570885"/>
      <w:bookmarkStart w:id="620" w:name="_Toc333585965"/>
      <w:bookmarkStart w:id="621" w:name="_Toc333586840"/>
      <w:bookmarkStart w:id="622" w:name="_Toc333644539"/>
      <w:bookmarkStart w:id="623" w:name="_Toc333644833"/>
      <w:r w:rsidRPr="00F92407">
        <w:t xml:space="preserve">Table </w:t>
      </w:r>
      <w:r w:rsidR="00924CEF" w:rsidRPr="00F92407">
        <w:t>2.5</w:t>
      </w:r>
      <w:r w:rsidR="004D474F">
        <w:t>.</w:t>
      </w:r>
      <w:r w:rsidRPr="00F92407">
        <w:t xml:space="preserve"> Primary antibodies</w:t>
      </w:r>
      <w:r w:rsidR="00924CEF" w:rsidRPr="00F92407">
        <w:t xml:space="preserve"> used</w:t>
      </w:r>
      <w:r w:rsidRPr="00F92407">
        <w:t xml:space="preserve"> for immunocytochemistr</w:t>
      </w:r>
      <w:bookmarkEnd w:id="614"/>
      <w:r w:rsidR="000E259C" w:rsidRPr="00F92407">
        <w:t>y</w:t>
      </w:r>
      <w:r w:rsidR="00924CEF" w:rsidRPr="00F92407">
        <w:t>.</w:t>
      </w:r>
      <w:bookmarkEnd w:id="615"/>
      <w:bookmarkEnd w:id="616"/>
      <w:bookmarkEnd w:id="617"/>
      <w:bookmarkEnd w:id="618"/>
      <w:bookmarkEnd w:id="619"/>
      <w:bookmarkEnd w:id="620"/>
      <w:bookmarkEnd w:id="621"/>
      <w:bookmarkEnd w:id="622"/>
      <w:bookmarkEnd w:id="623"/>
    </w:p>
    <w:p w14:paraId="20BBA0B6" w14:textId="57061C5E" w:rsidR="00F92407" w:rsidRPr="00F92407" w:rsidRDefault="00F92407" w:rsidP="00F92407">
      <w:pPr>
        <w:spacing w:line="360" w:lineRule="auto"/>
        <w:rPr>
          <w:rFonts w:ascii="Times New Roman" w:hAnsi="Times New Roman" w:cs="Times New Roman"/>
        </w:rPr>
      </w:pPr>
      <w:bookmarkStart w:id="624" w:name="_Toc328301119"/>
      <w:bookmarkStart w:id="625" w:name="_Toc329593413"/>
      <w:bookmarkStart w:id="626" w:name="_Toc331425912"/>
      <w:r w:rsidRPr="00F92407">
        <w:rPr>
          <w:rFonts w:ascii="Times New Roman" w:hAnsi="Times New Roman" w:cs="Times New Roman"/>
        </w:rPr>
        <w:t>Antibody reactivity, dilution and source are shown.</w:t>
      </w:r>
      <w:bookmarkEnd w:id="624"/>
      <w:bookmarkEnd w:id="625"/>
      <w:bookmarkEnd w:id="626"/>
    </w:p>
    <w:p w14:paraId="2EC415AA" w14:textId="77777777" w:rsidR="0085074F" w:rsidRPr="004975E3" w:rsidRDefault="0085074F" w:rsidP="0085074F">
      <w:pPr>
        <w:rPr>
          <w:rFonts w:ascii="Times New Roman" w:hAnsi="Times New Roman" w:cs="Times New Roman"/>
        </w:rPr>
      </w:pPr>
    </w:p>
    <w:tbl>
      <w:tblPr>
        <w:tblStyle w:val="TableGrid"/>
        <w:tblW w:w="8577" w:type="dxa"/>
        <w:tblLayout w:type="fixed"/>
        <w:tblLook w:val="04A0" w:firstRow="1" w:lastRow="0" w:firstColumn="1" w:lastColumn="0" w:noHBand="0" w:noVBand="1"/>
      </w:tblPr>
      <w:tblGrid>
        <w:gridCol w:w="1750"/>
        <w:gridCol w:w="2035"/>
        <w:gridCol w:w="1908"/>
        <w:gridCol w:w="1401"/>
        <w:gridCol w:w="1483"/>
      </w:tblGrid>
      <w:tr w:rsidR="0006115E" w:rsidRPr="004975E3" w14:paraId="09E75A54" w14:textId="77777777" w:rsidTr="0006115E">
        <w:trPr>
          <w:trHeight w:val="543"/>
        </w:trPr>
        <w:tc>
          <w:tcPr>
            <w:tcW w:w="1750" w:type="dxa"/>
            <w:shd w:val="clear" w:color="auto" w:fill="000000" w:themeFill="text1"/>
          </w:tcPr>
          <w:p w14:paraId="337FEB4F" w14:textId="77777777" w:rsidR="0085074F" w:rsidRPr="004975E3" w:rsidRDefault="0085074F" w:rsidP="00CF0DE6">
            <w:pPr>
              <w:rPr>
                <w:rFonts w:ascii="Times New Roman" w:hAnsi="Times New Roman" w:cs="Times New Roman"/>
                <w:b/>
                <w:color w:val="FFFFFF" w:themeColor="background1"/>
                <w:lang w:val="en-GB"/>
              </w:rPr>
            </w:pPr>
            <w:r w:rsidRPr="004975E3">
              <w:rPr>
                <w:rFonts w:ascii="Times New Roman" w:hAnsi="Times New Roman" w:cs="Times New Roman"/>
                <w:b/>
                <w:color w:val="FFFFFF" w:themeColor="background1"/>
                <w:lang w:val="en-GB"/>
              </w:rPr>
              <w:t>Antibody</w:t>
            </w:r>
          </w:p>
        </w:tc>
        <w:tc>
          <w:tcPr>
            <w:tcW w:w="2035" w:type="dxa"/>
            <w:shd w:val="clear" w:color="auto" w:fill="000000" w:themeFill="text1"/>
          </w:tcPr>
          <w:p w14:paraId="4D72F34A" w14:textId="77777777" w:rsidR="0085074F" w:rsidRPr="004975E3" w:rsidRDefault="0085074F" w:rsidP="00CF0DE6">
            <w:pPr>
              <w:jc w:val="center"/>
              <w:rPr>
                <w:rFonts w:ascii="Times New Roman" w:hAnsi="Times New Roman" w:cs="Times New Roman"/>
                <w:b/>
                <w:color w:val="FFFFFF" w:themeColor="background1"/>
                <w:lang w:val="en-GB"/>
              </w:rPr>
            </w:pPr>
            <w:r w:rsidRPr="004975E3">
              <w:rPr>
                <w:rFonts w:ascii="Times New Roman" w:hAnsi="Times New Roman" w:cs="Times New Roman"/>
                <w:b/>
                <w:color w:val="FFFFFF" w:themeColor="background1"/>
                <w:lang w:val="en-GB"/>
              </w:rPr>
              <w:t>Specificity</w:t>
            </w:r>
          </w:p>
        </w:tc>
        <w:tc>
          <w:tcPr>
            <w:tcW w:w="1908" w:type="dxa"/>
            <w:shd w:val="clear" w:color="auto" w:fill="000000" w:themeFill="text1"/>
          </w:tcPr>
          <w:p w14:paraId="4DEC438F" w14:textId="77777777" w:rsidR="0085074F" w:rsidRPr="004975E3" w:rsidRDefault="0085074F" w:rsidP="00CF0DE6">
            <w:pPr>
              <w:jc w:val="center"/>
              <w:rPr>
                <w:rFonts w:ascii="Times New Roman" w:hAnsi="Times New Roman" w:cs="Times New Roman"/>
                <w:b/>
                <w:color w:val="FFFFFF" w:themeColor="background1"/>
                <w:lang w:val="en-GB"/>
              </w:rPr>
            </w:pPr>
            <w:r w:rsidRPr="004975E3">
              <w:rPr>
                <w:rFonts w:ascii="Times New Roman" w:hAnsi="Times New Roman" w:cs="Times New Roman"/>
                <w:b/>
                <w:color w:val="FFFFFF" w:themeColor="background1"/>
                <w:lang w:val="en-GB"/>
              </w:rPr>
              <w:t>Species/Type</w:t>
            </w:r>
          </w:p>
        </w:tc>
        <w:tc>
          <w:tcPr>
            <w:tcW w:w="1401" w:type="dxa"/>
            <w:shd w:val="clear" w:color="auto" w:fill="000000" w:themeFill="text1"/>
          </w:tcPr>
          <w:p w14:paraId="7BE8B171" w14:textId="77777777" w:rsidR="0085074F" w:rsidRPr="004975E3" w:rsidRDefault="0085074F" w:rsidP="00CF0DE6">
            <w:pPr>
              <w:jc w:val="center"/>
              <w:rPr>
                <w:rFonts w:ascii="Times New Roman" w:hAnsi="Times New Roman" w:cs="Times New Roman"/>
                <w:b/>
                <w:color w:val="FFFFFF" w:themeColor="background1"/>
                <w:lang w:val="en-GB"/>
              </w:rPr>
            </w:pPr>
            <w:r w:rsidRPr="004975E3">
              <w:rPr>
                <w:rFonts w:ascii="Times New Roman" w:hAnsi="Times New Roman" w:cs="Times New Roman"/>
                <w:b/>
                <w:color w:val="FFFFFF" w:themeColor="background1"/>
                <w:lang w:val="en-GB"/>
              </w:rPr>
              <w:t>Diluent and dilution</w:t>
            </w:r>
          </w:p>
        </w:tc>
        <w:tc>
          <w:tcPr>
            <w:tcW w:w="1483" w:type="dxa"/>
            <w:shd w:val="clear" w:color="auto" w:fill="000000" w:themeFill="text1"/>
          </w:tcPr>
          <w:p w14:paraId="28EC3CDB" w14:textId="77777777" w:rsidR="0085074F" w:rsidRPr="004975E3" w:rsidRDefault="0085074F" w:rsidP="00CF0DE6">
            <w:pPr>
              <w:jc w:val="center"/>
              <w:rPr>
                <w:rFonts w:ascii="Times New Roman" w:hAnsi="Times New Roman" w:cs="Times New Roman"/>
                <w:b/>
                <w:color w:val="FFFFFF" w:themeColor="background1"/>
                <w:lang w:val="en-GB"/>
              </w:rPr>
            </w:pPr>
            <w:r w:rsidRPr="004975E3">
              <w:rPr>
                <w:rFonts w:ascii="Times New Roman" w:hAnsi="Times New Roman" w:cs="Times New Roman"/>
                <w:b/>
                <w:color w:val="FFFFFF" w:themeColor="background1"/>
                <w:lang w:val="en-GB"/>
              </w:rPr>
              <w:t>Source</w:t>
            </w:r>
          </w:p>
        </w:tc>
      </w:tr>
      <w:tr w:rsidR="0006115E" w:rsidRPr="004975E3" w14:paraId="419175F2" w14:textId="77777777" w:rsidTr="0006115E">
        <w:trPr>
          <w:trHeight w:val="796"/>
        </w:trPr>
        <w:tc>
          <w:tcPr>
            <w:tcW w:w="1750" w:type="dxa"/>
          </w:tcPr>
          <w:p w14:paraId="0B8107E9"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 xml:space="preserve">IGF1Rβ (C-20) </w:t>
            </w:r>
          </w:p>
        </w:tc>
        <w:tc>
          <w:tcPr>
            <w:tcW w:w="2035" w:type="dxa"/>
          </w:tcPr>
          <w:p w14:paraId="70191C61"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C-terminus of the IGF receptor β</w:t>
            </w:r>
          </w:p>
        </w:tc>
        <w:tc>
          <w:tcPr>
            <w:tcW w:w="1908" w:type="dxa"/>
          </w:tcPr>
          <w:p w14:paraId="0E62B1EC"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Rabbit polyclonal</w:t>
            </w:r>
          </w:p>
        </w:tc>
        <w:tc>
          <w:tcPr>
            <w:tcW w:w="1401" w:type="dxa"/>
          </w:tcPr>
          <w:p w14:paraId="7B5067CC"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3% BSA/PBST</w:t>
            </w:r>
          </w:p>
          <w:p w14:paraId="56AAFEBC"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1:25</w:t>
            </w:r>
          </w:p>
        </w:tc>
        <w:tc>
          <w:tcPr>
            <w:tcW w:w="1483" w:type="dxa"/>
          </w:tcPr>
          <w:p w14:paraId="7D2A96F6" w14:textId="77777777" w:rsidR="00DF113C" w:rsidRPr="004975E3" w:rsidRDefault="00DF113C" w:rsidP="00DF113C">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Santa Cruz</w:t>
            </w:r>
            <w:r>
              <w:rPr>
                <w:rFonts w:ascii="Times New Roman" w:hAnsi="Times New Roman" w:cs="Times New Roman"/>
                <w:color w:val="000000" w:themeColor="text1"/>
                <w:lang w:val="en-GB"/>
              </w:rPr>
              <w:t xml:space="preserve"> Biotechnlogy (SCBT), Dallas, Texas, US</w:t>
            </w:r>
            <w:r w:rsidRPr="004975E3">
              <w:rPr>
                <w:rFonts w:ascii="Times New Roman" w:hAnsi="Times New Roman" w:cs="Times New Roman"/>
                <w:color w:val="000000" w:themeColor="text1"/>
                <w:lang w:val="en-GB"/>
              </w:rPr>
              <w:t xml:space="preserve"> </w:t>
            </w:r>
          </w:p>
          <w:p w14:paraId="5D091C59" w14:textId="77777777" w:rsidR="0085074F" w:rsidRPr="004975E3" w:rsidRDefault="0085074F" w:rsidP="00CF0DE6">
            <w:pPr>
              <w:jc w:val="both"/>
              <w:rPr>
                <w:rFonts w:ascii="Times New Roman" w:hAnsi="Times New Roman" w:cs="Times New Roman"/>
                <w:color w:val="000000" w:themeColor="text1"/>
                <w:lang w:val="en-GB"/>
              </w:rPr>
            </w:pPr>
          </w:p>
        </w:tc>
      </w:tr>
      <w:tr w:rsidR="0006115E" w:rsidRPr="004975E3" w14:paraId="155EAEA4" w14:textId="77777777" w:rsidTr="0006115E">
        <w:trPr>
          <w:trHeight w:val="813"/>
        </w:trPr>
        <w:tc>
          <w:tcPr>
            <w:tcW w:w="1750" w:type="dxa"/>
          </w:tcPr>
          <w:p w14:paraId="0466A92C"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 xml:space="preserve">IRβ </w:t>
            </w:r>
          </w:p>
        </w:tc>
        <w:tc>
          <w:tcPr>
            <w:tcW w:w="2035" w:type="dxa"/>
          </w:tcPr>
          <w:p w14:paraId="7174B1CE"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C-terminus of the human insulin receptor β</w:t>
            </w:r>
          </w:p>
        </w:tc>
        <w:tc>
          <w:tcPr>
            <w:tcW w:w="1908" w:type="dxa"/>
          </w:tcPr>
          <w:p w14:paraId="24D62E37"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Rabbit monoclonal</w:t>
            </w:r>
          </w:p>
        </w:tc>
        <w:tc>
          <w:tcPr>
            <w:tcW w:w="1401" w:type="dxa"/>
          </w:tcPr>
          <w:p w14:paraId="47B7A98E"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 xml:space="preserve">3% BSA/PBST </w:t>
            </w:r>
          </w:p>
          <w:p w14:paraId="6BF0818D"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1:25</w:t>
            </w:r>
          </w:p>
        </w:tc>
        <w:tc>
          <w:tcPr>
            <w:tcW w:w="1483" w:type="dxa"/>
          </w:tcPr>
          <w:p w14:paraId="02EE50CB" w14:textId="77777777" w:rsidR="00DF113C" w:rsidRPr="004975E3" w:rsidRDefault="00DF113C" w:rsidP="00DF113C">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Santa Cruz</w:t>
            </w:r>
            <w:r>
              <w:rPr>
                <w:rFonts w:ascii="Times New Roman" w:hAnsi="Times New Roman" w:cs="Times New Roman"/>
                <w:color w:val="000000" w:themeColor="text1"/>
                <w:lang w:val="en-GB"/>
              </w:rPr>
              <w:t xml:space="preserve"> Biotechnlogy (SCBT), Dallas, Texas, US</w:t>
            </w:r>
            <w:r w:rsidRPr="004975E3">
              <w:rPr>
                <w:rFonts w:ascii="Times New Roman" w:hAnsi="Times New Roman" w:cs="Times New Roman"/>
                <w:color w:val="000000" w:themeColor="text1"/>
                <w:lang w:val="en-GB"/>
              </w:rPr>
              <w:t xml:space="preserve"> </w:t>
            </w:r>
          </w:p>
          <w:p w14:paraId="04A6FDAE" w14:textId="65EE52E0" w:rsidR="0085074F" w:rsidRPr="004975E3" w:rsidRDefault="0085074F" w:rsidP="00CF0DE6">
            <w:pPr>
              <w:jc w:val="both"/>
              <w:rPr>
                <w:rFonts w:ascii="Times New Roman" w:hAnsi="Times New Roman" w:cs="Times New Roman"/>
                <w:color w:val="000000" w:themeColor="text1"/>
                <w:lang w:val="en-GB"/>
              </w:rPr>
            </w:pPr>
          </w:p>
        </w:tc>
      </w:tr>
      <w:tr w:rsidR="0006115E" w:rsidRPr="004975E3" w14:paraId="65E9C777" w14:textId="77777777" w:rsidTr="0006115E">
        <w:trPr>
          <w:trHeight w:val="830"/>
        </w:trPr>
        <w:tc>
          <w:tcPr>
            <w:tcW w:w="1750" w:type="dxa"/>
          </w:tcPr>
          <w:p w14:paraId="6C5E866B"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Vimentin</w:t>
            </w:r>
          </w:p>
        </w:tc>
        <w:tc>
          <w:tcPr>
            <w:tcW w:w="2035" w:type="dxa"/>
          </w:tcPr>
          <w:p w14:paraId="0157A399" w14:textId="2B101832" w:rsidR="0085074F" w:rsidRPr="004975E3" w:rsidRDefault="00DE331D"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Vimentin</w:t>
            </w:r>
          </w:p>
        </w:tc>
        <w:tc>
          <w:tcPr>
            <w:tcW w:w="1908" w:type="dxa"/>
          </w:tcPr>
          <w:p w14:paraId="1A2BC747"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Mouse monoclonal</w:t>
            </w:r>
          </w:p>
        </w:tc>
        <w:tc>
          <w:tcPr>
            <w:tcW w:w="1401" w:type="dxa"/>
          </w:tcPr>
          <w:p w14:paraId="1C88A618"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 xml:space="preserve">3% BSA/PBST </w:t>
            </w:r>
          </w:p>
          <w:p w14:paraId="4158A7A5" w14:textId="77777777" w:rsidR="0085074F" w:rsidRPr="004975E3"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1:250</w:t>
            </w:r>
          </w:p>
        </w:tc>
        <w:tc>
          <w:tcPr>
            <w:tcW w:w="1483" w:type="dxa"/>
          </w:tcPr>
          <w:p w14:paraId="22D2CAEB" w14:textId="0BC0A4E8" w:rsidR="0085074F" w:rsidRDefault="0085074F" w:rsidP="00CF0DE6">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Abcam</w:t>
            </w:r>
            <w:r w:rsidR="00DF113C">
              <w:rPr>
                <w:rFonts w:ascii="Times New Roman" w:hAnsi="Times New Roman" w:cs="Times New Roman"/>
                <w:color w:val="000000" w:themeColor="text1"/>
                <w:lang w:val="en-GB"/>
              </w:rPr>
              <w:t>, Cambridge, UK,</w:t>
            </w:r>
          </w:p>
          <w:p w14:paraId="01243AA0" w14:textId="4D7B0EE3" w:rsidR="00DE331D" w:rsidRPr="004975E3" w:rsidRDefault="00DE331D"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Ab8978</w:t>
            </w:r>
          </w:p>
        </w:tc>
      </w:tr>
      <w:tr w:rsidR="0006115E" w:rsidRPr="004975E3" w14:paraId="4C324E81" w14:textId="77777777" w:rsidTr="0006115E">
        <w:trPr>
          <w:trHeight w:val="830"/>
        </w:trPr>
        <w:tc>
          <w:tcPr>
            <w:tcW w:w="1750" w:type="dxa"/>
          </w:tcPr>
          <w:p w14:paraId="5FCF9FD3" w14:textId="75CA09A5" w:rsidR="009E356D" w:rsidRPr="004975E3" w:rsidRDefault="005735EF"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β3-T</w:t>
            </w:r>
            <w:r w:rsidR="009E356D">
              <w:rPr>
                <w:rFonts w:ascii="Times New Roman" w:hAnsi="Times New Roman" w:cs="Times New Roman"/>
                <w:color w:val="000000" w:themeColor="text1"/>
                <w:lang w:val="en-GB"/>
              </w:rPr>
              <w:t>ubulin</w:t>
            </w:r>
          </w:p>
        </w:tc>
        <w:tc>
          <w:tcPr>
            <w:tcW w:w="2035" w:type="dxa"/>
          </w:tcPr>
          <w:p w14:paraId="3B334EF9" w14:textId="53F09BD9" w:rsidR="009E356D" w:rsidRPr="004975E3" w:rsidRDefault="00944780"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Synthetic peptides from β3-Tubulin</w:t>
            </w:r>
          </w:p>
        </w:tc>
        <w:tc>
          <w:tcPr>
            <w:tcW w:w="1908" w:type="dxa"/>
          </w:tcPr>
          <w:p w14:paraId="3A6980D2" w14:textId="66F109C5" w:rsidR="009E356D" w:rsidRPr="004975E3" w:rsidRDefault="0087775A"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Chicken polyclonal</w:t>
            </w:r>
          </w:p>
        </w:tc>
        <w:tc>
          <w:tcPr>
            <w:tcW w:w="1401" w:type="dxa"/>
          </w:tcPr>
          <w:p w14:paraId="7C7FD45F" w14:textId="763A9F44" w:rsidR="009E356D" w:rsidRPr="004975E3" w:rsidRDefault="0087775A"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3% BSA/PBST 1:1000</w:t>
            </w:r>
          </w:p>
        </w:tc>
        <w:tc>
          <w:tcPr>
            <w:tcW w:w="1483" w:type="dxa"/>
          </w:tcPr>
          <w:p w14:paraId="41FCE2D2" w14:textId="77777777" w:rsidR="009E356D" w:rsidRDefault="0087775A"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Millipore</w:t>
            </w:r>
          </w:p>
          <w:p w14:paraId="4F0349C8" w14:textId="72E5637C" w:rsidR="0087775A" w:rsidRPr="004975E3" w:rsidRDefault="0087775A"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Lot 2424655</w:t>
            </w:r>
          </w:p>
        </w:tc>
      </w:tr>
      <w:tr w:rsidR="0006115E" w:rsidRPr="004975E3" w14:paraId="7B15B11C" w14:textId="77777777" w:rsidTr="0006115E">
        <w:trPr>
          <w:trHeight w:val="830"/>
        </w:trPr>
        <w:tc>
          <w:tcPr>
            <w:tcW w:w="1750" w:type="dxa"/>
          </w:tcPr>
          <w:p w14:paraId="40FA8454" w14:textId="1D967A84" w:rsidR="009E356D" w:rsidRPr="004975E3" w:rsidRDefault="009E356D"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GFAP</w:t>
            </w:r>
          </w:p>
        </w:tc>
        <w:tc>
          <w:tcPr>
            <w:tcW w:w="2035" w:type="dxa"/>
          </w:tcPr>
          <w:p w14:paraId="65B35FB5" w14:textId="056AB219" w:rsidR="009E356D" w:rsidRPr="004975E3" w:rsidRDefault="00944780"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Full length GFAP</w:t>
            </w:r>
          </w:p>
        </w:tc>
        <w:tc>
          <w:tcPr>
            <w:tcW w:w="1908" w:type="dxa"/>
          </w:tcPr>
          <w:p w14:paraId="2D6B90C0" w14:textId="43D5946D" w:rsidR="009E356D" w:rsidRPr="004975E3" w:rsidRDefault="0087775A"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Rabbit polyclonal</w:t>
            </w:r>
          </w:p>
        </w:tc>
        <w:tc>
          <w:tcPr>
            <w:tcW w:w="1401" w:type="dxa"/>
          </w:tcPr>
          <w:p w14:paraId="73AC009F" w14:textId="77777777" w:rsidR="009E356D" w:rsidRDefault="0087775A"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3% BSA/PBST</w:t>
            </w:r>
          </w:p>
          <w:p w14:paraId="129CE21B" w14:textId="18856038" w:rsidR="0087775A" w:rsidRPr="004975E3" w:rsidRDefault="0087775A"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1:1000</w:t>
            </w:r>
          </w:p>
        </w:tc>
        <w:tc>
          <w:tcPr>
            <w:tcW w:w="1483" w:type="dxa"/>
          </w:tcPr>
          <w:p w14:paraId="5F4E9CFB" w14:textId="627A5FF8" w:rsidR="009E356D" w:rsidRDefault="0087775A"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Abcam</w:t>
            </w:r>
            <w:r w:rsidR="00DF113C">
              <w:rPr>
                <w:rFonts w:ascii="Times New Roman" w:hAnsi="Times New Roman" w:cs="Times New Roman"/>
                <w:color w:val="000000" w:themeColor="text1"/>
                <w:lang w:val="en-GB"/>
              </w:rPr>
              <w:t>, Cambridge, UK,</w:t>
            </w:r>
          </w:p>
          <w:p w14:paraId="279ADCCF" w14:textId="16B5499C" w:rsidR="0087775A" w:rsidRPr="004975E3" w:rsidRDefault="0087775A"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Ab 7260</w:t>
            </w:r>
          </w:p>
        </w:tc>
      </w:tr>
      <w:tr w:rsidR="0006115E" w:rsidRPr="004975E3" w14:paraId="001246C9" w14:textId="77777777" w:rsidTr="0006115E">
        <w:trPr>
          <w:trHeight w:val="830"/>
        </w:trPr>
        <w:tc>
          <w:tcPr>
            <w:tcW w:w="1750" w:type="dxa"/>
          </w:tcPr>
          <w:p w14:paraId="0A387D0E" w14:textId="4E6C2172" w:rsidR="009E356D" w:rsidRPr="004975E3" w:rsidRDefault="009E356D"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ALDH1</w:t>
            </w:r>
            <w:r w:rsidR="00F3390B">
              <w:rPr>
                <w:rFonts w:ascii="Times New Roman" w:hAnsi="Times New Roman" w:cs="Times New Roman"/>
                <w:color w:val="000000" w:themeColor="text1"/>
                <w:lang w:val="en-GB"/>
              </w:rPr>
              <w:t>L1</w:t>
            </w:r>
          </w:p>
        </w:tc>
        <w:tc>
          <w:tcPr>
            <w:tcW w:w="2035" w:type="dxa"/>
          </w:tcPr>
          <w:p w14:paraId="34223B8F" w14:textId="254BE091" w:rsidR="009E356D" w:rsidRPr="004975E3" w:rsidRDefault="00944780"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C-terminus of ALDH1</w:t>
            </w:r>
            <w:r w:rsidR="00F3390B">
              <w:rPr>
                <w:rFonts w:ascii="Times New Roman" w:hAnsi="Times New Roman" w:cs="Times New Roman"/>
                <w:color w:val="000000" w:themeColor="text1"/>
                <w:lang w:val="en-GB"/>
              </w:rPr>
              <w:t>L1</w:t>
            </w:r>
          </w:p>
        </w:tc>
        <w:tc>
          <w:tcPr>
            <w:tcW w:w="1908" w:type="dxa"/>
          </w:tcPr>
          <w:p w14:paraId="20539CA4" w14:textId="4810C0A7" w:rsidR="009E356D" w:rsidRPr="004975E3" w:rsidRDefault="0087775A"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Rabbit polyclonal</w:t>
            </w:r>
          </w:p>
        </w:tc>
        <w:tc>
          <w:tcPr>
            <w:tcW w:w="1401" w:type="dxa"/>
          </w:tcPr>
          <w:p w14:paraId="42AD0231" w14:textId="156859ED" w:rsidR="009E356D" w:rsidRPr="004975E3" w:rsidRDefault="0087775A"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3% BSA/PBST 1:100</w:t>
            </w:r>
          </w:p>
        </w:tc>
        <w:tc>
          <w:tcPr>
            <w:tcW w:w="1483" w:type="dxa"/>
          </w:tcPr>
          <w:p w14:paraId="65267997" w14:textId="6900E5BD" w:rsidR="009E356D" w:rsidRDefault="0087775A"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Abcam</w:t>
            </w:r>
            <w:r w:rsidR="00DF113C">
              <w:rPr>
                <w:rFonts w:ascii="Times New Roman" w:hAnsi="Times New Roman" w:cs="Times New Roman"/>
                <w:color w:val="000000" w:themeColor="text1"/>
                <w:lang w:val="en-GB"/>
              </w:rPr>
              <w:t>, Cambridge, UK,</w:t>
            </w:r>
          </w:p>
          <w:p w14:paraId="0239D7A3" w14:textId="39AEE3EC" w:rsidR="0087775A" w:rsidRPr="004975E3" w:rsidRDefault="0087775A"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Ab</w:t>
            </w:r>
            <w:r w:rsidR="00944780">
              <w:rPr>
                <w:rFonts w:ascii="Times New Roman" w:hAnsi="Times New Roman" w:cs="Times New Roman"/>
                <w:color w:val="000000" w:themeColor="text1"/>
                <w:lang w:val="en-GB"/>
              </w:rPr>
              <w:t xml:space="preserve"> </w:t>
            </w:r>
            <w:r>
              <w:rPr>
                <w:rFonts w:ascii="Times New Roman" w:hAnsi="Times New Roman" w:cs="Times New Roman"/>
                <w:color w:val="000000" w:themeColor="text1"/>
                <w:lang w:val="en-GB"/>
              </w:rPr>
              <w:t>79727</w:t>
            </w:r>
          </w:p>
        </w:tc>
      </w:tr>
      <w:tr w:rsidR="0006115E" w:rsidRPr="004975E3" w14:paraId="25F1D41B" w14:textId="77777777" w:rsidTr="0006115E">
        <w:trPr>
          <w:trHeight w:val="830"/>
        </w:trPr>
        <w:tc>
          <w:tcPr>
            <w:tcW w:w="1750" w:type="dxa"/>
          </w:tcPr>
          <w:p w14:paraId="583233D5" w14:textId="28CE6F59" w:rsidR="009E356D" w:rsidRPr="004975E3" w:rsidRDefault="009E356D"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Connexin 43</w:t>
            </w:r>
            <w:r w:rsidR="00944780">
              <w:rPr>
                <w:rFonts w:ascii="Times New Roman" w:hAnsi="Times New Roman" w:cs="Times New Roman"/>
                <w:color w:val="000000" w:themeColor="text1"/>
                <w:lang w:val="en-GB"/>
              </w:rPr>
              <w:t xml:space="preserve"> (C</w:t>
            </w:r>
            <w:r w:rsidR="00086871">
              <w:rPr>
                <w:rFonts w:ascii="Times New Roman" w:hAnsi="Times New Roman" w:cs="Times New Roman"/>
                <w:color w:val="000000" w:themeColor="text1"/>
                <w:lang w:val="en-GB"/>
              </w:rPr>
              <w:t>x</w:t>
            </w:r>
            <w:r w:rsidR="00944780">
              <w:rPr>
                <w:rFonts w:ascii="Times New Roman" w:hAnsi="Times New Roman" w:cs="Times New Roman"/>
                <w:color w:val="000000" w:themeColor="text1"/>
                <w:lang w:val="en-GB"/>
              </w:rPr>
              <w:t>43)</w:t>
            </w:r>
          </w:p>
        </w:tc>
        <w:tc>
          <w:tcPr>
            <w:tcW w:w="2035" w:type="dxa"/>
          </w:tcPr>
          <w:p w14:paraId="18FB66AA" w14:textId="12927B75" w:rsidR="009E356D" w:rsidRPr="00A0712B" w:rsidRDefault="00944780" w:rsidP="00CF0DE6">
            <w:pPr>
              <w:jc w:val="both"/>
              <w:rPr>
                <w:rFonts w:ascii="Times New Roman" w:hAnsi="Times New Roman" w:cs="Times New Roman"/>
                <w:lang w:val="en-GB"/>
              </w:rPr>
            </w:pPr>
            <w:r w:rsidRPr="00A0712B">
              <w:rPr>
                <w:rFonts w:ascii="Times New Roman" w:hAnsi="Times New Roman" w:cs="Times New Roman"/>
              </w:rPr>
              <w:t>C-terminal segment of the cytoplasmic domain of C</w:t>
            </w:r>
            <w:r w:rsidR="00086871">
              <w:rPr>
                <w:rFonts w:ascii="Times New Roman" w:hAnsi="Times New Roman" w:cs="Times New Roman"/>
              </w:rPr>
              <w:t>x</w:t>
            </w:r>
            <w:r w:rsidRPr="00A0712B">
              <w:rPr>
                <w:rFonts w:ascii="Times New Roman" w:hAnsi="Times New Roman" w:cs="Times New Roman"/>
              </w:rPr>
              <w:t>43 (amino acids 363-382 with N-terminally added lysine)</w:t>
            </w:r>
          </w:p>
        </w:tc>
        <w:tc>
          <w:tcPr>
            <w:tcW w:w="1908" w:type="dxa"/>
          </w:tcPr>
          <w:p w14:paraId="7F9E4D10" w14:textId="2A8FBA76" w:rsidR="009E356D" w:rsidRPr="004975E3" w:rsidRDefault="0087775A"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Rabbit polyclonal</w:t>
            </w:r>
          </w:p>
        </w:tc>
        <w:tc>
          <w:tcPr>
            <w:tcW w:w="1401" w:type="dxa"/>
          </w:tcPr>
          <w:p w14:paraId="6D5933A1" w14:textId="77777777" w:rsidR="009E356D" w:rsidRDefault="0087775A"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3% BSA/PBST</w:t>
            </w:r>
          </w:p>
          <w:p w14:paraId="76FF5FB0" w14:textId="3ABE1DF3" w:rsidR="0087775A" w:rsidRPr="004975E3" w:rsidRDefault="0087775A"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1:100</w:t>
            </w:r>
          </w:p>
        </w:tc>
        <w:tc>
          <w:tcPr>
            <w:tcW w:w="1483" w:type="dxa"/>
          </w:tcPr>
          <w:p w14:paraId="3B68F702" w14:textId="77777777" w:rsidR="00944780" w:rsidRDefault="0087775A"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 xml:space="preserve">Sigma </w:t>
            </w:r>
          </w:p>
          <w:p w14:paraId="50AE19B3" w14:textId="421CC17E" w:rsidR="00944780" w:rsidRDefault="00944780"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C6219</w:t>
            </w:r>
          </w:p>
          <w:p w14:paraId="3E06CCF6" w14:textId="44D8EAA2" w:rsidR="009E356D" w:rsidRPr="004975E3" w:rsidRDefault="0087775A"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061M4823</w:t>
            </w:r>
          </w:p>
        </w:tc>
      </w:tr>
      <w:tr w:rsidR="0006115E" w:rsidRPr="004975E3" w14:paraId="5209EFE5" w14:textId="77777777" w:rsidTr="0006115E">
        <w:trPr>
          <w:trHeight w:val="888"/>
        </w:trPr>
        <w:tc>
          <w:tcPr>
            <w:tcW w:w="1750" w:type="dxa"/>
          </w:tcPr>
          <w:p w14:paraId="6A153BE6" w14:textId="77777777" w:rsidR="009E356D" w:rsidRDefault="005B1976"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CD44</w:t>
            </w:r>
          </w:p>
          <w:p w14:paraId="4BA7DB38" w14:textId="77777777" w:rsidR="0006115E" w:rsidRDefault="0006115E" w:rsidP="00CF0DE6">
            <w:pPr>
              <w:jc w:val="both"/>
              <w:rPr>
                <w:rFonts w:ascii="Times New Roman" w:hAnsi="Times New Roman" w:cs="Times New Roman"/>
                <w:color w:val="000000" w:themeColor="text1"/>
                <w:lang w:val="en-GB"/>
              </w:rPr>
            </w:pPr>
          </w:p>
          <w:p w14:paraId="0191C612" w14:textId="77777777" w:rsidR="0006115E" w:rsidRDefault="0006115E" w:rsidP="00CF0DE6">
            <w:pPr>
              <w:jc w:val="both"/>
              <w:rPr>
                <w:rFonts w:ascii="Times New Roman" w:hAnsi="Times New Roman" w:cs="Times New Roman"/>
                <w:color w:val="000000" w:themeColor="text1"/>
                <w:lang w:val="en-GB"/>
              </w:rPr>
            </w:pPr>
          </w:p>
          <w:p w14:paraId="1C7AB6DB" w14:textId="121E981C" w:rsidR="0006115E" w:rsidRDefault="0006115E" w:rsidP="00CF0DE6">
            <w:pPr>
              <w:jc w:val="both"/>
              <w:rPr>
                <w:rFonts w:ascii="Times New Roman" w:hAnsi="Times New Roman" w:cs="Times New Roman"/>
                <w:color w:val="000000" w:themeColor="text1"/>
                <w:lang w:val="en-GB"/>
              </w:rPr>
            </w:pPr>
          </w:p>
        </w:tc>
        <w:tc>
          <w:tcPr>
            <w:tcW w:w="2035" w:type="dxa"/>
          </w:tcPr>
          <w:p w14:paraId="2AC5A030" w14:textId="47CFC56B" w:rsidR="009E356D" w:rsidRPr="004975E3" w:rsidRDefault="00944780"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CD44</w:t>
            </w:r>
          </w:p>
        </w:tc>
        <w:tc>
          <w:tcPr>
            <w:tcW w:w="1908" w:type="dxa"/>
          </w:tcPr>
          <w:p w14:paraId="7A9F26DA" w14:textId="58536240" w:rsidR="009E356D" w:rsidRPr="004975E3" w:rsidRDefault="0006115E"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Mouse m</w:t>
            </w:r>
            <w:r w:rsidR="00944780">
              <w:rPr>
                <w:rFonts w:ascii="Times New Roman" w:hAnsi="Times New Roman" w:cs="Times New Roman"/>
                <w:color w:val="000000" w:themeColor="text1"/>
                <w:lang w:val="en-GB"/>
              </w:rPr>
              <w:t>onoclonal</w:t>
            </w:r>
          </w:p>
        </w:tc>
        <w:tc>
          <w:tcPr>
            <w:tcW w:w="1401" w:type="dxa"/>
          </w:tcPr>
          <w:p w14:paraId="38FA3ECC" w14:textId="77777777" w:rsidR="00944780" w:rsidRDefault="00944780" w:rsidP="00944780">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3% BSA/PBST</w:t>
            </w:r>
          </w:p>
          <w:p w14:paraId="46A27C18" w14:textId="7347E2CF" w:rsidR="009E356D" w:rsidRPr="004975E3" w:rsidRDefault="00944780" w:rsidP="00944780">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1:100</w:t>
            </w:r>
          </w:p>
        </w:tc>
        <w:tc>
          <w:tcPr>
            <w:tcW w:w="1483" w:type="dxa"/>
          </w:tcPr>
          <w:p w14:paraId="5097C75F" w14:textId="513E95AD" w:rsidR="009E356D" w:rsidRDefault="004D2291"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Dako</w:t>
            </w:r>
            <w:r w:rsidR="00DF113C">
              <w:rPr>
                <w:rFonts w:ascii="Times New Roman" w:hAnsi="Times New Roman" w:cs="Times New Roman"/>
                <w:color w:val="000000" w:themeColor="text1"/>
                <w:lang w:val="en-GB"/>
              </w:rPr>
              <w:t>, Copenhagen, Denmark,</w:t>
            </w:r>
          </w:p>
          <w:p w14:paraId="627F8B25" w14:textId="69C864CC" w:rsidR="00944780" w:rsidRPr="004975E3" w:rsidRDefault="00944780"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Clone DF1485</w:t>
            </w:r>
          </w:p>
        </w:tc>
      </w:tr>
      <w:tr w:rsidR="0006115E" w:rsidRPr="004975E3" w14:paraId="0AE5D859" w14:textId="77777777" w:rsidTr="0006115E">
        <w:trPr>
          <w:trHeight w:val="744"/>
        </w:trPr>
        <w:tc>
          <w:tcPr>
            <w:tcW w:w="1750" w:type="dxa"/>
          </w:tcPr>
          <w:p w14:paraId="05BADDA1" w14:textId="6CD51864" w:rsidR="0006115E" w:rsidRDefault="0006115E"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Neurofilament-light (NFL)</w:t>
            </w:r>
          </w:p>
          <w:p w14:paraId="30D82CE0" w14:textId="77777777" w:rsidR="0006115E" w:rsidRDefault="0006115E" w:rsidP="00CF0DE6">
            <w:pPr>
              <w:jc w:val="both"/>
              <w:rPr>
                <w:rFonts w:ascii="Times New Roman" w:hAnsi="Times New Roman" w:cs="Times New Roman"/>
                <w:color w:val="000000" w:themeColor="text1"/>
                <w:lang w:val="en-GB"/>
              </w:rPr>
            </w:pPr>
          </w:p>
        </w:tc>
        <w:tc>
          <w:tcPr>
            <w:tcW w:w="2035" w:type="dxa"/>
          </w:tcPr>
          <w:p w14:paraId="703E6317" w14:textId="38B37E10" w:rsidR="0006115E" w:rsidRDefault="0006115E"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NFL</w:t>
            </w:r>
          </w:p>
        </w:tc>
        <w:tc>
          <w:tcPr>
            <w:tcW w:w="1908" w:type="dxa"/>
          </w:tcPr>
          <w:p w14:paraId="246C61C4" w14:textId="072D9A51" w:rsidR="0006115E" w:rsidRDefault="0006115E"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Mouse monoclonal</w:t>
            </w:r>
          </w:p>
        </w:tc>
        <w:tc>
          <w:tcPr>
            <w:tcW w:w="1401" w:type="dxa"/>
          </w:tcPr>
          <w:p w14:paraId="6CEF7225" w14:textId="49BD8895" w:rsidR="0006115E" w:rsidRDefault="0006115E" w:rsidP="00944780">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3% BSA/PBST 1:250</w:t>
            </w:r>
          </w:p>
        </w:tc>
        <w:tc>
          <w:tcPr>
            <w:tcW w:w="1483" w:type="dxa"/>
          </w:tcPr>
          <w:p w14:paraId="11ED1548" w14:textId="77777777" w:rsidR="0006115E" w:rsidRDefault="0006115E"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Novus Biologicals</w:t>
            </w:r>
          </w:p>
          <w:p w14:paraId="38FADC65" w14:textId="4F563170" w:rsidR="0006115E" w:rsidRDefault="0006115E" w:rsidP="00CF0DE6">
            <w:pPr>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NB 300-132</w:t>
            </w:r>
          </w:p>
        </w:tc>
      </w:tr>
    </w:tbl>
    <w:p w14:paraId="0AF7FCAA" w14:textId="77777777" w:rsidR="00F92407" w:rsidRDefault="00F92407" w:rsidP="00924CEF">
      <w:pPr>
        <w:pStyle w:val="Heading3"/>
        <w:spacing w:line="360" w:lineRule="auto"/>
        <w:rPr>
          <w:u w:val="single"/>
        </w:rPr>
      </w:pPr>
      <w:bookmarkStart w:id="627" w:name="_Toc262895406"/>
      <w:bookmarkStart w:id="628" w:name="_Toc328301120"/>
      <w:bookmarkStart w:id="629" w:name="_Toc329593414"/>
      <w:bookmarkStart w:id="630" w:name="_Toc331425913"/>
    </w:p>
    <w:p w14:paraId="308E5071" w14:textId="58E05A18" w:rsidR="0085074F" w:rsidRPr="00F92407" w:rsidRDefault="0085074F" w:rsidP="004D474F">
      <w:pPr>
        <w:pStyle w:val="Heading5"/>
      </w:pPr>
      <w:bookmarkStart w:id="631" w:name="_Toc333569348"/>
      <w:bookmarkStart w:id="632" w:name="_Toc333570886"/>
      <w:bookmarkStart w:id="633" w:name="_Toc333585966"/>
      <w:bookmarkStart w:id="634" w:name="_Toc333586841"/>
      <w:bookmarkStart w:id="635" w:name="_Toc333644540"/>
      <w:bookmarkStart w:id="636" w:name="_Toc333644834"/>
      <w:r w:rsidRPr="00F92407">
        <w:t xml:space="preserve">Table </w:t>
      </w:r>
      <w:r w:rsidR="00924CEF" w:rsidRPr="00F92407">
        <w:t>2.6</w:t>
      </w:r>
      <w:r w:rsidR="004D474F">
        <w:t>.</w:t>
      </w:r>
      <w:r w:rsidR="00CA68EE" w:rsidRPr="00F92407">
        <w:t xml:space="preserve"> </w:t>
      </w:r>
      <w:r w:rsidRPr="00F92407">
        <w:t>Secondary antibodies for immunocytochemistry</w:t>
      </w:r>
      <w:bookmarkEnd w:id="627"/>
      <w:r w:rsidR="00924CEF" w:rsidRPr="00F92407">
        <w:t>.</w:t>
      </w:r>
      <w:bookmarkEnd w:id="628"/>
      <w:bookmarkEnd w:id="629"/>
      <w:bookmarkEnd w:id="630"/>
      <w:bookmarkEnd w:id="631"/>
      <w:bookmarkEnd w:id="632"/>
      <w:bookmarkEnd w:id="633"/>
      <w:bookmarkEnd w:id="634"/>
      <w:bookmarkEnd w:id="635"/>
      <w:bookmarkEnd w:id="636"/>
      <w:r w:rsidR="00924CEF" w:rsidRPr="00F92407">
        <w:t xml:space="preserve"> </w:t>
      </w:r>
    </w:p>
    <w:p w14:paraId="7EECCE88" w14:textId="77777777" w:rsidR="00AB06FB" w:rsidRDefault="00AB06FB" w:rsidP="00AB06FB">
      <w:pPr>
        <w:spacing w:line="360" w:lineRule="auto"/>
        <w:jc w:val="both"/>
        <w:rPr>
          <w:rFonts w:ascii="Times New Roman" w:hAnsi="Times New Roman" w:cs="Times New Roman"/>
        </w:rPr>
      </w:pPr>
      <w:r w:rsidRPr="00215F3F">
        <w:rPr>
          <w:rFonts w:ascii="Times New Roman" w:hAnsi="Times New Roman" w:cs="Times New Roman"/>
        </w:rPr>
        <w:t>Antibody reactivity, dilution and source are shown.</w:t>
      </w:r>
    </w:p>
    <w:p w14:paraId="5EB0CED9" w14:textId="77777777" w:rsidR="0085074F" w:rsidRPr="004975E3" w:rsidRDefault="0085074F" w:rsidP="0085074F">
      <w:pPr>
        <w:spacing w:line="360" w:lineRule="auto"/>
        <w:jc w:val="both"/>
        <w:rPr>
          <w:rFonts w:ascii="Times New Roman" w:hAnsi="Times New Roman" w:cs="Times New Roman"/>
          <w:color w:val="548DD4" w:themeColor="text2" w:themeTint="99"/>
          <w:lang w:val="en-GB"/>
        </w:rPr>
      </w:pPr>
    </w:p>
    <w:tbl>
      <w:tblPr>
        <w:tblStyle w:val="TableGrid"/>
        <w:tblW w:w="7289" w:type="dxa"/>
        <w:jc w:val="center"/>
        <w:tblLayout w:type="fixed"/>
        <w:tblLook w:val="04A0" w:firstRow="1" w:lastRow="0" w:firstColumn="1" w:lastColumn="0" w:noHBand="0" w:noVBand="1"/>
      </w:tblPr>
      <w:tblGrid>
        <w:gridCol w:w="1953"/>
        <w:gridCol w:w="2118"/>
        <w:gridCol w:w="6"/>
        <w:gridCol w:w="1559"/>
        <w:gridCol w:w="1653"/>
      </w:tblGrid>
      <w:tr w:rsidR="0085074F" w:rsidRPr="004975E3" w14:paraId="4FCD2A9E" w14:textId="77777777" w:rsidTr="00140A59">
        <w:trPr>
          <w:jc w:val="center"/>
        </w:trPr>
        <w:tc>
          <w:tcPr>
            <w:tcW w:w="1954" w:type="dxa"/>
            <w:shd w:val="clear" w:color="auto" w:fill="000000" w:themeFill="text1"/>
          </w:tcPr>
          <w:p w14:paraId="3FFC45D4" w14:textId="77777777" w:rsidR="0085074F" w:rsidRPr="004975E3" w:rsidRDefault="0085074F" w:rsidP="00307968">
            <w:pPr>
              <w:jc w:val="center"/>
              <w:rPr>
                <w:rFonts w:ascii="Times New Roman" w:hAnsi="Times New Roman" w:cs="Times New Roman"/>
                <w:b/>
                <w:color w:val="FFFFFF" w:themeColor="background1"/>
                <w:lang w:val="en-GB"/>
              </w:rPr>
            </w:pPr>
            <w:r w:rsidRPr="004975E3">
              <w:rPr>
                <w:rFonts w:ascii="Times New Roman" w:hAnsi="Times New Roman" w:cs="Times New Roman"/>
                <w:b/>
                <w:color w:val="FFFFFF" w:themeColor="background1"/>
                <w:lang w:val="en-GB"/>
              </w:rPr>
              <w:t>Antibody</w:t>
            </w:r>
          </w:p>
        </w:tc>
        <w:tc>
          <w:tcPr>
            <w:tcW w:w="2125" w:type="dxa"/>
            <w:gridSpan w:val="2"/>
            <w:shd w:val="clear" w:color="auto" w:fill="000000" w:themeFill="text1"/>
          </w:tcPr>
          <w:p w14:paraId="4C0FBE8A" w14:textId="77777777" w:rsidR="0085074F" w:rsidRPr="004975E3" w:rsidRDefault="0085074F" w:rsidP="00307968">
            <w:pPr>
              <w:jc w:val="center"/>
              <w:rPr>
                <w:rFonts w:ascii="Times New Roman" w:hAnsi="Times New Roman" w:cs="Times New Roman"/>
                <w:b/>
                <w:color w:val="FFFFFF" w:themeColor="background1"/>
                <w:lang w:val="en-GB"/>
              </w:rPr>
            </w:pPr>
            <w:r w:rsidRPr="004975E3">
              <w:rPr>
                <w:rFonts w:ascii="Times New Roman" w:hAnsi="Times New Roman" w:cs="Times New Roman"/>
                <w:b/>
                <w:color w:val="FFFFFF" w:themeColor="background1"/>
                <w:lang w:val="en-GB"/>
              </w:rPr>
              <w:t>Species/Type</w:t>
            </w:r>
          </w:p>
        </w:tc>
        <w:tc>
          <w:tcPr>
            <w:tcW w:w="1559" w:type="dxa"/>
            <w:shd w:val="clear" w:color="auto" w:fill="000000" w:themeFill="text1"/>
          </w:tcPr>
          <w:p w14:paraId="130D9CE3" w14:textId="77777777" w:rsidR="0085074F" w:rsidRPr="004975E3" w:rsidRDefault="0085074F" w:rsidP="00307968">
            <w:pPr>
              <w:jc w:val="center"/>
              <w:rPr>
                <w:rFonts w:ascii="Times New Roman" w:hAnsi="Times New Roman" w:cs="Times New Roman"/>
                <w:b/>
                <w:color w:val="FFFFFF" w:themeColor="background1"/>
                <w:lang w:val="en-GB"/>
              </w:rPr>
            </w:pPr>
            <w:r w:rsidRPr="004975E3">
              <w:rPr>
                <w:rFonts w:ascii="Times New Roman" w:hAnsi="Times New Roman" w:cs="Times New Roman"/>
                <w:b/>
                <w:color w:val="FFFFFF" w:themeColor="background1"/>
                <w:lang w:val="en-GB"/>
              </w:rPr>
              <w:t>Diluent and dilution</w:t>
            </w:r>
          </w:p>
        </w:tc>
        <w:tc>
          <w:tcPr>
            <w:tcW w:w="1651" w:type="dxa"/>
            <w:shd w:val="clear" w:color="auto" w:fill="000000" w:themeFill="text1"/>
          </w:tcPr>
          <w:p w14:paraId="0C486166" w14:textId="77777777" w:rsidR="0085074F" w:rsidRPr="004975E3" w:rsidRDefault="0085074F" w:rsidP="00307968">
            <w:pPr>
              <w:jc w:val="center"/>
              <w:rPr>
                <w:rFonts w:ascii="Times New Roman" w:hAnsi="Times New Roman" w:cs="Times New Roman"/>
                <w:b/>
                <w:color w:val="FFFFFF" w:themeColor="background1"/>
                <w:lang w:val="en-GB"/>
              </w:rPr>
            </w:pPr>
            <w:r w:rsidRPr="004975E3">
              <w:rPr>
                <w:rFonts w:ascii="Times New Roman" w:hAnsi="Times New Roman" w:cs="Times New Roman"/>
                <w:b/>
                <w:color w:val="FFFFFF" w:themeColor="background1"/>
                <w:lang w:val="en-GB"/>
              </w:rPr>
              <w:t>Source</w:t>
            </w:r>
          </w:p>
        </w:tc>
      </w:tr>
      <w:tr w:rsidR="0085074F" w:rsidRPr="004975E3" w14:paraId="4C22C7CA" w14:textId="77777777" w:rsidTr="00140A59">
        <w:trPr>
          <w:jc w:val="center"/>
        </w:trPr>
        <w:tc>
          <w:tcPr>
            <w:tcW w:w="1954" w:type="dxa"/>
          </w:tcPr>
          <w:p w14:paraId="0CE8E1D1" w14:textId="77777777" w:rsidR="0085074F" w:rsidRPr="004975E3" w:rsidRDefault="0085074F" w:rsidP="00307968">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 xml:space="preserve">Alexa fluor 488 (labelled with green fluorescent dye) </w:t>
            </w:r>
          </w:p>
        </w:tc>
        <w:tc>
          <w:tcPr>
            <w:tcW w:w="2125" w:type="dxa"/>
            <w:gridSpan w:val="2"/>
          </w:tcPr>
          <w:p w14:paraId="5D2BD069" w14:textId="77777777" w:rsidR="0085074F" w:rsidRPr="004975E3" w:rsidRDefault="0085074F" w:rsidP="00307968">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Goat anti rabbit IgG (H-L)</w:t>
            </w:r>
          </w:p>
        </w:tc>
        <w:tc>
          <w:tcPr>
            <w:tcW w:w="1559" w:type="dxa"/>
          </w:tcPr>
          <w:p w14:paraId="74E742E7" w14:textId="77777777" w:rsidR="0085074F" w:rsidRPr="004975E3" w:rsidRDefault="0085074F" w:rsidP="00307968">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3% BSA/PBST</w:t>
            </w:r>
          </w:p>
          <w:p w14:paraId="66FE944C" w14:textId="77777777" w:rsidR="0085074F" w:rsidRPr="004975E3" w:rsidRDefault="0085074F" w:rsidP="00307968">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1:1000</w:t>
            </w:r>
          </w:p>
        </w:tc>
        <w:tc>
          <w:tcPr>
            <w:tcW w:w="1651" w:type="dxa"/>
          </w:tcPr>
          <w:p w14:paraId="4F8C1587" w14:textId="77777777" w:rsidR="0085074F" w:rsidRPr="004975E3" w:rsidRDefault="0085074F" w:rsidP="00307968">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Life technologies, Grand Island, NY, USA</w:t>
            </w:r>
          </w:p>
        </w:tc>
      </w:tr>
      <w:tr w:rsidR="0085074F" w:rsidRPr="004975E3" w14:paraId="4DC7D03B" w14:textId="77777777" w:rsidTr="00140A59">
        <w:trPr>
          <w:jc w:val="center"/>
        </w:trPr>
        <w:tc>
          <w:tcPr>
            <w:tcW w:w="1954" w:type="dxa"/>
          </w:tcPr>
          <w:p w14:paraId="6D5771DD" w14:textId="77777777" w:rsidR="0085074F" w:rsidRPr="004975E3" w:rsidRDefault="0085074F" w:rsidP="00307968">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Alexa fluor 568 (labelled with orange-red fluorescent dye)</w:t>
            </w:r>
          </w:p>
        </w:tc>
        <w:tc>
          <w:tcPr>
            <w:tcW w:w="2125" w:type="dxa"/>
            <w:gridSpan w:val="2"/>
          </w:tcPr>
          <w:p w14:paraId="4EB81130" w14:textId="77777777" w:rsidR="0085074F" w:rsidRPr="004975E3" w:rsidRDefault="0085074F" w:rsidP="00307968">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Goat anti mouse IgG (H-L)</w:t>
            </w:r>
          </w:p>
        </w:tc>
        <w:tc>
          <w:tcPr>
            <w:tcW w:w="1559" w:type="dxa"/>
          </w:tcPr>
          <w:p w14:paraId="0678397B" w14:textId="77777777" w:rsidR="0085074F" w:rsidRPr="004975E3" w:rsidRDefault="0085074F" w:rsidP="00307968">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 xml:space="preserve">3% BSA/PBST </w:t>
            </w:r>
          </w:p>
          <w:p w14:paraId="4D41CB65" w14:textId="77777777" w:rsidR="0085074F" w:rsidRPr="004975E3" w:rsidRDefault="0085074F" w:rsidP="00307968">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1:1000</w:t>
            </w:r>
          </w:p>
        </w:tc>
        <w:tc>
          <w:tcPr>
            <w:tcW w:w="1651" w:type="dxa"/>
          </w:tcPr>
          <w:p w14:paraId="7024C5DE" w14:textId="77777777" w:rsidR="0085074F" w:rsidRPr="004975E3" w:rsidRDefault="0085074F" w:rsidP="00307968">
            <w:pPr>
              <w:jc w:val="both"/>
              <w:rPr>
                <w:rFonts w:ascii="Times New Roman" w:hAnsi="Times New Roman" w:cs="Times New Roman"/>
                <w:color w:val="000000" w:themeColor="text1"/>
                <w:lang w:val="en-GB"/>
              </w:rPr>
            </w:pPr>
            <w:r w:rsidRPr="004975E3">
              <w:rPr>
                <w:rFonts w:ascii="Times New Roman" w:hAnsi="Times New Roman" w:cs="Times New Roman"/>
                <w:color w:val="000000" w:themeColor="text1"/>
                <w:lang w:val="en-GB"/>
              </w:rPr>
              <w:t>Life technologies, Grand Island, NY, USA</w:t>
            </w:r>
          </w:p>
        </w:tc>
      </w:tr>
      <w:tr w:rsidR="00307968" w14:paraId="283F4805" w14:textId="6C4DA81A" w:rsidTr="00140A59">
        <w:tblPrEx>
          <w:tblLook w:val="0000" w:firstRow="0" w:lastRow="0" w:firstColumn="0" w:lastColumn="0" w:noHBand="0" w:noVBand="0"/>
        </w:tblPrEx>
        <w:trPr>
          <w:trHeight w:val="1234"/>
          <w:jc w:val="center"/>
        </w:trPr>
        <w:tc>
          <w:tcPr>
            <w:tcW w:w="1954" w:type="dxa"/>
          </w:tcPr>
          <w:p w14:paraId="26FA5A0E" w14:textId="6D5D96D6" w:rsidR="00307968" w:rsidRDefault="00307968" w:rsidP="00307968">
            <w:pPr>
              <w:jc w:val="both"/>
              <w:rPr>
                <w:rFonts w:ascii="Times New Roman" w:hAnsi="Times New Roman" w:cs="Times New Roman"/>
                <w:lang w:val="en-GB"/>
              </w:rPr>
            </w:pPr>
            <w:r>
              <w:rPr>
                <w:rFonts w:ascii="Times New Roman" w:hAnsi="Times New Roman" w:cs="Times New Roman"/>
                <w:lang w:val="en-GB"/>
              </w:rPr>
              <w:t>Alex fluor 488</w:t>
            </w:r>
          </w:p>
          <w:p w14:paraId="495DA2E7" w14:textId="251E4518" w:rsidR="00307968" w:rsidRPr="00307968" w:rsidRDefault="00307968" w:rsidP="00307968">
            <w:pPr>
              <w:jc w:val="both"/>
              <w:rPr>
                <w:rFonts w:ascii="Times New Roman" w:hAnsi="Times New Roman" w:cs="Times New Roman"/>
                <w:lang w:val="en-GB"/>
              </w:rPr>
            </w:pPr>
            <w:r>
              <w:rPr>
                <w:rFonts w:ascii="Times New Roman" w:hAnsi="Times New Roman" w:cs="Times New Roman"/>
                <w:lang w:val="en-GB"/>
              </w:rPr>
              <w:t>(labelled with green fluorescent dye)</w:t>
            </w:r>
          </w:p>
        </w:tc>
        <w:tc>
          <w:tcPr>
            <w:tcW w:w="2119" w:type="dxa"/>
          </w:tcPr>
          <w:p w14:paraId="7A3CE3E4" w14:textId="16BD51FD" w:rsidR="00307968" w:rsidRPr="00307968" w:rsidRDefault="00307968" w:rsidP="00307968">
            <w:pPr>
              <w:jc w:val="both"/>
              <w:rPr>
                <w:rFonts w:ascii="Times New Roman" w:hAnsi="Times New Roman" w:cs="Times New Roman"/>
                <w:lang w:val="en-GB"/>
              </w:rPr>
            </w:pPr>
            <w:r>
              <w:rPr>
                <w:rFonts w:ascii="Times New Roman" w:hAnsi="Times New Roman" w:cs="Times New Roman"/>
                <w:lang w:val="en-GB"/>
              </w:rPr>
              <w:t>Goat anti chicken IgG (H-L)</w:t>
            </w:r>
          </w:p>
        </w:tc>
        <w:tc>
          <w:tcPr>
            <w:tcW w:w="1563" w:type="dxa"/>
            <w:gridSpan w:val="2"/>
          </w:tcPr>
          <w:p w14:paraId="77FF0583" w14:textId="77777777" w:rsidR="00307968" w:rsidRDefault="00307968" w:rsidP="00307968">
            <w:pPr>
              <w:jc w:val="both"/>
              <w:rPr>
                <w:rFonts w:ascii="Times New Roman" w:hAnsi="Times New Roman" w:cs="Times New Roman"/>
                <w:lang w:val="en-GB"/>
              </w:rPr>
            </w:pPr>
            <w:r>
              <w:rPr>
                <w:rFonts w:ascii="Times New Roman" w:hAnsi="Times New Roman" w:cs="Times New Roman"/>
                <w:lang w:val="en-GB"/>
              </w:rPr>
              <w:t>3% BSA/PBST</w:t>
            </w:r>
          </w:p>
          <w:p w14:paraId="762C7705" w14:textId="06BAE8CA" w:rsidR="00307968" w:rsidRPr="00307968" w:rsidRDefault="00307968" w:rsidP="00307968">
            <w:pPr>
              <w:jc w:val="both"/>
              <w:rPr>
                <w:rFonts w:ascii="Times New Roman" w:hAnsi="Times New Roman" w:cs="Times New Roman"/>
                <w:lang w:val="en-GB"/>
              </w:rPr>
            </w:pPr>
            <w:r>
              <w:rPr>
                <w:rFonts w:ascii="Times New Roman" w:hAnsi="Times New Roman" w:cs="Times New Roman"/>
                <w:lang w:val="en-GB"/>
              </w:rPr>
              <w:t>1:1000</w:t>
            </w:r>
          </w:p>
        </w:tc>
        <w:tc>
          <w:tcPr>
            <w:tcW w:w="1653" w:type="dxa"/>
          </w:tcPr>
          <w:p w14:paraId="7A36E4F4" w14:textId="3A09596E" w:rsidR="00307968" w:rsidRPr="00307968" w:rsidRDefault="00307968" w:rsidP="00307968">
            <w:pPr>
              <w:jc w:val="both"/>
              <w:rPr>
                <w:rFonts w:ascii="Times New Roman" w:hAnsi="Times New Roman" w:cs="Times New Roman"/>
                <w:lang w:val="en-GB"/>
              </w:rPr>
            </w:pPr>
            <w:r w:rsidRPr="004975E3">
              <w:rPr>
                <w:rFonts w:ascii="Times New Roman" w:hAnsi="Times New Roman" w:cs="Times New Roman"/>
                <w:color w:val="000000" w:themeColor="text1"/>
                <w:lang w:val="en-GB"/>
              </w:rPr>
              <w:t>Life technologies, Grand Island, NY, USA</w:t>
            </w:r>
          </w:p>
        </w:tc>
      </w:tr>
    </w:tbl>
    <w:p w14:paraId="0E79D6EF" w14:textId="77777777" w:rsidR="00215F3F" w:rsidRPr="00215F3F" w:rsidRDefault="00215F3F" w:rsidP="0085074F">
      <w:pPr>
        <w:spacing w:line="360" w:lineRule="auto"/>
        <w:jc w:val="both"/>
        <w:rPr>
          <w:rFonts w:ascii="Times New Roman" w:hAnsi="Times New Roman" w:cs="Times New Roman"/>
          <w:lang w:val="en-GB"/>
        </w:rPr>
      </w:pPr>
    </w:p>
    <w:p w14:paraId="58668793" w14:textId="3F3F0561" w:rsidR="003C669E" w:rsidRPr="00EB4F0E" w:rsidRDefault="00EB4F0E" w:rsidP="009A1D4C">
      <w:pPr>
        <w:pStyle w:val="Heading3"/>
        <w:rPr>
          <w:u w:val="single"/>
          <w:lang w:val="en-GB"/>
        </w:rPr>
      </w:pPr>
      <w:bookmarkStart w:id="637" w:name="_Toc328301121"/>
      <w:bookmarkStart w:id="638" w:name="_Toc329593415"/>
      <w:bookmarkStart w:id="639" w:name="_Toc331425914"/>
      <w:bookmarkStart w:id="640" w:name="_Toc331427094"/>
      <w:bookmarkStart w:id="641" w:name="_Toc331427466"/>
      <w:bookmarkStart w:id="642" w:name="_Toc331427608"/>
      <w:bookmarkStart w:id="643" w:name="_Toc332972611"/>
      <w:bookmarkStart w:id="644" w:name="_Toc333046890"/>
      <w:bookmarkStart w:id="645" w:name="_Toc333477237"/>
      <w:bookmarkStart w:id="646" w:name="_Toc333478007"/>
      <w:bookmarkStart w:id="647" w:name="_Toc333644907"/>
      <w:r w:rsidRPr="00EB4F0E">
        <w:rPr>
          <w:u w:val="single"/>
          <w:lang w:val="en-GB"/>
        </w:rPr>
        <w:t>2.1.8</w:t>
      </w:r>
      <w:r w:rsidR="00D01519" w:rsidRPr="00EB4F0E">
        <w:rPr>
          <w:u w:val="single"/>
          <w:lang w:val="en-GB"/>
        </w:rPr>
        <w:t xml:space="preserve"> </w:t>
      </w:r>
      <w:r w:rsidR="003C669E" w:rsidRPr="00EB4F0E">
        <w:rPr>
          <w:u w:val="single"/>
          <w:lang w:val="en-GB"/>
        </w:rPr>
        <w:t>CellRox</w:t>
      </w:r>
      <w:bookmarkEnd w:id="637"/>
      <w:bookmarkEnd w:id="638"/>
      <w:bookmarkEnd w:id="639"/>
      <w:bookmarkEnd w:id="640"/>
      <w:bookmarkEnd w:id="641"/>
      <w:bookmarkEnd w:id="642"/>
      <w:bookmarkEnd w:id="643"/>
      <w:bookmarkEnd w:id="644"/>
      <w:bookmarkEnd w:id="645"/>
      <w:bookmarkEnd w:id="646"/>
      <w:bookmarkEnd w:id="647"/>
    </w:p>
    <w:p w14:paraId="706BED36" w14:textId="77777777" w:rsidR="003C669E" w:rsidRDefault="003C669E" w:rsidP="0085074F">
      <w:pPr>
        <w:spacing w:line="360" w:lineRule="auto"/>
        <w:jc w:val="both"/>
        <w:rPr>
          <w:rFonts w:ascii="Times New Roman" w:hAnsi="Times New Roman" w:cs="Times New Roman"/>
          <w:lang w:val="en-GB"/>
        </w:rPr>
      </w:pPr>
    </w:p>
    <w:p w14:paraId="280D849F" w14:textId="19C5C3F0" w:rsidR="00A618E5" w:rsidRPr="00EB4F0E" w:rsidRDefault="004D2291" w:rsidP="0085074F">
      <w:pPr>
        <w:spacing w:line="360" w:lineRule="auto"/>
        <w:jc w:val="both"/>
        <w:rPr>
          <w:rFonts w:ascii="Times New Roman" w:hAnsi="Times New Roman" w:cs="Times New Roman"/>
          <w:color w:val="FF0000"/>
          <w:lang w:val="en-GB"/>
        </w:rPr>
      </w:pPr>
      <w:r>
        <w:rPr>
          <w:rFonts w:ascii="Times New Roman" w:hAnsi="Times New Roman" w:cs="Times New Roman"/>
          <w:lang w:val="en-GB"/>
        </w:rPr>
        <w:t>CellROX® G</w:t>
      </w:r>
      <w:r w:rsidR="00EB4F0E">
        <w:rPr>
          <w:rFonts w:ascii="Times New Roman" w:hAnsi="Times New Roman" w:cs="Times New Roman"/>
          <w:lang w:val="en-GB"/>
        </w:rPr>
        <w:t>reen Reagent (C10444, Life technologies</w:t>
      </w:r>
      <w:r w:rsidR="002E0156">
        <w:rPr>
          <w:rFonts w:ascii="Times New Roman" w:hAnsi="Times New Roman" w:cs="Times New Roman"/>
          <w:lang w:val="en-GB"/>
        </w:rPr>
        <w:t>, Oregon, USA Ref C10444)</w:t>
      </w:r>
    </w:p>
    <w:p w14:paraId="5DFAF721" w14:textId="77777777" w:rsidR="00436A04" w:rsidRDefault="00436A04" w:rsidP="0085074F">
      <w:pPr>
        <w:spacing w:line="360" w:lineRule="auto"/>
        <w:jc w:val="both"/>
        <w:rPr>
          <w:rFonts w:ascii="Times New Roman" w:hAnsi="Times New Roman" w:cs="Times New Roman"/>
          <w:b/>
          <w:u w:val="single"/>
          <w:lang w:val="en-GB"/>
        </w:rPr>
      </w:pPr>
    </w:p>
    <w:p w14:paraId="78419AD9" w14:textId="6D1D693D" w:rsidR="00B56AD4" w:rsidRPr="00EB4F0E" w:rsidRDefault="00EB4F0E" w:rsidP="009A1D4C">
      <w:pPr>
        <w:pStyle w:val="Heading3"/>
        <w:rPr>
          <w:u w:val="single"/>
          <w:lang w:val="en-GB"/>
        </w:rPr>
      </w:pPr>
      <w:bookmarkStart w:id="648" w:name="_Toc328301122"/>
      <w:bookmarkStart w:id="649" w:name="_Toc329593416"/>
      <w:bookmarkStart w:id="650" w:name="_Toc331425915"/>
      <w:bookmarkStart w:id="651" w:name="_Toc331427095"/>
      <w:bookmarkStart w:id="652" w:name="_Toc331427467"/>
      <w:bookmarkStart w:id="653" w:name="_Toc331427609"/>
      <w:bookmarkStart w:id="654" w:name="_Toc332972612"/>
      <w:bookmarkStart w:id="655" w:name="_Toc333046891"/>
      <w:bookmarkStart w:id="656" w:name="_Toc333477238"/>
      <w:bookmarkStart w:id="657" w:name="_Toc333478008"/>
      <w:bookmarkStart w:id="658" w:name="_Toc333644908"/>
      <w:r>
        <w:rPr>
          <w:u w:val="single"/>
          <w:lang w:val="en-GB"/>
        </w:rPr>
        <w:t>2.1.9</w:t>
      </w:r>
      <w:r w:rsidR="00436A04" w:rsidRPr="00EB4F0E">
        <w:rPr>
          <w:u w:val="single"/>
          <w:lang w:val="en-GB"/>
        </w:rPr>
        <w:t xml:space="preserve"> </w:t>
      </w:r>
      <w:r w:rsidR="00B56AD4" w:rsidRPr="00EB4F0E">
        <w:rPr>
          <w:u w:val="single"/>
          <w:lang w:val="en-GB"/>
        </w:rPr>
        <w:t>Lactate Assay</w:t>
      </w:r>
      <w:bookmarkEnd w:id="648"/>
      <w:bookmarkEnd w:id="649"/>
      <w:bookmarkEnd w:id="650"/>
      <w:bookmarkEnd w:id="651"/>
      <w:bookmarkEnd w:id="652"/>
      <w:bookmarkEnd w:id="653"/>
      <w:bookmarkEnd w:id="654"/>
      <w:bookmarkEnd w:id="655"/>
      <w:bookmarkEnd w:id="656"/>
      <w:bookmarkEnd w:id="657"/>
      <w:bookmarkEnd w:id="658"/>
    </w:p>
    <w:p w14:paraId="27EF09C9" w14:textId="69FB2692" w:rsidR="00B56AD4" w:rsidRDefault="00B56AD4"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p>
    <w:p w14:paraId="64494579" w14:textId="45F4D7FD" w:rsidR="00B56AD4" w:rsidRPr="00EB4F0E" w:rsidRDefault="00B56AD4" w:rsidP="0085074F">
      <w:pPr>
        <w:spacing w:line="360" w:lineRule="auto"/>
        <w:jc w:val="both"/>
        <w:rPr>
          <w:rFonts w:ascii="Times New Roman" w:hAnsi="Times New Roman" w:cs="Times New Roman"/>
          <w:color w:val="FF0000"/>
          <w:lang w:val="en-GB"/>
        </w:rPr>
      </w:pPr>
      <w:r>
        <w:rPr>
          <w:rFonts w:ascii="Times New Roman" w:hAnsi="Times New Roman" w:cs="Times New Roman"/>
          <w:lang w:val="en-GB"/>
        </w:rPr>
        <w:t>Lactate Assay Kit</w:t>
      </w:r>
      <w:r w:rsidR="008B0C46">
        <w:rPr>
          <w:rFonts w:ascii="Times New Roman" w:hAnsi="Times New Roman" w:cs="Times New Roman"/>
          <w:lang w:val="en-GB"/>
        </w:rPr>
        <w:t>,</w:t>
      </w:r>
      <w:r>
        <w:rPr>
          <w:rFonts w:ascii="Times New Roman" w:hAnsi="Times New Roman" w:cs="Times New Roman"/>
          <w:lang w:val="en-GB"/>
        </w:rPr>
        <w:t xml:space="preserve"> </w:t>
      </w:r>
      <w:r w:rsidR="008B0C46">
        <w:rPr>
          <w:rFonts w:ascii="Times New Roman" w:hAnsi="Times New Roman" w:cs="Times New Roman"/>
          <w:lang w:val="en-GB"/>
        </w:rPr>
        <w:t xml:space="preserve">including lactate standards </w:t>
      </w:r>
      <w:r>
        <w:rPr>
          <w:rFonts w:ascii="Times New Roman" w:hAnsi="Times New Roman" w:cs="Times New Roman"/>
          <w:lang w:val="en-GB"/>
        </w:rPr>
        <w:t>(KA0833</w:t>
      </w:r>
      <w:r w:rsidR="003614C3">
        <w:rPr>
          <w:rFonts w:ascii="Times New Roman" w:hAnsi="Times New Roman" w:cs="Times New Roman"/>
          <w:lang w:val="en-GB"/>
        </w:rPr>
        <w:t>, Abnova</w:t>
      </w:r>
      <w:r w:rsidR="008B0C46">
        <w:rPr>
          <w:rFonts w:ascii="Times New Roman" w:hAnsi="Times New Roman" w:cs="Times New Roman"/>
          <w:lang w:val="en-GB"/>
        </w:rPr>
        <w:t>).</w:t>
      </w:r>
    </w:p>
    <w:p w14:paraId="58DE9EE8" w14:textId="77777777" w:rsidR="00F92407" w:rsidRDefault="00F92407" w:rsidP="00F92407">
      <w:pPr>
        <w:pStyle w:val="Heading3"/>
        <w:rPr>
          <w:lang w:val="en-GB"/>
        </w:rPr>
      </w:pPr>
    </w:p>
    <w:p w14:paraId="2BB03500" w14:textId="74459019" w:rsidR="00176A05" w:rsidRPr="00EB4F0E" w:rsidRDefault="00EB4F0E" w:rsidP="00F92407">
      <w:pPr>
        <w:pStyle w:val="Heading3"/>
        <w:rPr>
          <w:u w:val="single"/>
          <w:lang w:val="en-GB"/>
        </w:rPr>
      </w:pPr>
      <w:bookmarkStart w:id="659" w:name="_Toc331427096"/>
      <w:bookmarkStart w:id="660" w:name="_Toc331427468"/>
      <w:bookmarkStart w:id="661" w:name="_Toc331427610"/>
      <w:bookmarkStart w:id="662" w:name="_Toc332972613"/>
      <w:bookmarkStart w:id="663" w:name="_Toc333046892"/>
      <w:bookmarkStart w:id="664" w:name="_Toc333477239"/>
      <w:bookmarkStart w:id="665" w:name="_Toc333478009"/>
      <w:bookmarkStart w:id="666" w:name="_Toc333644909"/>
      <w:r>
        <w:rPr>
          <w:u w:val="single"/>
          <w:lang w:val="en-GB"/>
        </w:rPr>
        <w:t>2.1.10</w:t>
      </w:r>
      <w:r w:rsidR="00176A05" w:rsidRPr="00EB4F0E">
        <w:rPr>
          <w:u w:val="single"/>
          <w:lang w:val="en-GB"/>
        </w:rPr>
        <w:t xml:space="preserve"> Complex I Assay</w:t>
      </w:r>
      <w:bookmarkEnd w:id="659"/>
      <w:bookmarkEnd w:id="660"/>
      <w:bookmarkEnd w:id="661"/>
      <w:bookmarkEnd w:id="662"/>
      <w:bookmarkEnd w:id="663"/>
      <w:bookmarkEnd w:id="664"/>
      <w:bookmarkEnd w:id="665"/>
      <w:bookmarkEnd w:id="666"/>
    </w:p>
    <w:p w14:paraId="605AE09F" w14:textId="77777777" w:rsidR="00176A05" w:rsidRDefault="00176A05" w:rsidP="0085074F">
      <w:pPr>
        <w:spacing w:line="360" w:lineRule="auto"/>
        <w:jc w:val="both"/>
        <w:rPr>
          <w:rFonts w:ascii="Times New Roman" w:hAnsi="Times New Roman" w:cs="Times New Roman"/>
          <w:lang w:val="en-GB"/>
        </w:rPr>
      </w:pPr>
    </w:p>
    <w:p w14:paraId="6F831247" w14:textId="0AAB839E" w:rsidR="00F92407" w:rsidRDefault="00176A05" w:rsidP="008E3664">
      <w:pPr>
        <w:spacing w:line="360" w:lineRule="auto"/>
        <w:jc w:val="both"/>
        <w:rPr>
          <w:rFonts w:ascii="Times New Roman" w:hAnsi="Times New Roman" w:cs="Times New Roman"/>
          <w:lang w:val="en-GB"/>
        </w:rPr>
      </w:pPr>
      <w:r>
        <w:rPr>
          <w:rFonts w:ascii="Times New Roman" w:hAnsi="Times New Roman" w:cs="Times New Roman"/>
          <w:lang w:val="en-GB"/>
        </w:rPr>
        <w:t>Complex I enzyme activity microplate assay kit (Abcam, ab109721</w:t>
      </w:r>
      <w:r w:rsidR="00154EC1">
        <w:rPr>
          <w:rFonts w:ascii="Times New Roman" w:hAnsi="Times New Roman" w:cs="Times New Roman"/>
          <w:lang w:val="en-GB"/>
        </w:rPr>
        <w:t>, Cambridge, UK)</w:t>
      </w:r>
      <w:bookmarkStart w:id="667" w:name="_Toc328301123"/>
      <w:bookmarkStart w:id="668" w:name="_Toc329593417"/>
      <w:bookmarkStart w:id="669" w:name="_Toc331425916"/>
    </w:p>
    <w:p w14:paraId="2228E9A4" w14:textId="77777777" w:rsidR="008E3664" w:rsidRDefault="008E3664" w:rsidP="008E3664">
      <w:pPr>
        <w:spacing w:line="360" w:lineRule="auto"/>
        <w:jc w:val="both"/>
        <w:rPr>
          <w:rFonts w:ascii="Times New Roman" w:hAnsi="Times New Roman" w:cs="Times New Roman"/>
          <w:lang w:val="en-GB"/>
        </w:rPr>
      </w:pPr>
    </w:p>
    <w:p w14:paraId="50C07803" w14:textId="77777777" w:rsidR="008E3664" w:rsidRDefault="008E3664" w:rsidP="008E3664">
      <w:pPr>
        <w:spacing w:line="360" w:lineRule="auto"/>
        <w:jc w:val="both"/>
        <w:rPr>
          <w:rFonts w:ascii="Times New Roman" w:hAnsi="Times New Roman" w:cs="Times New Roman"/>
          <w:lang w:val="en-GB"/>
        </w:rPr>
      </w:pPr>
    </w:p>
    <w:p w14:paraId="02C8E588" w14:textId="77777777" w:rsidR="008E3664" w:rsidRPr="008E3664" w:rsidRDefault="008E3664" w:rsidP="008E3664">
      <w:pPr>
        <w:spacing w:line="360" w:lineRule="auto"/>
        <w:jc w:val="both"/>
        <w:rPr>
          <w:rFonts w:ascii="Times New Roman" w:hAnsi="Times New Roman" w:cs="Times New Roman"/>
          <w:lang w:val="en-GB"/>
        </w:rPr>
      </w:pPr>
    </w:p>
    <w:p w14:paraId="7FE7839A" w14:textId="03248D4E" w:rsidR="00436A04" w:rsidRPr="00EB4F0E" w:rsidRDefault="00EB4F0E" w:rsidP="009A1D4C">
      <w:pPr>
        <w:pStyle w:val="Heading3"/>
        <w:rPr>
          <w:u w:val="single"/>
          <w:lang w:val="en-GB"/>
        </w:rPr>
      </w:pPr>
      <w:bookmarkStart w:id="670" w:name="_Toc331427097"/>
      <w:bookmarkStart w:id="671" w:name="_Toc331427469"/>
      <w:bookmarkStart w:id="672" w:name="_Toc331427611"/>
      <w:bookmarkStart w:id="673" w:name="_Toc332972614"/>
      <w:bookmarkStart w:id="674" w:name="_Toc333046893"/>
      <w:bookmarkStart w:id="675" w:name="_Toc333477240"/>
      <w:bookmarkStart w:id="676" w:name="_Toc333478010"/>
      <w:bookmarkStart w:id="677" w:name="_Toc333644910"/>
      <w:r w:rsidRPr="00EB4F0E">
        <w:rPr>
          <w:u w:val="single"/>
          <w:lang w:val="en-GB"/>
        </w:rPr>
        <w:t>2.1.11</w:t>
      </w:r>
      <w:r w:rsidR="00B56AD4" w:rsidRPr="00EB4F0E">
        <w:rPr>
          <w:u w:val="single"/>
          <w:lang w:val="en-GB"/>
        </w:rPr>
        <w:t xml:space="preserve"> </w:t>
      </w:r>
      <w:r w:rsidR="00436A04" w:rsidRPr="00EB4F0E">
        <w:rPr>
          <w:u w:val="single"/>
          <w:lang w:val="en-GB"/>
        </w:rPr>
        <w:t xml:space="preserve">Lentiviral </w:t>
      </w:r>
      <w:r w:rsidR="006473BF" w:rsidRPr="00EB4F0E">
        <w:rPr>
          <w:u w:val="single"/>
          <w:lang w:val="en-GB"/>
        </w:rPr>
        <w:t>production</w:t>
      </w:r>
      <w:bookmarkEnd w:id="667"/>
      <w:bookmarkEnd w:id="668"/>
      <w:bookmarkEnd w:id="669"/>
      <w:bookmarkEnd w:id="670"/>
      <w:bookmarkEnd w:id="671"/>
      <w:bookmarkEnd w:id="672"/>
      <w:bookmarkEnd w:id="673"/>
      <w:bookmarkEnd w:id="674"/>
      <w:bookmarkEnd w:id="675"/>
      <w:bookmarkEnd w:id="676"/>
      <w:bookmarkEnd w:id="677"/>
    </w:p>
    <w:p w14:paraId="2D1E8AEE" w14:textId="77777777" w:rsidR="006473BF" w:rsidRDefault="006473BF" w:rsidP="0085074F">
      <w:pPr>
        <w:spacing w:line="360" w:lineRule="auto"/>
        <w:jc w:val="both"/>
        <w:rPr>
          <w:rFonts w:ascii="Times New Roman" w:hAnsi="Times New Roman" w:cs="Times New Roman"/>
          <w:b/>
          <w:u w:val="single"/>
          <w:lang w:val="en-GB"/>
        </w:rPr>
      </w:pPr>
    </w:p>
    <w:p w14:paraId="088DE747" w14:textId="2695057D" w:rsidR="0068345D" w:rsidRPr="006802CF" w:rsidRDefault="00A13421" w:rsidP="0085074F">
      <w:pPr>
        <w:spacing w:line="360" w:lineRule="auto"/>
        <w:jc w:val="both"/>
        <w:rPr>
          <w:rFonts w:ascii="Times New Roman" w:hAnsi="Times New Roman" w:cs="Times New Roman"/>
          <w:lang w:val="en-GB"/>
        </w:rPr>
      </w:pPr>
      <w:r>
        <w:rPr>
          <w:rFonts w:ascii="Times New Roman" w:hAnsi="Times New Roman" w:cs="Times New Roman"/>
          <w:b/>
          <w:lang w:val="en-GB"/>
        </w:rPr>
        <w:t>EMEM</w:t>
      </w:r>
      <w:r w:rsidR="00223CD8">
        <w:rPr>
          <w:rFonts w:ascii="Times New Roman" w:hAnsi="Times New Roman" w:cs="Times New Roman"/>
          <w:b/>
          <w:lang w:val="en-GB"/>
        </w:rPr>
        <w:t xml:space="preserve"> full media</w:t>
      </w:r>
      <w:r w:rsidR="00D10BDA">
        <w:rPr>
          <w:rFonts w:ascii="Times New Roman" w:hAnsi="Times New Roman" w:cs="Times New Roman"/>
          <w:b/>
          <w:lang w:val="en-GB"/>
        </w:rPr>
        <w:t xml:space="preserve">                            </w:t>
      </w:r>
      <w:r w:rsidR="006802CF">
        <w:rPr>
          <w:rFonts w:ascii="Times New Roman" w:hAnsi="Times New Roman" w:cs="Times New Roman"/>
          <w:b/>
          <w:lang w:val="en-GB"/>
        </w:rPr>
        <w:t xml:space="preserve">  </w:t>
      </w:r>
      <w:r w:rsidR="006802CF">
        <w:rPr>
          <w:rFonts w:ascii="Times New Roman" w:hAnsi="Times New Roman" w:cs="Times New Roman"/>
          <w:lang w:val="en-GB"/>
        </w:rPr>
        <w:t>EMEM (Sigma) Cat. No.- M2279</w:t>
      </w:r>
    </w:p>
    <w:p w14:paraId="3155CDCA" w14:textId="77777777" w:rsidR="0068345D" w:rsidRDefault="0068345D" w:rsidP="0085074F">
      <w:pPr>
        <w:spacing w:line="360" w:lineRule="auto"/>
        <w:jc w:val="both"/>
        <w:rPr>
          <w:rFonts w:ascii="Times New Roman" w:hAnsi="Times New Roman" w:cs="Times New Roman"/>
          <w:lang w:val="en-GB"/>
        </w:rPr>
      </w:pPr>
      <w:r>
        <w:rPr>
          <w:rFonts w:ascii="Times New Roman" w:hAnsi="Times New Roman" w:cs="Times New Roman"/>
          <w:b/>
          <w:lang w:val="en-GB"/>
        </w:rPr>
        <w:t xml:space="preserve">                                                             </w:t>
      </w:r>
      <w:r>
        <w:rPr>
          <w:rFonts w:ascii="Times New Roman" w:hAnsi="Times New Roman" w:cs="Times New Roman"/>
          <w:lang w:val="en-GB"/>
        </w:rPr>
        <w:t>2mM glutamine, sigma</w:t>
      </w:r>
    </w:p>
    <w:p w14:paraId="2881F4AA" w14:textId="77777777" w:rsidR="0068345D" w:rsidRDefault="0068345D"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D10BDA">
        <w:rPr>
          <w:rFonts w:ascii="Times New Roman" w:hAnsi="Times New Roman" w:cs="Times New Roman"/>
          <w:lang w:val="en-GB"/>
        </w:rPr>
        <w:t xml:space="preserve">1% NEAA, Sigma, </w:t>
      </w:r>
    </w:p>
    <w:p w14:paraId="18515A8D" w14:textId="729D051D" w:rsidR="00A13421" w:rsidRDefault="0068345D" w:rsidP="0085074F">
      <w:pPr>
        <w:spacing w:line="360" w:lineRule="auto"/>
        <w:jc w:val="both"/>
        <w:rPr>
          <w:rFonts w:ascii="Times New Roman" w:hAnsi="Times New Roman" w:cs="Times New Roman"/>
          <w:b/>
          <w:lang w:val="en-GB"/>
        </w:rPr>
      </w:pPr>
      <w:r>
        <w:rPr>
          <w:rFonts w:ascii="Times New Roman" w:hAnsi="Times New Roman" w:cs="Times New Roman"/>
          <w:lang w:val="en-GB"/>
        </w:rPr>
        <w:t xml:space="preserve">                                                             </w:t>
      </w:r>
      <w:r w:rsidR="00D10BDA">
        <w:rPr>
          <w:rFonts w:ascii="Times New Roman" w:hAnsi="Times New Roman" w:cs="Times New Roman"/>
          <w:lang w:val="en-GB"/>
        </w:rPr>
        <w:t>10% FBS, Gibco</w:t>
      </w:r>
    </w:p>
    <w:p w14:paraId="040BA220" w14:textId="77777777" w:rsidR="00A13421" w:rsidRPr="00A13421" w:rsidRDefault="00A13421" w:rsidP="0085074F">
      <w:pPr>
        <w:spacing w:line="360" w:lineRule="auto"/>
        <w:jc w:val="both"/>
        <w:rPr>
          <w:rFonts w:ascii="Times New Roman" w:hAnsi="Times New Roman" w:cs="Times New Roman"/>
          <w:b/>
          <w:lang w:val="en-GB"/>
        </w:rPr>
      </w:pPr>
    </w:p>
    <w:p w14:paraId="3890212D" w14:textId="4E58A363" w:rsidR="00060A10" w:rsidRDefault="00A0712B" w:rsidP="0085074F">
      <w:pPr>
        <w:spacing w:line="360" w:lineRule="auto"/>
        <w:jc w:val="both"/>
        <w:rPr>
          <w:rFonts w:ascii="Times New Roman" w:hAnsi="Times New Roman" w:cs="Times New Roman"/>
          <w:lang w:val="en-GB"/>
        </w:rPr>
      </w:pPr>
      <w:r>
        <w:rPr>
          <w:rFonts w:ascii="Times New Roman" w:hAnsi="Times New Roman" w:cs="Times New Roman"/>
          <w:b/>
          <w:lang w:val="en-GB"/>
        </w:rPr>
        <w:t xml:space="preserve">DMEM full media </w:t>
      </w:r>
      <w:r w:rsidR="00EB4F0E">
        <w:rPr>
          <w:rFonts w:ascii="Times New Roman" w:hAnsi="Times New Roman" w:cs="Times New Roman"/>
          <w:b/>
          <w:lang w:val="en-GB"/>
        </w:rPr>
        <w:t xml:space="preserve">                             </w:t>
      </w:r>
      <w:r>
        <w:rPr>
          <w:rFonts w:ascii="Times New Roman" w:hAnsi="Times New Roman" w:cs="Times New Roman"/>
          <w:lang w:val="en-GB"/>
        </w:rPr>
        <w:t>DMEM w</w:t>
      </w:r>
      <w:r w:rsidR="00060A10">
        <w:rPr>
          <w:rFonts w:ascii="Times New Roman" w:hAnsi="Times New Roman" w:cs="Times New Roman"/>
          <w:lang w:val="en-GB"/>
        </w:rPr>
        <w:t>ith 4.5g/L glucose, L-glutamine</w:t>
      </w:r>
      <w:r>
        <w:rPr>
          <w:rFonts w:ascii="Times New Roman" w:hAnsi="Times New Roman" w:cs="Times New Roman"/>
          <w:lang w:val="en-GB"/>
        </w:rPr>
        <w:t xml:space="preserve"> </w:t>
      </w:r>
    </w:p>
    <w:p w14:paraId="3980FC3C" w14:textId="77777777" w:rsidR="00060A10" w:rsidRDefault="00060A10"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without Na pyruvate</w:t>
      </w:r>
      <w:r w:rsidR="00A0712B">
        <w:rPr>
          <w:rFonts w:ascii="Times New Roman" w:hAnsi="Times New Roman" w:cs="Times New Roman"/>
          <w:lang w:val="en-GB"/>
        </w:rPr>
        <w:t xml:space="preserve"> </w:t>
      </w:r>
    </w:p>
    <w:p w14:paraId="5373A8F5" w14:textId="77777777" w:rsidR="00060A10" w:rsidRDefault="00060A10"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A0712B">
        <w:rPr>
          <w:rFonts w:ascii="Times New Roman" w:hAnsi="Times New Roman" w:cs="Times New Roman"/>
          <w:lang w:val="en-GB"/>
        </w:rPr>
        <w:t>10%</w:t>
      </w:r>
      <w:r>
        <w:rPr>
          <w:rFonts w:ascii="Times New Roman" w:hAnsi="Times New Roman" w:cs="Times New Roman"/>
          <w:lang w:val="en-GB"/>
        </w:rPr>
        <w:t xml:space="preserve"> (v/v) FBS</w:t>
      </w:r>
    </w:p>
    <w:p w14:paraId="5F5A35C0" w14:textId="6544EF15" w:rsidR="00A0712B" w:rsidRDefault="00060A10"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A0712B">
        <w:rPr>
          <w:rFonts w:ascii="Times New Roman" w:hAnsi="Times New Roman" w:cs="Times New Roman"/>
          <w:lang w:val="en-GB"/>
        </w:rPr>
        <w:t xml:space="preserve"> 1%</w:t>
      </w:r>
      <w:r>
        <w:rPr>
          <w:rFonts w:ascii="Times New Roman" w:hAnsi="Times New Roman" w:cs="Times New Roman"/>
          <w:lang w:val="en-GB"/>
        </w:rPr>
        <w:t xml:space="preserve"> (v/v)</w:t>
      </w:r>
      <w:r w:rsidR="00A0712B">
        <w:rPr>
          <w:rFonts w:ascii="Times New Roman" w:hAnsi="Times New Roman" w:cs="Times New Roman"/>
          <w:lang w:val="en-GB"/>
        </w:rPr>
        <w:t xml:space="preserve"> Pen/Strep</w:t>
      </w:r>
    </w:p>
    <w:p w14:paraId="29BE7EA1" w14:textId="77777777" w:rsidR="009A1D4C" w:rsidRDefault="009A1D4C" w:rsidP="0085074F">
      <w:pPr>
        <w:spacing w:line="360" w:lineRule="auto"/>
        <w:jc w:val="both"/>
        <w:rPr>
          <w:rFonts w:ascii="Times New Roman" w:hAnsi="Times New Roman" w:cs="Times New Roman"/>
          <w:b/>
          <w:lang w:val="en-GB"/>
        </w:rPr>
      </w:pPr>
    </w:p>
    <w:p w14:paraId="508347D0" w14:textId="5D712BD4" w:rsidR="00A0712B" w:rsidRDefault="009B685D" w:rsidP="0085074F">
      <w:pPr>
        <w:spacing w:line="360" w:lineRule="auto"/>
        <w:jc w:val="both"/>
        <w:rPr>
          <w:rFonts w:ascii="Times New Roman" w:hAnsi="Times New Roman" w:cs="Times New Roman"/>
          <w:lang w:val="en-GB"/>
        </w:rPr>
      </w:pPr>
      <w:r>
        <w:rPr>
          <w:rFonts w:ascii="Times New Roman" w:hAnsi="Times New Roman" w:cs="Times New Roman"/>
          <w:b/>
          <w:lang w:val="en-GB"/>
        </w:rPr>
        <w:t>Ultracentrifugation of viral ba</w:t>
      </w:r>
      <w:r w:rsidR="00A0712B">
        <w:rPr>
          <w:rFonts w:ascii="Times New Roman" w:hAnsi="Times New Roman" w:cs="Times New Roman"/>
          <w:b/>
          <w:lang w:val="en-GB"/>
        </w:rPr>
        <w:t xml:space="preserve">tches: </w:t>
      </w:r>
      <w:r w:rsidR="00A0712B" w:rsidRPr="009A1D4C">
        <w:rPr>
          <w:rFonts w:ascii="Times New Roman" w:hAnsi="Times New Roman" w:cs="Times New Roman"/>
          <w:lang w:val="en-GB"/>
        </w:rPr>
        <w:t>S128 rotor and pots, 6 Beckman tube (BECL343058)</w:t>
      </w:r>
    </w:p>
    <w:p w14:paraId="3C54BFD6" w14:textId="070B37C4" w:rsidR="00A0712B" w:rsidRDefault="00060A10"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p>
    <w:p w14:paraId="65C033A0" w14:textId="54671AF1" w:rsidR="00060A10" w:rsidRDefault="00060A10" w:rsidP="0085074F">
      <w:pPr>
        <w:spacing w:line="360" w:lineRule="auto"/>
        <w:jc w:val="both"/>
        <w:rPr>
          <w:rFonts w:ascii="Times New Roman" w:hAnsi="Times New Roman" w:cs="Times New Roman"/>
          <w:lang w:val="en-GB"/>
        </w:rPr>
      </w:pPr>
      <w:r>
        <w:rPr>
          <w:rFonts w:ascii="Times New Roman" w:hAnsi="Times New Roman" w:cs="Times New Roman"/>
          <w:b/>
          <w:lang w:val="en-GB"/>
        </w:rPr>
        <w:t>PBS/</w:t>
      </w:r>
      <w:r w:rsidR="00A0712B">
        <w:rPr>
          <w:rFonts w:ascii="Times New Roman" w:hAnsi="Times New Roman" w:cs="Times New Roman"/>
          <w:b/>
          <w:lang w:val="en-GB"/>
        </w:rPr>
        <w:t xml:space="preserve"> BSA </w:t>
      </w:r>
      <w:r>
        <w:rPr>
          <w:rFonts w:ascii="Times New Roman" w:hAnsi="Times New Roman" w:cs="Times New Roman"/>
          <w:b/>
          <w:lang w:val="en-GB"/>
        </w:rPr>
        <w:t xml:space="preserve">                                         </w:t>
      </w:r>
      <w:r w:rsidRPr="00060A10">
        <w:rPr>
          <w:rFonts w:ascii="Times New Roman" w:hAnsi="Times New Roman" w:cs="Times New Roman"/>
          <w:lang w:val="en-GB"/>
        </w:rPr>
        <w:t>1%</w:t>
      </w:r>
      <w:r>
        <w:rPr>
          <w:rFonts w:ascii="Times New Roman" w:hAnsi="Times New Roman" w:cs="Times New Roman"/>
          <w:lang w:val="en-GB"/>
        </w:rPr>
        <w:t xml:space="preserve"> BSA (Fluka</w:t>
      </w:r>
      <w:r w:rsidR="00A0712B">
        <w:rPr>
          <w:rFonts w:ascii="Times New Roman" w:hAnsi="Times New Roman" w:cs="Times New Roman"/>
          <w:lang w:val="en-GB"/>
        </w:rPr>
        <w:t xml:space="preserve">) </w:t>
      </w:r>
    </w:p>
    <w:p w14:paraId="0B6C2511" w14:textId="2E766DF1" w:rsidR="00CF7F94" w:rsidRDefault="00060A10"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In 1 x PBS</w:t>
      </w:r>
      <w:r w:rsidR="00A0712B">
        <w:rPr>
          <w:rFonts w:ascii="Times New Roman" w:hAnsi="Times New Roman" w:cs="Times New Roman"/>
          <w:lang w:val="en-GB"/>
        </w:rPr>
        <w:t xml:space="preserve"> 500ml </w:t>
      </w:r>
    </w:p>
    <w:p w14:paraId="154CD3EE" w14:textId="5CB424FD" w:rsidR="00060A10" w:rsidRDefault="00060A10" w:rsidP="00060A10">
      <w:pPr>
        <w:spacing w:line="360" w:lineRule="auto"/>
        <w:ind w:left="2880" w:firstLine="720"/>
        <w:jc w:val="both"/>
      </w:pPr>
      <w:r>
        <w:rPr>
          <w:rFonts w:ascii="Times New Roman" w:hAnsi="Times New Roman" w:cs="Times New Roman"/>
          <w:lang w:val="en-GB"/>
        </w:rPr>
        <w:t>Filtered through a 0.22</w:t>
      </w:r>
      <w:r w:rsidRPr="00A0712B">
        <w:t xml:space="preserve"> </w:t>
      </w:r>
      <w:r>
        <w:t>µM filter</w:t>
      </w:r>
    </w:p>
    <w:p w14:paraId="4ED6C209" w14:textId="77777777" w:rsidR="00CF7F94" w:rsidRDefault="00CF7F94" w:rsidP="0085074F">
      <w:pPr>
        <w:spacing w:line="360" w:lineRule="auto"/>
        <w:jc w:val="both"/>
        <w:rPr>
          <w:b/>
        </w:rPr>
      </w:pPr>
    </w:p>
    <w:p w14:paraId="1489C6FB" w14:textId="06400437" w:rsidR="00CF7F94" w:rsidRPr="00F01128" w:rsidRDefault="00CF7F94" w:rsidP="0085074F">
      <w:pPr>
        <w:spacing w:line="360" w:lineRule="auto"/>
        <w:jc w:val="both"/>
        <w:rPr>
          <w:rFonts w:ascii="Times New Roman" w:hAnsi="Times New Roman" w:cs="Times New Roman"/>
          <w:b/>
        </w:rPr>
      </w:pPr>
      <w:r w:rsidRPr="00F01128">
        <w:rPr>
          <w:rFonts w:ascii="Times New Roman" w:hAnsi="Times New Roman" w:cs="Times New Roman"/>
          <w:b/>
        </w:rPr>
        <w:t>Plasmids</w:t>
      </w:r>
    </w:p>
    <w:p w14:paraId="60EE70C5" w14:textId="35156622" w:rsidR="00CF7F94" w:rsidRPr="00451CEE" w:rsidRDefault="00CF7F94" w:rsidP="00CF7F94">
      <w:pPr>
        <w:pStyle w:val="ListParagraph"/>
        <w:numPr>
          <w:ilvl w:val="0"/>
          <w:numId w:val="4"/>
        </w:numPr>
        <w:autoSpaceDE w:val="0"/>
        <w:autoSpaceDN w:val="0"/>
        <w:adjustRightInd w:val="0"/>
        <w:jc w:val="both"/>
        <w:rPr>
          <w:rFonts w:ascii="Times New Roman" w:hAnsi="Times New Roman" w:cs="Times New Roman"/>
        </w:rPr>
      </w:pPr>
      <w:r>
        <w:rPr>
          <w:rFonts w:ascii="Times New Roman" w:hAnsi="Times New Roman" w:cs="Times New Roman"/>
        </w:rPr>
        <w:t>LV-GFP</w:t>
      </w:r>
    </w:p>
    <w:p w14:paraId="366917A6" w14:textId="10FC012B" w:rsidR="00CF7F94" w:rsidRDefault="00CF7F94" w:rsidP="00CF7F94">
      <w:pPr>
        <w:pStyle w:val="ListParagraph"/>
        <w:numPr>
          <w:ilvl w:val="0"/>
          <w:numId w:val="4"/>
        </w:numPr>
        <w:autoSpaceDE w:val="0"/>
        <w:autoSpaceDN w:val="0"/>
        <w:adjustRightInd w:val="0"/>
        <w:jc w:val="both"/>
        <w:rPr>
          <w:rFonts w:ascii="Times New Roman" w:hAnsi="Times New Roman" w:cs="Times New Roman"/>
        </w:rPr>
      </w:pPr>
      <w:r>
        <w:rPr>
          <w:rFonts w:ascii="Times New Roman" w:hAnsi="Times New Roman" w:cs="Times New Roman"/>
        </w:rPr>
        <w:t>pCMV_DR8.92 (packaging plasmid encoding al the viral genes needed in trans)</w:t>
      </w:r>
    </w:p>
    <w:p w14:paraId="78BD0C39" w14:textId="2EC587CB" w:rsidR="00CF7F94" w:rsidRDefault="00CF7F94" w:rsidP="00CF7F94">
      <w:pPr>
        <w:pStyle w:val="ListParagraph"/>
        <w:numPr>
          <w:ilvl w:val="0"/>
          <w:numId w:val="4"/>
        </w:numPr>
        <w:autoSpaceDE w:val="0"/>
        <w:autoSpaceDN w:val="0"/>
        <w:adjustRightInd w:val="0"/>
        <w:jc w:val="both"/>
        <w:rPr>
          <w:rFonts w:ascii="Times New Roman" w:hAnsi="Times New Roman" w:cs="Times New Roman"/>
        </w:rPr>
      </w:pPr>
      <w:r>
        <w:rPr>
          <w:rFonts w:ascii="Times New Roman" w:hAnsi="Times New Roman" w:cs="Times New Roman"/>
        </w:rPr>
        <w:t>pMD.2G (plasmid encoding the vesicular stomatitis virus G envelope)</w:t>
      </w:r>
    </w:p>
    <w:p w14:paraId="4B396BC9" w14:textId="77777777" w:rsidR="00C92826" w:rsidRPr="00C92826" w:rsidRDefault="00CF7F94" w:rsidP="00C92826">
      <w:pPr>
        <w:pStyle w:val="ListParagraph"/>
        <w:numPr>
          <w:ilvl w:val="0"/>
          <w:numId w:val="4"/>
        </w:numPr>
        <w:autoSpaceDE w:val="0"/>
        <w:autoSpaceDN w:val="0"/>
        <w:adjustRightInd w:val="0"/>
        <w:jc w:val="both"/>
        <w:rPr>
          <w:rFonts w:ascii="Times New Roman" w:hAnsi="Times New Roman" w:cs="Times New Roman"/>
          <w:b/>
          <w:u w:val="single"/>
        </w:rPr>
      </w:pPr>
      <w:r>
        <w:rPr>
          <w:rFonts w:ascii="Times New Roman" w:hAnsi="Times New Roman" w:cs="Times New Roman"/>
        </w:rPr>
        <w:t>pRSV-Rev (plasmid encoding the rev protein of HIV-1)</w:t>
      </w:r>
    </w:p>
    <w:p w14:paraId="1BC6F3EA" w14:textId="77777777" w:rsidR="00C92826" w:rsidRPr="00EA3B9C" w:rsidRDefault="00C92826" w:rsidP="00C92826">
      <w:pPr>
        <w:autoSpaceDE w:val="0"/>
        <w:autoSpaceDN w:val="0"/>
        <w:adjustRightInd w:val="0"/>
        <w:jc w:val="both"/>
        <w:rPr>
          <w:rFonts w:ascii="Times New Roman" w:hAnsi="Times New Roman" w:cs="Times New Roman"/>
          <w:b/>
          <w:color w:val="FF0000"/>
          <w:u w:val="single"/>
        </w:rPr>
      </w:pPr>
    </w:p>
    <w:p w14:paraId="25A0578C" w14:textId="6F8AB50A" w:rsidR="00060A10" w:rsidRDefault="00C92826" w:rsidP="00060A10">
      <w:pPr>
        <w:autoSpaceDE w:val="0"/>
        <w:autoSpaceDN w:val="0"/>
        <w:adjustRightInd w:val="0"/>
        <w:spacing w:line="360" w:lineRule="auto"/>
        <w:jc w:val="both"/>
        <w:rPr>
          <w:rFonts w:ascii="Times New Roman" w:hAnsi="Times New Roman" w:cs="Times New Roman"/>
          <w:lang w:val="en-GB"/>
        </w:rPr>
      </w:pPr>
      <w:r w:rsidRPr="00EE7639">
        <w:rPr>
          <w:rFonts w:ascii="Times New Roman" w:hAnsi="Times New Roman" w:cs="Times New Roman"/>
          <w:b/>
        </w:rPr>
        <w:t>PEI</w:t>
      </w:r>
      <w:r w:rsidR="00EE7639">
        <w:rPr>
          <w:rFonts w:ascii="Times New Roman" w:hAnsi="Times New Roman" w:cs="Times New Roman"/>
          <w:b/>
        </w:rPr>
        <w:t xml:space="preserve"> (polyethylenimine)</w:t>
      </w:r>
      <w:r w:rsidR="009A3719">
        <w:rPr>
          <w:rFonts w:ascii="Times New Roman" w:hAnsi="Times New Roman" w:cs="Times New Roman"/>
          <w:b/>
        </w:rPr>
        <w:t xml:space="preserve"> </w:t>
      </w:r>
      <w:r w:rsidR="00060A10">
        <w:rPr>
          <w:rFonts w:ascii="Times New Roman" w:hAnsi="Times New Roman" w:cs="Times New Roman"/>
          <w:b/>
        </w:rPr>
        <w:t xml:space="preserve">                   </w:t>
      </w:r>
      <w:r w:rsidR="009A3719" w:rsidRPr="009A3719">
        <w:rPr>
          <w:rFonts w:ascii="Times New Roman" w:hAnsi="Times New Roman" w:cs="Times New Roman"/>
        </w:rPr>
        <w:t>1</w:t>
      </w:r>
      <w:r w:rsidR="009A3719" w:rsidRPr="009A3719">
        <w:rPr>
          <w:rFonts w:ascii="Times New Roman" w:hAnsi="Times New Roman" w:cs="Times New Roman"/>
          <w:lang w:val="en-GB"/>
        </w:rPr>
        <w:t xml:space="preserve">μg/μl </w:t>
      </w:r>
      <w:r w:rsidR="00060A10">
        <w:rPr>
          <w:rFonts w:ascii="Times New Roman" w:hAnsi="Times New Roman" w:cs="Times New Roman"/>
          <w:lang w:val="en-GB"/>
        </w:rPr>
        <w:t xml:space="preserve">PEI </w:t>
      </w:r>
      <w:r w:rsidR="00060A10">
        <w:rPr>
          <w:rFonts w:ascii="Times New Roman" w:hAnsi="Times New Roman" w:cs="Times New Roman"/>
        </w:rPr>
        <w:t>(</w:t>
      </w:r>
      <w:r w:rsidR="00060A10" w:rsidRPr="009A3719">
        <w:rPr>
          <w:rFonts w:ascii="Times New Roman" w:hAnsi="Times New Roman" w:cs="Times New Roman"/>
        </w:rPr>
        <w:t>Polysciences, Inc</w:t>
      </w:r>
      <w:r w:rsidR="00060A10">
        <w:rPr>
          <w:rFonts w:ascii="Times New Roman" w:hAnsi="Times New Roman" w:cs="Times New Roman"/>
        </w:rPr>
        <w:t xml:space="preserve">)   </w:t>
      </w:r>
    </w:p>
    <w:p w14:paraId="3A881CDE" w14:textId="147F69C1" w:rsidR="00C92826" w:rsidRPr="009A3719" w:rsidRDefault="00060A10" w:rsidP="00060A10">
      <w:pPr>
        <w:autoSpaceDE w:val="0"/>
        <w:autoSpaceDN w:val="0"/>
        <w:adjustRightInd w:val="0"/>
        <w:spacing w:line="360" w:lineRule="auto"/>
        <w:jc w:val="both"/>
        <w:rPr>
          <w:rFonts w:ascii="Times New Roman" w:hAnsi="Times New Roman" w:cs="Times New Roman"/>
          <w:lang w:val="en-GB"/>
        </w:rPr>
      </w:pPr>
      <w:r>
        <w:rPr>
          <w:rFonts w:ascii="Times New Roman" w:hAnsi="Times New Roman" w:cs="Times New Roman"/>
          <w:lang w:val="en-GB"/>
        </w:rPr>
        <w:t xml:space="preserve">                                                            In </w:t>
      </w:r>
      <w:r w:rsidR="009A3719" w:rsidRPr="009A3719">
        <w:rPr>
          <w:rFonts w:ascii="Times New Roman" w:hAnsi="Times New Roman" w:cs="Times New Roman"/>
          <w:lang w:val="en-GB"/>
        </w:rPr>
        <w:t>d</w:t>
      </w:r>
      <w:r>
        <w:rPr>
          <w:rFonts w:ascii="Times New Roman" w:hAnsi="Times New Roman" w:cs="Times New Roman"/>
          <w:lang w:val="en-GB"/>
        </w:rPr>
        <w:t>d</w:t>
      </w:r>
      <w:r w:rsidR="009A3719" w:rsidRPr="009A3719">
        <w:rPr>
          <w:rFonts w:ascii="Times New Roman" w:hAnsi="Times New Roman" w:cs="Times New Roman"/>
          <w:lang w:val="en-GB"/>
        </w:rPr>
        <w:t>H</w:t>
      </w:r>
      <w:r w:rsidR="009A3719" w:rsidRPr="009A3719">
        <w:rPr>
          <w:rFonts w:ascii="Times New Roman" w:hAnsi="Times New Roman" w:cs="Times New Roman"/>
          <w:vertAlign w:val="subscript"/>
          <w:lang w:val="en-GB"/>
        </w:rPr>
        <w:t>2</w:t>
      </w:r>
      <w:r>
        <w:rPr>
          <w:rFonts w:ascii="Times New Roman" w:hAnsi="Times New Roman" w:cs="Times New Roman"/>
          <w:lang w:val="en-GB"/>
        </w:rPr>
        <w:t>O</w:t>
      </w:r>
    </w:p>
    <w:p w14:paraId="287413DE" w14:textId="77777777" w:rsidR="00C92826" w:rsidRDefault="00C92826" w:rsidP="00C92826">
      <w:pPr>
        <w:autoSpaceDE w:val="0"/>
        <w:autoSpaceDN w:val="0"/>
        <w:adjustRightInd w:val="0"/>
        <w:jc w:val="both"/>
        <w:rPr>
          <w:rFonts w:ascii="Times New Roman" w:hAnsi="Times New Roman" w:cs="Times New Roman"/>
          <w:b/>
        </w:rPr>
      </w:pPr>
    </w:p>
    <w:p w14:paraId="12C847B8" w14:textId="77777777" w:rsidR="00C92826" w:rsidRDefault="00C92826" w:rsidP="00C92826">
      <w:pPr>
        <w:autoSpaceDE w:val="0"/>
        <w:autoSpaceDN w:val="0"/>
        <w:adjustRightInd w:val="0"/>
        <w:jc w:val="both"/>
        <w:rPr>
          <w:rFonts w:ascii="Times New Roman" w:hAnsi="Times New Roman" w:cs="Times New Roman"/>
          <w:b/>
          <w:u w:val="single"/>
        </w:rPr>
      </w:pPr>
    </w:p>
    <w:p w14:paraId="401EAF20" w14:textId="77777777" w:rsidR="00F84B8A" w:rsidRDefault="00F84B8A" w:rsidP="00F553A5">
      <w:pPr>
        <w:spacing w:line="360" w:lineRule="auto"/>
        <w:jc w:val="both"/>
        <w:rPr>
          <w:rFonts w:ascii="Times New Roman" w:hAnsi="Times New Roman" w:cs="Times New Roman"/>
          <w:b/>
          <w:u w:val="single"/>
          <w:lang w:val="en-GB"/>
        </w:rPr>
      </w:pPr>
    </w:p>
    <w:p w14:paraId="41328766" w14:textId="0078D993" w:rsidR="00087643" w:rsidRPr="00060A10" w:rsidRDefault="00060A10" w:rsidP="009A1D4C">
      <w:pPr>
        <w:pStyle w:val="Heading3"/>
        <w:rPr>
          <w:u w:val="single"/>
          <w:lang w:val="en-GB"/>
        </w:rPr>
      </w:pPr>
      <w:bookmarkStart w:id="678" w:name="_Toc328301124"/>
      <w:bookmarkStart w:id="679" w:name="_Toc329593418"/>
      <w:bookmarkStart w:id="680" w:name="_Toc331425917"/>
      <w:bookmarkStart w:id="681" w:name="_Toc331427098"/>
      <w:bookmarkStart w:id="682" w:name="_Toc331427470"/>
      <w:bookmarkStart w:id="683" w:name="_Toc331427612"/>
      <w:bookmarkStart w:id="684" w:name="_Toc332972615"/>
      <w:bookmarkStart w:id="685" w:name="_Toc333046894"/>
      <w:bookmarkStart w:id="686" w:name="_Toc333477241"/>
      <w:bookmarkStart w:id="687" w:name="_Toc333478011"/>
      <w:bookmarkStart w:id="688" w:name="_Toc333644911"/>
      <w:r w:rsidRPr="00060A10">
        <w:rPr>
          <w:u w:val="single"/>
          <w:lang w:val="en-GB"/>
        </w:rPr>
        <w:t>2.1.12</w:t>
      </w:r>
      <w:r w:rsidR="00460627" w:rsidRPr="00060A10">
        <w:rPr>
          <w:u w:val="single"/>
          <w:lang w:val="en-GB"/>
        </w:rPr>
        <w:t xml:space="preserve"> </w:t>
      </w:r>
      <w:r w:rsidR="00F553A5" w:rsidRPr="00060A10">
        <w:rPr>
          <w:u w:val="single"/>
          <w:lang w:val="en-GB"/>
        </w:rPr>
        <w:t xml:space="preserve"> </w:t>
      </w:r>
      <w:r w:rsidR="00E33DD9" w:rsidRPr="00060A10">
        <w:rPr>
          <w:u w:val="single"/>
          <w:lang w:val="en-GB"/>
        </w:rPr>
        <w:t>Glyco-blue™ Co</w:t>
      </w:r>
      <w:r w:rsidR="00F553A5" w:rsidRPr="00060A10">
        <w:rPr>
          <w:u w:val="single"/>
          <w:lang w:val="en-GB"/>
        </w:rPr>
        <w:t>-</w:t>
      </w:r>
      <w:r w:rsidR="00E33DD9" w:rsidRPr="00060A10">
        <w:rPr>
          <w:u w:val="single"/>
          <w:lang w:val="en-GB"/>
        </w:rPr>
        <w:t>precipitation</w:t>
      </w:r>
      <w:bookmarkEnd w:id="678"/>
      <w:bookmarkEnd w:id="679"/>
      <w:bookmarkEnd w:id="680"/>
      <w:bookmarkEnd w:id="681"/>
      <w:bookmarkEnd w:id="682"/>
      <w:bookmarkEnd w:id="683"/>
      <w:bookmarkEnd w:id="684"/>
      <w:bookmarkEnd w:id="685"/>
      <w:bookmarkEnd w:id="686"/>
      <w:bookmarkEnd w:id="687"/>
      <w:bookmarkEnd w:id="688"/>
      <w:r w:rsidR="00E33DD9" w:rsidRPr="00060A10">
        <w:rPr>
          <w:u w:val="single"/>
          <w:lang w:val="en-GB"/>
        </w:rPr>
        <w:t xml:space="preserve"> </w:t>
      </w:r>
    </w:p>
    <w:p w14:paraId="56D092A0" w14:textId="77777777" w:rsidR="00087643" w:rsidRDefault="00087643" w:rsidP="00F553A5">
      <w:pPr>
        <w:spacing w:line="360" w:lineRule="auto"/>
        <w:jc w:val="both"/>
        <w:rPr>
          <w:rFonts w:ascii="Times New Roman" w:hAnsi="Times New Roman" w:cs="Times New Roman"/>
          <w:b/>
          <w:lang w:val="en-GB"/>
        </w:rPr>
      </w:pPr>
    </w:p>
    <w:p w14:paraId="6C2F8D13" w14:textId="5210BCD9" w:rsidR="00E33DD9" w:rsidRPr="00F553A5" w:rsidRDefault="005A4F89" w:rsidP="00F553A5">
      <w:pPr>
        <w:spacing w:line="360" w:lineRule="auto"/>
        <w:jc w:val="both"/>
        <w:rPr>
          <w:rFonts w:ascii="Times New Roman" w:hAnsi="Times New Roman" w:cs="Times New Roman"/>
          <w:b/>
          <w:u w:val="single"/>
          <w:lang w:val="en-GB"/>
        </w:rPr>
      </w:pPr>
      <w:r>
        <w:rPr>
          <w:rFonts w:ascii="Times New Roman" w:hAnsi="Times New Roman" w:cs="Times New Roman"/>
          <w:lang w:val="en-GB"/>
        </w:rPr>
        <w:t>Purchased from Ambion, which was</w:t>
      </w:r>
      <w:r w:rsidR="002A6E99">
        <w:rPr>
          <w:rFonts w:ascii="Times New Roman" w:hAnsi="Times New Roman" w:cs="Times New Roman"/>
          <w:lang w:val="en-GB"/>
        </w:rPr>
        <w:t xml:space="preserve"> used as a visible co-precipitant for nucleic acids.</w:t>
      </w:r>
    </w:p>
    <w:p w14:paraId="0A0821FA" w14:textId="77777777" w:rsidR="00A618E5" w:rsidRPr="00A618E5" w:rsidRDefault="00A618E5" w:rsidP="0085074F">
      <w:pPr>
        <w:spacing w:line="360" w:lineRule="auto"/>
        <w:jc w:val="both"/>
        <w:rPr>
          <w:rFonts w:ascii="Times New Roman" w:hAnsi="Times New Roman" w:cs="Times New Roman"/>
          <w:b/>
          <w:u w:val="single"/>
          <w:lang w:val="en-GB"/>
        </w:rPr>
      </w:pPr>
    </w:p>
    <w:p w14:paraId="393A69F1" w14:textId="195AA0A0" w:rsidR="006A7A00" w:rsidRPr="00060A10" w:rsidRDefault="00060A10" w:rsidP="009A1D4C">
      <w:pPr>
        <w:pStyle w:val="Heading3"/>
        <w:rPr>
          <w:u w:val="single"/>
          <w:lang w:val="en-GB"/>
        </w:rPr>
      </w:pPr>
      <w:bookmarkStart w:id="689" w:name="_Toc328301125"/>
      <w:bookmarkStart w:id="690" w:name="_Toc329593419"/>
      <w:bookmarkStart w:id="691" w:name="_Toc331425918"/>
      <w:bookmarkStart w:id="692" w:name="_Toc331427099"/>
      <w:bookmarkStart w:id="693" w:name="_Toc331427471"/>
      <w:bookmarkStart w:id="694" w:name="_Toc331427613"/>
      <w:bookmarkStart w:id="695" w:name="_Toc332972616"/>
      <w:bookmarkStart w:id="696" w:name="_Toc333046895"/>
      <w:bookmarkStart w:id="697" w:name="_Toc333477242"/>
      <w:bookmarkStart w:id="698" w:name="_Toc333478012"/>
      <w:bookmarkStart w:id="699" w:name="_Toc333644912"/>
      <w:r w:rsidRPr="00060A10">
        <w:rPr>
          <w:u w:val="single"/>
          <w:lang w:val="en-GB"/>
        </w:rPr>
        <w:t>2.1.13</w:t>
      </w:r>
      <w:r w:rsidR="006A7A00" w:rsidRPr="00060A10">
        <w:rPr>
          <w:u w:val="single"/>
          <w:lang w:val="en-GB"/>
        </w:rPr>
        <w:t xml:space="preserve">  Materials used for Gene Expression Profiling</w:t>
      </w:r>
      <w:bookmarkEnd w:id="689"/>
      <w:bookmarkEnd w:id="690"/>
      <w:bookmarkEnd w:id="691"/>
      <w:bookmarkEnd w:id="692"/>
      <w:bookmarkEnd w:id="693"/>
      <w:bookmarkEnd w:id="694"/>
      <w:bookmarkEnd w:id="695"/>
      <w:bookmarkEnd w:id="696"/>
      <w:bookmarkEnd w:id="697"/>
      <w:bookmarkEnd w:id="698"/>
      <w:bookmarkEnd w:id="699"/>
    </w:p>
    <w:p w14:paraId="2638D6C5" w14:textId="77777777" w:rsidR="006A7A00" w:rsidRDefault="006A7A00" w:rsidP="0085074F">
      <w:pPr>
        <w:spacing w:line="360" w:lineRule="auto"/>
        <w:jc w:val="both"/>
        <w:rPr>
          <w:rFonts w:ascii="Times New Roman" w:hAnsi="Times New Roman" w:cs="Times New Roman"/>
          <w:b/>
          <w:u w:val="single"/>
          <w:lang w:val="en-GB"/>
        </w:rPr>
      </w:pPr>
    </w:p>
    <w:p w14:paraId="1B85E670" w14:textId="77777777" w:rsidR="00060A10" w:rsidRDefault="00836478" w:rsidP="0085074F">
      <w:pPr>
        <w:spacing w:line="360" w:lineRule="auto"/>
        <w:jc w:val="both"/>
        <w:rPr>
          <w:rFonts w:ascii="Times New Roman" w:hAnsi="Times New Roman" w:cs="Times New Roman"/>
          <w:lang w:val="en-GB"/>
        </w:rPr>
      </w:pPr>
      <w:r w:rsidRPr="006A7A00">
        <w:rPr>
          <w:rFonts w:ascii="Times New Roman" w:hAnsi="Times New Roman" w:cs="Times New Roman"/>
          <w:lang w:val="en-GB"/>
        </w:rPr>
        <w:t>GeneChip®</w:t>
      </w:r>
      <w:r w:rsidR="003A4D75">
        <w:rPr>
          <w:rFonts w:ascii="Times New Roman" w:hAnsi="Times New Roman" w:cs="Times New Roman"/>
          <w:lang w:val="en-GB"/>
        </w:rPr>
        <w:t xml:space="preserve"> WT PLUS Reagent Kit</w:t>
      </w:r>
      <w:r w:rsidRPr="006A7A00">
        <w:rPr>
          <w:rFonts w:ascii="Times New Roman" w:hAnsi="Times New Roman" w:cs="Times New Roman"/>
          <w:lang w:val="en-GB"/>
        </w:rPr>
        <w:t xml:space="preserve"> </w:t>
      </w:r>
      <w:r w:rsidR="00C471F9">
        <w:rPr>
          <w:rFonts w:ascii="Times New Roman" w:hAnsi="Times New Roman" w:cs="Times New Roman"/>
          <w:lang w:val="en-GB"/>
        </w:rPr>
        <w:t xml:space="preserve">and </w:t>
      </w:r>
      <w:r w:rsidRPr="006A7A00">
        <w:rPr>
          <w:rFonts w:ascii="Times New Roman" w:hAnsi="Times New Roman" w:cs="Times New Roman"/>
          <w:lang w:val="en-GB"/>
        </w:rPr>
        <w:t>Whole Transcript 100-Format Array</w:t>
      </w:r>
      <w:r w:rsidR="00060A10">
        <w:rPr>
          <w:rFonts w:ascii="Times New Roman" w:hAnsi="Times New Roman" w:cs="Times New Roman"/>
          <w:lang w:val="en-GB"/>
        </w:rPr>
        <w:t xml:space="preserve"> (Affymetrix)</w:t>
      </w:r>
    </w:p>
    <w:p w14:paraId="0F38C8AF" w14:textId="78B57E8B" w:rsidR="00060A10" w:rsidRDefault="00060A10"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First-strand enzyme and first-strand buffer</w:t>
      </w:r>
    </w:p>
    <w:p w14:paraId="329473DD" w14:textId="68D94E01" w:rsidR="00060A10" w:rsidRDefault="00060A10"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Second-strand enzyme and second-strand buffer</w:t>
      </w:r>
    </w:p>
    <w:p w14:paraId="7129F5C7" w14:textId="77777777" w:rsidR="00060A10" w:rsidRDefault="00C471F9"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060A10">
        <w:rPr>
          <w:rFonts w:ascii="Times New Roman" w:hAnsi="Times New Roman" w:cs="Times New Roman"/>
          <w:lang w:val="en-GB"/>
        </w:rPr>
        <w:t xml:space="preserve">                                                           IVT enzyme and IVT buffer</w:t>
      </w:r>
    </w:p>
    <w:p w14:paraId="15BB9491" w14:textId="77777777" w:rsidR="00060A10" w:rsidRDefault="00060A10"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C471F9">
        <w:rPr>
          <w:rFonts w:ascii="Times New Roman" w:hAnsi="Times New Roman" w:cs="Times New Roman"/>
          <w:lang w:val="en-GB"/>
        </w:rPr>
        <w:t>Cont</w:t>
      </w:r>
      <w:r>
        <w:rPr>
          <w:rFonts w:ascii="Times New Roman" w:hAnsi="Times New Roman" w:cs="Times New Roman"/>
          <w:lang w:val="en-GB"/>
        </w:rPr>
        <w:t>rol RNA (1mg/ml HeLa total RNA)</w:t>
      </w:r>
    </w:p>
    <w:p w14:paraId="5C68617A" w14:textId="77777777" w:rsidR="00060A10" w:rsidRDefault="00060A10"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C471F9">
        <w:rPr>
          <w:rFonts w:ascii="Times New Roman" w:hAnsi="Times New Roman" w:cs="Times New Roman"/>
          <w:lang w:val="en-GB"/>
        </w:rPr>
        <w:t xml:space="preserve"> 2</w:t>
      </w:r>
      <w:r w:rsidR="00C471F9" w:rsidRPr="00C471F9">
        <w:rPr>
          <w:rFonts w:ascii="Times New Roman" w:hAnsi="Times New Roman" w:cs="Times New Roman"/>
          <w:vertAlign w:val="superscript"/>
          <w:lang w:val="en-GB"/>
        </w:rPr>
        <w:t>nd</w:t>
      </w:r>
      <w:r>
        <w:rPr>
          <w:rFonts w:ascii="Times New Roman" w:hAnsi="Times New Roman" w:cs="Times New Roman"/>
          <w:lang w:val="en-GB"/>
        </w:rPr>
        <w:t>-Cycle Primers</w:t>
      </w:r>
    </w:p>
    <w:p w14:paraId="775DE926" w14:textId="77777777" w:rsidR="00060A10" w:rsidRDefault="00060A10"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C471F9">
        <w:rPr>
          <w:rFonts w:ascii="Times New Roman" w:hAnsi="Times New Roman" w:cs="Times New Roman"/>
          <w:lang w:val="en-GB"/>
        </w:rPr>
        <w:t xml:space="preserve"> 2</w:t>
      </w:r>
      <w:r w:rsidR="00C471F9" w:rsidRPr="00C471F9">
        <w:rPr>
          <w:rFonts w:ascii="Times New Roman" w:hAnsi="Times New Roman" w:cs="Times New Roman"/>
          <w:vertAlign w:val="superscript"/>
          <w:lang w:val="en-GB"/>
        </w:rPr>
        <w:t>nd</w:t>
      </w:r>
      <w:r>
        <w:rPr>
          <w:rFonts w:ascii="Times New Roman" w:hAnsi="Times New Roman" w:cs="Times New Roman"/>
          <w:lang w:val="en-GB"/>
        </w:rPr>
        <w:t>-Cycle ss-cDNA Enzyme</w:t>
      </w:r>
    </w:p>
    <w:p w14:paraId="56593FC9" w14:textId="77777777" w:rsidR="00060A10" w:rsidRDefault="00060A10"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C471F9">
        <w:rPr>
          <w:rFonts w:ascii="Times New Roman" w:hAnsi="Times New Roman" w:cs="Times New Roman"/>
          <w:lang w:val="en-GB"/>
        </w:rPr>
        <w:t xml:space="preserve"> 2</w:t>
      </w:r>
      <w:r w:rsidR="00C471F9" w:rsidRPr="00C471F9">
        <w:rPr>
          <w:rFonts w:ascii="Times New Roman" w:hAnsi="Times New Roman" w:cs="Times New Roman"/>
          <w:vertAlign w:val="superscript"/>
          <w:lang w:val="en-GB"/>
        </w:rPr>
        <w:t>nd</w:t>
      </w:r>
      <w:r>
        <w:rPr>
          <w:rFonts w:ascii="Times New Roman" w:hAnsi="Times New Roman" w:cs="Times New Roman"/>
          <w:lang w:val="en-GB"/>
        </w:rPr>
        <w:t>-Cycle ss-cDNA Buffer</w:t>
      </w:r>
    </w:p>
    <w:p w14:paraId="206CA6E1" w14:textId="77777777" w:rsidR="00060A10" w:rsidRDefault="00060A10"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C471F9">
        <w:rPr>
          <w:rFonts w:ascii="Times New Roman" w:hAnsi="Times New Roman" w:cs="Times New Roman"/>
          <w:lang w:val="en-GB"/>
        </w:rPr>
        <w:t xml:space="preserve"> RNase </w:t>
      </w:r>
      <w:r>
        <w:rPr>
          <w:rFonts w:ascii="Times New Roman" w:hAnsi="Times New Roman" w:cs="Times New Roman"/>
          <w:lang w:val="en-GB"/>
        </w:rPr>
        <w:t>H</w:t>
      </w:r>
    </w:p>
    <w:p w14:paraId="59B4D487" w14:textId="77777777" w:rsidR="00060A10" w:rsidRDefault="00060A10"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nuclease-free water</w:t>
      </w:r>
    </w:p>
    <w:p w14:paraId="5E589C70" w14:textId="77777777" w:rsidR="00060A10" w:rsidRDefault="00060A10"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magnetic purification beans</w:t>
      </w:r>
    </w:p>
    <w:p w14:paraId="5C3CC9C2" w14:textId="77777777" w:rsidR="00060A10" w:rsidRDefault="00060A10"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Poly-A control stock</w:t>
      </w:r>
    </w:p>
    <w:p w14:paraId="28EA8B4B" w14:textId="77777777" w:rsidR="00060A10" w:rsidRDefault="00060A10"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Poly-A control dilution buffer</w:t>
      </w:r>
    </w:p>
    <w:p w14:paraId="6D2CF3AA" w14:textId="77777777" w:rsidR="001F7A64" w:rsidRDefault="00060A10"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1F7A64">
        <w:rPr>
          <w:rFonts w:ascii="Times New Roman" w:hAnsi="Times New Roman" w:cs="Times New Roman"/>
          <w:lang w:val="en-GB"/>
        </w:rPr>
        <w:t xml:space="preserve"> </w:t>
      </w:r>
      <w:r w:rsidR="00C471F9">
        <w:rPr>
          <w:rFonts w:ascii="Times New Roman" w:hAnsi="Times New Roman" w:cs="Times New Roman"/>
          <w:lang w:val="en-GB"/>
        </w:rPr>
        <w:t xml:space="preserve"> </w:t>
      </w:r>
      <w:r w:rsidR="001F7A64">
        <w:rPr>
          <w:rFonts w:ascii="Times New Roman" w:hAnsi="Times New Roman" w:cs="Times New Roman"/>
          <w:lang w:val="en-GB"/>
        </w:rPr>
        <w:t>10x cDNA fragmentation buffer</w:t>
      </w:r>
    </w:p>
    <w:p w14:paraId="14D8CCB6" w14:textId="77777777" w:rsidR="001F7A64" w:rsidRDefault="001F7A64"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UDG (10U/μl)</w:t>
      </w:r>
    </w:p>
    <w:p w14:paraId="281EE606" w14:textId="77777777" w:rsidR="001F7A64" w:rsidRDefault="001F7A64"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APE 1, 1000U/μL</w:t>
      </w:r>
    </w:p>
    <w:p w14:paraId="5191E731" w14:textId="77777777" w:rsidR="001F7A64" w:rsidRDefault="001F7A64"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5x TdT Buffer</w:t>
      </w:r>
    </w:p>
    <w:p w14:paraId="373B900A" w14:textId="77777777" w:rsidR="001F7A64" w:rsidRDefault="001F7A64"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TdT, 30U/μl</w:t>
      </w:r>
    </w:p>
    <w:p w14:paraId="499D56E0" w14:textId="77777777" w:rsidR="001F7A64" w:rsidRDefault="001F7A64"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5mM</w:t>
      </w:r>
      <w:r w:rsidR="00CB6F33">
        <w:rPr>
          <w:rFonts w:ascii="Times New Roman" w:hAnsi="Times New Roman" w:cs="Times New Roman"/>
          <w:lang w:val="en-GB"/>
        </w:rPr>
        <w:t xml:space="preserve"> DNA labelling reagent</w:t>
      </w:r>
    </w:p>
    <w:p w14:paraId="3B3A81C0" w14:textId="77777777" w:rsidR="001F7A64" w:rsidRDefault="001F7A64"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20 x Hybridisation controls</w:t>
      </w:r>
    </w:p>
    <w:p w14:paraId="4B78DF49" w14:textId="77777777" w:rsidR="001F7A64" w:rsidRDefault="001F7A64"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855A1C">
        <w:rPr>
          <w:rFonts w:ascii="Times New Roman" w:hAnsi="Times New Roman" w:cs="Times New Roman"/>
          <w:lang w:val="en-GB"/>
        </w:rPr>
        <w:t xml:space="preserve"> 3nM control Oligo B2</w:t>
      </w:r>
    </w:p>
    <w:p w14:paraId="01EEB2F9" w14:textId="77777777" w:rsidR="001F7A64" w:rsidRDefault="001F7A64" w:rsidP="0085074F">
      <w:pPr>
        <w:spacing w:line="360" w:lineRule="auto"/>
        <w:jc w:val="both"/>
        <w:rPr>
          <w:rFonts w:ascii="Times New Roman" w:hAnsi="Times New Roman" w:cs="Times New Roman"/>
          <w:lang w:val="en-GB"/>
        </w:rPr>
      </w:pPr>
    </w:p>
    <w:p w14:paraId="741D4172" w14:textId="77777777" w:rsidR="001F7A64" w:rsidRDefault="00EF5B35" w:rsidP="0085074F">
      <w:pPr>
        <w:spacing w:line="360" w:lineRule="auto"/>
        <w:jc w:val="both"/>
        <w:rPr>
          <w:rFonts w:ascii="Times New Roman" w:hAnsi="Times New Roman" w:cs="Times New Roman"/>
          <w:lang w:val="en-GB"/>
        </w:rPr>
      </w:pPr>
      <w:r w:rsidRPr="006A7A00">
        <w:rPr>
          <w:rFonts w:ascii="Times New Roman" w:hAnsi="Times New Roman" w:cs="Times New Roman"/>
          <w:lang w:val="en-GB"/>
        </w:rPr>
        <w:t>GeneChip®</w:t>
      </w:r>
      <w:r>
        <w:rPr>
          <w:rFonts w:ascii="Times New Roman" w:hAnsi="Times New Roman" w:cs="Times New Roman"/>
          <w:lang w:val="en-GB"/>
        </w:rPr>
        <w:t xml:space="preserve"> Hybridisation, Wash and Stain Kit </w:t>
      </w:r>
    </w:p>
    <w:p w14:paraId="2C706864" w14:textId="77777777" w:rsidR="001F7A64" w:rsidRDefault="001F7A64" w:rsidP="0085074F">
      <w:pPr>
        <w:spacing w:line="360" w:lineRule="auto"/>
        <w:jc w:val="both"/>
        <w:rPr>
          <w:rFonts w:ascii="Times New Roman" w:hAnsi="Times New Roman" w:cs="Times New Roman"/>
          <w:lang w:val="en-GB"/>
        </w:rPr>
      </w:pPr>
    </w:p>
    <w:p w14:paraId="4D4E45BB" w14:textId="7FC21643" w:rsidR="001F7A64" w:rsidRDefault="00EF5B35" w:rsidP="0085074F">
      <w:pPr>
        <w:spacing w:line="360" w:lineRule="auto"/>
        <w:jc w:val="both"/>
        <w:rPr>
          <w:rFonts w:ascii="Times New Roman" w:hAnsi="Times New Roman" w:cs="Times New Roman"/>
          <w:lang w:val="en-GB"/>
        </w:rPr>
      </w:pPr>
      <w:r>
        <w:rPr>
          <w:rFonts w:ascii="Times New Roman" w:hAnsi="Times New Roman" w:cs="Times New Roman"/>
          <w:lang w:val="en-GB"/>
        </w:rPr>
        <w:t>This</w:t>
      </w:r>
      <w:r w:rsidR="001F7A64">
        <w:rPr>
          <w:rFonts w:ascii="Times New Roman" w:hAnsi="Times New Roman" w:cs="Times New Roman"/>
          <w:lang w:val="en-GB"/>
        </w:rPr>
        <w:t xml:space="preserve"> kit contained:                             Pre-hybridisation mix</w:t>
      </w:r>
    </w:p>
    <w:p w14:paraId="608AEC5D" w14:textId="77777777" w:rsidR="001F7A64" w:rsidRDefault="00D53B0C"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1F7A64">
        <w:rPr>
          <w:rFonts w:ascii="Times New Roman" w:hAnsi="Times New Roman" w:cs="Times New Roman"/>
          <w:lang w:val="en-GB"/>
        </w:rPr>
        <w:t xml:space="preserve">                                                          2x Hybridisation mix</w:t>
      </w:r>
    </w:p>
    <w:p w14:paraId="6510A24E" w14:textId="77777777" w:rsidR="001F7A64" w:rsidRDefault="001F7A64"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DMSO</w:t>
      </w:r>
    </w:p>
    <w:p w14:paraId="54B55D62" w14:textId="77777777" w:rsidR="001F7A64" w:rsidRDefault="001F7A64"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Nuclease-free water</w:t>
      </w:r>
    </w:p>
    <w:p w14:paraId="3862381A" w14:textId="77777777" w:rsidR="001F7A64" w:rsidRDefault="001F7A64"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stain module</w:t>
      </w:r>
    </w:p>
    <w:p w14:paraId="5A9BB90B" w14:textId="77777777" w:rsidR="001F7A64" w:rsidRDefault="001F7A64"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stain cocktail 1 and 2</w:t>
      </w:r>
    </w:p>
    <w:p w14:paraId="14495600" w14:textId="77777777" w:rsidR="001F7A64" w:rsidRDefault="001F7A64"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D53B0C">
        <w:rPr>
          <w:rFonts w:ascii="Times New Roman" w:hAnsi="Times New Roman" w:cs="Times New Roman"/>
          <w:lang w:val="en-GB"/>
        </w:rPr>
        <w:t xml:space="preserve"> array holding buffer, wash buffer A and B.</w:t>
      </w:r>
    </w:p>
    <w:p w14:paraId="24C55E15" w14:textId="77777777" w:rsidR="001F7A64" w:rsidRDefault="001F7A64" w:rsidP="0085074F">
      <w:pPr>
        <w:spacing w:line="360" w:lineRule="auto"/>
        <w:jc w:val="both"/>
        <w:rPr>
          <w:rFonts w:ascii="Times New Roman" w:hAnsi="Times New Roman" w:cs="Times New Roman"/>
          <w:lang w:val="en-GB"/>
        </w:rPr>
      </w:pPr>
    </w:p>
    <w:p w14:paraId="5B5DF97A" w14:textId="25BD30B8" w:rsidR="001F7A64" w:rsidRDefault="001F7A64" w:rsidP="0085074F">
      <w:pPr>
        <w:spacing w:line="360" w:lineRule="auto"/>
        <w:jc w:val="both"/>
        <w:rPr>
          <w:rFonts w:ascii="Times New Roman" w:hAnsi="Times New Roman" w:cs="Times New Roman"/>
        </w:rPr>
      </w:pPr>
      <w:r>
        <w:rPr>
          <w:rFonts w:ascii="Times New Roman" w:hAnsi="Times New Roman" w:cs="Times New Roman"/>
          <w:lang w:val="en-GB"/>
        </w:rPr>
        <w:t>G</w:t>
      </w:r>
      <w:r w:rsidR="00D53B0C">
        <w:rPr>
          <w:rFonts w:ascii="Times New Roman" w:hAnsi="Times New Roman" w:cs="Times New Roman"/>
          <w:lang w:val="en-GB"/>
        </w:rPr>
        <w:t>el-shift assay</w:t>
      </w:r>
      <w:r>
        <w:rPr>
          <w:rFonts w:ascii="Times New Roman" w:hAnsi="Times New Roman" w:cs="Times New Roman"/>
          <w:lang w:val="en-GB"/>
        </w:rPr>
        <w:t xml:space="preserve">                           </w:t>
      </w:r>
      <w:r w:rsidR="00D53B0C">
        <w:rPr>
          <w:rFonts w:ascii="Times New Roman" w:hAnsi="Times New Roman" w:cs="Times New Roman"/>
          <w:lang w:val="en-GB"/>
        </w:rPr>
        <w:t xml:space="preserve"> </w:t>
      </w:r>
      <w:r>
        <w:rPr>
          <w:rFonts w:ascii="Times New Roman" w:hAnsi="Times New Roman" w:cs="Times New Roman"/>
          <w:lang w:val="en-GB"/>
        </w:rPr>
        <w:t xml:space="preserve">       </w:t>
      </w:r>
      <w:r w:rsidR="00D53B0C" w:rsidRPr="00D53B0C">
        <w:rPr>
          <w:rFonts w:ascii="Times New Roman" w:hAnsi="Times New Roman" w:cs="Times New Roman"/>
        </w:rPr>
        <w:t>Affymetrix® Ltd. 5 X Nove</w:t>
      </w:r>
      <w:r>
        <w:rPr>
          <w:rFonts w:ascii="Times New Roman" w:hAnsi="Times New Roman" w:cs="Times New Roman"/>
        </w:rPr>
        <w:t xml:space="preserve">x® Hi-Density TBE  </w:t>
      </w:r>
    </w:p>
    <w:p w14:paraId="6602B86A" w14:textId="1F71D233" w:rsidR="001F7A64" w:rsidRPr="001F7A64" w:rsidRDefault="001F7A64" w:rsidP="0085074F">
      <w:pPr>
        <w:spacing w:line="360" w:lineRule="auto"/>
        <w:jc w:val="both"/>
        <w:rPr>
          <w:rFonts w:ascii="Times New Roman" w:hAnsi="Times New Roman" w:cs="Times New Roman"/>
        </w:rPr>
      </w:pPr>
      <w:r>
        <w:rPr>
          <w:rFonts w:ascii="Times New Roman" w:hAnsi="Times New Roman" w:cs="Times New Roman"/>
        </w:rPr>
        <w:t xml:space="preserve">                                                           sample buffer (Life Technologies)</w:t>
      </w:r>
    </w:p>
    <w:p w14:paraId="74AE485F" w14:textId="77777777" w:rsidR="001F7A64" w:rsidRDefault="00D53B0C" w:rsidP="0085074F">
      <w:pPr>
        <w:spacing w:line="360" w:lineRule="auto"/>
        <w:jc w:val="both"/>
        <w:rPr>
          <w:rFonts w:ascii="Times New Roman" w:hAnsi="Times New Roman" w:cs="Times New Roman"/>
        </w:rPr>
      </w:pPr>
      <w:r w:rsidRPr="00D53B0C">
        <w:rPr>
          <w:rFonts w:ascii="Times New Roman" w:hAnsi="Times New Roman" w:cs="Times New Roman"/>
        </w:rPr>
        <w:t xml:space="preserve"> </w:t>
      </w:r>
      <w:r w:rsidR="001F7A64">
        <w:rPr>
          <w:rFonts w:ascii="Times New Roman" w:hAnsi="Times New Roman" w:cs="Times New Roman"/>
        </w:rPr>
        <w:t xml:space="preserve">                                                          </w:t>
      </w:r>
      <w:r w:rsidRPr="00D53B0C">
        <w:rPr>
          <w:rFonts w:ascii="Times New Roman" w:hAnsi="Times New Roman" w:cs="Times New Roman"/>
        </w:rPr>
        <w:t>4-20 % TBE Gel, 1.0 mm</w:t>
      </w:r>
      <w:r w:rsidR="001F7A64">
        <w:rPr>
          <w:rFonts w:ascii="Times New Roman" w:hAnsi="Times New Roman" w:cs="Times New Roman"/>
        </w:rPr>
        <w:t xml:space="preserve"> (Life Technologies)</w:t>
      </w:r>
    </w:p>
    <w:p w14:paraId="1A1D8515" w14:textId="0AEE3C74" w:rsidR="00C471F9" w:rsidRPr="001F7A64" w:rsidRDefault="007F4DEF" w:rsidP="0085074F">
      <w:pPr>
        <w:spacing w:line="360" w:lineRule="auto"/>
        <w:jc w:val="both"/>
        <w:rPr>
          <w:rFonts w:ascii="Times New Roman" w:hAnsi="Times New Roman" w:cs="Times New Roman"/>
          <w:lang w:val="en-GB"/>
        </w:rPr>
      </w:pPr>
      <w:r>
        <w:rPr>
          <w:rFonts w:ascii="Times New Roman" w:hAnsi="Times New Roman" w:cs="Times New Roman"/>
        </w:rPr>
        <w:t xml:space="preserve"> </w:t>
      </w:r>
      <w:r w:rsidR="001F7A64">
        <w:rPr>
          <w:rFonts w:ascii="Times New Roman" w:hAnsi="Times New Roman" w:cs="Times New Roman"/>
        </w:rPr>
        <w:t xml:space="preserve">                                                         </w:t>
      </w:r>
      <w:r w:rsidR="003D623A">
        <w:rPr>
          <w:rFonts w:ascii="Times New Roman" w:hAnsi="Times New Roman" w:cs="Times New Roman"/>
        </w:rPr>
        <w:t xml:space="preserve"> </w:t>
      </w:r>
      <w:r w:rsidR="00D53B0C" w:rsidRPr="00D53B0C">
        <w:rPr>
          <w:rFonts w:ascii="Times New Roman" w:hAnsi="Times New Roman" w:cs="Times New Roman"/>
        </w:rPr>
        <w:t xml:space="preserve">10 mg/mL NeutrAvidin </w:t>
      </w:r>
      <w:r w:rsidR="001F7A64">
        <w:rPr>
          <w:rFonts w:ascii="Times New Roman" w:hAnsi="Times New Roman" w:cs="Times New Roman"/>
        </w:rPr>
        <w:t>(Thermo Scientific)</w:t>
      </w:r>
    </w:p>
    <w:p w14:paraId="19118390" w14:textId="77777777" w:rsidR="009B685D" w:rsidRPr="004E4CE3" w:rsidRDefault="009B685D" w:rsidP="0085074F">
      <w:pPr>
        <w:spacing w:line="360" w:lineRule="auto"/>
        <w:jc w:val="both"/>
        <w:rPr>
          <w:rFonts w:ascii="Times New Roman" w:hAnsi="Times New Roman" w:cs="Times New Roman"/>
          <w:lang w:val="en-GB"/>
        </w:rPr>
      </w:pPr>
    </w:p>
    <w:p w14:paraId="3F6A4DE4" w14:textId="7F223BA2" w:rsidR="00D01519" w:rsidRDefault="003A4D75" w:rsidP="0085074F">
      <w:pPr>
        <w:spacing w:line="360" w:lineRule="auto"/>
        <w:jc w:val="both"/>
        <w:rPr>
          <w:rFonts w:ascii="Times New Roman" w:hAnsi="Times New Roman" w:cs="Times New Roman"/>
          <w:b/>
          <w:lang w:val="en-GB"/>
        </w:rPr>
      </w:pPr>
      <w:r>
        <w:rPr>
          <w:rFonts w:ascii="Times New Roman" w:hAnsi="Times New Roman" w:cs="Times New Roman"/>
          <w:b/>
          <w:lang w:val="en-GB"/>
        </w:rPr>
        <w:t>Instrumentation</w:t>
      </w:r>
      <w:r w:rsidR="00C471F9">
        <w:rPr>
          <w:rFonts w:ascii="Times New Roman" w:hAnsi="Times New Roman" w:cs="Times New Roman"/>
          <w:b/>
          <w:lang w:val="en-GB"/>
        </w:rPr>
        <w:t xml:space="preserve"> and Software</w:t>
      </w:r>
    </w:p>
    <w:p w14:paraId="0E835F98" w14:textId="58291F21" w:rsidR="001F7A64" w:rsidRDefault="001F7A64"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3D623A">
        <w:rPr>
          <w:rFonts w:ascii="Times New Roman" w:hAnsi="Times New Roman" w:cs="Times New Roman"/>
          <w:lang w:val="en-GB"/>
        </w:rPr>
        <w:t xml:space="preserve"> </w:t>
      </w:r>
      <w:r w:rsidR="003A4D75" w:rsidRPr="006A7A00">
        <w:rPr>
          <w:rFonts w:ascii="Times New Roman" w:hAnsi="Times New Roman" w:cs="Times New Roman"/>
          <w:lang w:val="en-GB"/>
        </w:rPr>
        <w:t>GeneChip®</w:t>
      </w:r>
      <w:r>
        <w:rPr>
          <w:rFonts w:ascii="Times New Roman" w:hAnsi="Times New Roman" w:cs="Times New Roman"/>
          <w:lang w:val="en-GB"/>
        </w:rPr>
        <w:t xml:space="preserve"> Scanner 3000</w:t>
      </w:r>
    </w:p>
    <w:p w14:paraId="7325FC18" w14:textId="3C9C1738" w:rsidR="001F7A64" w:rsidRDefault="001F7A64"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3D623A">
        <w:rPr>
          <w:rFonts w:ascii="Times New Roman" w:hAnsi="Times New Roman" w:cs="Times New Roman"/>
          <w:lang w:val="en-GB"/>
        </w:rPr>
        <w:t xml:space="preserve"> </w:t>
      </w:r>
      <w:r w:rsidR="003A4D75">
        <w:rPr>
          <w:rFonts w:ascii="Times New Roman" w:hAnsi="Times New Roman" w:cs="Times New Roman"/>
          <w:lang w:val="en-GB"/>
        </w:rPr>
        <w:t xml:space="preserve"> </w:t>
      </w:r>
      <w:r w:rsidR="003A4D75" w:rsidRPr="006A7A00">
        <w:rPr>
          <w:rFonts w:ascii="Times New Roman" w:hAnsi="Times New Roman" w:cs="Times New Roman"/>
          <w:lang w:val="en-GB"/>
        </w:rPr>
        <w:t>GeneChip®</w:t>
      </w:r>
      <w:r>
        <w:rPr>
          <w:rFonts w:ascii="Times New Roman" w:hAnsi="Times New Roman" w:cs="Times New Roman"/>
          <w:lang w:val="en-GB"/>
        </w:rPr>
        <w:t xml:space="preserve"> Fluidics Station 450</w:t>
      </w:r>
    </w:p>
    <w:p w14:paraId="06015887" w14:textId="4B339E34" w:rsidR="001F7A64" w:rsidRDefault="001F7A64"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3D623A">
        <w:rPr>
          <w:rFonts w:ascii="Times New Roman" w:hAnsi="Times New Roman" w:cs="Times New Roman"/>
          <w:lang w:val="en-GB"/>
        </w:rPr>
        <w:t xml:space="preserve"> </w:t>
      </w:r>
      <w:r w:rsidR="003A4D75">
        <w:rPr>
          <w:rFonts w:ascii="Times New Roman" w:hAnsi="Times New Roman" w:cs="Times New Roman"/>
          <w:lang w:val="en-GB"/>
        </w:rPr>
        <w:t xml:space="preserve"> </w:t>
      </w:r>
      <w:r w:rsidR="003A4D75" w:rsidRPr="006A7A00">
        <w:rPr>
          <w:rFonts w:ascii="Times New Roman" w:hAnsi="Times New Roman" w:cs="Times New Roman"/>
          <w:lang w:val="en-GB"/>
        </w:rPr>
        <w:t>GeneChip®</w:t>
      </w:r>
      <w:r w:rsidR="003A4D75">
        <w:rPr>
          <w:rFonts w:ascii="Times New Roman" w:hAnsi="Times New Roman" w:cs="Times New Roman"/>
          <w:lang w:val="en-GB"/>
        </w:rPr>
        <w:t xml:space="preserve"> Comman Console Software and </w:t>
      </w:r>
      <w:r>
        <w:rPr>
          <w:rFonts w:ascii="Times New Roman" w:hAnsi="Times New Roman" w:cs="Times New Roman"/>
          <w:lang w:val="en-GB"/>
        </w:rPr>
        <w:t xml:space="preserve">               </w:t>
      </w:r>
    </w:p>
    <w:p w14:paraId="727F2DE4" w14:textId="16490916" w:rsidR="001F7A64" w:rsidRDefault="001F7A64"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3D623A">
        <w:rPr>
          <w:rFonts w:ascii="Times New Roman" w:hAnsi="Times New Roman" w:cs="Times New Roman"/>
          <w:lang w:val="en-GB"/>
        </w:rPr>
        <w:t xml:space="preserve"> </w:t>
      </w:r>
      <w:r>
        <w:rPr>
          <w:rFonts w:ascii="Times New Roman" w:hAnsi="Times New Roman" w:cs="Times New Roman"/>
          <w:lang w:val="en-GB"/>
        </w:rPr>
        <w:t>Affymetrix® Expression Console</w:t>
      </w:r>
    </w:p>
    <w:p w14:paraId="5C878883" w14:textId="4C468F5A" w:rsidR="001F7A64" w:rsidRDefault="001F7A64"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3A4D75">
        <w:rPr>
          <w:rFonts w:ascii="Times New Roman" w:hAnsi="Times New Roman" w:cs="Times New Roman"/>
          <w:lang w:val="en-GB"/>
        </w:rPr>
        <w:t xml:space="preserve">Affymetrix® Transcriptomics Analysis Console </w:t>
      </w:r>
    </w:p>
    <w:p w14:paraId="7F9F3167" w14:textId="49F6579F" w:rsidR="001F7A64" w:rsidRDefault="001F7A64"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3A4D75">
        <w:rPr>
          <w:rFonts w:ascii="Times New Roman" w:hAnsi="Times New Roman" w:cs="Times New Roman"/>
          <w:lang w:val="en-GB"/>
        </w:rPr>
        <w:t xml:space="preserve">(TAC) </w:t>
      </w:r>
      <w:r>
        <w:rPr>
          <w:rFonts w:ascii="Times New Roman" w:hAnsi="Times New Roman" w:cs="Times New Roman"/>
          <w:lang w:val="en-GB"/>
        </w:rPr>
        <w:t>(</w:t>
      </w:r>
      <w:r w:rsidR="003A4D75">
        <w:rPr>
          <w:rFonts w:ascii="Times New Roman" w:hAnsi="Times New Roman" w:cs="Times New Roman"/>
          <w:lang w:val="en-GB"/>
        </w:rPr>
        <w:t xml:space="preserve">Software, all purchased from Affymetrix® </w:t>
      </w:r>
      <w:r>
        <w:rPr>
          <w:rFonts w:ascii="Times New Roman" w:hAnsi="Times New Roman" w:cs="Times New Roman"/>
          <w:lang w:val="en-GB"/>
        </w:rPr>
        <w:t xml:space="preserve"> </w:t>
      </w:r>
    </w:p>
    <w:p w14:paraId="7F709F7D" w14:textId="0A8C4622" w:rsidR="001F7A64" w:rsidRDefault="001F7A64"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3A4D75">
        <w:rPr>
          <w:rFonts w:ascii="Times New Roman" w:hAnsi="Times New Roman" w:cs="Times New Roman"/>
          <w:lang w:val="en-GB"/>
        </w:rPr>
        <w:t>Ltd</w:t>
      </w:r>
      <w:r>
        <w:rPr>
          <w:rFonts w:ascii="Times New Roman" w:hAnsi="Times New Roman" w:cs="Times New Roman"/>
          <w:lang w:val="en-GB"/>
        </w:rPr>
        <w:t>)</w:t>
      </w:r>
    </w:p>
    <w:p w14:paraId="0EB8C2B0" w14:textId="77777777" w:rsidR="001F7A64" w:rsidRDefault="001F7A64" w:rsidP="0085074F">
      <w:pPr>
        <w:spacing w:line="360" w:lineRule="auto"/>
        <w:jc w:val="both"/>
        <w:rPr>
          <w:rFonts w:ascii="Times New Roman" w:hAnsi="Times New Roman" w:cs="Times New Roman"/>
          <w:lang w:val="en-GB"/>
        </w:rPr>
      </w:pPr>
    </w:p>
    <w:p w14:paraId="5B7A6D7E" w14:textId="77777777" w:rsidR="001F7A64" w:rsidRDefault="001F7A64"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2D0018">
        <w:rPr>
          <w:rFonts w:ascii="Times New Roman" w:hAnsi="Times New Roman" w:cs="Times New Roman"/>
          <w:lang w:val="en-GB"/>
        </w:rPr>
        <w:t xml:space="preserve"> Functional annotation clustering tools included the </w:t>
      </w:r>
    </w:p>
    <w:p w14:paraId="71C9985C" w14:textId="77777777" w:rsidR="001F7A64" w:rsidRDefault="001F7A64"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2D0018">
        <w:rPr>
          <w:rFonts w:ascii="Times New Roman" w:hAnsi="Times New Roman" w:cs="Times New Roman"/>
          <w:lang w:val="en-GB"/>
        </w:rPr>
        <w:t xml:space="preserve">Database for Annotation and Visualisation and </w:t>
      </w:r>
    </w:p>
    <w:p w14:paraId="5DD82F52" w14:textId="6054CC65" w:rsidR="001F7A64" w:rsidRDefault="001F7A64"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w:t>
      </w:r>
      <w:r w:rsidR="002D0018">
        <w:rPr>
          <w:rFonts w:ascii="Times New Roman" w:hAnsi="Times New Roman" w:cs="Times New Roman"/>
          <w:lang w:val="en-GB"/>
        </w:rPr>
        <w:t xml:space="preserve">Integrated Discovery (DAVID; bioinformatics </w:t>
      </w:r>
    </w:p>
    <w:p w14:paraId="296B35CF" w14:textId="303237ED" w:rsidR="001F7A64" w:rsidRDefault="001F7A64" w:rsidP="0085074F">
      <w:pPr>
        <w:spacing w:line="360" w:lineRule="auto"/>
        <w:jc w:val="both"/>
        <w:rPr>
          <w:rFonts w:ascii="Times New Roman" w:hAnsi="Times New Roman" w:cs="Times New Roman"/>
        </w:rPr>
      </w:pPr>
      <w:r>
        <w:rPr>
          <w:rFonts w:ascii="Times New Roman" w:hAnsi="Times New Roman" w:cs="Times New Roman"/>
          <w:lang w:val="en-GB"/>
        </w:rPr>
        <w:t xml:space="preserve">                                                           </w:t>
      </w:r>
      <w:r w:rsidR="002D0018">
        <w:rPr>
          <w:rFonts w:ascii="Times New Roman" w:hAnsi="Times New Roman" w:cs="Times New Roman"/>
          <w:lang w:val="en-GB"/>
        </w:rPr>
        <w:t xml:space="preserve">resources 6.7) </w:t>
      </w:r>
      <w:hyperlink r:id="rId21" w:history="1">
        <w:r w:rsidR="002D0018" w:rsidRPr="002D0018">
          <w:rPr>
            <w:rStyle w:val="Hyperlink"/>
            <w:rFonts w:ascii="Times New Roman" w:hAnsi="Times New Roman" w:cs="Times New Roman"/>
          </w:rPr>
          <w:t>https://david.ncifcrf.gov/</w:t>
        </w:r>
      </w:hyperlink>
      <w:r w:rsidR="002D0018">
        <w:rPr>
          <w:rFonts w:ascii="Times New Roman" w:hAnsi="Times New Roman" w:cs="Times New Roman"/>
        </w:rPr>
        <w:t xml:space="preserve"> and the </w:t>
      </w:r>
    </w:p>
    <w:p w14:paraId="19ADAB84" w14:textId="6AE23B21" w:rsidR="001F7A64" w:rsidRDefault="001F7A64" w:rsidP="0085074F">
      <w:pPr>
        <w:spacing w:line="360" w:lineRule="auto"/>
        <w:jc w:val="both"/>
        <w:rPr>
          <w:rFonts w:ascii="Times New Roman" w:hAnsi="Times New Roman" w:cs="Times New Roman"/>
        </w:rPr>
      </w:pPr>
      <w:r>
        <w:rPr>
          <w:rFonts w:ascii="Times New Roman" w:hAnsi="Times New Roman" w:cs="Times New Roman"/>
        </w:rPr>
        <w:t xml:space="preserve">                                                           </w:t>
      </w:r>
      <w:r w:rsidR="002D0018">
        <w:rPr>
          <w:rFonts w:ascii="Times New Roman" w:hAnsi="Times New Roman" w:cs="Times New Roman"/>
        </w:rPr>
        <w:t>Integrated</w:t>
      </w:r>
      <w:r w:rsidR="002C0EA0">
        <w:rPr>
          <w:rFonts w:ascii="Times New Roman" w:hAnsi="Times New Roman" w:cs="Times New Roman"/>
        </w:rPr>
        <w:t xml:space="preserve"> Molecular Pathway Level Analys</w:t>
      </w:r>
      <w:r w:rsidR="002D0018">
        <w:rPr>
          <w:rFonts w:ascii="Times New Roman" w:hAnsi="Times New Roman" w:cs="Times New Roman"/>
        </w:rPr>
        <w:t>i</w:t>
      </w:r>
      <w:r w:rsidR="002C0EA0">
        <w:rPr>
          <w:rFonts w:ascii="Times New Roman" w:hAnsi="Times New Roman" w:cs="Times New Roman"/>
        </w:rPr>
        <w:t>s</w:t>
      </w:r>
      <w:r w:rsidR="002D0018">
        <w:rPr>
          <w:rFonts w:ascii="Times New Roman" w:hAnsi="Times New Roman" w:cs="Times New Roman"/>
        </w:rPr>
        <w:t xml:space="preserve"> </w:t>
      </w:r>
    </w:p>
    <w:p w14:paraId="67E98A3D" w14:textId="6C42731A" w:rsidR="001F7A64" w:rsidRDefault="001F7A64" w:rsidP="0085074F">
      <w:pPr>
        <w:spacing w:line="360" w:lineRule="auto"/>
        <w:jc w:val="both"/>
        <w:rPr>
          <w:rFonts w:ascii="Times New Roman" w:hAnsi="Times New Roman" w:cs="Times New Roman"/>
        </w:rPr>
      </w:pPr>
      <w:r>
        <w:rPr>
          <w:rFonts w:ascii="Times New Roman" w:hAnsi="Times New Roman" w:cs="Times New Roman"/>
        </w:rPr>
        <w:t xml:space="preserve">                                                           </w:t>
      </w:r>
      <w:r w:rsidR="002D0018">
        <w:rPr>
          <w:rFonts w:ascii="Times New Roman" w:hAnsi="Times New Roman" w:cs="Times New Roman"/>
        </w:rPr>
        <w:t xml:space="preserve">(IMPaLA; </w:t>
      </w:r>
      <w:r w:rsidR="00DB277C">
        <w:rPr>
          <w:rFonts w:ascii="Times New Roman" w:hAnsi="Times New Roman" w:cs="Times New Roman"/>
        </w:rPr>
        <w:t xml:space="preserve">version 9; build January 2015) </w:t>
      </w:r>
    </w:p>
    <w:p w14:paraId="2CD22C37" w14:textId="022BFAD5" w:rsidR="003A4D75" w:rsidRPr="003A4D75" w:rsidRDefault="001F7A64" w:rsidP="0085074F">
      <w:pPr>
        <w:spacing w:line="360" w:lineRule="auto"/>
        <w:jc w:val="both"/>
        <w:rPr>
          <w:rFonts w:ascii="Times New Roman" w:hAnsi="Times New Roman" w:cs="Times New Roman"/>
          <w:lang w:val="en-GB"/>
        </w:rPr>
      </w:pPr>
      <w:r>
        <w:rPr>
          <w:rFonts w:ascii="Times New Roman" w:hAnsi="Times New Roman" w:cs="Times New Roman"/>
        </w:rPr>
        <w:t xml:space="preserve">                                                           </w:t>
      </w:r>
      <w:hyperlink r:id="rId22" w:history="1">
        <w:r w:rsidR="00DB277C" w:rsidRPr="00DB277C">
          <w:rPr>
            <w:rStyle w:val="Hyperlink"/>
            <w:rFonts w:ascii="Times New Roman" w:hAnsi="Times New Roman" w:cs="Times New Roman"/>
          </w:rPr>
          <w:t>http://impala.molgen.mpg.de/</w:t>
        </w:r>
      </w:hyperlink>
      <w:r w:rsidR="00DB277C" w:rsidRPr="00DB277C">
        <w:rPr>
          <w:rFonts w:ascii="Times New Roman" w:hAnsi="Times New Roman" w:cs="Times New Roman"/>
        </w:rPr>
        <w:t>.</w:t>
      </w:r>
    </w:p>
    <w:p w14:paraId="6C3AFB0B" w14:textId="77777777" w:rsidR="00D01519" w:rsidRDefault="00D01519" w:rsidP="0085074F">
      <w:pPr>
        <w:spacing w:line="360" w:lineRule="auto"/>
        <w:jc w:val="both"/>
        <w:rPr>
          <w:rFonts w:ascii="Times New Roman" w:hAnsi="Times New Roman" w:cs="Times New Roman"/>
          <w:color w:val="FF0000"/>
          <w:lang w:val="en-GB"/>
        </w:rPr>
      </w:pPr>
    </w:p>
    <w:p w14:paraId="2DBDBF52" w14:textId="77777777" w:rsidR="00D01519" w:rsidRDefault="00D01519" w:rsidP="0085074F">
      <w:pPr>
        <w:spacing w:line="360" w:lineRule="auto"/>
        <w:jc w:val="both"/>
        <w:rPr>
          <w:rFonts w:ascii="Times New Roman" w:hAnsi="Times New Roman" w:cs="Times New Roman"/>
          <w:color w:val="FF0000"/>
          <w:lang w:val="en-GB"/>
        </w:rPr>
      </w:pPr>
    </w:p>
    <w:p w14:paraId="69AF7A74" w14:textId="2395C740" w:rsidR="0067095B" w:rsidRPr="006A2565" w:rsidRDefault="006A2565" w:rsidP="009A1D4C">
      <w:pPr>
        <w:pStyle w:val="Heading3"/>
        <w:rPr>
          <w:u w:val="single"/>
          <w:lang w:val="en-GB"/>
        </w:rPr>
      </w:pPr>
      <w:bookmarkStart w:id="700" w:name="_Toc328301126"/>
      <w:bookmarkStart w:id="701" w:name="_Toc329593420"/>
      <w:bookmarkStart w:id="702" w:name="_Toc331425919"/>
      <w:bookmarkStart w:id="703" w:name="_Toc331427100"/>
      <w:bookmarkStart w:id="704" w:name="_Toc331427472"/>
      <w:bookmarkStart w:id="705" w:name="_Toc331427614"/>
      <w:bookmarkStart w:id="706" w:name="_Toc332972617"/>
      <w:bookmarkStart w:id="707" w:name="_Toc333046896"/>
      <w:bookmarkStart w:id="708" w:name="_Toc333477243"/>
      <w:bookmarkStart w:id="709" w:name="_Toc333478013"/>
      <w:bookmarkStart w:id="710" w:name="_Toc333644913"/>
      <w:r w:rsidRPr="006A2565">
        <w:rPr>
          <w:u w:val="single"/>
          <w:lang w:val="en-GB"/>
        </w:rPr>
        <w:t>2.1.14</w:t>
      </w:r>
      <w:r w:rsidR="00000FF1" w:rsidRPr="006A2565">
        <w:rPr>
          <w:u w:val="single"/>
          <w:lang w:val="en-GB"/>
        </w:rPr>
        <w:t xml:space="preserve"> </w:t>
      </w:r>
      <w:r w:rsidR="00EF5A08" w:rsidRPr="006A2565">
        <w:rPr>
          <w:u w:val="single"/>
          <w:lang w:val="en-GB"/>
        </w:rPr>
        <w:t>Pre-a</w:t>
      </w:r>
      <w:r w:rsidR="0067095B" w:rsidRPr="006A2565">
        <w:rPr>
          <w:u w:val="single"/>
          <w:lang w:val="en-GB"/>
        </w:rPr>
        <w:t>mplification</w:t>
      </w:r>
      <w:r w:rsidR="00EF5A08" w:rsidRPr="006A2565">
        <w:rPr>
          <w:u w:val="single"/>
          <w:lang w:val="en-GB"/>
        </w:rPr>
        <w:t xml:space="preserve"> and reverse-trans</w:t>
      </w:r>
      <w:r w:rsidR="00A458F9" w:rsidRPr="006A2565">
        <w:rPr>
          <w:u w:val="single"/>
          <w:lang w:val="en-GB"/>
        </w:rPr>
        <w:t>c</w:t>
      </w:r>
      <w:r w:rsidR="00EF5A08" w:rsidRPr="006A2565">
        <w:rPr>
          <w:u w:val="single"/>
          <w:lang w:val="en-GB"/>
        </w:rPr>
        <w:t>ription of low RNA yields</w:t>
      </w:r>
      <w:bookmarkEnd w:id="700"/>
      <w:bookmarkEnd w:id="701"/>
      <w:bookmarkEnd w:id="702"/>
      <w:bookmarkEnd w:id="703"/>
      <w:bookmarkEnd w:id="704"/>
      <w:bookmarkEnd w:id="705"/>
      <w:bookmarkEnd w:id="706"/>
      <w:bookmarkEnd w:id="707"/>
      <w:bookmarkEnd w:id="708"/>
      <w:bookmarkEnd w:id="709"/>
      <w:bookmarkEnd w:id="710"/>
      <w:r w:rsidR="002F487F" w:rsidRPr="006A2565">
        <w:rPr>
          <w:u w:val="single"/>
          <w:lang w:val="en-GB"/>
        </w:rPr>
        <w:t xml:space="preserve"> </w:t>
      </w:r>
    </w:p>
    <w:p w14:paraId="013E570C" w14:textId="77777777" w:rsidR="0067095B" w:rsidRDefault="0067095B" w:rsidP="0085074F">
      <w:pPr>
        <w:spacing w:line="360" w:lineRule="auto"/>
        <w:jc w:val="both"/>
        <w:rPr>
          <w:rFonts w:ascii="Times New Roman" w:hAnsi="Times New Roman" w:cs="Times New Roman"/>
          <w:b/>
          <w:u w:val="single"/>
          <w:lang w:val="en-GB"/>
        </w:rPr>
      </w:pPr>
    </w:p>
    <w:p w14:paraId="63617D09" w14:textId="2D16BDF3" w:rsidR="00D01519" w:rsidRDefault="003D29D9" w:rsidP="0085074F">
      <w:pPr>
        <w:spacing w:line="360" w:lineRule="auto"/>
        <w:jc w:val="both"/>
        <w:rPr>
          <w:rFonts w:ascii="Times New Roman" w:hAnsi="Times New Roman" w:cs="Times New Roman"/>
          <w:lang w:val="en-GB"/>
        </w:rPr>
      </w:pPr>
      <w:r w:rsidRPr="002F487F">
        <w:rPr>
          <w:rFonts w:ascii="Times New Roman" w:hAnsi="Times New Roman" w:cs="Times New Roman"/>
          <w:b/>
          <w:lang w:val="en-GB"/>
        </w:rPr>
        <w:t>QuantiTect® Whole Transcriptome</w:t>
      </w:r>
      <w:r w:rsidR="002F487F">
        <w:rPr>
          <w:rFonts w:ascii="Times New Roman" w:hAnsi="Times New Roman" w:cs="Times New Roman"/>
          <w:b/>
          <w:lang w:val="en-GB"/>
        </w:rPr>
        <w:t xml:space="preserve"> </w:t>
      </w:r>
      <w:r w:rsidR="006A2565">
        <w:rPr>
          <w:rFonts w:ascii="Times New Roman" w:hAnsi="Times New Roman" w:cs="Times New Roman"/>
          <w:lang w:val="en-GB"/>
        </w:rPr>
        <w:t>(</w:t>
      </w:r>
      <w:r>
        <w:rPr>
          <w:rFonts w:ascii="Times New Roman" w:hAnsi="Times New Roman" w:cs="Times New Roman"/>
          <w:lang w:val="en-GB"/>
        </w:rPr>
        <w:t>Qiagen</w:t>
      </w:r>
      <w:r w:rsidR="006A2565">
        <w:rPr>
          <w:rFonts w:ascii="Times New Roman" w:hAnsi="Times New Roman" w:cs="Times New Roman"/>
          <w:lang w:val="en-GB"/>
        </w:rPr>
        <w:t>)</w:t>
      </w:r>
      <w:r>
        <w:rPr>
          <w:rFonts w:ascii="Times New Roman" w:hAnsi="Times New Roman" w:cs="Times New Roman"/>
          <w:lang w:val="en-GB"/>
        </w:rPr>
        <w:t xml:space="preserve"> </w:t>
      </w:r>
      <w:r w:rsidR="00732E2C">
        <w:rPr>
          <w:rFonts w:ascii="Times New Roman" w:hAnsi="Times New Roman" w:cs="Times New Roman"/>
          <w:lang w:val="en-GB"/>
        </w:rPr>
        <w:t>(Cat No. 207043)</w:t>
      </w:r>
    </w:p>
    <w:p w14:paraId="0D5B46DD" w14:textId="77777777" w:rsidR="002F487F" w:rsidRDefault="002F487F" w:rsidP="0085074F">
      <w:pPr>
        <w:spacing w:line="360" w:lineRule="auto"/>
        <w:jc w:val="both"/>
        <w:rPr>
          <w:rFonts w:ascii="Times New Roman" w:hAnsi="Times New Roman" w:cs="Times New Roman"/>
          <w:lang w:val="en-GB"/>
        </w:rPr>
      </w:pPr>
    </w:p>
    <w:p w14:paraId="01BA4CA7" w14:textId="5C81DC2E" w:rsidR="002F487F" w:rsidRDefault="002F487F" w:rsidP="0085074F">
      <w:pPr>
        <w:spacing w:line="360" w:lineRule="auto"/>
        <w:jc w:val="both"/>
        <w:rPr>
          <w:rFonts w:ascii="Times New Roman" w:hAnsi="Times New Roman" w:cs="Times New Roman"/>
          <w:lang w:val="en-GB"/>
        </w:rPr>
      </w:pPr>
      <w:r>
        <w:rPr>
          <w:rFonts w:ascii="Times New Roman" w:hAnsi="Times New Roman" w:cs="Times New Roman"/>
          <w:b/>
          <w:lang w:val="en-GB"/>
        </w:rPr>
        <w:t>Qubit® fluorometer</w:t>
      </w:r>
      <w:r>
        <w:rPr>
          <w:rFonts w:ascii="Times New Roman" w:hAnsi="Times New Roman" w:cs="Times New Roman"/>
          <w:lang w:val="en-GB"/>
        </w:rPr>
        <w:t xml:space="preserve"> </w:t>
      </w:r>
    </w:p>
    <w:p w14:paraId="22D10791" w14:textId="77777777" w:rsidR="002F487F" w:rsidRDefault="002F487F" w:rsidP="0085074F">
      <w:pPr>
        <w:spacing w:line="360" w:lineRule="auto"/>
        <w:jc w:val="both"/>
        <w:rPr>
          <w:rFonts w:ascii="Times New Roman" w:hAnsi="Times New Roman" w:cs="Times New Roman"/>
          <w:lang w:val="en-GB"/>
        </w:rPr>
      </w:pPr>
    </w:p>
    <w:p w14:paraId="481C103B" w14:textId="7CCAF6B8" w:rsidR="002F487F" w:rsidRDefault="002F487F" w:rsidP="0085074F">
      <w:pPr>
        <w:spacing w:line="360" w:lineRule="auto"/>
        <w:jc w:val="both"/>
        <w:rPr>
          <w:rFonts w:ascii="Times New Roman" w:hAnsi="Times New Roman" w:cs="Times New Roman"/>
          <w:lang w:val="en-GB"/>
        </w:rPr>
      </w:pPr>
      <w:r>
        <w:rPr>
          <w:rFonts w:ascii="Times New Roman" w:hAnsi="Times New Roman" w:cs="Times New Roman"/>
          <w:b/>
          <w:lang w:val="en-GB"/>
        </w:rPr>
        <w:t xml:space="preserve">Qubit® dsDNA BR Assay kit </w:t>
      </w:r>
      <w:r>
        <w:rPr>
          <w:rFonts w:ascii="Times New Roman" w:hAnsi="Times New Roman" w:cs="Times New Roman"/>
          <w:lang w:val="en-GB"/>
        </w:rPr>
        <w:t>ThermoFisher Scientific (Cat No. Q32853)</w:t>
      </w:r>
    </w:p>
    <w:p w14:paraId="600F2424" w14:textId="77777777" w:rsidR="00312125" w:rsidRDefault="00312125" w:rsidP="0085074F">
      <w:pPr>
        <w:spacing w:line="360" w:lineRule="auto"/>
        <w:jc w:val="both"/>
        <w:rPr>
          <w:rFonts w:ascii="Times New Roman" w:hAnsi="Times New Roman" w:cs="Times New Roman"/>
          <w:lang w:val="en-GB"/>
        </w:rPr>
      </w:pPr>
    </w:p>
    <w:p w14:paraId="3FEA7130" w14:textId="292BC2B1" w:rsidR="00312125" w:rsidRPr="00312125" w:rsidRDefault="00312125" w:rsidP="00312125">
      <w:pPr>
        <w:pStyle w:val="Heading3"/>
        <w:rPr>
          <w:u w:val="single"/>
          <w:lang w:val="en-GB"/>
        </w:rPr>
      </w:pPr>
      <w:bookmarkStart w:id="711" w:name="_Toc332972618"/>
      <w:bookmarkStart w:id="712" w:name="_Toc333046897"/>
      <w:bookmarkStart w:id="713" w:name="_Toc333477244"/>
      <w:bookmarkStart w:id="714" w:name="_Toc333478014"/>
      <w:bookmarkStart w:id="715" w:name="_Toc333644914"/>
      <w:r w:rsidRPr="00312125">
        <w:rPr>
          <w:u w:val="single"/>
          <w:lang w:val="en-GB"/>
        </w:rPr>
        <w:t>2.1.</w:t>
      </w:r>
      <w:r w:rsidR="008E3664">
        <w:rPr>
          <w:u w:val="single"/>
          <w:lang w:val="en-GB"/>
        </w:rPr>
        <w:t>1</w:t>
      </w:r>
      <w:r w:rsidRPr="00312125">
        <w:rPr>
          <w:u w:val="single"/>
          <w:lang w:val="en-GB"/>
        </w:rPr>
        <w:t>5 Immunohistochemistry</w:t>
      </w:r>
      <w:bookmarkEnd w:id="711"/>
      <w:bookmarkEnd w:id="712"/>
      <w:bookmarkEnd w:id="713"/>
      <w:bookmarkEnd w:id="714"/>
      <w:bookmarkEnd w:id="715"/>
    </w:p>
    <w:p w14:paraId="536E1452" w14:textId="77777777" w:rsidR="00312125" w:rsidRDefault="00312125" w:rsidP="0085074F">
      <w:pPr>
        <w:spacing w:line="360" w:lineRule="auto"/>
        <w:jc w:val="both"/>
        <w:rPr>
          <w:rFonts w:ascii="Times New Roman" w:hAnsi="Times New Roman" w:cs="Times New Roman"/>
          <w:lang w:val="en-GB"/>
        </w:rPr>
      </w:pPr>
    </w:p>
    <w:p w14:paraId="6D76DD6A" w14:textId="77777777" w:rsidR="00A766B1" w:rsidRDefault="00A766B1" w:rsidP="0085074F">
      <w:pPr>
        <w:spacing w:line="360" w:lineRule="auto"/>
        <w:jc w:val="both"/>
        <w:rPr>
          <w:rFonts w:ascii="Times New Roman" w:hAnsi="Times New Roman" w:cs="Times New Roman"/>
          <w:lang w:val="en-GB"/>
        </w:rPr>
      </w:pPr>
      <w:r>
        <w:rPr>
          <w:rFonts w:ascii="Times New Roman" w:hAnsi="Times New Roman" w:cs="Times New Roman"/>
          <w:b/>
          <w:lang w:val="en-GB"/>
        </w:rPr>
        <w:t>HRP-conjugated avidin-biotin complex</w:t>
      </w:r>
      <w:r>
        <w:rPr>
          <w:rFonts w:ascii="Times New Roman" w:hAnsi="Times New Roman" w:cs="Times New Roman"/>
          <w:lang w:val="en-GB"/>
        </w:rPr>
        <w:t xml:space="preserve"> Vectastain Elite kit, Vector Laboratories, </w:t>
      </w:r>
    </w:p>
    <w:p w14:paraId="7F7B4236" w14:textId="54023E9F" w:rsidR="00312125" w:rsidRDefault="00A766B1"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                                                                    Peterborough, UK</w:t>
      </w:r>
    </w:p>
    <w:p w14:paraId="75294B33" w14:textId="70D10E6B" w:rsidR="00A766B1" w:rsidRDefault="00A766B1" w:rsidP="0085074F">
      <w:pPr>
        <w:spacing w:line="360" w:lineRule="auto"/>
        <w:jc w:val="both"/>
        <w:rPr>
          <w:rFonts w:ascii="Times New Roman" w:hAnsi="Times New Roman" w:cs="Times New Roman"/>
          <w:lang w:val="en-GB"/>
        </w:rPr>
      </w:pPr>
      <w:r>
        <w:rPr>
          <w:rFonts w:ascii="Times New Roman" w:hAnsi="Times New Roman" w:cs="Times New Roman"/>
          <w:b/>
          <w:lang w:val="en-GB"/>
        </w:rPr>
        <w:t>Diaminobenzidine (DAB)</w:t>
      </w:r>
      <w:r>
        <w:rPr>
          <w:rFonts w:ascii="Times New Roman" w:hAnsi="Times New Roman" w:cs="Times New Roman"/>
          <w:lang w:val="en-GB"/>
        </w:rPr>
        <w:t xml:space="preserve"> Vector Laboratories</w:t>
      </w:r>
    </w:p>
    <w:p w14:paraId="64CB835F" w14:textId="3C5950DF" w:rsidR="00A766B1" w:rsidRDefault="00A766B1" w:rsidP="0085074F">
      <w:pPr>
        <w:spacing w:line="360" w:lineRule="auto"/>
        <w:jc w:val="both"/>
        <w:rPr>
          <w:rFonts w:ascii="Times New Roman" w:hAnsi="Times New Roman" w:cs="Times New Roman"/>
          <w:lang w:val="en-GB"/>
        </w:rPr>
      </w:pPr>
      <w:r>
        <w:rPr>
          <w:rFonts w:ascii="Times New Roman" w:hAnsi="Times New Roman" w:cs="Times New Roman"/>
          <w:b/>
          <w:lang w:val="en-GB"/>
        </w:rPr>
        <w:t>Avidin-biotin blocking kit</w:t>
      </w:r>
      <w:r>
        <w:rPr>
          <w:rFonts w:ascii="Times New Roman" w:hAnsi="Times New Roman" w:cs="Times New Roman"/>
          <w:lang w:val="en-GB"/>
        </w:rPr>
        <w:t xml:space="preserve"> Vector Laboratories</w:t>
      </w:r>
      <w:r w:rsidR="008E3664">
        <w:rPr>
          <w:rFonts w:ascii="Times New Roman" w:hAnsi="Times New Roman" w:cs="Times New Roman"/>
          <w:lang w:val="en-GB"/>
        </w:rPr>
        <w:t>.</w:t>
      </w:r>
    </w:p>
    <w:p w14:paraId="16F17A4F" w14:textId="3A56220B" w:rsidR="00A766B1" w:rsidRDefault="00A766B1" w:rsidP="004D474F">
      <w:pPr>
        <w:pStyle w:val="Heading5"/>
        <w:rPr>
          <w:lang w:val="en-GB"/>
        </w:rPr>
      </w:pPr>
      <w:bookmarkStart w:id="716" w:name="_Toc333569349"/>
      <w:bookmarkStart w:id="717" w:name="_Toc333570887"/>
      <w:bookmarkStart w:id="718" w:name="_Toc333585967"/>
      <w:bookmarkStart w:id="719" w:name="_Toc333586842"/>
      <w:bookmarkStart w:id="720" w:name="_Toc333644541"/>
      <w:bookmarkStart w:id="721" w:name="_Toc333644835"/>
      <w:r>
        <w:rPr>
          <w:lang w:val="en-GB"/>
        </w:rPr>
        <w:t>Table 2.7</w:t>
      </w:r>
      <w:r w:rsidR="004D474F">
        <w:rPr>
          <w:lang w:val="en-GB"/>
        </w:rPr>
        <w:t>.</w:t>
      </w:r>
      <w:r>
        <w:rPr>
          <w:lang w:val="en-GB"/>
        </w:rPr>
        <w:t xml:space="preserve"> Age, sex and post mortem delay (PMD) of cases</w:t>
      </w:r>
      <w:bookmarkEnd w:id="716"/>
      <w:bookmarkEnd w:id="717"/>
      <w:bookmarkEnd w:id="718"/>
      <w:bookmarkEnd w:id="719"/>
      <w:bookmarkEnd w:id="720"/>
      <w:bookmarkEnd w:id="721"/>
    </w:p>
    <w:p w14:paraId="207B1EE9" w14:textId="77777777" w:rsidR="00A83395" w:rsidRPr="00A83395" w:rsidRDefault="00A83395" w:rsidP="00A83395"/>
    <w:tbl>
      <w:tblPr>
        <w:tblStyle w:val="TableGrid"/>
        <w:tblW w:w="0" w:type="auto"/>
        <w:tblLook w:val="04A0" w:firstRow="1" w:lastRow="0" w:firstColumn="1" w:lastColumn="0" w:noHBand="0" w:noVBand="1"/>
      </w:tblPr>
      <w:tblGrid>
        <w:gridCol w:w="2176"/>
        <w:gridCol w:w="2177"/>
        <w:gridCol w:w="2178"/>
        <w:gridCol w:w="2183"/>
      </w:tblGrid>
      <w:tr w:rsidR="00A766B1" w14:paraId="3E5BA2FF" w14:textId="77777777" w:rsidTr="00A766B1">
        <w:tc>
          <w:tcPr>
            <w:tcW w:w="2176" w:type="dxa"/>
          </w:tcPr>
          <w:p w14:paraId="3F991DAC" w14:textId="34701376" w:rsidR="00A766B1" w:rsidRDefault="00A766B1" w:rsidP="00A766B1">
            <w:pPr>
              <w:spacing w:line="360" w:lineRule="auto"/>
              <w:jc w:val="both"/>
              <w:rPr>
                <w:rFonts w:ascii="Times New Roman" w:hAnsi="Times New Roman" w:cs="Times New Roman"/>
                <w:b/>
                <w:lang w:val="en-GB"/>
              </w:rPr>
            </w:pPr>
            <w:r>
              <w:rPr>
                <w:rFonts w:ascii="Times New Roman" w:hAnsi="Times New Roman" w:cs="Times New Roman"/>
                <w:b/>
                <w:lang w:val="en-GB"/>
              </w:rPr>
              <w:t>Case</w:t>
            </w:r>
          </w:p>
        </w:tc>
        <w:tc>
          <w:tcPr>
            <w:tcW w:w="2178" w:type="dxa"/>
          </w:tcPr>
          <w:p w14:paraId="70141DC8" w14:textId="3B59AA1A" w:rsidR="00A766B1" w:rsidRDefault="00A766B1" w:rsidP="00A766B1">
            <w:pPr>
              <w:spacing w:line="360" w:lineRule="auto"/>
              <w:jc w:val="both"/>
              <w:rPr>
                <w:rFonts w:ascii="Times New Roman" w:hAnsi="Times New Roman" w:cs="Times New Roman"/>
                <w:b/>
                <w:lang w:val="en-GB"/>
              </w:rPr>
            </w:pPr>
            <w:r>
              <w:rPr>
                <w:rFonts w:ascii="Times New Roman" w:hAnsi="Times New Roman" w:cs="Times New Roman"/>
                <w:b/>
                <w:lang w:val="en-GB"/>
              </w:rPr>
              <w:t>Sex</w:t>
            </w:r>
          </w:p>
        </w:tc>
        <w:tc>
          <w:tcPr>
            <w:tcW w:w="2179" w:type="dxa"/>
          </w:tcPr>
          <w:p w14:paraId="4EC77ABD" w14:textId="79DF6DCD" w:rsidR="00A766B1" w:rsidRDefault="00A766B1" w:rsidP="00A766B1">
            <w:pPr>
              <w:spacing w:line="360" w:lineRule="auto"/>
              <w:jc w:val="both"/>
              <w:rPr>
                <w:rFonts w:ascii="Times New Roman" w:hAnsi="Times New Roman" w:cs="Times New Roman"/>
                <w:b/>
                <w:lang w:val="en-GB"/>
              </w:rPr>
            </w:pPr>
            <w:r>
              <w:rPr>
                <w:rFonts w:ascii="Times New Roman" w:hAnsi="Times New Roman" w:cs="Times New Roman"/>
                <w:b/>
                <w:lang w:val="en-GB"/>
              </w:rPr>
              <w:t>Age</w:t>
            </w:r>
          </w:p>
        </w:tc>
        <w:tc>
          <w:tcPr>
            <w:tcW w:w="2181" w:type="dxa"/>
          </w:tcPr>
          <w:p w14:paraId="55BC92E1" w14:textId="0B8440D2" w:rsidR="00A766B1" w:rsidRDefault="00A766B1" w:rsidP="00A766B1">
            <w:pPr>
              <w:spacing w:line="360" w:lineRule="auto"/>
              <w:jc w:val="both"/>
              <w:rPr>
                <w:rFonts w:ascii="Times New Roman" w:hAnsi="Times New Roman" w:cs="Times New Roman"/>
                <w:b/>
                <w:lang w:val="en-GB"/>
              </w:rPr>
            </w:pPr>
            <w:r>
              <w:rPr>
                <w:rFonts w:ascii="Times New Roman" w:hAnsi="Times New Roman" w:cs="Times New Roman"/>
                <w:b/>
                <w:lang w:val="en-GB"/>
              </w:rPr>
              <w:t>PMD</w:t>
            </w:r>
          </w:p>
        </w:tc>
      </w:tr>
      <w:tr w:rsidR="00A766B1" w14:paraId="308F8CC2" w14:textId="77777777" w:rsidTr="00A766B1">
        <w:tc>
          <w:tcPr>
            <w:tcW w:w="2176" w:type="dxa"/>
          </w:tcPr>
          <w:p w14:paraId="5C88E1A2" w14:textId="4AA75E3F"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Control</w:t>
            </w:r>
          </w:p>
        </w:tc>
        <w:tc>
          <w:tcPr>
            <w:tcW w:w="2178" w:type="dxa"/>
          </w:tcPr>
          <w:p w14:paraId="0A44EB42" w14:textId="763B150C"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M</w:t>
            </w:r>
          </w:p>
        </w:tc>
        <w:tc>
          <w:tcPr>
            <w:tcW w:w="2179" w:type="dxa"/>
          </w:tcPr>
          <w:p w14:paraId="1101E991" w14:textId="6D3AB8AF"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63</w:t>
            </w:r>
          </w:p>
        </w:tc>
        <w:tc>
          <w:tcPr>
            <w:tcW w:w="2181" w:type="dxa"/>
          </w:tcPr>
          <w:p w14:paraId="116A280F" w14:textId="7E50BD00"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Not recorded</w:t>
            </w:r>
          </w:p>
        </w:tc>
      </w:tr>
      <w:tr w:rsidR="00A766B1" w14:paraId="399F0226" w14:textId="77777777" w:rsidTr="00A766B1">
        <w:tc>
          <w:tcPr>
            <w:tcW w:w="2176" w:type="dxa"/>
          </w:tcPr>
          <w:p w14:paraId="0E17C8FE" w14:textId="11D78290"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Control</w:t>
            </w:r>
          </w:p>
        </w:tc>
        <w:tc>
          <w:tcPr>
            <w:tcW w:w="2178" w:type="dxa"/>
          </w:tcPr>
          <w:p w14:paraId="41867BEF" w14:textId="53A35249"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F</w:t>
            </w:r>
          </w:p>
        </w:tc>
        <w:tc>
          <w:tcPr>
            <w:tcW w:w="2179" w:type="dxa"/>
          </w:tcPr>
          <w:p w14:paraId="5F4D5A7C" w14:textId="00CC0FC2"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59</w:t>
            </w:r>
          </w:p>
        </w:tc>
        <w:tc>
          <w:tcPr>
            <w:tcW w:w="2181" w:type="dxa"/>
          </w:tcPr>
          <w:p w14:paraId="35953F02" w14:textId="7A6F9412"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5hr</w:t>
            </w:r>
          </w:p>
        </w:tc>
      </w:tr>
      <w:tr w:rsidR="00A766B1" w14:paraId="52A06C81" w14:textId="77777777" w:rsidTr="00A766B1">
        <w:tc>
          <w:tcPr>
            <w:tcW w:w="2176" w:type="dxa"/>
          </w:tcPr>
          <w:p w14:paraId="24223E27" w14:textId="13B88277"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Control</w:t>
            </w:r>
          </w:p>
        </w:tc>
        <w:tc>
          <w:tcPr>
            <w:tcW w:w="2178" w:type="dxa"/>
          </w:tcPr>
          <w:p w14:paraId="50B7298C" w14:textId="3B98AE22"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M</w:t>
            </w:r>
          </w:p>
        </w:tc>
        <w:tc>
          <w:tcPr>
            <w:tcW w:w="2179" w:type="dxa"/>
          </w:tcPr>
          <w:p w14:paraId="1DC1AF5C" w14:textId="2F853475"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67</w:t>
            </w:r>
          </w:p>
        </w:tc>
        <w:tc>
          <w:tcPr>
            <w:tcW w:w="2181" w:type="dxa"/>
          </w:tcPr>
          <w:p w14:paraId="2A712B8C" w14:textId="2590661C"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63hr</w:t>
            </w:r>
          </w:p>
        </w:tc>
      </w:tr>
      <w:tr w:rsidR="00A766B1" w14:paraId="0F75D898" w14:textId="77777777" w:rsidTr="00A766B1">
        <w:tc>
          <w:tcPr>
            <w:tcW w:w="2176" w:type="dxa"/>
          </w:tcPr>
          <w:p w14:paraId="6F6F781D" w14:textId="30D8FB0E"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AD</w:t>
            </w:r>
          </w:p>
        </w:tc>
        <w:tc>
          <w:tcPr>
            <w:tcW w:w="2178" w:type="dxa"/>
          </w:tcPr>
          <w:p w14:paraId="225FD5EA" w14:textId="6B5D329A"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F</w:t>
            </w:r>
          </w:p>
        </w:tc>
        <w:tc>
          <w:tcPr>
            <w:tcW w:w="2179" w:type="dxa"/>
          </w:tcPr>
          <w:p w14:paraId="519E42B4" w14:textId="243A4213"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79</w:t>
            </w:r>
          </w:p>
        </w:tc>
        <w:tc>
          <w:tcPr>
            <w:tcW w:w="2181" w:type="dxa"/>
          </w:tcPr>
          <w:p w14:paraId="3F71E548" w14:textId="2FAA057B"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24hr</w:t>
            </w:r>
          </w:p>
        </w:tc>
      </w:tr>
      <w:tr w:rsidR="00A766B1" w14:paraId="4D5BF496" w14:textId="77777777" w:rsidTr="00A766B1">
        <w:tc>
          <w:tcPr>
            <w:tcW w:w="2176" w:type="dxa"/>
          </w:tcPr>
          <w:p w14:paraId="3703061A" w14:textId="0F2427FF"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AD</w:t>
            </w:r>
          </w:p>
        </w:tc>
        <w:tc>
          <w:tcPr>
            <w:tcW w:w="2178" w:type="dxa"/>
          </w:tcPr>
          <w:p w14:paraId="0A0DE6D8" w14:textId="716B3F7E"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F</w:t>
            </w:r>
          </w:p>
        </w:tc>
        <w:tc>
          <w:tcPr>
            <w:tcW w:w="2179" w:type="dxa"/>
          </w:tcPr>
          <w:p w14:paraId="525DA650" w14:textId="6A05A283"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71</w:t>
            </w:r>
          </w:p>
        </w:tc>
        <w:tc>
          <w:tcPr>
            <w:tcW w:w="2181" w:type="dxa"/>
          </w:tcPr>
          <w:p w14:paraId="6DC22D97" w14:textId="5C86A16A"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No record</w:t>
            </w:r>
          </w:p>
        </w:tc>
      </w:tr>
      <w:tr w:rsidR="00A766B1" w14:paraId="7314E8A4" w14:textId="7996403E" w:rsidTr="00A766B1">
        <w:tblPrEx>
          <w:tblLook w:val="0000" w:firstRow="0" w:lastRow="0" w:firstColumn="0" w:lastColumn="0" w:noHBand="0" w:noVBand="0"/>
        </w:tblPrEx>
        <w:trPr>
          <w:trHeight w:val="566"/>
        </w:trPr>
        <w:tc>
          <w:tcPr>
            <w:tcW w:w="2176" w:type="dxa"/>
          </w:tcPr>
          <w:p w14:paraId="4AAD3D49" w14:textId="791F284A"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AD</w:t>
            </w:r>
          </w:p>
        </w:tc>
        <w:tc>
          <w:tcPr>
            <w:tcW w:w="2178" w:type="dxa"/>
          </w:tcPr>
          <w:p w14:paraId="7D57363F" w14:textId="3A6FC739"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F</w:t>
            </w:r>
          </w:p>
        </w:tc>
        <w:tc>
          <w:tcPr>
            <w:tcW w:w="2177" w:type="dxa"/>
          </w:tcPr>
          <w:p w14:paraId="0D802BED" w14:textId="1DA5D7B3"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79</w:t>
            </w:r>
          </w:p>
        </w:tc>
        <w:tc>
          <w:tcPr>
            <w:tcW w:w="2183" w:type="dxa"/>
          </w:tcPr>
          <w:p w14:paraId="142B7AB2" w14:textId="33EB5838" w:rsidR="00A766B1" w:rsidRPr="00C658F5" w:rsidRDefault="00A766B1" w:rsidP="00A766B1">
            <w:pPr>
              <w:spacing w:line="360" w:lineRule="auto"/>
              <w:jc w:val="both"/>
              <w:rPr>
                <w:rFonts w:ascii="Times New Roman" w:hAnsi="Times New Roman" w:cs="Times New Roman"/>
                <w:lang w:val="en-GB"/>
              </w:rPr>
            </w:pPr>
            <w:r w:rsidRPr="00C658F5">
              <w:rPr>
                <w:rFonts w:ascii="Times New Roman" w:hAnsi="Times New Roman" w:cs="Times New Roman"/>
                <w:lang w:val="en-GB"/>
              </w:rPr>
              <w:t>24hr</w:t>
            </w:r>
          </w:p>
        </w:tc>
      </w:tr>
    </w:tbl>
    <w:p w14:paraId="410E6395" w14:textId="77777777" w:rsidR="00312125" w:rsidRPr="002F487F" w:rsidRDefault="00312125" w:rsidP="0085074F">
      <w:pPr>
        <w:spacing w:line="360" w:lineRule="auto"/>
        <w:jc w:val="both"/>
        <w:rPr>
          <w:rFonts w:ascii="Times New Roman" w:hAnsi="Times New Roman" w:cs="Times New Roman"/>
          <w:lang w:val="en-GB"/>
        </w:rPr>
      </w:pPr>
    </w:p>
    <w:p w14:paraId="01EB8B63" w14:textId="1564D8DD" w:rsidR="00A766B1" w:rsidRDefault="00A766B1" w:rsidP="004D474F">
      <w:pPr>
        <w:pStyle w:val="Heading5"/>
        <w:rPr>
          <w:lang w:val="en-GB"/>
        </w:rPr>
      </w:pPr>
      <w:bookmarkStart w:id="722" w:name="_Toc333569350"/>
      <w:bookmarkStart w:id="723" w:name="_Toc333570888"/>
      <w:bookmarkStart w:id="724" w:name="_Toc333585968"/>
      <w:bookmarkStart w:id="725" w:name="_Toc333586843"/>
      <w:bookmarkStart w:id="726" w:name="_Toc333644542"/>
      <w:bookmarkStart w:id="727" w:name="_Toc333644836"/>
      <w:r>
        <w:rPr>
          <w:lang w:val="en-GB"/>
        </w:rPr>
        <w:t>Table 2.8</w:t>
      </w:r>
      <w:r w:rsidR="004D474F">
        <w:rPr>
          <w:lang w:val="en-GB"/>
        </w:rPr>
        <w:t>.</w:t>
      </w:r>
      <w:r>
        <w:rPr>
          <w:lang w:val="en-GB"/>
        </w:rPr>
        <w:t xml:space="preserve"> Antibodies used for immunohistochemistry, source and specificity</w:t>
      </w:r>
      <w:bookmarkEnd w:id="722"/>
      <w:bookmarkEnd w:id="723"/>
      <w:bookmarkEnd w:id="724"/>
      <w:bookmarkEnd w:id="725"/>
      <w:bookmarkEnd w:id="726"/>
      <w:bookmarkEnd w:id="727"/>
    </w:p>
    <w:p w14:paraId="2E5DA58A" w14:textId="77777777" w:rsidR="00A83395" w:rsidRPr="00A83395" w:rsidRDefault="00A83395" w:rsidP="00A83395"/>
    <w:tbl>
      <w:tblPr>
        <w:tblStyle w:val="TableGrid"/>
        <w:tblW w:w="0" w:type="auto"/>
        <w:tblLook w:val="04A0" w:firstRow="1" w:lastRow="0" w:firstColumn="1" w:lastColumn="0" w:noHBand="0" w:noVBand="1"/>
      </w:tblPr>
      <w:tblGrid>
        <w:gridCol w:w="2904"/>
        <w:gridCol w:w="2905"/>
        <w:gridCol w:w="2905"/>
      </w:tblGrid>
      <w:tr w:rsidR="00A766B1" w14:paraId="5C1000F0" w14:textId="77777777" w:rsidTr="00A766B1">
        <w:tc>
          <w:tcPr>
            <w:tcW w:w="2904" w:type="dxa"/>
          </w:tcPr>
          <w:p w14:paraId="7D423A65" w14:textId="73143AA8" w:rsidR="00A766B1" w:rsidRDefault="00C658F5" w:rsidP="0085074F">
            <w:pPr>
              <w:spacing w:line="360" w:lineRule="auto"/>
              <w:jc w:val="both"/>
              <w:rPr>
                <w:rFonts w:ascii="Times New Roman" w:hAnsi="Times New Roman" w:cs="Times New Roman"/>
                <w:b/>
                <w:lang w:val="en-GB"/>
              </w:rPr>
            </w:pPr>
            <w:r>
              <w:rPr>
                <w:rFonts w:ascii="Times New Roman" w:hAnsi="Times New Roman" w:cs="Times New Roman"/>
                <w:b/>
                <w:lang w:val="en-GB"/>
              </w:rPr>
              <w:t>Antibody</w:t>
            </w:r>
          </w:p>
        </w:tc>
        <w:tc>
          <w:tcPr>
            <w:tcW w:w="2905" w:type="dxa"/>
          </w:tcPr>
          <w:p w14:paraId="70C73D95" w14:textId="6A1B308C" w:rsidR="00A766B1" w:rsidRDefault="00C658F5" w:rsidP="0085074F">
            <w:pPr>
              <w:spacing w:line="360" w:lineRule="auto"/>
              <w:jc w:val="both"/>
              <w:rPr>
                <w:rFonts w:ascii="Times New Roman" w:hAnsi="Times New Roman" w:cs="Times New Roman"/>
                <w:b/>
                <w:lang w:val="en-GB"/>
              </w:rPr>
            </w:pPr>
            <w:r>
              <w:rPr>
                <w:rFonts w:ascii="Times New Roman" w:hAnsi="Times New Roman" w:cs="Times New Roman"/>
                <w:b/>
                <w:lang w:val="en-GB"/>
              </w:rPr>
              <w:t>Species, dilution, incubation</w:t>
            </w:r>
          </w:p>
        </w:tc>
        <w:tc>
          <w:tcPr>
            <w:tcW w:w="2905" w:type="dxa"/>
          </w:tcPr>
          <w:p w14:paraId="269277F0" w14:textId="30224BE5" w:rsidR="00A766B1" w:rsidRDefault="00C658F5" w:rsidP="0085074F">
            <w:pPr>
              <w:spacing w:line="360" w:lineRule="auto"/>
              <w:jc w:val="both"/>
              <w:rPr>
                <w:rFonts w:ascii="Times New Roman" w:hAnsi="Times New Roman" w:cs="Times New Roman"/>
                <w:b/>
                <w:lang w:val="en-GB"/>
              </w:rPr>
            </w:pPr>
            <w:r>
              <w:rPr>
                <w:rFonts w:ascii="Times New Roman" w:hAnsi="Times New Roman" w:cs="Times New Roman"/>
                <w:b/>
                <w:lang w:val="en-GB"/>
              </w:rPr>
              <w:t>Antigen retrieval method</w:t>
            </w:r>
          </w:p>
        </w:tc>
      </w:tr>
      <w:tr w:rsidR="00A766B1" w14:paraId="15AB4EAD" w14:textId="77777777" w:rsidTr="00A766B1">
        <w:tc>
          <w:tcPr>
            <w:tcW w:w="2904" w:type="dxa"/>
          </w:tcPr>
          <w:p w14:paraId="6D00CD5A" w14:textId="086959ED" w:rsidR="00A766B1" w:rsidRPr="00C658F5" w:rsidRDefault="00C658F5" w:rsidP="0085074F">
            <w:pPr>
              <w:spacing w:line="360" w:lineRule="auto"/>
              <w:jc w:val="both"/>
              <w:rPr>
                <w:rFonts w:ascii="Times New Roman" w:hAnsi="Times New Roman" w:cs="Times New Roman"/>
                <w:lang w:val="en-GB"/>
              </w:rPr>
            </w:pPr>
            <w:r w:rsidRPr="00C658F5">
              <w:rPr>
                <w:rFonts w:ascii="Times New Roman" w:hAnsi="Times New Roman" w:cs="Times New Roman"/>
                <w:lang w:val="en-GB"/>
              </w:rPr>
              <w:t>IGF1Rβ</w:t>
            </w:r>
          </w:p>
        </w:tc>
        <w:tc>
          <w:tcPr>
            <w:tcW w:w="2905" w:type="dxa"/>
          </w:tcPr>
          <w:p w14:paraId="52D2F18D" w14:textId="233BFDD3" w:rsidR="00A766B1" w:rsidRPr="00C658F5" w:rsidRDefault="00C658F5" w:rsidP="0085074F">
            <w:pPr>
              <w:spacing w:line="360" w:lineRule="auto"/>
              <w:jc w:val="both"/>
              <w:rPr>
                <w:rFonts w:ascii="Times New Roman" w:hAnsi="Times New Roman" w:cs="Times New Roman"/>
                <w:lang w:val="en-GB"/>
              </w:rPr>
            </w:pPr>
            <w:r>
              <w:rPr>
                <w:rFonts w:ascii="Times New Roman" w:hAnsi="Times New Roman" w:cs="Times New Roman"/>
                <w:lang w:val="en-GB"/>
              </w:rPr>
              <w:t>Rabbit polyclonal, 1/50, 1hr</w:t>
            </w:r>
          </w:p>
        </w:tc>
        <w:tc>
          <w:tcPr>
            <w:tcW w:w="2905" w:type="dxa"/>
          </w:tcPr>
          <w:p w14:paraId="018991CE" w14:textId="1148B76C" w:rsidR="00A766B1" w:rsidRPr="00C658F5" w:rsidRDefault="00C658F5" w:rsidP="0085074F">
            <w:pPr>
              <w:spacing w:line="360" w:lineRule="auto"/>
              <w:jc w:val="both"/>
              <w:rPr>
                <w:rFonts w:ascii="Times New Roman" w:hAnsi="Times New Roman" w:cs="Times New Roman"/>
                <w:lang w:val="en-GB"/>
              </w:rPr>
            </w:pPr>
            <w:r>
              <w:rPr>
                <w:rFonts w:ascii="Times New Roman" w:hAnsi="Times New Roman" w:cs="Times New Roman"/>
                <w:lang w:val="en-GB"/>
              </w:rPr>
              <w:t>EDTA, pH 8.0, pressure cooker 1hr</w:t>
            </w:r>
          </w:p>
        </w:tc>
      </w:tr>
      <w:tr w:rsidR="00A766B1" w14:paraId="379FB3F0" w14:textId="77777777" w:rsidTr="00A766B1">
        <w:tc>
          <w:tcPr>
            <w:tcW w:w="2904" w:type="dxa"/>
          </w:tcPr>
          <w:p w14:paraId="67F5F739" w14:textId="4CAB7E90" w:rsidR="00A766B1" w:rsidRPr="00C658F5" w:rsidRDefault="00C658F5" w:rsidP="0085074F">
            <w:pPr>
              <w:spacing w:line="360" w:lineRule="auto"/>
              <w:jc w:val="both"/>
              <w:rPr>
                <w:rFonts w:ascii="Times New Roman" w:hAnsi="Times New Roman" w:cs="Times New Roman"/>
                <w:lang w:val="en-GB"/>
              </w:rPr>
            </w:pPr>
            <w:r w:rsidRPr="00C658F5">
              <w:rPr>
                <w:rFonts w:ascii="Times New Roman" w:hAnsi="Times New Roman" w:cs="Times New Roman"/>
                <w:lang w:val="en-GB"/>
              </w:rPr>
              <w:t>GFAP</w:t>
            </w:r>
          </w:p>
        </w:tc>
        <w:tc>
          <w:tcPr>
            <w:tcW w:w="2905" w:type="dxa"/>
          </w:tcPr>
          <w:p w14:paraId="621A29C6" w14:textId="33C43C8E" w:rsidR="00A766B1" w:rsidRPr="00C658F5" w:rsidRDefault="00C658F5" w:rsidP="0085074F">
            <w:pPr>
              <w:spacing w:line="360" w:lineRule="auto"/>
              <w:jc w:val="both"/>
              <w:rPr>
                <w:rFonts w:ascii="Times New Roman" w:hAnsi="Times New Roman" w:cs="Times New Roman"/>
                <w:lang w:val="en-GB"/>
              </w:rPr>
            </w:pPr>
            <w:r w:rsidRPr="00C658F5">
              <w:rPr>
                <w:rFonts w:ascii="Times New Roman" w:hAnsi="Times New Roman" w:cs="Times New Roman"/>
                <w:lang w:val="en-GB"/>
              </w:rPr>
              <w:t>Rabbit IgG, 1/500, overnight, 4°C</w:t>
            </w:r>
          </w:p>
        </w:tc>
        <w:tc>
          <w:tcPr>
            <w:tcW w:w="2905" w:type="dxa"/>
          </w:tcPr>
          <w:p w14:paraId="20C16DD8" w14:textId="1470C1D9" w:rsidR="00A766B1" w:rsidRPr="00C658F5" w:rsidRDefault="00C658F5" w:rsidP="0085074F">
            <w:pPr>
              <w:spacing w:line="360" w:lineRule="auto"/>
              <w:jc w:val="both"/>
              <w:rPr>
                <w:rFonts w:ascii="Times New Roman" w:hAnsi="Times New Roman" w:cs="Times New Roman"/>
                <w:lang w:val="en-GB"/>
              </w:rPr>
            </w:pPr>
            <w:r>
              <w:rPr>
                <w:rFonts w:ascii="Times New Roman" w:hAnsi="Times New Roman" w:cs="Times New Roman"/>
                <w:lang w:val="en-GB"/>
              </w:rPr>
              <w:t>Used after IGF1R</w:t>
            </w:r>
            <w:r w:rsidRPr="00C658F5">
              <w:rPr>
                <w:rFonts w:ascii="Times New Roman" w:hAnsi="Times New Roman" w:cs="Times New Roman"/>
                <w:lang w:val="en-GB"/>
              </w:rPr>
              <w:t>β</w:t>
            </w:r>
          </w:p>
        </w:tc>
      </w:tr>
    </w:tbl>
    <w:p w14:paraId="5DA0D1BB" w14:textId="77777777" w:rsidR="00722323" w:rsidRDefault="00722323" w:rsidP="00C2382D">
      <w:pPr>
        <w:pStyle w:val="Heading2"/>
      </w:pPr>
      <w:bookmarkStart w:id="728" w:name="_Toc262895408"/>
      <w:bookmarkStart w:id="729" w:name="_Toc328301127"/>
      <w:bookmarkStart w:id="730" w:name="_Toc329593421"/>
      <w:bookmarkStart w:id="731" w:name="_Toc331425920"/>
      <w:bookmarkStart w:id="732" w:name="_Toc331427101"/>
      <w:bookmarkStart w:id="733" w:name="_Toc331427473"/>
      <w:bookmarkStart w:id="734" w:name="_Toc331427615"/>
      <w:bookmarkStart w:id="735" w:name="_Toc332972619"/>
      <w:bookmarkStart w:id="736" w:name="_Toc333046898"/>
      <w:bookmarkStart w:id="737" w:name="_Toc333477245"/>
    </w:p>
    <w:p w14:paraId="7D9AD2B0" w14:textId="77777777" w:rsidR="00722323" w:rsidRDefault="00722323" w:rsidP="00722323"/>
    <w:p w14:paraId="3791AF63" w14:textId="77777777" w:rsidR="00722323" w:rsidRDefault="00722323" w:rsidP="00722323"/>
    <w:p w14:paraId="6B022FC5" w14:textId="77777777" w:rsidR="00722323" w:rsidRDefault="00722323" w:rsidP="00722323"/>
    <w:p w14:paraId="4DEF8B5B" w14:textId="77777777" w:rsidR="00722323" w:rsidRDefault="00722323" w:rsidP="00722323"/>
    <w:p w14:paraId="79C20662" w14:textId="77777777" w:rsidR="00722323" w:rsidRDefault="00722323" w:rsidP="00722323"/>
    <w:p w14:paraId="237BE61F" w14:textId="77777777" w:rsidR="00722323" w:rsidRDefault="00722323" w:rsidP="00722323"/>
    <w:p w14:paraId="63380B4D" w14:textId="77777777" w:rsidR="00722323" w:rsidRDefault="00722323" w:rsidP="00722323"/>
    <w:p w14:paraId="78167338" w14:textId="77777777" w:rsidR="00722323" w:rsidRDefault="00722323" w:rsidP="00722323"/>
    <w:p w14:paraId="104F1AEA" w14:textId="77777777" w:rsidR="00722323" w:rsidRDefault="00722323" w:rsidP="00722323"/>
    <w:p w14:paraId="45C84851" w14:textId="77777777" w:rsidR="00722323" w:rsidRDefault="00722323" w:rsidP="00722323"/>
    <w:p w14:paraId="2F8B25F1" w14:textId="77777777" w:rsidR="00722323" w:rsidRDefault="00722323" w:rsidP="00722323"/>
    <w:p w14:paraId="083B5237" w14:textId="77777777" w:rsidR="00722323" w:rsidRDefault="00722323" w:rsidP="00722323"/>
    <w:p w14:paraId="66CDBC47" w14:textId="77777777" w:rsidR="00722323" w:rsidRDefault="00722323" w:rsidP="00722323"/>
    <w:p w14:paraId="7DBCE7C0" w14:textId="77777777" w:rsidR="00722323" w:rsidRDefault="00722323" w:rsidP="00722323"/>
    <w:p w14:paraId="5313A989" w14:textId="77777777" w:rsidR="00722323" w:rsidRDefault="00722323" w:rsidP="00722323"/>
    <w:p w14:paraId="345BBF1E" w14:textId="77777777" w:rsidR="00722323" w:rsidRDefault="00722323" w:rsidP="00722323"/>
    <w:p w14:paraId="3EBFAD47" w14:textId="77777777" w:rsidR="00722323" w:rsidRDefault="00722323" w:rsidP="00722323"/>
    <w:p w14:paraId="24507B2F" w14:textId="03DBBF9D" w:rsidR="000812FE" w:rsidRDefault="00D01519" w:rsidP="00C2382D">
      <w:pPr>
        <w:pStyle w:val="Heading2"/>
      </w:pPr>
      <w:bookmarkStart w:id="738" w:name="_Toc333478015"/>
      <w:bookmarkStart w:id="739" w:name="_Toc333644915"/>
      <w:r w:rsidRPr="009A1D4C">
        <w:t xml:space="preserve">2.2 </w:t>
      </w:r>
      <w:r w:rsidR="0085074F" w:rsidRPr="009A1D4C">
        <w:t>Methods</w:t>
      </w:r>
      <w:bookmarkStart w:id="740" w:name="_Toc262895409"/>
      <w:bookmarkStart w:id="741" w:name="_Toc328301128"/>
      <w:bookmarkEnd w:id="728"/>
      <w:bookmarkEnd w:id="729"/>
      <w:bookmarkEnd w:id="730"/>
      <w:bookmarkEnd w:id="731"/>
      <w:bookmarkEnd w:id="732"/>
      <w:bookmarkEnd w:id="733"/>
      <w:bookmarkEnd w:id="734"/>
      <w:bookmarkEnd w:id="735"/>
      <w:bookmarkEnd w:id="736"/>
      <w:bookmarkEnd w:id="737"/>
      <w:bookmarkEnd w:id="738"/>
      <w:bookmarkEnd w:id="739"/>
    </w:p>
    <w:p w14:paraId="1B2F1598" w14:textId="411F0BA5" w:rsidR="002D0408" w:rsidRPr="003266D9" w:rsidRDefault="00D01519" w:rsidP="002D0408">
      <w:pPr>
        <w:pStyle w:val="Heading3"/>
        <w:rPr>
          <w:u w:val="single"/>
        </w:rPr>
      </w:pPr>
      <w:bookmarkStart w:id="742" w:name="_Toc329593422"/>
      <w:bookmarkStart w:id="743" w:name="_Toc331425921"/>
      <w:bookmarkStart w:id="744" w:name="_Toc331427102"/>
      <w:bookmarkStart w:id="745" w:name="_Toc331427474"/>
      <w:bookmarkStart w:id="746" w:name="_Toc331427616"/>
      <w:bookmarkStart w:id="747" w:name="_Toc332972620"/>
      <w:bookmarkStart w:id="748" w:name="_Toc333046899"/>
      <w:bookmarkStart w:id="749" w:name="_Toc333477246"/>
      <w:bookmarkStart w:id="750" w:name="_Toc333478016"/>
      <w:bookmarkStart w:id="751" w:name="_Toc333644916"/>
      <w:r w:rsidRPr="003266D9">
        <w:rPr>
          <w:u w:val="single"/>
        </w:rPr>
        <w:t xml:space="preserve">2.2.1 </w:t>
      </w:r>
      <w:r w:rsidR="0085074F" w:rsidRPr="003266D9">
        <w:rPr>
          <w:u w:val="single"/>
        </w:rPr>
        <w:t>Cell culture</w:t>
      </w:r>
      <w:bookmarkEnd w:id="740"/>
      <w:bookmarkEnd w:id="741"/>
      <w:bookmarkEnd w:id="742"/>
      <w:bookmarkEnd w:id="743"/>
      <w:bookmarkEnd w:id="744"/>
      <w:bookmarkEnd w:id="745"/>
      <w:bookmarkEnd w:id="746"/>
      <w:bookmarkEnd w:id="747"/>
      <w:bookmarkEnd w:id="748"/>
      <w:bookmarkEnd w:id="749"/>
      <w:bookmarkEnd w:id="750"/>
      <w:bookmarkEnd w:id="751"/>
    </w:p>
    <w:p w14:paraId="3E928946" w14:textId="77777777" w:rsidR="000812FE" w:rsidRPr="000812FE" w:rsidRDefault="000812FE" w:rsidP="000812FE"/>
    <w:p w14:paraId="785C3B50" w14:textId="3D288EF7" w:rsidR="002D0408" w:rsidRPr="000812FE" w:rsidRDefault="003266D9" w:rsidP="001D0ECC">
      <w:pPr>
        <w:pStyle w:val="Heading4"/>
      </w:pPr>
      <w:r>
        <w:t>a)</w:t>
      </w:r>
      <w:r w:rsidR="002D0408" w:rsidRPr="000812FE">
        <w:t xml:space="preserve"> </w:t>
      </w:r>
      <w:r w:rsidR="00874F87" w:rsidRPr="000812FE">
        <w:t xml:space="preserve">Human </w:t>
      </w:r>
      <w:r w:rsidR="002D0408" w:rsidRPr="000812FE">
        <w:t>Astrocytes</w:t>
      </w:r>
    </w:p>
    <w:p w14:paraId="2FAF2322" w14:textId="77777777" w:rsidR="005E1A04" w:rsidRPr="004975E3" w:rsidRDefault="005E1A04" w:rsidP="005E1A04"/>
    <w:p w14:paraId="6CE3A97D" w14:textId="3A0ABFDA" w:rsidR="005E1A04" w:rsidRPr="006473BF" w:rsidRDefault="00315FF3" w:rsidP="005E1A04">
      <w:pPr>
        <w:rPr>
          <w:rFonts w:ascii="Times New Roman" w:hAnsi="Times New Roman" w:cs="Times New Roman"/>
          <w:b/>
        </w:rPr>
      </w:pPr>
      <w:r w:rsidRPr="006473BF">
        <w:rPr>
          <w:rFonts w:ascii="Times New Roman" w:hAnsi="Times New Roman" w:cs="Times New Roman"/>
          <w:b/>
        </w:rPr>
        <w:t xml:space="preserve">ScienCell </w:t>
      </w:r>
      <w:r w:rsidR="005E1A04" w:rsidRPr="006473BF">
        <w:rPr>
          <w:rFonts w:ascii="Times New Roman" w:hAnsi="Times New Roman" w:cs="Times New Roman"/>
          <w:b/>
        </w:rPr>
        <w:t>Astrocytes</w:t>
      </w:r>
    </w:p>
    <w:p w14:paraId="5600D7AF" w14:textId="77777777" w:rsidR="0085074F" w:rsidRPr="004975E3" w:rsidRDefault="0085074F" w:rsidP="0085074F">
      <w:pPr>
        <w:rPr>
          <w:rFonts w:ascii="Times New Roman" w:hAnsi="Times New Roman" w:cs="Times New Roman"/>
        </w:rPr>
      </w:pPr>
    </w:p>
    <w:p w14:paraId="795F3455" w14:textId="21D8758B" w:rsidR="0085074F" w:rsidRPr="004975E3" w:rsidRDefault="0085074F" w:rsidP="0085074F">
      <w:pPr>
        <w:spacing w:line="360" w:lineRule="auto"/>
        <w:jc w:val="both"/>
        <w:rPr>
          <w:rFonts w:ascii="Times New Roman" w:hAnsi="Times New Roman" w:cs="Times New Roman"/>
          <w:lang w:val="en-GB"/>
        </w:rPr>
      </w:pPr>
      <w:r w:rsidRPr="004975E3">
        <w:rPr>
          <w:rFonts w:ascii="Times New Roman" w:hAnsi="Times New Roman" w:cs="Times New Roman"/>
          <w:lang w:val="en-GB"/>
        </w:rPr>
        <w:t>Primary human astrocytes from ScienceCell Research Laboratories (</w:t>
      </w:r>
      <w:r w:rsidR="00307968">
        <w:rPr>
          <w:rFonts w:ascii="Times New Roman" w:hAnsi="Times New Roman" w:cs="Times New Roman"/>
          <w:lang w:val="en-GB"/>
        </w:rPr>
        <w:t>Carlasbad, CA, USA) were used for the majority of experiments. Two batches of ScienCell astrocytes were used over the duration of the project. ScienCell</w:t>
      </w:r>
      <w:r w:rsidR="0043414A">
        <w:rPr>
          <w:rFonts w:ascii="Times New Roman" w:hAnsi="Times New Roman" w:cs="Times New Roman"/>
          <w:lang w:val="en-GB"/>
        </w:rPr>
        <w:t xml:space="preserve"> </w:t>
      </w:r>
      <w:r w:rsidR="00307968">
        <w:rPr>
          <w:rFonts w:ascii="Times New Roman" w:hAnsi="Times New Roman" w:cs="Times New Roman"/>
          <w:lang w:val="en-GB"/>
        </w:rPr>
        <w:t xml:space="preserve">(1) astrocytes </w:t>
      </w:r>
      <w:r w:rsidR="0043414A">
        <w:rPr>
          <w:rFonts w:ascii="Times New Roman" w:hAnsi="Times New Roman" w:cs="Times New Roman"/>
          <w:lang w:val="en-GB"/>
        </w:rPr>
        <w:t>were used i</w:t>
      </w:r>
      <w:r w:rsidR="00307968">
        <w:rPr>
          <w:rFonts w:ascii="Times New Roman" w:hAnsi="Times New Roman" w:cs="Times New Roman"/>
          <w:lang w:val="en-GB"/>
        </w:rPr>
        <w:t>n chapter</w:t>
      </w:r>
      <w:r w:rsidR="0043414A">
        <w:rPr>
          <w:rFonts w:ascii="Times New Roman" w:hAnsi="Times New Roman" w:cs="Times New Roman"/>
          <w:lang w:val="en-GB"/>
        </w:rPr>
        <w:t xml:space="preserve"> </w:t>
      </w:r>
      <w:r w:rsidR="00154EC1">
        <w:rPr>
          <w:rFonts w:ascii="Times New Roman" w:hAnsi="Times New Roman" w:cs="Times New Roman"/>
          <w:lang w:val="en-GB"/>
        </w:rPr>
        <w:t>3</w:t>
      </w:r>
      <w:r w:rsidR="00307968">
        <w:rPr>
          <w:rFonts w:ascii="Times New Roman" w:hAnsi="Times New Roman" w:cs="Times New Roman"/>
          <w:lang w:val="en-GB"/>
        </w:rPr>
        <w:t xml:space="preserve"> to establish a model of IGF1R impairment and initial functional studies in </w:t>
      </w:r>
      <w:r w:rsidR="00333077">
        <w:rPr>
          <w:rFonts w:ascii="Times New Roman" w:hAnsi="Times New Roman" w:cs="Times New Roman"/>
          <w:lang w:val="en-GB"/>
        </w:rPr>
        <w:t>monoculture</w:t>
      </w:r>
      <w:r w:rsidR="00307968" w:rsidRPr="004975E3">
        <w:rPr>
          <w:rFonts w:ascii="Times New Roman" w:hAnsi="Times New Roman" w:cs="Times New Roman"/>
          <w:lang w:val="en-GB"/>
        </w:rPr>
        <w:t>.</w:t>
      </w:r>
      <w:r w:rsidR="0043414A">
        <w:rPr>
          <w:rFonts w:ascii="Times New Roman" w:hAnsi="Times New Roman" w:cs="Times New Roman"/>
          <w:lang w:val="en-GB"/>
        </w:rPr>
        <w:t xml:space="preserve"> ScienCell (2) astrocytes were used to confirm the use of MAB391 to downregulate the IGF1 pathway, taken forward to establish co-cultures with and used in the gene expression profiling experiments.</w:t>
      </w:r>
      <w:r w:rsidR="00307968">
        <w:rPr>
          <w:rFonts w:ascii="Times New Roman" w:hAnsi="Times New Roman" w:cs="Times New Roman"/>
          <w:lang w:val="en-GB"/>
        </w:rPr>
        <w:t xml:space="preserve"> </w:t>
      </w:r>
      <w:r w:rsidRPr="004975E3">
        <w:rPr>
          <w:rFonts w:ascii="Times New Roman" w:hAnsi="Times New Roman" w:cs="Times New Roman"/>
          <w:lang w:val="en-GB"/>
        </w:rPr>
        <w:t>According to the supplier, astrocytes were obtained from the cerebral cortex of the brain and cryopreserved at passage one.</w:t>
      </w:r>
      <w:r w:rsidR="002731AA">
        <w:rPr>
          <w:rFonts w:ascii="Times New Roman" w:hAnsi="Times New Roman" w:cs="Times New Roman"/>
          <w:lang w:val="en-GB"/>
        </w:rPr>
        <w:t xml:space="preserve"> </w:t>
      </w:r>
    </w:p>
    <w:p w14:paraId="546796F7" w14:textId="77777777" w:rsidR="0085074F" w:rsidRPr="004975E3" w:rsidRDefault="0085074F" w:rsidP="0085074F">
      <w:pPr>
        <w:spacing w:line="360" w:lineRule="auto"/>
        <w:jc w:val="both"/>
        <w:rPr>
          <w:rFonts w:ascii="Times New Roman" w:hAnsi="Times New Roman" w:cs="Times New Roman"/>
          <w:lang w:val="en-GB"/>
        </w:rPr>
      </w:pPr>
    </w:p>
    <w:p w14:paraId="11DA9ADB" w14:textId="7D8E052B" w:rsidR="00000FF1" w:rsidRPr="009B685D" w:rsidRDefault="0085074F" w:rsidP="0085074F">
      <w:pPr>
        <w:spacing w:line="360" w:lineRule="auto"/>
        <w:jc w:val="both"/>
        <w:rPr>
          <w:rFonts w:ascii="Times New Roman" w:hAnsi="Times New Roman" w:cs="Times New Roman"/>
          <w:lang w:val="en-GB"/>
        </w:rPr>
      </w:pPr>
      <w:r w:rsidRPr="004975E3">
        <w:rPr>
          <w:rFonts w:ascii="Times New Roman" w:hAnsi="Times New Roman" w:cs="Times New Roman"/>
          <w:lang w:val="en-GB"/>
        </w:rPr>
        <w:t>Cells were maintained in filtered T75 flasks in astrocyte medium (AM) at 37 °C and 5 % CO</w:t>
      </w:r>
      <w:r w:rsidRPr="004975E3">
        <w:rPr>
          <w:rFonts w:ascii="Times New Roman" w:hAnsi="Times New Roman" w:cs="Times New Roman"/>
          <w:vertAlign w:val="subscript"/>
          <w:lang w:val="en-GB"/>
        </w:rPr>
        <w:t>2</w:t>
      </w:r>
      <w:r w:rsidR="00874F87">
        <w:rPr>
          <w:rFonts w:ascii="Times New Roman" w:hAnsi="Times New Roman" w:cs="Times New Roman"/>
          <w:lang w:val="en-GB"/>
        </w:rPr>
        <w:t xml:space="preserve"> and culturing media wa</w:t>
      </w:r>
      <w:r w:rsidRPr="004975E3">
        <w:rPr>
          <w:rFonts w:ascii="Times New Roman" w:hAnsi="Times New Roman" w:cs="Times New Roman"/>
          <w:lang w:val="en-GB"/>
        </w:rPr>
        <w:t xml:space="preserve">s changed every 2-3 days. Cells were passaged when </w:t>
      </w:r>
      <w:r w:rsidR="00874F87">
        <w:rPr>
          <w:rFonts w:ascii="Times New Roman" w:hAnsi="Times New Roman" w:cs="Times New Roman"/>
          <w:lang w:val="en-GB"/>
        </w:rPr>
        <w:t>they had reached 90 % confluency, by washing the cell layer</w:t>
      </w:r>
      <w:r w:rsidRPr="004975E3">
        <w:rPr>
          <w:rFonts w:ascii="Times New Roman" w:hAnsi="Times New Roman" w:cs="Times New Roman"/>
          <w:lang w:val="en-GB"/>
        </w:rPr>
        <w:t xml:space="preserve"> with 1 x PBS</w:t>
      </w:r>
      <w:r w:rsidR="00874F87">
        <w:rPr>
          <w:rFonts w:ascii="Times New Roman" w:hAnsi="Times New Roman" w:cs="Times New Roman"/>
          <w:lang w:val="en-GB"/>
        </w:rPr>
        <w:t xml:space="preserve"> prior to incubation in </w:t>
      </w:r>
      <w:r w:rsidRPr="004975E3">
        <w:rPr>
          <w:rFonts w:ascii="Times New Roman" w:hAnsi="Times New Roman" w:cs="Times New Roman"/>
          <w:lang w:val="en-GB"/>
        </w:rPr>
        <w:t>1 x trypsin</w:t>
      </w:r>
      <w:r w:rsidR="00874F87">
        <w:rPr>
          <w:rFonts w:ascii="Times New Roman" w:hAnsi="Times New Roman" w:cs="Times New Roman"/>
          <w:lang w:val="en-GB"/>
        </w:rPr>
        <w:t xml:space="preserve"> versene</w:t>
      </w:r>
      <w:r w:rsidRPr="004975E3">
        <w:rPr>
          <w:rFonts w:ascii="Times New Roman" w:hAnsi="Times New Roman" w:cs="Times New Roman"/>
          <w:lang w:val="en-GB"/>
        </w:rPr>
        <w:t xml:space="preserve"> (Lonza, UK) for 5-10 minutes at 37°C to detach cells fr</w:t>
      </w:r>
      <w:r w:rsidR="00874F87">
        <w:rPr>
          <w:rFonts w:ascii="Times New Roman" w:hAnsi="Times New Roman" w:cs="Times New Roman"/>
          <w:lang w:val="en-GB"/>
        </w:rPr>
        <w:t>om the surface of the flask. Trypsin was then inactivated by the addition of complete AM.</w:t>
      </w:r>
      <w:r w:rsidRPr="004975E3">
        <w:rPr>
          <w:rFonts w:ascii="Times New Roman" w:hAnsi="Times New Roman" w:cs="Times New Roman"/>
          <w:lang w:val="en-GB"/>
        </w:rPr>
        <w:t xml:space="preserve"> The cell suspension was centrifuged for 4 minutes at 400 x g</w:t>
      </w:r>
      <w:r w:rsidRPr="004975E3">
        <w:rPr>
          <w:rFonts w:ascii="Times New Roman" w:hAnsi="Times New Roman" w:cs="Times New Roman"/>
          <w:vertAlign w:val="subscript"/>
          <w:lang w:val="en-GB"/>
        </w:rPr>
        <w:t>av</w:t>
      </w:r>
      <w:r w:rsidRPr="004975E3">
        <w:rPr>
          <w:rFonts w:ascii="Times New Roman" w:hAnsi="Times New Roman" w:cs="Times New Roman"/>
          <w:lang w:val="en-GB"/>
        </w:rPr>
        <w:t xml:space="preserve"> and the resultant pellet was resuspended in 5 ml of </w:t>
      </w:r>
      <w:r w:rsidR="00874F87">
        <w:rPr>
          <w:rFonts w:ascii="Times New Roman" w:hAnsi="Times New Roman" w:cs="Times New Roman"/>
          <w:lang w:val="en-GB"/>
        </w:rPr>
        <w:t>AM</w:t>
      </w:r>
      <w:r w:rsidRPr="004975E3">
        <w:rPr>
          <w:rFonts w:ascii="Times New Roman" w:hAnsi="Times New Roman" w:cs="Times New Roman"/>
          <w:lang w:val="en-GB"/>
        </w:rPr>
        <w:t>. The cell suspension</w:t>
      </w:r>
      <w:r w:rsidR="00874F87">
        <w:rPr>
          <w:rFonts w:ascii="Times New Roman" w:hAnsi="Times New Roman" w:cs="Times New Roman"/>
          <w:lang w:val="en-GB"/>
        </w:rPr>
        <w:t xml:space="preserve"> wa</w:t>
      </w:r>
      <w:r w:rsidRPr="004975E3">
        <w:rPr>
          <w:rFonts w:ascii="Times New Roman" w:hAnsi="Times New Roman" w:cs="Times New Roman"/>
          <w:lang w:val="en-GB"/>
        </w:rPr>
        <w:t>s then distributed into flasks/plates according to relevant experiments. When precise numbers of cells were necessary for experiments, cells were counted using a haemocytometer, Previous work in the group has shown that protein expression is lower (specifically Insulin/IGF signalling proteins)</w:t>
      </w:r>
      <w:r w:rsidR="0071616E">
        <w:rPr>
          <w:rFonts w:ascii="Times New Roman" w:hAnsi="Times New Roman" w:cs="Times New Roman"/>
          <w:lang w:val="en-GB"/>
        </w:rPr>
        <w:t xml:space="preserve"> (unpublished data)</w:t>
      </w:r>
      <w:r w:rsidRPr="004975E3">
        <w:rPr>
          <w:rFonts w:ascii="Times New Roman" w:hAnsi="Times New Roman" w:cs="Times New Roman"/>
          <w:lang w:val="en-GB"/>
        </w:rPr>
        <w:t xml:space="preserve"> in AM media but is increased when cells are grown in F10MEM media. Therefore 48 hours prior to experiments, cell media is changed from AM to F10MEM media. </w:t>
      </w:r>
    </w:p>
    <w:p w14:paraId="42C193EB" w14:textId="77777777" w:rsidR="00EC3C82" w:rsidRDefault="00EC3C82" w:rsidP="0085074F">
      <w:pPr>
        <w:spacing w:line="360" w:lineRule="auto"/>
        <w:jc w:val="both"/>
        <w:rPr>
          <w:rFonts w:ascii="Times New Roman" w:hAnsi="Times New Roman" w:cs="Times New Roman"/>
          <w:b/>
          <w:lang w:val="en-GB"/>
        </w:rPr>
      </w:pPr>
    </w:p>
    <w:p w14:paraId="15D0C47B" w14:textId="77777777" w:rsidR="008B0C46" w:rsidRDefault="008B0C46" w:rsidP="0085074F">
      <w:pPr>
        <w:spacing w:line="360" w:lineRule="auto"/>
        <w:jc w:val="both"/>
        <w:rPr>
          <w:rFonts w:ascii="Times New Roman" w:hAnsi="Times New Roman" w:cs="Times New Roman"/>
          <w:b/>
          <w:lang w:val="en-GB"/>
        </w:rPr>
      </w:pPr>
    </w:p>
    <w:p w14:paraId="050E5843" w14:textId="77777777" w:rsidR="008B0C46" w:rsidRDefault="008B0C46" w:rsidP="0085074F">
      <w:pPr>
        <w:spacing w:line="360" w:lineRule="auto"/>
        <w:jc w:val="both"/>
        <w:rPr>
          <w:rFonts w:ascii="Times New Roman" w:hAnsi="Times New Roman" w:cs="Times New Roman"/>
          <w:b/>
          <w:lang w:val="en-GB"/>
        </w:rPr>
      </w:pPr>
    </w:p>
    <w:p w14:paraId="125CC7F4" w14:textId="77777777" w:rsidR="008B0C46" w:rsidRDefault="008B0C46" w:rsidP="0085074F">
      <w:pPr>
        <w:spacing w:line="360" w:lineRule="auto"/>
        <w:jc w:val="both"/>
        <w:rPr>
          <w:rFonts w:ascii="Times New Roman" w:hAnsi="Times New Roman" w:cs="Times New Roman"/>
          <w:b/>
          <w:lang w:val="en-GB"/>
        </w:rPr>
      </w:pPr>
    </w:p>
    <w:p w14:paraId="4C693E2D" w14:textId="4A487EE2" w:rsidR="0071616E" w:rsidRPr="006473BF" w:rsidRDefault="0071616E" w:rsidP="0085074F">
      <w:pPr>
        <w:spacing w:line="360" w:lineRule="auto"/>
        <w:jc w:val="both"/>
        <w:rPr>
          <w:rFonts w:ascii="Times New Roman" w:hAnsi="Times New Roman" w:cs="Times New Roman"/>
          <w:b/>
          <w:lang w:val="en-GB"/>
        </w:rPr>
      </w:pPr>
      <w:r>
        <w:rPr>
          <w:rFonts w:ascii="Times New Roman" w:hAnsi="Times New Roman" w:cs="Times New Roman"/>
          <w:b/>
          <w:lang w:val="en-GB"/>
        </w:rPr>
        <w:t>Temporal Lobe Astrocytes</w:t>
      </w:r>
    </w:p>
    <w:p w14:paraId="2B1995E2" w14:textId="77777777" w:rsidR="00B833FD" w:rsidRPr="00315FF3" w:rsidRDefault="00B833FD" w:rsidP="0085074F">
      <w:pPr>
        <w:spacing w:line="360" w:lineRule="auto"/>
        <w:jc w:val="both"/>
        <w:rPr>
          <w:rFonts w:ascii="Times New Roman" w:hAnsi="Times New Roman" w:cs="Times New Roman"/>
          <w:lang w:val="en-GB"/>
        </w:rPr>
      </w:pPr>
    </w:p>
    <w:p w14:paraId="2792DDD3" w14:textId="5047C326" w:rsidR="00122C02" w:rsidRPr="00D46DE4" w:rsidRDefault="0071616E" w:rsidP="0023655E">
      <w:pPr>
        <w:spacing w:line="360" w:lineRule="auto"/>
        <w:rPr>
          <w:rFonts w:ascii="Times New Roman" w:hAnsi="Times New Roman" w:cs="Times New Roman"/>
        </w:rPr>
      </w:pPr>
      <w:r>
        <w:rPr>
          <w:rFonts w:ascii="Times New Roman" w:hAnsi="Times New Roman" w:cs="Times New Roman"/>
        </w:rPr>
        <w:t xml:space="preserve">An additional source </w:t>
      </w:r>
      <w:r w:rsidR="00FE0DAE">
        <w:rPr>
          <w:rFonts w:ascii="Times New Roman" w:hAnsi="Times New Roman" w:cs="Times New Roman"/>
        </w:rPr>
        <w:t>of human primary astrocytes was</w:t>
      </w:r>
      <w:r>
        <w:rPr>
          <w:rFonts w:ascii="Times New Roman" w:hAnsi="Times New Roman" w:cs="Times New Roman"/>
        </w:rPr>
        <w:t xml:space="preserve"> obtained from collaborators at The Open University, London (Ignacio A Romero</w:t>
      </w:r>
      <w:r w:rsidR="003419CD">
        <w:rPr>
          <w:rFonts w:ascii="Times New Roman" w:hAnsi="Times New Roman" w:cs="Times New Roman"/>
        </w:rPr>
        <w:t>, The Open University</w:t>
      </w:r>
      <w:r>
        <w:rPr>
          <w:rFonts w:ascii="Times New Roman" w:hAnsi="Times New Roman" w:cs="Times New Roman"/>
        </w:rPr>
        <w:t xml:space="preserve">). These were derived from adult temporal lobe resections and we used to validate loss of IGF1R following IGF1R treatment. </w:t>
      </w:r>
    </w:p>
    <w:p w14:paraId="0F97D19A" w14:textId="77777777" w:rsidR="00B833FD" w:rsidRPr="004975E3" w:rsidRDefault="00B833FD" w:rsidP="0023655E">
      <w:pPr>
        <w:spacing w:line="360" w:lineRule="auto"/>
      </w:pPr>
    </w:p>
    <w:p w14:paraId="040F3847" w14:textId="70A5B520" w:rsidR="005A0F63" w:rsidRPr="00F92407" w:rsidRDefault="000812FE" w:rsidP="00F92407">
      <w:pPr>
        <w:rPr>
          <w:rFonts w:ascii="Times New Roman" w:hAnsi="Times New Roman" w:cs="Times New Roman"/>
          <w:b/>
          <w:i/>
        </w:rPr>
      </w:pPr>
      <w:bookmarkStart w:id="752" w:name="_Toc262895410"/>
      <w:r w:rsidRPr="00F92407">
        <w:rPr>
          <w:rFonts w:ascii="Times New Roman" w:hAnsi="Times New Roman" w:cs="Times New Roman"/>
          <w:b/>
          <w:i/>
        </w:rPr>
        <w:t xml:space="preserve">(b) </w:t>
      </w:r>
      <w:r w:rsidR="005A0F63" w:rsidRPr="00F92407">
        <w:rPr>
          <w:rFonts w:ascii="Times New Roman" w:hAnsi="Times New Roman" w:cs="Times New Roman"/>
          <w:b/>
          <w:i/>
        </w:rPr>
        <w:t>Culturing and Differentiation of</w:t>
      </w:r>
      <w:r w:rsidR="00756560" w:rsidRPr="00F92407">
        <w:rPr>
          <w:rFonts w:ascii="Times New Roman" w:hAnsi="Times New Roman" w:cs="Times New Roman"/>
          <w:b/>
          <w:i/>
        </w:rPr>
        <w:t xml:space="preserve"> Lund Human Mesencephalic cells</w:t>
      </w:r>
      <w:r w:rsidR="005A0F63" w:rsidRPr="00F92407">
        <w:rPr>
          <w:rFonts w:ascii="Times New Roman" w:hAnsi="Times New Roman" w:cs="Times New Roman"/>
          <w:b/>
          <w:i/>
        </w:rPr>
        <w:t xml:space="preserve"> </w:t>
      </w:r>
      <w:r w:rsidR="00756560" w:rsidRPr="00F92407">
        <w:rPr>
          <w:rFonts w:ascii="Times New Roman" w:hAnsi="Times New Roman" w:cs="Times New Roman"/>
          <w:b/>
          <w:i/>
        </w:rPr>
        <w:t>(</w:t>
      </w:r>
      <w:r w:rsidR="005A0F63" w:rsidRPr="00F92407">
        <w:rPr>
          <w:rFonts w:ascii="Times New Roman" w:hAnsi="Times New Roman" w:cs="Times New Roman"/>
          <w:b/>
          <w:i/>
        </w:rPr>
        <w:t>LUHMES</w:t>
      </w:r>
      <w:r w:rsidR="00756560" w:rsidRPr="00F92407">
        <w:rPr>
          <w:rFonts w:ascii="Times New Roman" w:hAnsi="Times New Roman" w:cs="Times New Roman"/>
          <w:b/>
          <w:i/>
        </w:rPr>
        <w:t>)</w:t>
      </w:r>
    </w:p>
    <w:p w14:paraId="56EEBD94" w14:textId="77777777" w:rsidR="005A0F63" w:rsidRDefault="005A0F63" w:rsidP="005A0F63">
      <w:pPr>
        <w:autoSpaceDE w:val="0"/>
        <w:autoSpaceDN w:val="0"/>
        <w:adjustRightInd w:val="0"/>
        <w:spacing w:line="360" w:lineRule="auto"/>
        <w:jc w:val="both"/>
        <w:rPr>
          <w:rFonts w:ascii="Times New Roman" w:hAnsi="Times New Roman" w:cs="Times New Roman"/>
          <w:b/>
          <w:u w:val="single"/>
          <w:lang w:val="en-GB"/>
        </w:rPr>
      </w:pPr>
    </w:p>
    <w:p w14:paraId="1FEBC30A" w14:textId="36BC0A7A" w:rsidR="005A0F63" w:rsidRDefault="005A0F63" w:rsidP="005A0F63">
      <w:pPr>
        <w:autoSpaceDE w:val="0"/>
        <w:autoSpaceDN w:val="0"/>
        <w:adjustRightInd w:val="0"/>
        <w:spacing w:line="360" w:lineRule="auto"/>
        <w:jc w:val="both"/>
        <w:rPr>
          <w:rFonts w:ascii="Times New Roman" w:hAnsi="Times New Roman" w:cs="Times New Roman"/>
          <w:lang w:val="en-GB"/>
        </w:rPr>
      </w:pPr>
      <w:r>
        <w:rPr>
          <w:rFonts w:ascii="Times New Roman" w:hAnsi="Times New Roman" w:cs="Times New Roman"/>
          <w:lang w:val="en-GB"/>
        </w:rPr>
        <w:t>LUHMES cells are ventral mesencephalic precursor cells from a human female fetus that have been conditionally immortalised by a v-myc oncogene that is controlled in a “tet off” manner. In this state, LUHMES can be cultured in Advanced MEM (Gibco) containing 2mM L-glutamine, 1 x N2 supplement and 1%</w:t>
      </w:r>
      <w:r w:rsidR="00E332B1">
        <w:rPr>
          <w:rFonts w:ascii="Times New Roman" w:hAnsi="Times New Roman" w:cs="Times New Roman"/>
          <w:lang w:val="en-GB"/>
        </w:rPr>
        <w:t xml:space="preserve"> </w:t>
      </w:r>
      <w:r>
        <w:rPr>
          <w:rFonts w:ascii="Times New Roman" w:hAnsi="Times New Roman" w:cs="Times New Roman"/>
          <w:lang w:val="en-GB"/>
        </w:rPr>
        <w:t xml:space="preserve">PenStrep) </w:t>
      </w:r>
      <w:r w:rsidR="00756560">
        <w:rPr>
          <w:rFonts w:ascii="Times New Roman" w:hAnsi="Times New Roman" w:cs="Times New Roman"/>
          <w:lang w:val="en-GB"/>
        </w:rPr>
        <w:t>supplemented with 40ng/ml basic fibroblast growth factor (FGF)</w:t>
      </w:r>
      <w:r>
        <w:rPr>
          <w:rFonts w:ascii="Times New Roman" w:hAnsi="Times New Roman" w:cs="Times New Roman"/>
          <w:lang w:val="en-GB"/>
        </w:rPr>
        <w:t xml:space="preserve">. By inactivating this transgene with tetracycline (1μg/ml) on day one of pre-differentiation and by performing a replating step on day three, the differentiation of LUHMES cells can be rapidly synchronised (Scholz </w:t>
      </w:r>
      <w:r>
        <w:rPr>
          <w:rFonts w:ascii="Times New Roman" w:hAnsi="Times New Roman" w:cs="Times New Roman"/>
          <w:i/>
          <w:lang w:val="en-GB"/>
        </w:rPr>
        <w:t xml:space="preserve">et al, </w:t>
      </w:r>
      <w:r w:rsidR="00E332B1">
        <w:rPr>
          <w:rFonts w:ascii="Times New Roman" w:hAnsi="Times New Roman" w:cs="Times New Roman"/>
          <w:lang w:val="en-GB"/>
        </w:rPr>
        <w:t>2011) (</w:t>
      </w:r>
      <w:r w:rsidR="00E332B1" w:rsidRPr="00E332B1">
        <w:rPr>
          <w:rFonts w:ascii="Times New Roman" w:hAnsi="Times New Roman" w:cs="Times New Roman"/>
          <w:b/>
          <w:lang w:val="en-GB"/>
        </w:rPr>
        <w:t>figure 2.1</w:t>
      </w:r>
      <w:r w:rsidR="00E332B1">
        <w:rPr>
          <w:rFonts w:ascii="Times New Roman" w:hAnsi="Times New Roman" w:cs="Times New Roman"/>
          <w:lang w:val="en-GB"/>
        </w:rPr>
        <w:t>).</w:t>
      </w:r>
      <w:r>
        <w:rPr>
          <w:rFonts w:ascii="Times New Roman" w:hAnsi="Times New Roman" w:cs="Times New Roman"/>
          <w:lang w:val="en-GB"/>
        </w:rPr>
        <w:t xml:space="preserve">   </w:t>
      </w:r>
    </w:p>
    <w:p w14:paraId="32A61C2B" w14:textId="77777777" w:rsidR="005A0F63" w:rsidRDefault="005A0F63" w:rsidP="005A0F63">
      <w:pPr>
        <w:autoSpaceDE w:val="0"/>
        <w:autoSpaceDN w:val="0"/>
        <w:adjustRightInd w:val="0"/>
        <w:spacing w:line="360" w:lineRule="auto"/>
        <w:jc w:val="both"/>
        <w:rPr>
          <w:rFonts w:ascii="Times New Roman" w:hAnsi="Times New Roman" w:cs="Times New Roman"/>
          <w:lang w:val="en-GB"/>
        </w:rPr>
      </w:pPr>
    </w:p>
    <w:p w14:paraId="299366AE" w14:textId="77777777" w:rsidR="005A0F63" w:rsidRPr="00F31ECE" w:rsidRDefault="005A0F63" w:rsidP="005A0F63">
      <w:pPr>
        <w:autoSpaceDE w:val="0"/>
        <w:autoSpaceDN w:val="0"/>
        <w:adjustRightInd w:val="0"/>
        <w:spacing w:line="360" w:lineRule="auto"/>
        <w:jc w:val="both"/>
        <w:rPr>
          <w:rFonts w:ascii="Times New Roman" w:hAnsi="Times New Roman" w:cs="Times New Roman"/>
          <w:lang w:val="en-GB"/>
        </w:rPr>
      </w:pPr>
      <w:r>
        <w:rPr>
          <w:rFonts w:ascii="Times New Roman" w:hAnsi="Times New Roman" w:cs="Times New Roman"/>
          <w:noProof/>
        </w:rPr>
        <w:drawing>
          <wp:inline distT="0" distB="0" distL="0" distR="0" wp14:anchorId="4B3CCF03" wp14:editId="27E3AB89">
            <wp:extent cx="5988050" cy="1870052"/>
            <wp:effectExtent l="0" t="0" r="6350" b="10160"/>
            <wp:docPr id="1073741828" name="Picture 107374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23">
                      <a:extLst>
                        <a:ext uri="{28A0092B-C50C-407E-A947-70E740481C1C}">
                          <a14:useLocalDpi xmlns:a14="http://schemas.microsoft.com/office/drawing/2010/main" val="0"/>
                        </a:ext>
                      </a:extLst>
                    </a:blip>
                    <a:srcRect l="11669" t="28899" r="19996" b="40725"/>
                    <a:stretch/>
                  </pic:blipFill>
                  <pic:spPr bwMode="auto">
                    <a:xfrm>
                      <a:off x="0" y="0"/>
                      <a:ext cx="5992329" cy="1871388"/>
                    </a:xfrm>
                    <a:prstGeom prst="rect">
                      <a:avLst/>
                    </a:prstGeom>
                    <a:ln>
                      <a:noFill/>
                    </a:ln>
                    <a:extLst>
                      <a:ext uri="{53640926-AAD7-44d8-BBD7-CCE9431645EC}">
                        <a14:shadowObscured xmlns:a14="http://schemas.microsoft.com/office/drawing/2010/main"/>
                      </a:ext>
                    </a:extLst>
                  </pic:spPr>
                </pic:pic>
              </a:graphicData>
            </a:graphic>
          </wp:inline>
        </w:drawing>
      </w:r>
    </w:p>
    <w:p w14:paraId="59A47141" w14:textId="77777777" w:rsidR="00A83395" w:rsidRDefault="005A0F63" w:rsidP="001627E2">
      <w:pPr>
        <w:pStyle w:val="Caption"/>
        <w:rPr>
          <w:lang w:val="en-GB"/>
        </w:rPr>
      </w:pPr>
      <w:bookmarkStart w:id="753" w:name="_Toc333569046"/>
      <w:bookmarkStart w:id="754" w:name="_Toc333569271"/>
      <w:bookmarkStart w:id="755" w:name="_Toc333570825"/>
      <w:bookmarkStart w:id="756" w:name="_Toc333582208"/>
      <w:bookmarkStart w:id="757" w:name="_Toc333582328"/>
      <w:bookmarkStart w:id="758" w:name="_Toc333582740"/>
      <w:bookmarkStart w:id="759" w:name="_Toc333583110"/>
      <w:bookmarkStart w:id="760" w:name="_Toc333584079"/>
      <w:bookmarkStart w:id="761" w:name="_Toc333585213"/>
      <w:bookmarkStart w:id="762" w:name="_Toc333586765"/>
      <w:bookmarkStart w:id="763" w:name="_Toc333644464"/>
      <w:bookmarkStart w:id="764" w:name="_Toc333644758"/>
      <w:r>
        <w:rPr>
          <w:lang w:val="en-GB"/>
        </w:rPr>
        <w:t>Figure 2.1</w:t>
      </w:r>
      <w:r w:rsidR="0052651A">
        <w:rPr>
          <w:lang w:val="en-GB"/>
        </w:rPr>
        <w:t>.</w:t>
      </w:r>
      <w:r>
        <w:rPr>
          <w:lang w:val="en-GB"/>
        </w:rPr>
        <w:t xml:space="preserve"> LUHMES differentiation protocol.</w:t>
      </w:r>
      <w:bookmarkEnd w:id="753"/>
      <w:bookmarkEnd w:id="754"/>
      <w:bookmarkEnd w:id="755"/>
      <w:bookmarkEnd w:id="756"/>
      <w:bookmarkEnd w:id="757"/>
      <w:bookmarkEnd w:id="758"/>
      <w:bookmarkEnd w:id="759"/>
      <w:bookmarkEnd w:id="760"/>
      <w:bookmarkEnd w:id="761"/>
      <w:bookmarkEnd w:id="762"/>
      <w:bookmarkEnd w:id="763"/>
      <w:bookmarkEnd w:id="764"/>
    </w:p>
    <w:p w14:paraId="16D6D883" w14:textId="4F30D8A7" w:rsidR="005A0F63" w:rsidRDefault="005A0F63" w:rsidP="005A0F63">
      <w:pPr>
        <w:autoSpaceDE w:val="0"/>
        <w:autoSpaceDN w:val="0"/>
        <w:adjustRightInd w:val="0"/>
        <w:spacing w:line="360" w:lineRule="auto"/>
        <w:jc w:val="both"/>
        <w:rPr>
          <w:rFonts w:ascii="Times New Roman" w:hAnsi="Times New Roman" w:cs="Times New Roman"/>
        </w:rPr>
      </w:pPr>
      <w:r>
        <w:rPr>
          <w:rFonts w:ascii="Times New Roman" w:hAnsi="Times New Roman" w:cs="Times New Roman"/>
          <w:lang w:val="en-GB"/>
        </w:rPr>
        <w:t>On the first</w:t>
      </w:r>
      <w:r w:rsidR="00FE0DAE">
        <w:rPr>
          <w:rFonts w:ascii="Times New Roman" w:hAnsi="Times New Roman" w:cs="Times New Roman"/>
          <w:lang w:val="en-GB"/>
        </w:rPr>
        <w:t xml:space="preserve"> day of differentiation, media wa</w:t>
      </w:r>
      <w:r>
        <w:rPr>
          <w:rFonts w:ascii="Times New Roman" w:hAnsi="Times New Roman" w:cs="Times New Roman"/>
          <w:lang w:val="en-GB"/>
        </w:rPr>
        <w:t xml:space="preserve">s replaced with Advanced MEM supplemented with </w:t>
      </w:r>
      <w:r w:rsidRPr="00D1599A">
        <w:rPr>
          <w:rFonts w:ascii="Times New Roman" w:hAnsi="Times New Roman" w:cs="Times New Roman"/>
        </w:rPr>
        <w:t xml:space="preserve">1μg/ml </w:t>
      </w:r>
      <w:r>
        <w:rPr>
          <w:rFonts w:ascii="Times New Roman" w:hAnsi="Times New Roman" w:cs="Times New Roman"/>
        </w:rPr>
        <w:t>of tetracy</w:t>
      </w:r>
      <w:r w:rsidR="00FE0DAE">
        <w:rPr>
          <w:rFonts w:ascii="Times New Roman" w:hAnsi="Times New Roman" w:cs="Times New Roman"/>
        </w:rPr>
        <w:t>cline. On the third day LUHMES were replated and by day 6 we</w:t>
      </w:r>
      <w:r>
        <w:rPr>
          <w:rFonts w:ascii="Times New Roman" w:hAnsi="Times New Roman" w:cs="Times New Roman"/>
        </w:rPr>
        <w:t>re fully differentiated, post-mitotic cells</w:t>
      </w:r>
      <w:r w:rsidR="00FE0DAE">
        <w:rPr>
          <w:rFonts w:ascii="Times New Roman" w:hAnsi="Times New Roman" w:cs="Times New Roman"/>
        </w:rPr>
        <w:t xml:space="preserve"> </w:t>
      </w:r>
      <w:r w:rsidR="00FE0DAE">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"10.1111/j.1471-4159.2011.07255.x", "ISSN" : "1471-4159", "PMID" : "21434924", "abstract" : "We characterized phenotype and function of a fetal human mesencephalic cell line (LUHMES, Lund human mesencephalic) as neuronal model system. Neurodevelopmental profiling of the proliferation stage (d0, day 0) of these conditionally-immortalized cells revealed neuronal features, expressed simultaneously with some early neuroblast and stem cell markers. An optimized 2-step differentiation procedure, triggered by shut-down of the myc transgene, resulted in uniformly post-mitotic neurons within 5 days (d5). This was associated with down-regulation of some precursor markers and further up-regulation of neuronal genes. Neurite network formation involved the outgrowth of 1-2, often &gt; 500 \u03bcm long projections. They showed dynamic growth cone behavior, as evidenced by time-lapse imaging of stably GFP-over-expressing cells. Voltage-dependent sodium channels and spontaneous electrical activity of LUHMES continuously increased from d0 to d11, while levels of synaptic markers reached their maximum on d5. The developmental expression patterns of most genes and of the dopamine uptake- and release-machinery appeared to be intrinsically predetermined, as the differentiation proceeded similarly when external factors such as dibutyryl-cAMP and glial cell derived neurotrophic factor were omitted. Only tyrosine hydroxylase required the continuous presence of cAMP. In conclusion, LUHMES are a robust neuronal model with adaptable phenotype and high value for neurodevelopmental studies, disease modeling and neuropharmacology.", "author" : [ { "dropping-particle" : "", "family" : "Scholz", "given" : "Diana", "non-dropping-particle" : "", "parse-names" : false, "suffix" : "" }, { "dropping-particle" : "", "family" : "P\u00f6ltl", "given" : "Dominik", "non-dropping-particle" : "", "parse-names" : false, "suffix" : "" }, { "dropping-particle" : "", "family" : "Genewsky", "given" : "Andreas", "non-dropping-particle" : "", "parse-names" : false, "suffix" : "" }, { "dropping-particle" : "", "family" : "Weng", "given" : "Matthias", "non-dropping-particle" : "", "parse-names" : false, "suffix" : "" }, { "dropping-particle" : "", "family" : "Waldmann", "given" : "Tanja", "non-dropping-particle" : "", "parse-names" : false, "suffix" : "" }, { "dropping-particle" : "", "family" : "Schildknecht", "given" : "Stefan", "non-dropping-particle" : "", "parse-names" : false, "suffix" : "" }, { "dropping-particle" : "", "family" : "Leist", "given" : "Marcel", "non-dropping-particle" : "", "parse-names" : false, "suffix" : "" } ], "container-title" : "Journal of neurochemistry", "id" : "ITEM-1", "issue" : "5", "issued" : { "date-parts" : [ [ "2011", "12" ] ] }, "page" : "957-71", "title" : "Rapid, complete and large-scale generation of post-mitotic neurons from the human LUHMES cell line.", "type" : "article-journal", "volume" : "119" }, "uris" : [ "http://www.mendeley.com/documents/?uuid=15f6f1b0-c5c9-4030-b0c8-7b0ad79591f6" ] } ], "mendeley" : { "formattedCitation" : "(Scholz et al. 2011)", "plainTextFormattedCitation" : "(Scholz et al. 2011)", "previouslyFormattedCitation" : "(Scholz et al. 2011)" }, "properties" : { "noteIndex" : 0 }, "schema" : "https://github.com/citation-style-language/schema/raw/master/csl-citation.json" }</w:instrText>
      </w:r>
      <w:r w:rsidR="00FE0DAE">
        <w:rPr>
          <w:rFonts w:ascii="Times New Roman" w:hAnsi="Times New Roman" w:cs="Times New Roman"/>
        </w:rPr>
        <w:fldChar w:fldCharType="separate"/>
      </w:r>
      <w:r w:rsidR="00C148FC" w:rsidRPr="00C148FC">
        <w:rPr>
          <w:rFonts w:ascii="Times New Roman" w:hAnsi="Times New Roman" w:cs="Times New Roman"/>
          <w:noProof/>
        </w:rPr>
        <w:t>(Scholz et al. 2011)</w:t>
      </w:r>
      <w:r w:rsidR="00FE0DAE">
        <w:rPr>
          <w:rFonts w:ascii="Times New Roman" w:hAnsi="Times New Roman" w:cs="Times New Roman"/>
        </w:rPr>
        <w:fldChar w:fldCharType="end"/>
      </w:r>
      <w:r>
        <w:rPr>
          <w:rFonts w:ascii="Times New Roman" w:hAnsi="Times New Roman" w:cs="Times New Roman"/>
        </w:rPr>
        <w:t xml:space="preserve">. </w:t>
      </w:r>
    </w:p>
    <w:p w14:paraId="6492244A" w14:textId="77777777" w:rsidR="00154EC1" w:rsidRDefault="00154EC1" w:rsidP="009A1D4C">
      <w:pPr>
        <w:rPr>
          <w:rFonts w:ascii="Times New Roman" w:hAnsi="Times New Roman" w:cs="Times New Roman"/>
          <w:b/>
        </w:rPr>
      </w:pPr>
    </w:p>
    <w:p w14:paraId="74B50476" w14:textId="77777777" w:rsidR="00DF113C" w:rsidRDefault="00DF113C" w:rsidP="00F92407">
      <w:pPr>
        <w:rPr>
          <w:rFonts w:ascii="Times New Roman" w:hAnsi="Times New Roman" w:cs="Times New Roman"/>
          <w:b/>
          <w:i/>
        </w:rPr>
      </w:pPr>
    </w:p>
    <w:p w14:paraId="7C0C2C20" w14:textId="3A462793" w:rsidR="0071616E" w:rsidRPr="00F92407" w:rsidRDefault="000812FE" w:rsidP="00F92407">
      <w:pPr>
        <w:rPr>
          <w:rFonts w:ascii="Times New Roman" w:hAnsi="Times New Roman" w:cs="Times New Roman"/>
          <w:b/>
          <w:i/>
        </w:rPr>
      </w:pPr>
      <w:r w:rsidRPr="00F92407">
        <w:rPr>
          <w:rFonts w:ascii="Times New Roman" w:hAnsi="Times New Roman" w:cs="Times New Roman"/>
          <w:b/>
          <w:i/>
        </w:rPr>
        <w:t xml:space="preserve">(c) </w:t>
      </w:r>
      <w:r w:rsidR="00D756A5" w:rsidRPr="00F92407">
        <w:rPr>
          <w:rFonts w:ascii="Times New Roman" w:hAnsi="Times New Roman" w:cs="Times New Roman"/>
          <w:b/>
          <w:i/>
        </w:rPr>
        <w:t xml:space="preserve">Cryopreservation of </w:t>
      </w:r>
      <w:r w:rsidR="0071616E" w:rsidRPr="00F92407">
        <w:rPr>
          <w:rFonts w:ascii="Times New Roman" w:hAnsi="Times New Roman" w:cs="Times New Roman"/>
          <w:b/>
          <w:i/>
        </w:rPr>
        <w:t xml:space="preserve">cells </w:t>
      </w:r>
    </w:p>
    <w:p w14:paraId="471B4C71" w14:textId="77777777" w:rsidR="0071616E" w:rsidRDefault="0071616E" w:rsidP="009A1D4C">
      <w:pPr>
        <w:rPr>
          <w:rFonts w:ascii="Times New Roman" w:hAnsi="Times New Roman" w:cs="Times New Roman"/>
          <w:b/>
        </w:rPr>
      </w:pPr>
    </w:p>
    <w:p w14:paraId="295A0034" w14:textId="45E80557" w:rsidR="00403446" w:rsidRPr="009A1D4C" w:rsidRDefault="00D756A5" w:rsidP="009A1D4C">
      <w:pPr>
        <w:rPr>
          <w:rFonts w:ascii="Times New Roman" w:hAnsi="Times New Roman" w:cs="Times New Roman"/>
          <w:b/>
        </w:rPr>
      </w:pPr>
      <w:r w:rsidRPr="009A1D4C">
        <w:rPr>
          <w:rFonts w:ascii="Times New Roman" w:hAnsi="Times New Roman" w:cs="Times New Roman"/>
          <w:b/>
        </w:rPr>
        <w:t>Astrocytes</w:t>
      </w:r>
      <w:r w:rsidR="00E332B1">
        <w:rPr>
          <w:rFonts w:ascii="Times New Roman" w:hAnsi="Times New Roman" w:cs="Times New Roman"/>
          <w:b/>
        </w:rPr>
        <w:t>/ LUHMES</w:t>
      </w:r>
      <w:r w:rsidRPr="009A1D4C">
        <w:rPr>
          <w:rFonts w:ascii="Times New Roman" w:hAnsi="Times New Roman" w:cs="Times New Roman"/>
          <w:b/>
        </w:rPr>
        <w:t xml:space="preserve"> </w:t>
      </w:r>
    </w:p>
    <w:p w14:paraId="22CB313A" w14:textId="77777777" w:rsidR="00D756A5" w:rsidRDefault="00D756A5" w:rsidP="00D756A5"/>
    <w:p w14:paraId="00FDD91C" w14:textId="0445C243" w:rsidR="00D01519" w:rsidRDefault="00167EE4" w:rsidP="003E7BDB">
      <w:pPr>
        <w:spacing w:line="360" w:lineRule="auto"/>
        <w:jc w:val="both"/>
        <w:rPr>
          <w:rFonts w:ascii="Times New Roman" w:hAnsi="Times New Roman" w:cs="Times New Roman"/>
          <w:lang w:val="en-GB"/>
        </w:rPr>
      </w:pPr>
      <w:r w:rsidRPr="00D46DE4">
        <w:rPr>
          <w:rFonts w:ascii="Times New Roman" w:hAnsi="Times New Roman" w:cs="Times New Roman"/>
        </w:rPr>
        <w:t xml:space="preserve">To cryopreserve human astrocytes, </w:t>
      </w:r>
      <w:r w:rsidR="0071616E">
        <w:rPr>
          <w:rFonts w:ascii="Times New Roman" w:hAnsi="Times New Roman" w:cs="Times New Roman"/>
        </w:rPr>
        <w:t xml:space="preserve">cells were </w:t>
      </w:r>
      <w:r w:rsidRPr="00D46DE4">
        <w:rPr>
          <w:rFonts w:ascii="Times New Roman" w:hAnsi="Times New Roman" w:cs="Times New Roman"/>
        </w:rPr>
        <w:t>trypsinise</w:t>
      </w:r>
      <w:r w:rsidR="0071616E">
        <w:rPr>
          <w:rFonts w:ascii="Times New Roman" w:hAnsi="Times New Roman" w:cs="Times New Roman"/>
        </w:rPr>
        <w:t>d as described above and then resuspended in cryopreservation media at</w:t>
      </w:r>
      <w:r w:rsidRPr="00D46DE4">
        <w:rPr>
          <w:rFonts w:ascii="Times New Roman" w:hAnsi="Times New Roman" w:cs="Times New Roman"/>
        </w:rPr>
        <w:t xml:space="preserve"> </w:t>
      </w:r>
      <w:r w:rsidR="00A62092" w:rsidRPr="00D46DE4">
        <w:rPr>
          <w:rFonts w:ascii="Times New Roman" w:hAnsi="Times New Roman" w:cs="Times New Roman"/>
        </w:rPr>
        <w:t>1x10</w:t>
      </w:r>
      <w:r w:rsidR="00A62092" w:rsidRPr="00D46DE4">
        <w:rPr>
          <w:rFonts w:ascii="Times New Roman" w:hAnsi="Times New Roman" w:cs="Times New Roman"/>
          <w:vertAlign w:val="superscript"/>
        </w:rPr>
        <w:t>6</w:t>
      </w:r>
      <w:r w:rsidR="00A62092" w:rsidRPr="00D46DE4">
        <w:rPr>
          <w:rFonts w:ascii="Times New Roman" w:hAnsi="Times New Roman" w:cs="Times New Roman"/>
        </w:rPr>
        <w:t xml:space="preserve"> cells</w:t>
      </w:r>
      <w:r w:rsidR="0071616E">
        <w:rPr>
          <w:rFonts w:ascii="Times New Roman" w:hAnsi="Times New Roman" w:cs="Times New Roman"/>
        </w:rPr>
        <w:t xml:space="preserve">/ml. The cell suspension was transferred to cryogenic vials and stored in </w:t>
      </w:r>
      <w:r w:rsidR="00A62092" w:rsidRPr="00D46DE4">
        <w:rPr>
          <w:rFonts w:ascii="Times New Roman" w:hAnsi="Times New Roman" w:cs="Times New Roman"/>
        </w:rPr>
        <w:t>CoolCell® SV2 (Biocision) at -80</w:t>
      </w:r>
      <w:r w:rsidR="00A62092" w:rsidRPr="00D46DE4">
        <w:rPr>
          <w:rFonts w:ascii="Times New Roman" w:hAnsi="Times New Roman" w:cs="Times New Roman"/>
          <w:lang w:val="en-GB"/>
        </w:rPr>
        <w:t>°C for 24 hours before transferring cryovi</w:t>
      </w:r>
      <w:r w:rsidR="00F0363B">
        <w:rPr>
          <w:rFonts w:ascii="Times New Roman" w:hAnsi="Times New Roman" w:cs="Times New Roman"/>
          <w:lang w:val="en-GB"/>
        </w:rPr>
        <w:t>als to liquid nitrogen for long-</w:t>
      </w:r>
      <w:r w:rsidR="00A62092" w:rsidRPr="00D46DE4">
        <w:rPr>
          <w:rFonts w:ascii="Times New Roman" w:hAnsi="Times New Roman" w:cs="Times New Roman"/>
          <w:lang w:val="en-GB"/>
        </w:rPr>
        <w:t>term storage.</w:t>
      </w:r>
    </w:p>
    <w:bookmarkEnd w:id="752"/>
    <w:p w14:paraId="751C7DA2" w14:textId="46726167" w:rsidR="0085074F" w:rsidRPr="00F92407" w:rsidRDefault="000812FE" w:rsidP="00F92407">
      <w:pPr>
        <w:rPr>
          <w:rFonts w:ascii="Times New Roman" w:hAnsi="Times New Roman" w:cs="Times New Roman"/>
          <w:b/>
          <w:i/>
        </w:rPr>
      </w:pPr>
      <w:r w:rsidRPr="00F92407">
        <w:rPr>
          <w:rFonts w:ascii="Times New Roman" w:hAnsi="Times New Roman" w:cs="Times New Roman"/>
          <w:b/>
          <w:i/>
        </w:rPr>
        <w:t xml:space="preserve">(d) </w:t>
      </w:r>
      <w:r w:rsidR="005A0F63" w:rsidRPr="00F92407">
        <w:rPr>
          <w:rFonts w:ascii="Times New Roman" w:hAnsi="Times New Roman" w:cs="Times New Roman"/>
          <w:b/>
          <w:i/>
        </w:rPr>
        <w:t>Astrocyte treatment protocols</w:t>
      </w:r>
    </w:p>
    <w:p w14:paraId="610CB107" w14:textId="77777777" w:rsidR="0085074F" w:rsidRPr="004975E3" w:rsidRDefault="0085074F" w:rsidP="0085074F">
      <w:pPr>
        <w:spacing w:line="360" w:lineRule="auto"/>
        <w:jc w:val="both"/>
        <w:rPr>
          <w:rFonts w:ascii="Times New Roman" w:hAnsi="Times New Roman" w:cs="Times New Roman"/>
          <w:b/>
          <w:lang w:val="en-GB"/>
        </w:rPr>
      </w:pPr>
    </w:p>
    <w:p w14:paraId="3EF03914" w14:textId="36D4B6E9" w:rsidR="0085074F" w:rsidRPr="004975E3" w:rsidRDefault="000812FE" w:rsidP="0085074F">
      <w:pPr>
        <w:spacing w:line="360" w:lineRule="auto"/>
        <w:jc w:val="both"/>
        <w:rPr>
          <w:rFonts w:ascii="Times New Roman" w:hAnsi="Times New Roman" w:cs="Times New Roman"/>
          <w:b/>
          <w:lang w:val="en-GB"/>
        </w:rPr>
      </w:pPr>
      <w:r>
        <w:rPr>
          <w:rFonts w:ascii="Times New Roman" w:hAnsi="Times New Roman" w:cs="Times New Roman"/>
          <w:b/>
          <w:lang w:val="en-GB"/>
        </w:rPr>
        <w:t xml:space="preserve">Human </w:t>
      </w:r>
      <w:r w:rsidR="005A0F63">
        <w:rPr>
          <w:rFonts w:ascii="Times New Roman" w:hAnsi="Times New Roman" w:cs="Times New Roman"/>
          <w:b/>
          <w:lang w:val="en-GB"/>
        </w:rPr>
        <w:t>IGF1 s</w:t>
      </w:r>
      <w:r w:rsidR="0085074F" w:rsidRPr="004975E3">
        <w:rPr>
          <w:rFonts w:ascii="Times New Roman" w:hAnsi="Times New Roman" w:cs="Times New Roman"/>
          <w:b/>
          <w:lang w:val="en-GB"/>
        </w:rPr>
        <w:t>timulation experiments</w:t>
      </w:r>
      <w:r w:rsidR="005A0F63">
        <w:rPr>
          <w:rFonts w:ascii="Times New Roman" w:hAnsi="Times New Roman" w:cs="Times New Roman"/>
          <w:b/>
          <w:lang w:val="en-GB"/>
        </w:rPr>
        <w:t xml:space="preserve"> (pathway characterisation)</w:t>
      </w:r>
    </w:p>
    <w:p w14:paraId="20CA7E72" w14:textId="3C663403" w:rsidR="0085074F" w:rsidRPr="004975E3" w:rsidRDefault="005A0F63" w:rsidP="0085074F">
      <w:pPr>
        <w:spacing w:line="360" w:lineRule="auto"/>
        <w:jc w:val="both"/>
        <w:rPr>
          <w:rFonts w:ascii="Times New Roman" w:hAnsi="Times New Roman" w:cs="Times New Roman"/>
          <w:lang w:val="en-GB"/>
        </w:rPr>
      </w:pPr>
      <w:r>
        <w:rPr>
          <w:rFonts w:ascii="Times New Roman" w:hAnsi="Times New Roman" w:cs="Times New Roman"/>
          <w:lang w:val="en-GB"/>
        </w:rPr>
        <w:t xml:space="preserve">Stimulation experiments were performed in both the presence and absence of serum to account for the impact of growth factors in serum. </w:t>
      </w:r>
      <w:r w:rsidR="0085074F" w:rsidRPr="004975E3">
        <w:rPr>
          <w:rFonts w:ascii="Times New Roman" w:hAnsi="Times New Roman" w:cs="Times New Roman"/>
          <w:lang w:val="en-GB"/>
        </w:rPr>
        <w:t>Astrocytes were cu</w:t>
      </w:r>
      <w:r>
        <w:rPr>
          <w:rFonts w:ascii="Times New Roman" w:hAnsi="Times New Roman" w:cs="Times New Roman"/>
          <w:lang w:val="en-GB"/>
        </w:rPr>
        <w:t>ltured in F10MEM medium with or</w:t>
      </w:r>
      <w:r w:rsidR="0085074F" w:rsidRPr="004975E3">
        <w:rPr>
          <w:rFonts w:ascii="Times New Roman" w:hAnsi="Times New Roman" w:cs="Times New Roman"/>
          <w:lang w:val="en-GB"/>
        </w:rPr>
        <w:t xml:space="preserve"> without </w:t>
      </w:r>
      <w:r>
        <w:rPr>
          <w:rFonts w:ascii="Times New Roman" w:hAnsi="Times New Roman" w:cs="Times New Roman"/>
          <w:lang w:val="en-GB"/>
        </w:rPr>
        <w:t xml:space="preserve">10% </w:t>
      </w:r>
      <w:r w:rsidR="0085074F" w:rsidRPr="004975E3">
        <w:rPr>
          <w:rFonts w:ascii="Times New Roman" w:hAnsi="Times New Roman" w:cs="Times New Roman"/>
          <w:lang w:val="en-GB"/>
        </w:rPr>
        <w:t>serum in 10cm dishes for 24</w:t>
      </w:r>
      <w:r w:rsidR="00DA7C59">
        <w:rPr>
          <w:rFonts w:ascii="Times New Roman" w:hAnsi="Times New Roman" w:cs="Times New Roman"/>
          <w:lang w:val="en-GB"/>
        </w:rPr>
        <w:t xml:space="preserve"> </w:t>
      </w:r>
      <w:r w:rsidR="0085074F" w:rsidRPr="004975E3">
        <w:rPr>
          <w:rFonts w:ascii="Times New Roman" w:hAnsi="Times New Roman" w:cs="Times New Roman"/>
          <w:lang w:val="en-GB"/>
        </w:rPr>
        <w:t>hour</w:t>
      </w:r>
      <w:r w:rsidR="00CB3B19">
        <w:rPr>
          <w:rFonts w:ascii="Times New Roman" w:hAnsi="Times New Roman" w:cs="Times New Roman"/>
          <w:lang w:val="en-GB"/>
        </w:rPr>
        <w:t>s prior to stimulation with 10</w:t>
      </w:r>
      <w:r w:rsidR="0085074F" w:rsidRPr="004975E3">
        <w:rPr>
          <w:rFonts w:ascii="Times New Roman" w:hAnsi="Times New Roman" w:cs="Times New Roman"/>
          <w:lang w:val="en-GB"/>
        </w:rPr>
        <w:t xml:space="preserve"> nM human recombinant IGF1 ligand</w:t>
      </w:r>
      <w:r w:rsidR="00DA7C59">
        <w:rPr>
          <w:rFonts w:ascii="Times New Roman" w:hAnsi="Times New Roman" w:cs="Times New Roman"/>
          <w:lang w:val="en-GB"/>
        </w:rPr>
        <w:t xml:space="preserve"> for 2 hours before harvesting cells for </w:t>
      </w:r>
      <w:r w:rsidR="000B2168">
        <w:rPr>
          <w:rFonts w:ascii="Times New Roman" w:hAnsi="Times New Roman" w:cs="Times New Roman"/>
          <w:lang w:val="en-GB"/>
        </w:rPr>
        <w:t>western blotting</w:t>
      </w:r>
      <w:r w:rsidR="0085074F" w:rsidRPr="004975E3">
        <w:rPr>
          <w:rFonts w:ascii="Times New Roman" w:hAnsi="Times New Roman" w:cs="Times New Roman"/>
          <w:lang w:val="en-GB"/>
        </w:rPr>
        <w:t>.</w:t>
      </w:r>
    </w:p>
    <w:p w14:paraId="6338F334" w14:textId="77777777" w:rsidR="00DA3022" w:rsidRDefault="00DA3022" w:rsidP="0085074F">
      <w:pPr>
        <w:spacing w:line="360" w:lineRule="auto"/>
        <w:jc w:val="both"/>
        <w:rPr>
          <w:rFonts w:ascii="Times New Roman" w:hAnsi="Times New Roman" w:cs="Times New Roman"/>
          <w:b/>
          <w:lang w:val="en-GB"/>
        </w:rPr>
      </w:pPr>
    </w:p>
    <w:p w14:paraId="25709BED" w14:textId="1979EB7A" w:rsidR="0085074F" w:rsidRPr="004975E3" w:rsidRDefault="000812FE" w:rsidP="0085074F">
      <w:pPr>
        <w:spacing w:line="360" w:lineRule="auto"/>
        <w:jc w:val="both"/>
        <w:rPr>
          <w:rFonts w:ascii="Times New Roman" w:hAnsi="Times New Roman" w:cs="Times New Roman"/>
          <w:b/>
          <w:lang w:val="en-GB"/>
        </w:rPr>
      </w:pPr>
      <w:r>
        <w:rPr>
          <w:rFonts w:ascii="Times New Roman" w:hAnsi="Times New Roman" w:cs="Times New Roman"/>
          <w:b/>
          <w:lang w:val="en-GB"/>
        </w:rPr>
        <w:t>IGF1R monoclonal antibody and isotype control (MAB391/MAB002)</w:t>
      </w:r>
      <w:r w:rsidR="0085074F" w:rsidRPr="004975E3">
        <w:rPr>
          <w:rFonts w:ascii="Times New Roman" w:hAnsi="Times New Roman" w:cs="Times New Roman"/>
          <w:b/>
          <w:lang w:val="en-GB"/>
        </w:rPr>
        <w:t xml:space="preserve"> treatment</w:t>
      </w:r>
    </w:p>
    <w:p w14:paraId="6C1A9FBF" w14:textId="470BA7D3" w:rsidR="0085074F" w:rsidRPr="004975E3" w:rsidRDefault="0085074F" w:rsidP="0085074F">
      <w:pPr>
        <w:spacing w:line="360" w:lineRule="auto"/>
        <w:jc w:val="both"/>
        <w:rPr>
          <w:rFonts w:ascii="Times New Roman" w:hAnsi="Times New Roman" w:cs="Times New Roman"/>
          <w:lang w:val="en-GB"/>
        </w:rPr>
      </w:pPr>
      <w:r w:rsidRPr="004975E3">
        <w:rPr>
          <w:rFonts w:ascii="Times New Roman" w:hAnsi="Times New Roman" w:cs="Times New Roman"/>
          <w:lang w:val="en-GB"/>
        </w:rPr>
        <w:t>Cells were treated with 11 μg/ml of MAB391</w:t>
      </w:r>
      <w:r w:rsidR="000C4CEB">
        <w:rPr>
          <w:rFonts w:ascii="Times New Roman" w:hAnsi="Times New Roman" w:cs="Times New Roman"/>
          <w:lang w:val="en-GB"/>
        </w:rPr>
        <w:t>/MAB002(IgG)</w:t>
      </w:r>
      <w:r w:rsidRPr="004975E3">
        <w:rPr>
          <w:rFonts w:ascii="Times New Roman" w:hAnsi="Times New Roman" w:cs="Times New Roman"/>
          <w:lang w:val="en-GB"/>
        </w:rPr>
        <w:t xml:space="preserve"> for 24 hours. After 24 hours the cells </w:t>
      </w:r>
      <w:r w:rsidR="005A0F63">
        <w:rPr>
          <w:rFonts w:ascii="Times New Roman" w:hAnsi="Times New Roman" w:cs="Times New Roman"/>
          <w:lang w:val="en-GB"/>
        </w:rPr>
        <w:t>were washed with 1 x PBS and fresh</w:t>
      </w:r>
      <w:r w:rsidRPr="004975E3">
        <w:rPr>
          <w:rFonts w:ascii="Times New Roman" w:hAnsi="Times New Roman" w:cs="Times New Roman"/>
          <w:lang w:val="en-GB"/>
        </w:rPr>
        <w:t xml:space="preserve"> F10MEM media mix was added back to the cells for 72 hours. </w:t>
      </w:r>
    </w:p>
    <w:p w14:paraId="3C86864E" w14:textId="77777777" w:rsidR="005979EC" w:rsidRPr="004975E3" w:rsidRDefault="005979EC" w:rsidP="0085074F">
      <w:pPr>
        <w:spacing w:line="360" w:lineRule="auto"/>
        <w:jc w:val="both"/>
        <w:rPr>
          <w:rFonts w:ascii="Times New Roman" w:hAnsi="Times New Roman" w:cs="Times New Roman"/>
          <w:lang w:val="en-GB"/>
        </w:rPr>
      </w:pPr>
    </w:p>
    <w:p w14:paraId="0FDB422E" w14:textId="754B7132" w:rsidR="005979EC" w:rsidRPr="004975E3" w:rsidRDefault="005979EC" w:rsidP="0085074F">
      <w:pPr>
        <w:spacing w:line="360" w:lineRule="auto"/>
        <w:jc w:val="both"/>
        <w:rPr>
          <w:rFonts w:ascii="Times New Roman" w:hAnsi="Times New Roman" w:cs="Times New Roman"/>
          <w:b/>
          <w:lang w:val="en-GB"/>
        </w:rPr>
      </w:pPr>
      <w:r w:rsidRPr="004975E3">
        <w:rPr>
          <w:rFonts w:ascii="Times New Roman" w:hAnsi="Times New Roman" w:cs="Times New Roman"/>
          <w:b/>
          <w:lang w:val="en-GB"/>
        </w:rPr>
        <w:t>DMSO/ Wortmannin treatment</w:t>
      </w:r>
    </w:p>
    <w:p w14:paraId="3A98496B" w14:textId="6C6C999D" w:rsidR="00B833FD" w:rsidRPr="00756560" w:rsidRDefault="005979EC" w:rsidP="00756560">
      <w:pPr>
        <w:spacing w:line="360" w:lineRule="auto"/>
        <w:jc w:val="both"/>
        <w:rPr>
          <w:rFonts w:ascii="Times New Roman" w:hAnsi="Times New Roman" w:cs="Times New Roman"/>
          <w:lang w:val="en-GB"/>
        </w:rPr>
      </w:pPr>
      <w:r w:rsidRPr="004975E3">
        <w:rPr>
          <w:rFonts w:ascii="Times New Roman" w:hAnsi="Times New Roman" w:cs="Times New Roman"/>
          <w:lang w:val="en-GB"/>
        </w:rPr>
        <w:t xml:space="preserve">Cells were treated with 1μM of Wortmannin or </w:t>
      </w:r>
      <w:r w:rsidR="005A0F63">
        <w:rPr>
          <w:rFonts w:ascii="Times New Roman" w:hAnsi="Times New Roman" w:cs="Times New Roman"/>
          <w:lang w:val="en-GB"/>
        </w:rPr>
        <w:t xml:space="preserve">an </w:t>
      </w:r>
      <w:r w:rsidRPr="004975E3">
        <w:rPr>
          <w:rFonts w:ascii="Times New Roman" w:hAnsi="Times New Roman" w:cs="Times New Roman"/>
          <w:lang w:val="en-GB"/>
        </w:rPr>
        <w:t>equivalent volume of DMSO for 24hours. For longer treatments, the cells were washed at 24</w:t>
      </w:r>
      <w:r w:rsidR="00E2167E">
        <w:rPr>
          <w:rFonts w:ascii="Times New Roman" w:hAnsi="Times New Roman" w:cs="Times New Roman"/>
          <w:lang w:val="en-GB"/>
        </w:rPr>
        <w:t xml:space="preserve"> </w:t>
      </w:r>
      <w:r w:rsidRPr="004975E3">
        <w:rPr>
          <w:rFonts w:ascii="Times New Roman" w:hAnsi="Times New Roman" w:cs="Times New Roman"/>
          <w:lang w:val="en-GB"/>
        </w:rPr>
        <w:t xml:space="preserve">hours with 1xPBS and F10MEM media added </w:t>
      </w:r>
      <w:r w:rsidR="005A0F63">
        <w:rPr>
          <w:rFonts w:ascii="Times New Roman" w:hAnsi="Times New Roman" w:cs="Times New Roman"/>
          <w:lang w:val="en-GB"/>
        </w:rPr>
        <w:t xml:space="preserve">to the cells for </w:t>
      </w:r>
      <w:r w:rsidRPr="004975E3">
        <w:rPr>
          <w:rFonts w:ascii="Times New Roman" w:hAnsi="Times New Roman" w:cs="Times New Roman"/>
          <w:lang w:val="en-GB"/>
        </w:rPr>
        <w:t>72</w:t>
      </w:r>
      <w:r w:rsidR="00E2167E">
        <w:rPr>
          <w:rFonts w:ascii="Times New Roman" w:hAnsi="Times New Roman" w:cs="Times New Roman"/>
          <w:lang w:val="en-GB"/>
        </w:rPr>
        <w:t xml:space="preserve"> </w:t>
      </w:r>
      <w:r w:rsidRPr="004975E3">
        <w:rPr>
          <w:rFonts w:ascii="Times New Roman" w:hAnsi="Times New Roman" w:cs="Times New Roman"/>
          <w:lang w:val="en-GB"/>
        </w:rPr>
        <w:t>hours.</w:t>
      </w:r>
    </w:p>
    <w:p w14:paraId="6EBC4B98" w14:textId="3C7F8B49" w:rsidR="00B833FD" w:rsidRPr="00A621B6" w:rsidRDefault="00B833FD" w:rsidP="00B833FD">
      <w:pPr>
        <w:autoSpaceDE w:val="0"/>
        <w:autoSpaceDN w:val="0"/>
        <w:adjustRightInd w:val="0"/>
        <w:spacing w:line="360" w:lineRule="auto"/>
        <w:jc w:val="both"/>
        <w:rPr>
          <w:rFonts w:ascii="Times New Roman" w:hAnsi="Times New Roman" w:cs="Times New Roman"/>
          <w:lang w:val="en-GB"/>
        </w:rPr>
      </w:pPr>
    </w:p>
    <w:p w14:paraId="48ACF7A9" w14:textId="56DB3BF7" w:rsidR="00B833FD" w:rsidRPr="00F92407" w:rsidRDefault="000812FE" w:rsidP="00F92407">
      <w:pPr>
        <w:rPr>
          <w:rFonts w:ascii="Times New Roman" w:hAnsi="Times New Roman" w:cs="Times New Roman"/>
          <w:b/>
          <w:i/>
          <w:lang w:val="en-GB"/>
        </w:rPr>
      </w:pPr>
      <w:r w:rsidRPr="00F92407">
        <w:rPr>
          <w:rFonts w:ascii="Times New Roman" w:hAnsi="Times New Roman" w:cs="Times New Roman"/>
          <w:b/>
          <w:i/>
          <w:lang w:val="en-GB"/>
        </w:rPr>
        <w:t xml:space="preserve">e) </w:t>
      </w:r>
      <w:r w:rsidR="003A0599" w:rsidRPr="00F92407">
        <w:rPr>
          <w:rFonts w:ascii="Times New Roman" w:hAnsi="Times New Roman" w:cs="Times New Roman"/>
          <w:b/>
          <w:i/>
          <w:lang w:val="en-GB"/>
        </w:rPr>
        <w:t xml:space="preserve">Generation of </w:t>
      </w:r>
      <w:r w:rsidRPr="00F92407">
        <w:rPr>
          <w:rFonts w:ascii="Times New Roman" w:hAnsi="Times New Roman" w:cs="Times New Roman"/>
          <w:b/>
          <w:i/>
          <w:lang w:val="en-GB"/>
        </w:rPr>
        <w:t>GFP-</w:t>
      </w:r>
      <w:r w:rsidR="00B833FD" w:rsidRPr="00F92407">
        <w:rPr>
          <w:rFonts w:ascii="Times New Roman" w:hAnsi="Times New Roman" w:cs="Times New Roman"/>
          <w:b/>
          <w:i/>
          <w:lang w:val="en-GB"/>
        </w:rPr>
        <w:t>LUHMES</w:t>
      </w:r>
    </w:p>
    <w:p w14:paraId="2EA5E889" w14:textId="77777777" w:rsidR="00B833FD" w:rsidRDefault="00B833FD" w:rsidP="00B833FD">
      <w:pPr>
        <w:autoSpaceDE w:val="0"/>
        <w:autoSpaceDN w:val="0"/>
        <w:adjustRightInd w:val="0"/>
        <w:spacing w:line="360" w:lineRule="auto"/>
        <w:jc w:val="both"/>
        <w:rPr>
          <w:rFonts w:ascii="Times New Roman" w:hAnsi="Times New Roman" w:cs="Times New Roman"/>
          <w:b/>
          <w:u w:val="single"/>
          <w:lang w:val="en-GB"/>
        </w:rPr>
      </w:pPr>
    </w:p>
    <w:p w14:paraId="2DD696F4" w14:textId="6A428F1C" w:rsidR="00B833FD" w:rsidRDefault="00B833FD" w:rsidP="00B833FD">
      <w:pPr>
        <w:autoSpaceDE w:val="0"/>
        <w:autoSpaceDN w:val="0"/>
        <w:adjustRightInd w:val="0"/>
        <w:spacing w:line="360" w:lineRule="auto"/>
        <w:jc w:val="both"/>
        <w:rPr>
          <w:rFonts w:ascii="Times New Roman" w:hAnsi="Times New Roman" w:cs="Times New Roman"/>
          <w:b/>
          <w:lang w:val="en-GB"/>
        </w:rPr>
      </w:pPr>
      <w:r>
        <w:rPr>
          <w:rFonts w:ascii="Times New Roman" w:hAnsi="Times New Roman" w:cs="Times New Roman"/>
          <w:b/>
          <w:lang w:val="en-GB"/>
        </w:rPr>
        <w:t>Plasmid transfection of HEK-293T cells for Lentiviral production</w:t>
      </w:r>
    </w:p>
    <w:p w14:paraId="1C69D78C" w14:textId="36B0D4D7" w:rsidR="00B833FD" w:rsidRDefault="00B833FD" w:rsidP="00B833FD">
      <w:pPr>
        <w:autoSpaceDE w:val="0"/>
        <w:autoSpaceDN w:val="0"/>
        <w:adjustRightInd w:val="0"/>
        <w:spacing w:line="360" w:lineRule="auto"/>
        <w:jc w:val="both"/>
        <w:rPr>
          <w:rFonts w:ascii="Times New Roman" w:hAnsi="Times New Roman" w:cs="Times New Roman"/>
          <w:lang w:val="en-GB"/>
        </w:rPr>
      </w:pPr>
      <w:r>
        <w:rPr>
          <w:rFonts w:ascii="Times New Roman" w:hAnsi="Times New Roman" w:cs="Times New Roman"/>
          <w:lang w:val="en-GB"/>
        </w:rPr>
        <w:t>On day 1, four T75 flasks of confluent HEK293T cells were seeded into 20 x 10cm plates with 3x10</w:t>
      </w:r>
      <w:r>
        <w:rPr>
          <w:rFonts w:ascii="Times New Roman" w:hAnsi="Times New Roman" w:cs="Times New Roman"/>
          <w:vertAlign w:val="superscript"/>
          <w:lang w:val="en-GB"/>
        </w:rPr>
        <w:t>6</w:t>
      </w:r>
      <w:r>
        <w:rPr>
          <w:rFonts w:ascii="Times New Roman" w:hAnsi="Times New Roman" w:cs="Times New Roman"/>
          <w:lang w:val="en-GB"/>
        </w:rPr>
        <w:t xml:space="preserve"> cells seeded per plate. HEK293T cells were grown in complete DMEM media (DMEM, 10% FBS, 1% Pen/Strep). The following day HEK293T cells were transfected using PEI </w:t>
      </w:r>
      <w:r w:rsidR="00D46DE4">
        <w:rPr>
          <w:rFonts w:ascii="Times New Roman" w:hAnsi="Times New Roman" w:cs="Times New Roman"/>
          <w:lang w:val="en-GB"/>
        </w:rPr>
        <w:t xml:space="preserve">(polyethylenimine) </w:t>
      </w:r>
      <w:r>
        <w:rPr>
          <w:rFonts w:ascii="Times New Roman" w:hAnsi="Times New Roman" w:cs="Times New Roman"/>
          <w:lang w:val="en-GB"/>
        </w:rPr>
        <w:t>transfection reagent with the lentiviral and packaging DNA plasmids in order to begin to generate virus. Prior to transfection, the following lentiviral and packaging DNA plasmids were vortexed with 10ml serum-free DMEM:</w:t>
      </w:r>
    </w:p>
    <w:p w14:paraId="237EE596" w14:textId="77777777" w:rsidR="00B833FD" w:rsidRPr="00451CEE" w:rsidRDefault="00B833FD" w:rsidP="00B833FD">
      <w:pPr>
        <w:pStyle w:val="ListParagraph"/>
        <w:numPr>
          <w:ilvl w:val="0"/>
          <w:numId w:val="4"/>
        </w:numPr>
        <w:autoSpaceDE w:val="0"/>
        <w:autoSpaceDN w:val="0"/>
        <w:adjustRightInd w:val="0"/>
        <w:jc w:val="both"/>
        <w:rPr>
          <w:rFonts w:ascii="Times New Roman" w:hAnsi="Times New Roman" w:cs="Times New Roman"/>
        </w:rPr>
      </w:pPr>
      <w:r w:rsidRPr="00451CEE">
        <w:rPr>
          <w:rFonts w:ascii="Times New Roman" w:hAnsi="Times New Roman" w:cs="Times New Roman"/>
        </w:rPr>
        <w:t xml:space="preserve">99μg </w:t>
      </w:r>
      <w:r>
        <w:rPr>
          <w:rFonts w:ascii="Times New Roman" w:hAnsi="Times New Roman" w:cs="Times New Roman"/>
        </w:rPr>
        <w:t>LV-GFP</w:t>
      </w:r>
    </w:p>
    <w:p w14:paraId="563A6928" w14:textId="44182062" w:rsidR="00B833FD" w:rsidRDefault="00B833FD" w:rsidP="00B833FD">
      <w:pPr>
        <w:pStyle w:val="ListParagraph"/>
        <w:numPr>
          <w:ilvl w:val="0"/>
          <w:numId w:val="4"/>
        </w:numPr>
        <w:autoSpaceDE w:val="0"/>
        <w:autoSpaceDN w:val="0"/>
        <w:adjustRightInd w:val="0"/>
        <w:jc w:val="both"/>
        <w:rPr>
          <w:rFonts w:ascii="Times New Roman" w:hAnsi="Times New Roman" w:cs="Times New Roman"/>
        </w:rPr>
      </w:pPr>
      <w:r>
        <w:rPr>
          <w:rFonts w:ascii="Times New Roman" w:hAnsi="Times New Roman" w:cs="Times New Roman"/>
        </w:rPr>
        <w:t>99</w:t>
      </w:r>
      <w:r w:rsidRPr="00451CEE">
        <w:rPr>
          <w:rFonts w:ascii="Times New Roman" w:hAnsi="Times New Roman" w:cs="Times New Roman"/>
        </w:rPr>
        <w:t xml:space="preserve"> μg</w:t>
      </w:r>
      <w:r>
        <w:rPr>
          <w:rFonts w:ascii="Times New Roman" w:hAnsi="Times New Roman" w:cs="Times New Roman"/>
        </w:rPr>
        <w:t xml:space="preserve"> pCMV_DR8.92</w:t>
      </w:r>
    </w:p>
    <w:p w14:paraId="19E1102E" w14:textId="716B7FF0" w:rsidR="00B833FD" w:rsidRDefault="00B833FD" w:rsidP="00B833FD">
      <w:pPr>
        <w:pStyle w:val="ListParagraph"/>
        <w:numPr>
          <w:ilvl w:val="0"/>
          <w:numId w:val="4"/>
        </w:numPr>
        <w:autoSpaceDE w:val="0"/>
        <w:autoSpaceDN w:val="0"/>
        <w:adjustRightInd w:val="0"/>
        <w:jc w:val="both"/>
        <w:rPr>
          <w:rFonts w:ascii="Times New Roman" w:hAnsi="Times New Roman" w:cs="Times New Roman"/>
        </w:rPr>
      </w:pPr>
      <w:r>
        <w:rPr>
          <w:rFonts w:ascii="Times New Roman" w:hAnsi="Times New Roman" w:cs="Times New Roman"/>
        </w:rPr>
        <w:t>29</w:t>
      </w:r>
      <w:r w:rsidRPr="00451CEE">
        <w:rPr>
          <w:rFonts w:ascii="Times New Roman" w:hAnsi="Times New Roman" w:cs="Times New Roman"/>
        </w:rPr>
        <w:t xml:space="preserve"> μg</w:t>
      </w:r>
      <w:r>
        <w:rPr>
          <w:rFonts w:ascii="Times New Roman" w:hAnsi="Times New Roman" w:cs="Times New Roman"/>
        </w:rPr>
        <w:t xml:space="preserve"> pMD.2G </w:t>
      </w:r>
    </w:p>
    <w:p w14:paraId="6C9F35BA" w14:textId="77777777" w:rsidR="00CF7F94" w:rsidRDefault="00B833FD" w:rsidP="00B833FD">
      <w:pPr>
        <w:pStyle w:val="ListParagraph"/>
        <w:numPr>
          <w:ilvl w:val="0"/>
          <w:numId w:val="4"/>
        </w:numPr>
        <w:autoSpaceDE w:val="0"/>
        <w:autoSpaceDN w:val="0"/>
        <w:adjustRightInd w:val="0"/>
        <w:jc w:val="both"/>
        <w:rPr>
          <w:rFonts w:ascii="Times New Roman" w:hAnsi="Times New Roman" w:cs="Times New Roman"/>
        </w:rPr>
      </w:pPr>
      <w:r w:rsidRPr="00CF7F94">
        <w:rPr>
          <w:rFonts w:ascii="Times New Roman" w:hAnsi="Times New Roman" w:cs="Times New Roman"/>
        </w:rPr>
        <w:t>23 μg pRSV-Rev</w:t>
      </w:r>
    </w:p>
    <w:p w14:paraId="46757205" w14:textId="57067871" w:rsidR="00B833FD" w:rsidRPr="00CF7F94" w:rsidRDefault="00B833FD" w:rsidP="00CF7F94">
      <w:pPr>
        <w:autoSpaceDE w:val="0"/>
        <w:autoSpaceDN w:val="0"/>
        <w:adjustRightInd w:val="0"/>
        <w:spacing w:line="360" w:lineRule="auto"/>
        <w:jc w:val="both"/>
        <w:rPr>
          <w:rFonts w:ascii="Times New Roman" w:hAnsi="Times New Roman" w:cs="Times New Roman"/>
        </w:rPr>
      </w:pPr>
      <w:r w:rsidRPr="00CF7F94">
        <w:rPr>
          <w:rFonts w:ascii="Times New Roman" w:hAnsi="Times New Roman" w:cs="Times New Roman"/>
        </w:rPr>
        <w:t xml:space="preserve"> In parallel, 750 μl of 1mg/ml PEI transfection reagent (pH 7.0) was mixed in 10ml serum-free DMEM for 15 seconds. The DNA and PEI solutions were combined in a 50ml falcon tube and vortexed for 30 seconds. After 20 minutes incubation at room temperature, 1ml of DNA/PEI mix was added to each plate and plates were returned to 37°C. Twenty-four hours following transfection, media from dishes was replaced with fresh complete DMEM media. On the third day following transfection, the lentiviral particles were harvested. Media from all 20 x 10cm dishes was collected and filter sterilised using 0.45μm filter. </w:t>
      </w:r>
      <w:r w:rsidR="00756560">
        <w:rPr>
          <w:rFonts w:ascii="Times New Roman" w:hAnsi="Times New Roman" w:cs="Times New Roman"/>
        </w:rPr>
        <w:t>Cell supernatants were then spun at 19000rpm using the ultra-centrifuge for 90 minutes at</w:t>
      </w:r>
      <w:r w:rsidRPr="00CF7F94">
        <w:rPr>
          <w:rFonts w:ascii="Times New Roman" w:hAnsi="Times New Roman" w:cs="Times New Roman"/>
        </w:rPr>
        <w:t xml:space="preserve"> 4°C, resuspend</w:t>
      </w:r>
      <w:r w:rsidR="00756560">
        <w:rPr>
          <w:rFonts w:ascii="Times New Roman" w:hAnsi="Times New Roman" w:cs="Times New Roman"/>
        </w:rPr>
        <w:t>ed</w:t>
      </w:r>
      <w:r w:rsidRPr="00CF7F94">
        <w:rPr>
          <w:rFonts w:ascii="Times New Roman" w:hAnsi="Times New Roman" w:cs="Times New Roman"/>
        </w:rPr>
        <w:t xml:space="preserve"> in 1% BSA in PBS and store at -80°C. </w:t>
      </w:r>
    </w:p>
    <w:p w14:paraId="22A4095A" w14:textId="77777777" w:rsidR="00B833FD" w:rsidRDefault="00B833FD" w:rsidP="00B833FD">
      <w:pPr>
        <w:autoSpaceDE w:val="0"/>
        <w:autoSpaceDN w:val="0"/>
        <w:adjustRightInd w:val="0"/>
        <w:spacing w:line="360" w:lineRule="auto"/>
        <w:jc w:val="both"/>
        <w:rPr>
          <w:rFonts w:ascii="Times New Roman" w:hAnsi="Times New Roman" w:cs="Times New Roman"/>
          <w:b/>
          <w:lang w:val="en-GB"/>
        </w:rPr>
      </w:pPr>
    </w:p>
    <w:p w14:paraId="0A078BE1" w14:textId="1679206F" w:rsidR="00B833FD" w:rsidRPr="006473BF" w:rsidRDefault="00B833FD" w:rsidP="00B833FD">
      <w:pPr>
        <w:autoSpaceDE w:val="0"/>
        <w:autoSpaceDN w:val="0"/>
        <w:adjustRightInd w:val="0"/>
        <w:spacing w:line="360" w:lineRule="auto"/>
        <w:jc w:val="both"/>
        <w:rPr>
          <w:rFonts w:ascii="Times New Roman" w:hAnsi="Times New Roman" w:cs="Times New Roman"/>
          <w:b/>
          <w:lang w:val="en-GB"/>
        </w:rPr>
      </w:pPr>
      <w:r w:rsidRPr="006473BF">
        <w:rPr>
          <w:rFonts w:ascii="Times New Roman" w:hAnsi="Times New Roman" w:cs="Times New Roman"/>
          <w:b/>
          <w:lang w:val="en-GB"/>
        </w:rPr>
        <w:t>Lentiviral tittering for FACS</w:t>
      </w:r>
    </w:p>
    <w:p w14:paraId="045C5D4C" w14:textId="04233395" w:rsidR="00B833FD" w:rsidRDefault="00756560" w:rsidP="00B833FD">
      <w:pPr>
        <w:autoSpaceDE w:val="0"/>
        <w:autoSpaceDN w:val="0"/>
        <w:adjustRightInd w:val="0"/>
        <w:spacing w:line="360" w:lineRule="auto"/>
        <w:jc w:val="both"/>
        <w:rPr>
          <w:rFonts w:ascii="Times New Roman" w:hAnsi="Times New Roman" w:cs="Times New Roman"/>
          <w:lang w:val="en-GB"/>
        </w:rPr>
      </w:pPr>
      <w:r>
        <w:rPr>
          <w:rFonts w:ascii="Times New Roman" w:hAnsi="Times New Roman" w:cs="Times New Roman"/>
          <w:lang w:val="en-GB"/>
        </w:rPr>
        <w:t>To</w:t>
      </w:r>
      <w:r w:rsidR="00B833FD">
        <w:rPr>
          <w:rFonts w:ascii="Times New Roman" w:hAnsi="Times New Roman" w:cs="Times New Roman"/>
          <w:lang w:val="en-GB"/>
        </w:rPr>
        <w:t xml:space="preserve"> estimate the multiplicity of infection (MOI) of LV-GFP in LUHMES, serial dilutions of LV-GFP were added to both HeLa (control) and LUHMES cells.  </w:t>
      </w:r>
    </w:p>
    <w:p w14:paraId="6673D2E5" w14:textId="462C4E52" w:rsidR="00B833FD" w:rsidRPr="001C1B12" w:rsidRDefault="00B833FD" w:rsidP="00B833FD">
      <w:pPr>
        <w:autoSpaceDE w:val="0"/>
        <w:autoSpaceDN w:val="0"/>
        <w:adjustRightInd w:val="0"/>
        <w:spacing w:line="360" w:lineRule="auto"/>
        <w:jc w:val="both"/>
        <w:rPr>
          <w:rFonts w:ascii="Times New Roman" w:hAnsi="Times New Roman" w:cs="Times New Roman"/>
          <w:lang w:val="en-GB"/>
        </w:rPr>
      </w:pPr>
      <w:r>
        <w:rPr>
          <w:rFonts w:ascii="Times New Roman" w:hAnsi="Times New Roman" w:cs="Times New Roman"/>
          <w:lang w:val="en-GB"/>
        </w:rPr>
        <w:t>Both HeLa and LUHMES cells were plated at a density of 75 000 cells per well in a 12 well plate. HeLa cells were plated in EMEM (Sigma) (2mM glutamine, sigma, 1% NEAA, Sigma, 10% FBS, Gibco) and LUHMES in Advanced MEM media. LV-GFP was added at 1:100, 1:1000 and 1:10000</w:t>
      </w:r>
      <w:r w:rsidR="00756560">
        <w:rPr>
          <w:rFonts w:ascii="Times New Roman" w:hAnsi="Times New Roman" w:cs="Times New Roman"/>
          <w:lang w:val="en-GB"/>
        </w:rPr>
        <w:t xml:space="preserve"> dilutions</w:t>
      </w:r>
      <w:r>
        <w:rPr>
          <w:rFonts w:ascii="Times New Roman" w:hAnsi="Times New Roman" w:cs="Times New Roman"/>
          <w:lang w:val="en-GB"/>
        </w:rPr>
        <w:t xml:space="preserve"> to cells</w:t>
      </w:r>
      <w:r w:rsidR="00756560">
        <w:rPr>
          <w:rFonts w:ascii="Times New Roman" w:hAnsi="Times New Roman" w:cs="Times New Roman"/>
          <w:lang w:val="en-GB"/>
        </w:rPr>
        <w:t xml:space="preserve"> for 4 hours before replacing media</w:t>
      </w:r>
      <w:r>
        <w:rPr>
          <w:rFonts w:ascii="Times New Roman" w:hAnsi="Times New Roman" w:cs="Times New Roman"/>
          <w:lang w:val="en-GB"/>
        </w:rPr>
        <w:t xml:space="preserve">. After a 72 hour incubation </w:t>
      </w:r>
      <w:r w:rsidR="00756560">
        <w:rPr>
          <w:rFonts w:ascii="Times New Roman" w:hAnsi="Times New Roman" w:cs="Times New Roman"/>
          <w:lang w:val="en-GB"/>
        </w:rPr>
        <w:t>(</w:t>
      </w:r>
      <w:r>
        <w:rPr>
          <w:rFonts w:ascii="Times New Roman" w:hAnsi="Times New Roman" w:cs="Times New Roman"/>
          <w:lang w:val="en-GB"/>
        </w:rPr>
        <w:t>at 5%</w:t>
      </w:r>
      <w:r w:rsidR="00756560">
        <w:rPr>
          <w:rFonts w:ascii="Times New Roman" w:hAnsi="Times New Roman" w:cs="Times New Roman"/>
          <w:lang w:val="en-GB"/>
        </w:rPr>
        <w:t xml:space="preserve"> </w:t>
      </w:r>
      <w:r>
        <w:rPr>
          <w:rFonts w:ascii="Times New Roman" w:hAnsi="Times New Roman" w:cs="Times New Roman"/>
          <w:lang w:val="en-GB"/>
        </w:rPr>
        <w:t>CO</w:t>
      </w:r>
      <w:r>
        <w:rPr>
          <w:rFonts w:ascii="Times New Roman" w:hAnsi="Times New Roman" w:cs="Times New Roman"/>
          <w:vertAlign w:val="subscript"/>
          <w:lang w:val="en-GB"/>
        </w:rPr>
        <w:t>2</w:t>
      </w:r>
      <w:r w:rsidR="00756560">
        <w:rPr>
          <w:rFonts w:ascii="Times New Roman" w:hAnsi="Times New Roman" w:cs="Times New Roman"/>
          <w:lang w:val="en-GB"/>
        </w:rPr>
        <w:t>,</w:t>
      </w:r>
      <w:r>
        <w:rPr>
          <w:rFonts w:ascii="Times New Roman" w:hAnsi="Times New Roman" w:cs="Times New Roman"/>
          <w:lang w:val="en-GB"/>
        </w:rPr>
        <w:t xml:space="preserve"> 37°C</w:t>
      </w:r>
      <w:r w:rsidR="00756560">
        <w:rPr>
          <w:rFonts w:ascii="Times New Roman" w:hAnsi="Times New Roman" w:cs="Times New Roman"/>
          <w:lang w:val="en-GB"/>
        </w:rPr>
        <w:t>)</w:t>
      </w:r>
      <w:r>
        <w:rPr>
          <w:rFonts w:ascii="Times New Roman" w:hAnsi="Times New Roman" w:cs="Times New Roman"/>
          <w:lang w:val="en-GB"/>
        </w:rPr>
        <w:t>, each well of cells was tryps</w:t>
      </w:r>
      <w:r w:rsidR="00756560">
        <w:rPr>
          <w:rFonts w:ascii="Times New Roman" w:hAnsi="Times New Roman" w:cs="Times New Roman"/>
          <w:lang w:val="en-GB"/>
        </w:rPr>
        <w:t>inised and centrifuged at 200g</w:t>
      </w:r>
      <w:r w:rsidR="005F5682" w:rsidRPr="005F5682">
        <w:rPr>
          <w:rFonts w:ascii="Times New Roman" w:hAnsi="Times New Roman" w:cs="Times New Roman"/>
          <w:vertAlign w:val="subscript"/>
          <w:lang w:val="en-GB"/>
        </w:rPr>
        <w:t>av</w:t>
      </w:r>
      <w:r>
        <w:rPr>
          <w:rFonts w:ascii="Times New Roman" w:hAnsi="Times New Roman" w:cs="Times New Roman"/>
          <w:lang w:val="en-GB"/>
        </w:rPr>
        <w:t xml:space="preserve"> for 5 minutes. Pellets were resuspended in 4% PFA and stored at 4°C. Transduced cells were sorted using the FACS LSRII and </w:t>
      </w:r>
      <w:r w:rsidR="00756560">
        <w:rPr>
          <w:rFonts w:ascii="Times New Roman" w:hAnsi="Times New Roman" w:cs="Times New Roman"/>
          <w:lang w:val="en-GB"/>
        </w:rPr>
        <w:t xml:space="preserve">the </w:t>
      </w:r>
      <w:r>
        <w:rPr>
          <w:rFonts w:ascii="Times New Roman" w:hAnsi="Times New Roman" w:cs="Times New Roman"/>
          <w:lang w:val="en-GB"/>
        </w:rPr>
        <w:t>MOI was calculated for the LV-GFP according to the FACS results. The MOI fo</w:t>
      </w:r>
      <w:r w:rsidR="00FE0DAE">
        <w:rPr>
          <w:rFonts w:ascii="Times New Roman" w:hAnsi="Times New Roman" w:cs="Times New Roman"/>
          <w:lang w:val="en-GB"/>
        </w:rPr>
        <w:t>r the LV-GFP in LUHMES wa</w:t>
      </w:r>
      <w:r>
        <w:rPr>
          <w:rFonts w:ascii="Times New Roman" w:hAnsi="Times New Roman" w:cs="Times New Roman"/>
          <w:lang w:val="en-GB"/>
        </w:rPr>
        <w:t xml:space="preserve">s approximately 8. </w:t>
      </w:r>
    </w:p>
    <w:p w14:paraId="074D9647" w14:textId="77777777" w:rsidR="002C11AB" w:rsidRDefault="002C11AB" w:rsidP="00B833FD">
      <w:pPr>
        <w:autoSpaceDE w:val="0"/>
        <w:autoSpaceDN w:val="0"/>
        <w:adjustRightInd w:val="0"/>
        <w:spacing w:line="360" w:lineRule="auto"/>
        <w:jc w:val="both"/>
        <w:rPr>
          <w:rFonts w:ascii="Times New Roman" w:hAnsi="Times New Roman" w:cs="Times New Roman"/>
          <w:b/>
          <w:lang w:val="en-GB"/>
        </w:rPr>
      </w:pPr>
    </w:p>
    <w:p w14:paraId="2140EF65" w14:textId="3FDDEE15" w:rsidR="00B833FD" w:rsidRPr="006473BF" w:rsidRDefault="00B833FD" w:rsidP="00B833FD">
      <w:pPr>
        <w:autoSpaceDE w:val="0"/>
        <w:autoSpaceDN w:val="0"/>
        <w:adjustRightInd w:val="0"/>
        <w:spacing w:line="360" w:lineRule="auto"/>
        <w:jc w:val="both"/>
        <w:rPr>
          <w:rFonts w:ascii="Times New Roman" w:hAnsi="Times New Roman" w:cs="Times New Roman"/>
          <w:b/>
          <w:lang w:val="en-GB"/>
        </w:rPr>
      </w:pPr>
      <w:r w:rsidRPr="006473BF">
        <w:rPr>
          <w:rFonts w:ascii="Times New Roman" w:hAnsi="Times New Roman" w:cs="Times New Roman"/>
          <w:b/>
          <w:lang w:val="en-GB"/>
        </w:rPr>
        <w:t>Production of GFP-LUHMES</w:t>
      </w:r>
    </w:p>
    <w:p w14:paraId="734309B6" w14:textId="033A490E" w:rsidR="00B833FD" w:rsidRPr="00790199" w:rsidRDefault="00B833FD" w:rsidP="00B833FD">
      <w:pPr>
        <w:autoSpaceDE w:val="0"/>
        <w:autoSpaceDN w:val="0"/>
        <w:adjustRightInd w:val="0"/>
        <w:spacing w:line="360" w:lineRule="auto"/>
        <w:jc w:val="both"/>
        <w:rPr>
          <w:rFonts w:ascii="Times New Roman" w:hAnsi="Times New Roman" w:cs="Times New Roman"/>
          <w:lang w:val="en-GB"/>
        </w:rPr>
      </w:pPr>
      <w:r>
        <w:rPr>
          <w:rFonts w:ascii="Times New Roman" w:hAnsi="Times New Roman" w:cs="Times New Roman"/>
          <w:lang w:val="en-GB"/>
        </w:rPr>
        <w:t>To generate stably expressing GFP LUHMES, low passage (p3-p5) LUHMES seeded at 1.5x10</w:t>
      </w:r>
      <w:r>
        <w:rPr>
          <w:rFonts w:ascii="Times New Roman" w:hAnsi="Times New Roman" w:cs="Times New Roman"/>
          <w:vertAlign w:val="superscript"/>
          <w:lang w:val="en-GB"/>
        </w:rPr>
        <w:t>6</w:t>
      </w:r>
      <w:r>
        <w:rPr>
          <w:rFonts w:ascii="Times New Roman" w:hAnsi="Times New Roman" w:cs="Times New Roman"/>
          <w:lang w:val="en-GB"/>
        </w:rPr>
        <w:t xml:space="preserve"> cells per T75 flask were transduced with 1:100 LV-GFP stock in 1%BSA-PBS made up in complete Advanced M</w:t>
      </w:r>
      <w:r w:rsidR="00756560">
        <w:rPr>
          <w:rFonts w:ascii="Times New Roman" w:hAnsi="Times New Roman" w:cs="Times New Roman"/>
          <w:lang w:val="en-GB"/>
        </w:rPr>
        <w:t>EM + FGF for 24 hours (</w:t>
      </w:r>
      <w:r>
        <w:rPr>
          <w:rFonts w:ascii="Times New Roman" w:hAnsi="Times New Roman" w:cs="Times New Roman"/>
          <w:lang w:val="en-GB"/>
        </w:rPr>
        <w:t>at 37°C 5%</w:t>
      </w:r>
      <w:r w:rsidR="00756560">
        <w:rPr>
          <w:rFonts w:ascii="Times New Roman" w:hAnsi="Times New Roman" w:cs="Times New Roman"/>
          <w:lang w:val="en-GB"/>
        </w:rPr>
        <w:t xml:space="preserve"> </w:t>
      </w:r>
      <w:r>
        <w:rPr>
          <w:rFonts w:ascii="Times New Roman" w:hAnsi="Times New Roman" w:cs="Times New Roman"/>
          <w:lang w:val="en-GB"/>
        </w:rPr>
        <w:t>CO</w:t>
      </w:r>
      <w:r>
        <w:rPr>
          <w:rFonts w:ascii="Times New Roman" w:hAnsi="Times New Roman" w:cs="Times New Roman"/>
          <w:vertAlign w:val="subscript"/>
          <w:lang w:val="en-GB"/>
        </w:rPr>
        <w:t>2</w:t>
      </w:r>
      <w:r w:rsidR="00756560">
        <w:rPr>
          <w:rFonts w:ascii="Times New Roman" w:hAnsi="Times New Roman" w:cs="Times New Roman"/>
          <w:lang w:val="en-GB"/>
        </w:rPr>
        <w:t>). M</w:t>
      </w:r>
      <w:r>
        <w:rPr>
          <w:rFonts w:ascii="Times New Roman" w:hAnsi="Times New Roman" w:cs="Times New Roman"/>
          <w:lang w:val="en-GB"/>
        </w:rPr>
        <w:t xml:space="preserve">edia was </w:t>
      </w:r>
      <w:r w:rsidR="00756560">
        <w:rPr>
          <w:rFonts w:ascii="Times New Roman" w:hAnsi="Times New Roman" w:cs="Times New Roman"/>
          <w:lang w:val="en-GB"/>
        </w:rPr>
        <w:t xml:space="preserve">then </w:t>
      </w:r>
      <w:r>
        <w:rPr>
          <w:rFonts w:ascii="Times New Roman" w:hAnsi="Times New Roman" w:cs="Times New Roman"/>
          <w:lang w:val="en-GB"/>
        </w:rPr>
        <w:t xml:space="preserve">replaced with fresh complete media + FGF and left for a further 72 hours before further passaging/differentiating cells. Stocks of GFP expressing LUHMES were frozen and kept at -80°C for further experiments. </w:t>
      </w:r>
    </w:p>
    <w:p w14:paraId="5A43036B" w14:textId="77777777" w:rsidR="00C2382D" w:rsidRDefault="00C2382D" w:rsidP="00F92407">
      <w:pPr>
        <w:rPr>
          <w:rFonts w:ascii="Times New Roman" w:hAnsi="Times New Roman" w:cs="Times New Roman"/>
          <w:b/>
          <w:u w:val="single"/>
          <w:lang w:val="en-GB"/>
        </w:rPr>
      </w:pPr>
    </w:p>
    <w:p w14:paraId="694878C1" w14:textId="77777777" w:rsidR="000D28EE" w:rsidRDefault="000D28EE" w:rsidP="00F92407">
      <w:pPr>
        <w:rPr>
          <w:rFonts w:ascii="Times New Roman" w:hAnsi="Times New Roman" w:cs="Times New Roman"/>
          <w:b/>
          <w:i/>
          <w:lang w:val="en-GB"/>
        </w:rPr>
      </w:pPr>
    </w:p>
    <w:p w14:paraId="76D61728" w14:textId="77777777" w:rsidR="00722323" w:rsidRDefault="00722323" w:rsidP="00F92407">
      <w:pPr>
        <w:rPr>
          <w:rFonts w:ascii="Times New Roman" w:hAnsi="Times New Roman" w:cs="Times New Roman"/>
          <w:b/>
          <w:i/>
          <w:lang w:val="en-GB"/>
        </w:rPr>
      </w:pPr>
    </w:p>
    <w:p w14:paraId="0E4340C9" w14:textId="77777777" w:rsidR="00722323" w:rsidRDefault="00722323" w:rsidP="00F92407">
      <w:pPr>
        <w:rPr>
          <w:rFonts w:ascii="Times New Roman" w:hAnsi="Times New Roman" w:cs="Times New Roman"/>
          <w:b/>
          <w:i/>
          <w:lang w:val="en-GB"/>
        </w:rPr>
      </w:pPr>
    </w:p>
    <w:p w14:paraId="285FAF5C" w14:textId="29CF438D" w:rsidR="00B833FD" w:rsidRPr="00F92407" w:rsidRDefault="000812FE" w:rsidP="00F92407">
      <w:pPr>
        <w:rPr>
          <w:rFonts w:ascii="Times New Roman" w:hAnsi="Times New Roman" w:cs="Times New Roman"/>
          <w:b/>
          <w:i/>
          <w:lang w:val="en-GB"/>
        </w:rPr>
      </w:pPr>
      <w:r w:rsidRPr="00F92407">
        <w:rPr>
          <w:rFonts w:ascii="Times New Roman" w:hAnsi="Times New Roman" w:cs="Times New Roman"/>
          <w:b/>
          <w:i/>
          <w:lang w:val="en-GB"/>
        </w:rPr>
        <w:t>(f) Co-culturing astrocytes and neurons</w:t>
      </w:r>
      <w:r w:rsidR="00000FF1" w:rsidRPr="00F92407">
        <w:rPr>
          <w:rFonts w:ascii="Times New Roman" w:hAnsi="Times New Roman" w:cs="Times New Roman"/>
          <w:b/>
          <w:i/>
          <w:lang w:val="en-GB"/>
        </w:rPr>
        <w:t xml:space="preserve"> </w:t>
      </w:r>
    </w:p>
    <w:p w14:paraId="79D7368F" w14:textId="77777777" w:rsidR="00B833FD" w:rsidRDefault="00B833FD" w:rsidP="00B833FD">
      <w:pPr>
        <w:autoSpaceDE w:val="0"/>
        <w:autoSpaceDN w:val="0"/>
        <w:adjustRightInd w:val="0"/>
        <w:spacing w:line="360" w:lineRule="auto"/>
        <w:jc w:val="both"/>
        <w:rPr>
          <w:rFonts w:ascii="Times New Roman" w:hAnsi="Times New Roman" w:cs="Times New Roman"/>
          <w:b/>
          <w:u w:val="single"/>
          <w:lang w:val="en-GB"/>
        </w:rPr>
      </w:pPr>
    </w:p>
    <w:p w14:paraId="5054F97E" w14:textId="3B23960E" w:rsidR="00B833FD" w:rsidRPr="003B3C51" w:rsidRDefault="00B833FD" w:rsidP="00B833FD">
      <w:pPr>
        <w:autoSpaceDE w:val="0"/>
        <w:autoSpaceDN w:val="0"/>
        <w:adjustRightInd w:val="0"/>
        <w:spacing w:line="360" w:lineRule="auto"/>
        <w:jc w:val="both"/>
        <w:rPr>
          <w:rFonts w:ascii="Times New Roman" w:hAnsi="Times New Roman" w:cs="Times New Roman"/>
          <w:lang w:val="en-GB"/>
        </w:rPr>
      </w:pPr>
      <w:r>
        <w:rPr>
          <w:rFonts w:ascii="Times New Roman" w:hAnsi="Times New Roman" w:cs="Times New Roman"/>
          <w:lang w:val="en-GB"/>
        </w:rPr>
        <w:t xml:space="preserve">ScienCell astrocytes </w:t>
      </w:r>
      <w:r w:rsidR="00F0363B">
        <w:rPr>
          <w:rFonts w:ascii="Times New Roman" w:hAnsi="Times New Roman" w:cs="Times New Roman"/>
          <w:lang w:val="en-GB"/>
        </w:rPr>
        <w:t>were</w:t>
      </w:r>
      <w:r>
        <w:rPr>
          <w:rFonts w:ascii="Times New Roman" w:hAnsi="Times New Roman" w:cs="Times New Roman"/>
          <w:lang w:val="en-GB"/>
        </w:rPr>
        <w:t xml:space="preserve"> co-cultured</w:t>
      </w:r>
      <w:r w:rsidR="00F0363B">
        <w:rPr>
          <w:rFonts w:ascii="Times New Roman" w:hAnsi="Times New Roman" w:cs="Times New Roman"/>
          <w:lang w:val="en-GB"/>
        </w:rPr>
        <w:t xml:space="preserve"> with LUHMES cells. Astrocytes we</w:t>
      </w:r>
      <w:r>
        <w:rPr>
          <w:rFonts w:ascii="Times New Roman" w:hAnsi="Times New Roman" w:cs="Times New Roman"/>
          <w:lang w:val="en-GB"/>
        </w:rPr>
        <w:t xml:space="preserve">re first plated on fibronectin-coated plastics and pre-differentiated LUHMES </w:t>
      </w:r>
      <w:r w:rsidR="00F0363B">
        <w:rPr>
          <w:rFonts w:ascii="Times New Roman" w:hAnsi="Times New Roman" w:cs="Times New Roman"/>
          <w:lang w:val="en-GB"/>
        </w:rPr>
        <w:t>were</w:t>
      </w:r>
      <w:r>
        <w:rPr>
          <w:rFonts w:ascii="Times New Roman" w:hAnsi="Times New Roman" w:cs="Times New Roman"/>
          <w:lang w:val="en-GB"/>
        </w:rPr>
        <w:t xml:space="preserve"> replated on top of a bed of confluent astrocytes. Typically, in a 24 well plate 30 000 astrocytes were plated per well of a 24 well plate on day one. In parallel, tetracycline (1μg/ml) was added to </w:t>
      </w:r>
      <w:r w:rsidR="00F0363B">
        <w:rPr>
          <w:rFonts w:ascii="Times New Roman" w:hAnsi="Times New Roman" w:cs="Times New Roman"/>
          <w:lang w:val="en-GB"/>
        </w:rPr>
        <w:t>a separate T75 flask of</w:t>
      </w:r>
      <w:r>
        <w:rPr>
          <w:rFonts w:ascii="Times New Roman" w:hAnsi="Times New Roman" w:cs="Times New Roman"/>
          <w:lang w:val="en-GB"/>
        </w:rPr>
        <w:t xml:space="preserve"> LUHMES cells on day one. To ensure synchronisation of this different</w:t>
      </w:r>
      <w:r w:rsidR="00F0363B">
        <w:rPr>
          <w:rFonts w:ascii="Times New Roman" w:hAnsi="Times New Roman" w:cs="Times New Roman"/>
          <w:lang w:val="en-GB"/>
        </w:rPr>
        <w:t>iation procedure, LUHMES cells we</w:t>
      </w:r>
      <w:r>
        <w:rPr>
          <w:rFonts w:ascii="Times New Roman" w:hAnsi="Times New Roman" w:cs="Times New Roman"/>
          <w:lang w:val="en-GB"/>
        </w:rPr>
        <w:t xml:space="preserve">re replated on day three. To set up astrocyte-neuronal co-cultures day 3 pre-differentiated LUHMES </w:t>
      </w:r>
      <w:r w:rsidR="00F0363B">
        <w:rPr>
          <w:rFonts w:ascii="Times New Roman" w:hAnsi="Times New Roman" w:cs="Times New Roman"/>
          <w:lang w:val="en-GB"/>
        </w:rPr>
        <w:t>were</w:t>
      </w:r>
      <w:r>
        <w:rPr>
          <w:rFonts w:ascii="Times New Roman" w:hAnsi="Times New Roman" w:cs="Times New Roman"/>
          <w:lang w:val="en-GB"/>
        </w:rPr>
        <w:t xml:space="preserve"> replated on top of astrocytes</w:t>
      </w:r>
      <w:r w:rsidR="007268F6">
        <w:rPr>
          <w:rFonts w:ascii="Times New Roman" w:hAnsi="Times New Roman" w:cs="Times New Roman"/>
          <w:lang w:val="en-GB"/>
        </w:rPr>
        <w:t xml:space="preserve"> at low (7500/well) or high (100 000 cells/well) densities</w:t>
      </w:r>
      <w:r>
        <w:rPr>
          <w:rFonts w:ascii="Times New Roman" w:hAnsi="Times New Roman" w:cs="Times New Roman"/>
          <w:lang w:val="en-GB"/>
        </w:rPr>
        <w:t xml:space="preserve">. </w:t>
      </w:r>
    </w:p>
    <w:p w14:paraId="17EB1C2D" w14:textId="77777777" w:rsidR="003A0599" w:rsidRDefault="003A0599" w:rsidP="001D0ECC">
      <w:pPr>
        <w:pStyle w:val="Heading4"/>
      </w:pPr>
      <w:bookmarkStart w:id="765" w:name="_Toc262895412"/>
    </w:p>
    <w:p w14:paraId="196C31A7" w14:textId="31A4AED5" w:rsidR="003A0599" w:rsidRPr="00F92407" w:rsidRDefault="003A0599" w:rsidP="00F92407">
      <w:pPr>
        <w:rPr>
          <w:rFonts w:ascii="Times New Roman" w:hAnsi="Times New Roman" w:cs="Times New Roman"/>
          <w:b/>
          <w:i/>
        </w:rPr>
      </w:pPr>
      <w:r w:rsidRPr="00F92407">
        <w:rPr>
          <w:rFonts w:ascii="Times New Roman" w:hAnsi="Times New Roman" w:cs="Times New Roman"/>
          <w:b/>
          <w:i/>
        </w:rPr>
        <w:t>(g) Immunocytochemistry</w:t>
      </w:r>
    </w:p>
    <w:p w14:paraId="66B990BC" w14:textId="77777777" w:rsidR="003A0599" w:rsidRPr="004975E3" w:rsidRDefault="003A0599" w:rsidP="003A0599">
      <w:pPr>
        <w:rPr>
          <w:rFonts w:ascii="Times New Roman" w:hAnsi="Times New Roman" w:cs="Times New Roman"/>
        </w:rPr>
      </w:pPr>
    </w:p>
    <w:p w14:paraId="27DB9E67" w14:textId="74475DB1" w:rsidR="00F92407" w:rsidRPr="00312125" w:rsidRDefault="003A0599" w:rsidP="00312125">
      <w:pPr>
        <w:autoSpaceDE w:val="0"/>
        <w:autoSpaceDN w:val="0"/>
        <w:adjustRightInd w:val="0"/>
        <w:spacing w:line="360" w:lineRule="auto"/>
        <w:jc w:val="both"/>
        <w:rPr>
          <w:rFonts w:ascii="Times New Roman" w:hAnsi="Times New Roman" w:cs="Times New Roman"/>
          <w:lang w:val="en-GB"/>
        </w:rPr>
      </w:pPr>
      <w:r w:rsidRPr="004975E3">
        <w:rPr>
          <w:rFonts w:ascii="Times New Roman" w:hAnsi="Times New Roman" w:cs="Times New Roman"/>
          <w:lang w:val="en-GB"/>
        </w:rPr>
        <w:t>Cells were washed once with PBS pre-warmed to 37</w:t>
      </w:r>
      <w:r w:rsidRPr="004975E3">
        <w:rPr>
          <w:rFonts w:ascii="Times New Roman" w:hAnsi="Times New Roman" w:cs="Times New Roman"/>
          <w:vertAlign w:val="superscript"/>
          <w:lang w:val="en-GB"/>
        </w:rPr>
        <w:t>o</w:t>
      </w:r>
      <w:r w:rsidRPr="004975E3">
        <w:rPr>
          <w:rFonts w:ascii="Times New Roman" w:hAnsi="Times New Roman" w:cs="Times New Roman"/>
          <w:lang w:val="en-GB"/>
        </w:rPr>
        <w:t>C followed by fixation in 4 %(w/v) PFA in PBS for 5 minutes at 37</w:t>
      </w:r>
      <w:r w:rsidRPr="004975E3">
        <w:rPr>
          <w:rFonts w:ascii="Times New Roman" w:hAnsi="Times New Roman" w:cs="Times New Roman"/>
          <w:vertAlign w:val="superscript"/>
          <w:lang w:val="en-GB"/>
        </w:rPr>
        <w:t>o</w:t>
      </w:r>
      <w:r w:rsidRPr="004975E3">
        <w:rPr>
          <w:rFonts w:ascii="Times New Roman" w:hAnsi="Times New Roman" w:cs="Times New Roman"/>
          <w:lang w:val="en-GB"/>
        </w:rPr>
        <w:t>C. Following fixation, cells were washed a further three times in ice-cold PBS and permeabilised in permeabilisation solution (0.3 % (v/v) Trit</w:t>
      </w:r>
      <w:r>
        <w:rPr>
          <w:rFonts w:ascii="Times New Roman" w:hAnsi="Times New Roman" w:cs="Times New Roman"/>
          <w:lang w:val="en-GB"/>
        </w:rPr>
        <w:t xml:space="preserve">on X-100 in PBS) for 3 minutes. </w:t>
      </w:r>
      <w:r w:rsidRPr="004975E3">
        <w:rPr>
          <w:rFonts w:ascii="Times New Roman" w:hAnsi="Times New Roman" w:cs="Times New Roman"/>
          <w:lang w:val="en-GB"/>
        </w:rPr>
        <w:t>Coverslips were blocked for 1 hour in ICC blocking solution (1 % (w/v) BSA in PBS-T) prior to incubation with primary antibody (</w:t>
      </w:r>
      <w:r w:rsidRPr="0066174F">
        <w:rPr>
          <w:rFonts w:ascii="Times New Roman" w:hAnsi="Times New Roman" w:cs="Times New Roman"/>
          <w:b/>
          <w:lang w:val="en-GB"/>
        </w:rPr>
        <w:t>table 3.3</w:t>
      </w:r>
      <w:r w:rsidRPr="004975E3">
        <w:rPr>
          <w:rFonts w:ascii="Times New Roman" w:hAnsi="Times New Roman" w:cs="Times New Roman"/>
          <w:lang w:val="en-GB"/>
        </w:rPr>
        <w:t>), diluted in ICC blocking solution, for 90 minutes at ambient temperature. Following three washes with PBS, cells were incubated with the appropriate species of secondary antibody (</w:t>
      </w:r>
      <w:r w:rsidRPr="0066174F">
        <w:rPr>
          <w:rFonts w:ascii="Times New Roman" w:hAnsi="Times New Roman" w:cs="Times New Roman"/>
          <w:b/>
          <w:lang w:val="en-GB"/>
        </w:rPr>
        <w:t>table 3.4</w:t>
      </w:r>
      <w:r w:rsidRPr="004975E3">
        <w:rPr>
          <w:rFonts w:ascii="Times New Roman" w:hAnsi="Times New Roman" w:cs="Times New Roman"/>
          <w:lang w:val="en-GB"/>
        </w:rPr>
        <w:t xml:space="preserve">), diluted in ICC blocking solution, for one hour, followed by three further washes in PBS. Nuclei were stained with Hoescht 33342 (5 μg/ml Bisbenzimide in PBS) before mounting in fluorescent mounting medium (DakoCytomation). </w:t>
      </w:r>
      <w:r w:rsidR="00A00A12">
        <w:rPr>
          <w:rFonts w:ascii="Times New Roman" w:hAnsi="Times New Roman" w:cs="Times New Roman"/>
          <w:lang w:val="en-GB"/>
        </w:rPr>
        <w:t>Cells</w:t>
      </w:r>
      <w:r w:rsidR="00A00A12" w:rsidRPr="004975E3">
        <w:rPr>
          <w:rFonts w:ascii="Times New Roman" w:hAnsi="Times New Roman" w:cs="Times New Roman"/>
          <w:lang w:val="en-GB"/>
        </w:rPr>
        <w:t xml:space="preserve"> were </w:t>
      </w:r>
      <w:r w:rsidR="00A00A12">
        <w:rPr>
          <w:rFonts w:ascii="Times New Roman" w:hAnsi="Times New Roman" w:cs="Times New Roman"/>
          <w:lang w:val="en-GB"/>
        </w:rPr>
        <w:t xml:space="preserve">visualised </w:t>
      </w:r>
      <w:r w:rsidR="00A00A12" w:rsidRPr="004975E3">
        <w:rPr>
          <w:rFonts w:ascii="Times New Roman" w:hAnsi="Times New Roman" w:cs="Times New Roman"/>
          <w:lang w:val="en-GB"/>
        </w:rPr>
        <w:t>using a</w:t>
      </w:r>
      <w:r w:rsidR="00A00A12">
        <w:rPr>
          <w:rFonts w:ascii="Times New Roman" w:hAnsi="Times New Roman" w:cs="Times New Roman"/>
          <w:lang w:val="en-GB"/>
        </w:rPr>
        <w:t xml:space="preserve"> LV100ND</w:t>
      </w:r>
      <w:r w:rsidR="00A00A12" w:rsidRPr="004975E3">
        <w:rPr>
          <w:rFonts w:ascii="Times New Roman" w:hAnsi="Times New Roman" w:cs="Times New Roman"/>
          <w:lang w:val="en-GB"/>
        </w:rPr>
        <w:t xml:space="preserve"> microscope</w:t>
      </w:r>
      <w:r w:rsidR="00A00A12">
        <w:rPr>
          <w:rFonts w:ascii="Times New Roman" w:hAnsi="Times New Roman" w:cs="Times New Roman"/>
          <w:lang w:val="en-GB"/>
        </w:rPr>
        <w:t xml:space="preserve"> fitted with a DS Ri1 Eclipse camera (Nikon</w:t>
      </w:r>
      <w:r w:rsidR="00DF113C">
        <w:rPr>
          <w:rFonts w:ascii="Times New Roman" w:hAnsi="Times New Roman" w:cs="Times New Roman"/>
          <w:lang w:val="en-GB"/>
        </w:rPr>
        <w:t>, Tokyo, Japan</w:t>
      </w:r>
      <w:r w:rsidR="00A00A12">
        <w:rPr>
          <w:rFonts w:ascii="Times New Roman" w:hAnsi="Times New Roman" w:cs="Times New Roman"/>
          <w:lang w:val="en-GB"/>
        </w:rPr>
        <w:t>)</w:t>
      </w:r>
      <w:r w:rsidR="00A00A12" w:rsidRPr="004975E3">
        <w:rPr>
          <w:rFonts w:ascii="Times New Roman" w:hAnsi="Times New Roman" w:cs="Times New Roman"/>
          <w:lang w:val="en-GB"/>
        </w:rPr>
        <w:t>.</w:t>
      </w:r>
      <w:r w:rsidR="00A00A12">
        <w:rPr>
          <w:rFonts w:ascii="Times New Roman" w:hAnsi="Times New Roman" w:cs="Times New Roman"/>
          <w:lang w:val="en-GB"/>
        </w:rPr>
        <w:t xml:space="preserve"> </w:t>
      </w:r>
    </w:p>
    <w:p w14:paraId="2F588FA3" w14:textId="77777777" w:rsidR="00F92407" w:rsidRDefault="00F92407" w:rsidP="00F92407">
      <w:pPr>
        <w:rPr>
          <w:rFonts w:ascii="Times New Roman" w:hAnsi="Times New Roman" w:cs="Times New Roman"/>
          <w:b/>
          <w:i/>
        </w:rPr>
      </w:pPr>
    </w:p>
    <w:p w14:paraId="77280F2D" w14:textId="4F4546C0" w:rsidR="003A0599" w:rsidRPr="00F92407" w:rsidRDefault="003A0599" w:rsidP="00F92407">
      <w:pPr>
        <w:rPr>
          <w:rFonts w:ascii="Times New Roman" w:hAnsi="Times New Roman" w:cs="Times New Roman"/>
          <w:b/>
          <w:i/>
        </w:rPr>
      </w:pPr>
      <w:r w:rsidRPr="00F92407">
        <w:rPr>
          <w:rFonts w:ascii="Times New Roman" w:hAnsi="Times New Roman" w:cs="Times New Roman"/>
          <w:b/>
          <w:i/>
        </w:rPr>
        <w:t>(h) Assays performed in astrocyte monocultures</w:t>
      </w:r>
    </w:p>
    <w:p w14:paraId="615EBB51" w14:textId="77777777" w:rsidR="003A0599" w:rsidRPr="003A0599" w:rsidRDefault="003A0599" w:rsidP="003A0599">
      <w:pPr>
        <w:rPr>
          <w:rFonts w:ascii="Times New Roman" w:hAnsi="Times New Roman" w:cs="Times New Roman"/>
          <w:b/>
        </w:rPr>
      </w:pPr>
    </w:p>
    <w:p w14:paraId="47750C1F" w14:textId="60314917" w:rsidR="003A0599" w:rsidRDefault="003A0599" w:rsidP="00FE0DAE">
      <w:pPr>
        <w:rPr>
          <w:rFonts w:ascii="Times New Roman" w:hAnsi="Times New Roman" w:cs="Times New Roman"/>
          <w:b/>
        </w:rPr>
      </w:pPr>
      <w:r w:rsidRPr="002D0408">
        <w:rPr>
          <w:rFonts w:ascii="Times New Roman" w:hAnsi="Times New Roman" w:cs="Times New Roman"/>
          <w:b/>
        </w:rPr>
        <w:t>CyQUANT Assay</w:t>
      </w:r>
    </w:p>
    <w:p w14:paraId="00E5F32F" w14:textId="01E6E821" w:rsidR="003A0599" w:rsidRPr="004975E3" w:rsidRDefault="003A0599" w:rsidP="003A0599">
      <w:pPr>
        <w:spacing w:line="360" w:lineRule="auto"/>
        <w:jc w:val="both"/>
        <w:rPr>
          <w:rFonts w:ascii="Times New Roman" w:hAnsi="Times New Roman" w:cs="Times New Roman"/>
          <w:lang w:val="en-GB"/>
        </w:rPr>
      </w:pPr>
      <w:r w:rsidRPr="004975E3">
        <w:rPr>
          <w:rFonts w:ascii="Times New Roman" w:hAnsi="Times New Roman" w:cs="Times New Roman"/>
          <w:lang w:val="en-GB"/>
        </w:rPr>
        <w:t xml:space="preserve">The CyQUANT assay is used to determine the density of cells in culture and is based on a green fluorescent dye, CyQUANT GR dye®, which exhibits strong fluorescent enhancement when bound to cellular nucleic acids.  </w:t>
      </w:r>
      <w:r w:rsidR="007268F6">
        <w:rPr>
          <w:rFonts w:ascii="Times New Roman" w:hAnsi="Times New Roman" w:cs="Times New Roman"/>
          <w:lang w:val="en-GB"/>
        </w:rPr>
        <w:t>Astrocytes</w:t>
      </w:r>
      <w:r w:rsidRPr="004975E3">
        <w:rPr>
          <w:rFonts w:ascii="Times New Roman" w:hAnsi="Times New Roman" w:cs="Times New Roman"/>
          <w:lang w:val="en-GB"/>
        </w:rPr>
        <w:t xml:space="preserve"> were plated at 5000 cells per well in a 96 well plate and cells treated according to the protocol in section 3.2.2.  At the conclusion of the treatment protocol culturing medium was removed and 200 μl of CyQUANT GR dye/cell-lysis buffer was added to each well and cells then incubated for 30 minutes at 37°C, in a CO</w:t>
      </w:r>
      <w:r w:rsidRPr="004975E3">
        <w:rPr>
          <w:rFonts w:ascii="Times New Roman" w:hAnsi="Times New Roman" w:cs="Times New Roman"/>
          <w:vertAlign w:val="subscript"/>
          <w:lang w:val="en-GB"/>
        </w:rPr>
        <w:t>2</w:t>
      </w:r>
      <w:r w:rsidRPr="004975E3">
        <w:rPr>
          <w:rFonts w:ascii="Times New Roman" w:hAnsi="Times New Roman" w:cs="Times New Roman"/>
          <w:lang w:val="en-GB"/>
        </w:rPr>
        <w:t xml:space="preserve"> free atmosphere.  Fluorescence was determined using the FLUOstar Omega plate reader (BMG Labtech) with the filters set to 480nm excitation and 520nm emission maxima.</w:t>
      </w:r>
    </w:p>
    <w:p w14:paraId="10AEFF69" w14:textId="77777777" w:rsidR="003A0599" w:rsidRPr="004975E3" w:rsidRDefault="003A0599" w:rsidP="003A0599">
      <w:pPr>
        <w:spacing w:line="360" w:lineRule="auto"/>
        <w:jc w:val="both"/>
        <w:rPr>
          <w:rFonts w:ascii="Times New Roman" w:hAnsi="Times New Roman" w:cs="Times New Roman"/>
          <w:lang w:val="en-GB"/>
        </w:rPr>
      </w:pPr>
    </w:p>
    <w:p w14:paraId="24890E81" w14:textId="3FD8CF0E" w:rsidR="003A0599" w:rsidRPr="006473BF" w:rsidRDefault="003A0599" w:rsidP="00FE0DAE">
      <w:pPr>
        <w:jc w:val="both"/>
        <w:rPr>
          <w:rFonts w:ascii="Times New Roman" w:hAnsi="Times New Roman" w:cs="Times New Roman"/>
          <w:b/>
          <w:lang w:val="en-GB"/>
        </w:rPr>
      </w:pPr>
      <w:r w:rsidRPr="006473BF">
        <w:rPr>
          <w:rFonts w:ascii="Times New Roman" w:hAnsi="Times New Roman" w:cs="Times New Roman"/>
          <w:b/>
          <w:lang w:val="en-GB"/>
        </w:rPr>
        <w:t>MTT assay</w:t>
      </w:r>
    </w:p>
    <w:p w14:paraId="086D0AE1" w14:textId="487BDA9E" w:rsidR="003A0599" w:rsidRDefault="003A0599" w:rsidP="003A0599">
      <w:pPr>
        <w:spacing w:line="360" w:lineRule="auto"/>
        <w:jc w:val="both"/>
        <w:rPr>
          <w:rFonts w:ascii="Times New Roman" w:hAnsi="Times New Roman" w:cs="Times New Roman"/>
          <w:lang w:val="en-GB"/>
        </w:rPr>
      </w:pPr>
      <w:r>
        <w:rPr>
          <w:rFonts w:ascii="Times New Roman" w:hAnsi="Times New Roman" w:cs="Times New Roman"/>
          <w:lang w:val="en-GB"/>
        </w:rPr>
        <w:t>The MTT assay is used to determine mitochondrial activity but is widely</w:t>
      </w:r>
      <w:r w:rsidR="00A00A12">
        <w:rPr>
          <w:rFonts w:ascii="Times New Roman" w:hAnsi="Times New Roman" w:cs="Times New Roman"/>
          <w:lang w:val="en-GB"/>
        </w:rPr>
        <w:t xml:space="preserve"> used as a cell viability assay. </w:t>
      </w:r>
      <w:r>
        <w:rPr>
          <w:rFonts w:ascii="Times New Roman" w:hAnsi="Times New Roman" w:cs="Times New Roman"/>
          <w:lang w:val="en-GB"/>
        </w:rPr>
        <w:t>In this assay yellow MTT (3-(4,5-Dimethylthiazol-2-yl)-2,5-diphenyltetrazolium bromide) is reduced to a purple formazan product in the mitochondria of living cells. The absorbance of this product can be measured at between 500 and 600nm by a spe</w:t>
      </w:r>
      <w:r w:rsidR="00A00A12">
        <w:rPr>
          <w:rFonts w:ascii="Times New Roman" w:hAnsi="Times New Roman" w:cs="Times New Roman"/>
          <w:lang w:val="en-GB"/>
        </w:rPr>
        <w:t xml:space="preserve">ctrophotometer. This value </w:t>
      </w:r>
      <w:r>
        <w:rPr>
          <w:rFonts w:ascii="Times New Roman" w:hAnsi="Times New Roman" w:cs="Times New Roman"/>
          <w:lang w:val="en-GB"/>
        </w:rPr>
        <w:t>correlate</w:t>
      </w:r>
      <w:r w:rsidR="00A00A12">
        <w:rPr>
          <w:rFonts w:ascii="Times New Roman" w:hAnsi="Times New Roman" w:cs="Times New Roman"/>
          <w:lang w:val="en-GB"/>
        </w:rPr>
        <w:t>s</w:t>
      </w:r>
      <w:r>
        <w:rPr>
          <w:rFonts w:ascii="Times New Roman" w:hAnsi="Times New Roman" w:cs="Times New Roman"/>
          <w:lang w:val="en-GB"/>
        </w:rPr>
        <w:t xml:space="preserve"> with the reductase ac</w:t>
      </w:r>
      <w:r w:rsidR="00A00A12">
        <w:rPr>
          <w:rFonts w:ascii="Times New Roman" w:hAnsi="Times New Roman" w:cs="Times New Roman"/>
          <w:lang w:val="en-GB"/>
        </w:rPr>
        <w:t>tivity in mitochondria of live</w:t>
      </w:r>
      <w:r>
        <w:rPr>
          <w:rFonts w:ascii="Times New Roman" w:hAnsi="Times New Roman" w:cs="Times New Roman"/>
          <w:lang w:val="en-GB"/>
        </w:rPr>
        <w:t xml:space="preserve"> cells and thus will provide an in</w:t>
      </w:r>
      <w:r w:rsidR="00A00A12">
        <w:rPr>
          <w:rFonts w:ascii="Times New Roman" w:hAnsi="Times New Roman" w:cs="Times New Roman"/>
          <w:lang w:val="en-GB"/>
        </w:rPr>
        <w:t>dication of the number of live</w:t>
      </w:r>
      <w:r>
        <w:rPr>
          <w:rFonts w:ascii="Times New Roman" w:hAnsi="Times New Roman" w:cs="Times New Roman"/>
          <w:lang w:val="en-GB"/>
        </w:rPr>
        <w:t xml:space="preserve"> cells present. </w:t>
      </w:r>
    </w:p>
    <w:p w14:paraId="5A4713BB" w14:textId="39A6EA0F" w:rsidR="003A0599" w:rsidRPr="00647A24" w:rsidRDefault="00A00A12" w:rsidP="003A0599">
      <w:pPr>
        <w:spacing w:line="360" w:lineRule="auto"/>
        <w:jc w:val="both"/>
        <w:rPr>
          <w:rFonts w:ascii="Times New Roman" w:hAnsi="Times New Roman" w:cs="Times New Roman"/>
          <w:lang w:val="en-GB"/>
        </w:rPr>
      </w:pPr>
      <w:r>
        <w:rPr>
          <w:rFonts w:ascii="Times New Roman" w:hAnsi="Times New Roman" w:cs="Times New Roman"/>
          <w:lang w:val="en-GB"/>
        </w:rPr>
        <w:t>A</w:t>
      </w:r>
      <w:r w:rsidR="003A0599">
        <w:rPr>
          <w:rFonts w:ascii="Times New Roman" w:hAnsi="Times New Roman" w:cs="Times New Roman"/>
          <w:lang w:val="en-GB"/>
        </w:rPr>
        <w:t xml:space="preserve"> 1:10 dilution of MTT was added directly to each well of a 24 well plate including a well with no cells present. Plates were </w:t>
      </w:r>
      <w:r>
        <w:rPr>
          <w:rFonts w:ascii="Times New Roman" w:hAnsi="Times New Roman" w:cs="Times New Roman"/>
          <w:lang w:val="en-GB"/>
        </w:rPr>
        <w:t xml:space="preserve">protected from light </w:t>
      </w:r>
      <w:r w:rsidR="003A0599">
        <w:rPr>
          <w:rFonts w:ascii="Times New Roman" w:hAnsi="Times New Roman" w:cs="Times New Roman"/>
          <w:lang w:val="en-GB"/>
        </w:rPr>
        <w:t>and incubated at 37°C with 5</w:t>
      </w:r>
      <w:r>
        <w:rPr>
          <w:rFonts w:ascii="Times New Roman" w:hAnsi="Times New Roman" w:cs="Times New Roman"/>
          <w:lang w:val="en-GB"/>
        </w:rPr>
        <w:t xml:space="preserve"> </w:t>
      </w:r>
      <w:r w:rsidR="003A0599">
        <w:rPr>
          <w:rFonts w:ascii="Times New Roman" w:hAnsi="Times New Roman" w:cs="Times New Roman"/>
          <w:lang w:val="en-GB"/>
        </w:rPr>
        <w:t>% CO</w:t>
      </w:r>
      <w:r w:rsidR="003A0599">
        <w:rPr>
          <w:rFonts w:ascii="Times New Roman" w:hAnsi="Times New Roman" w:cs="Times New Roman"/>
          <w:vertAlign w:val="subscript"/>
          <w:lang w:val="en-GB"/>
        </w:rPr>
        <w:t>2</w:t>
      </w:r>
      <w:r w:rsidR="003A0599">
        <w:rPr>
          <w:rFonts w:ascii="Times New Roman" w:hAnsi="Times New Roman" w:cs="Times New Roman"/>
          <w:lang w:val="en-GB"/>
        </w:rPr>
        <w:t xml:space="preserve"> for 3 hours p</w:t>
      </w:r>
      <w:r>
        <w:rPr>
          <w:rFonts w:ascii="Times New Roman" w:hAnsi="Times New Roman" w:cs="Times New Roman"/>
          <w:lang w:val="en-GB"/>
        </w:rPr>
        <w:t xml:space="preserve">rior to addition </w:t>
      </w:r>
      <w:r w:rsidR="003A0599">
        <w:rPr>
          <w:rFonts w:ascii="Times New Roman" w:hAnsi="Times New Roman" w:cs="Times New Roman"/>
          <w:lang w:val="en-GB"/>
        </w:rPr>
        <w:t>of SDS/DMF (20% sodium dodecyl sulphate in 50% dimethylformamide</w:t>
      </w:r>
      <w:r>
        <w:rPr>
          <w:rFonts w:ascii="Times New Roman" w:hAnsi="Times New Roman" w:cs="Times New Roman"/>
          <w:lang w:val="en-GB"/>
        </w:rPr>
        <w:t>, 1:1 SDS/DMF:media</w:t>
      </w:r>
      <w:r w:rsidR="003A0599">
        <w:rPr>
          <w:rFonts w:ascii="Times New Roman" w:hAnsi="Times New Roman" w:cs="Times New Roman"/>
          <w:lang w:val="en-GB"/>
        </w:rPr>
        <w:t>). Plates were</w:t>
      </w:r>
      <w:r>
        <w:rPr>
          <w:rFonts w:ascii="Times New Roman" w:hAnsi="Times New Roman" w:cs="Times New Roman"/>
          <w:lang w:val="en-GB"/>
        </w:rPr>
        <w:t xml:space="preserve"> placed on an orbital shaker</w:t>
      </w:r>
      <w:r w:rsidR="00312125">
        <w:rPr>
          <w:rFonts w:ascii="Times New Roman" w:hAnsi="Times New Roman" w:cs="Times New Roman"/>
          <w:lang w:val="en-GB"/>
        </w:rPr>
        <w:t xml:space="preserve"> (Bibby Scientific, Stone, UK)</w:t>
      </w:r>
      <w:r>
        <w:rPr>
          <w:rFonts w:ascii="Times New Roman" w:hAnsi="Times New Roman" w:cs="Times New Roman"/>
          <w:lang w:val="en-GB"/>
        </w:rPr>
        <w:t xml:space="preserve"> for 30 minutes to solubilise the purple formazan crystals and then 100ul of sample was </w:t>
      </w:r>
      <w:r w:rsidR="003A0599">
        <w:rPr>
          <w:rFonts w:ascii="Times New Roman" w:hAnsi="Times New Roman" w:cs="Times New Roman"/>
          <w:lang w:val="en-GB"/>
        </w:rPr>
        <w:t>added into a 96 well plate</w:t>
      </w:r>
      <w:r>
        <w:rPr>
          <w:rFonts w:ascii="Times New Roman" w:hAnsi="Times New Roman" w:cs="Times New Roman"/>
          <w:lang w:val="en-GB"/>
        </w:rPr>
        <w:t xml:space="preserve"> (in duplicate)</w:t>
      </w:r>
      <w:r w:rsidR="003A0599">
        <w:rPr>
          <w:rFonts w:ascii="Times New Roman" w:hAnsi="Times New Roman" w:cs="Times New Roman"/>
          <w:lang w:val="en-GB"/>
        </w:rPr>
        <w:t xml:space="preserve"> and absorbance was measured using a PHERAstar FS plate reader (BMG labtech Ltd).</w:t>
      </w:r>
    </w:p>
    <w:p w14:paraId="0F015477" w14:textId="77777777" w:rsidR="00FE0DAE" w:rsidRDefault="00FE0DAE" w:rsidP="003A0599">
      <w:pPr>
        <w:spacing w:line="360" w:lineRule="auto"/>
        <w:jc w:val="both"/>
        <w:rPr>
          <w:rFonts w:ascii="Times New Roman" w:hAnsi="Times New Roman" w:cs="Times New Roman"/>
          <w:b/>
          <w:color w:val="000000" w:themeColor="text1"/>
          <w:lang w:val="en-GB"/>
        </w:rPr>
      </w:pPr>
    </w:p>
    <w:p w14:paraId="1556848C" w14:textId="7B8C246C" w:rsidR="003A0599" w:rsidRPr="006473BF" w:rsidRDefault="003A0599" w:rsidP="00FE0DAE">
      <w:pPr>
        <w:jc w:val="both"/>
        <w:rPr>
          <w:rFonts w:ascii="Times New Roman" w:hAnsi="Times New Roman" w:cs="Times New Roman"/>
          <w:b/>
          <w:color w:val="000000" w:themeColor="text1"/>
          <w:lang w:val="en-GB"/>
        </w:rPr>
      </w:pPr>
      <w:r w:rsidRPr="006473BF">
        <w:rPr>
          <w:rFonts w:ascii="Times New Roman" w:hAnsi="Times New Roman" w:cs="Times New Roman"/>
          <w:b/>
          <w:color w:val="000000" w:themeColor="text1"/>
          <w:lang w:val="en-GB"/>
        </w:rPr>
        <w:t>CellRox® Assay</w:t>
      </w:r>
    </w:p>
    <w:p w14:paraId="15B06AB5" w14:textId="1FD86670" w:rsidR="003A0599" w:rsidRPr="00C07841" w:rsidRDefault="003A0599" w:rsidP="003A0599">
      <w:pPr>
        <w:spacing w:line="360" w:lineRule="auto"/>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 xml:space="preserve">CellRox® reagent is a cell permeable dye that emits strong fluorescence when oxidised and was therefore used to identify ROS species in astrocytes. Following treatment </w:t>
      </w:r>
      <w:r w:rsidR="00333077">
        <w:rPr>
          <w:rFonts w:ascii="Times New Roman" w:hAnsi="Times New Roman" w:cs="Times New Roman"/>
          <w:color w:val="000000" w:themeColor="text1"/>
          <w:lang w:val="en-GB"/>
        </w:rPr>
        <w:t>with</w:t>
      </w:r>
      <w:r>
        <w:rPr>
          <w:rFonts w:ascii="Times New Roman" w:hAnsi="Times New Roman" w:cs="Times New Roman"/>
          <w:color w:val="000000" w:themeColor="text1"/>
          <w:lang w:val="en-GB"/>
        </w:rPr>
        <w:t xml:space="preserve"> MAB391/IgG or 50</w:t>
      </w:r>
      <w:r>
        <w:rPr>
          <w:rFonts w:ascii="Times New Roman" w:hAnsi="Times New Roman" w:cs="Times New Roman"/>
          <w:lang w:val="en-GB"/>
        </w:rPr>
        <w:t>μM H</w:t>
      </w:r>
      <w:r>
        <w:rPr>
          <w:rFonts w:ascii="Times New Roman" w:hAnsi="Times New Roman" w:cs="Times New Roman"/>
          <w:vertAlign w:val="subscript"/>
          <w:lang w:val="en-GB"/>
        </w:rPr>
        <w:t>2</w:t>
      </w:r>
      <w:r>
        <w:rPr>
          <w:rFonts w:ascii="Times New Roman" w:hAnsi="Times New Roman" w:cs="Times New Roman"/>
          <w:lang w:val="en-GB"/>
        </w:rPr>
        <w:t>O</w:t>
      </w:r>
      <w:r>
        <w:rPr>
          <w:rFonts w:ascii="Times New Roman" w:hAnsi="Times New Roman" w:cs="Times New Roman"/>
          <w:vertAlign w:val="subscript"/>
          <w:lang w:val="en-GB"/>
        </w:rPr>
        <w:t>2</w:t>
      </w:r>
      <w:r>
        <w:rPr>
          <w:rFonts w:ascii="Times New Roman" w:hAnsi="Times New Roman" w:cs="Times New Roman"/>
          <w:lang w:val="en-GB"/>
        </w:rPr>
        <w:t>, CellRox</w:t>
      </w:r>
      <w:r w:rsidRPr="00C07841">
        <w:rPr>
          <w:rFonts w:ascii="Times New Roman" w:hAnsi="Times New Roman" w:cs="Times New Roman"/>
          <w:vertAlign w:val="subscript"/>
          <w:lang w:val="en-GB"/>
        </w:rPr>
        <w:t xml:space="preserve"> </w:t>
      </w:r>
      <w:r w:rsidRPr="00C07841">
        <w:rPr>
          <w:rFonts w:ascii="Times New Roman" w:hAnsi="Times New Roman" w:cs="Times New Roman"/>
          <w:color w:val="000000" w:themeColor="text1"/>
          <w:lang w:val="en-GB"/>
        </w:rPr>
        <w:t>®</w:t>
      </w:r>
      <w:r>
        <w:rPr>
          <w:rFonts w:ascii="Times New Roman" w:hAnsi="Times New Roman" w:cs="Times New Roman"/>
          <w:color w:val="000000" w:themeColor="text1"/>
          <w:lang w:val="en-GB"/>
        </w:rPr>
        <w:t xml:space="preserve"> reagent was added to cells at a final concentration of 5</w:t>
      </w:r>
      <w:r>
        <w:rPr>
          <w:rFonts w:ascii="Times New Roman" w:hAnsi="Times New Roman" w:cs="Times New Roman"/>
          <w:lang w:val="en-GB"/>
        </w:rPr>
        <w:t>μM and incubated at 37°C for 30 minutes. Media was removed and cells washed 3 times with 1</w:t>
      </w:r>
      <w:r w:rsidR="002C11AB">
        <w:rPr>
          <w:rFonts w:ascii="Times New Roman" w:hAnsi="Times New Roman" w:cs="Times New Roman"/>
          <w:lang w:val="en-GB"/>
        </w:rPr>
        <w:t xml:space="preserve"> </w:t>
      </w:r>
      <w:r>
        <w:rPr>
          <w:rFonts w:ascii="Times New Roman" w:hAnsi="Times New Roman" w:cs="Times New Roman"/>
          <w:lang w:val="en-GB"/>
        </w:rPr>
        <w:t>x</w:t>
      </w:r>
      <w:r w:rsidR="002C11AB">
        <w:rPr>
          <w:rFonts w:ascii="Times New Roman" w:hAnsi="Times New Roman" w:cs="Times New Roman"/>
          <w:lang w:val="en-GB"/>
        </w:rPr>
        <w:t xml:space="preserve"> </w:t>
      </w:r>
      <w:r>
        <w:rPr>
          <w:rFonts w:ascii="Times New Roman" w:hAnsi="Times New Roman" w:cs="Times New Roman"/>
          <w:lang w:val="en-GB"/>
        </w:rPr>
        <w:t>PBS.  Cells were permeabilised with 1</w:t>
      </w:r>
      <w:r w:rsidR="002C11AB">
        <w:rPr>
          <w:rFonts w:ascii="Times New Roman" w:hAnsi="Times New Roman" w:cs="Times New Roman"/>
          <w:lang w:val="en-GB"/>
        </w:rPr>
        <w:t xml:space="preserve"> </w:t>
      </w:r>
      <w:r>
        <w:rPr>
          <w:rFonts w:ascii="Times New Roman" w:hAnsi="Times New Roman" w:cs="Times New Roman"/>
          <w:lang w:val="en-GB"/>
        </w:rPr>
        <w:t>x</w:t>
      </w:r>
      <w:r w:rsidR="002C11AB">
        <w:rPr>
          <w:rFonts w:ascii="Times New Roman" w:hAnsi="Times New Roman" w:cs="Times New Roman"/>
          <w:lang w:val="en-GB"/>
        </w:rPr>
        <w:t xml:space="preserve"> </w:t>
      </w:r>
      <w:r>
        <w:rPr>
          <w:rFonts w:ascii="Times New Roman" w:hAnsi="Times New Roman" w:cs="Times New Roman"/>
          <w:lang w:val="en-GB"/>
        </w:rPr>
        <w:t xml:space="preserve">PBS 0.1% Triton before incubating with Hoescht for 5 minutes. After washing 3 times with 1 x PBS, coverslips were mounted on slides with Fluoromount aqueous mounting media. </w:t>
      </w:r>
    </w:p>
    <w:p w14:paraId="403D3B54" w14:textId="77777777" w:rsidR="00E332B1" w:rsidRDefault="00E332B1" w:rsidP="003A0599">
      <w:pPr>
        <w:spacing w:line="360" w:lineRule="auto"/>
        <w:jc w:val="both"/>
        <w:rPr>
          <w:rFonts w:ascii="Times New Roman" w:hAnsi="Times New Roman" w:cs="Times New Roman"/>
          <w:b/>
          <w:color w:val="000000" w:themeColor="text1"/>
          <w:lang w:val="en-GB"/>
        </w:rPr>
      </w:pPr>
    </w:p>
    <w:p w14:paraId="468BE9C4" w14:textId="0CDF1121" w:rsidR="003A0599" w:rsidRPr="00F92407" w:rsidRDefault="003A0599" w:rsidP="00F92407">
      <w:pPr>
        <w:pStyle w:val="NoSpacing"/>
        <w:rPr>
          <w:rFonts w:ascii="Times New Roman" w:hAnsi="Times New Roman" w:cs="Times New Roman"/>
          <w:b/>
          <w:i/>
        </w:rPr>
      </w:pPr>
      <w:r w:rsidRPr="00F92407">
        <w:rPr>
          <w:rFonts w:ascii="Times New Roman" w:hAnsi="Times New Roman" w:cs="Times New Roman"/>
          <w:b/>
          <w:i/>
        </w:rPr>
        <w:t>(i) Assays performed in astrocyte-neuron co-cultures</w:t>
      </w:r>
    </w:p>
    <w:p w14:paraId="1E31074B" w14:textId="77777777" w:rsidR="003266D9" w:rsidRDefault="003266D9" w:rsidP="00E332B1">
      <w:pPr>
        <w:autoSpaceDE w:val="0"/>
        <w:autoSpaceDN w:val="0"/>
        <w:adjustRightInd w:val="0"/>
        <w:spacing w:line="360" w:lineRule="auto"/>
        <w:jc w:val="both"/>
        <w:rPr>
          <w:rFonts w:ascii="Times New Roman" w:hAnsi="Times New Roman" w:cs="Times New Roman"/>
          <w:b/>
          <w:color w:val="000000" w:themeColor="text1"/>
          <w:lang w:val="en-GB"/>
        </w:rPr>
      </w:pPr>
    </w:p>
    <w:p w14:paraId="6A63F697" w14:textId="59F19CEA" w:rsidR="00E332B1" w:rsidRPr="006473BF" w:rsidRDefault="00E332B1" w:rsidP="00FE0DAE">
      <w:pPr>
        <w:autoSpaceDE w:val="0"/>
        <w:autoSpaceDN w:val="0"/>
        <w:adjustRightInd w:val="0"/>
        <w:jc w:val="both"/>
        <w:rPr>
          <w:rFonts w:ascii="Times New Roman" w:hAnsi="Times New Roman" w:cs="Times New Roman"/>
          <w:b/>
          <w:lang w:val="en-GB"/>
        </w:rPr>
      </w:pPr>
      <w:r w:rsidRPr="006473BF">
        <w:rPr>
          <w:rFonts w:ascii="Times New Roman" w:hAnsi="Times New Roman" w:cs="Times New Roman"/>
          <w:b/>
          <w:lang w:val="en-GB"/>
        </w:rPr>
        <w:t>Neurite outgrowth assay</w:t>
      </w:r>
    </w:p>
    <w:p w14:paraId="2045B105" w14:textId="5B0C5C07" w:rsidR="00E332B1" w:rsidRPr="00292ACC" w:rsidRDefault="00E332B1" w:rsidP="00E332B1">
      <w:pPr>
        <w:autoSpaceDE w:val="0"/>
        <w:autoSpaceDN w:val="0"/>
        <w:adjustRightInd w:val="0"/>
        <w:spacing w:line="360" w:lineRule="auto"/>
        <w:jc w:val="both"/>
        <w:rPr>
          <w:rFonts w:ascii="Times New Roman" w:hAnsi="Times New Roman" w:cs="Times New Roman"/>
          <w:lang w:val="en-GB"/>
        </w:rPr>
      </w:pPr>
      <w:r>
        <w:rPr>
          <w:rFonts w:ascii="Times New Roman" w:hAnsi="Times New Roman" w:cs="Times New Roman"/>
          <w:lang w:val="en-GB"/>
        </w:rPr>
        <w:t>The neurites of LUHMES were measured in order to determine astrocytic support during neuronal differentiation. First, astrocytes were seeded on coverslips in a 24 well plate (coated with 1μg/ml human fibronectin) at 30 000 cells/well.  In parallel, tetracycline (1μg/ml) was added to the GFP LUHMES to initiate pre-differentiation. Twenty-four hours following plating, astrocytes were treated with MAB/IgG/DMSO/Wortmannin and after a further 24 hours LUHMES were replated at 7500 cells/well alone or on top of astrocytes. Astrocytes were washed with PBS prior to addition of GFP LUHMES cells to remove any remaining MAB/IgG/DMSO/Wortmannin. Co-cultures were fixed with 4% PFA every 24 hours over a 72 hour period. Five FITC images of each coverslip were captured (3 coverslips per condition per experiment) and neurite length was measured using an ImageJ plugin called Simple Neurite Tracer (</w:t>
      </w:r>
      <w:r w:rsidR="00292ACC">
        <w:rPr>
          <w:rFonts w:ascii="Times New Roman" w:hAnsi="Times New Roman" w:cs="Times New Roman"/>
          <w:b/>
          <w:lang w:val="en-GB"/>
        </w:rPr>
        <w:t>figure 2.2</w:t>
      </w:r>
      <w:r w:rsidR="00292ACC">
        <w:rPr>
          <w:rFonts w:ascii="Times New Roman" w:hAnsi="Times New Roman" w:cs="Times New Roman"/>
          <w:lang w:val="en-GB"/>
        </w:rPr>
        <w:t>).</w:t>
      </w:r>
    </w:p>
    <w:p w14:paraId="2CA4D007" w14:textId="77777777" w:rsidR="00E332B1" w:rsidRDefault="00E332B1" w:rsidP="00E332B1">
      <w:pPr>
        <w:autoSpaceDE w:val="0"/>
        <w:autoSpaceDN w:val="0"/>
        <w:adjustRightInd w:val="0"/>
        <w:spacing w:line="360" w:lineRule="auto"/>
        <w:jc w:val="both"/>
        <w:rPr>
          <w:rFonts w:ascii="Times New Roman" w:hAnsi="Times New Roman" w:cs="Times New Roman"/>
          <w:lang w:val="en-GB"/>
        </w:rPr>
      </w:pPr>
    </w:p>
    <w:p w14:paraId="49CD73C2" w14:textId="016FE5F7" w:rsidR="00E332B1" w:rsidRDefault="00E332B1" w:rsidP="00E332B1">
      <w:pPr>
        <w:autoSpaceDE w:val="0"/>
        <w:autoSpaceDN w:val="0"/>
        <w:adjustRightInd w:val="0"/>
        <w:spacing w:line="360" w:lineRule="auto"/>
        <w:jc w:val="both"/>
        <w:rPr>
          <w:rFonts w:ascii="Times New Roman" w:hAnsi="Times New Roman" w:cs="Times New Roman"/>
          <w:b/>
          <w:lang w:val="en-GB"/>
        </w:rPr>
      </w:pPr>
      <w:r>
        <w:rPr>
          <w:rFonts w:ascii="Times New Roman" w:hAnsi="Times New Roman" w:cs="Times New Roman"/>
          <w:b/>
          <w:lang w:val="en-GB"/>
        </w:rPr>
        <w:t xml:space="preserve">                  </w:t>
      </w:r>
      <w:r w:rsidR="003F0EE8">
        <w:rPr>
          <w:rFonts w:ascii="Times New Roman" w:hAnsi="Times New Roman" w:cs="Times New Roman"/>
          <w:b/>
          <w:lang w:val="en-GB"/>
        </w:rPr>
        <w:t xml:space="preserve">   </w:t>
      </w:r>
      <w:r>
        <w:rPr>
          <w:rFonts w:ascii="Times New Roman" w:hAnsi="Times New Roman" w:cs="Times New Roman"/>
          <w:b/>
          <w:lang w:val="en-GB"/>
        </w:rPr>
        <w:t xml:space="preserve">              </w:t>
      </w:r>
      <w:r>
        <w:rPr>
          <w:rFonts w:ascii="Times New Roman" w:hAnsi="Times New Roman" w:cs="Times New Roman"/>
          <w:noProof/>
        </w:rPr>
        <w:drawing>
          <wp:inline distT="0" distB="0" distL="0" distR="0" wp14:anchorId="1627096A" wp14:editId="7FC9F2AD">
            <wp:extent cx="3125925" cy="234090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24">
                      <a:extLst>
                        <a:ext uri="{28A0092B-C50C-407E-A947-70E740481C1C}">
                          <a14:useLocalDpi xmlns:a14="http://schemas.microsoft.com/office/drawing/2010/main" val="0"/>
                        </a:ext>
                      </a:extLst>
                    </a:blip>
                    <a:srcRect l="26973" t="12733" r="21718" b="36023"/>
                    <a:stretch/>
                  </pic:blipFill>
                  <pic:spPr bwMode="auto">
                    <a:xfrm>
                      <a:off x="0" y="0"/>
                      <a:ext cx="3128328" cy="2342709"/>
                    </a:xfrm>
                    <a:prstGeom prst="rect">
                      <a:avLst/>
                    </a:prstGeom>
                    <a:ln>
                      <a:noFill/>
                    </a:ln>
                    <a:extLst>
                      <a:ext uri="{53640926-AAD7-44d8-BBD7-CCE9431645EC}">
                        <a14:shadowObscured xmlns:a14="http://schemas.microsoft.com/office/drawing/2010/main"/>
                      </a:ext>
                    </a:extLst>
                  </pic:spPr>
                </pic:pic>
              </a:graphicData>
            </a:graphic>
          </wp:inline>
        </w:drawing>
      </w:r>
    </w:p>
    <w:p w14:paraId="1FF45DE7" w14:textId="2B714664" w:rsidR="00A83395" w:rsidRDefault="00E332B1" w:rsidP="001627E2">
      <w:pPr>
        <w:pStyle w:val="Caption"/>
        <w:rPr>
          <w:lang w:val="en-GB"/>
        </w:rPr>
      </w:pPr>
      <w:bookmarkStart w:id="766" w:name="_Toc333569047"/>
      <w:bookmarkStart w:id="767" w:name="_Toc333569272"/>
      <w:bookmarkStart w:id="768" w:name="_Toc333570826"/>
      <w:bookmarkStart w:id="769" w:name="_Toc333582209"/>
      <w:bookmarkStart w:id="770" w:name="_Toc333582329"/>
      <w:bookmarkStart w:id="771" w:name="_Toc333582741"/>
      <w:bookmarkStart w:id="772" w:name="_Toc333583111"/>
      <w:bookmarkStart w:id="773" w:name="_Toc333584080"/>
      <w:bookmarkStart w:id="774" w:name="_Toc333585214"/>
      <w:bookmarkStart w:id="775" w:name="_Toc333586766"/>
      <w:bookmarkStart w:id="776" w:name="_Toc333644465"/>
      <w:bookmarkStart w:id="777" w:name="_Toc333644759"/>
      <w:r>
        <w:rPr>
          <w:lang w:val="en-GB"/>
        </w:rPr>
        <w:t>Figure 2.2</w:t>
      </w:r>
      <w:r w:rsidR="0052651A">
        <w:rPr>
          <w:lang w:val="en-GB"/>
        </w:rPr>
        <w:t>.</w:t>
      </w:r>
      <w:r w:rsidR="00A83395">
        <w:rPr>
          <w:lang w:val="en-GB"/>
        </w:rPr>
        <w:t xml:space="preserve"> Method of capturing images for neurite outgrowth assay</w:t>
      </w:r>
      <w:bookmarkEnd w:id="766"/>
      <w:bookmarkEnd w:id="767"/>
      <w:bookmarkEnd w:id="768"/>
      <w:bookmarkEnd w:id="769"/>
      <w:bookmarkEnd w:id="770"/>
      <w:bookmarkEnd w:id="771"/>
      <w:bookmarkEnd w:id="772"/>
      <w:r w:rsidR="001627E2">
        <w:rPr>
          <w:lang w:val="en-GB"/>
        </w:rPr>
        <w:t>.</w:t>
      </w:r>
      <w:bookmarkEnd w:id="773"/>
      <w:bookmarkEnd w:id="774"/>
      <w:bookmarkEnd w:id="775"/>
      <w:bookmarkEnd w:id="776"/>
      <w:bookmarkEnd w:id="777"/>
    </w:p>
    <w:p w14:paraId="69DEC3CC" w14:textId="68D1CD12" w:rsidR="00E332B1" w:rsidRDefault="00E332B1" w:rsidP="00E332B1">
      <w:pPr>
        <w:autoSpaceDE w:val="0"/>
        <w:autoSpaceDN w:val="0"/>
        <w:adjustRightInd w:val="0"/>
        <w:spacing w:line="360" w:lineRule="auto"/>
        <w:jc w:val="both"/>
        <w:rPr>
          <w:rFonts w:ascii="Times New Roman" w:hAnsi="Times New Roman" w:cs="Times New Roman"/>
          <w:lang w:val="en-GB"/>
        </w:rPr>
      </w:pPr>
      <w:r>
        <w:rPr>
          <w:rFonts w:ascii="Times New Roman" w:hAnsi="Times New Roman" w:cs="Times New Roman"/>
          <w:lang w:val="en-GB"/>
        </w:rPr>
        <w:t>Diagram illustrating the method used to capture images of neurons in the neurite outgrowth assays. 5 images were captured per coverslip, with 3 coverslips per experiment and 3 independent experiments in total (diagram not to size).</w:t>
      </w:r>
    </w:p>
    <w:p w14:paraId="738B3F39" w14:textId="77777777" w:rsidR="00F92407" w:rsidRDefault="00F92407" w:rsidP="00E332B1">
      <w:pPr>
        <w:autoSpaceDE w:val="0"/>
        <w:autoSpaceDN w:val="0"/>
        <w:adjustRightInd w:val="0"/>
        <w:spacing w:line="360" w:lineRule="auto"/>
        <w:jc w:val="both"/>
        <w:rPr>
          <w:rFonts w:ascii="Times New Roman" w:hAnsi="Times New Roman" w:cs="Times New Roman"/>
          <w:b/>
          <w:lang w:val="en-GB"/>
        </w:rPr>
      </w:pPr>
    </w:p>
    <w:p w14:paraId="0304246C" w14:textId="6D6CE2B0" w:rsidR="00E332B1" w:rsidRPr="006473BF" w:rsidRDefault="00E332B1" w:rsidP="00E332B1">
      <w:pPr>
        <w:autoSpaceDE w:val="0"/>
        <w:autoSpaceDN w:val="0"/>
        <w:adjustRightInd w:val="0"/>
        <w:spacing w:line="360" w:lineRule="auto"/>
        <w:jc w:val="both"/>
        <w:rPr>
          <w:rFonts w:ascii="Times New Roman" w:hAnsi="Times New Roman" w:cs="Times New Roman"/>
          <w:lang w:val="en-GB"/>
        </w:rPr>
      </w:pPr>
      <w:r w:rsidRPr="006473BF">
        <w:rPr>
          <w:rFonts w:ascii="Times New Roman" w:hAnsi="Times New Roman" w:cs="Times New Roman"/>
          <w:b/>
          <w:lang w:val="en-GB"/>
        </w:rPr>
        <w:t xml:space="preserve">Neurite outgrowth assay adapted to look at protection of neurons from </w:t>
      </w:r>
      <w:r w:rsidR="00FE0DAE">
        <w:rPr>
          <w:rFonts w:ascii="Times New Roman" w:hAnsi="Times New Roman" w:cs="Times New Roman"/>
          <w:b/>
          <w:lang w:val="en-GB"/>
        </w:rPr>
        <w:t>hydrogen peroxide</w:t>
      </w:r>
    </w:p>
    <w:p w14:paraId="06236003" w14:textId="67212B10" w:rsidR="00E332B1" w:rsidRDefault="00E332B1" w:rsidP="00E332B1">
      <w:pPr>
        <w:autoSpaceDE w:val="0"/>
        <w:autoSpaceDN w:val="0"/>
        <w:adjustRightInd w:val="0"/>
        <w:spacing w:line="360" w:lineRule="auto"/>
        <w:jc w:val="both"/>
        <w:rPr>
          <w:rFonts w:ascii="Times New Roman" w:hAnsi="Times New Roman" w:cs="Times New Roman"/>
          <w:lang w:val="en-GB"/>
        </w:rPr>
      </w:pPr>
      <w:r>
        <w:rPr>
          <w:rFonts w:ascii="Times New Roman" w:hAnsi="Times New Roman" w:cs="Times New Roman"/>
          <w:lang w:val="en-GB"/>
        </w:rPr>
        <w:t xml:space="preserve">Neurite length following exposure of co-cultures to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 xml:space="preserve">2 </w:t>
      </w:r>
      <w:r>
        <w:rPr>
          <w:rFonts w:ascii="Times New Roman" w:hAnsi="Times New Roman" w:cs="Times New Roman"/>
          <w:lang w:val="en-GB"/>
        </w:rPr>
        <w:t xml:space="preserve">was performed to assess susceptibility of neurons to oxidative stress in different conditions. In this assay, astrocytes were seeded on fibronectin coated coverslips at a density of 30 000 cells per well of a 24 well plate. GFP LUHMES were differentiated in parallel by adding tetracycline (1μg/ml) to cell culture media. Twenty-four hours following plating, astrocytes were treated with 11μg/ml of MAB391/IgG and after a further 24 hours GFP LUHMES were seeded on astrocytes at a density of 7500 cells per well. After 72 hours in co-culture, cells were exposed to 50μM of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2</w:t>
      </w:r>
      <w:r w:rsidR="004C1CF7">
        <w:rPr>
          <w:rFonts w:ascii="Times New Roman" w:hAnsi="Times New Roman" w:cs="Times New Roman"/>
          <w:lang w:val="en-GB"/>
        </w:rPr>
        <w:t xml:space="preserve"> </w:t>
      </w:r>
      <w:r>
        <w:rPr>
          <w:rFonts w:ascii="Times New Roman" w:hAnsi="Times New Roman" w:cs="Times New Roman"/>
          <w:lang w:val="en-GB"/>
        </w:rPr>
        <w:t>(9M stock solution) and fixed with 4% PFA two hours later. Using the Nikon microscope, five FITC images of each coverslip were captured (3 coverslips per condition per experiment) and neurite length was measured using the ImageJ plugin called Simple Neurite Tracer.</w:t>
      </w:r>
    </w:p>
    <w:p w14:paraId="6E54EEB2" w14:textId="77777777" w:rsidR="00541C38" w:rsidRDefault="00541C38" w:rsidP="003A0599">
      <w:pPr>
        <w:spacing w:line="360" w:lineRule="auto"/>
        <w:jc w:val="both"/>
        <w:rPr>
          <w:rFonts w:ascii="Times New Roman" w:hAnsi="Times New Roman" w:cs="Times New Roman"/>
          <w:b/>
          <w:color w:val="000000" w:themeColor="text1"/>
          <w:lang w:val="en-GB"/>
        </w:rPr>
      </w:pPr>
    </w:p>
    <w:p w14:paraId="3D20500E" w14:textId="527E02B3" w:rsidR="003A0599" w:rsidRDefault="003A0599" w:rsidP="00FE0DAE">
      <w:pPr>
        <w:jc w:val="both"/>
        <w:rPr>
          <w:rFonts w:ascii="Times New Roman" w:hAnsi="Times New Roman" w:cs="Times New Roman"/>
          <w:b/>
          <w:color w:val="000000" w:themeColor="text1"/>
          <w:lang w:val="en-GB"/>
        </w:rPr>
      </w:pPr>
      <w:r>
        <w:rPr>
          <w:rFonts w:ascii="Times New Roman" w:hAnsi="Times New Roman" w:cs="Times New Roman"/>
          <w:b/>
          <w:color w:val="000000" w:themeColor="text1"/>
          <w:lang w:val="en-GB"/>
        </w:rPr>
        <w:t>Lactate Assay</w:t>
      </w:r>
    </w:p>
    <w:p w14:paraId="3091946D" w14:textId="02C334E4" w:rsidR="003A0599" w:rsidRPr="00647A24" w:rsidRDefault="003A0599" w:rsidP="003A0599">
      <w:pPr>
        <w:spacing w:line="360" w:lineRule="auto"/>
        <w:jc w:val="both"/>
        <w:rPr>
          <w:rFonts w:ascii="Times New Roman" w:hAnsi="Times New Roman" w:cs="Times New Roman"/>
          <w:lang w:val="en-GB"/>
        </w:rPr>
      </w:pPr>
      <w:r>
        <w:rPr>
          <w:rFonts w:ascii="Times New Roman" w:hAnsi="Times New Roman" w:cs="Times New Roman"/>
          <w:color w:val="000000" w:themeColor="text1"/>
          <w:lang w:val="en-GB"/>
        </w:rPr>
        <w:t>Lactate levels in cell media were measured using a lactate assay kit purchased from Abnova. Astrocytes were plated at 30 000 cells per well in a 24 well plate and treated with and without either IgG/MAB391 for 24 hours before co-culturing with LUHMES for 72 hours. Media was collected from co-cultures and centrifuged at 4°C for 4 minutes at 400g before filtering through a 0.2μM filter. Reaction was performed according to the protocol provided with the kit. Lactate standards</w:t>
      </w:r>
      <w:r w:rsidR="008B0C46">
        <w:rPr>
          <w:rFonts w:ascii="Times New Roman" w:hAnsi="Times New Roman" w:cs="Times New Roman"/>
          <w:color w:val="000000" w:themeColor="text1"/>
          <w:lang w:val="en-GB"/>
        </w:rPr>
        <w:t xml:space="preserve"> (provided in the kit)</w:t>
      </w:r>
      <w:r>
        <w:rPr>
          <w:rFonts w:ascii="Times New Roman" w:hAnsi="Times New Roman" w:cs="Times New Roman"/>
          <w:color w:val="000000" w:themeColor="text1"/>
          <w:lang w:val="en-GB"/>
        </w:rPr>
        <w:t xml:space="preserve"> and samples were loaded in a </w:t>
      </w:r>
      <w:r>
        <w:rPr>
          <w:rFonts w:ascii="Times New Roman" w:hAnsi="Times New Roman" w:cs="Times New Roman"/>
          <w:lang w:val="en-GB"/>
        </w:rPr>
        <w:t>96 well plate (Costar) and absorbance was measured at 570nm using a PHERAstar FS plate reader (BMG labtech Ltd).</w:t>
      </w:r>
    </w:p>
    <w:p w14:paraId="5BF7EDE4" w14:textId="77777777" w:rsidR="003A0599" w:rsidRDefault="003A0599" w:rsidP="003A0599">
      <w:pPr>
        <w:spacing w:line="360" w:lineRule="auto"/>
        <w:jc w:val="both"/>
        <w:rPr>
          <w:rFonts w:ascii="Times New Roman" w:hAnsi="Times New Roman" w:cs="Times New Roman"/>
          <w:b/>
          <w:color w:val="000000" w:themeColor="text1"/>
          <w:lang w:val="en-GB"/>
        </w:rPr>
      </w:pPr>
    </w:p>
    <w:p w14:paraId="516E2AEE" w14:textId="59012B94" w:rsidR="003A0599" w:rsidRDefault="003A0599" w:rsidP="00FE0DAE">
      <w:pPr>
        <w:jc w:val="both"/>
        <w:rPr>
          <w:rFonts w:ascii="Times New Roman" w:hAnsi="Times New Roman" w:cs="Times New Roman"/>
          <w:b/>
          <w:color w:val="000000" w:themeColor="text1"/>
          <w:lang w:val="en-GB"/>
        </w:rPr>
      </w:pPr>
      <w:r>
        <w:rPr>
          <w:rFonts w:ascii="Times New Roman" w:hAnsi="Times New Roman" w:cs="Times New Roman"/>
          <w:b/>
          <w:color w:val="000000" w:themeColor="text1"/>
          <w:lang w:val="en-GB"/>
        </w:rPr>
        <w:t>Complex I Assay</w:t>
      </w:r>
    </w:p>
    <w:p w14:paraId="7182A147" w14:textId="30CC1DB5" w:rsidR="007F5E18" w:rsidRDefault="003A0599" w:rsidP="003A0599">
      <w:pPr>
        <w:spacing w:line="360" w:lineRule="auto"/>
        <w:jc w:val="both"/>
        <w:rPr>
          <w:rFonts w:ascii="Times New Roman" w:hAnsi="Times New Roman" w:cs="Times New Roman"/>
          <w:color w:val="000000" w:themeColor="text1"/>
          <w:lang w:val="en-GB"/>
        </w:rPr>
      </w:pPr>
      <w:r>
        <w:rPr>
          <w:rFonts w:ascii="Times New Roman" w:hAnsi="Times New Roman" w:cs="Times New Roman"/>
          <w:color w:val="000000" w:themeColor="text1"/>
          <w:lang w:val="en-GB"/>
        </w:rPr>
        <w:t>NADH-dependent complex I activity was measured using the Complex I Enzyme Activity Microplate Assay Kit purchased from Abcam</w:t>
      </w:r>
      <w:r w:rsidR="007F5E18">
        <w:rPr>
          <w:rFonts w:ascii="Times New Roman" w:hAnsi="Times New Roman" w:cs="Times New Roman"/>
          <w:color w:val="000000" w:themeColor="text1"/>
          <w:lang w:val="en-GB"/>
        </w:rPr>
        <w:t xml:space="preserve"> (the manufacturer states that the antibody binds to all subunits of complex I)</w:t>
      </w:r>
      <w:r>
        <w:rPr>
          <w:rFonts w:ascii="Times New Roman" w:hAnsi="Times New Roman" w:cs="Times New Roman"/>
          <w:color w:val="000000" w:themeColor="text1"/>
          <w:lang w:val="en-GB"/>
        </w:rPr>
        <w:t>.</w:t>
      </w:r>
      <w:r w:rsidR="007F5E18">
        <w:rPr>
          <w:rFonts w:ascii="Times New Roman" w:hAnsi="Times New Roman" w:cs="Times New Roman"/>
          <w:color w:val="000000" w:themeColor="text1"/>
          <w:lang w:val="en-GB"/>
        </w:rPr>
        <w:t xml:space="preserve"> As NADH is oxidised to NAD+, the molecular probe provided with the kit is reduced and absorbance can be measured.</w:t>
      </w:r>
    </w:p>
    <w:p w14:paraId="4315A79E" w14:textId="77777777" w:rsidR="007F5E18" w:rsidRDefault="007F5E18" w:rsidP="003A0599">
      <w:pPr>
        <w:spacing w:line="360" w:lineRule="auto"/>
        <w:jc w:val="both"/>
        <w:rPr>
          <w:rFonts w:ascii="Times New Roman" w:hAnsi="Times New Roman" w:cs="Times New Roman"/>
          <w:color w:val="000000" w:themeColor="text1"/>
          <w:lang w:val="en-GB"/>
        </w:rPr>
      </w:pPr>
    </w:p>
    <w:p w14:paraId="0C64B1BB" w14:textId="040343AC" w:rsidR="007F5E18" w:rsidRDefault="003A0599" w:rsidP="003F0EE8">
      <w:pPr>
        <w:spacing w:line="360" w:lineRule="auto"/>
        <w:jc w:val="both"/>
        <w:rPr>
          <w:rFonts w:ascii="Times New Roman" w:hAnsi="Times New Roman" w:cs="Times New Roman"/>
          <w:lang w:val="en-GB"/>
        </w:rPr>
      </w:pPr>
      <w:r>
        <w:rPr>
          <w:rFonts w:ascii="Times New Roman" w:hAnsi="Times New Roman" w:cs="Times New Roman"/>
          <w:color w:val="000000" w:themeColor="text1"/>
          <w:lang w:val="en-GB"/>
        </w:rPr>
        <w:t>Astrocytes were plated at 1x10</w:t>
      </w:r>
      <w:r>
        <w:rPr>
          <w:rFonts w:ascii="Times New Roman" w:hAnsi="Times New Roman" w:cs="Times New Roman"/>
          <w:color w:val="000000" w:themeColor="text1"/>
          <w:vertAlign w:val="superscript"/>
          <w:lang w:val="en-GB"/>
        </w:rPr>
        <w:t>6</w:t>
      </w:r>
      <w:r>
        <w:rPr>
          <w:rFonts w:ascii="Times New Roman" w:hAnsi="Times New Roman" w:cs="Times New Roman"/>
          <w:color w:val="000000" w:themeColor="text1"/>
          <w:lang w:val="en-GB"/>
        </w:rPr>
        <w:t xml:space="preserve"> cells per 10cm dish and treated with or without IgG/MAB391 for 24 hours. Two day pre-differentiated LUHMES were subsequently plated on</w:t>
      </w:r>
      <w:r w:rsidR="002C0EA0">
        <w:rPr>
          <w:rFonts w:ascii="Times New Roman" w:hAnsi="Times New Roman" w:cs="Times New Roman"/>
          <w:color w:val="000000" w:themeColor="text1"/>
          <w:lang w:val="en-GB"/>
        </w:rPr>
        <w:t xml:space="preserve"> </w:t>
      </w:r>
      <w:r>
        <w:rPr>
          <w:rFonts w:ascii="Times New Roman" w:hAnsi="Times New Roman" w:cs="Times New Roman"/>
          <w:color w:val="000000" w:themeColor="text1"/>
          <w:lang w:val="en-GB"/>
        </w:rPr>
        <w:t>top of astrocytes at a density of 3.3x10</w:t>
      </w:r>
      <w:r>
        <w:rPr>
          <w:rFonts w:ascii="Times New Roman" w:hAnsi="Times New Roman" w:cs="Times New Roman"/>
          <w:color w:val="000000" w:themeColor="text1"/>
          <w:vertAlign w:val="superscript"/>
          <w:lang w:val="en-GB"/>
        </w:rPr>
        <w:t>6</w:t>
      </w:r>
      <w:r>
        <w:rPr>
          <w:rFonts w:ascii="Times New Roman" w:hAnsi="Times New Roman" w:cs="Times New Roman"/>
          <w:color w:val="000000" w:themeColor="text1"/>
          <w:lang w:val="en-GB"/>
        </w:rPr>
        <w:t xml:space="preserve"> cells per 10cm dish. 72 hours later, cells were harvested using a cell scraper in 40μl of 1 x PBS. A BCA assay was performed to determine protein concentration. 10 x detergent was added to each sample, incubated on ice for 30 minutes and centrifuged at 14000g for 20 minutes. 250</w:t>
      </w:r>
      <w:r>
        <w:rPr>
          <w:rFonts w:ascii="Times New Roman" w:hAnsi="Times New Roman" w:cs="Times New Roman"/>
          <w:color w:val="000000" w:themeColor="text1"/>
          <w:lang w:val="en-GB"/>
        </w:rPr>
        <w:sym w:font="Symbol" w:char="F06D"/>
      </w:r>
      <w:r>
        <w:rPr>
          <w:rFonts w:ascii="Times New Roman" w:hAnsi="Times New Roman" w:cs="Times New Roman"/>
          <w:color w:val="000000" w:themeColor="text1"/>
          <w:lang w:val="en-GB"/>
        </w:rPr>
        <w:t xml:space="preserve">g of sample was loaded into each well of a plate provided in the kit and left to incubate at room temperature for 3 hours. The next steps were performed according to the manufacturer’s protocol. Absorbance was measured at 450nm every 15 seconds over a period of 30 minutes with shakes between reads on a </w:t>
      </w:r>
      <w:r>
        <w:rPr>
          <w:rFonts w:ascii="Times New Roman" w:hAnsi="Times New Roman" w:cs="Times New Roman"/>
          <w:lang w:val="en-GB"/>
        </w:rPr>
        <w:t>PHERAstar FS plate reader (BMG labtech Ltd).</w:t>
      </w:r>
    </w:p>
    <w:p w14:paraId="6FA7CFA2" w14:textId="77777777" w:rsidR="00722323" w:rsidRDefault="00722323" w:rsidP="003F0EE8">
      <w:pPr>
        <w:spacing w:line="360" w:lineRule="auto"/>
        <w:jc w:val="both"/>
        <w:rPr>
          <w:rFonts w:ascii="Times New Roman" w:hAnsi="Times New Roman" w:cs="Times New Roman"/>
          <w:lang w:val="en-GB"/>
        </w:rPr>
      </w:pPr>
    </w:p>
    <w:p w14:paraId="26D8EB75" w14:textId="77777777" w:rsidR="00E65561" w:rsidRDefault="00E65561" w:rsidP="00F92407">
      <w:pPr>
        <w:rPr>
          <w:rFonts w:ascii="Times New Roman" w:hAnsi="Times New Roman" w:cs="Times New Roman"/>
          <w:b/>
          <w:i/>
        </w:rPr>
      </w:pPr>
      <w:bookmarkStart w:id="778" w:name="_Toc328301132"/>
    </w:p>
    <w:p w14:paraId="4BEFF300" w14:textId="5D6EC277" w:rsidR="00E332B1" w:rsidRPr="00F92407" w:rsidRDefault="00E332B1" w:rsidP="00F92407">
      <w:pPr>
        <w:rPr>
          <w:rFonts w:ascii="Times New Roman" w:hAnsi="Times New Roman" w:cs="Times New Roman"/>
          <w:b/>
          <w:i/>
        </w:rPr>
      </w:pPr>
      <w:r w:rsidRPr="00F92407">
        <w:rPr>
          <w:rFonts w:ascii="Times New Roman" w:hAnsi="Times New Roman" w:cs="Times New Roman"/>
          <w:b/>
          <w:i/>
        </w:rPr>
        <w:t>(j) Co-culture Separation Techniques</w:t>
      </w:r>
      <w:bookmarkEnd w:id="778"/>
    </w:p>
    <w:p w14:paraId="4F4A37D7" w14:textId="77777777" w:rsidR="00E332B1" w:rsidRDefault="00E332B1" w:rsidP="00E332B1">
      <w:pPr>
        <w:autoSpaceDE w:val="0"/>
        <w:autoSpaceDN w:val="0"/>
        <w:adjustRightInd w:val="0"/>
        <w:spacing w:line="360" w:lineRule="auto"/>
        <w:jc w:val="both"/>
        <w:rPr>
          <w:rFonts w:ascii="Times New Roman" w:hAnsi="Times New Roman" w:cs="Times New Roman"/>
          <w:b/>
          <w:lang w:val="en-GB"/>
        </w:rPr>
      </w:pPr>
    </w:p>
    <w:p w14:paraId="6D4D2212" w14:textId="1CF1AF86" w:rsidR="00E332B1" w:rsidRPr="006473BF" w:rsidRDefault="00E332B1" w:rsidP="00FE0DAE">
      <w:pPr>
        <w:autoSpaceDE w:val="0"/>
        <w:autoSpaceDN w:val="0"/>
        <w:adjustRightInd w:val="0"/>
        <w:jc w:val="both"/>
        <w:rPr>
          <w:rFonts w:ascii="Times New Roman" w:hAnsi="Times New Roman" w:cs="Times New Roman"/>
          <w:b/>
          <w:lang w:val="en-GB"/>
        </w:rPr>
      </w:pPr>
      <w:r w:rsidRPr="006473BF">
        <w:rPr>
          <w:rFonts w:ascii="Times New Roman" w:hAnsi="Times New Roman" w:cs="Times New Roman"/>
          <w:b/>
          <w:lang w:val="en-GB"/>
        </w:rPr>
        <w:t>PBS-jet wash co-culture separation</w:t>
      </w:r>
    </w:p>
    <w:p w14:paraId="6601060C" w14:textId="432EFBE6" w:rsidR="00E332B1" w:rsidRPr="00730BA7" w:rsidRDefault="00E332B1" w:rsidP="00E332B1">
      <w:pPr>
        <w:autoSpaceDE w:val="0"/>
        <w:autoSpaceDN w:val="0"/>
        <w:adjustRightInd w:val="0"/>
        <w:spacing w:line="360" w:lineRule="auto"/>
        <w:jc w:val="both"/>
        <w:rPr>
          <w:rFonts w:ascii="Times New Roman" w:hAnsi="Times New Roman" w:cs="Times New Roman"/>
          <w:lang w:val="en-GB"/>
        </w:rPr>
      </w:pPr>
      <w:r>
        <w:rPr>
          <w:rFonts w:ascii="Times New Roman" w:hAnsi="Times New Roman" w:cs="Times New Roman"/>
          <w:lang w:val="en-GB"/>
        </w:rPr>
        <w:t xml:space="preserve">Recent reports suggest that astrocyte-neuronal co-cultures can be separated using ice-cold PBS </w:t>
      </w:r>
      <w:r>
        <w:rPr>
          <w:rFonts w:ascii="Times New Roman" w:hAnsi="Times New Roman" w:cs="Times New Roman"/>
          <w:lang w:val="en-GB"/>
        </w:rPr>
        <w:fldChar w:fldCharType="begin" w:fldLock="1"/>
      </w:r>
      <w:r w:rsidR="003E7BDB">
        <w:rPr>
          <w:rFonts w:ascii="Times New Roman" w:hAnsi="Times New Roman" w:cs="Times New Roman"/>
          <w:lang w:val="en-GB"/>
        </w:rPr>
        <w:instrText>ADDIN CSL_CITATION { "citationItems" : [ { "id" : "ITEM-1", "itemData" : { "DOI" : "10.3389/fncel.2014.00012", "ISSN" : "1662-5102", "PMID" : "24523672", "abstract" : "Over the last decade, the importance of astrocyte-neuron communication in neuronal development and synaptic plasticity has become increasingly clear. Since neuron-astrocyte interactions represent highly dynamic and reciprocal processes, we hypothesized that many astrocyte genes may be regulated as a consequence of their interactions with maturing neurons. In order to identify such neuron-responsive astrocyte genes in vitro, we sought to establish an expedited technique for separation of neurons from co-cultured astrocytes. Our newly established method makes use of cold jet, which exploits different adhesion characteristics of subpopulations of cells (Jirsova etal., 1997), and is rapid, performed under ice-cold conditions and avoids protease-mediated isolation of astrocytes or time-consuming centrifugation, yielding intact astrocyte mRNA with approximately 90% of neuronal RNA removed. Using this purification method, we executed genome-wide profiling in which RNA derived from astrocyte-only cultures was compared with astrocyte RNA derived from differentiating neuron-astrocyte co-cultures. Data analysis determined that many astrocytic mRNAs and biological processes are regulated by neuronal interaction. Our results validate the cold jet as an efficient method to separate astrocytes from neurons in co-culture, and reveals that neurons induce robust gene-expression changes in co-cultured astrocytes.", "author" : [ { "dropping-particle" : "", "family" : "Goudriaan", "given" : "Andrea", "non-dropping-particle" : "", "parse-names" : false, "suffix" : "" }, { "dropping-particle" : "", "family" : "Camargo", "given" : "Nutabi", "non-dropping-particle" : "", "parse-names" : false, "suffix" : "" }, { "dropping-particle" : "", "family" : "Carney", "given" : "Karen E", "non-dropping-particle" : "", "parse-names" : false, "suffix" : "" }, { "dropping-particle" : "", "family" : "Oliet", "given" : "St\u00e9phane H R", "non-dropping-particle" : "", "parse-names" : false, "suffix" : "" }, { "dropping-particle" : "", "family" : "Smit", "given" : "August B", "non-dropping-particle" : "", "parse-names" : false, "suffix" : "" }, { "dropping-particle" : "", "family" : "Verheijen", "given" : "Mark H G", "non-dropping-particle" : "", "parse-names" : false, "suffix" : "" } ], "container-title" : "Frontiers in cellular neuroscience", "id" : "ITEM-1", "issued" : { "date-parts" : [ [ "2014", "1", "30" ] ] }, "language" : "English", "page" : "12", "publisher" : "Frontiers", "title" : "Novel cell separation method for molecular analysis of neuron-astrocyte co-cultures.", "type" : "article-journal", "volume" : "8" }, "uris" : [ "http://www.mendeley.com/documents/?uuid=8b0c08f1-fbc3-47dd-ac12-a31970da9103" ] } ], "mendeley" : { "formattedCitation" : "(Goudriaan et al. 2014)", "plainTextFormattedCitation" : "(Goudriaan et al. 2014)", "previouslyFormattedCitation" : "(Goudriaan et al. 2014)" }, "properties" : { "noteIndex" : 0 }, "schema" : "https://github.com/citation-style-language/schema/raw/master/csl-citation.json" }</w:instrText>
      </w:r>
      <w:r>
        <w:rPr>
          <w:rFonts w:ascii="Times New Roman" w:hAnsi="Times New Roman" w:cs="Times New Roman"/>
          <w:lang w:val="en-GB"/>
        </w:rPr>
        <w:fldChar w:fldCharType="separate"/>
      </w:r>
      <w:r w:rsidR="00C148FC" w:rsidRPr="00C148FC">
        <w:rPr>
          <w:rFonts w:ascii="Times New Roman" w:hAnsi="Times New Roman" w:cs="Times New Roman"/>
          <w:noProof/>
          <w:lang w:val="en-GB"/>
        </w:rPr>
        <w:t>(Goudriaan et al. 2014)</w:t>
      </w:r>
      <w:r>
        <w:rPr>
          <w:rFonts w:ascii="Times New Roman" w:hAnsi="Times New Roman" w:cs="Times New Roman"/>
          <w:lang w:val="en-GB"/>
        </w:rPr>
        <w:fldChar w:fldCharType="end"/>
      </w:r>
      <w:r>
        <w:rPr>
          <w:rFonts w:ascii="Times New Roman" w:hAnsi="Times New Roman" w:cs="Times New Roman"/>
          <w:lang w:val="en-GB"/>
        </w:rPr>
        <w:t xml:space="preserve">. This was replicated to separate ScienCell Astrocyte and LUHMES co-cultures. This involved placing 6 well plates of co-cultures on ice to pre-chill the cells and adding approximately 200μl of ice-cold PBS in concentric circles to the cells in order to encourage detachment of neurons from the astrocyte-neuronal co-cultures. In theory astrocytes shouldn’t detach and are scaped with a cell scraper from the wells before adding to Extra Strong Lysis Buffer. Cell separation using this technique was assessed by western blotting. </w:t>
      </w:r>
    </w:p>
    <w:p w14:paraId="0EF10491" w14:textId="77777777" w:rsidR="003266D9" w:rsidRDefault="003266D9" w:rsidP="00E332B1">
      <w:pPr>
        <w:autoSpaceDE w:val="0"/>
        <w:autoSpaceDN w:val="0"/>
        <w:adjustRightInd w:val="0"/>
        <w:spacing w:line="360" w:lineRule="auto"/>
        <w:jc w:val="both"/>
        <w:rPr>
          <w:rFonts w:ascii="Times New Roman" w:hAnsi="Times New Roman" w:cs="Times New Roman"/>
          <w:b/>
          <w:u w:val="single"/>
          <w:lang w:val="en-GB"/>
        </w:rPr>
      </w:pPr>
    </w:p>
    <w:p w14:paraId="1C4D849E" w14:textId="77777777" w:rsidR="000D28EE" w:rsidRDefault="000D28EE" w:rsidP="00FE0DAE">
      <w:pPr>
        <w:autoSpaceDE w:val="0"/>
        <w:autoSpaceDN w:val="0"/>
        <w:adjustRightInd w:val="0"/>
        <w:jc w:val="both"/>
        <w:rPr>
          <w:rFonts w:ascii="Times New Roman" w:hAnsi="Times New Roman" w:cs="Times New Roman"/>
          <w:b/>
          <w:lang w:val="en-GB"/>
        </w:rPr>
      </w:pPr>
    </w:p>
    <w:p w14:paraId="57513FDE" w14:textId="77777777" w:rsidR="003F0EE8" w:rsidRDefault="00E332B1" w:rsidP="00FE0DAE">
      <w:pPr>
        <w:autoSpaceDE w:val="0"/>
        <w:autoSpaceDN w:val="0"/>
        <w:adjustRightInd w:val="0"/>
        <w:jc w:val="both"/>
        <w:rPr>
          <w:rFonts w:ascii="Times New Roman" w:hAnsi="Times New Roman" w:cs="Times New Roman"/>
          <w:b/>
          <w:lang w:val="en-GB"/>
        </w:rPr>
      </w:pPr>
      <w:r w:rsidRPr="006473BF">
        <w:rPr>
          <w:rFonts w:ascii="Times New Roman" w:hAnsi="Times New Roman" w:cs="Times New Roman"/>
          <w:b/>
          <w:lang w:val="en-GB"/>
        </w:rPr>
        <w:t>FACS sorting of human astrocyte-LUHMES co-cultures</w:t>
      </w:r>
    </w:p>
    <w:p w14:paraId="19739770" w14:textId="174FE362" w:rsidR="00E332B1" w:rsidRPr="003F0EE8" w:rsidRDefault="00E332B1" w:rsidP="00E332B1">
      <w:pPr>
        <w:autoSpaceDE w:val="0"/>
        <w:autoSpaceDN w:val="0"/>
        <w:adjustRightInd w:val="0"/>
        <w:spacing w:line="360" w:lineRule="auto"/>
        <w:jc w:val="both"/>
        <w:rPr>
          <w:rFonts w:ascii="Times New Roman" w:hAnsi="Times New Roman" w:cs="Times New Roman"/>
          <w:b/>
          <w:lang w:val="en-GB"/>
        </w:rPr>
      </w:pPr>
      <w:r>
        <w:rPr>
          <w:rFonts w:ascii="Times New Roman" w:hAnsi="Times New Roman" w:cs="Times New Roman"/>
          <w:lang w:val="en-GB"/>
        </w:rPr>
        <w:t>Astrocyte and GFP LUHMES co-cu</w:t>
      </w:r>
      <w:r w:rsidR="00B8782A">
        <w:rPr>
          <w:rFonts w:ascii="Times New Roman" w:hAnsi="Times New Roman" w:cs="Times New Roman"/>
          <w:lang w:val="en-GB"/>
        </w:rPr>
        <w:t>ltures were separated using FACS</w:t>
      </w:r>
      <w:r>
        <w:rPr>
          <w:rFonts w:ascii="Times New Roman" w:hAnsi="Times New Roman" w:cs="Times New Roman"/>
          <w:lang w:val="en-GB"/>
        </w:rPr>
        <w:t xml:space="preserve"> (fluorescence activated cell sorting). Astrocytes (P7) taken forward for microarray analysis were plated on fibronectin-coated T75 flasks at 750 000 cells per flask and treated with or without IgG (MAB002)/ MAB391. GFP LUHMES (P5, 2 </w:t>
      </w:r>
      <w:r w:rsidRPr="008F5530">
        <w:rPr>
          <w:rFonts w:ascii="Times New Roman" w:hAnsi="Times New Roman" w:cs="Times New Roman"/>
          <w:lang w:val="en-GB"/>
        </w:rPr>
        <w:t xml:space="preserve">x </w:t>
      </w:r>
      <w:r>
        <w:rPr>
          <w:rFonts w:ascii="Times New Roman" w:hAnsi="Times New Roman" w:cs="Times New Roman"/>
          <w:lang w:val="en-GB"/>
        </w:rPr>
        <w:t>10</w:t>
      </w:r>
      <w:r>
        <w:rPr>
          <w:rFonts w:ascii="Times New Roman" w:hAnsi="Times New Roman" w:cs="Times New Roman"/>
          <w:vertAlign w:val="superscript"/>
          <w:lang w:val="en-GB"/>
        </w:rPr>
        <w:t>6</w:t>
      </w:r>
      <w:r>
        <w:rPr>
          <w:rFonts w:ascii="Times New Roman" w:hAnsi="Times New Roman" w:cs="Times New Roman"/>
          <w:lang w:val="en-GB"/>
        </w:rPr>
        <w:t xml:space="preserve"> </w:t>
      </w:r>
      <w:r w:rsidRPr="008F5530">
        <w:rPr>
          <w:rFonts w:ascii="Times New Roman" w:hAnsi="Times New Roman" w:cs="Times New Roman"/>
          <w:lang w:val="en-GB"/>
        </w:rPr>
        <w:t>pre-</w:t>
      </w:r>
      <w:r>
        <w:rPr>
          <w:rFonts w:ascii="Times New Roman" w:hAnsi="Times New Roman" w:cs="Times New Roman"/>
          <w:lang w:val="en-GB"/>
        </w:rPr>
        <w:t>differentiated cells) were replated on treated or untreated astrocytes for 72 hours. Co-cultures were trypsinised, centrifuged for 4 minutes at 400g</w:t>
      </w:r>
      <w:r w:rsidRPr="0010402F">
        <w:rPr>
          <w:rFonts w:ascii="Times New Roman" w:hAnsi="Times New Roman" w:cs="Times New Roman"/>
          <w:vertAlign w:val="subscript"/>
          <w:lang w:val="en-GB"/>
        </w:rPr>
        <w:t>av</w:t>
      </w:r>
      <w:r>
        <w:rPr>
          <w:rFonts w:ascii="Times New Roman" w:hAnsi="Times New Roman" w:cs="Times New Roman"/>
          <w:lang w:val="en-GB"/>
        </w:rPr>
        <w:t xml:space="preserve"> and resuspended vigorously in 1ml of Advanced MEM media to achieve single cell suspensions and stored on ice prior to sorting. </w:t>
      </w:r>
      <w:r w:rsidR="006869AC">
        <w:rPr>
          <w:rFonts w:ascii="Times New Roman" w:hAnsi="Times New Roman" w:cs="Times New Roman"/>
          <w:lang w:val="en-GB"/>
        </w:rPr>
        <w:t>Sorts were performed on the FACS</w:t>
      </w:r>
      <w:r>
        <w:rPr>
          <w:rFonts w:ascii="Times New Roman" w:hAnsi="Times New Roman" w:cs="Times New Roman"/>
          <w:lang w:val="en-GB"/>
        </w:rPr>
        <w:t xml:space="preserve"> ARIA cell sorter </w:t>
      </w:r>
      <w:r w:rsidR="00F0363B">
        <w:rPr>
          <w:rFonts w:ascii="Times New Roman" w:hAnsi="Times New Roman" w:cs="Times New Roman"/>
          <w:lang w:val="en-GB"/>
        </w:rPr>
        <w:t xml:space="preserve">(BD Biosciences). </w:t>
      </w:r>
      <w:r>
        <w:rPr>
          <w:rFonts w:ascii="Times New Roman" w:hAnsi="Times New Roman" w:cs="Times New Roman"/>
          <w:lang w:val="en-GB"/>
        </w:rPr>
        <w:t>GFP LUHMES, non-GFP LUHMES and astrocyte monoculture suspensions were used to set the sort gates. To sort, cells were excited with a 488nm laser and forward scatter (FSC)/ side scatter (SSC) size dimensions were used to sort for viable cells. In order to obtain a pool of pure GFP expressing cells (GFP LUHMES) and a negative GFP pool of cells</w:t>
      </w:r>
      <w:r w:rsidR="008241F1">
        <w:rPr>
          <w:rFonts w:ascii="Times New Roman" w:hAnsi="Times New Roman" w:cs="Times New Roman"/>
          <w:lang w:val="en-GB"/>
        </w:rPr>
        <w:t xml:space="preserve"> (astrocytes)</w:t>
      </w:r>
      <w:r>
        <w:rPr>
          <w:rFonts w:ascii="Times New Roman" w:hAnsi="Times New Roman" w:cs="Times New Roman"/>
          <w:lang w:val="en-GB"/>
        </w:rPr>
        <w:t xml:space="preserve">, </w:t>
      </w:r>
      <w:r w:rsidR="008241F1">
        <w:rPr>
          <w:rFonts w:ascii="Times New Roman" w:hAnsi="Times New Roman" w:cs="Times New Roman"/>
          <w:lang w:val="en-GB"/>
        </w:rPr>
        <w:t>a third pool containing LUHMES with low fluorescence and astrocytes with a size profile that overlapped the LUHMES, were discarded</w:t>
      </w:r>
      <w:r>
        <w:rPr>
          <w:rFonts w:ascii="Times New Roman" w:hAnsi="Times New Roman" w:cs="Times New Roman"/>
          <w:lang w:val="en-GB"/>
        </w:rPr>
        <w:t>. GFP gates were stringently set to discard populations with low fluorescence and therefore avoid any astrocytic contamination.  Sorted cells were collected in 1ml of Advanced MEM media and kept on ice prior to centrifugation at 400g</w:t>
      </w:r>
      <w:r w:rsidRPr="0010402F">
        <w:rPr>
          <w:rFonts w:ascii="Times New Roman" w:hAnsi="Times New Roman" w:cs="Times New Roman"/>
          <w:vertAlign w:val="subscript"/>
          <w:lang w:val="en-GB"/>
        </w:rPr>
        <w:t>av</w:t>
      </w:r>
      <w:r>
        <w:rPr>
          <w:rFonts w:ascii="Times New Roman" w:hAnsi="Times New Roman" w:cs="Times New Roman"/>
          <w:lang w:val="en-GB"/>
        </w:rPr>
        <w:t xml:space="preserve"> for 4 minutes to pellet the sorted cell populations. Cell populations were then resuspended in 200μl of TRIzol® reagent and stored at -80°C before isolating RNA. </w:t>
      </w:r>
    </w:p>
    <w:p w14:paraId="52E33B9B" w14:textId="77777777" w:rsidR="00E332B1" w:rsidRDefault="00E332B1" w:rsidP="00E332B1">
      <w:pPr>
        <w:autoSpaceDE w:val="0"/>
        <w:autoSpaceDN w:val="0"/>
        <w:adjustRightInd w:val="0"/>
        <w:spacing w:line="360" w:lineRule="auto"/>
        <w:jc w:val="both"/>
        <w:rPr>
          <w:rFonts w:ascii="Times New Roman" w:hAnsi="Times New Roman" w:cs="Times New Roman"/>
          <w:lang w:val="en-GB"/>
        </w:rPr>
      </w:pPr>
    </w:p>
    <w:p w14:paraId="32C14238" w14:textId="77777777" w:rsidR="0019787A" w:rsidRDefault="0019787A" w:rsidP="00F92407">
      <w:pPr>
        <w:rPr>
          <w:rFonts w:ascii="Times New Roman" w:hAnsi="Times New Roman" w:cs="Times New Roman"/>
          <w:b/>
          <w:i/>
        </w:rPr>
      </w:pPr>
    </w:p>
    <w:p w14:paraId="144BCF49" w14:textId="5F50205E" w:rsidR="005F5682" w:rsidRPr="00F92407" w:rsidRDefault="0026667A" w:rsidP="00F92407">
      <w:pPr>
        <w:rPr>
          <w:rFonts w:ascii="Times New Roman" w:hAnsi="Times New Roman" w:cs="Times New Roman"/>
          <w:b/>
          <w:i/>
        </w:rPr>
      </w:pPr>
      <w:r w:rsidRPr="00F92407">
        <w:rPr>
          <w:rFonts w:ascii="Times New Roman" w:hAnsi="Times New Roman" w:cs="Times New Roman"/>
          <w:b/>
          <w:i/>
        </w:rPr>
        <w:t>(k</w:t>
      </w:r>
      <w:r w:rsidR="005F5682" w:rsidRPr="00F92407">
        <w:rPr>
          <w:rFonts w:ascii="Times New Roman" w:hAnsi="Times New Roman" w:cs="Times New Roman"/>
          <w:b/>
          <w:i/>
        </w:rPr>
        <w:t xml:space="preserve">) Preparation of cell lysates </w:t>
      </w:r>
    </w:p>
    <w:p w14:paraId="3949CD27" w14:textId="77777777" w:rsidR="003266D9" w:rsidRDefault="003266D9" w:rsidP="005F5682">
      <w:pPr>
        <w:rPr>
          <w:rFonts w:ascii="Times New Roman" w:hAnsi="Times New Roman" w:cs="Times New Roman"/>
          <w:b/>
        </w:rPr>
      </w:pPr>
    </w:p>
    <w:p w14:paraId="6E486880" w14:textId="4F48DCC2" w:rsidR="005F5682" w:rsidRDefault="005F5682" w:rsidP="005F5682">
      <w:pPr>
        <w:rPr>
          <w:rFonts w:ascii="Times New Roman" w:hAnsi="Times New Roman" w:cs="Times New Roman"/>
          <w:b/>
        </w:rPr>
      </w:pPr>
      <w:r>
        <w:rPr>
          <w:rFonts w:ascii="Times New Roman" w:hAnsi="Times New Roman" w:cs="Times New Roman"/>
          <w:b/>
        </w:rPr>
        <w:t>Protein analysis</w:t>
      </w:r>
    </w:p>
    <w:p w14:paraId="6B5DEFCB" w14:textId="77777777" w:rsidR="005F5682" w:rsidRPr="004975E3" w:rsidRDefault="005F5682" w:rsidP="005F5682">
      <w:pPr>
        <w:spacing w:line="360" w:lineRule="auto"/>
        <w:jc w:val="both"/>
        <w:rPr>
          <w:rFonts w:ascii="Times New Roman" w:hAnsi="Times New Roman" w:cs="Times New Roman"/>
          <w:lang w:val="en-GB"/>
        </w:rPr>
      </w:pPr>
      <w:r w:rsidRPr="004975E3">
        <w:rPr>
          <w:rFonts w:ascii="Times New Roman" w:hAnsi="Times New Roman" w:cs="Times New Roman"/>
          <w:lang w:val="en-GB"/>
        </w:rPr>
        <w:t>For cell harvesting and protein extraction, media was removed and cells were washed twice with ice-cold 1 x PBS. Ce</w:t>
      </w:r>
      <w:r>
        <w:rPr>
          <w:rFonts w:ascii="Times New Roman" w:hAnsi="Times New Roman" w:cs="Times New Roman"/>
          <w:lang w:val="en-GB"/>
        </w:rPr>
        <w:t xml:space="preserve">lls grown in 10cm dishes were harvested in 50 μl of extra strong </w:t>
      </w:r>
      <w:r w:rsidRPr="004975E3">
        <w:rPr>
          <w:rFonts w:ascii="Times New Roman" w:hAnsi="Times New Roman" w:cs="Times New Roman"/>
          <w:lang w:val="en-GB"/>
        </w:rPr>
        <w:t>lysis buffer and incubated on ice for 15 minutes. Cells were scraped</w:t>
      </w:r>
      <w:r>
        <w:rPr>
          <w:rFonts w:ascii="Times New Roman" w:hAnsi="Times New Roman" w:cs="Times New Roman"/>
          <w:lang w:val="en-GB"/>
        </w:rPr>
        <w:t xml:space="preserve"> using a cell scraper</w:t>
      </w:r>
      <w:r w:rsidRPr="004975E3">
        <w:rPr>
          <w:rFonts w:ascii="Times New Roman" w:hAnsi="Times New Roman" w:cs="Times New Roman"/>
          <w:lang w:val="en-GB"/>
        </w:rPr>
        <w:t xml:space="preserve"> and the supernatant collected </w:t>
      </w:r>
      <w:r>
        <w:rPr>
          <w:rFonts w:ascii="Times New Roman" w:hAnsi="Times New Roman" w:cs="Times New Roman"/>
          <w:lang w:val="en-GB"/>
        </w:rPr>
        <w:t>before sonicating</w:t>
      </w:r>
      <w:r w:rsidRPr="004975E3">
        <w:rPr>
          <w:rFonts w:ascii="Times New Roman" w:hAnsi="Times New Roman" w:cs="Times New Roman"/>
          <w:lang w:val="en-GB"/>
        </w:rPr>
        <w:t xml:space="preserve"> on ice at 60 % amplitude for 5 seconds. Lysates were centrifuged at 17000 x g</w:t>
      </w:r>
      <w:r w:rsidRPr="004975E3">
        <w:rPr>
          <w:rFonts w:ascii="Times New Roman" w:hAnsi="Times New Roman" w:cs="Times New Roman"/>
          <w:vertAlign w:val="subscript"/>
          <w:lang w:val="en-GB"/>
        </w:rPr>
        <w:t>av</w:t>
      </w:r>
      <w:r w:rsidRPr="004975E3">
        <w:rPr>
          <w:rFonts w:ascii="Times New Roman" w:hAnsi="Times New Roman" w:cs="Times New Roman"/>
          <w:lang w:val="en-GB"/>
        </w:rPr>
        <w:t xml:space="preserve"> for 30 minutes at 4</w:t>
      </w:r>
      <w:r>
        <w:rPr>
          <w:rFonts w:ascii="Times New Roman" w:hAnsi="Times New Roman" w:cs="Times New Roman"/>
          <w:lang w:val="en-GB"/>
        </w:rPr>
        <w:t xml:space="preserve"> °C</w:t>
      </w:r>
      <w:r w:rsidRPr="004975E3">
        <w:rPr>
          <w:rFonts w:ascii="Times New Roman" w:hAnsi="Times New Roman" w:cs="Times New Roman"/>
          <w:lang w:val="en-GB"/>
        </w:rPr>
        <w:t>, the supernatant was</w:t>
      </w:r>
      <w:r>
        <w:rPr>
          <w:rFonts w:ascii="Times New Roman" w:hAnsi="Times New Roman" w:cs="Times New Roman"/>
          <w:lang w:val="en-GB"/>
        </w:rPr>
        <w:t xml:space="preserve"> collected and stored at -20 °C</w:t>
      </w:r>
      <w:r w:rsidRPr="004975E3">
        <w:rPr>
          <w:rFonts w:ascii="Times New Roman" w:hAnsi="Times New Roman" w:cs="Times New Roman"/>
          <w:lang w:val="en-GB"/>
        </w:rPr>
        <w:t>.</w:t>
      </w:r>
      <w:r>
        <w:rPr>
          <w:rFonts w:ascii="Times New Roman" w:hAnsi="Times New Roman" w:cs="Times New Roman"/>
          <w:lang w:val="en-GB"/>
        </w:rPr>
        <w:t xml:space="preserve"> Long-term storage of lysates occurred at -80°C. </w:t>
      </w:r>
    </w:p>
    <w:p w14:paraId="60344A60" w14:textId="77777777" w:rsidR="005F5682" w:rsidRDefault="005F5682" w:rsidP="005F5682">
      <w:pPr>
        <w:rPr>
          <w:rFonts w:ascii="Times New Roman" w:hAnsi="Times New Roman" w:cs="Times New Roman"/>
          <w:b/>
        </w:rPr>
      </w:pPr>
    </w:p>
    <w:p w14:paraId="5A7C8EF1" w14:textId="1FF68FC4" w:rsidR="005F5682" w:rsidRDefault="005F5682" w:rsidP="005F5682">
      <w:pPr>
        <w:rPr>
          <w:rFonts w:ascii="Times New Roman" w:hAnsi="Times New Roman" w:cs="Times New Roman"/>
          <w:b/>
        </w:rPr>
      </w:pPr>
      <w:r>
        <w:rPr>
          <w:rFonts w:ascii="Times New Roman" w:hAnsi="Times New Roman" w:cs="Times New Roman"/>
          <w:b/>
        </w:rPr>
        <w:t>RNA analysis</w:t>
      </w:r>
    </w:p>
    <w:p w14:paraId="3CEE1B6F" w14:textId="20D9C1BA" w:rsidR="005F5682" w:rsidRDefault="005F5682" w:rsidP="005F5682">
      <w:pPr>
        <w:spacing w:line="360" w:lineRule="auto"/>
        <w:rPr>
          <w:rFonts w:ascii="Times New Roman" w:hAnsi="Times New Roman" w:cs="Times New Roman"/>
        </w:rPr>
      </w:pPr>
      <w:r>
        <w:rPr>
          <w:rFonts w:ascii="Times New Roman" w:hAnsi="Times New Roman" w:cs="Times New Roman"/>
        </w:rPr>
        <w:t xml:space="preserve">RNA isolation was performed </w:t>
      </w:r>
      <w:r w:rsidRPr="004975E3">
        <w:rPr>
          <w:rFonts w:ascii="Times New Roman" w:hAnsi="Times New Roman" w:cs="Times New Roman"/>
        </w:rPr>
        <w:t xml:space="preserve">using the RNA clean and concentrator isolation kit purchased from Zymo </w:t>
      </w:r>
      <w:r>
        <w:rPr>
          <w:rFonts w:ascii="Times New Roman" w:hAnsi="Times New Roman" w:cs="Times New Roman"/>
        </w:rPr>
        <w:t>Research (Epigenetics Company) and used according to manufacturer’s instructions. RNA was collected to perform PCR/</w:t>
      </w:r>
      <w:r w:rsidR="00967133">
        <w:rPr>
          <w:rFonts w:ascii="Times New Roman" w:hAnsi="Times New Roman" w:cs="Times New Roman"/>
        </w:rPr>
        <w:t>qRT-</w:t>
      </w:r>
      <w:r>
        <w:rPr>
          <w:rFonts w:ascii="Times New Roman" w:hAnsi="Times New Roman" w:cs="Times New Roman"/>
        </w:rPr>
        <w:t>PCR and for gene expression profiling.</w:t>
      </w:r>
    </w:p>
    <w:p w14:paraId="2C472C76" w14:textId="77777777" w:rsidR="00FE0DAE" w:rsidRPr="00FE0DAE" w:rsidRDefault="00FE0DAE" w:rsidP="00FE0DAE">
      <w:bookmarkStart w:id="779" w:name="_Toc328301129"/>
      <w:bookmarkStart w:id="780" w:name="_Toc329593423"/>
      <w:bookmarkStart w:id="781" w:name="_Toc331425922"/>
      <w:bookmarkStart w:id="782" w:name="_Toc331427103"/>
      <w:bookmarkStart w:id="783" w:name="_Toc331427475"/>
      <w:bookmarkStart w:id="784" w:name="_Toc331427617"/>
    </w:p>
    <w:p w14:paraId="4BC98EEB" w14:textId="18189FA1" w:rsidR="00000FF1" w:rsidRPr="001D0ECC" w:rsidRDefault="005F5682" w:rsidP="002D0408">
      <w:pPr>
        <w:pStyle w:val="Heading3"/>
        <w:rPr>
          <w:u w:val="single"/>
        </w:rPr>
      </w:pPr>
      <w:bookmarkStart w:id="785" w:name="_Toc332972621"/>
      <w:bookmarkStart w:id="786" w:name="_Toc333046900"/>
      <w:bookmarkStart w:id="787" w:name="_Toc333477247"/>
      <w:bookmarkStart w:id="788" w:name="_Toc333478017"/>
      <w:bookmarkStart w:id="789" w:name="_Toc333644917"/>
      <w:r w:rsidRPr="001D0ECC">
        <w:rPr>
          <w:u w:val="single"/>
        </w:rPr>
        <w:t>2.2.2</w:t>
      </w:r>
      <w:r w:rsidR="00000FF1" w:rsidRPr="001D0ECC">
        <w:rPr>
          <w:u w:val="single"/>
        </w:rPr>
        <w:t xml:space="preserve"> Protein Analysis</w:t>
      </w:r>
      <w:bookmarkEnd w:id="779"/>
      <w:bookmarkEnd w:id="780"/>
      <w:bookmarkEnd w:id="781"/>
      <w:bookmarkEnd w:id="782"/>
      <w:bookmarkEnd w:id="783"/>
      <w:bookmarkEnd w:id="784"/>
      <w:bookmarkEnd w:id="785"/>
      <w:bookmarkEnd w:id="786"/>
      <w:bookmarkEnd w:id="787"/>
      <w:bookmarkEnd w:id="788"/>
      <w:bookmarkEnd w:id="789"/>
    </w:p>
    <w:bookmarkEnd w:id="765"/>
    <w:p w14:paraId="6E9E7F3C" w14:textId="77777777" w:rsidR="0085074F" w:rsidRPr="004975E3" w:rsidRDefault="0085074F" w:rsidP="0085074F">
      <w:pPr>
        <w:rPr>
          <w:rFonts w:ascii="Times New Roman" w:hAnsi="Times New Roman" w:cs="Times New Roman"/>
        </w:rPr>
      </w:pPr>
    </w:p>
    <w:p w14:paraId="6216AE71" w14:textId="77777777" w:rsidR="002D0408" w:rsidRDefault="002D0408" w:rsidP="002D0408">
      <w:bookmarkStart w:id="790" w:name="_Toc262895413"/>
    </w:p>
    <w:p w14:paraId="542F578A" w14:textId="793AF20C" w:rsidR="0085074F" w:rsidRDefault="0085074F" w:rsidP="002D0408">
      <w:pPr>
        <w:rPr>
          <w:rFonts w:ascii="Times New Roman" w:hAnsi="Times New Roman" w:cs="Times New Roman"/>
          <w:b/>
        </w:rPr>
      </w:pPr>
      <w:r w:rsidRPr="002D0408">
        <w:rPr>
          <w:rFonts w:ascii="Times New Roman" w:hAnsi="Times New Roman" w:cs="Times New Roman"/>
          <w:b/>
        </w:rPr>
        <w:t>Bicinchoninic acid (BCA) Assay</w:t>
      </w:r>
      <w:bookmarkEnd w:id="790"/>
    </w:p>
    <w:p w14:paraId="370D5ACF" w14:textId="67E93304" w:rsidR="0085074F" w:rsidRPr="004975E3" w:rsidRDefault="0085074F" w:rsidP="003E7BDB">
      <w:pPr>
        <w:autoSpaceDE w:val="0"/>
        <w:autoSpaceDN w:val="0"/>
        <w:adjustRightInd w:val="0"/>
        <w:spacing w:line="360" w:lineRule="auto"/>
        <w:jc w:val="both"/>
        <w:rPr>
          <w:rFonts w:ascii="Times New Roman" w:hAnsi="Times New Roman" w:cs="Times New Roman"/>
          <w:lang w:val="en-GB"/>
        </w:rPr>
      </w:pPr>
      <w:r w:rsidRPr="004975E3">
        <w:rPr>
          <w:rFonts w:ascii="Times New Roman" w:hAnsi="Times New Roman" w:cs="Times New Roman"/>
          <w:lang w:val="en-GB"/>
        </w:rPr>
        <w:t>Protein concentrations of cell lysates were determined using a bicinchoninic acid</w:t>
      </w:r>
      <w:r w:rsidR="00122C02" w:rsidRPr="004975E3">
        <w:rPr>
          <w:rFonts w:ascii="Times New Roman" w:hAnsi="Times New Roman" w:cs="Times New Roman"/>
          <w:lang w:val="en-GB"/>
        </w:rPr>
        <w:t xml:space="preserve"> </w:t>
      </w:r>
      <w:r w:rsidRPr="004975E3">
        <w:rPr>
          <w:rFonts w:ascii="Times New Roman" w:hAnsi="Times New Roman" w:cs="Times New Roman"/>
          <w:lang w:val="en-GB"/>
        </w:rPr>
        <w:t>(BCA) protein assay according to the manufacturer’s instructions (</w:t>
      </w:r>
      <w:r w:rsidR="00DF113C">
        <w:rPr>
          <w:rFonts w:ascii="Times New Roman" w:hAnsi="Times New Roman" w:cs="Times New Roman"/>
          <w:lang w:val="en-GB"/>
        </w:rPr>
        <w:t>ThermoFisher Scientific, Waltham</w:t>
      </w:r>
      <w:r w:rsidRPr="004975E3">
        <w:rPr>
          <w:rFonts w:ascii="Times New Roman" w:hAnsi="Times New Roman" w:cs="Times New Roman"/>
          <w:lang w:val="en-GB"/>
        </w:rPr>
        <w:t>,</w:t>
      </w:r>
      <w:r w:rsidR="00DF113C">
        <w:rPr>
          <w:rFonts w:ascii="Times New Roman" w:hAnsi="Times New Roman" w:cs="Times New Roman"/>
          <w:lang w:val="en-GB"/>
        </w:rPr>
        <w:t xml:space="preserve"> MA,</w:t>
      </w:r>
      <w:r w:rsidRPr="004975E3">
        <w:rPr>
          <w:rFonts w:ascii="Times New Roman" w:hAnsi="Times New Roman" w:cs="Times New Roman"/>
          <w:lang w:val="en-GB"/>
        </w:rPr>
        <w:t xml:space="preserve"> USA).  This assay utilises a colourimetric technique based on the reduction of Cu</w:t>
      </w:r>
      <w:r w:rsidRPr="004975E3">
        <w:rPr>
          <w:rFonts w:ascii="Times New Roman" w:hAnsi="Times New Roman" w:cs="Times New Roman"/>
          <w:vertAlign w:val="superscript"/>
          <w:lang w:val="en-GB"/>
        </w:rPr>
        <w:t>+2</w:t>
      </w:r>
      <w:r w:rsidRPr="004975E3">
        <w:rPr>
          <w:rFonts w:ascii="Times New Roman" w:hAnsi="Times New Roman" w:cs="Times New Roman"/>
          <w:lang w:val="en-GB"/>
        </w:rPr>
        <w:t xml:space="preserve"> to Cu</w:t>
      </w:r>
      <w:r w:rsidRPr="004975E3">
        <w:rPr>
          <w:rFonts w:ascii="Times New Roman" w:hAnsi="Times New Roman" w:cs="Times New Roman"/>
          <w:vertAlign w:val="superscript"/>
          <w:lang w:val="en-GB"/>
        </w:rPr>
        <w:t>+1</w:t>
      </w:r>
      <w:r w:rsidRPr="004975E3">
        <w:rPr>
          <w:rFonts w:ascii="Times New Roman" w:hAnsi="Times New Roman" w:cs="Times New Roman"/>
          <w:lang w:val="en-GB"/>
        </w:rPr>
        <w:t xml:space="preserve"> by proteins present in the samples, under alkaline conditions. The resulting Cu</w:t>
      </w:r>
      <w:r w:rsidRPr="004975E3">
        <w:rPr>
          <w:rFonts w:ascii="Times New Roman" w:hAnsi="Times New Roman" w:cs="Times New Roman"/>
          <w:vertAlign w:val="superscript"/>
          <w:lang w:val="en-GB"/>
        </w:rPr>
        <w:t>+1</w:t>
      </w:r>
      <w:r w:rsidRPr="004975E3">
        <w:rPr>
          <w:rFonts w:ascii="Times New Roman" w:hAnsi="Times New Roman" w:cs="Times New Roman"/>
          <w:lang w:val="en-GB"/>
        </w:rPr>
        <w:t xml:space="preserve"> is detected by bicinchoninic acid, generating a purple solution of varying intensity depending on the protein concentration. This is measured at 562 nM</w:t>
      </w:r>
      <w:r w:rsidR="00292ACC">
        <w:rPr>
          <w:rFonts w:ascii="Times New Roman" w:hAnsi="Times New Roman" w:cs="Times New Roman"/>
          <w:lang w:val="en-GB"/>
        </w:rPr>
        <w:t xml:space="preserve"> by </w:t>
      </w:r>
      <w:r w:rsidRPr="004975E3">
        <w:rPr>
          <w:rFonts w:ascii="Times New Roman" w:hAnsi="Times New Roman" w:cs="Times New Roman"/>
          <w:lang w:val="en-GB"/>
        </w:rPr>
        <w:t>spectrophotometry.</w:t>
      </w:r>
    </w:p>
    <w:p w14:paraId="166193BD" w14:textId="77777777" w:rsidR="0085074F" w:rsidRPr="004975E3" w:rsidRDefault="0085074F" w:rsidP="0085074F">
      <w:pPr>
        <w:spacing w:line="360" w:lineRule="auto"/>
        <w:jc w:val="both"/>
        <w:rPr>
          <w:rFonts w:ascii="Times New Roman" w:hAnsi="Times New Roman" w:cs="Times New Roman"/>
          <w:lang w:val="en-GB"/>
        </w:rPr>
      </w:pPr>
    </w:p>
    <w:p w14:paraId="386D79A6" w14:textId="77777777" w:rsidR="0085074F" w:rsidRPr="004975E3" w:rsidRDefault="0085074F" w:rsidP="0085074F">
      <w:pPr>
        <w:autoSpaceDE w:val="0"/>
        <w:autoSpaceDN w:val="0"/>
        <w:adjustRightInd w:val="0"/>
        <w:spacing w:line="360" w:lineRule="auto"/>
        <w:jc w:val="both"/>
        <w:rPr>
          <w:rFonts w:ascii="Times New Roman" w:hAnsi="Times New Roman" w:cs="Times New Roman"/>
          <w:lang w:val="en-GB"/>
        </w:rPr>
      </w:pPr>
      <w:r w:rsidRPr="004975E3">
        <w:rPr>
          <w:rFonts w:ascii="Times New Roman" w:hAnsi="Times New Roman" w:cs="Times New Roman"/>
          <w:lang w:val="en-GB"/>
        </w:rPr>
        <w:t xml:space="preserve">A set of BSA standards in extra strong lysis buffer were freshly prepared at concentrations ranging from 0-2 mg/ml each time the assay was performed. Absorbance readings were recorded at a wavelength of 550 nm using a FLUOstar Omega plate reader (BMG Labtech), and values were compared to a standard curve to determine protein concentration in μg/μl. Samples were then diluted in the appropriate volume of extra strong lysis buffer to ensure equal protein concentrations. </w:t>
      </w:r>
    </w:p>
    <w:p w14:paraId="27337BBB" w14:textId="77777777" w:rsidR="00541C38" w:rsidRDefault="00541C38" w:rsidP="002D0408">
      <w:pPr>
        <w:rPr>
          <w:rFonts w:ascii="Times New Roman" w:hAnsi="Times New Roman" w:cs="Times New Roman"/>
          <w:b/>
        </w:rPr>
      </w:pPr>
      <w:bookmarkStart w:id="791" w:name="_Toc262895414"/>
    </w:p>
    <w:p w14:paraId="3B163423" w14:textId="77777777" w:rsidR="0019787A" w:rsidRDefault="0019787A" w:rsidP="002D0408">
      <w:pPr>
        <w:rPr>
          <w:rFonts w:ascii="Times New Roman" w:hAnsi="Times New Roman" w:cs="Times New Roman"/>
          <w:b/>
        </w:rPr>
      </w:pPr>
    </w:p>
    <w:p w14:paraId="795E2818" w14:textId="4063C7EA" w:rsidR="0085074F" w:rsidRPr="002D0408" w:rsidRDefault="0085074F" w:rsidP="002D0408">
      <w:pPr>
        <w:rPr>
          <w:rFonts w:ascii="Times New Roman" w:hAnsi="Times New Roman" w:cs="Times New Roman"/>
          <w:b/>
        </w:rPr>
      </w:pPr>
      <w:r w:rsidRPr="002D0408">
        <w:rPr>
          <w:rFonts w:ascii="Times New Roman" w:hAnsi="Times New Roman" w:cs="Times New Roman"/>
          <w:b/>
        </w:rPr>
        <w:t>SDS-polyacrylamide gel electrophoresis (SDS-PAGE)</w:t>
      </w:r>
      <w:bookmarkEnd w:id="791"/>
    </w:p>
    <w:p w14:paraId="425237A7" w14:textId="25AA0F55" w:rsidR="0085074F" w:rsidRDefault="0085074F" w:rsidP="0085074F">
      <w:pPr>
        <w:autoSpaceDE w:val="0"/>
        <w:autoSpaceDN w:val="0"/>
        <w:adjustRightInd w:val="0"/>
        <w:spacing w:line="360" w:lineRule="auto"/>
        <w:rPr>
          <w:rFonts w:ascii="Times New Roman" w:hAnsi="Times New Roman" w:cs="Times New Roman"/>
          <w:lang w:val="en-GB"/>
        </w:rPr>
      </w:pPr>
      <w:r w:rsidRPr="004975E3">
        <w:rPr>
          <w:rFonts w:ascii="Times New Roman" w:hAnsi="Times New Roman" w:cs="Times New Roman"/>
          <w:lang w:val="en-GB"/>
        </w:rPr>
        <w:t xml:space="preserve">Prior to electrophoresis, cell lysates were mixed with Laemmli sample buffer (6x). </w:t>
      </w:r>
      <w:r w:rsidR="00333077">
        <w:rPr>
          <w:rFonts w:ascii="Times New Roman" w:hAnsi="Times New Roman" w:cs="Times New Roman"/>
          <w:lang w:val="en-GB"/>
        </w:rPr>
        <w:t>Samples were heated at 100</w:t>
      </w:r>
      <w:r w:rsidR="00333077" w:rsidRPr="004975E3">
        <w:rPr>
          <w:rFonts w:ascii="Times New Roman" w:hAnsi="Times New Roman" w:cs="Times New Roman"/>
          <w:vertAlign w:val="superscript"/>
          <w:lang w:val="en-GB"/>
        </w:rPr>
        <w:t>o</w:t>
      </w:r>
      <w:r w:rsidR="00333077" w:rsidRPr="004975E3">
        <w:rPr>
          <w:rFonts w:ascii="Times New Roman" w:hAnsi="Times New Roman" w:cs="Times New Roman"/>
          <w:lang w:val="en-GB"/>
        </w:rPr>
        <w:t>C for 5 minutes before centrifugation at 10,000 g</w:t>
      </w:r>
      <w:r w:rsidR="00333077" w:rsidRPr="005F5682">
        <w:rPr>
          <w:rFonts w:ascii="Times New Roman" w:hAnsi="Times New Roman" w:cs="Times New Roman"/>
          <w:vertAlign w:val="subscript"/>
          <w:lang w:val="en-GB"/>
        </w:rPr>
        <w:t>av</w:t>
      </w:r>
      <w:r w:rsidR="00333077" w:rsidRPr="004975E3">
        <w:rPr>
          <w:rFonts w:ascii="Times New Roman" w:hAnsi="Times New Roman" w:cs="Times New Roman"/>
          <w:lang w:val="en-GB"/>
        </w:rPr>
        <w:t xml:space="preserve"> for one minute. </w:t>
      </w:r>
      <w:r w:rsidRPr="004975E3">
        <w:rPr>
          <w:rFonts w:ascii="Times New Roman" w:hAnsi="Times New Roman" w:cs="Times New Roman"/>
          <w:lang w:val="en-GB"/>
        </w:rPr>
        <w:t xml:space="preserve">Molecular weight standards, Precision Plus Dual Color Protein Standard (Bio-Rad Laboratories Ltd., Hertfordshire, UK) </w:t>
      </w:r>
      <w:r w:rsidR="00AD551A">
        <w:rPr>
          <w:rFonts w:ascii="Times New Roman" w:hAnsi="Times New Roman" w:cs="Times New Roman"/>
          <w:lang w:val="en-GB"/>
        </w:rPr>
        <w:t>and protein</w:t>
      </w:r>
      <w:r w:rsidR="0027191A">
        <w:rPr>
          <w:rFonts w:ascii="Times New Roman" w:hAnsi="Times New Roman" w:cs="Times New Roman"/>
          <w:lang w:val="en-GB"/>
        </w:rPr>
        <w:t>s were loaded onto 8</w:t>
      </w:r>
      <w:r w:rsidRPr="004975E3">
        <w:rPr>
          <w:rFonts w:ascii="Times New Roman" w:hAnsi="Times New Roman" w:cs="Times New Roman"/>
          <w:lang w:val="en-GB"/>
        </w:rPr>
        <w:t>%</w:t>
      </w:r>
      <w:r w:rsidR="00AD551A">
        <w:rPr>
          <w:rFonts w:ascii="Times New Roman" w:hAnsi="Times New Roman" w:cs="Times New Roman"/>
          <w:lang w:val="en-GB"/>
        </w:rPr>
        <w:t xml:space="preserve"> or 15%</w:t>
      </w:r>
      <w:r w:rsidRPr="004975E3">
        <w:rPr>
          <w:rFonts w:ascii="Times New Roman" w:hAnsi="Times New Roman" w:cs="Times New Roman"/>
          <w:lang w:val="en-GB"/>
        </w:rPr>
        <w:t xml:space="preserve"> (w/v) polyacrylamide gels</w:t>
      </w:r>
      <w:r w:rsidR="00AD551A">
        <w:rPr>
          <w:rFonts w:ascii="Times New Roman" w:hAnsi="Times New Roman" w:cs="Times New Roman"/>
          <w:lang w:val="en-GB"/>
        </w:rPr>
        <w:t xml:space="preserve"> with 4% stacking gel</w:t>
      </w:r>
      <w:r w:rsidR="00766A09">
        <w:rPr>
          <w:rFonts w:ascii="Times New Roman" w:hAnsi="Times New Roman" w:cs="Times New Roman"/>
          <w:lang w:val="en-GB"/>
        </w:rPr>
        <w:t xml:space="preserve"> (</w:t>
      </w:r>
      <w:r w:rsidR="00766A09">
        <w:rPr>
          <w:rFonts w:ascii="Times New Roman" w:hAnsi="Times New Roman" w:cs="Times New Roman"/>
          <w:b/>
          <w:lang w:val="en-GB"/>
        </w:rPr>
        <w:t>table 2.7</w:t>
      </w:r>
      <w:r w:rsidR="00766A09">
        <w:rPr>
          <w:rFonts w:ascii="Times New Roman" w:hAnsi="Times New Roman" w:cs="Times New Roman"/>
          <w:lang w:val="en-GB"/>
        </w:rPr>
        <w:t>)</w:t>
      </w:r>
      <w:r w:rsidR="00AF598A">
        <w:rPr>
          <w:rFonts w:ascii="Times New Roman" w:hAnsi="Times New Roman" w:cs="Times New Roman"/>
          <w:lang w:val="en-GB"/>
        </w:rPr>
        <w:t xml:space="preserve">. </w:t>
      </w:r>
      <w:r w:rsidRPr="004975E3">
        <w:rPr>
          <w:rFonts w:ascii="Times New Roman" w:hAnsi="Times New Roman" w:cs="Times New Roman"/>
          <w:lang w:val="en-GB"/>
        </w:rPr>
        <w:t xml:space="preserve">Gels were electrophoresed at 120 V, until the dye front reached the bottom of the gel or the </w:t>
      </w:r>
      <w:r w:rsidR="005F5682">
        <w:rPr>
          <w:rFonts w:ascii="Times New Roman" w:hAnsi="Times New Roman" w:cs="Times New Roman"/>
          <w:lang w:val="en-GB"/>
        </w:rPr>
        <w:t>protein of interest was suitably</w:t>
      </w:r>
      <w:r w:rsidRPr="004975E3">
        <w:rPr>
          <w:rFonts w:ascii="Times New Roman" w:hAnsi="Times New Roman" w:cs="Times New Roman"/>
          <w:lang w:val="en-GB"/>
        </w:rPr>
        <w:t xml:space="preserve"> resolved.</w:t>
      </w:r>
    </w:p>
    <w:p w14:paraId="691FC0FC" w14:textId="77777777" w:rsidR="00AD551A" w:rsidRDefault="00AD551A" w:rsidP="0085074F">
      <w:pPr>
        <w:autoSpaceDE w:val="0"/>
        <w:autoSpaceDN w:val="0"/>
        <w:adjustRightInd w:val="0"/>
        <w:spacing w:line="360" w:lineRule="auto"/>
        <w:rPr>
          <w:rFonts w:ascii="Times New Roman" w:hAnsi="Times New Roman" w:cs="Times New Roman"/>
          <w:lang w:val="en-GB"/>
        </w:rPr>
      </w:pPr>
    </w:p>
    <w:p w14:paraId="023B7F7B" w14:textId="42661A81" w:rsidR="00AD551A" w:rsidRDefault="004D474F" w:rsidP="00AB1419">
      <w:pPr>
        <w:pStyle w:val="Heading5"/>
        <w:rPr>
          <w:lang w:val="en-GB"/>
        </w:rPr>
      </w:pPr>
      <w:bookmarkStart w:id="792" w:name="_Toc333569351"/>
      <w:bookmarkStart w:id="793" w:name="_Toc333570889"/>
      <w:bookmarkStart w:id="794" w:name="_Toc333585969"/>
      <w:bookmarkStart w:id="795" w:name="_Toc333586844"/>
      <w:bookmarkStart w:id="796" w:name="_Toc333644543"/>
      <w:bookmarkStart w:id="797" w:name="_Toc333644837"/>
      <w:r>
        <w:rPr>
          <w:lang w:val="en-GB"/>
        </w:rPr>
        <w:t>Table 2.9.</w:t>
      </w:r>
      <w:r w:rsidR="00766A09">
        <w:rPr>
          <w:lang w:val="en-GB"/>
        </w:rPr>
        <w:t xml:space="preserve"> Comp</w:t>
      </w:r>
      <w:r w:rsidR="00AF4DD4">
        <w:rPr>
          <w:lang w:val="en-GB"/>
        </w:rPr>
        <w:t>osition of 4% stacking gel, 8</w:t>
      </w:r>
      <w:r w:rsidR="0027191A">
        <w:rPr>
          <w:lang w:val="en-GB"/>
        </w:rPr>
        <w:t>%</w:t>
      </w:r>
      <w:r w:rsidR="00766A09">
        <w:rPr>
          <w:lang w:val="en-GB"/>
        </w:rPr>
        <w:t xml:space="preserve"> resolving gel and 15% resolving gel</w:t>
      </w:r>
      <w:bookmarkEnd w:id="792"/>
      <w:bookmarkEnd w:id="793"/>
      <w:bookmarkEnd w:id="794"/>
      <w:bookmarkEnd w:id="795"/>
      <w:bookmarkEnd w:id="796"/>
      <w:bookmarkEnd w:id="797"/>
    </w:p>
    <w:p w14:paraId="571D0288" w14:textId="77777777" w:rsidR="00A83395" w:rsidRPr="00A83395" w:rsidRDefault="00A83395" w:rsidP="00A83395"/>
    <w:tbl>
      <w:tblPr>
        <w:tblStyle w:val="TableGrid"/>
        <w:tblW w:w="0" w:type="auto"/>
        <w:tblLook w:val="04A0" w:firstRow="1" w:lastRow="0" w:firstColumn="1" w:lastColumn="0" w:noHBand="0" w:noVBand="1"/>
      </w:tblPr>
      <w:tblGrid>
        <w:gridCol w:w="2179"/>
        <w:gridCol w:w="2179"/>
        <w:gridCol w:w="2180"/>
        <w:gridCol w:w="2176"/>
      </w:tblGrid>
      <w:tr w:rsidR="00766A09" w:rsidRPr="00766A09" w14:paraId="6276D84E" w14:textId="77777777" w:rsidTr="00AF4DD4">
        <w:tc>
          <w:tcPr>
            <w:tcW w:w="2179" w:type="dxa"/>
          </w:tcPr>
          <w:p w14:paraId="59CA3741" w14:textId="77777777" w:rsidR="00766A09" w:rsidRPr="00AF4DD4" w:rsidRDefault="00766A09" w:rsidP="00766A09">
            <w:pPr>
              <w:autoSpaceDE w:val="0"/>
              <w:autoSpaceDN w:val="0"/>
              <w:adjustRightInd w:val="0"/>
              <w:spacing w:line="360" w:lineRule="auto"/>
              <w:rPr>
                <w:rFonts w:ascii="Times New Roman" w:hAnsi="Times New Roman" w:cs="Times New Roman"/>
                <w:b/>
                <w:lang w:val="en-GB"/>
              </w:rPr>
            </w:pPr>
          </w:p>
        </w:tc>
        <w:tc>
          <w:tcPr>
            <w:tcW w:w="2179" w:type="dxa"/>
          </w:tcPr>
          <w:p w14:paraId="3DB69E71" w14:textId="441192D3" w:rsidR="00766A09" w:rsidRPr="00AF4DD4" w:rsidRDefault="00766A09" w:rsidP="00766A09">
            <w:pPr>
              <w:autoSpaceDE w:val="0"/>
              <w:autoSpaceDN w:val="0"/>
              <w:adjustRightInd w:val="0"/>
              <w:spacing w:line="360" w:lineRule="auto"/>
              <w:rPr>
                <w:rFonts w:ascii="Times New Roman" w:hAnsi="Times New Roman" w:cs="Times New Roman"/>
                <w:b/>
                <w:lang w:val="en-GB"/>
              </w:rPr>
            </w:pPr>
            <w:r w:rsidRPr="00AF4DD4">
              <w:rPr>
                <w:rFonts w:ascii="Times New Roman" w:hAnsi="Times New Roman" w:cs="Times New Roman"/>
                <w:b/>
                <w:lang w:val="en-GB"/>
              </w:rPr>
              <w:t>4% Stacking gel</w:t>
            </w:r>
          </w:p>
        </w:tc>
        <w:tc>
          <w:tcPr>
            <w:tcW w:w="2180" w:type="dxa"/>
          </w:tcPr>
          <w:p w14:paraId="21E9291F" w14:textId="6E6D5E1B" w:rsidR="00766A09" w:rsidRPr="00AF4DD4" w:rsidRDefault="00AF4DD4" w:rsidP="00766A09">
            <w:pPr>
              <w:autoSpaceDE w:val="0"/>
              <w:autoSpaceDN w:val="0"/>
              <w:adjustRightInd w:val="0"/>
              <w:spacing w:line="360" w:lineRule="auto"/>
              <w:rPr>
                <w:rFonts w:ascii="Times New Roman" w:hAnsi="Times New Roman" w:cs="Times New Roman"/>
                <w:b/>
                <w:lang w:val="en-GB"/>
              </w:rPr>
            </w:pPr>
            <w:r w:rsidRPr="00AF4DD4">
              <w:rPr>
                <w:rFonts w:ascii="Times New Roman" w:hAnsi="Times New Roman" w:cs="Times New Roman"/>
                <w:b/>
                <w:lang w:val="en-GB"/>
              </w:rPr>
              <w:t>8</w:t>
            </w:r>
            <w:r w:rsidR="00766A09" w:rsidRPr="00AF4DD4">
              <w:rPr>
                <w:rFonts w:ascii="Times New Roman" w:hAnsi="Times New Roman" w:cs="Times New Roman"/>
                <w:b/>
                <w:lang w:val="en-GB"/>
              </w:rPr>
              <w:t>% Resolving gel</w:t>
            </w:r>
          </w:p>
        </w:tc>
        <w:tc>
          <w:tcPr>
            <w:tcW w:w="2176" w:type="dxa"/>
          </w:tcPr>
          <w:p w14:paraId="08DB5C76" w14:textId="6AE9A1BF" w:rsidR="00766A09" w:rsidRPr="00AF4DD4" w:rsidRDefault="00766A09" w:rsidP="00766A09">
            <w:pPr>
              <w:autoSpaceDE w:val="0"/>
              <w:autoSpaceDN w:val="0"/>
              <w:adjustRightInd w:val="0"/>
              <w:spacing w:line="360" w:lineRule="auto"/>
              <w:rPr>
                <w:rFonts w:ascii="Times New Roman" w:hAnsi="Times New Roman" w:cs="Times New Roman"/>
                <w:b/>
                <w:lang w:val="en-GB"/>
              </w:rPr>
            </w:pPr>
            <w:r w:rsidRPr="00AF4DD4">
              <w:rPr>
                <w:rFonts w:ascii="Times New Roman" w:hAnsi="Times New Roman" w:cs="Times New Roman"/>
                <w:b/>
                <w:lang w:val="en-GB"/>
              </w:rPr>
              <w:t>15% Resolving gel</w:t>
            </w:r>
          </w:p>
        </w:tc>
      </w:tr>
      <w:tr w:rsidR="00766A09" w:rsidRPr="00766A09" w14:paraId="5915DA51" w14:textId="77777777" w:rsidTr="00AF4DD4">
        <w:tc>
          <w:tcPr>
            <w:tcW w:w="2179" w:type="dxa"/>
          </w:tcPr>
          <w:p w14:paraId="16948376" w14:textId="00F350B1" w:rsidR="00766A09" w:rsidRPr="00AF4DD4" w:rsidRDefault="00766A09" w:rsidP="00766A09">
            <w:pPr>
              <w:autoSpaceDE w:val="0"/>
              <w:autoSpaceDN w:val="0"/>
              <w:adjustRightInd w:val="0"/>
              <w:spacing w:line="360" w:lineRule="auto"/>
              <w:rPr>
                <w:rFonts w:ascii="Times New Roman" w:hAnsi="Times New Roman" w:cs="Times New Roman"/>
                <w:b/>
                <w:lang w:val="en-GB"/>
              </w:rPr>
            </w:pPr>
            <w:r w:rsidRPr="00AF4DD4">
              <w:rPr>
                <w:rFonts w:ascii="Times New Roman" w:hAnsi="Times New Roman" w:cs="Times New Roman"/>
                <w:b/>
                <w:lang w:val="en-GB"/>
              </w:rPr>
              <w:t>Acrylamide</w:t>
            </w:r>
          </w:p>
        </w:tc>
        <w:tc>
          <w:tcPr>
            <w:tcW w:w="2179" w:type="dxa"/>
          </w:tcPr>
          <w:p w14:paraId="5A83F957" w14:textId="116B371F" w:rsidR="00766A09" w:rsidRPr="00AF4DD4" w:rsidRDefault="00AF4DD4" w:rsidP="00766A09">
            <w:pPr>
              <w:autoSpaceDE w:val="0"/>
              <w:autoSpaceDN w:val="0"/>
              <w:adjustRightInd w:val="0"/>
              <w:spacing w:line="360" w:lineRule="auto"/>
              <w:rPr>
                <w:rFonts w:ascii="Times New Roman" w:hAnsi="Times New Roman" w:cs="Times New Roman"/>
                <w:lang w:val="en-GB"/>
              </w:rPr>
            </w:pPr>
            <w:r w:rsidRPr="00AF4DD4">
              <w:rPr>
                <w:rFonts w:ascii="Times New Roman" w:hAnsi="Times New Roman" w:cs="Times New Roman"/>
                <w:lang w:val="en-GB"/>
              </w:rPr>
              <w:t>4% (w/v)</w:t>
            </w:r>
          </w:p>
        </w:tc>
        <w:tc>
          <w:tcPr>
            <w:tcW w:w="2180" w:type="dxa"/>
          </w:tcPr>
          <w:p w14:paraId="140176A5" w14:textId="592E692B" w:rsidR="00766A09" w:rsidRPr="00AF4DD4" w:rsidRDefault="00AF4DD4" w:rsidP="00766A09">
            <w:pPr>
              <w:autoSpaceDE w:val="0"/>
              <w:autoSpaceDN w:val="0"/>
              <w:adjustRightInd w:val="0"/>
              <w:spacing w:line="360" w:lineRule="auto"/>
              <w:rPr>
                <w:rFonts w:ascii="Times New Roman" w:hAnsi="Times New Roman" w:cs="Times New Roman"/>
                <w:lang w:val="en-GB"/>
              </w:rPr>
            </w:pPr>
            <w:r w:rsidRPr="00AF4DD4">
              <w:rPr>
                <w:rFonts w:ascii="Times New Roman" w:hAnsi="Times New Roman" w:cs="Times New Roman"/>
                <w:lang w:val="en-GB"/>
              </w:rPr>
              <w:t>8% (w/v)</w:t>
            </w:r>
          </w:p>
        </w:tc>
        <w:tc>
          <w:tcPr>
            <w:tcW w:w="2176" w:type="dxa"/>
          </w:tcPr>
          <w:p w14:paraId="17314AF8" w14:textId="74C02E90" w:rsidR="00766A09" w:rsidRPr="00AF4DD4" w:rsidRDefault="00AF4DD4" w:rsidP="00766A09">
            <w:pPr>
              <w:autoSpaceDE w:val="0"/>
              <w:autoSpaceDN w:val="0"/>
              <w:adjustRightInd w:val="0"/>
              <w:spacing w:line="360" w:lineRule="auto"/>
              <w:rPr>
                <w:rFonts w:ascii="Times New Roman" w:hAnsi="Times New Roman" w:cs="Times New Roman"/>
                <w:lang w:val="en-GB"/>
              </w:rPr>
            </w:pPr>
            <w:r w:rsidRPr="00AF4DD4">
              <w:rPr>
                <w:rFonts w:ascii="Times New Roman" w:hAnsi="Times New Roman" w:cs="Times New Roman"/>
                <w:lang w:val="en-GB"/>
              </w:rPr>
              <w:t>15% (w/v)</w:t>
            </w:r>
          </w:p>
        </w:tc>
      </w:tr>
      <w:tr w:rsidR="00766A09" w:rsidRPr="00766A09" w14:paraId="0D04D4C5" w14:textId="77777777" w:rsidTr="00AF4DD4">
        <w:tc>
          <w:tcPr>
            <w:tcW w:w="2179" w:type="dxa"/>
          </w:tcPr>
          <w:p w14:paraId="3665478B" w14:textId="3CBD7962" w:rsidR="00766A09" w:rsidRPr="00A55185" w:rsidRDefault="00766A09" w:rsidP="00766A09">
            <w:pPr>
              <w:autoSpaceDE w:val="0"/>
              <w:autoSpaceDN w:val="0"/>
              <w:adjustRightInd w:val="0"/>
              <w:spacing w:line="360" w:lineRule="auto"/>
              <w:rPr>
                <w:rFonts w:ascii="Times New Roman" w:hAnsi="Times New Roman" w:cs="Times New Roman"/>
                <w:b/>
                <w:lang w:val="en-GB"/>
              </w:rPr>
            </w:pPr>
            <w:r w:rsidRPr="00A55185">
              <w:rPr>
                <w:rFonts w:ascii="Times New Roman" w:hAnsi="Times New Roman" w:cs="Times New Roman"/>
                <w:b/>
                <w:lang w:val="en-GB"/>
              </w:rPr>
              <w:t xml:space="preserve">Resolving buffer </w:t>
            </w:r>
          </w:p>
        </w:tc>
        <w:tc>
          <w:tcPr>
            <w:tcW w:w="2179" w:type="dxa"/>
          </w:tcPr>
          <w:p w14:paraId="66766B79" w14:textId="0BC734CA" w:rsidR="00766A09" w:rsidRPr="00AF4DD4" w:rsidRDefault="00AF4DD4" w:rsidP="00766A09">
            <w:pPr>
              <w:autoSpaceDE w:val="0"/>
              <w:autoSpaceDN w:val="0"/>
              <w:adjustRightInd w:val="0"/>
              <w:spacing w:line="360" w:lineRule="auto"/>
              <w:rPr>
                <w:rFonts w:ascii="Times New Roman" w:hAnsi="Times New Roman" w:cs="Times New Roman"/>
                <w:lang w:val="en-GB"/>
              </w:rPr>
            </w:pPr>
            <w:r w:rsidRPr="00AF4DD4">
              <w:rPr>
                <w:rFonts w:ascii="Times New Roman" w:hAnsi="Times New Roman" w:cs="Times New Roman"/>
                <w:lang w:val="en-GB"/>
              </w:rPr>
              <w:t>-</w:t>
            </w:r>
          </w:p>
        </w:tc>
        <w:tc>
          <w:tcPr>
            <w:tcW w:w="2180" w:type="dxa"/>
          </w:tcPr>
          <w:p w14:paraId="6805E1D6" w14:textId="609B97BB" w:rsidR="00766A09" w:rsidRPr="00AF4DD4" w:rsidRDefault="00AF4DD4" w:rsidP="00766A09">
            <w:pPr>
              <w:autoSpaceDE w:val="0"/>
              <w:autoSpaceDN w:val="0"/>
              <w:adjustRightInd w:val="0"/>
              <w:spacing w:line="360" w:lineRule="auto"/>
              <w:rPr>
                <w:rFonts w:ascii="Times New Roman" w:hAnsi="Times New Roman" w:cs="Times New Roman"/>
                <w:lang w:val="en-GB"/>
              </w:rPr>
            </w:pPr>
            <w:r w:rsidRPr="00AF4DD4">
              <w:rPr>
                <w:rFonts w:ascii="Times New Roman" w:hAnsi="Times New Roman" w:cs="Times New Roman"/>
                <w:lang w:val="en-GB"/>
              </w:rPr>
              <w:t>25% (v/v)</w:t>
            </w:r>
          </w:p>
        </w:tc>
        <w:tc>
          <w:tcPr>
            <w:tcW w:w="2176" w:type="dxa"/>
          </w:tcPr>
          <w:p w14:paraId="44B5C9A0" w14:textId="4C18CD94" w:rsidR="00766A09" w:rsidRPr="00AF4DD4" w:rsidRDefault="00AF4DD4" w:rsidP="00766A09">
            <w:pPr>
              <w:autoSpaceDE w:val="0"/>
              <w:autoSpaceDN w:val="0"/>
              <w:adjustRightInd w:val="0"/>
              <w:spacing w:line="360" w:lineRule="auto"/>
              <w:rPr>
                <w:rFonts w:ascii="Times New Roman" w:hAnsi="Times New Roman" w:cs="Times New Roman"/>
                <w:lang w:val="en-GB"/>
              </w:rPr>
            </w:pPr>
            <w:r w:rsidRPr="00AF4DD4">
              <w:rPr>
                <w:rFonts w:ascii="Times New Roman" w:hAnsi="Times New Roman" w:cs="Times New Roman"/>
                <w:lang w:val="en-GB"/>
              </w:rPr>
              <w:t>25% (v/v)</w:t>
            </w:r>
          </w:p>
        </w:tc>
      </w:tr>
      <w:tr w:rsidR="00766A09" w:rsidRPr="00766A09" w14:paraId="52B192E9" w14:textId="77777777" w:rsidTr="00AF4DD4">
        <w:tc>
          <w:tcPr>
            <w:tcW w:w="2179" w:type="dxa"/>
          </w:tcPr>
          <w:p w14:paraId="0D6354A6" w14:textId="062E63F6" w:rsidR="00766A09" w:rsidRPr="00A55185" w:rsidRDefault="00766A09" w:rsidP="00766A09">
            <w:pPr>
              <w:autoSpaceDE w:val="0"/>
              <w:autoSpaceDN w:val="0"/>
              <w:adjustRightInd w:val="0"/>
              <w:spacing w:line="360" w:lineRule="auto"/>
              <w:rPr>
                <w:rFonts w:ascii="Times New Roman" w:hAnsi="Times New Roman" w:cs="Times New Roman"/>
                <w:b/>
                <w:lang w:val="en-GB"/>
              </w:rPr>
            </w:pPr>
            <w:r w:rsidRPr="00A55185">
              <w:rPr>
                <w:rFonts w:ascii="Times New Roman" w:hAnsi="Times New Roman" w:cs="Times New Roman"/>
                <w:b/>
                <w:lang w:val="en-GB"/>
              </w:rPr>
              <w:t xml:space="preserve">Stacking buffer </w:t>
            </w:r>
          </w:p>
        </w:tc>
        <w:tc>
          <w:tcPr>
            <w:tcW w:w="2179" w:type="dxa"/>
          </w:tcPr>
          <w:p w14:paraId="36B317EE" w14:textId="7440E134" w:rsidR="00766A09" w:rsidRPr="00AF4DD4" w:rsidRDefault="00AF4DD4" w:rsidP="00766A09">
            <w:pPr>
              <w:autoSpaceDE w:val="0"/>
              <w:autoSpaceDN w:val="0"/>
              <w:adjustRightInd w:val="0"/>
              <w:spacing w:line="360" w:lineRule="auto"/>
              <w:rPr>
                <w:rFonts w:ascii="Times New Roman" w:hAnsi="Times New Roman" w:cs="Times New Roman"/>
                <w:lang w:val="en-GB"/>
              </w:rPr>
            </w:pPr>
            <w:r w:rsidRPr="00AF4DD4">
              <w:rPr>
                <w:rFonts w:ascii="Times New Roman" w:hAnsi="Times New Roman" w:cs="Times New Roman"/>
                <w:lang w:val="en-GB"/>
              </w:rPr>
              <w:t>25% (w/v)</w:t>
            </w:r>
          </w:p>
        </w:tc>
        <w:tc>
          <w:tcPr>
            <w:tcW w:w="2180" w:type="dxa"/>
          </w:tcPr>
          <w:p w14:paraId="0FA9E513" w14:textId="780C6E17" w:rsidR="00766A09" w:rsidRPr="00AF4DD4" w:rsidRDefault="00AF4DD4" w:rsidP="00766A09">
            <w:pPr>
              <w:autoSpaceDE w:val="0"/>
              <w:autoSpaceDN w:val="0"/>
              <w:adjustRightInd w:val="0"/>
              <w:spacing w:line="360" w:lineRule="auto"/>
              <w:rPr>
                <w:rFonts w:ascii="Times New Roman" w:hAnsi="Times New Roman" w:cs="Times New Roman"/>
                <w:lang w:val="en-GB"/>
              </w:rPr>
            </w:pPr>
            <w:r w:rsidRPr="00AF4DD4">
              <w:rPr>
                <w:rFonts w:ascii="Times New Roman" w:hAnsi="Times New Roman" w:cs="Times New Roman"/>
                <w:lang w:val="en-GB"/>
              </w:rPr>
              <w:t>-</w:t>
            </w:r>
          </w:p>
        </w:tc>
        <w:tc>
          <w:tcPr>
            <w:tcW w:w="2176" w:type="dxa"/>
          </w:tcPr>
          <w:p w14:paraId="03C5B4B1" w14:textId="0FE85F45" w:rsidR="00766A09" w:rsidRPr="00AF4DD4" w:rsidRDefault="00AF4DD4" w:rsidP="00766A09">
            <w:pPr>
              <w:autoSpaceDE w:val="0"/>
              <w:autoSpaceDN w:val="0"/>
              <w:adjustRightInd w:val="0"/>
              <w:spacing w:line="360" w:lineRule="auto"/>
              <w:rPr>
                <w:rFonts w:ascii="Times New Roman" w:hAnsi="Times New Roman" w:cs="Times New Roman"/>
                <w:lang w:val="en-GB"/>
              </w:rPr>
            </w:pPr>
            <w:r w:rsidRPr="00AF4DD4">
              <w:rPr>
                <w:rFonts w:ascii="Times New Roman" w:hAnsi="Times New Roman" w:cs="Times New Roman"/>
                <w:lang w:val="en-GB"/>
              </w:rPr>
              <w:t>-</w:t>
            </w:r>
          </w:p>
        </w:tc>
      </w:tr>
      <w:tr w:rsidR="00766A09" w:rsidRPr="00766A09" w14:paraId="1FB880EA" w14:textId="77777777" w:rsidTr="00AF4DD4">
        <w:tc>
          <w:tcPr>
            <w:tcW w:w="2179" w:type="dxa"/>
          </w:tcPr>
          <w:p w14:paraId="015DDFB9" w14:textId="656BD117" w:rsidR="00766A09" w:rsidRPr="00AF4DD4" w:rsidRDefault="00766A09" w:rsidP="00766A09">
            <w:pPr>
              <w:autoSpaceDE w:val="0"/>
              <w:autoSpaceDN w:val="0"/>
              <w:adjustRightInd w:val="0"/>
              <w:spacing w:line="360" w:lineRule="auto"/>
              <w:rPr>
                <w:rFonts w:ascii="Times New Roman" w:hAnsi="Times New Roman" w:cs="Times New Roman"/>
                <w:b/>
                <w:lang w:val="en-GB"/>
              </w:rPr>
            </w:pPr>
            <w:r w:rsidRPr="00AF4DD4">
              <w:rPr>
                <w:rFonts w:ascii="Times New Roman" w:hAnsi="Times New Roman" w:cs="Times New Roman"/>
                <w:b/>
                <w:lang w:val="en-GB"/>
              </w:rPr>
              <w:t>10% (w/v) APS</w:t>
            </w:r>
          </w:p>
        </w:tc>
        <w:tc>
          <w:tcPr>
            <w:tcW w:w="2179" w:type="dxa"/>
          </w:tcPr>
          <w:p w14:paraId="095C5EFA" w14:textId="6E938F23" w:rsidR="00766A09" w:rsidRPr="00AF4DD4" w:rsidRDefault="00AF4DD4" w:rsidP="00766A09">
            <w:pPr>
              <w:autoSpaceDE w:val="0"/>
              <w:autoSpaceDN w:val="0"/>
              <w:adjustRightInd w:val="0"/>
              <w:spacing w:line="360" w:lineRule="auto"/>
              <w:rPr>
                <w:rFonts w:ascii="Times New Roman" w:hAnsi="Times New Roman" w:cs="Times New Roman"/>
                <w:lang w:val="en-GB"/>
              </w:rPr>
            </w:pPr>
            <w:r w:rsidRPr="00AF4DD4">
              <w:rPr>
                <w:rFonts w:ascii="Times New Roman" w:hAnsi="Times New Roman" w:cs="Times New Roman"/>
                <w:lang w:val="en-GB"/>
              </w:rPr>
              <w:t>0.1% (w/v)</w:t>
            </w:r>
          </w:p>
        </w:tc>
        <w:tc>
          <w:tcPr>
            <w:tcW w:w="2180" w:type="dxa"/>
          </w:tcPr>
          <w:p w14:paraId="37B45B16" w14:textId="2DE732E5" w:rsidR="00766A09" w:rsidRPr="00AF4DD4" w:rsidRDefault="00AF4DD4" w:rsidP="00766A09">
            <w:pPr>
              <w:autoSpaceDE w:val="0"/>
              <w:autoSpaceDN w:val="0"/>
              <w:adjustRightInd w:val="0"/>
              <w:spacing w:line="360" w:lineRule="auto"/>
              <w:rPr>
                <w:rFonts w:ascii="Times New Roman" w:hAnsi="Times New Roman" w:cs="Times New Roman"/>
                <w:lang w:val="en-GB"/>
              </w:rPr>
            </w:pPr>
            <w:r w:rsidRPr="00AF4DD4">
              <w:rPr>
                <w:rFonts w:ascii="Times New Roman" w:hAnsi="Times New Roman" w:cs="Times New Roman"/>
                <w:lang w:val="en-GB"/>
              </w:rPr>
              <w:t>0.1% (w/v)</w:t>
            </w:r>
          </w:p>
        </w:tc>
        <w:tc>
          <w:tcPr>
            <w:tcW w:w="2176" w:type="dxa"/>
          </w:tcPr>
          <w:p w14:paraId="1D173E2A" w14:textId="1998345D" w:rsidR="00766A09" w:rsidRPr="00AF4DD4" w:rsidRDefault="00AF4DD4" w:rsidP="00766A09">
            <w:pPr>
              <w:autoSpaceDE w:val="0"/>
              <w:autoSpaceDN w:val="0"/>
              <w:adjustRightInd w:val="0"/>
              <w:spacing w:line="360" w:lineRule="auto"/>
              <w:rPr>
                <w:rFonts w:ascii="Times New Roman" w:hAnsi="Times New Roman" w:cs="Times New Roman"/>
                <w:lang w:val="en-GB"/>
              </w:rPr>
            </w:pPr>
            <w:r w:rsidRPr="00AF4DD4">
              <w:rPr>
                <w:rFonts w:ascii="Times New Roman" w:hAnsi="Times New Roman" w:cs="Times New Roman"/>
                <w:lang w:val="en-GB"/>
              </w:rPr>
              <w:t>0.1% (w/v)</w:t>
            </w:r>
          </w:p>
        </w:tc>
      </w:tr>
      <w:tr w:rsidR="00766A09" w:rsidRPr="00766A09" w14:paraId="631B3B99" w14:textId="666789C9" w:rsidTr="00AF4DD4">
        <w:tblPrEx>
          <w:tblLook w:val="0000" w:firstRow="0" w:lastRow="0" w:firstColumn="0" w:lastColumn="0" w:noHBand="0" w:noVBand="0"/>
        </w:tblPrEx>
        <w:trPr>
          <w:trHeight w:val="273"/>
        </w:trPr>
        <w:tc>
          <w:tcPr>
            <w:tcW w:w="2179" w:type="dxa"/>
          </w:tcPr>
          <w:p w14:paraId="59F9E6E1" w14:textId="6AF21C9B" w:rsidR="00766A09" w:rsidRPr="00AF4DD4" w:rsidRDefault="00766A09" w:rsidP="00766A09">
            <w:pPr>
              <w:autoSpaceDE w:val="0"/>
              <w:autoSpaceDN w:val="0"/>
              <w:adjustRightInd w:val="0"/>
              <w:spacing w:line="360" w:lineRule="auto"/>
              <w:rPr>
                <w:rFonts w:ascii="Times New Roman" w:hAnsi="Times New Roman" w:cs="Times New Roman"/>
                <w:b/>
                <w:lang w:val="en-GB"/>
              </w:rPr>
            </w:pPr>
            <w:r w:rsidRPr="00AF4DD4">
              <w:rPr>
                <w:rFonts w:ascii="Times New Roman" w:hAnsi="Times New Roman" w:cs="Times New Roman"/>
                <w:b/>
                <w:lang w:val="en-GB"/>
              </w:rPr>
              <w:t>TEMED</w:t>
            </w:r>
          </w:p>
        </w:tc>
        <w:tc>
          <w:tcPr>
            <w:tcW w:w="2179" w:type="dxa"/>
          </w:tcPr>
          <w:p w14:paraId="22EA38E4" w14:textId="299BE4AC" w:rsidR="00766A09" w:rsidRPr="00AF4DD4" w:rsidRDefault="00AF4DD4" w:rsidP="00AF4DD4">
            <w:pPr>
              <w:autoSpaceDE w:val="0"/>
              <w:autoSpaceDN w:val="0"/>
              <w:adjustRightInd w:val="0"/>
              <w:spacing w:line="360" w:lineRule="auto"/>
              <w:rPr>
                <w:rFonts w:ascii="Times New Roman" w:hAnsi="Times New Roman" w:cs="Times New Roman"/>
                <w:lang w:val="en-GB"/>
              </w:rPr>
            </w:pPr>
            <w:r w:rsidRPr="00AF4DD4">
              <w:rPr>
                <w:rFonts w:ascii="Times New Roman" w:hAnsi="Times New Roman" w:cs="Times New Roman"/>
                <w:lang w:val="en-GB"/>
              </w:rPr>
              <w:t>0.1% (v/v)</w:t>
            </w:r>
          </w:p>
        </w:tc>
        <w:tc>
          <w:tcPr>
            <w:tcW w:w="2180" w:type="dxa"/>
          </w:tcPr>
          <w:p w14:paraId="66C8B509" w14:textId="5CA05BE5" w:rsidR="00766A09" w:rsidRPr="00AF4DD4" w:rsidRDefault="00AF4DD4" w:rsidP="00AF4DD4">
            <w:pPr>
              <w:autoSpaceDE w:val="0"/>
              <w:autoSpaceDN w:val="0"/>
              <w:adjustRightInd w:val="0"/>
              <w:spacing w:line="360" w:lineRule="auto"/>
              <w:rPr>
                <w:rFonts w:ascii="Times New Roman" w:hAnsi="Times New Roman" w:cs="Times New Roman"/>
                <w:lang w:val="en-GB"/>
              </w:rPr>
            </w:pPr>
            <w:r w:rsidRPr="00AF4DD4">
              <w:rPr>
                <w:rFonts w:ascii="Times New Roman" w:hAnsi="Times New Roman" w:cs="Times New Roman"/>
                <w:lang w:val="en-GB"/>
              </w:rPr>
              <w:t>0.1% (v/v)</w:t>
            </w:r>
          </w:p>
        </w:tc>
        <w:tc>
          <w:tcPr>
            <w:tcW w:w="2176" w:type="dxa"/>
          </w:tcPr>
          <w:p w14:paraId="2D1DCA99" w14:textId="0EF24FFD" w:rsidR="00766A09" w:rsidRPr="00AF4DD4" w:rsidRDefault="00AF4DD4" w:rsidP="00AF4DD4">
            <w:pPr>
              <w:autoSpaceDE w:val="0"/>
              <w:autoSpaceDN w:val="0"/>
              <w:adjustRightInd w:val="0"/>
              <w:spacing w:line="360" w:lineRule="auto"/>
              <w:rPr>
                <w:rFonts w:ascii="Times New Roman" w:hAnsi="Times New Roman" w:cs="Times New Roman"/>
                <w:lang w:val="en-GB"/>
              </w:rPr>
            </w:pPr>
            <w:r w:rsidRPr="00AF4DD4">
              <w:rPr>
                <w:rFonts w:ascii="Times New Roman" w:hAnsi="Times New Roman" w:cs="Times New Roman"/>
                <w:lang w:val="en-GB"/>
              </w:rPr>
              <w:t>0.1% (v/v)</w:t>
            </w:r>
          </w:p>
        </w:tc>
      </w:tr>
    </w:tbl>
    <w:p w14:paraId="1BA35E67" w14:textId="77777777" w:rsidR="002D0408" w:rsidRPr="004975E3" w:rsidRDefault="002D0408" w:rsidP="0085074F">
      <w:pPr>
        <w:autoSpaceDE w:val="0"/>
        <w:autoSpaceDN w:val="0"/>
        <w:adjustRightInd w:val="0"/>
        <w:spacing w:line="360" w:lineRule="auto"/>
        <w:rPr>
          <w:rFonts w:ascii="Times New Roman" w:hAnsi="Times New Roman" w:cs="Times New Roman"/>
          <w:lang w:val="en-GB"/>
        </w:rPr>
      </w:pPr>
    </w:p>
    <w:p w14:paraId="078B0F4F" w14:textId="77777777" w:rsidR="00A621B6" w:rsidRDefault="00A621B6" w:rsidP="002D0408">
      <w:pPr>
        <w:pStyle w:val="NoSpacing"/>
        <w:rPr>
          <w:rFonts w:ascii="Times New Roman" w:hAnsi="Times New Roman" w:cs="Times New Roman"/>
          <w:b/>
        </w:rPr>
      </w:pPr>
      <w:bookmarkStart w:id="798" w:name="_Toc262895415"/>
    </w:p>
    <w:p w14:paraId="669E0CA3" w14:textId="16E9D560" w:rsidR="0085074F" w:rsidRPr="002D0408" w:rsidRDefault="000B2168" w:rsidP="003E7BDB">
      <w:pPr>
        <w:pStyle w:val="NoSpacing"/>
        <w:jc w:val="both"/>
        <w:rPr>
          <w:rFonts w:ascii="Times New Roman" w:hAnsi="Times New Roman" w:cs="Times New Roman"/>
          <w:b/>
        </w:rPr>
      </w:pPr>
      <w:r>
        <w:rPr>
          <w:rFonts w:ascii="Times New Roman" w:hAnsi="Times New Roman" w:cs="Times New Roman"/>
          <w:b/>
        </w:rPr>
        <w:t xml:space="preserve">Western </w:t>
      </w:r>
      <w:r w:rsidR="00D756A5" w:rsidRPr="002D0408">
        <w:rPr>
          <w:rFonts w:ascii="Times New Roman" w:hAnsi="Times New Roman" w:cs="Times New Roman"/>
          <w:b/>
        </w:rPr>
        <w:t>b</w:t>
      </w:r>
      <w:r w:rsidR="0085074F" w:rsidRPr="002D0408">
        <w:rPr>
          <w:rFonts w:ascii="Times New Roman" w:hAnsi="Times New Roman" w:cs="Times New Roman"/>
          <w:b/>
        </w:rPr>
        <w:t>lotting</w:t>
      </w:r>
      <w:bookmarkEnd w:id="798"/>
    </w:p>
    <w:p w14:paraId="36E30D11" w14:textId="1E396EF3" w:rsidR="0085074F" w:rsidRPr="004975E3" w:rsidRDefault="0085074F" w:rsidP="003E7BDB">
      <w:pPr>
        <w:autoSpaceDE w:val="0"/>
        <w:autoSpaceDN w:val="0"/>
        <w:adjustRightInd w:val="0"/>
        <w:spacing w:line="360" w:lineRule="auto"/>
        <w:jc w:val="both"/>
        <w:rPr>
          <w:rFonts w:ascii="Times New Roman" w:hAnsi="Times New Roman" w:cs="Times New Roman"/>
          <w:lang w:val="en-GB"/>
        </w:rPr>
      </w:pPr>
      <w:r w:rsidRPr="004975E3">
        <w:rPr>
          <w:rFonts w:ascii="Times New Roman" w:hAnsi="Times New Roman" w:cs="Times New Roman"/>
          <w:lang w:val="en-GB"/>
        </w:rPr>
        <w:t>Gels were placed onto 0.45 μm nitrocellulose membranes (Amersham</w:t>
      </w:r>
      <w:r w:rsidRPr="004975E3">
        <w:rPr>
          <w:rFonts w:ascii="Times New Roman" w:hAnsi="Times New Roman" w:cs="Times New Roman"/>
          <w:vertAlign w:val="superscript"/>
          <w:lang w:val="en-GB"/>
        </w:rPr>
        <w:t>TM</w:t>
      </w:r>
      <w:r w:rsidRPr="004975E3">
        <w:rPr>
          <w:rFonts w:ascii="Times New Roman" w:hAnsi="Times New Roman" w:cs="Times New Roman"/>
          <w:lang w:val="en-GB"/>
        </w:rPr>
        <w:t xml:space="preserve"> Hybond ECL, GE Healthcare Life Sciences), sandwiched between Grade 1A filter papers (Whatman Laboratories) and sponges in an X-Cell transfer module (LifeTechnologies), immersed in transfer buffer. Proteins were transferred</w:t>
      </w:r>
      <w:r w:rsidR="005F5682">
        <w:rPr>
          <w:rFonts w:ascii="Times New Roman" w:hAnsi="Times New Roman" w:cs="Times New Roman"/>
          <w:lang w:val="en-GB"/>
        </w:rPr>
        <w:t xml:space="preserve"> onto nitrocellulose at 300 mA </w:t>
      </w:r>
      <w:r w:rsidRPr="004975E3">
        <w:rPr>
          <w:rFonts w:ascii="Times New Roman" w:hAnsi="Times New Roman" w:cs="Times New Roman"/>
          <w:lang w:val="en-GB"/>
        </w:rPr>
        <w:t>for 120 minutes and the efficiency of the transfer checked using Ponceau Red. Non-specific binding of primary antibodies was blocked by incubating membranes in either 5 %</w:t>
      </w:r>
      <w:r w:rsidR="004A21A3">
        <w:rPr>
          <w:rFonts w:ascii="Times New Roman" w:hAnsi="Times New Roman" w:cs="Times New Roman"/>
          <w:lang w:val="en-GB"/>
        </w:rPr>
        <w:t xml:space="preserve"> </w:t>
      </w:r>
      <w:r w:rsidRPr="004975E3">
        <w:rPr>
          <w:rFonts w:ascii="Times New Roman" w:hAnsi="Times New Roman" w:cs="Times New Roman"/>
          <w:lang w:val="en-GB"/>
        </w:rPr>
        <w:t xml:space="preserve">(w/v) BSA in PBS-T or West Ezier Blocking Buffer (GenDEPOT) for 60 minutes at ambient temperature, and membranes were incubated overnight at 4 </w:t>
      </w:r>
      <w:r w:rsidRPr="004975E3">
        <w:rPr>
          <w:rFonts w:ascii="Times New Roman" w:hAnsi="Times New Roman" w:cs="Times New Roman"/>
          <w:vertAlign w:val="superscript"/>
          <w:lang w:val="en-GB"/>
        </w:rPr>
        <w:t>o</w:t>
      </w:r>
      <w:r w:rsidRPr="004975E3">
        <w:rPr>
          <w:rFonts w:ascii="Times New Roman" w:hAnsi="Times New Roman" w:cs="Times New Roman"/>
          <w:lang w:val="en-GB"/>
        </w:rPr>
        <w:t xml:space="preserve">C with primary antibodies (see </w:t>
      </w:r>
      <w:r w:rsidRPr="0066174F">
        <w:rPr>
          <w:rFonts w:ascii="Times New Roman" w:hAnsi="Times New Roman" w:cs="Times New Roman"/>
          <w:b/>
          <w:lang w:val="en-GB"/>
        </w:rPr>
        <w:t>table 3.1</w:t>
      </w:r>
      <w:r w:rsidRPr="004975E3">
        <w:rPr>
          <w:rFonts w:ascii="Times New Roman" w:hAnsi="Times New Roman" w:cs="Times New Roman"/>
          <w:lang w:val="en-GB"/>
        </w:rPr>
        <w:t>), in the appropriate blocking solution.</w:t>
      </w:r>
    </w:p>
    <w:p w14:paraId="3F79175F" w14:textId="77777777" w:rsidR="0085074F" w:rsidRPr="004975E3" w:rsidRDefault="0085074F" w:rsidP="0085074F">
      <w:pPr>
        <w:autoSpaceDE w:val="0"/>
        <w:autoSpaceDN w:val="0"/>
        <w:adjustRightInd w:val="0"/>
        <w:spacing w:line="360" w:lineRule="auto"/>
        <w:rPr>
          <w:rFonts w:ascii="Times New Roman" w:hAnsi="Times New Roman" w:cs="Times New Roman"/>
          <w:lang w:val="en-GB"/>
        </w:rPr>
      </w:pPr>
    </w:p>
    <w:p w14:paraId="23827B51" w14:textId="64F44586" w:rsidR="0085074F" w:rsidRPr="004975E3" w:rsidRDefault="0085074F" w:rsidP="0085074F">
      <w:pPr>
        <w:spacing w:line="360" w:lineRule="auto"/>
        <w:jc w:val="both"/>
        <w:rPr>
          <w:rFonts w:ascii="Times New Roman" w:hAnsi="Times New Roman" w:cs="Times New Roman"/>
          <w:lang w:val="en-GB"/>
        </w:rPr>
      </w:pPr>
      <w:r w:rsidRPr="004975E3">
        <w:rPr>
          <w:rFonts w:ascii="Times New Roman" w:hAnsi="Times New Roman" w:cs="Times New Roman"/>
          <w:lang w:val="en-GB"/>
        </w:rPr>
        <w:t xml:space="preserve">Following incubation with primary antibodies, membranes were washed three times in PBS-T for ten minutes prior to the addition of species-specific HRP conjugated secondary antibodies (see </w:t>
      </w:r>
      <w:r w:rsidRPr="0066174F">
        <w:rPr>
          <w:rFonts w:ascii="Times New Roman" w:hAnsi="Times New Roman" w:cs="Times New Roman"/>
          <w:b/>
          <w:lang w:val="en-GB"/>
        </w:rPr>
        <w:t>table 3.2</w:t>
      </w:r>
      <w:r w:rsidRPr="004975E3">
        <w:rPr>
          <w:rFonts w:ascii="Times New Roman" w:hAnsi="Times New Roman" w:cs="Times New Roman"/>
          <w:lang w:val="en-GB"/>
        </w:rPr>
        <w:t>) diluted in 5 % milk/PBS-T for one hour at ambient temperature. A series of 3 x 10 minutes washes was carried</w:t>
      </w:r>
      <w:r w:rsidR="005F5682">
        <w:rPr>
          <w:rFonts w:ascii="Times New Roman" w:hAnsi="Times New Roman" w:cs="Times New Roman"/>
          <w:lang w:val="en-GB"/>
        </w:rPr>
        <w:t xml:space="preserve"> out with 1 x </w:t>
      </w:r>
      <w:r w:rsidRPr="004975E3">
        <w:rPr>
          <w:rFonts w:ascii="Times New Roman" w:hAnsi="Times New Roman" w:cs="Times New Roman"/>
          <w:lang w:val="en-GB"/>
        </w:rPr>
        <w:t>PBST before incubating with ECL and visualising using the G-box</w:t>
      </w:r>
      <w:r w:rsidR="003136A3">
        <w:rPr>
          <w:rFonts w:ascii="Times New Roman" w:hAnsi="Times New Roman" w:cs="Times New Roman"/>
          <w:lang w:val="en-GB"/>
        </w:rPr>
        <w:t xml:space="preserve"> Chemi-XT CCD Gel imaging system (</w:t>
      </w:r>
      <w:r w:rsidRPr="004975E3">
        <w:rPr>
          <w:rFonts w:ascii="Times New Roman" w:hAnsi="Times New Roman" w:cs="Times New Roman"/>
          <w:lang w:val="en-GB"/>
        </w:rPr>
        <w:t>Syngene</w:t>
      </w:r>
      <w:r w:rsidR="003136A3">
        <w:rPr>
          <w:rFonts w:ascii="Times New Roman" w:hAnsi="Times New Roman" w:cs="Times New Roman"/>
          <w:lang w:val="en-GB"/>
        </w:rPr>
        <w:t>, Cambridge, UK)</w:t>
      </w:r>
      <w:r w:rsidRPr="004975E3">
        <w:rPr>
          <w:rFonts w:ascii="Times New Roman" w:hAnsi="Times New Roman" w:cs="Times New Roman"/>
          <w:lang w:val="en-GB"/>
        </w:rPr>
        <w:t xml:space="preserve">. Semi-quantitative densitometry analysis was performed using the ImageJ software. </w:t>
      </w:r>
    </w:p>
    <w:p w14:paraId="23AA0200" w14:textId="77777777" w:rsidR="0085074F" w:rsidRPr="004975E3" w:rsidRDefault="0085074F" w:rsidP="0085074F">
      <w:pPr>
        <w:autoSpaceDE w:val="0"/>
        <w:autoSpaceDN w:val="0"/>
        <w:adjustRightInd w:val="0"/>
        <w:spacing w:line="360" w:lineRule="auto"/>
        <w:rPr>
          <w:rFonts w:ascii="Times New Roman" w:hAnsi="Times New Roman" w:cs="Times New Roman"/>
          <w:lang w:val="en-GB"/>
        </w:rPr>
      </w:pPr>
    </w:p>
    <w:p w14:paraId="533DF340" w14:textId="76D3AA2A" w:rsidR="0085074F" w:rsidRPr="001D0ECC" w:rsidRDefault="002D0408" w:rsidP="00B2786B">
      <w:pPr>
        <w:pStyle w:val="Heading3"/>
        <w:rPr>
          <w:u w:val="single"/>
        </w:rPr>
      </w:pPr>
      <w:bookmarkStart w:id="799" w:name="_Toc328301130"/>
      <w:bookmarkStart w:id="800" w:name="_Toc262895416"/>
      <w:bookmarkStart w:id="801" w:name="_Toc329593424"/>
      <w:bookmarkStart w:id="802" w:name="_Toc331425923"/>
      <w:bookmarkStart w:id="803" w:name="_Toc331427104"/>
      <w:bookmarkStart w:id="804" w:name="_Toc331427476"/>
      <w:bookmarkStart w:id="805" w:name="_Toc331427618"/>
      <w:bookmarkStart w:id="806" w:name="_Toc332972622"/>
      <w:bookmarkStart w:id="807" w:name="_Toc333046901"/>
      <w:bookmarkStart w:id="808" w:name="_Toc333477248"/>
      <w:bookmarkStart w:id="809" w:name="_Toc333478018"/>
      <w:bookmarkStart w:id="810" w:name="_Toc333644918"/>
      <w:r w:rsidRPr="001D0ECC">
        <w:rPr>
          <w:u w:val="single"/>
        </w:rPr>
        <w:t>2.2.3</w:t>
      </w:r>
      <w:r w:rsidR="00000FF1" w:rsidRPr="001D0ECC">
        <w:rPr>
          <w:u w:val="single"/>
        </w:rPr>
        <w:t xml:space="preserve"> RNA analysis</w:t>
      </w:r>
      <w:bookmarkEnd w:id="799"/>
      <w:bookmarkEnd w:id="800"/>
      <w:bookmarkEnd w:id="801"/>
      <w:bookmarkEnd w:id="802"/>
      <w:bookmarkEnd w:id="803"/>
      <w:bookmarkEnd w:id="804"/>
      <w:bookmarkEnd w:id="805"/>
      <w:bookmarkEnd w:id="806"/>
      <w:bookmarkEnd w:id="807"/>
      <w:bookmarkEnd w:id="808"/>
      <w:bookmarkEnd w:id="809"/>
      <w:bookmarkEnd w:id="810"/>
    </w:p>
    <w:p w14:paraId="3DE92B4A" w14:textId="77777777" w:rsidR="00B833FD" w:rsidRDefault="00B833FD" w:rsidP="00122C02">
      <w:pPr>
        <w:spacing w:line="360" w:lineRule="auto"/>
        <w:rPr>
          <w:rFonts w:ascii="Times New Roman" w:hAnsi="Times New Roman" w:cs="Times New Roman"/>
          <w:b/>
          <w:u w:val="single"/>
        </w:rPr>
      </w:pPr>
    </w:p>
    <w:p w14:paraId="627EC407" w14:textId="43F0BF34" w:rsidR="00F21194" w:rsidRPr="006473BF" w:rsidRDefault="00F21194" w:rsidP="003E7BDB">
      <w:pPr>
        <w:jc w:val="both"/>
        <w:rPr>
          <w:rFonts w:ascii="Times New Roman" w:hAnsi="Times New Roman" w:cs="Times New Roman"/>
          <w:b/>
        </w:rPr>
      </w:pPr>
      <w:r w:rsidRPr="006473BF">
        <w:rPr>
          <w:rFonts w:ascii="Times New Roman" w:hAnsi="Times New Roman" w:cs="Times New Roman"/>
          <w:b/>
        </w:rPr>
        <w:t>cDNA synthesis</w:t>
      </w:r>
      <w:r w:rsidR="00B1484B" w:rsidRPr="006473BF">
        <w:rPr>
          <w:rFonts w:ascii="Times New Roman" w:hAnsi="Times New Roman" w:cs="Times New Roman"/>
          <w:b/>
        </w:rPr>
        <w:t xml:space="preserve"> for qRT-PCR/ PCR</w:t>
      </w:r>
    </w:p>
    <w:p w14:paraId="75B7305C" w14:textId="20B4354F" w:rsidR="00F21194" w:rsidRDefault="0085074F" w:rsidP="003E7BDB">
      <w:pPr>
        <w:spacing w:line="360" w:lineRule="auto"/>
        <w:jc w:val="both"/>
        <w:rPr>
          <w:rFonts w:ascii="Times New Roman" w:hAnsi="Times New Roman" w:cs="Times New Roman"/>
        </w:rPr>
      </w:pPr>
      <w:r w:rsidRPr="004975E3">
        <w:rPr>
          <w:rFonts w:ascii="Times New Roman" w:hAnsi="Times New Roman" w:cs="Times New Roman"/>
        </w:rPr>
        <w:t xml:space="preserve">cDNA was synthesised  using the iScript </w:t>
      </w:r>
      <w:r w:rsidRPr="004975E3">
        <w:rPr>
          <w:rFonts w:ascii="Times New Roman" w:hAnsi="Times New Roman" w:cs="Times New Roman"/>
          <w:vertAlign w:val="superscript"/>
        </w:rPr>
        <w:t>TM</w:t>
      </w:r>
      <w:r w:rsidRPr="004975E3">
        <w:rPr>
          <w:rFonts w:ascii="Times New Roman" w:hAnsi="Times New Roman" w:cs="Times New Roman"/>
        </w:rPr>
        <w:t xml:space="preserve"> Select cDNA synthesis kit (BioRad)</w:t>
      </w:r>
      <w:r w:rsidR="00CD2AD0">
        <w:rPr>
          <w:rFonts w:ascii="Times New Roman" w:hAnsi="Times New Roman" w:cs="Times New Roman"/>
        </w:rPr>
        <w:t xml:space="preserve">/ </w:t>
      </w:r>
      <w:r w:rsidR="00CD2AD0" w:rsidRPr="00E72129">
        <w:rPr>
          <w:rFonts w:ascii="Times New Roman" w:hAnsi="Times New Roman" w:cs="Times New Roman"/>
        </w:rPr>
        <w:t>qScript™ cDNA SuperMix</w:t>
      </w:r>
      <w:r w:rsidR="00CD2AD0">
        <w:rPr>
          <w:rFonts w:ascii="Times New Roman" w:hAnsi="Times New Roman" w:cs="Times New Roman"/>
        </w:rPr>
        <w:t xml:space="preserve"> (Quanta)</w:t>
      </w:r>
      <w:r w:rsidRPr="004975E3">
        <w:rPr>
          <w:rFonts w:ascii="Times New Roman" w:hAnsi="Times New Roman" w:cs="Times New Roman"/>
        </w:rPr>
        <w:t xml:space="preserve">, involving an incubation with oligo (dT) at 65°C for 5 minutes and reverse transcribed at 42°C for 50 minutes. </w:t>
      </w:r>
    </w:p>
    <w:p w14:paraId="74979A34" w14:textId="77777777" w:rsidR="009E24E5" w:rsidRDefault="009E24E5" w:rsidP="00122C02">
      <w:pPr>
        <w:spacing w:line="360" w:lineRule="auto"/>
        <w:rPr>
          <w:rFonts w:ascii="Times New Roman" w:hAnsi="Times New Roman" w:cs="Times New Roman"/>
        </w:rPr>
      </w:pPr>
    </w:p>
    <w:p w14:paraId="3A55F93F" w14:textId="77777777" w:rsidR="00B833FD" w:rsidRPr="003F0EE8" w:rsidRDefault="00B833FD" w:rsidP="00FE0DAE">
      <w:pPr>
        <w:rPr>
          <w:rFonts w:ascii="Times New Roman" w:hAnsi="Times New Roman" w:cs="Times New Roman"/>
          <w:b/>
        </w:rPr>
      </w:pPr>
      <w:r w:rsidRPr="003F0EE8">
        <w:rPr>
          <w:rFonts w:ascii="Times New Roman" w:hAnsi="Times New Roman" w:cs="Times New Roman"/>
          <w:b/>
        </w:rPr>
        <w:t>PCR</w:t>
      </w:r>
    </w:p>
    <w:p w14:paraId="3863D79B" w14:textId="283A7133" w:rsidR="00B833FD" w:rsidRDefault="00330A6D" w:rsidP="003E7BDB">
      <w:pPr>
        <w:spacing w:line="360" w:lineRule="auto"/>
        <w:jc w:val="both"/>
        <w:rPr>
          <w:rFonts w:ascii="Times New Roman" w:hAnsi="Times New Roman" w:cs="Times New Roman"/>
        </w:rPr>
      </w:pPr>
      <w:r>
        <w:rPr>
          <w:rFonts w:ascii="Times New Roman" w:hAnsi="Times New Roman" w:cs="Times New Roman"/>
        </w:rPr>
        <w:t>A mastermix containing 10</w:t>
      </w:r>
      <w:r w:rsidRPr="00330A6D">
        <w:rPr>
          <w:rFonts w:ascii="Times New Roman" w:hAnsi="Times New Roman" w:cs="Times New Roman"/>
        </w:rPr>
        <w:t xml:space="preserve"> </w:t>
      </w:r>
      <w:r w:rsidRPr="004975E3">
        <w:rPr>
          <w:rFonts w:ascii="Times New Roman" w:hAnsi="Times New Roman" w:cs="Times New Roman"/>
        </w:rPr>
        <w:t>μl</w:t>
      </w:r>
      <w:r>
        <w:rPr>
          <w:rFonts w:ascii="Times New Roman" w:hAnsi="Times New Roman" w:cs="Times New Roman"/>
        </w:rPr>
        <w:t xml:space="preserve"> DreamTaq polymerase, 1</w:t>
      </w:r>
      <w:r w:rsidRPr="00330A6D">
        <w:rPr>
          <w:rFonts w:ascii="Times New Roman" w:hAnsi="Times New Roman" w:cs="Times New Roman"/>
        </w:rPr>
        <w:t xml:space="preserve"> </w:t>
      </w:r>
      <w:r w:rsidRPr="004975E3">
        <w:rPr>
          <w:rFonts w:ascii="Times New Roman" w:hAnsi="Times New Roman" w:cs="Times New Roman"/>
        </w:rPr>
        <w:t>μl</w:t>
      </w:r>
      <w:r>
        <w:rPr>
          <w:rFonts w:ascii="Times New Roman" w:hAnsi="Times New Roman" w:cs="Times New Roman"/>
        </w:rPr>
        <w:t xml:space="preserve"> of forward and 1 </w:t>
      </w:r>
      <w:r w:rsidRPr="004975E3">
        <w:rPr>
          <w:rFonts w:ascii="Times New Roman" w:hAnsi="Times New Roman" w:cs="Times New Roman"/>
        </w:rPr>
        <w:t>μl</w:t>
      </w:r>
      <w:r>
        <w:rPr>
          <w:rFonts w:ascii="Times New Roman" w:hAnsi="Times New Roman" w:cs="Times New Roman"/>
        </w:rPr>
        <w:t xml:space="preserve"> of reverse primers and 7</w:t>
      </w:r>
      <w:r w:rsidRPr="00330A6D">
        <w:rPr>
          <w:rFonts w:ascii="Times New Roman" w:hAnsi="Times New Roman" w:cs="Times New Roman"/>
        </w:rPr>
        <w:t xml:space="preserve"> </w:t>
      </w:r>
      <w:r w:rsidRPr="004975E3">
        <w:rPr>
          <w:rFonts w:ascii="Times New Roman" w:hAnsi="Times New Roman" w:cs="Times New Roman"/>
        </w:rPr>
        <w:t>μl</w:t>
      </w:r>
      <w:r>
        <w:rPr>
          <w:rFonts w:ascii="Times New Roman" w:hAnsi="Times New Roman" w:cs="Times New Roman"/>
        </w:rPr>
        <w:t xml:space="preserve"> of nuclease free water were combined. cDNA was added to the mastermix</w:t>
      </w:r>
      <w:r w:rsidR="007B54F3">
        <w:rPr>
          <w:rFonts w:ascii="Times New Roman" w:hAnsi="Times New Roman" w:cs="Times New Roman"/>
        </w:rPr>
        <w:t xml:space="preserve"> and amplified on a</w:t>
      </w:r>
      <w:r w:rsidR="00312125">
        <w:rPr>
          <w:rFonts w:ascii="Times New Roman" w:hAnsi="Times New Roman" w:cs="Times New Roman"/>
        </w:rPr>
        <w:t xml:space="preserve"> G-storm</w:t>
      </w:r>
      <w:r w:rsidR="007B54F3">
        <w:rPr>
          <w:rFonts w:ascii="Times New Roman" w:hAnsi="Times New Roman" w:cs="Times New Roman"/>
        </w:rPr>
        <w:t xml:space="preserve"> thermal cycler</w:t>
      </w:r>
      <w:r w:rsidR="00312125">
        <w:rPr>
          <w:rFonts w:ascii="Times New Roman" w:hAnsi="Times New Roman" w:cs="Times New Roman"/>
        </w:rPr>
        <w:t xml:space="preserve"> (G-storm, Somerset, UK) using the following reaction profile: 94°C for 30 seconds, 67°C  for 1 minute, 72°C   for 30 seconds for 35 cycles.</w:t>
      </w:r>
    </w:p>
    <w:p w14:paraId="40DADBF1" w14:textId="77777777" w:rsidR="007B54F3" w:rsidRPr="00330A6D" w:rsidRDefault="007B54F3" w:rsidP="00B833FD">
      <w:pPr>
        <w:spacing w:line="360" w:lineRule="auto"/>
        <w:rPr>
          <w:rFonts w:ascii="Times New Roman" w:hAnsi="Times New Roman" w:cs="Times New Roman"/>
        </w:rPr>
      </w:pPr>
    </w:p>
    <w:p w14:paraId="695319A4" w14:textId="77777777" w:rsidR="00B833FD" w:rsidRPr="006473BF" w:rsidRDefault="00B833FD" w:rsidP="00FE0DAE">
      <w:pPr>
        <w:rPr>
          <w:rFonts w:ascii="Times New Roman" w:hAnsi="Times New Roman" w:cs="Times New Roman"/>
          <w:b/>
        </w:rPr>
      </w:pPr>
      <w:r w:rsidRPr="006473BF">
        <w:rPr>
          <w:rFonts w:ascii="Times New Roman" w:hAnsi="Times New Roman" w:cs="Times New Roman"/>
          <w:b/>
        </w:rPr>
        <w:t>Agarose gel electrophoresis</w:t>
      </w:r>
    </w:p>
    <w:p w14:paraId="3C5CE917" w14:textId="0AD1E501" w:rsidR="00B833FD" w:rsidRPr="00AF598A" w:rsidRDefault="008B1CE1" w:rsidP="00B833FD">
      <w:pPr>
        <w:spacing w:line="360" w:lineRule="auto"/>
        <w:rPr>
          <w:rFonts w:ascii="Times New Roman" w:hAnsi="Times New Roman" w:cs="Times New Roman"/>
        </w:rPr>
      </w:pPr>
      <w:r>
        <w:rPr>
          <w:rFonts w:ascii="Times New Roman" w:hAnsi="Times New Roman" w:cs="Times New Roman"/>
        </w:rPr>
        <w:t xml:space="preserve">Agarose gels were prepared by adding 3g of agarose in 100ml of TAE buffer (40mM Tris, 40mM acetate, 1mM EDTA, pH 8.0) (3% agarose gel). The solution was heated in the microwave until fully dissolved and ethidium bromide was added to the agarose at a final concentration of 100ng/ml. The agarose was poured into a cassette with a gel comb and left for 30 minutes before placing in an electrophoresis tank containing TAE buffer. </w:t>
      </w:r>
      <w:r w:rsidR="00B2786B">
        <w:rPr>
          <w:rFonts w:ascii="Times New Roman" w:hAnsi="Times New Roman" w:cs="Times New Roman"/>
        </w:rPr>
        <w:t>DNA samples were loaded o</w:t>
      </w:r>
      <w:r w:rsidR="00B833FD">
        <w:rPr>
          <w:rFonts w:ascii="Times New Roman" w:hAnsi="Times New Roman" w:cs="Times New Roman"/>
        </w:rPr>
        <w:t xml:space="preserve">nto a 3% agarose gel and ran for 45 minutes at 80V. </w:t>
      </w:r>
      <w:r w:rsidRPr="008B1CE1">
        <w:rPr>
          <w:rFonts w:ascii="Times New Roman" w:hAnsi="Times New Roman" w:cs="Times New Roman"/>
        </w:rPr>
        <w:t>2 µL</w:t>
      </w:r>
      <w:r>
        <w:rPr>
          <w:rFonts w:ascii="Times New Roman" w:hAnsi="Times New Roman" w:cs="Times New Roman"/>
        </w:rPr>
        <w:t xml:space="preserve"> of</w:t>
      </w:r>
      <w:r>
        <w:t xml:space="preserve"> </w:t>
      </w:r>
      <w:r w:rsidR="00B833FD">
        <w:rPr>
          <w:rFonts w:ascii="Times New Roman" w:hAnsi="Times New Roman" w:cs="Times New Roman"/>
        </w:rPr>
        <w:t>Hyperladder V was used as the DNA ladder</w:t>
      </w:r>
      <w:r>
        <w:rPr>
          <w:rFonts w:ascii="Times New Roman" w:hAnsi="Times New Roman" w:cs="Times New Roman"/>
        </w:rPr>
        <w:t xml:space="preserve"> and loaded into the first well</w:t>
      </w:r>
      <w:r w:rsidR="00B833FD">
        <w:rPr>
          <w:rFonts w:ascii="Times New Roman" w:hAnsi="Times New Roman" w:cs="Times New Roman"/>
        </w:rPr>
        <w:t xml:space="preserve">. </w:t>
      </w:r>
      <w:r w:rsidR="00AD551A">
        <w:rPr>
          <w:rFonts w:ascii="Times New Roman" w:hAnsi="Times New Roman" w:cs="Times New Roman"/>
        </w:rPr>
        <w:t>Agarose gels were imaged using the GENI UV light imaging system (Syngene).</w:t>
      </w:r>
    </w:p>
    <w:p w14:paraId="630921CF" w14:textId="77777777" w:rsidR="00766A09" w:rsidRDefault="00766A09" w:rsidP="00122C02">
      <w:pPr>
        <w:spacing w:line="360" w:lineRule="auto"/>
        <w:rPr>
          <w:rFonts w:ascii="Times New Roman" w:hAnsi="Times New Roman" w:cs="Times New Roman"/>
          <w:b/>
        </w:rPr>
      </w:pPr>
    </w:p>
    <w:p w14:paraId="12E912D9" w14:textId="0BAC12B1" w:rsidR="00F21194" w:rsidRDefault="00967133" w:rsidP="003E7BDB">
      <w:pPr>
        <w:jc w:val="both"/>
        <w:rPr>
          <w:rFonts w:ascii="Times New Roman" w:hAnsi="Times New Roman" w:cs="Times New Roman"/>
          <w:b/>
        </w:rPr>
      </w:pPr>
      <w:r>
        <w:rPr>
          <w:rFonts w:ascii="Times New Roman" w:hAnsi="Times New Roman" w:cs="Times New Roman"/>
          <w:b/>
        </w:rPr>
        <w:t>q</w:t>
      </w:r>
      <w:r w:rsidR="00F21194" w:rsidRPr="006473BF">
        <w:rPr>
          <w:rFonts w:ascii="Times New Roman" w:hAnsi="Times New Roman" w:cs="Times New Roman"/>
          <w:b/>
        </w:rPr>
        <w:t>RT-PCR (Quantitative real time PCR)</w:t>
      </w:r>
    </w:p>
    <w:p w14:paraId="090C584A" w14:textId="04C35790" w:rsidR="00D46DE4" w:rsidRPr="00FF5809" w:rsidRDefault="00967133" w:rsidP="003E7BDB">
      <w:pPr>
        <w:spacing w:line="360" w:lineRule="auto"/>
        <w:jc w:val="both"/>
        <w:rPr>
          <w:rFonts w:ascii="Times New Roman" w:hAnsi="Times New Roman" w:cs="Times New Roman"/>
        </w:rPr>
      </w:pPr>
      <w:r>
        <w:rPr>
          <w:rFonts w:ascii="Times New Roman" w:hAnsi="Times New Roman" w:cs="Times New Roman"/>
        </w:rPr>
        <w:t>q</w:t>
      </w:r>
      <w:r w:rsidR="00F175D1">
        <w:rPr>
          <w:rFonts w:ascii="Times New Roman" w:hAnsi="Times New Roman" w:cs="Times New Roman"/>
        </w:rPr>
        <w:t>RT-</w:t>
      </w:r>
      <w:r w:rsidR="0085074F" w:rsidRPr="004975E3">
        <w:rPr>
          <w:rFonts w:ascii="Times New Roman" w:hAnsi="Times New Roman" w:cs="Times New Roman"/>
        </w:rPr>
        <w:t xml:space="preserve">PCR was carried out for detecting expression levels of IGF1R against </w:t>
      </w:r>
      <w:r w:rsidR="00F175D1">
        <w:rPr>
          <w:rFonts w:ascii="Times New Roman" w:hAnsi="Times New Roman" w:cs="Times New Roman"/>
        </w:rPr>
        <w:t>β</w:t>
      </w:r>
      <w:r w:rsidR="0085074F" w:rsidRPr="004975E3">
        <w:rPr>
          <w:rFonts w:ascii="Times New Roman" w:hAnsi="Times New Roman" w:cs="Times New Roman"/>
        </w:rPr>
        <w:t>-actin control. IGF1R and β -actin primers were designed, where possible, to span betw</w:t>
      </w:r>
      <w:r>
        <w:rPr>
          <w:rFonts w:ascii="Times New Roman" w:hAnsi="Times New Roman" w:cs="Times New Roman"/>
        </w:rPr>
        <w:t>een adjacent exons. q</w:t>
      </w:r>
      <w:r w:rsidR="00F175D1">
        <w:rPr>
          <w:rFonts w:ascii="Times New Roman" w:hAnsi="Times New Roman" w:cs="Times New Roman"/>
        </w:rPr>
        <w:t>RT-</w:t>
      </w:r>
      <w:r w:rsidR="0085074F" w:rsidRPr="004975E3">
        <w:rPr>
          <w:rFonts w:ascii="Times New Roman" w:hAnsi="Times New Roman" w:cs="Times New Roman"/>
        </w:rPr>
        <w:t>PCR was undertaken using 100ng of cDNA, 1x SYBR Green PCR mastermix (Applied Biosystems, UK) forward and reverse primers</w:t>
      </w:r>
      <w:r w:rsidR="00B2786B">
        <w:rPr>
          <w:rFonts w:ascii="Times New Roman" w:hAnsi="Times New Roman" w:cs="Times New Roman"/>
        </w:rPr>
        <w:t xml:space="preserve"> (concentrations were previously optimised)</w:t>
      </w:r>
      <w:r w:rsidR="0085074F" w:rsidRPr="004975E3">
        <w:rPr>
          <w:rFonts w:ascii="Times New Roman" w:hAnsi="Times New Roman" w:cs="Times New Roman"/>
        </w:rPr>
        <w:t xml:space="preserve"> and a total volume of 20μl. After denaturation at 95°C for 10 minutes the products were amplified (40 cycles at 95°C for 30 seconds and 60°C for 60 seconds) using the BioRad CFX96 Real time system (BioRad). β-actin was amp</w:t>
      </w:r>
      <w:r w:rsidR="00B2786B">
        <w:rPr>
          <w:rFonts w:ascii="Times New Roman" w:hAnsi="Times New Roman" w:cs="Times New Roman"/>
        </w:rPr>
        <w:t>lified on each plate to normalis</w:t>
      </w:r>
      <w:r w:rsidR="0085074F" w:rsidRPr="004975E3">
        <w:rPr>
          <w:rFonts w:ascii="Times New Roman" w:hAnsi="Times New Roman" w:cs="Times New Roman"/>
        </w:rPr>
        <w:t>e expression levels of IGF1R.</w:t>
      </w:r>
    </w:p>
    <w:p w14:paraId="720C4CE5" w14:textId="77777777" w:rsidR="00D90250" w:rsidRDefault="00D90250" w:rsidP="00122C02">
      <w:pPr>
        <w:spacing w:line="360" w:lineRule="auto"/>
        <w:rPr>
          <w:rFonts w:ascii="Times New Roman" w:hAnsi="Times New Roman" w:cs="Times New Roman"/>
          <w:b/>
        </w:rPr>
      </w:pPr>
    </w:p>
    <w:p w14:paraId="06356CDB" w14:textId="5E5D808D" w:rsidR="006B5E9B" w:rsidRPr="009B685D" w:rsidRDefault="00B1484B" w:rsidP="00FE0DAE">
      <w:pPr>
        <w:rPr>
          <w:rFonts w:ascii="Times New Roman" w:hAnsi="Times New Roman" w:cs="Times New Roman"/>
          <w:b/>
        </w:rPr>
      </w:pPr>
      <w:r w:rsidRPr="009B685D">
        <w:rPr>
          <w:rFonts w:ascii="Times New Roman" w:hAnsi="Times New Roman" w:cs="Times New Roman"/>
          <w:b/>
        </w:rPr>
        <w:t>PrimeTime® qPCR Assays</w:t>
      </w:r>
    </w:p>
    <w:p w14:paraId="5B04F3CB" w14:textId="7041FA16" w:rsidR="00B1484B" w:rsidRPr="009B685D" w:rsidRDefault="00B2786B" w:rsidP="003E7BDB">
      <w:pPr>
        <w:spacing w:line="360" w:lineRule="auto"/>
        <w:jc w:val="both"/>
        <w:rPr>
          <w:rFonts w:ascii="Times New Roman" w:hAnsi="Times New Roman" w:cs="Times New Roman"/>
        </w:rPr>
      </w:pPr>
      <w:r>
        <w:rPr>
          <w:rFonts w:ascii="Times New Roman" w:hAnsi="Times New Roman" w:cs="Times New Roman"/>
        </w:rPr>
        <w:t>PrimeTime</w:t>
      </w:r>
      <w:r w:rsidRPr="00B2786B">
        <w:rPr>
          <w:rFonts w:ascii="Times New Roman" w:hAnsi="Times New Roman" w:cs="Times New Roman"/>
        </w:rPr>
        <w:t>® qPCR Assays</w:t>
      </w:r>
      <w:r w:rsidRPr="009B685D">
        <w:rPr>
          <w:rFonts w:ascii="Times New Roman" w:hAnsi="Times New Roman" w:cs="Times New Roman"/>
        </w:rPr>
        <w:t xml:space="preserve"> </w:t>
      </w:r>
      <w:r>
        <w:rPr>
          <w:rFonts w:ascii="Times New Roman" w:hAnsi="Times New Roman" w:cs="Times New Roman"/>
        </w:rPr>
        <w:t xml:space="preserve">were used to validate changes in transcript levels identified by microarray analysis. Each </w:t>
      </w:r>
      <w:r w:rsidR="00997596" w:rsidRPr="009B685D">
        <w:rPr>
          <w:rFonts w:ascii="Times New Roman" w:hAnsi="Times New Roman" w:cs="Times New Roman"/>
        </w:rPr>
        <w:t>assay</w:t>
      </w:r>
      <w:r>
        <w:rPr>
          <w:rFonts w:ascii="Times New Roman" w:hAnsi="Times New Roman" w:cs="Times New Roman"/>
        </w:rPr>
        <w:t xml:space="preserve"> was resuspended</w:t>
      </w:r>
      <w:r w:rsidR="00997596" w:rsidRPr="009B685D">
        <w:rPr>
          <w:rFonts w:ascii="Times New Roman" w:hAnsi="Times New Roman" w:cs="Times New Roman"/>
        </w:rPr>
        <w:t xml:space="preserve"> in IDTE buffer (10mM Tris, 0.1mM EDTA, pH 8.0). All mini qPCR assays were resuspended in 200 μl of IDTE buffer and standard qPCR assays (GAPDH) were resuspended in 1000 μl of IDTE buffer. Assays were then centrifuged at 750 x g</w:t>
      </w:r>
      <w:r w:rsidRPr="00B2786B">
        <w:rPr>
          <w:rFonts w:ascii="Times New Roman" w:hAnsi="Times New Roman" w:cs="Times New Roman"/>
          <w:vertAlign w:val="subscript"/>
        </w:rPr>
        <w:t>av</w:t>
      </w:r>
      <w:r>
        <w:rPr>
          <w:rFonts w:ascii="Times New Roman" w:hAnsi="Times New Roman" w:cs="Times New Roman"/>
        </w:rPr>
        <w:t xml:space="preserve"> for 10 seconds and e</w:t>
      </w:r>
      <w:r w:rsidR="00997596" w:rsidRPr="009B685D">
        <w:rPr>
          <w:rFonts w:ascii="Times New Roman" w:hAnsi="Times New Roman" w:cs="Times New Roman"/>
        </w:rPr>
        <w:t xml:space="preserve">ach assay </w:t>
      </w:r>
      <w:r>
        <w:rPr>
          <w:rFonts w:ascii="Times New Roman" w:hAnsi="Times New Roman" w:cs="Times New Roman"/>
        </w:rPr>
        <w:t>was at a</w:t>
      </w:r>
      <w:r w:rsidR="00997596" w:rsidRPr="009B685D">
        <w:rPr>
          <w:rFonts w:ascii="Times New Roman" w:hAnsi="Times New Roman" w:cs="Times New Roman"/>
        </w:rPr>
        <w:t xml:space="preserve"> final concentration of 500</w:t>
      </w:r>
      <w:r>
        <w:rPr>
          <w:rFonts w:ascii="Times New Roman" w:hAnsi="Times New Roman" w:cs="Times New Roman"/>
        </w:rPr>
        <w:t xml:space="preserve"> </w:t>
      </w:r>
      <w:r w:rsidR="00997596" w:rsidRPr="009B685D">
        <w:rPr>
          <w:rFonts w:ascii="Times New Roman" w:hAnsi="Times New Roman" w:cs="Times New Roman"/>
        </w:rPr>
        <w:t>nM.</w:t>
      </w:r>
    </w:p>
    <w:p w14:paraId="5F41E654" w14:textId="77777777" w:rsidR="00A458F9" w:rsidRPr="009B685D" w:rsidRDefault="00A458F9" w:rsidP="00122C02">
      <w:pPr>
        <w:spacing w:line="360" w:lineRule="auto"/>
        <w:rPr>
          <w:rFonts w:ascii="Times New Roman" w:hAnsi="Times New Roman" w:cs="Times New Roman"/>
        </w:rPr>
      </w:pPr>
    </w:p>
    <w:p w14:paraId="714321DA" w14:textId="3CCEA479" w:rsidR="00FB7003" w:rsidRPr="00E60CD6" w:rsidRDefault="006B5E9B" w:rsidP="00FB7003">
      <w:pPr>
        <w:autoSpaceDE w:val="0"/>
        <w:autoSpaceDN w:val="0"/>
        <w:adjustRightInd w:val="0"/>
        <w:spacing w:line="360" w:lineRule="auto"/>
        <w:jc w:val="both"/>
        <w:rPr>
          <w:rFonts w:ascii="Times New Roman" w:hAnsi="Times New Roman" w:cs="Times New Roman"/>
          <w:lang w:val="en-GB"/>
        </w:rPr>
      </w:pPr>
      <w:r w:rsidRPr="009B685D">
        <w:rPr>
          <w:rFonts w:ascii="Times New Roman" w:hAnsi="Times New Roman" w:cs="Times New Roman"/>
        </w:rPr>
        <w:t xml:space="preserve">PrimeTime® qPCR assays were performed in </w:t>
      </w:r>
      <w:r w:rsidR="00B2786B">
        <w:rPr>
          <w:rFonts w:ascii="Times New Roman" w:hAnsi="Times New Roman" w:cs="Times New Roman"/>
        </w:rPr>
        <w:t>duplicate 20µl reactions with a non-template control</w:t>
      </w:r>
      <w:r w:rsidRPr="009B685D">
        <w:rPr>
          <w:rFonts w:ascii="Times New Roman" w:hAnsi="Times New Roman" w:cs="Times New Roman"/>
        </w:rPr>
        <w:t xml:space="preserve"> </w:t>
      </w:r>
      <w:r w:rsidR="00B2786B">
        <w:rPr>
          <w:rFonts w:ascii="Times New Roman" w:hAnsi="Times New Roman" w:cs="Times New Roman"/>
        </w:rPr>
        <w:t>(</w:t>
      </w:r>
      <w:r w:rsidRPr="009B685D">
        <w:rPr>
          <w:rFonts w:ascii="Times New Roman" w:hAnsi="Times New Roman" w:cs="Times New Roman"/>
        </w:rPr>
        <w:t>NTC</w:t>
      </w:r>
      <w:r w:rsidR="00B2786B">
        <w:rPr>
          <w:rFonts w:ascii="Times New Roman" w:hAnsi="Times New Roman" w:cs="Times New Roman"/>
        </w:rPr>
        <w:t>)</w:t>
      </w:r>
      <w:r w:rsidRPr="009B685D">
        <w:rPr>
          <w:rFonts w:ascii="Times New Roman" w:hAnsi="Times New Roman" w:cs="Times New Roman"/>
        </w:rPr>
        <w:t xml:space="preserve"> control in 96 well qRT-PCR plates. Each well contained 60ng of cDNA, 500nM forward and reverse primer, and a 250nM probe (</w:t>
      </w:r>
      <w:r w:rsidRPr="0066174F">
        <w:rPr>
          <w:rFonts w:ascii="Times New Roman" w:hAnsi="Times New Roman" w:cs="Times New Roman"/>
          <w:b/>
        </w:rPr>
        <w:t xml:space="preserve">table </w:t>
      </w:r>
      <w:r w:rsidR="00292ACC" w:rsidRPr="0066174F">
        <w:rPr>
          <w:rFonts w:ascii="Times New Roman" w:hAnsi="Times New Roman" w:cs="Times New Roman"/>
          <w:b/>
        </w:rPr>
        <w:t>2.4</w:t>
      </w:r>
      <w:r w:rsidR="00292ACC">
        <w:rPr>
          <w:rFonts w:ascii="Times New Roman" w:hAnsi="Times New Roman" w:cs="Times New Roman"/>
        </w:rPr>
        <w:t>)</w:t>
      </w:r>
      <w:r w:rsidRPr="009B685D">
        <w:rPr>
          <w:rFonts w:ascii="Times New Roman" w:hAnsi="Times New Roman" w:cs="Times New Roman"/>
        </w:rPr>
        <w:t xml:space="preserve"> resuspended in TE buffer (10mM Tris-HCl, 1mM EDTA, pH7.5), 2 x Brilliant III qPCR Master mix and nuclease free dH</w:t>
      </w:r>
      <w:r w:rsidRPr="009B685D">
        <w:rPr>
          <w:rFonts w:ascii="Times New Roman" w:hAnsi="Times New Roman" w:cs="Times New Roman"/>
          <w:vertAlign w:val="subscript"/>
        </w:rPr>
        <w:t>2</w:t>
      </w:r>
      <w:r w:rsidRPr="009B685D">
        <w:rPr>
          <w:rFonts w:ascii="Times New Roman" w:hAnsi="Times New Roman" w:cs="Times New Roman"/>
        </w:rPr>
        <w:t>O.</w:t>
      </w:r>
      <w:r w:rsidR="00B146F8" w:rsidRPr="009B685D">
        <w:rPr>
          <w:rFonts w:ascii="Times New Roman" w:hAnsi="Times New Roman" w:cs="Times New Roman"/>
        </w:rPr>
        <w:t xml:space="preserve"> Plates were centrifuged to ensure samples collected at the bottom of the wells. Samples were run on a 2 step profile on a Strategene Mx3000P™ Real Time Thermal Cycler (Agilent Technologies Ltd).  Samples were incubated as follows: 10 minutes at 95°C then 40 cycles of 30 seconds at 95°C, 60 seconds</w:t>
      </w:r>
      <w:r w:rsidR="0026667A">
        <w:rPr>
          <w:rFonts w:ascii="Times New Roman" w:hAnsi="Times New Roman" w:cs="Times New Roman"/>
        </w:rPr>
        <w:t xml:space="preserve"> at 60°C and 60 seconds at 72°C</w:t>
      </w:r>
      <w:r w:rsidR="00E60CD6">
        <w:rPr>
          <w:rFonts w:ascii="Times New Roman" w:hAnsi="Times New Roman" w:cs="Times New Roman"/>
          <w:lang w:val="en-GB"/>
        </w:rPr>
        <w:t>.</w:t>
      </w:r>
    </w:p>
    <w:p w14:paraId="49BACC7B" w14:textId="77777777" w:rsidR="00F92407" w:rsidRPr="00766A09" w:rsidRDefault="00F92407" w:rsidP="00766A09">
      <w:bookmarkStart w:id="811" w:name="_Toc329593425"/>
    </w:p>
    <w:p w14:paraId="4C30138A" w14:textId="786EEC06" w:rsidR="00FB7003" w:rsidRPr="00FB7003" w:rsidRDefault="00FB7003" w:rsidP="00FB7003">
      <w:pPr>
        <w:pStyle w:val="Heading3"/>
        <w:rPr>
          <w:u w:val="single"/>
          <w:lang w:val="en-GB"/>
        </w:rPr>
      </w:pPr>
      <w:bookmarkStart w:id="812" w:name="_Toc331425924"/>
      <w:bookmarkStart w:id="813" w:name="_Toc331427105"/>
      <w:bookmarkStart w:id="814" w:name="_Toc331427477"/>
      <w:bookmarkStart w:id="815" w:name="_Toc331427619"/>
      <w:bookmarkStart w:id="816" w:name="_Toc332972623"/>
      <w:bookmarkStart w:id="817" w:name="_Toc333046902"/>
      <w:bookmarkStart w:id="818" w:name="_Toc333477249"/>
      <w:bookmarkStart w:id="819" w:name="_Toc333478019"/>
      <w:bookmarkStart w:id="820" w:name="_Toc333644919"/>
      <w:r w:rsidRPr="00FB7003">
        <w:rPr>
          <w:u w:val="single"/>
          <w:lang w:val="en-GB"/>
        </w:rPr>
        <w:t>2.2.4 Immunohistochemistry</w:t>
      </w:r>
      <w:bookmarkEnd w:id="811"/>
      <w:bookmarkEnd w:id="812"/>
      <w:bookmarkEnd w:id="813"/>
      <w:bookmarkEnd w:id="814"/>
      <w:bookmarkEnd w:id="815"/>
      <w:bookmarkEnd w:id="816"/>
      <w:bookmarkEnd w:id="817"/>
      <w:bookmarkEnd w:id="818"/>
      <w:bookmarkEnd w:id="819"/>
      <w:bookmarkEnd w:id="820"/>
    </w:p>
    <w:p w14:paraId="6B6A703E" w14:textId="77777777" w:rsidR="00FB7003" w:rsidRPr="00FB7003" w:rsidRDefault="00FB7003" w:rsidP="00FB7003">
      <w:pPr>
        <w:autoSpaceDE w:val="0"/>
        <w:autoSpaceDN w:val="0"/>
        <w:adjustRightInd w:val="0"/>
        <w:spacing w:line="360" w:lineRule="auto"/>
        <w:jc w:val="both"/>
        <w:rPr>
          <w:rFonts w:ascii="Times New Roman" w:hAnsi="Times New Roman" w:cs="Times New Roman"/>
          <w:b/>
          <w:u w:val="single"/>
          <w:lang w:val="en-GB"/>
        </w:rPr>
      </w:pPr>
    </w:p>
    <w:p w14:paraId="6D60F5EE" w14:textId="20ECD026" w:rsidR="00FB7003" w:rsidRDefault="00FB7003" w:rsidP="00FB7003">
      <w:pPr>
        <w:autoSpaceDE w:val="0"/>
        <w:autoSpaceDN w:val="0"/>
        <w:adjustRightInd w:val="0"/>
        <w:spacing w:line="360" w:lineRule="auto"/>
        <w:jc w:val="both"/>
        <w:rPr>
          <w:rFonts w:ascii="Times New Roman" w:hAnsi="Times New Roman" w:cs="Times New Roman"/>
          <w:lang w:val="en-GB"/>
        </w:rPr>
      </w:pPr>
      <w:r w:rsidRPr="00FB7003">
        <w:rPr>
          <w:rFonts w:ascii="Times New Roman" w:hAnsi="Times New Roman" w:cs="Times New Roman"/>
          <w:lang w:val="en-GB"/>
        </w:rPr>
        <w:t>Post mortem control (n=3) and Alzheimer’s (n=3)</w:t>
      </w:r>
      <w:r w:rsidR="00BD6709">
        <w:rPr>
          <w:rFonts w:ascii="Times New Roman" w:hAnsi="Times New Roman" w:cs="Times New Roman"/>
          <w:lang w:val="en-GB"/>
        </w:rPr>
        <w:t xml:space="preserve"> </w:t>
      </w:r>
      <w:r w:rsidRPr="00FB7003">
        <w:rPr>
          <w:rFonts w:ascii="Times New Roman" w:hAnsi="Times New Roman" w:cs="Times New Roman"/>
          <w:lang w:val="en-GB"/>
        </w:rPr>
        <w:t>lateral temporal cortex (Brodmann area 21/22) and hippocampus</w:t>
      </w:r>
      <w:r w:rsidR="00BD6709">
        <w:rPr>
          <w:rFonts w:ascii="Times New Roman" w:hAnsi="Times New Roman" w:cs="Times New Roman"/>
          <w:lang w:val="en-GB"/>
        </w:rPr>
        <w:t>, approximately at the level of the lateral geniculate nucleus,</w:t>
      </w:r>
      <w:r w:rsidRPr="00FB7003">
        <w:rPr>
          <w:rFonts w:ascii="Times New Roman" w:hAnsi="Times New Roman" w:cs="Times New Roman"/>
          <w:lang w:val="en-GB"/>
        </w:rPr>
        <w:t xml:space="preserve"> were obtained from the Sheffield Brain Tissue Bank in accordance with Research Ethics committee approval (08/MRE00/103)</w:t>
      </w:r>
      <w:r w:rsidR="0043060F">
        <w:rPr>
          <w:rFonts w:ascii="Times New Roman" w:hAnsi="Times New Roman" w:cs="Times New Roman"/>
          <w:lang w:val="en-GB"/>
        </w:rPr>
        <w:t xml:space="preserve"> (</w:t>
      </w:r>
      <w:r w:rsidR="0043060F">
        <w:rPr>
          <w:rFonts w:ascii="Times New Roman" w:hAnsi="Times New Roman" w:cs="Times New Roman"/>
          <w:b/>
          <w:lang w:val="en-GB"/>
        </w:rPr>
        <w:t>table 2.7</w:t>
      </w:r>
      <w:r w:rsidR="0043060F">
        <w:rPr>
          <w:rFonts w:ascii="Times New Roman" w:hAnsi="Times New Roman" w:cs="Times New Roman"/>
          <w:lang w:val="en-GB"/>
        </w:rPr>
        <w:t>)</w:t>
      </w:r>
      <w:r w:rsidRPr="00FB7003">
        <w:rPr>
          <w:rFonts w:ascii="Times New Roman" w:hAnsi="Times New Roman" w:cs="Times New Roman"/>
          <w:lang w:val="en-GB"/>
        </w:rPr>
        <w:t xml:space="preserve">. Immunohistochemistry was carried out on formalin fixed paraffin embedded tissue sectioned at </w:t>
      </w:r>
      <w:r w:rsidR="00501720">
        <w:rPr>
          <w:rFonts w:ascii="Times New Roman" w:hAnsi="Times New Roman" w:cs="Times New Roman"/>
          <w:lang w:val="en-GB"/>
        </w:rPr>
        <w:t>9μM. Each section was dewaxed, d</w:t>
      </w:r>
      <w:r w:rsidRPr="00FB7003">
        <w:rPr>
          <w:rFonts w:ascii="Times New Roman" w:hAnsi="Times New Roman" w:cs="Times New Roman"/>
          <w:lang w:val="en-GB"/>
        </w:rPr>
        <w:t xml:space="preserve">ehydrated and blocked with 3%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 xml:space="preserve">2 </w:t>
      </w:r>
      <w:r w:rsidRPr="00FB7003">
        <w:rPr>
          <w:rFonts w:ascii="Times New Roman" w:hAnsi="Times New Roman" w:cs="Times New Roman"/>
          <w:lang w:val="en-GB"/>
        </w:rPr>
        <w:t>before undertaking antigen retrieval.</w:t>
      </w:r>
      <w:r w:rsidR="00501720">
        <w:rPr>
          <w:rFonts w:ascii="Times New Roman" w:hAnsi="Times New Roman" w:cs="Times New Roman"/>
          <w:lang w:val="en-GB"/>
        </w:rPr>
        <w:t xml:space="preserve"> For IGF1Rβ, this involved putting sections in the </w:t>
      </w:r>
      <w:r w:rsidR="00501720" w:rsidRPr="008B1CE1">
        <w:rPr>
          <w:rFonts w:ascii="Times New Roman" w:hAnsi="Times New Roman" w:cs="Times New Roman"/>
          <w:lang w:val="en-GB"/>
        </w:rPr>
        <w:t>pressure cooker for 1 hour with 1 x Tris-EDTA pH 8.0</w:t>
      </w:r>
      <w:r w:rsidR="00501720">
        <w:rPr>
          <w:rFonts w:ascii="Times New Roman" w:hAnsi="Times New Roman" w:cs="Times New Roman"/>
          <w:lang w:val="en-GB"/>
        </w:rPr>
        <w:t xml:space="preserve">. </w:t>
      </w:r>
      <w:r w:rsidRPr="00FB7003">
        <w:rPr>
          <w:rFonts w:ascii="Times New Roman" w:hAnsi="Times New Roman" w:cs="Times New Roman"/>
          <w:lang w:val="en-GB"/>
        </w:rPr>
        <w:t xml:space="preserve">Sections were subsequently blocked with 1.5% normal serum for 30 minutes and incubated with </w:t>
      </w:r>
      <w:r w:rsidR="006C682D" w:rsidRPr="008B1CE1">
        <w:rPr>
          <w:rFonts w:ascii="Times New Roman" w:hAnsi="Times New Roman" w:cs="Times New Roman"/>
          <w:lang w:val="en-GB"/>
        </w:rPr>
        <w:t>IGF1Rβ</w:t>
      </w:r>
      <w:r w:rsidR="0090177A" w:rsidRPr="008B1CE1">
        <w:rPr>
          <w:rFonts w:ascii="Times New Roman" w:hAnsi="Times New Roman" w:cs="Times New Roman"/>
          <w:lang w:val="en-GB"/>
        </w:rPr>
        <w:t xml:space="preserve"> (SantaCruz)</w:t>
      </w:r>
      <w:r w:rsidR="00CC721B" w:rsidRPr="008B1CE1">
        <w:rPr>
          <w:rFonts w:ascii="Times New Roman" w:hAnsi="Times New Roman" w:cs="Times New Roman"/>
          <w:lang w:val="en-GB"/>
        </w:rPr>
        <w:t xml:space="preserve"> 1:50</w:t>
      </w:r>
      <w:r w:rsidRPr="00FB7003">
        <w:rPr>
          <w:rFonts w:ascii="Times New Roman" w:hAnsi="Times New Roman" w:cs="Times New Roman"/>
          <w:lang w:val="en-GB"/>
        </w:rPr>
        <w:t xml:space="preserve"> at room temperature. Vectastain Elite kits (Vector Laboratories, Peterborough, UK) were used to visualise primary antibody. First a HRP-conjugated avidin-biotin complex was added followed by diaminobenzidine substrate.</w:t>
      </w:r>
      <w:r w:rsidR="00501720">
        <w:rPr>
          <w:rFonts w:ascii="Times New Roman" w:hAnsi="Times New Roman" w:cs="Times New Roman"/>
          <w:lang w:val="en-GB"/>
        </w:rPr>
        <w:t xml:space="preserve"> Sections were then incubated for 1 minute in Harris’s haemotoxylin then submerged in acid alcohol followed by Scott’s top water. Sections were then dehydrated through a series of diluted ethanol solutions (75%, 95% and 2 x absolute ethanol). Xylene was used to clean the sections before putting coverslips on sections using DPX mounting media (Sigma).</w:t>
      </w:r>
    </w:p>
    <w:p w14:paraId="6D12D880" w14:textId="77777777" w:rsidR="00FB7003" w:rsidRDefault="00FB7003" w:rsidP="00FB7003">
      <w:pPr>
        <w:autoSpaceDE w:val="0"/>
        <w:autoSpaceDN w:val="0"/>
        <w:adjustRightInd w:val="0"/>
        <w:spacing w:line="360" w:lineRule="auto"/>
        <w:jc w:val="both"/>
        <w:rPr>
          <w:rFonts w:ascii="Times New Roman" w:hAnsi="Times New Roman" w:cs="Times New Roman"/>
          <w:lang w:val="en-GB"/>
        </w:rPr>
      </w:pPr>
    </w:p>
    <w:p w14:paraId="32DBBD9A" w14:textId="269DEE91" w:rsidR="00105E25" w:rsidRDefault="00CC721B" w:rsidP="003E7BDB">
      <w:pPr>
        <w:spacing w:line="360" w:lineRule="auto"/>
        <w:jc w:val="both"/>
        <w:rPr>
          <w:rFonts w:ascii="Times New Roman" w:hAnsi="Times New Roman" w:cs="Times New Roman"/>
          <w:lang w:val="en-GB"/>
        </w:rPr>
      </w:pPr>
      <w:r>
        <w:rPr>
          <w:rFonts w:ascii="Times New Roman" w:hAnsi="Times New Roman" w:cs="Times New Roman"/>
          <w:color w:val="000000" w:themeColor="text1"/>
          <w:lang w:val="en-GB"/>
        </w:rPr>
        <w:t>Double staining for IGF1R</w:t>
      </w:r>
      <w:r>
        <w:rPr>
          <w:rFonts w:ascii="Times New Roman" w:hAnsi="Times New Roman" w:cs="Times New Roman"/>
          <w:lang w:val="en-GB"/>
        </w:rPr>
        <w:t xml:space="preserve">β and GFAP was performed. Single staining for IGF1Rβ was carried out using the protocol used above. Subsequent to the reaction with DAB, the sections were blocked with 1.5% normal serum (Vectastain Laboratories) for 30 minutes at RT. The sections were then incubated with avidin solution for 15 minutes at RT (from avidin-biotin blocking kit, Vectastain Laboratories), washed with TBS and then incubated with biotin solution from the avidin-biotin blocking kit for a further 15 minutes at RT. After removing the solution, the sections were incubated with anti-GFAP rabbit polyclonal antibody </w:t>
      </w:r>
      <w:r w:rsidR="00F22588">
        <w:rPr>
          <w:rFonts w:ascii="Times New Roman" w:hAnsi="Times New Roman" w:cs="Times New Roman"/>
          <w:lang w:val="en-GB"/>
        </w:rPr>
        <w:t xml:space="preserve">(DAKO) </w:t>
      </w:r>
      <w:r>
        <w:rPr>
          <w:rFonts w:ascii="Times New Roman" w:hAnsi="Times New Roman" w:cs="Times New Roman"/>
          <w:lang w:val="en-GB"/>
        </w:rPr>
        <w:t xml:space="preserve">at 4°C overnight diluted 1:500 in blocking solution. After washing sections with TBS, they were incubated with </w:t>
      </w:r>
      <w:r w:rsidR="00F0363B">
        <w:rPr>
          <w:rFonts w:ascii="Times New Roman" w:hAnsi="Times New Roman" w:cs="Times New Roman"/>
          <w:lang w:val="en-GB"/>
        </w:rPr>
        <w:t>strepta</w:t>
      </w:r>
      <w:r w:rsidR="008B1CE1">
        <w:rPr>
          <w:rFonts w:ascii="Times New Roman" w:hAnsi="Times New Roman" w:cs="Times New Roman"/>
          <w:lang w:val="en-GB"/>
        </w:rPr>
        <w:t xml:space="preserve">vidin FITC (BioRad) </w:t>
      </w:r>
      <w:r>
        <w:rPr>
          <w:rFonts w:ascii="Times New Roman" w:hAnsi="Times New Roman" w:cs="Times New Roman"/>
          <w:lang w:val="en-GB"/>
        </w:rPr>
        <w:t>for 1 hour at RT.</w:t>
      </w:r>
      <w:r w:rsidR="00501720">
        <w:rPr>
          <w:rFonts w:ascii="Times New Roman" w:hAnsi="Times New Roman" w:cs="Times New Roman"/>
          <w:lang w:val="en-GB"/>
        </w:rPr>
        <w:t xml:space="preserve"> Sections were washed with TBS before incubating for 1 minute in Harris’s Haematoxylin then submerged in acid alcohol followed by Scott’s tap water. Sections were then dehydrated through a series of different alcohol dilutions (75%, 95% and 2 x absolute ethanol) before treatment with xylene and mounting </w:t>
      </w:r>
      <w:r w:rsidR="0090177A">
        <w:rPr>
          <w:rFonts w:ascii="Times New Roman" w:hAnsi="Times New Roman" w:cs="Times New Roman"/>
          <w:lang w:val="en-GB"/>
        </w:rPr>
        <w:t>with DPX mounting media (Sigma).</w:t>
      </w:r>
    </w:p>
    <w:p w14:paraId="4B2131A6" w14:textId="77777777" w:rsidR="0090177A" w:rsidRDefault="0090177A" w:rsidP="00122C02">
      <w:pPr>
        <w:spacing w:line="360" w:lineRule="auto"/>
        <w:rPr>
          <w:rFonts w:ascii="Times New Roman" w:hAnsi="Times New Roman" w:cs="Times New Roman"/>
          <w:lang w:val="en-GB"/>
        </w:rPr>
      </w:pPr>
    </w:p>
    <w:p w14:paraId="5B347DF1" w14:textId="77777777" w:rsidR="0090177A" w:rsidRPr="00501720" w:rsidRDefault="0090177A" w:rsidP="00122C02">
      <w:pPr>
        <w:spacing w:line="360" w:lineRule="auto"/>
        <w:rPr>
          <w:rFonts w:ascii="Times New Roman" w:hAnsi="Times New Roman" w:cs="Times New Roman"/>
          <w:lang w:val="en-GB"/>
        </w:rPr>
        <w:sectPr w:rsidR="0090177A" w:rsidRPr="00501720" w:rsidSect="00B833FD">
          <w:pgSz w:w="11900" w:h="16840"/>
          <w:pgMar w:top="1440" w:right="1134" w:bottom="1440" w:left="2268" w:header="709" w:footer="709" w:gutter="0"/>
          <w:cols w:space="708"/>
          <w:docGrid w:linePitch="360"/>
        </w:sectPr>
      </w:pPr>
    </w:p>
    <w:p w14:paraId="489FAFD5" w14:textId="04B0F199" w:rsidR="008F5530" w:rsidRPr="001D0ECC" w:rsidRDefault="00FB7003" w:rsidP="002D0408">
      <w:pPr>
        <w:pStyle w:val="Heading3"/>
        <w:rPr>
          <w:u w:val="single"/>
          <w:lang w:val="en-GB"/>
        </w:rPr>
      </w:pPr>
      <w:bookmarkStart w:id="821" w:name="_Toc328301133"/>
      <w:bookmarkStart w:id="822" w:name="_Toc329593426"/>
      <w:bookmarkStart w:id="823" w:name="_Toc331425925"/>
      <w:bookmarkStart w:id="824" w:name="_Toc331427106"/>
      <w:bookmarkStart w:id="825" w:name="_Toc331427478"/>
      <w:bookmarkStart w:id="826" w:name="_Toc331427620"/>
      <w:bookmarkStart w:id="827" w:name="_Toc332972624"/>
      <w:bookmarkStart w:id="828" w:name="_Toc333046903"/>
      <w:bookmarkStart w:id="829" w:name="_Toc333477250"/>
      <w:bookmarkStart w:id="830" w:name="_Toc333478020"/>
      <w:bookmarkStart w:id="831" w:name="_Toc333644920"/>
      <w:r>
        <w:rPr>
          <w:u w:val="single"/>
          <w:lang w:val="en-GB"/>
        </w:rPr>
        <w:t>2.2.5</w:t>
      </w:r>
      <w:r w:rsidR="00000FF1" w:rsidRPr="001D0ECC">
        <w:rPr>
          <w:u w:val="single"/>
          <w:lang w:val="en-GB"/>
        </w:rPr>
        <w:t xml:space="preserve"> </w:t>
      </w:r>
      <w:r w:rsidR="007F7DDF" w:rsidRPr="001D0ECC">
        <w:rPr>
          <w:u w:val="single"/>
          <w:lang w:val="en-GB"/>
        </w:rPr>
        <w:t>Gene Expression Profiling Methods</w:t>
      </w:r>
      <w:bookmarkEnd w:id="821"/>
      <w:bookmarkEnd w:id="822"/>
      <w:bookmarkEnd w:id="823"/>
      <w:bookmarkEnd w:id="824"/>
      <w:bookmarkEnd w:id="825"/>
      <w:bookmarkEnd w:id="826"/>
      <w:bookmarkEnd w:id="827"/>
      <w:bookmarkEnd w:id="828"/>
      <w:bookmarkEnd w:id="829"/>
      <w:bookmarkEnd w:id="830"/>
      <w:bookmarkEnd w:id="831"/>
    </w:p>
    <w:p w14:paraId="7AC7E56B" w14:textId="77777777" w:rsidR="006473BF" w:rsidRDefault="006473BF" w:rsidP="0085074F">
      <w:pPr>
        <w:autoSpaceDE w:val="0"/>
        <w:autoSpaceDN w:val="0"/>
        <w:adjustRightInd w:val="0"/>
        <w:spacing w:line="360" w:lineRule="auto"/>
        <w:jc w:val="both"/>
        <w:rPr>
          <w:rFonts w:ascii="Times New Roman" w:hAnsi="Times New Roman" w:cs="Times New Roman"/>
          <w:b/>
          <w:u w:val="single"/>
          <w:lang w:val="en-GB"/>
        </w:rPr>
      </w:pPr>
    </w:p>
    <w:p w14:paraId="27C376A5" w14:textId="155A4E2A" w:rsidR="00CB3B19" w:rsidRPr="006473BF" w:rsidRDefault="007F7DDF" w:rsidP="0085074F">
      <w:pPr>
        <w:autoSpaceDE w:val="0"/>
        <w:autoSpaceDN w:val="0"/>
        <w:adjustRightInd w:val="0"/>
        <w:spacing w:line="360" w:lineRule="auto"/>
        <w:jc w:val="both"/>
        <w:rPr>
          <w:rFonts w:ascii="Times New Roman" w:hAnsi="Times New Roman" w:cs="Times New Roman"/>
          <w:b/>
          <w:lang w:val="en-GB"/>
        </w:rPr>
      </w:pPr>
      <w:r w:rsidRPr="006473BF">
        <w:rPr>
          <w:rFonts w:ascii="Times New Roman" w:hAnsi="Times New Roman" w:cs="Times New Roman"/>
          <w:b/>
          <w:lang w:val="en-GB"/>
        </w:rPr>
        <w:t>RNA Extraction for Gene Expression Profiling Analysis</w:t>
      </w:r>
    </w:p>
    <w:p w14:paraId="08DA16A8" w14:textId="5978DEAC" w:rsidR="008F5530" w:rsidRPr="008F5530" w:rsidRDefault="008F5530" w:rsidP="007F7DDF">
      <w:pPr>
        <w:autoSpaceDE w:val="0"/>
        <w:autoSpaceDN w:val="0"/>
        <w:adjustRightInd w:val="0"/>
        <w:spacing w:line="360" w:lineRule="auto"/>
        <w:jc w:val="both"/>
        <w:rPr>
          <w:rFonts w:ascii="Times New Roman" w:hAnsi="Times New Roman" w:cs="Times New Roman"/>
          <w:lang w:val="en-GB"/>
        </w:rPr>
      </w:pPr>
      <w:r>
        <w:rPr>
          <w:rFonts w:ascii="Times New Roman" w:hAnsi="Times New Roman" w:cs="Times New Roman"/>
          <w:lang w:val="en-GB"/>
        </w:rPr>
        <w:t>Following FACS sorting of</w:t>
      </w:r>
      <w:r w:rsidR="00807AB7">
        <w:rPr>
          <w:rFonts w:ascii="Times New Roman" w:hAnsi="Times New Roman" w:cs="Times New Roman"/>
          <w:lang w:val="en-GB"/>
        </w:rPr>
        <w:t xml:space="preserve"> human</w:t>
      </w:r>
      <w:r>
        <w:rPr>
          <w:rFonts w:ascii="Times New Roman" w:hAnsi="Times New Roman" w:cs="Times New Roman"/>
          <w:lang w:val="en-GB"/>
        </w:rPr>
        <w:t xml:space="preserve"> astrocytes </w:t>
      </w:r>
      <w:r w:rsidR="00807AB7">
        <w:rPr>
          <w:rFonts w:ascii="Times New Roman" w:hAnsi="Times New Roman" w:cs="Times New Roman"/>
          <w:lang w:val="en-GB"/>
        </w:rPr>
        <w:t>from LUHMES and suspension in TRIzol® reagent, RNA was extracted from cells using the Direct-zol™ RNA isolation kit.</w:t>
      </w:r>
      <w:r w:rsidR="00E1514E">
        <w:rPr>
          <w:rFonts w:ascii="Times New Roman" w:hAnsi="Times New Roman" w:cs="Times New Roman"/>
          <w:lang w:val="en-GB"/>
        </w:rPr>
        <w:t xml:space="preserve"> 200μl of 100% ethanol was added to each of the samples and vortexed. Samples were then loaded into Zymo-Spin</w:t>
      </w:r>
      <w:r w:rsidR="00E1514E">
        <w:t xml:space="preserve">™ II columns in collection tubes. These were centrifuged at 17,000 x </w:t>
      </w:r>
      <w:r w:rsidR="004A21A3" w:rsidRPr="004975E3">
        <w:rPr>
          <w:rFonts w:ascii="Times New Roman" w:hAnsi="Times New Roman" w:cs="Times New Roman"/>
          <w:lang w:val="en-GB"/>
        </w:rPr>
        <w:t>g</w:t>
      </w:r>
      <w:r w:rsidR="004A21A3" w:rsidRPr="004975E3">
        <w:rPr>
          <w:rFonts w:ascii="Times New Roman" w:hAnsi="Times New Roman" w:cs="Times New Roman"/>
          <w:vertAlign w:val="subscript"/>
          <w:lang w:val="en-GB"/>
        </w:rPr>
        <w:t>av</w:t>
      </w:r>
      <w:r w:rsidR="00E1514E">
        <w:t xml:space="preserve"> for 1 minute at room temperature. Flow-through was discarded and 400</w:t>
      </w:r>
      <w:r w:rsidR="00E1514E">
        <w:rPr>
          <w:rFonts w:ascii="Cambria" w:hAnsi="Cambria"/>
        </w:rPr>
        <w:t>μ</w:t>
      </w:r>
      <w:r w:rsidR="00E1514E">
        <w:t xml:space="preserve">l of RNA PreWash buffer was added to each of the columns. Samples were centrifuged at 17, 000 x </w:t>
      </w:r>
      <w:r w:rsidR="004A21A3" w:rsidRPr="004975E3">
        <w:rPr>
          <w:rFonts w:ascii="Times New Roman" w:hAnsi="Times New Roman" w:cs="Times New Roman"/>
          <w:lang w:val="en-GB"/>
        </w:rPr>
        <w:t>g</w:t>
      </w:r>
      <w:r w:rsidR="004A21A3" w:rsidRPr="004975E3">
        <w:rPr>
          <w:rFonts w:ascii="Times New Roman" w:hAnsi="Times New Roman" w:cs="Times New Roman"/>
          <w:vertAlign w:val="subscript"/>
          <w:lang w:val="en-GB"/>
        </w:rPr>
        <w:t>av</w:t>
      </w:r>
      <w:r w:rsidR="00E1514E">
        <w:t xml:space="preserve"> for 1 minute at room temperature. 700</w:t>
      </w:r>
      <w:r w:rsidR="00E1514E" w:rsidRPr="00E1514E">
        <w:rPr>
          <w:rFonts w:ascii="Cambria" w:hAnsi="Cambria"/>
        </w:rPr>
        <w:t xml:space="preserve"> </w:t>
      </w:r>
      <w:r w:rsidR="00E1514E">
        <w:rPr>
          <w:rFonts w:ascii="Cambria" w:hAnsi="Cambria"/>
        </w:rPr>
        <w:t>μ</w:t>
      </w:r>
      <w:r w:rsidR="00E1514E">
        <w:t xml:space="preserve">l of RNA Wash Buffer was added to each column and centrifuged for </w:t>
      </w:r>
      <w:r w:rsidR="00E85C71">
        <w:t xml:space="preserve">1 minute at room temperature. This </w:t>
      </w:r>
      <w:r w:rsidR="00C04B83">
        <w:t>st</w:t>
      </w:r>
      <w:r w:rsidR="00E85C71">
        <w:t xml:space="preserve">ep was repeated but centrifuged for 2 minutes at 17 000 x </w:t>
      </w:r>
      <w:r w:rsidR="004A21A3" w:rsidRPr="004975E3">
        <w:rPr>
          <w:rFonts w:ascii="Times New Roman" w:hAnsi="Times New Roman" w:cs="Times New Roman"/>
          <w:lang w:val="en-GB"/>
        </w:rPr>
        <w:t>g</w:t>
      </w:r>
      <w:r w:rsidR="004A21A3" w:rsidRPr="004975E3">
        <w:rPr>
          <w:rFonts w:ascii="Times New Roman" w:hAnsi="Times New Roman" w:cs="Times New Roman"/>
          <w:vertAlign w:val="subscript"/>
          <w:lang w:val="en-GB"/>
        </w:rPr>
        <w:t>av</w:t>
      </w:r>
      <w:r w:rsidR="00E85C71">
        <w:t xml:space="preserve"> to ensure complete removal of wash buffer. The column was then transferred to an RNAse free 1.5ml eppendorf. RNA was eluted in 10</w:t>
      </w:r>
      <w:r w:rsidR="00E85C71" w:rsidRPr="00E85C71">
        <w:rPr>
          <w:rFonts w:ascii="Cambria" w:hAnsi="Cambria"/>
        </w:rPr>
        <w:t xml:space="preserve"> </w:t>
      </w:r>
      <w:r w:rsidR="00E85C71">
        <w:rPr>
          <w:rFonts w:ascii="Cambria" w:hAnsi="Cambria"/>
        </w:rPr>
        <w:t>μ</w:t>
      </w:r>
      <w:r w:rsidR="00E85C71">
        <w:t>l of DNase/RNase-free water. RNA samples were stored at -80</w:t>
      </w:r>
      <w:r w:rsidR="00E85C71">
        <w:rPr>
          <w:rFonts w:ascii="Cambria" w:hAnsi="Cambria"/>
        </w:rPr>
        <w:t>°</w:t>
      </w:r>
      <w:r w:rsidR="00E85C71">
        <w:t>C until required.</w:t>
      </w:r>
    </w:p>
    <w:p w14:paraId="28002328" w14:textId="77777777" w:rsidR="00F4082C" w:rsidRDefault="00F4082C" w:rsidP="007F7DDF">
      <w:pPr>
        <w:autoSpaceDE w:val="0"/>
        <w:autoSpaceDN w:val="0"/>
        <w:adjustRightInd w:val="0"/>
        <w:spacing w:line="360" w:lineRule="auto"/>
        <w:jc w:val="both"/>
        <w:rPr>
          <w:rFonts w:ascii="Times New Roman" w:hAnsi="Times New Roman" w:cs="Times New Roman"/>
          <w:b/>
          <w:u w:val="single"/>
          <w:lang w:val="en-GB"/>
        </w:rPr>
      </w:pPr>
    </w:p>
    <w:p w14:paraId="06042AE7" w14:textId="61B927CA" w:rsidR="007F7DDF" w:rsidRPr="006473BF" w:rsidRDefault="007F7DDF" w:rsidP="007F7DDF">
      <w:pPr>
        <w:autoSpaceDE w:val="0"/>
        <w:autoSpaceDN w:val="0"/>
        <w:adjustRightInd w:val="0"/>
        <w:spacing w:line="360" w:lineRule="auto"/>
        <w:jc w:val="both"/>
        <w:rPr>
          <w:rFonts w:ascii="Times New Roman" w:hAnsi="Times New Roman" w:cs="Times New Roman"/>
          <w:b/>
          <w:lang w:val="en-GB"/>
        </w:rPr>
      </w:pPr>
      <w:r w:rsidRPr="006473BF">
        <w:rPr>
          <w:rFonts w:ascii="Times New Roman" w:hAnsi="Times New Roman" w:cs="Times New Roman"/>
          <w:b/>
          <w:lang w:val="en-GB"/>
        </w:rPr>
        <w:t>Glyco-blue</w:t>
      </w:r>
      <w:r w:rsidR="00815DFA" w:rsidRPr="006473BF">
        <w:rPr>
          <w:rFonts w:ascii="Times New Roman" w:hAnsi="Times New Roman" w:cs="Times New Roman"/>
          <w:b/>
          <w:lang w:val="en-GB"/>
        </w:rPr>
        <w:t>™</w:t>
      </w:r>
      <w:r w:rsidRPr="006473BF">
        <w:rPr>
          <w:rFonts w:ascii="Times New Roman" w:hAnsi="Times New Roman" w:cs="Times New Roman"/>
          <w:b/>
          <w:lang w:val="en-GB"/>
        </w:rPr>
        <w:t xml:space="preserve"> </w:t>
      </w:r>
      <w:r w:rsidR="00815DFA" w:rsidRPr="006473BF">
        <w:rPr>
          <w:rFonts w:ascii="Times New Roman" w:hAnsi="Times New Roman" w:cs="Times New Roman"/>
          <w:b/>
          <w:lang w:val="en-GB"/>
        </w:rPr>
        <w:t>Co</w:t>
      </w:r>
      <w:r w:rsidR="006473BF">
        <w:rPr>
          <w:rFonts w:ascii="Times New Roman" w:hAnsi="Times New Roman" w:cs="Times New Roman"/>
          <w:b/>
          <w:lang w:val="en-GB"/>
        </w:rPr>
        <w:t>-</w:t>
      </w:r>
      <w:r w:rsidRPr="006473BF">
        <w:rPr>
          <w:rFonts w:ascii="Times New Roman" w:hAnsi="Times New Roman" w:cs="Times New Roman"/>
          <w:b/>
          <w:lang w:val="en-GB"/>
        </w:rPr>
        <w:t>precipitation</w:t>
      </w:r>
    </w:p>
    <w:p w14:paraId="1EE6C99E" w14:textId="17206B1E" w:rsidR="00292ACC" w:rsidRPr="002C11AB" w:rsidRDefault="00815DFA" w:rsidP="0085074F">
      <w:pPr>
        <w:autoSpaceDE w:val="0"/>
        <w:autoSpaceDN w:val="0"/>
        <w:adjustRightInd w:val="0"/>
        <w:spacing w:line="360" w:lineRule="auto"/>
        <w:jc w:val="both"/>
        <w:rPr>
          <w:rFonts w:ascii="Times New Roman" w:hAnsi="Times New Roman" w:cs="Times New Roman"/>
        </w:rPr>
      </w:pPr>
      <w:r w:rsidRPr="002C11AB">
        <w:rPr>
          <w:rFonts w:ascii="Times New Roman" w:hAnsi="Times New Roman" w:cs="Times New Roman"/>
          <w:lang w:val="en-GB"/>
        </w:rPr>
        <w:t>To facilitate the precipitation of nucleic acid from the samples collected after FACS sorting, the Ambion® GlycoBlue™ Coprecipitant was used. This enhances precipitation without introducing exogenous nuclei acids. Ammonium acetate was added to each sample to 0.5M followed by GlycoBlue at a final concentration of 50</w:t>
      </w:r>
      <w:r w:rsidRPr="002C11AB">
        <w:rPr>
          <w:rFonts w:ascii="Times New Roman" w:hAnsi="Times New Roman" w:cs="Times New Roman"/>
        </w:rPr>
        <w:t xml:space="preserve"> μg/ml. 1 volume of 100% isopropanol was then added to each sample and incubated at -20</w:t>
      </w:r>
      <w:r w:rsidR="00C04B83" w:rsidRPr="002C11AB">
        <w:rPr>
          <w:rFonts w:ascii="Times New Roman" w:hAnsi="Times New Roman" w:cs="Times New Roman"/>
        </w:rPr>
        <w:t>°C for 24 hours and centrifuged at 13 000 rpm for 15 minutes. Nucleic acid coprecipitates with the GlycoBlue Coprecipitant. All samples were then resuspended in 3μl of nuclease free H</w:t>
      </w:r>
      <w:r w:rsidR="00C04B83" w:rsidRPr="002C11AB">
        <w:rPr>
          <w:rFonts w:ascii="Times New Roman" w:hAnsi="Times New Roman" w:cs="Times New Roman"/>
          <w:vertAlign w:val="subscript"/>
        </w:rPr>
        <w:t>2</w:t>
      </w:r>
      <w:r w:rsidR="00C04B83" w:rsidRPr="002C11AB">
        <w:rPr>
          <w:rFonts w:ascii="Times New Roman" w:hAnsi="Times New Roman" w:cs="Times New Roman"/>
        </w:rPr>
        <w:t>O</w:t>
      </w:r>
      <w:r w:rsidR="00C04B83" w:rsidRPr="002C11AB">
        <w:rPr>
          <w:rFonts w:ascii="Times New Roman" w:hAnsi="Times New Roman" w:cs="Times New Roman"/>
          <w:vertAlign w:val="subscript"/>
        </w:rPr>
        <w:t xml:space="preserve">2 </w:t>
      </w:r>
      <w:r w:rsidR="00C04B83" w:rsidRPr="002C11AB">
        <w:rPr>
          <w:rFonts w:ascii="Times New Roman" w:hAnsi="Times New Roman" w:cs="Times New Roman"/>
        </w:rPr>
        <w:t>and stored in 200μl eppendorfs at -80°</w:t>
      </w:r>
      <w:r w:rsidR="003F0EE8" w:rsidRPr="002C11AB">
        <w:rPr>
          <w:rFonts w:ascii="Times New Roman" w:hAnsi="Times New Roman" w:cs="Times New Roman"/>
        </w:rPr>
        <w:t>C.</w:t>
      </w:r>
    </w:p>
    <w:p w14:paraId="51F023E1" w14:textId="77777777" w:rsidR="0090177A" w:rsidRDefault="0090177A" w:rsidP="0085074F">
      <w:pPr>
        <w:autoSpaceDE w:val="0"/>
        <w:autoSpaceDN w:val="0"/>
        <w:adjustRightInd w:val="0"/>
        <w:spacing w:line="360" w:lineRule="auto"/>
        <w:jc w:val="both"/>
        <w:rPr>
          <w:rFonts w:ascii="Times New Roman" w:hAnsi="Times New Roman" w:cs="Times New Roman"/>
          <w:b/>
          <w:lang w:val="en-GB"/>
        </w:rPr>
      </w:pPr>
    </w:p>
    <w:p w14:paraId="63D06703" w14:textId="7CFE8B5C" w:rsidR="007F7DDF" w:rsidRPr="006473BF" w:rsidRDefault="007F7DDF" w:rsidP="0085074F">
      <w:pPr>
        <w:autoSpaceDE w:val="0"/>
        <w:autoSpaceDN w:val="0"/>
        <w:adjustRightInd w:val="0"/>
        <w:spacing w:line="360" w:lineRule="auto"/>
        <w:jc w:val="both"/>
        <w:rPr>
          <w:rFonts w:ascii="Times New Roman" w:hAnsi="Times New Roman" w:cs="Times New Roman"/>
          <w:b/>
          <w:lang w:val="en-GB"/>
        </w:rPr>
      </w:pPr>
      <w:r w:rsidRPr="006473BF">
        <w:rPr>
          <w:rFonts w:ascii="Times New Roman" w:hAnsi="Times New Roman" w:cs="Times New Roman"/>
          <w:b/>
          <w:lang w:val="en-GB"/>
        </w:rPr>
        <w:t>Assessing yield and quality of RNA</w:t>
      </w:r>
    </w:p>
    <w:p w14:paraId="4C3550CA" w14:textId="74251029" w:rsidR="007F7DDF" w:rsidRDefault="00F4082C" w:rsidP="0085074F">
      <w:pPr>
        <w:autoSpaceDE w:val="0"/>
        <w:autoSpaceDN w:val="0"/>
        <w:adjustRightInd w:val="0"/>
        <w:spacing w:line="360" w:lineRule="auto"/>
        <w:jc w:val="both"/>
        <w:rPr>
          <w:rFonts w:ascii="Times New Roman" w:hAnsi="Times New Roman" w:cs="Times New Roman"/>
        </w:rPr>
      </w:pPr>
      <w:r>
        <w:rPr>
          <w:rFonts w:ascii="Times New Roman" w:hAnsi="Times New Roman" w:cs="Times New Roman"/>
          <w:lang w:val="en-GB"/>
        </w:rPr>
        <w:t xml:space="preserve">RNA concentration and purity was initially assessed using the Nanodrop™ 1000 Spectrophotomer </w:t>
      </w:r>
      <w:r w:rsidRPr="00F4082C">
        <w:rPr>
          <w:rFonts w:ascii="Times New Roman" w:hAnsi="Times New Roman" w:cs="Times New Roman"/>
        </w:rPr>
        <w:t>(Thermo Fisher Scientific® Inc.).</w:t>
      </w:r>
      <w:r>
        <w:rPr>
          <w:rFonts w:ascii="Times New Roman" w:hAnsi="Times New Roman" w:cs="Times New Roman"/>
        </w:rPr>
        <w:t xml:space="preserve"> Ratios of absorbance at 260nm and 280nm, and 260nm and 280nm are calculated to assess RNA quality and purity. RNA intergrity was measured using a Picochip and an Agilent 2100 Bioanalyser (Agilent Technologies Ltd.).</w:t>
      </w:r>
      <w:r w:rsidR="00FC5E21">
        <w:rPr>
          <w:rFonts w:ascii="Times New Roman" w:hAnsi="Times New Roman" w:cs="Times New Roman"/>
        </w:rPr>
        <w:t xml:space="preserve"> An electropherogram determined RNA quality and any RNA degradation. </w:t>
      </w:r>
    </w:p>
    <w:p w14:paraId="1F6FB76C" w14:textId="77777777" w:rsidR="0032428B" w:rsidRDefault="0032428B" w:rsidP="0085074F">
      <w:pPr>
        <w:autoSpaceDE w:val="0"/>
        <w:autoSpaceDN w:val="0"/>
        <w:adjustRightInd w:val="0"/>
        <w:spacing w:line="360" w:lineRule="auto"/>
        <w:jc w:val="both"/>
        <w:rPr>
          <w:rFonts w:ascii="Times New Roman" w:hAnsi="Times New Roman" w:cs="Times New Roman"/>
        </w:rPr>
      </w:pPr>
    </w:p>
    <w:p w14:paraId="1BDC655B" w14:textId="2BE970D9" w:rsidR="0032428B" w:rsidRPr="006473BF" w:rsidRDefault="0032428B" w:rsidP="0085074F">
      <w:pPr>
        <w:autoSpaceDE w:val="0"/>
        <w:autoSpaceDN w:val="0"/>
        <w:adjustRightInd w:val="0"/>
        <w:spacing w:line="360" w:lineRule="auto"/>
        <w:jc w:val="both"/>
        <w:rPr>
          <w:rFonts w:ascii="Times New Roman" w:hAnsi="Times New Roman" w:cs="Times New Roman"/>
          <w:b/>
        </w:rPr>
      </w:pPr>
      <w:r w:rsidRPr="006473BF">
        <w:rPr>
          <w:rFonts w:ascii="Times New Roman" w:hAnsi="Times New Roman" w:cs="Times New Roman"/>
          <w:b/>
        </w:rPr>
        <w:t>WT PLUS amplification and labeling of samples</w:t>
      </w:r>
    </w:p>
    <w:p w14:paraId="308E57CB" w14:textId="6DAA30CD" w:rsidR="003E3D63" w:rsidRDefault="00417010" w:rsidP="0085074F">
      <w:pPr>
        <w:autoSpaceDE w:val="0"/>
        <w:autoSpaceDN w:val="0"/>
        <w:adjustRightInd w:val="0"/>
        <w:spacing w:line="360" w:lineRule="auto"/>
        <w:jc w:val="both"/>
        <w:rPr>
          <w:rFonts w:ascii="Times New Roman" w:hAnsi="Times New Roman" w:cs="Times New Roman"/>
        </w:rPr>
      </w:pPr>
      <w:r>
        <w:rPr>
          <w:rFonts w:ascii="Times New Roman" w:hAnsi="Times New Roman" w:cs="Times New Roman"/>
        </w:rPr>
        <w:t>The GeneChip® W</w:t>
      </w:r>
      <w:r w:rsidR="006148EF">
        <w:rPr>
          <w:rFonts w:ascii="Times New Roman" w:hAnsi="Times New Roman" w:cs="Times New Roman"/>
        </w:rPr>
        <w:t xml:space="preserve">T PLUS </w:t>
      </w:r>
      <w:r>
        <w:rPr>
          <w:rFonts w:ascii="Times New Roman" w:hAnsi="Times New Roman" w:cs="Times New Roman"/>
        </w:rPr>
        <w:t>reagent kit (Affymetrix) was used to produce amplified, fragmented and labelled sense-strand DNA targets from t</w:t>
      </w:r>
      <w:r w:rsidR="00250E30">
        <w:rPr>
          <w:rFonts w:ascii="Times New Roman" w:hAnsi="Times New Roman" w:cs="Times New Roman"/>
        </w:rPr>
        <w:t>otal RNA. All samples (control 1-3 and MAB 1-3</w:t>
      </w:r>
      <w:r>
        <w:rPr>
          <w:rFonts w:ascii="Times New Roman" w:hAnsi="Times New Roman" w:cs="Times New Roman"/>
        </w:rPr>
        <w:t xml:space="preserve">) were taken through the process together. </w:t>
      </w:r>
    </w:p>
    <w:p w14:paraId="5EBAB3F3" w14:textId="77777777" w:rsidR="00417010" w:rsidRPr="00417010" w:rsidRDefault="00417010" w:rsidP="0085074F">
      <w:pPr>
        <w:autoSpaceDE w:val="0"/>
        <w:autoSpaceDN w:val="0"/>
        <w:adjustRightInd w:val="0"/>
        <w:spacing w:line="360" w:lineRule="auto"/>
        <w:jc w:val="both"/>
        <w:rPr>
          <w:rFonts w:ascii="Times New Roman" w:hAnsi="Times New Roman" w:cs="Times New Roman"/>
        </w:rPr>
      </w:pPr>
    </w:p>
    <w:p w14:paraId="72B8A694" w14:textId="6C8F091A" w:rsidR="009D1CF7" w:rsidRPr="006473BF" w:rsidRDefault="009D1CF7" w:rsidP="0085074F">
      <w:pPr>
        <w:autoSpaceDE w:val="0"/>
        <w:autoSpaceDN w:val="0"/>
        <w:adjustRightInd w:val="0"/>
        <w:spacing w:line="360" w:lineRule="auto"/>
        <w:jc w:val="both"/>
        <w:rPr>
          <w:rFonts w:ascii="Times New Roman" w:hAnsi="Times New Roman" w:cs="Times New Roman"/>
          <w:b/>
        </w:rPr>
      </w:pPr>
      <w:r w:rsidRPr="006473BF">
        <w:rPr>
          <w:rFonts w:ascii="Times New Roman" w:hAnsi="Times New Roman" w:cs="Times New Roman"/>
          <w:b/>
        </w:rPr>
        <w:t>Poly-A-RNA Control Preparation</w:t>
      </w:r>
    </w:p>
    <w:p w14:paraId="1EEDA443" w14:textId="445E72BE" w:rsidR="006148EF" w:rsidRDefault="006148EF" w:rsidP="0085074F">
      <w:pPr>
        <w:autoSpaceDE w:val="0"/>
        <w:autoSpaceDN w:val="0"/>
        <w:adjustRightInd w:val="0"/>
        <w:spacing w:line="360" w:lineRule="auto"/>
        <w:jc w:val="both"/>
        <w:rPr>
          <w:rFonts w:ascii="Times New Roman" w:hAnsi="Times New Roman" w:cs="Times New Roman"/>
        </w:rPr>
      </w:pPr>
      <w:r>
        <w:rPr>
          <w:rFonts w:ascii="Times New Roman" w:hAnsi="Times New Roman" w:cs="Times New Roman"/>
        </w:rPr>
        <w:t>A series of poly-A-RNA controls were first spiked in at different concentrations to each sample to provide exogenous positive controls to monitor the entire target preparation. Approximately 250ng of starting RNA material was taken forward in each reaction. Based on this, the poly-A-RNA control stock was diluted 1:20, then 1:50, then 1:50 and finally 1:4 before adding 2μl of the final diluted 1 in 200 000 solution. Each samples was then made up to 5</w:t>
      </w:r>
      <w:r w:rsidRPr="006148EF">
        <w:rPr>
          <w:rFonts w:ascii="Times New Roman" w:hAnsi="Times New Roman" w:cs="Times New Roman"/>
        </w:rPr>
        <w:t xml:space="preserve"> </w:t>
      </w:r>
      <w:r>
        <w:rPr>
          <w:rFonts w:ascii="Times New Roman" w:hAnsi="Times New Roman" w:cs="Times New Roman"/>
        </w:rPr>
        <w:t>μl.</w:t>
      </w:r>
    </w:p>
    <w:p w14:paraId="3A21D971" w14:textId="77777777" w:rsidR="006148EF" w:rsidRPr="006148EF" w:rsidRDefault="006148EF" w:rsidP="0085074F">
      <w:pPr>
        <w:autoSpaceDE w:val="0"/>
        <w:autoSpaceDN w:val="0"/>
        <w:adjustRightInd w:val="0"/>
        <w:spacing w:line="360" w:lineRule="auto"/>
        <w:jc w:val="both"/>
        <w:rPr>
          <w:rFonts w:ascii="Times New Roman" w:hAnsi="Times New Roman" w:cs="Times New Roman"/>
        </w:rPr>
      </w:pPr>
    </w:p>
    <w:p w14:paraId="465D100C" w14:textId="01ACC007" w:rsidR="009D1CF7" w:rsidRPr="006473BF" w:rsidRDefault="009D1CF7" w:rsidP="0085074F">
      <w:pPr>
        <w:autoSpaceDE w:val="0"/>
        <w:autoSpaceDN w:val="0"/>
        <w:adjustRightInd w:val="0"/>
        <w:spacing w:line="360" w:lineRule="auto"/>
        <w:jc w:val="both"/>
        <w:rPr>
          <w:rFonts w:ascii="Times New Roman" w:hAnsi="Times New Roman" w:cs="Times New Roman"/>
          <w:b/>
        </w:rPr>
      </w:pPr>
      <w:r w:rsidRPr="006473BF">
        <w:rPr>
          <w:rFonts w:ascii="Times New Roman" w:hAnsi="Times New Roman" w:cs="Times New Roman"/>
          <w:b/>
        </w:rPr>
        <w:t>First strand cDNA Synthesis</w:t>
      </w:r>
    </w:p>
    <w:p w14:paraId="78668D9F" w14:textId="64C808B7" w:rsidR="00EC52BA" w:rsidRDefault="00EC0A3B" w:rsidP="0085074F">
      <w:pPr>
        <w:autoSpaceDE w:val="0"/>
        <w:autoSpaceDN w:val="0"/>
        <w:adjustRightInd w:val="0"/>
        <w:spacing w:line="360" w:lineRule="auto"/>
        <w:jc w:val="both"/>
        <w:rPr>
          <w:rFonts w:ascii="Times New Roman" w:hAnsi="Times New Roman" w:cs="Times New Roman"/>
        </w:rPr>
      </w:pPr>
      <w:r w:rsidRPr="009E1EA9">
        <w:rPr>
          <w:rFonts w:ascii="Times New Roman" w:hAnsi="Times New Roman" w:cs="Times New Roman"/>
        </w:rPr>
        <w:t>RNA is reverse tra</w:t>
      </w:r>
      <w:r w:rsidR="004402EF" w:rsidRPr="009E1EA9">
        <w:rPr>
          <w:rFonts w:ascii="Times New Roman" w:hAnsi="Times New Roman" w:cs="Times New Roman"/>
        </w:rPr>
        <w:t>nscribed to single stranded cDNA</w:t>
      </w:r>
      <w:r w:rsidR="003A1B0E" w:rsidRPr="009E1EA9">
        <w:rPr>
          <w:rFonts w:ascii="Times New Roman" w:hAnsi="Times New Roman" w:cs="Times New Roman"/>
        </w:rPr>
        <w:t xml:space="preserve"> (ss-cDNA)</w:t>
      </w:r>
      <w:r w:rsidR="004402EF" w:rsidRPr="009E1EA9">
        <w:rPr>
          <w:rFonts w:ascii="Times New Roman" w:hAnsi="Times New Roman" w:cs="Times New Roman"/>
        </w:rPr>
        <w:t xml:space="preserve"> with a T7 promoter sequence at the 5’ end.</w:t>
      </w:r>
      <w:r w:rsidR="003A1B0E" w:rsidRPr="009E1EA9">
        <w:rPr>
          <w:rFonts w:ascii="Times New Roman" w:hAnsi="Times New Roman" w:cs="Times New Roman"/>
        </w:rPr>
        <w:t xml:space="preserve"> This is achieved by priming the total RNA with primers containing a T7 promoter sequence. The first-strand master mix </w:t>
      </w:r>
      <w:r w:rsidR="00E60CD6">
        <w:rPr>
          <w:rFonts w:ascii="Times New Roman" w:hAnsi="Times New Roman" w:cs="Times New Roman"/>
        </w:rPr>
        <w:t>was first prepared by adding 52</w:t>
      </w:r>
      <w:r w:rsidR="003A1B0E" w:rsidRPr="009E1EA9">
        <w:rPr>
          <w:rFonts w:ascii="Times New Roman" w:hAnsi="Times New Roman" w:cs="Times New Roman"/>
        </w:rPr>
        <w:t>μl first strand-buffer with 13 μl first strand enzyme, vortexing and centrifuging. 5 μl of first strang master mix was added to each sample on ice and mixed thoroughly before incubating</w:t>
      </w:r>
      <w:r w:rsidR="00B26B6D" w:rsidRPr="009E1EA9">
        <w:rPr>
          <w:rFonts w:ascii="Times New Roman" w:hAnsi="Times New Roman" w:cs="Times New Roman"/>
        </w:rPr>
        <w:t xml:space="preserve"> in a thermal-cycler</w:t>
      </w:r>
      <w:r w:rsidR="003A1B0E" w:rsidRPr="009E1EA9">
        <w:rPr>
          <w:rFonts w:ascii="Times New Roman" w:hAnsi="Times New Roman" w:cs="Times New Roman"/>
        </w:rPr>
        <w:t xml:space="preserve"> for 1hr at 25°C, then 1 hr at 42°C and 2 minutes at 4°C.</w:t>
      </w:r>
      <w:r w:rsidR="004D3F4E" w:rsidRPr="009E1EA9">
        <w:rPr>
          <w:rFonts w:ascii="Times New Roman" w:hAnsi="Times New Roman" w:cs="Times New Roman"/>
        </w:rPr>
        <w:t xml:space="preserve"> Samples were centrifuged to collect first-strand cDNA/RNA at the bottom of the tube. </w:t>
      </w:r>
    </w:p>
    <w:p w14:paraId="67DAE3B6" w14:textId="77777777" w:rsidR="003F0EE8" w:rsidRPr="00D0137C" w:rsidRDefault="003F0EE8" w:rsidP="0085074F">
      <w:pPr>
        <w:autoSpaceDE w:val="0"/>
        <w:autoSpaceDN w:val="0"/>
        <w:adjustRightInd w:val="0"/>
        <w:spacing w:line="360" w:lineRule="auto"/>
        <w:jc w:val="both"/>
        <w:rPr>
          <w:rFonts w:ascii="Times New Roman" w:hAnsi="Times New Roman" w:cs="Times New Roman"/>
        </w:rPr>
      </w:pPr>
    </w:p>
    <w:p w14:paraId="154801F9" w14:textId="535E98FA" w:rsidR="009D1CF7" w:rsidRPr="002C11AB" w:rsidRDefault="009D1CF7" w:rsidP="0085074F">
      <w:pPr>
        <w:autoSpaceDE w:val="0"/>
        <w:autoSpaceDN w:val="0"/>
        <w:adjustRightInd w:val="0"/>
        <w:spacing w:line="360" w:lineRule="auto"/>
        <w:jc w:val="both"/>
        <w:rPr>
          <w:rFonts w:ascii="Times New Roman" w:hAnsi="Times New Roman" w:cs="Times New Roman"/>
          <w:b/>
        </w:rPr>
      </w:pPr>
      <w:r w:rsidRPr="002C11AB">
        <w:rPr>
          <w:rFonts w:ascii="Times New Roman" w:hAnsi="Times New Roman" w:cs="Times New Roman"/>
          <w:b/>
        </w:rPr>
        <w:t>Second strand cDNA Synthesis</w:t>
      </w:r>
    </w:p>
    <w:p w14:paraId="356B1391" w14:textId="5DDAFBBA" w:rsidR="00BB64A1" w:rsidRPr="004D3F4E" w:rsidRDefault="004D3F4E" w:rsidP="0085074F">
      <w:pPr>
        <w:autoSpaceDE w:val="0"/>
        <w:autoSpaceDN w:val="0"/>
        <w:adjustRightInd w:val="0"/>
        <w:spacing w:line="360" w:lineRule="auto"/>
        <w:jc w:val="both"/>
        <w:rPr>
          <w:rFonts w:ascii="Times New Roman" w:hAnsi="Times New Roman" w:cs="Times New Roman"/>
        </w:rPr>
      </w:pPr>
      <w:r w:rsidRPr="002C11AB">
        <w:rPr>
          <w:rFonts w:ascii="Times New Roman" w:hAnsi="Times New Roman" w:cs="Times New Roman"/>
        </w:rPr>
        <w:t>Double stran</w:t>
      </w:r>
      <w:r w:rsidR="001E030F">
        <w:rPr>
          <w:rFonts w:ascii="Times New Roman" w:hAnsi="Times New Roman" w:cs="Times New Roman"/>
        </w:rPr>
        <w:t>ded cDNA (ds-cDNA) was synthesis</w:t>
      </w:r>
      <w:r w:rsidRPr="002C11AB">
        <w:rPr>
          <w:rFonts w:ascii="Times New Roman" w:hAnsi="Times New Roman" w:cs="Times New Roman"/>
        </w:rPr>
        <w:t xml:space="preserve">ed from ss-cDNA to provide a template for </w:t>
      </w:r>
      <w:r w:rsidRPr="002C11AB">
        <w:rPr>
          <w:rFonts w:ascii="Times New Roman" w:hAnsi="Times New Roman" w:cs="Times New Roman"/>
          <w:i/>
        </w:rPr>
        <w:t xml:space="preserve">in vitro </w:t>
      </w:r>
      <w:r w:rsidRPr="002C11AB">
        <w:rPr>
          <w:rFonts w:ascii="Times New Roman" w:hAnsi="Times New Roman" w:cs="Times New Roman"/>
        </w:rPr>
        <w:t xml:space="preserve">transcription. </w:t>
      </w:r>
      <w:r w:rsidR="005554D1" w:rsidRPr="002C11AB">
        <w:rPr>
          <w:rFonts w:ascii="Times New Roman" w:hAnsi="Times New Roman" w:cs="Times New Roman"/>
        </w:rPr>
        <w:t xml:space="preserve">The reaction incorporates DNA polymerase to synthesise the second strand of cDNA and RNase H to digest the RNA. </w:t>
      </w:r>
      <w:r w:rsidR="00A26AC4" w:rsidRPr="002C11AB">
        <w:rPr>
          <w:rFonts w:ascii="Times New Roman" w:hAnsi="Times New Roman" w:cs="Times New Roman"/>
        </w:rPr>
        <w:t>The second strand master mix was made up by adding 225 μl of second strand buffer with 25 μl of second strand enzyme.</w:t>
      </w:r>
      <w:r w:rsidR="006F26E9" w:rsidRPr="002C11AB">
        <w:rPr>
          <w:rFonts w:ascii="Times New Roman" w:hAnsi="Times New Roman" w:cs="Times New Roman"/>
        </w:rPr>
        <w:t xml:space="preserve"> The mixture was vortexed and centrifuged</w:t>
      </w:r>
      <w:r w:rsidR="000F3549" w:rsidRPr="002C11AB">
        <w:rPr>
          <w:rFonts w:ascii="Times New Roman" w:hAnsi="Times New Roman" w:cs="Times New Roman"/>
        </w:rPr>
        <w:t xml:space="preserve"> before adding 20 μl of reaction mix to each of the first strand cDNA samples. </w:t>
      </w:r>
      <w:r w:rsidR="00B26B6D" w:rsidRPr="002C11AB">
        <w:rPr>
          <w:rFonts w:ascii="Times New Roman" w:hAnsi="Times New Roman" w:cs="Times New Roman"/>
        </w:rPr>
        <w:t>Samples were vortexed and briefly centrifuged then incubated in a thermal-cycler for 1 hour at 16°C, then 10 minutes at 65°C and 2 minutes at 4°C.</w:t>
      </w:r>
      <w:r w:rsidR="00C74E6B" w:rsidRPr="002C11AB">
        <w:rPr>
          <w:rFonts w:ascii="Times New Roman" w:hAnsi="Times New Roman" w:cs="Times New Roman"/>
        </w:rPr>
        <w:t xml:space="preserve"> After, samples were centrifuged to collect samples at the bottom of tubes.</w:t>
      </w:r>
    </w:p>
    <w:p w14:paraId="0A15B455" w14:textId="1F345DFF" w:rsidR="009D1CF7" w:rsidRPr="006473BF" w:rsidRDefault="00BB64A1" w:rsidP="0085074F">
      <w:pPr>
        <w:autoSpaceDE w:val="0"/>
        <w:autoSpaceDN w:val="0"/>
        <w:adjustRightInd w:val="0"/>
        <w:spacing w:line="360" w:lineRule="auto"/>
        <w:jc w:val="both"/>
        <w:rPr>
          <w:rFonts w:ascii="Times New Roman" w:hAnsi="Times New Roman" w:cs="Times New Roman"/>
          <w:b/>
        </w:rPr>
      </w:pPr>
      <w:r w:rsidRPr="006473BF">
        <w:rPr>
          <w:rFonts w:ascii="Times New Roman" w:hAnsi="Times New Roman" w:cs="Times New Roman"/>
          <w:b/>
          <w:i/>
        </w:rPr>
        <w:t xml:space="preserve">In vitro </w:t>
      </w:r>
      <w:r w:rsidRPr="006473BF">
        <w:rPr>
          <w:rFonts w:ascii="Times New Roman" w:hAnsi="Times New Roman" w:cs="Times New Roman"/>
          <w:b/>
        </w:rPr>
        <w:t>transcription to synthesise</w:t>
      </w:r>
      <w:r w:rsidR="00956F08" w:rsidRPr="006473BF">
        <w:rPr>
          <w:rFonts w:ascii="Times New Roman" w:hAnsi="Times New Roman" w:cs="Times New Roman"/>
          <w:b/>
        </w:rPr>
        <w:t xml:space="preserve"> purified</w:t>
      </w:r>
      <w:r w:rsidRPr="006473BF">
        <w:rPr>
          <w:rFonts w:ascii="Times New Roman" w:hAnsi="Times New Roman" w:cs="Times New Roman"/>
          <w:b/>
        </w:rPr>
        <w:t xml:space="preserve"> </w:t>
      </w:r>
      <w:r w:rsidR="009D1CF7" w:rsidRPr="006473BF">
        <w:rPr>
          <w:rFonts w:ascii="Times New Roman" w:hAnsi="Times New Roman" w:cs="Times New Roman"/>
          <w:b/>
        </w:rPr>
        <w:t xml:space="preserve">Complementary RNA </w:t>
      </w:r>
    </w:p>
    <w:p w14:paraId="1E4AA327" w14:textId="2BC41F49" w:rsidR="00297C41" w:rsidRDefault="001A21C6" w:rsidP="0085074F">
      <w:pPr>
        <w:autoSpaceDE w:val="0"/>
        <w:autoSpaceDN w:val="0"/>
        <w:adjustRightInd w:val="0"/>
        <w:spacing w:line="360" w:lineRule="auto"/>
        <w:jc w:val="both"/>
      </w:pPr>
      <w:r>
        <w:rPr>
          <w:rFonts w:ascii="Times New Roman" w:hAnsi="Times New Roman" w:cs="Times New Roman"/>
        </w:rPr>
        <w:t xml:space="preserve">Complementary RNA (cRNA) was synthesised and amplified by </w:t>
      </w:r>
      <w:r>
        <w:rPr>
          <w:rFonts w:ascii="Times New Roman" w:hAnsi="Times New Roman" w:cs="Times New Roman"/>
          <w:i/>
        </w:rPr>
        <w:t xml:space="preserve">in vitro </w:t>
      </w:r>
      <w:r>
        <w:rPr>
          <w:rFonts w:ascii="Times New Roman" w:hAnsi="Times New Roman" w:cs="Times New Roman"/>
        </w:rPr>
        <w:t xml:space="preserve">transcription (IVT) of the ds-cDNA template using a T7 RNA polymerase. At room temperature, the IVT </w:t>
      </w:r>
      <w:r w:rsidRPr="002C11AB">
        <w:rPr>
          <w:rFonts w:ascii="Times New Roman" w:hAnsi="Times New Roman" w:cs="Times New Roman"/>
        </w:rPr>
        <w:t>master mix is prepared. 300 μl of IVT buffer and 25 μl of IVT enzyme were mixed thoroughly and centrifuged. 30 μl of the IVT enzyme/buffer mix was added to each of the second-strand cDNA samples. The samples were then incubated in a thermal cycler for 16 hours at 40°C</w:t>
      </w:r>
      <w:r w:rsidR="00297C41" w:rsidRPr="002C11AB">
        <w:rPr>
          <w:rFonts w:ascii="Times New Roman" w:hAnsi="Times New Roman" w:cs="Times New Roman"/>
        </w:rPr>
        <w:t xml:space="preserve"> and kept at 4°C after centrifugation.</w:t>
      </w:r>
    </w:p>
    <w:p w14:paraId="6F3719F2" w14:textId="55F62CAD" w:rsidR="00012959" w:rsidRPr="002C11AB" w:rsidRDefault="00297C41" w:rsidP="0085074F">
      <w:pPr>
        <w:autoSpaceDE w:val="0"/>
        <w:autoSpaceDN w:val="0"/>
        <w:adjustRightInd w:val="0"/>
        <w:spacing w:line="360" w:lineRule="auto"/>
        <w:jc w:val="both"/>
        <w:rPr>
          <w:rFonts w:ascii="Times New Roman" w:hAnsi="Times New Roman" w:cs="Times New Roman"/>
        </w:rPr>
      </w:pPr>
      <w:r w:rsidRPr="002C11AB">
        <w:rPr>
          <w:rFonts w:ascii="Times New Roman" w:hAnsi="Times New Roman" w:cs="Times New Roman"/>
        </w:rPr>
        <w:t>To remove enzymes, salts, uni</w:t>
      </w:r>
      <w:r w:rsidR="001E030F">
        <w:rPr>
          <w:rFonts w:ascii="Times New Roman" w:hAnsi="Times New Roman" w:cs="Times New Roman"/>
        </w:rPr>
        <w:t>n</w:t>
      </w:r>
      <w:r w:rsidRPr="002C11AB">
        <w:rPr>
          <w:rFonts w:ascii="Times New Roman" w:hAnsi="Times New Roman" w:cs="Times New Roman"/>
        </w:rPr>
        <w:t>corportated nucleotides and inorganic phosphates a purification step was carried out. This entailed</w:t>
      </w:r>
      <w:r w:rsidR="008D1E9D" w:rsidRPr="002C11AB">
        <w:rPr>
          <w:rFonts w:ascii="Times New Roman" w:hAnsi="Times New Roman" w:cs="Times New Roman"/>
        </w:rPr>
        <w:t xml:space="preserve"> mixing each sample of cRNA with 100 μl of magnetic purification beads. This was thoroughly mixed by pipetting the beads and the solution up and down 10 times before a 10- minute incubation. The purification beads were recaptured using a magnetic stand for approximately 5 minutes. Supernatant was removed with minimal disturbance to the beads. Beads were washed with 200 μl of 80% ethanol for 30 seconds and supernatant was discarded. This was repeated 3 times to enhance purification of cRNA. After air-drying the purification beads, cRNA was eluted by adding 27 μl of preheated (65°C) nuclease free-water.  After a 1 minute incubation the supernatant was transferred to a nuclease-free tube. </w:t>
      </w:r>
    </w:p>
    <w:p w14:paraId="75DE50BD" w14:textId="3BE6D86F" w:rsidR="00012959" w:rsidRPr="002C11AB" w:rsidRDefault="00973160" w:rsidP="0085074F">
      <w:pPr>
        <w:autoSpaceDE w:val="0"/>
        <w:autoSpaceDN w:val="0"/>
        <w:adjustRightInd w:val="0"/>
        <w:spacing w:line="360" w:lineRule="auto"/>
        <w:jc w:val="both"/>
        <w:rPr>
          <w:rFonts w:ascii="Times New Roman" w:hAnsi="Times New Roman" w:cs="Times New Roman"/>
        </w:rPr>
      </w:pPr>
      <w:r w:rsidRPr="002C11AB">
        <w:rPr>
          <w:rFonts w:ascii="Times New Roman" w:hAnsi="Times New Roman" w:cs="Times New Roman"/>
        </w:rPr>
        <w:t>Yields of cRNA were</w:t>
      </w:r>
      <w:r w:rsidR="00012959" w:rsidRPr="002C11AB">
        <w:rPr>
          <w:rFonts w:ascii="Times New Roman" w:hAnsi="Times New Roman" w:cs="Times New Roman"/>
        </w:rPr>
        <w:t xml:space="preserve"> assessed on the </w:t>
      </w:r>
      <w:r w:rsidR="00012959" w:rsidRPr="002C11AB">
        <w:rPr>
          <w:rFonts w:ascii="Times New Roman" w:hAnsi="Times New Roman" w:cs="Times New Roman"/>
          <w:lang w:val="en-GB"/>
        </w:rPr>
        <w:t xml:space="preserve">Nanodrop™ 1000 Spectrophotomer </w:t>
      </w:r>
      <w:r w:rsidR="00012959" w:rsidRPr="002C11AB">
        <w:rPr>
          <w:rFonts w:ascii="Times New Roman" w:hAnsi="Times New Roman" w:cs="Times New Roman"/>
        </w:rPr>
        <w:t>(Thermo Fisher Scientific® Inc.).</w:t>
      </w:r>
    </w:p>
    <w:p w14:paraId="7E220033" w14:textId="77777777" w:rsidR="00815D50" w:rsidRDefault="00815D50" w:rsidP="0085074F">
      <w:pPr>
        <w:autoSpaceDE w:val="0"/>
        <w:autoSpaceDN w:val="0"/>
        <w:adjustRightInd w:val="0"/>
        <w:spacing w:line="360" w:lineRule="auto"/>
        <w:jc w:val="both"/>
        <w:rPr>
          <w:rFonts w:ascii="Times New Roman" w:hAnsi="Times New Roman" w:cs="Times New Roman"/>
          <w:b/>
          <w:u w:val="single"/>
        </w:rPr>
      </w:pPr>
    </w:p>
    <w:p w14:paraId="26927629" w14:textId="338190C4" w:rsidR="00815D50" w:rsidRPr="006473BF" w:rsidRDefault="00815D50" w:rsidP="0085074F">
      <w:pPr>
        <w:autoSpaceDE w:val="0"/>
        <w:autoSpaceDN w:val="0"/>
        <w:adjustRightInd w:val="0"/>
        <w:spacing w:line="360" w:lineRule="auto"/>
        <w:jc w:val="both"/>
        <w:rPr>
          <w:rFonts w:ascii="Times New Roman" w:hAnsi="Times New Roman" w:cs="Times New Roman"/>
          <w:b/>
        </w:rPr>
      </w:pPr>
      <w:r w:rsidRPr="006473BF">
        <w:rPr>
          <w:rFonts w:ascii="Times New Roman" w:hAnsi="Times New Roman" w:cs="Times New Roman"/>
          <w:b/>
        </w:rPr>
        <w:t>Second-cycle single-strand cDNA synthesis</w:t>
      </w:r>
    </w:p>
    <w:p w14:paraId="68345172" w14:textId="7ECEE7A6" w:rsidR="00A153E9" w:rsidRPr="000264E9" w:rsidRDefault="00A153E9" w:rsidP="0085074F">
      <w:pPr>
        <w:autoSpaceDE w:val="0"/>
        <w:autoSpaceDN w:val="0"/>
        <w:adjustRightInd w:val="0"/>
        <w:spacing w:line="360" w:lineRule="auto"/>
        <w:jc w:val="both"/>
        <w:rPr>
          <w:rFonts w:ascii="Times New Roman" w:hAnsi="Times New Roman" w:cs="Times New Roman"/>
        </w:rPr>
      </w:pPr>
      <w:r w:rsidRPr="000264E9">
        <w:rPr>
          <w:rFonts w:ascii="Times New Roman" w:hAnsi="Times New Roman" w:cs="Times New Roman"/>
        </w:rPr>
        <w:t>cRNA was reverse transcribed using 2</w:t>
      </w:r>
      <w:r w:rsidRPr="000264E9">
        <w:rPr>
          <w:rFonts w:ascii="Times New Roman" w:hAnsi="Times New Roman" w:cs="Times New Roman"/>
          <w:vertAlign w:val="superscript"/>
        </w:rPr>
        <w:t>nd</w:t>
      </w:r>
      <w:r w:rsidRPr="000264E9">
        <w:rPr>
          <w:rFonts w:ascii="Times New Roman" w:hAnsi="Times New Roman" w:cs="Times New Roman"/>
        </w:rPr>
        <w:t>-cycle primers to generate sense strand cDNA.</w:t>
      </w:r>
      <w:r w:rsidR="000264E9" w:rsidRPr="000264E9">
        <w:rPr>
          <w:rFonts w:ascii="Times New Roman" w:hAnsi="Times New Roman" w:cs="Times New Roman"/>
        </w:rPr>
        <w:t xml:space="preserve"> 15μg of cRNA was combined with 4μl of 2</w:t>
      </w:r>
      <w:r w:rsidR="000264E9" w:rsidRPr="000264E9">
        <w:rPr>
          <w:rFonts w:ascii="Times New Roman" w:hAnsi="Times New Roman" w:cs="Times New Roman"/>
          <w:vertAlign w:val="superscript"/>
        </w:rPr>
        <w:t>nd</w:t>
      </w:r>
      <w:r w:rsidR="000264E9" w:rsidRPr="000264E9">
        <w:rPr>
          <w:rFonts w:ascii="Times New Roman" w:hAnsi="Times New Roman" w:cs="Times New Roman"/>
        </w:rPr>
        <w:t>-cycle primers. These were mixed thoroughly before incubating for 5 minutes at 70°C, then 5 minutes at 25°C and 2 minutes at 4°C</w:t>
      </w:r>
      <w:r w:rsidR="000264E9">
        <w:rPr>
          <w:rFonts w:ascii="Times New Roman" w:hAnsi="Times New Roman" w:cs="Times New Roman"/>
        </w:rPr>
        <w:t>. The 2</w:t>
      </w:r>
      <w:r w:rsidR="000264E9" w:rsidRPr="000264E9">
        <w:rPr>
          <w:rFonts w:ascii="Times New Roman" w:hAnsi="Times New Roman" w:cs="Times New Roman"/>
          <w:vertAlign w:val="superscript"/>
        </w:rPr>
        <w:t>nd</w:t>
      </w:r>
      <w:r w:rsidR="000264E9">
        <w:rPr>
          <w:rFonts w:ascii="Times New Roman" w:hAnsi="Times New Roman" w:cs="Times New Roman"/>
        </w:rPr>
        <w:t>-cycle ss-cDNA master mix was made with 8</w:t>
      </w:r>
      <w:r w:rsidR="000264E9" w:rsidRPr="000264E9">
        <w:rPr>
          <w:rFonts w:ascii="Times New Roman" w:hAnsi="Times New Roman" w:cs="Times New Roman"/>
        </w:rPr>
        <w:t>μ</w:t>
      </w:r>
      <w:r w:rsidR="000264E9">
        <w:rPr>
          <w:rFonts w:ascii="Times New Roman" w:hAnsi="Times New Roman" w:cs="Times New Roman"/>
        </w:rPr>
        <w:t>l of 2</w:t>
      </w:r>
      <w:r w:rsidR="000264E9" w:rsidRPr="000264E9">
        <w:rPr>
          <w:rFonts w:ascii="Times New Roman" w:hAnsi="Times New Roman" w:cs="Times New Roman"/>
          <w:vertAlign w:val="superscript"/>
        </w:rPr>
        <w:t>nd</w:t>
      </w:r>
      <w:r w:rsidR="000264E9">
        <w:rPr>
          <w:rFonts w:ascii="Times New Roman" w:hAnsi="Times New Roman" w:cs="Times New Roman"/>
        </w:rPr>
        <w:t xml:space="preserve"> cycle ss-cDNA buffer and 4</w:t>
      </w:r>
      <w:r w:rsidR="000264E9" w:rsidRPr="000264E9">
        <w:rPr>
          <w:rFonts w:ascii="Times New Roman" w:hAnsi="Times New Roman" w:cs="Times New Roman"/>
        </w:rPr>
        <w:t>μ</w:t>
      </w:r>
      <w:r w:rsidR="000264E9">
        <w:rPr>
          <w:rFonts w:ascii="Times New Roman" w:hAnsi="Times New Roman" w:cs="Times New Roman"/>
        </w:rPr>
        <w:t>l of 2</w:t>
      </w:r>
      <w:r w:rsidR="000264E9" w:rsidRPr="000264E9">
        <w:rPr>
          <w:rFonts w:ascii="Times New Roman" w:hAnsi="Times New Roman" w:cs="Times New Roman"/>
          <w:vertAlign w:val="superscript"/>
        </w:rPr>
        <w:t>nd</w:t>
      </w:r>
      <w:r w:rsidR="000264E9">
        <w:rPr>
          <w:rFonts w:ascii="Times New Roman" w:hAnsi="Times New Roman" w:cs="Times New Roman"/>
        </w:rPr>
        <w:t>-cycle ss-cDNA enzyme. Components were combined and mixed thoroughly before centrifuging and incubating for 10 minutes at 25</w:t>
      </w:r>
      <w:r w:rsidR="000264E9" w:rsidRPr="000264E9">
        <w:rPr>
          <w:rFonts w:ascii="Times New Roman" w:hAnsi="Times New Roman" w:cs="Times New Roman"/>
        </w:rPr>
        <w:t>°C</w:t>
      </w:r>
      <w:r w:rsidR="000264E9">
        <w:rPr>
          <w:rFonts w:ascii="Times New Roman" w:hAnsi="Times New Roman" w:cs="Times New Roman"/>
        </w:rPr>
        <w:t>, 90 minutes at 42</w:t>
      </w:r>
      <w:r w:rsidR="000264E9" w:rsidRPr="000264E9">
        <w:rPr>
          <w:rFonts w:ascii="Times New Roman" w:hAnsi="Times New Roman" w:cs="Times New Roman"/>
        </w:rPr>
        <w:t>°C</w:t>
      </w:r>
      <w:r w:rsidR="000264E9">
        <w:rPr>
          <w:rFonts w:ascii="Times New Roman" w:hAnsi="Times New Roman" w:cs="Times New Roman"/>
        </w:rPr>
        <w:t>, then 10 minutes at 70</w:t>
      </w:r>
      <w:r w:rsidR="000264E9" w:rsidRPr="000264E9">
        <w:rPr>
          <w:rFonts w:ascii="Times New Roman" w:hAnsi="Times New Roman" w:cs="Times New Roman"/>
        </w:rPr>
        <w:t>°C</w:t>
      </w:r>
      <w:r w:rsidR="000264E9">
        <w:rPr>
          <w:rFonts w:ascii="Times New Roman" w:hAnsi="Times New Roman" w:cs="Times New Roman"/>
        </w:rPr>
        <w:t xml:space="preserve"> and 2 minutes at 4</w:t>
      </w:r>
      <w:r w:rsidR="000264E9" w:rsidRPr="000264E9">
        <w:rPr>
          <w:rFonts w:ascii="Times New Roman" w:hAnsi="Times New Roman" w:cs="Times New Roman"/>
        </w:rPr>
        <w:t>°C</w:t>
      </w:r>
      <w:r w:rsidR="000264E9">
        <w:rPr>
          <w:rFonts w:ascii="Times New Roman" w:hAnsi="Times New Roman" w:cs="Times New Roman"/>
        </w:rPr>
        <w:t>.</w:t>
      </w:r>
    </w:p>
    <w:p w14:paraId="375DAD5B" w14:textId="77777777" w:rsidR="005915DA" w:rsidRDefault="005915DA" w:rsidP="0085074F">
      <w:pPr>
        <w:autoSpaceDE w:val="0"/>
        <w:autoSpaceDN w:val="0"/>
        <w:adjustRightInd w:val="0"/>
        <w:spacing w:line="360" w:lineRule="auto"/>
        <w:jc w:val="both"/>
        <w:rPr>
          <w:rFonts w:ascii="Times New Roman" w:hAnsi="Times New Roman" w:cs="Times New Roman"/>
          <w:b/>
          <w:u w:val="single"/>
        </w:rPr>
      </w:pPr>
    </w:p>
    <w:p w14:paraId="47216E71" w14:textId="7B22F71E" w:rsidR="00815D50" w:rsidRPr="006473BF" w:rsidRDefault="00815D50" w:rsidP="0085074F">
      <w:pPr>
        <w:autoSpaceDE w:val="0"/>
        <w:autoSpaceDN w:val="0"/>
        <w:adjustRightInd w:val="0"/>
        <w:spacing w:line="360" w:lineRule="auto"/>
        <w:jc w:val="both"/>
        <w:rPr>
          <w:rFonts w:ascii="Times New Roman" w:hAnsi="Times New Roman" w:cs="Times New Roman"/>
          <w:b/>
        </w:rPr>
      </w:pPr>
      <w:r w:rsidRPr="006473BF">
        <w:rPr>
          <w:rFonts w:ascii="Times New Roman" w:hAnsi="Times New Roman" w:cs="Times New Roman"/>
          <w:b/>
        </w:rPr>
        <w:t>Hydrolysis of RNA using RNAse H</w:t>
      </w:r>
    </w:p>
    <w:p w14:paraId="41C204BB" w14:textId="4643C66A" w:rsidR="000264E9" w:rsidRDefault="00AE37EC" w:rsidP="0085074F">
      <w:pPr>
        <w:autoSpaceDE w:val="0"/>
        <w:autoSpaceDN w:val="0"/>
        <w:adjustRightInd w:val="0"/>
        <w:spacing w:line="360" w:lineRule="auto"/>
        <w:jc w:val="both"/>
        <w:rPr>
          <w:rFonts w:ascii="Times New Roman" w:hAnsi="Times New Roman" w:cs="Times New Roman"/>
        </w:rPr>
      </w:pPr>
      <w:r>
        <w:rPr>
          <w:rFonts w:ascii="Times New Roman" w:hAnsi="Times New Roman" w:cs="Times New Roman"/>
        </w:rPr>
        <w:t>To remove the cRNA template from the ss-cDNA, samples were incubated with RNase H. On ice, 4</w:t>
      </w:r>
      <w:r w:rsidRPr="00AE37EC">
        <w:rPr>
          <w:rFonts w:ascii="Times New Roman" w:hAnsi="Times New Roman" w:cs="Times New Roman"/>
        </w:rPr>
        <w:t xml:space="preserve"> </w:t>
      </w:r>
      <w:r w:rsidRPr="000264E9">
        <w:rPr>
          <w:rFonts w:ascii="Times New Roman" w:hAnsi="Times New Roman" w:cs="Times New Roman"/>
        </w:rPr>
        <w:t>μ</w:t>
      </w:r>
      <w:r>
        <w:rPr>
          <w:rFonts w:ascii="Times New Roman" w:hAnsi="Times New Roman" w:cs="Times New Roman"/>
        </w:rPr>
        <w:t>l of RNase H was added per sample and mixed thoroughly by vortexing. Samples were incubated for 45minutes at 37</w:t>
      </w:r>
      <w:r w:rsidRPr="000264E9">
        <w:rPr>
          <w:rFonts w:ascii="Times New Roman" w:hAnsi="Times New Roman" w:cs="Times New Roman"/>
        </w:rPr>
        <w:t>°C</w:t>
      </w:r>
      <w:r w:rsidR="00C45EF4">
        <w:rPr>
          <w:rFonts w:ascii="Times New Roman" w:hAnsi="Times New Roman" w:cs="Times New Roman"/>
        </w:rPr>
        <w:t>, then 5 minutes at 95</w:t>
      </w:r>
      <w:r w:rsidR="00C45EF4" w:rsidRPr="000264E9">
        <w:rPr>
          <w:rFonts w:ascii="Times New Roman" w:hAnsi="Times New Roman" w:cs="Times New Roman"/>
        </w:rPr>
        <w:t>°C</w:t>
      </w:r>
      <w:r w:rsidR="00C45EF4">
        <w:rPr>
          <w:rFonts w:ascii="Times New Roman" w:hAnsi="Times New Roman" w:cs="Times New Roman"/>
        </w:rPr>
        <w:t xml:space="preserve"> and 2 minutes at 4</w:t>
      </w:r>
      <w:r w:rsidR="00C45EF4" w:rsidRPr="000264E9">
        <w:rPr>
          <w:rFonts w:ascii="Times New Roman" w:hAnsi="Times New Roman" w:cs="Times New Roman"/>
        </w:rPr>
        <w:t>°C</w:t>
      </w:r>
      <w:r w:rsidR="00C45EF4">
        <w:rPr>
          <w:rFonts w:ascii="Times New Roman" w:hAnsi="Times New Roman" w:cs="Times New Roman"/>
        </w:rPr>
        <w:t>. 11</w:t>
      </w:r>
      <w:r w:rsidR="00C45EF4" w:rsidRPr="00C45EF4">
        <w:rPr>
          <w:rFonts w:ascii="Times New Roman" w:hAnsi="Times New Roman" w:cs="Times New Roman"/>
        </w:rPr>
        <w:t xml:space="preserve"> </w:t>
      </w:r>
      <w:r w:rsidR="00C45EF4" w:rsidRPr="000264E9">
        <w:rPr>
          <w:rFonts w:ascii="Times New Roman" w:hAnsi="Times New Roman" w:cs="Times New Roman"/>
        </w:rPr>
        <w:t>μ</w:t>
      </w:r>
      <w:r w:rsidR="00C45EF4">
        <w:rPr>
          <w:rFonts w:ascii="Times New Roman" w:hAnsi="Times New Roman" w:cs="Times New Roman"/>
        </w:rPr>
        <w:t>l of nuclease free water was added to each sample to make a final reaction volume of 55</w:t>
      </w:r>
      <w:r w:rsidR="00C45EF4" w:rsidRPr="00C45EF4">
        <w:rPr>
          <w:rFonts w:ascii="Times New Roman" w:hAnsi="Times New Roman" w:cs="Times New Roman"/>
        </w:rPr>
        <w:t xml:space="preserve"> </w:t>
      </w:r>
      <w:r w:rsidR="00C45EF4" w:rsidRPr="000264E9">
        <w:rPr>
          <w:rFonts w:ascii="Times New Roman" w:hAnsi="Times New Roman" w:cs="Times New Roman"/>
        </w:rPr>
        <w:t>μ</w:t>
      </w:r>
      <w:r w:rsidR="00C45EF4">
        <w:rPr>
          <w:rFonts w:ascii="Times New Roman" w:hAnsi="Times New Roman" w:cs="Times New Roman"/>
        </w:rPr>
        <w:t xml:space="preserve">l. </w:t>
      </w:r>
    </w:p>
    <w:p w14:paraId="0452CA74" w14:textId="77777777" w:rsidR="00A30247" w:rsidRPr="000264E9" w:rsidRDefault="00A30247" w:rsidP="0085074F">
      <w:pPr>
        <w:autoSpaceDE w:val="0"/>
        <w:autoSpaceDN w:val="0"/>
        <w:adjustRightInd w:val="0"/>
        <w:spacing w:line="360" w:lineRule="auto"/>
        <w:jc w:val="both"/>
        <w:rPr>
          <w:rFonts w:ascii="Times New Roman" w:hAnsi="Times New Roman" w:cs="Times New Roman"/>
        </w:rPr>
      </w:pPr>
    </w:p>
    <w:p w14:paraId="076F2846" w14:textId="23B22F54" w:rsidR="00815D50" w:rsidRPr="006473BF" w:rsidRDefault="00A30247" w:rsidP="0085074F">
      <w:pPr>
        <w:autoSpaceDE w:val="0"/>
        <w:autoSpaceDN w:val="0"/>
        <w:adjustRightInd w:val="0"/>
        <w:spacing w:line="360" w:lineRule="auto"/>
        <w:jc w:val="both"/>
        <w:rPr>
          <w:rFonts w:ascii="Times New Roman" w:hAnsi="Times New Roman" w:cs="Times New Roman"/>
          <w:b/>
        </w:rPr>
      </w:pPr>
      <w:r w:rsidRPr="006473BF">
        <w:rPr>
          <w:rFonts w:ascii="Times New Roman" w:hAnsi="Times New Roman" w:cs="Times New Roman"/>
          <w:b/>
        </w:rPr>
        <w:t>Second strand cD</w:t>
      </w:r>
      <w:r w:rsidR="00815D50" w:rsidRPr="006473BF">
        <w:rPr>
          <w:rFonts w:ascii="Times New Roman" w:hAnsi="Times New Roman" w:cs="Times New Roman"/>
          <w:b/>
        </w:rPr>
        <w:t>NA purification and assessment of yield</w:t>
      </w:r>
    </w:p>
    <w:p w14:paraId="05CE6FE1" w14:textId="4EBAD5B3" w:rsidR="00A30247" w:rsidRDefault="00A30247" w:rsidP="0085074F">
      <w:pPr>
        <w:autoSpaceDE w:val="0"/>
        <w:autoSpaceDN w:val="0"/>
        <w:adjustRightInd w:val="0"/>
        <w:spacing w:line="360" w:lineRule="auto"/>
        <w:jc w:val="both"/>
        <w:rPr>
          <w:rFonts w:ascii="Times New Roman" w:hAnsi="Times New Roman" w:cs="Times New Roman"/>
        </w:rPr>
      </w:pPr>
      <w:r>
        <w:rPr>
          <w:rFonts w:ascii="Times New Roman" w:hAnsi="Times New Roman" w:cs="Times New Roman"/>
        </w:rPr>
        <w:t>Following hydrolysis to remove template cRNA, the remaining cDNA was purified to remove enzymes, salts and unincorporated dNTPs. 100</w:t>
      </w:r>
      <w:r w:rsidRPr="00A30247">
        <w:rPr>
          <w:rFonts w:ascii="Times New Roman" w:hAnsi="Times New Roman" w:cs="Times New Roman"/>
        </w:rPr>
        <w:t xml:space="preserve"> </w:t>
      </w:r>
      <w:r w:rsidRPr="000264E9">
        <w:rPr>
          <w:rFonts w:ascii="Times New Roman" w:hAnsi="Times New Roman" w:cs="Times New Roman"/>
        </w:rPr>
        <w:t>μ</w:t>
      </w:r>
      <w:r w:rsidR="002C11AB">
        <w:rPr>
          <w:rFonts w:ascii="Times New Roman" w:hAnsi="Times New Roman" w:cs="Times New Roman"/>
        </w:rPr>
        <w:t xml:space="preserve">l </w:t>
      </w:r>
      <w:r>
        <w:rPr>
          <w:rFonts w:ascii="Times New Roman" w:hAnsi="Times New Roman" w:cs="Times New Roman"/>
        </w:rPr>
        <w:t>of purification beads are added to samples, which will be bound by ss-cDNA. 150</w:t>
      </w:r>
      <w:r w:rsidRPr="00A30247">
        <w:rPr>
          <w:rFonts w:ascii="Times New Roman" w:hAnsi="Times New Roman" w:cs="Times New Roman"/>
        </w:rPr>
        <w:t xml:space="preserve"> </w:t>
      </w:r>
      <w:r w:rsidRPr="000264E9">
        <w:rPr>
          <w:rFonts w:ascii="Times New Roman" w:hAnsi="Times New Roman" w:cs="Times New Roman"/>
        </w:rPr>
        <w:t>μ</w:t>
      </w:r>
      <w:r>
        <w:rPr>
          <w:rFonts w:ascii="Times New Roman" w:hAnsi="Times New Roman" w:cs="Times New Roman"/>
        </w:rPr>
        <w:t>l of 100% ethanol was incubated with the beads for 20 minutes before capturing the purification beads on a magnetic stand. Supernatant was carefully removed. Beads were washed with 80% ethanol and incubated for 30 seconds before discarding supernatant. This was repeated 3 times to ensure efficient purification of ss-cDNA.</w:t>
      </w:r>
      <w:r w:rsidR="00187E6B">
        <w:rPr>
          <w:rFonts w:ascii="Times New Roman" w:hAnsi="Times New Roman" w:cs="Times New Roman"/>
        </w:rPr>
        <w:t xml:space="preserve"> Pur</w:t>
      </w:r>
      <w:r w:rsidR="002C11AB">
        <w:rPr>
          <w:rFonts w:ascii="Times New Roman" w:hAnsi="Times New Roman" w:cs="Times New Roman"/>
        </w:rPr>
        <w:t>fication beads were left to air-</w:t>
      </w:r>
      <w:r w:rsidR="00187E6B">
        <w:rPr>
          <w:rFonts w:ascii="Times New Roman" w:hAnsi="Times New Roman" w:cs="Times New Roman"/>
        </w:rPr>
        <w:t>dry for 5 minutes before eluting ss-cDNA with 30</w:t>
      </w:r>
      <w:r w:rsidR="00187E6B" w:rsidRPr="00187E6B">
        <w:rPr>
          <w:rFonts w:ascii="Times New Roman" w:hAnsi="Times New Roman" w:cs="Times New Roman"/>
        </w:rPr>
        <w:t xml:space="preserve"> </w:t>
      </w:r>
      <w:r w:rsidR="00187E6B" w:rsidRPr="000264E9">
        <w:rPr>
          <w:rFonts w:ascii="Times New Roman" w:hAnsi="Times New Roman" w:cs="Times New Roman"/>
        </w:rPr>
        <w:t>μ</w:t>
      </w:r>
      <w:r w:rsidR="00187E6B">
        <w:rPr>
          <w:rFonts w:ascii="Times New Roman" w:hAnsi="Times New Roman" w:cs="Times New Roman"/>
        </w:rPr>
        <w:t>l of nuclease water heated to 65</w:t>
      </w:r>
      <w:r w:rsidR="00187E6B" w:rsidRPr="000264E9">
        <w:rPr>
          <w:rFonts w:ascii="Times New Roman" w:hAnsi="Times New Roman" w:cs="Times New Roman"/>
        </w:rPr>
        <w:t>°C</w:t>
      </w:r>
      <w:r w:rsidR="00187E6B">
        <w:rPr>
          <w:rFonts w:ascii="Times New Roman" w:hAnsi="Times New Roman" w:cs="Times New Roman"/>
        </w:rPr>
        <w:t>.</w:t>
      </w:r>
    </w:p>
    <w:p w14:paraId="7E93E1A5" w14:textId="77777777" w:rsidR="00C05B02" w:rsidRDefault="00C05B02" w:rsidP="0085074F">
      <w:pPr>
        <w:autoSpaceDE w:val="0"/>
        <w:autoSpaceDN w:val="0"/>
        <w:adjustRightInd w:val="0"/>
        <w:spacing w:line="360" w:lineRule="auto"/>
        <w:jc w:val="both"/>
        <w:rPr>
          <w:rFonts w:ascii="Times New Roman" w:hAnsi="Times New Roman" w:cs="Times New Roman"/>
          <w:b/>
        </w:rPr>
      </w:pPr>
    </w:p>
    <w:p w14:paraId="327FF3FF" w14:textId="788FF005" w:rsidR="00815D50" w:rsidRPr="006473BF" w:rsidRDefault="00815D50" w:rsidP="0085074F">
      <w:pPr>
        <w:autoSpaceDE w:val="0"/>
        <w:autoSpaceDN w:val="0"/>
        <w:adjustRightInd w:val="0"/>
        <w:spacing w:line="360" w:lineRule="auto"/>
        <w:jc w:val="both"/>
        <w:rPr>
          <w:rFonts w:ascii="Times New Roman" w:hAnsi="Times New Roman" w:cs="Times New Roman"/>
          <w:b/>
        </w:rPr>
      </w:pPr>
      <w:r w:rsidRPr="006473BF">
        <w:rPr>
          <w:rFonts w:ascii="Times New Roman" w:hAnsi="Times New Roman" w:cs="Times New Roman"/>
          <w:b/>
        </w:rPr>
        <w:t>ss-cDNA fragmentation and labelling</w:t>
      </w:r>
    </w:p>
    <w:p w14:paraId="25E6D472" w14:textId="5CCEEA4E" w:rsidR="00BE4FE9" w:rsidRPr="00BE4FE9" w:rsidRDefault="00BE4FE9" w:rsidP="0085074F">
      <w:pPr>
        <w:autoSpaceDE w:val="0"/>
        <w:autoSpaceDN w:val="0"/>
        <w:adjustRightInd w:val="0"/>
        <w:spacing w:line="360" w:lineRule="auto"/>
        <w:jc w:val="both"/>
        <w:rPr>
          <w:rFonts w:ascii="Times New Roman" w:hAnsi="Times New Roman" w:cs="Times New Roman"/>
        </w:rPr>
      </w:pPr>
      <w:r>
        <w:rPr>
          <w:rFonts w:ascii="Times New Roman" w:hAnsi="Times New Roman" w:cs="Times New Roman"/>
        </w:rPr>
        <w:t>The unnatural dUTP residues previously incorporated into the samples act as fragmentation points for uracil-DNA glycosylase (UDG) and apurinic/apyrimidinic endonuclease 1 (APE1).  5.5</w:t>
      </w:r>
      <w:r w:rsidRPr="000264E9">
        <w:rPr>
          <w:rFonts w:ascii="Times New Roman" w:hAnsi="Times New Roman" w:cs="Times New Roman"/>
        </w:rPr>
        <w:t>μ</w:t>
      </w:r>
      <w:r>
        <w:rPr>
          <w:rFonts w:ascii="Times New Roman" w:hAnsi="Times New Roman" w:cs="Times New Roman"/>
        </w:rPr>
        <w:t xml:space="preserve">g of fragmented cDNA was labelled by deoxynucleotidyl transferase (TdT) using the labeling reagent provided with the kit that is covalently linked to biotin. </w:t>
      </w:r>
      <w:r w:rsidR="009E1EA9">
        <w:rPr>
          <w:rFonts w:ascii="Times New Roman" w:hAnsi="Times New Roman" w:cs="Times New Roman"/>
        </w:rPr>
        <w:t>The fragmentation master mix was prepared by combining 10</w:t>
      </w:r>
      <w:r w:rsidR="009E1EA9" w:rsidRPr="000264E9">
        <w:rPr>
          <w:rFonts w:ascii="Times New Roman" w:hAnsi="Times New Roman" w:cs="Times New Roman"/>
        </w:rPr>
        <w:t>μ</w:t>
      </w:r>
      <w:r w:rsidR="009E1EA9">
        <w:rPr>
          <w:rFonts w:ascii="Times New Roman" w:hAnsi="Times New Roman" w:cs="Times New Roman"/>
        </w:rPr>
        <w:t>l of nuclease-free water, 10x cDNA fragmentation buffer, 10U/</w:t>
      </w:r>
      <w:r w:rsidR="009E1EA9" w:rsidRPr="000264E9">
        <w:rPr>
          <w:rFonts w:ascii="Times New Roman" w:hAnsi="Times New Roman" w:cs="Times New Roman"/>
        </w:rPr>
        <w:t>μ</w:t>
      </w:r>
      <w:r w:rsidR="009E1EA9">
        <w:rPr>
          <w:rFonts w:ascii="Times New Roman" w:hAnsi="Times New Roman" w:cs="Times New Roman"/>
        </w:rPr>
        <w:t>l UDG and 1, 1,000U/</w:t>
      </w:r>
      <w:r w:rsidR="009E1EA9" w:rsidRPr="000264E9">
        <w:rPr>
          <w:rFonts w:ascii="Times New Roman" w:hAnsi="Times New Roman" w:cs="Times New Roman"/>
        </w:rPr>
        <w:t>μ</w:t>
      </w:r>
      <w:r w:rsidR="009E1EA9">
        <w:rPr>
          <w:rFonts w:ascii="Times New Roman" w:hAnsi="Times New Roman" w:cs="Times New Roman"/>
        </w:rPr>
        <w:t>l of APE1. This was mixed thoroughly before adding 16.8</w:t>
      </w:r>
      <w:r w:rsidR="009E1EA9" w:rsidRPr="000264E9">
        <w:rPr>
          <w:rFonts w:ascii="Times New Roman" w:hAnsi="Times New Roman" w:cs="Times New Roman"/>
        </w:rPr>
        <w:t>μ</w:t>
      </w:r>
      <w:r w:rsidR="009E1EA9">
        <w:rPr>
          <w:rFonts w:ascii="Times New Roman" w:hAnsi="Times New Roman" w:cs="Times New Roman"/>
        </w:rPr>
        <w:t>l of the master mix to each purified sample of ss-cDNA and incubating for 1 hour at 37</w:t>
      </w:r>
      <w:r w:rsidR="009E1EA9" w:rsidRPr="000264E9">
        <w:rPr>
          <w:rFonts w:ascii="Times New Roman" w:hAnsi="Times New Roman" w:cs="Times New Roman"/>
        </w:rPr>
        <w:t>°C</w:t>
      </w:r>
      <w:r w:rsidR="009E1EA9">
        <w:rPr>
          <w:rFonts w:ascii="Times New Roman" w:hAnsi="Times New Roman" w:cs="Times New Roman"/>
        </w:rPr>
        <w:t>, 2 minutes at 93</w:t>
      </w:r>
      <w:r w:rsidR="009E1EA9" w:rsidRPr="000264E9">
        <w:rPr>
          <w:rFonts w:ascii="Times New Roman" w:hAnsi="Times New Roman" w:cs="Times New Roman"/>
        </w:rPr>
        <w:t>°C</w:t>
      </w:r>
      <w:r w:rsidR="009E1EA9">
        <w:rPr>
          <w:rFonts w:ascii="Times New Roman" w:hAnsi="Times New Roman" w:cs="Times New Roman"/>
        </w:rPr>
        <w:t xml:space="preserve"> and 2 minutes at 4</w:t>
      </w:r>
      <w:r w:rsidR="009E1EA9" w:rsidRPr="000264E9">
        <w:rPr>
          <w:rFonts w:ascii="Times New Roman" w:hAnsi="Times New Roman" w:cs="Times New Roman"/>
        </w:rPr>
        <w:t>°C</w:t>
      </w:r>
      <w:r w:rsidR="009E1EA9">
        <w:rPr>
          <w:rFonts w:ascii="Times New Roman" w:hAnsi="Times New Roman" w:cs="Times New Roman"/>
        </w:rPr>
        <w:t>. Fragmentation was assessed using the Agilent 2100 Bioanalyser (Agilent Technologies Ltd.). The suggested fragments should be 40-70 nucleotides.</w:t>
      </w:r>
    </w:p>
    <w:p w14:paraId="44F7DA97" w14:textId="77777777" w:rsidR="00815D50" w:rsidRDefault="00815D50" w:rsidP="0085074F">
      <w:pPr>
        <w:autoSpaceDE w:val="0"/>
        <w:autoSpaceDN w:val="0"/>
        <w:adjustRightInd w:val="0"/>
        <w:spacing w:line="360" w:lineRule="auto"/>
        <w:jc w:val="both"/>
        <w:rPr>
          <w:rFonts w:ascii="Times New Roman" w:hAnsi="Times New Roman" w:cs="Times New Roman"/>
          <w:b/>
          <w:u w:val="single"/>
        </w:rPr>
      </w:pPr>
    </w:p>
    <w:p w14:paraId="02C744F2" w14:textId="17FE9B3A" w:rsidR="00815D50" w:rsidRPr="006473BF" w:rsidRDefault="00815D50" w:rsidP="0085074F">
      <w:pPr>
        <w:autoSpaceDE w:val="0"/>
        <w:autoSpaceDN w:val="0"/>
        <w:adjustRightInd w:val="0"/>
        <w:spacing w:line="360" w:lineRule="auto"/>
        <w:jc w:val="both"/>
        <w:rPr>
          <w:rFonts w:ascii="Times New Roman" w:hAnsi="Times New Roman" w:cs="Times New Roman"/>
          <w:b/>
        </w:rPr>
      </w:pPr>
      <w:r w:rsidRPr="006473BF">
        <w:rPr>
          <w:rFonts w:ascii="Times New Roman" w:hAnsi="Times New Roman" w:cs="Times New Roman"/>
          <w:b/>
        </w:rPr>
        <w:t>Gel-shift assay</w:t>
      </w:r>
    </w:p>
    <w:p w14:paraId="1D95D112" w14:textId="26E04CE5" w:rsidR="003E78AF" w:rsidRPr="002C11AB" w:rsidRDefault="003E78AF" w:rsidP="0085074F">
      <w:pPr>
        <w:autoSpaceDE w:val="0"/>
        <w:autoSpaceDN w:val="0"/>
        <w:adjustRightInd w:val="0"/>
        <w:spacing w:line="360" w:lineRule="auto"/>
        <w:jc w:val="both"/>
        <w:rPr>
          <w:rFonts w:ascii="Times New Roman" w:hAnsi="Times New Roman" w:cs="Times New Roman"/>
        </w:rPr>
      </w:pPr>
      <w:r w:rsidRPr="002C11AB">
        <w:rPr>
          <w:rFonts w:ascii="Times New Roman" w:hAnsi="Times New Roman" w:cs="Times New Roman"/>
        </w:rPr>
        <w:t>To verify labelling of fragmented ss-cDNA, a gel shift assay was carried out. NeutrAvidin</w:t>
      </w:r>
      <w:r w:rsidR="0059386B" w:rsidRPr="002C11AB">
        <w:rPr>
          <w:rFonts w:ascii="Times New Roman" w:hAnsi="Times New Roman" w:cs="Times New Roman"/>
        </w:rPr>
        <w:t xml:space="preserve"> was prepared at 2mg/ml in PBS.</w:t>
      </w:r>
      <w:r w:rsidR="001303F3" w:rsidRPr="002C11AB">
        <w:rPr>
          <w:rFonts w:ascii="Times New Roman" w:hAnsi="Times New Roman" w:cs="Times New Roman"/>
        </w:rPr>
        <w:t xml:space="preserve"> Neutravidin binds to biotin and slows the movement of biotin-labelled ss-cDNA movement during gel electrophoresis. Fragmented biotin-labelled ss-cDNA was pre-heated to 70°C for 2 minutes before adding 5 μl of 2mg/ml of neutravidin solution or PBS to act as a negative control. Samples were mixed after a 5 minute incubation at room temperature and loaded on a 4-20 % TBE Gel, 1.0 mm and ran for 2 hours at 100V. The gel was subsequently stained with 0.001% (w/v) ethidium bromide in TAE buffer (40mM Tris, 40mM Acetate, 1mM EDTA, pH 8.0) for 30 minutes at room temperature on a shaker. After, the gel was imaged on the GENi UV light imagine system (Syngene).</w:t>
      </w:r>
    </w:p>
    <w:p w14:paraId="470CFA74" w14:textId="77777777" w:rsidR="00815D50" w:rsidRPr="006473BF" w:rsidRDefault="00815D50" w:rsidP="0085074F">
      <w:pPr>
        <w:autoSpaceDE w:val="0"/>
        <w:autoSpaceDN w:val="0"/>
        <w:adjustRightInd w:val="0"/>
        <w:spacing w:line="360" w:lineRule="auto"/>
        <w:jc w:val="both"/>
        <w:rPr>
          <w:rFonts w:ascii="Times New Roman" w:hAnsi="Times New Roman" w:cs="Times New Roman"/>
          <w:b/>
        </w:rPr>
      </w:pPr>
    </w:p>
    <w:p w14:paraId="41F959F3" w14:textId="0BA749A2" w:rsidR="00D0137C" w:rsidRPr="006473BF" w:rsidRDefault="00B833FD" w:rsidP="0085074F">
      <w:pPr>
        <w:autoSpaceDE w:val="0"/>
        <w:autoSpaceDN w:val="0"/>
        <w:adjustRightInd w:val="0"/>
        <w:spacing w:line="360" w:lineRule="auto"/>
        <w:jc w:val="both"/>
        <w:rPr>
          <w:rFonts w:ascii="Times New Roman" w:hAnsi="Times New Roman" w:cs="Times New Roman"/>
          <w:b/>
          <w:color w:val="000000" w:themeColor="text1"/>
        </w:rPr>
      </w:pPr>
      <w:r w:rsidRPr="006473BF">
        <w:rPr>
          <w:rFonts w:ascii="Times New Roman" w:hAnsi="Times New Roman" w:cs="Times New Roman"/>
          <w:b/>
          <w:color w:val="000000" w:themeColor="text1"/>
        </w:rPr>
        <w:t>WT-Array Hybridisation</w:t>
      </w:r>
    </w:p>
    <w:p w14:paraId="4663F39A" w14:textId="67428A80" w:rsidR="00817489" w:rsidRDefault="00817489" w:rsidP="0085074F">
      <w:pPr>
        <w:autoSpaceDE w:val="0"/>
        <w:autoSpaceDN w:val="0"/>
        <w:adjustRightInd w:val="0"/>
        <w:spacing w:line="360" w:lineRule="auto"/>
        <w:jc w:val="both"/>
        <w:rPr>
          <w:rFonts w:ascii="Times New Roman" w:hAnsi="Times New Roman" w:cs="Times New Roman"/>
        </w:rPr>
      </w:pPr>
      <w:r>
        <w:rPr>
          <w:rFonts w:ascii="Times New Roman" w:hAnsi="Times New Roman" w:cs="Times New Roman"/>
          <w:color w:val="000000" w:themeColor="text1"/>
        </w:rPr>
        <w:t>Fragmented a</w:t>
      </w:r>
      <w:r w:rsidR="00E60CD6">
        <w:rPr>
          <w:rFonts w:ascii="Times New Roman" w:hAnsi="Times New Roman" w:cs="Times New Roman"/>
          <w:color w:val="000000" w:themeColor="text1"/>
        </w:rPr>
        <w:t>nd labelled ss-cDNA was hybridis</w:t>
      </w:r>
      <w:r>
        <w:rPr>
          <w:rFonts w:ascii="Times New Roman" w:hAnsi="Times New Roman" w:cs="Times New Roman"/>
          <w:color w:val="000000" w:themeColor="text1"/>
        </w:rPr>
        <w:t xml:space="preserve">ed to </w:t>
      </w:r>
      <w:r w:rsidRPr="00DA7445">
        <w:rPr>
          <w:rFonts w:ascii="Times New Roman" w:hAnsi="Times New Roman" w:cs="Times New Roman"/>
        </w:rPr>
        <w:t>GeneChip®</w:t>
      </w:r>
      <w:r>
        <w:rPr>
          <w:rFonts w:ascii="Times New Roman" w:hAnsi="Times New Roman" w:cs="Times New Roman"/>
        </w:rPr>
        <w:t xml:space="preserve"> Human Gene ST</w:t>
      </w:r>
      <w:r w:rsidR="003823ED">
        <w:rPr>
          <w:rFonts w:ascii="Times New Roman" w:hAnsi="Times New Roman" w:cs="Times New Roman"/>
        </w:rPr>
        <w:t xml:space="preserve"> (GST)</w:t>
      </w:r>
      <w:r>
        <w:rPr>
          <w:rFonts w:ascii="Times New Roman" w:hAnsi="Times New Roman" w:cs="Times New Roman"/>
        </w:rPr>
        <w:t xml:space="preserve"> Arrays using the </w:t>
      </w:r>
      <w:r w:rsidRPr="00DA7445">
        <w:rPr>
          <w:rFonts w:ascii="Times New Roman" w:hAnsi="Times New Roman" w:cs="Times New Roman"/>
        </w:rPr>
        <w:t>GeneChip®</w:t>
      </w:r>
      <w:r>
        <w:rPr>
          <w:rFonts w:ascii="Times New Roman" w:hAnsi="Times New Roman" w:cs="Times New Roman"/>
        </w:rPr>
        <w:t xml:space="preserve"> Hybridisation, Wash and Stain Kit. All samples were hybridised </w:t>
      </w:r>
      <w:r w:rsidR="003823ED">
        <w:rPr>
          <w:rFonts w:ascii="Times New Roman" w:hAnsi="Times New Roman" w:cs="Times New Roman"/>
        </w:rPr>
        <w:t>to</w:t>
      </w:r>
      <w:r>
        <w:rPr>
          <w:rFonts w:ascii="Times New Roman" w:hAnsi="Times New Roman" w:cs="Times New Roman"/>
        </w:rPr>
        <w:t xml:space="preserve"> arrays on the same day. Hybrid</w:t>
      </w:r>
      <w:r w:rsidR="003823ED">
        <w:rPr>
          <w:rFonts w:ascii="Times New Roman" w:hAnsi="Times New Roman" w:cs="Times New Roman"/>
        </w:rPr>
        <w:t xml:space="preserve">isation master mix was prepared </w:t>
      </w:r>
      <w:r>
        <w:rPr>
          <w:rFonts w:ascii="Times New Roman" w:hAnsi="Times New Roman" w:cs="Times New Roman"/>
        </w:rPr>
        <w:t>by combining</w:t>
      </w:r>
      <w:r w:rsidR="00E60CD6">
        <w:rPr>
          <w:rFonts w:ascii="Times New Roman" w:hAnsi="Times New Roman" w:cs="Times New Roman"/>
        </w:rPr>
        <w:t>: control oligo B2, 20x hybridis</w:t>
      </w:r>
      <w:r>
        <w:rPr>
          <w:rFonts w:ascii="Times New Roman" w:hAnsi="Times New Roman" w:cs="Times New Roman"/>
        </w:rPr>
        <w:t xml:space="preserve">ation controls (bioB, bioC, bioD, cre) </w:t>
      </w:r>
      <w:r w:rsidR="003823ED">
        <w:rPr>
          <w:rFonts w:ascii="Times New Roman" w:hAnsi="Times New Roman" w:cs="Times New Roman"/>
        </w:rPr>
        <w:t xml:space="preserve">heated to </w:t>
      </w:r>
      <w:r>
        <w:rPr>
          <w:rFonts w:ascii="Times New Roman" w:hAnsi="Times New Roman" w:cs="Times New Roman"/>
        </w:rPr>
        <w:t>65</w:t>
      </w:r>
      <w:r w:rsidRPr="000264E9">
        <w:rPr>
          <w:rFonts w:ascii="Times New Roman" w:hAnsi="Times New Roman" w:cs="Times New Roman"/>
        </w:rPr>
        <w:t>°C</w:t>
      </w:r>
      <w:r w:rsidR="00E60CD6">
        <w:rPr>
          <w:rFonts w:ascii="Times New Roman" w:hAnsi="Times New Roman" w:cs="Times New Roman"/>
        </w:rPr>
        <w:t>, 2x hybridis</w:t>
      </w:r>
      <w:r w:rsidR="003823ED">
        <w:rPr>
          <w:rFonts w:ascii="Times New Roman" w:hAnsi="Times New Roman" w:cs="Times New Roman"/>
        </w:rPr>
        <w:t>ation mix, DMSO and nuclease-free water in volumes according to the manufacturer’s protocol. This was mixed thoroughly and centrifuged before adding to fragmented an</w:t>
      </w:r>
      <w:r w:rsidR="00E60CD6">
        <w:rPr>
          <w:rFonts w:ascii="Times New Roman" w:hAnsi="Times New Roman" w:cs="Times New Roman"/>
        </w:rPr>
        <w:t>d labelled ss-cDNA. The hybridis</w:t>
      </w:r>
      <w:r w:rsidR="003823ED">
        <w:rPr>
          <w:rFonts w:ascii="Times New Roman" w:hAnsi="Times New Roman" w:cs="Times New Roman"/>
        </w:rPr>
        <w:t>ation cocktail was then incubated for 5 minutes at 99</w:t>
      </w:r>
      <w:r w:rsidR="003823ED" w:rsidRPr="000264E9">
        <w:rPr>
          <w:rFonts w:ascii="Times New Roman" w:hAnsi="Times New Roman" w:cs="Times New Roman"/>
        </w:rPr>
        <w:t>°C</w:t>
      </w:r>
      <w:r w:rsidR="003823ED">
        <w:rPr>
          <w:rFonts w:ascii="Times New Roman" w:hAnsi="Times New Roman" w:cs="Times New Roman"/>
        </w:rPr>
        <w:t>, then 5 minutes at 45</w:t>
      </w:r>
      <w:r w:rsidR="003823ED" w:rsidRPr="000264E9">
        <w:rPr>
          <w:rFonts w:ascii="Times New Roman" w:hAnsi="Times New Roman" w:cs="Times New Roman"/>
        </w:rPr>
        <w:t>°C</w:t>
      </w:r>
      <w:r w:rsidR="003823ED">
        <w:rPr>
          <w:rFonts w:ascii="Times New Roman" w:hAnsi="Times New Roman" w:cs="Times New Roman"/>
        </w:rPr>
        <w:t xml:space="preserve"> in a thermal cycler. Samples were then injected and hybridised onto </w:t>
      </w:r>
      <w:r w:rsidR="003823ED" w:rsidRPr="00DA7445">
        <w:rPr>
          <w:rFonts w:ascii="Times New Roman" w:hAnsi="Times New Roman" w:cs="Times New Roman"/>
        </w:rPr>
        <w:t>GeneChip®</w:t>
      </w:r>
      <w:r w:rsidR="003823ED">
        <w:rPr>
          <w:rFonts w:ascii="Times New Roman" w:hAnsi="Times New Roman" w:cs="Times New Roman"/>
        </w:rPr>
        <w:t xml:space="preserve"> Human GST cartridges and incubated in a </w:t>
      </w:r>
      <w:r w:rsidR="003823ED" w:rsidRPr="00DA7445">
        <w:rPr>
          <w:rFonts w:ascii="Times New Roman" w:hAnsi="Times New Roman" w:cs="Times New Roman"/>
        </w:rPr>
        <w:t>GeneChip®</w:t>
      </w:r>
      <w:r w:rsidR="00E60CD6">
        <w:rPr>
          <w:rFonts w:ascii="Times New Roman" w:hAnsi="Times New Roman" w:cs="Times New Roman"/>
        </w:rPr>
        <w:t xml:space="preserve"> hybridis</w:t>
      </w:r>
      <w:r w:rsidR="003823ED">
        <w:rPr>
          <w:rFonts w:ascii="Times New Roman" w:hAnsi="Times New Roman" w:cs="Times New Roman"/>
        </w:rPr>
        <w:t>ation oven 645 at 16rpm for 16 hours at 45</w:t>
      </w:r>
      <w:r w:rsidR="003823ED" w:rsidRPr="000264E9">
        <w:rPr>
          <w:rFonts w:ascii="Times New Roman" w:hAnsi="Times New Roman" w:cs="Times New Roman"/>
        </w:rPr>
        <w:t>°C</w:t>
      </w:r>
      <w:r w:rsidR="003823ED">
        <w:rPr>
          <w:rFonts w:ascii="Times New Roman" w:hAnsi="Times New Roman" w:cs="Times New Roman"/>
        </w:rPr>
        <w:t>.</w:t>
      </w:r>
    </w:p>
    <w:p w14:paraId="26FD302E" w14:textId="68D7A337" w:rsidR="003823ED" w:rsidRDefault="003823ED" w:rsidP="0085074F">
      <w:pPr>
        <w:autoSpaceDE w:val="0"/>
        <w:autoSpaceDN w:val="0"/>
        <w:adjustRightInd w:val="0"/>
        <w:spacing w:line="360" w:lineRule="auto"/>
        <w:jc w:val="both"/>
        <w:rPr>
          <w:rFonts w:ascii="Times New Roman" w:hAnsi="Times New Roman" w:cs="Times New Roman"/>
        </w:rPr>
      </w:pPr>
      <w:r>
        <w:rPr>
          <w:rFonts w:ascii="Times New Roman" w:hAnsi="Times New Roman" w:cs="Times New Roman"/>
        </w:rPr>
        <w:t>A</w:t>
      </w:r>
      <w:r w:rsidR="00E60CD6">
        <w:rPr>
          <w:rFonts w:ascii="Times New Roman" w:hAnsi="Times New Roman" w:cs="Times New Roman"/>
        </w:rPr>
        <w:t>fter hybridisation, the hybridis</w:t>
      </w:r>
      <w:r>
        <w:rPr>
          <w:rFonts w:ascii="Times New Roman" w:hAnsi="Times New Roman" w:cs="Times New Roman"/>
        </w:rPr>
        <w:t>ation cocktail</w:t>
      </w:r>
      <w:r w:rsidR="00D161F0">
        <w:rPr>
          <w:rFonts w:ascii="Times New Roman" w:hAnsi="Times New Roman" w:cs="Times New Roman"/>
        </w:rPr>
        <w:t xml:space="preserve"> was removed and a</w:t>
      </w:r>
      <w:r>
        <w:rPr>
          <w:rFonts w:ascii="Times New Roman" w:hAnsi="Times New Roman" w:cs="Times New Roman"/>
        </w:rPr>
        <w:t xml:space="preserve"> series of washes was performed according to the Fluidics Protocol (FS450_0002). Scanning was performed on </w:t>
      </w:r>
      <w:r w:rsidRPr="00DA7445">
        <w:rPr>
          <w:rFonts w:ascii="Times New Roman" w:hAnsi="Times New Roman" w:cs="Times New Roman"/>
        </w:rPr>
        <w:t>GeneChip®</w:t>
      </w:r>
      <w:r>
        <w:rPr>
          <w:rFonts w:ascii="Times New Roman" w:hAnsi="Times New Roman" w:cs="Times New Roman"/>
        </w:rPr>
        <w:t xml:space="preserve"> Scanner 3000 and the </w:t>
      </w:r>
      <w:r w:rsidRPr="00DA7445">
        <w:rPr>
          <w:rFonts w:ascii="Times New Roman" w:hAnsi="Times New Roman" w:cs="Times New Roman"/>
        </w:rPr>
        <w:t>GeneChip®</w:t>
      </w:r>
      <w:r>
        <w:rPr>
          <w:rFonts w:ascii="Times New Roman" w:hAnsi="Times New Roman" w:cs="Times New Roman"/>
        </w:rPr>
        <w:t xml:space="preserve"> expression console generated CEL files, which correlated to raw signal intensity values.</w:t>
      </w:r>
    </w:p>
    <w:p w14:paraId="7DD2CA11" w14:textId="77777777" w:rsidR="00292ACC" w:rsidRDefault="00292ACC" w:rsidP="00292ACC">
      <w:pPr>
        <w:autoSpaceDE w:val="0"/>
        <w:autoSpaceDN w:val="0"/>
        <w:adjustRightInd w:val="0"/>
        <w:spacing w:line="360" w:lineRule="auto"/>
        <w:jc w:val="both"/>
        <w:rPr>
          <w:rFonts w:ascii="Times New Roman" w:hAnsi="Times New Roman" w:cs="Times New Roman"/>
          <w:b/>
          <w:lang w:val="en-GB"/>
        </w:rPr>
      </w:pPr>
    </w:p>
    <w:p w14:paraId="75057E7B" w14:textId="77777777" w:rsidR="00292ACC" w:rsidRPr="006473BF" w:rsidRDefault="00292ACC" w:rsidP="00292ACC">
      <w:pPr>
        <w:autoSpaceDE w:val="0"/>
        <w:autoSpaceDN w:val="0"/>
        <w:adjustRightInd w:val="0"/>
        <w:spacing w:line="360" w:lineRule="auto"/>
        <w:jc w:val="both"/>
        <w:rPr>
          <w:rFonts w:ascii="Times New Roman" w:hAnsi="Times New Roman" w:cs="Times New Roman"/>
          <w:b/>
          <w:lang w:val="en-GB"/>
        </w:rPr>
      </w:pPr>
      <w:r w:rsidRPr="006473BF">
        <w:rPr>
          <w:rFonts w:ascii="Times New Roman" w:hAnsi="Times New Roman" w:cs="Times New Roman"/>
          <w:b/>
          <w:lang w:val="en-GB"/>
        </w:rPr>
        <w:t>QuantiTect Whole Transriptome</w:t>
      </w:r>
    </w:p>
    <w:p w14:paraId="1199F656" w14:textId="2D635C24" w:rsidR="00292ACC" w:rsidRDefault="00292ACC" w:rsidP="00292ACC">
      <w:pPr>
        <w:autoSpaceDE w:val="0"/>
        <w:autoSpaceDN w:val="0"/>
        <w:adjustRightInd w:val="0"/>
        <w:spacing w:line="360" w:lineRule="auto"/>
        <w:jc w:val="both"/>
        <w:rPr>
          <w:rFonts w:ascii="Times New Roman" w:hAnsi="Times New Roman" w:cs="Times New Roman"/>
          <w:lang w:val="en-GB"/>
        </w:rPr>
      </w:pPr>
      <w:r>
        <w:rPr>
          <w:rFonts w:ascii="Times New Roman" w:hAnsi="Times New Roman" w:cs="Times New Roman"/>
          <w:lang w:val="en-GB"/>
        </w:rPr>
        <w:t xml:space="preserve">To validate candidate genes identified in </w:t>
      </w:r>
      <w:r w:rsidR="00B8782A">
        <w:rPr>
          <w:rFonts w:ascii="Times New Roman" w:hAnsi="Times New Roman" w:cs="Times New Roman"/>
          <w:lang w:val="en-GB"/>
        </w:rPr>
        <w:t>the microarray, FACS</w:t>
      </w:r>
      <w:r>
        <w:rPr>
          <w:rFonts w:ascii="Times New Roman" w:hAnsi="Times New Roman" w:cs="Times New Roman"/>
          <w:lang w:val="en-GB"/>
        </w:rPr>
        <w:t xml:space="preserve"> sorted astrocyte RNA needed to be amplified. The QuantiTect Whole Transcriptome kit enables the preamplification and reverse transcription of limited amounts of RNA to generate high yields of cDNA. 40ng of Astrocyte RNA was incorporated in the amplification reaction. RNA was reverse transcribed by combining 4μl T-script buffer and 1μl T-script enzyme and adding to each 5μl of sample. Reaction mixes were incubated on a thermal cycler at 37°C for 30 minutes and stopped by incubating at 95°C for 5 minutes. A ligation mix was prepared by adding 6μl ligation buffer, 2μl ligation reagent, 1μl ligation enzyme 1 and 1μl ligation enzyme 2. The 10μl ligation mix was then added to each of the reverse transcription mixes and incubated at 22°C for 2 hours. An amplification mix was then prepared by combining 29μl REPLI-g Midi Reaction Buffer and 1μl REPLI-g Midi DNA polymerase. 30μl of amplification mix was then added to each ligation reaction, vortexed and centrifuged before incubating at 30°C for 4 hours. The reaction was stopped by heating the samples at 95°C for 5 minutes. Undiluted samples were </w:t>
      </w:r>
      <w:r w:rsidR="00967133">
        <w:rPr>
          <w:rFonts w:ascii="Times New Roman" w:hAnsi="Times New Roman" w:cs="Times New Roman"/>
          <w:lang w:val="en-GB"/>
        </w:rPr>
        <w:t>stored at -20°C until used for q</w:t>
      </w:r>
      <w:r>
        <w:rPr>
          <w:rFonts w:ascii="Times New Roman" w:hAnsi="Times New Roman" w:cs="Times New Roman"/>
          <w:lang w:val="en-GB"/>
        </w:rPr>
        <w:t>RT-PCR.</w:t>
      </w:r>
    </w:p>
    <w:p w14:paraId="5A8BF2C5" w14:textId="77777777" w:rsidR="00292ACC" w:rsidRPr="00EA3B9C" w:rsidRDefault="00292ACC" w:rsidP="00292ACC">
      <w:pPr>
        <w:autoSpaceDE w:val="0"/>
        <w:autoSpaceDN w:val="0"/>
        <w:adjustRightInd w:val="0"/>
        <w:spacing w:line="360" w:lineRule="auto"/>
        <w:jc w:val="both"/>
        <w:rPr>
          <w:rFonts w:ascii="Times New Roman" w:hAnsi="Times New Roman" w:cs="Times New Roman"/>
          <w:b/>
          <w:color w:val="FF0000"/>
          <w:u w:val="single"/>
          <w:lang w:val="en-GB"/>
        </w:rPr>
      </w:pPr>
    </w:p>
    <w:p w14:paraId="45ED4BE1" w14:textId="77777777" w:rsidR="00292ACC" w:rsidRPr="006473BF" w:rsidRDefault="00292ACC" w:rsidP="00292ACC">
      <w:pPr>
        <w:autoSpaceDE w:val="0"/>
        <w:autoSpaceDN w:val="0"/>
        <w:adjustRightInd w:val="0"/>
        <w:spacing w:line="360" w:lineRule="auto"/>
        <w:jc w:val="both"/>
        <w:rPr>
          <w:rFonts w:ascii="Times New Roman" w:hAnsi="Times New Roman" w:cs="Times New Roman"/>
          <w:b/>
          <w:color w:val="000000" w:themeColor="text1"/>
          <w:lang w:val="en-GB"/>
        </w:rPr>
      </w:pPr>
      <w:r w:rsidRPr="006473BF">
        <w:rPr>
          <w:rFonts w:ascii="Times New Roman" w:hAnsi="Times New Roman" w:cs="Times New Roman"/>
          <w:b/>
          <w:color w:val="000000" w:themeColor="text1"/>
          <w:lang w:val="en-GB"/>
        </w:rPr>
        <w:t>Qubit® fluorometer</w:t>
      </w:r>
    </w:p>
    <w:p w14:paraId="70009DEB" w14:textId="77777777" w:rsidR="00292ACC" w:rsidRDefault="00292ACC" w:rsidP="00292ACC">
      <w:pPr>
        <w:autoSpaceDE w:val="0"/>
        <w:autoSpaceDN w:val="0"/>
        <w:adjustRightInd w:val="0"/>
        <w:spacing w:line="360" w:lineRule="auto"/>
        <w:jc w:val="both"/>
        <w:rPr>
          <w:rFonts w:ascii="Times New Roman" w:hAnsi="Times New Roman" w:cs="Times New Roman"/>
          <w:lang w:val="en-GB"/>
        </w:rPr>
      </w:pPr>
      <w:r>
        <w:rPr>
          <w:rFonts w:ascii="Times New Roman" w:hAnsi="Times New Roman" w:cs="Times New Roman"/>
          <w:lang w:val="en-GB"/>
        </w:rPr>
        <w:t xml:space="preserve">The </w:t>
      </w:r>
      <w:r w:rsidRPr="00267D0A">
        <w:rPr>
          <w:rFonts w:ascii="Times New Roman" w:hAnsi="Times New Roman" w:cs="Times New Roman"/>
          <w:color w:val="000000" w:themeColor="text1"/>
          <w:lang w:val="en-GB"/>
        </w:rPr>
        <w:t>Qubit®</w:t>
      </w:r>
      <w:r w:rsidRPr="00267D0A">
        <w:rPr>
          <w:rFonts w:ascii="Times New Roman" w:hAnsi="Times New Roman" w:cs="Times New Roman"/>
          <w:lang w:val="en-GB"/>
        </w:rPr>
        <w:t xml:space="preserve"> </w:t>
      </w:r>
      <w:r>
        <w:rPr>
          <w:rFonts w:ascii="Times New Roman" w:hAnsi="Times New Roman" w:cs="Times New Roman"/>
          <w:lang w:val="en-GB"/>
        </w:rPr>
        <w:t>was used to assess the amount of amplified cDNA following use of the QuantiTect® Whole Transcriptome kit.</w:t>
      </w:r>
    </w:p>
    <w:p w14:paraId="2B51D7DC" w14:textId="77777777" w:rsidR="00292ACC" w:rsidRPr="000D6007" w:rsidRDefault="00292ACC" w:rsidP="00292ACC">
      <w:pPr>
        <w:autoSpaceDE w:val="0"/>
        <w:autoSpaceDN w:val="0"/>
        <w:adjustRightInd w:val="0"/>
        <w:spacing w:line="360" w:lineRule="auto"/>
        <w:jc w:val="both"/>
        <w:rPr>
          <w:rFonts w:ascii="Times New Roman" w:hAnsi="Times New Roman" w:cs="Times New Roman"/>
          <w:lang w:val="en-GB"/>
        </w:rPr>
      </w:pPr>
      <w:r>
        <w:rPr>
          <w:rFonts w:ascii="Times New Roman" w:hAnsi="Times New Roman" w:cs="Times New Roman"/>
          <w:lang w:val="en-GB"/>
        </w:rPr>
        <w:t xml:space="preserve">The </w:t>
      </w:r>
      <w:r w:rsidRPr="00267D0A">
        <w:rPr>
          <w:rFonts w:ascii="Times New Roman" w:hAnsi="Times New Roman" w:cs="Times New Roman"/>
          <w:color w:val="000000" w:themeColor="text1"/>
          <w:lang w:val="en-GB"/>
        </w:rPr>
        <w:t>Qubit®</w:t>
      </w:r>
      <w:r>
        <w:rPr>
          <w:rFonts w:ascii="Times New Roman" w:hAnsi="Times New Roman" w:cs="Times New Roman"/>
          <w:color w:val="000000" w:themeColor="text1"/>
          <w:lang w:val="en-GB"/>
        </w:rPr>
        <w:t xml:space="preserve"> working solution was first prepared by diluting </w:t>
      </w:r>
      <w:r w:rsidRPr="00267D0A">
        <w:rPr>
          <w:rFonts w:ascii="Times New Roman" w:hAnsi="Times New Roman" w:cs="Times New Roman"/>
          <w:color w:val="000000" w:themeColor="text1"/>
          <w:lang w:val="en-GB"/>
        </w:rPr>
        <w:t>Qubit®</w:t>
      </w:r>
      <w:r>
        <w:rPr>
          <w:rFonts w:ascii="Times New Roman" w:hAnsi="Times New Roman" w:cs="Times New Roman"/>
          <w:color w:val="000000" w:themeColor="text1"/>
          <w:lang w:val="en-GB"/>
        </w:rPr>
        <w:t xml:space="preserve"> dsDNA BR reagent 1:200 in </w:t>
      </w:r>
      <w:r w:rsidRPr="00267D0A">
        <w:rPr>
          <w:rFonts w:ascii="Times New Roman" w:hAnsi="Times New Roman" w:cs="Times New Roman"/>
          <w:color w:val="000000" w:themeColor="text1"/>
          <w:lang w:val="en-GB"/>
        </w:rPr>
        <w:t>Qubit®</w:t>
      </w:r>
      <w:r>
        <w:rPr>
          <w:rFonts w:ascii="Times New Roman" w:hAnsi="Times New Roman" w:cs="Times New Roman"/>
          <w:color w:val="000000" w:themeColor="text1"/>
          <w:lang w:val="en-GB"/>
        </w:rPr>
        <w:t xml:space="preserve"> dsDNA BR Buffer. 190</w:t>
      </w:r>
      <w:r w:rsidRPr="00267D0A">
        <w:rPr>
          <w:rFonts w:ascii="Times New Roman" w:hAnsi="Times New Roman" w:cs="Times New Roman"/>
          <w:lang w:val="en-GB"/>
        </w:rPr>
        <w:t xml:space="preserve"> </w:t>
      </w:r>
      <w:r>
        <w:rPr>
          <w:rFonts w:ascii="Times New Roman" w:hAnsi="Times New Roman" w:cs="Times New Roman"/>
          <w:lang w:val="en-GB"/>
        </w:rPr>
        <w:t xml:space="preserve">μl of </w:t>
      </w:r>
      <w:r w:rsidRPr="00267D0A">
        <w:rPr>
          <w:rFonts w:ascii="Times New Roman" w:hAnsi="Times New Roman" w:cs="Times New Roman"/>
          <w:color w:val="000000" w:themeColor="text1"/>
          <w:lang w:val="en-GB"/>
        </w:rPr>
        <w:t>Qubit®</w:t>
      </w:r>
      <w:r>
        <w:rPr>
          <w:rFonts w:ascii="Times New Roman" w:hAnsi="Times New Roman" w:cs="Times New Roman"/>
          <w:color w:val="000000" w:themeColor="text1"/>
          <w:lang w:val="en-GB"/>
        </w:rPr>
        <w:t xml:space="preserve"> working solution was added to each of the 0ng/</w:t>
      </w:r>
      <w:r>
        <w:rPr>
          <w:rFonts w:ascii="Times New Roman" w:hAnsi="Times New Roman" w:cs="Times New Roman"/>
          <w:lang w:val="en-GB"/>
        </w:rPr>
        <w:t>μl and 100ng/μl standards (10</w:t>
      </w:r>
      <w:r w:rsidRPr="00267D0A">
        <w:rPr>
          <w:rFonts w:ascii="Times New Roman" w:hAnsi="Times New Roman" w:cs="Times New Roman"/>
          <w:lang w:val="en-GB"/>
        </w:rPr>
        <w:t xml:space="preserve"> </w:t>
      </w:r>
      <w:r>
        <w:rPr>
          <w:rFonts w:ascii="Times New Roman" w:hAnsi="Times New Roman" w:cs="Times New Roman"/>
          <w:lang w:val="en-GB"/>
        </w:rPr>
        <w:t>μl of each). 2</w:t>
      </w:r>
      <w:r w:rsidRPr="00267D0A">
        <w:rPr>
          <w:rFonts w:ascii="Times New Roman" w:hAnsi="Times New Roman" w:cs="Times New Roman"/>
          <w:lang w:val="en-GB"/>
        </w:rPr>
        <w:t xml:space="preserve"> </w:t>
      </w:r>
      <w:r>
        <w:rPr>
          <w:rFonts w:ascii="Times New Roman" w:hAnsi="Times New Roman" w:cs="Times New Roman"/>
          <w:lang w:val="en-GB"/>
        </w:rPr>
        <w:t xml:space="preserve">μl of cDNA sample was added to 1μl </w:t>
      </w:r>
      <w:r w:rsidRPr="00267D0A">
        <w:rPr>
          <w:rFonts w:ascii="Times New Roman" w:hAnsi="Times New Roman" w:cs="Times New Roman"/>
          <w:color w:val="000000" w:themeColor="text1"/>
          <w:lang w:val="en-GB"/>
        </w:rPr>
        <w:t>Qubit®</w:t>
      </w:r>
      <w:r>
        <w:rPr>
          <w:rFonts w:ascii="Times New Roman" w:hAnsi="Times New Roman" w:cs="Times New Roman"/>
          <w:color w:val="000000" w:themeColor="text1"/>
          <w:lang w:val="en-GB"/>
        </w:rPr>
        <w:t xml:space="preserve"> dsDNA BR reagent and 197</w:t>
      </w:r>
      <w:r w:rsidRPr="00267D0A">
        <w:rPr>
          <w:rFonts w:ascii="Times New Roman" w:hAnsi="Times New Roman" w:cs="Times New Roman"/>
          <w:lang w:val="en-GB"/>
        </w:rPr>
        <w:t xml:space="preserve"> </w:t>
      </w:r>
      <w:r>
        <w:rPr>
          <w:rFonts w:ascii="Times New Roman" w:hAnsi="Times New Roman" w:cs="Times New Roman"/>
          <w:lang w:val="en-GB"/>
        </w:rPr>
        <w:t xml:space="preserve">μl of </w:t>
      </w:r>
      <w:r w:rsidRPr="00267D0A">
        <w:rPr>
          <w:rFonts w:ascii="Times New Roman" w:hAnsi="Times New Roman" w:cs="Times New Roman"/>
          <w:color w:val="000000" w:themeColor="text1"/>
          <w:lang w:val="en-GB"/>
        </w:rPr>
        <w:t>Qubit®</w:t>
      </w:r>
      <w:r>
        <w:rPr>
          <w:rFonts w:ascii="Times New Roman" w:hAnsi="Times New Roman" w:cs="Times New Roman"/>
          <w:color w:val="000000" w:themeColor="text1"/>
          <w:lang w:val="en-GB"/>
        </w:rPr>
        <w:t xml:space="preserve"> dsDNA BR Buffer. Samples were all vortexed and incubated at room temperature for 2-3 minutes before reading on the </w:t>
      </w:r>
      <w:r w:rsidRPr="00267D0A">
        <w:rPr>
          <w:rFonts w:ascii="Times New Roman" w:hAnsi="Times New Roman" w:cs="Times New Roman"/>
          <w:color w:val="000000" w:themeColor="text1"/>
          <w:lang w:val="en-GB"/>
        </w:rPr>
        <w:t>Qubit®</w:t>
      </w:r>
      <w:r>
        <w:rPr>
          <w:rFonts w:ascii="Times New Roman" w:hAnsi="Times New Roman" w:cs="Times New Roman"/>
          <w:color w:val="000000" w:themeColor="text1"/>
          <w:lang w:val="en-GB"/>
        </w:rPr>
        <w:t xml:space="preserve"> fluorometer.</w:t>
      </w:r>
    </w:p>
    <w:p w14:paraId="1BAD930C" w14:textId="77777777" w:rsidR="003823ED" w:rsidRPr="00817489" w:rsidRDefault="003823ED" w:rsidP="0085074F">
      <w:pPr>
        <w:autoSpaceDE w:val="0"/>
        <w:autoSpaceDN w:val="0"/>
        <w:adjustRightInd w:val="0"/>
        <w:spacing w:line="360" w:lineRule="auto"/>
        <w:jc w:val="both"/>
        <w:rPr>
          <w:rFonts w:ascii="Times New Roman" w:hAnsi="Times New Roman" w:cs="Times New Roman"/>
          <w:color w:val="000000" w:themeColor="text1"/>
        </w:rPr>
      </w:pPr>
    </w:p>
    <w:p w14:paraId="42A5217E" w14:textId="5EB87E87" w:rsidR="008A793F" w:rsidRPr="001D0ECC" w:rsidRDefault="00FB7003" w:rsidP="002D0408">
      <w:pPr>
        <w:pStyle w:val="Heading3"/>
        <w:rPr>
          <w:u w:val="single"/>
        </w:rPr>
      </w:pPr>
      <w:bookmarkStart w:id="832" w:name="_Toc328301134"/>
      <w:bookmarkStart w:id="833" w:name="_Toc329593427"/>
      <w:bookmarkStart w:id="834" w:name="_Toc331425926"/>
      <w:bookmarkStart w:id="835" w:name="_Toc331427107"/>
      <w:bookmarkStart w:id="836" w:name="_Toc331427479"/>
      <w:bookmarkStart w:id="837" w:name="_Toc331427621"/>
      <w:bookmarkStart w:id="838" w:name="_Toc332972625"/>
      <w:bookmarkStart w:id="839" w:name="_Toc333046904"/>
      <w:bookmarkStart w:id="840" w:name="_Toc333477251"/>
      <w:bookmarkStart w:id="841" w:name="_Toc333478021"/>
      <w:bookmarkStart w:id="842" w:name="_Toc333644921"/>
      <w:r>
        <w:rPr>
          <w:u w:val="single"/>
        </w:rPr>
        <w:t>2.2.6</w:t>
      </w:r>
      <w:r w:rsidR="00000FF1" w:rsidRPr="001D0ECC">
        <w:rPr>
          <w:u w:val="single"/>
        </w:rPr>
        <w:t xml:space="preserve"> </w:t>
      </w:r>
      <w:r w:rsidR="00FA7378" w:rsidRPr="001D0ECC">
        <w:rPr>
          <w:u w:val="single"/>
        </w:rPr>
        <w:t>Bioinformatics Analysis</w:t>
      </w:r>
      <w:bookmarkEnd w:id="832"/>
      <w:bookmarkEnd w:id="833"/>
      <w:bookmarkEnd w:id="834"/>
      <w:bookmarkEnd w:id="835"/>
      <w:bookmarkEnd w:id="836"/>
      <w:bookmarkEnd w:id="837"/>
      <w:bookmarkEnd w:id="838"/>
      <w:bookmarkEnd w:id="839"/>
      <w:bookmarkEnd w:id="840"/>
      <w:bookmarkEnd w:id="841"/>
      <w:bookmarkEnd w:id="842"/>
    </w:p>
    <w:p w14:paraId="17385C35" w14:textId="77777777" w:rsidR="006473BF" w:rsidRDefault="006473BF" w:rsidP="0085074F">
      <w:pPr>
        <w:autoSpaceDE w:val="0"/>
        <w:autoSpaceDN w:val="0"/>
        <w:adjustRightInd w:val="0"/>
        <w:spacing w:line="360" w:lineRule="auto"/>
        <w:jc w:val="both"/>
        <w:rPr>
          <w:rFonts w:ascii="Times New Roman" w:hAnsi="Times New Roman" w:cs="Times New Roman"/>
          <w:b/>
          <w:u w:val="single"/>
        </w:rPr>
      </w:pPr>
    </w:p>
    <w:p w14:paraId="0E4DFD52" w14:textId="250C2134" w:rsidR="00FA7378" w:rsidRPr="006473BF" w:rsidRDefault="00FA7378" w:rsidP="0085074F">
      <w:pPr>
        <w:autoSpaceDE w:val="0"/>
        <w:autoSpaceDN w:val="0"/>
        <w:adjustRightInd w:val="0"/>
        <w:spacing w:line="360" w:lineRule="auto"/>
        <w:jc w:val="both"/>
        <w:rPr>
          <w:rFonts w:ascii="Times New Roman" w:hAnsi="Times New Roman" w:cs="Times New Roman"/>
          <w:b/>
        </w:rPr>
      </w:pPr>
      <w:r w:rsidRPr="006473BF">
        <w:rPr>
          <w:rFonts w:ascii="Times New Roman" w:hAnsi="Times New Roman" w:cs="Times New Roman"/>
          <w:b/>
        </w:rPr>
        <w:t>Affymetrix Expression Console Software</w:t>
      </w:r>
    </w:p>
    <w:p w14:paraId="13FB62AD" w14:textId="4B866136" w:rsidR="00DA7445" w:rsidRDefault="00DA7445" w:rsidP="0085074F">
      <w:pPr>
        <w:autoSpaceDE w:val="0"/>
        <w:autoSpaceDN w:val="0"/>
        <w:adjustRightInd w:val="0"/>
        <w:spacing w:line="360" w:lineRule="auto"/>
        <w:jc w:val="both"/>
        <w:rPr>
          <w:rFonts w:ascii="Times New Roman" w:hAnsi="Times New Roman" w:cs="Times New Roman"/>
          <w:lang w:val="en-GB"/>
        </w:rPr>
      </w:pPr>
      <w:r w:rsidRPr="00DA7445">
        <w:rPr>
          <w:rFonts w:ascii="Times New Roman" w:hAnsi="Times New Roman" w:cs="Times New Roman"/>
        </w:rPr>
        <w:t>Raw data was exported from the GeneChip®</w:t>
      </w:r>
      <w:r>
        <w:rPr>
          <w:rFonts w:ascii="Times New Roman" w:hAnsi="Times New Roman" w:cs="Times New Roman"/>
        </w:rPr>
        <w:t xml:space="preserve"> command console, these are known as the CEL files and are </w:t>
      </w:r>
      <w:r w:rsidR="004F7419">
        <w:rPr>
          <w:rFonts w:ascii="Times New Roman" w:hAnsi="Times New Roman" w:cs="Times New Roman"/>
        </w:rPr>
        <w:t>a</w:t>
      </w:r>
      <w:r>
        <w:rPr>
          <w:rFonts w:ascii="Times New Roman" w:hAnsi="Times New Roman" w:cs="Times New Roman"/>
        </w:rPr>
        <w:t xml:space="preserve"> collection of signal intensities acquired from </w:t>
      </w:r>
      <w:r w:rsidR="004F7419">
        <w:rPr>
          <w:rFonts w:ascii="Times New Roman" w:hAnsi="Times New Roman" w:cs="Times New Roman"/>
        </w:rPr>
        <w:t>an individual</w:t>
      </w:r>
      <w:r>
        <w:rPr>
          <w:rFonts w:ascii="Times New Roman" w:hAnsi="Times New Roman" w:cs="Times New Roman"/>
        </w:rPr>
        <w:t xml:space="preserve"> array. The CEL files were converted to RMA-GENE FULL CHP files </w:t>
      </w:r>
      <w:r w:rsidR="00446B0F">
        <w:rPr>
          <w:rFonts w:ascii="Times New Roman" w:hAnsi="Times New Roman" w:cs="Times New Roman"/>
        </w:rPr>
        <w:t xml:space="preserve">in the </w:t>
      </w:r>
      <w:r w:rsidR="00446B0F">
        <w:rPr>
          <w:rFonts w:ascii="Times New Roman" w:hAnsi="Times New Roman" w:cs="Times New Roman"/>
          <w:lang w:val="en-GB"/>
        </w:rPr>
        <w:t xml:space="preserve">Affymetrix® Expression console. </w:t>
      </w:r>
      <w:r w:rsidR="004F7419">
        <w:rPr>
          <w:rFonts w:ascii="Times New Roman" w:hAnsi="Times New Roman" w:cs="Times New Roman"/>
          <w:lang w:val="en-GB"/>
        </w:rPr>
        <w:t>Q</w:t>
      </w:r>
      <w:r w:rsidR="00446B0F">
        <w:rPr>
          <w:rFonts w:ascii="Times New Roman" w:hAnsi="Times New Roman" w:cs="Times New Roman"/>
          <w:lang w:val="en-GB"/>
        </w:rPr>
        <w:t>uality control checks were performed to assess the positive versus negative area under the curve (AUC)</w:t>
      </w:r>
      <w:r w:rsidR="004F7419">
        <w:rPr>
          <w:rFonts w:ascii="Times New Roman" w:hAnsi="Times New Roman" w:cs="Times New Roman"/>
          <w:lang w:val="en-GB"/>
        </w:rPr>
        <w:t>, the relative log expression (RLE) signal, the all probe set mean, hybridisation controls and poly-A labelling controls.</w:t>
      </w:r>
    </w:p>
    <w:p w14:paraId="2CAC9830" w14:textId="77777777" w:rsidR="006473BF" w:rsidRPr="006473BF" w:rsidRDefault="006473BF" w:rsidP="0085074F">
      <w:pPr>
        <w:autoSpaceDE w:val="0"/>
        <w:autoSpaceDN w:val="0"/>
        <w:adjustRightInd w:val="0"/>
        <w:spacing w:line="360" w:lineRule="auto"/>
        <w:jc w:val="both"/>
        <w:rPr>
          <w:rFonts w:ascii="Times New Roman" w:hAnsi="Times New Roman" w:cs="Times New Roman"/>
          <w:b/>
          <w:lang w:val="en-GB"/>
        </w:rPr>
      </w:pPr>
    </w:p>
    <w:p w14:paraId="3481F6E5" w14:textId="2BE5AD21" w:rsidR="00273628" w:rsidRPr="006473BF" w:rsidRDefault="007F7DDF" w:rsidP="0085074F">
      <w:pPr>
        <w:autoSpaceDE w:val="0"/>
        <w:autoSpaceDN w:val="0"/>
        <w:adjustRightInd w:val="0"/>
        <w:spacing w:line="360" w:lineRule="auto"/>
        <w:jc w:val="both"/>
        <w:rPr>
          <w:rFonts w:ascii="Times New Roman" w:hAnsi="Times New Roman" w:cs="Times New Roman"/>
          <w:b/>
          <w:lang w:val="en-GB"/>
        </w:rPr>
      </w:pPr>
      <w:r w:rsidRPr="006473BF">
        <w:rPr>
          <w:rFonts w:ascii="Times New Roman" w:hAnsi="Times New Roman" w:cs="Times New Roman"/>
          <w:b/>
          <w:lang w:val="en-GB"/>
        </w:rPr>
        <w:t>Qlucore Omics Explorer</w:t>
      </w:r>
    </w:p>
    <w:p w14:paraId="2F255E76" w14:textId="77060426" w:rsidR="00DD78EF" w:rsidRDefault="00DD78EF" w:rsidP="0085074F">
      <w:pPr>
        <w:autoSpaceDE w:val="0"/>
        <w:autoSpaceDN w:val="0"/>
        <w:adjustRightInd w:val="0"/>
        <w:spacing w:line="360" w:lineRule="auto"/>
        <w:jc w:val="both"/>
        <w:rPr>
          <w:rFonts w:ascii="Times New Roman" w:hAnsi="Times New Roman" w:cs="Times New Roman"/>
          <w:lang w:val="en-GB"/>
        </w:rPr>
      </w:pPr>
      <w:r>
        <w:rPr>
          <w:rFonts w:ascii="Times New Roman" w:hAnsi="Times New Roman" w:cs="Times New Roman"/>
          <w:lang w:val="en-GB"/>
        </w:rPr>
        <w:t>The Qlucore Omics Explorer (3.0) software was used to open all Affymetrix</w:t>
      </w:r>
      <w:r w:rsidR="00031621">
        <w:rPr>
          <w:rFonts w:ascii="Times New Roman" w:hAnsi="Times New Roman" w:cs="Times New Roman"/>
          <w:lang w:val="en-GB"/>
        </w:rPr>
        <w:t>® RMA-GENE-FULL CHP files and all normalised according to the RMA-sketch method. Differentially expressed genes were identified with a fol</w:t>
      </w:r>
      <w:r w:rsidR="00E54DCC">
        <w:rPr>
          <w:rFonts w:ascii="Times New Roman" w:hAnsi="Times New Roman" w:cs="Times New Roman"/>
          <w:lang w:val="en-GB"/>
        </w:rPr>
        <w:t>d change (FC) of ≥ 1.2 and p&lt;0.05</w:t>
      </w:r>
      <w:r w:rsidR="00031621">
        <w:rPr>
          <w:rFonts w:ascii="Times New Roman" w:hAnsi="Times New Roman" w:cs="Times New Roman"/>
          <w:lang w:val="en-GB"/>
        </w:rPr>
        <w:t>. This program can be used to generate visual PCA</w:t>
      </w:r>
      <w:r w:rsidR="00E54DCC">
        <w:rPr>
          <w:rFonts w:ascii="Times New Roman" w:hAnsi="Times New Roman" w:cs="Times New Roman"/>
          <w:lang w:val="en-GB"/>
        </w:rPr>
        <w:t xml:space="preserve"> </w:t>
      </w:r>
      <w:r w:rsidR="00031621">
        <w:rPr>
          <w:rFonts w:ascii="Times New Roman" w:hAnsi="Times New Roman" w:cs="Times New Roman"/>
          <w:lang w:val="en-GB"/>
        </w:rPr>
        <w:t xml:space="preserve">(point component analysis) and hierarchical clustering maps that act as a visual measure of the separation between genes in different groups of data incorporated. </w:t>
      </w:r>
    </w:p>
    <w:p w14:paraId="252F8F1A" w14:textId="5D62A09B" w:rsidR="007F7DDF" w:rsidRPr="006473BF" w:rsidRDefault="00FA7378" w:rsidP="0085074F">
      <w:pPr>
        <w:autoSpaceDE w:val="0"/>
        <w:autoSpaceDN w:val="0"/>
        <w:adjustRightInd w:val="0"/>
        <w:spacing w:line="360" w:lineRule="auto"/>
        <w:jc w:val="both"/>
        <w:rPr>
          <w:rFonts w:ascii="Times New Roman" w:hAnsi="Times New Roman" w:cs="Times New Roman"/>
          <w:b/>
          <w:lang w:val="en-GB"/>
        </w:rPr>
      </w:pPr>
      <w:r w:rsidRPr="006473BF">
        <w:rPr>
          <w:rFonts w:ascii="Times New Roman" w:hAnsi="Times New Roman" w:cs="Times New Roman"/>
          <w:b/>
          <w:lang w:val="en-GB"/>
        </w:rPr>
        <w:t>Gene and pathway enrichment analysis</w:t>
      </w:r>
    </w:p>
    <w:p w14:paraId="2BB8368C" w14:textId="79C8460B" w:rsidR="00FA7378" w:rsidRPr="00341EBF" w:rsidRDefault="00341EBF" w:rsidP="0085074F">
      <w:pPr>
        <w:autoSpaceDE w:val="0"/>
        <w:autoSpaceDN w:val="0"/>
        <w:adjustRightInd w:val="0"/>
        <w:spacing w:line="360" w:lineRule="auto"/>
        <w:jc w:val="both"/>
        <w:rPr>
          <w:rFonts w:ascii="Times New Roman" w:hAnsi="Times New Roman" w:cs="Times New Roman"/>
          <w:lang w:val="en-GB"/>
        </w:rPr>
      </w:pPr>
      <w:r w:rsidRPr="00341EBF">
        <w:rPr>
          <w:rFonts w:ascii="Times New Roman" w:hAnsi="Times New Roman" w:cs="Times New Roman"/>
          <w:lang w:val="en-GB"/>
        </w:rPr>
        <w:t xml:space="preserve">The Database for Annotation and Visualisation and Integrated Discovery (DAVID) </w:t>
      </w:r>
      <w:hyperlink r:id="rId25" w:history="1">
        <w:r w:rsidRPr="00341EBF">
          <w:rPr>
            <w:rStyle w:val="Hyperlink"/>
            <w:rFonts w:ascii="Times New Roman" w:hAnsi="Times New Roman" w:cs="Times New Roman"/>
          </w:rPr>
          <w:t>https://david.ncifcrf.gov/</w:t>
        </w:r>
      </w:hyperlink>
      <w:r w:rsidRPr="00341EBF">
        <w:rPr>
          <w:rFonts w:ascii="Times New Roman" w:hAnsi="Times New Roman" w:cs="Times New Roman"/>
        </w:rPr>
        <w:t xml:space="preserve">) was used to perform gene ontology analysis. </w:t>
      </w:r>
      <w:r w:rsidR="00FC45BB">
        <w:rPr>
          <w:rFonts w:ascii="Times New Roman" w:hAnsi="Times New Roman" w:cs="Times New Roman"/>
        </w:rPr>
        <w:t>Official gene symbols of differentially expressed genes were inputted i</w:t>
      </w:r>
      <w:r w:rsidR="00762BA1">
        <w:rPr>
          <w:rFonts w:ascii="Times New Roman" w:hAnsi="Times New Roman" w:cs="Times New Roman"/>
        </w:rPr>
        <w:t xml:space="preserve">nto the DAVID analysis software, with </w:t>
      </w:r>
      <w:r w:rsidR="008E1C30">
        <w:rPr>
          <w:rFonts w:ascii="Times New Roman" w:hAnsi="Times New Roman" w:cs="Times New Roman"/>
        </w:rPr>
        <w:t xml:space="preserve">a background set as homo sapiens. </w:t>
      </w:r>
      <w:r w:rsidR="00863F26">
        <w:rPr>
          <w:rFonts w:ascii="Times New Roman" w:hAnsi="Times New Roman" w:cs="Times New Roman"/>
        </w:rPr>
        <w:t xml:space="preserve">Functional annotation clustering was then performed and KEGG_PATHWAY terms were investigated. </w:t>
      </w:r>
    </w:p>
    <w:p w14:paraId="572A38F0" w14:textId="26E9A4A0" w:rsidR="007F7DDF" w:rsidRDefault="00074C92" w:rsidP="0085074F">
      <w:pPr>
        <w:autoSpaceDE w:val="0"/>
        <w:autoSpaceDN w:val="0"/>
        <w:adjustRightInd w:val="0"/>
        <w:spacing w:line="360" w:lineRule="auto"/>
        <w:jc w:val="both"/>
        <w:rPr>
          <w:rFonts w:ascii="Times New Roman" w:hAnsi="Times New Roman" w:cs="Times New Roman"/>
        </w:rPr>
      </w:pPr>
      <w:r>
        <w:rPr>
          <w:rFonts w:ascii="Times New Roman" w:hAnsi="Times New Roman" w:cs="Times New Roman"/>
          <w:lang w:val="en-GB"/>
        </w:rPr>
        <w:t xml:space="preserve">Official gene symbols were also imported into the Integrated Molecular Pathway Level Analysis (IMPaLA) enrichment </w:t>
      </w:r>
      <w:r w:rsidRPr="00074C92">
        <w:rPr>
          <w:rFonts w:ascii="Times New Roman" w:hAnsi="Times New Roman" w:cs="Times New Roman"/>
          <w:lang w:val="en-GB"/>
        </w:rPr>
        <w:t>tool</w:t>
      </w:r>
      <w:r w:rsidRPr="00074C92">
        <w:rPr>
          <w:rFonts w:ascii="Times New Roman" w:hAnsi="Times New Roman" w:cs="Times New Roman"/>
        </w:rPr>
        <w:t xml:space="preserve"> (</w:t>
      </w:r>
      <w:hyperlink r:id="rId26" w:history="1">
        <w:r w:rsidRPr="00074C92">
          <w:rPr>
            <w:rStyle w:val="Hyperlink"/>
            <w:rFonts w:ascii="Times New Roman" w:hAnsi="Times New Roman" w:cs="Times New Roman"/>
          </w:rPr>
          <w:t>http://impala.molgen.mpg.de/</w:t>
        </w:r>
      </w:hyperlink>
      <w:r>
        <w:rPr>
          <w:rFonts w:ascii="Times New Roman" w:hAnsi="Times New Roman" w:cs="Times New Roman"/>
        </w:rPr>
        <w:t xml:space="preserve">), which deduced pathways altered according to differentially expressed genes inputted into the software. </w:t>
      </w:r>
    </w:p>
    <w:p w14:paraId="09732AD4" w14:textId="77777777" w:rsidR="001E730F" w:rsidRPr="001E730F" w:rsidRDefault="001E730F" w:rsidP="001E730F">
      <w:bookmarkStart w:id="843" w:name="_Toc262895421"/>
    </w:p>
    <w:p w14:paraId="731A3FC2" w14:textId="77872530" w:rsidR="0085074F" w:rsidRDefault="009914E0" w:rsidP="002D0408">
      <w:pPr>
        <w:pStyle w:val="Heading3"/>
        <w:rPr>
          <w:u w:val="single"/>
        </w:rPr>
      </w:pPr>
      <w:bookmarkStart w:id="844" w:name="_Toc328301135"/>
      <w:bookmarkStart w:id="845" w:name="_Toc329593428"/>
      <w:bookmarkStart w:id="846" w:name="_Toc331425927"/>
      <w:bookmarkStart w:id="847" w:name="_Toc331427108"/>
      <w:bookmarkStart w:id="848" w:name="_Toc331427480"/>
      <w:bookmarkStart w:id="849" w:name="_Toc331427622"/>
      <w:bookmarkStart w:id="850" w:name="_Toc332972626"/>
      <w:bookmarkStart w:id="851" w:name="_Toc333046905"/>
      <w:bookmarkStart w:id="852" w:name="_Toc333477252"/>
      <w:bookmarkStart w:id="853" w:name="_Toc333478022"/>
      <w:bookmarkStart w:id="854" w:name="_Toc333644922"/>
      <w:r w:rsidRPr="001D0ECC">
        <w:rPr>
          <w:u w:val="single"/>
        </w:rPr>
        <w:t>2.2.</w:t>
      </w:r>
      <w:r w:rsidR="00FB7003">
        <w:rPr>
          <w:u w:val="single"/>
        </w:rPr>
        <w:t>7</w:t>
      </w:r>
      <w:r w:rsidR="00000FF1" w:rsidRPr="001D0ECC">
        <w:rPr>
          <w:u w:val="single"/>
        </w:rPr>
        <w:t xml:space="preserve"> </w:t>
      </w:r>
      <w:r w:rsidR="0085074F" w:rsidRPr="001D0ECC">
        <w:rPr>
          <w:u w:val="single"/>
        </w:rPr>
        <w:t>Statistical analysis</w:t>
      </w:r>
      <w:bookmarkEnd w:id="843"/>
      <w:bookmarkEnd w:id="844"/>
      <w:bookmarkEnd w:id="845"/>
      <w:bookmarkEnd w:id="846"/>
      <w:bookmarkEnd w:id="847"/>
      <w:bookmarkEnd w:id="848"/>
      <w:bookmarkEnd w:id="849"/>
      <w:bookmarkEnd w:id="850"/>
      <w:bookmarkEnd w:id="851"/>
      <w:bookmarkEnd w:id="852"/>
      <w:bookmarkEnd w:id="853"/>
      <w:bookmarkEnd w:id="854"/>
      <w:r w:rsidR="0085074F" w:rsidRPr="001D0ECC">
        <w:rPr>
          <w:u w:val="single"/>
        </w:rPr>
        <w:t xml:space="preserve"> </w:t>
      </w:r>
    </w:p>
    <w:p w14:paraId="3D29D804" w14:textId="77777777" w:rsidR="0043060F" w:rsidRPr="0043060F" w:rsidRDefault="0043060F" w:rsidP="0043060F"/>
    <w:p w14:paraId="1FD97F87" w14:textId="52876E9F" w:rsidR="0085074F" w:rsidRPr="004975E3" w:rsidRDefault="0085074F" w:rsidP="0085074F">
      <w:pPr>
        <w:autoSpaceDE w:val="0"/>
        <w:autoSpaceDN w:val="0"/>
        <w:adjustRightInd w:val="0"/>
        <w:spacing w:line="360" w:lineRule="auto"/>
        <w:jc w:val="both"/>
        <w:rPr>
          <w:rFonts w:ascii="Times New Roman" w:hAnsi="Times New Roman" w:cs="Times New Roman"/>
          <w:lang w:val="en-GB"/>
        </w:rPr>
      </w:pPr>
      <w:r w:rsidRPr="004975E3">
        <w:rPr>
          <w:rFonts w:ascii="Times New Roman" w:hAnsi="Times New Roman" w:cs="Times New Roman"/>
          <w:lang w:val="en-GB"/>
        </w:rPr>
        <w:t>De</w:t>
      </w:r>
      <w:r w:rsidR="00E52EB6">
        <w:rPr>
          <w:rFonts w:ascii="Times New Roman" w:hAnsi="Times New Roman" w:cs="Times New Roman"/>
          <w:lang w:val="en-GB"/>
        </w:rPr>
        <w:t>nsitometry for the Western Blots</w:t>
      </w:r>
      <w:r w:rsidRPr="004975E3">
        <w:rPr>
          <w:rFonts w:ascii="Times New Roman" w:hAnsi="Times New Roman" w:cs="Times New Roman"/>
          <w:lang w:val="en-GB"/>
        </w:rPr>
        <w:t xml:space="preserve"> was carried out in ImageJ and analysed using a one-way</w:t>
      </w:r>
      <w:r w:rsidR="00812DDE">
        <w:rPr>
          <w:rFonts w:ascii="Times New Roman" w:hAnsi="Times New Roman" w:cs="Times New Roman"/>
          <w:lang w:val="en-GB"/>
        </w:rPr>
        <w:t xml:space="preserve"> analysis of variance</w:t>
      </w:r>
      <w:r w:rsidRPr="004975E3">
        <w:rPr>
          <w:rFonts w:ascii="Times New Roman" w:hAnsi="Times New Roman" w:cs="Times New Roman"/>
          <w:lang w:val="en-GB"/>
        </w:rPr>
        <w:t xml:space="preserve"> </w:t>
      </w:r>
      <w:r w:rsidR="00812DDE">
        <w:rPr>
          <w:rFonts w:ascii="Times New Roman" w:hAnsi="Times New Roman" w:cs="Times New Roman"/>
          <w:lang w:val="en-GB"/>
        </w:rPr>
        <w:t>(</w:t>
      </w:r>
      <w:r w:rsidRPr="004975E3">
        <w:rPr>
          <w:rFonts w:ascii="Times New Roman" w:hAnsi="Times New Roman" w:cs="Times New Roman"/>
          <w:lang w:val="en-GB"/>
        </w:rPr>
        <w:t>ANOVA</w:t>
      </w:r>
      <w:r w:rsidR="00812DDE">
        <w:rPr>
          <w:rFonts w:ascii="Times New Roman" w:hAnsi="Times New Roman" w:cs="Times New Roman"/>
          <w:lang w:val="en-GB"/>
        </w:rPr>
        <w:t>)</w:t>
      </w:r>
      <w:r w:rsidRPr="004975E3">
        <w:rPr>
          <w:rFonts w:ascii="Times New Roman" w:hAnsi="Times New Roman" w:cs="Times New Roman"/>
          <w:lang w:val="en-GB"/>
        </w:rPr>
        <w:t xml:space="preserve"> with multiple comparisons</w:t>
      </w:r>
      <w:r w:rsidR="00812DDE">
        <w:rPr>
          <w:rFonts w:ascii="Times New Roman" w:hAnsi="Times New Roman" w:cs="Times New Roman"/>
          <w:lang w:val="en-GB"/>
        </w:rPr>
        <w:t xml:space="preserve"> and Tukey’s post-hoc analysis</w:t>
      </w:r>
      <w:r w:rsidRPr="004975E3">
        <w:rPr>
          <w:rFonts w:ascii="Times New Roman" w:hAnsi="Times New Roman" w:cs="Times New Roman"/>
          <w:lang w:val="en-GB"/>
        </w:rPr>
        <w:t xml:space="preserve"> (Graphpad Prism 5.0, Software, Graphpad Software Inc., La Jolla, CA, USA)</w:t>
      </w:r>
      <w:r w:rsidR="00812DDE">
        <w:rPr>
          <w:rFonts w:ascii="Times New Roman" w:hAnsi="Times New Roman" w:cs="Times New Roman"/>
          <w:lang w:val="en-GB"/>
        </w:rPr>
        <w:t>.</w:t>
      </w:r>
    </w:p>
    <w:p w14:paraId="0F84ADA2" w14:textId="69679094" w:rsidR="00812DDE" w:rsidRDefault="0085074F" w:rsidP="0085074F">
      <w:pPr>
        <w:autoSpaceDE w:val="0"/>
        <w:autoSpaceDN w:val="0"/>
        <w:adjustRightInd w:val="0"/>
        <w:spacing w:line="360" w:lineRule="auto"/>
        <w:jc w:val="both"/>
        <w:rPr>
          <w:rFonts w:ascii="Times New Roman" w:hAnsi="Times New Roman" w:cs="Times New Roman"/>
          <w:lang w:val="en-GB"/>
        </w:rPr>
      </w:pPr>
      <w:r w:rsidRPr="004975E3">
        <w:rPr>
          <w:rFonts w:ascii="Times New Roman" w:hAnsi="Times New Roman" w:cs="Times New Roman"/>
          <w:lang w:val="en-GB"/>
        </w:rPr>
        <w:t>Data for</w:t>
      </w:r>
      <w:r w:rsidR="00E52EB6">
        <w:rPr>
          <w:rFonts w:ascii="Times New Roman" w:hAnsi="Times New Roman" w:cs="Times New Roman"/>
          <w:lang w:val="en-GB"/>
        </w:rPr>
        <w:t xml:space="preserve"> the Cyquant assay,</w:t>
      </w:r>
      <w:r w:rsidRPr="004975E3">
        <w:rPr>
          <w:rFonts w:ascii="Times New Roman" w:hAnsi="Times New Roman" w:cs="Times New Roman"/>
          <w:lang w:val="en-GB"/>
        </w:rPr>
        <w:t xml:space="preserve"> </w:t>
      </w:r>
      <w:r w:rsidR="00EA3B9C">
        <w:rPr>
          <w:rFonts w:ascii="Times New Roman" w:hAnsi="Times New Roman" w:cs="Times New Roman"/>
          <w:lang w:val="en-GB"/>
        </w:rPr>
        <w:t>MTT analysis</w:t>
      </w:r>
      <w:r w:rsidR="002169E8">
        <w:rPr>
          <w:rFonts w:ascii="Times New Roman" w:hAnsi="Times New Roman" w:cs="Times New Roman"/>
          <w:lang w:val="en-GB"/>
        </w:rPr>
        <w:t xml:space="preserve">, qRT-PCR, </w:t>
      </w:r>
      <w:r w:rsidR="00E52EB6">
        <w:rPr>
          <w:rFonts w:ascii="Times New Roman" w:hAnsi="Times New Roman" w:cs="Times New Roman"/>
          <w:lang w:val="en-GB"/>
        </w:rPr>
        <w:t>Neurite outgrowth assays</w:t>
      </w:r>
      <w:r w:rsidR="002169E8">
        <w:rPr>
          <w:rFonts w:ascii="Times New Roman" w:hAnsi="Times New Roman" w:cs="Times New Roman"/>
          <w:lang w:val="en-GB"/>
        </w:rPr>
        <w:t>, Lactate, complex I and Cell Rox assays</w:t>
      </w:r>
      <w:r w:rsidR="00E52EB6">
        <w:rPr>
          <w:rFonts w:ascii="Times New Roman" w:hAnsi="Times New Roman" w:cs="Times New Roman"/>
          <w:lang w:val="en-GB"/>
        </w:rPr>
        <w:t xml:space="preserve"> </w:t>
      </w:r>
      <w:r w:rsidR="00EA3B9C">
        <w:rPr>
          <w:rFonts w:ascii="Times New Roman" w:hAnsi="Times New Roman" w:cs="Times New Roman"/>
          <w:lang w:val="en-GB"/>
        </w:rPr>
        <w:t>were</w:t>
      </w:r>
      <w:r w:rsidR="00E52EB6">
        <w:rPr>
          <w:rFonts w:ascii="Times New Roman" w:hAnsi="Times New Roman" w:cs="Times New Roman"/>
          <w:lang w:val="en-GB"/>
        </w:rPr>
        <w:t xml:space="preserve"> all</w:t>
      </w:r>
      <w:r w:rsidRPr="004975E3">
        <w:rPr>
          <w:rFonts w:ascii="Times New Roman" w:hAnsi="Times New Roman" w:cs="Times New Roman"/>
          <w:lang w:val="en-GB"/>
        </w:rPr>
        <w:t xml:space="preserve"> analysed using a one-way ANOVA with multiple comparisons</w:t>
      </w:r>
      <w:r w:rsidR="00812DDE">
        <w:rPr>
          <w:rFonts w:ascii="Times New Roman" w:hAnsi="Times New Roman" w:cs="Times New Roman"/>
          <w:lang w:val="en-GB"/>
        </w:rPr>
        <w:t xml:space="preserve"> and Tukey’s post-hoc analysis</w:t>
      </w:r>
      <w:r w:rsidRPr="004975E3">
        <w:rPr>
          <w:rFonts w:ascii="Times New Roman" w:hAnsi="Times New Roman" w:cs="Times New Roman"/>
          <w:lang w:val="en-GB"/>
        </w:rPr>
        <w:t xml:space="preserve"> (Graphpad Prism 5.0, Software, Graphpad Software Inc., La Jolla, CA, USA)</w:t>
      </w:r>
      <w:r w:rsidR="00812DDE">
        <w:rPr>
          <w:rFonts w:ascii="Times New Roman" w:hAnsi="Times New Roman" w:cs="Times New Roman"/>
          <w:lang w:val="en-GB"/>
        </w:rPr>
        <w:t xml:space="preserve">. Data for Neurite outgrowth assays was also statistically analysed using unpaired t-tests. </w:t>
      </w:r>
    </w:p>
    <w:p w14:paraId="2BD9B7FD" w14:textId="77777777" w:rsidR="00812DDE" w:rsidRDefault="00812DDE" w:rsidP="0085074F">
      <w:pPr>
        <w:autoSpaceDE w:val="0"/>
        <w:autoSpaceDN w:val="0"/>
        <w:adjustRightInd w:val="0"/>
        <w:spacing w:line="360" w:lineRule="auto"/>
        <w:jc w:val="both"/>
        <w:rPr>
          <w:rFonts w:ascii="Times New Roman" w:hAnsi="Times New Roman" w:cs="Times New Roman"/>
          <w:lang w:val="en-GB"/>
        </w:rPr>
      </w:pPr>
    </w:p>
    <w:p w14:paraId="415E487B" w14:textId="46CD717C" w:rsidR="00FA05AB" w:rsidRPr="00291787" w:rsidRDefault="00812DDE" w:rsidP="00291787">
      <w:pPr>
        <w:autoSpaceDE w:val="0"/>
        <w:autoSpaceDN w:val="0"/>
        <w:adjustRightInd w:val="0"/>
        <w:spacing w:line="360" w:lineRule="auto"/>
        <w:jc w:val="both"/>
        <w:rPr>
          <w:rFonts w:ascii="Times New Roman" w:hAnsi="Times New Roman" w:cs="Times New Roman"/>
          <w:lang w:val="en-GB"/>
        </w:rPr>
      </w:pPr>
      <w:r>
        <w:rPr>
          <w:rFonts w:ascii="Times New Roman" w:hAnsi="Times New Roman" w:cs="Times New Roman"/>
          <w:lang w:val="en-GB"/>
        </w:rPr>
        <w:t xml:space="preserve">One-way ANOVA compares the mean numerical value from </w:t>
      </w:r>
      <w:r w:rsidR="00C4716D">
        <w:rPr>
          <w:rFonts w:ascii="Times New Roman" w:hAnsi="Times New Roman" w:cs="Times New Roman"/>
          <w:lang w:val="en-GB"/>
        </w:rPr>
        <w:t xml:space="preserve">one </w:t>
      </w:r>
      <w:r>
        <w:rPr>
          <w:rFonts w:ascii="Times New Roman" w:hAnsi="Times New Roman" w:cs="Times New Roman"/>
          <w:lang w:val="en-GB"/>
        </w:rPr>
        <w:t xml:space="preserve">group against the mean numerical values from separate </w:t>
      </w:r>
      <w:r w:rsidR="00C4716D">
        <w:rPr>
          <w:rFonts w:ascii="Times New Roman" w:hAnsi="Times New Roman" w:cs="Times New Roman"/>
          <w:lang w:val="en-GB"/>
        </w:rPr>
        <w:t>groups. Tukey’s test compares the mean values of every condition with the means calculated for every other treatment and is</w:t>
      </w:r>
      <w:r>
        <w:rPr>
          <w:rFonts w:ascii="Times New Roman" w:hAnsi="Times New Roman" w:cs="Times New Roman"/>
          <w:lang w:val="en-GB"/>
        </w:rPr>
        <w:t xml:space="preserve"> used in </w:t>
      </w:r>
      <w:r w:rsidR="00C4716D">
        <w:rPr>
          <w:rFonts w:ascii="Times New Roman" w:hAnsi="Times New Roman" w:cs="Times New Roman"/>
          <w:lang w:val="en-GB"/>
        </w:rPr>
        <w:t xml:space="preserve">conjunction with one-way ANOVA to establish </w:t>
      </w:r>
      <w:r>
        <w:rPr>
          <w:rFonts w:ascii="Times New Roman" w:hAnsi="Times New Roman" w:cs="Times New Roman"/>
          <w:lang w:val="en-GB"/>
        </w:rPr>
        <w:t xml:space="preserve">whether the mean values </w:t>
      </w:r>
      <w:r w:rsidR="00C4716D">
        <w:rPr>
          <w:rFonts w:ascii="Times New Roman" w:hAnsi="Times New Roman" w:cs="Times New Roman"/>
          <w:lang w:val="en-GB"/>
        </w:rPr>
        <w:t xml:space="preserve">from different groups </w:t>
      </w:r>
      <w:r>
        <w:rPr>
          <w:rFonts w:ascii="Times New Roman" w:hAnsi="Times New Roman" w:cs="Times New Roman"/>
          <w:lang w:val="en-GB"/>
        </w:rPr>
        <w:t xml:space="preserve">are significantly different from one another. </w:t>
      </w:r>
      <w:r w:rsidR="00C4716D">
        <w:rPr>
          <w:rFonts w:ascii="Times New Roman" w:hAnsi="Times New Roman" w:cs="Times New Roman"/>
          <w:lang w:val="en-GB"/>
        </w:rPr>
        <w:t xml:space="preserve">Unpaired t-tests compare two independent, random samples. </w:t>
      </w:r>
      <w:r w:rsidR="004B349B">
        <w:rPr>
          <w:rFonts w:ascii="Times New Roman" w:hAnsi="Times New Roman" w:cs="Times New Roman"/>
          <w:lang w:val="en-GB"/>
        </w:rPr>
        <w:t>In all tests, the null hypothesis states that there are no differences within and between groups. D</w:t>
      </w:r>
      <w:r>
        <w:rPr>
          <w:rFonts w:ascii="Times New Roman" w:hAnsi="Times New Roman" w:cs="Times New Roman"/>
          <w:lang w:val="en-GB"/>
        </w:rPr>
        <w:t>ifferences were considered significant wh</w:t>
      </w:r>
      <w:r w:rsidR="00291787">
        <w:rPr>
          <w:rFonts w:ascii="Times New Roman" w:hAnsi="Times New Roman" w:cs="Times New Roman"/>
          <w:lang w:val="en-GB"/>
        </w:rPr>
        <w:t>en p values were less than 0.05.</w:t>
      </w:r>
    </w:p>
    <w:p w14:paraId="0330E8CA" w14:textId="77777777" w:rsidR="00C4716D" w:rsidRDefault="00291787" w:rsidP="00273628">
      <w:pPr>
        <w:rPr>
          <w:rFonts w:ascii="Times New Roman" w:hAnsi="Times New Roman" w:cs="Times New Roman"/>
          <w:b/>
          <w:sz w:val="36"/>
          <w:szCs w:val="36"/>
        </w:rPr>
      </w:pPr>
      <w:r>
        <w:rPr>
          <w:rFonts w:ascii="Times New Roman" w:hAnsi="Times New Roman" w:cs="Times New Roman"/>
          <w:b/>
          <w:sz w:val="36"/>
          <w:szCs w:val="36"/>
        </w:rPr>
        <w:t xml:space="preserve">                                </w:t>
      </w:r>
    </w:p>
    <w:p w14:paraId="68BE729F" w14:textId="77777777" w:rsidR="006473BF" w:rsidRDefault="00C4716D" w:rsidP="00273628">
      <w:pPr>
        <w:rPr>
          <w:rFonts w:ascii="Times New Roman" w:hAnsi="Times New Roman" w:cs="Times New Roman"/>
          <w:b/>
          <w:sz w:val="36"/>
          <w:szCs w:val="36"/>
        </w:rPr>
      </w:pPr>
      <w:r>
        <w:rPr>
          <w:rFonts w:ascii="Times New Roman" w:hAnsi="Times New Roman" w:cs="Times New Roman"/>
          <w:b/>
          <w:sz w:val="36"/>
          <w:szCs w:val="36"/>
        </w:rPr>
        <w:t xml:space="preserve">                               </w:t>
      </w:r>
    </w:p>
    <w:p w14:paraId="4F9F7790" w14:textId="77777777" w:rsidR="006473BF" w:rsidRDefault="006473BF" w:rsidP="00273628">
      <w:pPr>
        <w:rPr>
          <w:rFonts w:ascii="Times New Roman" w:hAnsi="Times New Roman" w:cs="Times New Roman"/>
          <w:b/>
          <w:sz w:val="36"/>
          <w:szCs w:val="36"/>
        </w:rPr>
      </w:pPr>
    </w:p>
    <w:p w14:paraId="33BABB23" w14:textId="77777777" w:rsidR="006473BF" w:rsidRDefault="006473BF" w:rsidP="00273628">
      <w:pPr>
        <w:rPr>
          <w:rFonts w:ascii="Times New Roman" w:hAnsi="Times New Roman" w:cs="Times New Roman"/>
          <w:b/>
          <w:sz w:val="36"/>
          <w:szCs w:val="36"/>
        </w:rPr>
      </w:pPr>
    </w:p>
    <w:p w14:paraId="51D28A7B" w14:textId="77777777" w:rsidR="002D0408" w:rsidRDefault="002D0408" w:rsidP="00273628">
      <w:pPr>
        <w:rPr>
          <w:rFonts w:ascii="Times New Roman" w:hAnsi="Times New Roman" w:cs="Times New Roman"/>
          <w:b/>
          <w:sz w:val="36"/>
          <w:szCs w:val="36"/>
        </w:rPr>
      </w:pPr>
    </w:p>
    <w:p w14:paraId="286F476E" w14:textId="2502FE7E" w:rsidR="002D0408" w:rsidRPr="00D90250" w:rsidRDefault="00FB7003" w:rsidP="002D0408">
      <w:pPr>
        <w:pStyle w:val="Heading1"/>
        <w:rPr>
          <w:u w:val="none"/>
        </w:rPr>
      </w:pPr>
      <w:bookmarkStart w:id="855" w:name="_Toc328301136"/>
      <w:r w:rsidRPr="00FB7003">
        <w:rPr>
          <w:u w:val="none"/>
        </w:rPr>
        <w:t xml:space="preserve">   </w:t>
      </w:r>
      <w:r w:rsidR="000D28EE">
        <w:rPr>
          <w:u w:val="none"/>
        </w:rPr>
        <w:t xml:space="preserve">                                 </w:t>
      </w:r>
      <w:r w:rsidRPr="00FB7003">
        <w:rPr>
          <w:u w:val="none"/>
        </w:rPr>
        <w:t xml:space="preserve"> </w:t>
      </w:r>
      <w:bookmarkStart w:id="856" w:name="_Toc329593429"/>
      <w:bookmarkStart w:id="857" w:name="_Toc331425928"/>
      <w:bookmarkStart w:id="858" w:name="_Toc331427109"/>
      <w:bookmarkStart w:id="859" w:name="_Toc331427481"/>
      <w:bookmarkStart w:id="860" w:name="_Toc331427623"/>
      <w:bookmarkStart w:id="861" w:name="_Toc332972627"/>
      <w:bookmarkStart w:id="862" w:name="_Toc333046906"/>
      <w:bookmarkStart w:id="863" w:name="_Toc333477253"/>
      <w:bookmarkStart w:id="864" w:name="_Toc333478023"/>
      <w:bookmarkStart w:id="865" w:name="_Toc333644923"/>
      <w:r w:rsidR="002D0408">
        <w:t>Chapter 3</w:t>
      </w:r>
      <w:bookmarkEnd w:id="855"/>
      <w:bookmarkEnd w:id="856"/>
      <w:bookmarkEnd w:id="857"/>
      <w:bookmarkEnd w:id="858"/>
      <w:bookmarkEnd w:id="859"/>
      <w:bookmarkEnd w:id="860"/>
      <w:bookmarkEnd w:id="861"/>
      <w:bookmarkEnd w:id="862"/>
      <w:bookmarkEnd w:id="863"/>
      <w:bookmarkEnd w:id="864"/>
      <w:bookmarkEnd w:id="865"/>
    </w:p>
    <w:p w14:paraId="0783C170" w14:textId="6FFF022A" w:rsidR="00D70074" w:rsidRPr="00C24EFD" w:rsidRDefault="00AE16EA" w:rsidP="00C24EFD">
      <w:pPr>
        <w:pStyle w:val="Heading1"/>
        <w:jc w:val="center"/>
        <w:rPr>
          <w:u w:val="none"/>
        </w:rPr>
      </w:pPr>
      <w:bookmarkStart w:id="866" w:name="_Toc328301137"/>
      <w:bookmarkStart w:id="867" w:name="_Toc329593430"/>
      <w:bookmarkStart w:id="868" w:name="_Toc331425929"/>
      <w:bookmarkStart w:id="869" w:name="_Toc331427110"/>
      <w:bookmarkStart w:id="870" w:name="_Toc331427482"/>
      <w:bookmarkStart w:id="871" w:name="_Toc331427624"/>
      <w:bookmarkStart w:id="872" w:name="_Toc332972628"/>
      <w:bookmarkStart w:id="873" w:name="_Toc333046907"/>
      <w:bookmarkStart w:id="874" w:name="_Toc333477254"/>
      <w:bookmarkStart w:id="875" w:name="_Toc333478024"/>
      <w:bookmarkStart w:id="876" w:name="_Toc333644924"/>
      <w:r w:rsidRPr="00C24EFD">
        <w:rPr>
          <w:u w:val="none"/>
        </w:rPr>
        <w:t>Modelling im</w:t>
      </w:r>
      <w:r w:rsidR="000D28EE">
        <w:rPr>
          <w:u w:val="none"/>
        </w:rPr>
        <w:t xml:space="preserve">paired IGF1 signalling in human </w:t>
      </w:r>
      <w:r w:rsidRPr="00C24EFD">
        <w:rPr>
          <w:u w:val="none"/>
        </w:rPr>
        <w:t>astrocytes</w:t>
      </w:r>
      <w:bookmarkEnd w:id="866"/>
      <w:bookmarkEnd w:id="867"/>
      <w:bookmarkEnd w:id="868"/>
      <w:bookmarkEnd w:id="869"/>
      <w:bookmarkEnd w:id="870"/>
      <w:bookmarkEnd w:id="871"/>
      <w:bookmarkEnd w:id="872"/>
      <w:bookmarkEnd w:id="873"/>
      <w:bookmarkEnd w:id="874"/>
      <w:bookmarkEnd w:id="875"/>
      <w:bookmarkEnd w:id="876"/>
    </w:p>
    <w:p w14:paraId="7EE9FDB6" w14:textId="1D9637FB" w:rsidR="000D28EE" w:rsidRDefault="000D28EE" w:rsidP="002D0408">
      <w:pPr>
        <w:pStyle w:val="Heading2"/>
        <w:rPr>
          <w:szCs w:val="28"/>
        </w:rPr>
      </w:pPr>
      <w:bookmarkStart w:id="877" w:name="_Toc328301138"/>
      <w:bookmarkStart w:id="878" w:name="_Toc329593431"/>
      <w:bookmarkStart w:id="879" w:name="_Toc331425930"/>
      <w:bookmarkStart w:id="880" w:name="_Toc331427111"/>
      <w:bookmarkStart w:id="881" w:name="_Toc331427483"/>
      <w:bookmarkStart w:id="882" w:name="_Toc331427625"/>
    </w:p>
    <w:p w14:paraId="4BD33A6D" w14:textId="71B73C6E" w:rsidR="001A257D" w:rsidRPr="00114855" w:rsidRDefault="00652FF0" w:rsidP="002D0408">
      <w:pPr>
        <w:pStyle w:val="Heading2"/>
        <w:rPr>
          <w:szCs w:val="28"/>
        </w:rPr>
      </w:pPr>
      <w:bookmarkStart w:id="883" w:name="_Toc332972629"/>
      <w:bookmarkStart w:id="884" w:name="_Toc333046908"/>
      <w:bookmarkStart w:id="885" w:name="_Toc333477255"/>
      <w:bookmarkStart w:id="886" w:name="_Toc333478025"/>
      <w:bookmarkStart w:id="887" w:name="_Toc333644925"/>
      <w:r>
        <w:rPr>
          <w:szCs w:val="28"/>
        </w:rPr>
        <w:t>3</w:t>
      </w:r>
      <w:r w:rsidR="00AE16EA" w:rsidRPr="00114855">
        <w:rPr>
          <w:szCs w:val="28"/>
        </w:rPr>
        <w:t xml:space="preserve">.1 </w:t>
      </w:r>
      <w:r w:rsidR="00915416" w:rsidRPr="00114855">
        <w:rPr>
          <w:szCs w:val="28"/>
        </w:rPr>
        <w:t>Introduction</w:t>
      </w:r>
      <w:bookmarkEnd w:id="877"/>
      <w:bookmarkEnd w:id="878"/>
      <w:bookmarkEnd w:id="879"/>
      <w:bookmarkEnd w:id="880"/>
      <w:bookmarkEnd w:id="881"/>
      <w:bookmarkEnd w:id="882"/>
      <w:bookmarkEnd w:id="883"/>
      <w:bookmarkEnd w:id="884"/>
      <w:bookmarkEnd w:id="885"/>
      <w:bookmarkEnd w:id="886"/>
      <w:bookmarkEnd w:id="887"/>
    </w:p>
    <w:p w14:paraId="0B4AE208" w14:textId="77777777" w:rsidR="00915416" w:rsidRPr="004975E3" w:rsidRDefault="00915416">
      <w:pPr>
        <w:rPr>
          <w:rFonts w:ascii="Times New Roman" w:hAnsi="Times New Roman" w:cs="Times New Roman"/>
          <w:b/>
          <w:u w:val="single"/>
        </w:rPr>
      </w:pPr>
    </w:p>
    <w:p w14:paraId="3F0F4FDF" w14:textId="5ECCF13C" w:rsidR="00E030E2" w:rsidRDefault="00D2739C" w:rsidP="003E7BDB">
      <w:pPr>
        <w:spacing w:line="360" w:lineRule="auto"/>
        <w:jc w:val="both"/>
        <w:rPr>
          <w:rFonts w:ascii="Times New Roman" w:hAnsi="Times New Roman" w:cs="Times New Roman"/>
        </w:rPr>
      </w:pPr>
      <w:r>
        <w:rPr>
          <w:rFonts w:ascii="Times New Roman" w:hAnsi="Times New Roman" w:cs="Times New Roman"/>
        </w:rPr>
        <w:t>IGF1</w:t>
      </w:r>
      <w:r w:rsidR="002C11AB">
        <w:rPr>
          <w:rFonts w:ascii="Times New Roman" w:hAnsi="Times New Roman" w:cs="Times New Roman"/>
        </w:rPr>
        <w:t xml:space="preserve"> signalling has been characteris</w:t>
      </w:r>
      <w:r>
        <w:rPr>
          <w:rFonts w:ascii="Times New Roman" w:hAnsi="Times New Roman" w:cs="Times New Roman"/>
        </w:rPr>
        <w:t xml:space="preserve">ed </w:t>
      </w:r>
      <w:r w:rsidR="0008567E">
        <w:rPr>
          <w:rFonts w:ascii="Times New Roman" w:hAnsi="Times New Roman" w:cs="Times New Roman"/>
        </w:rPr>
        <w:t xml:space="preserve">in many cell types in the brain but </w:t>
      </w:r>
      <w:r w:rsidR="00476CFB">
        <w:rPr>
          <w:rFonts w:ascii="Times New Roman" w:hAnsi="Times New Roman" w:cs="Times New Roman"/>
        </w:rPr>
        <w:t>as of yet there are no studies that</w:t>
      </w:r>
      <w:r w:rsidR="0008567E">
        <w:rPr>
          <w:rFonts w:ascii="Times New Roman" w:hAnsi="Times New Roman" w:cs="Times New Roman"/>
        </w:rPr>
        <w:t xml:space="preserve"> </w:t>
      </w:r>
      <w:r w:rsidR="00EE73DB">
        <w:rPr>
          <w:rFonts w:ascii="Times New Roman" w:hAnsi="Times New Roman" w:cs="Times New Roman"/>
        </w:rPr>
        <w:t>demonstrate the importance and function</w:t>
      </w:r>
      <w:r w:rsidR="00C3183B">
        <w:rPr>
          <w:rFonts w:ascii="Times New Roman" w:hAnsi="Times New Roman" w:cs="Times New Roman"/>
        </w:rPr>
        <w:t>ing</w:t>
      </w:r>
      <w:r w:rsidR="00EE73DB">
        <w:rPr>
          <w:rFonts w:ascii="Times New Roman" w:hAnsi="Times New Roman" w:cs="Times New Roman"/>
        </w:rPr>
        <w:t xml:space="preserve"> of this pathway </w:t>
      </w:r>
      <w:r w:rsidR="0008567E">
        <w:rPr>
          <w:rFonts w:ascii="Times New Roman" w:hAnsi="Times New Roman" w:cs="Times New Roman"/>
        </w:rPr>
        <w:t xml:space="preserve">in human astrocytes. IGF1 expression has been identified in microglia </w:t>
      </w:r>
      <w:r w:rsidR="00DF401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"10.1186/1742-2094-10-37", "ISSN" : "1742-2094", "PMID" : "23497056", "abstract" : "BACKGROUND Recent studies in experimental animals show that insulin-like growth factor 1 (IGF1) plays a trophic role during development and tissue injury and that microglia are important sources of IGF1. However, little information is available regarding the expression, regulation, and function of IGF1 and related proteins in human brain cells. In the current study, we examined the expression of IGF1 and IGF2 in human microglia in vivo and in vitro. METHODS Expression of IGF1 and IGF2 was examined by immunohistochemistry in post-mortem human brain sections derived from HIV+ and HIV- brains. In primary cultures of human fetal microglia, IGF1 and IGF2 mRNA and protein expression was examined by Q-PCR, ELISA, and Western blot analysis. Additionally, the role of IGF1 and IGF2 in neuroprotection was examined in primary human neuronal glial cultures. RESULTS Immunohistochemistry of human brain tissues showed that nonparenchymal cells (vessels and meninges), as well as parenchymal microglia and macrophages were positive for IGF1, in both HIV encephalitis and control brains, while IGF2 was undetectable. Cultured microglia expressed IGF1 mRNA and produced pg/ml levels of IGF1 protein; this was significantly suppressed by proinflammatory mediators, such as lipopolysaccharide (LPS), poly(I:C), and IFN\u03b3. The Th2 cytokines IL-4 and IL-13 had no significant effect, but the cAMP analog (dibutyryl cAMP) significantly increased IGF1 production. In contrast, microglial IGF2 mRNA and protein (determined by Western blot) were upregulated by LPS. IGF1 receptor (IGF1R) immunoreactivity was predominantly expressed by neurons, and both IGF1 and IGF2 significantly protected neurons from cytokine (IL-1/IFN\u03b3) induced death. CONCLUSIONS Our study in human brain tissues and cells indicates that microglia are important sources of neurotrophic growth factors IGF1 and IGF2, and that microglial activation phenotypes can influence the growth factor expression. Importantly, our results suggest that chronic neuroinflammation and upregulation of proinflammatory cytokines could lead to neurodegeneration by suppressing the production of microglia-derived neuronal growth factors, such as IGF1.", "author" : [ { "dropping-particle" : "", "family" : "Suh", "given" : "Hyeon-Sook", "non-dropping-particle" : "", "parse-names" : false, "suffix" : "" }, { "dropping-particle" : "", "family" : "Zhao", "given" : "Meng-Liang", "non-dropping-particle" : "", "parse-names" : false, "suffix" : "" }, { "dropping-particle" : "", "family" : "Derico", "given" : "Leandra", "non-dropping-particle" : "", "parse-names" : false, "suffix" : "" }, { "dropping-particle" : "", "family" : "Choi", "given" : "Namjong", "non-dropping-particle" : "", "parse-names" : false, "suffix" : "" }, { "dropping-particle" : "", "family" : "Lee", "given" : "Sunhee C", "non-dropping-particle" : "", "parse-names" : false, "suffix" : "" } ], "container-title" : "Journal of neuroinflammation", "id" : "ITEM-1", "issued" : { "date-parts" : [ [ "2013" ] ] }, "page" : "37", "publisher" : "BioMed Central", "title" : "Insulin-like growth factor 1 and 2 (IGF1, IGF2) expression in human microglia: differential regulation by inflammatory mediators.", "type" : "article-journal", "volume" : "10" }, "uris" : [ "http://www.mendeley.com/documents/?uuid=a5c20573-c5e4-3a8c-8f9a-22ae85df9a1b" ] } ], "mendeley" : { "formattedCitation" : "(Suh et al. 2013)", "plainTextFormattedCitation" : "(Suh et al. 2013)", "previouslyFormattedCitation" : "(Suh et al. 2013)" }, "properties" : { "noteIndex" : 0 }, "schema" : "https://github.com/citation-style-language/schema/raw/master/csl-citation.json" }</w:instrText>
      </w:r>
      <w:r w:rsidR="00DF4019">
        <w:rPr>
          <w:rFonts w:ascii="Times New Roman" w:hAnsi="Times New Roman" w:cs="Times New Roman"/>
        </w:rPr>
        <w:fldChar w:fldCharType="separate"/>
      </w:r>
      <w:r w:rsidR="00C148FC" w:rsidRPr="00C148FC">
        <w:rPr>
          <w:rFonts w:ascii="Times New Roman" w:hAnsi="Times New Roman" w:cs="Times New Roman"/>
          <w:noProof/>
        </w:rPr>
        <w:t>(Suh et al. 2013)</w:t>
      </w:r>
      <w:r w:rsidR="00DF4019">
        <w:rPr>
          <w:rFonts w:ascii="Times New Roman" w:hAnsi="Times New Roman" w:cs="Times New Roman"/>
        </w:rPr>
        <w:fldChar w:fldCharType="end"/>
      </w:r>
      <w:r w:rsidR="00DF4019">
        <w:rPr>
          <w:rFonts w:ascii="Times New Roman" w:hAnsi="Times New Roman" w:cs="Times New Roman"/>
        </w:rPr>
        <w:t xml:space="preserve"> </w:t>
      </w:r>
      <w:r w:rsidR="0008567E">
        <w:rPr>
          <w:rFonts w:ascii="Times New Roman" w:hAnsi="Times New Roman" w:cs="Times New Roman"/>
        </w:rPr>
        <w:t>and in neurons</w:t>
      </w:r>
      <w:r w:rsidR="00AE16EA">
        <w:rPr>
          <w:rFonts w:ascii="Times New Roman" w:hAnsi="Times New Roman" w:cs="Times New Roman"/>
        </w:rPr>
        <w:t xml:space="preserve"> it is known</w:t>
      </w:r>
      <w:r w:rsidR="0008567E">
        <w:rPr>
          <w:rFonts w:ascii="Times New Roman" w:hAnsi="Times New Roman" w:cs="Times New Roman"/>
        </w:rPr>
        <w:t xml:space="preserve"> to inhibit apoptosis and maintain survival </w:t>
      </w:r>
      <w:r w:rsidR="00DF401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"0006-8993", "PMID" : "3105814", "abstract" : "We have developed a pure cortical neuronal culture free of glial cells, grown in a serum-free environment. The cultured cells immunostained positively with neurofilament antibody while they displayed virtually no glial cell characteristics, such as glial fibrillary acidic protein, glycerol phosphate dehydrogenase or glutamine synthetase. Insulin and transferrin were necessary and sufficient for neuronal survival, neurite extension and glutamic acid decarboxylase (GAD) expression. Insulin-like growth factor-I was able to replace insulin and was active close to its physiological concentration, suggesting it might be the in vivo factor influencing neuronal growth in the brain. The dynamics of the developmental process were striking. The neurons moved on the poly-D-lysine covered plastic dish, and rearrangements in contacts between cells were observed. At first the neurons underwent a general cellular growth manifested by a large increase in the culture total protein content and by the initiation of neurites. A more specific differentiation, as indicated by the sharp increase in GAD levels which was concurrent with an increase in interneuronal contacts, lagged behind the initial growth. Thyroid hormone (TH) affected the differentiation process, causing a future increase in GAD levels during the same time of increase in neurite growth, in interneuronal contacts, in thyroid hormone receptors and thyroid gland maturation. Removal of each of the hormones after a few days of cell growth revealed that transferrin was still required for neuronal survival while insulin became essential for general cellular growth but not specific neuronal differentiation, since it caused an increase in both the total protein and GAD levels but not in GAD specific activity. TH, on the other hand, affected the differentiation process as evident by its ability to increase GAD specific activity. This action of TH, however, required the presence of insulin, without which no increase in GAD level by TH was observed. This neuronal culture, glial and serum-free, provides a new system for investigating neuronal development and function in the complex mammalian central nervous system.", "author" : [ { "dropping-particle" : "", "family" : "Aizenman", "given" : "Y", "non-dropping-particle" : "", "parse-names" : false, "suffix" : "" }, { "dropping-particle" : "", "family" : "Vellis", "given" : "J", "non-dropping-particle" : "de", "parse-names" : false, "suffix" : "" } ], "container-title" : "Brain research", "id" : "ITEM-1", "issue" : "1-2", "issued" : { "date-parts" : [ [ "1987", "3", "17" ] ] }, "page" : "32-42", "title" : "Brain neurons develop in a serum and glial free environment: effects of transferrin, insulin, insulin-like growth factor-I and thyroid hormone on neuronal survival, growth and differentiation.", "type" : "article-journal", "volume" : "406" }, "uris" : [ "http://www.mendeley.com/documents/?uuid=8d9e2621-d7ed-332f-a11a-fbbde80dc43b" ] }, { "id" : "ITEM-2", "itemData" : { "DOI" : "10.1016/0306-4522(90)90332-X", "ISSN" : "03064522", "abstract" : "The hypothesis that insulin-like growth factor-I is a trophic factor for primary fetal rat hypothalamic cells was tested, since we previously reported a potent mitogenic effect of this peptide on virally-transformed hypothalamic cells. It was found that insulin-like growth factor-I produced significant and dose-dependent increases in the survival of fetal hypothalamic neurons in primary mixed glial/neuronal cultures. By 48 h in vitro, cultures treated with insulin-like growth factor-I (6 nM) had twice as many neurite-bearing cells as controls, while by day 15 a five-fold difference was present. The peptide was similarly active in promoting neuronal survival in neuron-enriched (98% neurons) hypothalamic cultures. Mixed hypothalamic cultures had specific binding sites for insulin-like growth factor-I. In addition, the neurons grown in the presence of insulin-like growth factor-I had a more differentiated morphology and had significantly higher levels of protein kinase C, an enzyme that increases during neurite formation and synaptogenesis. Finally, glial-enriched cultures (&gt;99% glial cells) obtained from the fetal hypothalamus showed increased [3H]thymidine incorporation in response to insulin-like growth factor-I. These results further support the contention that insulin-like growth factor-I is a neurotrophic factor and suggest that it may participate in the normal development of the hypothalamus by increasing neuronal survival/differentiation and stimulating glial growth.", "author" : [ { "dropping-particle" : "", "family" : "Torres-Aleman", "given" : "I.", "non-dropping-particle" : "", "parse-names" : false, "suffix" : "" }, { "dropping-particle" : "", "family" : "Naftolin", "given" : "F.", "non-dropping-particle" : "", "parse-names" : false, "suffix" : "" }, { "dropping-particle" : "", "family" : "Robbins", "given" : "R.J.", "non-dropping-particle" : "", "parse-names" : false, "suffix" : "" } ], "container-title" : "Neuroscience", "id" : "ITEM-2", "issue" : "3", "issued" : { "date-parts" : [ [ "1990" ] ] }, "page" : "601-608", "title" : "Trophic effects of insulin-like growth factor-I on fetal rat hypothalamic cells in culture", "type" : "article-journal", "volume" : "35" }, "uris" : [ "http://www.mendeley.com/documents/?uuid=37604ca8-a6be-38af-bd40-4831b6dad7e5" ] } ], "mendeley" : { "formattedCitation" : "(Aizenman &amp; de Vellis 1987; Torres-Aleman et al. 1990)", "plainTextFormattedCitation" : "(Aizenman &amp; de Vellis 1987; Torres-Aleman et al. 1990)", "previouslyFormattedCitation" : "(Aizenman &amp; de Vellis 1987; Torres-Aleman et al. 1990)" }, "properties" : { "noteIndex" : 0 }, "schema" : "https://github.com/citation-style-language/schema/raw/master/csl-citation.json" }</w:instrText>
      </w:r>
      <w:r w:rsidR="00DF4019">
        <w:rPr>
          <w:rFonts w:ascii="Times New Roman" w:hAnsi="Times New Roman" w:cs="Times New Roman"/>
        </w:rPr>
        <w:fldChar w:fldCharType="separate"/>
      </w:r>
      <w:r w:rsidR="00C148FC" w:rsidRPr="00C148FC">
        <w:rPr>
          <w:rFonts w:ascii="Times New Roman" w:hAnsi="Times New Roman" w:cs="Times New Roman"/>
          <w:noProof/>
        </w:rPr>
        <w:t>(Aizenman &amp; de Vellis 1987; Torres-Aleman et al. 1990)</w:t>
      </w:r>
      <w:r w:rsidR="00DF4019">
        <w:rPr>
          <w:rFonts w:ascii="Times New Roman" w:hAnsi="Times New Roman" w:cs="Times New Roman"/>
        </w:rPr>
        <w:fldChar w:fldCharType="end"/>
      </w:r>
      <w:r w:rsidR="00DF4019">
        <w:rPr>
          <w:rFonts w:ascii="Times New Roman" w:hAnsi="Times New Roman" w:cs="Times New Roman"/>
        </w:rPr>
        <w:t xml:space="preserve">. </w:t>
      </w:r>
      <w:r w:rsidR="00AE16EA">
        <w:rPr>
          <w:rFonts w:ascii="Times New Roman" w:hAnsi="Times New Roman" w:cs="Times New Roman"/>
        </w:rPr>
        <w:t>E</w:t>
      </w:r>
      <w:r w:rsidR="00FF31FF">
        <w:rPr>
          <w:rFonts w:ascii="Times New Roman" w:hAnsi="Times New Roman" w:cs="Times New Roman"/>
        </w:rPr>
        <w:t>xpressio</w:t>
      </w:r>
      <w:r w:rsidR="00DC3BF8">
        <w:rPr>
          <w:rFonts w:ascii="Times New Roman" w:hAnsi="Times New Roman" w:cs="Times New Roman"/>
        </w:rPr>
        <w:t xml:space="preserve">n of IGF1 and </w:t>
      </w:r>
      <w:r w:rsidR="00FF31FF">
        <w:rPr>
          <w:rFonts w:ascii="Times New Roman" w:hAnsi="Times New Roman" w:cs="Times New Roman"/>
        </w:rPr>
        <w:t>activation of</w:t>
      </w:r>
      <w:r w:rsidR="00AE16EA">
        <w:rPr>
          <w:rFonts w:ascii="Times New Roman" w:hAnsi="Times New Roman" w:cs="Times New Roman"/>
        </w:rPr>
        <w:t xml:space="preserve"> the</w:t>
      </w:r>
      <w:r w:rsidR="00FF31FF">
        <w:rPr>
          <w:rFonts w:ascii="Times New Roman" w:hAnsi="Times New Roman" w:cs="Times New Roman"/>
        </w:rPr>
        <w:t xml:space="preserve"> </w:t>
      </w:r>
      <w:r w:rsidR="00EE73DB">
        <w:rPr>
          <w:rFonts w:ascii="Times New Roman" w:hAnsi="Times New Roman" w:cs="Times New Roman"/>
        </w:rPr>
        <w:t>IGF</w:t>
      </w:r>
      <w:r w:rsidR="00FF31FF">
        <w:rPr>
          <w:rFonts w:ascii="Times New Roman" w:hAnsi="Times New Roman" w:cs="Times New Roman"/>
        </w:rPr>
        <w:t>1</w:t>
      </w:r>
      <w:r w:rsidR="00EE73DB">
        <w:rPr>
          <w:rFonts w:ascii="Times New Roman" w:hAnsi="Times New Roman" w:cs="Times New Roman"/>
        </w:rPr>
        <w:t xml:space="preserve"> receptor </w:t>
      </w:r>
      <w:r w:rsidR="006E2940">
        <w:rPr>
          <w:rFonts w:ascii="Times New Roman" w:hAnsi="Times New Roman" w:cs="Times New Roman"/>
        </w:rPr>
        <w:t>have</w:t>
      </w:r>
      <w:r w:rsidR="0077604A">
        <w:rPr>
          <w:rFonts w:ascii="Times New Roman" w:hAnsi="Times New Roman" w:cs="Times New Roman"/>
        </w:rPr>
        <w:t xml:space="preserve"> </w:t>
      </w:r>
      <w:r w:rsidR="006E2940">
        <w:rPr>
          <w:rFonts w:ascii="Times New Roman" w:hAnsi="Times New Roman" w:cs="Times New Roman"/>
        </w:rPr>
        <w:t xml:space="preserve">been detected in </w:t>
      </w:r>
      <w:r w:rsidR="00AE16EA">
        <w:rPr>
          <w:rFonts w:ascii="Times New Roman" w:hAnsi="Times New Roman" w:cs="Times New Roman"/>
        </w:rPr>
        <w:t xml:space="preserve">mouse and </w:t>
      </w:r>
      <w:r w:rsidR="006E2940">
        <w:rPr>
          <w:rFonts w:ascii="Times New Roman" w:hAnsi="Times New Roman" w:cs="Times New Roman"/>
        </w:rPr>
        <w:t>rat astroglial cells</w:t>
      </w:r>
      <w:r w:rsidR="00AE16EA">
        <w:rPr>
          <w:rFonts w:ascii="Times New Roman" w:hAnsi="Times New Roman" w:cs="Times New Roman"/>
        </w:rPr>
        <w:t xml:space="preserve"> </w:t>
      </w:r>
      <w:r w:rsidR="00DF401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"0261-4189", "PMID" : "2828033", "abstract" : "Gene expression, receptor binding and growth-promoting activity of insulin-like growth factor I (IGF I) was studied in cultured astrocytes from developing rat brain. Northern blot analysis of poly(A)+ RNAs from astrocytes revealed an IGF I mRNA of 1.9 kb. Competitive binding and receptor labelling techniques revealed two types of IGF receptor in astroglial cells. Type I IGF receptors consist of alpha-subunits (Mr 130,000) which bind IGF I with significantly higher affinity than IGF II, and beta-subunits (Mr 94,000) which show IGF I-sensitive tyrosine kinase activity. Type II IGF receptors are monomers (Mr 250,000) which bind IGF II with three times higher affinity than IGF I. Both types of IGF receptor recognize insulin weakly. DNA synthesis measured by cellular thymidine incorporation was stimulated 2-fold by IGF I and IGF II. IGF I was more potent than IGF II, and both were significantly more potent than insulin. Our findings suggest that IGF I is synthesized in fetal rat astrocytes and acts as a growth promoter for the same cells by activation of the type I IGF receptor tyrosine kinase. We propose that IGF I acts through autocrine or paracrine mechanisms to stimulate astroglial cell growth during normal brain development.", "author" : [ { "dropping-particle" : "", "family" : "Ballotti", "given" : "R", "non-dropping-particle" : "", "parse-names" : false, "suffix" : "" }, { "dropping-particle" : "", "family" : "Nielsen", "given" : "F C", "non-dropping-particle" : "", "parse-names" : false, "suffix" : "" }, { "dropping-particle" : "", "family" : "Pringle", "given" : "N", "non-dropping-particle" : "", "parse-names" : false, "suffix" : "" }, { "dropping-particle" : "", "family" : "Kowalski", "given" : "A", "non-dropping-particle" : "", "parse-names" : false, "suffix" : "" }, { "dropping-particle" : "", "family" : "Richardson", "given" : "W D", "non-dropping-particle" : "", "parse-names" : false, "suffix" : "" }, { "dropping-particle" : "", "family" : "Obberghen", "given" : "E", "non-dropping-particle" : "Van", "parse-names" : false, "suffix" : "" }, { "dropping-particle" : "", "family" : "Gammeltoft", "given" : "S", "non-dropping-particle" : "", "parse-names" : false, "suffix" : "" } ], "container-title" : "The EMBO journal", "id" : "ITEM-1", "issue" : "12", "issued" : { "date-parts" : [ [ "1987", "12", "1" ] ] }, "page" : "3633-9", "title" : "Insulin-like growth factor I in cultured rat astrocytes: expression of the gene, and receptor tyrosine kinase.", "type" : "article-journal", "volume" : "6" }, "uris" : [ "http://www.mendeley.com/documents/?uuid=405a37b7-c719-39aa-85da-9bf5b585fefe" ] } ], "mendeley" : { "formattedCitation" : "(Ballotti et al. 1987)", "plainTextFormattedCitation" : "(Ballotti et al. 1987)", "previouslyFormattedCitation" : "(Ballotti et al. 1987)" }, "properties" : { "noteIndex" : 0 }, "schema" : "https://github.com/citation-style-language/schema/raw/master/csl-citation.json" }</w:instrText>
      </w:r>
      <w:r w:rsidR="00DF4019">
        <w:rPr>
          <w:rFonts w:ascii="Times New Roman" w:hAnsi="Times New Roman" w:cs="Times New Roman"/>
        </w:rPr>
        <w:fldChar w:fldCharType="separate"/>
      </w:r>
      <w:r w:rsidR="00C148FC" w:rsidRPr="00C148FC">
        <w:rPr>
          <w:rFonts w:ascii="Times New Roman" w:hAnsi="Times New Roman" w:cs="Times New Roman"/>
          <w:noProof/>
        </w:rPr>
        <w:t>(Ballotti et al. 1987)</w:t>
      </w:r>
      <w:r w:rsidR="00DF4019">
        <w:rPr>
          <w:rFonts w:ascii="Times New Roman" w:hAnsi="Times New Roman" w:cs="Times New Roman"/>
        </w:rPr>
        <w:fldChar w:fldCharType="end"/>
      </w:r>
      <w:r w:rsidR="00336972">
        <w:rPr>
          <w:rFonts w:ascii="Times New Roman" w:hAnsi="Times New Roman" w:cs="Times New Roman"/>
        </w:rPr>
        <w:t xml:space="preserve"> </w:t>
      </w:r>
      <w:r w:rsidR="00AE16EA">
        <w:rPr>
          <w:rFonts w:ascii="Times New Roman" w:hAnsi="Times New Roman" w:cs="Times New Roman"/>
        </w:rPr>
        <w:t xml:space="preserve">and </w:t>
      </w:r>
      <w:r w:rsidR="00D40043">
        <w:rPr>
          <w:rFonts w:ascii="Times New Roman" w:hAnsi="Times New Roman" w:cs="Times New Roman"/>
        </w:rPr>
        <w:t>mouse astrocytes</w:t>
      </w:r>
      <w:r w:rsidR="00700CBD">
        <w:rPr>
          <w:rFonts w:ascii="Times New Roman" w:hAnsi="Times New Roman" w:cs="Times New Roman"/>
        </w:rPr>
        <w:t xml:space="preserve"> have been shown</w:t>
      </w:r>
      <w:r w:rsidR="00D40043">
        <w:rPr>
          <w:rFonts w:ascii="Times New Roman" w:hAnsi="Times New Roman" w:cs="Times New Roman"/>
        </w:rPr>
        <w:t xml:space="preserve"> to mediate the pro-survival effects of IGF1 on motor neurons </w:t>
      </w:r>
      <w:r w:rsidR="00DF401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"10.1016/0022-510X(92)90164-G", "ISSN" : "0022510X", "abstract" : "We isolated motoneurons from E15 dissociated mouse spinal cord by density centrifugation and planted them onto poly-ornithine-coated coverslips in a growth medium (DMEM/F12) supplemented with progesterone, transferrin, selenium, horse serum and muscle extract. Under these conditions only 28% of the motoneurons survived for 8 days. When living astrocytes on a separate coverslip were introduced into dishes containing motoneurons, there was a two-fold increase in neuronal survival. The addition of insulin and insulin-like growth factor I (IGF-I) to such cultures alone or together, still further increased motoneuron survival, but this did not happen in the absence of astrocytes. We conclude that (a) astrocytes exert a trophic role in the survival of spinal motoneurons, (b) the effect does not require physical contact of the cells, and (c) insulin and IGF-1 have neurotrophic activity for motoneurons, an effect possibly mediated by living astrocytes.", "author" : [ { "dropping-particle" : "", "family" : "Ang", "given" : "Lee C.", "non-dropping-particle" : "", "parse-names" : false, "suffix" : "" }, { "dropping-particle" : "", "family" : "Bhaumick", "given" : "Banani", "non-dropping-particle" : "", "parse-names" : false, "suffix" : "" }, { "dropping-particle" : "", "family" : "Munoz", "given" : "David G.", "non-dropping-particle" : "", "parse-names" : false, "suffix" : "" }, { "dropping-particle" : "", "family" : "Sass", "given" : "Jennifer", "non-dropping-particle" : "", "parse-names" : false, "suffix" : "" }, { "dropping-particle" : "", "family" : "Juurlink", "given" : "Bernhard H.J.", "non-dropping-particle" : "", "parse-names" : false, "suffix" : "" } ], "container-title" : "Journal of the Neurological Sciences", "id" : "ITEM-1", "issue" : "2", "issued" : { "date-parts" : [ [ "1992", "6" ] ] }, "page" : "168-172", "title" : "Effects of astrocytes, insulin and insulin-like growth factor I on the survival of motoneurons in vitro", "type" : "article-journal", "volume" : "109" }, "uris" : [ "http://www.mendeley.com/documents/?uuid=2755f744-343b-4f64-8e5b-e6936b4730dd" ] } ], "mendeley" : { "formattedCitation" : "(Ang et al. 1992)", "plainTextFormattedCitation" : "(Ang et al. 1992)", "previouslyFormattedCitation" : "(Ang et al. 1992)" }, "properties" : { "noteIndex" : 0 }, "schema" : "https://github.com/citation-style-language/schema/raw/master/csl-citation.json" }</w:instrText>
      </w:r>
      <w:r w:rsidR="00DF4019">
        <w:rPr>
          <w:rFonts w:ascii="Times New Roman" w:hAnsi="Times New Roman" w:cs="Times New Roman"/>
        </w:rPr>
        <w:fldChar w:fldCharType="separate"/>
      </w:r>
      <w:r w:rsidR="00C148FC" w:rsidRPr="00C148FC">
        <w:rPr>
          <w:rFonts w:ascii="Times New Roman" w:hAnsi="Times New Roman" w:cs="Times New Roman"/>
          <w:noProof/>
        </w:rPr>
        <w:t>(Ang et al. 1992)</w:t>
      </w:r>
      <w:r w:rsidR="00DF4019">
        <w:rPr>
          <w:rFonts w:ascii="Times New Roman" w:hAnsi="Times New Roman" w:cs="Times New Roman"/>
        </w:rPr>
        <w:fldChar w:fldCharType="end"/>
      </w:r>
      <w:r w:rsidR="00D40043">
        <w:rPr>
          <w:rFonts w:ascii="Times New Roman" w:hAnsi="Times New Roman" w:cs="Times New Roman"/>
        </w:rPr>
        <w:t xml:space="preserve">, suggesting functional IGF1 signalling in </w:t>
      </w:r>
      <w:r w:rsidR="00B67ACF">
        <w:rPr>
          <w:rFonts w:ascii="Times New Roman" w:hAnsi="Times New Roman" w:cs="Times New Roman"/>
        </w:rPr>
        <w:t xml:space="preserve">mouse </w:t>
      </w:r>
      <w:r w:rsidR="00D40043">
        <w:rPr>
          <w:rFonts w:ascii="Times New Roman" w:hAnsi="Times New Roman" w:cs="Times New Roman"/>
        </w:rPr>
        <w:t xml:space="preserve">astrocytes.  </w:t>
      </w:r>
      <w:r w:rsidR="00EE22A5">
        <w:rPr>
          <w:rFonts w:ascii="Times New Roman" w:hAnsi="Times New Roman" w:cs="Times New Roman"/>
        </w:rPr>
        <w:t xml:space="preserve">However, human astrocytes are structurally more complex and diverse than their rodent counterparts </w:t>
      </w:r>
      <w:r w:rsidR="00DF401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"10.1016/j.tins.2006.08.004", "ISSN" : "0166-2236", "PMID" : "16938356", "abstract" : "One of the most distinguishing features of the adult human brain is the complexity and diversity of its cortical astrocytes. Human protoplasmic astrocytes manifest a threefold larger diameter and have tenfold more primary processes than those of rodents. In all mammals, protoplasmic astrocytes are organized into spatially non-overlapping domains that encompass both neurons and vasculature. Yet unique to humans and primates are additional populations of layer 1 interlaminar astrocytes that extend long (millimeter) fibers, and layer 5-6 polarized astrocytes that also project distinctive long processes. We propose that human cortical evolution has been accompanied by increasing complexity in the form and function of astrocytes, which reflects an expansion of their functional roles in synaptic modulation and cortical circuitry.", "author" : [ { "dropping-particle" : "", "family" : "Oberheim", "given" : "Nancy Ann", "non-dropping-particle" : "", "parse-names" : false, "suffix" : "" }, { "dropping-particle" : "", "family" : "Wang", "given" : "Xiaohai", "non-dropping-particle" : "", "parse-names" : false, "suffix" : "" }, { "dropping-particle" : "", "family" : "Goldman", "given" : "Steven", "non-dropping-particle" : "", "parse-names" : false, "suffix" : "" }, { "dropping-particle" : "", "family" : "Nedergaard", "given" : "Maiken", "non-dropping-particle" : "", "parse-names" : false, "suffix" : "" } ], "container-title" : "Trends in neurosciences", "id" : "ITEM-1", "issue" : "10", "issued" : { "date-parts" : [ [ "2006", "10", "1" ] ] }, "language" : "English", "page" : "547-53", "publisher" : "Elsevier", "title" : "Astrocytic complexity distinguishes the human brain.", "type" : "article-journal", "volume" : "29" }, "uris" : [ "http://www.mendeley.com/documents/?uuid=c61b7cad-1cf5-46ed-ad24-67fd34e0cab9" ] }, { "id" : "ITEM-2", "itemData" : { "DOI" : "10.1523/JNEUROSCI.4707-08.2009", "ISSN" : "1529-2401", "PMID" : "19279265", "abstract" : "Defining the microanatomic differences between the human brain and that of other mammals is key to understanding its unique computational power. Although much effort has been devoted to comparative studies of neurons, astrocytes have received far less attention. We report here that protoplasmic astrocytes in human neocortex are 2.6-fold larger in diameter and extend 10-fold more GFAP (glial fibrillary acidic protein)-positive primary processes than their rodent counterparts. In cortical slices prepared from acutely resected surgical tissue, protoplasmic astrocytes propagate Ca(2+) waves with a speed of 36 microm/s, approximately fourfold faster than rodent. Human astrocytes also transiently increase cystosolic Ca(2+) in response to glutamatergic and purinergic receptor agonists. The human neocortex also harbors several anatomically defined subclasses of astrocytes not represented in rodents. These include a population of astrocytes that reside in layers 5-6 and extend long fibers characterized by regularly spaced varicosities. Another specialized type of astrocyte, the interlaminar astrocyte, abundantly populates the superficial cortical layers and extends long processes without varicosities to cortical layers 3 and 4. Human fibrous astrocytes resemble their rodent counterpart but are larger in diameter. Thus, human cortical astrocytes are both larger, and structurally both more complex and more diverse, than those of rodents. On this basis, we posit that this astrocytic complexity has permitted the increased functional competence of the adult human brain.", "author" : [ { "dropping-particle" : "", "family" : "Oberheim", "given" : "Nancy Ann", "non-dropping-particle" : "", "parse-names" : false, "suffix" : "" }, { "dropping-particle" : "", "family" : "Takano", "given" : "Takahiro", "non-dropping-particle" : "", "parse-names" : false, "suffix" : "" }, { "dropping-particle" : "", "family" : "Han", "given" : "Xiaoning", "non-dropping-particle" : "", "parse-names" : false, "suffix" : "" }, { "dropping-particle" : "", "family" : "He", "given" : "Wei", "non-dropping-particle" : "", "parse-names" : false, "suffix" : "" }, { "dropping-particle" : "", "family" : "Lin", "given" : "Jane H C", "non-dropping-particle" : "", "parse-names" : false, "suffix" : "" }, { "dropping-particle" : "", "family" : "Wang", "given" : "Fushun", "non-dropping-particle" : "", "parse-names" : false, "suffix" : "" }, { "dropping-particle" : "", "family" : "Xu", "given" : "Qiwu", "non-dropping-particle" : "", "parse-names" : false, "suffix" : "" }, { "dropping-particle" : "", "family" : "Wyatt", "given" : "Jeffrey D", "non-dropping-particle" : "", "parse-names" : false, "suffix" : "" }, { "dropping-particle" : "", "family" : "Pilcher", "given" : "Webster", "non-dropping-particle" : "", "parse-names" : false, "suffix" : "" }, { "dropping-particle" : "", "family" : "Ojemann", "given" : "Jeffrey G", "non-dropping-particle" : "", "parse-names" : false, "suffix" : "" }, { "dropping-particle" : "", "family" : "Ransom", "given" : "Bruce R", "non-dropping-particle" : "", "parse-names" : false, "suffix" : "" }, { "dropping-particle" : "", "family" : "Goldman", "given" : "Steven A", "non-dropping-particle" : "", "parse-names" : false, "suffix" : "" }, { "dropping-particle" : "", "family" : "Nedergaard", "given" : "Maiken", "non-dropping-particle" : "", "parse-names" : false, "suffix" : "" } ], "container-title" : "The Journal of neuroscience : the official journal of the Society for Neuroscience", "id" : "ITEM-2", "issue" : "10", "issued" : { "date-parts" : [ [ "2009", "3", "11" ] ] }, "page" : "3276-87", "title" : "Uniquely hominid features of adult human astrocytes.", "type" : "article-journal", "volume" : "29" }, "uris" : [ "http://www.mendeley.com/documents/?uuid=b96b0aba-664b-46c2-aa65-136af8bdec71" ] } ], "mendeley" : { "formattedCitation" : "(Oberheim et al. 2006; Oberheim et al. 2009)", "plainTextFormattedCitation" : "(Oberheim et al. 2006; Oberheim et al. 2009)", "previouslyFormattedCitation" : "(Oberheim et al. 2006; Oberheim et al. 2009)" }, "properties" : { "noteIndex" : 0 }, "schema" : "https://github.com/citation-style-language/schema/raw/master/csl-citation.json" }</w:instrText>
      </w:r>
      <w:r w:rsidR="00DF4019">
        <w:rPr>
          <w:rFonts w:ascii="Times New Roman" w:hAnsi="Times New Roman" w:cs="Times New Roman"/>
        </w:rPr>
        <w:fldChar w:fldCharType="separate"/>
      </w:r>
      <w:r w:rsidR="00C148FC" w:rsidRPr="00C148FC">
        <w:rPr>
          <w:rFonts w:ascii="Times New Roman" w:hAnsi="Times New Roman" w:cs="Times New Roman"/>
          <w:noProof/>
        </w:rPr>
        <w:t>(Oberheim et al. 2006; Oberheim et al. 2009)</w:t>
      </w:r>
      <w:r w:rsidR="00DF4019">
        <w:rPr>
          <w:rFonts w:ascii="Times New Roman" w:hAnsi="Times New Roman" w:cs="Times New Roman"/>
        </w:rPr>
        <w:fldChar w:fldCharType="end"/>
      </w:r>
      <w:r w:rsidR="00DF4019">
        <w:rPr>
          <w:rFonts w:ascii="Times New Roman" w:hAnsi="Times New Roman" w:cs="Times New Roman"/>
        </w:rPr>
        <w:t xml:space="preserve"> </w:t>
      </w:r>
      <w:r w:rsidR="00AE16EA">
        <w:rPr>
          <w:rFonts w:ascii="Times New Roman" w:hAnsi="Times New Roman" w:cs="Times New Roman"/>
        </w:rPr>
        <w:t xml:space="preserve">and it is therefore important to </w:t>
      </w:r>
      <w:r w:rsidR="00FF31FF">
        <w:rPr>
          <w:rFonts w:ascii="Times New Roman" w:hAnsi="Times New Roman" w:cs="Times New Roman"/>
        </w:rPr>
        <w:t xml:space="preserve">determine the presence and </w:t>
      </w:r>
      <w:r w:rsidR="001326FB">
        <w:rPr>
          <w:rFonts w:ascii="Times New Roman" w:hAnsi="Times New Roman" w:cs="Times New Roman"/>
        </w:rPr>
        <w:t>functionality</w:t>
      </w:r>
      <w:r w:rsidR="00FF31FF">
        <w:rPr>
          <w:rFonts w:ascii="Times New Roman" w:hAnsi="Times New Roman" w:cs="Times New Roman"/>
        </w:rPr>
        <w:t xml:space="preserve"> of IGF1 signalling in human astrocytes, especially when making parallels with</w:t>
      </w:r>
      <w:r w:rsidR="006F5CEC">
        <w:rPr>
          <w:rFonts w:ascii="Times New Roman" w:hAnsi="Times New Roman" w:cs="Times New Roman"/>
        </w:rPr>
        <w:t xml:space="preserve"> </w:t>
      </w:r>
      <w:r w:rsidR="001326FB">
        <w:rPr>
          <w:rFonts w:ascii="Times New Roman" w:hAnsi="Times New Roman" w:cs="Times New Roman"/>
        </w:rPr>
        <w:t>changes</w:t>
      </w:r>
      <w:r w:rsidR="006F5CEC">
        <w:rPr>
          <w:rFonts w:ascii="Times New Roman" w:hAnsi="Times New Roman" w:cs="Times New Roman"/>
        </w:rPr>
        <w:t xml:space="preserve"> that occur in</w:t>
      </w:r>
      <w:r w:rsidR="00FF31FF">
        <w:rPr>
          <w:rFonts w:ascii="Times New Roman" w:hAnsi="Times New Roman" w:cs="Times New Roman"/>
        </w:rPr>
        <w:t xml:space="preserve"> </w:t>
      </w:r>
      <w:r w:rsidR="001326FB">
        <w:rPr>
          <w:rFonts w:ascii="Times New Roman" w:hAnsi="Times New Roman" w:cs="Times New Roman"/>
        </w:rPr>
        <w:t xml:space="preserve">this pathway in </w:t>
      </w:r>
      <w:r w:rsidR="00FF31FF">
        <w:rPr>
          <w:rFonts w:ascii="Times New Roman" w:hAnsi="Times New Roman" w:cs="Times New Roman"/>
        </w:rPr>
        <w:t>the human brain.</w:t>
      </w:r>
      <w:r w:rsidR="00875C23">
        <w:rPr>
          <w:rFonts w:ascii="Times New Roman" w:hAnsi="Times New Roman" w:cs="Times New Roman"/>
        </w:rPr>
        <w:t xml:space="preserve"> </w:t>
      </w:r>
    </w:p>
    <w:p w14:paraId="05D72E25" w14:textId="77777777" w:rsidR="00C84213" w:rsidRDefault="00C84213" w:rsidP="00D2739C">
      <w:pPr>
        <w:spacing w:line="360" w:lineRule="auto"/>
        <w:rPr>
          <w:rFonts w:ascii="Times New Roman" w:hAnsi="Times New Roman" w:cs="Times New Roman"/>
        </w:rPr>
      </w:pPr>
    </w:p>
    <w:p w14:paraId="52CDF49E" w14:textId="5F8365BF" w:rsidR="00915416" w:rsidRPr="00267B99" w:rsidRDefault="00875C23" w:rsidP="003E7BDB">
      <w:pPr>
        <w:spacing w:line="360" w:lineRule="auto"/>
        <w:jc w:val="both"/>
        <w:rPr>
          <w:rFonts w:ascii="Times New Roman" w:hAnsi="Times New Roman" w:cs="Times New Roman"/>
        </w:rPr>
      </w:pPr>
      <w:r w:rsidRPr="003A3D87">
        <w:rPr>
          <w:rFonts w:ascii="Times New Roman" w:hAnsi="Times New Roman" w:cs="Times New Roman"/>
        </w:rPr>
        <w:t>Insulin signal</w:t>
      </w:r>
      <w:r w:rsidR="006B3367">
        <w:rPr>
          <w:rFonts w:ascii="Times New Roman" w:hAnsi="Times New Roman" w:cs="Times New Roman"/>
        </w:rPr>
        <w:t>ling has been demonstrated in f</w:t>
      </w:r>
      <w:r w:rsidR="00445AC0">
        <w:rPr>
          <w:rFonts w:ascii="Times New Roman" w:hAnsi="Times New Roman" w:cs="Times New Roman"/>
        </w:rPr>
        <w:t>o</w:t>
      </w:r>
      <w:r w:rsidRPr="003A3D87">
        <w:rPr>
          <w:rFonts w:ascii="Times New Roman" w:hAnsi="Times New Roman" w:cs="Times New Roman"/>
        </w:rPr>
        <w:t>etal human astrocytes and has been</w:t>
      </w:r>
      <w:r>
        <w:rPr>
          <w:rFonts w:ascii="Times New Roman" w:hAnsi="Times New Roman" w:cs="Times New Roman"/>
        </w:rPr>
        <w:t xml:space="preserve"> show</w:t>
      </w:r>
      <w:r w:rsidR="00E030E2">
        <w:rPr>
          <w:rFonts w:ascii="Times New Roman" w:hAnsi="Times New Roman" w:cs="Times New Roman"/>
        </w:rPr>
        <w:t>n</w:t>
      </w:r>
      <w:r>
        <w:rPr>
          <w:rFonts w:ascii="Times New Roman" w:hAnsi="Times New Roman" w:cs="Times New Roman"/>
        </w:rPr>
        <w:t xml:space="preserve"> to stimulate cell growth and glycogen storage </w:t>
      </w:r>
      <w:r w:rsidR="001E703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"10.1371/journal.pone.0021594", "ISSN" : "1932-6203", "PMID" : "21738722", "abstract" : "INTRODUCTION: In the human brain, there are at least as many astrocytes as neurons. Astrocytes are known to modulate neuronal function in several ways. Thus, they may also contribute to cerebral insulin actions. Therefore, we examined whether primary human astrocytes are insulin-responsive and whether their metabolic functions are affected by the hormone.\n\nMETHODS: Commercially available Normal Human Astrocytes were grown in the recommended medium. Major players in the insulin signaling pathway were detected by real-time RT-PCR and Western blotting. Phosphorylation events were detected by phospho-specific antibodies. Glucose uptake and glycogen synthesis were assessed using radio-labeled glucose. Glycogen content was assessed by histochemistry. Lactate levels were measured enzymatically. Cell proliferation was assessed by WST-1 assay.\n\nRESULTS: We detected expression of key proteins for insulin signaling, such as insulin receptor \u03b2-subunit, insulin receptor substrat-1, Akt/protein kinase B and glycogen synthase kinase 3, in human astrocytes. Akt was phosphorylated and PI-3 kinase activity increased following insulin stimulation in a dose-dependent manner. Neither increased glucose uptake nor lactate secretion after insulin stimulation could be evidenced in this cell type. However, we found increased insulin-dependent glucose incorporation into glycogen. Furthermore, cell numbers increased dose-dependently upon insulin treatment.\n\nDISCUSSION: This study demonstrated that human astrocytes are insulin-responsive at the molecular level. We identified glycogen synthesis and cell proliferation as biological responses of insulin signaling in these brain cells. Hence, this cell type may contribute to the effects of insulin in the human brain.", "author" : [ { "dropping-particle" : "", "family" : "Heni", "given" : "Martin", "non-dropping-particle" : "", "parse-names" : false, "suffix" : "" }, { "dropping-particle" : "", "family" : "Hennige", "given" : "Anita M", "non-dropping-particle" : "", "parse-names" : false, "suffix" : "" }, { "dropping-particle" : "", "family" : "Peter", "given" : "Andreas", "non-dropping-particle" : "", "parse-names" : false, "suffix" : "" }, { "dropping-particle" : "", "family" : "Siegel-Axel", "given" : "Dorothea", "non-dropping-particle" : "", "parse-names" : false, "suffix" : "" }, { "dropping-particle" : "", "family" : "Ordelheide", "given" : "Anna-Maria", "non-dropping-particle" : "", "parse-names" : false, "suffix" : "" }, { "dropping-particle" : "", "family" : "Krebs", "given" : "Norbert", "non-dropping-particle" : "", "parse-names" : false, "suffix" : "" }, { "dropping-particle" : "", "family" : "Machicao", "given" : "Fausto", "non-dropping-particle" : "", "parse-names" : false, "suffix" : "" }, { "dropping-particle" : "", "family" : "Fritsche", "given" : "Andreas", "non-dropping-particle" : "", "parse-names" : false, "suffix" : "" }, { "dropping-particle" : "", "family" : "H\u00e4ring", "given" : "Hans-Ulrich", "non-dropping-particle" : "", "parse-names" : false, "suffix" : "" }, { "dropping-particle" : "", "family" : "Staiger", "given" : "Harald", "non-dropping-particle" : "", "parse-names" : false, "suffix" : "" } ], "container-title" : "PloS one", "editor" : [ { "dropping-particle" : "", "family" : "Maedler", "given" : "Kathrin", "non-dropping-particle" : "", "parse-names" : false, "suffix" : "" } ], "id" : "ITEM-1", "issue" : "6", "issued" : { "date-parts" : [ [ "2011", "1" ] ] }, "page" : "e21594", "publisher" : "Public Library of Science", "title" : "Insulin promotes glycogen storage and cell proliferation in primary human astrocytes.", "type" : "article-journal", "volume" : "6" }, "uris" : [ "http://www.mendeley.com/documents/?uuid=94871f17-88bd-41bf-85c5-f9819381253d" ] } ], "mendeley" : { "formattedCitation" : "(Heni et al. 2011)", "plainTextFormattedCitation" : "(Heni et al. 2011)", "previouslyFormattedCitation" : "(Heni et al. 2011)" }, "properties" : { "noteIndex" : 0 }, "schema" : "https://github.com/citation-style-language/schema/raw/master/csl-citation.json" }</w:instrText>
      </w:r>
      <w:r w:rsidR="001E7030">
        <w:rPr>
          <w:rFonts w:ascii="Times New Roman" w:hAnsi="Times New Roman" w:cs="Times New Roman"/>
        </w:rPr>
        <w:fldChar w:fldCharType="separate"/>
      </w:r>
      <w:r w:rsidR="00C148FC" w:rsidRPr="00C148FC">
        <w:rPr>
          <w:rFonts w:ascii="Times New Roman" w:hAnsi="Times New Roman" w:cs="Times New Roman"/>
          <w:noProof/>
        </w:rPr>
        <w:t>(Heni et al. 2011)</w:t>
      </w:r>
      <w:r w:rsidR="001E7030">
        <w:rPr>
          <w:rFonts w:ascii="Times New Roman" w:hAnsi="Times New Roman" w:cs="Times New Roman"/>
        </w:rPr>
        <w:fldChar w:fldCharType="end"/>
      </w:r>
      <w:r>
        <w:rPr>
          <w:rFonts w:ascii="Times New Roman" w:hAnsi="Times New Roman" w:cs="Times New Roman"/>
        </w:rPr>
        <w:t xml:space="preserve">. </w:t>
      </w:r>
      <w:r w:rsidR="00E030E2">
        <w:rPr>
          <w:rFonts w:ascii="Times New Roman" w:hAnsi="Times New Roman" w:cs="Times New Roman"/>
        </w:rPr>
        <w:t>Insulin and IGF1 are closely related peptides that are capable of cross-reacting with the insulin and IGF1 receptors</w:t>
      </w:r>
      <w:r w:rsidR="008E74C0">
        <w:rPr>
          <w:rFonts w:ascii="Times New Roman" w:hAnsi="Times New Roman" w:cs="Times New Roman"/>
        </w:rPr>
        <w:t>, however each receptor is capable of</w:t>
      </w:r>
      <w:r w:rsidR="002D4163">
        <w:rPr>
          <w:rFonts w:ascii="Times New Roman" w:hAnsi="Times New Roman" w:cs="Times New Roman"/>
        </w:rPr>
        <w:t xml:space="preserve"> binding its own ligand at 100-</w:t>
      </w:r>
      <w:r w:rsidR="008E74C0">
        <w:rPr>
          <w:rFonts w:ascii="Times New Roman" w:hAnsi="Times New Roman" w:cs="Times New Roman"/>
        </w:rPr>
        <w:t>1000 fold higher affinity</w:t>
      </w:r>
      <w:r w:rsidR="00B81591">
        <w:rPr>
          <w:rFonts w:ascii="Times New Roman" w:hAnsi="Times New Roman" w:cs="Times New Roman"/>
        </w:rPr>
        <w:t xml:space="preserve"> </w:t>
      </w:r>
      <w:r w:rsidR="00CD3235">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"10.1210/endo.142.11.8476", "ISSN" : "0013-7227", "PMID" : "11606465", "abstract" : "The IGF-1 receptor and the related insulin receptor are similar in structure and activate many of the same postreceptor signaling pathways, yet they mediate distinct biological functions. It is still not understood how the specificity of insulin vs. IGF-1 signaling is controlled. In this study, we have used cDNA microarrays to monitor the gene expression patterns that are regulated by insulin and IGF-1. Mouse fibroblast NIH-3T3 cells expressing either the wild-type human IGF receptor or the insulin receptor were stimulated with either IGF-1 or insulin, respectively. Thirty genes, 27 of which were not previously known to be IGF-1 responsive, were up-regulated by IGF-1 but not by insulin. Nine genes, none of which was previously known to be insulin responsive, were up-regulated by insulin but not by IGF-1. The IGF- and insulin-induced regulation of 10 of these genes was confirmed by Northern blot analysis. Interestingly, more than half of the genes up-regulated by IGF-1 are associated with mitogenesis and differentiation, whereas none of the genes specifically up-regulated by insulin are associated with these processes. Our results indicate that under the conditions used in this study, IGF-1 is a more potent activator of the mitogenic pathway than insulin in mouse fibroblast NIH-3T3 cells.", "author" : [ { "dropping-particle" : "", "family" : "Dupont", "given" : "J", "non-dropping-particle" : "", "parse-names" : false, "suffix" : "" }, { "dropping-particle" : "", "family" : "Khan", "given" : "J", "non-dropping-particle" : "", "parse-names" : false, "suffix" : "" }, { "dropping-particle" : "", "family" : "Qu", "given" : "B H", "non-dropping-particle" : "", "parse-names" : false, "suffix" : "" }, { "dropping-particle" : "", "family" : "Metzler", "given" : "P", "non-dropping-particle" : "", "parse-names" : false, "suffix" : "" }, { "dropping-particle" : "", "family" : "Helman", "given" : "L", "non-dropping-particle" : "", "parse-names" : false, "suffix" : "" }, { "dropping-particle" : "", "family" : "LeRoith", "given" : "D", "non-dropping-particle" : "", "parse-names" : false, "suffix" : "" } ], "container-title" : "Endocrinology", "id" : "ITEM-1", "issue" : "11", "issued" : { "date-parts" : [ [ "2001", "11" ] ] }, "page" : "4969-75", "title" : "Insulin and IGF-1 induce different patterns of gene expression in mouse fibroblast NIH-3T3 cells: identification by cDNA microarray analysis.", "type" : "article-journal", "volume" : "142" }, "uris" : [ "http://www.mendeley.com/documents/?uuid=57d76eff-3bdc-35db-bc49-f4f73e0bf0ab" ] } ], "mendeley" : { "formattedCitation" : "(Dupont et al. 2001)", "plainTextFormattedCitation" : "(Dupont et al. 2001)", "previouslyFormattedCitation" : "(Dupont et al. 2001)" }, "properties" : { "noteIndex" : 0 }, "schema" : "https://github.com/citation-style-language/schema/raw/master/csl-citation.json" }</w:instrText>
      </w:r>
      <w:r w:rsidR="00CD3235">
        <w:rPr>
          <w:rFonts w:ascii="Times New Roman" w:hAnsi="Times New Roman" w:cs="Times New Roman"/>
        </w:rPr>
        <w:fldChar w:fldCharType="separate"/>
      </w:r>
      <w:r w:rsidR="00C148FC" w:rsidRPr="00C148FC">
        <w:rPr>
          <w:rFonts w:ascii="Times New Roman" w:hAnsi="Times New Roman" w:cs="Times New Roman"/>
          <w:noProof/>
        </w:rPr>
        <w:t>(Dupont et al. 2001)</w:t>
      </w:r>
      <w:r w:rsidR="00CD3235">
        <w:rPr>
          <w:rFonts w:ascii="Times New Roman" w:hAnsi="Times New Roman" w:cs="Times New Roman"/>
        </w:rPr>
        <w:fldChar w:fldCharType="end"/>
      </w:r>
      <w:r w:rsidR="008E74C0">
        <w:rPr>
          <w:rFonts w:ascii="Times New Roman" w:hAnsi="Times New Roman" w:cs="Times New Roman"/>
        </w:rPr>
        <w:t xml:space="preserve">. Despite the similarities of the insulin and IGF1 pathways both at the level of the receptor/ligand structure and convergence on </w:t>
      </w:r>
      <w:r w:rsidR="00A750C8">
        <w:rPr>
          <w:rFonts w:ascii="Times New Roman" w:hAnsi="Times New Roman" w:cs="Times New Roman"/>
        </w:rPr>
        <w:t>the same</w:t>
      </w:r>
      <w:r w:rsidR="008E74C0">
        <w:rPr>
          <w:rFonts w:ascii="Times New Roman" w:hAnsi="Times New Roman" w:cs="Times New Roman"/>
        </w:rPr>
        <w:t xml:space="preserve"> signalling proteins</w:t>
      </w:r>
      <w:r w:rsidR="007914CA">
        <w:rPr>
          <w:rFonts w:ascii="Times New Roman" w:hAnsi="Times New Roman" w:cs="Times New Roman"/>
        </w:rPr>
        <w:t xml:space="preserve">, it has been shown that the </w:t>
      </w:r>
      <w:r w:rsidR="00CE5C35">
        <w:rPr>
          <w:rFonts w:ascii="Times New Roman" w:hAnsi="Times New Roman" w:cs="Times New Roman"/>
        </w:rPr>
        <w:t xml:space="preserve">biological </w:t>
      </w:r>
      <w:r w:rsidR="007914CA">
        <w:rPr>
          <w:rFonts w:ascii="Times New Roman" w:hAnsi="Times New Roman" w:cs="Times New Roman"/>
        </w:rPr>
        <w:t>outputs of these pathways are distinct.</w:t>
      </w:r>
      <w:r w:rsidR="00CE5C35">
        <w:rPr>
          <w:rFonts w:ascii="Times New Roman" w:hAnsi="Times New Roman" w:cs="Times New Roman"/>
        </w:rPr>
        <w:t xml:space="preserve"> </w:t>
      </w:r>
      <w:r w:rsidR="004E48CF">
        <w:rPr>
          <w:rFonts w:ascii="Times New Roman" w:hAnsi="Times New Roman" w:cs="Times New Roman"/>
        </w:rPr>
        <w:t xml:space="preserve">To test if IGF1 signalling through its cognate receptor can compensate for loss of the insulin receptor, IR null mice were treated with IGF1 following birth. Despite IGF1 inducing a reduction in plasma glucose levels, it is unable to fully rescue the metabolic abnormalities observed in IR null mice </w:t>
      </w:r>
      <w:r w:rsidR="001E703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"10.1172/JCI119438", "ISSN" : "0021-9738", "PMID" : "9153298", "abstract" : "We have investigated the metabolic actions of recombinant human IGF-1 in mice genetically deficient of insulin receptors (IR-/-). After intraperitoneal administration, IGF-1 caused a prompt and sustained decrease of plasma glucose levels in IR-/- mice. Plasma free fatty acid concentrations were unaffected. Interestingly, the effects of IGF-1 were identical in normal mice (IR+/+) and in IR-/- mice. Despite decreased glucose levels, IR-/- mice treated with IGF-1 died within 2-3 d of birth, like sham-treated IR-/- controls. In skeletal muscle, IGF-1 treatment caused phosphorylation of IGF-1 receptors and increased the levels of the phosphatidylinositol-3-kinase p85 subunit detected in antiphosphotyrosine immunoprecipitates, consistent with the possibility that IGF-1 stimulates glucose uptake in a phosphatidylinositol-3-kinase-dependent manner. IGF-1 receptor phosphorylation and coimmunoprecipitation of phosphatidylinositol3-kinase by antiphosphotyrosine antibodies was also observed in liver, and was associated with a decrease in mRNA levels of the key gluconeogenetic enzyme phosphoenolpyruvate carboxykinase. Thus, the effect of IGF-1 on plasma glucose levels may be accounted for by increased peripheral glucose use and by inhibition of hepatic gluconeogenesis. These data indicate that IGF-1 can mimic insulin's effects on glucose metabolism by acting through its own receptor. The failure of IGF-1 to rescue the lethal phenotype due to lack of insulin receptors suggests that IGF-1 receptors cannot effectively mediate all the metabolic actions of insulin receptors.", "author" : [ { "dropping-particle" : "", "family" : "Cola", "given" : "G", "non-dropping-particle" : "Di", "parse-names" : false, "suffix" : "" }, { "dropping-particle" : "", "family" : "Cool", "given" : "M H", "non-dropping-particle" : "", "parse-names" : false, "suffix" : "" }, { "dropping-particle" : "", "family" : "Accili", "given" : "D", "non-dropping-particle" : "", "parse-names" : false, "suffix" : "" } ], "container-title" : "The Journal of clinical investigation", "id" : "ITEM-1", "issue" : "10", "issued" : { "date-parts" : [ [ "1997", "5", "15" ] ] }, "page" : "2538-44", "publisher" : "American Society for Clinical Investigation", "title" : "Hypoglycemic effect of insulin-like growth factor-1 in mice lacking insulin receptors.", "type" : "article-journal", "volume" : "99" }, "uris" : [ "http://www.mendeley.com/documents/?uuid=aad6b860-7759-3f33-b20b-4b17783f111c" ] } ], "mendeley" : { "formattedCitation" : "(Di Cola et al. 1997)", "plainTextFormattedCitation" : "(Di Cola et al. 1997)", "previouslyFormattedCitation" : "(Di Cola et al. 1997)" }, "properties" : { "noteIndex" : 0 }, "schema" : "https://github.com/citation-style-language/schema/raw/master/csl-citation.json" }</w:instrText>
      </w:r>
      <w:r w:rsidR="001E7030">
        <w:rPr>
          <w:rFonts w:ascii="Times New Roman" w:hAnsi="Times New Roman" w:cs="Times New Roman"/>
        </w:rPr>
        <w:fldChar w:fldCharType="separate"/>
      </w:r>
      <w:r w:rsidR="00C148FC" w:rsidRPr="00C148FC">
        <w:rPr>
          <w:rFonts w:ascii="Times New Roman" w:hAnsi="Times New Roman" w:cs="Times New Roman"/>
          <w:noProof/>
        </w:rPr>
        <w:t>(Di Cola et al. 1997)</w:t>
      </w:r>
      <w:r w:rsidR="001E7030">
        <w:rPr>
          <w:rFonts w:ascii="Times New Roman" w:hAnsi="Times New Roman" w:cs="Times New Roman"/>
        </w:rPr>
        <w:fldChar w:fldCharType="end"/>
      </w:r>
      <w:r w:rsidR="00641D2C">
        <w:rPr>
          <w:rFonts w:ascii="Times New Roman" w:hAnsi="Times New Roman" w:cs="Times New Roman"/>
        </w:rPr>
        <w:t>.</w:t>
      </w:r>
      <w:r w:rsidR="001C1AFF">
        <w:rPr>
          <w:rFonts w:ascii="Times New Roman" w:hAnsi="Times New Roman" w:cs="Times New Roman"/>
        </w:rPr>
        <w:t xml:space="preserve"> Furthermore,</w:t>
      </w:r>
      <w:r w:rsidR="002D4163">
        <w:rPr>
          <w:rFonts w:ascii="Times New Roman" w:hAnsi="Times New Roman" w:cs="Times New Roman"/>
        </w:rPr>
        <w:t xml:space="preserve"> in a separate set of experiments</w:t>
      </w:r>
      <w:r w:rsidR="001C1AFF">
        <w:rPr>
          <w:rFonts w:ascii="Times New Roman" w:hAnsi="Times New Roman" w:cs="Times New Roman"/>
        </w:rPr>
        <w:t xml:space="preserve"> a cDNA microarray was conducted on mouse fibroblasts to distinguish the gene expression profile of cells treated with insulin or IGF1. Analysis revealed that IGF1 stimulation induces the expression of genes involved in mitogenesis and differentiation, whereas insulin stimulated cells had no distinct categories of </w:t>
      </w:r>
      <w:r w:rsidR="002D4163">
        <w:rPr>
          <w:rFonts w:ascii="Times New Roman" w:hAnsi="Times New Roman" w:cs="Times New Roman"/>
        </w:rPr>
        <w:t>upregulated genes</w:t>
      </w:r>
      <w:r w:rsidR="001C1AFF">
        <w:rPr>
          <w:rFonts w:ascii="Times New Roman" w:hAnsi="Times New Roman" w:cs="Times New Roman"/>
        </w:rPr>
        <w:t xml:space="preserve"> </w:t>
      </w:r>
      <w:r w:rsidR="001E703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"10.1210/endo.142.11.8476", "ISSN" : "0013-7227", "PMID" : "11606465", "abstract" : "The IGF-1 receptor and the related insulin receptor are similar in structure and activate many of the same postreceptor signaling pathways, yet they mediate distinct biological functions. It is still not understood how the specificity of insulin vs. IGF-1 signaling is controlled. In this study, we have used cDNA microarrays to monitor the gene expression patterns that are regulated by insulin and IGF-1. Mouse fibroblast NIH-3T3 cells expressing either the wild-type human IGF receptor or the insulin receptor were stimulated with either IGF-1 or insulin, respectively. Thirty genes, 27 of which were not previously known to be IGF-1 responsive, were up-regulated by IGF-1 but not by insulin. Nine genes, none of which was previously known to be insulin responsive, were up-regulated by insulin but not by IGF-1. The IGF- and insulin-induced regulation of 10 of these genes was confirmed by Northern blot analysis. Interestingly, more than half of the genes up-regulated by IGF-1 are associated with mitogenesis and differentiation, whereas none of the genes specifically up-regulated by insulin are associated with these processes. Our results indicate that under the conditions used in this study, IGF-1 is a more potent activator of the mitogenic pathway than insulin in mouse fibroblast NIH-3T3 cells.", "author" : [ { "dropping-particle" : "", "family" : "Dupont", "given" : "J", "non-dropping-particle" : "", "parse-names" : false, "suffix" : "" }, { "dropping-particle" : "", "family" : "Khan", "given" : "J", "non-dropping-particle" : "", "parse-names" : false, "suffix" : "" }, { "dropping-particle" : "", "family" : "Qu", "given" : "B H", "non-dropping-particle" : "", "parse-names" : false, "suffix" : "" }, { "dropping-particle" : "", "family" : "Metzler", "given" : "P", "non-dropping-particle" : "", "parse-names" : false, "suffix" : "" }, { "dropping-particle" : "", "family" : "Helman", "given" : "L", "non-dropping-particle" : "", "parse-names" : false, "suffix" : "" }, { "dropping-particle" : "", "family" : "LeRoith", "given" : "D", "non-dropping-particle" : "", "parse-names" : false, "suffix" : "" } ], "container-title" : "Endocrinology", "id" : "ITEM-1", "issue" : "11", "issued" : { "date-parts" : [ [ "2001", "11" ] ] }, "page" : "4969-75", "title" : "Insulin and IGF-1 induce different patterns of gene expression in mouse fibroblast NIH-3T3 cells: identification by cDNA microarray analysis.", "type" : "article-journal", "volume" : "142" }, "uris" : [ "http://www.mendeley.com/documents/?uuid=57d76eff-3bdc-35db-bc49-f4f73e0bf0ab" ] } ], "mendeley" : { "formattedCitation" : "(Dupont et al. 2001)", "plainTextFormattedCitation" : "(Dupont et al. 2001)", "previouslyFormattedCitation" : "(Dupont et al. 2001)" }, "properties" : { "noteIndex" : 0 }, "schema" : "https://github.com/citation-style-language/schema/raw/master/csl-citation.json" }</w:instrText>
      </w:r>
      <w:r w:rsidR="001E7030">
        <w:rPr>
          <w:rFonts w:ascii="Times New Roman" w:hAnsi="Times New Roman" w:cs="Times New Roman"/>
        </w:rPr>
        <w:fldChar w:fldCharType="separate"/>
      </w:r>
      <w:r w:rsidR="00C148FC" w:rsidRPr="00C148FC">
        <w:rPr>
          <w:rFonts w:ascii="Times New Roman" w:hAnsi="Times New Roman" w:cs="Times New Roman"/>
          <w:noProof/>
        </w:rPr>
        <w:t>(Dupont et al. 2001)</w:t>
      </w:r>
      <w:r w:rsidR="001E7030">
        <w:rPr>
          <w:rFonts w:ascii="Times New Roman" w:hAnsi="Times New Roman" w:cs="Times New Roman"/>
        </w:rPr>
        <w:fldChar w:fldCharType="end"/>
      </w:r>
      <w:r w:rsidR="001C1AFF">
        <w:rPr>
          <w:rFonts w:ascii="Times New Roman" w:hAnsi="Times New Roman" w:cs="Times New Roman"/>
        </w:rPr>
        <w:t xml:space="preserve">. Therefore, </w:t>
      </w:r>
      <w:r w:rsidR="002D4163">
        <w:rPr>
          <w:rFonts w:ascii="Times New Roman" w:hAnsi="Times New Roman" w:cs="Times New Roman"/>
        </w:rPr>
        <w:t xml:space="preserve">the insulin and IGF1 pathways produce </w:t>
      </w:r>
      <w:r w:rsidR="007C1403">
        <w:rPr>
          <w:rFonts w:ascii="Times New Roman" w:hAnsi="Times New Roman" w:cs="Times New Roman"/>
        </w:rPr>
        <w:t>distinguished effects on cells,</w:t>
      </w:r>
      <w:r w:rsidR="00910078">
        <w:rPr>
          <w:rFonts w:ascii="Times New Roman" w:hAnsi="Times New Roman" w:cs="Times New Roman"/>
        </w:rPr>
        <w:t xml:space="preserve"> and </w:t>
      </w:r>
      <w:r w:rsidR="00FD0405">
        <w:rPr>
          <w:rFonts w:ascii="Times New Roman" w:hAnsi="Times New Roman" w:cs="Times New Roman"/>
        </w:rPr>
        <w:t>with research</w:t>
      </w:r>
      <w:r w:rsidR="00910078">
        <w:rPr>
          <w:rFonts w:ascii="Times New Roman" w:hAnsi="Times New Roman" w:cs="Times New Roman"/>
        </w:rPr>
        <w:t xml:space="preserve"> focusing on the role of insulin signalling in human astrocytes</w:t>
      </w:r>
      <w:r w:rsidR="007C1403">
        <w:rPr>
          <w:rFonts w:ascii="Times New Roman" w:hAnsi="Times New Roman" w:cs="Times New Roman"/>
        </w:rPr>
        <w:t xml:space="preserve"> </w:t>
      </w:r>
      <w:r w:rsidR="00910078">
        <w:rPr>
          <w:rFonts w:ascii="Times New Roman" w:hAnsi="Times New Roman" w:cs="Times New Roman"/>
        </w:rPr>
        <w:t>there is a clear</w:t>
      </w:r>
      <w:r w:rsidR="00BA1A7A">
        <w:rPr>
          <w:rFonts w:ascii="Times New Roman" w:hAnsi="Times New Roman" w:cs="Times New Roman"/>
        </w:rPr>
        <w:t xml:space="preserve"> gap in</w:t>
      </w:r>
      <w:r w:rsidR="00C67301">
        <w:rPr>
          <w:rFonts w:ascii="Times New Roman" w:hAnsi="Times New Roman" w:cs="Times New Roman"/>
        </w:rPr>
        <w:t xml:space="preserve"> knowledge of the </w:t>
      </w:r>
      <w:r w:rsidR="00910078">
        <w:rPr>
          <w:rFonts w:ascii="Times New Roman" w:hAnsi="Times New Roman" w:cs="Times New Roman"/>
        </w:rPr>
        <w:t>specific</w:t>
      </w:r>
      <w:r w:rsidR="007C1403">
        <w:rPr>
          <w:rFonts w:ascii="Times New Roman" w:hAnsi="Times New Roman" w:cs="Times New Roman"/>
        </w:rPr>
        <w:t xml:space="preserve"> role of IGF1 signalling in human astrocytes.</w:t>
      </w:r>
      <w:r w:rsidR="00267B99">
        <w:rPr>
          <w:rFonts w:ascii="Times New Roman" w:hAnsi="Times New Roman" w:cs="Times New Roman"/>
        </w:rPr>
        <w:t xml:space="preserve"> Recent evidence s</w:t>
      </w:r>
      <w:r w:rsidR="00C67301">
        <w:rPr>
          <w:rFonts w:ascii="Times New Roman" w:hAnsi="Times New Roman" w:cs="Times New Roman"/>
        </w:rPr>
        <w:t>hows</w:t>
      </w:r>
      <w:r w:rsidR="00267B99">
        <w:rPr>
          <w:rFonts w:ascii="Times New Roman" w:hAnsi="Times New Roman" w:cs="Times New Roman"/>
        </w:rPr>
        <w:t xml:space="preserve"> </w:t>
      </w:r>
      <w:r w:rsidR="00C67301">
        <w:rPr>
          <w:rFonts w:ascii="Times New Roman" w:hAnsi="Times New Roman" w:cs="Times New Roman"/>
        </w:rPr>
        <w:t>that IGF1 signalling can promote glucose uptake in mouse astrocytes, which was observed following</w:t>
      </w:r>
      <w:r w:rsidR="00267B99">
        <w:rPr>
          <w:rFonts w:ascii="Times New Roman" w:hAnsi="Times New Roman" w:cs="Times New Roman"/>
        </w:rPr>
        <w:t xml:space="preserve"> stimulation with IGF1 causing MAPK activation and recruitment of IG</w:t>
      </w:r>
      <w:r w:rsidR="0009704C">
        <w:rPr>
          <w:rFonts w:ascii="Times New Roman" w:hAnsi="Times New Roman" w:cs="Times New Roman"/>
        </w:rPr>
        <w:t xml:space="preserve">F1R and GLUT1 to the membrane </w:t>
      </w:r>
      <w:r w:rsidR="00695E4E">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"10.1101/023556", "author" : [ { "dropping-particle" : "", "family" : "Hernandez", "given" : "Edwin", "non-dropping-particle" : "", "parse-names" : false, "suffix" : "" }, { "dropping-particle" : "", "family" : "Fernandez", "given" : "Ana M", "non-dropping-particle" : "", "parse-names" : false, "suffix" : "" }, { "dropping-particle" : "", "family" : "Perez Alvarez", "given" : "Alberto", "non-dropping-particle" : "", "parse-names" : false, "suffix" : "" }, { "dropping-particle" : "", "family" : "Mederos", "given" : "Sara", "non-dropping-particle" : "", "parse-names" : false, "suffix" : "" }, { "dropping-particle" : "", "family" : "Perez Domper", "given" : "Paloma", "non-dropping-particle" : "", "parse-names" : false, "suffix" : "" }, { "dropping-particle" : "", "family" : "Bascu\u00f1ana", "given" : "Pablo", "non-dropping-particle" : "", "parse-names" : false, "suffix" : "" }, { "dropping-particle" : "", "family" : "Fernandez de la Rosa", "given" : "Ruben", "non-dropping-particle" : "", "parse-names" : false, "suffix" : "" }, { "dropping-particle" : "", "family" : "Delgado", "given" : "Mercedes", "non-dropping-particle" : "", "parse-names" : false, "suffix" : "" }, { "dropping-particle" : "", "family" : "Pozo", "given" : "Miguel Angel", "non-dropping-particle" : "", "parse-names" : false, "suffix" : "" }, { "dropping-particle" : "", "family" : "Miranda Vizuete", "given" : "Antonio", "non-dropping-particle" : "", "parse-names" : false, "suffix" : "" }, { "dropping-particle" : "", "family" : "Guerrero Gomez", "given" : "Diego", "non-dropping-particle" : "", "parse-names" : false, "suffix" : "" }, { "dropping-particle" : "", "family" : "Moreno", "given" : "Estefania", "non-dropping-particle" : "", "parse-names" : false, "suffix" : "" }, { "dropping-particle" : "", "family" : "McCormick", "given" : "Peter J", "non-dropping-particle" : "", "parse-names" : false, "suffix" : "" }, { "dropping-particle" : "", "family" : "Santi", "given" : "Andrea", "non-dropping-particle" : "", "parse-names" : false, "suffix" : "" }, { "dropping-particle" : "", "family" : "Genis", "given" : "Laura", "non-dropping-particle" : "", "parse-names" : false, "suffix" : "" }, { "dropping-particle" : "", "family" : "Trueba Saiz", "given" : "Angel", "non-dropping-particle" : "", "parse-names" : false, "suffix" : "" }, { "dropping-particle" : "", "family" : "Garcia-Caceres", "given" : "Cristina", "non-dropping-particle" : "", "parse-names" : false, "suffix" : "" }, { "dropping-particle" : "", "family" : "Tsch\u00f6p", "given" : "Matthias", "non-dropping-particle" : "", "parse-names" : false, "suffix" : "" }, { "dropping-particle" : "", "family" : "Araque", "given" : "Alfonso", "non-dropping-particle" : "", "parse-names" : false, "suffix" : "" }, { "dropping-particle" : "", "family" : "Perea", "given" : "Gertrudis", "non-dropping-particle" : "", "parse-names" : false, "suffix" : "" }, { "dropping-particle" : "", "family" : "Martin", "given" : "Eduardo D", "non-dropping-particle" : "", "parse-names" : false, "suffix" : "" }, { "dropping-particle" : "", "family" : "Torres Aleman", "given" : "Ignacio", "non-dropping-particle" : "", "parse-names" : false, "suffix" : "" } ], "container-title" : "bioRxiv", "id" : "ITEM-1", "issued" : { "date-parts" : [ [ "2015", "7", "31" ] ] }, "language" : "en", "number-of-pages" : "023556", "publisher" : "Cold Spring Harbor Labs Journals", "title" : "INSULIN GROWTH FACTOR I AND ITS RECEPTOR ARE ANTAGONISTIC MODULATORS OF GLUCOSE HANDLING BY ASTROCYTES", "type" : "report" }, "uris" : [ "http://www.mendeley.com/documents/?uuid=2f811be5-90c4-4f14-9395-26972fb26c95" ] } ], "mendeley" : { "formattedCitation" : "(Hernandez et al. 2015a)", "manualFormatting" : "(Hernandez et al., 2015)", "plainTextFormattedCitation" : "(Hernandez et al. 2015a)", "previouslyFormattedCitation" : "(Hernandez et al. 2015a)" }, "properties" : { "noteIndex" : 0 }, "schema" : "https://github.com/citation-style-language/schema/raw/master/csl-citation.json" }</w:instrText>
      </w:r>
      <w:r w:rsidR="00695E4E">
        <w:rPr>
          <w:rFonts w:ascii="Times New Roman" w:hAnsi="Times New Roman" w:cs="Times New Roman"/>
        </w:rPr>
        <w:fldChar w:fldCharType="separate"/>
      </w:r>
      <w:r w:rsidR="00695E4E">
        <w:rPr>
          <w:rFonts w:ascii="Times New Roman" w:hAnsi="Times New Roman" w:cs="Times New Roman"/>
          <w:noProof/>
        </w:rPr>
        <w:t>(Hernandez et al., 2015</w:t>
      </w:r>
      <w:r w:rsidR="00695E4E" w:rsidRPr="00695E4E">
        <w:rPr>
          <w:rFonts w:ascii="Times New Roman" w:hAnsi="Times New Roman" w:cs="Times New Roman"/>
          <w:noProof/>
        </w:rPr>
        <w:t>)</w:t>
      </w:r>
      <w:r w:rsidR="00695E4E">
        <w:rPr>
          <w:rFonts w:ascii="Times New Roman" w:hAnsi="Times New Roman" w:cs="Times New Roman"/>
        </w:rPr>
        <w:fldChar w:fldCharType="end"/>
      </w:r>
      <w:r w:rsidR="001E7030">
        <w:rPr>
          <w:rFonts w:ascii="Times New Roman" w:hAnsi="Times New Roman" w:cs="Times New Roman"/>
        </w:rPr>
        <w:t xml:space="preserve">. </w:t>
      </w:r>
      <w:r w:rsidR="00267B99">
        <w:rPr>
          <w:rFonts w:ascii="Times New Roman" w:hAnsi="Times New Roman" w:cs="Times New Roman"/>
        </w:rPr>
        <w:t xml:space="preserve">However, </w:t>
      </w:r>
      <w:r w:rsidR="0009704C">
        <w:rPr>
          <w:rFonts w:ascii="Times New Roman" w:hAnsi="Times New Roman" w:cs="Times New Roman"/>
        </w:rPr>
        <w:t>it remains to be answered what purpose the IGF1 signalling pathway serves in human astrocytes</w:t>
      </w:r>
      <w:r w:rsidR="00C67301">
        <w:rPr>
          <w:rFonts w:ascii="Times New Roman" w:hAnsi="Times New Roman" w:cs="Times New Roman"/>
        </w:rPr>
        <w:t xml:space="preserve"> and whether this </w:t>
      </w:r>
      <w:r w:rsidR="00C67301" w:rsidRPr="003A3D87">
        <w:rPr>
          <w:rFonts w:ascii="Times New Roman" w:hAnsi="Times New Roman" w:cs="Times New Roman"/>
        </w:rPr>
        <w:t>pathway is necessary for astrocytes to support a neuronal network</w:t>
      </w:r>
      <w:r w:rsidR="0009704C" w:rsidRPr="003A3D87">
        <w:rPr>
          <w:rFonts w:ascii="Times New Roman" w:hAnsi="Times New Roman" w:cs="Times New Roman"/>
        </w:rPr>
        <w:t>.</w:t>
      </w:r>
      <w:r w:rsidR="0009704C">
        <w:rPr>
          <w:rFonts w:ascii="Times New Roman" w:hAnsi="Times New Roman" w:cs="Times New Roman"/>
        </w:rPr>
        <w:t xml:space="preserve"> </w:t>
      </w:r>
    </w:p>
    <w:p w14:paraId="6919391D" w14:textId="77777777" w:rsidR="00C84213" w:rsidRDefault="00C84213" w:rsidP="003E7BDB">
      <w:pPr>
        <w:spacing w:line="360" w:lineRule="auto"/>
        <w:jc w:val="both"/>
        <w:rPr>
          <w:rFonts w:ascii="Times New Roman" w:hAnsi="Times New Roman" w:cs="Times New Roman"/>
        </w:rPr>
      </w:pPr>
    </w:p>
    <w:p w14:paraId="4BD9A066" w14:textId="3C89EF5D" w:rsidR="00AE16EA" w:rsidRDefault="00B202D5" w:rsidP="003E7BDB">
      <w:pPr>
        <w:spacing w:line="360" w:lineRule="auto"/>
        <w:jc w:val="both"/>
        <w:rPr>
          <w:rFonts w:ascii="Times New Roman" w:hAnsi="Times New Roman" w:cs="Times New Roman"/>
        </w:rPr>
      </w:pPr>
      <w:r>
        <w:rPr>
          <w:rFonts w:ascii="Times New Roman" w:hAnsi="Times New Roman" w:cs="Times New Roman"/>
        </w:rPr>
        <w:t xml:space="preserve">It is widely reported that levels of individual proteins in the insulin/IGF1 signalling pathway are dysregulated </w:t>
      </w:r>
      <w:r w:rsidR="00041828">
        <w:rPr>
          <w:rFonts w:ascii="Times New Roman" w:hAnsi="Times New Roman" w:cs="Times New Roman"/>
        </w:rPr>
        <w:t xml:space="preserve">in </w:t>
      </w:r>
      <w:r w:rsidR="00105F23">
        <w:rPr>
          <w:rFonts w:ascii="Times New Roman" w:hAnsi="Times New Roman" w:cs="Times New Roman"/>
        </w:rPr>
        <w:t>AD</w:t>
      </w:r>
      <w:r w:rsidR="00041828">
        <w:rPr>
          <w:rFonts w:ascii="Times New Roman" w:hAnsi="Times New Roman" w:cs="Times New Roman"/>
        </w:rPr>
        <w:t>, with a significant</w:t>
      </w:r>
      <w:r>
        <w:rPr>
          <w:rFonts w:ascii="Times New Roman" w:hAnsi="Times New Roman" w:cs="Times New Roman"/>
        </w:rPr>
        <w:t xml:space="preserve"> focus in the literature on alterations to this pathway in neurons. More </w:t>
      </w:r>
      <w:r w:rsidR="00041705">
        <w:rPr>
          <w:rFonts w:ascii="Times New Roman" w:hAnsi="Times New Roman" w:cs="Times New Roman"/>
        </w:rPr>
        <w:t>recently there has been a shift to studying the role played by other cellular components in the brai</w:t>
      </w:r>
      <w:r w:rsidR="009D627D">
        <w:rPr>
          <w:rFonts w:ascii="Times New Roman" w:hAnsi="Times New Roman" w:cs="Times New Roman"/>
        </w:rPr>
        <w:t xml:space="preserve">n during neurodegeneration and </w:t>
      </w:r>
      <w:r w:rsidR="00041705">
        <w:rPr>
          <w:rFonts w:ascii="Times New Roman" w:hAnsi="Times New Roman" w:cs="Times New Roman"/>
        </w:rPr>
        <w:t>research has</w:t>
      </w:r>
      <w:r w:rsidR="009D627D">
        <w:rPr>
          <w:rFonts w:ascii="Times New Roman" w:hAnsi="Times New Roman" w:cs="Times New Roman"/>
        </w:rPr>
        <w:t xml:space="preserve"> particularly</w:t>
      </w:r>
      <w:r w:rsidR="00041705">
        <w:rPr>
          <w:rFonts w:ascii="Times New Roman" w:hAnsi="Times New Roman" w:cs="Times New Roman"/>
        </w:rPr>
        <w:t xml:space="preserve"> focused on the</w:t>
      </w:r>
      <w:r w:rsidR="009D627D">
        <w:rPr>
          <w:rFonts w:ascii="Times New Roman" w:hAnsi="Times New Roman" w:cs="Times New Roman"/>
        </w:rPr>
        <w:t xml:space="preserve"> involvement of</w:t>
      </w:r>
      <w:r w:rsidR="00041705">
        <w:rPr>
          <w:rFonts w:ascii="Times New Roman" w:hAnsi="Times New Roman" w:cs="Times New Roman"/>
        </w:rPr>
        <w:t xml:space="preserve"> astrocytes.</w:t>
      </w:r>
      <w:r w:rsidR="009D627D">
        <w:rPr>
          <w:rFonts w:ascii="Times New Roman" w:hAnsi="Times New Roman" w:cs="Times New Roman"/>
        </w:rPr>
        <w:t xml:space="preserve"> Astrocytes are rapidly being unveiled as the support network and resource centre of the brain. They are </w:t>
      </w:r>
      <w:r w:rsidR="00F2230B">
        <w:rPr>
          <w:rFonts w:ascii="Times New Roman" w:hAnsi="Times New Roman" w:cs="Times New Roman"/>
        </w:rPr>
        <w:t xml:space="preserve">simultaneously able to process information from different cell types, allowing them to finely tune the complex neuronal circuitry with a dynamic microenvironment. However, in many neurodegenerative diseases their role can become compromised. In </w:t>
      </w:r>
      <w:r w:rsidR="00105F23">
        <w:rPr>
          <w:rFonts w:ascii="Times New Roman" w:hAnsi="Times New Roman" w:cs="Times New Roman"/>
        </w:rPr>
        <w:t>AD</w:t>
      </w:r>
      <w:r w:rsidR="00EC6BD9">
        <w:rPr>
          <w:rFonts w:ascii="Times New Roman" w:hAnsi="Times New Roman" w:cs="Times New Roman"/>
        </w:rPr>
        <w:t>, it has been identified that GFAP expression increases and EAAT2 levels decr</w:t>
      </w:r>
      <w:r w:rsidR="00041828">
        <w:rPr>
          <w:rFonts w:ascii="Times New Roman" w:hAnsi="Times New Roman" w:cs="Times New Roman"/>
        </w:rPr>
        <w:t>ease</w:t>
      </w:r>
      <w:r w:rsidR="00EC6BD9">
        <w:rPr>
          <w:rFonts w:ascii="Times New Roman" w:hAnsi="Times New Roman" w:cs="Times New Roman"/>
        </w:rPr>
        <w:t xml:space="preserve"> in astrocytes in association with increased Braak staging</w:t>
      </w:r>
      <w:r w:rsidR="001E7030">
        <w:rPr>
          <w:rFonts w:ascii="Times New Roman" w:hAnsi="Times New Roman" w:cs="Times New Roman"/>
        </w:rPr>
        <w:t xml:space="preserve"> </w:t>
      </w:r>
      <w:r w:rsidR="001E703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"10.1016/j.neurobiolaging.2008.05.015", "ISSN" : "1558-1497", "PMID" : "18586353", "abstract" : "Astrocyte pathology occurs in association with Alzheimer's disease (AD) and in brain ageing, but is poorly characterised. We sought to define the detailed cellular pathology of astrocytes, the extent of population variation and the relationship to Alzheimer-type changes in a population-based cohort. Three staining patterns were associated with GFAP and excitatory amino acid transporter 2 (EAAT2): minimal, moderate or extensive immunoreactivity. GFAP and EAAT2 expression were inversely related (p=0.015), with trends to increased expression of GFAP (p=0.019) and decreased expression of EAAT2 (p=ns) with increasing Braak stage. GFAP and EAAT2 correlated incompletely with beta-amyloid and tau immunoreactivity. However, gliosis increased with increasing burden of neuritic (p=0.011), but not diffuse (p=ns), plaques. Double-staining revealed distinct subsets of astrocytes; GFAP(+)EAAT(-), GFAP(-)EAAT(+), or GFAP(+)EAAT(+). In contrast to the variation in GFAP and EAAT2, levels of EAAT1 and S100B showed consistent staining patterns. Alzheimer-type pathology only partially explains the variation in gliosis and astrocyte functional markers, suggesting that other factors contribute to the population variance in astrocyte pathology.", "author" : [ { "dropping-particle" : "", "family" : "Simpson", "given" : "J E", "non-dropping-particle" : "", "parse-names" : false, "suffix" : "" }, { "dropping-particle" : "", "family" : "Ince", "given" : "P G", "non-dropping-particle" : "", "parse-names" : false, "suffix" : "" }, { "dropping-particle" : "", "family" : "Lace", "given" : "G", "non-dropping-particle" : "", "parse-names" : false, "suffix" : "" }, { "dropping-particle" : "", "family" : "Forster", "given" : "G", "non-dropping-particle" : "", "parse-names" : false, "suffix" : "" }, { "dropping-particle" : "", "family" : "Shaw", "given" : "P J", "non-dropping-particle" : "", "parse-names" : false, "suffix" : "" }, { "dropping-particle" : "", "family" : "Matthews", "given" : "F", "non-dropping-particle" : "", "parse-names" : false, "suffix" : "" }, { "dropping-particle" : "", "family" : "Savva", "given" : "G", "non-dropping-particle" : "", "parse-names" : false, "suffix" : "" }, { "dropping-particle" : "", "family" : "Brayne", "given" : "C", "non-dropping-particle" : "", "parse-names" : false, "suffix" : "" }, { "dropping-particle" : "", "family" : "Wharton", "given" : "S B", "non-dropping-particle" : "", "parse-names" : false, "suffix" : "" } ], "container-title" : "Neurobiology of aging", "id" : "ITEM-1", "issue" : "4", "issued" : { "date-parts" : [ [ "2010", "4" ] ] }, "page" : "578-90", "title" : "Astrocyte phenotype in relation to Alzheimer-type pathology in the ageing brain.", "type" : "article-journal", "volume" : "31" }, "uris" : [ "http://www.mendeley.com/documents/?uuid=777358ad-cb13-402e-b071-9f6976f101f9" ] } ], "mendeley" : { "formattedCitation" : "(J E Simpson, Ince, Lace, et al. 2010)", "plainTextFormattedCitation" : "(J E Simpson, Ince, Lace, et al. 2010)", "previouslyFormattedCitation" : "(J E Simpson, Ince, Lace, et al. 2010)" }, "properties" : { "noteIndex" : 0 }, "schema" : "https://github.com/citation-style-language/schema/raw/master/csl-citation.json" }</w:instrText>
      </w:r>
      <w:r w:rsidR="001E7030">
        <w:rPr>
          <w:rFonts w:ascii="Times New Roman" w:hAnsi="Times New Roman" w:cs="Times New Roman"/>
        </w:rPr>
        <w:fldChar w:fldCharType="separate"/>
      </w:r>
      <w:r w:rsidR="00C148FC" w:rsidRPr="00C148FC">
        <w:rPr>
          <w:rFonts w:ascii="Times New Roman" w:hAnsi="Times New Roman" w:cs="Times New Roman"/>
          <w:noProof/>
        </w:rPr>
        <w:t>(J E Simpson, Ince, Lace, et al. 2010)</w:t>
      </w:r>
      <w:r w:rsidR="001E7030">
        <w:rPr>
          <w:rFonts w:ascii="Times New Roman" w:hAnsi="Times New Roman" w:cs="Times New Roman"/>
        </w:rPr>
        <w:fldChar w:fldCharType="end"/>
      </w:r>
      <w:r w:rsidR="001E7030">
        <w:rPr>
          <w:rFonts w:ascii="Times New Roman" w:hAnsi="Times New Roman" w:cs="Times New Roman"/>
        </w:rPr>
        <w:t xml:space="preserve">. </w:t>
      </w:r>
      <w:r w:rsidR="00FA243A">
        <w:rPr>
          <w:rFonts w:ascii="Times New Roman" w:hAnsi="Times New Roman" w:cs="Times New Roman"/>
        </w:rPr>
        <w:t xml:space="preserve">It has </w:t>
      </w:r>
      <w:r w:rsidR="00B23900">
        <w:rPr>
          <w:rFonts w:ascii="Times New Roman" w:hAnsi="Times New Roman" w:cs="Times New Roman"/>
        </w:rPr>
        <w:t xml:space="preserve">also </w:t>
      </w:r>
      <w:r w:rsidR="00FA243A">
        <w:rPr>
          <w:rFonts w:ascii="Times New Roman" w:hAnsi="Times New Roman" w:cs="Times New Roman"/>
        </w:rPr>
        <w:t>been</w:t>
      </w:r>
      <w:r w:rsidR="00041705">
        <w:rPr>
          <w:rFonts w:ascii="Times New Roman" w:hAnsi="Times New Roman" w:cs="Times New Roman"/>
        </w:rPr>
        <w:t xml:space="preserve"> </w:t>
      </w:r>
      <w:r w:rsidR="00FA243A">
        <w:rPr>
          <w:rFonts w:ascii="Times New Roman" w:hAnsi="Times New Roman" w:cs="Times New Roman"/>
        </w:rPr>
        <w:t>shown that there are significant alterations in the</w:t>
      </w:r>
      <w:r w:rsidR="007C1403">
        <w:rPr>
          <w:rFonts w:ascii="Times New Roman" w:hAnsi="Times New Roman" w:cs="Times New Roman"/>
        </w:rPr>
        <w:t xml:space="preserve"> </w:t>
      </w:r>
      <w:r w:rsidR="00041705">
        <w:rPr>
          <w:rFonts w:ascii="Times New Roman" w:hAnsi="Times New Roman" w:cs="Times New Roman"/>
        </w:rPr>
        <w:t xml:space="preserve">insulin/ </w:t>
      </w:r>
      <w:r w:rsidR="007C1403">
        <w:rPr>
          <w:rFonts w:ascii="Times New Roman" w:hAnsi="Times New Roman" w:cs="Times New Roman"/>
        </w:rPr>
        <w:t>IGF1 signalling</w:t>
      </w:r>
      <w:r w:rsidR="00FA243A">
        <w:rPr>
          <w:rFonts w:ascii="Times New Roman" w:hAnsi="Times New Roman" w:cs="Times New Roman"/>
        </w:rPr>
        <w:t xml:space="preserve"> pathway</w:t>
      </w:r>
      <w:r w:rsidR="00AE16EA">
        <w:rPr>
          <w:rFonts w:ascii="Times New Roman" w:hAnsi="Times New Roman" w:cs="Times New Roman"/>
        </w:rPr>
        <w:t xml:space="preserve"> in astrocytes</w:t>
      </w:r>
      <w:r w:rsidR="006F5CEC">
        <w:rPr>
          <w:rFonts w:ascii="Times New Roman" w:hAnsi="Times New Roman" w:cs="Times New Roman"/>
        </w:rPr>
        <w:t xml:space="preserve"> during</w:t>
      </w:r>
      <w:r w:rsidR="00041705">
        <w:rPr>
          <w:rFonts w:ascii="Times New Roman" w:hAnsi="Times New Roman" w:cs="Times New Roman"/>
        </w:rPr>
        <w:t xml:space="preserve"> ageing and</w:t>
      </w:r>
      <w:r w:rsidR="006F5CEC">
        <w:rPr>
          <w:rFonts w:ascii="Times New Roman" w:hAnsi="Times New Roman" w:cs="Times New Roman"/>
        </w:rPr>
        <w:t xml:space="preserve"> </w:t>
      </w:r>
      <w:r w:rsidR="00AE16EA">
        <w:rPr>
          <w:rFonts w:ascii="Times New Roman" w:hAnsi="Times New Roman" w:cs="Times New Roman"/>
        </w:rPr>
        <w:t xml:space="preserve">AD </w:t>
      </w:r>
      <w:r w:rsidR="006F5CEC">
        <w:rPr>
          <w:rFonts w:ascii="Times New Roman" w:hAnsi="Times New Roman" w:cs="Times New Roman"/>
        </w:rPr>
        <w:t xml:space="preserve">progression </w:t>
      </w:r>
      <w:r w:rsidR="001E703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"10.1016/j.neurobiolaging.2011.04.013", "ISSN" : "1558-1497", "PMID" : "21705112", "abstract" : "Astrocytes contribute to a variety of functions in the brain, including homeostasis, synapse formation, plasticity, and metabolism. Astrocyte dysfunction may disrupt their normal role, including neuronal support, thereby contributing to neurodegenerative pathologies, including Alzheimer's disease (AD). To understand the role of astrocytes in the pathogenesis of age-related disorders, we isolated astrocytes by laser capture microdissection, using glial fibrillary acidic protein (GFAP) as a marker, and characterized the astrocyte transcriptome at different Braak neurofibrillary tangle stages in postmortem temporal cortex samples derived from the Medical Research Council Cognitive Function and Ageing Study (MRC CFAS) cohort, using microarray analysis. The largest number of significant, differentially expressed genes were identified when the expression profile of astrocytes from isocortical stages of neurofibrillary tangle pathology (Braak stages V-VI) were compared with entorhinal stages (Braak stages I-II). Dysregulation of genes associated with the actin cytoskeleton, proliferation, apoptosis, and ubiquitin-mediated proteolysis occurred at low Braak stages, while altered regulation of intracellular signaling pathways, including insulin, phosphatidylinositol 3-kinase (PI3K)/Akt, and mitogen-activated protein kinase (MAPK) pathways were primarily associated with high levels of Alzheimer-type pathology, and occurred at lower Braak stages in individuals with the APOE\u03b54 allele. Our findings implicate astrocyte dysfunction in the pathogenesis of neurodegenerative pathology in the aging brain, and provide a basis for future candidate studies based on specific pathways.", "author" : [ { "dropping-particle" : "", "family" : "Simpson", "given" : "Julie E", "non-dropping-particle" : "", "parse-names" : false, "suffix" : "" }, { "dropping-particle" : "", "family" : "Ince", "given" : "Paul G", "non-dropping-particle" : "", "parse-names" : false, "suffix" : "" }, { "dropping-particle" : "", "family" : "Shaw", "given" : "Pamela J", "non-dropping-particle" : "", "parse-names" : false, "suffix" : "" }, { "dropping-particle" : "", "family" : "Heath", "given" : "Paul R", "non-dropping-particle" : "", "parse-names" : false, "suffix" : "" }, { "dropping-particle" : "", "family" : "Raman", "given" : "Rohini", "non-dropping-particle" : "", "parse-names" : false, "suffix" : "" }, { "dropping-particle" : "", "family" : "Garwood", "given" : "Claire J", "non-dropping-particle" : "", "parse-names" : false, "suffix" : "" }, { "dropping-particle" : "", "family" : "Gelsthorpe", "given" : "Catherine", "non-dropping-particle" : "", "parse-names" : false, "suffix" : "" }, { "dropping-particle" : "", "family" : "Baxter", "given" : "Lynne", "non-dropping-particle" : "", "parse-names" : false, "suffix" : "" }, { "dropping-particle" : "", "family" : "Forster", "given" : "Gillian", "non-dropping-particle" : "", "parse-names" : false, "suffix" : "" }, { "dropping-particle" : "", "family" : "Matthews", "given" : "Fiona E", "non-dropping-particle" : "", "parse-names" : false, "suffix" : "" }, { "dropping-particle" : "", "family" : "Brayne", "given" : "Carol", "non-dropping-particle" : "", "parse-names" : false, "suffix" : "" }, { "dropping-particle" : "", "family" : "Wharton", "given" : "Stephen B", "non-dropping-particle" : "", "parse-names" : false, "suffix" : "" } ], "container-title" : "Neurobiology of aging", "id" : "ITEM-1", "issue" : "10", "issued" : { "date-parts" : [ [ "2011", "10" ] ] }, "page" : "1795-807", "title" : "Microarray analysis of the astrocyte transcriptome in the aging brain: relationship to Alzheimer's pathology and APOE genotype.", "type" : "article-journal", "volume" : "32" }, "uris" : [ "http://www.mendeley.com/documents/?uuid=181521a1-c6ce-4312-8031-143f5a245149" ] } ], "mendeley" : { "formattedCitation" : "(Simpson et al. 2011)", "plainTextFormattedCitation" : "(Simpson et al. 2011)", "previouslyFormattedCitation" : "(Simpson et al. 2011)" }, "properties" : { "noteIndex" : 0 }, "schema" : "https://github.com/citation-style-language/schema/raw/master/csl-citation.json" }</w:instrText>
      </w:r>
      <w:r w:rsidR="001E7030">
        <w:rPr>
          <w:rFonts w:ascii="Times New Roman" w:hAnsi="Times New Roman" w:cs="Times New Roman"/>
        </w:rPr>
        <w:fldChar w:fldCharType="separate"/>
      </w:r>
      <w:r w:rsidR="00C148FC" w:rsidRPr="00C148FC">
        <w:rPr>
          <w:rFonts w:ascii="Times New Roman" w:hAnsi="Times New Roman" w:cs="Times New Roman"/>
          <w:noProof/>
        </w:rPr>
        <w:t>(Simpson et al. 2011)</w:t>
      </w:r>
      <w:r w:rsidR="001E7030">
        <w:rPr>
          <w:rFonts w:ascii="Times New Roman" w:hAnsi="Times New Roman" w:cs="Times New Roman"/>
        </w:rPr>
        <w:fldChar w:fldCharType="end"/>
      </w:r>
      <w:r w:rsidR="007C1403">
        <w:rPr>
          <w:rFonts w:ascii="Times New Roman" w:hAnsi="Times New Roman" w:cs="Times New Roman"/>
        </w:rPr>
        <w:t>.</w:t>
      </w:r>
      <w:r w:rsidR="00AE16EA">
        <w:rPr>
          <w:rFonts w:ascii="Times New Roman" w:hAnsi="Times New Roman" w:cs="Times New Roman"/>
        </w:rPr>
        <w:t xml:space="preserve"> What is not understood is why this signalling pathway is dysregulated in astrocytes in AD and how these changes</w:t>
      </w:r>
      <w:r w:rsidR="00EC6BD9">
        <w:rPr>
          <w:rFonts w:ascii="Times New Roman" w:hAnsi="Times New Roman" w:cs="Times New Roman"/>
        </w:rPr>
        <w:t xml:space="preserve"> affect astrocyte function</w:t>
      </w:r>
      <w:r w:rsidR="008F584C">
        <w:rPr>
          <w:rFonts w:ascii="Times New Roman" w:hAnsi="Times New Roman" w:cs="Times New Roman"/>
        </w:rPr>
        <w:t xml:space="preserve"> and contribute to disease progression</w:t>
      </w:r>
      <w:r w:rsidR="00EC6BD9">
        <w:rPr>
          <w:rFonts w:ascii="Times New Roman" w:hAnsi="Times New Roman" w:cs="Times New Roman"/>
        </w:rPr>
        <w:t>.</w:t>
      </w:r>
      <w:r w:rsidR="008F584C">
        <w:rPr>
          <w:rFonts w:ascii="Times New Roman" w:hAnsi="Times New Roman" w:cs="Times New Roman"/>
        </w:rPr>
        <w:t xml:space="preserve"> </w:t>
      </w:r>
      <w:r w:rsidR="002C11AB">
        <w:rPr>
          <w:rFonts w:ascii="Times New Roman" w:hAnsi="Times New Roman" w:cs="Times New Roman"/>
        </w:rPr>
        <w:t>T</w:t>
      </w:r>
      <w:r w:rsidR="008F584C">
        <w:rPr>
          <w:rFonts w:ascii="Times New Roman" w:hAnsi="Times New Roman" w:cs="Times New Roman"/>
        </w:rPr>
        <w:t>o answer this q</w:t>
      </w:r>
      <w:r w:rsidR="0055695B">
        <w:rPr>
          <w:rFonts w:ascii="Times New Roman" w:hAnsi="Times New Roman" w:cs="Times New Roman"/>
        </w:rPr>
        <w:t xml:space="preserve">uestion an </w:t>
      </w:r>
      <w:r w:rsidR="0055695B">
        <w:rPr>
          <w:rFonts w:ascii="Times New Roman" w:hAnsi="Times New Roman" w:cs="Times New Roman"/>
          <w:i/>
        </w:rPr>
        <w:t>in vitro</w:t>
      </w:r>
      <w:r w:rsidR="0055695B">
        <w:rPr>
          <w:rFonts w:ascii="Times New Roman" w:hAnsi="Times New Roman" w:cs="Times New Roman"/>
        </w:rPr>
        <w:t xml:space="preserve"> system of IGF1 signalling impairment in human astrocytes has been developed. </w:t>
      </w:r>
    </w:p>
    <w:p w14:paraId="3AEAD76F" w14:textId="77777777" w:rsidR="00AE16EA" w:rsidRDefault="00AE16EA" w:rsidP="003E7BDB">
      <w:pPr>
        <w:spacing w:line="360" w:lineRule="auto"/>
        <w:jc w:val="both"/>
        <w:rPr>
          <w:rFonts w:ascii="Times New Roman" w:hAnsi="Times New Roman" w:cs="Times New Roman"/>
        </w:rPr>
      </w:pPr>
    </w:p>
    <w:p w14:paraId="3C7B144C" w14:textId="7EE7C370" w:rsidR="00DA7F48" w:rsidRPr="002C11AB" w:rsidRDefault="00AE16EA" w:rsidP="003E7BDB">
      <w:pPr>
        <w:spacing w:line="360" w:lineRule="auto"/>
        <w:jc w:val="both"/>
        <w:rPr>
          <w:rFonts w:ascii="Times New Roman" w:hAnsi="Times New Roman" w:cs="Times New Roman"/>
        </w:rPr>
      </w:pPr>
      <w:r>
        <w:rPr>
          <w:rFonts w:ascii="Times New Roman" w:hAnsi="Times New Roman" w:cs="Times New Roman"/>
        </w:rPr>
        <w:t xml:space="preserve">This chapter confirms the presence and functionality of the IGF1 signalling pathway in human astrocytes and describes the model generated to investigate reduced IGF1 signalling in human astrocytes. It will focus specifically on how the IGF1 signalling </w:t>
      </w:r>
      <w:r w:rsidR="00DC3BF8">
        <w:rPr>
          <w:rFonts w:ascii="Times New Roman" w:hAnsi="Times New Roman" w:cs="Times New Roman"/>
        </w:rPr>
        <w:t>pathway was characteris</w:t>
      </w:r>
      <w:r w:rsidRPr="002C11AB">
        <w:rPr>
          <w:rFonts w:ascii="Times New Roman" w:hAnsi="Times New Roman" w:cs="Times New Roman"/>
        </w:rPr>
        <w:t xml:space="preserve">ed, how a model of IGF1 signalling impairment was established in human astrocytes and </w:t>
      </w:r>
      <w:r w:rsidR="00397FB9" w:rsidRPr="002C11AB">
        <w:rPr>
          <w:rFonts w:ascii="Times New Roman" w:hAnsi="Times New Roman" w:cs="Times New Roman"/>
        </w:rPr>
        <w:t>t</w:t>
      </w:r>
      <w:r w:rsidRPr="002C11AB">
        <w:rPr>
          <w:rFonts w:ascii="Times New Roman" w:hAnsi="Times New Roman" w:cs="Times New Roman"/>
        </w:rPr>
        <w:t>he assays used to identify how reduced signalling affects astrocyte function in mono-</w:t>
      </w:r>
      <w:r w:rsidR="005C32B1" w:rsidRPr="002C11AB">
        <w:rPr>
          <w:rFonts w:ascii="Times New Roman" w:hAnsi="Times New Roman" w:cs="Times New Roman"/>
        </w:rPr>
        <w:t>culture.</w:t>
      </w:r>
    </w:p>
    <w:p w14:paraId="6A310C06" w14:textId="77777777" w:rsidR="00B83E66" w:rsidRPr="002D0408" w:rsidRDefault="00B83E66" w:rsidP="003E7BDB">
      <w:pPr>
        <w:spacing w:line="360" w:lineRule="auto"/>
        <w:jc w:val="both"/>
        <w:rPr>
          <w:rFonts w:ascii="Times New Roman" w:hAnsi="Times New Roman" w:cs="Times New Roman"/>
        </w:rPr>
      </w:pPr>
    </w:p>
    <w:p w14:paraId="58C67502" w14:textId="5E66948E" w:rsidR="00DA7F48" w:rsidRPr="00F00E0E" w:rsidRDefault="00F00E0E" w:rsidP="003E7BDB">
      <w:pPr>
        <w:pStyle w:val="Heading2"/>
        <w:jc w:val="both"/>
      </w:pPr>
      <w:bookmarkStart w:id="888" w:name="_Toc328301139"/>
      <w:bookmarkStart w:id="889" w:name="_Toc329593432"/>
      <w:bookmarkStart w:id="890" w:name="_Toc331425931"/>
      <w:bookmarkStart w:id="891" w:name="_Toc331427112"/>
      <w:bookmarkStart w:id="892" w:name="_Toc331427484"/>
      <w:bookmarkStart w:id="893" w:name="_Toc331427626"/>
      <w:bookmarkStart w:id="894" w:name="_Toc332972630"/>
      <w:bookmarkStart w:id="895" w:name="_Toc333046909"/>
      <w:bookmarkStart w:id="896" w:name="_Toc333477256"/>
      <w:bookmarkStart w:id="897" w:name="_Toc333478026"/>
      <w:bookmarkStart w:id="898" w:name="_Toc333644926"/>
      <w:r w:rsidRPr="00F00E0E">
        <w:t xml:space="preserve">3.2 </w:t>
      </w:r>
      <w:r w:rsidR="00652FF0" w:rsidRPr="00F00E0E">
        <w:t>Aims</w:t>
      </w:r>
      <w:r w:rsidRPr="00F00E0E">
        <w:t xml:space="preserve"> and Objectives</w:t>
      </w:r>
      <w:bookmarkEnd w:id="888"/>
      <w:bookmarkEnd w:id="889"/>
      <w:bookmarkEnd w:id="890"/>
      <w:bookmarkEnd w:id="891"/>
      <w:bookmarkEnd w:id="892"/>
      <w:bookmarkEnd w:id="893"/>
      <w:bookmarkEnd w:id="894"/>
      <w:bookmarkEnd w:id="895"/>
      <w:bookmarkEnd w:id="896"/>
      <w:bookmarkEnd w:id="897"/>
      <w:bookmarkEnd w:id="898"/>
      <w:r w:rsidR="00652FF0" w:rsidRPr="00F00E0E">
        <w:t xml:space="preserve"> </w:t>
      </w:r>
    </w:p>
    <w:p w14:paraId="76176614" w14:textId="77777777" w:rsidR="00B75126" w:rsidRDefault="00B75126" w:rsidP="003E7BDB">
      <w:pPr>
        <w:spacing w:line="360" w:lineRule="auto"/>
        <w:jc w:val="both"/>
        <w:rPr>
          <w:rFonts w:ascii="Times New Roman" w:hAnsi="Times New Roman" w:cs="Times New Roman"/>
        </w:rPr>
      </w:pPr>
    </w:p>
    <w:p w14:paraId="7AB3F3B0" w14:textId="2A3F926A" w:rsidR="00B75126" w:rsidRPr="00D42329" w:rsidRDefault="00D42329" w:rsidP="003E7BDB">
      <w:pPr>
        <w:spacing w:line="360" w:lineRule="auto"/>
        <w:jc w:val="both"/>
        <w:rPr>
          <w:rFonts w:ascii="Times New Roman" w:hAnsi="Times New Roman" w:cs="Times New Roman"/>
        </w:rPr>
      </w:pPr>
      <w:r>
        <w:rPr>
          <w:rFonts w:ascii="Times New Roman" w:hAnsi="Times New Roman" w:cs="Times New Roman"/>
        </w:rPr>
        <w:t xml:space="preserve">1)  </w:t>
      </w:r>
      <w:r w:rsidR="003A3D87" w:rsidRPr="00D42329">
        <w:rPr>
          <w:rFonts w:ascii="Times New Roman" w:hAnsi="Times New Roman" w:cs="Times New Roman"/>
        </w:rPr>
        <w:t>Confirm</w:t>
      </w:r>
      <w:r w:rsidR="00B75126" w:rsidRPr="00D42329">
        <w:rPr>
          <w:rFonts w:ascii="Times New Roman" w:hAnsi="Times New Roman" w:cs="Times New Roman"/>
        </w:rPr>
        <w:t xml:space="preserve"> functional IGF1 signalling in </w:t>
      </w:r>
      <w:r w:rsidR="00E206B6" w:rsidRPr="00D42329">
        <w:rPr>
          <w:rFonts w:ascii="Times New Roman" w:hAnsi="Times New Roman" w:cs="Times New Roman"/>
        </w:rPr>
        <w:t xml:space="preserve">human </w:t>
      </w:r>
      <w:r w:rsidR="00B75126" w:rsidRPr="00D42329">
        <w:rPr>
          <w:rFonts w:ascii="Times New Roman" w:hAnsi="Times New Roman" w:cs="Times New Roman"/>
        </w:rPr>
        <w:t>astrocytes</w:t>
      </w:r>
      <w:r w:rsidR="00DC3BF8">
        <w:rPr>
          <w:rFonts w:ascii="Times New Roman" w:hAnsi="Times New Roman" w:cs="Times New Roman"/>
        </w:rPr>
        <w:t>.</w:t>
      </w:r>
    </w:p>
    <w:p w14:paraId="1FDCC2F5" w14:textId="63E0BD5B" w:rsidR="00B75126" w:rsidRPr="00D42329" w:rsidRDefault="00D42329" w:rsidP="003E7BDB">
      <w:pPr>
        <w:spacing w:line="360" w:lineRule="auto"/>
        <w:jc w:val="both"/>
        <w:rPr>
          <w:rFonts w:ascii="Times New Roman" w:hAnsi="Times New Roman" w:cs="Times New Roman"/>
        </w:rPr>
      </w:pPr>
      <w:r>
        <w:rPr>
          <w:rFonts w:ascii="Times New Roman" w:hAnsi="Times New Roman" w:cs="Times New Roman"/>
        </w:rPr>
        <w:t xml:space="preserve">2)  </w:t>
      </w:r>
      <w:r w:rsidR="00B75126" w:rsidRPr="00D42329">
        <w:rPr>
          <w:rFonts w:ascii="Times New Roman" w:hAnsi="Times New Roman" w:cs="Times New Roman"/>
        </w:rPr>
        <w:t>Establish a model of IGF1 signalling impairment in astrocytes</w:t>
      </w:r>
      <w:r w:rsidR="00DC3BF8">
        <w:rPr>
          <w:rFonts w:ascii="Times New Roman" w:hAnsi="Times New Roman" w:cs="Times New Roman"/>
        </w:rPr>
        <w:t>.</w:t>
      </w:r>
    </w:p>
    <w:p w14:paraId="34EC9060" w14:textId="3FCD2586" w:rsidR="00B75126" w:rsidRPr="00D42329" w:rsidRDefault="00D42329" w:rsidP="003E7BDB">
      <w:pPr>
        <w:spacing w:line="360" w:lineRule="auto"/>
        <w:jc w:val="both"/>
        <w:rPr>
          <w:rFonts w:ascii="Times New Roman" w:hAnsi="Times New Roman" w:cs="Times New Roman"/>
        </w:rPr>
      </w:pPr>
      <w:r>
        <w:rPr>
          <w:rFonts w:ascii="Times New Roman" w:hAnsi="Times New Roman" w:cs="Times New Roman"/>
        </w:rPr>
        <w:t xml:space="preserve">3)  </w:t>
      </w:r>
      <w:r w:rsidR="00B75126" w:rsidRPr="00D42329">
        <w:rPr>
          <w:rFonts w:ascii="Times New Roman" w:hAnsi="Times New Roman" w:cs="Times New Roman"/>
        </w:rPr>
        <w:t xml:space="preserve">Assess functional changes in </w:t>
      </w:r>
      <w:r w:rsidR="00E206B6" w:rsidRPr="00D42329">
        <w:rPr>
          <w:rFonts w:ascii="Times New Roman" w:hAnsi="Times New Roman" w:cs="Times New Roman"/>
        </w:rPr>
        <w:t xml:space="preserve">the </w:t>
      </w:r>
      <w:r w:rsidR="00B75126" w:rsidRPr="00D42329">
        <w:rPr>
          <w:rFonts w:ascii="Times New Roman" w:hAnsi="Times New Roman" w:cs="Times New Roman"/>
        </w:rPr>
        <w:t>astrocytes as a result of IGF1R loss</w:t>
      </w:r>
      <w:r w:rsidR="00DC3BF8">
        <w:rPr>
          <w:rFonts w:ascii="Times New Roman" w:hAnsi="Times New Roman" w:cs="Times New Roman"/>
        </w:rPr>
        <w:t>.</w:t>
      </w:r>
    </w:p>
    <w:p w14:paraId="6F4D2855" w14:textId="3C255AE0" w:rsidR="00B75126" w:rsidRPr="00D42329" w:rsidRDefault="00D42329" w:rsidP="003E7BDB">
      <w:pPr>
        <w:spacing w:line="360" w:lineRule="auto"/>
        <w:jc w:val="both"/>
        <w:rPr>
          <w:rFonts w:ascii="Times New Roman" w:hAnsi="Times New Roman" w:cs="Times New Roman"/>
        </w:rPr>
      </w:pPr>
      <w:r>
        <w:rPr>
          <w:rFonts w:ascii="Times New Roman" w:hAnsi="Times New Roman" w:cs="Times New Roman"/>
        </w:rPr>
        <w:t xml:space="preserve">4)  </w:t>
      </w:r>
      <w:r w:rsidR="00B75126" w:rsidRPr="00D42329">
        <w:rPr>
          <w:rFonts w:ascii="Times New Roman" w:hAnsi="Times New Roman" w:cs="Times New Roman"/>
        </w:rPr>
        <w:t xml:space="preserve">Characterise expression of IGF1R </w:t>
      </w:r>
      <w:r w:rsidR="004C0CEB" w:rsidRPr="00D42329">
        <w:rPr>
          <w:rFonts w:ascii="Times New Roman" w:hAnsi="Times New Roman" w:cs="Times New Roman"/>
        </w:rPr>
        <w:t>in human brain tissue</w:t>
      </w:r>
      <w:r w:rsidR="00DC3BF8">
        <w:rPr>
          <w:rFonts w:ascii="Times New Roman" w:hAnsi="Times New Roman" w:cs="Times New Roman"/>
        </w:rPr>
        <w:t>.</w:t>
      </w:r>
    </w:p>
    <w:p w14:paraId="5B2D6BA1" w14:textId="77777777" w:rsidR="001D7A9D" w:rsidRDefault="001D7A9D">
      <w:pPr>
        <w:rPr>
          <w:rFonts w:ascii="Times New Roman" w:hAnsi="Times New Roman" w:cs="Times New Roman"/>
          <w:b/>
          <w:u w:val="single"/>
        </w:rPr>
      </w:pPr>
    </w:p>
    <w:p w14:paraId="75142200" w14:textId="50D4EEA0" w:rsidR="00915416" w:rsidRPr="00114855" w:rsidRDefault="00652FF0" w:rsidP="002D0408">
      <w:pPr>
        <w:pStyle w:val="Heading2"/>
      </w:pPr>
      <w:bookmarkStart w:id="899" w:name="_Toc328301140"/>
      <w:bookmarkStart w:id="900" w:name="_Toc329593433"/>
      <w:bookmarkStart w:id="901" w:name="_Toc331425932"/>
      <w:bookmarkStart w:id="902" w:name="_Toc331427113"/>
      <w:bookmarkStart w:id="903" w:name="_Toc331427485"/>
      <w:bookmarkStart w:id="904" w:name="_Toc331427627"/>
      <w:bookmarkStart w:id="905" w:name="_Toc332972631"/>
      <w:bookmarkStart w:id="906" w:name="_Toc333046910"/>
      <w:bookmarkStart w:id="907" w:name="_Toc333477257"/>
      <w:bookmarkStart w:id="908" w:name="_Toc333478027"/>
      <w:bookmarkStart w:id="909" w:name="_Toc333644927"/>
      <w:r>
        <w:t>3</w:t>
      </w:r>
      <w:r w:rsidR="00F00E0E">
        <w:t>.3</w:t>
      </w:r>
      <w:r w:rsidR="005C32B1" w:rsidRPr="00114855">
        <w:t xml:space="preserve"> </w:t>
      </w:r>
      <w:r w:rsidR="00915416" w:rsidRPr="00114855">
        <w:t>Methods</w:t>
      </w:r>
      <w:bookmarkEnd w:id="899"/>
      <w:bookmarkEnd w:id="900"/>
      <w:bookmarkEnd w:id="901"/>
      <w:bookmarkEnd w:id="902"/>
      <w:bookmarkEnd w:id="903"/>
      <w:bookmarkEnd w:id="904"/>
      <w:bookmarkEnd w:id="905"/>
      <w:bookmarkEnd w:id="906"/>
      <w:bookmarkEnd w:id="907"/>
      <w:bookmarkEnd w:id="908"/>
      <w:bookmarkEnd w:id="909"/>
    </w:p>
    <w:p w14:paraId="20693F01" w14:textId="77777777" w:rsidR="00915416" w:rsidRPr="004975E3" w:rsidRDefault="00915416">
      <w:pPr>
        <w:rPr>
          <w:rFonts w:ascii="Times New Roman" w:hAnsi="Times New Roman" w:cs="Times New Roman"/>
          <w:b/>
          <w:u w:val="single"/>
        </w:rPr>
      </w:pPr>
    </w:p>
    <w:p w14:paraId="32AFFBA5" w14:textId="673E05A3" w:rsidR="005C32B1" w:rsidRDefault="00D41D1C" w:rsidP="003E7BDB">
      <w:pPr>
        <w:spacing w:line="360" w:lineRule="auto"/>
        <w:jc w:val="both"/>
        <w:rPr>
          <w:rFonts w:ascii="Times New Roman" w:hAnsi="Times New Roman" w:cs="Times New Roman"/>
        </w:rPr>
      </w:pPr>
      <w:r>
        <w:rPr>
          <w:rFonts w:ascii="Times New Roman" w:hAnsi="Times New Roman" w:cs="Times New Roman"/>
        </w:rPr>
        <w:t xml:space="preserve">Detailed </w:t>
      </w:r>
      <w:r w:rsidR="000D2D16">
        <w:rPr>
          <w:rFonts w:ascii="Times New Roman" w:hAnsi="Times New Roman" w:cs="Times New Roman"/>
        </w:rPr>
        <w:t xml:space="preserve">methods for this section can be found in chapter </w:t>
      </w:r>
      <w:r w:rsidR="009D2868">
        <w:rPr>
          <w:rFonts w:ascii="Times New Roman" w:hAnsi="Times New Roman" w:cs="Times New Roman"/>
        </w:rPr>
        <w:t>2</w:t>
      </w:r>
      <w:r w:rsidR="00C36D54">
        <w:rPr>
          <w:rFonts w:ascii="Times New Roman" w:hAnsi="Times New Roman" w:cs="Times New Roman"/>
        </w:rPr>
        <w:t xml:space="preserve">. In summary, a recombinant human IGF1 ligand was used to stimulate ScienCell (1) astrocytes in the presence and absence of serum and western blotted to identify changes in IGF1 signalling proteins. </w:t>
      </w:r>
      <w:r w:rsidR="005C32B1">
        <w:rPr>
          <w:rFonts w:ascii="Times New Roman" w:hAnsi="Times New Roman" w:cs="Times New Roman"/>
        </w:rPr>
        <w:t>To inhibit IGF1 signalling</w:t>
      </w:r>
      <w:r w:rsidR="00B23900">
        <w:rPr>
          <w:rFonts w:ascii="Times New Roman" w:hAnsi="Times New Roman" w:cs="Times New Roman"/>
        </w:rPr>
        <w:t>,</w:t>
      </w:r>
      <w:r w:rsidR="005C32B1">
        <w:rPr>
          <w:rFonts w:ascii="Times New Roman" w:hAnsi="Times New Roman" w:cs="Times New Roman"/>
        </w:rPr>
        <w:t xml:space="preserve"> astrocytes were treated with a monoclonal antibody against the IGF1R</w:t>
      </w:r>
      <w:r w:rsidR="00974A52">
        <w:rPr>
          <w:rFonts w:ascii="Times New Roman" w:hAnsi="Times New Roman" w:cs="Times New Roman"/>
        </w:rPr>
        <w:t xml:space="preserve"> (MAB391)</w:t>
      </w:r>
      <w:r w:rsidR="005C32B1">
        <w:rPr>
          <w:rFonts w:ascii="Times New Roman" w:hAnsi="Times New Roman" w:cs="Times New Roman"/>
        </w:rPr>
        <w:t xml:space="preserve"> for 24</w:t>
      </w:r>
      <w:r w:rsidR="003458F1">
        <w:rPr>
          <w:rFonts w:ascii="Times New Roman" w:hAnsi="Times New Roman" w:cs="Times New Roman"/>
        </w:rPr>
        <w:t xml:space="preserve"> </w:t>
      </w:r>
      <w:r w:rsidR="005C32B1">
        <w:rPr>
          <w:rFonts w:ascii="Times New Roman" w:hAnsi="Times New Roman" w:cs="Times New Roman"/>
        </w:rPr>
        <w:t>hours followed by western blotting to determine changes in signalling proteins. An IgG isotype control (MAB002) was included to ensure that observed changes were not due to the antibody treatment. In addition astrocytes were treated with MAB391 for 96 hours, with a media exchange after 24 hours (also referred to as 72hr</w:t>
      </w:r>
      <w:r w:rsidR="007E5A49">
        <w:rPr>
          <w:rFonts w:ascii="Times New Roman" w:hAnsi="Times New Roman" w:cs="Times New Roman"/>
        </w:rPr>
        <w:t xml:space="preserve"> post-media exchange [</w:t>
      </w:r>
      <w:r w:rsidR="005C32B1">
        <w:rPr>
          <w:rFonts w:ascii="Times New Roman" w:hAnsi="Times New Roman" w:cs="Times New Roman"/>
        </w:rPr>
        <w:t>PME</w:t>
      </w:r>
      <w:r w:rsidR="007E5A49">
        <w:rPr>
          <w:rFonts w:ascii="Times New Roman" w:hAnsi="Times New Roman" w:cs="Times New Roman"/>
        </w:rPr>
        <w:t>]</w:t>
      </w:r>
      <w:r w:rsidR="005C32B1">
        <w:rPr>
          <w:rFonts w:ascii="Times New Roman" w:hAnsi="Times New Roman" w:cs="Times New Roman"/>
        </w:rPr>
        <w:t>) to identify how persisten</w:t>
      </w:r>
      <w:r w:rsidR="003458F1">
        <w:rPr>
          <w:rFonts w:ascii="Times New Roman" w:hAnsi="Times New Roman" w:cs="Times New Roman"/>
        </w:rPr>
        <w:t>t</w:t>
      </w:r>
      <w:r w:rsidR="005C32B1">
        <w:rPr>
          <w:rFonts w:ascii="Times New Roman" w:hAnsi="Times New Roman" w:cs="Times New Roman"/>
        </w:rPr>
        <w:t xml:space="preserve"> the</w:t>
      </w:r>
      <w:r w:rsidR="00974A52">
        <w:rPr>
          <w:rFonts w:ascii="Times New Roman" w:hAnsi="Times New Roman" w:cs="Times New Roman"/>
        </w:rPr>
        <w:t xml:space="preserve"> effect on IGF1R </w:t>
      </w:r>
      <w:r w:rsidR="005C32B1">
        <w:rPr>
          <w:rFonts w:ascii="Times New Roman" w:hAnsi="Times New Roman" w:cs="Times New Roman"/>
        </w:rPr>
        <w:t>was</w:t>
      </w:r>
      <w:r w:rsidR="003458F1">
        <w:rPr>
          <w:rFonts w:ascii="Times New Roman" w:hAnsi="Times New Roman" w:cs="Times New Roman"/>
        </w:rPr>
        <w:t xml:space="preserve"> (</w:t>
      </w:r>
      <w:r w:rsidR="004C0CEB">
        <w:rPr>
          <w:rFonts w:ascii="Times New Roman" w:hAnsi="Times New Roman" w:cs="Times New Roman"/>
          <w:b/>
        </w:rPr>
        <w:t>figure 3.1</w:t>
      </w:r>
      <w:r w:rsidR="003458F1">
        <w:rPr>
          <w:rFonts w:ascii="Times New Roman" w:hAnsi="Times New Roman" w:cs="Times New Roman"/>
        </w:rPr>
        <w:t>)</w:t>
      </w:r>
      <w:r w:rsidR="005C32B1">
        <w:rPr>
          <w:rFonts w:ascii="Times New Roman" w:hAnsi="Times New Roman" w:cs="Times New Roman"/>
        </w:rPr>
        <w:t xml:space="preserve">. Functional assays were conducted to investigate how impaired IGF1 signalling affects astrocyte function; these assays were chosen based on the involvement of IGF1 signalling in mitogenesis and protection against oxidative stress. </w:t>
      </w:r>
    </w:p>
    <w:p w14:paraId="21CA2D42" w14:textId="77777777" w:rsidR="00C84213" w:rsidRDefault="00C84213" w:rsidP="003E7BDB">
      <w:pPr>
        <w:spacing w:line="360" w:lineRule="auto"/>
        <w:jc w:val="both"/>
        <w:rPr>
          <w:rFonts w:ascii="Times New Roman" w:hAnsi="Times New Roman" w:cs="Times New Roman"/>
        </w:rPr>
      </w:pPr>
    </w:p>
    <w:p w14:paraId="03189D65" w14:textId="17E0AFEF" w:rsidR="00915416" w:rsidRDefault="005C32B1" w:rsidP="003E7BDB">
      <w:pPr>
        <w:spacing w:line="360" w:lineRule="auto"/>
        <w:jc w:val="both"/>
        <w:rPr>
          <w:rFonts w:ascii="Times New Roman" w:hAnsi="Times New Roman" w:cs="Times New Roman"/>
        </w:rPr>
      </w:pPr>
      <w:r>
        <w:rPr>
          <w:rFonts w:ascii="Times New Roman" w:hAnsi="Times New Roman" w:cs="Times New Roman"/>
        </w:rPr>
        <w:t>To test the robustness of the</w:t>
      </w:r>
      <w:r w:rsidR="002B1CBB">
        <w:rPr>
          <w:rFonts w:ascii="Times New Roman" w:hAnsi="Times New Roman" w:cs="Times New Roman"/>
        </w:rPr>
        <w:t xml:space="preserve"> model, adult astrocytes from epileptic temporal lobe resections and ScienCell (2)</w:t>
      </w:r>
      <w:r>
        <w:rPr>
          <w:rFonts w:ascii="Times New Roman" w:hAnsi="Times New Roman" w:cs="Times New Roman"/>
        </w:rPr>
        <w:t xml:space="preserve"> </w:t>
      </w:r>
      <w:r w:rsidR="002B1CBB">
        <w:rPr>
          <w:rFonts w:ascii="Times New Roman" w:hAnsi="Times New Roman" w:cs="Times New Roman"/>
        </w:rPr>
        <w:t>astrocytes</w:t>
      </w:r>
      <w:r w:rsidR="004C0CEB">
        <w:rPr>
          <w:rFonts w:ascii="Times New Roman" w:hAnsi="Times New Roman" w:cs="Times New Roman"/>
        </w:rPr>
        <w:t xml:space="preserve"> (refer to Chapter 2, section 2.1.1</w:t>
      </w:r>
      <w:r>
        <w:rPr>
          <w:rFonts w:ascii="Times New Roman" w:hAnsi="Times New Roman" w:cs="Times New Roman"/>
        </w:rPr>
        <w:t xml:space="preserve">) </w:t>
      </w:r>
      <w:r w:rsidR="002B1CBB">
        <w:rPr>
          <w:rFonts w:ascii="Times New Roman" w:hAnsi="Times New Roman" w:cs="Times New Roman"/>
        </w:rPr>
        <w:t>were also trea</w:t>
      </w:r>
      <w:r w:rsidR="006C1845">
        <w:rPr>
          <w:rFonts w:ascii="Times New Roman" w:hAnsi="Times New Roman" w:cs="Times New Roman"/>
        </w:rPr>
        <w:t>ted with MAB391 in the same way.</w:t>
      </w:r>
      <w:r w:rsidR="00077D27">
        <w:rPr>
          <w:rFonts w:ascii="Times New Roman" w:hAnsi="Times New Roman" w:cs="Times New Roman"/>
        </w:rPr>
        <w:t xml:space="preserve"> In addition, </w:t>
      </w:r>
      <w:r w:rsidR="00B23900">
        <w:rPr>
          <w:rFonts w:ascii="Times New Roman" w:hAnsi="Times New Roman" w:cs="Times New Roman"/>
        </w:rPr>
        <w:t>expression of IGF1R was confirmed in astrocytes in human brain tissue.</w:t>
      </w:r>
      <w:r w:rsidR="00330D53">
        <w:rPr>
          <w:rFonts w:ascii="Times New Roman" w:hAnsi="Times New Roman" w:cs="Times New Roman"/>
        </w:rPr>
        <w:t xml:space="preserve"> </w:t>
      </w:r>
    </w:p>
    <w:p w14:paraId="76249B4F" w14:textId="16651325" w:rsidR="003458F1" w:rsidRDefault="003458F1" w:rsidP="003458F1">
      <w:pPr>
        <w:rPr>
          <w:rFonts w:ascii="Times New Roman" w:hAnsi="Times New Roman" w:cs="Times New Roman"/>
          <w:b/>
          <w:noProof/>
        </w:rPr>
      </w:pPr>
      <w:r>
        <w:rPr>
          <w:rFonts w:ascii="Times New Roman" w:hAnsi="Times New Roman" w:cs="Times New Roman"/>
          <w:b/>
          <w:noProof/>
        </w:rPr>
        <w:t xml:space="preserve">    </w:t>
      </w:r>
      <w:r w:rsidR="005475B3">
        <w:rPr>
          <w:rFonts w:ascii="Times New Roman" w:hAnsi="Times New Roman" w:cs="Times New Roman"/>
          <w:b/>
          <w:noProof/>
        </w:rPr>
        <w:t xml:space="preserve"> </w:t>
      </w:r>
      <w:r w:rsidR="003F0EE8">
        <w:rPr>
          <w:rFonts w:ascii="Times New Roman" w:hAnsi="Times New Roman" w:cs="Times New Roman"/>
          <w:b/>
          <w:noProof/>
        </w:rPr>
        <w:t xml:space="preserve">       </w:t>
      </w:r>
      <w:r w:rsidR="005475B3">
        <w:rPr>
          <w:rFonts w:ascii="Times New Roman" w:hAnsi="Times New Roman" w:cs="Times New Roman"/>
          <w:b/>
          <w:noProof/>
        </w:rPr>
        <w:t xml:space="preserve">   </w:t>
      </w:r>
      <w:r>
        <w:rPr>
          <w:rFonts w:ascii="Times New Roman" w:hAnsi="Times New Roman" w:cs="Times New Roman"/>
          <w:b/>
          <w:noProof/>
        </w:rPr>
        <w:t xml:space="preserve">    </w:t>
      </w:r>
      <w:r>
        <w:rPr>
          <w:rFonts w:ascii="Times New Roman" w:hAnsi="Times New Roman" w:cs="Times New Roman"/>
          <w:b/>
          <w:noProof/>
        </w:rPr>
        <w:drawing>
          <wp:inline distT="0" distB="0" distL="0" distR="0" wp14:anchorId="1AAD90C6" wp14:editId="00BE0B8C">
            <wp:extent cx="4074523" cy="354303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rotWithShape="1">
                    <a:blip r:embed="rId27">
                      <a:extLst>
                        <a:ext uri="{28A0092B-C50C-407E-A947-70E740481C1C}">
                          <a14:useLocalDpi xmlns:a14="http://schemas.microsoft.com/office/drawing/2010/main" val="0"/>
                        </a:ext>
                      </a:extLst>
                    </a:blip>
                    <a:srcRect l="14872" t="12914" r="20807" b="11901"/>
                    <a:stretch/>
                  </pic:blipFill>
                  <pic:spPr bwMode="auto">
                    <a:xfrm>
                      <a:off x="0" y="0"/>
                      <a:ext cx="4077082" cy="3545262"/>
                    </a:xfrm>
                    <a:prstGeom prst="rect">
                      <a:avLst/>
                    </a:prstGeom>
                    <a:ln>
                      <a:noFill/>
                    </a:ln>
                    <a:extLst>
                      <a:ext uri="{53640926-AAD7-44d8-BBD7-CCE9431645EC}">
                        <a14:shadowObscured xmlns:a14="http://schemas.microsoft.com/office/drawing/2010/main"/>
                      </a:ext>
                    </a:extLst>
                  </pic:spPr>
                </pic:pic>
              </a:graphicData>
            </a:graphic>
          </wp:inline>
        </w:drawing>
      </w:r>
    </w:p>
    <w:p w14:paraId="75672DFE" w14:textId="77777777" w:rsidR="003458F1" w:rsidRDefault="003458F1" w:rsidP="003458F1">
      <w:pPr>
        <w:rPr>
          <w:rFonts w:ascii="Times New Roman" w:hAnsi="Times New Roman" w:cs="Times New Roman"/>
          <w:b/>
          <w:noProof/>
        </w:rPr>
      </w:pPr>
    </w:p>
    <w:p w14:paraId="0EF6FE8A" w14:textId="77777777" w:rsidR="00A83395" w:rsidRDefault="00652FF0" w:rsidP="001627E2">
      <w:pPr>
        <w:pStyle w:val="Caption"/>
        <w:rPr>
          <w:noProof/>
        </w:rPr>
      </w:pPr>
      <w:bookmarkStart w:id="910" w:name="_Toc333569048"/>
      <w:bookmarkStart w:id="911" w:name="_Toc333569273"/>
      <w:bookmarkStart w:id="912" w:name="_Toc333570827"/>
      <w:bookmarkStart w:id="913" w:name="_Toc333582210"/>
      <w:bookmarkStart w:id="914" w:name="_Toc333582330"/>
      <w:bookmarkStart w:id="915" w:name="_Toc333582742"/>
      <w:bookmarkStart w:id="916" w:name="_Toc333583112"/>
      <w:bookmarkStart w:id="917" w:name="_Toc333584081"/>
      <w:bookmarkStart w:id="918" w:name="_Toc333585215"/>
      <w:bookmarkStart w:id="919" w:name="_Toc333586767"/>
      <w:bookmarkStart w:id="920" w:name="_Toc333644466"/>
      <w:bookmarkStart w:id="921" w:name="_Toc333644760"/>
      <w:r>
        <w:rPr>
          <w:noProof/>
        </w:rPr>
        <w:t>Figure 3.1</w:t>
      </w:r>
      <w:r w:rsidR="0043060F">
        <w:rPr>
          <w:noProof/>
        </w:rPr>
        <w:t>.</w:t>
      </w:r>
      <w:r w:rsidR="003458F1">
        <w:rPr>
          <w:noProof/>
        </w:rPr>
        <w:t xml:space="preserve"> </w:t>
      </w:r>
      <w:r w:rsidR="003458F1" w:rsidRPr="0043060F">
        <w:rPr>
          <w:noProof/>
        </w:rPr>
        <w:t>Schematic diagram dep</w:t>
      </w:r>
      <w:r w:rsidR="00B23900" w:rsidRPr="0043060F">
        <w:rPr>
          <w:noProof/>
        </w:rPr>
        <w:t>ic</w:t>
      </w:r>
      <w:r w:rsidR="003458F1" w:rsidRPr="0043060F">
        <w:rPr>
          <w:noProof/>
        </w:rPr>
        <w:t xml:space="preserve">ting the treatment of primary </w:t>
      </w:r>
      <w:r w:rsidR="00B23900" w:rsidRPr="0043060F">
        <w:rPr>
          <w:noProof/>
        </w:rPr>
        <w:t xml:space="preserve">human </w:t>
      </w:r>
      <w:r w:rsidR="003458F1" w:rsidRPr="0043060F">
        <w:rPr>
          <w:noProof/>
        </w:rPr>
        <w:t>astrocytes with a monoclonal antibody agai</w:t>
      </w:r>
      <w:r w:rsidR="00B23900" w:rsidRPr="0043060F">
        <w:rPr>
          <w:noProof/>
        </w:rPr>
        <w:t>nst IGF1R (MAB391)</w:t>
      </w:r>
      <w:r w:rsidR="00B23900">
        <w:rPr>
          <w:noProof/>
        </w:rPr>
        <w:t>.</w:t>
      </w:r>
      <w:bookmarkEnd w:id="910"/>
      <w:bookmarkEnd w:id="911"/>
      <w:bookmarkEnd w:id="912"/>
      <w:bookmarkEnd w:id="913"/>
      <w:bookmarkEnd w:id="914"/>
      <w:bookmarkEnd w:id="915"/>
      <w:bookmarkEnd w:id="916"/>
      <w:bookmarkEnd w:id="917"/>
      <w:bookmarkEnd w:id="918"/>
      <w:bookmarkEnd w:id="919"/>
      <w:bookmarkEnd w:id="920"/>
      <w:bookmarkEnd w:id="921"/>
      <w:r w:rsidR="00B23900">
        <w:rPr>
          <w:noProof/>
        </w:rPr>
        <w:t xml:space="preserve"> </w:t>
      </w:r>
    </w:p>
    <w:p w14:paraId="58E957B7" w14:textId="348FB386" w:rsidR="003F0EE8" w:rsidRPr="004555D0" w:rsidRDefault="00B23900" w:rsidP="003E7BDB">
      <w:pPr>
        <w:spacing w:line="360" w:lineRule="auto"/>
        <w:jc w:val="both"/>
        <w:rPr>
          <w:rFonts w:ascii="Times New Roman" w:hAnsi="Times New Roman" w:cs="Times New Roman"/>
          <w:noProof/>
        </w:rPr>
      </w:pPr>
      <w:r>
        <w:rPr>
          <w:rFonts w:ascii="Times New Roman" w:hAnsi="Times New Roman" w:cs="Times New Roman"/>
          <w:noProof/>
        </w:rPr>
        <w:t>Astrocytes we</w:t>
      </w:r>
      <w:r w:rsidR="003458F1">
        <w:rPr>
          <w:rFonts w:ascii="Times New Roman" w:hAnsi="Times New Roman" w:cs="Times New Roman"/>
          <w:noProof/>
        </w:rPr>
        <w:t>re treated with MAB391 f</w:t>
      </w:r>
      <w:r w:rsidR="00974A52">
        <w:rPr>
          <w:rFonts w:ascii="Times New Roman" w:hAnsi="Times New Roman" w:cs="Times New Roman"/>
          <w:noProof/>
        </w:rPr>
        <w:t xml:space="preserve">or 24 hours and cells were </w:t>
      </w:r>
      <w:r w:rsidR="003458F1">
        <w:rPr>
          <w:rFonts w:ascii="Times New Roman" w:hAnsi="Times New Roman" w:cs="Times New Roman"/>
          <w:noProof/>
        </w:rPr>
        <w:t xml:space="preserve">either </w:t>
      </w:r>
      <w:r>
        <w:rPr>
          <w:rFonts w:ascii="Times New Roman" w:hAnsi="Times New Roman" w:cs="Times New Roman"/>
          <w:noProof/>
        </w:rPr>
        <w:t>harvested or media was exchanged</w:t>
      </w:r>
      <w:r w:rsidR="00974A52">
        <w:rPr>
          <w:rFonts w:ascii="Times New Roman" w:hAnsi="Times New Roman" w:cs="Times New Roman"/>
          <w:noProof/>
        </w:rPr>
        <w:t>. C</w:t>
      </w:r>
      <w:r w:rsidR="003458F1">
        <w:rPr>
          <w:rFonts w:ascii="Times New Roman" w:hAnsi="Times New Roman" w:cs="Times New Roman"/>
          <w:noProof/>
        </w:rPr>
        <w:t xml:space="preserve">ells </w:t>
      </w:r>
      <w:r w:rsidR="00974A52">
        <w:rPr>
          <w:rFonts w:ascii="Times New Roman" w:hAnsi="Times New Roman" w:cs="Times New Roman"/>
          <w:noProof/>
        </w:rPr>
        <w:t xml:space="preserve">were </w:t>
      </w:r>
      <w:r w:rsidR="003458F1">
        <w:rPr>
          <w:rFonts w:ascii="Times New Roman" w:hAnsi="Times New Roman" w:cs="Times New Roman"/>
          <w:noProof/>
        </w:rPr>
        <w:t xml:space="preserve">maintained in normal growth media for a further 72 hours </w:t>
      </w:r>
      <w:bookmarkStart w:id="922" w:name="_Toc328301141"/>
      <w:bookmarkStart w:id="923" w:name="_Toc329593434"/>
      <w:r w:rsidR="00974A52">
        <w:rPr>
          <w:rFonts w:ascii="Times New Roman" w:hAnsi="Times New Roman" w:cs="Times New Roman"/>
          <w:noProof/>
        </w:rPr>
        <w:t>before harvesting.</w:t>
      </w:r>
    </w:p>
    <w:p w14:paraId="0AD6ECD8" w14:textId="77777777" w:rsidR="003F0EE8" w:rsidRDefault="003F0EE8" w:rsidP="003F0EE8"/>
    <w:p w14:paraId="017550F3" w14:textId="6416201D" w:rsidR="001A257D" w:rsidRPr="00114855" w:rsidRDefault="00652FF0" w:rsidP="002D0408">
      <w:pPr>
        <w:pStyle w:val="Heading2"/>
      </w:pPr>
      <w:bookmarkStart w:id="924" w:name="_Toc331425933"/>
      <w:bookmarkStart w:id="925" w:name="_Toc331427114"/>
      <w:bookmarkStart w:id="926" w:name="_Toc331427486"/>
      <w:bookmarkStart w:id="927" w:name="_Toc331427628"/>
      <w:bookmarkStart w:id="928" w:name="_Toc332972632"/>
      <w:bookmarkStart w:id="929" w:name="_Toc333046911"/>
      <w:bookmarkStart w:id="930" w:name="_Toc333477258"/>
      <w:bookmarkStart w:id="931" w:name="_Toc333478028"/>
      <w:bookmarkStart w:id="932" w:name="_Toc333644928"/>
      <w:r>
        <w:t>3.4</w:t>
      </w:r>
      <w:r w:rsidR="00114855" w:rsidRPr="00114855">
        <w:t xml:space="preserve"> </w:t>
      </w:r>
      <w:r w:rsidR="001A257D" w:rsidRPr="00114855">
        <w:t>Results</w:t>
      </w:r>
      <w:bookmarkEnd w:id="922"/>
      <w:bookmarkEnd w:id="923"/>
      <w:bookmarkEnd w:id="924"/>
      <w:bookmarkEnd w:id="925"/>
      <w:bookmarkEnd w:id="926"/>
      <w:bookmarkEnd w:id="927"/>
      <w:bookmarkEnd w:id="928"/>
      <w:bookmarkEnd w:id="929"/>
      <w:bookmarkEnd w:id="930"/>
      <w:bookmarkEnd w:id="931"/>
      <w:bookmarkEnd w:id="932"/>
    </w:p>
    <w:p w14:paraId="0CAF3C98" w14:textId="77777777" w:rsidR="00DD5E24" w:rsidRPr="004975E3" w:rsidRDefault="00DD5E24">
      <w:pPr>
        <w:rPr>
          <w:rFonts w:ascii="Times New Roman" w:hAnsi="Times New Roman" w:cs="Times New Roman"/>
          <w:b/>
          <w:u w:val="single"/>
        </w:rPr>
      </w:pPr>
    </w:p>
    <w:p w14:paraId="60DA0984" w14:textId="1A43695C" w:rsidR="00915416" w:rsidRPr="004975E3" w:rsidRDefault="00652FF0" w:rsidP="002D0408">
      <w:pPr>
        <w:pStyle w:val="Heading3"/>
      </w:pPr>
      <w:bookmarkStart w:id="933" w:name="_Toc328301142"/>
      <w:bookmarkStart w:id="934" w:name="_Toc329593435"/>
      <w:bookmarkStart w:id="935" w:name="_Toc331425934"/>
      <w:bookmarkStart w:id="936" w:name="_Toc331427115"/>
      <w:bookmarkStart w:id="937" w:name="_Toc331427487"/>
      <w:bookmarkStart w:id="938" w:name="_Toc331427629"/>
      <w:bookmarkStart w:id="939" w:name="_Toc332972633"/>
      <w:bookmarkStart w:id="940" w:name="_Toc333046912"/>
      <w:bookmarkStart w:id="941" w:name="_Toc333477259"/>
      <w:bookmarkStart w:id="942" w:name="_Toc333478029"/>
      <w:bookmarkStart w:id="943" w:name="_Toc333644929"/>
      <w:r>
        <w:t>3.4</w:t>
      </w:r>
      <w:r w:rsidR="00114855">
        <w:t xml:space="preserve">.1 </w:t>
      </w:r>
      <w:r w:rsidR="00915416" w:rsidRPr="004975E3">
        <w:t>IGF1 signalling is present and functional in human astrocytes</w:t>
      </w:r>
      <w:bookmarkEnd w:id="933"/>
      <w:bookmarkEnd w:id="934"/>
      <w:bookmarkEnd w:id="935"/>
      <w:bookmarkEnd w:id="936"/>
      <w:bookmarkEnd w:id="937"/>
      <w:bookmarkEnd w:id="938"/>
      <w:bookmarkEnd w:id="939"/>
      <w:bookmarkEnd w:id="940"/>
      <w:bookmarkEnd w:id="941"/>
      <w:bookmarkEnd w:id="942"/>
      <w:bookmarkEnd w:id="943"/>
    </w:p>
    <w:p w14:paraId="02B021B9" w14:textId="77777777" w:rsidR="00D03EB4" w:rsidRPr="004975E3" w:rsidRDefault="00D03EB4" w:rsidP="00597933">
      <w:pPr>
        <w:rPr>
          <w:rFonts w:ascii="Times New Roman" w:hAnsi="Times New Roman" w:cs="Times New Roman"/>
          <w:b/>
        </w:rPr>
      </w:pPr>
    </w:p>
    <w:p w14:paraId="3D262902" w14:textId="12EDA8CF" w:rsidR="00D03EB4" w:rsidRDefault="00D03EB4" w:rsidP="00D03EB4">
      <w:pPr>
        <w:spacing w:line="360" w:lineRule="auto"/>
        <w:jc w:val="both"/>
        <w:rPr>
          <w:rFonts w:ascii="Times New Roman" w:hAnsi="Times New Roman" w:cs="Times New Roman"/>
          <w:noProof/>
        </w:rPr>
      </w:pPr>
      <w:r w:rsidRPr="004975E3">
        <w:rPr>
          <w:rFonts w:ascii="Times New Roman" w:hAnsi="Times New Roman" w:cs="Times New Roman"/>
          <w:noProof/>
        </w:rPr>
        <w:t>To demonstrate functional IGF</w:t>
      </w:r>
      <w:r w:rsidR="00857DC0">
        <w:rPr>
          <w:rFonts w:ascii="Times New Roman" w:hAnsi="Times New Roman" w:cs="Times New Roman"/>
          <w:noProof/>
        </w:rPr>
        <w:t>1</w:t>
      </w:r>
      <w:r w:rsidRPr="004975E3">
        <w:rPr>
          <w:rFonts w:ascii="Times New Roman" w:hAnsi="Times New Roman" w:cs="Times New Roman"/>
          <w:noProof/>
        </w:rPr>
        <w:t xml:space="preserve"> signalling, primary human astrocytes</w:t>
      </w:r>
      <w:r w:rsidR="00527343" w:rsidRPr="004975E3">
        <w:rPr>
          <w:rFonts w:ascii="Times New Roman" w:hAnsi="Times New Roman" w:cs="Times New Roman"/>
          <w:noProof/>
        </w:rPr>
        <w:t xml:space="preserve"> (ScienCell</w:t>
      </w:r>
      <w:r w:rsidR="004C0CEB">
        <w:rPr>
          <w:rFonts w:ascii="Times New Roman" w:hAnsi="Times New Roman" w:cs="Times New Roman"/>
          <w:noProof/>
        </w:rPr>
        <w:t xml:space="preserve"> </w:t>
      </w:r>
      <w:r w:rsidR="00202F9B">
        <w:rPr>
          <w:rFonts w:ascii="Times New Roman" w:hAnsi="Times New Roman" w:cs="Times New Roman"/>
          <w:noProof/>
        </w:rPr>
        <w:t>(1)</w:t>
      </w:r>
      <w:r w:rsidR="00527343" w:rsidRPr="004975E3">
        <w:rPr>
          <w:rFonts w:ascii="Times New Roman" w:hAnsi="Times New Roman" w:cs="Times New Roman"/>
          <w:noProof/>
        </w:rPr>
        <w:t>)</w:t>
      </w:r>
      <w:r w:rsidRPr="004975E3">
        <w:rPr>
          <w:rFonts w:ascii="Times New Roman" w:hAnsi="Times New Roman" w:cs="Times New Roman"/>
          <w:noProof/>
        </w:rPr>
        <w:t xml:space="preserve"> were</w:t>
      </w:r>
      <w:r w:rsidR="0026791A">
        <w:rPr>
          <w:rFonts w:ascii="Times New Roman" w:hAnsi="Times New Roman" w:cs="Times New Roman"/>
          <w:noProof/>
        </w:rPr>
        <w:t xml:space="preserve"> first</w:t>
      </w:r>
      <w:r w:rsidRPr="004975E3">
        <w:rPr>
          <w:rFonts w:ascii="Times New Roman" w:hAnsi="Times New Roman" w:cs="Times New Roman"/>
          <w:noProof/>
        </w:rPr>
        <w:t xml:space="preserve"> cultured in the presence and absence of serum</w:t>
      </w:r>
      <w:r w:rsidR="0026791A">
        <w:rPr>
          <w:rFonts w:ascii="Times New Roman" w:hAnsi="Times New Roman" w:cs="Times New Roman"/>
          <w:noProof/>
        </w:rPr>
        <w:t xml:space="preserve"> for 24 hours. Astrocytes were cultured in the absence of serum as this is considered a more physiologically relevant condition as discussed in 3.5.1. </w:t>
      </w:r>
      <w:r w:rsidRPr="004975E3">
        <w:rPr>
          <w:rFonts w:ascii="Times New Roman" w:hAnsi="Times New Roman" w:cs="Times New Roman"/>
          <w:noProof/>
        </w:rPr>
        <w:t xml:space="preserve"> </w:t>
      </w:r>
      <w:r w:rsidR="0026791A">
        <w:rPr>
          <w:rFonts w:ascii="Times New Roman" w:hAnsi="Times New Roman" w:cs="Times New Roman"/>
          <w:noProof/>
        </w:rPr>
        <w:t xml:space="preserve">Following this, cells were incubated with </w:t>
      </w:r>
      <w:r w:rsidR="00527343" w:rsidRPr="004975E3">
        <w:rPr>
          <w:rFonts w:ascii="Times New Roman" w:hAnsi="Times New Roman" w:cs="Times New Roman"/>
          <w:noProof/>
        </w:rPr>
        <w:t>10</w:t>
      </w:r>
      <w:r w:rsidR="00114855">
        <w:rPr>
          <w:rFonts w:ascii="Times New Roman" w:hAnsi="Times New Roman" w:cs="Times New Roman"/>
          <w:noProof/>
        </w:rPr>
        <w:t xml:space="preserve">nM </w:t>
      </w:r>
      <w:r w:rsidRPr="004975E3">
        <w:rPr>
          <w:rFonts w:ascii="Times New Roman" w:hAnsi="Times New Roman" w:cs="Times New Roman"/>
          <w:noProof/>
        </w:rPr>
        <w:t xml:space="preserve"> hum</w:t>
      </w:r>
      <w:r w:rsidR="00AC403D">
        <w:rPr>
          <w:rFonts w:ascii="Times New Roman" w:hAnsi="Times New Roman" w:cs="Times New Roman"/>
          <w:noProof/>
        </w:rPr>
        <w:t>an recombinant IGF1 for 2 hours and</w:t>
      </w:r>
      <w:r w:rsidRPr="004975E3">
        <w:rPr>
          <w:rFonts w:ascii="Times New Roman" w:hAnsi="Times New Roman" w:cs="Times New Roman"/>
          <w:noProof/>
        </w:rPr>
        <w:t xml:space="preserve"> harvested for protein and </w:t>
      </w:r>
      <w:r w:rsidR="00AB0487">
        <w:rPr>
          <w:rFonts w:ascii="Times New Roman" w:hAnsi="Times New Roman" w:cs="Times New Roman"/>
          <w:noProof/>
        </w:rPr>
        <w:t>western blotted</w:t>
      </w:r>
      <w:r w:rsidRPr="004975E3">
        <w:rPr>
          <w:rFonts w:ascii="Times New Roman" w:hAnsi="Times New Roman" w:cs="Times New Roman"/>
          <w:noProof/>
        </w:rPr>
        <w:t xml:space="preserve"> to identify activation at different points in the IGF</w:t>
      </w:r>
      <w:r w:rsidR="00527343" w:rsidRPr="004975E3">
        <w:rPr>
          <w:rFonts w:ascii="Times New Roman" w:hAnsi="Times New Roman" w:cs="Times New Roman"/>
          <w:noProof/>
        </w:rPr>
        <w:t>1</w:t>
      </w:r>
      <w:r w:rsidRPr="004975E3">
        <w:rPr>
          <w:rFonts w:ascii="Times New Roman" w:hAnsi="Times New Roman" w:cs="Times New Roman"/>
          <w:noProof/>
        </w:rPr>
        <w:t xml:space="preserve"> </w:t>
      </w:r>
      <w:r w:rsidR="00114855">
        <w:rPr>
          <w:rFonts w:ascii="Times New Roman" w:hAnsi="Times New Roman" w:cs="Times New Roman"/>
          <w:noProof/>
        </w:rPr>
        <w:t>si</w:t>
      </w:r>
      <w:r w:rsidR="00B83E66">
        <w:rPr>
          <w:rFonts w:ascii="Times New Roman" w:hAnsi="Times New Roman" w:cs="Times New Roman"/>
          <w:noProof/>
        </w:rPr>
        <w:t xml:space="preserve">gnalling pathway. </w:t>
      </w:r>
      <w:r w:rsidR="00DC3BF8">
        <w:rPr>
          <w:rFonts w:ascii="Times New Roman" w:hAnsi="Times New Roman" w:cs="Times New Roman"/>
          <w:noProof/>
        </w:rPr>
        <w:t>There was a</w:t>
      </w:r>
      <w:r w:rsidRPr="004975E3">
        <w:rPr>
          <w:rFonts w:ascii="Times New Roman" w:hAnsi="Times New Roman" w:cs="Times New Roman"/>
          <w:noProof/>
        </w:rPr>
        <w:t xml:space="preserve"> shift in total IRS1 and IRS2 in response to stimulation with IGF1 ligand</w:t>
      </w:r>
      <w:r w:rsidR="0066140E">
        <w:rPr>
          <w:rFonts w:ascii="Times New Roman" w:hAnsi="Times New Roman" w:cs="Times New Roman"/>
          <w:noProof/>
        </w:rPr>
        <w:t>, which likely represents a molecular weight change following phosphorylation</w:t>
      </w:r>
      <w:r w:rsidR="00DC3BF8">
        <w:rPr>
          <w:rFonts w:ascii="Times New Roman" w:hAnsi="Times New Roman" w:cs="Times New Roman"/>
          <w:noProof/>
        </w:rPr>
        <w:t xml:space="preserve"> (</w:t>
      </w:r>
      <w:r w:rsidR="00DC3BF8">
        <w:rPr>
          <w:rFonts w:ascii="Times New Roman" w:hAnsi="Times New Roman" w:cs="Times New Roman"/>
          <w:b/>
          <w:noProof/>
        </w:rPr>
        <w:t>figure 3.2</w:t>
      </w:r>
      <w:r w:rsidR="00DC3BF8">
        <w:rPr>
          <w:rFonts w:ascii="Times New Roman" w:hAnsi="Times New Roman" w:cs="Times New Roman"/>
          <w:noProof/>
        </w:rPr>
        <w:t>)</w:t>
      </w:r>
      <w:r w:rsidRPr="004975E3">
        <w:rPr>
          <w:rFonts w:ascii="Times New Roman" w:hAnsi="Times New Roman" w:cs="Times New Roman"/>
          <w:noProof/>
        </w:rPr>
        <w:t>. Signalling through IRS1/IRS2 is know</w:t>
      </w:r>
      <w:r w:rsidR="00F26280">
        <w:rPr>
          <w:rFonts w:ascii="Times New Roman" w:hAnsi="Times New Roman" w:cs="Times New Roman"/>
          <w:noProof/>
        </w:rPr>
        <w:t xml:space="preserve">n to result in </w:t>
      </w:r>
      <w:r w:rsidR="008812B5">
        <w:rPr>
          <w:rFonts w:ascii="Times New Roman" w:hAnsi="Times New Roman" w:cs="Times New Roman"/>
          <w:noProof/>
        </w:rPr>
        <w:t>phosphorylation</w:t>
      </w:r>
      <w:r w:rsidR="00F26280">
        <w:rPr>
          <w:rFonts w:ascii="Times New Roman" w:hAnsi="Times New Roman" w:cs="Times New Roman"/>
          <w:noProof/>
        </w:rPr>
        <w:t xml:space="preserve"> of Akt</w:t>
      </w:r>
      <w:r w:rsidR="008812B5">
        <w:rPr>
          <w:rFonts w:ascii="Times New Roman" w:hAnsi="Times New Roman" w:cs="Times New Roman"/>
          <w:noProof/>
        </w:rPr>
        <w:t>, resulting in its activation</w:t>
      </w:r>
      <w:r w:rsidR="00F26280">
        <w:rPr>
          <w:rFonts w:ascii="Times New Roman" w:hAnsi="Times New Roman" w:cs="Times New Roman"/>
          <w:noProof/>
        </w:rPr>
        <w:t>. Akt</w:t>
      </w:r>
      <w:r w:rsidR="008812B5">
        <w:rPr>
          <w:rFonts w:ascii="Times New Roman" w:hAnsi="Times New Roman" w:cs="Times New Roman"/>
          <w:noProof/>
        </w:rPr>
        <w:t xml:space="preserve"> activation wa</w:t>
      </w:r>
      <w:r w:rsidRPr="004975E3">
        <w:rPr>
          <w:rFonts w:ascii="Times New Roman" w:hAnsi="Times New Roman" w:cs="Times New Roman"/>
          <w:noProof/>
        </w:rPr>
        <w:t>s significantly increased</w:t>
      </w:r>
      <w:r w:rsidR="008812B5">
        <w:rPr>
          <w:rFonts w:ascii="Times New Roman" w:hAnsi="Times New Roman" w:cs="Times New Roman"/>
          <w:noProof/>
        </w:rPr>
        <w:t xml:space="preserve"> </w:t>
      </w:r>
      <w:r w:rsidR="00DC3BF8">
        <w:rPr>
          <w:rFonts w:ascii="Times New Roman" w:hAnsi="Times New Roman" w:cs="Times New Roman"/>
          <w:noProof/>
        </w:rPr>
        <w:t xml:space="preserve">(p&lt;0.001) </w:t>
      </w:r>
      <w:r w:rsidR="008812B5">
        <w:rPr>
          <w:rFonts w:ascii="Times New Roman" w:hAnsi="Times New Roman" w:cs="Times New Roman"/>
          <w:noProof/>
        </w:rPr>
        <w:t>when primary human astrocytes we</w:t>
      </w:r>
      <w:r w:rsidRPr="004975E3">
        <w:rPr>
          <w:rFonts w:ascii="Times New Roman" w:hAnsi="Times New Roman" w:cs="Times New Roman"/>
          <w:noProof/>
        </w:rPr>
        <w:t>re first cultured in serum free media for 24 hours followed by stimulation with IGF1 compared with normal s</w:t>
      </w:r>
      <w:r w:rsidR="008812B5">
        <w:rPr>
          <w:rFonts w:ascii="Times New Roman" w:hAnsi="Times New Roman" w:cs="Times New Roman"/>
          <w:noProof/>
        </w:rPr>
        <w:t>erum containing media and IGF1</w:t>
      </w:r>
      <w:r w:rsidR="00A96A8F">
        <w:rPr>
          <w:rFonts w:ascii="Times New Roman" w:hAnsi="Times New Roman" w:cs="Times New Roman"/>
          <w:noProof/>
        </w:rPr>
        <w:t xml:space="preserve"> </w:t>
      </w:r>
      <w:r w:rsidR="00A96A8F" w:rsidRPr="004975E3">
        <w:rPr>
          <w:rFonts w:ascii="Times New Roman" w:hAnsi="Times New Roman" w:cs="Times New Roman"/>
          <w:noProof/>
        </w:rPr>
        <w:t>(</w:t>
      </w:r>
      <w:r w:rsidR="00A96A8F" w:rsidRPr="004C0CEB">
        <w:rPr>
          <w:rFonts w:ascii="Times New Roman" w:hAnsi="Times New Roman" w:cs="Times New Roman"/>
          <w:b/>
          <w:noProof/>
        </w:rPr>
        <w:t>figure 3.2 A and B</w:t>
      </w:r>
      <w:r w:rsidR="00A96A8F" w:rsidRPr="004975E3">
        <w:rPr>
          <w:rFonts w:ascii="Times New Roman" w:hAnsi="Times New Roman" w:cs="Times New Roman"/>
          <w:noProof/>
        </w:rPr>
        <w:t>)</w:t>
      </w:r>
      <w:r w:rsidR="008812B5">
        <w:rPr>
          <w:rFonts w:ascii="Times New Roman" w:hAnsi="Times New Roman" w:cs="Times New Roman"/>
          <w:noProof/>
        </w:rPr>
        <w:t xml:space="preserve">. </w:t>
      </w:r>
      <w:r w:rsidRPr="004975E3">
        <w:rPr>
          <w:rFonts w:ascii="Times New Roman" w:hAnsi="Times New Roman" w:cs="Times New Roman"/>
          <w:noProof/>
        </w:rPr>
        <w:t>The IGF</w:t>
      </w:r>
      <w:r w:rsidR="00527343" w:rsidRPr="004975E3">
        <w:rPr>
          <w:rFonts w:ascii="Times New Roman" w:hAnsi="Times New Roman" w:cs="Times New Roman"/>
          <w:noProof/>
        </w:rPr>
        <w:t>1</w:t>
      </w:r>
      <w:r w:rsidRPr="004975E3">
        <w:rPr>
          <w:rFonts w:ascii="Times New Roman" w:hAnsi="Times New Roman" w:cs="Times New Roman"/>
          <w:noProof/>
        </w:rPr>
        <w:t xml:space="preserve"> signalling pathway diverges at the recepto</w:t>
      </w:r>
      <w:r w:rsidR="008812B5">
        <w:rPr>
          <w:rFonts w:ascii="Times New Roman" w:hAnsi="Times New Roman" w:cs="Times New Roman"/>
          <w:noProof/>
        </w:rPr>
        <w:t xml:space="preserve">r and </w:t>
      </w:r>
      <w:r w:rsidR="00974A52">
        <w:rPr>
          <w:rFonts w:ascii="Times New Roman" w:hAnsi="Times New Roman" w:cs="Times New Roman"/>
          <w:noProof/>
        </w:rPr>
        <w:t>ultimately activates</w:t>
      </w:r>
      <w:r w:rsidR="00AA1762">
        <w:rPr>
          <w:rFonts w:ascii="Times New Roman" w:hAnsi="Times New Roman" w:cs="Times New Roman"/>
          <w:noProof/>
        </w:rPr>
        <w:t xml:space="preserve"> </w:t>
      </w:r>
      <w:r w:rsidR="004C0CEB" w:rsidRPr="001322AB">
        <w:rPr>
          <w:rFonts w:ascii="Times New Roman" w:hAnsi="Times New Roman" w:cs="Times New Roman"/>
          <w:noProof/>
        </w:rPr>
        <w:t>P</w:t>
      </w:r>
      <w:r w:rsidR="00DA154D" w:rsidRPr="001322AB">
        <w:rPr>
          <w:rFonts w:ascii="Times New Roman" w:hAnsi="Times New Roman" w:cs="Times New Roman"/>
          <w:noProof/>
        </w:rPr>
        <w:t>44/42</w:t>
      </w:r>
      <w:r w:rsidR="005314DA">
        <w:rPr>
          <w:rFonts w:ascii="Times New Roman" w:hAnsi="Times New Roman" w:cs="Times New Roman"/>
          <w:noProof/>
        </w:rPr>
        <w:t xml:space="preserve"> MAPK</w:t>
      </w:r>
      <w:r w:rsidR="008812B5" w:rsidRPr="001322AB">
        <w:rPr>
          <w:rFonts w:ascii="Times New Roman" w:hAnsi="Times New Roman" w:cs="Times New Roman"/>
          <w:noProof/>
        </w:rPr>
        <w:t xml:space="preserve"> </w:t>
      </w:r>
      <w:r w:rsidR="001322AB" w:rsidRPr="001322AB">
        <w:rPr>
          <w:rFonts w:ascii="Times New Roman" w:hAnsi="Times New Roman" w:cs="Times New Roman"/>
          <w:noProof/>
        </w:rPr>
        <w:t>and</w:t>
      </w:r>
      <w:r w:rsidR="001322AB">
        <w:rPr>
          <w:rFonts w:ascii="Times New Roman" w:hAnsi="Times New Roman" w:cs="Times New Roman"/>
          <w:noProof/>
          <w:color w:val="FF0000"/>
        </w:rPr>
        <w:t xml:space="preserve"> </w:t>
      </w:r>
      <w:r w:rsidR="00F26280">
        <w:rPr>
          <w:rFonts w:ascii="Times New Roman" w:hAnsi="Times New Roman" w:cs="Times New Roman"/>
          <w:noProof/>
        </w:rPr>
        <w:t>Akt</w:t>
      </w:r>
      <w:r w:rsidRPr="004975E3">
        <w:rPr>
          <w:rFonts w:ascii="Times New Roman" w:hAnsi="Times New Roman" w:cs="Times New Roman"/>
          <w:noProof/>
        </w:rPr>
        <w:t>. The signifi</w:t>
      </w:r>
      <w:r w:rsidR="00F26280">
        <w:rPr>
          <w:rFonts w:ascii="Times New Roman" w:hAnsi="Times New Roman" w:cs="Times New Roman"/>
          <w:noProof/>
        </w:rPr>
        <w:t>cant activation of Akt</w:t>
      </w:r>
      <w:r w:rsidRPr="004975E3">
        <w:rPr>
          <w:rFonts w:ascii="Times New Roman" w:hAnsi="Times New Roman" w:cs="Times New Roman"/>
          <w:noProof/>
        </w:rPr>
        <w:t xml:space="preserve"> f</w:t>
      </w:r>
      <w:r w:rsidR="002C0EA0">
        <w:rPr>
          <w:rFonts w:ascii="Times New Roman" w:hAnsi="Times New Roman" w:cs="Times New Roman"/>
          <w:noProof/>
        </w:rPr>
        <w:t>ollowing s</w:t>
      </w:r>
      <w:r w:rsidR="00DC3BF8">
        <w:rPr>
          <w:rFonts w:ascii="Times New Roman" w:hAnsi="Times New Roman" w:cs="Times New Roman"/>
          <w:noProof/>
        </w:rPr>
        <w:t>t</w:t>
      </w:r>
      <w:r w:rsidR="002C0EA0">
        <w:rPr>
          <w:rFonts w:ascii="Times New Roman" w:hAnsi="Times New Roman" w:cs="Times New Roman"/>
          <w:noProof/>
        </w:rPr>
        <w:t>i</w:t>
      </w:r>
      <w:r w:rsidR="00DC3BF8">
        <w:rPr>
          <w:rFonts w:ascii="Times New Roman" w:hAnsi="Times New Roman" w:cs="Times New Roman"/>
          <w:noProof/>
        </w:rPr>
        <w:t>mulation with IGF1 wa</w:t>
      </w:r>
      <w:r w:rsidRPr="004975E3">
        <w:rPr>
          <w:rFonts w:ascii="Times New Roman" w:hAnsi="Times New Roman" w:cs="Times New Roman"/>
          <w:noProof/>
        </w:rPr>
        <w:t>s not as appa</w:t>
      </w:r>
      <w:r w:rsidR="00DA154D">
        <w:rPr>
          <w:rFonts w:ascii="Times New Roman" w:hAnsi="Times New Roman" w:cs="Times New Roman"/>
          <w:noProof/>
        </w:rPr>
        <w:t>rent at the level of phospho P44/42</w:t>
      </w:r>
      <w:r w:rsidR="005314DA">
        <w:rPr>
          <w:rFonts w:ascii="Times New Roman" w:hAnsi="Times New Roman" w:cs="Times New Roman"/>
          <w:noProof/>
        </w:rPr>
        <w:t xml:space="preserve"> MAPK</w:t>
      </w:r>
      <w:r w:rsidRPr="004975E3">
        <w:rPr>
          <w:rFonts w:ascii="Times New Roman" w:hAnsi="Times New Roman" w:cs="Times New Roman"/>
          <w:noProof/>
        </w:rPr>
        <w:t>. This may indi</w:t>
      </w:r>
      <w:r w:rsidR="00F26280">
        <w:rPr>
          <w:rFonts w:ascii="Times New Roman" w:hAnsi="Times New Roman" w:cs="Times New Roman"/>
          <w:noProof/>
        </w:rPr>
        <w:t>cate the preferential use of Akt</w:t>
      </w:r>
      <w:r w:rsidRPr="004975E3">
        <w:rPr>
          <w:rFonts w:ascii="Times New Roman" w:hAnsi="Times New Roman" w:cs="Times New Roman"/>
          <w:noProof/>
        </w:rPr>
        <w:t xml:space="preserve"> to alleviate stress</w:t>
      </w:r>
      <w:r w:rsidR="001322AB">
        <w:rPr>
          <w:rFonts w:ascii="Times New Roman" w:hAnsi="Times New Roman" w:cs="Times New Roman"/>
          <w:noProof/>
        </w:rPr>
        <w:t xml:space="preserve"> induced by removing nutrients/ </w:t>
      </w:r>
      <w:r w:rsidRPr="004975E3">
        <w:rPr>
          <w:rFonts w:ascii="Times New Roman" w:hAnsi="Times New Roman" w:cs="Times New Roman"/>
          <w:noProof/>
        </w:rPr>
        <w:t>growth factors from the media.</w:t>
      </w:r>
    </w:p>
    <w:p w14:paraId="175149AA" w14:textId="77777777" w:rsidR="00333077" w:rsidRDefault="00333077" w:rsidP="00D03EB4">
      <w:pPr>
        <w:spacing w:line="360" w:lineRule="auto"/>
        <w:jc w:val="both"/>
        <w:rPr>
          <w:rFonts w:ascii="Times New Roman" w:hAnsi="Times New Roman" w:cs="Times New Roman"/>
          <w:noProof/>
        </w:rPr>
      </w:pPr>
    </w:p>
    <w:p w14:paraId="2608F983" w14:textId="4158E9C3" w:rsidR="00587E8B" w:rsidRPr="00587E8B" w:rsidRDefault="00587E8B" w:rsidP="00D03EB4">
      <w:pPr>
        <w:spacing w:line="360" w:lineRule="auto"/>
        <w:jc w:val="both"/>
        <w:rPr>
          <w:rFonts w:ascii="Times New Roman" w:hAnsi="Times New Roman" w:cs="Times New Roman"/>
          <w:b/>
          <w:noProof/>
          <w:sz w:val="40"/>
          <w:szCs w:val="40"/>
        </w:rPr>
      </w:pPr>
      <w:r w:rsidRPr="00587E8B">
        <w:rPr>
          <w:rFonts w:ascii="Times New Roman" w:hAnsi="Times New Roman" w:cs="Times New Roman"/>
          <w:b/>
          <w:noProof/>
          <w:sz w:val="40"/>
          <w:szCs w:val="40"/>
        </w:rPr>
        <w:t>A.</w:t>
      </w:r>
    </w:p>
    <w:p w14:paraId="1D5579A7" w14:textId="078BE952" w:rsidR="00A12E70" w:rsidRDefault="006A0286" w:rsidP="00D03EB4">
      <w:pPr>
        <w:spacing w:line="360" w:lineRule="auto"/>
        <w:jc w:val="both"/>
        <w:rPr>
          <w:rFonts w:ascii="Times New Roman" w:hAnsi="Times New Roman" w:cs="Times New Roman"/>
          <w:noProof/>
        </w:rPr>
      </w:pPr>
      <w:r>
        <w:rPr>
          <w:rFonts w:ascii="Times New Roman" w:hAnsi="Times New Roman" w:cs="Times New Roman"/>
          <w:noProof/>
        </w:rPr>
        <w:t xml:space="preserve">   </w:t>
      </w:r>
      <w:r w:rsidR="00D30783">
        <w:rPr>
          <w:rFonts w:ascii="Times New Roman" w:hAnsi="Times New Roman" w:cs="Times New Roman"/>
          <w:noProof/>
        </w:rPr>
        <w:t xml:space="preserve">     </w:t>
      </w:r>
      <w:r w:rsidR="00A12E70">
        <w:rPr>
          <w:rFonts w:ascii="Times New Roman" w:hAnsi="Times New Roman" w:cs="Times New Roman"/>
          <w:noProof/>
        </w:rPr>
        <w:drawing>
          <wp:inline distT="0" distB="0" distL="0" distR="0" wp14:anchorId="7BAED517" wp14:editId="402038E1">
            <wp:extent cx="5073421" cy="5353050"/>
            <wp:effectExtent l="0" t="0" r="698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rotWithShape="1">
                    <a:blip r:embed="rId28">
                      <a:extLst>
                        <a:ext uri="{28A0092B-C50C-407E-A947-70E740481C1C}">
                          <a14:useLocalDpi xmlns:a14="http://schemas.microsoft.com/office/drawing/2010/main" val="0"/>
                        </a:ext>
                      </a:extLst>
                    </a:blip>
                    <a:srcRect t="5794" r="34294" b="6563"/>
                    <a:stretch/>
                  </pic:blipFill>
                  <pic:spPr bwMode="auto">
                    <a:xfrm>
                      <a:off x="0" y="0"/>
                      <a:ext cx="5075734" cy="5355491"/>
                    </a:xfrm>
                    <a:prstGeom prst="rect">
                      <a:avLst/>
                    </a:prstGeom>
                    <a:ln>
                      <a:noFill/>
                    </a:ln>
                    <a:extLst>
                      <a:ext uri="{53640926-AAD7-44d8-BBD7-CCE9431645EC}">
                        <a14:shadowObscured xmlns:a14="http://schemas.microsoft.com/office/drawing/2010/main"/>
                      </a:ext>
                    </a:extLst>
                  </pic:spPr>
                </pic:pic>
              </a:graphicData>
            </a:graphic>
          </wp:inline>
        </w:drawing>
      </w:r>
    </w:p>
    <w:p w14:paraId="1C0B940C" w14:textId="77777777" w:rsidR="00587E8B" w:rsidRDefault="00A12E70" w:rsidP="00D03EB4">
      <w:pPr>
        <w:spacing w:line="360" w:lineRule="auto"/>
        <w:jc w:val="both"/>
        <w:rPr>
          <w:rFonts w:ascii="Times New Roman" w:hAnsi="Times New Roman" w:cs="Times New Roman"/>
          <w:noProof/>
        </w:rPr>
      </w:pPr>
      <w:r>
        <w:rPr>
          <w:rFonts w:ascii="Times New Roman" w:hAnsi="Times New Roman" w:cs="Times New Roman"/>
          <w:noProof/>
        </w:rPr>
        <w:t xml:space="preserve">                   </w:t>
      </w:r>
    </w:p>
    <w:p w14:paraId="16639ADD" w14:textId="77777777" w:rsidR="00587E8B" w:rsidRDefault="00587E8B" w:rsidP="00D03EB4">
      <w:pPr>
        <w:spacing w:line="360" w:lineRule="auto"/>
        <w:jc w:val="both"/>
        <w:rPr>
          <w:rFonts w:ascii="Times New Roman" w:hAnsi="Times New Roman" w:cs="Times New Roman"/>
          <w:noProof/>
        </w:rPr>
      </w:pPr>
    </w:p>
    <w:p w14:paraId="1267ABBB" w14:textId="77777777" w:rsidR="00587E8B" w:rsidRDefault="00587E8B" w:rsidP="00D03EB4">
      <w:pPr>
        <w:spacing w:line="360" w:lineRule="auto"/>
        <w:jc w:val="both"/>
        <w:rPr>
          <w:rFonts w:ascii="Times New Roman" w:hAnsi="Times New Roman" w:cs="Times New Roman"/>
          <w:noProof/>
        </w:rPr>
      </w:pPr>
    </w:p>
    <w:p w14:paraId="468039DA" w14:textId="77777777" w:rsidR="005475B3" w:rsidRDefault="00587E8B" w:rsidP="00D03EB4">
      <w:pPr>
        <w:spacing w:line="360" w:lineRule="auto"/>
        <w:jc w:val="both"/>
        <w:rPr>
          <w:rFonts w:ascii="Times New Roman" w:hAnsi="Times New Roman" w:cs="Times New Roman"/>
          <w:noProof/>
        </w:rPr>
      </w:pPr>
      <w:r>
        <w:rPr>
          <w:rFonts w:ascii="Times New Roman" w:hAnsi="Times New Roman" w:cs="Times New Roman"/>
          <w:b/>
          <w:noProof/>
          <w:sz w:val="40"/>
          <w:szCs w:val="40"/>
        </w:rPr>
        <w:t>B.</w:t>
      </w:r>
      <w:r w:rsidR="00A12E70">
        <w:rPr>
          <w:rFonts w:ascii="Times New Roman" w:hAnsi="Times New Roman" w:cs="Times New Roman"/>
          <w:noProof/>
        </w:rPr>
        <w:t xml:space="preserve">   </w:t>
      </w:r>
      <w:r w:rsidR="00A95C51">
        <w:rPr>
          <w:rFonts w:ascii="Times New Roman" w:hAnsi="Times New Roman" w:cs="Times New Roman"/>
          <w:noProof/>
        </w:rPr>
        <w:t xml:space="preserve">             </w:t>
      </w:r>
    </w:p>
    <w:p w14:paraId="6C5559E4" w14:textId="0A69FE5B" w:rsidR="00A95C51" w:rsidRDefault="00B83E66" w:rsidP="00D03EB4">
      <w:pPr>
        <w:spacing w:line="360" w:lineRule="auto"/>
        <w:jc w:val="both"/>
        <w:rPr>
          <w:rFonts w:ascii="Times New Roman" w:hAnsi="Times New Roman" w:cs="Times New Roman"/>
          <w:noProof/>
        </w:rPr>
      </w:pPr>
      <w:r>
        <w:rPr>
          <w:rFonts w:ascii="Times New Roman" w:hAnsi="Times New Roman" w:cs="Times New Roman"/>
          <w:noProof/>
        </w:rPr>
        <w:t xml:space="preserve"> </w:t>
      </w:r>
      <w:r w:rsidR="00A95C51">
        <w:rPr>
          <w:rFonts w:ascii="Times New Roman" w:hAnsi="Times New Roman" w:cs="Times New Roman"/>
          <w:noProof/>
        </w:rPr>
        <w:t xml:space="preserve">    </w:t>
      </w:r>
      <w:r w:rsidR="00A95C51">
        <w:rPr>
          <w:rFonts w:ascii="Times New Roman" w:hAnsi="Times New Roman" w:cs="Times New Roman"/>
          <w:noProof/>
        </w:rPr>
        <w:drawing>
          <wp:inline distT="0" distB="0" distL="0" distR="0" wp14:anchorId="6962B495" wp14:editId="75C4628A">
            <wp:extent cx="2523714" cy="26738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29">
                      <a:extLst>
                        <a:ext uri="{28A0092B-C50C-407E-A947-70E740481C1C}">
                          <a14:useLocalDpi xmlns:a14="http://schemas.microsoft.com/office/drawing/2010/main" val="0"/>
                        </a:ext>
                      </a:extLst>
                    </a:blip>
                    <a:srcRect l="27170" t="15069" r="28185" b="26463"/>
                    <a:stretch/>
                  </pic:blipFill>
                  <pic:spPr bwMode="auto">
                    <a:xfrm>
                      <a:off x="0" y="0"/>
                      <a:ext cx="2527127" cy="2677486"/>
                    </a:xfrm>
                    <a:prstGeom prst="rect">
                      <a:avLst/>
                    </a:prstGeom>
                    <a:ln>
                      <a:noFill/>
                    </a:ln>
                    <a:extLst>
                      <a:ext uri="{53640926-AAD7-44d8-BBD7-CCE9431645EC}">
                        <a14:shadowObscured xmlns:a14="http://schemas.microsoft.com/office/drawing/2010/main"/>
                      </a:ext>
                    </a:extLst>
                  </pic:spPr>
                </pic:pic>
              </a:graphicData>
            </a:graphic>
          </wp:inline>
        </w:drawing>
      </w:r>
      <w:r w:rsidR="00A95C51">
        <w:rPr>
          <w:rFonts w:ascii="Times New Roman" w:hAnsi="Times New Roman" w:cs="Times New Roman"/>
          <w:noProof/>
        </w:rPr>
        <w:t xml:space="preserve">     </w:t>
      </w:r>
      <w:r w:rsidR="00A95C51">
        <w:rPr>
          <w:rFonts w:ascii="Times New Roman" w:hAnsi="Times New Roman" w:cs="Times New Roman"/>
          <w:noProof/>
        </w:rPr>
        <w:drawing>
          <wp:inline distT="0" distB="0" distL="0" distR="0" wp14:anchorId="561043BF" wp14:editId="59E1561D">
            <wp:extent cx="2424368" cy="2736084"/>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rotWithShape="1">
                    <a:blip r:embed="rId30">
                      <a:extLst>
                        <a:ext uri="{28A0092B-C50C-407E-A947-70E740481C1C}">
                          <a14:useLocalDpi xmlns:a14="http://schemas.microsoft.com/office/drawing/2010/main" val="0"/>
                        </a:ext>
                      </a:extLst>
                    </a:blip>
                    <a:srcRect l="24869" t="13990" r="31950" b="22739"/>
                    <a:stretch/>
                  </pic:blipFill>
                  <pic:spPr bwMode="auto">
                    <a:xfrm>
                      <a:off x="0" y="0"/>
                      <a:ext cx="2429858" cy="2742280"/>
                    </a:xfrm>
                    <a:prstGeom prst="rect">
                      <a:avLst/>
                    </a:prstGeom>
                    <a:ln>
                      <a:noFill/>
                    </a:ln>
                    <a:extLst>
                      <a:ext uri="{53640926-AAD7-44d8-BBD7-CCE9431645EC}">
                        <a14:shadowObscured xmlns:a14="http://schemas.microsoft.com/office/drawing/2010/main"/>
                      </a:ext>
                    </a:extLst>
                  </pic:spPr>
                </pic:pic>
              </a:graphicData>
            </a:graphic>
          </wp:inline>
        </w:drawing>
      </w:r>
    </w:p>
    <w:p w14:paraId="0B0CA925" w14:textId="69A58831" w:rsidR="00587E8B" w:rsidRDefault="00587E8B" w:rsidP="00D03EB4">
      <w:pPr>
        <w:spacing w:line="360" w:lineRule="auto"/>
        <w:jc w:val="both"/>
        <w:rPr>
          <w:rFonts w:ascii="Times New Roman" w:hAnsi="Times New Roman" w:cs="Times New Roman"/>
          <w:noProof/>
        </w:rPr>
      </w:pPr>
      <w:r>
        <w:rPr>
          <w:rFonts w:ascii="Times New Roman" w:hAnsi="Times New Roman" w:cs="Times New Roman"/>
          <w:noProof/>
        </w:rPr>
        <w:t xml:space="preserve">                 </w:t>
      </w:r>
      <w:r w:rsidR="00F768CD">
        <w:rPr>
          <w:rFonts w:ascii="Times New Roman" w:hAnsi="Times New Roman" w:cs="Times New Roman"/>
          <w:noProof/>
        </w:rPr>
        <w:t xml:space="preserve">        </w:t>
      </w:r>
      <w:r>
        <w:rPr>
          <w:rFonts w:ascii="Times New Roman" w:hAnsi="Times New Roman" w:cs="Times New Roman"/>
          <w:noProof/>
        </w:rPr>
        <w:t xml:space="preserve">   </w:t>
      </w:r>
    </w:p>
    <w:p w14:paraId="04FC3E8E" w14:textId="77777777" w:rsidR="00A83395" w:rsidRPr="006D584E" w:rsidRDefault="00652FF0" w:rsidP="001627E2">
      <w:pPr>
        <w:pStyle w:val="Caption"/>
      </w:pPr>
      <w:bookmarkStart w:id="944" w:name="_Toc333569049"/>
      <w:bookmarkStart w:id="945" w:name="_Toc333569274"/>
      <w:bookmarkStart w:id="946" w:name="_Toc333570828"/>
      <w:bookmarkStart w:id="947" w:name="_Toc333582211"/>
      <w:bookmarkStart w:id="948" w:name="_Toc333582331"/>
      <w:bookmarkStart w:id="949" w:name="_Toc333582743"/>
      <w:bookmarkStart w:id="950" w:name="_Toc333583113"/>
      <w:bookmarkStart w:id="951" w:name="_Toc333584082"/>
      <w:bookmarkStart w:id="952" w:name="_Toc333585216"/>
      <w:bookmarkStart w:id="953" w:name="_Toc333586768"/>
      <w:bookmarkStart w:id="954" w:name="_Toc333644467"/>
      <w:bookmarkStart w:id="955" w:name="_Toc333644761"/>
      <w:r w:rsidRPr="006D584E">
        <w:t>Figure 3.2</w:t>
      </w:r>
      <w:r w:rsidR="00836455" w:rsidRPr="006D584E">
        <w:t>.</w:t>
      </w:r>
      <w:r w:rsidR="00F26280" w:rsidRPr="006D584E">
        <w:t xml:space="preserve"> Characterisation of the</w:t>
      </w:r>
      <w:r w:rsidR="00836455" w:rsidRPr="006D584E">
        <w:t xml:space="preserve"> IGF1</w:t>
      </w:r>
      <w:r w:rsidR="00F26280" w:rsidRPr="006D584E">
        <w:t xml:space="preserve"> signalling pathway</w:t>
      </w:r>
      <w:r w:rsidR="00836455" w:rsidRPr="006D584E">
        <w:t xml:space="preserve"> in</w:t>
      </w:r>
      <w:r w:rsidR="00F26280" w:rsidRPr="006D584E">
        <w:t xml:space="preserve"> human primary</w:t>
      </w:r>
      <w:r w:rsidR="00836455" w:rsidRPr="006D584E">
        <w:t xml:space="preserve"> astrocytes.</w:t>
      </w:r>
      <w:bookmarkEnd w:id="944"/>
      <w:bookmarkEnd w:id="945"/>
      <w:bookmarkEnd w:id="946"/>
      <w:bookmarkEnd w:id="947"/>
      <w:bookmarkEnd w:id="948"/>
      <w:bookmarkEnd w:id="949"/>
      <w:bookmarkEnd w:id="950"/>
      <w:bookmarkEnd w:id="951"/>
      <w:bookmarkEnd w:id="952"/>
      <w:bookmarkEnd w:id="953"/>
      <w:bookmarkEnd w:id="954"/>
      <w:bookmarkEnd w:id="955"/>
      <w:r w:rsidR="00836455" w:rsidRPr="006D584E">
        <w:t xml:space="preserve"> </w:t>
      </w:r>
    </w:p>
    <w:p w14:paraId="47CBB346" w14:textId="5BF87F0A" w:rsidR="0061077F" w:rsidRDefault="00F26280" w:rsidP="005D2C75">
      <w:pPr>
        <w:spacing w:line="360" w:lineRule="auto"/>
        <w:jc w:val="both"/>
        <w:rPr>
          <w:rFonts w:ascii="Times New Roman" w:hAnsi="Times New Roman" w:cs="Times New Roman"/>
        </w:rPr>
      </w:pPr>
      <w:r w:rsidRPr="00A96A8F">
        <w:rPr>
          <w:rFonts w:ascii="Times New Roman" w:hAnsi="Times New Roman" w:cs="Times New Roman"/>
          <w:b/>
        </w:rPr>
        <w:t>A</w:t>
      </w:r>
      <w:r w:rsidR="00AB0487">
        <w:rPr>
          <w:rFonts w:ascii="Times New Roman" w:hAnsi="Times New Roman" w:cs="Times New Roman"/>
        </w:rPr>
        <w:t>. Western bloting</w:t>
      </w:r>
      <w:r w:rsidR="00836455">
        <w:rPr>
          <w:rFonts w:ascii="Times New Roman" w:hAnsi="Times New Roman" w:cs="Times New Roman"/>
        </w:rPr>
        <w:t xml:space="preserve"> of </w:t>
      </w:r>
      <w:r>
        <w:rPr>
          <w:rFonts w:ascii="Times New Roman" w:hAnsi="Times New Roman" w:cs="Times New Roman"/>
        </w:rPr>
        <w:t xml:space="preserve">cell lysates from human primary </w:t>
      </w:r>
      <w:r w:rsidR="00836455">
        <w:rPr>
          <w:rFonts w:ascii="Times New Roman" w:hAnsi="Times New Roman" w:cs="Times New Roman"/>
        </w:rPr>
        <w:t>astrocytes cultured in the presence or absence of serum</w:t>
      </w:r>
      <w:r>
        <w:rPr>
          <w:rFonts w:ascii="Times New Roman" w:hAnsi="Times New Roman" w:cs="Times New Roman"/>
        </w:rPr>
        <w:t xml:space="preserve"> with and without </w:t>
      </w:r>
      <w:r w:rsidR="00E50600">
        <w:rPr>
          <w:rFonts w:ascii="Times New Roman" w:hAnsi="Times New Roman" w:cs="Times New Roman"/>
        </w:rPr>
        <w:t>10nM recombin</w:t>
      </w:r>
      <w:r w:rsidR="006642A0">
        <w:rPr>
          <w:rFonts w:ascii="Times New Roman" w:hAnsi="Times New Roman" w:cs="Times New Roman"/>
        </w:rPr>
        <w:t xml:space="preserve">ant human IGF1. Representative </w:t>
      </w:r>
      <w:r w:rsidR="00AB0487">
        <w:rPr>
          <w:rFonts w:ascii="Times New Roman" w:hAnsi="Times New Roman" w:cs="Times New Roman"/>
        </w:rPr>
        <w:t>western blots</w:t>
      </w:r>
      <w:r w:rsidR="00E50600">
        <w:rPr>
          <w:rFonts w:ascii="Times New Roman" w:hAnsi="Times New Roman" w:cs="Times New Roman"/>
        </w:rPr>
        <w:t xml:space="preserve"> probed with antibodies again</w:t>
      </w:r>
      <w:r w:rsidR="001701E9">
        <w:rPr>
          <w:rFonts w:ascii="Times New Roman" w:hAnsi="Times New Roman" w:cs="Times New Roman"/>
        </w:rPr>
        <w:t>st IRβ, IGF1Rβ, IRS1, IRS2, pAkt</w:t>
      </w:r>
      <w:r w:rsidR="00A96A8F">
        <w:rPr>
          <w:rFonts w:ascii="Times New Roman" w:hAnsi="Times New Roman" w:cs="Times New Roman"/>
        </w:rPr>
        <w:t xml:space="preserve"> (s473)</w:t>
      </w:r>
      <w:r w:rsidR="001701E9">
        <w:rPr>
          <w:rFonts w:ascii="Times New Roman" w:hAnsi="Times New Roman" w:cs="Times New Roman"/>
        </w:rPr>
        <w:t>, Total Akt</w:t>
      </w:r>
      <w:r w:rsidR="00E50600">
        <w:rPr>
          <w:rFonts w:ascii="Times New Roman" w:hAnsi="Times New Roman" w:cs="Times New Roman"/>
        </w:rPr>
        <w:t xml:space="preserve">, </w:t>
      </w:r>
      <w:r w:rsidR="004628A5">
        <w:rPr>
          <w:rFonts w:ascii="Times New Roman" w:hAnsi="Times New Roman" w:cs="Times New Roman"/>
        </w:rPr>
        <w:t>p</w:t>
      </w:r>
      <w:r w:rsidR="00E50600">
        <w:rPr>
          <w:rFonts w:ascii="Times New Roman" w:hAnsi="Times New Roman" w:cs="Times New Roman"/>
        </w:rPr>
        <w:t>P44/42 MAPK and P44/42 MAPK are</w:t>
      </w:r>
      <w:r w:rsidR="001701E9">
        <w:rPr>
          <w:rFonts w:ascii="Times New Roman" w:hAnsi="Times New Roman" w:cs="Times New Roman"/>
        </w:rPr>
        <w:t xml:space="preserve"> shown, with α-tubulin used as loading control (</w:t>
      </w:r>
      <w:r w:rsidR="00E50600">
        <w:rPr>
          <w:rFonts w:ascii="Times New Roman" w:hAnsi="Times New Roman" w:cs="Times New Roman"/>
        </w:rPr>
        <w:t>re</w:t>
      </w:r>
      <w:r w:rsidR="001701E9">
        <w:rPr>
          <w:rFonts w:ascii="Times New Roman" w:hAnsi="Times New Roman" w:cs="Times New Roman"/>
        </w:rPr>
        <w:t xml:space="preserve">presentative loading control </w:t>
      </w:r>
      <w:r w:rsidR="00E50600">
        <w:rPr>
          <w:rFonts w:ascii="Times New Roman" w:hAnsi="Times New Roman" w:cs="Times New Roman"/>
        </w:rPr>
        <w:t>shown</w:t>
      </w:r>
      <w:r w:rsidR="001701E9">
        <w:rPr>
          <w:rFonts w:ascii="Times New Roman" w:hAnsi="Times New Roman" w:cs="Times New Roman"/>
        </w:rPr>
        <w:t>)</w:t>
      </w:r>
      <w:r w:rsidR="00E50600">
        <w:rPr>
          <w:rFonts w:ascii="Times New Roman" w:hAnsi="Times New Roman" w:cs="Times New Roman"/>
        </w:rPr>
        <w:t xml:space="preserve">. Molecular weight markers are indicated (kDa) </w:t>
      </w:r>
      <w:r w:rsidR="00E50600" w:rsidRPr="00A96A8F">
        <w:rPr>
          <w:rFonts w:ascii="Times New Roman" w:hAnsi="Times New Roman" w:cs="Times New Roman"/>
          <w:b/>
        </w:rPr>
        <w:t>B</w:t>
      </w:r>
      <w:r w:rsidR="00E50600">
        <w:rPr>
          <w:rFonts w:ascii="Times New Roman" w:hAnsi="Times New Roman" w:cs="Times New Roman"/>
        </w:rPr>
        <w:t>: Bar</w:t>
      </w:r>
      <w:r w:rsidR="00ED2BAD">
        <w:rPr>
          <w:rFonts w:ascii="Times New Roman" w:hAnsi="Times New Roman" w:cs="Times New Roman"/>
        </w:rPr>
        <w:t xml:space="preserve"> char</w:t>
      </w:r>
      <w:r w:rsidR="001701E9">
        <w:rPr>
          <w:rFonts w:ascii="Times New Roman" w:hAnsi="Times New Roman" w:cs="Times New Roman"/>
        </w:rPr>
        <w:t>t</w:t>
      </w:r>
      <w:r w:rsidR="00127B1D">
        <w:rPr>
          <w:rFonts w:ascii="Times New Roman" w:hAnsi="Times New Roman" w:cs="Times New Roman"/>
        </w:rPr>
        <w:t>s show</w:t>
      </w:r>
      <w:r w:rsidR="001701E9">
        <w:rPr>
          <w:rFonts w:ascii="Times New Roman" w:hAnsi="Times New Roman" w:cs="Times New Roman"/>
        </w:rPr>
        <w:t xml:space="preserve"> quantification of</w:t>
      </w:r>
      <w:r w:rsidR="00E50600">
        <w:rPr>
          <w:rFonts w:ascii="Times New Roman" w:hAnsi="Times New Roman" w:cs="Times New Roman"/>
        </w:rPr>
        <w:t xml:space="preserve"> p</w:t>
      </w:r>
      <w:r w:rsidR="006D3C13">
        <w:rPr>
          <w:rFonts w:ascii="Times New Roman" w:hAnsi="Times New Roman" w:cs="Times New Roman"/>
        </w:rPr>
        <w:t>Akt</w:t>
      </w:r>
      <w:r w:rsidR="001701E9">
        <w:rPr>
          <w:rFonts w:ascii="Times New Roman" w:hAnsi="Times New Roman" w:cs="Times New Roman"/>
        </w:rPr>
        <w:t xml:space="preserve"> </w:t>
      </w:r>
      <w:r w:rsidR="00127B1D">
        <w:rPr>
          <w:rFonts w:ascii="Times New Roman" w:hAnsi="Times New Roman" w:cs="Times New Roman"/>
        </w:rPr>
        <w:t xml:space="preserve">and pP44/42 </w:t>
      </w:r>
      <w:r w:rsidR="001701E9">
        <w:rPr>
          <w:rFonts w:ascii="Times New Roman" w:hAnsi="Times New Roman" w:cs="Times New Roman"/>
        </w:rPr>
        <w:t>under e</w:t>
      </w:r>
      <w:r w:rsidR="00974A52">
        <w:rPr>
          <w:rFonts w:ascii="Times New Roman" w:hAnsi="Times New Roman" w:cs="Times New Roman"/>
        </w:rPr>
        <w:t>ach condition, pAkt was normalis</w:t>
      </w:r>
      <w:r w:rsidR="001701E9">
        <w:rPr>
          <w:rFonts w:ascii="Times New Roman" w:hAnsi="Times New Roman" w:cs="Times New Roman"/>
        </w:rPr>
        <w:t>ed to T-Akt amount</w:t>
      </w:r>
      <w:r w:rsidR="00974A52">
        <w:rPr>
          <w:rFonts w:ascii="Times New Roman" w:hAnsi="Times New Roman" w:cs="Times New Roman"/>
        </w:rPr>
        <w:t xml:space="preserve"> and pP44/42 was normalis</w:t>
      </w:r>
      <w:r w:rsidR="00127B1D">
        <w:rPr>
          <w:rFonts w:ascii="Times New Roman" w:hAnsi="Times New Roman" w:cs="Times New Roman"/>
        </w:rPr>
        <w:t>ed to P44/42</w:t>
      </w:r>
      <w:r w:rsidR="001701E9">
        <w:rPr>
          <w:rFonts w:ascii="Times New Roman" w:hAnsi="Times New Roman" w:cs="Times New Roman"/>
        </w:rPr>
        <w:t xml:space="preserve">. Data is mean ± </w:t>
      </w:r>
      <w:r w:rsidR="00E50600">
        <w:rPr>
          <w:rFonts w:ascii="Times New Roman" w:hAnsi="Times New Roman" w:cs="Times New Roman"/>
        </w:rPr>
        <w:t>SEM (n=3, 3 replicates/experiments, One way ANOVA wi</w:t>
      </w:r>
      <w:r w:rsidR="00DC3BF8">
        <w:rPr>
          <w:rFonts w:ascii="Times New Roman" w:hAnsi="Times New Roman" w:cs="Times New Roman"/>
        </w:rPr>
        <w:t>th post-hoc analysis ***p&lt;0.001</w:t>
      </w:r>
      <w:r w:rsidR="00E50600">
        <w:rPr>
          <w:rFonts w:ascii="Times New Roman" w:hAnsi="Times New Roman" w:cs="Times New Roman"/>
        </w:rPr>
        <w:t>)</w:t>
      </w:r>
      <w:r w:rsidR="0012548E">
        <w:rPr>
          <w:rFonts w:ascii="Times New Roman" w:hAnsi="Times New Roman" w:cs="Times New Roman"/>
        </w:rPr>
        <w:t>.</w:t>
      </w:r>
    </w:p>
    <w:p w14:paraId="11388CFC" w14:textId="77777777" w:rsidR="008B3641" w:rsidRPr="005D2C75" w:rsidRDefault="008B3641" w:rsidP="005D2C75">
      <w:pPr>
        <w:spacing w:line="360" w:lineRule="auto"/>
        <w:jc w:val="both"/>
        <w:rPr>
          <w:rFonts w:ascii="Times New Roman" w:hAnsi="Times New Roman" w:cs="Times New Roman"/>
          <w:b/>
          <w:color w:val="4F81BD" w:themeColor="accent1"/>
          <w:lang w:val="en-GB"/>
        </w:rPr>
      </w:pPr>
    </w:p>
    <w:p w14:paraId="722A7C58" w14:textId="77777777" w:rsidR="00E50600" w:rsidRDefault="00E50600">
      <w:pPr>
        <w:rPr>
          <w:rFonts w:ascii="Times New Roman" w:hAnsi="Times New Roman" w:cs="Times New Roman"/>
          <w:b/>
        </w:rPr>
      </w:pPr>
    </w:p>
    <w:p w14:paraId="77E3FB93" w14:textId="77777777" w:rsidR="005475B3" w:rsidRDefault="005475B3">
      <w:pPr>
        <w:rPr>
          <w:rFonts w:ascii="Times New Roman" w:hAnsi="Times New Roman" w:cs="Times New Roman"/>
          <w:b/>
        </w:rPr>
      </w:pPr>
    </w:p>
    <w:p w14:paraId="00372E38" w14:textId="77777777" w:rsidR="005475B3" w:rsidRDefault="005475B3">
      <w:pPr>
        <w:rPr>
          <w:rFonts w:ascii="Times New Roman" w:hAnsi="Times New Roman" w:cs="Times New Roman"/>
          <w:b/>
        </w:rPr>
      </w:pPr>
    </w:p>
    <w:p w14:paraId="5FF4B88A" w14:textId="77777777" w:rsidR="005475B3" w:rsidRDefault="005475B3">
      <w:pPr>
        <w:rPr>
          <w:rFonts w:ascii="Times New Roman" w:hAnsi="Times New Roman" w:cs="Times New Roman"/>
          <w:b/>
        </w:rPr>
      </w:pPr>
    </w:p>
    <w:p w14:paraId="4A5867B1" w14:textId="77777777" w:rsidR="005475B3" w:rsidRDefault="005475B3">
      <w:pPr>
        <w:rPr>
          <w:rFonts w:ascii="Times New Roman" w:hAnsi="Times New Roman" w:cs="Times New Roman"/>
          <w:b/>
        </w:rPr>
      </w:pPr>
    </w:p>
    <w:p w14:paraId="3C8EC632" w14:textId="77777777" w:rsidR="005475B3" w:rsidRDefault="005475B3">
      <w:pPr>
        <w:rPr>
          <w:rFonts w:ascii="Times New Roman" w:hAnsi="Times New Roman" w:cs="Times New Roman"/>
          <w:b/>
        </w:rPr>
      </w:pPr>
    </w:p>
    <w:p w14:paraId="4C563E49" w14:textId="77777777" w:rsidR="005475B3" w:rsidRDefault="005475B3">
      <w:pPr>
        <w:rPr>
          <w:rFonts w:ascii="Times New Roman" w:hAnsi="Times New Roman" w:cs="Times New Roman"/>
          <w:b/>
        </w:rPr>
      </w:pPr>
    </w:p>
    <w:p w14:paraId="56CCFA07" w14:textId="77777777" w:rsidR="00031AE2" w:rsidRDefault="00031AE2">
      <w:pPr>
        <w:rPr>
          <w:rFonts w:ascii="Times New Roman" w:hAnsi="Times New Roman" w:cs="Times New Roman"/>
          <w:b/>
        </w:rPr>
      </w:pPr>
    </w:p>
    <w:p w14:paraId="75D88B91" w14:textId="0E3BFF5A" w:rsidR="000661DF" w:rsidRPr="004975E3" w:rsidRDefault="00652FF0" w:rsidP="002D0408">
      <w:pPr>
        <w:pStyle w:val="Heading3"/>
      </w:pPr>
      <w:bookmarkStart w:id="956" w:name="_Toc328301143"/>
      <w:bookmarkStart w:id="957" w:name="_Toc329593436"/>
      <w:bookmarkStart w:id="958" w:name="_Toc331425935"/>
      <w:bookmarkStart w:id="959" w:name="_Toc331427116"/>
      <w:bookmarkStart w:id="960" w:name="_Toc331427488"/>
      <w:bookmarkStart w:id="961" w:name="_Toc331427630"/>
      <w:bookmarkStart w:id="962" w:name="_Toc332972634"/>
      <w:bookmarkStart w:id="963" w:name="_Toc333046913"/>
      <w:bookmarkStart w:id="964" w:name="_Toc333477260"/>
      <w:bookmarkStart w:id="965" w:name="_Toc333478030"/>
      <w:bookmarkStart w:id="966" w:name="_Toc333644930"/>
      <w:r>
        <w:t>3.4</w:t>
      </w:r>
      <w:r w:rsidR="003347B7">
        <w:t>.2 Inhibiting IGF1 signalling in human astrocytes using an IGF1R monoclonal antibody.</w:t>
      </w:r>
      <w:bookmarkEnd w:id="956"/>
      <w:bookmarkEnd w:id="957"/>
      <w:bookmarkEnd w:id="958"/>
      <w:bookmarkEnd w:id="959"/>
      <w:bookmarkEnd w:id="960"/>
      <w:bookmarkEnd w:id="961"/>
      <w:bookmarkEnd w:id="962"/>
      <w:bookmarkEnd w:id="963"/>
      <w:bookmarkEnd w:id="964"/>
      <w:bookmarkEnd w:id="965"/>
      <w:bookmarkEnd w:id="966"/>
    </w:p>
    <w:p w14:paraId="0F6F3FB3" w14:textId="77777777" w:rsidR="00527343" w:rsidRPr="004975E3" w:rsidRDefault="00527343" w:rsidP="003E7BDB">
      <w:pPr>
        <w:jc w:val="both"/>
        <w:rPr>
          <w:rFonts w:ascii="Times New Roman" w:hAnsi="Times New Roman" w:cs="Times New Roman"/>
          <w:b/>
        </w:rPr>
      </w:pPr>
    </w:p>
    <w:p w14:paraId="46E877F0" w14:textId="1BF62722" w:rsidR="00DD5E24" w:rsidRPr="00705FA5" w:rsidRDefault="003347B7" w:rsidP="003E7BDB">
      <w:pPr>
        <w:spacing w:line="360" w:lineRule="auto"/>
        <w:jc w:val="both"/>
        <w:rPr>
          <w:rFonts w:ascii="Times New Roman" w:hAnsi="Times New Roman" w:cs="Times New Roman"/>
        </w:rPr>
      </w:pPr>
      <w:r>
        <w:rPr>
          <w:rFonts w:ascii="Times New Roman" w:hAnsi="Times New Roman" w:cs="Times New Roman"/>
        </w:rPr>
        <w:t xml:space="preserve">An initial </w:t>
      </w:r>
      <w:r w:rsidR="00857DC0">
        <w:rPr>
          <w:rFonts w:ascii="Times New Roman" w:hAnsi="Times New Roman" w:cs="Times New Roman"/>
        </w:rPr>
        <w:t xml:space="preserve">proof of principle experiment was conducted to </w:t>
      </w:r>
      <w:r w:rsidR="00774624">
        <w:rPr>
          <w:rFonts w:ascii="Times New Roman" w:hAnsi="Times New Roman" w:cs="Times New Roman"/>
        </w:rPr>
        <w:t>demonstrate</w:t>
      </w:r>
      <w:r w:rsidR="00311101">
        <w:rPr>
          <w:rFonts w:ascii="Times New Roman" w:hAnsi="Times New Roman" w:cs="Times New Roman"/>
        </w:rPr>
        <w:t xml:space="preserve"> </w:t>
      </w:r>
      <w:r w:rsidR="00857DC0">
        <w:rPr>
          <w:rFonts w:ascii="Times New Roman" w:hAnsi="Times New Roman" w:cs="Times New Roman"/>
        </w:rPr>
        <w:t>that</w:t>
      </w:r>
      <w:r w:rsidR="00CE4B51">
        <w:rPr>
          <w:rFonts w:ascii="Times New Roman" w:hAnsi="Times New Roman" w:cs="Times New Roman"/>
        </w:rPr>
        <w:t xml:space="preserve"> a monoclonal antibody specific to IGF1R</w:t>
      </w:r>
      <w:r w:rsidR="00857DC0">
        <w:rPr>
          <w:rFonts w:ascii="Times New Roman" w:hAnsi="Times New Roman" w:cs="Times New Roman"/>
        </w:rPr>
        <w:t xml:space="preserve"> </w:t>
      </w:r>
      <w:r w:rsidR="00CE4B51">
        <w:rPr>
          <w:rFonts w:ascii="Times New Roman" w:hAnsi="Times New Roman" w:cs="Times New Roman"/>
        </w:rPr>
        <w:t>(</w:t>
      </w:r>
      <w:r w:rsidR="00857DC0">
        <w:rPr>
          <w:rFonts w:ascii="Times New Roman" w:hAnsi="Times New Roman" w:cs="Times New Roman"/>
        </w:rPr>
        <w:t>MAB391</w:t>
      </w:r>
      <w:r w:rsidR="00CE4B51">
        <w:rPr>
          <w:rFonts w:ascii="Times New Roman" w:hAnsi="Times New Roman" w:cs="Times New Roman"/>
        </w:rPr>
        <w:t xml:space="preserve">, </w:t>
      </w:r>
      <w:r>
        <w:rPr>
          <w:rFonts w:ascii="Times New Roman" w:hAnsi="Times New Roman" w:cs="Times New Roman"/>
        </w:rPr>
        <w:t>R &amp;</w:t>
      </w:r>
      <w:r w:rsidR="00B81591">
        <w:rPr>
          <w:rFonts w:ascii="Times New Roman" w:hAnsi="Times New Roman" w:cs="Times New Roman"/>
        </w:rPr>
        <w:t xml:space="preserve"> D S</w:t>
      </w:r>
      <w:r w:rsidR="00311101">
        <w:rPr>
          <w:rFonts w:ascii="Times New Roman" w:hAnsi="Times New Roman" w:cs="Times New Roman"/>
        </w:rPr>
        <w:t>ystems)</w:t>
      </w:r>
      <w:r w:rsidR="00857DC0">
        <w:rPr>
          <w:rFonts w:ascii="Times New Roman" w:hAnsi="Times New Roman" w:cs="Times New Roman"/>
        </w:rPr>
        <w:t xml:space="preserve"> could downregulate IGF1 signalling in </w:t>
      </w:r>
      <w:r>
        <w:rPr>
          <w:rFonts w:ascii="Times New Roman" w:hAnsi="Times New Roman" w:cs="Times New Roman"/>
        </w:rPr>
        <w:t>human astrocytes</w:t>
      </w:r>
      <w:r w:rsidR="00C22494">
        <w:rPr>
          <w:rFonts w:ascii="Times New Roman" w:hAnsi="Times New Roman" w:cs="Times New Roman"/>
        </w:rPr>
        <w:t xml:space="preserve"> (</w:t>
      </w:r>
      <w:r w:rsidR="00C22494" w:rsidRPr="004C0CEB">
        <w:rPr>
          <w:rFonts w:ascii="Times New Roman" w:hAnsi="Times New Roman" w:cs="Times New Roman"/>
          <w:b/>
        </w:rPr>
        <w:t>figure 3.3</w:t>
      </w:r>
      <w:r w:rsidR="00C22494">
        <w:rPr>
          <w:rFonts w:ascii="Times New Roman" w:hAnsi="Times New Roman" w:cs="Times New Roman"/>
        </w:rPr>
        <w:t>)</w:t>
      </w:r>
      <w:r w:rsidR="00857DC0">
        <w:rPr>
          <w:rFonts w:ascii="Times New Roman" w:hAnsi="Times New Roman" w:cs="Times New Roman"/>
        </w:rPr>
        <w:t>.</w:t>
      </w:r>
      <w:r w:rsidR="00A47A01">
        <w:rPr>
          <w:rFonts w:ascii="Times New Roman" w:hAnsi="Times New Roman" w:cs="Times New Roman"/>
        </w:rPr>
        <w:t xml:space="preserve"> Astrocytes were serum starved for 24 hours and </w:t>
      </w:r>
      <w:r>
        <w:rPr>
          <w:rFonts w:ascii="Times New Roman" w:hAnsi="Times New Roman" w:cs="Times New Roman"/>
        </w:rPr>
        <w:t xml:space="preserve">then </w:t>
      </w:r>
      <w:r w:rsidR="00A47A01">
        <w:rPr>
          <w:rFonts w:ascii="Times New Roman" w:hAnsi="Times New Roman" w:cs="Times New Roman"/>
        </w:rPr>
        <w:t>treated with IGF1</w:t>
      </w:r>
      <w:r w:rsidR="00774624">
        <w:rPr>
          <w:rFonts w:ascii="Times New Roman" w:hAnsi="Times New Roman" w:cs="Times New Roman"/>
        </w:rPr>
        <w:t xml:space="preserve"> ligand for 2 hours </w:t>
      </w:r>
      <w:r w:rsidR="00A47A01">
        <w:rPr>
          <w:rFonts w:ascii="Times New Roman" w:hAnsi="Times New Roman" w:cs="Times New Roman"/>
        </w:rPr>
        <w:t xml:space="preserve">with or without a </w:t>
      </w:r>
      <w:r w:rsidR="00774624">
        <w:rPr>
          <w:rFonts w:ascii="Times New Roman" w:hAnsi="Times New Roman" w:cs="Times New Roman"/>
        </w:rPr>
        <w:t xml:space="preserve">24 hour </w:t>
      </w:r>
      <w:r w:rsidR="00A47A01">
        <w:rPr>
          <w:rFonts w:ascii="Times New Roman" w:hAnsi="Times New Roman" w:cs="Times New Roman"/>
        </w:rPr>
        <w:t>pre</w:t>
      </w:r>
      <w:r w:rsidR="00774624">
        <w:rPr>
          <w:rFonts w:ascii="Times New Roman" w:hAnsi="Times New Roman" w:cs="Times New Roman"/>
        </w:rPr>
        <w:t>-</w:t>
      </w:r>
      <w:r w:rsidR="00A47A01">
        <w:rPr>
          <w:rFonts w:ascii="Times New Roman" w:hAnsi="Times New Roman" w:cs="Times New Roman"/>
        </w:rPr>
        <w:t xml:space="preserve">incubation with </w:t>
      </w:r>
      <w:r w:rsidR="00774624">
        <w:rPr>
          <w:rFonts w:ascii="Times New Roman" w:hAnsi="Times New Roman" w:cs="Times New Roman"/>
        </w:rPr>
        <w:t>11</w:t>
      </w:r>
      <w:r w:rsidR="00361C75">
        <w:rPr>
          <w:rFonts w:ascii="Times New Roman" w:hAnsi="Times New Roman" w:cs="Times New Roman"/>
        </w:rPr>
        <w:t>μ</w:t>
      </w:r>
      <w:r w:rsidR="00774624">
        <w:rPr>
          <w:rFonts w:ascii="Times New Roman" w:hAnsi="Times New Roman" w:cs="Times New Roman"/>
        </w:rPr>
        <w:t xml:space="preserve">g/ml of </w:t>
      </w:r>
      <w:r w:rsidR="00A47A01">
        <w:rPr>
          <w:rFonts w:ascii="Times New Roman" w:hAnsi="Times New Roman" w:cs="Times New Roman"/>
        </w:rPr>
        <w:t>MAB391.</w:t>
      </w:r>
      <w:r>
        <w:rPr>
          <w:rFonts w:ascii="Times New Roman" w:hAnsi="Times New Roman" w:cs="Times New Roman"/>
        </w:rPr>
        <w:t xml:space="preserve"> Cells treated with MAB391 showed a reduction in the mature form of IGF1R as well as reduction in pAkt</w:t>
      </w:r>
      <w:r w:rsidR="00C22494">
        <w:rPr>
          <w:rFonts w:ascii="Times New Roman" w:hAnsi="Times New Roman" w:cs="Times New Roman"/>
        </w:rPr>
        <w:t xml:space="preserve"> (s473)</w:t>
      </w:r>
      <w:r w:rsidR="0012548E">
        <w:rPr>
          <w:rFonts w:ascii="Times New Roman" w:hAnsi="Times New Roman" w:cs="Times New Roman"/>
        </w:rPr>
        <w:t xml:space="preserve"> confirming that this antibody could</w:t>
      </w:r>
      <w:r>
        <w:rPr>
          <w:rFonts w:ascii="Times New Roman" w:hAnsi="Times New Roman" w:cs="Times New Roman"/>
        </w:rPr>
        <w:t xml:space="preserve"> downregulate IGF1 signalling.</w:t>
      </w:r>
      <w:r w:rsidR="00A47A01">
        <w:rPr>
          <w:rFonts w:ascii="Times New Roman" w:hAnsi="Times New Roman" w:cs="Times New Roman"/>
        </w:rPr>
        <w:t xml:space="preserve"> </w:t>
      </w:r>
    </w:p>
    <w:p w14:paraId="5F4DF9D1" w14:textId="1B8332F0" w:rsidR="00DD5E24" w:rsidRPr="004975E3" w:rsidRDefault="00875F32">
      <w:pPr>
        <w:rPr>
          <w:rFonts w:ascii="Times New Roman" w:hAnsi="Times New Roman" w:cs="Times New Roman"/>
          <w:b/>
        </w:rPr>
      </w:pPr>
      <w:r>
        <w:rPr>
          <w:rFonts w:ascii="Times New Roman" w:hAnsi="Times New Roman" w:cs="Times New Roman"/>
          <w:b/>
        </w:rPr>
        <w:t xml:space="preserve">    </w:t>
      </w:r>
      <w:r w:rsidR="00614101">
        <w:rPr>
          <w:rFonts w:ascii="Times New Roman" w:hAnsi="Times New Roman" w:cs="Times New Roman"/>
          <w:b/>
        </w:rPr>
        <w:t xml:space="preserve"> </w:t>
      </w:r>
      <w:r w:rsidR="00B83E66">
        <w:rPr>
          <w:rFonts w:ascii="Times New Roman" w:hAnsi="Times New Roman" w:cs="Times New Roman"/>
          <w:b/>
        </w:rPr>
        <w:t xml:space="preserve"> </w:t>
      </w:r>
      <w:r w:rsidR="0043060F">
        <w:rPr>
          <w:rFonts w:ascii="Times New Roman" w:hAnsi="Times New Roman" w:cs="Times New Roman"/>
          <w:b/>
        </w:rPr>
        <w:t xml:space="preserve"> </w:t>
      </w:r>
      <w:r w:rsidR="003F0EE8">
        <w:rPr>
          <w:rFonts w:ascii="Times New Roman" w:hAnsi="Times New Roman" w:cs="Times New Roman"/>
          <w:b/>
        </w:rPr>
        <w:t xml:space="preserve">  </w:t>
      </w:r>
      <w:r w:rsidR="00643620">
        <w:rPr>
          <w:rFonts w:ascii="Times New Roman" w:hAnsi="Times New Roman" w:cs="Times New Roman"/>
          <w:b/>
        </w:rPr>
        <w:t xml:space="preserve"> </w:t>
      </w:r>
      <w:r w:rsidR="00614101">
        <w:rPr>
          <w:rFonts w:ascii="Times New Roman" w:hAnsi="Times New Roman" w:cs="Times New Roman"/>
          <w:b/>
        </w:rPr>
        <w:t xml:space="preserve">    </w:t>
      </w:r>
      <w:r w:rsidR="00A12E70">
        <w:rPr>
          <w:rFonts w:ascii="Times New Roman" w:hAnsi="Times New Roman" w:cs="Times New Roman"/>
          <w:b/>
          <w:noProof/>
        </w:rPr>
        <w:drawing>
          <wp:inline distT="0" distB="0" distL="0" distR="0" wp14:anchorId="084DA777" wp14:editId="3C4E05DD">
            <wp:extent cx="4157980" cy="3186434"/>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rotWithShape="1">
                    <a:blip r:embed="rId31">
                      <a:extLst>
                        <a:ext uri="{28A0092B-C50C-407E-A947-70E740481C1C}">
                          <a14:useLocalDpi xmlns:a14="http://schemas.microsoft.com/office/drawing/2010/main" val="0"/>
                        </a:ext>
                      </a:extLst>
                    </a:blip>
                    <a:srcRect l="14872" t="9748" r="22536" b="26281"/>
                    <a:stretch/>
                  </pic:blipFill>
                  <pic:spPr bwMode="auto">
                    <a:xfrm>
                      <a:off x="0" y="0"/>
                      <a:ext cx="4161473" cy="3189111"/>
                    </a:xfrm>
                    <a:prstGeom prst="rect">
                      <a:avLst/>
                    </a:prstGeom>
                    <a:ln>
                      <a:noFill/>
                    </a:ln>
                    <a:extLst>
                      <a:ext uri="{53640926-AAD7-44d8-BBD7-CCE9431645EC}">
                        <a14:shadowObscured xmlns:a14="http://schemas.microsoft.com/office/drawing/2010/main"/>
                      </a:ext>
                    </a:extLst>
                  </pic:spPr>
                </pic:pic>
              </a:graphicData>
            </a:graphic>
          </wp:inline>
        </w:drawing>
      </w:r>
    </w:p>
    <w:p w14:paraId="69981D6A" w14:textId="77777777" w:rsidR="009C071A" w:rsidRPr="004975E3" w:rsidRDefault="009C071A" w:rsidP="003E7BDB">
      <w:pPr>
        <w:jc w:val="both"/>
        <w:rPr>
          <w:rFonts w:ascii="Times New Roman" w:hAnsi="Times New Roman" w:cs="Times New Roman"/>
          <w:b/>
        </w:rPr>
      </w:pPr>
    </w:p>
    <w:p w14:paraId="274D0237" w14:textId="77777777" w:rsidR="00A83395" w:rsidRDefault="00652FF0" w:rsidP="001627E2">
      <w:pPr>
        <w:pStyle w:val="Caption"/>
      </w:pPr>
      <w:bookmarkStart w:id="967" w:name="_Toc333569050"/>
      <w:bookmarkStart w:id="968" w:name="_Toc333569275"/>
      <w:bookmarkStart w:id="969" w:name="_Toc333570829"/>
      <w:bookmarkStart w:id="970" w:name="_Toc333582212"/>
      <w:bookmarkStart w:id="971" w:name="_Toc333582332"/>
      <w:bookmarkStart w:id="972" w:name="_Toc333582744"/>
      <w:bookmarkStart w:id="973" w:name="_Toc333583114"/>
      <w:bookmarkStart w:id="974" w:name="_Toc333584083"/>
      <w:bookmarkStart w:id="975" w:name="_Toc333585217"/>
      <w:bookmarkStart w:id="976" w:name="_Toc333586769"/>
      <w:bookmarkStart w:id="977" w:name="_Toc333644468"/>
      <w:bookmarkStart w:id="978" w:name="_Toc333644762"/>
      <w:r>
        <w:t>Figure 3.3</w:t>
      </w:r>
      <w:r w:rsidR="0043060F">
        <w:t>.</w:t>
      </w:r>
      <w:r w:rsidR="005F4D81" w:rsidRPr="004975E3">
        <w:t xml:space="preserve"> </w:t>
      </w:r>
      <w:r w:rsidR="005F4D81" w:rsidRPr="000B5A78">
        <w:t>Proof of principle</w:t>
      </w:r>
      <w:r w:rsidR="003C5372" w:rsidRPr="000B5A78">
        <w:t xml:space="preserve"> experiment</w:t>
      </w:r>
      <w:r w:rsidR="005F4D81" w:rsidRPr="000B5A78">
        <w:t xml:space="preserve"> to show</w:t>
      </w:r>
      <w:r w:rsidR="00CE2D67" w:rsidRPr="000B5A78">
        <w:t xml:space="preserve"> a monoclonal antibody (MAB391) reduces IGF1 signalling</w:t>
      </w:r>
      <w:r w:rsidR="00CE2D67">
        <w:t>.</w:t>
      </w:r>
      <w:bookmarkEnd w:id="967"/>
      <w:bookmarkEnd w:id="968"/>
      <w:bookmarkEnd w:id="969"/>
      <w:bookmarkEnd w:id="970"/>
      <w:bookmarkEnd w:id="971"/>
      <w:bookmarkEnd w:id="972"/>
      <w:bookmarkEnd w:id="973"/>
      <w:bookmarkEnd w:id="974"/>
      <w:bookmarkEnd w:id="975"/>
      <w:bookmarkEnd w:id="976"/>
      <w:bookmarkEnd w:id="977"/>
      <w:bookmarkEnd w:id="978"/>
      <w:r w:rsidR="00CE2D67">
        <w:t xml:space="preserve"> </w:t>
      </w:r>
    </w:p>
    <w:p w14:paraId="46E596EA" w14:textId="505AC887" w:rsidR="005F4D81" w:rsidRDefault="00AB0487" w:rsidP="003E7BDB">
      <w:pPr>
        <w:spacing w:line="360" w:lineRule="auto"/>
        <w:jc w:val="both"/>
        <w:rPr>
          <w:rFonts w:ascii="Times New Roman" w:hAnsi="Times New Roman" w:cs="Times New Roman"/>
          <w:b/>
        </w:rPr>
      </w:pPr>
      <w:r>
        <w:rPr>
          <w:rFonts w:ascii="Times New Roman" w:hAnsi="Times New Roman" w:cs="Times New Roman"/>
        </w:rPr>
        <w:t>Western blots</w:t>
      </w:r>
      <w:r w:rsidR="00CE2D67">
        <w:rPr>
          <w:rFonts w:ascii="Times New Roman" w:hAnsi="Times New Roman" w:cs="Times New Roman"/>
        </w:rPr>
        <w:t xml:space="preserve"> of cell lysates from serum-deprived human primary astrocytes treated with</w:t>
      </w:r>
      <w:r w:rsidR="00311101">
        <w:rPr>
          <w:rFonts w:ascii="Times New Roman" w:hAnsi="Times New Roman" w:cs="Times New Roman"/>
        </w:rPr>
        <w:t xml:space="preserve"> 11μg/ml</w:t>
      </w:r>
      <w:r w:rsidR="005F4D81" w:rsidRPr="00705FA5">
        <w:rPr>
          <w:rFonts w:ascii="Times New Roman" w:hAnsi="Times New Roman" w:cs="Times New Roman"/>
        </w:rPr>
        <w:t xml:space="preserve"> MAB391</w:t>
      </w:r>
      <w:r w:rsidR="00CE2D67">
        <w:rPr>
          <w:rFonts w:ascii="Times New Roman" w:hAnsi="Times New Roman" w:cs="Times New Roman"/>
        </w:rPr>
        <w:t>. Blots were probed with antibodies against IGF1Rβ, pAkt</w:t>
      </w:r>
      <w:r w:rsidR="00C22494">
        <w:rPr>
          <w:rFonts w:ascii="Times New Roman" w:hAnsi="Times New Roman" w:cs="Times New Roman"/>
        </w:rPr>
        <w:t xml:space="preserve"> (s473)</w:t>
      </w:r>
      <w:r w:rsidR="00CE2D67">
        <w:rPr>
          <w:rFonts w:ascii="Times New Roman" w:hAnsi="Times New Roman" w:cs="Times New Roman"/>
        </w:rPr>
        <w:t>, Total Akt and β</w:t>
      </w:r>
      <w:r w:rsidR="00311101">
        <w:rPr>
          <w:rFonts w:ascii="Times New Roman" w:hAnsi="Times New Roman" w:cs="Times New Roman"/>
        </w:rPr>
        <w:t>-actin. Molecular weights are indicated (kDa).</w:t>
      </w:r>
    </w:p>
    <w:p w14:paraId="0B1004E3" w14:textId="77777777" w:rsidR="0062454E" w:rsidRDefault="0062454E">
      <w:pPr>
        <w:rPr>
          <w:rFonts w:ascii="Times New Roman" w:hAnsi="Times New Roman" w:cs="Times New Roman"/>
          <w:b/>
        </w:rPr>
      </w:pPr>
    </w:p>
    <w:p w14:paraId="3B3D910F" w14:textId="77777777" w:rsidR="00AC7BB4" w:rsidRDefault="00AC7BB4" w:rsidP="002D0408">
      <w:pPr>
        <w:pStyle w:val="Heading3"/>
      </w:pPr>
      <w:bookmarkStart w:id="979" w:name="_Toc328301144"/>
      <w:bookmarkStart w:id="980" w:name="_Toc329593437"/>
      <w:bookmarkStart w:id="981" w:name="_Toc331425936"/>
      <w:bookmarkStart w:id="982" w:name="_Toc331427117"/>
    </w:p>
    <w:p w14:paraId="0F1230B0" w14:textId="77777777" w:rsidR="00AC7BB4" w:rsidRDefault="00AC7BB4" w:rsidP="002D0408">
      <w:pPr>
        <w:pStyle w:val="Heading3"/>
      </w:pPr>
    </w:p>
    <w:p w14:paraId="47E29924" w14:textId="77777777" w:rsidR="00AC7BB4" w:rsidRDefault="00AC7BB4" w:rsidP="00AC7BB4"/>
    <w:p w14:paraId="5B19E5AC" w14:textId="77777777" w:rsidR="00AC7BB4" w:rsidRDefault="00AC7BB4" w:rsidP="00AC7BB4"/>
    <w:p w14:paraId="0B8CF165" w14:textId="77777777" w:rsidR="00AC7BB4" w:rsidRDefault="00AC7BB4" w:rsidP="00AC7BB4"/>
    <w:p w14:paraId="39157779" w14:textId="77777777" w:rsidR="00AC7BB4" w:rsidRDefault="00AC7BB4" w:rsidP="00AC7BB4"/>
    <w:p w14:paraId="07953740" w14:textId="77777777" w:rsidR="00AC7BB4" w:rsidRPr="00AC7BB4" w:rsidRDefault="00AC7BB4" w:rsidP="00AC7BB4"/>
    <w:p w14:paraId="439D6108" w14:textId="6052D569" w:rsidR="005A1D64" w:rsidRDefault="00652FF0" w:rsidP="002D0408">
      <w:pPr>
        <w:pStyle w:val="Heading3"/>
      </w:pPr>
      <w:bookmarkStart w:id="983" w:name="_Toc331427489"/>
      <w:bookmarkStart w:id="984" w:name="_Toc331427631"/>
      <w:bookmarkStart w:id="985" w:name="_Toc332972635"/>
      <w:bookmarkStart w:id="986" w:name="_Toc333046914"/>
      <w:bookmarkStart w:id="987" w:name="_Toc333477261"/>
      <w:bookmarkStart w:id="988" w:name="_Toc333478031"/>
      <w:bookmarkStart w:id="989" w:name="_Toc333644931"/>
      <w:r>
        <w:t>3.4</w:t>
      </w:r>
      <w:r w:rsidR="00E057B6">
        <w:t>.3 Optimisation of model of IGF1R loss in human astrocytes</w:t>
      </w:r>
      <w:bookmarkEnd w:id="979"/>
      <w:bookmarkEnd w:id="980"/>
      <w:bookmarkEnd w:id="981"/>
      <w:bookmarkEnd w:id="982"/>
      <w:bookmarkEnd w:id="983"/>
      <w:bookmarkEnd w:id="984"/>
      <w:bookmarkEnd w:id="985"/>
      <w:bookmarkEnd w:id="986"/>
      <w:bookmarkEnd w:id="987"/>
      <w:bookmarkEnd w:id="988"/>
      <w:bookmarkEnd w:id="989"/>
    </w:p>
    <w:p w14:paraId="34366E78" w14:textId="77777777" w:rsidR="0061077F" w:rsidRDefault="0061077F" w:rsidP="003E7BDB">
      <w:pPr>
        <w:jc w:val="both"/>
        <w:rPr>
          <w:rFonts w:ascii="Times New Roman" w:hAnsi="Times New Roman" w:cs="Times New Roman"/>
          <w:b/>
        </w:rPr>
      </w:pPr>
    </w:p>
    <w:p w14:paraId="4FA28BAC" w14:textId="60AAF111" w:rsidR="00237F15" w:rsidRDefault="00E057B6" w:rsidP="003E7BDB">
      <w:pPr>
        <w:spacing w:line="360" w:lineRule="auto"/>
        <w:jc w:val="both"/>
        <w:rPr>
          <w:rFonts w:ascii="Times New Roman" w:hAnsi="Times New Roman" w:cs="Times New Roman"/>
        </w:rPr>
      </w:pPr>
      <w:r>
        <w:rPr>
          <w:rFonts w:ascii="Times New Roman" w:hAnsi="Times New Roman" w:cs="Times New Roman"/>
        </w:rPr>
        <w:t>In order to develop</w:t>
      </w:r>
      <w:r w:rsidR="0061077F">
        <w:rPr>
          <w:rFonts w:ascii="Times New Roman" w:hAnsi="Times New Roman" w:cs="Times New Roman"/>
        </w:rPr>
        <w:t xml:space="preserve"> a more physiologically relevant model of</w:t>
      </w:r>
      <w:r>
        <w:rPr>
          <w:rFonts w:ascii="Times New Roman" w:hAnsi="Times New Roman" w:cs="Times New Roman"/>
        </w:rPr>
        <w:t xml:space="preserve"> impaired</w:t>
      </w:r>
      <w:r w:rsidR="0061077F">
        <w:rPr>
          <w:rFonts w:ascii="Times New Roman" w:hAnsi="Times New Roman" w:cs="Times New Roman"/>
        </w:rPr>
        <w:t xml:space="preserve"> IGF1 si</w:t>
      </w:r>
      <w:r>
        <w:rPr>
          <w:rFonts w:ascii="Times New Roman" w:hAnsi="Times New Roman" w:cs="Times New Roman"/>
        </w:rPr>
        <w:t>gnalling</w:t>
      </w:r>
      <w:r w:rsidR="0061077F">
        <w:rPr>
          <w:rFonts w:ascii="Times New Roman" w:hAnsi="Times New Roman" w:cs="Times New Roman"/>
        </w:rPr>
        <w:t xml:space="preserve"> in human astrocytes, MAB391 treatment was performed on</w:t>
      </w:r>
      <w:r w:rsidR="00FE41B0">
        <w:rPr>
          <w:rFonts w:ascii="Times New Roman" w:hAnsi="Times New Roman" w:cs="Times New Roman"/>
        </w:rPr>
        <w:t xml:space="preserve"> ScienCell (1)</w:t>
      </w:r>
      <w:r w:rsidR="0061077F">
        <w:rPr>
          <w:rFonts w:ascii="Times New Roman" w:hAnsi="Times New Roman" w:cs="Times New Roman"/>
        </w:rPr>
        <w:t xml:space="preserve"> astrocytes cultured in serum rich F10MEM media</w:t>
      </w:r>
      <w:r w:rsidR="004C0CEB">
        <w:rPr>
          <w:rFonts w:ascii="Times New Roman" w:hAnsi="Times New Roman" w:cs="Times New Roman"/>
        </w:rPr>
        <w:t xml:space="preserve">. </w:t>
      </w:r>
      <w:r>
        <w:rPr>
          <w:rFonts w:ascii="Times New Roman" w:hAnsi="Times New Roman" w:cs="Times New Roman"/>
        </w:rPr>
        <w:t xml:space="preserve">A </w:t>
      </w:r>
      <w:r w:rsidR="00587E8B">
        <w:rPr>
          <w:rFonts w:ascii="Times New Roman" w:hAnsi="Times New Roman" w:cs="Times New Roman"/>
        </w:rPr>
        <w:t xml:space="preserve">significant </w:t>
      </w:r>
      <w:r>
        <w:rPr>
          <w:rFonts w:ascii="Times New Roman" w:hAnsi="Times New Roman" w:cs="Times New Roman"/>
        </w:rPr>
        <w:t>reduction in IGF1R was observed after 24 hour MAB391 treatment</w:t>
      </w:r>
      <w:r w:rsidR="004C0CEB">
        <w:rPr>
          <w:rFonts w:ascii="Times New Roman" w:hAnsi="Times New Roman" w:cs="Times New Roman"/>
        </w:rPr>
        <w:t xml:space="preserve"> (</w:t>
      </w:r>
      <w:r w:rsidR="004C0CEB" w:rsidRPr="004C0CEB">
        <w:rPr>
          <w:rFonts w:ascii="Times New Roman" w:hAnsi="Times New Roman" w:cs="Times New Roman"/>
          <w:b/>
        </w:rPr>
        <w:t>f</w:t>
      </w:r>
      <w:r w:rsidR="00587E8B" w:rsidRPr="004C0CEB">
        <w:rPr>
          <w:rFonts w:ascii="Times New Roman" w:hAnsi="Times New Roman" w:cs="Times New Roman"/>
          <w:b/>
        </w:rPr>
        <w:t xml:space="preserve">igure </w:t>
      </w:r>
      <w:r w:rsidR="00B51BCF" w:rsidRPr="004C0CEB">
        <w:rPr>
          <w:rFonts w:ascii="Times New Roman" w:hAnsi="Times New Roman" w:cs="Times New Roman"/>
          <w:b/>
        </w:rPr>
        <w:t>3.4</w:t>
      </w:r>
      <w:r w:rsidR="00587E8B" w:rsidRPr="004C0CEB">
        <w:rPr>
          <w:rFonts w:ascii="Times New Roman" w:hAnsi="Times New Roman" w:cs="Times New Roman"/>
          <w:b/>
        </w:rPr>
        <w:t xml:space="preserve"> </w:t>
      </w:r>
      <w:r w:rsidR="00B51BCF" w:rsidRPr="004C0CEB">
        <w:rPr>
          <w:rFonts w:ascii="Times New Roman" w:hAnsi="Times New Roman" w:cs="Times New Roman"/>
          <w:b/>
        </w:rPr>
        <w:t>A and B</w:t>
      </w:r>
      <w:r w:rsidR="00B51BCF">
        <w:rPr>
          <w:rFonts w:ascii="Times New Roman" w:hAnsi="Times New Roman" w:cs="Times New Roman"/>
        </w:rPr>
        <w:t xml:space="preserve">, </w:t>
      </w:r>
      <w:r w:rsidR="00587E8B">
        <w:rPr>
          <w:rFonts w:ascii="Times New Roman" w:hAnsi="Times New Roman" w:cs="Times New Roman"/>
        </w:rPr>
        <w:t>p&lt;0.0001)</w:t>
      </w:r>
      <w:r>
        <w:rPr>
          <w:rFonts w:ascii="Times New Roman" w:hAnsi="Times New Roman" w:cs="Times New Roman"/>
        </w:rPr>
        <w:t>. Treatmen</w:t>
      </w:r>
      <w:r w:rsidR="00237F15">
        <w:rPr>
          <w:rFonts w:ascii="Times New Roman" w:hAnsi="Times New Roman" w:cs="Times New Roman"/>
        </w:rPr>
        <w:t>t with MAB391 also resulted in</w:t>
      </w:r>
      <w:r>
        <w:rPr>
          <w:rFonts w:ascii="Times New Roman" w:hAnsi="Times New Roman" w:cs="Times New Roman"/>
        </w:rPr>
        <w:t xml:space="preserve"> decreased phosphorylated Akt (s473)</w:t>
      </w:r>
      <w:r w:rsidR="00D40298">
        <w:rPr>
          <w:rFonts w:ascii="Times New Roman" w:hAnsi="Times New Roman" w:cs="Times New Roman"/>
        </w:rPr>
        <w:t xml:space="preserve"> (</w:t>
      </w:r>
      <w:r w:rsidR="00D40298" w:rsidRPr="00D40298">
        <w:rPr>
          <w:rFonts w:ascii="Times New Roman" w:hAnsi="Times New Roman" w:cs="Times New Roman"/>
          <w:b/>
        </w:rPr>
        <w:t>f</w:t>
      </w:r>
      <w:r w:rsidR="00587E8B" w:rsidRPr="00D40298">
        <w:rPr>
          <w:rFonts w:ascii="Times New Roman" w:hAnsi="Times New Roman" w:cs="Times New Roman"/>
          <w:b/>
        </w:rPr>
        <w:t xml:space="preserve">igure </w:t>
      </w:r>
      <w:r w:rsidR="00B51BCF" w:rsidRPr="00D40298">
        <w:rPr>
          <w:rFonts w:ascii="Times New Roman" w:hAnsi="Times New Roman" w:cs="Times New Roman"/>
          <w:b/>
        </w:rPr>
        <w:t>3.4 A and B</w:t>
      </w:r>
      <w:r w:rsidR="00B51BCF">
        <w:rPr>
          <w:rFonts w:ascii="Times New Roman" w:hAnsi="Times New Roman" w:cs="Times New Roman"/>
        </w:rPr>
        <w:t>,</w:t>
      </w:r>
      <w:r w:rsidR="00587E8B">
        <w:rPr>
          <w:rFonts w:ascii="Times New Roman" w:hAnsi="Times New Roman" w:cs="Times New Roman"/>
        </w:rPr>
        <w:t xml:space="preserve"> p&lt; 0.001</w:t>
      </w:r>
      <w:r w:rsidR="00237F15">
        <w:rPr>
          <w:rFonts w:ascii="Times New Roman" w:hAnsi="Times New Roman" w:cs="Times New Roman"/>
        </w:rPr>
        <w:t>).</w:t>
      </w:r>
      <w:r w:rsidR="00660AE6">
        <w:rPr>
          <w:rFonts w:ascii="Times New Roman" w:hAnsi="Times New Roman" w:cs="Times New Roman"/>
        </w:rPr>
        <w:t xml:space="preserve"> To control for the presence of immunoglobulins, an IgG mouse monoclonal control was included (MAB002)</w:t>
      </w:r>
      <w:r w:rsidR="00C248CC">
        <w:rPr>
          <w:rFonts w:ascii="Times New Roman" w:hAnsi="Times New Roman" w:cs="Times New Roman"/>
        </w:rPr>
        <w:t>.</w:t>
      </w:r>
      <w:r w:rsidR="00660AE6">
        <w:rPr>
          <w:rFonts w:ascii="Times New Roman" w:hAnsi="Times New Roman" w:cs="Times New Roman"/>
        </w:rPr>
        <w:t xml:space="preserve"> MAB002 treatment did not reduce IGF1R or pAkt (S473) levels (</w:t>
      </w:r>
      <w:r w:rsidR="00C248CC">
        <w:rPr>
          <w:rFonts w:ascii="Times New Roman" w:hAnsi="Times New Roman" w:cs="Times New Roman"/>
        </w:rPr>
        <w:t xml:space="preserve">see appendix, </w:t>
      </w:r>
      <w:r w:rsidR="00C248CC">
        <w:rPr>
          <w:rFonts w:ascii="Times New Roman" w:hAnsi="Times New Roman" w:cs="Times New Roman"/>
          <w:b/>
        </w:rPr>
        <w:t xml:space="preserve">supplementary </w:t>
      </w:r>
      <w:r w:rsidR="00660AE6">
        <w:rPr>
          <w:rFonts w:ascii="Times New Roman" w:hAnsi="Times New Roman" w:cs="Times New Roman"/>
          <w:b/>
        </w:rPr>
        <w:t>figure 7.1)</w:t>
      </w:r>
      <w:r w:rsidR="00C248CC">
        <w:rPr>
          <w:rFonts w:ascii="Times New Roman" w:hAnsi="Times New Roman" w:cs="Times New Roman"/>
        </w:rPr>
        <w:t>.</w:t>
      </w:r>
      <w:r w:rsidR="005314DA">
        <w:rPr>
          <w:rFonts w:ascii="Times New Roman" w:hAnsi="Times New Roman" w:cs="Times New Roman"/>
        </w:rPr>
        <w:t xml:space="preserve"> Levels of p</w:t>
      </w:r>
      <w:r w:rsidR="00237F15">
        <w:rPr>
          <w:rFonts w:ascii="Times New Roman" w:hAnsi="Times New Roman" w:cs="Times New Roman"/>
        </w:rPr>
        <w:t xml:space="preserve"> P44/42</w:t>
      </w:r>
      <w:r w:rsidR="005314DA">
        <w:rPr>
          <w:rFonts w:ascii="Times New Roman" w:hAnsi="Times New Roman" w:cs="Times New Roman"/>
        </w:rPr>
        <w:t xml:space="preserve"> MAPK</w:t>
      </w:r>
      <w:r w:rsidR="00237F15">
        <w:rPr>
          <w:rFonts w:ascii="Times New Roman" w:hAnsi="Times New Roman" w:cs="Times New Roman"/>
        </w:rPr>
        <w:t xml:space="preserve"> were initially assessed and showed no changes following MAB391 treatment. Due to no observable changes being detected, assessment of changes in pMAPK P44/42 was not pursued</w:t>
      </w:r>
      <w:r w:rsidR="005314DA">
        <w:rPr>
          <w:rFonts w:ascii="Times New Roman" w:hAnsi="Times New Roman" w:cs="Times New Roman"/>
        </w:rPr>
        <w:t>. These results may also suggest that</w:t>
      </w:r>
      <w:r w:rsidR="00237F15">
        <w:rPr>
          <w:rFonts w:ascii="Times New Roman" w:hAnsi="Times New Roman" w:cs="Times New Roman"/>
        </w:rPr>
        <w:t xml:space="preserve"> astrocytes preferentially signal</w:t>
      </w:r>
      <w:r w:rsidR="00AA1762">
        <w:rPr>
          <w:rFonts w:ascii="Times New Roman" w:hAnsi="Times New Roman" w:cs="Times New Roman"/>
        </w:rPr>
        <w:t xml:space="preserve"> through</w:t>
      </w:r>
      <w:r w:rsidR="005314DA">
        <w:rPr>
          <w:rFonts w:ascii="Times New Roman" w:hAnsi="Times New Roman" w:cs="Times New Roman"/>
        </w:rPr>
        <w:t xml:space="preserve"> Akt </w:t>
      </w:r>
      <w:r w:rsidR="00B81591">
        <w:rPr>
          <w:rFonts w:ascii="Times New Roman" w:hAnsi="Times New Roman" w:cs="Times New Roman"/>
        </w:rPr>
        <w:t>over</w:t>
      </w:r>
      <w:r w:rsidR="005314DA">
        <w:rPr>
          <w:rFonts w:ascii="Times New Roman" w:hAnsi="Times New Roman" w:cs="Times New Roman"/>
        </w:rPr>
        <w:t xml:space="preserve"> the</w:t>
      </w:r>
      <w:r w:rsidR="00237F15">
        <w:rPr>
          <w:rFonts w:ascii="Times New Roman" w:hAnsi="Times New Roman" w:cs="Times New Roman"/>
        </w:rPr>
        <w:t xml:space="preserve"> P44/42 </w:t>
      </w:r>
      <w:r w:rsidR="005314DA">
        <w:rPr>
          <w:rFonts w:ascii="Times New Roman" w:hAnsi="Times New Roman" w:cs="Times New Roman"/>
        </w:rPr>
        <w:t xml:space="preserve">MAPK </w:t>
      </w:r>
      <w:r w:rsidR="00237F15">
        <w:rPr>
          <w:rFonts w:ascii="Times New Roman" w:hAnsi="Times New Roman" w:cs="Times New Roman"/>
        </w:rPr>
        <w:t xml:space="preserve">pathway. </w:t>
      </w:r>
    </w:p>
    <w:p w14:paraId="46EFB57D" w14:textId="77777777" w:rsidR="0003085D" w:rsidRDefault="0003085D" w:rsidP="00273628">
      <w:pPr>
        <w:rPr>
          <w:rFonts w:ascii="Times New Roman" w:hAnsi="Times New Roman" w:cs="Times New Roman"/>
          <w:b/>
          <w:noProof/>
          <w:u w:val="single"/>
        </w:rPr>
      </w:pPr>
    </w:p>
    <w:p w14:paraId="02754102" w14:textId="77777777" w:rsidR="00AC7BB4" w:rsidRDefault="00AC7BB4" w:rsidP="00273628">
      <w:pPr>
        <w:rPr>
          <w:rFonts w:ascii="Times New Roman" w:hAnsi="Times New Roman" w:cs="Times New Roman"/>
          <w:b/>
          <w:noProof/>
          <w:u w:val="single"/>
        </w:rPr>
      </w:pPr>
    </w:p>
    <w:p w14:paraId="674BAA63" w14:textId="77777777" w:rsidR="00AC7BB4" w:rsidRDefault="00AC7BB4" w:rsidP="00273628">
      <w:pPr>
        <w:rPr>
          <w:rFonts w:ascii="Times New Roman" w:hAnsi="Times New Roman" w:cs="Times New Roman"/>
          <w:b/>
          <w:noProof/>
          <w:u w:val="single"/>
        </w:rPr>
      </w:pPr>
    </w:p>
    <w:p w14:paraId="5CD48ECD" w14:textId="77777777" w:rsidR="00AC7BB4" w:rsidRDefault="00AC7BB4" w:rsidP="00273628">
      <w:pPr>
        <w:rPr>
          <w:rFonts w:ascii="Times New Roman" w:hAnsi="Times New Roman" w:cs="Times New Roman"/>
          <w:b/>
          <w:noProof/>
          <w:u w:val="single"/>
        </w:rPr>
      </w:pPr>
    </w:p>
    <w:p w14:paraId="61774276" w14:textId="77777777" w:rsidR="00AC7BB4" w:rsidRDefault="00AC7BB4" w:rsidP="00273628">
      <w:pPr>
        <w:rPr>
          <w:rFonts w:ascii="Times New Roman" w:hAnsi="Times New Roman" w:cs="Times New Roman"/>
          <w:b/>
          <w:noProof/>
          <w:u w:val="single"/>
        </w:rPr>
      </w:pPr>
    </w:p>
    <w:p w14:paraId="373D899A" w14:textId="77777777" w:rsidR="00AC7BB4" w:rsidRDefault="00AC7BB4" w:rsidP="00273628">
      <w:pPr>
        <w:rPr>
          <w:rFonts w:ascii="Times New Roman" w:hAnsi="Times New Roman" w:cs="Times New Roman"/>
          <w:b/>
          <w:noProof/>
          <w:u w:val="single"/>
        </w:rPr>
      </w:pPr>
    </w:p>
    <w:p w14:paraId="4ED49F87" w14:textId="77777777" w:rsidR="00AC7BB4" w:rsidRDefault="00AC7BB4" w:rsidP="00273628">
      <w:pPr>
        <w:rPr>
          <w:rFonts w:ascii="Times New Roman" w:hAnsi="Times New Roman" w:cs="Times New Roman"/>
          <w:b/>
          <w:noProof/>
          <w:u w:val="single"/>
        </w:rPr>
      </w:pPr>
    </w:p>
    <w:p w14:paraId="4DF8DBED" w14:textId="77777777" w:rsidR="00AC7BB4" w:rsidRDefault="00AC7BB4" w:rsidP="00273628">
      <w:pPr>
        <w:rPr>
          <w:rFonts w:ascii="Times New Roman" w:hAnsi="Times New Roman" w:cs="Times New Roman"/>
          <w:b/>
          <w:noProof/>
          <w:u w:val="single"/>
        </w:rPr>
      </w:pPr>
    </w:p>
    <w:p w14:paraId="5F1A03CA" w14:textId="77777777" w:rsidR="00AC7BB4" w:rsidRDefault="00AC7BB4" w:rsidP="00273628">
      <w:pPr>
        <w:rPr>
          <w:rFonts w:ascii="Times New Roman" w:hAnsi="Times New Roman" w:cs="Times New Roman"/>
          <w:b/>
          <w:noProof/>
          <w:u w:val="single"/>
        </w:rPr>
      </w:pPr>
    </w:p>
    <w:p w14:paraId="04103D6B" w14:textId="77777777" w:rsidR="00AC7BB4" w:rsidRDefault="00AC7BB4" w:rsidP="00273628">
      <w:pPr>
        <w:rPr>
          <w:rFonts w:ascii="Times New Roman" w:hAnsi="Times New Roman" w:cs="Times New Roman"/>
          <w:b/>
          <w:noProof/>
          <w:u w:val="single"/>
        </w:rPr>
      </w:pPr>
    </w:p>
    <w:p w14:paraId="7E10EDF6" w14:textId="77777777" w:rsidR="00AC7BB4" w:rsidRDefault="00AC7BB4" w:rsidP="00273628">
      <w:pPr>
        <w:rPr>
          <w:rFonts w:ascii="Times New Roman" w:hAnsi="Times New Roman" w:cs="Times New Roman"/>
          <w:b/>
          <w:noProof/>
          <w:u w:val="single"/>
        </w:rPr>
      </w:pPr>
    </w:p>
    <w:p w14:paraId="6A85EA21" w14:textId="77777777" w:rsidR="00AC7BB4" w:rsidRDefault="00AC7BB4" w:rsidP="00273628">
      <w:pPr>
        <w:rPr>
          <w:rFonts w:ascii="Times New Roman" w:hAnsi="Times New Roman" w:cs="Times New Roman"/>
          <w:b/>
          <w:noProof/>
          <w:u w:val="single"/>
        </w:rPr>
      </w:pPr>
    </w:p>
    <w:p w14:paraId="2E73E641" w14:textId="77777777" w:rsidR="00AC7BB4" w:rsidRDefault="00AC7BB4" w:rsidP="00273628">
      <w:pPr>
        <w:rPr>
          <w:rFonts w:ascii="Times New Roman" w:hAnsi="Times New Roman" w:cs="Times New Roman"/>
          <w:b/>
          <w:noProof/>
          <w:u w:val="single"/>
        </w:rPr>
      </w:pPr>
    </w:p>
    <w:p w14:paraId="2F552587" w14:textId="77777777" w:rsidR="00AC7BB4" w:rsidRDefault="00AC7BB4" w:rsidP="00273628">
      <w:pPr>
        <w:rPr>
          <w:rFonts w:ascii="Times New Roman" w:hAnsi="Times New Roman" w:cs="Times New Roman"/>
          <w:b/>
          <w:noProof/>
          <w:u w:val="single"/>
        </w:rPr>
      </w:pPr>
    </w:p>
    <w:p w14:paraId="708D84AE" w14:textId="77777777" w:rsidR="00AC7BB4" w:rsidRDefault="00AC7BB4" w:rsidP="00273628">
      <w:pPr>
        <w:rPr>
          <w:rFonts w:ascii="Times New Roman" w:hAnsi="Times New Roman" w:cs="Times New Roman"/>
          <w:b/>
          <w:noProof/>
          <w:u w:val="single"/>
        </w:rPr>
      </w:pPr>
    </w:p>
    <w:p w14:paraId="002802D9" w14:textId="77777777" w:rsidR="00AC7BB4" w:rsidRDefault="00AC7BB4" w:rsidP="00273628">
      <w:pPr>
        <w:rPr>
          <w:rFonts w:ascii="Times New Roman" w:hAnsi="Times New Roman" w:cs="Times New Roman"/>
          <w:b/>
          <w:noProof/>
          <w:u w:val="single"/>
        </w:rPr>
      </w:pPr>
    </w:p>
    <w:p w14:paraId="1A01E739" w14:textId="77777777" w:rsidR="00AC7BB4" w:rsidRDefault="00AC7BB4" w:rsidP="00273628">
      <w:pPr>
        <w:rPr>
          <w:rFonts w:ascii="Times New Roman" w:hAnsi="Times New Roman" w:cs="Times New Roman"/>
          <w:b/>
          <w:noProof/>
          <w:u w:val="single"/>
        </w:rPr>
      </w:pPr>
    </w:p>
    <w:p w14:paraId="56102583" w14:textId="77777777" w:rsidR="00AC7BB4" w:rsidRDefault="00AC7BB4" w:rsidP="00273628">
      <w:pPr>
        <w:rPr>
          <w:rFonts w:ascii="Times New Roman" w:hAnsi="Times New Roman" w:cs="Times New Roman"/>
          <w:b/>
          <w:noProof/>
          <w:u w:val="single"/>
        </w:rPr>
      </w:pPr>
    </w:p>
    <w:p w14:paraId="447BF673" w14:textId="77777777" w:rsidR="00AC7BB4" w:rsidRDefault="00AC7BB4" w:rsidP="00273628">
      <w:pPr>
        <w:rPr>
          <w:rFonts w:ascii="Times New Roman" w:hAnsi="Times New Roman" w:cs="Times New Roman"/>
          <w:b/>
          <w:noProof/>
          <w:u w:val="single"/>
        </w:rPr>
      </w:pPr>
    </w:p>
    <w:p w14:paraId="62AA805A" w14:textId="77777777" w:rsidR="00AC7BB4" w:rsidRDefault="00AC7BB4" w:rsidP="00273628">
      <w:pPr>
        <w:rPr>
          <w:rFonts w:ascii="Times New Roman" w:hAnsi="Times New Roman" w:cs="Times New Roman"/>
          <w:b/>
          <w:noProof/>
          <w:u w:val="single"/>
        </w:rPr>
      </w:pPr>
    </w:p>
    <w:p w14:paraId="420AF016" w14:textId="77777777" w:rsidR="00AC7BB4" w:rsidRDefault="00AC7BB4" w:rsidP="00273628">
      <w:pPr>
        <w:rPr>
          <w:rFonts w:ascii="Times New Roman" w:hAnsi="Times New Roman" w:cs="Times New Roman"/>
          <w:b/>
          <w:noProof/>
          <w:u w:val="single"/>
        </w:rPr>
      </w:pPr>
    </w:p>
    <w:p w14:paraId="3C3E6D25" w14:textId="77777777" w:rsidR="00AC7BB4" w:rsidRDefault="00AC7BB4" w:rsidP="00273628">
      <w:pPr>
        <w:rPr>
          <w:rFonts w:ascii="Times New Roman" w:hAnsi="Times New Roman" w:cs="Times New Roman"/>
          <w:b/>
          <w:noProof/>
          <w:u w:val="single"/>
        </w:rPr>
      </w:pPr>
    </w:p>
    <w:p w14:paraId="5512224E" w14:textId="77777777" w:rsidR="00E36700" w:rsidRDefault="00E36700" w:rsidP="008B3641">
      <w:pPr>
        <w:rPr>
          <w:rFonts w:ascii="Times New Roman" w:hAnsi="Times New Roman" w:cs="Times New Roman"/>
          <w:b/>
          <w:sz w:val="40"/>
          <w:szCs w:val="40"/>
        </w:rPr>
      </w:pPr>
    </w:p>
    <w:p w14:paraId="33BADB56" w14:textId="77777777" w:rsidR="00E36700" w:rsidRDefault="00E36700" w:rsidP="008B3641">
      <w:pPr>
        <w:rPr>
          <w:rFonts w:ascii="Times New Roman" w:hAnsi="Times New Roman" w:cs="Times New Roman"/>
          <w:b/>
          <w:sz w:val="40"/>
          <w:szCs w:val="40"/>
        </w:rPr>
      </w:pPr>
    </w:p>
    <w:p w14:paraId="29DC211F" w14:textId="77777777" w:rsidR="00EC12F6" w:rsidRDefault="00EC12F6" w:rsidP="008B3641">
      <w:pPr>
        <w:rPr>
          <w:rFonts w:ascii="Times New Roman" w:hAnsi="Times New Roman" w:cs="Times New Roman"/>
          <w:b/>
          <w:sz w:val="40"/>
          <w:szCs w:val="40"/>
        </w:rPr>
      </w:pPr>
    </w:p>
    <w:p w14:paraId="7CEF63D2" w14:textId="77777777" w:rsidR="00EC12F6" w:rsidRDefault="00EC12F6" w:rsidP="008B3641">
      <w:pPr>
        <w:rPr>
          <w:rFonts w:ascii="Times New Roman" w:hAnsi="Times New Roman" w:cs="Times New Roman"/>
          <w:b/>
          <w:sz w:val="40"/>
          <w:szCs w:val="40"/>
        </w:rPr>
      </w:pPr>
    </w:p>
    <w:p w14:paraId="49716FA1" w14:textId="77777777" w:rsidR="008B3641" w:rsidRPr="00CB67C0" w:rsidRDefault="008B3641" w:rsidP="008B3641">
      <w:pPr>
        <w:rPr>
          <w:rFonts w:ascii="Times New Roman" w:hAnsi="Times New Roman" w:cs="Times New Roman"/>
          <w:b/>
          <w:sz w:val="40"/>
          <w:szCs w:val="40"/>
        </w:rPr>
      </w:pPr>
      <w:r>
        <w:rPr>
          <w:rFonts w:ascii="Times New Roman" w:hAnsi="Times New Roman" w:cs="Times New Roman"/>
          <w:b/>
          <w:sz w:val="40"/>
          <w:szCs w:val="40"/>
        </w:rPr>
        <w:t>A.</w:t>
      </w:r>
    </w:p>
    <w:p w14:paraId="35834984" w14:textId="4A528DD8" w:rsidR="00CB67C0" w:rsidRDefault="005475B3" w:rsidP="00237F15">
      <w:pPr>
        <w:rPr>
          <w:rFonts w:ascii="Times New Roman" w:hAnsi="Times New Roman" w:cs="Times New Roman"/>
          <w:b/>
        </w:rPr>
      </w:pPr>
      <w:r>
        <w:rPr>
          <w:rFonts w:ascii="Times New Roman" w:hAnsi="Times New Roman" w:cs="Times New Roman"/>
          <w:b/>
        </w:rPr>
        <w:t xml:space="preserve">       </w:t>
      </w:r>
      <w:r w:rsidR="00F25BCE">
        <w:rPr>
          <w:rFonts w:ascii="Times New Roman" w:hAnsi="Times New Roman" w:cs="Times New Roman"/>
          <w:b/>
        </w:rPr>
        <w:t xml:space="preserve">     </w:t>
      </w:r>
      <w:r>
        <w:rPr>
          <w:rFonts w:ascii="Times New Roman" w:hAnsi="Times New Roman" w:cs="Times New Roman"/>
          <w:b/>
        </w:rPr>
        <w:t xml:space="preserve">      </w:t>
      </w:r>
      <w:r w:rsidR="00237F15">
        <w:rPr>
          <w:rFonts w:ascii="Times New Roman" w:hAnsi="Times New Roman" w:cs="Times New Roman"/>
          <w:b/>
          <w:noProof/>
        </w:rPr>
        <w:drawing>
          <wp:inline distT="0" distB="0" distL="0" distR="0" wp14:anchorId="2BECBF0F" wp14:editId="66585BAE">
            <wp:extent cx="3967585" cy="5097780"/>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rotWithShape="1">
                    <a:blip r:embed="rId32">
                      <a:extLst>
                        <a:ext uri="{28A0092B-C50C-407E-A947-70E740481C1C}">
                          <a14:useLocalDpi xmlns:a14="http://schemas.microsoft.com/office/drawing/2010/main" val="0"/>
                        </a:ext>
                      </a:extLst>
                    </a:blip>
                    <a:srcRect l="23518" t="4151" r="21844" b="2226"/>
                    <a:stretch/>
                  </pic:blipFill>
                  <pic:spPr bwMode="auto">
                    <a:xfrm>
                      <a:off x="0" y="0"/>
                      <a:ext cx="3968572" cy="5099049"/>
                    </a:xfrm>
                    <a:prstGeom prst="rect">
                      <a:avLst/>
                    </a:prstGeom>
                    <a:ln>
                      <a:noFill/>
                    </a:ln>
                    <a:extLst>
                      <a:ext uri="{53640926-AAD7-44d8-BBD7-CCE9431645EC}">
                        <a14:shadowObscured xmlns:a14="http://schemas.microsoft.com/office/drawing/2010/main"/>
                      </a:ext>
                    </a:extLst>
                  </pic:spPr>
                </pic:pic>
              </a:graphicData>
            </a:graphic>
          </wp:inline>
        </w:drawing>
      </w:r>
    </w:p>
    <w:p w14:paraId="38AA7F14" w14:textId="77777777" w:rsidR="00273628" w:rsidRDefault="00273628" w:rsidP="00237F15">
      <w:pPr>
        <w:rPr>
          <w:rFonts w:ascii="Times New Roman" w:hAnsi="Times New Roman" w:cs="Times New Roman"/>
          <w:b/>
          <w:sz w:val="40"/>
          <w:szCs w:val="40"/>
        </w:rPr>
      </w:pPr>
    </w:p>
    <w:p w14:paraId="3ACB873F" w14:textId="77777777" w:rsidR="003F0EE8" w:rsidRDefault="003F0EE8" w:rsidP="00237F15">
      <w:pPr>
        <w:rPr>
          <w:rFonts w:ascii="Times New Roman" w:hAnsi="Times New Roman" w:cs="Times New Roman"/>
          <w:b/>
          <w:sz w:val="40"/>
          <w:szCs w:val="40"/>
        </w:rPr>
      </w:pPr>
    </w:p>
    <w:p w14:paraId="2D104253" w14:textId="77777777" w:rsidR="003F0EE8" w:rsidRDefault="003F0EE8" w:rsidP="00237F15">
      <w:pPr>
        <w:rPr>
          <w:rFonts w:ascii="Times New Roman" w:hAnsi="Times New Roman" w:cs="Times New Roman"/>
          <w:b/>
          <w:sz w:val="40"/>
          <w:szCs w:val="40"/>
        </w:rPr>
      </w:pPr>
    </w:p>
    <w:p w14:paraId="63CD2ABD" w14:textId="77777777" w:rsidR="003F0EE8" w:rsidRDefault="003F0EE8" w:rsidP="00237F15">
      <w:pPr>
        <w:rPr>
          <w:rFonts w:ascii="Times New Roman" w:hAnsi="Times New Roman" w:cs="Times New Roman"/>
          <w:b/>
          <w:sz w:val="40"/>
          <w:szCs w:val="40"/>
        </w:rPr>
      </w:pPr>
    </w:p>
    <w:p w14:paraId="43021026" w14:textId="77777777" w:rsidR="003F0EE8" w:rsidRDefault="003F0EE8" w:rsidP="00237F15">
      <w:pPr>
        <w:rPr>
          <w:rFonts w:ascii="Times New Roman" w:hAnsi="Times New Roman" w:cs="Times New Roman"/>
          <w:b/>
          <w:sz w:val="40"/>
          <w:szCs w:val="40"/>
        </w:rPr>
      </w:pPr>
    </w:p>
    <w:p w14:paraId="41326B3B" w14:textId="77777777" w:rsidR="003F0EE8" w:rsidRDefault="003F0EE8" w:rsidP="00237F15">
      <w:pPr>
        <w:rPr>
          <w:rFonts w:ascii="Times New Roman" w:hAnsi="Times New Roman" w:cs="Times New Roman"/>
          <w:b/>
          <w:sz w:val="40"/>
          <w:szCs w:val="40"/>
        </w:rPr>
      </w:pPr>
    </w:p>
    <w:p w14:paraId="41EDF0DE" w14:textId="77777777" w:rsidR="00AC7BB4" w:rsidRDefault="00AC7BB4" w:rsidP="00237F15">
      <w:pPr>
        <w:rPr>
          <w:rFonts w:ascii="Times New Roman" w:hAnsi="Times New Roman" w:cs="Times New Roman"/>
          <w:b/>
          <w:sz w:val="40"/>
          <w:szCs w:val="40"/>
        </w:rPr>
      </w:pPr>
    </w:p>
    <w:p w14:paraId="603E58FA" w14:textId="77777777" w:rsidR="00AC7BB4" w:rsidRDefault="00AC7BB4" w:rsidP="00237F15">
      <w:pPr>
        <w:rPr>
          <w:rFonts w:ascii="Times New Roman" w:hAnsi="Times New Roman" w:cs="Times New Roman"/>
          <w:b/>
          <w:sz w:val="40"/>
          <w:szCs w:val="40"/>
        </w:rPr>
      </w:pPr>
    </w:p>
    <w:p w14:paraId="52E850FA" w14:textId="77777777" w:rsidR="00AC7BB4" w:rsidRDefault="00AC7BB4" w:rsidP="00237F15">
      <w:pPr>
        <w:rPr>
          <w:rFonts w:ascii="Times New Roman" w:hAnsi="Times New Roman" w:cs="Times New Roman"/>
          <w:b/>
          <w:sz w:val="40"/>
          <w:szCs w:val="40"/>
        </w:rPr>
      </w:pPr>
    </w:p>
    <w:p w14:paraId="35775EB6" w14:textId="77777777" w:rsidR="00AC7BB4" w:rsidRDefault="00AC7BB4" w:rsidP="00237F15">
      <w:pPr>
        <w:rPr>
          <w:rFonts w:ascii="Times New Roman" w:hAnsi="Times New Roman" w:cs="Times New Roman"/>
          <w:b/>
          <w:sz w:val="40"/>
          <w:szCs w:val="40"/>
        </w:rPr>
      </w:pPr>
    </w:p>
    <w:p w14:paraId="012CA05A" w14:textId="77777777" w:rsidR="002C11AB" w:rsidRDefault="002C11AB" w:rsidP="00237F15">
      <w:pPr>
        <w:rPr>
          <w:rFonts w:ascii="Times New Roman" w:hAnsi="Times New Roman" w:cs="Times New Roman"/>
          <w:b/>
          <w:sz w:val="40"/>
          <w:szCs w:val="40"/>
        </w:rPr>
      </w:pPr>
    </w:p>
    <w:p w14:paraId="08A81E41" w14:textId="349D5A29" w:rsidR="00CB67C0" w:rsidRPr="00CB67C0" w:rsidRDefault="00CB67C0" w:rsidP="00237F15">
      <w:pPr>
        <w:rPr>
          <w:rFonts w:ascii="Times New Roman" w:hAnsi="Times New Roman" w:cs="Times New Roman"/>
          <w:b/>
          <w:sz w:val="40"/>
          <w:szCs w:val="40"/>
        </w:rPr>
      </w:pPr>
      <w:r>
        <w:rPr>
          <w:rFonts w:ascii="Times New Roman" w:hAnsi="Times New Roman" w:cs="Times New Roman"/>
          <w:b/>
          <w:sz w:val="40"/>
          <w:szCs w:val="40"/>
        </w:rPr>
        <w:t>B.</w:t>
      </w:r>
    </w:p>
    <w:p w14:paraId="3DA5C13B" w14:textId="3684554D" w:rsidR="00237F15" w:rsidRPr="004975E3" w:rsidRDefault="005475B3" w:rsidP="00237F15">
      <w:pPr>
        <w:rPr>
          <w:rFonts w:ascii="Times New Roman" w:hAnsi="Times New Roman" w:cs="Times New Roman"/>
          <w:b/>
        </w:rPr>
      </w:pPr>
      <w:r>
        <w:rPr>
          <w:rFonts w:ascii="Times New Roman" w:hAnsi="Times New Roman" w:cs="Times New Roman"/>
          <w:b/>
        </w:rPr>
        <w:t xml:space="preserve">       </w:t>
      </w:r>
      <w:r w:rsidR="003F0EE8">
        <w:rPr>
          <w:rFonts w:ascii="Times New Roman" w:hAnsi="Times New Roman" w:cs="Times New Roman"/>
          <w:b/>
        </w:rPr>
        <w:t xml:space="preserve">    </w:t>
      </w:r>
      <w:r>
        <w:rPr>
          <w:rFonts w:ascii="Times New Roman" w:hAnsi="Times New Roman" w:cs="Times New Roman"/>
          <w:b/>
        </w:rPr>
        <w:t xml:space="preserve"> </w:t>
      </w:r>
      <w:r w:rsidR="00F25BCE">
        <w:rPr>
          <w:rFonts w:ascii="Times New Roman" w:hAnsi="Times New Roman" w:cs="Times New Roman"/>
          <w:b/>
        </w:rPr>
        <w:t xml:space="preserve">    </w:t>
      </w:r>
      <w:r>
        <w:rPr>
          <w:rFonts w:ascii="Times New Roman" w:hAnsi="Times New Roman" w:cs="Times New Roman"/>
          <w:b/>
        </w:rPr>
        <w:t xml:space="preserve">   </w:t>
      </w:r>
      <w:r w:rsidR="00237F15">
        <w:rPr>
          <w:rFonts w:ascii="Times New Roman" w:hAnsi="Times New Roman" w:cs="Times New Roman"/>
          <w:b/>
          <w:noProof/>
        </w:rPr>
        <w:drawing>
          <wp:inline distT="0" distB="0" distL="0" distR="0" wp14:anchorId="7082FED7" wp14:editId="2DD5E081">
            <wp:extent cx="3960223" cy="3960823"/>
            <wp:effectExtent l="0" t="0" r="254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33">
                      <a:extLst>
                        <a:ext uri="{28A0092B-C50C-407E-A947-70E740481C1C}">
                          <a14:useLocalDpi xmlns:a14="http://schemas.microsoft.com/office/drawing/2010/main" val="0"/>
                        </a:ext>
                      </a:extLst>
                    </a:blip>
                    <a:srcRect l="16945" t="6918" r="20113" b="9126"/>
                    <a:stretch/>
                  </pic:blipFill>
                  <pic:spPr bwMode="auto">
                    <a:xfrm>
                      <a:off x="0" y="0"/>
                      <a:ext cx="3963706" cy="3964307"/>
                    </a:xfrm>
                    <a:prstGeom prst="rect">
                      <a:avLst/>
                    </a:prstGeom>
                    <a:ln>
                      <a:noFill/>
                    </a:ln>
                    <a:extLst>
                      <a:ext uri="{53640926-AAD7-44d8-BBD7-CCE9431645EC}">
                        <a14:shadowObscured xmlns:a14="http://schemas.microsoft.com/office/drawing/2010/main"/>
                      </a:ext>
                    </a:extLst>
                  </pic:spPr>
                </pic:pic>
              </a:graphicData>
            </a:graphic>
          </wp:inline>
        </w:drawing>
      </w:r>
    </w:p>
    <w:p w14:paraId="1AF2D94A" w14:textId="77777777" w:rsidR="00237F15" w:rsidRPr="004975E3" w:rsidRDefault="00237F15" w:rsidP="00237F15">
      <w:pPr>
        <w:rPr>
          <w:rFonts w:ascii="Times New Roman" w:hAnsi="Times New Roman" w:cs="Times New Roman"/>
          <w:b/>
        </w:rPr>
      </w:pPr>
    </w:p>
    <w:p w14:paraId="50BA0405" w14:textId="77777777" w:rsidR="00A83395" w:rsidRDefault="00652FF0" w:rsidP="001627E2">
      <w:pPr>
        <w:pStyle w:val="Caption"/>
      </w:pPr>
      <w:bookmarkStart w:id="990" w:name="_Toc333569051"/>
      <w:bookmarkStart w:id="991" w:name="_Toc333569276"/>
      <w:bookmarkStart w:id="992" w:name="_Toc333570830"/>
      <w:bookmarkStart w:id="993" w:name="_Toc333582213"/>
      <w:bookmarkStart w:id="994" w:name="_Toc333582333"/>
      <w:bookmarkStart w:id="995" w:name="_Toc333582745"/>
      <w:bookmarkStart w:id="996" w:name="_Toc333583115"/>
      <w:bookmarkStart w:id="997" w:name="_Toc333584084"/>
      <w:bookmarkStart w:id="998" w:name="_Toc333585218"/>
      <w:bookmarkStart w:id="999" w:name="_Toc333586770"/>
      <w:bookmarkStart w:id="1000" w:name="_Toc333644469"/>
      <w:bookmarkStart w:id="1001" w:name="_Toc333644763"/>
      <w:r>
        <w:t>Figure 3.4</w:t>
      </w:r>
      <w:r w:rsidR="0043060F">
        <w:t>.</w:t>
      </w:r>
      <w:r w:rsidR="00237F15">
        <w:t xml:space="preserve"> </w:t>
      </w:r>
      <w:r w:rsidR="00237F15" w:rsidRPr="000B5A78">
        <w:t>IGF1 signalling impairment in ScienCell (1) astrocytes</w:t>
      </w:r>
      <w:r w:rsidR="00237F15">
        <w:t>.</w:t>
      </w:r>
      <w:bookmarkEnd w:id="990"/>
      <w:bookmarkEnd w:id="991"/>
      <w:bookmarkEnd w:id="992"/>
      <w:bookmarkEnd w:id="993"/>
      <w:bookmarkEnd w:id="994"/>
      <w:bookmarkEnd w:id="995"/>
      <w:bookmarkEnd w:id="996"/>
      <w:bookmarkEnd w:id="997"/>
      <w:bookmarkEnd w:id="998"/>
      <w:bookmarkEnd w:id="999"/>
      <w:bookmarkEnd w:id="1000"/>
      <w:bookmarkEnd w:id="1001"/>
      <w:r w:rsidR="00237F15">
        <w:t xml:space="preserve"> </w:t>
      </w:r>
    </w:p>
    <w:p w14:paraId="7186B217" w14:textId="0B39129B" w:rsidR="00237F15" w:rsidRPr="00A53580" w:rsidRDefault="00CB67C0" w:rsidP="003E7BDB">
      <w:pPr>
        <w:spacing w:line="360" w:lineRule="auto"/>
        <w:jc w:val="both"/>
        <w:rPr>
          <w:rFonts w:ascii="Times New Roman" w:hAnsi="Times New Roman" w:cs="Times New Roman"/>
        </w:rPr>
      </w:pPr>
      <w:r w:rsidRPr="00202F9B">
        <w:rPr>
          <w:rFonts w:ascii="Times New Roman" w:hAnsi="Times New Roman" w:cs="Times New Roman"/>
          <w:b/>
        </w:rPr>
        <w:t>A</w:t>
      </w:r>
      <w:r>
        <w:rPr>
          <w:rFonts w:ascii="Times New Roman" w:hAnsi="Times New Roman" w:cs="Times New Roman"/>
        </w:rPr>
        <w:t>:</w:t>
      </w:r>
      <w:r w:rsidR="00237F15">
        <w:rPr>
          <w:rFonts w:ascii="Times New Roman" w:hAnsi="Times New Roman" w:cs="Times New Roman"/>
        </w:rPr>
        <w:t xml:space="preserve"> Treatment of astrocytes for 24 hou</w:t>
      </w:r>
      <w:r w:rsidR="008812B5">
        <w:rPr>
          <w:rFonts w:ascii="Times New Roman" w:hAnsi="Times New Roman" w:cs="Times New Roman"/>
        </w:rPr>
        <w:t>rs with 11μg/ml of MAB391 caused</w:t>
      </w:r>
      <w:r w:rsidR="00237F15">
        <w:rPr>
          <w:rFonts w:ascii="Times New Roman" w:hAnsi="Times New Roman" w:cs="Times New Roman"/>
        </w:rPr>
        <w:t xml:space="preserve"> loss </w:t>
      </w:r>
      <w:r>
        <w:rPr>
          <w:rFonts w:ascii="Times New Roman" w:hAnsi="Times New Roman" w:cs="Times New Roman"/>
        </w:rPr>
        <w:t>of IGF1R and reduced phospho Akt</w:t>
      </w:r>
      <w:r w:rsidR="00237F15">
        <w:rPr>
          <w:rFonts w:ascii="Times New Roman" w:hAnsi="Times New Roman" w:cs="Times New Roman"/>
        </w:rPr>
        <w:t xml:space="preserve"> (s473).</w:t>
      </w:r>
      <w:r w:rsidR="00237F15" w:rsidRPr="00075F4B">
        <w:rPr>
          <w:rFonts w:ascii="Times New Roman" w:hAnsi="Times New Roman" w:cs="Times New Roman"/>
        </w:rPr>
        <w:t xml:space="preserve"> </w:t>
      </w:r>
      <w:r w:rsidR="00237F15">
        <w:rPr>
          <w:rFonts w:ascii="Times New Roman" w:hAnsi="Times New Roman" w:cs="Times New Roman"/>
        </w:rPr>
        <w:t xml:space="preserve">Representative </w:t>
      </w:r>
      <w:r w:rsidR="00AB0487">
        <w:rPr>
          <w:rFonts w:ascii="Times New Roman" w:hAnsi="Times New Roman" w:cs="Times New Roman"/>
        </w:rPr>
        <w:t>western blots</w:t>
      </w:r>
      <w:r w:rsidR="00237F15">
        <w:rPr>
          <w:rFonts w:ascii="Times New Roman" w:hAnsi="Times New Roman" w:cs="Times New Roman"/>
        </w:rPr>
        <w:t xml:space="preserve"> probed with antibodies against </w:t>
      </w:r>
      <w:r>
        <w:rPr>
          <w:rFonts w:ascii="Times New Roman" w:hAnsi="Times New Roman" w:cs="Times New Roman"/>
        </w:rPr>
        <w:t>IRβ, IGF1Rβ, pAkt, Total Akt</w:t>
      </w:r>
      <w:r w:rsidR="00237F15">
        <w:rPr>
          <w:rFonts w:ascii="Times New Roman" w:hAnsi="Times New Roman" w:cs="Times New Roman"/>
        </w:rPr>
        <w:t xml:space="preserve">, pP44/42 MAPK and P44/42 MAPK are shown, </w:t>
      </w:r>
      <w:r>
        <w:rPr>
          <w:rFonts w:ascii="Times New Roman" w:hAnsi="Times New Roman" w:cs="Times New Roman"/>
        </w:rPr>
        <w:t>with α-tubulin used as loading control (representative loading control shown).</w:t>
      </w:r>
      <w:r w:rsidR="00237F15">
        <w:rPr>
          <w:rFonts w:ascii="Times New Roman" w:hAnsi="Times New Roman" w:cs="Times New Roman"/>
        </w:rPr>
        <w:t xml:space="preserve"> Molecular weight markers are indicated (kDa) </w:t>
      </w:r>
      <w:r w:rsidRPr="00202F9B">
        <w:rPr>
          <w:rFonts w:ascii="Times New Roman" w:hAnsi="Times New Roman" w:cs="Times New Roman"/>
          <w:b/>
        </w:rPr>
        <w:t>B</w:t>
      </w:r>
      <w:r>
        <w:rPr>
          <w:rFonts w:ascii="Times New Roman" w:hAnsi="Times New Roman" w:cs="Times New Roman"/>
        </w:rPr>
        <w:t>:</w:t>
      </w:r>
      <w:r w:rsidR="00237F15">
        <w:rPr>
          <w:rFonts w:ascii="Times New Roman" w:hAnsi="Times New Roman" w:cs="Times New Roman"/>
        </w:rPr>
        <w:t xml:space="preserve"> Bar charts representing changes in IGF1Rβ,</w:t>
      </w:r>
      <w:r w:rsidR="00237F15" w:rsidRPr="00075F4B">
        <w:rPr>
          <w:rFonts w:ascii="Times New Roman" w:hAnsi="Times New Roman" w:cs="Times New Roman"/>
        </w:rPr>
        <w:t xml:space="preserve"> </w:t>
      </w:r>
      <w:r w:rsidR="006601E6">
        <w:rPr>
          <w:rFonts w:ascii="Times New Roman" w:hAnsi="Times New Roman" w:cs="Times New Roman"/>
        </w:rPr>
        <w:t>IRβ, phospho Akt (s473) and T-Akt</w:t>
      </w:r>
      <w:r w:rsidR="00237F15">
        <w:rPr>
          <w:rFonts w:ascii="Times New Roman" w:hAnsi="Times New Roman" w:cs="Times New Roman"/>
        </w:rPr>
        <w:t xml:space="preserve"> as a result of M</w:t>
      </w:r>
      <w:r w:rsidR="00A32B6D">
        <w:rPr>
          <w:rFonts w:ascii="Times New Roman" w:hAnsi="Times New Roman" w:cs="Times New Roman"/>
        </w:rPr>
        <w:t>AB391 treatment. Data are mean ±</w:t>
      </w:r>
      <w:r w:rsidR="00237F15">
        <w:rPr>
          <w:rFonts w:ascii="Times New Roman" w:hAnsi="Times New Roman" w:cs="Times New Roman"/>
        </w:rPr>
        <w:t xml:space="preserve"> SEM (n=3, 3 replicates/experiments, unpaired t-test ***p&lt;0.001, ****p&lt;0.0001)</w:t>
      </w:r>
      <w:r w:rsidR="0012548E">
        <w:rPr>
          <w:rFonts w:ascii="Times New Roman" w:hAnsi="Times New Roman" w:cs="Times New Roman"/>
        </w:rPr>
        <w:t>.</w:t>
      </w:r>
    </w:p>
    <w:p w14:paraId="540021CE" w14:textId="77777777" w:rsidR="00273628" w:rsidRDefault="00273628" w:rsidP="0061077F">
      <w:pPr>
        <w:spacing w:line="360" w:lineRule="auto"/>
        <w:rPr>
          <w:rFonts w:ascii="Times New Roman" w:hAnsi="Times New Roman" w:cs="Times New Roman"/>
        </w:rPr>
      </w:pPr>
    </w:p>
    <w:p w14:paraId="21EF094E" w14:textId="23D09C66" w:rsidR="00D16527" w:rsidRPr="008812B5" w:rsidRDefault="00D16527" w:rsidP="003E7BDB">
      <w:pPr>
        <w:spacing w:line="360" w:lineRule="auto"/>
        <w:jc w:val="both"/>
        <w:rPr>
          <w:rFonts w:ascii="Times New Roman" w:hAnsi="Times New Roman" w:cs="Times New Roman"/>
          <w:color w:val="FF0000"/>
        </w:rPr>
      </w:pPr>
      <w:r>
        <w:rPr>
          <w:rFonts w:ascii="Times New Roman" w:hAnsi="Times New Roman" w:cs="Times New Roman"/>
        </w:rPr>
        <w:t>An extended timepoint was also included to determine whether the reduction in</w:t>
      </w:r>
      <w:r w:rsidR="00AA1762">
        <w:rPr>
          <w:rFonts w:ascii="Times New Roman" w:hAnsi="Times New Roman" w:cs="Times New Roman"/>
        </w:rPr>
        <w:t xml:space="preserve"> IGF1R levels and</w:t>
      </w:r>
      <w:r>
        <w:rPr>
          <w:rFonts w:ascii="Times New Roman" w:hAnsi="Times New Roman" w:cs="Times New Roman"/>
        </w:rPr>
        <w:t xml:space="preserve"> signalling</w:t>
      </w:r>
      <w:r w:rsidR="00AA1762">
        <w:rPr>
          <w:rFonts w:ascii="Times New Roman" w:hAnsi="Times New Roman" w:cs="Times New Roman"/>
        </w:rPr>
        <w:t xml:space="preserve"> through Akt</w:t>
      </w:r>
      <w:r>
        <w:rPr>
          <w:rFonts w:ascii="Times New Roman" w:hAnsi="Times New Roman" w:cs="Times New Roman"/>
        </w:rPr>
        <w:t xml:space="preserve"> persisted. Astrocytes were cultured with MAB391 for 24 hours, media was then exchanged and astrocytes cultured for a further 72 hours. The reduction in IGF1R persisted a</w:t>
      </w:r>
      <w:r w:rsidR="00D40298">
        <w:rPr>
          <w:rFonts w:ascii="Times New Roman" w:hAnsi="Times New Roman" w:cs="Times New Roman"/>
        </w:rPr>
        <w:t>t this later timepoint (96hr) (</w:t>
      </w:r>
      <w:r w:rsidR="00D40298" w:rsidRPr="00D40298">
        <w:rPr>
          <w:rFonts w:ascii="Times New Roman" w:hAnsi="Times New Roman" w:cs="Times New Roman"/>
          <w:b/>
        </w:rPr>
        <w:t>f</w:t>
      </w:r>
      <w:r w:rsidRPr="00D40298">
        <w:rPr>
          <w:rFonts w:ascii="Times New Roman" w:hAnsi="Times New Roman" w:cs="Times New Roman"/>
          <w:b/>
        </w:rPr>
        <w:t xml:space="preserve">igure </w:t>
      </w:r>
      <w:r w:rsidR="00B51BCF" w:rsidRPr="00D40298">
        <w:rPr>
          <w:rFonts w:ascii="Times New Roman" w:hAnsi="Times New Roman" w:cs="Times New Roman"/>
          <w:b/>
        </w:rPr>
        <w:t>3.5 A and B</w:t>
      </w:r>
      <w:r w:rsidR="00B51BCF">
        <w:rPr>
          <w:rFonts w:ascii="Times New Roman" w:hAnsi="Times New Roman" w:cs="Times New Roman"/>
        </w:rPr>
        <w:t>, p&lt; 0.0001</w:t>
      </w:r>
      <w:r>
        <w:rPr>
          <w:rFonts w:ascii="Times New Roman" w:hAnsi="Times New Roman" w:cs="Times New Roman"/>
        </w:rPr>
        <w:t>) but there was no significant difference in pAkt levels between contro</w:t>
      </w:r>
      <w:r w:rsidR="00AA1762">
        <w:rPr>
          <w:rFonts w:ascii="Times New Roman" w:hAnsi="Times New Roman" w:cs="Times New Roman"/>
        </w:rPr>
        <w:t>l and MAB391 treatment</w:t>
      </w:r>
      <w:r w:rsidR="00C248CC">
        <w:rPr>
          <w:rFonts w:ascii="Times New Roman" w:hAnsi="Times New Roman" w:cs="Times New Roman"/>
        </w:rPr>
        <w:t>,</w:t>
      </w:r>
      <w:r w:rsidR="00B51BCF">
        <w:rPr>
          <w:rFonts w:ascii="Times New Roman" w:hAnsi="Times New Roman" w:cs="Times New Roman"/>
        </w:rPr>
        <w:t xml:space="preserve"> (</w:t>
      </w:r>
      <w:r w:rsidR="00B51BCF" w:rsidRPr="00213B66">
        <w:rPr>
          <w:rFonts w:ascii="Times New Roman" w:hAnsi="Times New Roman" w:cs="Times New Roman"/>
          <w:b/>
        </w:rPr>
        <w:t>Figure 3.5 A and B</w:t>
      </w:r>
      <w:r>
        <w:rPr>
          <w:rFonts w:ascii="Times New Roman" w:hAnsi="Times New Roman" w:cs="Times New Roman"/>
        </w:rPr>
        <w:t>) indicating a</w:t>
      </w:r>
      <w:r w:rsidR="00B81591">
        <w:rPr>
          <w:rFonts w:ascii="Times New Roman" w:hAnsi="Times New Roman" w:cs="Times New Roman"/>
        </w:rPr>
        <w:t xml:space="preserve"> recovery of Akt activity</w:t>
      </w:r>
      <w:r>
        <w:rPr>
          <w:rFonts w:ascii="Times New Roman" w:hAnsi="Times New Roman" w:cs="Times New Roman"/>
        </w:rPr>
        <w:t>. pP44/42 MAPK levels were also unchanged at the 96hr timepoint. The impact of MAB391 on i</w:t>
      </w:r>
      <w:r w:rsidR="00B23900">
        <w:rPr>
          <w:rFonts w:ascii="Times New Roman" w:hAnsi="Times New Roman" w:cs="Times New Roman"/>
        </w:rPr>
        <w:t>nsulin receptor (IR) levels was</w:t>
      </w:r>
      <w:r>
        <w:rPr>
          <w:rFonts w:ascii="Times New Roman" w:hAnsi="Times New Roman" w:cs="Times New Roman"/>
        </w:rPr>
        <w:t xml:space="preserve"> also determined since IGF1R subunits are able to form heterodimers with IR subunits. IR levels we</w:t>
      </w:r>
      <w:r w:rsidR="008812B5">
        <w:rPr>
          <w:rFonts w:ascii="Times New Roman" w:hAnsi="Times New Roman" w:cs="Times New Roman"/>
        </w:rPr>
        <w:t>r</w:t>
      </w:r>
      <w:r>
        <w:rPr>
          <w:rFonts w:ascii="Times New Roman" w:hAnsi="Times New Roman" w:cs="Times New Roman"/>
        </w:rPr>
        <w:t>e significantly reduced at the 96hr timepoi</w:t>
      </w:r>
      <w:r w:rsidR="00D40298">
        <w:rPr>
          <w:rFonts w:ascii="Times New Roman" w:hAnsi="Times New Roman" w:cs="Times New Roman"/>
        </w:rPr>
        <w:t>nt (</w:t>
      </w:r>
      <w:r w:rsidR="00D40298" w:rsidRPr="00D40298">
        <w:rPr>
          <w:rFonts w:ascii="Times New Roman" w:hAnsi="Times New Roman" w:cs="Times New Roman"/>
          <w:b/>
        </w:rPr>
        <w:t>f</w:t>
      </w:r>
      <w:r w:rsidRPr="00D40298">
        <w:rPr>
          <w:rFonts w:ascii="Times New Roman" w:hAnsi="Times New Roman" w:cs="Times New Roman"/>
          <w:b/>
        </w:rPr>
        <w:t xml:space="preserve">igure </w:t>
      </w:r>
      <w:r w:rsidR="00B51BCF" w:rsidRPr="00D40298">
        <w:rPr>
          <w:rFonts w:ascii="Times New Roman" w:hAnsi="Times New Roman" w:cs="Times New Roman"/>
          <w:b/>
        </w:rPr>
        <w:t>3.5 A and B</w:t>
      </w:r>
      <w:r w:rsidR="00B51BCF">
        <w:rPr>
          <w:rFonts w:ascii="Times New Roman" w:hAnsi="Times New Roman" w:cs="Times New Roman"/>
        </w:rPr>
        <w:t>, p&lt; 0.05</w:t>
      </w:r>
      <w:r>
        <w:rPr>
          <w:rFonts w:ascii="Times New Roman" w:hAnsi="Times New Roman" w:cs="Times New Roman"/>
        </w:rPr>
        <w:t>)</w:t>
      </w:r>
      <w:r w:rsidR="00C248CC">
        <w:rPr>
          <w:rFonts w:ascii="Times New Roman" w:hAnsi="Times New Roman" w:cs="Times New Roman"/>
        </w:rPr>
        <w:t>.</w:t>
      </w:r>
    </w:p>
    <w:p w14:paraId="732F567E" w14:textId="77777777" w:rsidR="002846EA" w:rsidRDefault="002846EA" w:rsidP="003E7BDB">
      <w:pPr>
        <w:jc w:val="both"/>
        <w:rPr>
          <w:rFonts w:ascii="Times New Roman" w:hAnsi="Times New Roman" w:cs="Times New Roman"/>
          <w:b/>
        </w:rPr>
      </w:pPr>
    </w:p>
    <w:p w14:paraId="19153B85" w14:textId="77777777" w:rsidR="007E363A" w:rsidRDefault="007E363A" w:rsidP="003E7BDB">
      <w:pPr>
        <w:jc w:val="both"/>
        <w:rPr>
          <w:rFonts w:ascii="Times New Roman" w:hAnsi="Times New Roman" w:cs="Times New Roman"/>
          <w:b/>
        </w:rPr>
      </w:pPr>
    </w:p>
    <w:p w14:paraId="7A161449" w14:textId="2FF91315" w:rsidR="002846EA" w:rsidRPr="005475B3" w:rsidRDefault="007E363A" w:rsidP="003E7BDB">
      <w:pPr>
        <w:jc w:val="both"/>
        <w:rPr>
          <w:rFonts w:ascii="Times New Roman" w:hAnsi="Times New Roman" w:cs="Times New Roman"/>
          <w:b/>
          <w:sz w:val="40"/>
          <w:szCs w:val="40"/>
        </w:rPr>
      </w:pPr>
      <w:r>
        <w:rPr>
          <w:rFonts w:ascii="Times New Roman" w:hAnsi="Times New Roman" w:cs="Times New Roman"/>
          <w:b/>
          <w:sz w:val="40"/>
          <w:szCs w:val="40"/>
        </w:rPr>
        <w:t>A.</w:t>
      </w:r>
    </w:p>
    <w:p w14:paraId="4AB87888" w14:textId="30D6B456" w:rsidR="007E363A" w:rsidRDefault="002846EA">
      <w:pPr>
        <w:rPr>
          <w:rFonts w:ascii="Times New Roman" w:hAnsi="Times New Roman" w:cs="Times New Roman"/>
          <w:b/>
        </w:rPr>
      </w:pPr>
      <w:r>
        <w:rPr>
          <w:rFonts w:ascii="Times New Roman" w:hAnsi="Times New Roman" w:cs="Times New Roman"/>
          <w:b/>
        </w:rPr>
        <w:t xml:space="preserve"> </w:t>
      </w:r>
      <w:r w:rsidR="005475B3">
        <w:rPr>
          <w:rFonts w:ascii="Times New Roman" w:hAnsi="Times New Roman" w:cs="Times New Roman"/>
          <w:b/>
        </w:rPr>
        <w:t xml:space="preserve">         </w:t>
      </w:r>
      <w:r w:rsidR="001030D1" w:rsidRPr="004975E3">
        <w:rPr>
          <w:rFonts w:ascii="Times New Roman" w:hAnsi="Times New Roman" w:cs="Times New Roman"/>
          <w:b/>
        </w:rPr>
        <w:t xml:space="preserve">  </w:t>
      </w:r>
      <w:r w:rsidR="00F25BCE">
        <w:rPr>
          <w:rFonts w:ascii="Times New Roman" w:hAnsi="Times New Roman" w:cs="Times New Roman"/>
          <w:b/>
        </w:rPr>
        <w:t xml:space="preserve">  </w:t>
      </w:r>
      <w:r w:rsidR="001030D1" w:rsidRPr="004975E3">
        <w:rPr>
          <w:rFonts w:ascii="Times New Roman" w:hAnsi="Times New Roman" w:cs="Times New Roman"/>
          <w:b/>
        </w:rPr>
        <w:t xml:space="preserve">   </w:t>
      </w:r>
      <w:r w:rsidR="005475B3">
        <w:rPr>
          <w:rFonts w:ascii="Times New Roman" w:hAnsi="Times New Roman" w:cs="Times New Roman"/>
          <w:b/>
        </w:rPr>
        <w:t xml:space="preserve">   </w:t>
      </w:r>
      <w:r w:rsidR="009B4711">
        <w:rPr>
          <w:rFonts w:ascii="Times New Roman" w:hAnsi="Times New Roman" w:cs="Times New Roman"/>
          <w:b/>
          <w:noProof/>
        </w:rPr>
        <w:drawing>
          <wp:inline distT="0" distB="0" distL="0" distR="0" wp14:anchorId="541EB682" wp14:editId="5BDB7D3B">
            <wp:extent cx="3271229" cy="4229100"/>
            <wp:effectExtent l="0" t="0" r="571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rotWithShape="1">
                    <a:blip r:embed="rId34">
                      <a:extLst>
                        <a:ext uri="{28A0092B-C50C-407E-A947-70E740481C1C}">
                          <a14:useLocalDpi xmlns:a14="http://schemas.microsoft.com/office/drawing/2010/main" val="0"/>
                        </a:ext>
                      </a:extLst>
                    </a:blip>
                    <a:srcRect l="8303" t="5073" r="40855" b="7266"/>
                    <a:stretch/>
                  </pic:blipFill>
                  <pic:spPr bwMode="auto">
                    <a:xfrm>
                      <a:off x="0" y="0"/>
                      <a:ext cx="3274306" cy="4233078"/>
                    </a:xfrm>
                    <a:prstGeom prst="rect">
                      <a:avLst/>
                    </a:prstGeom>
                    <a:ln>
                      <a:noFill/>
                    </a:ln>
                    <a:extLst>
                      <a:ext uri="{53640926-AAD7-44d8-BBD7-CCE9431645EC}">
                        <a14:shadowObscured xmlns:a14="http://schemas.microsoft.com/office/drawing/2010/main"/>
                      </a:ext>
                    </a:extLst>
                  </pic:spPr>
                </pic:pic>
              </a:graphicData>
            </a:graphic>
          </wp:inline>
        </w:drawing>
      </w:r>
    </w:p>
    <w:p w14:paraId="3016CAC0" w14:textId="77777777" w:rsidR="001A5FA5" w:rsidRDefault="001A5FA5">
      <w:pPr>
        <w:rPr>
          <w:rFonts w:ascii="Times New Roman" w:hAnsi="Times New Roman" w:cs="Times New Roman"/>
          <w:b/>
          <w:sz w:val="40"/>
          <w:szCs w:val="40"/>
        </w:rPr>
      </w:pPr>
    </w:p>
    <w:p w14:paraId="3F79486E" w14:textId="77777777" w:rsidR="00AC7BB4" w:rsidRDefault="00AC7BB4">
      <w:pPr>
        <w:rPr>
          <w:rFonts w:ascii="Times New Roman" w:hAnsi="Times New Roman" w:cs="Times New Roman"/>
          <w:b/>
          <w:sz w:val="40"/>
          <w:szCs w:val="40"/>
        </w:rPr>
      </w:pPr>
    </w:p>
    <w:p w14:paraId="2ADC7569" w14:textId="77777777" w:rsidR="00AC7BB4" w:rsidRDefault="00AC7BB4">
      <w:pPr>
        <w:rPr>
          <w:rFonts w:ascii="Times New Roman" w:hAnsi="Times New Roman" w:cs="Times New Roman"/>
          <w:b/>
          <w:sz w:val="40"/>
          <w:szCs w:val="40"/>
        </w:rPr>
      </w:pPr>
    </w:p>
    <w:p w14:paraId="669101A1" w14:textId="77777777" w:rsidR="00AC7BB4" w:rsidRDefault="00AC7BB4">
      <w:pPr>
        <w:rPr>
          <w:rFonts w:ascii="Times New Roman" w:hAnsi="Times New Roman" w:cs="Times New Roman"/>
          <w:b/>
          <w:sz w:val="40"/>
          <w:szCs w:val="40"/>
        </w:rPr>
      </w:pPr>
    </w:p>
    <w:p w14:paraId="63F85813" w14:textId="77777777" w:rsidR="00AC7BB4" w:rsidRDefault="00AC7BB4">
      <w:pPr>
        <w:rPr>
          <w:rFonts w:ascii="Times New Roman" w:hAnsi="Times New Roman" w:cs="Times New Roman"/>
          <w:b/>
          <w:sz w:val="40"/>
          <w:szCs w:val="40"/>
        </w:rPr>
      </w:pPr>
    </w:p>
    <w:p w14:paraId="4957C1E5" w14:textId="77777777" w:rsidR="00AC7BB4" w:rsidRDefault="00AC7BB4">
      <w:pPr>
        <w:rPr>
          <w:rFonts w:ascii="Times New Roman" w:hAnsi="Times New Roman" w:cs="Times New Roman"/>
          <w:b/>
          <w:sz w:val="40"/>
          <w:szCs w:val="40"/>
        </w:rPr>
      </w:pPr>
    </w:p>
    <w:p w14:paraId="46B644BC" w14:textId="77777777" w:rsidR="00AC7BB4" w:rsidRDefault="00AC7BB4">
      <w:pPr>
        <w:rPr>
          <w:rFonts w:ascii="Times New Roman" w:hAnsi="Times New Roman" w:cs="Times New Roman"/>
          <w:b/>
          <w:sz w:val="40"/>
          <w:szCs w:val="40"/>
        </w:rPr>
      </w:pPr>
    </w:p>
    <w:p w14:paraId="5977B244" w14:textId="77777777" w:rsidR="00AC7BB4" w:rsidRDefault="00AC7BB4">
      <w:pPr>
        <w:rPr>
          <w:rFonts w:ascii="Times New Roman" w:hAnsi="Times New Roman" w:cs="Times New Roman"/>
          <w:b/>
          <w:sz w:val="40"/>
          <w:szCs w:val="40"/>
        </w:rPr>
      </w:pPr>
    </w:p>
    <w:p w14:paraId="5FFECFF7" w14:textId="77777777" w:rsidR="00AC7BB4" w:rsidRDefault="00AC7BB4">
      <w:pPr>
        <w:rPr>
          <w:rFonts w:ascii="Times New Roman" w:hAnsi="Times New Roman" w:cs="Times New Roman"/>
          <w:b/>
          <w:sz w:val="40"/>
          <w:szCs w:val="40"/>
        </w:rPr>
      </w:pPr>
    </w:p>
    <w:p w14:paraId="0112883A" w14:textId="77777777" w:rsidR="002C11AB" w:rsidRDefault="002C11AB">
      <w:pPr>
        <w:rPr>
          <w:rFonts w:ascii="Times New Roman" w:hAnsi="Times New Roman" w:cs="Times New Roman"/>
          <w:b/>
          <w:sz w:val="40"/>
          <w:szCs w:val="40"/>
        </w:rPr>
      </w:pPr>
    </w:p>
    <w:p w14:paraId="45AFB13B" w14:textId="77777777" w:rsidR="00C248CC" w:rsidRDefault="00C248CC">
      <w:pPr>
        <w:rPr>
          <w:rFonts w:ascii="Times New Roman" w:hAnsi="Times New Roman" w:cs="Times New Roman"/>
          <w:b/>
          <w:sz w:val="40"/>
          <w:szCs w:val="40"/>
        </w:rPr>
      </w:pPr>
    </w:p>
    <w:p w14:paraId="21F4CCBB" w14:textId="475ED4CF" w:rsidR="007E363A" w:rsidRPr="007E363A" w:rsidRDefault="007E363A">
      <w:pPr>
        <w:rPr>
          <w:rFonts w:ascii="Times New Roman" w:hAnsi="Times New Roman" w:cs="Times New Roman"/>
          <w:b/>
          <w:sz w:val="40"/>
          <w:szCs w:val="40"/>
        </w:rPr>
      </w:pPr>
      <w:r>
        <w:rPr>
          <w:rFonts w:ascii="Times New Roman" w:hAnsi="Times New Roman" w:cs="Times New Roman"/>
          <w:b/>
          <w:sz w:val="40"/>
          <w:szCs w:val="40"/>
        </w:rPr>
        <w:t>B.</w:t>
      </w:r>
    </w:p>
    <w:p w14:paraId="0DB4F273" w14:textId="03FCBE70" w:rsidR="009B4711" w:rsidRPr="004975E3" w:rsidRDefault="005475B3">
      <w:pPr>
        <w:rPr>
          <w:rFonts w:ascii="Times New Roman" w:hAnsi="Times New Roman" w:cs="Times New Roman"/>
          <w:b/>
        </w:rPr>
      </w:pPr>
      <w:r>
        <w:rPr>
          <w:rFonts w:ascii="Times New Roman" w:hAnsi="Times New Roman" w:cs="Times New Roman"/>
          <w:b/>
        </w:rPr>
        <w:t xml:space="preserve">            </w:t>
      </w:r>
      <w:r w:rsidR="005F182A">
        <w:rPr>
          <w:rFonts w:ascii="Times New Roman" w:hAnsi="Times New Roman" w:cs="Times New Roman"/>
          <w:b/>
        </w:rPr>
        <w:t xml:space="preserve">      </w:t>
      </w:r>
      <w:r w:rsidR="00AD6DE8">
        <w:rPr>
          <w:rFonts w:ascii="Times New Roman" w:hAnsi="Times New Roman" w:cs="Times New Roman"/>
          <w:b/>
        </w:rPr>
        <w:t xml:space="preserve">  </w:t>
      </w:r>
      <w:r>
        <w:rPr>
          <w:rFonts w:ascii="Times New Roman" w:hAnsi="Times New Roman" w:cs="Times New Roman"/>
          <w:b/>
        </w:rPr>
        <w:t xml:space="preserve"> </w:t>
      </w:r>
      <w:r w:rsidR="00004E25">
        <w:rPr>
          <w:rFonts w:ascii="Times New Roman" w:hAnsi="Times New Roman" w:cs="Times New Roman"/>
          <w:b/>
        </w:rPr>
        <w:t xml:space="preserve"> </w:t>
      </w:r>
      <w:r>
        <w:rPr>
          <w:rFonts w:ascii="Times New Roman" w:hAnsi="Times New Roman" w:cs="Times New Roman"/>
          <w:b/>
        </w:rPr>
        <w:t xml:space="preserve">    </w:t>
      </w:r>
      <w:r w:rsidR="009B4711">
        <w:rPr>
          <w:rFonts w:ascii="Times New Roman" w:hAnsi="Times New Roman" w:cs="Times New Roman"/>
          <w:b/>
          <w:noProof/>
        </w:rPr>
        <w:drawing>
          <wp:inline distT="0" distB="0" distL="0" distR="0" wp14:anchorId="7071D250" wp14:editId="0C199715">
            <wp:extent cx="3584666" cy="349010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35">
                      <a:extLst>
                        <a:ext uri="{28A0092B-C50C-407E-A947-70E740481C1C}">
                          <a14:useLocalDpi xmlns:a14="http://schemas.microsoft.com/office/drawing/2010/main" val="0"/>
                        </a:ext>
                      </a:extLst>
                    </a:blip>
                    <a:srcRect l="17481" t="6766" r="17534" b="8852"/>
                    <a:stretch/>
                  </pic:blipFill>
                  <pic:spPr bwMode="auto">
                    <a:xfrm>
                      <a:off x="0" y="0"/>
                      <a:ext cx="3587581" cy="3492944"/>
                    </a:xfrm>
                    <a:prstGeom prst="rect">
                      <a:avLst/>
                    </a:prstGeom>
                    <a:ln>
                      <a:noFill/>
                    </a:ln>
                    <a:extLst>
                      <a:ext uri="{53640926-AAD7-44d8-BBD7-CCE9431645EC}">
                        <a14:shadowObscured xmlns:a14="http://schemas.microsoft.com/office/drawing/2010/main"/>
                      </a:ext>
                    </a:extLst>
                  </pic:spPr>
                </pic:pic>
              </a:graphicData>
            </a:graphic>
          </wp:inline>
        </w:drawing>
      </w:r>
    </w:p>
    <w:p w14:paraId="12F4B3A2" w14:textId="319318E8" w:rsidR="000012FC" w:rsidRPr="004975E3" w:rsidRDefault="00FD2103" w:rsidP="00F768CD">
      <w:pPr>
        <w:spacing w:line="360" w:lineRule="auto"/>
        <w:rPr>
          <w:rFonts w:ascii="Times New Roman" w:hAnsi="Times New Roman" w:cs="Times New Roman"/>
          <w:b/>
        </w:rPr>
      </w:pPr>
      <w:r>
        <w:rPr>
          <w:rFonts w:ascii="Times New Roman" w:hAnsi="Times New Roman" w:cs="Times New Roman"/>
          <w:b/>
        </w:rPr>
        <w:t xml:space="preserve">      </w:t>
      </w:r>
      <w:r w:rsidR="00F62EF4">
        <w:rPr>
          <w:rFonts w:ascii="Times New Roman" w:hAnsi="Times New Roman" w:cs="Times New Roman"/>
          <w:b/>
        </w:rPr>
        <w:t xml:space="preserve">     </w:t>
      </w:r>
      <w:r>
        <w:rPr>
          <w:rFonts w:ascii="Times New Roman" w:hAnsi="Times New Roman" w:cs="Times New Roman"/>
          <w:b/>
        </w:rPr>
        <w:t xml:space="preserve">        </w:t>
      </w:r>
    </w:p>
    <w:p w14:paraId="41C2395C" w14:textId="77777777" w:rsidR="00A83395" w:rsidRDefault="00F62EF4" w:rsidP="001627E2">
      <w:pPr>
        <w:pStyle w:val="Caption"/>
      </w:pPr>
      <w:bookmarkStart w:id="1002" w:name="_Toc333569052"/>
      <w:bookmarkStart w:id="1003" w:name="_Toc333569277"/>
      <w:bookmarkStart w:id="1004" w:name="_Toc333570831"/>
      <w:bookmarkStart w:id="1005" w:name="_Toc333582214"/>
      <w:bookmarkStart w:id="1006" w:name="_Toc333582334"/>
      <w:bookmarkStart w:id="1007" w:name="_Toc333582746"/>
      <w:bookmarkStart w:id="1008" w:name="_Toc333583116"/>
      <w:bookmarkStart w:id="1009" w:name="_Toc333584085"/>
      <w:bookmarkStart w:id="1010" w:name="_Toc333585219"/>
      <w:bookmarkStart w:id="1011" w:name="_Toc333586771"/>
      <w:bookmarkStart w:id="1012" w:name="_Toc333644470"/>
      <w:bookmarkStart w:id="1013" w:name="_Toc333644764"/>
      <w:r>
        <w:t>Figu</w:t>
      </w:r>
      <w:r w:rsidR="00652FF0">
        <w:t>re 3.5</w:t>
      </w:r>
      <w:r w:rsidR="0043060F">
        <w:t>.</w:t>
      </w:r>
      <w:r>
        <w:t xml:space="preserve"> </w:t>
      </w:r>
      <w:r w:rsidRPr="000B5A78">
        <w:t>IGF1 signalling impairment i</w:t>
      </w:r>
      <w:r w:rsidR="00A32B6D" w:rsidRPr="000B5A78">
        <w:t>n ScienCell (1) astrocytes</w:t>
      </w:r>
      <w:r w:rsidR="00A32B6D">
        <w:t>.</w:t>
      </w:r>
      <w:bookmarkEnd w:id="1002"/>
      <w:bookmarkEnd w:id="1003"/>
      <w:bookmarkEnd w:id="1004"/>
      <w:bookmarkEnd w:id="1005"/>
      <w:bookmarkEnd w:id="1006"/>
      <w:bookmarkEnd w:id="1007"/>
      <w:bookmarkEnd w:id="1008"/>
      <w:bookmarkEnd w:id="1009"/>
      <w:bookmarkEnd w:id="1010"/>
      <w:bookmarkEnd w:id="1011"/>
      <w:bookmarkEnd w:id="1012"/>
      <w:bookmarkEnd w:id="1013"/>
      <w:r w:rsidR="00A32B6D">
        <w:t xml:space="preserve"> </w:t>
      </w:r>
    </w:p>
    <w:p w14:paraId="0EC23D6E" w14:textId="531F67D8" w:rsidR="00F62EF4" w:rsidRPr="00A53580" w:rsidRDefault="00A32B6D" w:rsidP="00E36700">
      <w:pPr>
        <w:spacing w:line="360" w:lineRule="auto"/>
        <w:jc w:val="both"/>
        <w:rPr>
          <w:rFonts w:ascii="Times New Roman" w:hAnsi="Times New Roman" w:cs="Times New Roman"/>
        </w:rPr>
      </w:pPr>
      <w:r w:rsidRPr="00202F9B">
        <w:rPr>
          <w:rFonts w:ascii="Times New Roman" w:hAnsi="Times New Roman" w:cs="Times New Roman"/>
          <w:b/>
        </w:rPr>
        <w:t>A</w:t>
      </w:r>
      <w:r>
        <w:rPr>
          <w:rFonts w:ascii="Times New Roman" w:hAnsi="Times New Roman" w:cs="Times New Roman"/>
        </w:rPr>
        <w:t>:</w:t>
      </w:r>
      <w:r w:rsidR="00F62EF4">
        <w:rPr>
          <w:rFonts w:ascii="Times New Roman" w:hAnsi="Times New Roman" w:cs="Times New Roman"/>
        </w:rPr>
        <w:t xml:space="preserve"> Treatment of astrocytes for 96 hours/ 72h</w:t>
      </w:r>
      <w:r w:rsidR="007C3A1B">
        <w:rPr>
          <w:rFonts w:ascii="Times New Roman" w:hAnsi="Times New Roman" w:cs="Times New Roman"/>
        </w:rPr>
        <w:t>ou</w:t>
      </w:r>
      <w:r w:rsidR="00F62EF4">
        <w:rPr>
          <w:rFonts w:ascii="Times New Roman" w:hAnsi="Times New Roman" w:cs="Times New Roman"/>
        </w:rPr>
        <w:t xml:space="preserve">rs post media exchange (PME) with 11μg/ml of MAB391 </w:t>
      </w:r>
      <w:r w:rsidR="00106F16">
        <w:rPr>
          <w:rFonts w:ascii="Times New Roman" w:hAnsi="Times New Roman" w:cs="Times New Roman"/>
        </w:rPr>
        <w:t>caused</w:t>
      </w:r>
      <w:r w:rsidR="00075F4B">
        <w:rPr>
          <w:rFonts w:ascii="Times New Roman" w:hAnsi="Times New Roman" w:cs="Times New Roman"/>
        </w:rPr>
        <w:t xml:space="preserve"> maintained</w:t>
      </w:r>
      <w:r w:rsidR="00F62EF4">
        <w:rPr>
          <w:rFonts w:ascii="Times New Roman" w:hAnsi="Times New Roman" w:cs="Times New Roman"/>
        </w:rPr>
        <w:t xml:space="preserve"> loss of IGF1R and recov</w:t>
      </w:r>
      <w:r w:rsidR="00075F4B">
        <w:rPr>
          <w:rFonts w:ascii="Times New Roman" w:hAnsi="Times New Roman" w:cs="Times New Roman"/>
        </w:rPr>
        <w:t>ery of</w:t>
      </w:r>
      <w:r>
        <w:rPr>
          <w:rFonts w:ascii="Times New Roman" w:hAnsi="Times New Roman" w:cs="Times New Roman"/>
        </w:rPr>
        <w:t xml:space="preserve"> phospho Akt</w:t>
      </w:r>
      <w:r w:rsidR="00075F4B">
        <w:rPr>
          <w:rFonts w:ascii="Times New Roman" w:hAnsi="Times New Roman" w:cs="Times New Roman"/>
        </w:rPr>
        <w:t xml:space="preserve"> (s473). Representative </w:t>
      </w:r>
      <w:r w:rsidR="00AB0487">
        <w:rPr>
          <w:rFonts w:ascii="Times New Roman" w:hAnsi="Times New Roman" w:cs="Times New Roman"/>
        </w:rPr>
        <w:t>western blots</w:t>
      </w:r>
      <w:r w:rsidR="00075F4B">
        <w:rPr>
          <w:rFonts w:ascii="Times New Roman" w:hAnsi="Times New Roman" w:cs="Times New Roman"/>
        </w:rPr>
        <w:t xml:space="preserve"> probed with antibodies agai</w:t>
      </w:r>
      <w:r w:rsidR="00C248CC">
        <w:rPr>
          <w:rFonts w:ascii="Times New Roman" w:hAnsi="Times New Roman" w:cs="Times New Roman"/>
        </w:rPr>
        <w:t>nst IRβ, IGF1Rβ, pAkt</w:t>
      </w:r>
      <w:r>
        <w:rPr>
          <w:rFonts w:ascii="Times New Roman" w:hAnsi="Times New Roman" w:cs="Times New Roman"/>
        </w:rPr>
        <w:t>, Total Akt</w:t>
      </w:r>
      <w:r w:rsidR="00075F4B">
        <w:rPr>
          <w:rFonts w:ascii="Times New Roman" w:hAnsi="Times New Roman" w:cs="Times New Roman"/>
        </w:rPr>
        <w:t>, pP44/42 MAPK and P44/42 MAPK are shown,</w:t>
      </w:r>
      <w:r>
        <w:rPr>
          <w:rFonts w:ascii="Times New Roman" w:hAnsi="Times New Roman" w:cs="Times New Roman"/>
        </w:rPr>
        <w:t xml:space="preserve"> with α-tubulin used as</w:t>
      </w:r>
      <w:r w:rsidR="0012548E">
        <w:rPr>
          <w:rFonts w:ascii="Times New Roman" w:hAnsi="Times New Roman" w:cs="Times New Roman"/>
        </w:rPr>
        <w:t xml:space="preserve"> the</w:t>
      </w:r>
      <w:r>
        <w:rPr>
          <w:rFonts w:ascii="Times New Roman" w:hAnsi="Times New Roman" w:cs="Times New Roman"/>
        </w:rPr>
        <w:t xml:space="preserve"> loading control (representative loading control shown)</w:t>
      </w:r>
      <w:r w:rsidR="00075F4B">
        <w:rPr>
          <w:rFonts w:ascii="Times New Roman" w:hAnsi="Times New Roman" w:cs="Times New Roman"/>
        </w:rPr>
        <w:t xml:space="preserve">. Molecular weight markers are indicated (kDa) </w:t>
      </w:r>
      <w:r w:rsidRPr="00202F9B">
        <w:rPr>
          <w:rFonts w:ascii="Times New Roman" w:hAnsi="Times New Roman" w:cs="Times New Roman"/>
          <w:b/>
        </w:rPr>
        <w:t>B</w:t>
      </w:r>
      <w:r>
        <w:rPr>
          <w:rFonts w:ascii="Times New Roman" w:hAnsi="Times New Roman" w:cs="Times New Roman"/>
        </w:rPr>
        <w:t>:</w:t>
      </w:r>
      <w:r w:rsidR="00F62EF4">
        <w:rPr>
          <w:rFonts w:ascii="Times New Roman" w:hAnsi="Times New Roman" w:cs="Times New Roman"/>
        </w:rPr>
        <w:t xml:space="preserve"> Bar charts representing cha</w:t>
      </w:r>
      <w:r w:rsidR="0012548E">
        <w:rPr>
          <w:rFonts w:ascii="Times New Roman" w:hAnsi="Times New Roman" w:cs="Times New Roman"/>
        </w:rPr>
        <w:t>nges in IRβ, IGF1Rβ, p</w:t>
      </w:r>
      <w:r>
        <w:rPr>
          <w:rFonts w:ascii="Times New Roman" w:hAnsi="Times New Roman" w:cs="Times New Roman"/>
        </w:rPr>
        <w:t>Akt (s473) and T-Akt</w:t>
      </w:r>
      <w:r w:rsidR="00F62EF4">
        <w:rPr>
          <w:rFonts w:ascii="Times New Roman" w:hAnsi="Times New Roman" w:cs="Times New Roman"/>
        </w:rPr>
        <w:t xml:space="preserve"> as a result of M</w:t>
      </w:r>
      <w:r>
        <w:rPr>
          <w:rFonts w:ascii="Times New Roman" w:hAnsi="Times New Roman" w:cs="Times New Roman"/>
        </w:rPr>
        <w:t>AB391 treatment. Data are mean ±</w:t>
      </w:r>
      <w:r w:rsidR="00F62EF4">
        <w:rPr>
          <w:rFonts w:ascii="Times New Roman" w:hAnsi="Times New Roman" w:cs="Times New Roman"/>
        </w:rPr>
        <w:t xml:space="preserve"> SEM (n=3, 3 replicates/experiments, unpaired t-tes</w:t>
      </w:r>
      <w:r w:rsidR="002F5CD7">
        <w:rPr>
          <w:rFonts w:ascii="Times New Roman" w:hAnsi="Times New Roman" w:cs="Times New Roman"/>
        </w:rPr>
        <w:t>t *p&lt;0.05</w:t>
      </w:r>
      <w:r w:rsidR="00F62EF4">
        <w:rPr>
          <w:rFonts w:ascii="Times New Roman" w:hAnsi="Times New Roman" w:cs="Times New Roman"/>
        </w:rPr>
        <w:t>, ****p&lt;0.0001)</w:t>
      </w:r>
      <w:r w:rsidR="0012548E">
        <w:rPr>
          <w:rFonts w:ascii="Times New Roman" w:hAnsi="Times New Roman" w:cs="Times New Roman"/>
        </w:rPr>
        <w:t>.</w:t>
      </w:r>
    </w:p>
    <w:p w14:paraId="37142B6F" w14:textId="77777777" w:rsidR="00D40298" w:rsidRDefault="00D40298">
      <w:pPr>
        <w:rPr>
          <w:rFonts w:ascii="Times New Roman" w:hAnsi="Times New Roman" w:cs="Times New Roman"/>
          <w:b/>
          <w:noProof/>
          <w:u w:val="single"/>
        </w:rPr>
      </w:pPr>
    </w:p>
    <w:p w14:paraId="79130CE8" w14:textId="77777777" w:rsidR="00A32B6D" w:rsidRDefault="00A32B6D">
      <w:pPr>
        <w:rPr>
          <w:rFonts w:ascii="Times New Roman" w:hAnsi="Times New Roman" w:cs="Times New Roman"/>
          <w:b/>
          <w:noProof/>
          <w:u w:val="single"/>
        </w:rPr>
      </w:pPr>
    </w:p>
    <w:p w14:paraId="004F9AB6" w14:textId="0480A0B7" w:rsidR="00A32B6D" w:rsidRDefault="00A32B6D" w:rsidP="003E7BDB">
      <w:pPr>
        <w:spacing w:line="360" w:lineRule="auto"/>
        <w:jc w:val="both"/>
        <w:rPr>
          <w:rFonts w:ascii="Times New Roman" w:hAnsi="Times New Roman" w:cs="Times New Roman"/>
          <w:noProof/>
        </w:rPr>
      </w:pPr>
      <w:r>
        <w:rPr>
          <w:rFonts w:ascii="Times New Roman" w:hAnsi="Times New Roman" w:cs="Times New Roman"/>
          <w:noProof/>
        </w:rPr>
        <w:t>To determine whether treatment with MAB391 is a robust model to reduce IGF1R and causes a similar impairment in IGF1 signallin</w:t>
      </w:r>
      <w:r w:rsidR="00AA1762">
        <w:rPr>
          <w:rFonts w:ascii="Times New Roman" w:hAnsi="Times New Roman" w:cs="Times New Roman"/>
          <w:noProof/>
        </w:rPr>
        <w:t>g in different human astrocytes,</w:t>
      </w:r>
      <w:r>
        <w:rPr>
          <w:rFonts w:ascii="Times New Roman" w:hAnsi="Times New Roman" w:cs="Times New Roman"/>
          <w:noProof/>
        </w:rPr>
        <w:t xml:space="preserve"> MAB391 treatments were replicated in two additional astrocyte populations.</w:t>
      </w:r>
    </w:p>
    <w:p w14:paraId="34F806AE" w14:textId="77777777" w:rsidR="0019787A" w:rsidRDefault="0019787A" w:rsidP="003E7BDB">
      <w:pPr>
        <w:spacing w:line="360" w:lineRule="auto"/>
        <w:jc w:val="both"/>
        <w:rPr>
          <w:rFonts w:ascii="Times New Roman" w:hAnsi="Times New Roman" w:cs="Times New Roman"/>
          <w:noProof/>
        </w:rPr>
      </w:pPr>
    </w:p>
    <w:p w14:paraId="5B8394C1" w14:textId="55A24D4B" w:rsidR="00A32B6D" w:rsidRDefault="00A32B6D" w:rsidP="003E7BDB">
      <w:pPr>
        <w:spacing w:line="360" w:lineRule="auto"/>
        <w:jc w:val="both"/>
        <w:rPr>
          <w:rFonts w:ascii="Times New Roman" w:hAnsi="Times New Roman" w:cs="Times New Roman"/>
          <w:noProof/>
        </w:rPr>
      </w:pPr>
      <w:r>
        <w:rPr>
          <w:rFonts w:ascii="Times New Roman" w:hAnsi="Times New Roman" w:cs="Times New Roman"/>
          <w:noProof/>
        </w:rPr>
        <w:t xml:space="preserve">The model was replicated </w:t>
      </w:r>
      <w:r w:rsidR="003C6C3E">
        <w:rPr>
          <w:rFonts w:ascii="Times New Roman" w:hAnsi="Times New Roman" w:cs="Times New Roman"/>
          <w:noProof/>
        </w:rPr>
        <w:t xml:space="preserve">on human adult astrocytes derived from temporal lobe epileptic resections and </w:t>
      </w:r>
      <w:r>
        <w:rPr>
          <w:rFonts w:ascii="Times New Roman" w:hAnsi="Times New Roman" w:cs="Times New Roman"/>
          <w:noProof/>
        </w:rPr>
        <w:t>on a separate vial of cerebral cortex astrocytes</w:t>
      </w:r>
      <w:r w:rsidR="009C43E5">
        <w:rPr>
          <w:rFonts w:ascii="Times New Roman" w:hAnsi="Times New Roman" w:cs="Times New Roman"/>
          <w:noProof/>
        </w:rPr>
        <w:t xml:space="preserve"> supplied by ScienCell (</w:t>
      </w:r>
      <w:r w:rsidR="00AA1762">
        <w:rPr>
          <w:rFonts w:ascii="Times New Roman" w:hAnsi="Times New Roman" w:cs="Times New Roman"/>
          <w:noProof/>
        </w:rPr>
        <w:t xml:space="preserve">ScienCell (2) also </w:t>
      </w:r>
      <w:r w:rsidR="009C43E5">
        <w:rPr>
          <w:rFonts w:ascii="Times New Roman" w:hAnsi="Times New Roman" w:cs="Times New Roman"/>
          <w:noProof/>
        </w:rPr>
        <w:t xml:space="preserve">used in chapter </w:t>
      </w:r>
      <w:r w:rsidR="00D40298">
        <w:rPr>
          <w:rFonts w:ascii="Times New Roman" w:hAnsi="Times New Roman" w:cs="Times New Roman"/>
          <w:noProof/>
        </w:rPr>
        <w:t>4 and 5</w:t>
      </w:r>
      <w:r w:rsidR="003C6C3E">
        <w:rPr>
          <w:rFonts w:ascii="Times New Roman" w:hAnsi="Times New Roman" w:cs="Times New Roman"/>
          <w:noProof/>
        </w:rPr>
        <w:t>)</w:t>
      </w:r>
      <w:r w:rsidR="009C43E5">
        <w:rPr>
          <w:rFonts w:ascii="Times New Roman" w:hAnsi="Times New Roman" w:cs="Times New Roman"/>
          <w:noProof/>
        </w:rPr>
        <w:t>. Due to the use of the ScienCell astrocytes being limited between passage 3-7, the extent to which these cells can be cultured is restricted. Moreover, ScienCell do not disclose the specifics of where each vial of astrocytes is derived from other than they are foetal cerebral cortex astrocytes.</w:t>
      </w:r>
    </w:p>
    <w:p w14:paraId="1CF16F7A" w14:textId="77777777" w:rsidR="00B51BCF" w:rsidRDefault="00B51BCF" w:rsidP="00A32B6D">
      <w:pPr>
        <w:spacing w:line="360" w:lineRule="auto"/>
        <w:rPr>
          <w:rFonts w:ascii="Times New Roman" w:hAnsi="Times New Roman" w:cs="Times New Roman"/>
          <w:noProof/>
        </w:rPr>
      </w:pPr>
    </w:p>
    <w:p w14:paraId="4F594F62" w14:textId="2CD940D1" w:rsidR="009C43E5" w:rsidRDefault="009C43E5" w:rsidP="003E7BDB">
      <w:pPr>
        <w:spacing w:line="360" w:lineRule="auto"/>
        <w:jc w:val="both"/>
        <w:rPr>
          <w:rFonts w:ascii="Times New Roman" w:hAnsi="Times New Roman" w:cs="Times New Roman"/>
          <w:noProof/>
        </w:rPr>
      </w:pPr>
      <w:r>
        <w:rPr>
          <w:rFonts w:ascii="Times New Roman" w:hAnsi="Times New Roman" w:cs="Times New Roman"/>
          <w:noProof/>
        </w:rPr>
        <w:t>Adult astrocytes taken from temporal lobe resections were treated for 24 hours with MAB391 resulting in loss of IGF1R</w:t>
      </w:r>
      <w:r w:rsidR="00B51BCF">
        <w:rPr>
          <w:rFonts w:ascii="Times New Roman" w:hAnsi="Times New Roman" w:cs="Times New Roman"/>
          <w:noProof/>
        </w:rPr>
        <w:t xml:space="preserve"> (</w:t>
      </w:r>
      <w:r w:rsidR="00B51BCF" w:rsidRPr="00D40298">
        <w:rPr>
          <w:rFonts w:ascii="Times New Roman" w:hAnsi="Times New Roman" w:cs="Times New Roman"/>
          <w:b/>
          <w:noProof/>
        </w:rPr>
        <w:t>figure 3.6</w:t>
      </w:r>
      <w:r w:rsidR="00B51BCF">
        <w:rPr>
          <w:rFonts w:ascii="Times New Roman" w:hAnsi="Times New Roman" w:cs="Times New Roman"/>
          <w:noProof/>
        </w:rPr>
        <w:t>)</w:t>
      </w:r>
      <w:r>
        <w:rPr>
          <w:rFonts w:ascii="Times New Roman" w:hAnsi="Times New Roman" w:cs="Times New Roman"/>
          <w:noProof/>
        </w:rPr>
        <w:t>. However, there was no effect on pAkt (s473) levels indicating</w:t>
      </w:r>
      <w:r w:rsidR="0012548E">
        <w:rPr>
          <w:rFonts w:ascii="Times New Roman" w:hAnsi="Times New Roman" w:cs="Times New Roman"/>
          <w:noProof/>
        </w:rPr>
        <w:t xml:space="preserve"> that there wa</w:t>
      </w:r>
      <w:r>
        <w:rPr>
          <w:rFonts w:ascii="Times New Roman" w:hAnsi="Times New Roman" w:cs="Times New Roman"/>
          <w:noProof/>
        </w:rPr>
        <w:t>s no impact on signalling through Akt</w:t>
      </w:r>
      <w:r w:rsidR="009956DA">
        <w:rPr>
          <w:rFonts w:ascii="Times New Roman" w:hAnsi="Times New Roman" w:cs="Times New Roman"/>
          <w:noProof/>
        </w:rPr>
        <w:t xml:space="preserve"> (</w:t>
      </w:r>
      <w:r w:rsidR="009956DA" w:rsidRPr="00D40298">
        <w:rPr>
          <w:rFonts w:ascii="Times New Roman" w:hAnsi="Times New Roman" w:cs="Times New Roman"/>
          <w:b/>
          <w:noProof/>
        </w:rPr>
        <w:t>figure 3.6</w:t>
      </w:r>
      <w:r w:rsidR="009956DA">
        <w:rPr>
          <w:rFonts w:ascii="Times New Roman" w:hAnsi="Times New Roman" w:cs="Times New Roman"/>
          <w:noProof/>
        </w:rPr>
        <w:t>)</w:t>
      </w:r>
      <w:r>
        <w:rPr>
          <w:rFonts w:ascii="Times New Roman" w:hAnsi="Times New Roman" w:cs="Times New Roman"/>
          <w:noProof/>
        </w:rPr>
        <w:t xml:space="preserve">. In addition, ScienCell </w:t>
      </w:r>
      <w:r w:rsidR="00D40298">
        <w:rPr>
          <w:rFonts w:ascii="Times New Roman" w:hAnsi="Times New Roman" w:cs="Times New Roman"/>
          <w:noProof/>
        </w:rPr>
        <w:t xml:space="preserve">(2) </w:t>
      </w:r>
      <w:r>
        <w:rPr>
          <w:rFonts w:ascii="Times New Roman" w:hAnsi="Times New Roman" w:cs="Times New Roman"/>
          <w:noProof/>
        </w:rPr>
        <w:t>astrocytes</w:t>
      </w:r>
      <w:r w:rsidR="00D40298">
        <w:rPr>
          <w:rFonts w:ascii="Times New Roman" w:hAnsi="Times New Roman" w:cs="Times New Roman"/>
          <w:noProof/>
        </w:rPr>
        <w:t xml:space="preserve"> </w:t>
      </w:r>
      <w:r>
        <w:rPr>
          <w:rFonts w:ascii="Times New Roman" w:hAnsi="Times New Roman" w:cs="Times New Roman"/>
          <w:noProof/>
        </w:rPr>
        <w:t>also showed a reduction in IGF1R after a 24 hour MAB391 treatment but similarly showed no change in pAkt (s473)</w:t>
      </w:r>
      <w:r w:rsidR="009956DA">
        <w:rPr>
          <w:rFonts w:ascii="Times New Roman" w:hAnsi="Times New Roman" w:cs="Times New Roman"/>
          <w:noProof/>
        </w:rPr>
        <w:t xml:space="preserve"> (</w:t>
      </w:r>
      <w:r w:rsidR="009956DA" w:rsidRPr="00D40298">
        <w:rPr>
          <w:rFonts w:ascii="Times New Roman" w:hAnsi="Times New Roman" w:cs="Times New Roman"/>
          <w:b/>
          <w:noProof/>
        </w:rPr>
        <w:t>figure 3.7A</w:t>
      </w:r>
      <w:r w:rsidR="009956DA">
        <w:rPr>
          <w:rFonts w:ascii="Times New Roman" w:hAnsi="Times New Roman" w:cs="Times New Roman"/>
          <w:noProof/>
        </w:rPr>
        <w:t>)</w:t>
      </w:r>
      <w:r>
        <w:rPr>
          <w:rFonts w:ascii="Times New Roman" w:hAnsi="Times New Roman" w:cs="Times New Roman"/>
          <w:noProof/>
        </w:rPr>
        <w:t>.</w:t>
      </w:r>
      <w:r w:rsidR="0012548E">
        <w:rPr>
          <w:rFonts w:ascii="Times New Roman" w:hAnsi="Times New Roman" w:cs="Times New Roman"/>
          <w:noProof/>
        </w:rPr>
        <w:t xml:space="preserve"> MAB002 treatment did</w:t>
      </w:r>
      <w:r w:rsidR="00660AE6">
        <w:rPr>
          <w:rFonts w:ascii="Times New Roman" w:hAnsi="Times New Roman" w:cs="Times New Roman"/>
          <w:noProof/>
        </w:rPr>
        <w:t xml:space="preserve"> not downregulate IGF1R levels in these cells (</w:t>
      </w:r>
      <w:r w:rsidR="00660AE6">
        <w:rPr>
          <w:rFonts w:ascii="Times New Roman" w:hAnsi="Times New Roman" w:cs="Times New Roman"/>
        </w:rPr>
        <w:t xml:space="preserve">see appendix, </w:t>
      </w:r>
      <w:r w:rsidR="00660AE6" w:rsidRPr="00D40298">
        <w:rPr>
          <w:rFonts w:ascii="Times New Roman" w:hAnsi="Times New Roman" w:cs="Times New Roman"/>
          <w:b/>
        </w:rPr>
        <w:t xml:space="preserve">supplementary figure </w:t>
      </w:r>
      <w:r w:rsidR="00660AE6">
        <w:rPr>
          <w:rFonts w:ascii="Times New Roman" w:hAnsi="Times New Roman" w:cs="Times New Roman"/>
          <w:b/>
        </w:rPr>
        <w:t>7.2</w:t>
      </w:r>
      <w:r w:rsidR="00660AE6">
        <w:rPr>
          <w:rFonts w:ascii="Times New Roman" w:hAnsi="Times New Roman" w:cs="Times New Roman"/>
        </w:rPr>
        <w:t>).</w:t>
      </w:r>
      <w:r w:rsidR="00660AE6">
        <w:rPr>
          <w:rFonts w:ascii="Times New Roman" w:hAnsi="Times New Roman" w:cs="Times New Roman"/>
          <w:noProof/>
        </w:rPr>
        <w:t xml:space="preserve"> </w:t>
      </w:r>
      <w:r>
        <w:rPr>
          <w:rFonts w:ascii="Times New Roman" w:hAnsi="Times New Roman" w:cs="Times New Roman"/>
          <w:noProof/>
        </w:rPr>
        <w:t>At 72hr PME in these cells, the reduction in IGF1R</w:t>
      </w:r>
      <w:r w:rsidR="0012548E">
        <w:rPr>
          <w:rFonts w:ascii="Times New Roman" w:hAnsi="Times New Roman" w:cs="Times New Roman"/>
          <w:noProof/>
        </w:rPr>
        <w:t xml:space="preserve"> persisted but conversely there wa</w:t>
      </w:r>
      <w:r>
        <w:rPr>
          <w:rFonts w:ascii="Times New Roman" w:hAnsi="Times New Roman" w:cs="Times New Roman"/>
          <w:noProof/>
        </w:rPr>
        <w:t>s a significant increase in pAkt (s473)</w:t>
      </w:r>
      <w:r w:rsidR="009956DA">
        <w:rPr>
          <w:rFonts w:ascii="Times New Roman" w:hAnsi="Times New Roman" w:cs="Times New Roman"/>
          <w:noProof/>
        </w:rPr>
        <w:t xml:space="preserve"> (</w:t>
      </w:r>
      <w:r w:rsidR="009956DA" w:rsidRPr="00D40298">
        <w:rPr>
          <w:rFonts w:ascii="Times New Roman" w:hAnsi="Times New Roman" w:cs="Times New Roman"/>
          <w:b/>
          <w:noProof/>
        </w:rPr>
        <w:t>figure 3.7B</w:t>
      </w:r>
      <w:r w:rsidR="009956DA">
        <w:rPr>
          <w:rFonts w:ascii="Times New Roman" w:hAnsi="Times New Roman" w:cs="Times New Roman"/>
          <w:noProof/>
        </w:rPr>
        <w:t>)</w:t>
      </w:r>
      <w:r>
        <w:rPr>
          <w:rFonts w:ascii="Times New Roman" w:hAnsi="Times New Roman" w:cs="Times New Roman"/>
          <w:noProof/>
        </w:rPr>
        <w:t xml:space="preserve">. These results suggest that MAB391 </w:t>
      </w:r>
      <w:r w:rsidR="00AA1762">
        <w:rPr>
          <w:rFonts w:ascii="Times New Roman" w:hAnsi="Times New Roman" w:cs="Times New Roman"/>
          <w:noProof/>
        </w:rPr>
        <w:t>is a</w:t>
      </w:r>
      <w:r>
        <w:rPr>
          <w:rFonts w:ascii="Times New Roman" w:hAnsi="Times New Roman" w:cs="Times New Roman"/>
          <w:noProof/>
        </w:rPr>
        <w:t xml:space="preserve"> robust method to induce chronic loss of IGF1R </w:t>
      </w:r>
      <w:r w:rsidR="00AA1762">
        <w:rPr>
          <w:rFonts w:ascii="Times New Roman" w:hAnsi="Times New Roman" w:cs="Times New Roman"/>
          <w:noProof/>
        </w:rPr>
        <w:t xml:space="preserve">but there are differences in downstream signalling through Akt in different astrocytes. </w:t>
      </w:r>
      <w:r>
        <w:rPr>
          <w:rFonts w:ascii="Times New Roman" w:hAnsi="Times New Roman" w:cs="Times New Roman"/>
          <w:noProof/>
        </w:rPr>
        <w:t xml:space="preserve"> </w:t>
      </w:r>
    </w:p>
    <w:p w14:paraId="69307D8C" w14:textId="77777777" w:rsidR="00653914" w:rsidRDefault="00653914" w:rsidP="003E7BDB">
      <w:pPr>
        <w:spacing w:line="360" w:lineRule="auto"/>
        <w:jc w:val="both"/>
        <w:rPr>
          <w:rFonts w:ascii="Times New Roman" w:hAnsi="Times New Roman" w:cs="Times New Roman"/>
          <w:noProof/>
        </w:rPr>
      </w:pPr>
    </w:p>
    <w:p w14:paraId="08861006" w14:textId="6A37FFF1" w:rsidR="00653914" w:rsidRDefault="005475B3" w:rsidP="00653914">
      <w:pPr>
        <w:spacing w:line="360" w:lineRule="auto"/>
        <w:rPr>
          <w:rFonts w:ascii="Times New Roman" w:hAnsi="Times New Roman" w:cs="Times New Roman"/>
        </w:rPr>
      </w:pPr>
      <w:r>
        <w:rPr>
          <w:rFonts w:ascii="Times New Roman" w:hAnsi="Times New Roman" w:cs="Times New Roman"/>
        </w:rPr>
        <w:t xml:space="preserve">       </w:t>
      </w:r>
      <w:r w:rsidR="00AD6DE8">
        <w:rPr>
          <w:rFonts w:ascii="Times New Roman" w:hAnsi="Times New Roman" w:cs="Times New Roman"/>
        </w:rPr>
        <w:t xml:space="preserve">  </w:t>
      </w:r>
      <w:r>
        <w:rPr>
          <w:rFonts w:ascii="Times New Roman" w:hAnsi="Times New Roman" w:cs="Times New Roman"/>
        </w:rPr>
        <w:t xml:space="preserve">     </w:t>
      </w:r>
      <w:r w:rsidR="00D30783">
        <w:rPr>
          <w:rFonts w:ascii="Times New Roman" w:hAnsi="Times New Roman" w:cs="Times New Roman"/>
        </w:rPr>
        <w:t xml:space="preserve">   </w:t>
      </w:r>
      <w:r w:rsidR="00653914">
        <w:rPr>
          <w:rFonts w:ascii="Times New Roman" w:hAnsi="Times New Roman" w:cs="Times New Roman"/>
          <w:noProof/>
        </w:rPr>
        <w:drawing>
          <wp:inline distT="0" distB="0" distL="0" distR="0" wp14:anchorId="131FA314" wp14:editId="5473F12B">
            <wp:extent cx="3638550" cy="382002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36">
                      <a:extLst>
                        <a:ext uri="{28A0092B-C50C-407E-A947-70E740481C1C}">
                          <a14:useLocalDpi xmlns:a14="http://schemas.microsoft.com/office/drawing/2010/main" val="0"/>
                        </a:ext>
                      </a:extLst>
                    </a:blip>
                    <a:srcRect t="16937" r="44373" b="5181"/>
                    <a:stretch/>
                  </pic:blipFill>
                  <pic:spPr bwMode="auto">
                    <a:xfrm>
                      <a:off x="0" y="0"/>
                      <a:ext cx="3640384" cy="3821945"/>
                    </a:xfrm>
                    <a:prstGeom prst="rect">
                      <a:avLst/>
                    </a:prstGeom>
                    <a:ln>
                      <a:noFill/>
                    </a:ln>
                    <a:extLst>
                      <a:ext uri="{53640926-AAD7-44d8-BBD7-CCE9431645EC}">
                        <a14:shadowObscured xmlns:a14="http://schemas.microsoft.com/office/drawing/2010/main"/>
                      </a:ext>
                    </a:extLst>
                  </pic:spPr>
                </pic:pic>
              </a:graphicData>
            </a:graphic>
          </wp:inline>
        </w:drawing>
      </w:r>
      <w:r w:rsidR="00653914">
        <w:rPr>
          <w:rFonts w:ascii="Times New Roman" w:hAnsi="Times New Roman" w:cs="Times New Roman"/>
        </w:rPr>
        <w:t xml:space="preserve"> </w:t>
      </w:r>
    </w:p>
    <w:p w14:paraId="1A2171C0" w14:textId="588D2FB4" w:rsidR="00653914" w:rsidRPr="00B94B76" w:rsidRDefault="005D2C75" w:rsidP="00653914">
      <w:pPr>
        <w:spacing w:line="360" w:lineRule="auto"/>
        <w:rPr>
          <w:rFonts w:ascii="Times New Roman" w:hAnsi="Times New Roman" w:cs="Times New Roman"/>
        </w:rPr>
      </w:pPr>
      <w:r>
        <w:rPr>
          <w:rFonts w:ascii="Times New Roman" w:hAnsi="Times New Roman" w:cs="Times New Roman"/>
        </w:rPr>
        <w:t xml:space="preserve">           </w:t>
      </w:r>
      <w:r w:rsidR="00653914">
        <w:rPr>
          <w:rFonts w:ascii="Times New Roman" w:hAnsi="Times New Roman" w:cs="Times New Roman"/>
        </w:rPr>
        <w:t xml:space="preserve">     </w:t>
      </w:r>
      <w:r w:rsidR="00AD6DE8">
        <w:rPr>
          <w:rFonts w:ascii="Times New Roman" w:hAnsi="Times New Roman" w:cs="Times New Roman"/>
        </w:rPr>
        <w:t xml:space="preserve">  </w:t>
      </w:r>
      <w:r w:rsidR="00653914">
        <w:rPr>
          <w:rFonts w:ascii="Times New Roman" w:hAnsi="Times New Roman" w:cs="Times New Roman"/>
        </w:rPr>
        <w:t xml:space="preserve">  </w:t>
      </w:r>
      <w:r w:rsidR="00362ABE">
        <w:rPr>
          <w:rFonts w:ascii="Times New Roman" w:hAnsi="Times New Roman" w:cs="Times New Roman"/>
        </w:rPr>
        <w:t xml:space="preserve">   </w:t>
      </w:r>
      <w:r w:rsidR="004555D0">
        <w:rPr>
          <w:rFonts w:ascii="Times New Roman" w:hAnsi="Times New Roman" w:cs="Times New Roman"/>
        </w:rPr>
        <w:t xml:space="preserve">   </w:t>
      </w:r>
      <w:r w:rsidR="005F182A">
        <w:rPr>
          <w:rFonts w:ascii="Times New Roman" w:hAnsi="Times New Roman" w:cs="Times New Roman"/>
        </w:rPr>
        <w:t xml:space="preserve">  </w:t>
      </w:r>
      <w:r w:rsidR="00653914">
        <w:rPr>
          <w:rFonts w:ascii="Times New Roman" w:hAnsi="Times New Roman" w:cs="Times New Roman"/>
        </w:rPr>
        <w:t xml:space="preserve">    </w:t>
      </w:r>
      <w:r w:rsidR="00653914">
        <w:rPr>
          <w:rFonts w:ascii="Times New Roman" w:hAnsi="Times New Roman" w:cs="Times New Roman"/>
          <w:noProof/>
        </w:rPr>
        <w:drawing>
          <wp:inline distT="0" distB="0" distL="0" distR="0" wp14:anchorId="410C68F8" wp14:editId="75CC602B">
            <wp:extent cx="2672080" cy="3686919"/>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36">
                      <a:extLst>
                        <a:ext uri="{28A0092B-C50C-407E-A947-70E740481C1C}">
                          <a14:useLocalDpi xmlns:a14="http://schemas.microsoft.com/office/drawing/2010/main" val="0"/>
                        </a:ext>
                      </a:extLst>
                    </a:blip>
                    <a:srcRect l="57324" t="16288" b="5181"/>
                    <a:stretch/>
                  </pic:blipFill>
                  <pic:spPr bwMode="auto">
                    <a:xfrm>
                      <a:off x="0" y="0"/>
                      <a:ext cx="2675049" cy="3691016"/>
                    </a:xfrm>
                    <a:prstGeom prst="rect">
                      <a:avLst/>
                    </a:prstGeom>
                    <a:ln>
                      <a:noFill/>
                    </a:ln>
                    <a:extLst>
                      <a:ext uri="{53640926-AAD7-44d8-BBD7-CCE9431645EC}">
                        <a14:shadowObscured xmlns:a14="http://schemas.microsoft.com/office/drawing/2010/main"/>
                      </a:ext>
                    </a:extLst>
                  </pic:spPr>
                </pic:pic>
              </a:graphicData>
            </a:graphic>
          </wp:inline>
        </w:drawing>
      </w:r>
    </w:p>
    <w:p w14:paraId="101595BD" w14:textId="77777777" w:rsidR="00653914" w:rsidRPr="004975E3" w:rsidRDefault="00653914" w:rsidP="00653914">
      <w:pPr>
        <w:rPr>
          <w:rFonts w:ascii="Times New Roman" w:hAnsi="Times New Roman" w:cs="Times New Roman"/>
          <w:b/>
        </w:rPr>
      </w:pPr>
    </w:p>
    <w:p w14:paraId="3AE8BF7B" w14:textId="77777777" w:rsidR="001B72D6" w:rsidRDefault="00652FF0" w:rsidP="001627E2">
      <w:pPr>
        <w:pStyle w:val="Caption"/>
      </w:pPr>
      <w:bookmarkStart w:id="1014" w:name="_Toc333569053"/>
      <w:bookmarkStart w:id="1015" w:name="_Toc333569278"/>
      <w:bookmarkStart w:id="1016" w:name="_Toc333570832"/>
      <w:bookmarkStart w:id="1017" w:name="_Toc333582215"/>
      <w:bookmarkStart w:id="1018" w:name="_Toc333582335"/>
      <w:bookmarkStart w:id="1019" w:name="_Toc333582747"/>
      <w:bookmarkStart w:id="1020" w:name="_Toc333583117"/>
      <w:bookmarkStart w:id="1021" w:name="_Toc333584086"/>
      <w:bookmarkStart w:id="1022" w:name="_Toc333585220"/>
      <w:bookmarkStart w:id="1023" w:name="_Toc333586772"/>
      <w:bookmarkStart w:id="1024" w:name="_Toc333644471"/>
      <w:bookmarkStart w:id="1025" w:name="_Toc333644765"/>
      <w:r>
        <w:t>Figure 3.6</w:t>
      </w:r>
      <w:r w:rsidR="0043060F">
        <w:t>.</w:t>
      </w:r>
      <w:r w:rsidR="00653914">
        <w:t xml:space="preserve"> </w:t>
      </w:r>
      <w:r w:rsidR="00653914" w:rsidRPr="000B5A78">
        <w:t>IGF1 signalling impairment in astrocytes taken from epileptic temporal lobe resections</w:t>
      </w:r>
      <w:r w:rsidR="00653914">
        <w:t>.</w:t>
      </w:r>
      <w:bookmarkEnd w:id="1014"/>
      <w:bookmarkEnd w:id="1015"/>
      <w:bookmarkEnd w:id="1016"/>
      <w:bookmarkEnd w:id="1017"/>
      <w:bookmarkEnd w:id="1018"/>
      <w:bookmarkEnd w:id="1019"/>
      <w:bookmarkEnd w:id="1020"/>
      <w:bookmarkEnd w:id="1021"/>
      <w:bookmarkEnd w:id="1022"/>
      <w:bookmarkEnd w:id="1023"/>
      <w:bookmarkEnd w:id="1024"/>
      <w:bookmarkEnd w:id="1025"/>
      <w:r w:rsidR="00653914">
        <w:t xml:space="preserve"> </w:t>
      </w:r>
    </w:p>
    <w:p w14:paraId="27083A79" w14:textId="0E069EF0" w:rsidR="00273628" w:rsidRPr="00962EE3" w:rsidRDefault="00653914" w:rsidP="003E7BDB">
      <w:pPr>
        <w:spacing w:line="360" w:lineRule="auto"/>
        <w:jc w:val="both"/>
        <w:rPr>
          <w:rFonts w:ascii="Times New Roman" w:hAnsi="Times New Roman" w:cs="Times New Roman"/>
          <w:b/>
        </w:rPr>
      </w:pPr>
      <w:r>
        <w:rPr>
          <w:rFonts w:ascii="Times New Roman" w:hAnsi="Times New Roman" w:cs="Times New Roman"/>
        </w:rPr>
        <w:t>Treatment with 11μg/m</w:t>
      </w:r>
      <w:r w:rsidR="00106F16">
        <w:rPr>
          <w:rFonts w:ascii="Times New Roman" w:hAnsi="Times New Roman" w:cs="Times New Roman"/>
        </w:rPr>
        <w:t>l of MAB391 for 24 hours induced</w:t>
      </w:r>
      <w:r>
        <w:rPr>
          <w:rFonts w:ascii="Times New Roman" w:hAnsi="Times New Roman" w:cs="Times New Roman"/>
        </w:rPr>
        <w:t xml:space="preserve"> loss of IGF1R but</w:t>
      </w:r>
      <w:r w:rsidR="0098621C">
        <w:rPr>
          <w:rFonts w:ascii="Times New Roman" w:hAnsi="Times New Roman" w:cs="Times New Roman"/>
        </w:rPr>
        <w:t xml:space="preserve"> there was no change in the level of p</w:t>
      </w:r>
      <w:r>
        <w:rPr>
          <w:rFonts w:ascii="Times New Roman" w:hAnsi="Times New Roman" w:cs="Times New Roman"/>
        </w:rPr>
        <w:t>Akt (s473). Bar charts show significant loss of IGF1R and a</w:t>
      </w:r>
      <w:r w:rsidR="0098621C">
        <w:rPr>
          <w:rFonts w:ascii="Times New Roman" w:hAnsi="Times New Roman" w:cs="Times New Roman"/>
        </w:rPr>
        <w:t xml:space="preserve"> significant increase in p</w:t>
      </w:r>
      <w:r>
        <w:rPr>
          <w:rFonts w:ascii="Times New Roman" w:hAnsi="Times New Roman" w:cs="Times New Roman"/>
        </w:rPr>
        <w:t>Akt levels after 24 hours. (This is representative of n=3, 3 replicates, 3 experiments/replicate. Data are mean ± SEM (n=3, 3 replicates/experiments, Unpaired t-test with post-hoc analysis **p&lt;0.01, ****p&lt;0.0001</w:t>
      </w:r>
      <w:r w:rsidR="0098621C">
        <w:rPr>
          <w:rFonts w:ascii="Times New Roman" w:hAnsi="Times New Roman" w:cs="Times New Roman"/>
        </w:rPr>
        <w:t>).</w:t>
      </w:r>
    </w:p>
    <w:p w14:paraId="68E78DC5" w14:textId="77777777" w:rsidR="00BF7FB1" w:rsidRPr="00BF7FB1" w:rsidRDefault="00BF7FB1" w:rsidP="00653914">
      <w:pPr>
        <w:spacing w:line="360" w:lineRule="auto"/>
        <w:rPr>
          <w:rFonts w:ascii="Times New Roman" w:hAnsi="Times New Roman" w:cs="Times New Roman"/>
        </w:rPr>
      </w:pPr>
    </w:p>
    <w:p w14:paraId="10B63529" w14:textId="77777777" w:rsidR="005F182A" w:rsidRDefault="005F182A" w:rsidP="00653914">
      <w:pPr>
        <w:spacing w:line="360" w:lineRule="auto"/>
        <w:rPr>
          <w:rFonts w:ascii="Times New Roman" w:hAnsi="Times New Roman" w:cs="Times New Roman"/>
          <w:b/>
          <w:noProof/>
          <w:sz w:val="40"/>
          <w:szCs w:val="40"/>
        </w:rPr>
      </w:pPr>
    </w:p>
    <w:p w14:paraId="392220CA" w14:textId="77777777" w:rsidR="005F182A" w:rsidRDefault="005F182A" w:rsidP="00653914">
      <w:pPr>
        <w:spacing w:line="360" w:lineRule="auto"/>
        <w:rPr>
          <w:rFonts w:ascii="Times New Roman" w:hAnsi="Times New Roman" w:cs="Times New Roman"/>
          <w:b/>
          <w:noProof/>
          <w:sz w:val="40"/>
          <w:szCs w:val="40"/>
        </w:rPr>
      </w:pPr>
    </w:p>
    <w:p w14:paraId="4CF0166B" w14:textId="77777777" w:rsidR="005F182A" w:rsidRDefault="005F182A" w:rsidP="00653914">
      <w:pPr>
        <w:spacing w:line="360" w:lineRule="auto"/>
        <w:rPr>
          <w:rFonts w:ascii="Times New Roman" w:hAnsi="Times New Roman" w:cs="Times New Roman"/>
          <w:b/>
          <w:noProof/>
          <w:sz w:val="40"/>
          <w:szCs w:val="40"/>
        </w:rPr>
      </w:pPr>
    </w:p>
    <w:p w14:paraId="3198E3EF" w14:textId="77777777" w:rsidR="005F182A" w:rsidRDefault="005F182A" w:rsidP="00653914">
      <w:pPr>
        <w:spacing w:line="360" w:lineRule="auto"/>
        <w:rPr>
          <w:rFonts w:ascii="Times New Roman" w:hAnsi="Times New Roman" w:cs="Times New Roman"/>
          <w:b/>
          <w:noProof/>
          <w:sz w:val="40"/>
          <w:szCs w:val="40"/>
        </w:rPr>
      </w:pPr>
    </w:p>
    <w:p w14:paraId="098B47E1" w14:textId="77777777" w:rsidR="005F182A" w:rsidRDefault="005F182A" w:rsidP="00653914">
      <w:pPr>
        <w:spacing w:line="360" w:lineRule="auto"/>
        <w:rPr>
          <w:rFonts w:ascii="Times New Roman" w:hAnsi="Times New Roman" w:cs="Times New Roman"/>
          <w:b/>
          <w:noProof/>
          <w:sz w:val="40"/>
          <w:szCs w:val="40"/>
        </w:rPr>
      </w:pPr>
    </w:p>
    <w:p w14:paraId="4559BD07" w14:textId="25D80D77" w:rsidR="00653914" w:rsidRPr="00653914" w:rsidRDefault="00653914" w:rsidP="00653914">
      <w:pPr>
        <w:spacing w:line="360" w:lineRule="auto"/>
        <w:rPr>
          <w:rFonts w:ascii="Times New Roman" w:hAnsi="Times New Roman" w:cs="Times New Roman"/>
        </w:rPr>
      </w:pPr>
      <w:r>
        <w:rPr>
          <w:rFonts w:ascii="Times New Roman" w:hAnsi="Times New Roman" w:cs="Times New Roman"/>
          <w:b/>
          <w:noProof/>
          <w:sz w:val="40"/>
          <w:szCs w:val="40"/>
        </w:rPr>
        <w:t>A.</w:t>
      </w:r>
    </w:p>
    <w:p w14:paraId="50D02C57" w14:textId="27CAE27A" w:rsidR="001A5FA5" w:rsidRDefault="005D2C75" w:rsidP="00653914">
      <w:pPr>
        <w:rPr>
          <w:rFonts w:ascii="Times New Roman" w:hAnsi="Times New Roman" w:cs="Times New Roman"/>
          <w:b/>
          <w:noProof/>
          <w:sz w:val="40"/>
          <w:szCs w:val="40"/>
        </w:rPr>
      </w:pPr>
      <w:r>
        <w:rPr>
          <w:rFonts w:ascii="Times New Roman" w:hAnsi="Times New Roman" w:cs="Times New Roman"/>
          <w:b/>
          <w:noProof/>
          <w:sz w:val="40"/>
          <w:szCs w:val="40"/>
        </w:rPr>
        <w:t xml:space="preserve"> </w:t>
      </w:r>
      <w:r w:rsidR="005F182A">
        <w:rPr>
          <w:rFonts w:ascii="Times New Roman" w:hAnsi="Times New Roman" w:cs="Times New Roman"/>
          <w:b/>
          <w:noProof/>
          <w:sz w:val="40"/>
          <w:szCs w:val="40"/>
        </w:rPr>
        <w:t xml:space="preserve">     </w:t>
      </w:r>
      <w:r w:rsidR="005F182A">
        <w:rPr>
          <w:rFonts w:ascii="Times New Roman" w:hAnsi="Times New Roman" w:cs="Times New Roman"/>
          <w:b/>
          <w:noProof/>
        </w:rPr>
        <w:drawing>
          <wp:inline distT="0" distB="0" distL="0" distR="0" wp14:anchorId="6DC39F36" wp14:editId="04BFCB8A">
            <wp:extent cx="4007752" cy="2767943"/>
            <wp:effectExtent l="0" t="0" r="5715"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rotWithShape="1">
                    <a:blip r:embed="rId37">
                      <a:extLst>
                        <a:ext uri="{28A0092B-C50C-407E-A947-70E740481C1C}">
                          <a14:useLocalDpi xmlns:a14="http://schemas.microsoft.com/office/drawing/2010/main" val="0"/>
                        </a:ext>
                      </a:extLst>
                    </a:blip>
                    <a:srcRect t="9644" r="8386" b="5971"/>
                    <a:stretch/>
                  </pic:blipFill>
                  <pic:spPr bwMode="auto">
                    <a:xfrm>
                      <a:off x="0" y="0"/>
                      <a:ext cx="4011118" cy="2770268"/>
                    </a:xfrm>
                    <a:prstGeom prst="rect">
                      <a:avLst/>
                    </a:prstGeom>
                    <a:ln>
                      <a:noFill/>
                    </a:ln>
                    <a:extLst>
                      <a:ext uri="{53640926-AAD7-44d8-BBD7-CCE9431645EC}">
                        <a14:shadowObscured xmlns:a14="http://schemas.microsoft.com/office/drawing/2010/main"/>
                      </a:ext>
                    </a:extLst>
                  </pic:spPr>
                </pic:pic>
              </a:graphicData>
            </a:graphic>
          </wp:inline>
        </w:drawing>
      </w:r>
    </w:p>
    <w:p w14:paraId="396F5185" w14:textId="158027C8" w:rsidR="00653914" w:rsidRPr="004975E3" w:rsidRDefault="00653914" w:rsidP="00653914">
      <w:pPr>
        <w:rPr>
          <w:rFonts w:ascii="Times New Roman" w:hAnsi="Times New Roman" w:cs="Times New Roman"/>
          <w:b/>
        </w:rPr>
      </w:pPr>
      <w:r>
        <w:rPr>
          <w:rFonts w:ascii="Times New Roman" w:hAnsi="Times New Roman" w:cs="Times New Roman"/>
          <w:b/>
          <w:noProof/>
          <w:sz w:val="40"/>
          <w:szCs w:val="40"/>
        </w:rPr>
        <w:t>B.</w:t>
      </w:r>
    </w:p>
    <w:p w14:paraId="364D5425" w14:textId="4EE97A5E" w:rsidR="00653914" w:rsidRPr="001B72D6" w:rsidRDefault="00653914" w:rsidP="001B72D6">
      <w:pPr>
        <w:rPr>
          <w:rFonts w:ascii="Times New Roman" w:hAnsi="Times New Roman" w:cs="Times New Roman"/>
          <w:b/>
        </w:rPr>
      </w:pPr>
      <w:r>
        <w:rPr>
          <w:rFonts w:ascii="Times New Roman" w:hAnsi="Times New Roman" w:cs="Times New Roman"/>
          <w:b/>
        </w:rPr>
        <w:t xml:space="preserve">  </w:t>
      </w:r>
      <w:r w:rsidR="005F182A">
        <w:rPr>
          <w:rFonts w:ascii="Times New Roman" w:hAnsi="Times New Roman" w:cs="Times New Roman"/>
          <w:b/>
        </w:rPr>
        <w:t xml:space="preserve">    </w:t>
      </w:r>
      <w:r>
        <w:rPr>
          <w:rFonts w:ascii="Times New Roman" w:hAnsi="Times New Roman" w:cs="Times New Roman"/>
          <w:b/>
        </w:rPr>
        <w:t xml:space="preserve">     </w:t>
      </w:r>
      <w:r>
        <w:rPr>
          <w:rFonts w:ascii="Times New Roman" w:hAnsi="Times New Roman" w:cs="Times New Roman"/>
          <w:b/>
          <w:noProof/>
        </w:rPr>
        <w:drawing>
          <wp:inline distT="0" distB="0" distL="0" distR="0" wp14:anchorId="2398790A" wp14:editId="50F8D84C">
            <wp:extent cx="4110685" cy="2905760"/>
            <wp:effectExtent l="0" t="0" r="444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rotWithShape="1">
                    <a:blip r:embed="rId38">
                      <a:extLst>
                        <a:ext uri="{28A0092B-C50C-407E-A947-70E740481C1C}">
                          <a14:useLocalDpi xmlns:a14="http://schemas.microsoft.com/office/drawing/2010/main" val="0"/>
                        </a:ext>
                      </a:extLst>
                    </a:blip>
                    <a:srcRect t="11792" r="6434"/>
                    <a:stretch/>
                  </pic:blipFill>
                  <pic:spPr bwMode="auto">
                    <a:xfrm>
                      <a:off x="0" y="0"/>
                      <a:ext cx="4112861" cy="2907298"/>
                    </a:xfrm>
                    <a:prstGeom prst="rect">
                      <a:avLst/>
                    </a:prstGeom>
                    <a:ln>
                      <a:noFill/>
                    </a:ln>
                    <a:extLst>
                      <a:ext uri="{53640926-AAD7-44d8-BBD7-CCE9431645EC}">
                        <a14:shadowObscured xmlns:a14="http://schemas.microsoft.com/office/drawing/2010/main"/>
                      </a:ext>
                    </a:extLst>
                  </pic:spPr>
                </pic:pic>
              </a:graphicData>
            </a:graphic>
          </wp:inline>
        </w:drawing>
      </w:r>
    </w:p>
    <w:p w14:paraId="5A18A7F6" w14:textId="77777777" w:rsidR="001B72D6" w:rsidRDefault="00652FF0" w:rsidP="001627E2">
      <w:pPr>
        <w:pStyle w:val="Caption"/>
      </w:pPr>
      <w:bookmarkStart w:id="1026" w:name="_Toc333569054"/>
      <w:bookmarkStart w:id="1027" w:name="_Toc333569279"/>
      <w:bookmarkStart w:id="1028" w:name="_Toc333570833"/>
      <w:bookmarkStart w:id="1029" w:name="_Toc333582216"/>
      <w:bookmarkStart w:id="1030" w:name="_Toc333582336"/>
      <w:bookmarkStart w:id="1031" w:name="_Toc333582748"/>
      <w:bookmarkStart w:id="1032" w:name="_Toc333583118"/>
      <w:bookmarkStart w:id="1033" w:name="_Toc333584087"/>
      <w:bookmarkStart w:id="1034" w:name="_Toc333585221"/>
      <w:bookmarkStart w:id="1035" w:name="_Toc333586773"/>
      <w:bookmarkStart w:id="1036" w:name="_Toc333644472"/>
      <w:bookmarkStart w:id="1037" w:name="_Toc333644766"/>
      <w:r>
        <w:t>Figure 3.7</w:t>
      </w:r>
      <w:r w:rsidR="0043060F">
        <w:t>.</w:t>
      </w:r>
      <w:r w:rsidR="00653914">
        <w:t xml:space="preserve"> </w:t>
      </w:r>
      <w:r w:rsidR="00653914" w:rsidRPr="000B5A78">
        <w:t>Model of IGF1 signalling impairment in ScienCell (2) astrocytes</w:t>
      </w:r>
      <w:r w:rsidR="00653914">
        <w:t>.</w:t>
      </w:r>
      <w:bookmarkEnd w:id="1026"/>
      <w:bookmarkEnd w:id="1027"/>
      <w:bookmarkEnd w:id="1028"/>
      <w:bookmarkEnd w:id="1029"/>
      <w:bookmarkEnd w:id="1030"/>
      <w:bookmarkEnd w:id="1031"/>
      <w:bookmarkEnd w:id="1032"/>
      <w:bookmarkEnd w:id="1033"/>
      <w:bookmarkEnd w:id="1034"/>
      <w:bookmarkEnd w:id="1035"/>
      <w:bookmarkEnd w:id="1036"/>
      <w:bookmarkEnd w:id="1037"/>
    </w:p>
    <w:p w14:paraId="0CC7679D" w14:textId="2A252192" w:rsidR="00F3597A" w:rsidRPr="00653914" w:rsidRDefault="00653914" w:rsidP="0019787A">
      <w:pPr>
        <w:spacing w:line="360" w:lineRule="auto"/>
        <w:jc w:val="both"/>
        <w:rPr>
          <w:rFonts w:ascii="Times New Roman" w:hAnsi="Times New Roman" w:cs="Times New Roman"/>
        </w:rPr>
      </w:pPr>
      <w:r w:rsidRPr="00F91104">
        <w:rPr>
          <w:rFonts w:ascii="Times New Roman" w:hAnsi="Times New Roman" w:cs="Times New Roman"/>
          <w:b/>
        </w:rPr>
        <w:t>A</w:t>
      </w:r>
      <w:r>
        <w:rPr>
          <w:rFonts w:ascii="Times New Roman" w:hAnsi="Times New Roman" w:cs="Times New Roman"/>
        </w:rPr>
        <w:t>:</w:t>
      </w:r>
      <w:r w:rsidR="00D40298">
        <w:rPr>
          <w:rFonts w:ascii="Times New Roman" w:hAnsi="Times New Roman" w:cs="Times New Roman"/>
        </w:rPr>
        <w:t xml:space="preserve"> </w:t>
      </w:r>
      <w:r>
        <w:rPr>
          <w:rFonts w:ascii="Times New Roman" w:hAnsi="Times New Roman" w:cs="Times New Roman"/>
        </w:rPr>
        <w:t>Treatment with 11μg/m</w:t>
      </w:r>
      <w:r w:rsidR="00106F16">
        <w:rPr>
          <w:rFonts w:ascii="Times New Roman" w:hAnsi="Times New Roman" w:cs="Times New Roman"/>
        </w:rPr>
        <w:t>l of MAB391 for 24 hours induced</w:t>
      </w:r>
      <w:r>
        <w:rPr>
          <w:rFonts w:ascii="Times New Roman" w:hAnsi="Times New Roman" w:cs="Times New Roman"/>
        </w:rPr>
        <w:t xml:space="preserve"> loss of IGF1R but</w:t>
      </w:r>
      <w:r w:rsidR="00106F16">
        <w:rPr>
          <w:rFonts w:ascii="Times New Roman" w:hAnsi="Times New Roman" w:cs="Times New Roman"/>
        </w:rPr>
        <w:t xml:space="preserve"> d</w:t>
      </w:r>
      <w:r w:rsidR="00F3597A">
        <w:rPr>
          <w:rFonts w:ascii="Times New Roman" w:hAnsi="Times New Roman" w:cs="Times New Roman"/>
        </w:rPr>
        <w:t>id not change levels of p</w:t>
      </w:r>
      <w:r>
        <w:rPr>
          <w:rFonts w:ascii="Times New Roman" w:hAnsi="Times New Roman" w:cs="Times New Roman"/>
        </w:rPr>
        <w:t>Akt (s473). Bar charts show significant loss of</w:t>
      </w:r>
      <w:r w:rsidR="00F3597A">
        <w:rPr>
          <w:rFonts w:ascii="Times New Roman" w:hAnsi="Times New Roman" w:cs="Times New Roman"/>
        </w:rPr>
        <w:t xml:space="preserve"> IGF1R and no change in p</w:t>
      </w:r>
      <w:r>
        <w:rPr>
          <w:rFonts w:ascii="Times New Roman" w:hAnsi="Times New Roman" w:cs="Times New Roman"/>
        </w:rPr>
        <w:t>Akt levels after 24 hours.</w:t>
      </w:r>
      <w:r w:rsidRPr="00F91104">
        <w:rPr>
          <w:rFonts w:ascii="Times New Roman" w:hAnsi="Times New Roman" w:cs="Times New Roman"/>
          <w:b/>
        </w:rPr>
        <w:t xml:space="preserve"> B</w:t>
      </w:r>
      <w:r>
        <w:rPr>
          <w:rFonts w:ascii="Times New Roman" w:hAnsi="Times New Roman" w:cs="Times New Roman"/>
        </w:rPr>
        <w:t>: Treatment of astrocytes with MAB391 for 72</w:t>
      </w:r>
      <w:r w:rsidR="007C3A1B">
        <w:rPr>
          <w:rFonts w:ascii="Times New Roman" w:hAnsi="Times New Roman" w:cs="Times New Roman"/>
        </w:rPr>
        <w:t xml:space="preserve"> </w:t>
      </w:r>
      <w:r>
        <w:rPr>
          <w:rFonts w:ascii="Times New Roman" w:hAnsi="Times New Roman" w:cs="Times New Roman"/>
        </w:rPr>
        <w:t>h</w:t>
      </w:r>
      <w:r w:rsidR="007C3A1B">
        <w:rPr>
          <w:rFonts w:ascii="Times New Roman" w:hAnsi="Times New Roman" w:cs="Times New Roman"/>
        </w:rPr>
        <w:t>ou</w:t>
      </w:r>
      <w:r>
        <w:rPr>
          <w:rFonts w:ascii="Times New Roman" w:hAnsi="Times New Roman" w:cs="Times New Roman"/>
        </w:rPr>
        <w:t>rs</w:t>
      </w:r>
      <w:r w:rsidR="00106F16">
        <w:rPr>
          <w:rFonts w:ascii="Times New Roman" w:hAnsi="Times New Roman" w:cs="Times New Roman"/>
        </w:rPr>
        <w:t xml:space="preserve"> post-media exchange</w:t>
      </w:r>
      <w:r>
        <w:rPr>
          <w:rFonts w:ascii="Times New Roman" w:hAnsi="Times New Roman" w:cs="Times New Roman"/>
        </w:rPr>
        <w:t xml:space="preserve"> </w:t>
      </w:r>
      <w:r w:rsidR="00106F16">
        <w:rPr>
          <w:rFonts w:ascii="Times New Roman" w:hAnsi="Times New Roman" w:cs="Times New Roman"/>
        </w:rPr>
        <w:t>(</w:t>
      </w:r>
      <w:r>
        <w:rPr>
          <w:rFonts w:ascii="Times New Roman" w:hAnsi="Times New Roman" w:cs="Times New Roman"/>
        </w:rPr>
        <w:t>PME</w:t>
      </w:r>
      <w:r w:rsidR="00106F16">
        <w:rPr>
          <w:rFonts w:ascii="Times New Roman" w:hAnsi="Times New Roman" w:cs="Times New Roman"/>
        </w:rPr>
        <w:t>)</w:t>
      </w:r>
      <w:r>
        <w:rPr>
          <w:rFonts w:ascii="Times New Roman" w:hAnsi="Times New Roman" w:cs="Times New Roman"/>
        </w:rPr>
        <w:t>. Western blots demonstrate continued loss of IGF1R, with a significant r</w:t>
      </w:r>
      <w:r w:rsidR="00F91104">
        <w:rPr>
          <w:rFonts w:ascii="Times New Roman" w:hAnsi="Times New Roman" w:cs="Times New Roman"/>
        </w:rPr>
        <w:t>ecovery in levels of pAkt</w:t>
      </w:r>
      <w:r>
        <w:rPr>
          <w:rFonts w:ascii="Times New Roman" w:hAnsi="Times New Roman" w:cs="Times New Roman"/>
        </w:rPr>
        <w:t>. Bar charts display these observable changes. (Western blots are representative of n=3, 3 replicates, 3 experiments/replicate. Data are mean ± SEM (Unpaired t-test with post-hoc analysis *p&lt;0.05, **p&lt;0.01, ****p&lt;0.0001)</w:t>
      </w:r>
      <w:r w:rsidR="00F91104">
        <w:rPr>
          <w:rFonts w:ascii="Times New Roman" w:hAnsi="Times New Roman" w:cs="Times New Roman"/>
        </w:rPr>
        <w:t>.</w:t>
      </w:r>
    </w:p>
    <w:p w14:paraId="61FAD83F" w14:textId="0592841A" w:rsidR="00DD588B" w:rsidRDefault="00AC7BB4" w:rsidP="002D0408">
      <w:pPr>
        <w:pStyle w:val="Heading3"/>
        <w:rPr>
          <w:noProof/>
        </w:rPr>
      </w:pPr>
      <w:bookmarkStart w:id="1038" w:name="_Toc328301146"/>
      <w:bookmarkStart w:id="1039" w:name="_Toc329593438"/>
      <w:bookmarkStart w:id="1040" w:name="_Toc331425937"/>
      <w:bookmarkStart w:id="1041" w:name="_Toc331427118"/>
      <w:bookmarkStart w:id="1042" w:name="_Toc331427490"/>
      <w:bookmarkStart w:id="1043" w:name="_Toc331427632"/>
      <w:bookmarkStart w:id="1044" w:name="_Toc332972636"/>
      <w:bookmarkStart w:id="1045" w:name="_Toc333046915"/>
      <w:bookmarkStart w:id="1046" w:name="_Toc333477262"/>
      <w:bookmarkStart w:id="1047" w:name="_Toc333478032"/>
      <w:bookmarkStart w:id="1048" w:name="_Toc333644932"/>
      <w:r>
        <w:rPr>
          <w:noProof/>
        </w:rPr>
        <w:t>3.4.4</w:t>
      </w:r>
      <w:r w:rsidR="00652FF0">
        <w:rPr>
          <w:noProof/>
        </w:rPr>
        <w:t xml:space="preserve"> </w:t>
      </w:r>
      <w:r w:rsidR="00653914">
        <w:rPr>
          <w:noProof/>
        </w:rPr>
        <w:t>Loss of IGF1R</w:t>
      </w:r>
      <w:r w:rsidR="00DD588B">
        <w:rPr>
          <w:noProof/>
        </w:rPr>
        <w:t xml:space="preserve"> occurs at the </w:t>
      </w:r>
      <w:r w:rsidR="007707A3">
        <w:rPr>
          <w:noProof/>
        </w:rPr>
        <w:t>protein level</w:t>
      </w:r>
      <w:bookmarkEnd w:id="1038"/>
      <w:bookmarkEnd w:id="1039"/>
      <w:bookmarkEnd w:id="1040"/>
      <w:bookmarkEnd w:id="1041"/>
      <w:bookmarkEnd w:id="1042"/>
      <w:bookmarkEnd w:id="1043"/>
      <w:bookmarkEnd w:id="1044"/>
      <w:bookmarkEnd w:id="1045"/>
      <w:bookmarkEnd w:id="1046"/>
      <w:bookmarkEnd w:id="1047"/>
      <w:bookmarkEnd w:id="1048"/>
    </w:p>
    <w:p w14:paraId="343AC23E" w14:textId="77777777" w:rsidR="002D0408" w:rsidRDefault="002D0408" w:rsidP="003E7BDB">
      <w:pPr>
        <w:spacing w:line="360" w:lineRule="auto"/>
        <w:jc w:val="both"/>
        <w:rPr>
          <w:rFonts w:ascii="Times New Roman" w:hAnsi="Times New Roman" w:cs="Times New Roman"/>
          <w:noProof/>
        </w:rPr>
      </w:pPr>
    </w:p>
    <w:p w14:paraId="280ED6BF" w14:textId="068DA6A9" w:rsidR="00653914" w:rsidRDefault="00B361F6" w:rsidP="003E7BDB">
      <w:pPr>
        <w:spacing w:line="360" w:lineRule="auto"/>
        <w:jc w:val="both"/>
        <w:rPr>
          <w:rFonts w:ascii="Times New Roman" w:hAnsi="Times New Roman" w:cs="Times New Roman"/>
          <w:noProof/>
        </w:rPr>
      </w:pPr>
      <w:r>
        <w:rPr>
          <w:rFonts w:ascii="Times New Roman" w:hAnsi="Times New Roman" w:cs="Times New Roman"/>
          <w:noProof/>
        </w:rPr>
        <w:t>It has been reported that MAB391 causes internalisation and targeting of IGF1R to lysosomes for degradation</w:t>
      </w:r>
      <w:r w:rsidR="00B309ED">
        <w:rPr>
          <w:rFonts w:ascii="Times New Roman" w:hAnsi="Times New Roman" w:cs="Times New Roman"/>
          <w:noProof/>
        </w:rPr>
        <w:t xml:space="preserve"> </w:t>
      </w:r>
      <w:r w:rsidR="00B309ED">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"ISSN" : "1535-7163", "PMID" : "12516969", "abstract" : "Insulin-like growth factor receptor 1 (IGFR1) plays a crucial role in oncogenic transformation [C. Sell et al., Mol. Cell. Biol., 14: 3604-3612,1994]. Compared with the normal human mammary epithelial cell line MCF12A, MCF7 human mammary carcinoma cells overexpress IGFR1 on the cell surface. To measure the effects of IGFR1 inhibition on tumor cells, we tested two mouse neutralizing antibodies against human IGFR1 in cell-based assays. Both MAB391 and anti-IR3 antibodies inhibit IGFR1 autophosphorylation upon IGF-I ligand stimulation with IC50s of 0.58 and 0.80 nM, respectively. When cells were treated with neutralizing anti-IGFR1 antibodies for &gt; or = 4 h, the total receptor level was dramatically decreased. IGF-I-stimulated activation of AKT was also inhibited by anti-IGFR1 antibodies. Furthermore, MAB391 and anti-IR3 inhibited the growth of MCF7 cells in soft agar. In addition to MCF7 cells, MAB391 also inhibited IGFR1 autophosphorylation and induced IGFR1 down-modulation in HT29 colorectal and Du145 prostate cancer cells. Therefore, neutralizing antibodies against IGFR1 represent a valid approach to inhibit growth of tumor cells.", "author" : [ { "dropping-particle" : "", "family" : "Hailey", "given" : "Judith", "non-dropping-particle" : "", "parse-names" : false, "suffix" : "" }, { "dropping-particle" : "", "family" : "Maxwell", "given" : "Eugene", "non-dropping-particle" : "", "parse-names" : false, "suffix" : "" }, { "dropping-particle" : "", "family" : "Koukouras", "given" : "Kathy", "non-dropping-particle" : "", "parse-names" : false, "suffix" : "" }, { "dropping-particle" : "", "family" : "Bishop", "given" : "W Robert", "non-dropping-particle" : "", "parse-names" : false, "suffix" : "" }, { "dropping-particle" : "", "family" : "Pachter", "given" : "Jonathan A", "non-dropping-particle" : "", "parse-names" : false, "suffix" : "" }, { "dropping-particle" : "", "family" : "Wang", "given" : "Yan", "non-dropping-particle" : "", "parse-names" : false, "suffix" : "" } ], "container-title" : "Molecular cancer therapeutics", "id" : "ITEM-1", "issue" : "14", "issued" : { "date-parts" : [ [ "2002", "12" ] ] }, "page" : "1349-53", "title" : "Neutralizing anti-insulin-like growth factor receptor 1 antibodies inhibit receptor function and induce receptor degradation in tumor cells.", "type" : "article-journal", "volume" : "1" }, "uris" : [ "http://www.mendeley.com/documents/?uuid=16124cbb-59cc-411c-804f-b74c595e5581" ] } ], "mendeley" : { "formattedCitation" : "(Hailey et al. 2002)", "plainTextFormattedCitation" : "(Hailey et al. 2002)", "previouslyFormattedCitation" : "(Hailey et al. 2002)" }, "properties" : { "noteIndex" : 0 }, "schema" : "https://github.com/citation-style-language/schema/raw/master/csl-citation.json" }</w:instrText>
      </w:r>
      <w:r w:rsidR="00B309ED">
        <w:rPr>
          <w:rFonts w:ascii="Times New Roman" w:hAnsi="Times New Roman" w:cs="Times New Roman"/>
          <w:noProof/>
        </w:rPr>
        <w:fldChar w:fldCharType="separate"/>
      </w:r>
      <w:r w:rsidR="00C148FC" w:rsidRPr="00C148FC">
        <w:rPr>
          <w:rFonts w:ascii="Times New Roman" w:hAnsi="Times New Roman" w:cs="Times New Roman"/>
          <w:noProof/>
        </w:rPr>
        <w:t>(Hailey et al. 2002)</w:t>
      </w:r>
      <w:r w:rsidR="00B309ED">
        <w:rPr>
          <w:rFonts w:ascii="Times New Roman" w:hAnsi="Times New Roman" w:cs="Times New Roman"/>
          <w:noProof/>
        </w:rPr>
        <w:fldChar w:fldCharType="end"/>
      </w:r>
      <w:r>
        <w:rPr>
          <w:rFonts w:ascii="Times New Roman" w:hAnsi="Times New Roman" w:cs="Times New Roman"/>
          <w:noProof/>
        </w:rPr>
        <w:t xml:space="preserve">. </w:t>
      </w:r>
      <w:r w:rsidR="00AB0487">
        <w:rPr>
          <w:rFonts w:ascii="Times New Roman" w:hAnsi="Times New Roman" w:cs="Times New Roman"/>
          <w:noProof/>
        </w:rPr>
        <w:t xml:space="preserve">Western blotting </w:t>
      </w:r>
      <w:r w:rsidR="00460AD5">
        <w:rPr>
          <w:rFonts w:ascii="Times New Roman" w:hAnsi="Times New Roman" w:cs="Times New Roman"/>
          <w:noProof/>
        </w:rPr>
        <w:t>revealed loss of IG</w:t>
      </w:r>
      <w:r w:rsidR="00962EE3">
        <w:rPr>
          <w:rFonts w:ascii="Times New Roman" w:hAnsi="Times New Roman" w:cs="Times New Roman"/>
          <w:noProof/>
        </w:rPr>
        <w:t>F1R following MAB391 treatment at 24 hr and 72hr PME</w:t>
      </w:r>
      <w:r w:rsidR="00460AD5">
        <w:rPr>
          <w:rFonts w:ascii="Times New Roman" w:hAnsi="Times New Roman" w:cs="Times New Roman"/>
          <w:noProof/>
        </w:rPr>
        <w:t xml:space="preserve">. To further </w:t>
      </w:r>
      <w:r>
        <w:rPr>
          <w:rFonts w:ascii="Times New Roman" w:hAnsi="Times New Roman" w:cs="Times New Roman"/>
          <w:noProof/>
        </w:rPr>
        <w:t>assess whether MAB391 causes loss of IGF1R at the protein level, immunocytochem</w:t>
      </w:r>
      <w:r w:rsidR="00B80D03">
        <w:rPr>
          <w:rFonts w:ascii="Times New Roman" w:hAnsi="Times New Roman" w:cs="Times New Roman"/>
          <w:noProof/>
        </w:rPr>
        <w:t>istry was carried out on MAB391-</w:t>
      </w:r>
      <w:r>
        <w:rPr>
          <w:rFonts w:ascii="Times New Roman" w:hAnsi="Times New Roman" w:cs="Times New Roman"/>
          <w:noProof/>
        </w:rPr>
        <w:t xml:space="preserve">treated </w:t>
      </w:r>
      <w:r w:rsidR="00FD22BE">
        <w:rPr>
          <w:rFonts w:ascii="Times New Roman" w:hAnsi="Times New Roman" w:cs="Times New Roman"/>
          <w:noProof/>
        </w:rPr>
        <w:t xml:space="preserve">ScienCell (1) </w:t>
      </w:r>
      <w:r>
        <w:rPr>
          <w:rFonts w:ascii="Times New Roman" w:hAnsi="Times New Roman" w:cs="Times New Roman"/>
          <w:noProof/>
        </w:rPr>
        <w:t>astrocytes at both the 24hr and 72hr PME ti</w:t>
      </w:r>
      <w:r w:rsidR="00653914">
        <w:rPr>
          <w:rFonts w:ascii="Times New Roman" w:hAnsi="Times New Roman" w:cs="Times New Roman"/>
          <w:noProof/>
        </w:rPr>
        <w:t>me poi</w:t>
      </w:r>
      <w:r w:rsidR="00FD22BE">
        <w:rPr>
          <w:rFonts w:ascii="Times New Roman" w:hAnsi="Times New Roman" w:cs="Times New Roman"/>
          <w:noProof/>
        </w:rPr>
        <w:t>nts, in conjunction with</w:t>
      </w:r>
      <w:r>
        <w:rPr>
          <w:rFonts w:ascii="Times New Roman" w:hAnsi="Times New Roman" w:cs="Times New Roman"/>
          <w:noProof/>
        </w:rPr>
        <w:t xml:space="preserve"> </w:t>
      </w:r>
      <w:r w:rsidR="00653914">
        <w:rPr>
          <w:rFonts w:ascii="Times New Roman" w:hAnsi="Times New Roman" w:cs="Times New Roman"/>
          <w:noProof/>
        </w:rPr>
        <w:t>q</w:t>
      </w:r>
      <w:r w:rsidR="00FD22BE">
        <w:rPr>
          <w:rFonts w:ascii="Times New Roman" w:hAnsi="Times New Roman" w:cs="Times New Roman"/>
          <w:noProof/>
        </w:rPr>
        <w:t>RT-</w:t>
      </w:r>
      <w:r>
        <w:rPr>
          <w:rFonts w:ascii="Times New Roman" w:hAnsi="Times New Roman" w:cs="Times New Roman"/>
          <w:noProof/>
        </w:rPr>
        <w:t>PCR</w:t>
      </w:r>
      <w:r w:rsidR="00614101">
        <w:rPr>
          <w:rFonts w:ascii="Times New Roman" w:hAnsi="Times New Roman" w:cs="Times New Roman"/>
          <w:noProof/>
        </w:rPr>
        <w:t xml:space="preserve"> to identify changes at the transcript level</w:t>
      </w:r>
      <w:r>
        <w:rPr>
          <w:rFonts w:ascii="Times New Roman" w:hAnsi="Times New Roman" w:cs="Times New Roman"/>
          <w:noProof/>
        </w:rPr>
        <w:t xml:space="preserve">. </w:t>
      </w:r>
      <w:r w:rsidR="00116C1C">
        <w:rPr>
          <w:rFonts w:ascii="Times New Roman" w:hAnsi="Times New Roman" w:cs="Times New Roman"/>
          <w:noProof/>
        </w:rPr>
        <w:t>After 24 hours of MAB391 treatment, IGF1R appea</w:t>
      </w:r>
      <w:r w:rsidR="00F3597A">
        <w:rPr>
          <w:rFonts w:ascii="Times New Roman" w:hAnsi="Times New Roman" w:cs="Times New Roman"/>
          <w:noProof/>
        </w:rPr>
        <w:t>red</w:t>
      </w:r>
      <w:r w:rsidR="00116C1C">
        <w:rPr>
          <w:rFonts w:ascii="Times New Roman" w:hAnsi="Times New Roman" w:cs="Times New Roman"/>
          <w:noProof/>
        </w:rPr>
        <w:t xml:space="preserve"> to be localised in punctate vesicles, which may coincide with the reports of IGF1R being internalised into endosomes following MAB391 treatment</w:t>
      </w:r>
      <w:r w:rsidR="00F3597A">
        <w:rPr>
          <w:rFonts w:ascii="Times New Roman" w:hAnsi="Times New Roman" w:cs="Times New Roman"/>
          <w:noProof/>
        </w:rPr>
        <w:t xml:space="preserve"> </w:t>
      </w:r>
      <w:r w:rsidR="00F3597A">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"ISSN" : "1535-7163", "PMID" : "12516969", "abstract" : "Insulin-like growth factor receptor 1 (IGFR1) plays a crucial role in oncogenic transformation [C. Sell et al., Mol. Cell. Biol., 14: 3604-3612,1994]. Compared with the normal human mammary epithelial cell line MCF12A, MCF7 human mammary carcinoma cells overexpress IGFR1 on the cell surface. To measure the effects of IGFR1 inhibition on tumor cells, we tested two mouse neutralizing antibodies against human IGFR1 in cell-based assays. Both MAB391 and anti-IR3 antibodies inhibit IGFR1 autophosphorylation upon IGF-I ligand stimulation with IC50s of 0.58 and 0.80 nM, respectively. When cells were treated with neutralizing anti-IGFR1 antibodies for &gt; or = 4 h, the total receptor level was dramatically decreased. IGF-I-stimulated activation of AKT was also inhibited by anti-IGFR1 antibodies. Furthermore, MAB391 and anti-IR3 inhibited the growth of MCF7 cells in soft agar. In addition to MCF7 cells, MAB391 also inhibited IGFR1 autophosphorylation and induced IGFR1 down-modulation in HT29 colorectal and Du145 prostate cancer cells. Therefore, neutralizing antibodies against IGFR1 represent a valid approach to inhibit growth of tumor cells.", "author" : [ { "dropping-particle" : "", "family" : "Hailey", "given" : "Judith", "non-dropping-particle" : "", "parse-names" : false, "suffix" : "" }, { "dropping-particle" : "", "family" : "Maxwell", "given" : "Eugene", "non-dropping-particle" : "", "parse-names" : false, "suffix" : "" }, { "dropping-particle" : "", "family" : "Koukouras", "given" : "Kathy", "non-dropping-particle" : "", "parse-names" : false, "suffix" : "" }, { "dropping-particle" : "", "family" : "Bishop", "given" : "W Robert", "non-dropping-particle" : "", "parse-names" : false, "suffix" : "" }, { "dropping-particle" : "", "family" : "Pachter", "given" : "Jonathan A", "non-dropping-particle" : "", "parse-names" : false, "suffix" : "" }, { "dropping-particle" : "", "family" : "Wang", "given" : "Yan", "non-dropping-particle" : "", "parse-names" : false, "suffix" : "" } ], "container-title" : "Molecular cancer therapeutics", "id" : "ITEM-1", "issue" : "14", "issued" : { "date-parts" : [ [ "2002", "12" ] ] }, "page" : "1349-53", "title" : "Neutralizing anti-insulin-like growth factor receptor 1 antibodies inhibit receptor function and induce receptor degradation in tumor cells.", "type" : "article-journal", "volume" : "1" }, "uris" : [ "http://www.mendeley.com/documents/?uuid=16124cbb-59cc-411c-804f-b74c595e5581" ] } ], "mendeley" : { "formattedCitation" : "(Hailey et al. 2002)", "plainTextFormattedCitation" : "(Hailey et al. 2002)", "previouslyFormattedCitation" : "(Hailey et al. 2002)" }, "properties" : { "noteIndex" : 0 }, "schema" : "https://github.com/citation-style-language/schema/raw/master/csl-citation.json" }</w:instrText>
      </w:r>
      <w:r w:rsidR="00F3597A">
        <w:rPr>
          <w:rFonts w:ascii="Times New Roman" w:hAnsi="Times New Roman" w:cs="Times New Roman"/>
          <w:noProof/>
        </w:rPr>
        <w:fldChar w:fldCharType="separate"/>
      </w:r>
      <w:r w:rsidR="00C148FC" w:rsidRPr="00C148FC">
        <w:rPr>
          <w:rFonts w:ascii="Times New Roman" w:hAnsi="Times New Roman" w:cs="Times New Roman"/>
          <w:noProof/>
        </w:rPr>
        <w:t>(Hailey et al. 2002)</w:t>
      </w:r>
      <w:r w:rsidR="00F3597A">
        <w:rPr>
          <w:rFonts w:ascii="Times New Roman" w:hAnsi="Times New Roman" w:cs="Times New Roman"/>
          <w:noProof/>
        </w:rPr>
        <w:fldChar w:fldCharType="end"/>
      </w:r>
      <w:r w:rsidR="00F3597A">
        <w:rPr>
          <w:rFonts w:ascii="Times New Roman" w:hAnsi="Times New Roman" w:cs="Times New Roman"/>
          <w:noProof/>
        </w:rPr>
        <w:t>. At 72 hr PME, there appeared</w:t>
      </w:r>
      <w:r w:rsidR="00116C1C">
        <w:rPr>
          <w:rFonts w:ascii="Times New Roman" w:hAnsi="Times New Roman" w:cs="Times New Roman"/>
          <w:noProof/>
        </w:rPr>
        <w:t xml:space="preserve"> to be </w:t>
      </w:r>
      <w:r w:rsidR="00F3597A">
        <w:rPr>
          <w:rFonts w:ascii="Times New Roman" w:hAnsi="Times New Roman" w:cs="Times New Roman"/>
          <w:noProof/>
        </w:rPr>
        <w:t xml:space="preserve">an </w:t>
      </w:r>
      <w:r w:rsidR="00116C1C">
        <w:rPr>
          <w:rFonts w:ascii="Times New Roman" w:hAnsi="Times New Roman" w:cs="Times New Roman"/>
          <w:noProof/>
        </w:rPr>
        <w:t>increased distribution of IGF1R throughtout the cytoplasm, however not to the same extent as control astrocytes.</w:t>
      </w:r>
      <w:r w:rsidR="00FA5B19">
        <w:rPr>
          <w:rFonts w:ascii="Times New Roman" w:hAnsi="Times New Roman" w:cs="Times New Roman"/>
          <w:noProof/>
        </w:rPr>
        <w:t xml:space="preserve"> </w:t>
      </w:r>
    </w:p>
    <w:p w14:paraId="57592474" w14:textId="77777777" w:rsidR="002C11AB" w:rsidRDefault="002C11AB" w:rsidP="003E7BDB">
      <w:pPr>
        <w:spacing w:line="360" w:lineRule="auto"/>
        <w:jc w:val="both"/>
        <w:rPr>
          <w:rFonts w:ascii="Times New Roman" w:hAnsi="Times New Roman" w:cs="Times New Roman"/>
          <w:noProof/>
        </w:rPr>
      </w:pPr>
    </w:p>
    <w:p w14:paraId="0C74C219" w14:textId="345BE317" w:rsidR="00B361F6" w:rsidRPr="00B361F6" w:rsidRDefault="00653914" w:rsidP="003E7BDB">
      <w:pPr>
        <w:spacing w:line="360" w:lineRule="auto"/>
        <w:jc w:val="both"/>
        <w:rPr>
          <w:rFonts w:ascii="Times New Roman" w:hAnsi="Times New Roman" w:cs="Times New Roman"/>
          <w:noProof/>
        </w:rPr>
      </w:pPr>
      <w:r>
        <w:rPr>
          <w:rFonts w:ascii="Times New Roman" w:hAnsi="Times New Roman" w:cs="Times New Roman"/>
          <w:noProof/>
        </w:rPr>
        <w:t>An</w:t>
      </w:r>
      <w:r w:rsidR="00FD52EE">
        <w:rPr>
          <w:rFonts w:ascii="Times New Roman" w:hAnsi="Times New Roman" w:cs="Times New Roman"/>
          <w:noProof/>
        </w:rPr>
        <w:t>a</w:t>
      </w:r>
      <w:r>
        <w:rPr>
          <w:rFonts w:ascii="Times New Roman" w:hAnsi="Times New Roman" w:cs="Times New Roman"/>
          <w:noProof/>
        </w:rPr>
        <w:t>lysis of cell lysates harvested from MAB</w:t>
      </w:r>
      <w:r w:rsidR="00B80D03">
        <w:rPr>
          <w:rFonts w:ascii="Times New Roman" w:hAnsi="Times New Roman" w:cs="Times New Roman"/>
          <w:noProof/>
        </w:rPr>
        <w:t>391-</w:t>
      </w:r>
      <w:r w:rsidR="00FD22BE">
        <w:rPr>
          <w:rFonts w:ascii="Times New Roman" w:hAnsi="Times New Roman" w:cs="Times New Roman"/>
          <w:noProof/>
        </w:rPr>
        <w:t xml:space="preserve">treated astrocytes using </w:t>
      </w:r>
      <w:r>
        <w:rPr>
          <w:rFonts w:ascii="Times New Roman" w:hAnsi="Times New Roman" w:cs="Times New Roman"/>
          <w:noProof/>
        </w:rPr>
        <w:t>q</w:t>
      </w:r>
      <w:r w:rsidR="00FD22BE">
        <w:rPr>
          <w:rFonts w:ascii="Times New Roman" w:hAnsi="Times New Roman" w:cs="Times New Roman"/>
          <w:noProof/>
        </w:rPr>
        <w:t>RT-</w:t>
      </w:r>
      <w:r>
        <w:rPr>
          <w:rFonts w:ascii="Times New Roman" w:hAnsi="Times New Roman" w:cs="Times New Roman"/>
          <w:noProof/>
        </w:rPr>
        <w:t>PCR showed no</w:t>
      </w:r>
      <w:r w:rsidR="00F72958">
        <w:rPr>
          <w:rFonts w:ascii="Times New Roman" w:hAnsi="Times New Roman" w:cs="Times New Roman"/>
          <w:noProof/>
        </w:rPr>
        <w:t xml:space="preserve"> change</w:t>
      </w:r>
      <w:r w:rsidR="00075F4B">
        <w:rPr>
          <w:rFonts w:ascii="Times New Roman" w:hAnsi="Times New Roman" w:cs="Times New Roman"/>
          <w:noProof/>
        </w:rPr>
        <w:t>s</w:t>
      </w:r>
      <w:r w:rsidR="00F72958">
        <w:rPr>
          <w:rFonts w:ascii="Times New Roman" w:hAnsi="Times New Roman" w:cs="Times New Roman"/>
          <w:noProof/>
        </w:rPr>
        <w:t xml:space="preserve"> in the level of</w:t>
      </w:r>
      <w:r>
        <w:rPr>
          <w:rFonts w:ascii="Times New Roman" w:hAnsi="Times New Roman" w:cs="Times New Roman"/>
          <w:noProof/>
        </w:rPr>
        <w:t xml:space="preserve"> IGF1R at the RNA level at either 24 hours or</w:t>
      </w:r>
      <w:r w:rsidR="00F72958">
        <w:rPr>
          <w:rFonts w:ascii="Times New Roman" w:hAnsi="Times New Roman" w:cs="Times New Roman"/>
          <w:noProof/>
        </w:rPr>
        <w:t xml:space="preserve"> 72 hours PME</w:t>
      </w:r>
      <w:r w:rsidR="009956DA">
        <w:rPr>
          <w:rFonts w:ascii="Times New Roman" w:hAnsi="Times New Roman" w:cs="Times New Roman"/>
          <w:noProof/>
        </w:rPr>
        <w:t xml:space="preserve"> (</w:t>
      </w:r>
      <w:r w:rsidR="009956DA" w:rsidRPr="00D40298">
        <w:rPr>
          <w:rFonts w:ascii="Times New Roman" w:hAnsi="Times New Roman" w:cs="Times New Roman"/>
          <w:b/>
          <w:noProof/>
        </w:rPr>
        <w:t>figure 3.8B</w:t>
      </w:r>
      <w:r>
        <w:rPr>
          <w:rFonts w:ascii="Times New Roman" w:hAnsi="Times New Roman" w:cs="Times New Roman"/>
          <w:noProof/>
        </w:rPr>
        <w:t>)</w:t>
      </w:r>
      <w:r w:rsidR="00F72958">
        <w:rPr>
          <w:rFonts w:ascii="Times New Roman" w:hAnsi="Times New Roman" w:cs="Times New Roman"/>
          <w:noProof/>
        </w:rPr>
        <w:t>, suggesting that MAB391 acts at the level of the protein</w:t>
      </w:r>
      <w:r w:rsidR="00614101">
        <w:rPr>
          <w:rFonts w:ascii="Times New Roman" w:hAnsi="Times New Roman" w:cs="Times New Roman"/>
          <w:noProof/>
        </w:rPr>
        <w:t xml:space="preserve">. </w:t>
      </w:r>
    </w:p>
    <w:p w14:paraId="106BF16A" w14:textId="77777777" w:rsidR="00DD588B" w:rsidRDefault="00DD588B" w:rsidP="00B361F6">
      <w:pPr>
        <w:spacing w:line="360" w:lineRule="auto"/>
        <w:rPr>
          <w:rFonts w:ascii="Times New Roman" w:hAnsi="Times New Roman" w:cs="Times New Roman"/>
          <w:b/>
          <w:noProof/>
        </w:rPr>
      </w:pPr>
    </w:p>
    <w:p w14:paraId="181918CC" w14:textId="77777777" w:rsidR="00DD588B" w:rsidRDefault="00DD588B">
      <w:pPr>
        <w:rPr>
          <w:rFonts w:ascii="Times New Roman" w:hAnsi="Times New Roman" w:cs="Times New Roman"/>
          <w:b/>
          <w:noProof/>
        </w:rPr>
      </w:pPr>
    </w:p>
    <w:p w14:paraId="15D900CF" w14:textId="77777777" w:rsidR="00DD588B" w:rsidRDefault="00DD588B">
      <w:pPr>
        <w:rPr>
          <w:rFonts w:ascii="Times New Roman" w:hAnsi="Times New Roman" w:cs="Times New Roman"/>
          <w:b/>
          <w:noProof/>
        </w:rPr>
      </w:pPr>
    </w:p>
    <w:p w14:paraId="47DFD3B7" w14:textId="77777777" w:rsidR="00095511" w:rsidRDefault="00095511">
      <w:pPr>
        <w:rPr>
          <w:rFonts w:ascii="Times New Roman" w:hAnsi="Times New Roman" w:cs="Times New Roman"/>
          <w:b/>
        </w:rPr>
      </w:pPr>
      <w:r>
        <w:rPr>
          <w:rFonts w:ascii="Times New Roman" w:hAnsi="Times New Roman" w:cs="Times New Roman"/>
          <w:b/>
        </w:rPr>
        <w:t xml:space="preserve">   </w:t>
      </w:r>
      <w:r w:rsidR="007707A3">
        <w:rPr>
          <w:rFonts w:ascii="Times New Roman" w:hAnsi="Times New Roman" w:cs="Times New Roman"/>
          <w:b/>
        </w:rPr>
        <w:t xml:space="preserve">                      </w:t>
      </w:r>
      <w:r>
        <w:rPr>
          <w:rFonts w:ascii="Times New Roman" w:hAnsi="Times New Roman" w:cs="Times New Roman"/>
          <w:b/>
        </w:rPr>
        <w:t xml:space="preserve">          </w:t>
      </w:r>
    </w:p>
    <w:p w14:paraId="5D07C755" w14:textId="77777777" w:rsidR="00653914" w:rsidRDefault="00653914">
      <w:pPr>
        <w:rPr>
          <w:rFonts w:ascii="Times New Roman" w:hAnsi="Times New Roman" w:cs="Times New Roman"/>
          <w:b/>
        </w:rPr>
      </w:pPr>
    </w:p>
    <w:p w14:paraId="0E76ED8F" w14:textId="77777777" w:rsidR="00653914" w:rsidRDefault="00653914">
      <w:pPr>
        <w:rPr>
          <w:rFonts w:ascii="Times New Roman" w:hAnsi="Times New Roman" w:cs="Times New Roman"/>
          <w:b/>
        </w:rPr>
      </w:pPr>
    </w:p>
    <w:p w14:paraId="03844D16" w14:textId="77777777" w:rsidR="00653914" w:rsidRDefault="00653914">
      <w:pPr>
        <w:rPr>
          <w:rFonts w:ascii="Times New Roman" w:hAnsi="Times New Roman" w:cs="Times New Roman"/>
          <w:b/>
        </w:rPr>
      </w:pPr>
    </w:p>
    <w:p w14:paraId="058DF912" w14:textId="77777777" w:rsidR="00653914" w:rsidRDefault="00653914">
      <w:pPr>
        <w:rPr>
          <w:rFonts w:ascii="Times New Roman" w:hAnsi="Times New Roman" w:cs="Times New Roman"/>
          <w:b/>
        </w:rPr>
      </w:pPr>
    </w:p>
    <w:p w14:paraId="3298E43B" w14:textId="77777777" w:rsidR="00653914" w:rsidRDefault="00653914">
      <w:pPr>
        <w:rPr>
          <w:rFonts w:ascii="Times New Roman" w:hAnsi="Times New Roman" w:cs="Times New Roman"/>
          <w:b/>
        </w:rPr>
      </w:pPr>
    </w:p>
    <w:p w14:paraId="2E788A38" w14:textId="77777777" w:rsidR="00653914" w:rsidRDefault="00653914">
      <w:pPr>
        <w:rPr>
          <w:rFonts w:ascii="Times New Roman" w:hAnsi="Times New Roman" w:cs="Times New Roman"/>
          <w:b/>
        </w:rPr>
      </w:pPr>
    </w:p>
    <w:p w14:paraId="7A943345" w14:textId="77777777" w:rsidR="005475B3" w:rsidRDefault="005475B3">
      <w:pPr>
        <w:rPr>
          <w:rFonts w:ascii="Times New Roman" w:hAnsi="Times New Roman" w:cs="Times New Roman"/>
          <w:b/>
          <w:sz w:val="40"/>
          <w:szCs w:val="40"/>
        </w:rPr>
      </w:pPr>
    </w:p>
    <w:p w14:paraId="227FE7A3" w14:textId="77777777" w:rsidR="005475B3" w:rsidRDefault="005475B3">
      <w:pPr>
        <w:rPr>
          <w:rFonts w:ascii="Times New Roman" w:hAnsi="Times New Roman" w:cs="Times New Roman"/>
          <w:b/>
          <w:sz w:val="40"/>
          <w:szCs w:val="40"/>
        </w:rPr>
      </w:pPr>
    </w:p>
    <w:p w14:paraId="1FE62A1D" w14:textId="77777777" w:rsidR="005475B3" w:rsidRDefault="005475B3">
      <w:pPr>
        <w:rPr>
          <w:rFonts w:ascii="Times New Roman" w:hAnsi="Times New Roman" w:cs="Times New Roman"/>
          <w:b/>
          <w:sz w:val="40"/>
          <w:szCs w:val="40"/>
        </w:rPr>
      </w:pPr>
    </w:p>
    <w:p w14:paraId="5BEA6277" w14:textId="77777777" w:rsidR="005475B3" w:rsidRDefault="005475B3">
      <w:pPr>
        <w:rPr>
          <w:rFonts w:ascii="Times New Roman" w:hAnsi="Times New Roman" w:cs="Times New Roman"/>
          <w:b/>
          <w:sz w:val="40"/>
          <w:szCs w:val="40"/>
        </w:rPr>
      </w:pPr>
    </w:p>
    <w:p w14:paraId="49D05775" w14:textId="77777777" w:rsidR="005475B3" w:rsidRDefault="005475B3">
      <w:pPr>
        <w:rPr>
          <w:rFonts w:ascii="Times New Roman" w:hAnsi="Times New Roman" w:cs="Times New Roman"/>
          <w:b/>
          <w:sz w:val="40"/>
          <w:szCs w:val="40"/>
        </w:rPr>
      </w:pPr>
    </w:p>
    <w:p w14:paraId="24F04DD8" w14:textId="77777777" w:rsidR="00C05B02" w:rsidRDefault="00C05B02">
      <w:pPr>
        <w:rPr>
          <w:rFonts w:ascii="Times New Roman" w:hAnsi="Times New Roman" w:cs="Times New Roman"/>
          <w:b/>
          <w:sz w:val="40"/>
          <w:szCs w:val="40"/>
        </w:rPr>
      </w:pPr>
    </w:p>
    <w:p w14:paraId="6D85A824" w14:textId="77777777" w:rsidR="0019787A" w:rsidRDefault="0019787A">
      <w:pPr>
        <w:rPr>
          <w:rFonts w:ascii="Times New Roman" w:hAnsi="Times New Roman" w:cs="Times New Roman"/>
          <w:b/>
          <w:sz w:val="40"/>
          <w:szCs w:val="40"/>
        </w:rPr>
      </w:pPr>
    </w:p>
    <w:p w14:paraId="3B905F92" w14:textId="77777777" w:rsidR="0019787A" w:rsidRDefault="0019787A">
      <w:pPr>
        <w:rPr>
          <w:rFonts w:ascii="Times New Roman" w:hAnsi="Times New Roman" w:cs="Times New Roman"/>
          <w:b/>
          <w:sz w:val="40"/>
          <w:szCs w:val="40"/>
        </w:rPr>
      </w:pPr>
    </w:p>
    <w:p w14:paraId="615B5790" w14:textId="083B2B9F" w:rsidR="00653914" w:rsidRPr="00653914" w:rsidRDefault="00653914">
      <w:pPr>
        <w:rPr>
          <w:rFonts w:ascii="Times New Roman" w:hAnsi="Times New Roman" w:cs="Times New Roman"/>
          <w:b/>
          <w:sz w:val="40"/>
          <w:szCs w:val="40"/>
        </w:rPr>
      </w:pPr>
      <w:r>
        <w:rPr>
          <w:rFonts w:ascii="Times New Roman" w:hAnsi="Times New Roman" w:cs="Times New Roman"/>
          <w:b/>
          <w:sz w:val="40"/>
          <w:szCs w:val="40"/>
        </w:rPr>
        <w:t>A.</w:t>
      </w:r>
    </w:p>
    <w:p w14:paraId="5345B5EC" w14:textId="2A1BA2F8" w:rsidR="005F182A" w:rsidRDefault="005F182A">
      <w:pPr>
        <w:rPr>
          <w:rFonts w:ascii="Times New Roman" w:hAnsi="Times New Roman" w:cs="Times New Roman"/>
          <w:b/>
        </w:rPr>
      </w:pPr>
      <w:r>
        <w:rPr>
          <w:rFonts w:ascii="Times New Roman" w:hAnsi="Times New Roman" w:cs="Times New Roman"/>
          <w:b/>
        </w:rPr>
        <w:t xml:space="preserve">            </w:t>
      </w:r>
      <w:r w:rsidR="00460AD5">
        <w:rPr>
          <w:rFonts w:ascii="Times New Roman" w:hAnsi="Times New Roman" w:cs="Times New Roman"/>
          <w:b/>
        </w:rPr>
        <w:t xml:space="preserve">  </w:t>
      </w:r>
      <w:r w:rsidR="00095511">
        <w:rPr>
          <w:rFonts w:ascii="Times New Roman" w:hAnsi="Times New Roman" w:cs="Times New Roman"/>
          <w:b/>
        </w:rPr>
        <w:t xml:space="preserve">   </w:t>
      </w:r>
      <w:r w:rsidR="002435BD">
        <w:rPr>
          <w:rFonts w:ascii="Times New Roman" w:hAnsi="Times New Roman" w:cs="Times New Roman"/>
          <w:b/>
        </w:rPr>
        <w:t xml:space="preserve">        </w:t>
      </w:r>
      <w:r w:rsidR="00095511">
        <w:rPr>
          <w:rFonts w:ascii="Times New Roman" w:hAnsi="Times New Roman" w:cs="Times New Roman"/>
          <w:b/>
        </w:rPr>
        <w:t xml:space="preserve">  </w:t>
      </w:r>
      <w:r w:rsidR="00095511">
        <w:rPr>
          <w:rFonts w:ascii="Times New Roman" w:hAnsi="Times New Roman" w:cs="Times New Roman"/>
          <w:b/>
          <w:noProof/>
        </w:rPr>
        <w:drawing>
          <wp:inline distT="0" distB="0" distL="0" distR="0" wp14:anchorId="4A4E7DD2" wp14:editId="22FB9F51">
            <wp:extent cx="3615733" cy="3594232"/>
            <wp:effectExtent l="0" t="0" r="0" b="127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rotWithShape="1">
                    <a:blip r:embed="rId39">
                      <a:extLst>
                        <a:ext uri="{28A0092B-C50C-407E-A947-70E740481C1C}">
                          <a14:useLocalDpi xmlns:a14="http://schemas.microsoft.com/office/drawing/2010/main" val="0"/>
                        </a:ext>
                      </a:extLst>
                    </a:blip>
                    <a:srcRect t="4152" r="27701"/>
                    <a:stretch/>
                  </pic:blipFill>
                  <pic:spPr bwMode="auto">
                    <a:xfrm>
                      <a:off x="0" y="0"/>
                      <a:ext cx="3616298" cy="3594794"/>
                    </a:xfrm>
                    <a:prstGeom prst="rect">
                      <a:avLst/>
                    </a:prstGeom>
                    <a:ln>
                      <a:noFill/>
                    </a:ln>
                    <a:extLst>
                      <a:ext uri="{53640926-AAD7-44d8-BBD7-CCE9431645EC}">
                        <a14:shadowObscured xmlns:a14="http://schemas.microsoft.com/office/drawing/2010/main"/>
                      </a:ext>
                    </a:extLst>
                  </pic:spPr>
                </pic:pic>
              </a:graphicData>
            </a:graphic>
          </wp:inline>
        </w:drawing>
      </w:r>
    </w:p>
    <w:p w14:paraId="756A9DA5" w14:textId="4D264CCA" w:rsidR="002435BD" w:rsidRDefault="0050116E">
      <w:pPr>
        <w:rPr>
          <w:rFonts w:ascii="Times New Roman" w:hAnsi="Times New Roman" w:cs="Times New Roman"/>
          <w:b/>
        </w:rPr>
      </w:pPr>
      <w:r>
        <w:rPr>
          <w:rFonts w:ascii="Times New Roman" w:hAnsi="Times New Roman" w:cs="Times New Roman"/>
          <w:b/>
        </w:rPr>
        <w:t xml:space="preserve">      </w:t>
      </w:r>
      <w:r w:rsidR="005D3F3F">
        <w:rPr>
          <w:rFonts w:ascii="Times New Roman" w:hAnsi="Times New Roman" w:cs="Times New Roman"/>
          <w:b/>
        </w:rPr>
        <w:t xml:space="preserve">          </w:t>
      </w:r>
      <w:r w:rsidR="002435BD">
        <w:rPr>
          <w:rFonts w:ascii="Times New Roman" w:hAnsi="Times New Roman" w:cs="Times New Roman"/>
          <w:b/>
          <w:noProof/>
        </w:rPr>
        <w:drawing>
          <wp:inline distT="0" distB="0" distL="0" distR="0" wp14:anchorId="537ABBA2" wp14:editId="6E25131C">
            <wp:extent cx="4324932" cy="2034283"/>
            <wp:effectExtent l="0" t="0" r="0" b="0"/>
            <wp:docPr id="1073741843" name="Picture 107374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rotWithShape="1">
                    <a:blip r:embed="rId40">
                      <a:extLst>
                        <a:ext uri="{28A0092B-C50C-407E-A947-70E740481C1C}">
                          <a14:useLocalDpi xmlns:a14="http://schemas.microsoft.com/office/drawing/2010/main" val="0"/>
                        </a:ext>
                      </a:extLst>
                    </a:blip>
                    <a:srcRect l="9902" t="19044" r="9942" b="30675"/>
                    <a:stretch/>
                  </pic:blipFill>
                  <pic:spPr bwMode="auto">
                    <a:xfrm>
                      <a:off x="0" y="0"/>
                      <a:ext cx="4325366" cy="2034487"/>
                    </a:xfrm>
                    <a:prstGeom prst="rect">
                      <a:avLst/>
                    </a:prstGeom>
                    <a:ln>
                      <a:noFill/>
                    </a:ln>
                    <a:extLst>
                      <a:ext uri="{53640926-AAD7-44d8-BBD7-CCE9431645EC}">
                        <a14:shadowObscured xmlns:a14="http://schemas.microsoft.com/office/drawing/2010/main"/>
                      </a:ext>
                    </a:extLst>
                  </pic:spPr>
                </pic:pic>
              </a:graphicData>
            </a:graphic>
          </wp:inline>
        </w:drawing>
      </w:r>
    </w:p>
    <w:p w14:paraId="3BCAAA83" w14:textId="3BC0FB04" w:rsidR="002435BD" w:rsidRDefault="002435BD">
      <w:pPr>
        <w:rPr>
          <w:rFonts w:ascii="Times New Roman" w:hAnsi="Times New Roman" w:cs="Times New Roman"/>
          <w:b/>
        </w:rPr>
      </w:pPr>
      <w:r>
        <w:rPr>
          <w:rFonts w:ascii="Times New Roman" w:hAnsi="Times New Roman" w:cs="Times New Roman"/>
          <w:b/>
        </w:rPr>
        <w:t xml:space="preserve">                 </w:t>
      </w:r>
    </w:p>
    <w:p w14:paraId="4BA5FA6E" w14:textId="77777777" w:rsidR="005F182A" w:rsidRDefault="00653914">
      <w:pPr>
        <w:rPr>
          <w:rFonts w:ascii="Times New Roman" w:hAnsi="Times New Roman" w:cs="Times New Roman"/>
          <w:b/>
          <w:noProof/>
        </w:rPr>
      </w:pPr>
      <w:r>
        <w:rPr>
          <w:rFonts w:ascii="Times New Roman" w:hAnsi="Times New Roman" w:cs="Times New Roman"/>
          <w:b/>
          <w:sz w:val="40"/>
          <w:szCs w:val="40"/>
        </w:rPr>
        <w:t>B.</w:t>
      </w:r>
      <w:r w:rsidR="00095511">
        <w:rPr>
          <w:rFonts w:ascii="Times New Roman" w:hAnsi="Times New Roman" w:cs="Times New Roman"/>
          <w:b/>
        </w:rPr>
        <w:t xml:space="preserve">      </w:t>
      </w:r>
      <w:r w:rsidR="00FD2103">
        <w:rPr>
          <w:rFonts w:ascii="Times New Roman" w:hAnsi="Times New Roman" w:cs="Times New Roman"/>
          <w:b/>
        </w:rPr>
        <w:t xml:space="preserve">    </w:t>
      </w:r>
      <w:r w:rsidR="007707A3">
        <w:rPr>
          <w:rFonts w:ascii="Times New Roman" w:hAnsi="Times New Roman" w:cs="Times New Roman"/>
          <w:b/>
        </w:rPr>
        <w:t xml:space="preserve">       </w:t>
      </w:r>
      <w:r w:rsidR="005B1DA7">
        <w:rPr>
          <w:rFonts w:ascii="Times New Roman" w:hAnsi="Times New Roman" w:cs="Times New Roman"/>
          <w:b/>
        </w:rPr>
        <w:t xml:space="preserve">   </w:t>
      </w:r>
      <w:r w:rsidR="005F182A">
        <w:rPr>
          <w:rFonts w:ascii="Times New Roman" w:hAnsi="Times New Roman" w:cs="Times New Roman"/>
          <w:b/>
          <w:noProof/>
        </w:rPr>
        <w:t xml:space="preserve">                             </w:t>
      </w:r>
    </w:p>
    <w:p w14:paraId="33DECCA7" w14:textId="78DC5B5C" w:rsidR="002947A7" w:rsidRPr="004975E3" w:rsidRDefault="005F182A">
      <w:pPr>
        <w:rPr>
          <w:rFonts w:ascii="Times New Roman" w:hAnsi="Times New Roman" w:cs="Times New Roman"/>
          <w:b/>
        </w:rPr>
      </w:pPr>
      <w:r>
        <w:rPr>
          <w:rFonts w:ascii="Times New Roman" w:hAnsi="Times New Roman" w:cs="Times New Roman"/>
          <w:b/>
          <w:noProof/>
        </w:rPr>
        <w:t xml:space="preserve">               </w:t>
      </w:r>
      <w:r w:rsidR="00095511">
        <w:rPr>
          <w:rFonts w:ascii="Times New Roman" w:hAnsi="Times New Roman" w:cs="Times New Roman"/>
          <w:b/>
          <w:noProof/>
        </w:rPr>
        <w:drawing>
          <wp:inline distT="0" distB="0" distL="0" distR="0" wp14:anchorId="757FEAD2" wp14:editId="59F5F432">
            <wp:extent cx="4478978" cy="2098221"/>
            <wp:effectExtent l="0" t="0" r="0" b="1016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41">
                      <a:extLst>
                        <a:ext uri="{28A0092B-C50C-407E-A947-70E740481C1C}">
                          <a14:useLocalDpi xmlns:a14="http://schemas.microsoft.com/office/drawing/2010/main" val="0"/>
                        </a:ext>
                      </a:extLst>
                    </a:blip>
                    <a:srcRect l="12074" t="5759" r="15839" b="49203"/>
                    <a:stretch/>
                  </pic:blipFill>
                  <pic:spPr bwMode="auto">
                    <a:xfrm>
                      <a:off x="0" y="0"/>
                      <a:ext cx="4480262" cy="2098823"/>
                    </a:xfrm>
                    <a:prstGeom prst="rect">
                      <a:avLst/>
                    </a:prstGeom>
                    <a:ln>
                      <a:noFill/>
                    </a:ln>
                    <a:extLst>
                      <a:ext uri="{53640926-AAD7-44d8-BBD7-CCE9431645EC}">
                        <a14:shadowObscured xmlns:a14="http://schemas.microsoft.com/office/drawing/2010/main"/>
                      </a:ext>
                    </a:extLst>
                  </pic:spPr>
                </pic:pic>
              </a:graphicData>
            </a:graphic>
          </wp:inline>
        </w:drawing>
      </w:r>
    </w:p>
    <w:p w14:paraId="6E084A87" w14:textId="3223A1EE" w:rsidR="001B72D6" w:rsidRDefault="00652FF0" w:rsidP="001627E2">
      <w:pPr>
        <w:pStyle w:val="Caption"/>
      </w:pPr>
      <w:bookmarkStart w:id="1049" w:name="_Toc333569055"/>
      <w:bookmarkStart w:id="1050" w:name="_Toc333569280"/>
      <w:bookmarkStart w:id="1051" w:name="_Toc333570834"/>
      <w:bookmarkStart w:id="1052" w:name="_Toc333582217"/>
      <w:bookmarkStart w:id="1053" w:name="_Toc333582337"/>
      <w:bookmarkStart w:id="1054" w:name="_Toc333582749"/>
      <w:bookmarkStart w:id="1055" w:name="_Toc333583119"/>
      <w:bookmarkStart w:id="1056" w:name="_Toc333584088"/>
      <w:bookmarkStart w:id="1057" w:name="_Toc333585222"/>
      <w:bookmarkStart w:id="1058" w:name="_Toc333586774"/>
      <w:bookmarkStart w:id="1059" w:name="_Toc333644473"/>
      <w:bookmarkStart w:id="1060" w:name="_Toc333644767"/>
      <w:r>
        <w:t>Figure 3.8</w:t>
      </w:r>
      <w:r w:rsidR="0043060F">
        <w:t>.</w:t>
      </w:r>
      <w:r w:rsidR="00653914">
        <w:t xml:space="preserve"> </w:t>
      </w:r>
      <w:r w:rsidR="00F3597A">
        <w:t>Changes in IGF1R localis</w:t>
      </w:r>
      <w:r w:rsidR="00F62EF4" w:rsidRPr="000B5A78">
        <w:t>ation following treatment of astrocytes f</w:t>
      </w:r>
      <w:r w:rsidR="00F3597A">
        <w:t>or 24 h</w:t>
      </w:r>
      <w:r w:rsidR="007C3A1B">
        <w:t>ou</w:t>
      </w:r>
      <w:r w:rsidR="00F3597A">
        <w:t>rs</w:t>
      </w:r>
      <w:r w:rsidR="00F62EF4" w:rsidRPr="000B5A78">
        <w:t xml:space="preserve"> and 72</w:t>
      </w:r>
      <w:r w:rsidR="007C3A1B">
        <w:t xml:space="preserve"> </w:t>
      </w:r>
      <w:r w:rsidR="00F62EF4" w:rsidRPr="000B5A78">
        <w:t>h</w:t>
      </w:r>
      <w:r w:rsidR="007C3A1B">
        <w:t>ou</w:t>
      </w:r>
      <w:r w:rsidR="00F62EF4" w:rsidRPr="000B5A78">
        <w:t>rs PME with MAB391</w:t>
      </w:r>
      <w:r w:rsidR="00DB66C2">
        <w:t>.</w:t>
      </w:r>
      <w:bookmarkEnd w:id="1049"/>
      <w:bookmarkEnd w:id="1050"/>
      <w:bookmarkEnd w:id="1051"/>
      <w:bookmarkEnd w:id="1052"/>
      <w:bookmarkEnd w:id="1053"/>
      <w:bookmarkEnd w:id="1054"/>
      <w:bookmarkEnd w:id="1055"/>
      <w:bookmarkEnd w:id="1056"/>
      <w:bookmarkEnd w:id="1057"/>
      <w:bookmarkEnd w:id="1058"/>
      <w:bookmarkEnd w:id="1059"/>
      <w:bookmarkEnd w:id="1060"/>
      <w:r w:rsidR="001E1141">
        <w:t xml:space="preserve"> </w:t>
      </w:r>
    </w:p>
    <w:p w14:paraId="06F8DF88" w14:textId="051D074C" w:rsidR="00970DFE" w:rsidRPr="005F182A" w:rsidRDefault="0019787A" w:rsidP="003E7BDB">
      <w:pPr>
        <w:spacing w:line="360" w:lineRule="auto"/>
        <w:jc w:val="both"/>
        <w:rPr>
          <w:rFonts w:ascii="Times New Roman" w:hAnsi="Times New Roman" w:cs="Times New Roman"/>
          <w:b/>
        </w:rPr>
      </w:pPr>
      <w:r>
        <w:rPr>
          <w:rFonts w:ascii="Times New Roman" w:hAnsi="Times New Roman" w:cs="Times New Roman"/>
        </w:rPr>
        <w:t>(</w:t>
      </w:r>
      <w:r w:rsidRPr="0019787A">
        <w:rPr>
          <w:rFonts w:ascii="Times New Roman" w:hAnsi="Times New Roman" w:cs="Times New Roman"/>
          <w:b/>
        </w:rPr>
        <w:t>A</w:t>
      </w:r>
      <w:r>
        <w:rPr>
          <w:rFonts w:ascii="Times New Roman" w:hAnsi="Times New Roman" w:cs="Times New Roman"/>
        </w:rPr>
        <w:t xml:space="preserve">) </w:t>
      </w:r>
      <w:r w:rsidR="00653914">
        <w:rPr>
          <w:rFonts w:ascii="Times New Roman" w:hAnsi="Times New Roman" w:cs="Times New Roman"/>
        </w:rPr>
        <w:t>Following treatments cells were fixed</w:t>
      </w:r>
      <w:r w:rsidR="005D3F3F">
        <w:rPr>
          <w:rFonts w:ascii="Times New Roman" w:hAnsi="Times New Roman" w:cs="Times New Roman"/>
        </w:rPr>
        <w:t xml:space="preserve"> at 24 and 72 hrs</w:t>
      </w:r>
      <w:r w:rsidR="00653914">
        <w:rPr>
          <w:rFonts w:ascii="Times New Roman" w:hAnsi="Times New Roman" w:cs="Times New Roman"/>
        </w:rPr>
        <w:t xml:space="preserve"> and immunostained with an antibody against IGF1R (green), an astrocyte marker (vimentin, red)</w:t>
      </w:r>
      <w:r w:rsidR="00970DFE">
        <w:rPr>
          <w:rFonts w:ascii="Times New Roman" w:hAnsi="Times New Roman" w:cs="Times New Roman"/>
        </w:rPr>
        <w:t xml:space="preserve"> and nuclei were label</w:t>
      </w:r>
      <w:r w:rsidR="00F3597A">
        <w:rPr>
          <w:rFonts w:ascii="Times New Roman" w:hAnsi="Times New Roman" w:cs="Times New Roman"/>
        </w:rPr>
        <w:t>l</w:t>
      </w:r>
      <w:r w:rsidR="00970DFE">
        <w:rPr>
          <w:rFonts w:ascii="Times New Roman" w:hAnsi="Times New Roman" w:cs="Times New Roman"/>
        </w:rPr>
        <w:t xml:space="preserve">ed with H3342 (blue). </w:t>
      </w:r>
      <w:r w:rsidR="001E1141">
        <w:rPr>
          <w:rFonts w:ascii="Times New Roman" w:hAnsi="Times New Roman" w:cs="Times New Roman"/>
        </w:rPr>
        <w:t>Scale bar represents 10μM.</w:t>
      </w:r>
      <w:r w:rsidR="00DB66C2">
        <w:rPr>
          <w:rFonts w:ascii="Times New Roman" w:hAnsi="Times New Roman" w:cs="Times New Roman"/>
        </w:rPr>
        <w:t xml:space="preserve"> </w:t>
      </w:r>
    </w:p>
    <w:p w14:paraId="5DD63466" w14:textId="682239A7" w:rsidR="007C502E" w:rsidRDefault="0019787A" w:rsidP="0019787A">
      <w:pPr>
        <w:spacing w:line="360" w:lineRule="auto"/>
        <w:jc w:val="both"/>
        <w:rPr>
          <w:rFonts w:ascii="Times New Roman" w:hAnsi="Times New Roman" w:cs="Times New Roman"/>
        </w:rPr>
      </w:pPr>
      <w:r>
        <w:rPr>
          <w:rFonts w:ascii="Times New Roman" w:hAnsi="Times New Roman" w:cs="Times New Roman"/>
          <w:b/>
        </w:rPr>
        <w:t>(</w:t>
      </w:r>
      <w:r w:rsidR="00970DFE" w:rsidRPr="00D40298">
        <w:rPr>
          <w:rFonts w:ascii="Times New Roman" w:hAnsi="Times New Roman" w:cs="Times New Roman"/>
          <w:b/>
        </w:rPr>
        <w:t>B</w:t>
      </w:r>
      <w:r>
        <w:rPr>
          <w:rFonts w:ascii="Times New Roman" w:hAnsi="Times New Roman" w:cs="Times New Roman"/>
          <w:b/>
        </w:rPr>
        <w:t>)</w:t>
      </w:r>
      <w:r w:rsidR="00970DFE">
        <w:rPr>
          <w:rFonts w:ascii="Times New Roman" w:hAnsi="Times New Roman" w:cs="Times New Roman"/>
        </w:rPr>
        <w:t xml:space="preserve"> </w:t>
      </w:r>
      <w:r w:rsidR="00970DFE" w:rsidRPr="00B81591">
        <w:rPr>
          <w:rFonts w:ascii="Times New Roman" w:hAnsi="Times New Roman" w:cs="Times New Roman"/>
        </w:rPr>
        <w:t xml:space="preserve">MAB391 </w:t>
      </w:r>
      <w:r w:rsidR="000C0E9C" w:rsidRPr="00B81591">
        <w:rPr>
          <w:rFonts w:ascii="Times New Roman" w:hAnsi="Times New Roman" w:cs="Times New Roman"/>
        </w:rPr>
        <w:t xml:space="preserve">treatment does not affect </w:t>
      </w:r>
      <w:r w:rsidR="00970DFE" w:rsidRPr="00B81591">
        <w:rPr>
          <w:rFonts w:ascii="Times New Roman" w:hAnsi="Times New Roman" w:cs="Times New Roman"/>
        </w:rPr>
        <w:t>IGF1R</w:t>
      </w:r>
      <w:r w:rsidR="000C0E9C" w:rsidRPr="00B81591">
        <w:rPr>
          <w:rFonts w:ascii="Times New Roman" w:hAnsi="Times New Roman" w:cs="Times New Roman"/>
        </w:rPr>
        <w:t xml:space="preserve"> transcript levels</w:t>
      </w:r>
      <w:r w:rsidR="00970DFE">
        <w:rPr>
          <w:rFonts w:ascii="Times New Roman" w:hAnsi="Times New Roman" w:cs="Times New Roman"/>
        </w:rPr>
        <w:t>.</w:t>
      </w:r>
      <w:r w:rsidR="00DB66C2">
        <w:rPr>
          <w:rFonts w:ascii="Times New Roman" w:hAnsi="Times New Roman" w:cs="Times New Roman"/>
        </w:rPr>
        <w:t xml:space="preserve"> </w:t>
      </w:r>
      <w:r w:rsidR="00F62EF4">
        <w:rPr>
          <w:rFonts w:ascii="Times New Roman" w:hAnsi="Times New Roman" w:cs="Times New Roman"/>
        </w:rPr>
        <w:t xml:space="preserve">Bar charts </w:t>
      </w:r>
      <w:r w:rsidR="00970DFE">
        <w:rPr>
          <w:rFonts w:ascii="Times New Roman" w:hAnsi="Times New Roman" w:cs="Times New Roman"/>
        </w:rPr>
        <w:t>show</w:t>
      </w:r>
      <w:r w:rsidR="00F62EF4">
        <w:rPr>
          <w:rFonts w:ascii="Times New Roman" w:hAnsi="Times New Roman" w:cs="Times New Roman"/>
        </w:rPr>
        <w:t xml:space="preserve"> qPCR analysis of IGF1Rβ showing no differences at RNA level</w:t>
      </w:r>
      <w:r w:rsidR="00970DFE">
        <w:rPr>
          <w:rFonts w:ascii="Times New Roman" w:hAnsi="Times New Roman" w:cs="Times New Roman"/>
        </w:rPr>
        <w:t>.</w:t>
      </w:r>
      <w:r w:rsidR="00F62EF4">
        <w:rPr>
          <w:rFonts w:ascii="Times New Roman" w:hAnsi="Times New Roman" w:cs="Times New Roman"/>
        </w:rPr>
        <w:t xml:space="preserve"> </w:t>
      </w:r>
      <w:r w:rsidR="00970DFE">
        <w:rPr>
          <w:rFonts w:ascii="Times New Roman" w:hAnsi="Times New Roman" w:cs="Times New Roman"/>
        </w:rPr>
        <w:t>Data are mean ±</w:t>
      </w:r>
      <w:r w:rsidR="00F62EF4">
        <w:rPr>
          <w:rFonts w:ascii="Times New Roman" w:hAnsi="Times New Roman" w:cs="Times New Roman"/>
        </w:rPr>
        <w:t xml:space="preserve"> SEM (n=3, 3 replicates/experiments, One way ANOVA with post-hoc analysis)</w:t>
      </w:r>
      <w:r w:rsidR="001E1141">
        <w:rPr>
          <w:rFonts w:ascii="Times New Roman" w:hAnsi="Times New Roman" w:cs="Times New Roman"/>
        </w:rPr>
        <w:t>.</w:t>
      </w:r>
    </w:p>
    <w:p w14:paraId="45ADAB27" w14:textId="77777777" w:rsidR="005D3F3F" w:rsidRPr="0019787A" w:rsidRDefault="005D3F3F" w:rsidP="0019787A">
      <w:pPr>
        <w:spacing w:line="360" w:lineRule="auto"/>
        <w:jc w:val="both"/>
        <w:rPr>
          <w:rFonts w:ascii="Times New Roman" w:hAnsi="Times New Roman" w:cs="Times New Roman"/>
        </w:rPr>
      </w:pPr>
    </w:p>
    <w:p w14:paraId="01DD5F8A" w14:textId="6EB5265C" w:rsidR="000136DE" w:rsidRDefault="00AC7BB4" w:rsidP="002D0408">
      <w:pPr>
        <w:pStyle w:val="Heading3"/>
      </w:pPr>
      <w:bookmarkStart w:id="1061" w:name="_Toc328301147"/>
      <w:bookmarkStart w:id="1062" w:name="_Toc329593439"/>
      <w:bookmarkStart w:id="1063" w:name="_Toc331425938"/>
      <w:bookmarkStart w:id="1064" w:name="_Toc331427119"/>
      <w:bookmarkStart w:id="1065" w:name="_Toc331427491"/>
      <w:bookmarkStart w:id="1066" w:name="_Toc331427633"/>
      <w:bookmarkStart w:id="1067" w:name="_Toc332972637"/>
      <w:bookmarkStart w:id="1068" w:name="_Toc333046916"/>
      <w:bookmarkStart w:id="1069" w:name="_Toc333477263"/>
      <w:bookmarkStart w:id="1070" w:name="_Toc333478033"/>
      <w:bookmarkStart w:id="1071" w:name="_Toc333644933"/>
      <w:r>
        <w:t>3.4.5</w:t>
      </w:r>
      <w:r w:rsidR="0062211D">
        <w:t xml:space="preserve"> </w:t>
      </w:r>
      <w:r w:rsidR="000136DE">
        <w:t xml:space="preserve">Impaired IGF1 </w:t>
      </w:r>
      <w:r w:rsidR="0042169F">
        <w:t>has no impact on cell growth</w:t>
      </w:r>
      <w:bookmarkEnd w:id="1061"/>
      <w:bookmarkEnd w:id="1062"/>
      <w:bookmarkEnd w:id="1063"/>
      <w:bookmarkEnd w:id="1064"/>
      <w:bookmarkEnd w:id="1065"/>
      <w:bookmarkEnd w:id="1066"/>
      <w:bookmarkEnd w:id="1067"/>
      <w:bookmarkEnd w:id="1068"/>
      <w:bookmarkEnd w:id="1069"/>
      <w:bookmarkEnd w:id="1070"/>
      <w:bookmarkEnd w:id="1071"/>
    </w:p>
    <w:p w14:paraId="1CE53F97" w14:textId="77777777" w:rsidR="001E0F3F" w:rsidRDefault="001E0F3F">
      <w:pPr>
        <w:rPr>
          <w:rFonts w:ascii="Times New Roman" w:hAnsi="Times New Roman" w:cs="Times New Roman"/>
          <w:b/>
          <w:u w:val="single"/>
        </w:rPr>
      </w:pPr>
    </w:p>
    <w:p w14:paraId="03012ACD" w14:textId="77777777" w:rsidR="000136DE" w:rsidRDefault="000136DE">
      <w:pPr>
        <w:rPr>
          <w:rFonts w:ascii="Times New Roman" w:hAnsi="Times New Roman" w:cs="Times New Roman"/>
          <w:b/>
          <w:u w:val="single"/>
        </w:rPr>
      </w:pPr>
    </w:p>
    <w:p w14:paraId="5512405E" w14:textId="20DDC7FE" w:rsidR="00822308" w:rsidRDefault="006437EC" w:rsidP="003E7BDB">
      <w:pPr>
        <w:spacing w:line="360" w:lineRule="auto"/>
        <w:jc w:val="both"/>
        <w:rPr>
          <w:rFonts w:ascii="Times New Roman" w:hAnsi="Times New Roman" w:cs="Times New Roman"/>
        </w:rPr>
      </w:pPr>
      <w:r>
        <w:rPr>
          <w:rFonts w:ascii="Times New Roman" w:hAnsi="Times New Roman" w:cs="Times New Roman"/>
        </w:rPr>
        <w:t>IGF1 is believed to drive mitogenesis and signalling through</w:t>
      </w:r>
      <w:r w:rsidR="0042169F">
        <w:rPr>
          <w:rFonts w:ascii="Times New Roman" w:hAnsi="Times New Roman" w:cs="Times New Roman"/>
        </w:rPr>
        <w:t xml:space="preserve"> Akt</w:t>
      </w:r>
      <w:r w:rsidR="000136DE">
        <w:rPr>
          <w:rFonts w:ascii="Times New Roman" w:hAnsi="Times New Roman" w:cs="Times New Roman"/>
        </w:rPr>
        <w:t xml:space="preserve"> is a key survival pathway. </w:t>
      </w:r>
      <w:r w:rsidR="0042169F">
        <w:rPr>
          <w:rFonts w:ascii="Times New Roman" w:hAnsi="Times New Roman" w:cs="Times New Roman"/>
        </w:rPr>
        <w:t>Impaired signalling through Akt</w:t>
      </w:r>
      <w:r w:rsidR="00822308">
        <w:rPr>
          <w:rFonts w:ascii="Times New Roman" w:hAnsi="Times New Roman" w:cs="Times New Roman"/>
        </w:rPr>
        <w:t xml:space="preserve"> </w:t>
      </w:r>
      <w:r>
        <w:rPr>
          <w:rFonts w:ascii="Times New Roman" w:hAnsi="Times New Roman" w:cs="Times New Roman"/>
        </w:rPr>
        <w:t>has been shown to reduce</w:t>
      </w:r>
      <w:r w:rsidR="00822308">
        <w:rPr>
          <w:rFonts w:ascii="Times New Roman" w:hAnsi="Times New Roman" w:cs="Times New Roman"/>
        </w:rPr>
        <w:t xml:space="preserve"> cell viability</w:t>
      </w:r>
      <w:r>
        <w:rPr>
          <w:rFonts w:ascii="Times New Roman" w:hAnsi="Times New Roman" w:cs="Times New Roman"/>
        </w:rPr>
        <w:t xml:space="preserve"> in</w:t>
      </w:r>
      <w:r w:rsidR="00A70A84">
        <w:rPr>
          <w:rFonts w:ascii="Times New Roman" w:hAnsi="Times New Roman" w:cs="Times New Roman"/>
        </w:rPr>
        <w:t xml:space="preserve"> many cancer</w:t>
      </w:r>
      <w:r>
        <w:rPr>
          <w:rFonts w:ascii="Times New Roman" w:hAnsi="Times New Roman" w:cs="Times New Roman"/>
        </w:rPr>
        <w:t xml:space="preserve"> models</w:t>
      </w:r>
      <w:r w:rsidR="00822308">
        <w:rPr>
          <w:rFonts w:ascii="Times New Roman" w:hAnsi="Times New Roman" w:cs="Times New Roman"/>
        </w:rPr>
        <w:t>. In the loss of IGF1R model in the ScienCell (1) astrocytes, changes in cell viability w</w:t>
      </w:r>
      <w:r w:rsidR="008818A9">
        <w:rPr>
          <w:rFonts w:ascii="Times New Roman" w:hAnsi="Times New Roman" w:cs="Times New Roman"/>
        </w:rPr>
        <w:t>ere</w:t>
      </w:r>
      <w:r w:rsidR="00822308">
        <w:rPr>
          <w:rFonts w:ascii="Times New Roman" w:hAnsi="Times New Roman" w:cs="Times New Roman"/>
        </w:rPr>
        <w:t xml:space="preserve"> assessed using two different assays. </w:t>
      </w:r>
      <w:r w:rsidR="0042169F">
        <w:rPr>
          <w:rFonts w:ascii="Times New Roman" w:hAnsi="Times New Roman" w:cs="Times New Roman"/>
        </w:rPr>
        <w:t xml:space="preserve">The MTT assay is a </w:t>
      </w:r>
      <w:r w:rsidR="00A70A84">
        <w:rPr>
          <w:rFonts w:ascii="Times New Roman" w:hAnsi="Times New Roman" w:cs="Times New Roman"/>
        </w:rPr>
        <w:t>colourmetric assay</w:t>
      </w:r>
      <w:r w:rsidR="00822308">
        <w:rPr>
          <w:rFonts w:ascii="Times New Roman" w:hAnsi="Times New Roman" w:cs="Times New Roman"/>
        </w:rPr>
        <w:t xml:space="preserve"> </w:t>
      </w:r>
      <w:r w:rsidR="00A70A84">
        <w:rPr>
          <w:rFonts w:ascii="Times New Roman" w:hAnsi="Times New Roman" w:cs="Times New Roman"/>
        </w:rPr>
        <w:t>that</w:t>
      </w:r>
      <w:r w:rsidR="0042169F">
        <w:rPr>
          <w:rFonts w:ascii="Times New Roman" w:hAnsi="Times New Roman" w:cs="Times New Roman"/>
        </w:rPr>
        <w:t xml:space="preserve"> measures</w:t>
      </w:r>
      <w:r w:rsidR="00822308">
        <w:rPr>
          <w:rFonts w:ascii="Times New Roman" w:hAnsi="Times New Roman" w:cs="Times New Roman"/>
        </w:rPr>
        <w:t xml:space="preserve"> NAD(P)H-dependent cel</w:t>
      </w:r>
      <w:r w:rsidR="00962EE3">
        <w:rPr>
          <w:rFonts w:ascii="Times New Roman" w:hAnsi="Times New Roman" w:cs="Times New Roman"/>
        </w:rPr>
        <w:t>lular oxidoreductase enzyme</w:t>
      </w:r>
      <w:r w:rsidR="00B81591">
        <w:rPr>
          <w:rFonts w:ascii="Times New Roman" w:hAnsi="Times New Roman" w:cs="Times New Roman"/>
        </w:rPr>
        <w:t xml:space="preserve"> activity, which can be used as an indirect method of assessing cell viability</w:t>
      </w:r>
      <w:r w:rsidR="00962EE3">
        <w:rPr>
          <w:rFonts w:ascii="Times New Roman" w:hAnsi="Times New Roman" w:cs="Times New Roman"/>
        </w:rPr>
        <w:t>. A C</w:t>
      </w:r>
      <w:r w:rsidR="00822308">
        <w:rPr>
          <w:rFonts w:ascii="Times New Roman" w:hAnsi="Times New Roman" w:cs="Times New Roman"/>
        </w:rPr>
        <w:t>yquan</w:t>
      </w:r>
      <w:r w:rsidR="001E0F3F">
        <w:rPr>
          <w:rFonts w:ascii="Times New Roman" w:hAnsi="Times New Roman" w:cs="Times New Roman"/>
        </w:rPr>
        <w:t>t assay, which is a fluorescent-</w:t>
      </w:r>
      <w:r w:rsidR="00822308">
        <w:rPr>
          <w:rFonts w:ascii="Times New Roman" w:hAnsi="Times New Roman" w:cs="Times New Roman"/>
        </w:rPr>
        <w:t xml:space="preserve">based method for the quantification of DNA content, was used to validate the MTT results. </w:t>
      </w:r>
    </w:p>
    <w:p w14:paraId="599FDC41" w14:textId="77777777" w:rsidR="002C11AB" w:rsidRDefault="00822308" w:rsidP="003E7BDB">
      <w:pPr>
        <w:spacing w:line="360" w:lineRule="auto"/>
        <w:jc w:val="both"/>
        <w:rPr>
          <w:rFonts w:ascii="Times New Roman" w:hAnsi="Times New Roman" w:cs="Times New Roman"/>
        </w:rPr>
      </w:pPr>
      <w:r>
        <w:rPr>
          <w:rFonts w:ascii="Times New Roman" w:hAnsi="Times New Roman" w:cs="Times New Roman"/>
        </w:rPr>
        <w:t xml:space="preserve">  </w:t>
      </w:r>
    </w:p>
    <w:p w14:paraId="11F63734" w14:textId="2ABC4A12" w:rsidR="0042169F" w:rsidRDefault="0042169F" w:rsidP="003E7BDB">
      <w:pPr>
        <w:spacing w:line="360" w:lineRule="auto"/>
        <w:jc w:val="both"/>
        <w:rPr>
          <w:rFonts w:ascii="Times New Roman" w:hAnsi="Times New Roman" w:cs="Times New Roman"/>
        </w:rPr>
      </w:pPr>
      <w:r>
        <w:rPr>
          <w:rFonts w:ascii="Times New Roman" w:hAnsi="Times New Roman" w:cs="Times New Roman"/>
        </w:rPr>
        <w:t xml:space="preserve">The results from the MTT assay showed significant differences between control and </w:t>
      </w:r>
      <w:r w:rsidR="00B80D03">
        <w:rPr>
          <w:rFonts w:ascii="Times New Roman" w:hAnsi="Times New Roman" w:cs="Times New Roman"/>
        </w:rPr>
        <w:t>MAB391-</w:t>
      </w:r>
      <w:r>
        <w:rPr>
          <w:rFonts w:ascii="Times New Roman" w:hAnsi="Times New Roman" w:cs="Times New Roman"/>
        </w:rPr>
        <w:t>treated astroc</w:t>
      </w:r>
      <w:r w:rsidR="009666F9">
        <w:rPr>
          <w:rFonts w:ascii="Times New Roman" w:hAnsi="Times New Roman" w:cs="Times New Roman"/>
        </w:rPr>
        <w:t>ytes</w:t>
      </w:r>
      <w:r w:rsidR="00962EE3">
        <w:rPr>
          <w:rFonts w:ascii="Times New Roman" w:hAnsi="Times New Roman" w:cs="Times New Roman"/>
        </w:rPr>
        <w:t>.</w:t>
      </w:r>
      <w:r w:rsidR="009666F9">
        <w:rPr>
          <w:rFonts w:ascii="Times New Roman" w:hAnsi="Times New Roman" w:cs="Times New Roman"/>
        </w:rPr>
        <w:t xml:space="preserve"> </w:t>
      </w:r>
      <w:r w:rsidR="00962EE3">
        <w:rPr>
          <w:rFonts w:ascii="Times New Roman" w:hAnsi="Times New Roman" w:cs="Times New Roman"/>
        </w:rPr>
        <w:t>H</w:t>
      </w:r>
      <w:r>
        <w:rPr>
          <w:rFonts w:ascii="Times New Roman" w:hAnsi="Times New Roman" w:cs="Times New Roman"/>
        </w:rPr>
        <w:t xml:space="preserve">owever, the inclusion of an isotype control indicated that this difference was due to </w:t>
      </w:r>
      <w:r w:rsidR="009666F9">
        <w:rPr>
          <w:rFonts w:ascii="Times New Roman" w:hAnsi="Times New Roman" w:cs="Times New Roman"/>
        </w:rPr>
        <w:t>treatment with IgG</w:t>
      </w:r>
      <w:r>
        <w:rPr>
          <w:rFonts w:ascii="Times New Roman" w:hAnsi="Times New Roman" w:cs="Times New Roman"/>
        </w:rPr>
        <w:t xml:space="preserve"> rather than the reduction in IGF1R an</w:t>
      </w:r>
      <w:r w:rsidR="009666F9">
        <w:rPr>
          <w:rFonts w:ascii="Times New Roman" w:hAnsi="Times New Roman" w:cs="Times New Roman"/>
        </w:rPr>
        <w:t>d associated signalling</w:t>
      </w:r>
      <w:r>
        <w:rPr>
          <w:rFonts w:ascii="Times New Roman" w:hAnsi="Times New Roman" w:cs="Times New Roman"/>
        </w:rPr>
        <w:t>. The</w:t>
      </w:r>
      <w:r w:rsidR="009C0883">
        <w:rPr>
          <w:rFonts w:ascii="Times New Roman" w:hAnsi="Times New Roman" w:cs="Times New Roman"/>
        </w:rPr>
        <w:t>re was also a recovery in absorbance levels after 96 hours</w:t>
      </w:r>
      <w:r>
        <w:rPr>
          <w:rFonts w:ascii="Times New Roman" w:hAnsi="Times New Roman" w:cs="Times New Roman"/>
        </w:rPr>
        <w:t xml:space="preserve"> for both IgG and MAB391 treatments </w:t>
      </w:r>
      <w:r w:rsidR="009956DA">
        <w:rPr>
          <w:rFonts w:ascii="Times New Roman" w:hAnsi="Times New Roman" w:cs="Times New Roman"/>
        </w:rPr>
        <w:t>(</w:t>
      </w:r>
      <w:r w:rsidR="009956DA" w:rsidRPr="00D40298">
        <w:rPr>
          <w:rFonts w:ascii="Times New Roman" w:hAnsi="Times New Roman" w:cs="Times New Roman"/>
          <w:b/>
        </w:rPr>
        <w:t>figure 3.9</w:t>
      </w:r>
      <w:r>
        <w:rPr>
          <w:rFonts w:ascii="Times New Roman" w:hAnsi="Times New Roman" w:cs="Times New Roman"/>
        </w:rPr>
        <w:t>).</w:t>
      </w:r>
    </w:p>
    <w:p w14:paraId="54A14B54" w14:textId="77777777" w:rsidR="002C11AB" w:rsidRDefault="005D2C75" w:rsidP="003E7BDB">
      <w:pPr>
        <w:spacing w:line="360" w:lineRule="auto"/>
        <w:jc w:val="both"/>
        <w:rPr>
          <w:rFonts w:ascii="Times New Roman" w:hAnsi="Times New Roman" w:cs="Times New Roman"/>
        </w:rPr>
      </w:pPr>
      <w:r>
        <w:rPr>
          <w:rFonts w:ascii="Times New Roman" w:hAnsi="Times New Roman" w:cs="Times New Roman"/>
        </w:rPr>
        <w:t xml:space="preserve">  </w:t>
      </w:r>
    </w:p>
    <w:p w14:paraId="7A746D0F" w14:textId="4C6AB31F" w:rsidR="000136DE" w:rsidRPr="000136DE" w:rsidRDefault="0042169F" w:rsidP="003E7BDB">
      <w:pPr>
        <w:spacing w:line="360" w:lineRule="auto"/>
        <w:jc w:val="both"/>
        <w:rPr>
          <w:rFonts w:ascii="Times New Roman" w:hAnsi="Times New Roman" w:cs="Times New Roman"/>
        </w:rPr>
      </w:pPr>
      <w:r>
        <w:rPr>
          <w:rFonts w:ascii="Times New Roman" w:hAnsi="Times New Roman" w:cs="Times New Roman"/>
        </w:rPr>
        <w:t>Cyquant assays showed that MAB391 treatment did not aff</w:t>
      </w:r>
      <w:r w:rsidR="00C325CF">
        <w:rPr>
          <w:rFonts w:ascii="Times New Roman" w:hAnsi="Times New Roman" w:cs="Times New Roman"/>
        </w:rPr>
        <w:t>ect cell number compared to IgG-</w:t>
      </w:r>
      <w:r>
        <w:rPr>
          <w:rFonts w:ascii="Times New Roman" w:hAnsi="Times New Roman" w:cs="Times New Roman"/>
        </w:rPr>
        <w:t xml:space="preserve">treated </w:t>
      </w:r>
      <w:r w:rsidR="009956DA">
        <w:rPr>
          <w:rFonts w:ascii="Times New Roman" w:hAnsi="Times New Roman" w:cs="Times New Roman"/>
        </w:rPr>
        <w:t>or control astrocytes (</w:t>
      </w:r>
      <w:r w:rsidR="009956DA" w:rsidRPr="00D40298">
        <w:rPr>
          <w:rFonts w:ascii="Times New Roman" w:hAnsi="Times New Roman" w:cs="Times New Roman"/>
          <w:b/>
        </w:rPr>
        <w:t>figure 3.9</w:t>
      </w:r>
      <w:r>
        <w:rPr>
          <w:rFonts w:ascii="Times New Roman" w:hAnsi="Times New Roman" w:cs="Times New Roman"/>
        </w:rPr>
        <w:t>). Taken together, these results suggest that impaire</w:t>
      </w:r>
      <w:r w:rsidR="009C0883">
        <w:rPr>
          <w:rFonts w:ascii="Times New Roman" w:hAnsi="Times New Roman" w:cs="Times New Roman"/>
        </w:rPr>
        <w:t>d IGF1 signalling did</w:t>
      </w:r>
      <w:r>
        <w:rPr>
          <w:rFonts w:ascii="Times New Roman" w:hAnsi="Times New Roman" w:cs="Times New Roman"/>
        </w:rPr>
        <w:t xml:space="preserve"> not affect astrocyte viability. Further</w:t>
      </w:r>
      <w:r w:rsidR="009C0883">
        <w:rPr>
          <w:rFonts w:ascii="Times New Roman" w:hAnsi="Times New Roman" w:cs="Times New Roman"/>
        </w:rPr>
        <w:t>more, persistent loss of IGF1R wa</w:t>
      </w:r>
      <w:r>
        <w:rPr>
          <w:rFonts w:ascii="Times New Roman" w:hAnsi="Times New Roman" w:cs="Times New Roman"/>
        </w:rPr>
        <w:t>s not accompanied by downregulation of signalling downstream which might in part explain the lack of impact on cell viability.</w:t>
      </w:r>
    </w:p>
    <w:p w14:paraId="42F490B7" w14:textId="77777777" w:rsidR="000136DE" w:rsidRDefault="000136DE">
      <w:pPr>
        <w:rPr>
          <w:rFonts w:ascii="Times New Roman" w:hAnsi="Times New Roman" w:cs="Times New Roman"/>
          <w:b/>
        </w:rPr>
      </w:pPr>
    </w:p>
    <w:p w14:paraId="3B60A408" w14:textId="77777777" w:rsidR="000136DE" w:rsidRPr="004975E3" w:rsidRDefault="000136DE">
      <w:pPr>
        <w:rPr>
          <w:rFonts w:ascii="Times New Roman" w:hAnsi="Times New Roman" w:cs="Times New Roman"/>
          <w:b/>
        </w:rPr>
      </w:pPr>
    </w:p>
    <w:p w14:paraId="752B0E13" w14:textId="3BBC6262" w:rsidR="008561C6" w:rsidRDefault="005F182A">
      <w:pPr>
        <w:rPr>
          <w:rFonts w:ascii="Times New Roman" w:hAnsi="Times New Roman" w:cs="Times New Roman"/>
          <w:b/>
        </w:rPr>
      </w:pPr>
      <w:r>
        <w:rPr>
          <w:rFonts w:ascii="Times New Roman" w:hAnsi="Times New Roman" w:cs="Times New Roman"/>
          <w:b/>
          <w:noProof/>
        </w:rPr>
        <w:t xml:space="preserve">  </w:t>
      </w:r>
      <w:r w:rsidR="00FD2103">
        <w:rPr>
          <w:rFonts w:ascii="Times New Roman" w:hAnsi="Times New Roman" w:cs="Times New Roman"/>
          <w:b/>
          <w:noProof/>
        </w:rPr>
        <w:t xml:space="preserve">     </w:t>
      </w:r>
      <w:r w:rsidR="00556B02">
        <w:rPr>
          <w:rFonts w:ascii="Times New Roman" w:hAnsi="Times New Roman" w:cs="Times New Roman"/>
          <w:b/>
          <w:noProof/>
        </w:rPr>
        <w:drawing>
          <wp:inline distT="0" distB="0" distL="0" distR="0" wp14:anchorId="4FA180A9" wp14:editId="3B1ACBC5">
            <wp:extent cx="5220930" cy="4114800"/>
            <wp:effectExtent l="0" t="0" r="1206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42">
                      <a:extLst>
                        <a:ext uri="{28A0092B-C50C-407E-A947-70E740481C1C}">
                          <a14:useLocalDpi xmlns:a14="http://schemas.microsoft.com/office/drawing/2010/main" val="0"/>
                        </a:ext>
                      </a:extLst>
                    </a:blip>
                    <a:srcRect l="2219" t="1691" r="4251"/>
                    <a:stretch/>
                  </pic:blipFill>
                  <pic:spPr bwMode="auto">
                    <a:xfrm>
                      <a:off x="0" y="0"/>
                      <a:ext cx="5222410" cy="4115966"/>
                    </a:xfrm>
                    <a:prstGeom prst="rect">
                      <a:avLst/>
                    </a:prstGeom>
                    <a:ln>
                      <a:noFill/>
                    </a:ln>
                    <a:extLst>
                      <a:ext uri="{53640926-AAD7-44d8-BBD7-CCE9431645EC}">
                        <a14:shadowObscured xmlns:a14="http://schemas.microsoft.com/office/drawing/2010/main"/>
                      </a:ext>
                    </a:extLst>
                  </pic:spPr>
                </pic:pic>
              </a:graphicData>
            </a:graphic>
          </wp:inline>
        </w:drawing>
      </w:r>
    </w:p>
    <w:p w14:paraId="0FC7D3FC" w14:textId="77777777" w:rsidR="008561C6" w:rsidRDefault="008561C6">
      <w:pPr>
        <w:rPr>
          <w:rFonts w:ascii="Times New Roman" w:hAnsi="Times New Roman" w:cs="Times New Roman"/>
          <w:b/>
        </w:rPr>
      </w:pPr>
    </w:p>
    <w:p w14:paraId="52BF254E" w14:textId="77777777" w:rsidR="001B72D6" w:rsidRDefault="0062211D" w:rsidP="001627E2">
      <w:pPr>
        <w:pStyle w:val="Caption"/>
      </w:pPr>
      <w:bookmarkStart w:id="1072" w:name="_Toc333569056"/>
      <w:bookmarkStart w:id="1073" w:name="_Toc333569281"/>
      <w:bookmarkStart w:id="1074" w:name="_Toc333570835"/>
      <w:bookmarkStart w:id="1075" w:name="_Toc333582218"/>
      <w:bookmarkStart w:id="1076" w:name="_Toc333582338"/>
      <w:bookmarkStart w:id="1077" w:name="_Toc333582750"/>
      <w:bookmarkStart w:id="1078" w:name="_Toc333583120"/>
      <w:bookmarkStart w:id="1079" w:name="_Toc333584089"/>
      <w:bookmarkStart w:id="1080" w:name="_Toc333585223"/>
      <w:bookmarkStart w:id="1081" w:name="_Toc333586775"/>
      <w:bookmarkStart w:id="1082" w:name="_Toc333644474"/>
      <w:bookmarkStart w:id="1083" w:name="_Toc333644768"/>
      <w:r>
        <w:t>Figure 3.9</w:t>
      </w:r>
      <w:r w:rsidR="0043060F">
        <w:t>.</w:t>
      </w:r>
      <w:r w:rsidR="007A4F62" w:rsidRPr="0042169F">
        <w:t xml:space="preserve"> </w:t>
      </w:r>
      <w:r w:rsidR="0042169F">
        <w:t xml:space="preserve">Loss of IGF1R does not </w:t>
      </w:r>
      <w:r w:rsidR="000B5A78">
        <w:t>alter cell growth.</w:t>
      </w:r>
      <w:bookmarkEnd w:id="1072"/>
      <w:bookmarkEnd w:id="1073"/>
      <w:bookmarkEnd w:id="1074"/>
      <w:bookmarkEnd w:id="1075"/>
      <w:bookmarkEnd w:id="1076"/>
      <w:bookmarkEnd w:id="1077"/>
      <w:bookmarkEnd w:id="1078"/>
      <w:bookmarkEnd w:id="1079"/>
      <w:bookmarkEnd w:id="1080"/>
      <w:bookmarkEnd w:id="1081"/>
      <w:bookmarkEnd w:id="1082"/>
      <w:bookmarkEnd w:id="1083"/>
      <w:r w:rsidR="000B5A78">
        <w:t xml:space="preserve"> </w:t>
      </w:r>
    </w:p>
    <w:p w14:paraId="3DF47894" w14:textId="0A070A2A" w:rsidR="007A4F62" w:rsidRDefault="007A4F62" w:rsidP="003E7BDB">
      <w:pPr>
        <w:spacing w:line="360" w:lineRule="auto"/>
        <w:jc w:val="both"/>
        <w:rPr>
          <w:rFonts w:ascii="Times New Roman" w:hAnsi="Times New Roman" w:cs="Times New Roman"/>
        </w:rPr>
      </w:pPr>
      <w:r w:rsidRPr="0042169F">
        <w:rPr>
          <w:rFonts w:ascii="Times New Roman" w:hAnsi="Times New Roman" w:cs="Times New Roman"/>
        </w:rPr>
        <w:t>ScienCell (1) astrocytes were treated with MAB391 for 24 hours before media exchange and assessment of cell viability using MTT and Cyquant analysis</w:t>
      </w:r>
      <w:r w:rsidR="00C8680C" w:rsidRPr="0042169F">
        <w:rPr>
          <w:rFonts w:ascii="Times New Roman" w:hAnsi="Times New Roman" w:cs="Times New Roman"/>
        </w:rPr>
        <w:t xml:space="preserve"> was performed up to 96 hours</w:t>
      </w:r>
      <w:r w:rsidRPr="0042169F">
        <w:rPr>
          <w:rFonts w:ascii="Times New Roman" w:hAnsi="Times New Roman" w:cs="Times New Roman"/>
        </w:rPr>
        <w:t>. MTT analysis shows no differences in cell viability between IgG (MAB002) and MAB391 treatments</w:t>
      </w:r>
      <w:r w:rsidR="00F91104">
        <w:rPr>
          <w:rFonts w:ascii="Times New Roman" w:hAnsi="Times New Roman" w:cs="Times New Roman"/>
        </w:rPr>
        <w:t xml:space="preserve"> over the 96 hour period</w:t>
      </w:r>
      <w:r w:rsidRPr="0042169F">
        <w:rPr>
          <w:rFonts w:ascii="Times New Roman" w:hAnsi="Times New Roman" w:cs="Times New Roman"/>
        </w:rPr>
        <w:t>. A cyquant assay was used to validate these findings and confirmed no change in cell viability following impairment of IGF1 signalling. Graphs are repres</w:t>
      </w:r>
      <w:r w:rsidR="008A2CC2" w:rsidRPr="0042169F">
        <w:rPr>
          <w:rFonts w:ascii="Times New Roman" w:hAnsi="Times New Roman" w:cs="Times New Roman"/>
        </w:rPr>
        <w:t>entative of n=3, 3 experiments/</w:t>
      </w:r>
      <w:r w:rsidRPr="0042169F">
        <w:rPr>
          <w:rFonts w:ascii="Times New Roman" w:hAnsi="Times New Roman" w:cs="Times New Roman"/>
        </w:rPr>
        <w:t xml:space="preserve">replicate. </w:t>
      </w:r>
      <w:r w:rsidR="00C8680C" w:rsidRPr="0042169F">
        <w:rPr>
          <w:rFonts w:ascii="Times New Roman" w:hAnsi="Times New Roman" w:cs="Times New Roman"/>
        </w:rPr>
        <w:t>(</w:t>
      </w:r>
      <w:r w:rsidRPr="0042169F">
        <w:rPr>
          <w:rFonts w:ascii="Times New Roman" w:hAnsi="Times New Roman" w:cs="Times New Roman"/>
        </w:rPr>
        <w:t>Data are mean + SEM, One way ANOVA with post-hoc analysis</w:t>
      </w:r>
      <w:r w:rsidR="00BC7E4D">
        <w:rPr>
          <w:rFonts w:ascii="Times New Roman" w:hAnsi="Times New Roman" w:cs="Times New Roman"/>
        </w:rPr>
        <w:t xml:space="preserve"> **p&lt;0.01, ****p&lt;0.0001</w:t>
      </w:r>
      <w:r w:rsidRPr="0042169F">
        <w:rPr>
          <w:rFonts w:ascii="Times New Roman" w:hAnsi="Times New Roman" w:cs="Times New Roman"/>
        </w:rPr>
        <w:t>)</w:t>
      </w:r>
      <w:r w:rsidR="00BC7E4D">
        <w:rPr>
          <w:rFonts w:ascii="Times New Roman" w:hAnsi="Times New Roman" w:cs="Times New Roman"/>
        </w:rPr>
        <w:t>.</w:t>
      </w:r>
    </w:p>
    <w:p w14:paraId="040AAE89" w14:textId="77777777" w:rsidR="0019787A" w:rsidRDefault="0019787A" w:rsidP="003E7BDB">
      <w:pPr>
        <w:spacing w:line="360" w:lineRule="auto"/>
        <w:jc w:val="both"/>
        <w:rPr>
          <w:rFonts w:ascii="Times New Roman" w:hAnsi="Times New Roman" w:cs="Times New Roman"/>
        </w:rPr>
      </w:pPr>
    </w:p>
    <w:p w14:paraId="28D682B5" w14:textId="77777777" w:rsidR="0019787A" w:rsidRDefault="0019787A" w:rsidP="003E7BDB">
      <w:pPr>
        <w:spacing w:line="360" w:lineRule="auto"/>
        <w:jc w:val="both"/>
        <w:rPr>
          <w:rFonts w:ascii="Times New Roman" w:hAnsi="Times New Roman" w:cs="Times New Roman"/>
        </w:rPr>
      </w:pPr>
    </w:p>
    <w:p w14:paraId="4861116D" w14:textId="77777777" w:rsidR="0019787A" w:rsidRDefault="0019787A" w:rsidP="003E7BDB">
      <w:pPr>
        <w:spacing w:line="360" w:lineRule="auto"/>
        <w:jc w:val="both"/>
        <w:rPr>
          <w:rFonts w:ascii="Times New Roman" w:hAnsi="Times New Roman" w:cs="Times New Roman"/>
        </w:rPr>
      </w:pPr>
    </w:p>
    <w:p w14:paraId="4EE65ADD" w14:textId="77777777" w:rsidR="0019787A" w:rsidRPr="0042169F" w:rsidRDefault="0019787A" w:rsidP="003E7BDB">
      <w:pPr>
        <w:spacing w:line="360" w:lineRule="auto"/>
        <w:jc w:val="both"/>
        <w:rPr>
          <w:rFonts w:ascii="Times New Roman" w:hAnsi="Times New Roman" w:cs="Times New Roman"/>
        </w:rPr>
      </w:pPr>
    </w:p>
    <w:p w14:paraId="57CEF837" w14:textId="77777777" w:rsidR="005B2FB1" w:rsidRDefault="005B2FB1" w:rsidP="003E7BDB">
      <w:pPr>
        <w:jc w:val="both"/>
        <w:rPr>
          <w:rFonts w:ascii="Times New Roman" w:hAnsi="Times New Roman" w:cs="Times New Roman"/>
          <w:b/>
          <w:u w:val="single"/>
        </w:rPr>
      </w:pPr>
    </w:p>
    <w:p w14:paraId="7F95C5ED" w14:textId="6FD6941D" w:rsidR="006D788B" w:rsidRDefault="00AC7BB4" w:rsidP="003E7BDB">
      <w:pPr>
        <w:pStyle w:val="Heading3"/>
        <w:jc w:val="both"/>
      </w:pPr>
      <w:bookmarkStart w:id="1084" w:name="_Toc328301148"/>
      <w:bookmarkStart w:id="1085" w:name="_Toc329593440"/>
      <w:bookmarkStart w:id="1086" w:name="_Toc331425939"/>
      <w:bookmarkStart w:id="1087" w:name="_Toc331427120"/>
      <w:bookmarkStart w:id="1088" w:name="_Toc331427492"/>
      <w:bookmarkStart w:id="1089" w:name="_Toc331427634"/>
      <w:bookmarkStart w:id="1090" w:name="_Toc332972638"/>
      <w:bookmarkStart w:id="1091" w:name="_Toc333046917"/>
      <w:bookmarkStart w:id="1092" w:name="_Toc333477264"/>
      <w:bookmarkStart w:id="1093" w:name="_Toc333478034"/>
      <w:bookmarkStart w:id="1094" w:name="_Toc333644934"/>
      <w:r>
        <w:t>3.4.6</w:t>
      </w:r>
      <w:r w:rsidR="0062211D">
        <w:t xml:space="preserve"> </w:t>
      </w:r>
      <w:r w:rsidR="006D788B">
        <w:t>Impaired IGF1 signalli</w:t>
      </w:r>
      <w:r w:rsidR="000A1D4B">
        <w:t>ng has no impact on GFAP,</w:t>
      </w:r>
      <w:r w:rsidR="006D788B" w:rsidRPr="008D309A">
        <w:t xml:space="preserve"> γH2AX</w:t>
      </w:r>
      <w:r w:rsidR="000A1D4B">
        <w:t xml:space="preserve"> or ROS levels in astrocytes</w:t>
      </w:r>
      <w:bookmarkEnd w:id="1084"/>
      <w:bookmarkEnd w:id="1085"/>
      <w:bookmarkEnd w:id="1086"/>
      <w:bookmarkEnd w:id="1087"/>
      <w:bookmarkEnd w:id="1088"/>
      <w:bookmarkEnd w:id="1089"/>
      <w:bookmarkEnd w:id="1090"/>
      <w:bookmarkEnd w:id="1091"/>
      <w:bookmarkEnd w:id="1092"/>
      <w:bookmarkEnd w:id="1093"/>
      <w:bookmarkEnd w:id="1094"/>
    </w:p>
    <w:p w14:paraId="5BEA34F5" w14:textId="7C93C600" w:rsidR="00BB08D5" w:rsidRDefault="00BB08D5" w:rsidP="003E7BDB">
      <w:pPr>
        <w:spacing w:line="360" w:lineRule="auto"/>
        <w:jc w:val="both"/>
        <w:rPr>
          <w:rFonts w:ascii="Times New Roman" w:hAnsi="Times New Roman" w:cs="Times New Roman"/>
        </w:rPr>
      </w:pPr>
    </w:p>
    <w:p w14:paraId="12E0BF2D" w14:textId="5A68EAA6" w:rsidR="00226102" w:rsidRDefault="00AD4C5E" w:rsidP="003E7BDB">
      <w:pPr>
        <w:spacing w:line="360" w:lineRule="auto"/>
        <w:jc w:val="both"/>
        <w:rPr>
          <w:rFonts w:ascii="Times New Roman" w:hAnsi="Times New Roman" w:cs="Times New Roman"/>
        </w:rPr>
      </w:pPr>
      <w:r>
        <w:rPr>
          <w:rFonts w:ascii="Times New Roman" w:hAnsi="Times New Roman" w:cs="Times New Roman"/>
        </w:rPr>
        <w:t>With a view to determine</w:t>
      </w:r>
      <w:r w:rsidR="00573708">
        <w:rPr>
          <w:rFonts w:ascii="Times New Roman" w:hAnsi="Times New Roman" w:cs="Times New Roman"/>
        </w:rPr>
        <w:t xml:space="preserve"> whether loss of IGF1R induces stress </w:t>
      </w:r>
      <w:r>
        <w:rPr>
          <w:rFonts w:ascii="Times New Roman" w:hAnsi="Times New Roman" w:cs="Times New Roman"/>
        </w:rPr>
        <w:t>i</w:t>
      </w:r>
      <w:r w:rsidR="00573708">
        <w:rPr>
          <w:rFonts w:ascii="Times New Roman" w:hAnsi="Times New Roman" w:cs="Times New Roman"/>
        </w:rPr>
        <w:t>n the astrocytes</w:t>
      </w:r>
      <w:r w:rsidR="00F91104">
        <w:rPr>
          <w:rFonts w:ascii="Times New Roman" w:hAnsi="Times New Roman" w:cs="Times New Roman"/>
        </w:rPr>
        <w:t>,</w:t>
      </w:r>
      <w:r w:rsidR="004400AA">
        <w:rPr>
          <w:rFonts w:ascii="Times New Roman" w:hAnsi="Times New Roman" w:cs="Times New Roman"/>
        </w:rPr>
        <w:t xml:space="preserve"> GFAP and γH2AX </w:t>
      </w:r>
      <w:r w:rsidR="009C0883">
        <w:rPr>
          <w:rFonts w:ascii="Times New Roman" w:hAnsi="Times New Roman" w:cs="Times New Roman"/>
        </w:rPr>
        <w:t xml:space="preserve">levels </w:t>
      </w:r>
      <w:r w:rsidR="00573708">
        <w:rPr>
          <w:rFonts w:ascii="Times New Roman" w:hAnsi="Times New Roman" w:cs="Times New Roman"/>
        </w:rPr>
        <w:t>were assessed</w:t>
      </w:r>
      <w:r w:rsidR="00BB08D5">
        <w:rPr>
          <w:rFonts w:ascii="Times New Roman" w:hAnsi="Times New Roman" w:cs="Times New Roman"/>
        </w:rPr>
        <w:t xml:space="preserve"> by </w:t>
      </w:r>
      <w:r w:rsidR="00AB0487">
        <w:rPr>
          <w:rFonts w:ascii="Times New Roman" w:hAnsi="Times New Roman" w:cs="Times New Roman"/>
        </w:rPr>
        <w:t>western blotting</w:t>
      </w:r>
      <w:r w:rsidR="00573708">
        <w:rPr>
          <w:rFonts w:ascii="Times New Roman" w:hAnsi="Times New Roman" w:cs="Times New Roman"/>
        </w:rPr>
        <w:t xml:space="preserve"> following a 24 hour MAB391/ IgG treatment</w:t>
      </w:r>
      <w:r w:rsidR="0073642B">
        <w:rPr>
          <w:rFonts w:ascii="Times New Roman" w:hAnsi="Times New Roman" w:cs="Times New Roman"/>
        </w:rPr>
        <w:t xml:space="preserve"> in ScienCell (1) astrocytes</w:t>
      </w:r>
      <w:r w:rsidR="00573708">
        <w:rPr>
          <w:rFonts w:ascii="Times New Roman" w:hAnsi="Times New Roman" w:cs="Times New Roman"/>
        </w:rPr>
        <w:t>. GFAP is an astrocytic marker that</w:t>
      </w:r>
      <w:r w:rsidR="00F04F06">
        <w:rPr>
          <w:rFonts w:ascii="Times New Roman" w:hAnsi="Times New Roman" w:cs="Times New Roman"/>
        </w:rPr>
        <w:t xml:space="preserve"> is elevated when astrocytes become functionally mature or</w:t>
      </w:r>
      <w:r w:rsidR="00573708">
        <w:rPr>
          <w:rFonts w:ascii="Times New Roman" w:hAnsi="Times New Roman" w:cs="Times New Roman"/>
        </w:rPr>
        <w:t xml:space="preserve"> stressed</w:t>
      </w:r>
      <w:r w:rsidR="00D91294">
        <w:rPr>
          <w:rFonts w:ascii="Times New Roman" w:hAnsi="Times New Roman" w:cs="Times New Roman"/>
        </w:rPr>
        <w:t xml:space="preserve"> and has been associated with AD pathology</w:t>
      </w:r>
      <w:r w:rsidR="00F04F06">
        <w:rPr>
          <w:rFonts w:ascii="Times New Roman" w:hAnsi="Times New Roman" w:cs="Times New Roman"/>
        </w:rPr>
        <w:t xml:space="preserve"> </w:t>
      </w:r>
      <w:r w:rsidR="00DB3031">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"50753", "ISSN" : "0014-3022", "PMID" : "11455181", "abstract" : "To gain insight of the underlying mechanisms of astroglial response to Alzheimer's disease (AD), the level of glial fibrillary acidic protein (GFAP) in cerebrospinal fluid (CSF) from controls and AD subjects were immunochemically determined, and the correlation between that level and dementia severity of AD patients was evaluated. Means and SD of CSF levels of GFAP for the young control group (from 1 to 25 years, mean +/- SD 14.2 +/- 5.0, n = 13) adult control (from 26 to 55 years, 41.6 +/- 10.1, n = 9) and senescent control (older than 56 years, 65.4 +/- 8.0, n = 8) were 2.96 +/- 1.04, 2.80 +/- 1.46 and 3.99 +/- 1.55 ng/ml, respectively, and the CSF level of GFAP was not dependent on age (ANOVA, p = 0.17). While that of the AD patient group (n = 27, 70.8 +/- 8.0 years) was 8.96 +/- 7.80 ng/ml, significantly higher than that of both the all-control (3.19 +/- 1.39 ng/ml, t test, p &lt; 0.001) and age-matched senescent (3.99 +/- 1.55 ng/ml, t test, p &lt; 0.005) control groups. The receiver-operator characteristic (ROC) curve revealed that the GFAP concentration at 5 ng/ml in CSF could serve as a cutoff value. The CSF level of GFAP in the moderately to severely demented patients (MMSE &lt;/= 17, 13.2 +/- 9.10 ng/ml, n = 9) was approximately by two-fold higher than that of the mildly to moderately demented patients (MMSE &gt;/= 18, 6.85 +/- 5.76 ng/ml, n = 18; ANOVA, p &lt; 0.05). These findings together with our previous report on an increase in the CSF level of apolipoprotein E suggest that degeneration and stimulation of astrocytes takes place concurrently in the AD brain.", "author" : [ { "dropping-particle" : "", "family" : "Fukuyama", "given" : "R", "non-dropping-particle" : "", "parse-names" : false, "suffix" : "" }, { "dropping-particle" : "", "family" : "Izumoto", "given" : "T", "non-dropping-particle" : "", "parse-names" : false, "suffix" : "" }, { "dropping-particle" : "", "family" : "Fushiki", "given" : "S", "non-dropping-particle" : "", "parse-names" : false, "suffix" : "" } ], "container-title" : "European neurology", "id" : "ITEM-1", "issue" : "1", "issued" : { "date-parts" : [ [ "2001", "1" ] ] }, "page" : "35-8", "title" : "The cerebrospinal fluid level of glial fibrillary acidic protein is increased in cerebrospinal fluid from Alzheimer's disease patients and correlates with severity of dementia.", "type" : "article-journal", "volume" : "46" }, "uris" : [ "http://www.mendeley.com/documents/?uuid=4a2b4f91-bde7-4098-a6ec-dbf69707c650" ] }, { "id" : "ITEM-2", "itemData" : { "DOI" : "10.1016/j.neurobiolaging.2008.05.015", "ISSN" : "1558-1497", "PMID" : "18586353", "abstract" : "Astrocyte pathology occurs in association with Alzheimer's disease (AD) and in brain ageing, but is poorly characterised. We sought to define the detailed cellular pathology of astrocytes, the extent of population variation and the relationship to Alzheimer-type changes in a population-based cohort. Three staining patterns were associated with GFAP and excitatory amino acid transporter 2 (EAAT2): minimal, moderate or extensive immunoreactivity. GFAP and EAAT2 expression were inversely related (p=0.015), with trends to increased expression of GFAP (p=0.019) and decreased expression of EAAT2 (p=ns) with increasing Braak stage. GFAP and EAAT2 correlated incompletely with beta-amyloid and tau immunoreactivity. However, gliosis increased with increasing burden of neuritic (p=0.011), but not diffuse (p=ns), plaques. Double-staining revealed distinct subsets of astrocytes; GFAP(+)EAAT(-), GFAP(-)EAAT(+), or GFAP(+)EAAT(+). In contrast to the variation in GFAP and EAAT2, levels of EAAT1 and S100B showed consistent staining patterns. Alzheimer-type pathology only partially explains the variation in gliosis and astrocyte functional markers, suggesting that other factors contribute to the population variance in astrocyte pathology.", "author" : [ { "dropping-particle" : "", "family" : "Simpson", "given" : "J E", "non-dropping-particle" : "", "parse-names" : false, "suffix" : "" }, { "dropping-particle" : "", "family" : "Ince", "given" : "P G", "non-dropping-particle" : "", "parse-names" : false, "suffix" : "" }, { "dropping-particle" : "", "family" : "Lace", "given" : "G", "non-dropping-particle" : "", "parse-names" : false, "suffix" : "" }, { "dropping-particle" : "", "family" : "Forster", "given" : "G", "non-dropping-particle" : "", "parse-names" : false, "suffix" : "" }, { "dropping-particle" : "", "family" : "Shaw", "given" : "P J", "non-dropping-particle" : "", "parse-names" : false, "suffix" : "" }, { "dropping-particle" : "", "family" : "Matthews", "given" : "F", "non-dropping-particle" : "", "parse-names" : false, "suffix" : "" }, { "dropping-particle" : "", "family" : "Savva", "given" : "G", "non-dropping-particle" : "", "parse-names" : false, "suffix" : "" }, { "dropping-particle" : "", "family" : "Brayne", "given" : "C", "non-dropping-particle" : "", "parse-names" : false, "suffix" : "" }, { "dropping-particle" : "", "family" : "Wharton", "given" : "S B", "non-dropping-particle" : "", "parse-names" : false, "suffix" : "" } ], "container-title" : "Neurobiology of aging", "id" : "ITEM-2", "issue" : "4", "issued" : { "date-parts" : [ [ "2010", "4" ] ] }, "page" : "578-90", "title" : "Astrocyte phenotype in relation to Alzheimer-type pathology in the ageing brain.", "type" : "article-journal", "volume" : "31" }, "uris" : [ "http://www.mendeley.com/documents/?uuid=777358ad-cb13-402e-b071-9f6976f101f9" ] } ], "mendeley" : { "formattedCitation" : "(Fukuyama et al. 2001; J E Simpson, Ince, Lace, et al. 2010)", "plainTextFormattedCitation" : "(Fukuyama et al. 2001; J E Simpson, Ince, Lace, et al. 2010)", "previouslyFormattedCitation" : "(Fukuyama et al. 2001; J E Simpson, Ince, Lace, et al. 2010)" }, "properties" : { "noteIndex" : 0 }, "schema" : "https://github.com/citation-style-language/schema/raw/master/csl-citation.json" }</w:instrText>
      </w:r>
      <w:r w:rsidR="00DB3031">
        <w:rPr>
          <w:rFonts w:ascii="Times New Roman" w:hAnsi="Times New Roman" w:cs="Times New Roman"/>
        </w:rPr>
        <w:fldChar w:fldCharType="separate"/>
      </w:r>
      <w:r w:rsidR="00C148FC" w:rsidRPr="00C148FC">
        <w:rPr>
          <w:rFonts w:ascii="Times New Roman" w:hAnsi="Times New Roman" w:cs="Times New Roman"/>
          <w:noProof/>
        </w:rPr>
        <w:t>(Fukuyama et al. 2001; J E Simpson, Ince, Lace, et al. 2010)</w:t>
      </w:r>
      <w:r w:rsidR="00DB3031">
        <w:rPr>
          <w:rFonts w:ascii="Times New Roman" w:hAnsi="Times New Roman" w:cs="Times New Roman"/>
        </w:rPr>
        <w:fldChar w:fldCharType="end"/>
      </w:r>
      <w:r w:rsidR="00573708">
        <w:rPr>
          <w:rFonts w:ascii="Times New Roman" w:hAnsi="Times New Roman" w:cs="Times New Roman"/>
        </w:rPr>
        <w:t>. Despite</w:t>
      </w:r>
      <w:r w:rsidR="009C0883">
        <w:rPr>
          <w:rFonts w:ascii="Times New Roman" w:hAnsi="Times New Roman" w:cs="Times New Roman"/>
        </w:rPr>
        <w:t xml:space="preserve"> </w:t>
      </w:r>
      <w:r w:rsidR="00573708">
        <w:rPr>
          <w:rFonts w:ascii="Times New Roman" w:hAnsi="Times New Roman" w:cs="Times New Roman"/>
        </w:rPr>
        <w:t xml:space="preserve">there being a significant change in GFAP levels following MAB391 treatment relative to </w:t>
      </w:r>
      <w:r w:rsidR="004400AA">
        <w:rPr>
          <w:rFonts w:ascii="Times New Roman" w:hAnsi="Times New Roman" w:cs="Times New Roman"/>
        </w:rPr>
        <w:t>control</w:t>
      </w:r>
      <w:r w:rsidR="00573708">
        <w:rPr>
          <w:rFonts w:ascii="Times New Roman" w:hAnsi="Times New Roman" w:cs="Times New Roman"/>
        </w:rPr>
        <w:t xml:space="preserve"> astrocytes</w:t>
      </w:r>
      <w:r w:rsidR="009956DA">
        <w:rPr>
          <w:rFonts w:ascii="Times New Roman" w:hAnsi="Times New Roman" w:cs="Times New Roman"/>
        </w:rPr>
        <w:t xml:space="preserve"> (</w:t>
      </w:r>
      <w:r w:rsidR="009956DA" w:rsidRPr="00D40298">
        <w:rPr>
          <w:rFonts w:ascii="Times New Roman" w:hAnsi="Times New Roman" w:cs="Times New Roman"/>
          <w:b/>
        </w:rPr>
        <w:t>figure 3.10</w:t>
      </w:r>
      <w:r w:rsidR="004400AA">
        <w:rPr>
          <w:rFonts w:ascii="Times New Roman" w:hAnsi="Times New Roman" w:cs="Times New Roman"/>
        </w:rPr>
        <w:t xml:space="preserve">, p&lt; </w:t>
      </w:r>
      <w:r w:rsidR="003041DD">
        <w:rPr>
          <w:rFonts w:ascii="Times New Roman" w:hAnsi="Times New Roman" w:cs="Times New Roman"/>
        </w:rPr>
        <w:t>0.01</w:t>
      </w:r>
      <w:r w:rsidR="004400AA">
        <w:rPr>
          <w:rFonts w:ascii="Times New Roman" w:hAnsi="Times New Roman" w:cs="Times New Roman"/>
        </w:rPr>
        <w:t>)</w:t>
      </w:r>
      <w:r w:rsidR="00573708">
        <w:rPr>
          <w:rFonts w:ascii="Times New Roman" w:hAnsi="Times New Roman" w:cs="Times New Roman"/>
        </w:rPr>
        <w:t>, when compared to the IgG i</w:t>
      </w:r>
      <w:r w:rsidR="009C0883">
        <w:rPr>
          <w:rFonts w:ascii="Times New Roman" w:hAnsi="Times New Roman" w:cs="Times New Roman"/>
        </w:rPr>
        <w:t>sotype control treatment this was</w:t>
      </w:r>
      <w:r w:rsidR="0073642B">
        <w:rPr>
          <w:rFonts w:ascii="Times New Roman" w:hAnsi="Times New Roman" w:cs="Times New Roman"/>
        </w:rPr>
        <w:t xml:space="preserve"> a non-significant effect. </w:t>
      </w:r>
    </w:p>
    <w:p w14:paraId="1EE1851A" w14:textId="77777777" w:rsidR="00962EE3" w:rsidRDefault="00962EE3" w:rsidP="00573708">
      <w:pPr>
        <w:spacing w:line="360" w:lineRule="auto"/>
        <w:rPr>
          <w:rFonts w:ascii="Times New Roman" w:hAnsi="Times New Roman" w:cs="Times New Roman"/>
        </w:rPr>
      </w:pPr>
    </w:p>
    <w:p w14:paraId="7F7D2529" w14:textId="1794B8E9" w:rsidR="004400AA" w:rsidRDefault="0063109A" w:rsidP="00C63BC1">
      <w:pPr>
        <w:spacing w:line="360" w:lineRule="auto"/>
        <w:jc w:val="both"/>
        <w:rPr>
          <w:rFonts w:ascii="Times New Roman" w:hAnsi="Times New Roman" w:cs="Times New Roman"/>
        </w:rPr>
      </w:pPr>
      <w:r>
        <w:rPr>
          <w:rFonts w:ascii="Times New Roman" w:hAnsi="Times New Roman" w:cs="Times New Roman"/>
        </w:rPr>
        <w:t>γH2AX is</w:t>
      </w:r>
      <w:r w:rsidR="004400AA">
        <w:rPr>
          <w:rFonts w:ascii="Times New Roman" w:hAnsi="Times New Roman" w:cs="Times New Roman"/>
        </w:rPr>
        <w:t xml:space="preserve"> a</w:t>
      </w:r>
      <w:r w:rsidR="000F7E1C">
        <w:rPr>
          <w:rFonts w:ascii="Times New Roman" w:hAnsi="Times New Roman" w:cs="Times New Roman"/>
        </w:rPr>
        <w:t xml:space="preserve">n indicator of </w:t>
      </w:r>
      <w:r>
        <w:rPr>
          <w:rFonts w:ascii="Times New Roman" w:hAnsi="Times New Roman" w:cs="Times New Roman"/>
        </w:rPr>
        <w:t xml:space="preserve">early </w:t>
      </w:r>
      <w:r w:rsidR="000F7E1C">
        <w:rPr>
          <w:rFonts w:ascii="Times New Roman" w:hAnsi="Times New Roman" w:cs="Times New Roman"/>
        </w:rPr>
        <w:t>DNA damage</w:t>
      </w:r>
      <w:r w:rsidR="00407C9D">
        <w:rPr>
          <w:rFonts w:ascii="Times New Roman" w:hAnsi="Times New Roman" w:cs="Times New Roman"/>
        </w:rPr>
        <w:t>.</w:t>
      </w:r>
      <w:r w:rsidR="000F7E1C">
        <w:rPr>
          <w:rFonts w:ascii="Times New Roman" w:hAnsi="Times New Roman" w:cs="Times New Roman"/>
        </w:rPr>
        <w:t xml:space="preserve"> </w:t>
      </w:r>
      <w:r w:rsidR="00407C9D">
        <w:rPr>
          <w:rFonts w:ascii="Times New Roman" w:hAnsi="Times New Roman" w:cs="Times New Roman"/>
        </w:rPr>
        <w:t>Levels of γH2AX have</w:t>
      </w:r>
      <w:r w:rsidR="000F7E1C">
        <w:rPr>
          <w:rFonts w:ascii="Times New Roman" w:hAnsi="Times New Roman" w:cs="Times New Roman"/>
        </w:rPr>
        <w:t xml:space="preserve"> been shown to be</w:t>
      </w:r>
      <w:r w:rsidR="00407C9D">
        <w:rPr>
          <w:rFonts w:ascii="Times New Roman" w:hAnsi="Times New Roman" w:cs="Times New Roman"/>
        </w:rPr>
        <w:t xml:space="preserve"> both</w:t>
      </w:r>
      <w:r w:rsidR="000F7E1C">
        <w:rPr>
          <w:rFonts w:ascii="Times New Roman" w:hAnsi="Times New Roman" w:cs="Times New Roman"/>
        </w:rPr>
        <w:t xml:space="preserve"> elevated </w:t>
      </w:r>
      <w:r w:rsidR="00407C9D">
        <w:rPr>
          <w:rFonts w:ascii="Times New Roman" w:hAnsi="Times New Roman" w:cs="Times New Roman"/>
        </w:rPr>
        <w:t xml:space="preserve">and unchanged </w:t>
      </w:r>
      <w:r w:rsidR="000F7E1C">
        <w:rPr>
          <w:rFonts w:ascii="Times New Roman" w:hAnsi="Times New Roman" w:cs="Times New Roman"/>
        </w:rPr>
        <w:t>in the nuclei of astrocytes residing</w:t>
      </w:r>
      <w:r w:rsidR="00464F85">
        <w:rPr>
          <w:rFonts w:ascii="Times New Roman" w:hAnsi="Times New Roman" w:cs="Times New Roman"/>
        </w:rPr>
        <w:t xml:space="preserve"> in</w:t>
      </w:r>
      <w:r w:rsidR="000F7E1C">
        <w:rPr>
          <w:rFonts w:ascii="Times New Roman" w:hAnsi="Times New Roman" w:cs="Times New Roman"/>
        </w:rPr>
        <w:t xml:space="preserve"> the AD brain</w:t>
      </w:r>
      <w:r>
        <w:rPr>
          <w:rFonts w:ascii="Times New Roman" w:hAnsi="Times New Roman" w:cs="Times New Roman"/>
        </w:rPr>
        <w:t xml:space="preserve"> </w:t>
      </w:r>
      <w:r w:rsidR="00407C9D">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"10.1007/s11357-008-9050-7", "ISSN" : "1574-4647", "PMID" : "19424844", "abstract" : "Phosphorylation of the histone family is not only a response to cell signaling stimuli, but also an important indicator of DNA damage preceding apoptotic changes. While astrocytic degeneration, including DNA damage, has been reported in Alzheimer disease (AD), its pathogenetic significance is somewhat unclear. In an effort to clarify this, we investigated the expression of gamma H2AX as evidence of DNA damage in astrocytes to elucidate the role of these cells in the pathogenesis of AD. In response to the formation of double-stranded breaks in chromosomal DNA, serine 139 on H2AX, a 14-kDa protein that is a member of the H2A histone family and part of the nucleosome structure, becomes rapidly phosphorylated to generate gamma H2AX. Using immunocytochemical techniques, we found significantly increased levels of gamma H2AX in astrocytes in regions know to be vulnerable in AD, i.e., the hippocampal regions and cerebral cortex. These results suggest that astrocytes contain DNA damage, possibly resulting in functional disability, which in turn reduces their support for neurons. These findings further define the role of astrocyte dysfunction in the progression of AD.", "author" : [ { "dropping-particle" : "", "family" : "Myung", "given" : "Na-Hye", "non-dropping-particle" : "", "parse-names" : false, "suffix" : "" }, { "dropping-particle" : "", "family" : "Zhu", "given" : "Xiongwei", "non-dropping-particle" : "", "parse-names" : false, "suffix" : "" }, { "dropping-particle" : "", "family" : "Kruman", "given" : "Inna I", "non-dropping-particle" : "", "parse-names" : false, "suffix" : "" }, { "dropping-particle" : "", "family" : "Castellani", "given" : "Rudy J", "non-dropping-particle" : "", "parse-names" : false, "suffix" : "" }, { "dropping-particle" : "", "family" : "Petersen", "given" : "Robert B", "non-dropping-particle" : "", "parse-names" : false, "suffix" : "" }, { "dropping-particle" : "", "family" : "Siedlak", "given" : "Sandra L", "non-dropping-particle" : "", "parse-names" : false, "suffix" : "" }, { "dropping-particle" : "", "family" : "Perry", "given" : "George", "non-dropping-particle" : "", "parse-names" : false, "suffix" : "" }, { "dropping-particle" : "", "family" : "Smith", "given" : "Mark A", "non-dropping-particle" : "", "parse-names" : false, "suffix" : "" }, { "dropping-particle" : "", "family" : "Lee", "given" : "Hyoung-gon", "non-dropping-particle" : "", "parse-names" : false, "suffix" : "" } ], "container-title" : "Age (Dordrecht, Netherlands)", "id" : "ITEM-1", "issue" : "4", "issued" : { "date-parts" : [ [ "2008", "12" ] ] }, "page" : "209-15", "title" : "Evidence of DNA damage in Alzheimer disease: phosphorylation of histone H2AX in astrocytes.", "type" : "article-journal", "volume" : "30" }, "uris" : [ "http://www.mendeley.com/documents/?uuid=3263bbc3-c7b2-4b50-82a0-ed39004407c5" ] }, { "id" : "ITEM-2", "itemData" : { "DOI" : "10.1111/j.1365-2990.2009.01030.x", "ISSN" : "1365-2990", "PMID" : "19422529", "abstract" : "AIMS: Increasing evidence suggests a role for oxidative damage to DNA in brain ageing and in neurodegenerative disorders, including Alzheimer's disease. Most studies have focussed on the reduced capacity for DNA repair by neurones, and have not taken into account the effect of oxidative stress on astrocytes, and their contribution to pathology.\n\nMETHODS: We examined levels of oxidative stress, DNA damage and DNA repair mechanisms in astrocytes in a population-based sample derived from the Medical Research Council Cognitive Function and Ageing Neuropathology Study.\n\nRESULTS: We demonstrate wide variation in parameters for oxidative stress and DNA damage in astrocytes in the ageing population. We show that there is a significant reduction (P = 0.002) in the lipid peroxidation marker malondialdehyde with increasing Braak stage in Alzheimer's disease. Furthermore, we demonstrate that expression of the DNA damage-associated molecules H2AX and DNA-dependent protein kinase do not increase with increasing Braak stage, rather there is evidence of a nonsignificant reduction in DNA-dependent protein kinase expression by neurones and astrocytes, and in H2AX by neurones with increasing levels of Alzheimer's type pathology.\n\nCONCLUSIONS: These findings suggest that the changes in oxidative stress and the astrocyte DNA damage response are not accounted for as an accumulating effect due to established Alzheimer-type pathology. We hypothesize that astrocyte damage, leading to impaired function, may contribute to the development of ageing brain pathology in some individuals.", "author" : [ { "dropping-particle" : "", "family" : "Simpson", "given" : "J E", "non-dropping-particle" : "", "parse-names" : false, "suffix" : "" }, { "dropping-particle" : "", "family" : "Ince", "given" : "P G", "non-dropping-particle" : "", "parse-names" : false, "suffix" : "" }, { "dropping-particle" : "", "family" : "Haynes", "given" : "L J", "non-dropping-particle" : "", "parse-names" : false, "suffix" : "" }, { "dropping-particle" : "", "family" : "Theaker", "given" : "R", "non-dropping-particle" : "", "parse-names" : false, "suffix" : "" }, { "dropping-particle" : "", "family" : "Gelsthorpe", "given" : "C", "non-dropping-particle" : "", "parse-names" : false, "suffix" : "" }, { "dropping-particle" : "", "family" : "Baxter", "given" : "L", "non-dropping-particle" : "", "parse-names" : false, "suffix" : "" }, { "dropping-particle" : "", "family" : "Forster", "given" : "G", "non-dropping-particle" : "", "parse-names" : false, "suffix" : "" }, { "dropping-particle" : "", "family" : "Lace", "given" : "G L", "non-dropping-particle" : "", "parse-names" : false, "suffix" : "" }, { "dropping-particle" : "", "family" : "Shaw", "given" : "P J", "non-dropping-particle" : "", "parse-names" : false, "suffix" : "" }, { "dropping-particle" : "", "family" : "Matthews", "given" : "F E", "non-dropping-particle" : "", "parse-names" : false, "suffix" : "" }, { "dropping-particle" : "", "family" : "Savva", "given" : "G M", "non-dropping-particle" : "", "parse-names" : false, "suffix" : "" }, { "dropping-particle" : "", "family" : "Brayne", "given" : "C", "non-dropping-particle" : "", "parse-names" : false, "suffix" : "" }, { "dropping-particle" : "", "family" : "Wharton", "given" : "S B", "non-dropping-particle" : "", "parse-names" : false, "suffix" : "" } ], "container-title" : "Neuropathology and applied neurobiology", "id" : "ITEM-2", "issue" : "1", "issued" : { "date-parts" : [ [ "2010", "2" ] ] }, "page" : "25-40", "title" : "Population variation in oxidative stress and astrocyte DNA damage in relation to Alzheimer-type pathology in the ageing brain.", "type" : "article-journal", "volume" : "36" }, "uris" : [ "http://www.mendeley.com/documents/?uuid=3de702e7-4a5b-47de-9c21-6b788c3c32f1" ] } ], "mendeley" : { "formattedCitation" : "(Myung et al. 2008; J E Simpson, Ince, Haynes, et al. 2010)", "plainTextFormattedCitation" : "(Myung et al. 2008; J E Simpson, Ince, Haynes, et al. 2010)", "previouslyFormattedCitation" : "(Myung et al. 2008; J E Simpson, Ince, Haynes, et al. 2010)" }, "properties" : { "noteIndex" : 0 }, "schema" : "https://github.com/citation-style-language/schema/raw/master/csl-citation.json" }</w:instrText>
      </w:r>
      <w:r w:rsidR="00407C9D">
        <w:rPr>
          <w:rFonts w:ascii="Times New Roman" w:hAnsi="Times New Roman" w:cs="Times New Roman"/>
        </w:rPr>
        <w:fldChar w:fldCharType="separate"/>
      </w:r>
      <w:r w:rsidR="00C148FC" w:rsidRPr="00C148FC">
        <w:rPr>
          <w:rFonts w:ascii="Times New Roman" w:hAnsi="Times New Roman" w:cs="Times New Roman"/>
          <w:noProof/>
        </w:rPr>
        <w:t>(Myung et al. 2008; J E Simpson, Ince, Haynes, et al. 2010)</w:t>
      </w:r>
      <w:r w:rsidR="00407C9D">
        <w:rPr>
          <w:rFonts w:ascii="Times New Roman" w:hAnsi="Times New Roman" w:cs="Times New Roman"/>
        </w:rPr>
        <w:fldChar w:fldCharType="end"/>
      </w:r>
      <w:r w:rsidR="00962EE3">
        <w:rPr>
          <w:rFonts w:ascii="Times New Roman" w:hAnsi="Times New Roman" w:cs="Times New Roman"/>
        </w:rPr>
        <w:t>. Loss of IGF1R wa</w:t>
      </w:r>
      <w:r w:rsidR="00407C9D">
        <w:rPr>
          <w:rFonts w:ascii="Times New Roman" w:hAnsi="Times New Roman" w:cs="Times New Roman"/>
        </w:rPr>
        <w:t xml:space="preserve">s not associated with changes in </w:t>
      </w:r>
      <w:r w:rsidR="00464F85">
        <w:rPr>
          <w:rFonts w:ascii="Times New Roman" w:hAnsi="Times New Roman" w:cs="Times New Roman"/>
        </w:rPr>
        <w:t>γH2AX</w:t>
      </w:r>
      <w:r w:rsidR="00407C9D">
        <w:rPr>
          <w:rFonts w:ascii="Times New Roman" w:hAnsi="Times New Roman" w:cs="Times New Roman"/>
        </w:rPr>
        <w:t xml:space="preserve"> in ScienCell astrocytes</w:t>
      </w:r>
      <w:r w:rsidR="009956DA">
        <w:rPr>
          <w:rFonts w:ascii="Times New Roman" w:hAnsi="Times New Roman" w:cs="Times New Roman"/>
        </w:rPr>
        <w:t xml:space="preserve"> (</w:t>
      </w:r>
      <w:r w:rsidR="009956DA" w:rsidRPr="00D40298">
        <w:rPr>
          <w:rFonts w:ascii="Times New Roman" w:hAnsi="Times New Roman" w:cs="Times New Roman"/>
          <w:b/>
        </w:rPr>
        <w:t>figure 3.10</w:t>
      </w:r>
      <w:r w:rsidR="00464F85">
        <w:rPr>
          <w:rFonts w:ascii="Times New Roman" w:hAnsi="Times New Roman" w:cs="Times New Roman"/>
        </w:rPr>
        <w:t>)</w:t>
      </w:r>
      <w:r w:rsidR="00407C9D">
        <w:rPr>
          <w:rFonts w:ascii="Times New Roman" w:hAnsi="Times New Roman" w:cs="Times New Roman"/>
        </w:rPr>
        <w:t>.</w:t>
      </w:r>
      <w:r w:rsidR="00464F85">
        <w:rPr>
          <w:rFonts w:ascii="Times New Roman" w:hAnsi="Times New Roman" w:cs="Times New Roman"/>
        </w:rPr>
        <w:t xml:space="preserve"> </w:t>
      </w:r>
    </w:p>
    <w:p w14:paraId="634E4EC5" w14:textId="77777777" w:rsidR="00962EE3" w:rsidRDefault="00962EE3" w:rsidP="00C63BC1">
      <w:pPr>
        <w:spacing w:line="360" w:lineRule="auto"/>
        <w:jc w:val="both"/>
        <w:rPr>
          <w:rFonts w:ascii="Times New Roman" w:hAnsi="Times New Roman" w:cs="Times New Roman"/>
        </w:rPr>
      </w:pPr>
      <w:r>
        <w:rPr>
          <w:rFonts w:ascii="Times New Roman" w:hAnsi="Times New Roman" w:cs="Times New Roman"/>
        </w:rPr>
        <w:t xml:space="preserve"> </w:t>
      </w:r>
    </w:p>
    <w:p w14:paraId="10CD58E6" w14:textId="7077123B" w:rsidR="009956DA" w:rsidRDefault="009956DA" w:rsidP="00C63BC1">
      <w:pPr>
        <w:spacing w:line="360" w:lineRule="auto"/>
        <w:jc w:val="both"/>
        <w:rPr>
          <w:rFonts w:ascii="Times New Roman" w:hAnsi="Times New Roman" w:cs="Times New Roman"/>
        </w:rPr>
      </w:pPr>
      <w:r>
        <w:rPr>
          <w:rFonts w:ascii="Times New Roman" w:hAnsi="Times New Roman" w:cs="Times New Roman"/>
        </w:rPr>
        <w:t xml:space="preserve">ROS levels were also assessed following treatment of astrocytes with IgG/MAB391 for 24 hours since there are links between IGF1 signalling and oxidative stress in rodent astrocytes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"10.12688/f1000research.3-28.v1", "ISSN" : "2046-1402", "author" : [ { "dropping-particle" : "", "family" : "Genis", "given" : "Laura", "non-dropping-particle" : "", "parse-names" : false, "suffix" : "" }, { "dropping-particle" : "", "family" : "D\u00e1vila", "given" : "David", "non-dropping-particle" : "", "parse-names" : false, "suffix" : "" }, { "dropping-particle" : "", "family" : "Fernandez", "given" : "Silvia", "non-dropping-particle" : "", "parse-names" : false, "suffix" : "" }, { "dropping-particle" : "", "family" : "Pozo-Rodrig\u00e1lvarez", "given" : "Andrea", "non-dropping-particle" : "", "parse-names" : false, "suffix" : "" }, { "dropping-particle" : "", "family" : "Mart\u00ednez-Murillo", "given" : "Ricardo", "non-dropping-particle" : "", "parse-names" : false, "suffix" : "" }, { "dropping-particle" : "", "family" : "Torres-Aleman", "given" : "Ignacio", "non-dropping-particle" : "", "parse-names" : false, "suffix" : "" } ], "container-title" : "F1000Research", "id" : "ITEM-1", "issued" : { "date-parts" : [ [ "2014", "1", "28" ] ] }, "title" : "Astrocytes require insulin-like growth factor I to protect neurons against oxidative injury", "type" : "article-journal", "volume" : "3" }, "uris" : [ "http://www.mendeley.com/documents/?uuid=ad994b94-d7cf-4a27-9bfb-2351db2f4759" ] } ], "mendeley" : { "formattedCitation" : "(Genis et al. 2014)", "plainTextFormattedCitation" : "(Genis et al. 2014)", "previouslyFormattedCitation" : "(Genis et al. 2014)"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(Genis et al. 2014)</w:t>
      </w:r>
      <w:r>
        <w:rPr>
          <w:rFonts w:ascii="Times New Roman" w:hAnsi="Times New Roman" w:cs="Times New Roman"/>
        </w:rPr>
        <w:fldChar w:fldCharType="end"/>
      </w:r>
      <w:r>
        <w:rPr>
          <w:rFonts w:ascii="Times New Roman" w:hAnsi="Times New Roman" w:cs="Times New Roman"/>
        </w:rPr>
        <w:t>. However, no change in ROS production was observed in astrocytes following loss of IGF1R when compared against no treatment or IgG treatment (</w:t>
      </w:r>
      <w:r w:rsidRPr="00D40298">
        <w:rPr>
          <w:rFonts w:ascii="Times New Roman" w:hAnsi="Times New Roman" w:cs="Times New Roman"/>
          <w:b/>
        </w:rPr>
        <w:t>figure 3.11</w:t>
      </w:r>
      <w:r>
        <w:rPr>
          <w:rFonts w:ascii="Times New Roman" w:hAnsi="Times New Roman" w:cs="Times New Roman"/>
        </w:rPr>
        <w:t>)</w:t>
      </w:r>
      <w:r w:rsidR="00F91104">
        <w:rPr>
          <w:rFonts w:ascii="Times New Roman" w:hAnsi="Times New Roman" w:cs="Times New Roman"/>
        </w:rPr>
        <w:t>.</w:t>
      </w:r>
    </w:p>
    <w:p w14:paraId="375BC264" w14:textId="77777777" w:rsidR="00962EE3" w:rsidRDefault="00962EE3" w:rsidP="00C63BC1">
      <w:pPr>
        <w:spacing w:line="360" w:lineRule="auto"/>
        <w:jc w:val="both"/>
        <w:rPr>
          <w:rFonts w:ascii="Times New Roman" w:hAnsi="Times New Roman" w:cs="Times New Roman"/>
        </w:rPr>
      </w:pPr>
    </w:p>
    <w:p w14:paraId="1B6B8195" w14:textId="586F0D3D" w:rsidR="00253C5C" w:rsidRPr="00253C5C" w:rsidRDefault="006043FF" w:rsidP="00C63BC1">
      <w:pPr>
        <w:spacing w:line="360" w:lineRule="auto"/>
        <w:jc w:val="both"/>
        <w:rPr>
          <w:rFonts w:ascii="Times New Roman" w:hAnsi="Times New Roman" w:cs="Times New Roman"/>
        </w:rPr>
      </w:pPr>
      <w:r>
        <w:rPr>
          <w:rFonts w:ascii="Times New Roman" w:hAnsi="Times New Roman" w:cs="Times New Roman"/>
        </w:rPr>
        <w:t>In conclusion there were</w:t>
      </w:r>
      <w:r w:rsidR="004400AA">
        <w:rPr>
          <w:rFonts w:ascii="Times New Roman" w:hAnsi="Times New Roman" w:cs="Times New Roman"/>
        </w:rPr>
        <w:t xml:space="preserve"> no change</w:t>
      </w:r>
      <w:r>
        <w:rPr>
          <w:rFonts w:ascii="Times New Roman" w:hAnsi="Times New Roman" w:cs="Times New Roman"/>
        </w:rPr>
        <w:t>s</w:t>
      </w:r>
      <w:r w:rsidR="009956DA">
        <w:rPr>
          <w:rFonts w:ascii="Times New Roman" w:hAnsi="Times New Roman" w:cs="Times New Roman"/>
        </w:rPr>
        <w:t xml:space="preserve"> in GFAP, </w:t>
      </w:r>
      <w:r w:rsidR="007C331C">
        <w:rPr>
          <w:rFonts w:ascii="Times New Roman" w:hAnsi="Times New Roman" w:cs="Times New Roman"/>
        </w:rPr>
        <w:t xml:space="preserve">γH2AX </w:t>
      </w:r>
      <w:r w:rsidR="009956DA">
        <w:rPr>
          <w:rFonts w:ascii="Times New Roman" w:hAnsi="Times New Roman" w:cs="Times New Roman"/>
        </w:rPr>
        <w:t xml:space="preserve">or ROS production </w:t>
      </w:r>
      <w:r w:rsidR="007C331C">
        <w:rPr>
          <w:rFonts w:ascii="Times New Roman" w:hAnsi="Times New Roman" w:cs="Times New Roman"/>
        </w:rPr>
        <w:t>following loss of IGF1R</w:t>
      </w:r>
      <w:r w:rsidR="00D40298">
        <w:rPr>
          <w:rFonts w:ascii="Times New Roman" w:hAnsi="Times New Roman" w:cs="Times New Roman"/>
        </w:rPr>
        <w:t xml:space="preserve"> for 24 hours in astrocytes</w:t>
      </w:r>
      <w:r w:rsidR="007C331C">
        <w:rPr>
          <w:rFonts w:ascii="Times New Roman" w:hAnsi="Times New Roman" w:cs="Times New Roman"/>
        </w:rPr>
        <w:t xml:space="preserve">. </w:t>
      </w:r>
    </w:p>
    <w:p w14:paraId="6DE1F08F" w14:textId="77777777" w:rsidR="00950079" w:rsidRDefault="00950079" w:rsidP="00C63BC1">
      <w:pPr>
        <w:jc w:val="both"/>
        <w:rPr>
          <w:rFonts w:ascii="Times New Roman" w:hAnsi="Times New Roman" w:cs="Times New Roman"/>
          <w:b/>
        </w:rPr>
      </w:pPr>
      <w:r>
        <w:rPr>
          <w:rFonts w:ascii="Times New Roman" w:hAnsi="Times New Roman" w:cs="Times New Roman"/>
          <w:b/>
        </w:rPr>
        <w:t xml:space="preserve">        </w:t>
      </w:r>
    </w:p>
    <w:p w14:paraId="0B324E3C" w14:textId="598691A6" w:rsidR="00950079" w:rsidRDefault="005F182A">
      <w:pPr>
        <w:rPr>
          <w:rFonts w:ascii="Times New Roman" w:hAnsi="Times New Roman" w:cs="Times New Roman"/>
          <w:b/>
        </w:rPr>
      </w:pPr>
      <w:r>
        <w:rPr>
          <w:rFonts w:ascii="Times New Roman" w:hAnsi="Times New Roman" w:cs="Times New Roman"/>
          <w:b/>
        </w:rPr>
        <w:t xml:space="preserve">    </w:t>
      </w:r>
    </w:p>
    <w:p w14:paraId="1A8E66FF" w14:textId="77777777" w:rsidR="005F182A" w:rsidRDefault="005F182A">
      <w:pPr>
        <w:rPr>
          <w:rFonts w:ascii="Times New Roman" w:hAnsi="Times New Roman" w:cs="Times New Roman"/>
          <w:b/>
        </w:rPr>
      </w:pPr>
    </w:p>
    <w:p w14:paraId="6412085F" w14:textId="77777777" w:rsidR="005F182A" w:rsidRDefault="005F182A">
      <w:pPr>
        <w:rPr>
          <w:rFonts w:ascii="Times New Roman" w:hAnsi="Times New Roman" w:cs="Times New Roman"/>
          <w:b/>
        </w:rPr>
      </w:pPr>
    </w:p>
    <w:p w14:paraId="22D80625" w14:textId="77777777" w:rsidR="005F182A" w:rsidRDefault="005F182A">
      <w:pPr>
        <w:rPr>
          <w:rFonts w:ascii="Times New Roman" w:hAnsi="Times New Roman" w:cs="Times New Roman"/>
          <w:b/>
        </w:rPr>
      </w:pPr>
    </w:p>
    <w:p w14:paraId="547086EB" w14:textId="77777777" w:rsidR="005F182A" w:rsidRDefault="005F182A">
      <w:pPr>
        <w:rPr>
          <w:rFonts w:ascii="Times New Roman" w:hAnsi="Times New Roman" w:cs="Times New Roman"/>
          <w:b/>
        </w:rPr>
      </w:pPr>
    </w:p>
    <w:p w14:paraId="7BF4B82A" w14:textId="77777777" w:rsidR="005F182A" w:rsidRDefault="005F182A">
      <w:pPr>
        <w:rPr>
          <w:rFonts w:ascii="Times New Roman" w:hAnsi="Times New Roman" w:cs="Times New Roman"/>
          <w:b/>
        </w:rPr>
      </w:pPr>
    </w:p>
    <w:p w14:paraId="764A1871" w14:textId="77777777" w:rsidR="005F182A" w:rsidRDefault="005F182A">
      <w:pPr>
        <w:rPr>
          <w:rFonts w:ascii="Times New Roman" w:hAnsi="Times New Roman" w:cs="Times New Roman"/>
          <w:b/>
        </w:rPr>
      </w:pPr>
    </w:p>
    <w:p w14:paraId="1398AA8E" w14:textId="77777777" w:rsidR="005F182A" w:rsidRDefault="005F182A">
      <w:pPr>
        <w:rPr>
          <w:rFonts w:ascii="Times New Roman" w:hAnsi="Times New Roman" w:cs="Times New Roman"/>
          <w:b/>
        </w:rPr>
      </w:pPr>
    </w:p>
    <w:p w14:paraId="62D3B4AB" w14:textId="77777777" w:rsidR="005F182A" w:rsidRDefault="005F182A">
      <w:pPr>
        <w:rPr>
          <w:rFonts w:ascii="Times New Roman" w:hAnsi="Times New Roman" w:cs="Times New Roman"/>
          <w:b/>
        </w:rPr>
      </w:pPr>
    </w:p>
    <w:p w14:paraId="6EC6EEF7" w14:textId="77777777" w:rsidR="005F182A" w:rsidRDefault="005F182A">
      <w:pPr>
        <w:rPr>
          <w:rFonts w:ascii="Times New Roman" w:hAnsi="Times New Roman" w:cs="Times New Roman"/>
          <w:b/>
        </w:rPr>
      </w:pPr>
    </w:p>
    <w:p w14:paraId="60CA7AAE" w14:textId="77777777" w:rsidR="005F182A" w:rsidRDefault="005F182A">
      <w:pPr>
        <w:rPr>
          <w:rFonts w:ascii="Times New Roman" w:hAnsi="Times New Roman" w:cs="Times New Roman"/>
          <w:b/>
        </w:rPr>
      </w:pPr>
    </w:p>
    <w:p w14:paraId="52D15647" w14:textId="77777777" w:rsidR="005F182A" w:rsidRDefault="005F182A">
      <w:pPr>
        <w:rPr>
          <w:rFonts w:ascii="Times New Roman" w:hAnsi="Times New Roman" w:cs="Times New Roman"/>
          <w:b/>
        </w:rPr>
      </w:pPr>
    </w:p>
    <w:p w14:paraId="23F01A15" w14:textId="77777777" w:rsidR="00950079" w:rsidRDefault="00950079">
      <w:pPr>
        <w:rPr>
          <w:rFonts w:ascii="Times New Roman" w:hAnsi="Times New Roman" w:cs="Times New Roman"/>
          <w:b/>
        </w:rPr>
      </w:pPr>
    </w:p>
    <w:p w14:paraId="7F1DD63B" w14:textId="1EB6B600" w:rsidR="00D424A0" w:rsidRDefault="00950079">
      <w:pPr>
        <w:rPr>
          <w:rFonts w:ascii="Times New Roman" w:hAnsi="Times New Roman" w:cs="Times New Roman"/>
          <w:b/>
        </w:rPr>
      </w:pPr>
      <w:r>
        <w:rPr>
          <w:rFonts w:ascii="Times New Roman" w:hAnsi="Times New Roman" w:cs="Times New Roman"/>
          <w:b/>
        </w:rPr>
        <w:t xml:space="preserve">         </w:t>
      </w:r>
      <w:r w:rsidR="00643620">
        <w:rPr>
          <w:rFonts w:ascii="Times New Roman" w:hAnsi="Times New Roman" w:cs="Times New Roman"/>
          <w:b/>
        </w:rPr>
        <w:t xml:space="preserve">    </w:t>
      </w:r>
      <w:r>
        <w:rPr>
          <w:rFonts w:ascii="Times New Roman" w:hAnsi="Times New Roman" w:cs="Times New Roman"/>
          <w:b/>
        </w:rPr>
        <w:t xml:space="preserve">   </w:t>
      </w:r>
      <w:r>
        <w:rPr>
          <w:rFonts w:ascii="Times New Roman" w:hAnsi="Times New Roman" w:cs="Times New Roman"/>
          <w:b/>
          <w:noProof/>
        </w:rPr>
        <w:drawing>
          <wp:inline distT="0" distB="0" distL="0" distR="0" wp14:anchorId="0819B960" wp14:editId="37789389">
            <wp:extent cx="4005775" cy="1318895"/>
            <wp:effectExtent l="0" t="0" r="762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43">
                      <a:extLst>
                        <a:ext uri="{28A0092B-C50C-407E-A947-70E740481C1C}">
                          <a14:useLocalDpi xmlns:a14="http://schemas.microsoft.com/office/drawing/2010/main" val="0"/>
                        </a:ext>
                      </a:extLst>
                    </a:blip>
                    <a:srcRect l="15120" t="696" r="16032" b="69057"/>
                    <a:stretch/>
                  </pic:blipFill>
                  <pic:spPr bwMode="auto">
                    <a:xfrm>
                      <a:off x="0" y="0"/>
                      <a:ext cx="4011039" cy="1320628"/>
                    </a:xfrm>
                    <a:prstGeom prst="rect">
                      <a:avLst/>
                    </a:prstGeom>
                    <a:ln>
                      <a:noFill/>
                    </a:ln>
                    <a:extLst>
                      <a:ext uri="{53640926-AAD7-44d8-BBD7-CCE9431645EC}">
                        <a14:shadowObscured xmlns:a14="http://schemas.microsoft.com/office/drawing/2010/main"/>
                      </a:ext>
                    </a:extLst>
                  </pic:spPr>
                </pic:pic>
              </a:graphicData>
            </a:graphic>
          </wp:inline>
        </w:drawing>
      </w:r>
    </w:p>
    <w:p w14:paraId="36B08095" w14:textId="5276480B" w:rsidR="00D424A0" w:rsidRDefault="00950079">
      <w:pPr>
        <w:rPr>
          <w:rFonts w:ascii="Times New Roman" w:hAnsi="Times New Roman" w:cs="Times New Roman"/>
          <w:b/>
        </w:rPr>
      </w:pPr>
      <w:r>
        <w:rPr>
          <w:rFonts w:ascii="Times New Roman" w:hAnsi="Times New Roman" w:cs="Times New Roman"/>
          <w:b/>
        </w:rPr>
        <w:t xml:space="preserve">       </w:t>
      </w:r>
      <w:r w:rsidR="00643620">
        <w:rPr>
          <w:rFonts w:ascii="Times New Roman" w:hAnsi="Times New Roman" w:cs="Times New Roman"/>
          <w:b/>
        </w:rPr>
        <w:t xml:space="preserve">   </w:t>
      </w:r>
      <w:r>
        <w:rPr>
          <w:rFonts w:ascii="Times New Roman" w:hAnsi="Times New Roman" w:cs="Times New Roman"/>
          <w:b/>
        </w:rPr>
        <w:t xml:space="preserve">      </w:t>
      </w:r>
      <w:r>
        <w:rPr>
          <w:rFonts w:ascii="Times New Roman" w:hAnsi="Times New Roman" w:cs="Times New Roman"/>
          <w:b/>
          <w:noProof/>
        </w:rPr>
        <w:drawing>
          <wp:inline distT="0" distB="0" distL="0" distR="0" wp14:anchorId="174362FB" wp14:editId="437C09FD">
            <wp:extent cx="4005775" cy="1534083"/>
            <wp:effectExtent l="0" t="0" r="762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rotWithShape="1">
                    <a:blip r:embed="rId44">
                      <a:extLst>
                        <a:ext uri="{28A0092B-C50C-407E-A947-70E740481C1C}">
                          <a14:useLocalDpi xmlns:a14="http://schemas.microsoft.com/office/drawing/2010/main" val="0"/>
                        </a:ext>
                      </a:extLst>
                    </a:blip>
                    <a:srcRect t="65334" r="34814" b="-1"/>
                    <a:stretch/>
                  </pic:blipFill>
                  <pic:spPr bwMode="auto">
                    <a:xfrm>
                      <a:off x="0" y="0"/>
                      <a:ext cx="4013815" cy="1537162"/>
                    </a:xfrm>
                    <a:prstGeom prst="rect">
                      <a:avLst/>
                    </a:prstGeom>
                    <a:ln>
                      <a:noFill/>
                    </a:ln>
                    <a:extLst>
                      <a:ext uri="{53640926-AAD7-44d8-BBD7-CCE9431645EC}">
                        <a14:shadowObscured xmlns:a14="http://schemas.microsoft.com/office/drawing/2010/main"/>
                      </a:ext>
                    </a:extLst>
                  </pic:spPr>
                </pic:pic>
              </a:graphicData>
            </a:graphic>
          </wp:inline>
        </w:drawing>
      </w:r>
    </w:p>
    <w:p w14:paraId="2E170209" w14:textId="6270D5F8" w:rsidR="00950079" w:rsidRDefault="00950079" w:rsidP="00950079">
      <w:pPr>
        <w:spacing w:line="360" w:lineRule="auto"/>
        <w:rPr>
          <w:rFonts w:ascii="Times New Roman" w:hAnsi="Times New Roman" w:cs="Times New Roman"/>
          <w:b/>
        </w:rPr>
      </w:pPr>
      <w:r>
        <w:rPr>
          <w:rFonts w:ascii="Times New Roman" w:hAnsi="Times New Roman" w:cs="Times New Roman"/>
          <w:b/>
        </w:rPr>
        <w:t xml:space="preserve">         </w:t>
      </w:r>
      <w:r w:rsidR="00643620">
        <w:rPr>
          <w:rFonts w:ascii="Times New Roman" w:hAnsi="Times New Roman" w:cs="Times New Roman"/>
          <w:b/>
        </w:rPr>
        <w:t xml:space="preserve">     </w:t>
      </w:r>
      <w:r>
        <w:rPr>
          <w:rFonts w:ascii="Times New Roman" w:hAnsi="Times New Roman" w:cs="Times New Roman"/>
          <w:b/>
        </w:rPr>
        <w:t xml:space="preserve">   </w:t>
      </w:r>
      <w:r>
        <w:rPr>
          <w:rFonts w:ascii="Times New Roman" w:hAnsi="Times New Roman" w:cs="Times New Roman"/>
          <w:b/>
          <w:noProof/>
        </w:rPr>
        <w:drawing>
          <wp:inline distT="0" distB="0" distL="0" distR="0" wp14:anchorId="2D4C1329" wp14:editId="5A87E236">
            <wp:extent cx="1927225" cy="1519311"/>
            <wp:effectExtent l="0" t="0" r="3175"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rotWithShape="1">
                    <a:blip r:embed="rId44">
                      <a:extLst>
                        <a:ext uri="{28A0092B-C50C-407E-A947-70E740481C1C}">
                          <a14:useLocalDpi xmlns:a14="http://schemas.microsoft.com/office/drawing/2010/main" val="0"/>
                        </a:ext>
                      </a:extLst>
                    </a:blip>
                    <a:srcRect l="64771" t="39718" r="4199" b="28673"/>
                    <a:stretch/>
                  </pic:blipFill>
                  <pic:spPr bwMode="auto">
                    <a:xfrm>
                      <a:off x="0" y="0"/>
                      <a:ext cx="1928855" cy="152059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rPr>
        <w:t xml:space="preserve">  </w:t>
      </w:r>
      <w:r w:rsidR="007C331C">
        <w:rPr>
          <w:rFonts w:ascii="Times New Roman" w:hAnsi="Times New Roman" w:cs="Times New Roman"/>
          <w:b/>
          <w:noProof/>
        </w:rPr>
        <w:drawing>
          <wp:inline distT="0" distB="0" distL="0" distR="0" wp14:anchorId="214D1927" wp14:editId="288F98F4">
            <wp:extent cx="1927225" cy="1434392"/>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rotWithShape="1">
                    <a:blip r:embed="rId44">
                      <a:extLst>
                        <a:ext uri="{28A0092B-C50C-407E-A947-70E740481C1C}">
                          <a14:useLocalDpi xmlns:a14="http://schemas.microsoft.com/office/drawing/2010/main" val="0"/>
                        </a:ext>
                      </a:extLst>
                    </a:blip>
                    <a:srcRect l="64771" t="70157" r="4199"/>
                    <a:stretch/>
                  </pic:blipFill>
                  <pic:spPr bwMode="auto">
                    <a:xfrm>
                      <a:off x="0" y="0"/>
                      <a:ext cx="1928855" cy="1435605"/>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rPr>
        <w:t xml:space="preserve">         </w:t>
      </w:r>
    </w:p>
    <w:p w14:paraId="31486B88" w14:textId="77777777" w:rsidR="00950079" w:rsidRDefault="00950079" w:rsidP="00950079">
      <w:pPr>
        <w:spacing w:line="360" w:lineRule="auto"/>
        <w:rPr>
          <w:rFonts w:ascii="Times New Roman" w:hAnsi="Times New Roman" w:cs="Times New Roman"/>
          <w:b/>
        </w:rPr>
      </w:pPr>
    </w:p>
    <w:p w14:paraId="575B55C3" w14:textId="77777777" w:rsidR="001627E2" w:rsidRDefault="0043060F" w:rsidP="007028AC">
      <w:pPr>
        <w:pStyle w:val="Caption"/>
        <w:rPr>
          <w:rFonts w:cs="Times New Roman"/>
        </w:rPr>
      </w:pPr>
      <w:bookmarkStart w:id="1095" w:name="_Toc333584090"/>
      <w:bookmarkStart w:id="1096" w:name="_Toc333585224"/>
      <w:bookmarkStart w:id="1097" w:name="_Toc333586776"/>
      <w:bookmarkStart w:id="1098" w:name="_Toc333644475"/>
      <w:bookmarkStart w:id="1099" w:name="_Toc333644769"/>
      <w:r w:rsidRPr="001627E2">
        <w:t>Figure 3.10.</w:t>
      </w:r>
      <w:r w:rsidR="00950079" w:rsidRPr="001627E2">
        <w:t xml:space="preserve"> Investigating the levels of GFAP/γH2AX following loss of IGF1R.</w:t>
      </w:r>
      <w:bookmarkEnd w:id="1095"/>
      <w:bookmarkEnd w:id="1096"/>
      <w:bookmarkEnd w:id="1097"/>
      <w:bookmarkEnd w:id="1098"/>
      <w:bookmarkEnd w:id="1099"/>
      <w:r w:rsidR="00950079">
        <w:rPr>
          <w:rFonts w:cs="Times New Roman"/>
        </w:rPr>
        <w:t xml:space="preserve"> </w:t>
      </w:r>
    </w:p>
    <w:p w14:paraId="6A14769B" w14:textId="65F5F447" w:rsidR="00950079" w:rsidRPr="001627E2" w:rsidRDefault="009C0883" w:rsidP="007028AC">
      <w:pPr>
        <w:spacing w:line="360" w:lineRule="auto"/>
        <w:jc w:val="both"/>
        <w:rPr>
          <w:rFonts w:ascii="Times New Roman" w:hAnsi="Times New Roman" w:cs="Times New Roman"/>
        </w:rPr>
      </w:pPr>
      <w:r w:rsidRPr="001627E2">
        <w:rPr>
          <w:rFonts w:ascii="Times New Roman" w:hAnsi="Times New Roman" w:cs="Times New Roman"/>
        </w:rPr>
        <w:t>MAB391/IgG</w:t>
      </w:r>
      <w:r w:rsidR="00C325CF" w:rsidRPr="001627E2">
        <w:rPr>
          <w:rFonts w:ascii="Times New Roman" w:hAnsi="Times New Roman" w:cs="Times New Roman"/>
        </w:rPr>
        <w:t>-</w:t>
      </w:r>
      <w:r w:rsidR="00F91104" w:rsidRPr="001627E2">
        <w:rPr>
          <w:rFonts w:ascii="Times New Roman" w:hAnsi="Times New Roman" w:cs="Times New Roman"/>
        </w:rPr>
        <w:t>t</w:t>
      </w:r>
      <w:r w:rsidR="00950079" w:rsidRPr="001627E2">
        <w:rPr>
          <w:rFonts w:ascii="Times New Roman" w:hAnsi="Times New Roman" w:cs="Times New Roman"/>
        </w:rPr>
        <w:t xml:space="preserve">reated ScienCell (1) astrocytes were </w:t>
      </w:r>
      <w:r w:rsidR="00AB0487" w:rsidRPr="001627E2">
        <w:rPr>
          <w:rFonts w:ascii="Times New Roman" w:hAnsi="Times New Roman" w:cs="Times New Roman"/>
        </w:rPr>
        <w:t>western blotted</w:t>
      </w:r>
      <w:r w:rsidR="00950079" w:rsidRPr="001627E2">
        <w:rPr>
          <w:rFonts w:ascii="Times New Roman" w:hAnsi="Times New Roman" w:cs="Times New Roman"/>
        </w:rPr>
        <w:t xml:space="preserve"> for GFAP and γH2AX immunoreactivity, with </w:t>
      </w:r>
      <w:r w:rsidR="00106F16" w:rsidRPr="001627E2">
        <w:rPr>
          <w:rFonts w:ascii="Times New Roman" w:hAnsi="Times New Roman" w:cs="Times New Roman"/>
        </w:rPr>
        <w:t>α- tubulin as a loading control and</w:t>
      </w:r>
      <w:r w:rsidR="00950079" w:rsidRPr="001627E2">
        <w:rPr>
          <w:rFonts w:ascii="Times New Roman" w:hAnsi="Times New Roman" w:cs="Times New Roman"/>
        </w:rPr>
        <w:t xml:space="preserve"> representative western blots </w:t>
      </w:r>
      <w:r w:rsidR="00F91104" w:rsidRPr="001627E2">
        <w:rPr>
          <w:rFonts w:ascii="Times New Roman" w:hAnsi="Times New Roman" w:cs="Times New Roman"/>
        </w:rPr>
        <w:t xml:space="preserve">are </w:t>
      </w:r>
      <w:r w:rsidR="00950079" w:rsidRPr="001627E2">
        <w:rPr>
          <w:rFonts w:ascii="Times New Roman" w:hAnsi="Times New Roman" w:cs="Times New Roman"/>
        </w:rPr>
        <w:t xml:space="preserve">shown. Bar charts show quantification of western blots and show no changes in GFAP or γH2AX levels following </w:t>
      </w:r>
      <w:r w:rsidRPr="001627E2">
        <w:rPr>
          <w:rFonts w:ascii="Times New Roman" w:hAnsi="Times New Roman" w:cs="Times New Roman"/>
        </w:rPr>
        <w:t xml:space="preserve">a </w:t>
      </w:r>
      <w:r w:rsidR="00950079" w:rsidRPr="001627E2">
        <w:rPr>
          <w:rFonts w:ascii="Times New Roman" w:hAnsi="Times New Roman" w:cs="Times New Roman"/>
        </w:rPr>
        <w:t>24 hour treatment with MAB391. Data represents mean ± SEM (n=3, at least 3 replicates/experiment, one way ANOVA with post-hoc analysis **p&lt;0.01)</w:t>
      </w:r>
      <w:r w:rsidR="00F91104" w:rsidRPr="001627E2">
        <w:rPr>
          <w:rFonts w:ascii="Times New Roman" w:hAnsi="Times New Roman" w:cs="Times New Roman"/>
        </w:rPr>
        <w:t>.</w:t>
      </w:r>
    </w:p>
    <w:p w14:paraId="5E1A6566" w14:textId="0637FF5C" w:rsidR="00D424A0" w:rsidRDefault="00D424A0">
      <w:pPr>
        <w:rPr>
          <w:rFonts w:ascii="Times New Roman" w:hAnsi="Times New Roman" w:cs="Times New Roman"/>
          <w:b/>
        </w:rPr>
      </w:pPr>
    </w:p>
    <w:p w14:paraId="3BC0F958" w14:textId="77777777" w:rsidR="00FA0E24" w:rsidRDefault="00FA0E24">
      <w:pPr>
        <w:rPr>
          <w:rFonts w:ascii="Times New Roman" w:hAnsi="Times New Roman" w:cs="Times New Roman"/>
          <w:b/>
        </w:rPr>
        <w:sectPr w:rsidR="00FA0E24" w:rsidSect="00361C75">
          <w:pgSz w:w="11900" w:h="16840"/>
          <w:pgMar w:top="1440" w:right="1134" w:bottom="1440" w:left="2268" w:header="709" w:footer="709" w:gutter="0"/>
          <w:cols w:space="708"/>
          <w:docGrid w:linePitch="360"/>
        </w:sectPr>
      </w:pPr>
    </w:p>
    <w:p w14:paraId="0CBEE48C" w14:textId="77777777" w:rsidR="00E01EE8" w:rsidRPr="006E3732" w:rsidRDefault="00E01EE8" w:rsidP="007C331C">
      <w:pPr>
        <w:spacing w:line="360" w:lineRule="auto"/>
        <w:rPr>
          <w:rFonts w:ascii="Times New Roman" w:hAnsi="Times New Roman" w:cs="Times New Roman"/>
        </w:rPr>
      </w:pPr>
    </w:p>
    <w:p w14:paraId="467C7A8B" w14:textId="30C316AE" w:rsidR="00E97CBC" w:rsidRDefault="00E97CBC" w:rsidP="007C331C">
      <w:pPr>
        <w:spacing w:line="360" w:lineRule="auto"/>
        <w:rPr>
          <w:rFonts w:ascii="Times New Roman" w:hAnsi="Times New Roman" w:cs="Times New Roman"/>
          <w:b/>
          <w:noProof/>
        </w:rPr>
      </w:pPr>
    </w:p>
    <w:p w14:paraId="4749DAA4" w14:textId="2ADD1D07" w:rsidR="00E01EE8" w:rsidRDefault="00E01EE8" w:rsidP="007C331C">
      <w:pPr>
        <w:spacing w:line="360" w:lineRule="auto"/>
        <w:rPr>
          <w:rFonts w:ascii="Times New Roman" w:hAnsi="Times New Roman" w:cs="Times New Roman"/>
          <w:b/>
        </w:rPr>
      </w:pPr>
      <w:r>
        <w:rPr>
          <w:rFonts w:ascii="Times New Roman" w:hAnsi="Times New Roman" w:cs="Times New Roman"/>
          <w:b/>
          <w:noProof/>
        </w:rPr>
        <w:drawing>
          <wp:inline distT="0" distB="0" distL="0" distR="0" wp14:anchorId="7FAF5E98" wp14:editId="01613507">
            <wp:extent cx="5586376" cy="3995420"/>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45">
                      <a:extLst>
                        <a:ext uri="{28A0092B-C50C-407E-A947-70E740481C1C}">
                          <a14:useLocalDpi xmlns:a14="http://schemas.microsoft.com/office/drawing/2010/main" val="0"/>
                        </a:ext>
                      </a:extLst>
                    </a:blip>
                    <a:srcRect l="2564" t="7613" r="3436" b="2727"/>
                    <a:stretch/>
                  </pic:blipFill>
                  <pic:spPr bwMode="auto">
                    <a:xfrm>
                      <a:off x="0" y="0"/>
                      <a:ext cx="5587195" cy="3996006"/>
                    </a:xfrm>
                    <a:prstGeom prst="rect">
                      <a:avLst/>
                    </a:prstGeom>
                    <a:ln>
                      <a:noFill/>
                    </a:ln>
                    <a:extLst>
                      <a:ext uri="{53640926-AAD7-44d8-BBD7-CCE9431645EC}">
                        <a14:shadowObscured xmlns:a14="http://schemas.microsoft.com/office/drawing/2010/main"/>
                      </a:ext>
                    </a:extLst>
                  </pic:spPr>
                </pic:pic>
              </a:graphicData>
            </a:graphic>
          </wp:inline>
        </w:drawing>
      </w:r>
    </w:p>
    <w:p w14:paraId="5F34272C" w14:textId="77777777" w:rsidR="001627E2" w:rsidRDefault="001627E2" w:rsidP="007028AC">
      <w:pPr>
        <w:spacing w:line="360" w:lineRule="auto"/>
        <w:jc w:val="both"/>
        <w:rPr>
          <w:rFonts w:ascii="Times New Roman" w:hAnsi="Times New Roman" w:cs="Times New Roman"/>
          <w:b/>
        </w:rPr>
      </w:pPr>
    </w:p>
    <w:p w14:paraId="52F74265" w14:textId="092635DE" w:rsidR="001627E2" w:rsidRDefault="001627E2" w:rsidP="007028AC">
      <w:pPr>
        <w:pStyle w:val="Caption"/>
      </w:pPr>
      <w:bookmarkStart w:id="1100" w:name="_Toc333584091"/>
      <w:bookmarkStart w:id="1101" w:name="_Toc333585225"/>
      <w:bookmarkStart w:id="1102" w:name="_Toc333586777"/>
      <w:bookmarkStart w:id="1103" w:name="_Toc333644476"/>
      <w:bookmarkStart w:id="1104" w:name="_Toc333644770"/>
      <w:r>
        <w:t>Figure 3.11. Assessing ROS levels in MAB391-treated astrocytes.</w:t>
      </w:r>
      <w:bookmarkEnd w:id="1100"/>
      <w:bookmarkEnd w:id="1101"/>
      <w:bookmarkEnd w:id="1102"/>
      <w:bookmarkEnd w:id="1103"/>
      <w:bookmarkEnd w:id="1104"/>
    </w:p>
    <w:p w14:paraId="61D953C4" w14:textId="2ACD4424" w:rsidR="0072072A" w:rsidRPr="001627E2" w:rsidRDefault="00C325CF" w:rsidP="007028AC">
      <w:pPr>
        <w:spacing w:line="360" w:lineRule="auto"/>
        <w:jc w:val="both"/>
        <w:rPr>
          <w:rFonts w:ascii="Times New Roman" w:eastAsiaTheme="majorEastAsia" w:hAnsi="Times New Roman" w:cs="Times New Roman"/>
          <w:color w:val="000000" w:themeColor="text1"/>
        </w:rPr>
      </w:pPr>
      <w:r w:rsidRPr="001627E2">
        <w:rPr>
          <w:rFonts w:ascii="Times New Roman" w:hAnsi="Times New Roman" w:cs="Times New Roman"/>
        </w:rPr>
        <w:t>MAB391/IgG-</w:t>
      </w:r>
      <w:r w:rsidR="00F91104" w:rsidRPr="001627E2">
        <w:rPr>
          <w:rFonts w:ascii="Times New Roman" w:hAnsi="Times New Roman" w:cs="Times New Roman"/>
        </w:rPr>
        <w:t>t</w:t>
      </w:r>
      <w:r w:rsidR="000A1D4B" w:rsidRPr="001627E2">
        <w:rPr>
          <w:rFonts w:ascii="Times New Roman" w:hAnsi="Times New Roman" w:cs="Times New Roman"/>
        </w:rPr>
        <w:t>reated ScienCell (1) astrocytes were incubated with CellRox® to determine the presence of ROS (representative images shown).</w:t>
      </w:r>
      <w:r w:rsidR="00C87474" w:rsidRPr="001627E2">
        <w:rPr>
          <w:rFonts w:ascii="Times New Roman" w:hAnsi="Times New Roman" w:cs="Times New Roman"/>
        </w:rPr>
        <w:t xml:space="preserve"> Scale bar represents 50μM.</w:t>
      </w:r>
      <w:r w:rsidR="000A1D4B" w:rsidRPr="001627E2">
        <w:rPr>
          <w:rFonts w:ascii="Times New Roman" w:hAnsi="Times New Roman" w:cs="Times New Roman"/>
        </w:rPr>
        <w:t xml:space="preserve"> Bar chart shows quantification of fluorescence determined using ImageJ. Data represents mean ± SEM (n=3, at least 3 replicates/experiment, one way ANOVA with post-hoc analysis)</w:t>
      </w:r>
      <w:r w:rsidR="00F91104" w:rsidRPr="001627E2">
        <w:rPr>
          <w:rFonts w:ascii="Times New Roman" w:hAnsi="Times New Roman" w:cs="Times New Roman"/>
        </w:rPr>
        <w:t>.</w:t>
      </w:r>
    </w:p>
    <w:p w14:paraId="01683843" w14:textId="77777777" w:rsidR="003776BA" w:rsidRDefault="003776BA" w:rsidP="00395B55">
      <w:pPr>
        <w:pStyle w:val="Heading3"/>
      </w:pPr>
      <w:bookmarkStart w:id="1105" w:name="_Toc328301150"/>
      <w:bookmarkStart w:id="1106" w:name="_Toc329593441"/>
      <w:bookmarkStart w:id="1107" w:name="_Toc331425940"/>
      <w:bookmarkStart w:id="1108" w:name="_Toc331427121"/>
      <w:bookmarkStart w:id="1109" w:name="_Toc331427493"/>
      <w:bookmarkStart w:id="1110" w:name="_Toc331427635"/>
      <w:bookmarkStart w:id="1111" w:name="_Toc332972639"/>
      <w:bookmarkStart w:id="1112" w:name="_Toc333046918"/>
      <w:bookmarkStart w:id="1113" w:name="_Toc333477265"/>
      <w:bookmarkStart w:id="1114" w:name="_Toc333478035"/>
    </w:p>
    <w:p w14:paraId="164314C5" w14:textId="77777777" w:rsidR="003776BA" w:rsidRDefault="003776BA" w:rsidP="003776BA"/>
    <w:p w14:paraId="26808669" w14:textId="77777777" w:rsidR="003776BA" w:rsidRDefault="003776BA" w:rsidP="003776BA"/>
    <w:p w14:paraId="2BB13C01" w14:textId="77777777" w:rsidR="003776BA" w:rsidRDefault="003776BA" w:rsidP="003776BA"/>
    <w:p w14:paraId="4957C9FE" w14:textId="77777777" w:rsidR="003776BA" w:rsidRDefault="003776BA" w:rsidP="003776BA"/>
    <w:p w14:paraId="47ECEC61" w14:textId="77777777" w:rsidR="003776BA" w:rsidRDefault="003776BA" w:rsidP="003776BA"/>
    <w:p w14:paraId="673511F6" w14:textId="77777777" w:rsidR="003776BA" w:rsidRDefault="003776BA" w:rsidP="003776BA"/>
    <w:p w14:paraId="79FF0A91" w14:textId="77777777" w:rsidR="003776BA" w:rsidRDefault="003776BA" w:rsidP="003776BA"/>
    <w:p w14:paraId="484554B6" w14:textId="77777777" w:rsidR="003776BA" w:rsidRDefault="003776BA" w:rsidP="003776BA"/>
    <w:p w14:paraId="26CFA3A9" w14:textId="77777777" w:rsidR="003776BA" w:rsidRDefault="003776BA" w:rsidP="003776BA"/>
    <w:p w14:paraId="06C64032" w14:textId="77777777" w:rsidR="003776BA" w:rsidRPr="003776BA" w:rsidRDefault="003776BA" w:rsidP="003776BA"/>
    <w:p w14:paraId="2251788B" w14:textId="65E18724" w:rsidR="00EA3423" w:rsidRDefault="00AC7BB4" w:rsidP="007028AC">
      <w:pPr>
        <w:pStyle w:val="Heading3"/>
        <w:jc w:val="both"/>
      </w:pPr>
      <w:bookmarkStart w:id="1115" w:name="_Toc333644935"/>
      <w:r>
        <w:t>3.4.7</w:t>
      </w:r>
      <w:r w:rsidR="0062211D">
        <w:t xml:space="preserve"> </w:t>
      </w:r>
      <w:r w:rsidR="000846C4">
        <w:t>IGF1R is</w:t>
      </w:r>
      <w:r w:rsidR="00EA3423">
        <w:t xml:space="preserve"> present in</w:t>
      </w:r>
      <w:r w:rsidR="000846C4">
        <w:t xml:space="preserve"> many cell types, including astrocytes, in</w:t>
      </w:r>
      <w:r w:rsidR="009C0883">
        <w:t xml:space="preserve"> adult brain t</w:t>
      </w:r>
      <w:r w:rsidR="00EA3423">
        <w:t>issue</w:t>
      </w:r>
      <w:bookmarkEnd w:id="1105"/>
      <w:bookmarkEnd w:id="1106"/>
      <w:bookmarkEnd w:id="1107"/>
      <w:bookmarkEnd w:id="1108"/>
      <w:bookmarkEnd w:id="1109"/>
      <w:bookmarkEnd w:id="1110"/>
      <w:bookmarkEnd w:id="1111"/>
      <w:bookmarkEnd w:id="1112"/>
      <w:bookmarkEnd w:id="1113"/>
      <w:bookmarkEnd w:id="1114"/>
      <w:bookmarkEnd w:id="1115"/>
    </w:p>
    <w:p w14:paraId="422FA1C6" w14:textId="77777777" w:rsidR="009D56D0" w:rsidRDefault="009D56D0">
      <w:pPr>
        <w:rPr>
          <w:rFonts w:ascii="Times New Roman" w:hAnsi="Times New Roman" w:cs="Times New Roman"/>
          <w:b/>
          <w:u w:val="single"/>
        </w:rPr>
      </w:pPr>
    </w:p>
    <w:p w14:paraId="385E0252" w14:textId="215A8F70" w:rsidR="009D56D0" w:rsidRDefault="003269F8" w:rsidP="00C63BC1">
      <w:pPr>
        <w:spacing w:line="360" w:lineRule="auto"/>
        <w:jc w:val="both"/>
        <w:rPr>
          <w:rFonts w:ascii="Times New Roman" w:hAnsi="Times New Roman" w:cs="Times New Roman"/>
        </w:rPr>
      </w:pPr>
      <w:r>
        <w:rPr>
          <w:rFonts w:ascii="Times New Roman" w:hAnsi="Times New Roman" w:cs="Times New Roman"/>
        </w:rPr>
        <w:t>Immunohistochemistry was performed t</w:t>
      </w:r>
      <w:r w:rsidR="008C4AED">
        <w:rPr>
          <w:rFonts w:ascii="Times New Roman" w:hAnsi="Times New Roman" w:cs="Times New Roman"/>
        </w:rPr>
        <w:t xml:space="preserve">o demonstrate </w:t>
      </w:r>
      <w:r w:rsidR="005C3AC0">
        <w:rPr>
          <w:rFonts w:ascii="Times New Roman" w:hAnsi="Times New Roman" w:cs="Times New Roman"/>
        </w:rPr>
        <w:t>expression of IGF1R in</w:t>
      </w:r>
      <w:r>
        <w:rPr>
          <w:rFonts w:ascii="Times New Roman" w:hAnsi="Times New Roman" w:cs="Times New Roman"/>
        </w:rPr>
        <w:t xml:space="preserve"> the human brain and determine whether IGF1R </w:t>
      </w:r>
      <w:r w:rsidR="00513377">
        <w:rPr>
          <w:rFonts w:ascii="Times New Roman" w:hAnsi="Times New Roman" w:cs="Times New Roman"/>
        </w:rPr>
        <w:t>was specifically present in</w:t>
      </w:r>
      <w:r>
        <w:rPr>
          <w:rFonts w:ascii="Times New Roman" w:hAnsi="Times New Roman" w:cs="Times New Roman"/>
        </w:rPr>
        <w:t xml:space="preserve"> astrocytes</w:t>
      </w:r>
      <w:r w:rsidR="00513377">
        <w:rPr>
          <w:rFonts w:ascii="Times New Roman" w:hAnsi="Times New Roman" w:cs="Times New Roman"/>
        </w:rPr>
        <w:t>.</w:t>
      </w:r>
      <w:r w:rsidR="00CA5B64">
        <w:rPr>
          <w:rFonts w:ascii="Times New Roman" w:hAnsi="Times New Roman" w:cs="Times New Roman"/>
        </w:rPr>
        <w:t xml:space="preserve"> IGF1R staining was carried out on three control and three AD cases</w:t>
      </w:r>
      <w:r w:rsidR="00F91104">
        <w:rPr>
          <w:rFonts w:ascii="Times New Roman" w:hAnsi="Times New Roman" w:cs="Times New Roman"/>
        </w:rPr>
        <w:t xml:space="preserve"> (see section 2.1.15, </w:t>
      </w:r>
      <w:r w:rsidR="00F91104">
        <w:rPr>
          <w:rFonts w:ascii="Times New Roman" w:hAnsi="Times New Roman" w:cs="Times New Roman"/>
          <w:b/>
        </w:rPr>
        <w:t>table 2.7</w:t>
      </w:r>
      <w:r w:rsidR="00F91104">
        <w:rPr>
          <w:rFonts w:ascii="Times New Roman" w:hAnsi="Times New Roman" w:cs="Times New Roman"/>
        </w:rPr>
        <w:t xml:space="preserve"> for details of cases used)</w:t>
      </w:r>
      <w:r w:rsidR="00CA5B64">
        <w:rPr>
          <w:rFonts w:ascii="Times New Roman" w:hAnsi="Times New Roman" w:cs="Times New Roman"/>
        </w:rPr>
        <w:t xml:space="preserve"> to assess if there were any apparent differences in IGF1R expression</w:t>
      </w:r>
      <w:r w:rsidR="00787E0E">
        <w:rPr>
          <w:rFonts w:ascii="Times New Roman" w:hAnsi="Times New Roman" w:cs="Times New Roman"/>
        </w:rPr>
        <w:t>. Dual labelling was subsequently performed to see whether IGF1R staining colocalised with GFAP-expressing astrocytes.</w:t>
      </w:r>
    </w:p>
    <w:p w14:paraId="11210797" w14:textId="180A5948" w:rsidR="003269F8" w:rsidRPr="005133C8" w:rsidRDefault="005133C8" w:rsidP="00C63BC1">
      <w:pPr>
        <w:spacing w:line="360" w:lineRule="auto"/>
        <w:jc w:val="both"/>
        <w:rPr>
          <w:rFonts w:ascii="Times New Roman" w:hAnsi="Times New Roman" w:cs="Times New Roman"/>
        </w:rPr>
      </w:pPr>
      <w:r>
        <w:rPr>
          <w:rFonts w:ascii="Times New Roman" w:hAnsi="Times New Roman" w:cs="Times New Roman"/>
        </w:rPr>
        <w:t xml:space="preserve">Representative images in </w:t>
      </w:r>
      <w:r w:rsidRPr="00EE7AA5">
        <w:rPr>
          <w:rFonts w:ascii="Times New Roman" w:hAnsi="Times New Roman" w:cs="Times New Roman"/>
          <w:b/>
        </w:rPr>
        <w:t xml:space="preserve">figure </w:t>
      </w:r>
      <w:r w:rsidR="00EE7AA5" w:rsidRPr="00EE7AA5">
        <w:rPr>
          <w:rFonts w:ascii="Times New Roman" w:hAnsi="Times New Roman" w:cs="Times New Roman"/>
          <w:b/>
        </w:rPr>
        <w:t>3.12</w:t>
      </w:r>
      <w:r w:rsidR="00EE7AA5">
        <w:rPr>
          <w:rFonts w:ascii="Times New Roman" w:hAnsi="Times New Roman" w:cs="Times New Roman"/>
        </w:rPr>
        <w:t xml:space="preserve"> are</w:t>
      </w:r>
      <w:r>
        <w:rPr>
          <w:rFonts w:ascii="Times New Roman" w:hAnsi="Times New Roman" w:cs="Times New Roman"/>
        </w:rPr>
        <w:t xml:space="preserve"> from the temporal cortex and dentate gyrus of control and AD cases. These regions were chosen as they represent different stages of </w:t>
      </w:r>
      <w:r w:rsidR="00962EE3">
        <w:rPr>
          <w:rFonts w:ascii="Times New Roman" w:hAnsi="Times New Roman" w:cs="Times New Roman"/>
        </w:rPr>
        <w:t>AD progression</w:t>
      </w:r>
      <w:r>
        <w:rPr>
          <w:rFonts w:ascii="Times New Roman" w:hAnsi="Times New Roman" w:cs="Times New Roman"/>
        </w:rPr>
        <w:t>. Glial and neuronal nuclear staining was observed in both the temporal cortex and dentate gyrus, with little differences observe</w:t>
      </w:r>
      <w:r w:rsidR="00F91104">
        <w:rPr>
          <w:rFonts w:ascii="Times New Roman" w:hAnsi="Times New Roman" w:cs="Times New Roman"/>
        </w:rPr>
        <w:t>d between control and AD cases.</w:t>
      </w:r>
      <w:r w:rsidR="009957F3">
        <w:rPr>
          <w:rFonts w:ascii="Times New Roman" w:hAnsi="Times New Roman" w:cs="Times New Roman"/>
        </w:rPr>
        <w:t xml:space="preserve"> </w:t>
      </w:r>
      <w:r w:rsidR="009C0883">
        <w:rPr>
          <w:rFonts w:ascii="Times New Roman" w:hAnsi="Times New Roman" w:cs="Times New Roman"/>
        </w:rPr>
        <w:t xml:space="preserve">IGF1R staining was also observed in blood vessels, in glial processes and processes surrounding plaque deposits. </w:t>
      </w:r>
      <w:r w:rsidR="009957F3">
        <w:rPr>
          <w:rFonts w:ascii="Times New Roman" w:hAnsi="Times New Roman" w:cs="Times New Roman"/>
        </w:rPr>
        <w:t>Dual labelling</w:t>
      </w:r>
      <w:r w:rsidR="004B2717">
        <w:rPr>
          <w:rFonts w:ascii="Times New Roman" w:hAnsi="Times New Roman" w:cs="Times New Roman"/>
        </w:rPr>
        <w:t xml:space="preserve"> also</w:t>
      </w:r>
      <w:r w:rsidR="009957F3">
        <w:rPr>
          <w:rFonts w:ascii="Times New Roman" w:hAnsi="Times New Roman" w:cs="Times New Roman"/>
        </w:rPr>
        <w:t xml:space="preserve"> identified colocalisation of IGF1R</w:t>
      </w:r>
      <w:r w:rsidR="00C87474">
        <w:rPr>
          <w:rFonts w:ascii="Times New Roman" w:hAnsi="Times New Roman" w:cs="Times New Roman"/>
        </w:rPr>
        <w:t xml:space="preserve"> in the soma of GFAP-labelled astrocytes</w:t>
      </w:r>
      <w:r w:rsidR="004B2717">
        <w:rPr>
          <w:rFonts w:ascii="Times New Roman" w:hAnsi="Times New Roman" w:cs="Times New Roman"/>
        </w:rPr>
        <w:t xml:space="preserve"> (</w:t>
      </w:r>
      <w:r w:rsidR="004B2717" w:rsidRPr="004B2717">
        <w:rPr>
          <w:rFonts w:ascii="Times New Roman" w:hAnsi="Times New Roman" w:cs="Times New Roman"/>
          <w:b/>
        </w:rPr>
        <w:t>figure 3.13</w:t>
      </w:r>
      <w:r w:rsidR="004B2717">
        <w:rPr>
          <w:rFonts w:ascii="Times New Roman" w:hAnsi="Times New Roman" w:cs="Times New Roman"/>
        </w:rPr>
        <w:t>).</w:t>
      </w:r>
    </w:p>
    <w:p w14:paraId="3B2CE0E8" w14:textId="77777777" w:rsidR="003269F8" w:rsidRDefault="003269F8" w:rsidP="00BB4262">
      <w:pPr>
        <w:spacing w:line="360" w:lineRule="auto"/>
        <w:rPr>
          <w:rFonts w:ascii="Times New Roman" w:hAnsi="Times New Roman" w:cs="Times New Roman"/>
        </w:rPr>
      </w:pPr>
    </w:p>
    <w:p w14:paraId="66385003" w14:textId="77777777" w:rsidR="005133C8" w:rsidRDefault="005133C8" w:rsidP="005133C8">
      <w:pPr>
        <w:rPr>
          <w:rFonts w:ascii="Times New Roman" w:hAnsi="Times New Roman" w:cs="Times New Roman"/>
          <w:b/>
          <w:color w:val="FF0000"/>
        </w:rPr>
      </w:pPr>
    </w:p>
    <w:p w14:paraId="4486AACA" w14:textId="77777777" w:rsidR="003269F8" w:rsidRDefault="003269F8" w:rsidP="00BB4262">
      <w:pPr>
        <w:spacing w:line="360" w:lineRule="auto"/>
        <w:rPr>
          <w:rFonts w:ascii="Times New Roman" w:hAnsi="Times New Roman" w:cs="Times New Roman"/>
          <w:b/>
          <w:color w:val="FF0000"/>
        </w:rPr>
      </w:pPr>
    </w:p>
    <w:p w14:paraId="31E71164" w14:textId="77777777" w:rsidR="00C05B02" w:rsidRDefault="00C05B02" w:rsidP="00BB4262">
      <w:pPr>
        <w:spacing w:line="360" w:lineRule="auto"/>
        <w:rPr>
          <w:rFonts w:ascii="Times New Roman" w:hAnsi="Times New Roman" w:cs="Times New Roman"/>
        </w:rPr>
        <w:sectPr w:rsidR="00C05B02" w:rsidSect="00D424A0">
          <w:pgSz w:w="11900" w:h="16840"/>
          <w:pgMar w:top="1440" w:right="1134" w:bottom="1440" w:left="2268" w:header="709" w:footer="709" w:gutter="0"/>
          <w:cols w:space="708"/>
          <w:docGrid w:linePitch="360"/>
        </w:sectPr>
      </w:pPr>
    </w:p>
    <w:p w14:paraId="0A9D7319" w14:textId="4A32452C" w:rsidR="003269F8" w:rsidRDefault="003F6E02">
      <w:pPr>
        <w:rPr>
          <w:rFonts w:ascii="Times New Roman" w:hAnsi="Times New Roman" w:cs="Times New Roman"/>
        </w:rPr>
        <w:sectPr w:rsidR="003269F8" w:rsidSect="003269F8">
          <w:pgSz w:w="16840" w:h="11900" w:orient="landscape"/>
          <w:pgMar w:top="2268" w:right="1440" w:bottom="1134" w:left="1440" w:header="709" w:footer="709" w:gutter="0"/>
          <w:cols w:space="708"/>
          <w:docGrid w:linePitch="360"/>
        </w:sectPr>
      </w:pPr>
      <w:r>
        <w:rPr>
          <w:rFonts w:ascii="Times New Roman" w:hAnsi="Times New Roman" w:cs="Times New Roman"/>
        </w:rPr>
        <w:t xml:space="preserve">                    </w:t>
      </w:r>
      <w:r>
        <w:rPr>
          <w:rFonts w:ascii="Times New Roman" w:hAnsi="Times New Roman" w:cs="Times New Roman"/>
          <w:noProof/>
        </w:rPr>
        <w:drawing>
          <wp:inline distT="0" distB="0" distL="0" distR="0" wp14:anchorId="3B969B73" wp14:editId="08E7C9B5">
            <wp:extent cx="7196455" cy="539623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46">
                      <a:extLst>
                        <a:ext uri="{28A0092B-C50C-407E-A947-70E740481C1C}">
                          <a14:useLocalDpi xmlns:a14="http://schemas.microsoft.com/office/drawing/2010/main" val="0"/>
                        </a:ext>
                      </a:extLst>
                    </a:blip>
                    <a:stretch>
                      <a:fillRect/>
                    </a:stretch>
                  </pic:blipFill>
                  <pic:spPr>
                    <a:xfrm>
                      <a:off x="0" y="0"/>
                      <a:ext cx="7196455" cy="5396230"/>
                    </a:xfrm>
                    <a:prstGeom prst="rect">
                      <a:avLst/>
                    </a:prstGeom>
                  </pic:spPr>
                </pic:pic>
              </a:graphicData>
            </a:graphic>
          </wp:inline>
        </w:drawing>
      </w:r>
    </w:p>
    <w:p w14:paraId="7BC1CEF3" w14:textId="77777777" w:rsidR="001B72D6" w:rsidRDefault="00C87474" w:rsidP="001627E2">
      <w:pPr>
        <w:pStyle w:val="Caption"/>
      </w:pPr>
      <w:bookmarkStart w:id="1116" w:name="_Toc333569057"/>
      <w:bookmarkStart w:id="1117" w:name="_Toc333569282"/>
      <w:bookmarkStart w:id="1118" w:name="_Toc333570836"/>
      <w:bookmarkStart w:id="1119" w:name="_Toc333582219"/>
      <w:bookmarkStart w:id="1120" w:name="_Toc333582339"/>
      <w:bookmarkStart w:id="1121" w:name="_Toc333582751"/>
      <w:bookmarkStart w:id="1122" w:name="_Toc333583121"/>
      <w:bookmarkStart w:id="1123" w:name="_Toc333584092"/>
      <w:bookmarkStart w:id="1124" w:name="_Toc333585226"/>
      <w:bookmarkStart w:id="1125" w:name="_Toc333586778"/>
      <w:bookmarkStart w:id="1126" w:name="_Toc333644477"/>
      <w:bookmarkStart w:id="1127" w:name="_Toc333644771"/>
      <w:r>
        <w:t>Figure 3.12</w:t>
      </w:r>
      <w:r w:rsidR="0043060F">
        <w:t>.</w:t>
      </w:r>
      <w:r>
        <w:t xml:space="preserve"> IGF1R expression in the dentate gyrus (DG) and temporal cortex (TCx) of human control and AD cases.</w:t>
      </w:r>
      <w:bookmarkEnd w:id="1116"/>
      <w:bookmarkEnd w:id="1117"/>
      <w:bookmarkEnd w:id="1118"/>
      <w:bookmarkEnd w:id="1119"/>
      <w:bookmarkEnd w:id="1120"/>
      <w:bookmarkEnd w:id="1121"/>
      <w:bookmarkEnd w:id="1122"/>
      <w:bookmarkEnd w:id="1123"/>
      <w:bookmarkEnd w:id="1124"/>
      <w:bookmarkEnd w:id="1125"/>
      <w:bookmarkEnd w:id="1126"/>
      <w:bookmarkEnd w:id="1127"/>
      <w:r>
        <w:t xml:space="preserve"> </w:t>
      </w:r>
    </w:p>
    <w:p w14:paraId="7D52E9E9" w14:textId="552D3E88" w:rsidR="003269F8" w:rsidRPr="00F54AD5" w:rsidRDefault="00C87474" w:rsidP="00C63BC1">
      <w:pPr>
        <w:spacing w:line="360" w:lineRule="auto"/>
        <w:jc w:val="both"/>
        <w:rPr>
          <w:rFonts w:ascii="Times New Roman" w:hAnsi="Times New Roman" w:cs="Times New Roman"/>
        </w:rPr>
      </w:pPr>
      <w:r>
        <w:rPr>
          <w:rFonts w:ascii="Times New Roman" w:hAnsi="Times New Roman" w:cs="Times New Roman"/>
        </w:rPr>
        <w:t>Upper images show IGF1R staining in the temporal cortex and dentate gyrus of control and AD cases</w:t>
      </w:r>
      <w:r w:rsidR="003F6E02">
        <w:rPr>
          <w:rFonts w:ascii="Times New Roman" w:hAnsi="Times New Roman" w:cs="Times New Roman"/>
        </w:rPr>
        <w:t xml:space="preserve">, indicated by red arrows. </w:t>
      </w:r>
      <w:r>
        <w:rPr>
          <w:rFonts w:ascii="Times New Roman" w:hAnsi="Times New Roman" w:cs="Times New Roman"/>
        </w:rPr>
        <w:t xml:space="preserve">Lower panel shows representative images of IGF1R staining found in control and AD cases, with specific regions of interest indicated with a red arrow. From left to right: glia, vessel wall and processes surrounding plaques. </w:t>
      </w:r>
    </w:p>
    <w:p w14:paraId="0BB1DA9F" w14:textId="77777777" w:rsidR="00574505" w:rsidRDefault="00574505">
      <w:pPr>
        <w:rPr>
          <w:rFonts w:ascii="Times New Roman" w:hAnsi="Times New Roman" w:cs="Times New Roman"/>
          <w:b/>
        </w:rPr>
      </w:pPr>
    </w:p>
    <w:p w14:paraId="7A9C48F8" w14:textId="60A082B6" w:rsidR="004B2717" w:rsidRPr="001B72D6" w:rsidRDefault="00D31E60" w:rsidP="001B72D6">
      <w:pPr>
        <w:rPr>
          <w:rFonts w:ascii="Times New Roman" w:hAnsi="Times New Roman" w:cs="Times New Roman"/>
          <w:b/>
        </w:rPr>
      </w:pPr>
      <w:r>
        <w:rPr>
          <w:rFonts w:ascii="Times New Roman" w:hAnsi="Times New Roman" w:cs="Times New Roman"/>
          <w:b/>
        </w:rPr>
        <w:t xml:space="preserve"> </w:t>
      </w:r>
      <w:r w:rsidR="00DB3031">
        <w:rPr>
          <w:rFonts w:ascii="Times New Roman" w:hAnsi="Times New Roman" w:cs="Times New Roman"/>
          <w:b/>
        </w:rPr>
        <w:t xml:space="preserve">   </w:t>
      </w:r>
      <w:r>
        <w:rPr>
          <w:rFonts w:ascii="Times New Roman" w:hAnsi="Times New Roman" w:cs="Times New Roman"/>
          <w:b/>
        </w:rPr>
        <w:t xml:space="preserve">   </w:t>
      </w:r>
      <w:r w:rsidR="00574505">
        <w:rPr>
          <w:rFonts w:ascii="Times New Roman" w:hAnsi="Times New Roman" w:cs="Times New Roman"/>
          <w:b/>
          <w:noProof/>
        </w:rPr>
        <w:drawing>
          <wp:inline distT="0" distB="0" distL="0" distR="0" wp14:anchorId="45F3C504" wp14:editId="5583A7AA">
            <wp:extent cx="5034280" cy="3927674"/>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47">
                      <a:extLst>
                        <a:ext uri="{28A0092B-C50C-407E-A947-70E740481C1C}">
                          <a14:useLocalDpi xmlns:a14="http://schemas.microsoft.com/office/drawing/2010/main" val="0"/>
                        </a:ext>
                      </a:extLst>
                    </a:blip>
                    <a:srcRect l="11767" t="10670" r="12215" b="10234"/>
                    <a:stretch/>
                  </pic:blipFill>
                  <pic:spPr bwMode="auto">
                    <a:xfrm>
                      <a:off x="0" y="0"/>
                      <a:ext cx="5034280" cy="3927674"/>
                    </a:xfrm>
                    <a:prstGeom prst="rect">
                      <a:avLst/>
                    </a:prstGeom>
                    <a:ln>
                      <a:noFill/>
                    </a:ln>
                    <a:extLst>
                      <a:ext uri="{53640926-AAD7-44d8-BBD7-CCE9431645EC}">
                        <a14:shadowObscured xmlns:a14="http://schemas.microsoft.com/office/drawing/2010/main"/>
                      </a:ext>
                    </a:extLst>
                  </pic:spPr>
                </pic:pic>
              </a:graphicData>
            </a:graphic>
          </wp:inline>
        </w:drawing>
      </w:r>
    </w:p>
    <w:p w14:paraId="2B377560" w14:textId="77777777" w:rsidR="001B72D6" w:rsidRDefault="004B2717" w:rsidP="001627E2">
      <w:pPr>
        <w:pStyle w:val="Caption"/>
      </w:pPr>
      <w:bookmarkStart w:id="1128" w:name="_Toc333569058"/>
      <w:bookmarkStart w:id="1129" w:name="_Toc333569283"/>
      <w:bookmarkStart w:id="1130" w:name="_Toc333570837"/>
      <w:bookmarkStart w:id="1131" w:name="_Toc333582220"/>
      <w:bookmarkStart w:id="1132" w:name="_Toc333582340"/>
      <w:bookmarkStart w:id="1133" w:name="_Toc333582752"/>
      <w:bookmarkStart w:id="1134" w:name="_Toc333583122"/>
      <w:bookmarkStart w:id="1135" w:name="_Toc333584093"/>
      <w:bookmarkStart w:id="1136" w:name="_Toc333585227"/>
      <w:bookmarkStart w:id="1137" w:name="_Toc333586779"/>
      <w:bookmarkStart w:id="1138" w:name="_Toc333644478"/>
      <w:bookmarkStart w:id="1139" w:name="_Toc333644772"/>
      <w:r>
        <w:t>Figure 3.13</w:t>
      </w:r>
      <w:r w:rsidR="0043060F">
        <w:t>.</w:t>
      </w:r>
      <w:r>
        <w:t xml:space="preserve"> Co-localisation of IGF1R in GFAP expressing astrocytes.</w:t>
      </w:r>
      <w:bookmarkEnd w:id="1128"/>
      <w:bookmarkEnd w:id="1129"/>
      <w:bookmarkEnd w:id="1130"/>
      <w:bookmarkEnd w:id="1131"/>
      <w:bookmarkEnd w:id="1132"/>
      <w:bookmarkEnd w:id="1133"/>
      <w:bookmarkEnd w:id="1134"/>
      <w:bookmarkEnd w:id="1135"/>
      <w:bookmarkEnd w:id="1136"/>
      <w:bookmarkEnd w:id="1137"/>
      <w:bookmarkEnd w:id="1138"/>
      <w:bookmarkEnd w:id="1139"/>
      <w:r>
        <w:t xml:space="preserve"> </w:t>
      </w:r>
    </w:p>
    <w:p w14:paraId="6C631CE0" w14:textId="099EACA2" w:rsidR="00AE0CEC" w:rsidRPr="004B2717" w:rsidRDefault="004B2717" w:rsidP="00C63BC1">
      <w:pPr>
        <w:spacing w:line="360" w:lineRule="auto"/>
        <w:jc w:val="both"/>
        <w:rPr>
          <w:rFonts w:ascii="Times New Roman" w:hAnsi="Times New Roman" w:cs="Times New Roman"/>
        </w:rPr>
      </w:pPr>
      <w:r>
        <w:rPr>
          <w:rFonts w:ascii="Times New Roman" w:hAnsi="Times New Roman" w:cs="Times New Roman"/>
        </w:rPr>
        <w:t>Upper panel represents GFAP labelling and DAB staining of IGF1R. Lowe</w:t>
      </w:r>
      <w:r w:rsidR="003F6E02">
        <w:rPr>
          <w:rFonts w:ascii="Times New Roman" w:hAnsi="Times New Roman" w:cs="Times New Roman"/>
        </w:rPr>
        <w:t>r panel identifies IGF1R localis</w:t>
      </w:r>
      <w:r>
        <w:rPr>
          <w:rFonts w:ascii="Times New Roman" w:hAnsi="Times New Roman" w:cs="Times New Roman"/>
        </w:rPr>
        <w:t>ed to GFAP positive cells (indicated by black arrows).</w:t>
      </w:r>
    </w:p>
    <w:p w14:paraId="6C468777" w14:textId="77777777" w:rsidR="00AE0CEC" w:rsidRDefault="00AE0CEC">
      <w:pPr>
        <w:rPr>
          <w:rFonts w:ascii="Times New Roman" w:hAnsi="Times New Roman" w:cs="Times New Roman"/>
          <w:b/>
        </w:rPr>
      </w:pPr>
    </w:p>
    <w:p w14:paraId="2592189A" w14:textId="77777777" w:rsidR="004B2717" w:rsidRDefault="004B2717" w:rsidP="00395B55">
      <w:pPr>
        <w:pStyle w:val="Heading2"/>
      </w:pPr>
      <w:bookmarkStart w:id="1140" w:name="_Toc328301151"/>
    </w:p>
    <w:p w14:paraId="0B0778EB" w14:textId="77777777" w:rsidR="004B2717" w:rsidRDefault="004B2717" w:rsidP="004B2717"/>
    <w:p w14:paraId="38B67D74" w14:textId="77777777" w:rsidR="004B2717" w:rsidRDefault="004B2717" w:rsidP="004B2717"/>
    <w:p w14:paraId="4BF799D1" w14:textId="77777777" w:rsidR="004B2717" w:rsidRDefault="004B2717" w:rsidP="004B2717"/>
    <w:p w14:paraId="74D4B61F" w14:textId="77777777" w:rsidR="004B2717" w:rsidRDefault="004B2717" w:rsidP="004B2717"/>
    <w:p w14:paraId="70C685CA" w14:textId="77777777" w:rsidR="004B2717" w:rsidRDefault="004B2717" w:rsidP="00395B55">
      <w:pPr>
        <w:pStyle w:val="Heading2"/>
        <w:rPr>
          <w:rFonts w:asciiTheme="minorHAnsi" w:eastAsiaTheme="minorEastAsia" w:hAnsiTheme="minorHAnsi" w:cstheme="minorBidi"/>
          <w:b w:val="0"/>
          <w:bCs w:val="0"/>
          <w:sz w:val="24"/>
        </w:rPr>
      </w:pPr>
    </w:p>
    <w:p w14:paraId="14A3F601" w14:textId="77777777" w:rsidR="00C05B02" w:rsidRPr="00C05B02" w:rsidRDefault="00C05B02" w:rsidP="00C05B02"/>
    <w:p w14:paraId="3EFAD6DA" w14:textId="1806E9DF" w:rsidR="00DA5A91" w:rsidRDefault="0062211D" w:rsidP="00395B55">
      <w:pPr>
        <w:pStyle w:val="Heading2"/>
      </w:pPr>
      <w:bookmarkStart w:id="1141" w:name="_Toc329593442"/>
      <w:bookmarkStart w:id="1142" w:name="_Toc331425941"/>
      <w:bookmarkStart w:id="1143" w:name="_Toc331427122"/>
      <w:bookmarkStart w:id="1144" w:name="_Toc331427494"/>
      <w:bookmarkStart w:id="1145" w:name="_Toc331427636"/>
      <w:bookmarkStart w:id="1146" w:name="_Toc332972640"/>
      <w:bookmarkStart w:id="1147" w:name="_Toc333046919"/>
      <w:bookmarkStart w:id="1148" w:name="_Toc333477266"/>
      <w:bookmarkStart w:id="1149" w:name="_Toc333478036"/>
      <w:bookmarkStart w:id="1150" w:name="_Toc333644936"/>
      <w:r>
        <w:t xml:space="preserve">3.5 </w:t>
      </w:r>
      <w:r w:rsidR="00DA5A91">
        <w:t>Discussion</w:t>
      </w:r>
      <w:bookmarkEnd w:id="1140"/>
      <w:bookmarkEnd w:id="1141"/>
      <w:bookmarkEnd w:id="1142"/>
      <w:bookmarkEnd w:id="1143"/>
      <w:bookmarkEnd w:id="1144"/>
      <w:bookmarkEnd w:id="1145"/>
      <w:bookmarkEnd w:id="1146"/>
      <w:bookmarkEnd w:id="1147"/>
      <w:bookmarkEnd w:id="1148"/>
      <w:bookmarkEnd w:id="1149"/>
      <w:bookmarkEnd w:id="1150"/>
    </w:p>
    <w:p w14:paraId="38112FC7" w14:textId="77777777" w:rsidR="00DA5A91" w:rsidRDefault="00DA5A91">
      <w:pPr>
        <w:rPr>
          <w:rFonts w:ascii="Times New Roman" w:hAnsi="Times New Roman" w:cs="Times New Roman"/>
          <w:b/>
          <w:u w:val="single"/>
        </w:rPr>
      </w:pPr>
    </w:p>
    <w:p w14:paraId="762EC7E8" w14:textId="5C46CD00" w:rsidR="00985277" w:rsidRDefault="0062211D" w:rsidP="00C63BC1">
      <w:pPr>
        <w:pStyle w:val="Heading3"/>
        <w:jc w:val="both"/>
      </w:pPr>
      <w:bookmarkStart w:id="1151" w:name="_Toc328301152"/>
      <w:bookmarkStart w:id="1152" w:name="_Toc329593443"/>
      <w:bookmarkStart w:id="1153" w:name="_Toc331425942"/>
      <w:bookmarkStart w:id="1154" w:name="_Toc331427123"/>
      <w:bookmarkStart w:id="1155" w:name="_Toc331427495"/>
      <w:bookmarkStart w:id="1156" w:name="_Toc331427637"/>
      <w:bookmarkStart w:id="1157" w:name="_Toc332972641"/>
      <w:bookmarkStart w:id="1158" w:name="_Toc333046920"/>
      <w:bookmarkStart w:id="1159" w:name="_Toc333477267"/>
      <w:bookmarkStart w:id="1160" w:name="_Toc333478037"/>
      <w:bookmarkStart w:id="1161" w:name="_Toc333644937"/>
      <w:r>
        <w:t xml:space="preserve">3.5.1 </w:t>
      </w:r>
      <w:r w:rsidR="00985277">
        <w:t>Human Astrocytes have an intact and functional IGF1 signalling pathway</w:t>
      </w:r>
      <w:bookmarkEnd w:id="1151"/>
      <w:bookmarkEnd w:id="1152"/>
      <w:bookmarkEnd w:id="1153"/>
      <w:bookmarkEnd w:id="1154"/>
      <w:bookmarkEnd w:id="1155"/>
      <w:bookmarkEnd w:id="1156"/>
      <w:bookmarkEnd w:id="1157"/>
      <w:bookmarkEnd w:id="1158"/>
      <w:bookmarkEnd w:id="1159"/>
      <w:bookmarkEnd w:id="1160"/>
      <w:bookmarkEnd w:id="1161"/>
    </w:p>
    <w:p w14:paraId="3E2A932A" w14:textId="7BB7FA5A" w:rsidR="006A78C7" w:rsidRDefault="00FF0B01" w:rsidP="00C63BC1">
      <w:pPr>
        <w:spacing w:line="360" w:lineRule="auto"/>
        <w:jc w:val="both"/>
        <w:rPr>
          <w:rFonts w:ascii="Times New Roman" w:hAnsi="Times New Roman" w:cs="Times New Roman"/>
        </w:rPr>
      </w:pPr>
      <w:r>
        <w:rPr>
          <w:rFonts w:ascii="Times New Roman" w:hAnsi="Times New Roman" w:cs="Times New Roman"/>
        </w:rPr>
        <w:t xml:space="preserve">    </w:t>
      </w:r>
    </w:p>
    <w:p w14:paraId="3CB2A2B4" w14:textId="470C3FA1" w:rsidR="00654435" w:rsidRPr="00067BA6" w:rsidRDefault="00E02853" w:rsidP="00C63BC1">
      <w:pPr>
        <w:spacing w:line="360" w:lineRule="auto"/>
        <w:jc w:val="both"/>
        <w:rPr>
          <w:rFonts w:ascii="Times New Roman" w:hAnsi="Times New Roman" w:cs="Times New Roman"/>
        </w:rPr>
      </w:pPr>
      <w:r>
        <w:rPr>
          <w:rFonts w:ascii="Times New Roman" w:hAnsi="Times New Roman" w:cs="Times New Roman"/>
        </w:rPr>
        <w:t>Cultured human a</w:t>
      </w:r>
      <w:r w:rsidR="00FF0B01">
        <w:rPr>
          <w:rFonts w:ascii="Times New Roman" w:hAnsi="Times New Roman" w:cs="Times New Roman"/>
        </w:rPr>
        <w:t>strocytes have an intact and function</w:t>
      </w:r>
      <w:r w:rsidR="0019442E">
        <w:rPr>
          <w:rFonts w:ascii="Times New Roman" w:hAnsi="Times New Roman" w:cs="Times New Roman"/>
        </w:rPr>
        <w:t>al</w:t>
      </w:r>
      <w:r w:rsidR="00FF0B01">
        <w:rPr>
          <w:rFonts w:ascii="Times New Roman" w:hAnsi="Times New Roman" w:cs="Times New Roman"/>
        </w:rPr>
        <w:t xml:space="preserve"> IGF1 signalling pathway.</w:t>
      </w:r>
      <w:r w:rsidR="004E356C">
        <w:rPr>
          <w:rFonts w:ascii="Times New Roman" w:hAnsi="Times New Roman" w:cs="Times New Roman"/>
        </w:rPr>
        <w:t xml:space="preserve"> </w:t>
      </w:r>
      <w:r>
        <w:rPr>
          <w:rFonts w:ascii="Times New Roman" w:hAnsi="Times New Roman" w:cs="Times New Roman"/>
        </w:rPr>
        <w:t xml:space="preserve"> </w:t>
      </w:r>
      <w:r w:rsidR="00BC36FB">
        <w:rPr>
          <w:rFonts w:ascii="Times New Roman" w:hAnsi="Times New Roman" w:cs="Times New Roman"/>
        </w:rPr>
        <w:t xml:space="preserve">This was determined by culturing astrocytes in the presence and absence of serum, stimulating cells with a supraphysiological concentration of IGF1 (10nM) and performing western blots to determine total or phosphorylated forms of proteins involved in </w:t>
      </w:r>
      <w:r w:rsidR="001E51A1">
        <w:rPr>
          <w:rFonts w:ascii="Times New Roman" w:hAnsi="Times New Roman" w:cs="Times New Roman"/>
        </w:rPr>
        <w:t xml:space="preserve">the </w:t>
      </w:r>
      <w:r w:rsidR="00BC36FB">
        <w:rPr>
          <w:rFonts w:ascii="Times New Roman" w:hAnsi="Times New Roman" w:cs="Times New Roman"/>
        </w:rPr>
        <w:t>IGF1 signalling</w:t>
      </w:r>
      <w:r w:rsidR="001E51A1">
        <w:rPr>
          <w:rFonts w:ascii="Times New Roman" w:hAnsi="Times New Roman" w:cs="Times New Roman"/>
        </w:rPr>
        <w:t xml:space="preserve"> pathway</w:t>
      </w:r>
      <w:r w:rsidR="00BC36FB">
        <w:rPr>
          <w:rFonts w:ascii="Times New Roman" w:hAnsi="Times New Roman" w:cs="Times New Roman"/>
        </w:rPr>
        <w:t xml:space="preserve">. </w:t>
      </w:r>
      <w:r w:rsidR="003C4D47">
        <w:rPr>
          <w:rFonts w:ascii="Times New Roman" w:hAnsi="Times New Roman" w:cs="Times New Roman"/>
        </w:rPr>
        <w:t>Experiments were conducted</w:t>
      </w:r>
      <w:r w:rsidR="001354D0">
        <w:rPr>
          <w:rFonts w:ascii="Times New Roman" w:hAnsi="Times New Roman" w:cs="Times New Roman"/>
        </w:rPr>
        <w:t xml:space="preserve"> with and without serum present to assess the effect of excess IGF1 in physiological cond</w:t>
      </w:r>
      <w:r w:rsidR="001E51A1">
        <w:rPr>
          <w:rFonts w:ascii="Times New Roman" w:hAnsi="Times New Roman" w:cs="Times New Roman"/>
        </w:rPr>
        <w:t>i</w:t>
      </w:r>
      <w:r w:rsidR="001354D0">
        <w:rPr>
          <w:rFonts w:ascii="Times New Roman" w:hAnsi="Times New Roman" w:cs="Times New Roman"/>
        </w:rPr>
        <w:t>tions compared with cond</w:t>
      </w:r>
      <w:r w:rsidR="001E51A1">
        <w:rPr>
          <w:rFonts w:ascii="Times New Roman" w:hAnsi="Times New Roman" w:cs="Times New Roman"/>
        </w:rPr>
        <w:t>it</w:t>
      </w:r>
      <w:r w:rsidR="001354D0">
        <w:rPr>
          <w:rFonts w:ascii="Times New Roman" w:hAnsi="Times New Roman" w:cs="Times New Roman"/>
        </w:rPr>
        <w:t>ions where serum derived growth factors and cytokines have been eliminated</w:t>
      </w:r>
      <w:r w:rsidR="001E51A1">
        <w:rPr>
          <w:rFonts w:ascii="Times New Roman" w:hAnsi="Times New Roman" w:cs="Times New Roman"/>
        </w:rPr>
        <w:t xml:space="preserve"> that may dilute out the effects of the stimulus</w:t>
      </w:r>
      <w:r w:rsidR="001354D0">
        <w:rPr>
          <w:rFonts w:ascii="Times New Roman" w:hAnsi="Times New Roman" w:cs="Times New Roman"/>
        </w:rPr>
        <w:t>.</w:t>
      </w:r>
      <w:r w:rsidR="00654435">
        <w:rPr>
          <w:rFonts w:ascii="Times New Roman" w:hAnsi="Times New Roman" w:cs="Times New Roman"/>
        </w:rPr>
        <w:t xml:space="preserve"> However, astrocytes </w:t>
      </w:r>
      <w:r w:rsidR="00654435">
        <w:rPr>
          <w:rFonts w:ascii="Times New Roman" w:hAnsi="Times New Roman" w:cs="Times New Roman"/>
          <w:i/>
        </w:rPr>
        <w:t>in vivo</w:t>
      </w:r>
      <w:r w:rsidR="00654435">
        <w:rPr>
          <w:rFonts w:ascii="Times New Roman" w:hAnsi="Times New Roman" w:cs="Times New Roman"/>
        </w:rPr>
        <w:t xml:space="preserve"> are shielded from blood-derived factors by the </w:t>
      </w:r>
      <w:r w:rsidR="00FA0B14">
        <w:rPr>
          <w:rFonts w:ascii="Times New Roman" w:hAnsi="Times New Roman" w:cs="Times New Roman"/>
        </w:rPr>
        <w:t>BBB,</w:t>
      </w:r>
      <w:r w:rsidR="00654435">
        <w:rPr>
          <w:rFonts w:ascii="Times New Roman" w:hAnsi="Times New Roman" w:cs="Times New Roman"/>
        </w:rPr>
        <w:t xml:space="preserve"> so exposure to high concentrations of serum </w:t>
      </w:r>
      <w:r w:rsidR="00FA0B14">
        <w:rPr>
          <w:rFonts w:ascii="Times New Roman" w:hAnsi="Times New Roman" w:cs="Times New Roman"/>
        </w:rPr>
        <w:t xml:space="preserve">may </w:t>
      </w:r>
      <w:r w:rsidR="00654435">
        <w:rPr>
          <w:rFonts w:ascii="Times New Roman" w:hAnsi="Times New Roman" w:cs="Times New Roman"/>
        </w:rPr>
        <w:t>also not</w:t>
      </w:r>
      <w:r w:rsidR="0011567B">
        <w:rPr>
          <w:rFonts w:ascii="Times New Roman" w:hAnsi="Times New Roman" w:cs="Times New Roman"/>
        </w:rPr>
        <w:t xml:space="preserve"> be</w:t>
      </w:r>
      <w:r w:rsidR="00654435">
        <w:rPr>
          <w:rFonts w:ascii="Times New Roman" w:hAnsi="Times New Roman" w:cs="Times New Roman"/>
        </w:rPr>
        <w:t xml:space="preserve"> physiologically relevant.</w:t>
      </w:r>
      <w:r w:rsidR="00067BA6">
        <w:rPr>
          <w:rFonts w:ascii="Times New Roman" w:hAnsi="Times New Roman" w:cs="Times New Roman"/>
        </w:rPr>
        <w:t xml:space="preserve"> In </w:t>
      </w:r>
      <w:r w:rsidR="00E053CB">
        <w:rPr>
          <w:rFonts w:ascii="Times New Roman" w:hAnsi="Times New Roman" w:cs="Times New Roman"/>
        </w:rPr>
        <w:t>support of this,</w:t>
      </w:r>
      <w:r w:rsidR="00067BA6">
        <w:rPr>
          <w:rFonts w:ascii="Times New Roman" w:hAnsi="Times New Roman" w:cs="Times New Roman"/>
        </w:rPr>
        <w:t xml:space="preserve"> it has been demonstrated that astrocytes cultured in the absence of serum have a gene expression profile similar to </w:t>
      </w:r>
      <w:r w:rsidR="00067BA6">
        <w:rPr>
          <w:rFonts w:ascii="Times New Roman" w:hAnsi="Times New Roman" w:cs="Times New Roman"/>
          <w:i/>
        </w:rPr>
        <w:t>in vivo</w:t>
      </w:r>
      <w:r w:rsidR="00067BA6">
        <w:rPr>
          <w:rFonts w:ascii="Times New Roman" w:hAnsi="Times New Roman" w:cs="Times New Roman"/>
        </w:rPr>
        <w:t xml:space="preserve"> astrocytes than astrocytes cultured in the presence of serum </w:t>
      </w:r>
      <w:r w:rsidR="00067BA6">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"10.1016/j.neuron.2011.07.022", "ISSN" : "1097-4199", "PMID" : "21903074", "abstract" : "The inability to purify and culture astrocytes has long\u00a0hindered studies of their function. Whereas astrocyte progenitor cells can be cultured from neonatal brain, culture of mature astrocytes from postnatal brain has not been possible. Here, we report a new method to prospectively purify astrocytes by immunopanning. These astrocytes undergo apoptosis in culture, but vascular cells and HBEGF promote their survival in serum-free culture. We found that some developing astrocytes normally undergo apoptosis in\u00a0vivo and that the vast majority of astrocytes contact blood vessels, suggesting that\u00a0astrocytes are matched to blood vessels by competing for vascular-derived trophic factors such as HBEGF. Compared to traditional astrocyte cultures, the gene profiles of the cultured purified postnatal astrocytes much more closely resemble those of in\u00a0vivo astrocytes. Although these astrocytes strongly promote synapse formation and function, they do not secrete glutamate in response to stimulation.", "author" : [ { "dropping-particle" : "", "family" : "Foo", "given" : "Lynette C", "non-dropping-particle" : "", "parse-names" : false, "suffix" : "" }, { "dropping-particle" : "", "family" : "Allen", "given" : "Nicola J", "non-dropping-particle" : "", "parse-names" : false, "suffix" : "" }, { "dropping-particle" : "", "family" : "Bushong", "given" : "Eric A", "non-dropping-particle" : "", "parse-names" : false, "suffix" : "" }, { "dropping-particle" : "", "family" : "Ventura", "given" : "P Britten", "non-dropping-particle" : "", "parse-names" : false, "suffix" : "" }, { "dropping-particle" : "", "family" : "Chung", "given" : "Won-Suk", "non-dropping-particle" : "", "parse-names" : false, "suffix" : "" }, { "dropping-particle" : "", "family" : "Zhou", "given" : "Lu", "non-dropping-particle" : "", "parse-names" : false, "suffix" : "" }, { "dropping-particle" : "", "family" : "Cahoy", "given" : "John D", "non-dropping-particle" : "", "parse-names" : false, "suffix" : "" }, { "dropping-particle" : "", "family" : "Daneman", "given" : "Richard", "non-dropping-particle" : "", "parse-names" : false, "suffix" : "" }, { "dropping-particle" : "", "family" : "Zong", "given" : "Hui", "non-dropping-particle" : "", "parse-names" : false, "suffix" : "" }, { "dropping-particle" : "", "family" : "Ellisman", "given" : "Mark H", "non-dropping-particle" : "", "parse-names" : false, "suffix" : "" }, { "dropping-particle" : "", "family" : "Barres", "given" : "Ben A", "non-dropping-particle" : "", "parse-names" : false, "suffix" : "" } ], "container-title" : "Neuron", "id" : "ITEM-1", "issue" : "5", "issued" : { "date-parts" : [ [ "2011", "9", "8" ] ] }, "page" : "799-811", "title" : "Development of a method for the purification and culture of rodent astrocytes.", "type" : "article-journal", "volume" : "71" }, "uris" : [ "http://www.mendeley.com/documents/?uuid=143e25f9-8ead-3701-bfc6-0f5a729ea282" ] } ], "mendeley" : { "formattedCitation" : "(Foo et al. 2011)", "plainTextFormattedCitation" : "(Foo et al. 2011)", "previouslyFormattedCitation" : "(Foo et al. 2011)" }, "properties" : { "noteIndex" : 0 }, "schema" : "https://github.com/citation-style-language/schema/raw/master/csl-citation.json" }</w:instrText>
      </w:r>
      <w:r w:rsidR="00067BA6">
        <w:rPr>
          <w:rFonts w:ascii="Times New Roman" w:hAnsi="Times New Roman" w:cs="Times New Roman"/>
        </w:rPr>
        <w:fldChar w:fldCharType="separate"/>
      </w:r>
      <w:r w:rsidR="00C148FC" w:rsidRPr="00C148FC">
        <w:rPr>
          <w:rFonts w:ascii="Times New Roman" w:hAnsi="Times New Roman" w:cs="Times New Roman"/>
          <w:noProof/>
        </w:rPr>
        <w:t>(Foo et al. 2011)</w:t>
      </w:r>
      <w:r w:rsidR="00067BA6">
        <w:rPr>
          <w:rFonts w:ascii="Times New Roman" w:hAnsi="Times New Roman" w:cs="Times New Roman"/>
        </w:rPr>
        <w:fldChar w:fldCharType="end"/>
      </w:r>
      <w:r w:rsidR="00067BA6">
        <w:rPr>
          <w:rFonts w:ascii="Times New Roman" w:hAnsi="Times New Roman" w:cs="Times New Roman"/>
        </w:rPr>
        <w:t>.</w:t>
      </w:r>
      <w:r w:rsidR="00A319C4">
        <w:rPr>
          <w:rFonts w:ascii="Times New Roman" w:hAnsi="Times New Roman" w:cs="Times New Roman"/>
        </w:rPr>
        <w:t xml:space="preserve"> </w:t>
      </w:r>
      <w:r w:rsidR="00FA0B14">
        <w:rPr>
          <w:rFonts w:ascii="Times New Roman" w:hAnsi="Times New Roman" w:cs="Times New Roman"/>
        </w:rPr>
        <w:t>T</w:t>
      </w:r>
      <w:r w:rsidR="00A319C4">
        <w:rPr>
          <w:rFonts w:ascii="Times New Roman" w:hAnsi="Times New Roman" w:cs="Times New Roman"/>
        </w:rPr>
        <w:t xml:space="preserve">his study also showed that astrocytes subjected to temporary serum withdrawal continue to express genes switched on by originally culturing astrocytes in the presence of serum. </w:t>
      </w:r>
    </w:p>
    <w:p w14:paraId="5005326A" w14:textId="77777777" w:rsidR="00086871" w:rsidRDefault="00654435" w:rsidP="00C63BC1">
      <w:pPr>
        <w:spacing w:line="360" w:lineRule="auto"/>
        <w:jc w:val="both"/>
        <w:rPr>
          <w:rFonts w:ascii="Times New Roman" w:hAnsi="Times New Roman" w:cs="Times New Roman"/>
        </w:rPr>
      </w:pPr>
      <w:r>
        <w:rPr>
          <w:rFonts w:ascii="Times New Roman" w:hAnsi="Times New Roman" w:cs="Times New Roman"/>
        </w:rPr>
        <w:t xml:space="preserve">    </w:t>
      </w:r>
      <w:r w:rsidR="001354D0">
        <w:rPr>
          <w:rFonts w:ascii="Times New Roman" w:hAnsi="Times New Roman" w:cs="Times New Roman"/>
        </w:rPr>
        <w:t xml:space="preserve"> </w:t>
      </w:r>
    </w:p>
    <w:p w14:paraId="6C43D588" w14:textId="50789844" w:rsidR="00330F5A" w:rsidRDefault="00E02853" w:rsidP="00C63BC1">
      <w:pPr>
        <w:spacing w:line="360" w:lineRule="auto"/>
        <w:jc w:val="both"/>
        <w:rPr>
          <w:rFonts w:ascii="Times New Roman" w:hAnsi="Times New Roman" w:cs="Times New Roman"/>
        </w:rPr>
      </w:pPr>
      <w:r>
        <w:rPr>
          <w:rFonts w:ascii="Times New Roman" w:hAnsi="Times New Roman" w:cs="Times New Roman"/>
        </w:rPr>
        <w:t xml:space="preserve">Expression of the receptors IR and IGF1R, adaptor proteins IRS1 and IRS2 and downstream signalling proteins Akt and P44/42 MAPK (ERK 1/2) were all detected in the ScienCell human astrocytes. </w:t>
      </w:r>
      <w:r w:rsidR="00BC36FB">
        <w:rPr>
          <w:rFonts w:ascii="Times New Roman" w:hAnsi="Times New Roman" w:cs="Times New Roman"/>
        </w:rPr>
        <w:t xml:space="preserve">The pre and mature forms of the IGF1R and IR were not altered by serum levels or following IGF1 stimulation. In response to IGF1 stimulation, there were noticeable shifts in the molecular weights of IRS1 and IRS2, </w:t>
      </w:r>
      <w:r w:rsidR="004E356C">
        <w:rPr>
          <w:rFonts w:ascii="Times New Roman" w:hAnsi="Times New Roman" w:cs="Times New Roman"/>
        </w:rPr>
        <w:t xml:space="preserve">which likely </w:t>
      </w:r>
      <w:r w:rsidR="00E15692">
        <w:rPr>
          <w:rFonts w:ascii="Times New Roman" w:hAnsi="Times New Roman" w:cs="Times New Roman"/>
        </w:rPr>
        <w:t>indicate</w:t>
      </w:r>
      <w:r w:rsidR="004E356C">
        <w:rPr>
          <w:rFonts w:ascii="Times New Roman" w:hAnsi="Times New Roman" w:cs="Times New Roman"/>
        </w:rPr>
        <w:t xml:space="preserve"> the increased phosphorylation states of these proteins (although glycosylation and other post-</w:t>
      </w:r>
      <w:r w:rsidR="003C5D6F">
        <w:rPr>
          <w:rFonts w:ascii="Times New Roman" w:hAnsi="Times New Roman" w:cs="Times New Roman"/>
        </w:rPr>
        <w:t>translational modifications can</w:t>
      </w:r>
      <w:r w:rsidR="004E356C">
        <w:rPr>
          <w:rFonts w:ascii="Times New Roman" w:hAnsi="Times New Roman" w:cs="Times New Roman"/>
        </w:rPr>
        <w:t xml:space="preserve">not be ruled out). </w:t>
      </w:r>
      <w:r w:rsidR="00BC36FB">
        <w:rPr>
          <w:rFonts w:ascii="Times New Roman" w:hAnsi="Times New Roman" w:cs="Times New Roman"/>
        </w:rPr>
        <w:t>Levels of phosphorylated Akt and P44/42 were also investigated to determine activation through divergent downstream signalling pathways. As full activation of Akt is achieved by phosphorylation at serine residue 473</w:t>
      </w:r>
      <w:r w:rsidR="00EF64D5">
        <w:rPr>
          <w:rFonts w:ascii="Times New Roman" w:hAnsi="Times New Roman" w:cs="Times New Roman"/>
        </w:rPr>
        <w:t xml:space="preserve"> </w:t>
      </w:r>
      <w:r w:rsidR="00FA709B">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"0261-4189", "PMID" : "8978681", "abstract" : "Insulin activated endogenous protein kinase B alpha (also known as RAC/Akt kinase) activity 12-fold in L6 myotubes, while after transfection into 293 cells PKBalpha was activated 20- and 50-fold in response to insulin and IGF-1 respectively. In both cells, the activation of PKBalpha was accompanied by its phosphorylation at Thr308 and Ser473 and, like activation, phosphorylation of both of these residues was prevented by the phosphatidylinositol 3-kinase inhibitor wortmannin. Thr308 and/or Ser473 were mutated to Ala or Asp and activities of mutant PKBalpha molecules were analysed after transfection into 293 cells. The activity of wild-type and mutant PKBalpha was also measured in vitro after stoichiometric phosphorylation of Ser473 by MAPKAP kinase-2. These experiments demonstrated that activation of PKBalpha by insulin or insulin-like growth factor-1 (IGF-1) results from phosphorylation of both Thr308 and Ser473, that phosphorylation of both residues is critical to generate a high level of PKBalpha activity and that the phosphorylation of Thr308 in vivo is not dependent on phosphorylation of Ser473 or vice versa. We propose a model whereby PKBalpha becomes phosphorylated and activated in insulin/IGF-1-stimulated cells by an upstream kinase(s).", "author" : [ { "dropping-particle" : "", "family" : "Alessi", "given" : "D R", "non-dropping-particle" : "", "parse-names" : false, "suffix" : "" }, { "dropping-particle" : "", "family" : "Andjelkovic", "given" : "M", "non-dropping-particle" : "", "parse-names" : false, "suffix" : "" }, { "dropping-particle" : "", "family" : "Caudwell", "given" : "B", "non-dropping-particle" : "", "parse-names" : false, "suffix" : "" }, { "dropping-particle" : "", "family" : "Cron", "given" : "P", "non-dropping-particle" : "", "parse-names" : false, "suffix" : "" }, { "dropping-particle" : "", "family" : "Morrice", "given" : "N", "non-dropping-particle" : "", "parse-names" : false, "suffix" : "" }, { "dropping-particle" : "", "family" : "Cohen", "given" : "P", "non-dropping-particle" : "", "parse-names" : false, "suffix" : "" }, { "dropping-particle" : "", "family" : "Hemmings", "given" : "B A", "non-dropping-particle" : "", "parse-names" : false, "suffix" : "" } ], "container-title" : "The EMBO journal", "id" : "ITEM-1", "issue" : "23", "issued" : { "date-parts" : [ [ "1996", "12", "2" ] ] }, "page" : "6541-51", "title" : "Mechanism of activation of protein kinase B by insulin and IGF-1.", "type" : "article-journal", "volume" : "15" }, "uris" : [ "http://www.mendeley.com/documents/?uuid=a9db671d-18ea-4597-b3c6-fad47d7123e1" ] }, { "id" : "ITEM-2", "itemData" : { "DOI" : "10.1101/cshperspect.a011189", "ISSN" : "1943-0264", "PMID" : "22952397", "author" : [ { "dropping-particle" : "", "family" : "Hemmings", "given" : "Brian A", "non-dropping-particle" : "", "parse-names" : false, "suffix" : "" }, { "dropping-particle" : "", "family" : "Restuccia", "given" : "David F", "non-dropping-particle" : "", "parse-names" : false, "suffix" : "" } ], "container-title" : "Cold Spring Harbor perspectives in biology", "id" : "ITEM-2", "issue" : "9", "issued" : { "date-parts" : [ [ "2012", "9" ] ] }, "page" : "a011189", "title" : "PI3K-PKB/Akt pathway.", "type" : "article-journal", "volume" : "4" }, "uris" : [ "http://www.mendeley.com/documents/?uuid=b35de05d-7976-408f-b171-071b9d014da4" ] } ], "mendeley" : { "formattedCitation" : "(Alessi et al. 1996; Hemmings &amp; Restuccia 2012)", "plainTextFormattedCitation" : "(Alessi et al. 1996; Hemmings &amp; Restuccia 2012)", "previouslyFormattedCitation" : "(Alessi et al. 1996; Hemmings &amp; Restuccia 2012)" }, "properties" : { "noteIndex" : 0 }, "schema" : "https://github.com/citation-style-language/schema/raw/master/csl-citation.json" }</w:instrText>
      </w:r>
      <w:r w:rsidR="00FA709B">
        <w:rPr>
          <w:rFonts w:ascii="Times New Roman" w:hAnsi="Times New Roman" w:cs="Times New Roman"/>
        </w:rPr>
        <w:fldChar w:fldCharType="separate"/>
      </w:r>
      <w:r w:rsidR="00C148FC" w:rsidRPr="00C148FC">
        <w:rPr>
          <w:rFonts w:ascii="Times New Roman" w:hAnsi="Times New Roman" w:cs="Times New Roman"/>
          <w:noProof/>
        </w:rPr>
        <w:t>(Alessi et al. 1996; Hemmings &amp; Restuccia 2012)</w:t>
      </w:r>
      <w:r w:rsidR="00FA709B">
        <w:rPr>
          <w:rFonts w:ascii="Times New Roman" w:hAnsi="Times New Roman" w:cs="Times New Roman"/>
        </w:rPr>
        <w:fldChar w:fldCharType="end"/>
      </w:r>
      <w:r w:rsidR="00BC36FB">
        <w:rPr>
          <w:rFonts w:ascii="Times New Roman" w:hAnsi="Times New Roman" w:cs="Times New Roman"/>
        </w:rPr>
        <w:t xml:space="preserve">, these levels were investigated in astrocytes following IGF1 stimulation. </w:t>
      </w:r>
      <w:r w:rsidR="0086602F">
        <w:rPr>
          <w:rFonts w:ascii="Times New Roman" w:hAnsi="Times New Roman" w:cs="Times New Roman"/>
        </w:rPr>
        <w:t>A significant increase in pAkt (s473) was observed (p&lt;0.001) when astrocytes were initially serum starved</w:t>
      </w:r>
      <w:r w:rsidR="003565BB">
        <w:rPr>
          <w:rFonts w:ascii="Times New Roman" w:hAnsi="Times New Roman" w:cs="Times New Roman"/>
        </w:rPr>
        <w:t xml:space="preserve"> and then treated with IGF1 ligand.</w:t>
      </w:r>
      <w:r w:rsidR="0086602F">
        <w:rPr>
          <w:rFonts w:ascii="Times New Roman" w:hAnsi="Times New Roman" w:cs="Times New Roman"/>
        </w:rPr>
        <w:t xml:space="preserve"> </w:t>
      </w:r>
      <w:r w:rsidR="001354D0">
        <w:rPr>
          <w:rFonts w:ascii="Times New Roman" w:hAnsi="Times New Roman" w:cs="Times New Roman"/>
        </w:rPr>
        <w:t xml:space="preserve">Serum starvation is likely to induce growth arrest in the astrocytes and cause cells to enter the same phase of the </w:t>
      </w:r>
      <w:r w:rsidR="0026142C">
        <w:rPr>
          <w:rFonts w:ascii="Times New Roman" w:hAnsi="Times New Roman" w:cs="Times New Roman"/>
        </w:rPr>
        <w:t>cell</w:t>
      </w:r>
      <w:r w:rsidR="001354D0">
        <w:rPr>
          <w:rFonts w:ascii="Times New Roman" w:hAnsi="Times New Roman" w:cs="Times New Roman"/>
        </w:rPr>
        <w:t xml:space="preserve"> cycle, so that upon addition of a huge growth stimulus</w:t>
      </w:r>
      <w:r w:rsidR="00C45FAA">
        <w:rPr>
          <w:rFonts w:ascii="Times New Roman" w:hAnsi="Times New Roman" w:cs="Times New Roman"/>
        </w:rPr>
        <w:t>,</w:t>
      </w:r>
      <w:r w:rsidR="001354D0">
        <w:rPr>
          <w:rFonts w:ascii="Times New Roman" w:hAnsi="Times New Roman" w:cs="Times New Roman"/>
        </w:rPr>
        <w:t xml:space="preserve"> such as IGF1</w:t>
      </w:r>
      <w:r w:rsidR="00C45FAA">
        <w:rPr>
          <w:rFonts w:ascii="Times New Roman" w:hAnsi="Times New Roman" w:cs="Times New Roman"/>
        </w:rPr>
        <w:t>,</w:t>
      </w:r>
      <w:r w:rsidR="001354D0">
        <w:rPr>
          <w:rFonts w:ascii="Times New Roman" w:hAnsi="Times New Roman" w:cs="Times New Roman"/>
        </w:rPr>
        <w:t xml:space="preserve"> the astrocytes </w:t>
      </w:r>
      <w:r w:rsidR="00FA0B14">
        <w:rPr>
          <w:rFonts w:ascii="Times New Roman" w:hAnsi="Times New Roman" w:cs="Times New Roman"/>
        </w:rPr>
        <w:t>have a synchronis</w:t>
      </w:r>
      <w:r w:rsidR="001354D0">
        <w:rPr>
          <w:rFonts w:ascii="Times New Roman" w:hAnsi="Times New Roman" w:cs="Times New Roman"/>
        </w:rPr>
        <w:t xml:space="preserve">ed and maximal response to addition of ligand. </w:t>
      </w:r>
      <w:r w:rsidR="0086602F">
        <w:rPr>
          <w:rFonts w:ascii="Times New Roman" w:hAnsi="Times New Roman" w:cs="Times New Roman"/>
        </w:rPr>
        <w:t>There were</w:t>
      </w:r>
      <w:r w:rsidR="00A2396E">
        <w:rPr>
          <w:rFonts w:ascii="Times New Roman" w:hAnsi="Times New Roman" w:cs="Times New Roman"/>
        </w:rPr>
        <w:t xml:space="preserve"> no significant differences in P</w:t>
      </w:r>
      <w:r w:rsidR="0086602F">
        <w:rPr>
          <w:rFonts w:ascii="Times New Roman" w:hAnsi="Times New Roman" w:cs="Times New Roman"/>
        </w:rPr>
        <w:t xml:space="preserve">44/42 phosphorylation following </w:t>
      </w:r>
      <w:r w:rsidR="0026142C">
        <w:rPr>
          <w:rFonts w:ascii="Times New Roman" w:hAnsi="Times New Roman" w:cs="Times New Roman"/>
        </w:rPr>
        <w:t>IGF1 stimulation, even in serum-</w:t>
      </w:r>
      <w:r w:rsidR="0086602F">
        <w:rPr>
          <w:rFonts w:ascii="Times New Roman" w:hAnsi="Times New Roman" w:cs="Times New Roman"/>
        </w:rPr>
        <w:t>deprived conditions.</w:t>
      </w:r>
      <w:r w:rsidR="0026142C">
        <w:rPr>
          <w:rFonts w:ascii="Times New Roman" w:hAnsi="Times New Roman" w:cs="Times New Roman"/>
        </w:rPr>
        <w:t xml:space="preserve"> These results are consistent with experiments where ScienCell astrocytes have been stimulated with supraphysiological concentrations of insulin </w:t>
      </w:r>
      <w:r w:rsidR="0026142C">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"10.1186/s13041-015-0138-6", "ISSN" : "1756-6606", "PMID" : "26297026", "abstract" : "BACKGROUND: The insulin/IGF1 signalling (IIS) pathways are involved in longevity regulation and are dysregulated in neurons in Alzheimer's disease (AD). We previously showed downregulation in IIS gene expression in astrocytes with AD-neuropathology progression, but IIS in astrocytes remains poorly understood. We therefore examined the IIS pathway in human astrocytes and developed models to reduce IIS at the level of the insulin or the IGF1 receptor (IGF1R).\n\nRESULTS: We determined IIS was present and functional in human astrocytes by immunoblotting and showed astrocytes express the insulin receptor (IR)-B isoform of Ir. Immunocytochemistry and cell fractionation followed by western blotting revealed the phosphorylation status of insulin receptor substrate (IRS1) affects its subcellular localisation. To validate IRS1 expression patterns observed in culture, expression of key pathway components was assessed on post-mortem AD and control tissue using immunohistochemistry. Insulin signalling was impaired in cultured astrocytes by treatment with insulin + fructose and resulted in decreased IR and Akt phosphorylation (pAkt S473). A monoclonal antibody against IGF1R (MAB391) induced degradation of IGF1R receptor with an associated decrease in downstream pAkt S473. Neither treatment affected cell growth or viability as measured by MTT and Cyquant\u00ae assays or GFAP immunoreactivity.\n\nDISCUSSION: IIS is functional in astrocytes. IR-B is expressed in astrocytes which differs from the pattern in neurons, and may be important in differential susceptibility of astrocytes and neurons to insulin resistance. The variable presence of IRS1 in the nucleus, dependent on phosphorylation pattern, suggests the function of signalling molecules is not confined to cytoplasmic cascades. Down-regulation of IR and IGF1R, achieved by insulin + fructose and monoclonal antibody treatments, results in decreased downstream signalling, though the lack of effect on viability suggests that astrocytes can compensate for changes in single pathways. Changes in signalling in astrocytes, as well as in neurons, may be important in ageing and neurodegeneration.", "author" : [ { "dropping-particle" : "", "family" : "Garwood", "given" : "Claire J", "non-dropping-particle" : "", "parse-names" : false, "suffix" : "" }, { "dropping-particle" : "", "family" : "Ratcliffe", "given" : "Laura E", "non-dropping-particle" : "", "parse-names" : false, "suffix" : "" }, { "dropping-particle" : "V", "family" : "Morgan", "given" : "Sarah", "non-dropping-particle" : "", "parse-names" : false, "suffix" : "" }, { "dropping-particle" : "", "family" : "Simpson", "given" : "Julie E", "non-dropping-particle" : "", "parse-names" : false, "suffix" : "" }, { "dropping-particle" : "", "family" : "Owens", "given" : "Helen", "non-dropping-particle" : "", "parse-names" : false, "suffix" : "" }, { "dropping-particle" : "", "family" : "Vazquez-Villase\u00f1or", "given" : "Irina", "non-dropping-particle" : "", "parse-names" : false, "suffix" : "" }, { "dropping-particle" : "", "family" : "Heath", "given" : "Paul R", "non-dropping-particle" : "", "parse-names" : false, "suffix" : "" }, { "dropping-particle" : "", "family" : "Romero", "given" : "Ignacio A", "non-dropping-particle" : "", "parse-names" : false, "suffix" : "" }, { "dropping-particle" : "", "family" : "Ince", "given" : "Paul G", "non-dropping-particle" : "", "parse-names" : false, "suffix" : "" }, { "dropping-particle" : "", "family" : "Wharton", "given" : "Stephen B", "non-dropping-particle" : "", "parse-names" : false, "suffix" : "" } ], "container-title" : "Molecular brain", "id" : "ITEM-1", "issued" : { "date-parts" : [ [ "2015", "1" ] ] }, "page" : "51", "title" : "Insulin and IGF1 signalling pathways in human astrocytes in vitro and in vivo; characterisation, subcellular localisation and modulation of the receptors.", "type" : "article-journal", "volume" : "8" }, "uris" : [ "http://www.mendeley.com/documents/?uuid=07852e18-7d1c-4e1f-bacc-f7dad8fe7c42" ] } ], "mendeley" : { "formattedCitation" : "(Garwood et al. 2015)", "plainTextFormattedCitation" : "(Garwood et al. 2015)", "previouslyFormattedCitation" : "(Garwood et al. 2015)" }, "properties" : { "noteIndex" : 0 }, "schema" : "https://github.com/citation-style-language/schema/raw/master/csl-citation.json" }</w:instrText>
      </w:r>
      <w:r w:rsidR="0026142C">
        <w:rPr>
          <w:rFonts w:ascii="Times New Roman" w:hAnsi="Times New Roman" w:cs="Times New Roman"/>
        </w:rPr>
        <w:fldChar w:fldCharType="separate"/>
      </w:r>
      <w:r w:rsidR="00C148FC" w:rsidRPr="00C148FC">
        <w:rPr>
          <w:rFonts w:ascii="Times New Roman" w:hAnsi="Times New Roman" w:cs="Times New Roman"/>
          <w:noProof/>
        </w:rPr>
        <w:t>(Garwood et al. 2015)</w:t>
      </w:r>
      <w:r w:rsidR="0026142C">
        <w:rPr>
          <w:rFonts w:ascii="Times New Roman" w:hAnsi="Times New Roman" w:cs="Times New Roman"/>
        </w:rPr>
        <w:fldChar w:fldCharType="end"/>
      </w:r>
      <w:r w:rsidR="0026142C">
        <w:rPr>
          <w:rFonts w:ascii="Times New Roman" w:hAnsi="Times New Roman" w:cs="Times New Roman"/>
        </w:rPr>
        <w:t>.</w:t>
      </w:r>
      <w:r w:rsidR="0086602F">
        <w:rPr>
          <w:rFonts w:ascii="Times New Roman" w:hAnsi="Times New Roman" w:cs="Times New Roman"/>
        </w:rPr>
        <w:t xml:space="preserve"> </w:t>
      </w:r>
      <w:r w:rsidR="008136B7">
        <w:rPr>
          <w:rFonts w:ascii="Times New Roman" w:hAnsi="Times New Roman" w:cs="Times New Roman"/>
        </w:rPr>
        <w:t xml:space="preserve">In addition, there was a trend towards astrocytes having elevated </w:t>
      </w:r>
      <w:r w:rsidR="00B62FB1">
        <w:rPr>
          <w:rFonts w:ascii="Times New Roman" w:hAnsi="Times New Roman" w:cs="Times New Roman"/>
        </w:rPr>
        <w:t>levels of phosphorylated P44/42 under cond</w:t>
      </w:r>
      <w:r w:rsidR="00330F5A">
        <w:rPr>
          <w:rFonts w:ascii="Times New Roman" w:hAnsi="Times New Roman" w:cs="Times New Roman"/>
        </w:rPr>
        <w:t>itions of serum deprivation. Tak</w:t>
      </w:r>
      <w:r w:rsidR="00B62FB1">
        <w:rPr>
          <w:rFonts w:ascii="Times New Roman" w:hAnsi="Times New Roman" w:cs="Times New Roman"/>
        </w:rPr>
        <w:t>en together</w:t>
      </w:r>
      <w:r w:rsidR="00EF64D5">
        <w:rPr>
          <w:rFonts w:ascii="Times New Roman" w:hAnsi="Times New Roman" w:cs="Times New Roman"/>
        </w:rPr>
        <w:t>,</w:t>
      </w:r>
      <w:r w:rsidR="00B62FB1">
        <w:rPr>
          <w:rFonts w:ascii="Times New Roman" w:hAnsi="Times New Roman" w:cs="Times New Roman"/>
        </w:rPr>
        <w:t xml:space="preserve"> t</w:t>
      </w:r>
      <w:r w:rsidR="0086602F">
        <w:rPr>
          <w:rFonts w:ascii="Times New Roman" w:hAnsi="Times New Roman" w:cs="Times New Roman"/>
        </w:rPr>
        <w:t>his may suggest that</w:t>
      </w:r>
      <w:r w:rsidR="00B62FB1">
        <w:rPr>
          <w:rFonts w:ascii="Times New Roman" w:hAnsi="Times New Roman" w:cs="Times New Roman"/>
        </w:rPr>
        <w:t xml:space="preserve"> astrocytes compensate for the lack of surrounding growth factors</w:t>
      </w:r>
      <w:r w:rsidR="00330F5A">
        <w:rPr>
          <w:rFonts w:ascii="Times New Roman" w:hAnsi="Times New Roman" w:cs="Times New Roman"/>
        </w:rPr>
        <w:t xml:space="preserve"> present in serum</w:t>
      </w:r>
      <w:r w:rsidR="00B62FB1">
        <w:rPr>
          <w:rFonts w:ascii="Times New Roman" w:hAnsi="Times New Roman" w:cs="Times New Roman"/>
        </w:rPr>
        <w:t xml:space="preserve"> by upregulating basal activation of P44/42 and</w:t>
      </w:r>
      <w:r w:rsidR="0086602F">
        <w:rPr>
          <w:rFonts w:ascii="Times New Roman" w:hAnsi="Times New Roman" w:cs="Times New Roman"/>
        </w:rPr>
        <w:t xml:space="preserve"> </w:t>
      </w:r>
      <w:r w:rsidR="00B62FB1">
        <w:rPr>
          <w:rFonts w:ascii="Times New Roman" w:hAnsi="Times New Roman" w:cs="Times New Roman"/>
        </w:rPr>
        <w:t>addition of IGF1 does not enhance this effect</w:t>
      </w:r>
      <w:r w:rsidR="0086602F">
        <w:rPr>
          <w:rFonts w:ascii="Times New Roman" w:hAnsi="Times New Roman" w:cs="Times New Roman"/>
        </w:rPr>
        <w:t xml:space="preserve">. </w:t>
      </w:r>
    </w:p>
    <w:p w14:paraId="3184A997" w14:textId="77777777" w:rsidR="00086871" w:rsidRDefault="00330F5A" w:rsidP="00C63BC1">
      <w:pPr>
        <w:spacing w:line="360" w:lineRule="auto"/>
        <w:jc w:val="both"/>
        <w:rPr>
          <w:rFonts w:ascii="Times New Roman" w:hAnsi="Times New Roman" w:cs="Times New Roman"/>
        </w:rPr>
      </w:pPr>
      <w:r>
        <w:rPr>
          <w:rFonts w:ascii="Times New Roman" w:hAnsi="Times New Roman" w:cs="Times New Roman"/>
        </w:rPr>
        <w:t xml:space="preserve">  </w:t>
      </w:r>
    </w:p>
    <w:p w14:paraId="6E8C7236" w14:textId="5B7F8D7F" w:rsidR="00DA5A91" w:rsidRDefault="0019442E" w:rsidP="00C63BC1">
      <w:pPr>
        <w:spacing w:line="360" w:lineRule="auto"/>
        <w:jc w:val="both"/>
        <w:rPr>
          <w:rFonts w:ascii="Times New Roman" w:hAnsi="Times New Roman" w:cs="Times New Roman"/>
        </w:rPr>
      </w:pPr>
      <w:r>
        <w:rPr>
          <w:rFonts w:ascii="Times New Roman" w:hAnsi="Times New Roman" w:cs="Times New Roman"/>
        </w:rPr>
        <w:t xml:space="preserve">Talbot </w:t>
      </w:r>
      <w:r>
        <w:rPr>
          <w:rFonts w:ascii="Times New Roman" w:hAnsi="Times New Roman" w:cs="Times New Roman"/>
          <w:i/>
        </w:rPr>
        <w:t xml:space="preserve">et al </w:t>
      </w:r>
      <w:r w:rsidR="003C5D6F">
        <w:rPr>
          <w:rFonts w:ascii="Times New Roman" w:hAnsi="Times New Roman" w:cs="Times New Roman"/>
        </w:rPr>
        <w:t>(2012) took</w:t>
      </w:r>
      <w:r>
        <w:rPr>
          <w:rFonts w:ascii="Times New Roman" w:hAnsi="Times New Roman" w:cs="Times New Roman"/>
        </w:rPr>
        <w:t xml:space="preserve"> an </w:t>
      </w:r>
      <w:r w:rsidRPr="00B81591">
        <w:rPr>
          <w:rFonts w:ascii="Times New Roman" w:hAnsi="Times New Roman" w:cs="Times New Roman"/>
          <w:i/>
        </w:rPr>
        <w:t>ex vivo</w:t>
      </w:r>
      <w:r>
        <w:rPr>
          <w:rFonts w:ascii="Times New Roman" w:hAnsi="Times New Roman" w:cs="Times New Roman"/>
        </w:rPr>
        <w:t xml:space="preserve"> approach to demonstrate insulin/IGF1 signalling in the brain and</w:t>
      </w:r>
      <w:r w:rsidR="004E356C">
        <w:rPr>
          <w:rFonts w:ascii="Times New Roman" w:hAnsi="Times New Roman" w:cs="Times New Roman"/>
        </w:rPr>
        <w:t xml:space="preserve"> show</w:t>
      </w:r>
      <w:r w:rsidR="003C5D6F">
        <w:rPr>
          <w:rFonts w:ascii="Times New Roman" w:hAnsi="Times New Roman" w:cs="Times New Roman"/>
        </w:rPr>
        <w:t>ed</w:t>
      </w:r>
      <w:r w:rsidR="00B81591">
        <w:rPr>
          <w:rFonts w:ascii="Times New Roman" w:hAnsi="Times New Roman" w:cs="Times New Roman"/>
        </w:rPr>
        <w:t xml:space="preserve"> that in </w:t>
      </w:r>
      <w:r>
        <w:rPr>
          <w:rFonts w:ascii="Times New Roman" w:hAnsi="Times New Roman" w:cs="Times New Roman"/>
        </w:rPr>
        <w:t xml:space="preserve">AD brain there is a drastically reduced response to insulin/IGF1. </w:t>
      </w:r>
      <w:r w:rsidR="00C45FAA">
        <w:rPr>
          <w:rFonts w:ascii="Times New Roman" w:hAnsi="Times New Roman" w:cs="Times New Roman"/>
        </w:rPr>
        <w:t xml:space="preserve">Also, IGF1R was shown to be preferentially associated </w:t>
      </w:r>
      <w:r>
        <w:rPr>
          <w:rFonts w:ascii="Times New Roman" w:hAnsi="Times New Roman" w:cs="Times New Roman"/>
        </w:rPr>
        <w:t>with signalling through IRS2 and that it is specifica</w:t>
      </w:r>
      <w:r w:rsidR="00AD0F09">
        <w:rPr>
          <w:rFonts w:ascii="Times New Roman" w:hAnsi="Times New Roman" w:cs="Times New Roman"/>
        </w:rPr>
        <w:t>lly through IRS2 that there is</w:t>
      </w:r>
      <w:r>
        <w:rPr>
          <w:rFonts w:ascii="Times New Roman" w:hAnsi="Times New Roman" w:cs="Times New Roman"/>
        </w:rPr>
        <w:t xml:space="preserve"> reduced signalling upon </w:t>
      </w:r>
      <w:r w:rsidR="00AD0F09">
        <w:rPr>
          <w:rFonts w:ascii="Times New Roman" w:hAnsi="Times New Roman" w:cs="Times New Roman"/>
        </w:rPr>
        <w:t xml:space="preserve">stimulation with 1nM of IGF1 </w:t>
      </w:r>
      <w:r w:rsidR="00B81591">
        <w:rPr>
          <w:rFonts w:ascii="Times New Roman" w:hAnsi="Times New Roman" w:cs="Times New Roman"/>
        </w:rPr>
        <w:t xml:space="preserve">in </w:t>
      </w:r>
      <w:r w:rsidR="00B40E42">
        <w:rPr>
          <w:rFonts w:ascii="Times New Roman" w:hAnsi="Times New Roman" w:cs="Times New Roman"/>
        </w:rPr>
        <w:t>AD brain</w:t>
      </w:r>
      <w:r>
        <w:rPr>
          <w:rFonts w:ascii="Times New Roman" w:hAnsi="Times New Roman" w:cs="Times New Roman"/>
        </w:rPr>
        <w:t xml:space="preserve">. </w:t>
      </w:r>
      <w:r w:rsidR="004E356C">
        <w:rPr>
          <w:rFonts w:ascii="Times New Roman" w:hAnsi="Times New Roman" w:cs="Times New Roman"/>
        </w:rPr>
        <w:t xml:space="preserve">Talbot </w:t>
      </w:r>
      <w:r w:rsidR="004E356C">
        <w:rPr>
          <w:rFonts w:ascii="Times New Roman" w:hAnsi="Times New Roman" w:cs="Times New Roman"/>
          <w:i/>
        </w:rPr>
        <w:t xml:space="preserve">et al </w:t>
      </w:r>
      <w:r w:rsidR="004E356C">
        <w:rPr>
          <w:rFonts w:ascii="Times New Roman" w:hAnsi="Times New Roman" w:cs="Times New Roman"/>
        </w:rPr>
        <w:t>(2012) report a less striking preference of IGF1R for IRS</w:t>
      </w:r>
      <w:r w:rsidR="00983088">
        <w:rPr>
          <w:rFonts w:ascii="Times New Roman" w:hAnsi="Times New Roman" w:cs="Times New Roman"/>
        </w:rPr>
        <w:t>2 when 10nm of IGF1 is used</w:t>
      </w:r>
      <w:r w:rsidR="00ED67B4">
        <w:rPr>
          <w:rFonts w:ascii="Times New Roman" w:hAnsi="Times New Roman" w:cs="Times New Roman"/>
        </w:rPr>
        <w:t>,</w:t>
      </w:r>
      <w:r w:rsidR="004E356C">
        <w:rPr>
          <w:rFonts w:ascii="Times New Roman" w:hAnsi="Times New Roman" w:cs="Times New Roman"/>
        </w:rPr>
        <w:t xml:space="preserve"> but maint</w:t>
      </w:r>
      <w:r w:rsidR="00B40E42">
        <w:rPr>
          <w:rFonts w:ascii="Times New Roman" w:hAnsi="Times New Roman" w:cs="Times New Roman"/>
        </w:rPr>
        <w:t xml:space="preserve">ain the idea that signalling </w:t>
      </w:r>
      <w:r w:rsidR="004E356C">
        <w:rPr>
          <w:rFonts w:ascii="Times New Roman" w:hAnsi="Times New Roman" w:cs="Times New Roman"/>
        </w:rPr>
        <w:t xml:space="preserve">occurs more frequently through this route. </w:t>
      </w:r>
      <w:r w:rsidR="00C45FAA">
        <w:rPr>
          <w:rFonts w:ascii="Times New Roman" w:hAnsi="Times New Roman" w:cs="Times New Roman"/>
        </w:rPr>
        <w:t>In culture, human astrocytes potentially activate</w:t>
      </w:r>
      <w:r w:rsidR="004E356C">
        <w:rPr>
          <w:rFonts w:ascii="Times New Roman" w:hAnsi="Times New Roman" w:cs="Times New Roman"/>
        </w:rPr>
        <w:t xml:space="preserve"> both IRS adaptor proteins</w:t>
      </w:r>
      <w:r w:rsidR="00C45FAA">
        <w:rPr>
          <w:rFonts w:ascii="Times New Roman" w:hAnsi="Times New Roman" w:cs="Times New Roman"/>
        </w:rPr>
        <w:t xml:space="preserve"> in response to IGF1 stimulation</w:t>
      </w:r>
      <w:r w:rsidR="00E15692">
        <w:rPr>
          <w:rFonts w:ascii="Times New Roman" w:hAnsi="Times New Roman" w:cs="Times New Roman"/>
        </w:rPr>
        <w:t>, which may suggest redundancy of this signalling pathway</w:t>
      </w:r>
      <w:r w:rsidR="004E356C">
        <w:rPr>
          <w:rFonts w:ascii="Times New Roman" w:hAnsi="Times New Roman" w:cs="Times New Roman"/>
        </w:rPr>
        <w:t xml:space="preserve"> </w:t>
      </w:r>
      <w:r w:rsidR="00816CE5">
        <w:rPr>
          <w:rFonts w:ascii="Times New Roman" w:hAnsi="Times New Roman" w:cs="Times New Roman"/>
        </w:rPr>
        <w:t>in the astrocytes</w:t>
      </w:r>
      <w:r w:rsidR="00AD0F09">
        <w:rPr>
          <w:rFonts w:ascii="Times New Roman" w:hAnsi="Times New Roman" w:cs="Times New Roman"/>
        </w:rPr>
        <w:t xml:space="preserve"> or that at the concentration of IGF1 used, both adaptor proteins are recruited for signalling. </w:t>
      </w:r>
      <w:r w:rsidR="00816CE5">
        <w:rPr>
          <w:rFonts w:ascii="Times New Roman" w:hAnsi="Times New Roman" w:cs="Times New Roman"/>
        </w:rPr>
        <w:t xml:space="preserve"> </w:t>
      </w:r>
      <w:r w:rsidR="009314E7">
        <w:rPr>
          <w:rFonts w:ascii="Times New Roman" w:hAnsi="Times New Roman" w:cs="Times New Roman"/>
        </w:rPr>
        <w:t xml:space="preserve">Also, the </w:t>
      </w:r>
      <w:r w:rsidR="009314E7" w:rsidRPr="00B81591">
        <w:rPr>
          <w:rFonts w:ascii="Times New Roman" w:hAnsi="Times New Roman" w:cs="Times New Roman"/>
          <w:i/>
        </w:rPr>
        <w:t>ex vivo</w:t>
      </w:r>
      <w:r w:rsidR="009314E7">
        <w:rPr>
          <w:rFonts w:ascii="Times New Roman" w:hAnsi="Times New Roman" w:cs="Times New Roman"/>
        </w:rPr>
        <w:t xml:space="preserve"> approach provides </w:t>
      </w:r>
      <w:r w:rsidR="00EF64D5">
        <w:rPr>
          <w:rFonts w:ascii="Times New Roman" w:hAnsi="Times New Roman" w:cs="Times New Roman"/>
        </w:rPr>
        <w:t>a general assessment of</w:t>
      </w:r>
      <w:r w:rsidR="009314E7">
        <w:rPr>
          <w:rFonts w:ascii="Times New Roman" w:hAnsi="Times New Roman" w:cs="Times New Roman"/>
        </w:rPr>
        <w:t xml:space="preserve"> IGF1 signalling pathway activation across many diffe</w:t>
      </w:r>
      <w:r w:rsidR="00C62C8A">
        <w:rPr>
          <w:rFonts w:ascii="Times New Roman" w:hAnsi="Times New Roman" w:cs="Times New Roman"/>
        </w:rPr>
        <w:t xml:space="preserve">rent cell types </w:t>
      </w:r>
      <w:r w:rsidR="00EF64D5">
        <w:rPr>
          <w:rFonts w:ascii="Times New Roman" w:hAnsi="Times New Roman" w:cs="Times New Roman"/>
        </w:rPr>
        <w:t>in the brain</w:t>
      </w:r>
      <w:r w:rsidR="009314E7">
        <w:rPr>
          <w:rFonts w:ascii="Times New Roman" w:hAnsi="Times New Roman" w:cs="Times New Roman"/>
        </w:rPr>
        <w:t xml:space="preserve"> whereas this work in</w:t>
      </w:r>
      <w:r w:rsidR="003C5D6F">
        <w:rPr>
          <w:rFonts w:ascii="Times New Roman" w:hAnsi="Times New Roman" w:cs="Times New Roman"/>
        </w:rPr>
        <w:t>vestigates</w:t>
      </w:r>
      <w:r w:rsidR="009314E7">
        <w:rPr>
          <w:rFonts w:ascii="Times New Roman" w:hAnsi="Times New Roman" w:cs="Times New Roman"/>
        </w:rPr>
        <w:t xml:space="preserve"> IGF1 signalling in astrocytes specifically. </w:t>
      </w:r>
    </w:p>
    <w:p w14:paraId="7D834224" w14:textId="77777777" w:rsidR="00985277" w:rsidRDefault="00985277" w:rsidP="00C63BC1">
      <w:pPr>
        <w:spacing w:line="360" w:lineRule="auto"/>
        <w:jc w:val="both"/>
        <w:rPr>
          <w:rFonts w:ascii="Times New Roman" w:hAnsi="Times New Roman" w:cs="Times New Roman"/>
        </w:rPr>
      </w:pPr>
    </w:p>
    <w:p w14:paraId="5CBD7C03" w14:textId="205C065D" w:rsidR="00985277" w:rsidRDefault="0062211D" w:rsidP="00C63BC1">
      <w:pPr>
        <w:pStyle w:val="Heading3"/>
        <w:jc w:val="both"/>
      </w:pPr>
      <w:bookmarkStart w:id="1162" w:name="_Toc328301153"/>
      <w:bookmarkStart w:id="1163" w:name="_Toc329593444"/>
      <w:bookmarkStart w:id="1164" w:name="_Toc331425943"/>
      <w:bookmarkStart w:id="1165" w:name="_Toc331427124"/>
      <w:bookmarkStart w:id="1166" w:name="_Toc331427496"/>
      <w:bookmarkStart w:id="1167" w:name="_Toc331427638"/>
      <w:bookmarkStart w:id="1168" w:name="_Toc332972642"/>
      <w:bookmarkStart w:id="1169" w:name="_Toc333046921"/>
      <w:bookmarkStart w:id="1170" w:name="_Toc333477268"/>
      <w:bookmarkStart w:id="1171" w:name="_Toc333478038"/>
      <w:bookmarkStart w:id="1172" w:name="_Toc333644938"/>
      <w:r w:rsidRPr="0062211D">
        <w:t xml:space="preserve">3.5.2 </w:t>
      </w:r>
      <w:r w:rsidR="00985277" w:rsidRPr="0062211D">
        <w:t>Downregulation</w:t>
      </w:r>
      <w:r w:rsidR="00985277">
        <w:t xml:space="preserve"> of the IGF1 signalling pathway in human astrocytes </w:t>
      </w:r>
      <w:r w:rsidR="008D76D0">
        <w:t xml:space="preserve">using </w:t>
      </w:r>
      <w:r w:rsidR="00985277">
        <w:t>a monoclonal antibody specific to IGF1R (MAB391)</w:t>
      </w:r>
      <w:bookmarkEnd w:id="1162"/>
      <w:bookmarkEnd w:id="1163"/>
      <w:bookmarkEnd w:id="1164"/>
      <w:bookmarkEnd w:id="1165"/>
      <w:bookmarkEnd w:id="1166"/>
      <w:bookmarkEnd w:id="1167"/>
      <w:bookmarkEnd w:id="1168"/>
      <w:bookmarkEnd w:id="1169"/>
      <w:bookmarkEnd w:id="1170"/>
      <w:bookmarkEnd w:id="1171"/>
      <w:bookmarkEnd w:id="1172"/>
    </w:p>
    <w:p w14:paraId="62FB99F1" w14:textId="77777777" w:rsidR="00985277" w:rsidRPr="00985277" w:rsidRDefault="00985277" w:rsidP="00C63BC1">
      <w:pPr>
        <w:spacing w:line="360" w:lineRule="auto"/>
        <w:jc w:val="both"/>
        <w:rPr>
          <w:rFonts w:ascii="Times New Roman" w:hAnsi="Times New Roman" w:cs="Times New Roman"/>
          <w:b/>
          <w:u w:val="single"/>
        </w:rPr>
      </w:pPr>
    </w:p>
    <w:p w14:paraId="48825663" w14:textId="1137E775" w:rsidR="003659A1" w:rsidRDefault="003659A1" w:rsidP="00C63BC1">
      <w:pPr>
        <w:spacing w:line="360" w:lineRule="auto"/>
        <w:jc w:val="both"/>
        <w:rPr>
          <w:rFonts w:ascii="Times New Roman" w:hAnsi="Times New Roman" w:cs="Times New Roman"/>
        </w:rPr>
      </w:pPr>
      <w:r>
        <w:rPr>
          <w:rFonts w:ascii="Times New Roman" w:hAnsi="Times New Roman" w:cs="Times New Roman"/>
        </w:rPr>
        <w:t>Having shown that astrocytes have function</w:t>
      </w:r>
      <w:r w:rsidR="006A2DA2">
        <w:rPr>
          <w:rFonts w:ascii="Times New Roman" w:hAnsi="Times New Roman" w:cs="Times New Roman"/>
        </w:rPr>
        <w:t>al</w:t>
      </w:r>
      <w:r>
        <w:rPr>
          <w:rFonts w:ascii="Times New Roman" w:hAnsi="Times New Roman" w:cs="Times New Roman"/>
        </w:rPr>
        <w:t xml:space="preserve"> IGF1 signalling, a model of IGF1 sign</w:t>
      </w:r>
      <w:r w:rsidR="003C5D6F">
        <w:rPr>
          <w:rFonts w:ascii="Times New Roman" w:hAnsi="Times New Roman" w:cs="Times New Roman"/>
        </w:rPr>
        <w:t>alling impairment was</w:t>
      </w:r>
      <w:r>
        <w:rPr>
          <w:rFonts w:ascii="Times New Roman" w:hAnsi="Times New Roman" w:cs="Times New Roman"/>
        </w:rPr>
        <w:t xml:space="preserve"> generated.</w:t>
      </w:r>
      <w:r w:rsidR="006A78C7">
        <w:rPr>
          <w:rFonts w:ascii="Times New Roman" w:hAnsi="Times New Roman" w:cs="Times New Roman"/>
        </w:rPr>
        <w:t xml:space="preserve"> </w:t>
      </w:r>
      <w:r w:rsidR="00DB75DF">
        <w:rPr>
          <w:rFonts w:ascii="Times New Roman" w:hAnsi="Times New Roman" w:cs="Times New Roman"/>
        </w:rPr>
        <w:t xml:space="preserve">Prior to this project a number of techniques were used to downregulate </w:t>
      </w:r>
      <w:r w:rsidR="00A2396E">
        <w:rPr>
          <w:rFonts w:ascii="Times New Roman" w:hAnsi="Times New Roman" w:cs="Times New Roman"/>
        </w:rPr>
        <w:t xml:space="preserve">the levels and activity of </w:t>
      </w:r>
      <w:r w:rsidR="00DB75DF">
        <w:rPr>
          <w:rFonts w:ascii="Times New Roman" w:hAnsi="Times New Roman" w:cs="Times New Roman"/>
        </w:rPr>
        <w:t>IGF1R in human astrocytes</w:t>
      </w:r>
      <w:r w:rsidR="00A2396E">
        <w:rPr>
          <w:rFonts w:ascii="Times New Roman" w:hAnsi="Times New Roman" w:cs="Times New Roman"/>
        </w:rPr>
        <w:t>,</w:t>
      </w:r>
      <w:r w:rsidR="00DB75DF">
        <w:rPr>
          <w:rFonts w:ascii="Times New Roman" w:hAnsi="Times New Roman" w:cs="Times New Roman"/>
        </w:rPr>
        <w:t xml:space="preserve"> includin</w:t>
      </w:r>
      <w:r w:rsidR="00ED67B4">
        <w:rPr>
          <w:rFonts w:ascii="Times New Roman" w:hAnsi="Times New Roman" w:cs="Times New Roman"/>
        </w:rPr>
        <w:t>g pharmacological inhibition,</w:t>
      </w:r>
      <w:r w:rsidR="00DB75DF">
        <w:rPr>
          <w:rFonts w:ascii="Times New Roman" w:hAnsi="Times New Roman" w:cs="Times New Roman"/>
        </w:rPr>
        <w:t xml:space="preserve"> shRNA and siRNA. </w:t>
      </w:r>
      <w:r w:rsidR="00A0637F">
        <w:rPr>
          <w:rFonts w:ascii="Times New Roman" w:hAnsi="Times New Roman" w:cs="Times New Roman"/>
        </w:rPr>
        <w:t xml:space="preserve">The most successful method used to impair </w:t>
      </w:r>
      <w:r w:rsidR="00DB75DF">
        <w:rPr>
          <w:rFonts w:ascii="Times New Roman" w:hAnsi="Times New Roman" w:cs="Times New Roman"/>
        </w:rPr>
        <w:t xml:space="preserve">IGF1R levels involved treating the astrocytes with a </w:t>
      </w:r>
      <w:r w:rsidR="00A0637F">
        <w:rPr>
          <w:rFonts w:ascii="Times New Roman" w:hAnsi="Times New Roman" w:cs="Times New Roman"/>
        </w:rPr>
        <w:t>mon</w:t>
      </w:r>
      <w:r w:rsidR="00327218">
        <w:rPr>
          <w:rFonts w:ascii="Times New Roman" w:hAnsi="Times New Roman" w:cs="Times New Roman"/>
        </w:rPr>
        <w:t>oclonal antibody specific to</w:t>
      </w:r>
      <w:r w:rsidR="00A0637F">
        <w:rPr>
          <w:rFonts w:ascii="Times New Roman" w:hAnsi="Times New Roman" w:cs="Times New Roman"/>
        </w:rPr>
        <w:t xml:space="preserve"> IGF1R (MAB391).</w:t>
      </w:r>
      <w:r w:rsidR="00B40E42">
        <w:rPr>
          <w:rFonts w:ascii="Times New Roman" w:hAnsi="Times New Roman" w:cs="Times New Roman"/>
        </w:rPr>
        <w:t xml:space="preserve"> This monoclonal antibody was used by Hailey </w:t>
      </w:r>
      <w:r w:rsidR="00B40E42">
        <w:rPr>
          <w:rFonts w:ascii="Times New Roman" w:hAnsi="Times New Roman" w:cs="Times New Roman"/>
          <w:i/>
        </w:rPr>
        <w:t xml:space="preserve">et al </w:t>
      </w:r>
      <w:r w:rsidR="00B40E42">
        <w:rPr>
          <w:rFonts w:ascii="Times New Roman" w:hAnsi="Times New Roman" w:cs="Times New Roman"/>
        </w:rPr>
        <w:t>(2002) to</w:t>
      </w:r>
      <w:r w:rsidR="00743D52">
        <w:rPr>
          <w:rFonts w:ascii="Times New Roman" w:hAnsi="Times New Roman" w:cs="Times New Roman"/>
        </w:rPr>
        <w:t xml:space="preserve"> </w:t>
      </w:r>
      <w:r w:rsidR="00B40E42">
        <w:rPr>
          <w:rFonts w:ascii="Times New Roman" w:hAnsi="Times New Roman" w:cs="Times New Roman"/>
        </w:rPr>
        <w:t>downregulate IGF1R l</w:t>
      </w:r>
      <w:r w:rsidR="003C5D6F">
        <w:rPr>
          <w:rFonts w:ascii="Times New Roman" w:hAnsi="Times New Roman" w:cs="Times New Roman"/>
        </w:rPr>
        <w:t>evels in MCF7 cells (human mamma</w:t>
      </w:r>
      <w:r w:rsidR="00B40E42">
        <w:rPr>
          <w:rFonts w:ascii="Times New Roman" w:hAnsi="Times New Roman" w:cs="Times New Roman"/>
        </w:rPr>
        <w:t>ry carcinoma cells).</w:t>
      </w:r>
      <w:r w:rsidR="00743D52">
        <w:rPr>
          <w:rFonts w:ascii="Times New Roman" w:hAnsi="Times New Roman" w:cs="Times New Roman"/>
        </w:rPr>
        <w:t xml:space="preserve"> In these experiments, MCF7 cells were pre-treated with MAB391 for 1-1.5hours prior to the addition of excess IGF1 ligand. In</w:t>
      </w:r>
      <w:r w:rsidR="006C146C">
        <w:rPr>
          <w:rFonts w:ascii="Times New Roman" w:hAnsi="Times New Roman" w:cs="Times New Roman"/>
        </w:rPr>
        <w:t xml:space="preserve"> this study they report</w:t>
      </w:r>
      <w:r w:rsidR="003C5D6F">
        <w:rPr>
          <w:rFonts w:ascii="Times New Roman" w:hAnsi="Times New Roman" w:cs="Times New Roman"/>
        </w:rPr>
        <w:t>ed</w:t>
      </w:r>
      <w:r w:rsidR="006C146C">
        <w:rPr>
          <w:rFonts w:ascii="Times New Roman" w:hAnsi="Times New Roman" w:cs="Times New Roman"/>
        </w:rPr>
        <w:t xml:space="preserve"> that</w:t>
      </w:r>
      <w:r w:rsidR="00743D52">
        <w:rPr>
          <w:rFonts w:ascii="Times New Roman" w:hAnsi="Times New Roman" w:cs="Times New Roman"/>
        </w:rPr>
        <w:t xml:space="preserve"> MAB391 inhibits IGF1R phosphorylation by outcompeting IGF1 ligand</w:t>
      </w:r>
      <w:r w:rsidR="00412590">
        <w:rPr>
          <w:rFonts w:ascii="Times New Roman" w:hAnsi="Times New Roman" w:cs="Times New Roman"/>
        </w:rPr>
        <w:t xml:space="preserve"> and that MAB391 i</w:t>
      </w:r>
      <w:r w:rsidR="0011567B">
        <w:rPr>
          <w:rFonts w:ascii="Times New Roman" w:hAnsi="Times New Roman" w:cs="Times New Roman"/>
        </w:rPr>
        <w:t>s responsible for the internalis</w:t>
      </w:r>
      <w:r w:rsidR="00412590">
        <w:rPr>
          <w:rFonts w:ascii="Times New Roman" w:hAnsi="Times New Roman" w:cs="Times New Roman"/>
        </w:rPr>
        <w:t>ation a</w:t>
      </w:r>
      <w:r w:rsidR="003F224D">
        <w:rPr>
          <w:rFonts w:ascii="Times New Roman" w:hAnsi="Times New Roman" w:cs="Times New Roman"/>
        </w:rPr>
        <w:t xml:space="preserve">nd lysosomal targeting of IGF1R </w:t>
      </w:r>
      <w:r w:rsidR="003F224D">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"1535-7163", "PMID" : "12516969", "abstract" : "Insulin-like growth factor receptor 1 (IGFR1) plays a crucial role in oncogenic transformation [C. Sell et al., Mol. Cell. Biol., 14: 3604-3612,1994]. Compared with the normal human mammary epithelial cell line MCF12A, MCF7 human mammary carcinoma cells overexpress IGFR1 on the cell surface. To measure the effects of IGFR1 inhibition on tumor cells, we tested two mouse neutralizing antibodies against human IGFR1 in cell-based assays. Both MAB391 and anti-IR3 antibodies inhibit IGFR1 autophosphorylation upon IGF-I ligand stimulation with IC50s of 0.58 and 0.80 nM, respectively. When cells were treated with neutralizing anti-IGFR1 antibodies for &gt; or = 4 h, the total receptor level was dramatically decreased. IGF-I-stimulated activation of AKT was also inhibited by anti-IGFR1 antibodies. Furthermore, MAB391 and anti-IR3 inhibited the growth of MCF7 cells in soft agar. In addition to MCF7 cells, MAB391 also inhibited IGFR1 autophosphorylation and induced IGFR1 down-modulation in HT29 colorectal and Du145 prostate cancer cells. Therefore, neutralizing antibodies against IGFR1 represent a valid approach to inhibit growth of tumor cells.", "author" : [ { "dropping-particle" : "", "family" : "Hailey", "given" : "Judith", "non-dropping-particle" : "", "parse-names" : false, "suffix" : "" }, { "dropping-particle" : "", "family" : "Maxwell", "given" : "Eugene", "non-dropping-particle" : "", "parse-names" : false, "suffix" : "" }, { "dropping-particle" : "", "family" : "Koukouras", "given" : "Kathy", "non-dropping-particle" : "", "parse-names" : false, "suffix" : "" }, { "dropping-particle" : "", "family" : "Bishop", "given" : "W Robert", "non-dropping-particle" : "", "parse-names" : false, "suffix" : "" }, { "dropping-particle" : "", "family" : "Pachter", "given" : "Jonathan A", "non-dropping-particle" : "", "parse-names" : false, "suffix" : "" }, { "dropping-particle" : "", "family" : "Wang", "given" : "Yan", "non-dropping-particle" : "", "parse-names" : false, "suffix" : "" } ], "container-title" : "Molecular cancer therapeutics", "id" : "ITEM-1", "issue" : "14", "issued" : { "date-parts" : [ [ "2002", "12" ] ] }, "page" : "1349-53", "title" : "Neutralizing anti-insulin-like growth factor receptor 1 antibodies inhibit receptor function and induce receptor degradation in tumor cells.", "type" : "article-journal", "volume" : "1" }, "uris" : [ "http://www.mendeley.com/documents/?uuid=16124cbb-59cc-411c-804f-b74c595e5581" ] } ], "mendeley" : { "formattedCitation" : "(Hailey et al. 2002)", "plainTextFormattedCitation" : "(Hailey et al. 2002)", "previouslyFormattedCitation" : "(Hailey et al. 2002)" }, "properties" : { "noteIndex" : 0 }, "schema" : "https://github.com/citation-style-language/schema/raw/master/csl-citation.json" }</w:instrText>
      </w:r>
      <w:r w:rsidR="003F224D">
        <w:rPr>
          <w:rFonts w:ascii="Times New Roman" w:hAnsi="Times New Roman" w:cs="Times New Roman"/>
        </w:rPr>
        <w:fldChar w:fldCharType="separate"/>
      </w:r>
      <w:r w:rsidR="00C148FC" w:rsidRPr="00C148FC">
        <w:rPr>
          <w:rFonts w:ascii="Times New Roman" w:hAnsi="Times New Roman" w:cs="Times New Roman"/>
          <w:noProof/>
        </w:rPr>
        <w:t>(Hailey et al. 2002)</w:t>
      </w:r>
      <w:r w:rsidR="003F224D">
        <w:rPr>
          <w:rFonts w:ascii="Times New Roman" w:hAnsi="Times New Roman" w:cs="Times New Roman"/>
        </w:rPr>
        <w:fldChar w:fldCharType="end"/>
      </w:r>
      <w:r w:rsidR="003F224D">
        <w:rPr>
          <w:rFonts w:ascii="Times New Roman" w:hAnsi="Times New Roman" w:cs="Times New Roman"/>
        </w:rPr>
        <w:t>.</w:t>
      </w:r>
      <w:r w:rsidR="00B81EC5">
        <w:rPr>
          <w:rFonts w:ascii="Times New Roman" w:hAnsi="Times New Roman" w:cs="Times New Roman"/>
        </w:rPr>
        <w:t xml:space="preserve"> </w:t>
      </w:r>
      <w:r w:rsidR="00AC49E0">
        <w:rPr>
          <w:rFonts w:ascii="Times New Roman" w:hAnsi="Times New Roman" w:cs="Times New Roman"/>
        </w:rPr>
        <w:t xml:space="preserve">It has also been shown that compared with dual IGF1R and IR inhibitors, use of MAB391 can reduce IGF1R to comparable levels in colorectal cells but has minimal effects on Erk and Akt activity </w:t>
      </w:r>
      <w:r w:rsidR="00AC49E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"10.1158/1535-7163.MCT-10-0318", "ISSN" : "1538-8514", "PMID" : "20924128", "abstract" : "Insulin-like growth factor-1 receptor (IGF-1R) is a receptor tyrosine kinase (RTK) and critical activator of the phosphatidylinositol 3-kinase-AKT pathway. IGF-1R is required for oncogenic transformation and tumorigenesis. These observations have spurred anticancer drug discovery and development efforts for both biological and small-molecule IGF-1R inhibitors. The ability for one RTK to compensate for another to maintain tumor cell viability is emerging as a common resistance mechanism to antitumor agents targeting individual RTKs. As IGF-1R is structurally and functionally related to the insulin receptor (IR), we asked whether IR is tumorigenic and whether IR-AKT signaling contributes to resistance to IGF-1R inhibition. Both IGF-1R and IR(A) are tumorigenic in a mouse mammary tumor model. In human tumor cells coexpressing IGF-1R and IR, bidirectional cross talk was observed following either knockdown of IR expression or treatment with a selective anti-IGF-1R antibody, MAB391. MAB391 treatment resulted in a compensatory increase in phospho-IR, which was associated with resistance to inhibition of IRS1 and AKT. In contrast, treatment with OSI-906, a small-molecule dual inhibitor of IGF-1R/IR, resulted in enhanced reduction in phospho-IRS1/phospho-AKT relative to MAB391. Insulin or IGF-2 activated the IR-AKT pathway and decreased sensitivity to MAB391 but not to OSI-906. In tumor cells with an autocrine IGF-2 loop, both OSI-906 and an anti-IGF-2 antibody reduced phospho-IR/phospho-AKT, whereas MAB391 was ineffective. Finally, OSI-906 showed superior efficacy compared with MAB391 in human tumor xenograft models in which both IGF-1R and IR were phosphorylated. Collectively, these data indicate that cotargeting IGF-1R and IR may provide superior antitumor efficacy compared with targeting IGF-1R alone.", "author" : [ { "dropping-particle" : "", "family" : "Buck", "given" : "Elizabeth", "non-dropping-particle" : "", "parse-names" : false, "suffix" : "" }, { "dropping-particle" : "", "family" : "Gokhale", "given" : "Prafulla C", "non-dropping-particle" : "", "parse-names" : false, "suffix" : "" }, { "dropping-particle" : "", "family" : "Koujak", "given" : "Susan", "non-dropping-particle" : "", "parse-names" : false, "suffix" : "" }, { "dropping-particle" : "", "family" : "Brown", "given" : "Eric", "non-dropping-particle" : "", "parse-names" : false, "suffix" : "" }, { "dropping-particle" : "", "family" : "Eyzaguirre", "given" : "Alexandra", "non-dropping-particle" : "", "parse-names" : false, "suffix" : "" }, { "dropping-particle" : "", "family" : "Tao", "given" : "Nianjun", "non-dropping-particle" : "", "parse-names" : false, "suffix" : "" }, { "dropping-particle" : "", "family" : "Rosenfeld-Franklin", "given" : "Maryland", "non-dropping-particle" : "", "parse-names" : false, "suffix" : "" }, { "dropping-particle" : "", "family" : "Lerner", "given" : "Lorena", "non-dropping-particle" : "", "parse-names" : false, "suffix" : "" }, { "dropping-particle" : "", "family" : "Chiu", "given" : "M Isabel", "non-dropping-particle" : "", "parse-names" : false, "suffix" : "" }, { "dropping-particle" : "", "family" : "Wild", "given" : "Robert", "non-dropping-particle" : "", "parse-names" : false, "suffix" : "" }, { "dropping-particle" : "", "family" : "Epstein", "given" : "David", "non-dropping-particle" : "", "parse-names" : false, "suffix" : "" }, { "dropping-particle" : "", "family" : "Pachter", "given" : "Jonathan A", "non-dropping-particle" : "", "parse-names" : false, "suffix" : "" }, { "dropping-particle" : "", "family" : "Miglarese", "given" : "Mark R", "non-dropping-particle" : "", "parse-names" : false, "suffix" : "" } ], "container-title" : "Molecular cancer therapeutics", "id" : "ITEM-1", "issue" : "10", "issued" : { "date-parts" : [ [ "2010", "10", "1" ] ] }, "page" : "2652-64", "title" : "Compensatory insulin receptor (IR) activation on inhibition of insulin-like growth factor-1 receptor (IGF-1R): rationale for cotargeting IGF-1R and IR in cancer.", "type" : "article-journal", "volume" : "9" }, "uris" : [ "http://www.mendeley.com/documents/?uuid=43da9cb4-992d-4ed8-abfd-a520d05d5bf1" ] } ], "mendeley" : { "formattedCitation" : "(Buck et al. 2010a)", "manualFormatting" : "(Buck et al., 2010)", "plainTextFormattedCitation" : "(Buck et al. 2010a)", "previouslyFormattedCitation" : "(Buck et al. 2010a)" }, "properties" : { "noteIndex" : 0 }, "schema" : "https://github.com/citation-style-language/schema/raw/master/csl-citation.json" }</w:instrText>
      </w:r>
      <w:r w:rsidR="00AC49E0">
        <w:rPr>
          <w:rFonts w:ascii="Times New Roman" w:hAnsi="Times New Roman" w:cs="Times New Roman"/>
        </w:rPr>
        <w:fldChar w:fldCharType="separate"/>
      </w:r>
      <w:r w:rsidR="00B0488A">
        <w:rPr>
          <w:rFonts w:ascii="Times New Roman" w:hAnsi="Times New Roman" w:cs="Times New Roman"/>
          <w:noProof/>
        </w:rPr>
        <w:t>(Buck et al., 2010</w:t>
      </w:r>
      <w:r w:rsidR="00E15E05" w:rsidRPr="00E15E05">
        <w:rPr>
          <w:rFonts w:ascii="Times New Roman" w:hAnsi="Times New Roman" w:cs="Times New Roman"/>
          <w:noProof/>
        </w:rPr>
        <w:t>)</w:t>
      </w:r>
      <w:r w:rsidR="00AC49E0">
        <w:rPr>
          <w:rFonts w:ascii="Times New Roman" w:hAnsi="Times New Roman" w:cs="Times New Roman"/>
        </w:rPr>
        <w:fldChar w:fldCharType="end"/>
      </w:r>
      <w:r w:rsidR="00AC49E0">
        <w:rPr>
          <w:rFonts w:ascii="Times New Roman" w:hAnsi="Times New Roman" w:cs="Times New Roman"/>
        </w:rPr>
        <w:t>.</w:t>
      </w:r>
    </w:p>
    <w:p w14:paraId="5CE1F2DE" w14:textId="77777777" w:rsidR="005F182A" w:rsidRDefault="005F182A" w:rsidP="00C63BC1">
      <w:pPr>
        <w:spacing w:line="360" w:lineRule="auto"/>
        <w:jc w:val="both"/>
        <w:rPr>
          <w:rFonts w:ascii="Times New Roman" w:hAnsi="Times New Roman" w:cs="Times New Roman"/>
        </w:rPr>
      </w:pPr>
      <w:r>
        <w:rPr>
          <w:rFonts w:ascii="Times New Roman" w:hAnsi="Times New Roman" w:cs="Times New Roman"/>
        </w:rPr>
        <w:t xml:space="preserve"> </w:t>
      </w:r>
    </w:p>
    <w:p w14:paraId="1A0A944C" w14:textId="3CCD99FF" w:rsidR="001628E4" w:rsidRDefault="002D6B5E" w:rsidP="00C63BC1">
      <w:pPr>
        <w:spacing w:line="360" w:lineRule="auto"/>
        <w:jc w:val="both"/>
        <w:rPr>
          <w:rFonts w:ascii="Times New Roman" w:hAnsi="Times New Roman" w:cs="Times New Roman"/>
        </w:rPr>
      </w:pPr>
      <w:r>
        <w:rPr>
          <w:rFonts w:ascii="Times New Roman" w:hAnsi="Times New Roman" w:cs="Times New Roman"/>
        </w:rPr>
        <w:t xml:space="preserve">In order to </w:t>
      </w:r>
      <w:r w:rsidR="00DB75DF">
        <w:rPr>
          <w:rFonts w:ascii="Times New Roman" w:hAnsi="Times New Roman" w:cs="Times New Roman"/>
        </w:rPr>
        <w:t>reduce IGF1R levels in human astrocytes and thereby impair IGF1 signalling,</w:t>
      </w:r>
      <w:r>
        <w:rPr>
          <w:rFonts w:ascii="Times New Roman" w:hAnsi="Times New Roman" w:cs="Times New Roman"/>
        </w:rPr>
        <w:t xml:space="preserve"> cells were treated for 24 hours with 11μg/ml of MAB391 (recommended EC50 value provided by R </w:t>
      </w:r>
      <w:r w:rsidR="00284D2D">
        <w:rPr>
          <w:rFonts w:ascii="Times New Roman" w:hAnsi="Times New Roman" w:cs="Times New Roman"/>
        </w:rPr>
        <w:t xml:space="preserve">&amp; </w:t>
      </w:r>
      <w:r w:rsidR="00B81591">
        <w:rPr>
          <w:rFonts w:ascii="Times New Roman" w:hAnsi="Times New Roman" w:cs="Times New Roman"/>
        </w:rPr>
        <w:t>D S</w:t>
      </w:r>
      <w:r>
        <w:rPr>
          <w:rFonts w:ascii="Times New Roman" w:hAnsi="Times New Roman" w:cs="Times New Roman"/>
        </w:rPr>
        <w:t xml:space="preserve">ystems). After a 24 hour treatment, there </w:t>
      </w:r>
      <w:r w:rsidR="003C5D6F">
        <w:rPr>
          <w:rFonts w:ascii="Times New Roman" w:hAnsi="Times New Roman" w:cs="Times New Roman"/>
        </w:rPr>
        <w:t>wa</w:t>
      </w:r>
      <w:r w:rsidR="00651CFF">
        <w:rPr>
          <w:rFonts w:ascii="Times New Roman" w:hAnsi="Times New Roman" w:cs="Times New Roman"/>
        </w:rPr>
        <w:t>s roughly</w:t>
      </w:r>
      <w:r w:rsidR="003C5D6F">
        <w:rPr>
          <w:rFonts w:ascii="Times New Roman" w:hAnsi="Times New Roman" w:cs="Times New Roman"/>
        </w:rPr>
        <w:t xml:space="preserve"> a</w:t>
      </w:r>
      <w:r w:rsidR="00651CFF">
        <w:rPr>
          <w:rFonts w:ascii="Times New Roman" w:hAnsi="Times New Roman" w:cs="Times New Roman"/>
        </w:rPr>
        <w:t xml:space="preserve"> 75% reduction in IGF</w:t>
      </w:r>
      <w:r w:rsidR="000F2D7C">
        <w:rPr>
          <w:rFonts w:ascii="Times New Roman" w:hAnsi="Times New Roman" w:cs="Times New Roman"/>
        </w:rPr>
        <w:t>1R with an associated</w:t>
      </w:r>
      <w:r w:rsidR="00651CFF">
        <w:rPr>
          <w:rFonts w:ascii="Times New Roman" w:hAnsi="Times New Roman" w:cs="Times New Roman"/>
        </w:rPr>
        <w:t xml:space="preserve"> 50%</w:t>
      </w:r>
      <w:r w:rsidR="00284D2D">
        <w:rPr>
          <w:rFonts w:ascii="Times New Roman" w:hAnsi="Times New Roman" w:cs="Times New Roman"/>
        </w:rPr>
        <w:t xml:space="preserve"> reduction in phosphorylated Akt</w:t>
      </w:r>
      <w:r w:rsidR="00651CFF">
        <w:rPr>
          <w:rFonts w:ascii="Times New Roman" w:hAnsi="Times New Roman" w:cs="Times New Roman"/>
        </w:rPr>
        <w:t xml:space="preserve"> (s473) but with no observable change in phosphorylated </w:t>
      </w:r>
      <w:r w:rsidR="00ED67B4">
        <w:rPr>
          <w:rFonts w:ascii="Times New Roman" w:hAnsi="Times New Roman" w:cs="Times New Roman"/>
        </w:rPr>
        <w:t>P44/42 MAPK</w:t>
      </w:r>
      <w:r w:rsidR="00651CFF">
        <w:rPr>
          <w:rFonts w:ascii="Times New Roman" w:hAnsi="Times New Roman" w:cs="Times New Roman"/>
        </w:rPr>
        <w:t xml:space="preserve"> levels. This experiment </w:t>
      </w:r>
      <w:r w:rsidR="003C5D6F">
        <w:rPr>
          <w:rFonts w:ascii="Times New Roman" w:hAnsi="Times New Roman" w:cs="Times New Roman"/>
        </w:rPr>
        <w:t>showed</w:t>
      </w:r>
      <w:r w:rsidR="00651CFF">
        <w:rPr>
          <w:rFonts w:ascii="Times New Roman" w:hAnsi="Times New Roman" w:cs="Times New Roman"/>
        </w:rPr>
        <w:t xml:space="preserve"> that MAB391 could be used to impair IGF1 signalling at both the receptor level and at the level of downstream signalling</w:t>
      </w:r>
      <w:r w:rsidR="00376DFB">
        <w:rPr>
          <w:rFonts w:ascii="Times New Roman" w:hAnsi="Times New Roman" w:cs="Times New Roman"/>
        </w:rPr>
        <w:t>,</w:t>
      </w:r>
      <w:r w:rsidR="00651CFF">
        <w:rPr>
          <w:rFonts w:ascii="Times New Roman" w:hAnsi="Times New Roman" w:cs="Times New Roman"/>
        </w:rPr>
        <w:t xml:space="preserve"> which was</w:t>
      </w:r>
      <w:r w:rsidR="001628E4">
        <w:rPr>
          <w:rFonts w:ascii="Times New Roman" w:hAnsi="Times New Roman" w:cs="Times New Roman"/>
        </w:rPr>
        <w:t xml:space="preserve"> an effect</w:t>
      </w:r>
      <w:r w:rsidR="00651CFF">
        <w:rPr>
          <w:rFonts w:ascii="Times New Roman" w:hAnsi="Times New Roman" w:cs="Times New Roman"/>
        </w:rPr>
        <w:t xml:space="preserve"> specific to using MAB391 and not an IgG isotype control (MAB002). </w:t>
      </w:r>
      <w:r w:rsidR="00065A6D">
        <w:rPr>
          <w:rFonts w:ascii="Times New Roman" w:hAnsi="Times New Roman" w:cs="Times New Roman"/>
        </w:rPr>
        <w:t>L</w:t>
      </w:r>
      <w:r w:rsidR="006A2DA2">
        <w:rPr>
          <w:rFonts w:ascii="Times New Roman" w:hAnsi="Times New Roman" w:cs="Times New Roman"/>
        </w:rPr>
        <w:t>oss of IGF1R does not</w:t>
      </w:r>
      <w:r w:rsidR="002644E0">
        <w:rPr>
          <w:rFonts w:ascii="Times New Roman" w:hAnsi="Times New Roman" w:cs="Times New Roman"/>
        </w:rPr>
        <w:t xml:space="preserve"> appear to</w:t>
      </w:r>
      <w:r w:rsidR="006A2DA2">
        <w:rPr>
          <w:rFonts w:ascii="Times New Roman" w:hAnsi="Times New Roman" w:cs="Times New Roman"/>
        </w:rPr>
        <w:t xml:space="preserve"> affect signalling through </w:t>
      </w:r>
      <w:r w:rsidR="00ED67B4">
        <w:rPr>
          <w:rFonts w:ascii="Times New Roman" w:hAnsi="Times New Roman" w:cs="Times New Roman"/>
        </w:rPr>
        <w:t>P44/42 MAPK</w:t>
      </w:r>
      <w:r w:rsidR="006A2DA2">
        <w:rPr>
          <w:rFonts w:ascii="Times New Roman" w:hAnsi="Times New Roman" w:cs="Times New Roman"/>
        </w:rPr>
        <w:t xml:space="preserve"> and instead </w:t>
      </w:r>
      <w:r w:rsidR="0012065D">
        <w:rPr>
          <w:rFonts w:ascii="Times New Roman" w:hAnsi="Times New Roman" w:cs="Times New Roman"/>
        </w:rPr>
        <w:t xml:space="preserve">its </w:t>
      </w:r>
      <w:r w:rsidR="00284D2D">
        <w:rPr>
          <w:rFonts w:ascii="Times New Roman" w:hAnsi="Times New Roman" w:cs="Times New Roman"/>
        </w:rPr>
        <w:t>effects are mediated through Akt</w:t>
      </w:r>
      <w:r w:rsidR="0012065D">
        <w:rPr>
          <w:rFonts w:ascii="Times New Roman" w:hAnsi="Times New Roman" w:cs="Times New Roman"/>
        </w:rPr>
        <w:t>.</w:t>
      </w:r>
      <w:r w:rsidR="00E44904">
        <w:rPr>
          <w:rFonts w:ascii="Times New Roman" w:hAnsi="Times New Roman" w:cs="Times New Roman"/>
        </w:rPr>
        <w:t xml:space="preserve"> </w:t>
      </w:r>
      <w:r w:rsidR="0099328E">
        <w:rPr>
          <w:rFonts w:ascii="Times New Roman" w:hAnsi="Times New Roman" w:cs="Times New Roman"/>
        </w:rPr>
        <w:t>This may suggest preferential</w:t>
      </w:r>
      <w:r w:rsidR="00284D2D">
        <w:rPr>
          <w:rFonts w:ascii="Times New Roman" w:hAnsi="Times New Roman" w:cs="Times New Roman"/>
        </w:rPr>
        <w:t xml:space="preserve"> signalling of IGF1R through Akt</w:t>
      </w:r>
      <w:r w:rsidR="0099328E">
        <w:rPr>
          <w:rFonts w:ascii="Times New Roman" w:hAnsi="Times New Roman" w:cs="Times New Roman"/>
        </w:rPr>
        <w:t xml:space="preserve"> and that other RTKs maintain signalling through MAPK. Also after 24 hours of MAB391 treatment, astrocytes may have compensated for any lost MAPK signalling and restored activation of this pathway, hence why </w:t>
      </w:r>
      <w:r w:rsidR="000F2D7C">
        <w:rPr>
          <w:rFonts w:ascii="Times New Roman" w:hAnsi="Times New Roman" w:cs="Times New Roman"/>
        </w:rPr>
        <w:t>there are no</w:t>
      </w:r>
      <w:r w:rsidR="0099328E">
        <w:rPr>
          <w:rFonts w:ascii="Times New Roman" w:hAnsi="Times New Roman" w:cs="Times New Roman"/>
        </w:rPr>
        <w:t xml:space="preserve"> observable changes in the levels of phosphorylated MAPK.</w:t>
      </w:r>
      <w:r w:rsidR="00903290">
        <w:rPr>
          <w:rFonts w:ascii="Times New Roman" w:hAnsi="Times New Roman" w:cs="Times New Roman"/>
        </w:rPr>
        <w:t xml:space="preserve"> </w:t>
      </w:r>
      <w:r w:rsidR="00376DFB">
        <w:rPr>
          <w:rFonts w:ascii="Times New Roman" w:hAnsi="Times New Roman" w:cs="Times New Roman"/>
        </w:rPr>
        <w:t xml:space="preserve">Furthermore, this data may </w:t>
      </w:r>
      <w:r w:rsidR="00065A6D">
        <w:rPr>
          <w:rFonts w:ascii="Times New Roman" w:hAnsi="Times New Roman" w:cs="Times New Roman"/>
        </w:rPr>
        <w:t>link back to the IGF1 stimulation experiments, suggesting that P44/42 phosphorylation is preserved when astrocytes are exposed to less growth factors</w:t>
      </w:r>
      <w:r w:rsidR="00F0295E">
        <w:rPr>
          <w:rFonts w:ascii="Times New Roman" w:hAnsi="Times New Roman" w:cs="Times New Roman"/>
        </w:rPr>
        <w:t xml:space="preserve"> (serum deprivation)</w:t>
      </w:r>
      <w:r w:rsidR="00065A6D">
        <w:rPr>
          <w:rFonts w:ascii="Times New Roman" w:hAnsi="Times New Roman" w:cs="Times New Roman"/>
        </w:rPr>
        <w:t xml:space="preserve"> and </w:t>
      </w:r>
      <w:r w:rsidR="00327218">
        <w:rPr>
          <w:rFonts w:ascii="Times New Roman" w:hAnsi="Times New Roman" w:cs="Times New Roman"/>
        </w:rPr>
        <w:t xml:space="preserve">more </w:t>
      </w:r>
      <w:r w:rsidR="00065A6D">
        <w:rPr>
          <w:rFonts w:ascii="Times New Roman" w:hAnsi="Times New Roman" w:cs="Times New Roman"/>
        </w:rPr>
        <w:t>specifically IGF1.</w:t>
      </w:r>
    </w:p>
    <w:p w14:paraId="0960F7CD" w14:textId="77777777" w:rsidR="005F182A" w:rsidRDefault="005F182A" w:rsidP="00C63BC1">
      <w:pPr>
        <w:spacing w:line="360" w:lineRule="auto"/>
        <w:jc w:val="both"/>
        <w:rPr>
          <w:rFonts w:ascii="Times New Roman" w:hAnsi="Times New Roman" w:cs="Times New Roman"/>
        </w:rPr>
      </w:pPr>
      <w:r>
        <w:rPr>
          <w:rFonts w:ascii="Times New Roman" w:hAnsi="Times New Roman" w:cs="Times New Roman"/>
        </w:rPr>
        <w:t xml:space="preserve"> </w:t>
      </w:r>
    </w:p>
    <w:p w14:paraId="4FBA9D69" w14:textId="3152CEC6" w:rsidR="00507E39" w:rsidRDefault="00903290" w:rsidP="00C63BC1">
      <w:pPr>
        <w:spacing w:line="360" w:lineRule="auto"/>
        <w:jc w:val="both"/>
        <w:rPr>
          <w:rFonts w:ascii="Times New Roman" w:hAnsi="Times New Roman" w:cs="Times New Roman"/>
        </w:rPr>
      </w:pPr>
      <w:r>
        <w:rPr>
          <w:rFonts w:ascii="Times New Roman" w:hAnsi="Times New Roman" w:cs="Times New Roman"/>
        </w:rPr>
        <w:t xml:space="preserve">Using MAB391, we can model an acute loss of IGF1 signalling impairment and a more chronic loss of </w:t>
      </w:r>
      <w:r w:rsidR="002644E0">
        <w:rPr>
          <w:rFonts w:ascii="Times New Roman" w:hAnsi="Times New Roman" w:cs="Times New Roman"/>
        </w:rPr>
        <w:t>the IGF1R</w:t>
      </w:r>
      <w:r>
        <w:rPr>
          <w:rFonts w:ascii="Times New Roman" w:hAnsi="Times New Roman" w:cs="Times New Roman"/>
        </w:rPr>
        <w:t xml:space="preserve">. </w:t>
      </w:r>
      <w:r w:rsidR="00FF2EEF">
        <w:rPr>
          <w:rFonts w:ascii="Times New Roman" w:hAnsi="Times New Roman" w:cs="Times New Roman"/>
        </w:rPr>
        <w:t xml:space="preserve">These models allow identification of changes that occur in the astrocytes over a </w:t>
      </w:r>
      <w:r w:rsidR="00CB2DF2">
        <w:rPr>
          <w:rFonts w:ascii="Times New Roman" w:hAnsi="Times New Roman" w:cs="Times New Roman"/>
        </w:rPr>
        <w:t xml:space="preserve">longer time period. Following a </w:t>
      </w:r>
      <w:r w:rsidR="00FF2EEF">
        <w:rPr>
          <w:rFonts w:ascii="Times New Roman" w:hAnsi="Times New Roman" w:cs="Times New Roman"/>
        </w:rPr>
        <w:t>media exchange at 24 hours after MAB391 treatment and growth for a further 72 hours, the astrocytes show</w:t>
      </w:r>
      <w:r w:rsidR="00CB2DF2">
        <w:rPr>
          <w:rFonts w:ascii="Times New Roman" w:hAnsi="Times New Roman" w:cs="Times New Roman"/>
        </w:rPr>
        <w:t>ed</w:t>
      </w:r>
      <w:r w:rsidR="00FF2EEF">
        <w:rPr>
          <w:rFonts w:ascii="Times New Roman" w:hAnsi="Times New Roman" w:cs="Times New Roman"/>
        </w:rPr>
        <w:t xml:space="preserve"> continued </w:t>
      </w:r>
      <w:r w:rsidR="00825282">
        <w:rPr>
          <w:rFonts w:ascii="Times New Roman" w:hAnsi="Times New Roman" w:cs="Times New Roman"/>
        </w:rPr>
        <w:t xml:space="preserve">loss of IGF1R by around 60%. However, by this time point the astrocytes have restored </w:t>
      </w:r>
      <w:r w:rsidR="002644E0">
        <w:rPr>
          <w:rFonts w:ascii="Times New Roman" w:hAnsi="Times New Roman" w:cs="Times New Roman"/>
        </w:rPr>
        <w:t>signalling through</w:t>
      </w:r>
      <w:r w:rsidR="001E5947">
        <w:rPr>
          <w:rFonts w:ascii="Times New Roman" w:hAnsi="Times New Roman" w:cs="Times New Roman"/>
        </w:rPr>
        <w:t xml:space="preserve"> the Akt</w:t>
      </w:r>
      <w:r w:rsidR="00825282">
        <w:rPr>
          <w:rFonts w:ascii="Times New Roman" w:hAnsi="Times New Roman" w:cs="Times New Roman"/>
        </w:rPr>
        <w:t xml:space="preserve"> pathway</w:t>
      </w:r>
      <w:r w:rsidR="002644E0">
        <w:rPr>
          <w:rFonts w:ascii="Times New Roman" w:hAnsi="Times New Roman" w:cs="Times New Roman"/>
        </w:rPr>
        <w:t xml:space="preserve">, with a </w:t>
      </w:r>
      <w:r w:rsidR="001E5947">
        <w:rPr>
          <w:rFonts w:ascii="Times New Roman" w:hAnsi="Times New Roman" w:cs="Times New Roman"/>
        </w:rPr>
        <w:t>trend towards an increase in Akt</w:t>
      </w:r>
      <w:r w:rsidR="002644E0">
        <w:rPr>
          <w:rFonts w:ascii="Times New Roman" w:hAnsi="Times New Roman" w:cs="Times New Roman"/>
        </w:rPr>
        <w:t xml:space="preserve"> activity</w:t>
      </w:r>
      <w:r w:rsidR="00825282">
        <w:rPr>
          <w:rFonts w:ascii="Times New Roman" w:hAnsi="Times New Roman" w:cs="Times New Roman"/>
        </w:rPr>
        <w:t>. In add</w:t>
      </w:r>
      <w:r w:rsidR="00CB2DF2">
        <w:rPr>
          <w:rFonts w:ascii="Times New Roman" w:hAnsi="Times New Roman" w:cs="Times New Roman"/>
        </w:rPr>
        <w:t>ition, insulin receptor levels we</w:t>
      </w:r>
      <w:r w:rsidR="00825282">
        <w:rPr>
          <w:rFonts w:ascii="Times New Roman" w:hAnsi="Times New Roman" w:cs="Times New Roman"/>
        </w:rPr>
        <w:t>re significantly reduced</w:t>
      </w:r>
      <w:r w:rsidR="000E4D5C">
        <w:rPr>
          <w:rFonts w:ascii="Times New Roman" w:hAnsi="Times New Roman" w:cs="Times New Roman"/>
        </w:rPr>
        <w:t xml:space="preserve">. </w:t>
      </w:r>
      <w:r w:rsidR="00E246E7">
        <w:rPr>
          <w:rFonts w:ascii="Times New Roman" w:hAnsi="Times New Roman" w:cs="Times New Roman"/>
        </w:rPr>
        <w:t>Sandwich-ELISA’s</w:t>
      </w:r>
      <w:r w:rsidR="000E4D5C">
        <w:rPr>
          <w:rFonts w:ascii="Times New Roman" w:hAnsi="Times New Roman" w:cs="Times New Roman"/>
        </w:rPr>
        <w:t xml:space="preserve"> p</w:t>
      </w:r>
      <w:r w:rsidR="00E246E7">
        <w:rPr>
          <w:rFonts w:ascii="Times New Roman" w:hAnsi="Times New Roman" w:cs="Times New Roman"/>
        </w:rPr>
        <w:t>erformed by R and D systems do</w:t>
      </w:r>
      <w:r w:rsidR="000E4D5C">
        <w:rPr>
          <w:rFonts w:ascii="Times New Roman" w:hAnsi="Times New Roman" w:cs="Times New Roman"/>
        </w:rPr>
        <w:t xml:space="preserve"> not state off-target binding of IR by MAB391, therefore it is likely that</w:t>
      </w:r>
      <w:r w:rsidR="000876A5">
        <w:rPr>
          <w:rFonts w:ascii="Times New Roman" w:hAnsi="Times New Roman" w:cs="Times New Roman"/>
        </w:rPr>
        <w:t xml:space="preserve"> IR levels are reduced as a result of</w:t>
      </w:r>
      <w:r w:rsidR="000E4D5C">
        <w:rPr>
          <w:rFonts w:ascii="Times New Roman" w:hAnsi="Times New Roman" w:cs="Times New Roman"/>
        </w:rPr>
        <w:t xml:space="preserve"> t</w:t>
      </w:r>
      <w:r w:rsidR="000876A5">
        <w:rPr>
          <w:rFonts w:ascii="Times New Roman" w:hAnsi="Times New Roman" w:cs="Times New Roman"/>
        </w:rPr>
        <w:t>he antibody binding</w:t>
      </w:r>
      <w:r w:rsidR="000E4D5C">
        <w:rPr>
          <w:rFonts w:ascii="Times New Roman" w:hAnsi="Times New Roman" w:cs="Times New Roman"/>
        </w:rPr>
        <w:t xml:space="preserve"> to heterodimers of IGF1R and IR</w:t>
      </w:r>
      <w:r w:rsidR="00DF085F">
        <w:rPr>
          <w:rFonts w:ascii="Times New Roman" w:hAnsi="Times New Roman" w:cs="Times New Roman"/>
        </w:rPr>
        <w:t xml:space="preserve"> </w:t>
      </w:r>
      <w:r w:rsidR="00DF085F">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"0264-6021", "PMID" : "9355755", "abstract" : "The insulin receptor (IR) and type 1 insulin-like growth factor (IGF-I) receptor (IGFR) are both widely expressed in mammalian tissues, and are known to be capable of heteromeric assembly as insulin/IGF hybrid receptors, in addition to the classically described receptors. By selective immunoadsorption of radioligand/receptor complexes and by immunoblotting we have determined the fraction of insulin receptors and IGF receptors occurring as hybrids in different tissues. Microsomal membranes were isolated from tissue homogenates and solubilized with Triton X-100. Solubilized receptors were incubated with 125I-IGF-I, and radioligand/receptor complexes bound by IR-specific and IGFR-specific monoclonal antibodies were quantified. The fraction of IGF-I binding sites behaving as hybrids (anti-IR-bound/anti-IGFR-bound) was approx. 40% in liver and spleen, 70% in placenta, and 85-90% in skeletal muscle and heart, similar results being obtained in rabbit and human tissues. There was no correlation between the proportion of hybrids and the ratio of 125I-insulin/125I-IGF-I binding in different tissues. The fraction of 125I-insulin bound to hybrids was too low for accurate quantification, because of the relatively low affinity of hybrids for insulin. The fraction of insulin receptors present in hybrids was therefore determined by immunoblotting. Receptors in solubilized human placental microsomal membranes were precipitated with IR-specific or IGFR-specific monoclonal antibodies, and after SDS/PAGE, blots were prepared and probed with IR-specific and IGFR-specific antisera. It was found that 15% of IR and 80% of IGFR were present in hybrids. Consistent with these figures, the overall level of IR was estimated, by blotting with the respective antibodies at concentrations shown to give equal signals with equal amounts of receptor, to be 4-fold greater than IGFR. Overall it was concluded that a significant fraction of both IR and IGFR occurs as hybrids in most mammalian tissues, including those that are recognized targets of insulin and IGF action. The fraction of hybrids in different tissues was not a simple function of the relative levels of IR and IGFR, possibly because of heterogeneity of receptor expression in different cell types. However, in placenta the proportions of IR, IGFR and hybrids were consistent with a process of random assembly reflecting the molar ratio of IR and IGFR half-receptors.", "author" : [ { "dropping-particle" : "", "family" : "Bailyes", "given" : "E M", "non-dropping-particle" : "", "parse-names" : false, "suffix" : "" }, { "dropping-particle" : "", "family" : "Nav\u00e9", "given" : "B T", "non-dropping-particle" : "", "parse-names" : false, "suffix" : "" }, { "dropping-particle" : "", "family" : "Soos", "given" : "M A", "non-dropping-particle" : "", "parse-names" : false, "suffix" : "" }, { "dropping-particle" : "", "family" : "Orr", "given" : "S R", "non-dropping-particle" : "", "parse-names" : false, "suffix" : "" }, { "dropping-particle" : "", "family" : "Hayward", "given" : "A C", "non-dropping-particle" : "", "parse-names" : false, "suffix" : "" }, { "dropping-particle" : "", "family" : "Siddle", "given" : "K", "non-dropping-particle" : "", "parse-names" : false, "suffix" : "" } ], "container-title" : "The Biochemical journal", "id" : "ITEM-1", "issued" : { "date-parts" : [ [ "1997", "10", "1" ] ] }, "page" : "209-15", "title" : "Insulin receptor/IGF-I receptor hybrids are widely distributed in mammalian tissues: quantification of individual receptor species by selective immunoprecipitation and immunoblotting.", "type" : "article-journal", "volume" : "327 ( Pt 1" }, "uris" : [ "http://www.mendeley.com/documents/?uuid=9de75cfc-a7e9-4604-9dd6-7bed1bd564b5" ] }, { "id" : "ITEM-2", "itemData" : { "ISSN" : "0264-6021", "PMID" : "1698059", "abstract" : "We have demonstrated the formation of hybrid insulin/insulin-like growth factor-I(IGF-I) receptors in transfected rodent fibroblasts, which overexpress human receptors, by examining reactivity with species- and receptor-specific monoclonal antibodies. In NIH 3T3 and Rat 1 fibroblasts, endogenous IGF-I receptors were unreactive with anti-(human insulin receptor)monoclonal antibodies (47-9, 25-49, 83-14, 83-7, 18-44). However, in transfected cells expressing high levels of insulin receptors, 60-80% of high-affinity IGF-I receptors reacted with these antibodies, as assessed either by inhibition of ligand binding in intact cells or by precipitation of solubilized receptors. Conversely, endogenous insulin receptors in NIH 3T3 cells were unreactive with anti-(IGF-I receptor) antibodies alpha IR-3 and 16-13. However, approx. 50% of high-affinity insulin receptors reacted with these antibodies in cells expressing high levels of human IGF-I receptors. The hybrid receptors in transfected cells bound insulin or IGF-I with high affinity. However, responses to these ligands were asymmetrical, in that binding of IGF-I inhibited subsequent binding of insulin, but prior binding of insulin did not affect the affinity for IGF-I. The existence of hybrid receptors in normal tissues could have important implications for metabolic regulation by insulin and IGF-I.", "author" : [ { "dropping-particle" : "", "family" : "Soos", "given" : "M A", "non-dropping-particle" : "", "parse-names" : false, "suffix" : "" }, { "dropping-particle" : "", "family" : "Whittaker", "given" : "J", "non-dropping-particle" : "", "parse-names" : false, "suffix" : "" }, { "dropping-particle" : "", "family" : "Lammers", "given" : "R", "non-dropping-particle" : "", "parse-names" : false, "suffix" : "" }, { "dropping-particle" : "", "family" : "Ullrich", "given" : "A", "non-dropping-particle" : "", "parse-names" : false, "suffix" : "" }, { "dropping-particle" : "", "family" : "Siddle", "given" : "K", "non-dropping-particle" : "", "parse-names" : false, "suffix" : "" } ], "container-title" : "The Biochemical journal", "id" : "ITEM-2", "issue" : "2", "issued" : { "date-parts" : [ [ "1990", "9", "1" ] ] }, "page" : "383-90", "title" : "Receptors for insulin and insulin-like growth factor-I can form hybrid dimers. Characterisation of hybrid receptors in transfected cells.", "type" : "article-journal", "volume" : "270" }, "uris" : [ "http://www.mendeley.com/documents/?uuid=d85e51a0-1acd-46ce-8487-53321ae6fa1c" ] } ], "mendeley" : { "formattedCitation" : "(Bailyes et al. 1997; Soos et al. 1990)", "plainTextFormattedCitation" : "(Bailyes et al. 1997; Soos et al. 1990)", "previouslyFormattedCitation" : "(Bailyes et al. 1997; Soos et al. 1990)" }, "properties" : { "noteIndex" : 0 }, "schema" : "https://github.com/citation-style-language/schema/raw/master/csl-citation.json" }</w:instrText>
      </w:r>
      <w:r w:rsidR="00DF085F">
        <w:rPr>
          <w:rFonts w:ascii="Times New Roman" w:hAnsi="Times New Roman" w:cs="Times New Roman"/>
        </w:rPr>
        <w:fldChar w:fldCharType="separate"/>
      </w:r>
      <w:r w:rsidR="00C148FC" w:rsidRPr="00C148FC">
        <w:rPr>
          <w:rFonts w:ascii="Times New Roman" w:hAnsi="Times New Roman" w:cs="Times New Roman"/>
          <w:noProof/>
        </w:rPr>
        <w:t>(Bailyes et al. 1997; Soos et al. 1990)</w:t>
      </w:r>
      <w:r w:rsidR="00DF085F">
        <w:rPr>
          <w:rFonts w:ascii="Times New Roman" w:hAnsi="Times New Roman" w:cs="Times New Roman"/>
        </w:rPr>
        <w:fldChar w:fldCharType="end"/>
      </w:r>
      <w:r w:rsidR="00E12609">
        <w:rPr>
          <w:rFonts w:ascii="Times New Roman" w:hAnsi="Times New Roman" w:cs="Times New Roman"/>
        </w:rPr>
        <w:t>. F</w:t>
      </w:r>
      <w:r w:rsidR="000876A5">
        <w:rPr>
          <w:rFonts w:ascii="Times New Roman" w:hAnsi="Times New Roman" w:cs="Times New Roman"/>
        </w:rPr>
        <w:t xml:space="preserve">ormation of </w:t>
      </w:r>
      <w:r w:rsidR="00E12609">
        <w:rPr>
          <w:rFonts w:ascii="Times New Roman" w:hAnsi="Times New Roman" w:cs="Times New Roman"/>
        </w:rPr>
        <w:t>IGF1R and IR heterodimers</w:t>
      </w:r>
      <w:r w:rsidR="000E4D5C">
        <w:rPr>
          <w:rFonts w:ascii="Times New Roman" w:hAnsi="Times New Roman" w:cs="Times New Roman"/>
        </w:rPr>
        <w:t xml:space="preserve"> have not been reported in</w:t>
      </w:r>
      <w:r w:rsidR="00C624F8">
        <w:rPr>
          <w:rFonts w:ascii="Times New Roman" w:hAnsi="Times New Roman" w:cs="Times New Roman"/>
        </w:rPr>
        <w:t xml:space="preserve"> human</w:t>
      </w:r>
      <w:r w:rsidR="000E4D5C">
        <w:rPr>
          <w:rFonts w:ascii="Times New Roman" w:hAnsi="Times New Roman" w:cs="Times New Roman"/>
        </w:rPr>
        <w:t xml:space="preserve"> astrocytes</w:t>
      </w:r>
      <w:r w:rsidR="00E12609">
        <w:rPr>
          <w:rFonts w:ascii="Times New Roman" w:hAnsi="Times New Roman" w:cs="Times New Roman"/>
        </w:rPr>
        <w:t xml:space="preserve"> but since both receptors are expressed in </w:t>
      </w:r>
      <w:r w:rsidR="00327218">
        <w:rPr>
          <w:rFonts w:ascii="Times New Roman" w:hAnsi="Times New Roman" w:cs="Times New Roman"/>
        </w:rPr>
        <w:t>these cells</w:t>
      </w:r>
      <w:r w:rsidR="00E12609">
        <w:rPr>
          <w:rFonts w:ascii="Times New Roman" w:hAnsi="Times New Roman" w:cs="Times New Roman"/>
        </w:rPr>
        <w:t xml:space="preserve"> this is likely</w:t>
      </w:r>
      <w:r w:rsidR="00A51E78">
        <w:rPr>
          <w:rFonts w:ascii="Times New Roman" w:hAnsi="Times New Roman" w:cs="Times New Roman"/>
        </w:rPr>
        <w:t xml:space="preserve"> to occur</w:t>
      </w:r>
      <w:r w:rsidR="000876A5">
        <w:rPr>
          <w:rFonts w:ascii="Times New Roman" w:hAnsi="Times New Roman" w:cs="Times New Roman"/>
        </w:rPr>
        <w:t>.</w:t>
      </w:r>
      <w:r w:rsidR="000E4D5C">
        <w:rPr>
          <w:rFonts w:ascii="Times New Roman" w:hAnsi="Times New Roman" w:cs="Times New Roman"/>
        </w:rPr>
        <w:t xml:space="preserve"> </w:t>
      </w:r>
      <w:r w:rsidR="00825282">
        <w:rPr>
          <w:rFonts w:ascii="Times New Roman" w:hAnsi="Times New Roman" w:cs="Times New Roman"/>
        </w:rPr>
        <w:t xml:space="preserve">Taken together, this shows that IGF1R levels can be reduced for up to 96 hours after the initial </w:t>
      </w:r>
      <w:r w:rsidR="00507E39">
        <w:rPr>
          <w:rFonts w:ascii="Times New Roman" w:hAnsi="Times New Roman" w:cs="Times New Roman"/>
        </w:rPr>
        <w:t>MAB391 treatment. At the same time,</w:t>
      </w:r>
      <w:r w:rsidR="00825282">
        <w:rPr>
          <w:rFonts w:ascii="Times New Roman" w:hAnsi="Times New Roman" w:cs="Times New Roman"/>
        </w:rPr>
        <w:t xml:space="preserve"> insulin receptor </w:t>
      </w:r>
      <w:r w:rsidR="00CB2DF2">
        <w:rPr>
          <w:rFonts w:ascii="Times New Roman" w:hAnsi="Times New Roman" w:cs="Times New Roman"/>
        </w:rPr>
        <w:t>levels we</w:t>
      </w:r>
      <w:r w:rsidR="00507E39">
        <w:rPr>
          <w:rFonts w:ascii="Times New Roman" w:hAnsi="Times New Roman" w:cs="Times New Roman"/>
        </w:rPr>
        <w:t>re also reduced but astrocytes compensate for these losses and restore</w:t>
      </w:r>
      <w:r w:rsidR="00CB2DF2">
        <w:rPr>
          <w:rFonts w:ascii="Times New Roman" w:hAnsi="Times New Roman" w:cs="Times New Roman"/>
        </w:rPr>
        <w:t>d</w:t>
      </w:r>
      <w:r w:rsidR="00825282">
        <w:rPr>
          <w:rFonts w:ascii="Times New Roman" w:hAnsi="Times New Roman" w:cs="Times New Roman"/>
        </w:rPr>
        <w:t xml:space="preserve"> downstr</w:t>
      </w:r>
      <w:r w:rsidR="001E5947">
        <w:rPr>
          <w:rFonts w:ascii="Times New Roman" w:hAnsi="Times New Roman" w:cs="Times New Roman"/>
        </w:rPr>
        <w:t>eam signalling through Akt</w:t>
      </w:r>
      <w:r w:rsidR="00394D0F">
        <w:rPr>
          <w:rFonts w:ascii="Times New Roman" w:hAnsi="Times New Roman" w:cs="Times New Roman"/>
        </w:rPr>
        <w:t>. A</w:t>
      </w:r>
      <w:r w:rsidR="00825282">
        <w:rPr>
          <w:rFonts w:ascii="Times New Roman" w:hAnsi="Times New Roman" w:cs="Times New Roman"/>
        </w:rPr>
        <w:t xml:space="preserve">strocytes may upregulate the </w:t>
      </w:r>
      <w:r w:rsidR="002644E0">
        <w:rPr>
          <w:rFonts w:ascii="Times New Roman" w:hAnsi="Times New Roman" w:cs="Times New Roman"/>
        </w:rPr>
        <w:t xml:space="preserve">expression of other </w:t>
      </w:r>
      <w:r w:rsidR="00825282">
        <w:rPr>
          <w:rFonts w:ascii="Times New Roman" w:hAnsi="Times New Roman" w:cs="Times New Roman"/>
        </w:rPr>
        <w:t>RTKs or intracellular kinases to drive eleva</w:t>
      </w:r>
      <w:r w:rsidR="001E5947">
        <w:rPr>
          <w:rFonts w:ascii="Times New Roman" w:hAnsi="Times New Roman" w:cs="Times New Roman"/>
        </w:rPr>
        <w:t>ted Akt</w:t>
      </w:r>
      <w:r w:rsidR="00825282">
        <w:rPr>
          <w:rFonts w:ascii="Times New Roman" w:hAnsi="Times New Roman" w:cs="Times New Roman"/>
        </w:rPr>
        <w:t xml:space="preserve"> activity</w:t>
      </w:r>
      <w:r w:rsidR="00E24C30">
        <w:rPr>
          <w:rFonts w:ascii="Times New Roman" w:hAnsi="Times New Roman" w:cs="Times New Roman"/>
        </w:rPr>
        <w:t xml:space="preserve"> and restore signalling</w:t>
      </w:r>
      <w:r w:rsidR="00507E39">
        <w:rPr>
          <w:rFonts w:ascii="Times New Roman" w:hAnsi="Times New Roman" w:cs="Times New Roman"/>
        </w:rPr>
        <w:t xml:space="preserve"> through this pathway</w:t>
      </w:r>
      <w:r w:rsidR="00825282">
        <w:rPr>
          <w:rFonts w:ascii="Times New Roman" w:hAnsi="Times New Roman" w:cs="Times New Roman"/>
        </w:rPr>
        <w:t xml:space="preserve">. </w:t>
      </w:r>
      <w:r w:rsidR="00507E39">
        <w:rPr>
          <w:rFonts w:ascii="Times New Roman" w:hAnsi="Times New Roman" w:cs="Times New Roman"/>
        </w:rPr>
        <w:t xml:space="preserve">Previously, use of MAB391 in colorectal cells </w:t>
      </w:r>
      <w:r w:rsidR="003C5D6F">
        <w:rPr>
          <w:rFonts w:ascii="Times New Roman" w:hAnsi="Times New Roman" w:cs="Times New Roman"/>
        </w:rPr>
        <w:t>showed</w:t>
      </w:r>
      <w:r w:rsidR="00507E39">
        <w:rPr>
          <w:rFonts w:ascii="Times New Roman" w:hAnsi="Times New Roman" w:cs="Times New Roman"/>
        </w:rPr>
        <w:t xml:space="preserve"> that loss of IGF1R results in</w:t>
      </w:r>
      <w:r w:rsidR="00CB2DF2">
        <w:rPr>
          <w:rFonts w:ascii="Times New Roman" w:hAnsi="Times New Roman" w:cs="Times New Roman"/>
        </w:rPr>
        <w:t xml:space="preserve"> a compensatory increase</w:t>
      </w:r>
      <w:r w:rsidR="00A176FC">
        <w:rPr>
          <w:rFonts w:ascii="Times New Roman" w:hAnsi="Times New Roman" w:cs="Times New Roman"/>
        </w:rPr>
        <w:t xml:space="preserve"> in insulin receptor activation</w:t>
      </w:r>
      <w:r w:rsidR="00507E39">
        <w:rPr>
          <w:rFonts w:ascii="Times New Roman" w:hAnsi="Times New Roman" w:cs="Times New Roman"/>
        </w:rPr>
        <w:t xml:space="preserve"> </w:t>
      </w:r>
      <w:r w:rsidR="00A176FC">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"10.1158/1535-7163.MCT-10-0318", "ISSN" : "1538-8514", "PMID" : "20924128", "abstract" : "Insulin-like growth factor-1 receptor (IGF-1R) is a receptor tyrosine kinase (RTK) and critical activator of the phosphatidylinositol 3-kinase-AKT pathway. IGF-1R is required for oncogenic transformation and tumorigenesis. These observations have spurred anticancer drug discovery and development efforts for both biological and small-molecule IGF-1R inhibitors. The ability for one RTK to compensate for another to maintain tumor cell viability is emerging as a common resistance mechanism to antitumor agents targeting individual RTKs. As IGF-1R is structurally and functionally related to the insulin receptor (IR), we asked whether IR is tumorigenic and whether IR-AKT signaling contributes to resistance to IGF-1R inhibition. Both IGF-1R and IR(A) are tumorigenic in a mouse mammary tumor model. In human tumor cells coexpressing IGF-1R and IR, bidirectional cross talk was observed following either knockdown of IR expression or treatment with a selective anti-IGF-1R antibody, MAB391. MAB391 treatment resulted in a compensatory increase in phospho-IR, which was associated with resistance to inhibition of IRS1 and AKT. In contrast, treatment with OSI-906, a small-molecule dual inhibitor of IGF-1R/IR, resulted in enhanced reduction in phospho-IRS1/phospho-AKT relative to MAB391. Insulin or IGF-2 activated the IR-AKT pathway and decreased sensitivity to MAB391 but not to OSI-906. In tumor cells with an autocrine IGF-2 loop, both OSI-906 and an anti-IGF-2 antibody reduced phospho-IR/phospho-AKT, whereas MAB391 was ineffective. Finally, OSI-906 showed superior efficacy compared with MAB391 in human tumor xenograft models in which both IGF-1R and IR were phosphorylated. Collectively, these data indicate that cotargeting IGF-1R and IR may provide superior antitumor efficacy compared with targeting IGF-1R alone.", "author" : [ { "dropping-particle" : "", "family" : "Buck", "given" : "Elizabeth", "non-dropping-particle" : "", "parse-names" : false, "suffix" : "" }, { "dropping-particle" : "", "family" : "Gokhale", "given" : "Prafulla C", "non-dropping-particle" : "", "parse-names" : false, "suffix" : "" }, { "dropping-particle" : "", "family" : "Koujak", "given" : "Susan", "non-dropping-particle" : "", "parse-names" : false, "suffix" : "" }, { "dropping-particle" : "", "family" : "Brown", "given" : "Eric", "non-dropping-particle" : "", "parse-names" : false, "suffix" : "" }, { "dropping-particle" : "", "family" : "Eyzaguirre", "given" : "Alexandra", "non-dropping-particle" : "", "parse-names" : false, "suffix" : "" }, { "dropping-particle" : "", "family" : "Tao", "given" : "Nianjun", "non-dropping-particle" : "", "parse-names" : false, "suffix" : "" }, { "dropping-particle" : "", "family" : "Rosenfeld-Franklin", "given" : "Maryland", "non-dropping-particle" : "", "parse-names" : false, "suffix" : "" }, { "dropping-particle" : "", "family" : "Lerner", "given" : "Lorena", "non-dropping-particle" : "", "parse-names" : false, "suffix" : "" }, { "dropping-particle" : "", "family" : "Chiu", "given" : "M Isabel", "non-dropping-particle" : "", "parse-names" : false, "suffix" : "" }, { "dropping-particle" : "", "family" : "Wild", "given" : "Robert", "non-dropping-particle" : "", "parse-names" : false, "suffix" : "" }, { "dropping-particle" : "", "family" : "Epstein", "given" : "David", "non-dropping-particle" : "", "parse-names" : false, "suffix" : "" }, { "dropping-particle" : "", "family" : "Pachter", "given" : "Jonathan A", "non-dropping-particle" : "", "parse-names" : false, "suffix" : "" }, { "dropping-particle" : "", "family" : "Miglarese", "given" : "Mark R", "non-dropping-particle" : "", "parse-names" : false, "suffix" : "" } ], "container-title" : "Molecular cancer therapeutics", "id" : "ITEM-1", "issue" : "10", "issued" : { "date-parts" : [ [ "2010", "10", "1" ] ] }, "page" : "2652-64", "title" : "Compensatory insulin receptor (IR) activation on inhibition of insulin-like growth factor-1 receptor (IGF-1R): rationale for cotargeting IGF-1R and IR in cancer.", "type" : "article-journal", "volume" : "9" }, "uris" : [ "http://www.mendeley.com/documents/?uuid=43da9cb4-992d-4ed8-abfd-a520d05d5bf1" ] } ], "mendeley" : { "formattedCitation" : "(Buck et al. 2010a)", "manualFormatting" : "(Buck et al., 2010)", "plainTextFormattedCitation" : "(Buck et al. 2010a)", "previouslyFormattedCitation" : "(Buck et al. 2010a)" }, "properties" : { "noteIndex" : 0 }, "schema" : "https://github.com/citation-style-language/schema/raw/master/csl-citation.json" }</w:instrText>
      </w:r>
      <w:r w:rsidR="00A176FC">
        <w:rPr>
          <w:rFonts w:ascii="Times New Roman" w:hAnsi="Times New Roman" w:cs="Times New Roman"/>
        </w:rPr>
        <w:fldChar w:fldCharType="separate"/>
      </w:r>
      <w:r w:rsidR="00FC21F1">
        <w:rPr>
          <w:rFonts w:ascii="Times New Roman" w:hAnsi="Times New Roman" w:cs="Times New Roman"/>
          <w:noProof/>
        </w:rPr>
        <w:t>(Buck et al., 2010</w:t>
      </w:r>
      <w:r w:rsidR="00E15E05" w:rsidRPr="00E15E05">
        <w:rPr>
          <w:rFonts w:ascii="Times New Roman" w:hAnsi="Times New Roman" w:cs="Times New Roman"/>
          <w:noProof/>
        </w:rPr>
        <w:t>)</w:t>
      </w:r>
      <w:r w:rsidR="00A176FC">
        <w:rPr>
          <w:rFonts w:ascii="Times New Roman" w:hAnsi="Times New Roman" w:cs="Times New Roman"/>
        </w:rPr>
        <w:fldChar w:fldCharType="end"/>
      </w:r>
      <w:r w:rsidR="0001541C">
        <w:rPr>
          <w:rFonts w:ascii="Times New Roman" w:hAnsi="Times New Roman" w:cs="Times New Roman"/>
        </w:rPr>
        <w:t>, indicating cross-talk between these pathways</w:t>
      </w:r>
      <w:r w:rsidR="00A176FC">
        <w:rPr>
          <w:rFonts w:ascii="Times New Roman" w:hAnsi="Times New Roman" w:cs="Times New Roman"/>
        </w:rPr>
        <w:t>. Therefore, despite lower levels of IR being observed at 96 hours after MAB391 treatment</w:t>
      </w:r>
      <w:r w:rsidR="00507E39">
        <w:rPr>
          <w:rFonts w:ascii="Times New Roman" w:hAnsi="Times New Roman" w:cs="Times New Roman"/>
        </w:rPr>
        <w:t>,</w:t>
      </w:r>
      <w:r w:rsidR="00A176FC">
        <w:rPr>
          <w:rFonts w:ascii="Times New Roman" w:hAnsi="Times New Roman" w:cs="Times New Roman"/>
        </w:rPr>
        <w:t xml:space="preserve"> there may be increased activation of this receptor to restore downstream signalling. </w:t>
      </w:r>
      <w:r w:rsidR="00327218">
        <w:rPr>
          <w:rFonts w:ascii="Times New Roman" w:hAnsi="Times New Roman" w:cs="Times New Roman"/>
        </w:rPr>
        <w:t>To further investigate this, an antibody detecting phosphorylated IR would need to be used.</w:t>
      </w:r>
    </w:p>
    <w:p w14:paraId="223D168C" w14:textId="77777777" w:rsidR="00086871" w:rsidRDefault="00507E39" w:rsidP="00C63BC1">
      <w:pPr>
        <w:spacing w:line="360" w:lineRule="auto"/>
        <w:jc w:val="both"/>
        <w:rPr>
          <w:rFonts w:ascii="Times New Roman" w:hAnsi="Times New Roman" w:cs="Times New Roman"/>
        </w:rPr>
      </w:pPr>
      <w:r>
        <w:rPr>
          <w:rFonts w:ascii="Times New Roman" w:hAnsi="Times New Roman" w:cs="Times New Roman"/>
        </w:rPr>
        <w:t xml:space="preserve"> </w:t>
      </w:r>
    </w:p>
    <w:p w14:paraId="43E1EF19" w14:textId="718475EC" w:rsidR="001628E4" w:rsidRDefault="00507E39" w:rsidP="00C63BC1">
      <w:pPr>
        <w:spacing w:line="360" w:lineRule="auto"/>
        <w:jc w:val="both"/>
        <w:rPr>
          <w:rFonts w:ascii="Times New Roman" w:hAnsi="Times New Roman" w:cs="Times New Roman"/>
        </w:rPr>
      </w:pPr>
      <w:r>
        <w:rPr>
          <w:rFonts w:ascii="Times New Roman" w:hAnsi="Times New Roman" w:cs="Times New Roman"/>
        </w:rPr>
        <w:t>Compensatory signalling mechanisms displayed by human astrocytes</w:t>
      </w:r>
      <w:r w:rsidR="000F2D7C">
        <w:rPr>
          <w:rFonts w:ascii="Times New Roman" w:hAnsi="Times New Roman" w:cs="Times New Roman"/>
        </w:rPr>
        <w:t xml:space="preserve"> </w:t>
      </w:r>
      <w:r>
        <w:rPr>
          <w:rFonts w:ascii="Times New Roman" w:hAnsi="Times New Roman" w:cs="Times New Roman"/>
        </w:rPr>
        <w:t>have also been identified in many cancer cell lines in response to RTK treatment.</w:t>
      </w:r>
      <w:r w:rsidR="004A750D">
        <w:rPr>
          <w:rFonts w:ascii="Times New Roman" w:hAnsi="Times New Roman" w:cs="Times New Roman"/>
        </w:rPr>
        <w:t xml:space="preserve"> RTK inhibitors and antibodies have </w:t>
      </w:r>
      <w:r w:rsidR="001628E4">
        <w:rPr>
          <w:rFonts w:ascii="Times New Roman" w:hAnsi="Times New Roman" w:cs="Times New Roman"/>
        </w:rPr>
        <w:t>been designed by pharmaceutical companies</w:t>
      </w:r>
      <w:r w:rsidR="004A750D">
        <w:rPr>
          <w:rFonts w:ascii="Times New Roman" w:hAnsi="Times New Roman" w:cs="Times New Roman"/>
        </w:rPr>
        <w:t xml:space="preserve"> to target certain cancers where there is</w:t>
      </w:r>
      <w:r w:rsidR="00394D0F">
        <w:rPr>
          <w:rFonts w:ascii="Times New Roman" w:hAnsi="Times New Roman" w:cs="Times New Roman"/>
        </w:rPr>
        <w:t xml:space="preserve"> RTK</w:t>
      </w:r>
      <w:r w:rsidR="004A750D">
        <w:rPr>
          <w:rFonts w:ascii="Times New Roman" w:hAnsi="Times New Roman" w:cs="Times New Roman"/>
        </w:rPr>
        <w:t xml:space="preserve"> overexpression</w:t>
      </w:r>
      <w:r w:rsidR="00394D0F">
        <w:rPr>
          <w:rFonts w:ascii="Times New Roman" w:hAnsi="Times New Roman" w:cs="Times New Roman"/>
        </w:rPr>
        <w:t xml:space="preserve"> or activity</w:t>
      </w:r>
      <w:r w:rsidR="004A750D">
        <w:rPr>
          <w:rFonts w:ascii="Times New Roman" w:hAnsi="Times New Roman" w:cs="Times New Roman"/>
        </w:rPr>
        <w:t xml:space="preserve"> </w:t>
      </w:r>
      <w:r>
        <w:rPr>
          <w:rFonts w:ascii="Times New Roman" w:hAnsi="Times New Roman" w:cs="Times New Roman"/>
        </w:rPr>
        <w:t>in order to inhibit</w:t>
      </w:r>
      <w:r w:rsidR="004A750D">
        <w:rPr>
          <w:rFonts w:ascii="Times New Roman" w:hAnsi="Times New Roman" w:cs="Times New Roman"/>
        </w:rPr>
        <w:t xml:space="preserve"> cell proliferation. However, the effectiveness o</w:t>
      </w:r>
      <w:r w:rsidR="000F2D7C">
        <w:rPr>
          <w:rFonts w:ascii="Times New Roman" w:hAnsi="Times New Roman" w:cs="Times New Roman"/>
        </w:rPr>
        <w:t>f these RTK inhibitors is short-</w:t>
      </w:r>
      <w:r w:rsidR="004A750D">
        <w:rPr>
          <w:rFonts w:ascii="Times New Roman" w:hAnsi="Times New Roman" w:cs="Times New Roman"/>
        </w:rPr>
        <w:t>lived as the cancer cells can compensate for reduced activation of a single receptor and empower another RTK or intracellular kinase to restore downstream signalling</w:t>
      </w:r>
      <w:r w:rsidR="000F2D7C">
        <w:rPr>
          <w:rFonts w:ascii="Times New Roman" w:hAnsi="Times New Roman" w:cs="Times New Roman"/>
        </w:rPr>
        <w:t xml:space="preserve"> </w:t>
      </w:r>
      <w:r w:rsidR="000F2D7C">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"10.1016/j.tibs.2014.08.010", "ISBN" : "doi:10.1016/j.tibs.2014.08.010", "ISSN" : "0968-0004", "PMID" : "25239057", "abstract" : "Mammalian cells have multiple regulatory mechanisms to deal with perturbations in cellular homeostasis, including feedback loops and crosstalk between the major signaling pathways. While these mechanisms are critically required to help cells survive under dynamic physiological circumstances, they also pose an impediment to the effective treatment of cancer. In this review, we describe what has been learned about interactions between receptor tyrosine kinase-dependent signaling pathways, and how this knowledge can be used to design rational and more effective combination therapies for cancer.", "author" : [ { "dropping-particle" : "", "family" : "Sun", "given" : "Chong", "non-dropping-particle" : "", "parse-names" : false, "suffix" : "" }, { "dropping-particle" : "", "family" : "Bernards", "given" : "Ren\u00e9", "non-dropping-particle" : "", "parse-names" : false, "suffix" : "" } ], "container-title" : "Trends in biochemical sciences", "id" : "ITEM-1", "issue" : "10", "issued" : { "date-parts" : [ [ "2014", "10", "1" ] ] }, "language" : "English", "page" : "465-74", "publisher" : "Elsevier", "title" : "Feedback and redundancy in receptor tyrosine kinase signaling: relevance to cancer therapies.", "type" : "article-journal", "volume" : "39" }, "uris" : [ "http://www.mendeley.com/documents/?uuid=a5900dc8-a914-47a7-bf25-bac03d6106e9" ] } ], "mendeley" : { "formattedCitation" : "(Sun &amp; Bernards 2014)", "plainTextFormattedCitation" : "(Sun &amp; Bernards 2014)", "previouslyFormattedCitation" : "(Sun &amp; Bernards 2014)" }, "properties" : { "noteIndex" : 0 }, "schema" : "https://github.com/citation-style-language/schema/raw/master/csl-citation.json" }</w:instrText>
      </w:r>
      <w:r w:rsidR="000F2D7C">
        <w:rPr>
          <w:rFonts w:ascii="Times New Roman" w:hAnsi="Times New Roman" w:cs="Times New Roman"/>
        </w:rPr>
        <w:fldChar w:fldCharType="separate"/>
      </w:r>
      <w:r w:rsidR="00C148FC" w:rsidRPr="00C148FC">
        <w:rPr>
          <w:rFonts w:ascii="Times New Roman" w:hAnsi="Times New Roman" w:cs="Times New Roman"/>
          <w:noProof/>
        </w:rPr>
        <w:t>(Sun &amp; Bernards 2014)</w:t>
      </w:r>
      <w:r w:rsidR="000F2D7C">
        <w:rPr>
          <w:rFonts w:ascii="Times New Roman" w:hAnsi="Times New Roman" w:cs="Times New Roman"/>
        </w:rPr>
        <w:fldChar w:fldCharType="end"/>
      </w:r>
      <w:r w:rsidR="000F2D7C">
        <w:rPr>
          <w:rFonts w:ascii="Times New Roman" w:hAnsi="Times New Roman" w:cs="Times New Roman"/>
        </w:rPr>
        <w:t>.</w:t>
      </w:r>
      <w:r w:rsidR="004A750D">
        <w:rPr>
          <w:rFonts w:ascii="Times New Roman" w:hAnsi="Times New Roman" w:cs="Times New Roman"/>
        </w:rPr>
        <w:t xml:space="preserve"> </w:t>
      </w:r>
      <w:r w:rsidR="00F26F6D">
        <w:rPr>
          <w:rFonts w:ascii="Times New Roman" w:hAnsi="Times New Roman" w:cs="Times New Roman"/>
        </w:rPr>
        <w:t>For ex</w:t>
      </w:r>
      <w:r>
        <w:rPr>
          <w:rFonts w:ascii="Times New Roman" w:hAnsi="Times New Roman" w:cs="Times New Roman"/>
        </w:rPr>
        <w:t>ample, resistance to EGFR or HER</w:t>
      </w:r>
      <w:r w:rsidR="00F26F6D">
        <w:rPr>
          <w:rFonts w:ascii="Times New Roman" w:hAnsi="Times New Roman" w:cs="Times New Roman"/>
        </w:rPr>
        <w:t>2 TKI’s is overcome in cancer cells by increasing level</w:t>
      </w:r>
      <w:r w:rsidR="00833EC0">
        <w:rPr>
          <w:rFonts w:ascii="Times New Roman" w:hAnsi="Times New Roman" w:cs="Times New Roman"/>
        </w:rPr>
        <w:t xml:space="preserve">s or activity of MET and IGF1R </w:t>
      </w:r>
      <w:r w:rsidR="00833EC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"10.1126/science.1141478", "ISSN" : "1095-9203", "PMID" : "17463250", "abstract" : "The epidermal growth factor receptor (EGFR) kinase inhibitors gefitinib and erlotinib are effective treatments for lung cancers with EGFR activating mutations, but these tumors invariably develop drug resistance. Here, we describe a gefitinib-sensitive lung cancer cell line that developed resistance to gefitinib as a result of focal amplification of the MET proto-oncogene. inhibition of MET signaling in these cells restored their sensitivity to gefitinib. MET amplification was detected in 4 of 18 (22%) lung cancer specimens that had developed resistance to gefitinib or erlotinib. We find that amplification of MET causes gefitinib resistance by driving ERBB3 (HER3)-dependent activation of PI3K, a pathway thought to be specific to EGFR/ERBB family receptors. Thus, we propose that MET amplification may promote drug resistance in other ERBB-driven cancers as well.", "author" : [ { "dropping-particle" : "", "family" : "Engelman", "given" : "Jeffrey A", "non-dropping-particle" : "", "parse-names" : false, "suffix" : "" }, { "dropping-particle" : "", "family" : "Zejnullahu", "given" : "Kreshnik", "non-dropping-particle" : "", "parse-names" : false, "suffix" : "" }, { "dropping-particle" : "", "family" : "Mitsudomi", "given" : "Tetsuya", "non-dropping-particle" : "", "parse-names" : false, "suffix" : "" }, { "dropping-particle" : "", "family" : "Song", "given" : "Youngchul", "non-dropping-particle" : "", "parse-names" : false, "suffix" : "" }, { "dropping-particle" : "", "family" : "Hyland", "given" : "Courtney", "non-dropping-particle" : "", "parse-names" : false, "suffix" : "" }, { "dropping-particle" : "", "family" : "Park", "given" : "Joon Oh", "non-dropping-particle" : "", "parse-names" : false, "suffix" : "" }, { "dropping-particle" : "", "family" : "Lindeman", "given" : "Neal", "non-dropping-particle" : "", "parse-names" : false, "suffix" : "" }, { "dropping-particle" : "", "family" : "Gale", "given" : "Christopher-Michael", "non-dropping-particle" : "", "parse-names" : false, "suffix" : "" }, { "dropping-particle" : "", "family" : "Zhao", "given" : "Xiaojun", "non-dropping-particle" : "", "parse-names" : false, "suffix" : "" }, { "dropping-particle" : "", "family" : "Christensen", "given" : "James", "non-dropping-particle" : "", "parse-names" : false, "suffix" : "" }, { "dropping-particle" : "", "family" : "Kosaka", "given" : "Takayuki", "non-dropping-particle" : "", "parse-names" : false, "suffix" : "" }, { "dropping-particle" : "", "family" : "Holmes", "given" : "Alison J", "non-dropping-particle" : "", "parse-names" : false, "suffix" : "" }, { "dropping-particle" : "", "family" : "Rogers", "given" : "Andrew M", "non-dropping-particle" : "", "parse-names" : false, "suffix" : "" }, { "dropping-particle" : "", "family" : "Cappuzzo", "given" : "Federico", "non-dropping-particle" : "", "parse-names" : false, "suffix" : "" }, { "dropping-particle" : "", "family" : "Mok", "given" : "Tony", "non-dropping-particle" : "", "parse-names" : false, "suffix" : "" }, { "dropping-particle" : "", "family" : "Lee", "given" : "Charles", "non-dropping-particle" : "", "parse-names" : false, "suffix" : "" }, { "dropping-particle" : "", "family" : "Johnson", "given" : "Bruce E", "non-dropping-particle" : "", "parse-names" : false, "suffix" : "" }, { "dropping-particle" : "", "family" : "Cantley", "given" : "Lewis C", "non-dropping-particle" : "", "parse-names" : false, "suffix" : "" }, { "dropping-particle" : "", "family" : "J\u00e4nne", "given" : "Pasi A", "non-dropping-particle" : "", "parse-names" : false, "suffix" : "" } ], "container-title" : "Science (New York, N.Y.)", "id" : "ITEM-1", "issue" : "5827", "issued" : { "date-parts" : [ [ "2007", "5", "18" ] ] }, "page" : "1039-43", "title" : "MET amplification leads to gefitinib resistance in lung cancer by activating ERBB3 signaling.", "type" : "article-journal", "volume" : "316" }, "uris" : [ "http://www.mendeley.com/documents/?uuid=c9f0bd8f-8735-4f50-b082-c63b60898aba" ] }, { "id" : "ITEM-2", "itemData" : { "DOI" : "10.1073/pnas.0710370104", "ISSN" : "1091-6490", "PMID" : "18093943", "abstract" : "In human lung adenocarcinomas harboring EGFR mutations, a second-site point mutation that substitutes methionine for threonine at position 790 (T790M) is associated with approximately half of cases of acquired resistance to the EGFR kinase inhibitors, gefitinib and erlotinib. To identify other potential mechanisms that contribute to disease progression, we used array-based comparative genomic hybridization (aCGH) to compare genomic profiles of EGFR mutant tumors from untreated patients with those from patients with acquired resistance. Among three loci demonstrating recurrent copy number alterations (CNAs) specific to the acquired resistance set, one contained the MET proto-oncogene. Collectively, analysis of tumor samples from multiple independent patient cohorts revealed that MET was amplified in tumors from 9 of 43 (21%) patients with acquired resistance but in only two tumors from 62 untreated patients (3%) (P = 0.007, Fisher's Exact test). Among 10 resistant tumors from the nine patients with MET amplification, 4 also harbored the EGFR(T790M) mutation. We also found that an existing EGFR mutant lung adenocarcinoma cell line, NCI-H820, harbors MET amplification in addition to a drug-sensitive EGFR mutation and the T790M change. Growth inhibition studies demonstrate that these cells are resistant to both erlotinib and an irreversible EGFR inhibitor (CL-387,785) but sensitive to a multikinase inhibitor (XL880) with potent activity against MET. Taken together, these data suggest that MET amplification occurs independently of EGFR(T790M) mutations and that MET may be a clinically relevant therapeutic target for some patients with acquired resistance to gefitinib or erlotinib.", "author" : [ { "dropping-particle" : "", "family" : "Bean", "given" : "James", "non-dropping-particle" : "", "parse-names" : false, "suffix" : "" }, { "dropping-particle" : "", "family" : "Brennan", "given" : "Cameron", "non-dropping-particle" : "", "parse-names" : false, "suffix" : "" }, { "dropping-particle" : "", "family" : "Shih", "given" : "Jin-Yuan", "non-dropping-particle" : "", "parse-names" : false, "suffix" : "" }, { "dropping-particle" : "", "family" : "Riely", "given" : "Gregory", "non-dropping-particle" : "", "parse-names" : false, "suffix" : "" }, { "dropping-particle" : "", "family" : "Viale", "given" : "Agnes", "non-dropping-particle" : "", "parse-names" : false, "suffix" : "" }, { "dropping-particle" : "", "family" : "Wang", "given" : "Lu", "non-dropping-particle" : "", "parse-names" : false, "suffix" : "" }, { "dropping-particle" : "", "family" : "Chitale", "given" : "Dhananjay", "non-dropping-particle" : "", "parse-names" : false, "suffix" : "" }, { "dropping-particle" : "", "family" : "Motoi", "given" : "Noriko", "non-dropping-particle" : "", "parse-names" : false, "suffix" : "" }, { "dropping-particle" : "", "family" : "Szoke", "given" : "Janos", "non-dropping-particle" : "", "parse-names" : false, "suffix" : "" }, { "dropping-particle" : "", "family" : "Broderick", "given" : "Stephen", "non-dropping-particle" : "", "parse-names" : false, "suffix" : "" }, { "dropping-particle" : "", "family" : "Balak", "given" : "Marissa", "non-dropping-particle" : "", "parse-names" : false, "suffix" : "" }, { "dropping-particle" : "", "family" : "Chang", "given" : "Wen-Cheng", "non-dropping-particle" : "", "parse-names" : false, "suffix" : "" }, { "dropping-particle" : "", "family" : "Yu", "given" : "Chong-Jen", "non-dropping-particle" : "", "parse-names" : false, "suffix" : "" }, { "dropping-particle" : "", "family" : "Gazdar", "given" : "Adi", "non-dropping-particle" : "", "parse-names" : false, "suffix" : "" }, { "dropping-particle" : "", "family" : "Pass", "given" : "Harvey", "non-dropping-particle" : "", "parse-names" : false, "suffix" : "" }, { "dropping-particle" : "", "family" : "Rusch", "given" : "Valerie", "non-dropping-particle" : "", "parse-names" : false, "suffix" : "" }, { "dropping-particle" : "", "family" : "Gerald", "given" : "William", "non-dropping-particle" : "", "parse-names" : false, "suffix" : "" }, { "dropping-particle" : "", "family" : "Huang", "given" : "Shiu-Feng", "non-dropping-particle" : "", "parse-names" : false, "suffix" : "" }, { "dropping-particle" : "", "family" : "Yang", "given" : "Pan-Chyr", "non-dropping-particle" : "", "parse-names" : false, "suffix" : "" }, { "dropping-particle" : "", "family" : "Miller", "given" : "Vincent", "non-dropping-particle" : "", "parse-names" : false, "suffix" : "" }, { "dropping-particle" : "", "family" : "Ladanyi", "given" : "Marc", "non-dropping-particle" : "", "parse-names" : false, "suffix" : "" }, { "dropping-particle" : "", "family" : "Yang", "given" : "Chih-Hsin", "non-dropping-particle" : "", "parse-names" : false, "suffix" : "" }, { "dropping-particle" : "", "family" : "Pao", "given" : "William", "non-dropping-particle" : "", "parse-names" : false, "suffix" : "" } ], "container-title" : "Proceedings of the National Academy of Sciences of the United States of America", "id" : "ITEM-2", "issue" : "52", "issued" : { "date-parts" : [ [ "2007", "12", "26" ] ] }, "page" : "20932-7", "title" : "MET amplification occurs with or without T790M mutations in EGFR mutant lung tumors with acquired resistance to gefitinib or erlotinib.", "type" : "article-journal", "volume" : "104" }, "uris" : [ "http://www.mendeley.com/documents/?uuid=682d8a4c-1c50-4a6e-8938-e8b0494b2ec7" ] } ], "mendeley" : { "formattedCitation" : "(Engelman et al. 2007; Bean et al. 2007)", "plainTextFormattedCitation" : "(Engelman et al. 2007; Bean et al. 2007)", "previouslyFormattedCitation" : "(Engelman et al. 2007; Bean et al. 2007)" }, "properties" : { "noteIndex" : 0 }, "schema" : "https://github.com/citation-style-language/schema/raw/master/csl-citation.json" }</w:instrText>
      </w:r>
      <w:r w:rsidR="00833EC0">
        <w:rPr>
          <w:rFonts w:ascii="Times New Roman" w:hAnsi="Times New Roman" w:cs="Times New Roman"/>
        </w:rPr>
        <w:fldChar w:fldCharType="separate"/>
      </w:r>
      <w:r w:rsidR="00C148FC" w:rsidRPr="00C148FC">
        <w:rPr>
          <w:rFonts w:ascii="Times New Roman" w:hAnsi="Times New Roman" w:cs="Times New Roman"/>
          <w:noProof/>
        </w:rPr>
        <w:t>(Engelman et al. 2007; Bean et al. 2007)</w:t>
      </w:r>
      <w:r w:rsidR="00833EC0">
        <w:rPr>
          <w:rFonts w:ascii="Times New Roman" w:hAnsi="Times New Roman" w:cs="Times New Roman"/>
        </w:rPr>
        <w:fldChar w:fldCharType="end"/>
      </w:r>
      <w:r w:rsidR="00833EC0">
        <w:rPr>
          <w:rFonts w:ascii="Times New Roman" w:hAnsi="Times New Roman" w:cs="Times New Roman"/>
        </w:rPr>
        <w:t xml:space="preserve">. </w:t>
      </w:r>
      <w:r w:rsidR="00C624F8">
        <w:rPr>
          <w:rFonts w:ascii="Times New Roman" w:hAnsi="Times New Roman" w:cs="Times New Roman"/>
        </w:rPr>
        <w:t>Similarly, loss of IGF1R in astrocytes may result</w:t>
      </w:r>
      <w:r w:rsidR="00CB2DF2">
        <w:rPr>
          <w:rFonts w:ascii="Times New Roman" w:hAnsi="Times New Roman" w:cs="Times New Roman"/>
        </w:rPr>
        <w:t xml:space="preserve"> in increased expression of RTK</w:t>
      </w:r>
      <w:r w:rsidR="00C624F8">
        <w:rPr>
          <w:rFonts w:ascii="Times New Roman" w:hAnsi="Times New Roman" w:cs="Times New Roman"/>
        </w:rPr>
        <w:t xml:space="preserve">s such as EGFR to compensate for reduced downstream signalling. </w:t>
      </w:r>
    </w:p>
    <w:p w14:paraId="163E1B25" w14:textId="77777777" w:rsidR="00985277" w:rsidRDefault="00985277" w:rsidP="00C63BC1">
      <w:pPr>
        <w:spacing w:line="360" w:lineRule="auto"/>
        <w:jc w:val="both"/>
        <w:rPr>
          <w:rFonts w:ascii="Times New Roman" w:hAnsi="Times New Roman" w:cs="Times New Roman"/>
        </w:rPr>
      </w:pPr>
    </w:p>
    <w:p w14:paraId="67A40B11" w14:textId="70B14B5F" w:rsidR="00985277" w:rsidRDefault="0062211D" w:rsidP="00C63BC1">
      <w:pPr>
        <w:pStyle w:val="Heading3"/>
        <w:jc w:val="both"/>
      </w:pPr>
      <w:bookmarkStart w:id="1173" w:name="_Toc328301154"/>
      <w:bookmarkStart w:id="1174" w:name="_Toc329593445"/>
      <w:bookmarkStart w:id="1175" w:name="_Toc331425944"/>
      <w:bookmarkStart w:id="1176" w:name="_Toc331427125"/>
      <w:bookmarkStart w:id="1177" w:name="_Toc331427497"/>
      <w:bookmarkStart w:id="1178" w:name="_Toc331427639"/>
      <w:bookmarkStart w:id="1179" w:name="_Toc332972643"/>
      <w:bookmarkStart w:id="1180" w:name="_Toc333046922"/>
      <w:bookmarkStart w:id="1181" w:name="_Toc333477269"/>
      <w:bookmarkStart w:id="1182" w:name="_Toc333478039"/>
      <w:bookmarkStart w:id="1183" w:name="_Toc333644939"/>
      <w:r>
        <w:t xml:space="preserve">3.5.3 </w:t>
      </w:r>
      <w:r w:rsidR="00985277">
        <w:t xml:space="preserve">Different downstream signalling responses </w:t>
      </w:r>
      <w:r w:rsidR="008D76D0">
        <w:t>through Akt as a result</w:t>
      </w:r>
      <w:r w:rsidR="00985277">
        <w:t xml:space="preserve"> of IGF1R </w:t>
      </w:r>
      <w:r w:rsidR="008D76D0">
        <w:t xml:space="preserve">loss </w:t>
      </w:r>
      <w:r w:rsidR="00985277">
        <w:t>in</w:t>
      </w:r>
      <w:r w:rsidR="008D76D0">
        <w:t xml:space="preserve"> a panel of</w:t>
      </w:r>
      <w:r w:rsidR="00985277">
        <w:t xml:space="preserve"> human astrocytes</w:t>
      </w:r>
      <w:bookmarkEnd w:id="1173"/>
      <w:bookmarkEnd w:id="1174"/>
      <w:bookmarkEnd w:id="1175"/>
      <w:bookmarkEnd w:id="1176"/>
      <w:bookmarkEnd w:id="1177"/>
      <w:bookmarkEnd w:id="1178"/>
      <w:bookmarkEnd w:id="1179"/>
      <w:bookmarkEnd w:id="1180"/>
      <w:bookmarkEnd w:id="1181"/>
      <w:bookmarkEnd w:id="1182"/>
      <w:bookmarkEnd w:id="1183"/>
    </w:p>
    <w:p w14:paraId="7DDD40AE" w14:textId="77777777" w:rsidR="00985277" w:rsidRPr="00985277" w:rsidRDefault="00985277" w:rsidP="00C63BC1">
      <w:pPr>
        <w:spacing w:line="360" w:lineRule="auto"/>
        <w:jc w:val="both"/>
        <w:rPr>
          <w:rFonts w:ascii="Times New Roman" w:hAnsi="Times New Roman" w:cs="Times New Roman"/>
          <w:b/>
          <w:u w:val="single"/>
        </w:rPr>
      </w:pPr>
    </w:p>
    <w:p w14:paraId="63197E74" w14:textId="1A1D7E1A" w:rsidR="00A9481B" w:rsidRDefault="008073AB" w:rsidP="00C63BC1">
      <w:pPr>
        <w:spacing w:line="360" w:lineRule="auto"/>
        <w:jc w:val="both"/>
        <w:rPr>
          <w:rFonts w:ascii="Times New Roman" w:hAnsi="Times New Roman" w:cs="Times New Roman"/>
        </w:rPr>
      </w:pPr>
      <w:r>
        <w:rPr>
          <w:rFonts w:ascii="Times New Roman" w:hAnsi="Times New Roman" w:cs="Times New Roman"/>
        </w:rPr>
        <w:t>The use of MAB391 as a tool to impair IGF1 signalling was tested in two other astrocyte cell populations.</w:t>
      </w:r>
      <w:r w:rsidR="005B5198">
        <w:rPr>
          <w:rFonts w:ascii="Times New Roman" w:hAnsi="Times New Roman" w:cs="Times New Roman"/>
        </w:rPr>
        <w:t xml:space="preserve"> These experiments were conducted to examine if the changes</w:t>
      </w:r>
      <w:r w:rsidR="001E5947">
        <w:rPr>
          <w:rFonts w:ascii="Times New Roman" w:hAnsi="Times New Roman" w:cs="Times New Roman"/>
        </w:rPr>
        <w:t xml:space="preserve"> in IGF1R and phosphorylated Akt</w:t>
      </w:r>
      <w:r w:rsidR="005B5198">
        <w:rPr>
          <w:rFonts w:ascii="Times New Roman" w:hAnsi="Times New Roman" w:cs="Times New Roman"/>
        </w:rPr>
        <w:t xml:space="preserve"> in </w:t>
      </w:r>
      <w:r w:rsidR="0073765B">
        <w:rPr>
          <w:rFonts w:ascii="Times New Roman" w:hAnsi="Times New Roman" w:cs="Times New Roman"/>
        </w:rPr>
        <w:t xml:space="preserve">other astrocytes paralleled </w:t>
      </w:r>
      <w:r w:rsidR="005B5198">
        <w:rPr>
          <w:rFonts w:ascii="Times New Roman" w:hAnsi="Times New Roman" w:cs="Times New Roman"/>
        </w:rPr>
        <w:t>observations in the ScienCell</w:t>
      </w:r>
      <w:r w:rsidR="005753BA">
        <w:rPr>
          <w:rFonts w:ascii="Times New Roman" w:hAnsi="Times New Roman" w:cs="Times New Roman"/>
        </w:rPr>
        <w:t xml:space="preserve"> </w:t>
      </w:r>
      <w:r w:rsidR="005B5198">
        <w:rPr>
          <w:rFonts w:ascii="Times New Roman" w:hAnsi="Times New Roman" w:cs="Times New Roman"/>
        </w:rPr>
        <w:t>(1) astrocytes.</w:t>
      </w:r>
      <w:r>
        <w:rPr>
          <w:rFonts w:ascii="Times New Roman" w:hAnsi="Times New Roman" w:cs="Times New Roman"/>
        </w:rPr>
        <w:t xml:space="preserve"> In astrocytes derived from adult temporal </w:t>
      </w:r>
      <w:r w:rsidR="006A0DFF">
        <w:rPr>
          <w:rFonts w:ascii="Times New Roman" w:hAnsi="Times New Roman" w:cs="Times New Roman"/>
        </w:rPr>
        <w:t>lobe resections, loss of IGF1R wa</w:t>
      </w:r>
      <w:r>
        <w:rPr>
          <w:rFonts w:ascii="Times New Roman" w:hAnsi="Times New Roman" w:cs="Times New Roman"/>
        </w:rPr>
        <w:t>s also induced following treatment with MAB391 for 24 hours. However, despite there be</w:t>
      </w:r>
      <w:r w:rsidR="006A0DFF">
        <w:rPr>
          <w:rFonts w:ascii="Times New Roman" w:hAnsi="Times New Roman" w:cs="Times New Roman"/>
        </w:rPr>
        <w:t>ing a reduction in IGF1R there wa</w:t>
      </w:r>
      <w:r w:rsidR="00CB2DF2">
        <w:rPr>
          <w:rFonts w:ascii="Times New Roman" w:hAnsi="Times New Roman" w:cs="Times New Roman"/>
        </w:rPr>
        <w:t>s no change in the level</w:t>
      </w:r>
      <w:r>
        <w:rPr>
          <w:rFonts w:ascii="Times New Roman" w:hAnsi="Times New Roman" w:cs="Times New Roman"/>
        </w:rPr>
        <w:t xml:space="preserve"> of </w:t>
      </w:r>
      <w:r w:rsidR="001E5947">
        <w:rPr>
          <w:rFonts w:ascii="Times New Roman" w:hAnsi="Times New Roman" w:cs="Times New Roman"/>
        </w:rPr>
        <w:t>phosphorylated Akt</w:t>
      </w:r>
      <w:r>
        <w:rPr>
          <w:rFonts w:ascii="Times New Roman" w:hAnsi="Times New Roman" w:cs="Times New Roman"/>
        </w:rPr>
        <w:t xml:space="preserve"> (s473). This highlights the differences in response to reduced IGF1R at the level of downstream signalling. Although, as these astrocytes are derived from epileptic adult temporal lobes it is not known whether the differences are based on age, disease or area from which the astrocytes were isolated. </w:t>
      </w:r>
      <w:r w:rsidR="00E4104E">
        <w:rPr>
          <w:rFonts w:ascii="Times New Roman" w:hAnsi="Times New Roman" w:cs="Times New Roman"/>
        </w:rPr>
        <w:t>The loss of IGF1R model was also successfully</w:t>
      </w:r>
      <w:r w:rsidR="00A9481B">
        <w:rPr>
          <w:rFonts w:ascii="Times New Roman" w:hAnsi="Times New Roman" w:cs="Times New Roman"/>
        </w:rPr>
        <w:t xml:space="preserve"> generated</w:t>
      </w:r>
      <w:r w:rsidR="00E4104E">
        <w:rPr>
          <w:rFonts w:ascii="Times New Roman" w:hAnsi="Times New Roman" w:cs="Times New Roman"/>
        </w:rPr>
        <w:t xml:space="preserve"> in another batch of f</w:t>
      </w:r>
      <w:r w:rsidR="00445AC0">
        <w:rPr>
          <w:rFonts w:ascii="Times New Roman" w:hAnsi="Times New Roman" w:cs="Times New Roman"/>
        </w:rPr>
        <w:t>o</w:t>
      </w:r>
      <w:r w:rsidR="00E4104E">
        <w:rPr>
          <w:rFonts w:ascii="Times New Roman" w:hAnsi="Times New Roman" w:cs="Times New Roman"/>
        </w:rPr>
        <w:t xml:space="preserve">etal astrocytes from ScienCell. </w:t>
      </w:r>
      <w:r w:rsidR="00BF54EC">
        <w:rPr>
          <w:rFonts w:ascii="Times New Roman" w:hAnsi="Times New Roman" w:cs="Times New Roman"/>
        </w:rPr>
        <w:t>The limitations of using these cells are several fold: the company does not disclose the specifics of where the astrocytes are derived from i.e the specifi</w:t>
      </w:r>
      <w:r w:rsidR="0003770B">
        <w:rPr>
          <w:rFonts w:ascii="Times New Roman" w:hAnsi="Times New Roman" w:cs="Times New Roman"/>
        </w:rPr>
        <w:t>c area of the cerebral cortex or</w:t>
      </w:r>
      <w:r w:rsidR="00BF54EC">
        <w:rPr>
          <w:rFonts w:ascii="Times New Roman" w:hAnsi="Times New Roman" w:cs="Times New Roman"/>
        </w:rPr>
        <w:t xml:space="preserve"> whether they are taken from a different foetus</w:t>
      </w:r>
      <w:r w:rsidR="0003770B">
        <w:rPr>
          <w:rFonts w:ascii="Times New Roman" w:hAnsi="Times New Roman" w:cs="Times New Roman"/>
        </w:rPr>
        <w:t>,</w:t>
      </w:r>
      <w:r w:rsidR="00BF54EC">
        <w:rPr>
          <w:rFonts w:ascii="Times New Roman" w:hAnsi="Times New Roman" w:cs="Times New Roman"/>
        </w:rPr>
        <w:t xml:space="preserve"> and these cells have a limited number of passages before they can no longer be used.</w:t>
      </w:r>
      <w:r w:rsidR="00CB2DF2">
        <w:rPr>
          <w:rFonts w:ascii="Times New Roman" w:hAnsi="Times New Roman" w:cs="Times New Roman"/>
        </w:rPr>
        <w:t xml:space="preserve"> For these reasons</w:t>
      </w:r>
      <w:r w:rsidR="00BF54EC">
        <w:rPr>
          <w:rFonts w:ascii="Times New Roman" w:hAnsi="Times New Roman" w:cs="Times New Roman"/>
        </w:rPr>
        <w:t xml:space="preserve">, the MAB391 </w:t>
      </w:r>
      <w:r w:rsidR="00CB2DF2">
        <w:rPr>
          <w:rFonts w:ascii="Times New Roman" w:hAnsi="Times New Roman" w:cs="Times New Roman"/>
        </w:rPr>
        <w:t>treatments were repeated on a</w:t>
      </w:r>
      <w:r w:rsidR="00BF54EC">
        <w:rPr>
          <w:rFonts w:ascii="Times New Roman" w:hAnsi="Times New Roman" w:cs="Times New Roman"/>
        </w:rPr>
        <w:t xml:space="preserve"> new batch of </w:t>
      </w:r>
      <w:r w:rsidR="00CB2DF2">
        <w:rPr>
          <w:rFonts w:ascii="Times New Roman" w:hAnsi="Times New Roman" w:cs="Times New Roman"/>
        </w:rPr>
        <w:t xml:space="preserve">these </w:t>
      </w:r>
      <w:r w:rsidR="00BF54EC">
        <w:rPr>
          <w:rFonts w:ascii="Times New Roman" w:hAnsi="Times New Roman" w:cs="Times New Roman"/>
        </w:rPr>
        <w:t>cells to define changes</w:t>
      </w:r>
      <w:r w:rsidR="001E5947">
        <w:rPr>
          <w:rFonts w:ascii="Times New Roman" w:hAnsi="Times New Roman" w:cs="Times New Roman"/>
        </w:rPr>
        <w:t xml:space="preserve"> in IGF1R and phosphorylated Akt</w:t>
      </w:r>
      <w:r w:rsidR="00BF54EC">
        <w:rPr>
          <w:rFonts w:ascii="Times New Roman" w:hAnsi="Times New Roman" w:cs="Times New Roman"/>
        </w:rPr>
        <w:t xml:space="preserve"> (s473) at 24 hours and 72 hours PME</w:t>
      </w:r>
      <w:r w:rsidR="00C2331B">
        <w:rPr>
          <w:rFonts w:ascii="Times New Roman" w:hAnsi="Times New Roman" w:cs="Times New Roman"/>
        </w:rPr>
        <w:t>. L</w:t>
      </w:r>
      <w:r w:rsidR="00173F2F">
        <w:rPr>
          <w:rFonts w:ascii="Times New Roman" w:hAnsi="Times New Roman" w:cs="Times New Roman"/>
        </w:rPr>
        <w:t>oss of IGF1R was replicable at both time points however unlike the first batch of ScienCell astro</w:t>
      </w:r>
      <w:r w:rsidR="001E5947">
        <w:rPr>
          <w:rFonts w:ascii="Times New Roman" w:hAnsi="Times New Roman" w:cs="Times New Roman"/>
        </w:rPr>
        <w:t>cytes</w:t>
      </w:r>
      <w:r w:rsidR="00CB1BAB">
        <w:rPr>
          <w:rFonts w:ascii="Times New Roman" w:hAnsi="Times New Roman" w:cs="Times New Roman"/>
        </w:rPr>
        <w:t xml:space="preserve"> (ScienCell (1)</w:t>
      </w:r>
      <w:r w:rsidR="006A0DFF">
        <w:rPr>
          <w:rFonts w:ascii="Times New Roman" w:hAnsi="Times New Roman" w:cs="Times New Roman"/>
        </w:rPr>
        <w:t>)</w:t>
      </w:r>
      <w:r w:rsidR="001E5947">
        <w:rPr>
          <w:rFonts w:ascii="Times New Roman" w:hAnsi="Times New Roman" w:cs="Times New Roman"/>
        </w:rPr>
        <w:t xml:space="preserve"> there was no change in Akt</w:t>
      </w:r>
      <w:r w:rsidR="00173F2F">
        <w:rPr>
          <w:rFonts w:ascii="Times New Roman" w:hAnsi="Times New Roman" w:cs="Times New Roman"/>
        </w:rPr>
        <w:t xml:space="preserve"> phosphorylation.</w:t>
      </w:r>
      <w:r w:rsidR="0046464D">
        <w:rPr>
          <w:rFonts w:ascii="Times New Roman" w:hAnsi="Times New Roman" w:cs="Times New Roman"/>
        </w:rPr>
        <w:t xml:space="preserve"> </w:t>
      </w:r>
      <w:r w:rsidR="0022209F">
        <w:rPr>
          <w:rFonts w:ascii="Times New Roman" w:hAnsi="Times New Roman" w:cs="Times New Roman"/>
        </w:rPr>
        <w:t>I</w:t>
      </w:r>
      <w:r w:rsidR="0046464D">
        <w:rPr>
          <w:rFonts w:ascii="Times New Roman" w:hAnsi="Times New Roman" w:cs="Times New Roman"/>
        </w:rPr>
        <w:t xml:space="preserve">t </w:t>
      </w:r>
      <w:r w:rsidR="00581A9D">
        <w:rPr>
          <w:rFonts w:ascii="Times New Roman" w:hAnsi="Times New Roman" w:cs="Times New Roman"/>
        </w:rPr>
        <w:t xml:space="preserve">was </w:t>
      </w:r>
      <w:r w:rsidR="0003770B">
        <w:rPr>
          <w:rFonts w:ascii="Times New Roman" w:hAnsi="Times New Roman" w:cs="Times New Roman"/>
        </w:rPr>
        <w:t xml:space="preserve">also </w:t>
      </w:r>
      <w:r w:rsidR="00581A9D">
        <w:rPr>
          <w:rFonts w:ascii="Times New Roman" w:hAnsi="Times New Roman" w:cs="Times New Roman"/>
        </w:rPr>
        <w:t>found</w:t>
      </w:r>
      <w:r w:rsidR="0046464D">
        <w:rPr>
          <w:rFonts w:ascii="Times New Roman" w:hAnsi="Times New Roman" w:cs="Times New Roman"/>
        </w:rPr>
        <w:t xml:space="preserve"> that thes</w:t>
      </w:r>
      <w:r w:rsidR="00CB2DF2">
        <w:rPr>
          <w:rFonts w:ascii="Times New Roman" w:hAnsi="Times New Roman" w:cs="Times New Roman"/>
        </w:rPr>
        <w:t>e astrocytes had</w:t>
      </w:r>
      <w:r w:rsidR="001E5947">
        <w:rPr>
          <w:rFonts w:ascii="Times New Roman" w:hAnsi="Times New Roman" w:cs="Times New Roman"/>
        </w:rPr>
        <w:t xml:space="preserve"> reduced Akt</w:t>
      </w:r>
      <w:r w:rsidR="0046464D">
        <w:rPr>
          <w:rFonts w:ascii="Times New Roman" w:hAnsi="Times New Roman" w:cs="Times New Roman"/>
        </w:rPr>
        <w:t xml:space="preserve"> signalling </w:t>
      </w:r>
      <w:r w:rsidR="00CB2DF2">
        <w:rPr>
          <w:rFonts w:ascii="Times New Roman" w:hAnsi="Times New Roman" w:cs="Times New Roman"/>
        </w:rPr>
        <w:t>after a 4 hour treatment with MAB391, which suggests</w:t>
      </w:r>
      <w:r w:rsidR="0046464D">
        <w:rPr>
          <w:rFonts w:ascii="Times New Roman" w:hAnsi="Times New Roman" w:cs="Times New Roman"/>
        </w:rPr>
        <w:t xml:space="preserve"> an earlier compensatory mechanism in these cells</w:t>
      </w:r>
      <w:r w:rsidR="0022209F">
        <w:rPr>
          <w:rFonts w:ascii="Times New Roman" w:hAnsi="Times New Roman" w:cs="Times New Roman"/>
        </w:rPr>
        <w:t xml:space="preserve"> (data not shown)</w:t>
      </w:r>
      <w:r w:rsidR="0046464D">
        <w:rPr>
          <w:rFonts w:ascii="Times New Roman" w:hAnsi="Times New Roman" w:cs="Times New Roman"/>
        </w:rPr>
        <w:t>.</w:t>
      </w:r>
    </w:p>
    <w:p w14:paraId="0A14DF98" w14:textId="77777777" w:rsidR="005F182A" w:rsidRDefault="005F182A" w:rsidP="00C63BC1">
      <w:pPr>
        <w:spacing w:line="360" w:lineRule="auto"/>
        <w:jc w:val="both"/>
        <w:rPr>
          <w:rFonts w:ascii="Times New Roman" w:hAnsi="Times New Roman" w:cs="Times New Roman"/>
        </w:rPr>
      </w:pPr>
    </w:p>
    <w:p w14:paraId="7313E032" w14:textId="01C57AC1" w:rsidR="005F182A" w:rsidRDefault="00581A9D" w:rsidP="00C63BC1">
      <w:pPr>
        <w:spacing w:line="360" w:lineRule="auto"/>
        <w:jc w:val="both"/>
        <w:rPr>
          <w:rFonts w:ascii="Times New Roman" w:hAnsi="Times New Roman" w:cs="Times New Roman"/>
        </w:rPr>
      </w:pPr>
      <w:r>
        <w:rPr>
          <w:rFonts w:ascii="Times New Roman" w:hAnsi="Times New Roman" w:cs="Times New Roman"/>
        </w:rPr>
        <w:t xml:space="preserve">Therefore, the </w:t>
      </w:r>
      <w:r w:rsidR="005C4F14">
        <w:rPr>
          <w:rFonts w:ascii="Times New Roman" w:hAnsi="Times New Roman" w:cs="Times New Roman"/>
        </w:rPr>
        <w:t>model of IGF1R loss is replica</w:t>
      </w:r>
      <w:r>
        <w:rPr>
          <w:rFonts w:ascii="Times New Roman" w:hAnsi="Times New Roman" w:cs="Times New Roman"/>
        </w:rPr>
        <w:t>ble in three astrocyte populations but they differ in their responses to this loss at the level of d</w:t>
      </w:r>
      <w:r w:rsidR="001E5947">
        <w:rPr>
          <w:rFonts w:ascii="Times New Roman" w:hAnsi="Times New Roman" w:cs="Times New Roman"/>
        </w:rPr>
        <w:t>ownstream signalling through Akt</w:t>
      </w:r>
      <w:r>
        <w:rPr>
          <w:rFonts w:ascii="Times New Roman" w:hAnsi="Times New Roman" w:cs="Times New Roman"/>
        </w:rPr>
        <w:t>. Interestingly though, all three astrocyte populations display a trend to or significan</w:t>
      </w:r>
      <w:r w:rsidR="001E5947">
        <w:rPr>
          <w:rFonts w:ascii="Times New Roman" w:hAnsi="Times New Roman" w:cs="Times New Roman"/>
        </w:rPr>
        <w:t>t recovery in phosphorylated Akt</w:t>
      </w:r>
      <w:r>
        <w:rPr>
          <w:rFonts w:ascii="Times New Roman" w:hAnsi="Times New Roman" w:cs="Times New Roman"/>
        </w:rPr>
        <w:t xml:space="preserve"> following IGF1R loss. This</w:t>
      </w:r>
      <w:r w:rsidR="002F282C">
        <w:rPr>
          <w:rFonts w:ascii="Times New Roman" w:hAnsi="Times New Roman" w:cs="Times New Roman"/>
        </w:rPr>
        <w:t xml:space="preserve"> may indicate</w:t>
      </w:r>
      <w:r>
        <w:rPr>
          <w:rFonts w:ascii="Times New Roman" w:hAnsi="Times New Roman" w:cs="Times New Roman"/>
        </w:rPr>
        <w:t xml:space="preserve"> that the astrocytes are actively trying to restore signalling and negate the loss of IGF1R.</w:t>
      </w:r>
      <w:r w:rsidR="002F2229">
        <w:rPr>
          <w:rFonts w:ascii="Times New Roman" w:hAnsi="Times New Roman" w:cs="Times New Roman"/>
        </w:rPr>
        <w:t xml:space="preserve"> It may also be that loss of IGF1R forces the cells to overcompensate </w:t>
      </w:r>
      <w:r w:rsidR="001E5947">
        <w:rPr>
          <w:rFonts w:ascii="Times New Roman" w:hAnsi="Times New Roman" w:cs="Times New Roman"/>
        </w:rPr>
        <w:t>through the Akt</w:t>
      </w:r>
      <w:r w:rsidR="00BF7359">
        <w:rPr>
          <w:rFonts w:ascii="Times New Roman" w:hAnsi="Times New Roman" w:cs="Times New Roman"/>
        </w:rPr>
        <w:t xml:space="preserve"> signalling axis, which some papers demonstrate is not necessarily </w:t>
      </w:r>
      <w:r w:rsidR="00D77608">
        <w:rPr>
          <w:rFonts w:ascii="Times New Roman" w:hAnsi="Times New Roman" w:cs="Times New Roman"/>
        </w:rPr>
        <w:t>beneficial</w:t>
      </w:r>
      <w:r w:rsidR="00BF7359">
        <w:rPr>
          <w:rFonts w:ascii="Times New Roman" w:hAnsi="Times New Roman" w:cs="Times New Roman"/>
        </w:rPr>
        <w:t>.</w:t>
      </w:r>
      <w:r w:rsidR="001E5947">
        <w:rPr>
          <w:rFonts w:ascii="Times New Roman" w:hAnsi="Times New Roman" w:cs="Times New Roman"/>
        </w:rPr>
        <w:t xml:space="preserve"> For example,</w:t>
      </w:r>
      <w:r w:rsidR="00BF7359">
        <w:rPr>
          <w:rFonts w:ascii="Times New Roman" w:hAnsi="Times New Roman" w:cs="Times New Roman"/>
        </w:rPr>
        <w:t xml:space="preserve"> </w:t>
      </w:r>
      <w:r w:rsidR="003F2BEB">
        <w:rPr>
          <w:rFonts w:ascii="Times New Roman" w:hAnsi="Times New Roman" w:cs="Times New Roman"/>
        </w:rPr>
        <w:t xml:space="preserve">a </w:t>
      </w:r>
      <w:r w:rsidR="001E5947">
        <w:rPr>
          <w:rFonts w:ascii="Times New Roman" w:hAnsi="Times New Roman" w:cs="Times New Roman"/>
        </w:rPr>
        <w:t>c</w:t>
      </w:r>
      <w:r w:rsidR="00A00E5E">
        <w:rPr>
          <w:rFonts w:ascii="Times New Roman" w:hAnsi="Times New Roman" w:cs="Times New Roman"/>
        </w:rPr>
        <w:t>hr</w:t>
      </w:r>
      <w:r w:rsidR="001E5947">
        <w:rPr>
          <w:rFonts w:ascii="Times New Roman" w:hAnsi="Times New Roman" w:cs="Times New Roman"/>
        </w:rPr>
        <w:t>onic increase in activated Akt</w:t>
      </w:r>
      <w:r w:rsidR="00A00E5E">
        <w:rPr>
          <w:rFonts w:ascii="Times New Roman" w:hAnsi="Times New Roman" w:cs="Times New Roman"/>
        </w:rPr>
        <w:t xml:space="preserve"> can lead to feedback inhibition of IRS/ PI3K </w:t>
      </w:r>
      <w:r w:rsidR="00F13A2A">
        <w:rPr>
          <w:rFonts w:ascii="Times New Roman" w:hAnsi="Times New Roman" w:cs="Times New Roman"/>
        </w:rPr>
        <w:t xml:space="preserve">in cardiomyocytes (Nagoshi </w:t>
      </w:r>
      <w:r w:rsidR="00F13A2A">
        <w:rPr>
          <w:rFonts w:ascii="Times New Roman" w:hAnsi="Times New Roman" w:cs="Times New Roman"/>
          <w:i/>
        </w:rPr>
        <w:t>et al</w:t>
      </w:r>
      <w:r w:rsidR="00F13A2A">
        <w:rPr>
          <w:rFonts w:ascii="Times New Roman" w:hAnsi="Times New Roman" w:cs="Times New Roman"/>
        </w:rPr>
        <w:t>, 2005)</w:t>
      </w:r>
      <w:r w:rsidR="00D77608">
        <w:rPr>
          <w:rFonts w:ascii="Times New Roman" w:hAnsi="Times New Roman" w:cs="Times New Roman"/>
        </w:rPr>
        <w:t xml:space="preserve"> and thus inevitably impair this pathway</w:t>
      </w:r>
      <w:r w:rsidR="002644E0">
        <w:rPr>
          <w:rFonts w:ascii="Times New Roman" w:hAnsi="Times New Roman" w:cs="Times New Roman"/>
        </w:rPr>
        <w:t xml:space="preserve"> further</w:t>
      </w:r>
      <w:r w:rsidR="00F13A2A">
        <w:rPr>
          <w:rFonts w:ascii="Times New Roman" w:hAnsi="Times New Roman" w:cs="Times New Roman"/>
        </w:rPr>
        <w:t>.</w:t>
      </w:r>
      <w:r w:rsidR="00D77608">
        <w:rPr>
          <w:rFonts w:ascii="Times New Roman" w:hAnsi="Times New Roman" w:cs="Times New Roman"/>
        </w:rPr>
        <w:t xml:space="preserve"> </w:t>
      </w:r>
      <w:r w:rsidR="002F282C">
        <w:rPr>
          <w:rFonts w:ascii="Times New Roman" w:hAnsi="Times New Roman" w:cs="Times New Roman"/>
        </w:rPr>
        <w:t>Based on this, it w</w:t>
      </w:r>
      <w:r w:rsidR="0003770B">
        <w:rPr>
          <w:rFonts w:ascii="Times New Roman" w:hAnsi="Times New Roman" w:cs="Times New Roman"/>
        </w:rPr>
        <w:t>ould be interesting to assess the effect of the MAB391 at time points beyond 96 hours to investigate whether Akt signalling is impaired</w:t>
      </w:r>
      <w:r w:rsidR="00A9481B">
        <w:rPr>
          <w:rFonts w:ascii="Times New Roman" w:hAnsi="Times New Roman" w:cs="Times New Roman"/>
        </w:rPr>
        <w:t xml:space="preserve"> at these later time points</w:t>
      </w:r>
      <w:r w:rsidR="005753BA">
        <w:rPr>
          <w:rFonts w:ascii="Times New Roman" w:hAnsi="Times New Roman" w:cs="Times New Roman"/>
        </w:rPr>
        <w:t>.</w:t>
      </w:r>
      <w:r w:rsidR="0003770B">
        <w:rPr>
          <w:rFonts w:ascii="Times New Roman" w:hAnsi="Times New Roman" w:cs="Times New Roman"/>
        </w:rPr>
        <w:t xml:space="preserve"> </w:t>
      </w:r>
    </w:p>
    <w:p w14:paraId="22193B09" w14:textId="77777777" w:rsidR="005F182A" w:rsidRDefault="005F182A" w:rsidP="00C63BC1">
      <w:pPr>
        <w:spacing w:line="360" w:lineRule="auto"/>
        <w:jc w:val="both"/>
        <w:rPr>
          <w:rFonts w:ascii="Times New Roman" w:hAnsi="Times New Roman" w:cs="Times New Roman"/>
        </w:rPr>
      </w:pPr>
    </w:p>
    <w:p w14:paraId="2CB6A242" w14:textId="28103A0A" w:rsidR="00985277" w:rsidRDefault="00D77608" w:rsidP="00C63BC1">
      <w:pPr>
        <w:spacing w:line="360" w:lineRule="auto"/>
        <w:jc w:val="both"/>
        <w:rPr>
          <w:rFonts w:ascii="Times New Roman" w:hAnsi="Times New Roman" w:cs="Times New Roman"/>
        </w:rPr>
      </w:pPr>
      <w:r>
        <w:rPr>
          <w:rFonts w:ascii="Times New Roman" w:hAnsi="Times New Roman" w:cs="Times New Roman"/>
        </w:rPr>
        <w:t xml:space="preserve">The differences in the downstream signalling response to loss of IGF1R, highlights the heterogeneity of astrocytes. Astrocytes are still </w:t>
      </w:r>
      <w:r w:rsidR="00D8680C">
        <w:rPr>
          <w:rFonts w:ascii="Times New Roman" w:hAnsi="Times New Roman" w:cs="Times New Roman"/>
        </w:rPr>
        <w:t xml:space="preserve">crudely </w:t>
      </w:r>
      <w:r>
        <w:rPr>
          <w:rFonts w:ascii="Times New Roman" w:hAnsi="Times New Roman" w:cs="Times New Roman"/>
        </w:rPr>
        <w:t>classified into two types: protoplasmic or fibrous depending on their complexity and origin. However, studies have highlighted the pleomorphism of these cells and that they are structurally</w:t>
      </w:r>
      <w:r w:rsidR="00BD7D2F">
        <w:rPr>
          <w:rFonts w:ascii="Times New Roman" w:hAnsi="Times New Roman" w:cs="Times New Roman"/>
        </w:rPr>
        <w:t>, functionally and genetically</w:t>
      </w:r>
      <w:r>
        <w:rPr>
          <w:rFonts w:ascii="Times New Roman" w:hAnsi="Times New Roman" w:cs="Times New Roman"/>
        </w:rPr>
        <w:t xml:space="preserve"> distinct in different brain regions</w:t>
      </w:r>
      <w:r w:rsidR="00C66C5D">
        <w:rPr>
          <w:rFonts w:ascii="Times New Roman" w:hAnsi="Times New Roman" w:cs="Times New Roman"/>
        </w:rPr>
        <w:t xml:space="preserve"> </w:t>
      </w:r>
      <w:r w:rsidR="00C66C5D">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"10.1007/978-1-61779-452-0_3", "ISSN" : "1940-6029", "PMID" : "22144298", "abstract" : "Astrocytes participate in all essential CNS functions, including blood flow regulation, energy metabolism, ion and water homeostasis, immune defence, neurotransmission, and adult neurogenesis. It is thus not surprising that astrocytic morphology and function differ between regions, and that different subclasses of astrocytes exist within the same brain region. Recent lines of work also show that the complexity of protoplasmic astrocytes increases during evolution. Human astrocytes are structurally more complex, larger, and propagate calcium signals significantly faster than rodent astrocytes. In this chapter, we review the diversity of astrocytic form and function, while considering the markedly expanded roles of astrocytes with phylogenetic evolution. We also define major challenges for the future, which include determining how astrocytic functions are locally specified, defining the molecular controls upon astrocytic fate and physiology and establishing how evolutionary changes in astrocytes contribute to higher cognitive functions.", "author" : [ { "dropping-particle" : "", "family" : "Oberheim", "given" : "Nancy Ann", "non-dropping-particle" : "", "parse-names" : false, "suffix" : "" }, { "dropping-particle" : "", "family" : "Goldman", "given" : "Steven A", "non-dropping-particle" : "", "parse-names" : false, "suffix" : "" }, { "dropping-particle" : "", "family" : "Nedergaard", "given" : "Maiken", "non-dropping-particle" : "", "parse-names" : false, "suffix" : "" } ], "container-title" : "Methods in molecular biology (Clifton, N.J.)", "id" : "ITEM-1", "issued" : { "date-parts" : [ [ "2012", "1" ] ] }, "page" : "23-45", "title" : "Heterogeneity of astrocytic form and function.", "type" : "article-journal", "volume" : "814" }, "uris" : [ "http://www.mendeley.com/documents/?uuid=7e538ff2-83cb-4451-896a-f18b813d6bbf" ] }, { "id" : "ITEM-2", "itemData" : { "DOI" : "10.1002/glia.20845", "ISSN" : "1098-1136", "PMID" : "19191334", "abstract" : "Numerous studies have suggested that astrocytes in the central nervous system (CNS) exhibit molecular and functional heterogeneity. In this regard, astroglia from different CNS locations express distinct immune system, and neurotransmitter proteins, have varying levels of gap junction coupling and respond differently to injury. However, the relevance of these differences to human disease is unclear. As brain tumors in children arise in specific CNS locations, we hypothesized that regional astroglial cell heterogeneity might partly underlie the propensity for gliomas to arise in these areas. In this study, we performed high-density RNA microarray profiling on astrocytes from postnatal day 1 optic nerve, cerebellum, brainstem, and neocortex. We showed that astroglia from each region are molecularly distinct, and we were able to develop gene expression patterns that distinguish astroglia, but not neural stem cells, from these different brain regions. We next used these microarray data to determine whether brain tumor suppressor genes were differentially expressed in these distinct populations of astroglia. Interestingly, neurofibromatosis type 1 (NF1) gene expression was decreased at both the RNA and protein levels in neocortical astroglia relative to astroglia from the other brain regions. To determine the functional significance of this finding, we found increased astroglial cell proliferation in optic nerve, brainstem, and cerebellum, but not neocortex, following Nf1 inactivation in vitro and in vivo. These findings provide molecular evidence for CNS astroglial cell heterogeneity, and suggest that differences in tumor suppressor gene expression might contribute to the regional localization of human brain tumors.", "author" : [ { "dropping-particle" : "", "family" : "Yeh", "given" : "Tu-Hsueh", "non-dropping-particle" : "", "parse-names" : false, "suffix" : "" }, { "dropping-particle" : "", "family" : "Lee", "given" : "Da Yong", "non-dropping-particle" : "", "parse-names" : false, "suffix" : "" }, { "dropping-particle" : "", "family" : "Gianino", "given" : "Scott M", "non-dropping-particle" : "", "parse-names" : false, "suffix" : "" }, { "dropping-particle" : "", "family" : "Gutmann", "given" : "David H", "non-dropping-particle" : "", "parse-names" : false, "suffix" : "" } ], "container-title" : "Glia", "id" : "ITEM-2", "issue" : "11", "issued" : { "date-parts" : [ [ "2009", "8", "15" ] ] }, "page" : "1239-49", "title" : "Microarray analyses reveal regional astrocyte heterogeneity with implications for neurofibromatosis type 1 (NF1)-regulated glial proliferation.", "type" : "article-journal", "volume" : "57" }, "uris" : [ "http://www.mendeley.com/documents/?uuid=1b16bed3-8350-4d4c-bd8e-97c9c9c591a1" ] } ], "mendeley" : { "formattedCitation" : "(Oberheim et al. 2012; Yeh et al. 2009)", "plainTextFormattedCitation" : "(Oberheim et al. 2012; Yeh et al. 2009)", "previouslyFormattedCitation" : "(Oberheim et al. 2012; Yeh et al. 2009)" }, "properties" : { "noteIndex" : 0 }, "schema" : "https://github.com/citation-style-language/schema/raw/master/csl-citation.json" }</w:instrText>
      </w:r>
      <w:r w:rsidR="00C66C5D">
        <w:rPr>
          <w:rFonts w:ascii="Times New Roman" w:hAnsi="Times New Roman" w:cs="Times New Roman"/>
        </w:rPr>
        <w:fldChar w:fldCharType="separate"/>
      </w:r>
      <w:r w:rsidR="00C148FC" w:rsidRPr="00C148FC">
        <w:rPr>
          <w:rFonts w:ascii="Times New Roman" w:hAnsi="Times New Roman" w:cs="Times New Roman"/>
          <w:noProof/>
        </w:rPr>
        <w:t>(Oberheim et al. 2012; Yeh et al. 2009)</w:t>
      </w:r>
      <w:r w:rsidR="00C66C5D">
        <w:rPr>
          <w:rFonts w:ascii="Times New Roman" w:hAnsi="Times New Roman" w:cs="Times New Roman"/>
        </w:rPr>
        <w:fldChar w:fldCharType="end"/>
      </w:r>
      <w:r>
        <w:rPr>
          <w:rFonts w:ascii="Times New Roman" w:hAnsi="Times New Roman" w:cs="Times New Roman"/>
        </w:rPr>
        <w:t>.</w:t>
      </w:r>
      <w:r w:rsidR="00F56532">
        <w:rPr>
          <w:rFonts w:ascii="Times New Roman" w:hAnsi="Times New Roman" w:cs="Times New Roman"/>
        </w:rPr>
        <w:t xml:space="preserve"> These region-specifi</w:t>
      </w:r>
      <w:r w:rsidR="00C74B17">
        <w:rPr>
          <w:rFonts w:ascii="Times New Roman" w:hAnsi="Times New Roman" w:cs="Times New Roman"/>
        </w:rPr>
        <w:t xml:space="preserve">c differences </w:t>
      </w:r>
      <w:r w:rsidR="00D8680C">
        <w:rPr>
          <w:rFonts w:ascii="Times New Roman" w:hAnsi="Times New Roman" w:cs="Times New Roman"/>
        </w:rPr>
        <w:t>give rise to changes</w:t>
      </w:r>
      <w:r w:rsidR="00192E95">
        <w:rPr>
          <w:rFonts w:ascii="Times New Roman" w:hAnsi="Times New Roman" w:cs="Times New Roman"/>
        </w:rPr>
        <w:t xml:space="preserve"> in</w:t>
      </w:r>
      <w:r w:rsidR="00D8680C">
        <w:rPr>
          <w:rFonts w:ascii="Times New Roman" w:hAnsi="Times New Roman" w:cs="Times New Roman"/>
        </w:rPr>
        <w:t xml:space="preserve"> the</w:t>
      </w:r>
      <w:r w:rsidR="00EF5001">
        <w:rPr>
          <w:rFonts w:ascii="Times New Roman" w:hAnsi="Times New Roman" w:cs="Times New Roman"/>
        </w:rPr>
        <w:t xml:space="preserve"> morphology, </w:t>
      </w:r>
      <w:r w:rsidR="00C74B17">
        <w:rPr>
          <w:rFonts w:ascii="Times New Roman" w:hAnsi="Times New Roman" w:cs="Times New Roman"/>
        </w:rPr>
        <w:t>density</w:t>
      </w:r>
      <w:r w:rsidR="00EF5001">
        <w:rPr>
          <w:rFonts w:ascii="Times New Roman" w:hAnsi="Times New Roman" w:cs="Times New Roman"/>
        </w:rPr>
        <w:t xml:space="preserve"> and proliferation</w:t>
      </w:r>
      <w:r w:rsidR="00C74B17">
        <w:rPr>
          <w:rFonts w:ascii="Times New Roman" w:hAnsi="Times New Roman" w:cs="Times New Roman"/>
        </w:rPr>
        <w:t xml:space="preserve"> of astrocytes, in the</w:t>
      </w:r>
      <w:r w:rsidR="00D8680C">
        <w:rPr>
          <w:rFonts w:ascii="Times New Roman" w:hAnsi="Times New Roman" w:cs="Times New Roman"/>
        </w:rPr>
        <w:t xml:space="preserve"> level of response</w:t>
      </w:r>
      <w:r w:rsidR="00F56532">
        <w:rPr>
          <w:rFonts w:ascii="Times New Roman" w:hAnsi="Times New Roman" w:cs="Times New Roman"/>
        </w:rPr>
        <w:t xml:space="preserve"> to various neurotransmitter, </w:t>
      </w:r>
      <w:r w:rsidR="00192E95">
        <w:rPr>
          <w:rFonts w:ascii="Times New Roman" w:hAnsi="Times New Roman" w:cs="Times New Roman"/>
        </w:rPr>
        <w:t xml:space="preserve">the ability to </w:t>
      </w:r>
      <w:r w:rsidR="00F56532">
        <w:rPr>
          <w:rFonts w:ascii="Times New Roman" w:hAnsi="Times New Roman" w:cs="Times New Roman"/>
        </w:rPr>
        <w:t xml:space="preserve">secrete certain gliotransmitter and </w:t>
      </w:r>
      <w:r w:rsidR="00192E95">
        <w:rPr>
          <w:rFonts w:ascii="Times New Roman" w:hAnsi="Times New Roman" w:cs="Times New Roman"/>
        </w:rPr>
        <w:t>mechanisms of</w:t>
      </w:r>
      <w:r w:rsidR="009358D8">
        <w:rPr>
          <w:rFonts w:ascii="Times New Roman" w:hAnsi="Times New Roman" w:cs="Times New Roman"/>
        </w:rPr>
        <w:t xml:space="preserve"> calcium wave propa</w:t>
      </w:r>
      <w:r w:rsidR="00192E95">
        <w:rPr>
          <w:rFonts w:ascii="Times New Roman" w:hAnsi="Times New Roman" w:cs="Times New Roman"/>
        </w:rPr>
        <w:t>gation to nearby astrocytes</w:t>
      </w:r>
      <w:r w:rsidR="000E5CC3">
        <w:rPr>
          <w:rFonts w:ascii="Times New Roman" w:hAnsi="Times New Roman" w:cs="Times New Roman"/>
        </w:rPr>
        <w:t xml:space="preserve"> </w:t>
      </w:r>
      <w:r w:rsidR="000E5CC3">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"10.1523/JNEUROSCI.0790-07.2007", "ISSN" : "1529-2401", "PMID" : "17581948", "abstract" : "Glutamate transporters regulate excitatory neurotransmission and prevent glutamate-mediated excitotoxicity in the CNS. To better study the cellular and temporal dynamics of the expression of these transporters, we generated bacterial artificial chromosome promoter Discosoma red [glutamate-aspartate transporter (GLAST)] and green fluorescent protein [glutamate transporter-1 (GLT-1)] reporter transgenic mice. Analysis of these mice revealed a differential activation of the transporter promoters not previously appreciated. GLT-1 promoter activity in the adult CNS is almost completely restricted to astrocytes, often and unexpectedly in a nonoverlapping pattern with GLAST. Spinal cord GLT-1 promoter reporter, protein density, and physiology were 10-fold lower than in brain, suggesting a possible mechanism for regional sensitivity seen in disease. The GLAST promoter is active in both radial glia and many astrocytes in the developing CNS but is downregulated in most astrocytes as the mice mature. In the adult CNS, the highest GLAST promoter activity was observed in radial glia, such as those located in the subgranular layer of the dentate gyrus. The continued expression of GLAST by these neural progenitors raises the possibility that GLAST may have an unanticipated role in regulating their behavior. In addition, GLAST promoter activation was observed in oligodendrocytes in white matter throughout many (e.g., spinal cord and corpus callosum), but not all (e.g., cerebellum), CNS fiber tracts. Overall, these studies of GLT-1 and GLAST promoter activity, protein expression, and glutamate uptake revealed a close correlation between transgenic reporter signals and uptake capacity, indicating that these mice provide the means to monitor the expression and regulation of glutamate transporters in situ.", "author" : [ { "dropping-particle" : "", "family" : "Regan", "given" : "Melissa R", "non-dropping-particle" : "", "parse-names" : false, "suffix" : "" }, { "dropping-particle" : "", "family" : "Huang", "given" : "Yanhua H", "non-dropping-particle" : "", "parse-names" : false, "suffix" : "" }, { "dropping-particle" : "", "family" : "Kim", "given" : "Yu Shin", "non-dropping-particle" : "", "parse-names" : false, "suffix" : "" }, { "dropping-particle" : "", "family" : "Dykes-Hoberg", "given" : "Margaret I", "non-dropping-particle" : "", "parse-names" : false, "suffix" : "" }, { "dropping-particle" : "", "family" : "Jin", "given" : "Lin", "non-dropping-particle" : "", "parse-names" : false, "suffix" : "" }, { "dropping-particle" : "", "family" : "Watkins", "given" : "Andrew M", "non-dropping-particle" : "", "parse-names" : false, "suffix" : "" }, { "dropping-particle" : "", "family" : "Bergles", "given" : "Dwight E", "non-dropping-particle" : "", "parse-names" : false, "suffix" : "" }, { "dropping-particle" : "", "family" : "Rothstein", "given" : "Jeffrey D", "non-dropping-particle" : "", "parse-names" : false, "suffix" : "" } ], "container-title" : "The Journal of neuroscience : the official journal of the Society for Neuroscience", "id" : "ITEM-1", "issue" : "25", "issued" : { "date-parts" : [ [ "2007", "6", "20" ] ] }, "page" : "6607-19", "title" : "Variations in promoter activity reveal a differential expression and physiology of glutamate transporters by glia in the developing and mature CNS.", "type" : "article-journal", "volume" : "27" }, "uris" : [ "http://www.mendeley.com/documents/?uuid=0c8c1f41-801d-4d7a-abd2-fb46d2030fc7" ] }, { "id" : "ITEM-2", "itemData" : { "DOI" : "10.1017/S1740925X06000202", "ISSN" : "1741-0533", "PMID" : "17356684", "abstract" : "Astroglia comprise an extremely morphologically diverse cell type that have crucial roles in neural development and function. Nonetheless, distinct regions of the CNS have traditionally been defined by the phenotypic characteristics and connectivity of neuros. In a complementary fashion, we present evidence that discrete regions of the adult CNS can be delineated based solely on the morphology, density and proliferation rates of astroglia. We used transgenic hGFAP-GFP mice in which robust expression of GFP in adult astroglia enables detailed morphological characterization of this diversely heterogeneous cell population with 3D confocal microscopy. By using three complementary methods for labeling adult astroglia (hGFAP-GFP expression, and GFAP and S100beta immunostaining), we find that there is a remarkably diverse, regionally stereotypical array of astroglial morphology throughout the CNS, and that discrete anatomical regions can be defined solely on the morphology of astroglia within that region. Second, we find that the density of astroglia varies dramatically across the CNS, and that astroglial density effectively delineates even the sub-regions of complex structures, such as the thalamus. We also find that regional astroglial density varies depending on how astroglia are labeled. To quantify and illustrate these broad differences in astroglial density, we generated an anatomical density atlas of the CNS. Third, the proliferation rate, or mitotic index, of astroglia in the adult CNS also effectively defines anatomical regions. These differences are present regardless of the astroglial-labeling method used. To supplement our atlas of astroglial density we generated an atlas of proliferation density for the adult CNS. Together, these studies demonstrate that the morphology, density and proliferation rate of astroglia can independently define the discrete cytoarchitecture of the adult mammalian CNS, and support the concept that regional astroglial heterogeneity reflects important molecular and functional differences between distinct classes of astroglia, much like the long-accepted heterogeneity of neuronal populations.", "author" : [ { "dropping-particle" : "", "family" : "Emsley", "given" : "Jason G", "non-dropping-particle" : "", "parse-names" : false, "suffix" : "" }, { "dropping-particle" : "", "family" : "Macklis", "given" : "Jeffrey D", "non-dropping-particle" : "", "parse-names" : false, "suffix" : "" } ], "container-title" : "Neuron glia biology", "id" : "ITEM-2", "issue" : "3", "issued" : { "date-parts" : [ [ "2006", "8" ] ] }, "page" : "175-86", "title" : "Astroglial heterogeneity closely reflects the neuronal-defined anatomy of the adult murine CNS.", "type" : "article-journal", "volume" : "2" }, "uris" : [ "http://www.mendeley.com/documents/?uuid=32049269-829c-47d3-b8e9-48adf1ef02c1" ] }, { "id" : "ITEM-3", "itemData" : { "DOI" : "10.1002/glia.20845", "ISSN" : "1098-1136", "PMID" : "19191334", "abstract" : "Numerous studies have suggested that astrocytes in the central nervous system (CNS) exhibit molecular and functional heterogeneity. In this regard, astroglia from different CNS locations express distinct immune system, and neurotransmitter proteins, have varying levels of gap junction coupling and respond differently to injury. However, the relevance of these differences to human disease is unclear. As brain tumors in children arise in specific CNS locations, we hypothesized that regional astroglial cell heterogeneity might partly underlie the propensity for gliomas to arise in these areas. In this study, we performed high-density RNA microarray profiling on astrocytes from postnatal day 1 optic nerve, cerebellum, brainstem, and neocortex. We showed that astroglia from each region are molecularly distinct, and we were able to develop gene expression patterns that distinguish astroglia, but not neural stem cells, from these different brain regions. We next used these microarray data to determine whether brain tumor suppressor genes were differentially expressed in these distinct populations of astroglia. Interestingly, neurofibromatosis type 1 (NF1) gene expression was decreased at both the RNA and protein levels in neocortical astroglia relative to astroglia from the other brain regions. To determine the functional significance of this finding, we found increased astroglial cell proliferation in optic nerve, brainstem, and cerebellum, but not neocortex, following Nf1 inactivation in vitro and in vivo. These findings provide molecular evidence for CNS astroglial cell heterogeneity, and suggest that differences in tumor suppressor gene expression might contribute to the regional localization of human brain tumors.", "author" : [ { "dropping-particle" : "", "family" : "Yeh", "given" : "Tu-Hsueh", "non-dropping-particle" : "", "parse-names" : false, "suffix" : "" }, { "dropping-particle" : "", "family" : "Lee", "given" : "Da Yong", "non-dropping-particle" : "", "parse-names" : false, "suffix" : "" }, { "dropping-particle" : "", "family" : "Gianino", "given" : "Scott M", "non-dropping-particle" : "", "parse-names" : false, "suffix" : "" }, { "dropping-particle" : "", "family" : "Gutmann", "given" : "David H", "non-dropping-particle" : "", "parse-names" : false, "suffix" : "" } ], "container-title" : "Glia", "id" : "ITEM-3", "issue" : "11", "issued" : { "date-parts" : [ [ "2009", "8", "15" ] ] }, "page" : "1239-49", "title" : "Microarray analyses reveal regional astrocyte heterogeneity with implications for neurofibromatosis type 1 (NF1)-regulated glial proliferation.", "type" : "article-journal", "volume" : "57" }, "uris" : [ "http://www.mendeley.com/documents/?uuid=1b16bed3-8350-4d4c-bd8e-97c9c9c591a1" ] } ], "mendeley" : { "formattedCitation" : "(Regan et al. 2007; Emsley &amp; Macklis 2006; Yeh et al. 2009)", "manualFormatting" : "(Emsley &amp; Macklis, 2006; Regan et al., 2007)", "plainTextFormattedCitation" : "(Regan et al. 2007; Emsley &amp; Macklis 2006; Yeh et al. 2009)", "previouslyFormattedCitation" : "(Regan et al. 2007; Emsley &amp; Macklis 2006; Yeh et al. 2009)" }, "properties" : { "noteIndex" : 0 }, "schema" : "https://github.com/citation-style-language/schema/raw/master/csl-citation.json" }</w:instrText>
      </w:r>
      <w:r w:rsidR="000E5CC3">
        <w:rPr>
          <w:rFonts w:ascii="Times New Roman" w:hAnsi="Times New Roman" w:cs="Times New Roman"/>
        </w:rPr>
        <w:fldChar w:fldCharType="separate"/>
      </w:r>
      <w:r w:rsidR="00FB5D66" w:rsidRPr="00FB5D66">
        <w:rPr>
          <w:rFonts w:ascii="Times New Roman" w:hAnsi="Times New Roman" w:cs="Times New Roman"/>
          <w:noProof/>
        </w:rPr>
        <w:t xml:space="preserve">(Emsley &amp; Macklis, </w:t>
      </w:r>
      <w:r w:rsidR="00FB5D66">
        <w:rPr>
          <w:rFonts w:ascii="Times New Roman" w:hAnsi="Times New Roman" w:cs="Times New Roman"/>
          <w:noProof/>
        </w:rPr>
        <w:t>2006; Regan et al., 2007</w:t>
      </w:r>
      <w:r w:rsidR="00FB5D66" w:rsidRPr="00FB5D66">
        <w:rPr>
          <w:rFonts w:ascii="Times New Roman" w:hAnsi="Times New Roman" w:cs="Times New Roman"/>
          <w:noProof/>
        </w:rPr>
        <w:t>)</w:t>
      </w:r>
      <w:r w:rsidR="000E5CC3">
        <w:rPr>
          <w:rFonts w:ascii="Times New Roman" w:hAnsi="Times New Roman" w:cs="Times New Roman"/>
        </w:rPr>
        <w:fldChar w:fldCharType="end"/>
      </w:r>
      <w:r w:rsidR="00F56532">
        <w:rPr>
          <w:rFonts w:ascii="Times New Roman" w:hAnsi="Times New Roman" w:cs="Times New Roman"/>
        </w:rPr>
        <w:t>. Thus, the differences in the signalling pathways</w:t>
      </w:r>
      <w:r w:rsidR="00192E95">
        <w:rPr>
          <w:rFonts w:ascii="Times New Roman" w:hAnsi="Times New Roman" w:cs="Times New Roman"/>
        </w:rPr>
        <w:t xml:space="preserve"> observed between</w:t>
      </w:r>
      <w:r w:rsidR="00F56532">
        <w:rPr>
          <w:rFonts w:ascii="Times New Roman" w:hAnsi="Times New Roman" w:cs="Times New Roman"/>
        </w:rPr>
        <w:t xml:space="preserve"> the </w:t>
      </w:r>
      <w:r w:rsidR="00192E95">
        <w:rPr>
          <w:rFonts w:ascii="Times New Roman" w:hAnsi="Times New Roman" w:cs="Times New Roman"/>
        </w:rPr>
        <w:t xml:space="preserve">astrocytes </w:t>
      </w:r>
      <w:r w:rsidR="00F56532">
        <w:rPr>
          <w:rFonts w:ascii="Times New Roman" w:hAnsi="Times New Roman" w:cs="Times New Roman"/>
        </w:rPr>
        <w:t>following MAB391 trea</w:t>
      </w:r>
      <w:r w:rsidR="00192E95">
        <w:rPr>
          <w:rFonts w:ascii="Times New Roman" w:hAnsi="Times New Roman" w:cs="Times New Roman"/>
        </w:rPr>
        <w:t>tment may reflect the different</w:t>
      </w:r>
      <w:r w:rsidR="00F56532">
        <w:rPr>
          <w:rFonts w:ascii="Times New Roman" w:hAnsi="Times New Roman" w:cs="Times New Roman"/>
        </w:rPr>
        <w:t xml:space="preserve"> de</w:t>
      </w:r>
      <w:r w:rsidR="00192E95">
        <w:rPr>
          <w:rFonts w:ascii="Times New Roman" w:hAnsi="Times New Roman" w:cs="Times New Roman"/>
        </w:rPr>
        <w:t xml:space="preserve">pendencies </w:t>
      </w:r>
      <w:r w:rsidR="002F282C">
        <w:rPr>
          <w:rFonts w:ascii="Times New Roman" w:hAnsi="Times New Roman" w:cs="Times New Roman"/>
        </w:rPr>
        <w:t xml:space="preserve">of these </w:t>
      </w:r>
      <w:r w:rsidR="00E11F77">
        <w:rPr>
          <w:rFonts w:ascii="Times New Roman" w:hAnsi="Times New Roman" w:cs="Times New Roman"/>
        </w:rPr>
        <w:t xml:space="preserve">cells </w:t>
      </w:r>
      <w:r w:rsidR="00192E95">
        <w:rPr>
          <w:rFonts w:ascii="Times New Roman" w:hAnsi="Times New Roman" w:cs="Times New Roman"/>
        </w:rPr>
        <w:t>on the IGF1 pathway.</w:t>
      </w:r>
      <w:r w:rsidR="00996A61">
        <w:rPr>
          <w:rFonts w:ascii="Times New Roman" w:hAnsi="Times New Roman" w:cs="Times New Roman"/>
        </w:rPr>
        <w:t xml:space="preserve"> For example</w:t>
      </w:r>
      <w:r w:rsidR="00E11F77">
        <w:rPr>
          <w:rFonts w:ascii="Times New Roman" w:hAnsi="Times New Roman" w:cs="Times New Roman"/>
        </w:rPr>
        <w:t>,</w:t>
      </w:r>
      <w:r w:rsidR="005C55C2">
        <w:rPr>
          <w:rFonts w:ascii="Times New Roman" w:hAnsi="Times New Roman" w:cs="Times New Roman"/>
        </w:rPr>
        <w:t xml:space="preserve"> there may be more resilience to</w:t>
      </w:r>
      <w:r w:rsidR="00E11F77">
        <w:rPr>
          <w:rFonts w:ascii="Times New Roman" w:hAnsi="Times New Roman" w:cs="Times New Roman"/>
        </w:rPr>
        <w:t xml:space="preserve"> Akt</w:t>
      </w:r>
      <w:r w:rsidR="00996A61">
        <w:rPr>
          <w:rFonts w:ascii="Times New Roman" w:hAnsi="Times New Roman" w:cs="Times New Roman"/>
        </w:rPr>
        <w:t xml:space="preserve"> signalling</w:t>
      </w:r>
      <w:r w:rsidR="00E11F77">
        <w:rPr>
          <w:rFonts w:ascii="Times New Roman" w:hAnsi="Times New Roman" w:cs="Times New Roman"/>
        </w:rPr>
        <w:t xml:space="preserve"> </w:t>
      </w:r>
      <w:r w:rsidR="005C55C2">
        <w:rPr>
          <w:rFonts w:ascii="Times New Roman" w:hAnsi="Times New Roman" w:cs="Times New Roman"/>
        </w:rPr>
        <w:t>impairment</w:t>
      </w:r>
      <w:r w:rsidR="00996A61">
        <w:rPr>
          <w:rFonts w:ascii="Times New Roman" w:hAnsi="Times New Roman" w:cs="Times New Roman"/>
        </w:rPr>
        <w:t xml:space="preserve"> after</w:t>
      </w:r>
      <w:r w:rsidR="00E11F77">
        <w:rPr>
          <w:rFonts w:ascii="Times New Roman" w:hAnsi="Times New Roman" w:cs="Times New Roman"/>
        </w:rPr>
        <w:t xml:space="preserve"> a</w:t>
      </w:r>
      <w:r w:rsidR="00996A61">
        <w:rPr>
          <w:rFonts w:ascii="Times New Roman" w:hAnsi="Times New Roman" w:cs="Times New Roman"/>
        </w:rPr>
        <w:t xml:space="preserve"> 24 hour MAB391 treatment</w:t>
      </w:r>
      <w:r w:rsidR="00E11F77">
        <w:rPr>
          <w:rFonts w:ascii="Times New Roman" w:hAnsi="Times New Roman" w:cs="Times New Roman"/>
        </w:rPr>
        <w:t xml:space="preserve"> </w:t>
      </w:r>
      <w:r w:rsidR="00EF5001">
        <w:rPr>
          <w:rFonts w:ascii="Times New Roman" w:hAnsi="Times New Roman" w:cs="Times New Roman"/>
        </w:rPr>
        <w:t>in a particular astrocytic pop</w:t>
      </w:r>
      <w:r w:rsidR="00BB7694">
        <w:rPr>
          <w:rFonts w:ascii="Times New Roman" w:hAnsi="Times New Roman" w:cs="Times New Roman"/>
        </w:rPr>
        <w:t>ulation</w:t>
      </w:r>
      <w:r w:rsidR="006D490D">
        <w:rPr>
          <w:rFonts w:ascii="Times New Roman" w:hAnsi="Times New Roman" w:cs="Times New Roman"/>
        </w:rPr>
        <w:t>,</w:t>
      </w:r>
      <w:r w:rsidR="00BB7694">
        <w:rPr>
          <w:rFonts w:ascii="Times New Roman" w:hAnsi="Times New Roman" w:cs="Times New Roman"/>
        </w:rPr>
        <w:t xml:space="preserve"> so that </w:t>
      </w:r>
      <w:r w:rsidR="008818DD">
        <w:rPr>
          <w:rFonts w:ascii="Times New Roman" w:hAnsi="Times New Roman" w:cs="Times New Roman"/>
        </w:rPr>
        <w:t xml:space="preserve">associated </w:t>
      </w:r>
      <w:r w:rsidR="00BB7694">
        <w:rPr>
          <w:rFonts w:ascii="Times New Roman" w:hAnsi="Times New Roman" w:cs="Times New Roman"/>
        </w:rPr>
        <w:t>neurons</w:t>
      </w:r>
      <w:r w:rsidR="002F282C">
        <w:rPr>
          <w:rFonts w:ascii="Times New Roman" w:hAnsi="Times New Roman" w:cs="Times New Roman"/>
        </w:rPr>
        <w:t xml:space="preserve"> reliant on</w:t>
      </w:r>
      <w:r w:rsidR="006D490D">
        <w:rPr>
          <w:rFonts w:ascii="Times New Roman" w:hAnsi="Times New Roman" w:cs="Times New Roman"/>
        </w:rPr>
        <w:t xml:space="preserve"> this pathway being fu</w:t>
      </w:r>
      <w:r w:rsidR="00993D70">
        <w:rPr>
          <w:rFonts w:ascii="Times New Roman" w:hAnsi="Times New Roman" w:cs="Times New Roman"/>
        </w:rPr>
        <w:t>nctional are not detrimentally a</w:t>
      </w:r>
      <w:r w:rsidR="006D490D">
        <w:rPr>
          <w:rFonts w:ascii="Times New Roman" w:hAnsi="Times New Roman" w:cs="Times New Roman"/>
        </w:rPr>
        <w:t>ffected</w:t>
      </w:r>
      <w:r w:rsidR="00EF5001">
        <w:rPr>
          <w:rFonts w:ascii="Times New Roman" w:hAnsi="Times New Roman" w:cs="Times New Roman"/>
        </w:rPr>
        <w:t xml:space="preserve">. </w:t>
      </w:r>
      <w:r w:rsidR="005C4DFB">
        <w:rPr>
          <w:rFonts w:ascii="Times New Roman" w:hAnsi="Times New Roman" w:cs="Times New Roman"/>
        </w:rPr>
        <w:t>These differences in signalling behaviour have been identified in mouse cortical and midbrain astrocytes.</w:t>
      </w:r>
      <w:r w:rsidR="00CC631D">
        <w:rPr>
          <w:rFonts w:ascii="Times New Roman" w:hAnsi="Times New Roman" w:cs="Times New Roman"/>
        </w:rPr>
        <w:t xml:space="preserve"> Loss of EGFR in mouse cortical astrocytes </w:t>
      </w:r>
      <w:r w:rsidR="005C4DFB">
        <w:rPr>
          <w:rFonts w:ascii="Times New Roman" w:hAnsi="Times New Roman" w:cs="Times New Roman"/>
        </w:rPr>
        <w:t>has been found to induce</w:t>
      </w:r>
      <w:r w:rsidR="00CC631D">
        <w:rPr>
          <w:rFonts w:ascii="Times New Roman" w:hAnsi="Times New Roman" w:cs="Times New Roman"/>
        </w:rPr>
        <w:t xml:space="preserve"> apoptosis by a caspase and Akt dependent mechanism</w:t>
      </w:r>
      <w:r w:rsidR="00971EF7">
        <w:rPr>
          <w:rFonts w:ascii="Times New Roman" w:hAnsi="Times New Roman" w:cs="Times New Roman"/>
        </w:rPr>
        <w:t xml:space="preserve">, which is not observed in </w:t>
      </w:r>
      <w:r w:rsidR="00CC631D">
        <w:rPr>
          <w:rFonts w:ascii="Times New Roman" w:hAnsi="Times New Roman" w:cs="Times New Roman"/>
        </w:rPr>
        <w:t>astrocytes from the midbrain</w:t>
      </w:r>
      <w:r w:rsidR="00E24F86">
        <w:rPr>
          <w:rFonts w:ascii="Times New Roman" w:hAnsi="Times New Roman" w:cs="Times New Roman"/>
        </w:rPr>
        <w:t xml:space="preserve"> </w:t>
      </w:r>
      <w:r w:rsidR="00A36804">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"10.1038/sj.emboj.7600988", "ISSN" : "0261-4189", "PMID" : "16467848", "abstract" : "Mice lacking epidermal growth factor receptor (EGFR) develop a neurodegeneration of unknown etiology affecting exclusively the frontal cortex and olfactory bulbs. Here, we show that EGFR signaling controls cortical degeneration by regulating cortical astrocyte apoptosis. Whereas EGFR(-/-) midbrain astrocytes are unaffected, mutant cortical astrocytes display increased apoptosis mediated by an Akt-caspase-dependent mechanism and are unable to support neuronal survival. The expression of many neurotrophic factors is unaltered in EGFR(-/-) cortical astrocytes suggesting that neuronal loss occurs as a consequence of increased astrocyte apoptosis rather than impaired secretion of trophic factors. Neuron-specific expression of activated Ras can compensate for the deficiency of EGFR(-/-) cortical astrocytes and prevent neuronal death. These results identify two functionally distinct astrocyte populations, which differentially depend on EGFR signaling for their survival and also for their ability to support neuronal survival. These spatial differences in astrocyte composition provide a mechanism for the region-specific neurodegeneration in EGFR(-/-) mice.", "author" : [ { "dropping-particle" : "", "family" : "Wagner", "given" : "Bettina", "non-dropping-particle" : "", "parse-names" : false, "suffix" : "" }, { "dropping-particle" : "", "family" : "Natarajan", "given" : "Anuradha", "non-dropping-particle" : "", "parse-names" : false, "suffix" : "" }, { "dropping-particle" : "", "family" : "Gr\u00fcnaug", "given" : "Sabine", "non-dropping-particle" : "", "parse-names" : false, "suffix" : "" }, { "dropping-particle" : "", "family" : "Kroismayr", "given" : "Renate", "non-dropping-particle" : "", "parse-names" : false, "suffix" : "" }, { "dropping-particle" : "", "family" : "Wagner", "given" : "Erwin F", "non-dropping-particle" : "", "parse-names" : false, "suffix" : "" }, { "dropping-particle" : "", "family" : "Sibilia", "given" : "Maria", "non-dropping-particle" : "", "parse-names" : false, "suffix" : "" } ], "container-title" : "The EMBO journal", "id" : "ITEM-1", "issue" : "4", "issued" : { "date-parts" : [ [ "2006", "2", "22" ] ] }, "page" : "752-62", "title" : "Neuronal survival depends on EGFR signaling in cortical but not midbrain astrocytes.", "type" : "article-journal", "volume" : "25" }, "uris" : [ "http://www.mendeley.com/documents/?uuid=da2972f4-1309-454e-87bd-7d5234503010" ] } ], "mendeley" : { "formattedCitation" : "(Wagner et al. 2006)", "plainTextFormattedCitation" : "(Wagner et al. 2006)", "previouslyFormattedCitation" : "(Wagner et al. 2006)" }, "properties" : { "noteIndex" : 0 }, "schema" : "https://github.com/citation-style-language/schema/raw/master/csl-citation.json" }</w:instrText>
      </w:r>
      <w:r w:rsidR="00A36804">
        <w:rPr>
          <w:rFonts w:ascii="Times New Roman" w:hAnsi="Times New Roman" w:cs="Times New Roman"/>
        </w:rPr>
        <w:fldChar w:fldCharType="separate"/>
      </w:r>
      <w:r w:rsidR="00C148FC" w:rsidRPr="00C148FC">
        <w:rPr>
          <w:rFonts w:ascii="Times New Roman" w:hAnsi="Times New Roman" w:cs="Times New Roman"/>
          <w:noProof/>
        </w:rPr>
        <w:t>(Wagner et al. 2006)</w:t>
      </w:r>
      <w:r w:rsidR="00A36804">
        <w:rPr>
          <w:rFonts w:ascii="Times New Roman" w:hAnsi="Times New Roman" w:cs="Times New Roman"/>
        </w:rPr>
        <w:fldChar w:fldCharType="end"/>
      </w:r>
      <w:r w:rsidR="005C4DFB">
        <w:rPr>
          <w:rFonts w:ascii="Times New Roman" w:hAnsi="Times New Roman" w:cs="Times New Roman"/>
        </w:rPr>
        <w:t xml:space="preserve">. </w:t>
      </w:r>
      <w:r w:rsidR="00971EF7">
        <w:rPr>
          <w:rFonts w:ascii="Times New Roman" w:hAnsi="Times New Roman" w:cs="Times New Roman"/>
        </w:rPr>
        <w:t xml:space="preserve">In addition, neuronal survival is impaired </w:t>
      </w:r>
      <w:r w:rsidR="00E11F77">
        <w:rPr>
          <w:rFonts w:ascii="Times New Roman" w:hAnsi="Times New Roman" w:cs="Times New Roman"/>
        </w:rPr>
        <w:t xml:space="preserve">in the presence of EGFR depleted cortical astrocytes </w:t>
      </w:r>
      <w:r w:rsidR="005C4DFB">
        <w:rPr>
          <w:rFonts w:ascii="Times New Roman" w:hAnsi="Times New Roman" w:cs="Times New Roman"/>
        </w:rPr>
        <w:t>compared with</w:t>
      </w:r>
      <w:r w:rsidR="00E11F77">
        <w:rPr>
          <w:rFonts w:ascii="Times New Roman" w:hAnsi="Times New Roman" w:cs="Times New Roman"/>
        </w:rPr>
        <w:t xml:space="preserve"> the midbrain astrocytes. </w:t>
      </w:r>
      <w:r w:rsidR="00E24F86">
        <w:rPr>
          <w:rFonts w:ascii="Times New Roman" w:hAnsi="Times New Roman" w:cs="Times New Roman"/>
        </w:rPr>
        <w:t>In this case, neurons in association with the midbrain astrocytes may be more depend</w:t>
      </w:r>
      <w:r w:rsidR="003C5D6F">
        <w:rPr>
          <w:rFonts w:ascii="Times New Roman" w:hAnsi="Times New Roman" w:cs="Times New Roman"/>
        </w:rPr>
        <w:t>ent</w:t>
      </w:r>
      <w:r w:rsidR="00E24F86">
        <w:rPr>
          <w:rFonts w:ascii="Times New Roman" w:hAnsi="Times New Roman" w:cs="Times New Roman"/>
        </w:rPr>
        <w:t xml:space="preserve"> on sustained</w:t>
      </w:r>
      <w:r w:rsidR="005C55C2">
        <w:rPr>
          <w:rFonts w:ascii="Times New Roman" w:hAnsi="Times New Roman" w:cs="Times New Roman"/>
        </w:rPr>
        <w:t xml:space="preserve"> astrocytic</w:t>
      </w:r>
      <w:r w:rsidR="00E24F86">
        <w:rPr>
          <w:rFonts w:ascii="Times New Roman" w:hAnsi="Times New Roman" w:cs="Times New Roman"/>
        </w:rPr>
        <w:t xml:space="preserve"> EGFR signalling and </w:t>
      </w:r>
      <w:r w:rsidR="005C55C2">
        <w:rPr>
          <w:rFonts w:ascii="Times New Roman" w:hAnsi="Times New Roman" w:cs="Times New Roman"/>
        </w:rPr>
        <w:t xml:space="preserve">there may be coping mechanisms within the astrocytes that allow continued </w:t>
      </w:r>
      <w:r w:rsidR="00AA3CC3">
        <w:rPr>
          <w:rFonts w:ascii="Times New Roman" w:hAnsi="Times New Roman" w:cs="Times New Roman"/>
        </w:rPr>
        <w:t xml:space="preserve">support </w:t>
      </w:r>
      <w:r w:rsidR="005C55C2">
        <w:rPr>
          <w:rFonts w:ascii="Times New Roman" w:hAnsi="Times New Roman" w:cs="Times New Roman"/>
        </w:rPr>
        <w:t xml:space="preserve">to </w:t>
      </w:r>
      <w:r w:rsidR="00AA3CC3">
        <w:rPr>
          <w:rFonts w:ascii="Times New Roman" w:hAnsi="Times New Roman" w:cs="Times New Roman"/>
        </w:rPr>
        <w:t>surrounding neurons</w:t>
      </w:r>
      <w:r w:rsidR="007C34BA">
        <w:rPr>
          <w:rFonts w:ascii="Times New Roman" w:hAnsi="Times New Roman" w:cs="Times New Roman"/>
        </w:rPr>
        <w:t xml:space="preserve">. </w:t>
      </w:r>
      <w:r w:rsidR="00CD0C72">
        <w:rPr>
          <w:rFonts w:ascii="Times New Roman" w:hAnsi="Times New Roman" w:cs="Times New Roman"/>
        </w:rPr>
        <w:t>These findin</w:t>
      </w:r>
      <w:r w:rsidR="00043505">
        <w:rPr>
          <w:rFonts w:ascii="Times New Roman" w:hAnsi="Times New Roman" w:cs="Times New Roman"/>
        </w:rPr>
        <w:t xml:space="preserve">gs </w:t>
      </w:r>
      <w:r w:rsidR="00133E3B">
        <w:rPr>
          <w:rFonts w:ascii="Times New Roman" w:hAnsi="Times New Roman" w:cs="Times New Roman"/>
        </w:rPr>
        <w:t>could explain why</w:t>
      </w:r>
      <w:r w:rsidR="00043505">
        <w:rPr>
          <w:rFonts w:ascii="Times New Roman" w:hAnsi="Times New Roman" w:cs="Times New Roman"/>
        </w:rPr>
        <w:t xml:space="preserve"> EGFR</w:t>
      </w:r>
      <w:r w:rsidR="00043505">
        <w:rPr>
          <w:rFonts w:ascii="Times New Roman" w:hAnsi="Times New Roman" w:cs="Times New Roman"/>
          <w:vertAlign w:val="superscript"/>
        </w:rPr>
        <w:t>-/-</w:t>
      </w:r>
      <w:r w:rsidR="00133E3B">
        <w:rPr>
          <w:rFonts w:ascii="Times New Roman" w:hAnsi="Times New Roman" w:cs="Times New Roman"/>
        </w:rPr>
        <w:t xml:space="preserve"> mice experience</w:t>
      </w:r>
      <w:r w:rsidR="00043505">
        <w:rPr>
          <w:rFonts w:ascii="Times New Roman" w:hAnsi="Times New Roman" w:cs="Times New Roman"/>
        </w:rPr>
        <w:t xml:space="preserve"> neurodegeneration only in the cortex and olfactory bulbs </w:t>
      </w:r>
      <w:r w:rsidR="00043505">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"10.1093/emboj/17.3.719", "ISSN" : "0261-4189", "PMID" : "9450997", "abstract" : "Mice lacking the epidermal growth factor receptor (EGFR) exhibit strain-dependent phenotypes ranging from placental to postnatal skin, lung and brain defects. After birth, all mutant mice develop a progressive neurodegeneration in the frontal cortex, olfactory bulb and thalamus, characterized by massive apoptosis and upregulation of c-fos. These defects occur in a strain-independent manner, since neither rescue of the placental phenotype by aggregation of diploid 129/Sv EGFR mutant and tetraploid wild-type embryos, nor promotion of lung maturation by transplacental dexamethasone administration alters the course of neurodegeneration. VEGF is not induced during the degenerative process, excluding hypoxia and ischemia as causes of cell death. A migratory disorder is detected in the hippocampus with nests of ectopic neurons, which are also apoptotic. Cerebral cortices from EGFR mutants contain lower numbers of GFAP positive astrocytes, which display reduced proliferation in vitro. Since EGFR is expressed in the affected cell-types, these results define a specific function for EGFR in the proliferation and/or differentiation of astrocytes and in the survival of postmitotic neurons.", "author" : [ { "dropping-particle" : "", "family" : "Sibilia", "given" : "M", "non-dropping-particle" : "", "parse-names" : false, "suffix" : "" }, { "dropping-particle" : "", "family" : "Steinbach", "given" : "J P", "non-dropping-particle" : "", "parse-names" : false, "suffix" : "" }, { "dropping-particle" : "", "family" : "Stingl", "given" : "L", "non-dropping-particle" : "", "parse-names" : false, "suffix" : "" }, { "dropping-particle" : "", "family" : "Aguzzi", "given" : "A", "non-dropping-particle" : "", "parse-names" : false, "suffix" : "" }, { "dropping-particle" : "", "family" : "Wagner", "given" : "E F", "non-dropping-particle" : "", "parse-names" : false, "suffix" : "" } ], "container-title" : "The EMBO journal", "id" : "ITEM-1", "issue" : "3", "issued" : { "date-parts" : [ [ "1998", "2", "2" ] ] }, "page" : "719-31", "title" : "A strain-independent postnatal neurodegeneration in mice lacking the EGF receptor.", "type" : "article-journal", "volume" : "17" }, "uris" : [ "http://www.mendeley.com/documents/?uuid=1ad1888a-ba9e-483c-bbe2-5c9691b03037" ] } ], "mendeley" : { "formattedCitation" : "(Sibilia et al. 1998)", "plainTextFormattedCitation" : "(Sibilia et al. 1998)", "previouslyFormattedCitation" : "(Sibilia et al. 1998)" }, "properties" : { "noteIndex" : 0 }, "schema" : "https://github.com/citation-style-language/schema/raw/master/csl-citation.json" }</w:instrText>
      </w:r>
      <w:r w:rsidR="00043505">
        <w:rPr>
          <w:rFonts w:ascii="Times New Roman" w:hAnsi="Times New Roman" w:cs="Times New Roman"/>
        </w:rPr>
        <w:fldChar w:fldCharType="separate"/>
      </w:r>
      <w:r w:rsidR="00C148FC" w:rsidRPr="00C148FC">
        <w:rPr>
          <w:rFonts w:ascii="Times New Roman" w:hAnsi="Times New Roman" w:cs="Times New Roman"/>
          <w:noProof/>
        </w:rPr>
        <w:t>(Sibilia et al. 1998)</w:t>
      </w:r>
      <w:r w:rsidR="00043505">
        <w:rPr>
          <w:rFonts w:ascii="Times New Roman" w:hAnsi="Times New Roman" w:cs="Times New Roman"/>
        </w:rPr>
        <w:fldChar w:fldCharType="end"/>
      </w:r>
      <w:r w:rsidR="00043505">
        <w:rPr>
          <w:rFonts w:ascii="Times New Roman" w:hAnsi="Times New Roman" w:cs="Times New Roman"/>
        </w:rPr>
        <w:t>.</w:t>
      </w:r>
      <w:r w:rsidR="00705D66">
        <w:rPr>
          <w:rFonts w:ascii="Times New Roman" w:hAnsi="Times New Roman" w:cs="Times New Roman"/>
        </w:rPr>
        <w:t xml:space="preserve"> In addition, </w:t>
      </w:r>
      <w:r w:rsidR="00451753">
        <w:rPr>
          <w:rFonts w:ascii="Times New Roman" w:hAnsi="Times New Roman" w:cs="Times New Roman"/>
        </w:rPr>
        <w:t>Emsley and Macklis (2006) showed that pro</w:t>
      </w:r>
      <w:r w:rsidR="002646F5">
        <w:rPr>
          <w:rFonts w:ascii="Times New Roman" w:hAnsi="Times New Roman" w:cs="Times New Roman"/>
        </w:rPr>
        <w:t>liferation of astrocytes varies</w:t>
      </w:r>
      <w:r w:rsidR="00451753">
        <w:rPr>
          <w:rFonts w:ascii="Times New Roman" w:hAnsi="Times New Roman" w:cs="Times New Roman"/>
        </w:rPr>
        <w:t xml:space="preserve"> in different subregions of the brain in different neuronally defined regions.</w:t>
      </w:r>
      <w:r w:rsidR="0096512A">
        <w:rPr>
          <w:rFonts w:ascii="Times New Roman" w:hAnsi="Times New Roman" w:cs="Times New Roman"/>
        </w:rPr>
        <w:t xml:space="preserve"> Rates of proliferation between human hypothalamic and cortical astrocytes also differ, which is based on the different expression profiles of ErbB receptors </w:t>
      </w:r>
      <w:r w:rsidR="0096512A">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"10.1002/glia.20762", "ISSN" : "1098-1136", "PMID" : "18803307", "abstract" : "Studies in rodents have shown that astroglial erbB tyrosine kinase receptors are key regulatory elements in neuron-glia communication. Although both astrocytes and deregulation of erbB functions have been implicated in the pathogenesis of many common human brain disorders, erbB signaling in native human brain astrocytes has never been explored. Taking advantage of our ability to perform primary cultures from the cortex and the hypothalamus of human fetuses, we conducted a thorough analysis of erbB signaling in human astrocytes. We showed that human cortical astrocytes express erbB1, erbB2, and erbB3, whereas human hypothalamic astrocytes express erbB1, erbB2, and erbB4 receptors. Ligand-dependent activation of different erbB receptor heterodimeric complexes in these two populations of astrocytes translated into different morphological and proliferative responses. Although morphological plasticity was more pronounced in hypothalamic astrocytes than in cortical astrocytes, the former showed a lower mitogenic potential. Decreasing erbB4 expression via siRNA-mediated gene knockdown revealed that erbB4 constitutively restrains basal proliferative activity in hypothalamic astrocytes. We further show that treatment of human astrocytes with a protein kinase C activator results in rapid tyrosine phosphorylation of erbB receptors that involves cleavage of endogenous membrane bound erbB ligands by metalloproteinases. Together, these results indicate that erbB signaling in primary human brain astrocytes is functional, region-specific, and can be activated in a paracrine and/or autocrine manner. In addition, by revealing that some aspects of astroglial erbB signaling are different between human and rodents, our results provide a molecular framework to explore the potential involvement of astroglial erbB signaling deregulation in human brain disorders.", "author" : [ { "dropping-particle" : "", "family" : "Sharif", "given" : "Ariane", "non-dropping-particle" : "", "parse-names" : false, "suffix" : "" }, { "dropping-particle" : "", "family" : "Duhem-Tonnelle", "given" : "V\u00e9ronique", "non-dropping-particle" : "", "parse-names" : false, "suffix" : "" }, { "dropping-particle" : "", "family" : "Allet", "given" : "C\u00e9cile", "non-dropping-particle" : "", "parse-names" : false, "suffix" : "" }, { "dropping-particle" : "", "family" : "Baroncini", "given" : "Marc", "non-dropping-particle" : "", "parse-names" : false, "suffix" : "" }, { "dropping-particle" : "", "family" : "Loyens", "given" : "Anne", "non-dropping-particle" : "", "parse-names" : false, "suffix" : "" }, { "dropping-particle" : "", "family" : "Kerr-Conte", "given" : "Julie", "non-dropping-particle" : "", "parse-names" : false, "suffix" : "" }, { "dropping-particle" : "", "family" : "Collier", "given" : "Francis", "non-dropping-particle" : "", "parse-names" : false, "suffix" : "" }, { "dropping-particle" : "", "family" : "Blond", "given" : "Serge", "non-dropping-particle" : "", "parse-names" : false, "suffix" : "" }, { "dropping-particle" : "", "family" : "Ojeda", "given" : "Sergio R", "non-dropping-particle" : "", "parse-names" : false, "suffix" : "" }, { "dropping-particle" : "", "family" : "Junier", "given" : "Marie-Pierre", "non-dropping-particle" : "", "parse-names" : false, "suffix" : "" }, { "dropping-particle" : "", "family" : "Prevot", "given" : "Vincent", "non-dropping-particle" : "", "parse-names" : false, "suffix" : "" } ], "container-title" : "Glia", "id" : "ITEM-1", "issue" : "4", "issued" : { "date-parts" : [ [ "2009", "3" ] ] }, "page" : "362-79", "title" : "Differential erbB signaling in astrocytes from the cerebral cortex and the hypothalamus of the human brain.", "type" : "article-journal", "volume" : "57" }, "uris" : [ "http://www.mendeley.com/documents/?uuid=1e4f47e9-21b9-4538-9e7a-185220bd6db9" ] } ], "mendeley" : { "formattedCitation" : "(Sharif et al. 2009)", "plainTextFormattedCitation" : "(Sharif et al. 2009)", "previouslyFormattedCitation" : "(Sharif et al. 2009)" }, "properties" : { "noteIndex" : 0 }, "schema" : "https://github.com/citation-style-language/schema/raw/master/csl-citation.json" }</w:instrText>
      </w:r>
      <w:r w:rsidR="0096512A">
        <w:rPr>
          <w:rFonts w:ascii="Times New Roman" w:hAnsi="Times New Roman" w:cs="Times New Roman"/>
        </w:rPr>
        <w:fldChar w:fldCharType="separate"/>
      </w:r>
      <w:r w:rsidR="00C148FC" w:rsidRPr="00C148FC">
        <w:rPr>
          <w:rFonts w:ascii="Times New Roman" w:hAnsi="Times New Roman" w:cs="Times New Roman"/>
          <w:noProof/>
        </w:rPr>
        <w:t>(Sharif et al. 2009)</w:t>
      </w:r>
      <w:r w:rsidR="0096512A">
        <w:rPr>
          <w:rFonts w:ascii="Times New Roman" w:hAnsi="Times New Roman" w:cs="Times New Roman"/>
        </w:rPr>
        <w:fldChar w:fldCharType="end"/>
      </w:r>
      <w:r w:rsidR="0096512A">
        <w:rPr>
          <w:rFonts w:ascii="Times New Roman" w:hAnsi="Times New Roman" w:cs="Times New Roman"/>
        </w:rPr>
        <w:t>.</w:t>
      </w:r>
      <w:r w:rsidR="00451753">
        <w:rPr>
          <w:rFonts w:ascii="Times New Roman" w:hAnsi="Times New Roman" w:cs="Times New Roman"/>
        </w:rPr>
        <w:t xml:space="preserve"> Therefore, as</w:t>
      </w:r>
      <w:r w:rsidR="0096512A">
        <w:rPr>
          <w:rFonts w:ascii="Times New Roman" w:hAnsi="Times New Roman" w:cs="Times New Roman"/>
        </w:rPr>
        <w:t xml:space="preserve"> early work suggests</w:t>
      </w:r>
      <w:r w:rsidR="00451753">
        <w:rPr>
          <w:rFonts w:ascii="Times New Roman" w:hAnsi="Times New Roman" w:cs="Times New Roman"/>
        </w:rPr>
        <w:t xml:space="preserve"> IGF1 </w:t>
      </w:r>
      <w:r w:rsidR="0068212B">
        <w:rPr>
          <w:rFonts w:ascii="Times New Roman" w:hAnsi="Times New Roman" w:cs="Times New Roman"/>
        </w:rPr>
        <w:t>contribute</w:t>
      </w:r>
      <w:r w:rsidR="0096512A">
        <w:rPr>
          <w:rFonts w:ascii="Times New Roman" w:hAnsi="Times New Roman" w:cs="Times New Roman"/>
        </w:rPr>
        <w:t>s</w:t>
      </w:r>
      <w:r w:rsidR="0068212B">
        <w:rPr>
          <w:rFonts w:ascii="Times New Roman" w:hAnsi="Times New Roman" w:cs="Times New Roman"/>
        </w:rPr>
        <w:t xml:space="preserve"> to astrocyte</w:t>
      </w:r>
      <w:r w:rsidR="00451753">
        <w:rPr>
          <w:rFonts w:ascii="Times New Roman" w:hAnsi="Times New Roman" w:cs="Times New Roman"/>
        </w:rPr>
        <w:t xml:space="preserve"> proliferation</w:t>
      </w:r>
      <w:r w:rsidR="0068212B">
        <w:rPr>
          <w:rFonts w:ascii="Times New Roman" w:hAnsi="Times New Roman" w:cs="Times New Roman"/>
        </w:rPr>
        <w:t xml:space="preserve"> </w:t>
      </w:r>
      <w:r w:rsidR="0068212B">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"10.1002/jnr.490340206", "ISSN" : "0360-4012", "PMID" : "8450562", "abstract" : "The insulin-like growth factors are postulated to play a role during brain development. Because they are believed to act in a paracrine/autocrine manner, the production of insulin-like growth factor-I (IGF-I) by cultured astroglial cells was examined. Quantities of IGF-I in conditioned media were determined by RIA after separation of IGFs from IGF-binding proteins by high-pressure liquid chromatography. Astrocytes from 1-day-old rats and the rat glioma cell line (C6) both secreted 7.5-kDa IGF-I. A peak of immunoreactivity with an apparent mol wt of 12,000 was additionally present in media conditioned by C6 cells. Exposure to epidermal growth factor (EGF) increased media content of immunoreactive IGF-I slightly (60%) in C6 cells but more than 2-fold in normal astrocytes. Fibroblast growth factor also increased the amount of IGF-I contained in media conditioned by normal astrocytes. To determine whether the secreted IGF-I was biologically active, media IGFs were immunoneutralized with a monoclonal antibody (Sm 1.25). In the presence of the antibody, EGF-stimulated astrocyte replication was blocked. These data indicate that IGF-I secretion by rodent astrocytes is stimulated by factors thought to be important for brain growth and development and that the IGFs are likely intimate participants in EGF-induced astrocyte growth.", "author" : [ { "dropping-particle" : "", "family" : "Chernausek", "given" : "S D", "non-dropping-particle" : "", "parse-names" : false, "suffix" : "" } ], "container-title" : "Journal of neuroscience research", "id" : "ITEM-1", "issue" : "2", "issued" : { "date-parts" : [ [ "1993", "2", "1" ] ] }, "page" : "189-97", "title" : "Insulin-like growth factor-I (IGF-I) production by astroglial cells: regulation and importance for epidermal growth factor-induced cell replication.", "type" : "article-journal", "volume" : "34" }, "uris" : [ "http://www.mendeley.com/documents/?uuid=b4a4c33d-f3a5-44fc-aeba-1f0df5e5ff6e" ] } ], "mendeley" : { "formattedCitation" : "(Chernausek 1993)", "plainTextFormattedCitation" : "(Chernausek 1993)", "previouslyFormattedCitation" : "(Chernausek 1993)" }, "properties" : { "noteIndex" : 0 }, "schema" : "https://github.com/citation-style-language/schema/raw/master/csl-citation.json" }</w:instrText>
      </w:r>
      <w:r w:rsidR="0068212B">
        <w:rPr>
          <w:rFonts w:ascii="Times New Roman" w:hAnsi="Times New Roman" w:cs="Times New Roman"/>
        </w:rPr>
        <w:fldChar w:fldCharType="separate"/>
      </w:r>
      <w:r w:rsidR="00C148FC" w:rsidRPr="00C148FC">
        <w:rPr>
          <w:rFonts w:ascii="Times New Roman" w:hAnsi="Times New Roman" w:cs="Times New Roman"/>
          <w:noProof/>
        </w:rPr>
        <w:t>(Chernausek 1993)</w:t>
      </w:r>
      <w:r w:rsidR="0068212B">
        <w:rPr>
          <w:rFonts w:ascii="Times New Roman" w:hAnsi="Times New Roman" w:cs="Times New Roman"/>
        </w:rPr>
        <w:fldChar w:fldCharType="end"/>
      </w:r>
      <w:r w:rsidR="0096512A">
        <w:rPr>
          <w:rFonts w:ascii="Times New Roman" w:hAnsi="Times New Roman" w:cs="Times New Roman"/>
        </w:rPr>
        <w:t xml:space="preserve"> and as regional differences have been observed in EGF signalling in astrocytes</w:t>
      </w:r>
      <w:r w:rsidR="00451753">
        <w:rPr>
          <w:rFonts w:ascii="Times New Roman" w:hAnsi="Times New Roman" w:cs="Times New Roman"/>
        </w:rPr>
        <w:t>, it could be hypothesised that</w:t>
      </w:r>
      <w:r w:rsidR="0096512A">
        <w:rPr>
          <w:rFonts w:ascii="Times New Roman" w:hAnsi="Times New Roman" w:cs="Times New Roman"/>
        </w:rPr>
        <w:t xml:space="preserve"> human</w:t>
      </w:r>
      <w:r w:rsidR="00451753">
        <w:rPr>
          <w:rFonts w:ascii="Times New Roman" w:hAnsi="Times New Roman" w:cs="Times New Roman"/>
        </w:rPr>
        <w:t xml:space="preserve"> astrocytes vary in their response to IGF1 in </w:t>
      </w:r>
      <w:r w:rsidR="0096512A">
        <w:rPr>
          <w:rFonts w:ascii="Times New Roman" w:hAnsi="Times New Roman" w:cs="Times New Roman"/>
        </w:rPr>
        <w:t xml:space="preserve">different </w:t>
      </w:r>
      <w:r w:rsidR="000913FD">
        <w:rPr>
          <w:rFonts w:ascii="Times New Roman" w:hAnsi="Times New Roman" w:cs="Times New Roman"/>
        </w:rPr>
        <w:t>regions of</w:t>
      </w:r>
      <w:r w:rsidR="0096512A">
        <w:rPr>
          <w:rFonts w:ascii="Times New Roman" w:hAnsi="Times New Roman" w:cs="Times New Roman"/>
        </w:rPr>
        <w:t xml:space="preserve"> the</w:t>
      </w:r>
      <w:r w:rsidR="00451753">
        <w:rPr>
          <w:rFonts w:ascii="Times New Roman" w:hAnsi="Times New Roman" w:cs="Times New Roman"/>
        </w:rPr>
        <w:t xml:space="preserve"> brain. </w:t>
      </w:r>
    </w:p>
    <w:p w14:paraId="0D036366" w14:textId="77777777" w:rsidR="004A21A3" w:rsidRDefault="004A21A3" w:rsidP="00C63BC1">
      <w:pPr>
        <w:spacing w:line="360" w:lineRule="auto"/>
        <w:jc w:val="both"/>
        <w:rPr>
          <w:rFonts w:ascii="Times New Roman" w:hAnsi="Times New Roman" w:cs="Times New Roman"/>
        </w:rPr>
      </w:pPr>
    </w:p>
    <w:p w14:paraId="5608FDA5" w14:textId="77777777" w:rsidR="004A21A3" w:rsidRDefault="004A21A3" w:rsidP="00C63BC1">
      <w:pPr>
        <w:spacing w:line="360" w:lineRule="auto"/>
        <w:jc w:val="both"/>
        <w:rPr>
          <w:rFonts w:ascii="Times New Roman" w:hAnsi="Times New Roman" w:cs="Times New Roman"/>
        </w:rPr>
      </w:pPr>
    </w:p>
    <w:p w14:paraId="020F4ED0" w14:textId="7C7B4645" w:rsidR="00990A79" w:rsidRDefault="0062211D" w:rsidP="00C63BC1">
      <w:pPr>
        <w:pStyle w:val="Heading3"/>
        <w:jc w:val="both"/>
      </w:pPr>
      <w:bookmarkStart w:id="1184" w:name="_Toc328301155"/>
      <w:bookmarkStart w:id="1185" w:name="_Toc329593446"/>
      <w:bookmarkStart w:id="1186" w:name="_Toc331425945"/>
      <w:bookmarkStart w:id="1187" w:name="_Toc331427126"/>
      <w:bookmarkStart w:id="1188" w:name="_Toc331427498"/>
      <w:bookmarkStart w:id="1189" w:name="_Toc331427640"/>
      <w:bookmarkStart w:id="1190" w:name="_Toc332972644"/>
      <w:bookmarkStart w:id="1191" w:name="_Toc333046923"/>
      <w:bookmarkStart w:id="1192" w:name="_Toc333477270"/>
      <w:bookmarkStart w:id="1193" w:name="_Toc333478040"/>
      <w:bookmarkStart w:id="1194" w:name="_Toc333644940"/>
      <w:r>
        <w:t xml:space="preserve">3.5.4 </w:t>
      </w:r>
      <w:r w:rsidR="00985277">
        <w:t>Impaired IGF1</w:t>
      </w:r>
      <w:r w:rsidR="003C5D6F">
        <w:t xml:space="preserve"> signalling does not produce an</w:t>
      </w:r>
      <w:r w:rsidR="00985277">
        <w:t xml:space="preserve"> ob</w:t>
      </w:r>
      <w:r w:rsidR="008D76D0">
        <w:t>servable phenotype</w:t>
      </w:r>
      <w:r w:rsidR="00985277">
        <w:t xml:space="preserve"> in </w:t>
      </w:r>
      <w:r w:rsidR="00990A79">
        <w:t>human astrocytes in monoculture</w:t>
      </w:r>
      <w:bookmarkEnd w:id="1184"/>
      <w:bookmarkEnd w:id="1185"/>
      <w:bookmarkEnd w:id="1186"/>
      <w:bookmarkEnd w:id="1187"/>
      <w:bookmarkEnd w:id="1188"/>
      <w:bookmarkEnd w:id="1189"/>
      <w:bookmarkEnd w:id="1190"/>
      <w:bookmarkEnd w:id="1191"/>
      <w:bookmarkEnd w:id="1192"/>
      <w:bookmarkEnd w:id="1193"/>
      <w:bookmarkEnd w:id="1194"/>
    </w:p>
    <w:p w14:paraId="4FA92066" w14:textId="77777777" w:rsidR="00B04BBD" w:rsidRPr="00985277" w:rsidRDefault="00B04BBD" w:rsidP="00C63BC1">
      <w:pPr>
        <w:spacing w:line="360" w:lineRule="auto"/>
        <w:jc w:val="both"/>
        <w:rPr>
          <w:rFonts w:ascii="Times New Roman" w:hAnsi="Times New Roman" w:cs="Times New Roman"/>
          <w:b/>
          <w:u w:val="single"/>
        </w:rPr>
      </w:pPr>
    </w:p>
    <w:p w14:paraId="757E6004" w14:textId="7BD8FA70" w:rsidR="00851D6C" w:rsidRDefault="0016385C" w:rsidP="00C63BC1">
      <w:pPr>
        <w:spacing w:line="360" w:lineRule="auto"/>
        <w:jc w:val="both"/>
        <w:rPr>
          <w:rFonts w:ascii="Times New Roman" w:hAnsi="Times New Roman" w:cs="Times New Roman"/>
          <w:color w:val="FF0000"/>
        </w:rPr>
      </w:pPr>
      <w:r>
        <w:rPr>
          <w:rFonts w:ascii="Times New Roman" w:hAnsi="Times New Roman" w:cs="Times New Roman"/>
        </w:rPr>
        <w:t>Having de</w:t>
      </w:r>
      <w:r w:rsidR="002E65DB">
        <w:rPr>
          <w:rFonts w:ascii="Times New Roman" w:hAnsi="Times New Roman" w:cs="Times New Roman"/>
        </w:rPr>
        <w:t>veloped</w:t>
      </w:r>
      <w:r>
        <w:rPr>
          <w:rFonts w:ascii="Times New Roman" w:hAnsi="Times New Roman" w:cs="Times New Roman"/>
        </w:rPr>
        <w:t xml:space="preserve"> a model of IGF1 signall</w:t>
      </w:r>
      <w:r w:rsidR="005B5198">
        <w:rPr>
          <w:rFonts w:ascii="Times New Roman" w:hAnsi="Times New Roman" w:cs="Times New Roman"/>
        </w:rPr>
        <w:t>ing impairment, changes to astrocy</w:t>
      </w:r>
      <w:r w:rsidR="005C4F14">
        <w:rPr>
          <w:rFonts w:ascii="Times New Roman" w:hAnsi="Times New Roman" w:cs="Times New Roman"/>
        </w:rPr>
        <w:t>te function were explored</w:t>
      </w:r>
      <w:r w:rsidR="00943D43">
        <w:rPr>
          <w:rFonts w:ascii="Times New Roman" w:hAnsi="Times New Roman" w:cs="Times New Roman"/>
        </w:rPr>
        <w:t>.</w:t>
      </w:r>
      <w:r w:rsidR="005C4F14">
        <w:rPr>
          <w:rFonts w:ascii="Times New Roman" w:hAnsi="Times New Roman" w:cs="Times New Roman"/>
        </w:rPr>
        <w:t xml:space="preserve"> </w:t>
      </w:r>
      <w:r w:rsidR="007C2C0B">
        <w:rPr>
          <w:rFonts w:ascii="Times New Roman" w:hAnsi="Times New Roman" w:cs="Times New Roman"/>
        </w:rPr>
        <w:t>I</w:t>
      </w:r>
      <w:r w:rsidR="00BC17EB">
        <w:rPr>
          <w:rFonts w:ascii="Times New Roman" w:hAnsi="Times New Roman" w:cs="Times New Roman"/>
        </w:rPr>
        <w:t xml:space="preserve">n monoculture, loss of IGF1R did not </w:t>
      </w:r>
      <w:r w:rsidR="009D4DB7">
        <w:rPr>
          <w:rFonts w:ascii="Times New Roman" w:hAnsi="Times New Roman" w:cs="Times New Roman"/>
        </w:rPr>
        <w:t xml:space="preserve">result in </w:t>
      </w:r>
      <w:r w:rsidR="00BC17EB">
        <w:rPr>
          <w:rFonts w:ascii="Times New Roman" w:hAnsi="Times New Roman" w:cs="Times New Roman"/>
        </w:rPr>
        <w:t xml:space="preserve">any profound changes in </w:t>
      </w:r>
      <w:r w:rsidR="005B5198">
        <w:rPr>
          <w:rFonts w:ascii="Times New Roman" w:hAnsi="Times New Roman" w:cs="Times New Roman"/>
        </w:rPr>
        <w:t xml:space="preserve">astrocyte </w:t>
      </w:r>
      <w:r w:rsidR="00BC17EB">
        <w:rPr>
          <w:rFonts w:ascii="Times New Roman" w:hAnsi="Times New Roman" w:cs="Times New Roman"/>
        </w:rPr>
        <w:t xml:space="preserve">phenotype. </w:t>
      </w:r>
      <w:r w:rsidR="0049626C">
        <w:rPr>
          <w:rFonts w:ascii="Times New Roman" w:hAnsi="Times New Roman" w:cs="Times New Roman"/>
        </w:rPr>
        <w:t xml:space="preserve">The functional assays were only carried out in the ScienCell (1) astrocytes due to these cells displaying early changes in phosphorylated Akt (s473). </w:t>
      </w:r>
      <w:r w:rsidR="00CF589A">
        <w:rPr>
          <w:rFonts w:ascii="Times New Roman" w:hAnsi="Times New Roman" w:cs="Times New Roman"/>
        </w:rPr>
        <w:t xml:space="preserve">Astrocytes treated with MAB391 did not exhibit changes in GFAP or γH2AX. These markers were investigated as both increase with age and AD progression </w:t>
      </w:r>
      <w:r w:rsidR="00B8043D">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"10.1111/j.1365-2990.2009.01030.x", "ISSN" : "03051846", "author" : [ { "dropping-particle" : "", "family" : "Simpson", "given" : "J. E.", "non-dropping-particle" : "", "parse-names" : false, "suffix" : "" }, { "dropping-particle" : "", "family" : "Ince", "given" : "P. G.", "non-dropping-particle" : "", "parse-names" : false, "suffix" : "" }, { "dropping-particle" : "", "family" : "Haynes", "given" : "L. J.", "non-dropping-particle" : "", "parse-names" : false, "suffix" : "" }, { "dropping-particle" : "", "family" : "Theaker", "given" : "R.", "non-dropping-particle" : "", "parse-names" : false, "suffix" : "" }, { "dropping-particle" : "", "family" : "Gelsthorpe", "given" : "C.", "non-dropping-particle" : "", "parse-names" : false, "suffix" : "" }, { "dropping-particle" : "", "family" : "Baxter", "given" : "L.", "non-dropping-particle" : "", "parse-names" : false, "suffix" : "" }, { "dropping-particle" : "", "family" : "Forster", "given" : "G.", "non-dropping-particle" : "", "parse-names" : false, "suffix" : "" }, { "dropping-particle" : "", "family" : "Lace", "given" : "G. L.", "non-dropping-particle" : "", "parse-names" : false, "suffix" : "" }, { "dropping-particle" : "", "family" : "Shaw", "given" : "P. J.", "non-dropping-particle" : "", "parse-names" : false, "suffix" : "" }, { "dropping-particle" : "", "family" : "Matthews", "given" : "F. E.", "non-dropping-particle" : "", "parse-names" : false, "suffix" : "" }, { "dropping-particle" : "", "family" : "Savva", "given" : "G. M.", "non-dropping-particle" : "", "parse-names" : false, "suffix" : "" }, { "dropping-particle" : "", "family" : "Brayne", "given" : "C.", "non-dropping-particle" : "", "parse-names" : false, "suffix" : "" }, { "dropping-particle" : "", "family" : "Wharton", "given" : "S. B.", "non-dropping-particle" : "", "parse-names" : false, "suffix" : "" } ], "container-title" : "Neuropathology and Applied Neurobiology", "id" : "ITEM-1", "issue" : "1", "issued" : { "date-parts" : [ [ "2010", "2" ] ] }, "page" : "25-40", "publisher" : "Blackwell Publishing Ltd", "title" : "Population variation in oxidative stress and astrocyte DNA damage in relation to Alzheimer-type pathology in the ageing brain", "type" : "article-journal", "volume" : "36" }, "uris" : [ "http://www.mendeley.com/documents/?uuid=e6a6469c-a36f-3c0a-ae49-6ba7a130109d" ] }, { "id" : "ITEM-2", "itemData" : { "DOI" : "10.1016/j.neurobiolaging.2008.05.015", "ISSN" : "1558-1497", "PMID" : "18586353", "abstract" : "Astrocyte pathology occurs in association with Alzheimer's disease (AD) and in brain ageing, but is poorly characterised. We sought to define the detailed cellular pathology of astrocytes, the extent of population variation and the relationship to Alzheimer-type changes in a population-based cohort. Three staining patterns were associated with GFAP and excitatory amino acid transporter 2 (EAAT2): minimal, moderate or extensive immunoreactivity. GFAP and EAAT2 expression were inversely related (p=0.015), with trends to increased expression of GFAP (p=0.019) and decreased expression of EAAT2 (p=ns) with increasing Braak stage. GFAP and EAAT2 correlated incompletely with beta-amyloid and tau immunoreactivity. However, gliosis increased with increasing burden of neuritic (p=0.011), but not diffuse (p=ns), plaques. Double-staining revealed distinct subsets of astrocytes; GFAP(+)EAAT(-), GFAP(-)EAAT(+), or GFAP(+)EAAT(+). In contrast to the variation in GFAP and EAAT2, levels of EAAT1 and S100B showed consistent staining patterns. Alzheimer-type pathology only partially explains the variation in gliosis and astrocyte functional markers, suggesting that other factors contribute to the population variance in astrocyte pathology.", "author" : [ { "dropping-particle" : "", "family" : "Simpson", "given" : "J E", "non-dropping-particle" : "", "parse-names" : false, "suffix" : "" }, { "dropping-particle" : "", "family" : "Ince", "given" : "P G", "non-dropping-particle" : "", "parse-names" : false, "suffix" : "" }, { "dropping-particle" : "", "family" : "Lace", "given" : "G", "non-dropping-particle" : "", "parse-names" : false, "suffix" : "" }, { "dropping-particle" : "", "family" : "Forster", "given" : "G", "non-dropping-particle" : "", "parse-names" : false, "suffix" : "" }, { "dropping-particle" : "", "family" : "Shaw", "given" : "P J", "non-dropping-particle" : "", "parse-names" : false, "suffix" : "" }, { "dropping-particle" : "", "family" : "Matthews", "given" : "F", "non-dropping-particle" : "", "parse-names" : false, "suffix" : "" }, { "dropping-particle" : "", "family" : "Savva", "given" : "G", "non-dropping-particle" : "", "parse-names" : false, "suffix" : "" }, { "dropping-particle" : "", "family" : "Brayne", "given" : "C", "non-dropping-particle" : "", "parse-names" : false, "suffix" : "" }, { "dropping-particle" : "", "family" : "Wharton", "given" : "S B", "non-dropping-particle" : "", "parse-names" : false, "suffix" : "" } ], "container-title" : "Neurobiology of aging", "id" : "ITEM-2", "issue" : "4", "issued" : { "date-parts" : [ [ "2010", "4" ] ] }, "page" : "578-90", "title" : "Astrocyte phenotype in relation to Alzheimer-type pathology in the ageing brain.", "type" : "article-journal", "volume" : "31" }, "uris" : [ "http://www.mendeley.com/documents/?uuid=777358ad-cb13-402e-b071-9f6976f101f9" ] } ], "mendeley" : { "formattedCitation" : "(J. E. Simpson et al. 2010; J E Simpson, Ince, Lace, et al. 2010)", "plainTextFormattedCitation" : "(J. E. Simpson et al. 2010; J E Simpson, Ince, Lace, et al. 2010)", "previouslyFormattedCitation" : "(J. E. Simpson et al. 2010; J E Simpson, Ince, Lace, et al. 2010)" }, "properties" : { "noteIndex" : 0 }, "schema" : "https://github.com/citation-style-language/schema/raw/master/csl-citation.json" }</w:instrText>
      </w:r>
      <w:r w:rsidR="00B8043D">
        <w:rPr>
          <w:rFonts w:ascii="Times New Roman" w:hAnsi="Times New Roman" w:cs="Times New Roman"/>
        </w:rPr>
        <w:fldChar w:fldCharType="separate"/>
      </w:r>
      <w:r w:rsidR="00C148FC" w:rsidRPr="00C148FC">
        <w:rPr>
          <w:rFonts w:ascii="Times New Roman" w:hAnsi="Times New Roman" w:cs="Times New Roman"/>
          <w:noProof/>
        </w:rPr>
        <w:t>(J. E. Simpson et al. 2010; J E Simpson, Ince, Lace, et al. 2010)</w:t>
      </w:r>
      <w:r w:rsidR="00B8043D">
        <w:rPr>
          <w:rFonts w:ascii="Times New Roman" w:hAnsi="Times New Roman" w:cs="Times New Roman"/>
        </w:rPr>
        <w:fldChar w:fldCharType="end"/>
      </w:r>
      <w:r w:rsidR="00CF589A">
        <w:rPr>
          <w:rFonts w:ascii="Times New Roman" w:hAnsi="Times New Roman" w:cs="Times New Roman"/>
        </w:rPr>
        <w:t xml:space="preserve">. </w:t>
      </w:r>
      <w:r w:rsidR="00851D6C">
        <w:rPr>
          <w:rFonts w:ascii="Times New Roman" w:hAnsi="Times New Roman" w:cs="Times New Roman"/>
        </w:rPr>
        <w:t>In addition, GFAP is used as a marker of astrocyte reactivity and differentiation, whilst γH2AX</w:t>
      </w:r>
      <w:r w:rsidR="00851D6C">
        <w:rPr>
          <w:rFonts w:ascii="Times New Roman" w:hAnsi="Times New Roman" w:cs="Times New Roman"/>
          <w:color w:val="FF0000"/>
        </w:rPr>
        <w:t xml:space="preserve"> </w:t>
      </w:r>
      <w:r w:rsidR="00851D6C">
        <w:rPr>
          <w:rFonts w:ascii="Times New Roman" w:hAnsi="Times New Roman" w:cs="Times New Roman"/>
        </w:rPr>
        <w:t>is a ma</w:t>
      </w:r>
      <w:r w:rsidR="003F2BEB">
        <w:rPr>
          <w:rFonts w:ascii="Times New Roman" w:hAnsi="Times New Roman" w:cs="Times New Roman"/>
        </w:rPr>
        <w:t xml:space="preserve">rker of DNA damage and </w:t>
      </w:r>
      <w:r w:rsidR="00851D6C">
        <w:rPr>
          <w:rFonts w:ascii="Times New Roman" w:hAnsi="Times New Roman" w:cs="Times New Roman"/>
        </w:rPr>
        <w:t xml:space="preserve">another way of assessing cell injury. </w:t>
      </w:r>
    </w:p>
    <w:p w14:paraId="220566D9" w14:textId="77777777" w:rsidR="00851D6C" w:rsidRDefault="00851D6C" w:rsidP="00C63BC1">
      <w:pPr>
        <w:spacing w:line="360" w:lineRule="auto"/>
        <w:jc w:val="both"/>
        <w:rPr>
          <w:rFonts w:ascii="Times New Roman" w:hAnsi="Times New Roman" w:cs="Times New Roman"/>
          <w:color w:val="FF0000"/>
        </w:rPr>
      </w:pPr>
    </w:p>
    <w:p w14:paraId="5BA48664" w14:textId="17411731" w:rsidR="002026B9" w:rsidRDefault="00891A42" w:rsidP="00C63BC1">
      <w:pPr>
        <w:spacing w:line="360" w:lineRule="auto"/>
        <w:jc w:val="both"/>
        <w:rPr>
          <w:rFonts w:ascii="Times New Roman" w:hAnsi="Times New Roman" w:cs="Times New Roman"/>
        </w:rPr>
      </w:pPr>
      <w:r>
        <w:rPr>
          <w:rFonts w:ascii="Times New Roman" w:hAnsi="Times New Roman" w:cs="Times New Roman"/>
        </w:rPr>
        <w:t xml:space="preserve">Glycogen content was also investigated based on reports of insulin inducing increased glycogen content in astrocytes </w:t>
      </w:r>
      <w:r w:rsidR="00A1139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"10.1111/j.1471-4159.1992.tb09750.x", "ISSN" : "0022-3042", "author" : [ { "dropping-particle" : "", "family" : "Dringen", "given" : "Ralf", "non-dropping-particle" : "", "parse-names" : false, "suffix" : "" }, { "dropping-particle" : "", "family" : "Hamprecht", "given" : "Bernd", "non-dropping-particle" : "", "parse-names" : false, "suffix" : "" } ], "container-title" : "Journal of Neurochemistry", "id" : "ITEM-1", "issue" : "2", "issued" : { "date-parts" : [ [ "1992", "2" ] ] }, "page" : "511-517", "title" : "Glucose, Insulin, and Insulin-Like Growth Factor I Regulate the Glycogen Content of Astroglia-Rich Primary Cultures", "type" : "article-journal", "volume" : "58" }, "uris" : [ "http://www.mendeley.com/documents/?uuid=4bbddb67-8f02-4300-89f1-5a907b394ff8" ] }, { "id" : "ITEM-2", "itemData" : { "DOI" : "10.1002/glia.440060404", "ISSN" : "0894-1491", "PMID" : "1464458", "abstract" : "Insulin, following binding to its receptor, produces a dose- and time-dependent stimulation of entry of 2-deoxy-D-[U-14C] glucose and glycogen synthesis from D-[U-14C] glucose in cultured mouse astrocytes following differentiation. Maximal stimulation of both glucose entry (217% above basal) and of glycogen synthesis (209% above basal) was observed at an insulin concentration of 1.7 x 10(-8) M. Insulin also stimulates the incorporation of leucine into astrocytic proteins with maximal stimulation (156% above basal) at an insulin concentration of 1.7 x 10(-7) M, but no effect on leucine uptake was observed at an insulin concentration of 1.7 x 10(-6) M. These results, together with a previous demonstration that insulin and certain insulin analogues stimulate pyrimidine nucleoside incorporation into nucleic acid, indicate that insulin has diverse actions on biomacromolecular metabolism in cultured mouse astrocytes.", "author" : [ { "dropping-particle" : "", "family" : "Kum", "given" : "W", "non-dropping-particle" : "", "parse-names" : false, "suffix" : "" }, { "dropping-particle" : "", "family" : "Zhu", "given" : "S Q", "non-dropping-particle" : "", "parse-names" : false, "suffix" : "" }, { "dropping-particle" : "", "family" : "Ho", "given" : "S K", "non-dropping-particle" : "", "parse-names" : false, "suffix" : "" }, { "dropping-particle" : "", "family" : "Young", "given" : "J D", "non-dropping-particle" : "", "parse-names" : false, "suffix" : "" }, { "dropping-particle" : "", "family" : "Cockram", "given" : "C S", "non-dropping-particle" : "", "parse-names" : false, "suffix" : "" } ], "container-title" : "Glia", "id" : "ITEM-2", "issue" : "4", "issued" : { "date-parts" : [ [ "1992", "1" ] ] }, "page" : "264-8", "title" : "Effect of insulin on glucose and glycogen metabolism and leucine incorporation into protein in cultured mouse astrocytes.", "type" : "article-journal", "volume" : "6" }, "uris" : [ "http://www.mendeley.com/documents/?uuid=87c09c49-89ea-41b2-9f7d-e236900821d0" ] } ], "mendeley" : { "formattedCitation" : "(Ralf Dringen &amp; Hamprecht 1992; Kum et al. 1992)", "plainTextFormattedCitation" : "(Ralf Dringen &amp; Hamprecht 1992; Kum et al. 1992)", "previouslyFormattedCitation" : "(Ralf Dringen &amp; Hamprecht 1992; Kum et al. 1992)" }, "properties" : { "noteIndex" : 0 }, "schema" : "https://github.com/citation-style-language/schema/raw/master/csl-citation.json" }</w:instrText>
      </w:r>
      <w:r w:rsidR="00A11399">
        <w:rPr>
          <w:rFonts w:ascii="Times New Roman" w:hAnsi="Times New Roman" w:cs="Times New Roman"/>
        </w:rPr>
        <w:fldChar w:fldCharType="separate"/>
      </w:r>
      <w:r w:rsidR="00C148FC" w:rsidRPr="00C148FC">
        <w:rPr>
          <w:rFonts w:ascii="Times New Roman" w:hAnsi="Times New Roman" w:cs="Times New Roman"/>
          <w:noProof/>
        </w:rPr>
        <w:t>(Ralf Dringen &amp; Hamprecht 1992; Kum et al. 1992)</w:t>
      </w:r>
      <w:r w:rsidR="00A11399">
        <w:rPr>
          <w:rFonts w:ascii="Times New Roman" w:hAnsi="Times New Roman" w:cs="Times New Roman"/>
        </w:rPr>
        <w:fldChar w:fldCharType="end"/>
      </w:r>
      <w:r w:rsidR="00A11399">
        <w:rPr>
          <w:rFonts w:ascii="Times New Roman" w:hAnsi="Times New Roman" w:cs="Times New Roman"/>
        </w:rPr>
        <w:t>,</w:t>
      </w:r>
      <w:r>
        <w:rPr>
          <w:rFonts w:ascii="Times New Roman" w:hAnsi="Times New Roman" w:cs="Times New Roman"/>
        </w:rPr>
        <w:t xml:space="preserve"> but as initial observations did not demonstrate striking effects following MAB391 treatment this was not pursued</w:t>
      </w:r>
      <w:r w:rsidR="00B8043D">
        <w:rPr>
          <w:rFonts w:ascii="Times New Roman" w:hAnsi="Times New Roman" w:cs="Times New Roman"/>
        </w:rPr>
        <w:t xml:space="preserve"> </w:t>
      </w:r>
      <w:r w:rsidR="003C5D6F">
        <w:rPr>
          <w:rFonts w:ascii="Times New Roman" w:hAnsi="Times New Roman" w:cs="Times New Roman"/>
        </w:rPr>
        <w:t>further</w:t>
      </w:r>
      <w:r>
        <w:rPr>
          <w:rFonts w:ascii="Times New Roman" w:hAnsi="Times New Roman" w:cs="Times New Roman"/>
        </w:rPr>
        <w:t xml:space="preserve">. </w:t>
      </w:r>
      <w:r w:rsidR="00CF589A">
        <w:rPr>
          <w:rFonts w:ascii="Times New Roman" w:hAnsi="Times New Roman" w:cs="Times New Roman"/>
        </w:rPr>
        <w:t>T</w:t>
      </w:r>
      <w:r w:rsidR="007C2C0B">
        <w:rPr>
          <w:rFonts w:ascii="Times New Roman" w:hAnsi="Times New Roman" w:cs="Times New Roman"/>
        </w:rPr>
        <w:t>here were</w:t>
      </w:r>
      <w:r w:rsidR="00CF589A">
        <w:rPr>
          <w:rFonts w:ascii="Times New Roman" w:hAnsi="Times New Roman" w:cs="Times New Roman"/>
        </w:rPr>
        <w:t xml:space="preserve"> also</w:t>
      </w:r>
      <w:r w:rsidR="005B5198">
        <w:rPr>
          <w:rFonts w:ascii="Times New Roman" w:hAnsi="Times New Roman" w:cs="Times New Roman"/>
        </w:rPr>
        <w:t xml:space="preserve"> no obvious change</w:t>
      </w:r>
      <w:r w:rsidR="007C2C0B">
        <w:rPr>
          <w:rFonts w:ascii="Times New Roman" w:hAnsi="Times New Roman" w:cs="Times New Roman"/>
        </w:rPr>
        <w:t>s</w:t>
      </w:r>
      <w:r w:rsidR="005B5198">
        <w:rPr>
          <w:rFonts w:ascii="Times New Roman" w:hAnsi="Times New Roman" w:cs="Times New Roman"/>
        </w:rPr>
        <w:t xml:space="preserve"> in cell morphology or </w:t>
      </w:r>
      <w:r w:rsidR="00623BF5">
        <w:rPr>
          <w:rFonts w:ascii="Times New Roman" w:hAnsi="Times New Roman" w:cs="Times New Roman"/>
        </w:rPr>
        <w:t>growth</w:t>
      </w:r>
      <w:r w:rsidR="00F70ED1">
        <w:rPr>
          <w:rFonts w:ascii="Times New Roman" w:hAnsi="Times New Roman" w:cs="Times New Roman"/>
        </w:rPr>
        <w:t>, which suggests that astrocytes do not become activated following MAB391 treatment</w:t>
      </w:r>
      <w:r w:rsidR="003577F6">
        <w:rPr>
          <w:rFonts w:ascii="Times New Roman" w:hAnsi="Times New Roman" w:cs="Times New Roman"/>
        </w:rPr>
        <w:t xml:space="preserve"> and this was further confirmed by observing no difference</w:t>
      </w:r>
      <w:r w:rsidR="00367972">
        <w:rPr>
          <w:rFonts w:ascii="Times New Roman" w:hAnsi="Times New Roman" w:cs="Times New Roman"/>
        </w:rPr>
        <w:t>s</w:t>
      </w:r>
      <w:r w:rsidR="003577F6">
        <w:rPr>
          <w:rFonts w:ascii="Times New Roman" w:hAnsi="Times New Roman" w:cs="Times New Roman"/>
        </w:rPr>
        <w:t xml:space="preserve"> in the levels of GFAP.</w:t>
      </w:r>
      <w:r w:rsidR="005B5198">
        <w:rPr>
          <w:rFonts w:ascii="Times New Roman" w:hAnsi="Times New Roman" w:cs="Times New Roman"/>
        </w:rPr>
        <w:t xml:space="preserve"> </w:t>
      </w:r>
      <w:r w:rsidR="002E65DB">
        <w:rPr>
          <w:rFonts w:ascii="Times New Roman" w:hAnsi="Times New Roman" w:cs="Times New Roman"/>
        </w:rPr>
        <w:t>Two assays were used to assess cell viability; this included a</w:t>
      </w:r>
      <w:r w:rsidR="003F2BEB">
        <w:rPr>
          <w:rFonts w:ascii="Times New Roman" w:hAnsi="Times New Roman" w:cs="Times New Roman"/>
        </w:rPr>
        <w:t xml:space="preserve"> C</w:t>
      </w:r>
      <w:r w:rsidR="003C5D6F">
        <w:rPr>
          <w:rFonts w:ascii="Times New Roman" w:hAnsi="Times New Roman" w:cs="Times New Roman"/>
        </w:rPr>
        <w:t>yquant and an MTT assay. The C</w:t>
      </w:r>
      <w:r w:rsidR="002E65DB">
        <w:rPr>
          <w:rFonts w:ascii="Times New Roman" w:hAnsi="Times New Roman" w:cs="Times New Roman"/>
        </w:rPr>
        <w:t>yquant assay provides a measure of cell number based on DNA content, whereas the MTT assay measures NAD(P)H</w:t>
      </w:r>
      <w:r w:rsidR="007C2C0B">
        <w:rPr>
          <w:rFonts w:ascii="Times New Roman" w:hAnsi="Times New Roman" w:cs="Times New Roman"/>
        </w:rPr>
        <w:t xml:space="preserve"> oxidoreductase</w:t>
      </w:r>
      <w:r w:rsidR="002E65DB">
        <w:rPr>
          <w:rFonts w:ascii="Times New Roman" w:hAnsi="Times New Roman" w:cs="Times New Roman"/>
        </w:rPr>
        <w:t xml:space="preserve"> activity and therefore </w:t>
      </w:r>
      <w:r w:rsidR="007C2C0B">
        <w:rPr>
          <w:rFonts w:ascii="Times New Roman" w:hAnsi="Times New Roman" w:cs="Times New Roman"/>
        </w:rPr>
        <w:t xml:space="preserve">also </w:t>
      </w:r>
      <w:r w:rsidR="002E65DB">
        <w:rPr>
          <w:rFonts w:ascii="Times New Roman" w:hAnsi="Times New Roman" w:cs="Times New Roman"/>
        </w:rPr>
        <w:t>assesses mitochondrial function. No difference</w:t>
      </w:r>
      <w:r w:rsidR="00714CE9">
        <w:rPr>
          <w:rFonts w:ascii="Times New Roman" w:hAnsi="Times New Roman" w:cs="Times New Roman"/>
        </w:rPr>
        <w:t>s were</w:t>
      </w:r>
      <w:r w:rsidR="002E65DB">
        <w:rPr>
          <w:rFonts w:ascii="Times New Roman" w:hAnsi="Times New Roman" w:cs="Times New Roman"/>
        </w:rPr>
        <w:t xml:space="preserve"> detected in the DNA content between IGF1R impaired and control astrocytes</w:t>
      </w:r>
      <w:r w:rsidR="00714CE9">
        <w:rPr>
          <w:rFonts w:ascii="Times New Roman" w:hAnsi="Times New Roman" w:cs="Times New Roman"/>
        </w:rPr>
        <w:t xml:space="preserve">, </w:t>
      </w:r>
      <w:r w:rsidR="007C2C0B">
        <w:rPr>
          <w:rFonts w:ascii="Times New Roman" w:hAnsi="Times New Roman" w:cs="Times New Roman"/>
        </w:rPr>
        <w:t>suggesting that growth of the astrocytes was not inhibited</w:t>
      </w:r>
      <w:r w:rsidR="002E65DB">
        <w:rPr>
          <w:rFonts w:ascii="Times New Roman" w:hAnsi="Times New Roman" w:cs="Times New Roman"/>
        </w:rPr>
        <w:t>. However, t</w:t>
      </w:r>
      <w:r w:rsidR="00CA3B19">
        <w:rPr>
          <w:rFonts w:ascii="Times New Roman" w:hAnsi="Times New Roman" w:cs="Times New Roman"/>
        </w:rPr>
        <w:t>here was a significant decrease in cell viabi</w:t>
      </w:r>
      <w:r w:rsidR="00B80D03">
        <w:rPr>
          <w:rFonts w:ascii="Times New Roman" w:hAnsi="Times New Roman" w:cs="Times New Roman"/>
        </w:rPr>
        <w:t>lity between control and MAB391-</w:t>
      </w:r>
      <w:r w:rsidR="00CA3B19">
        <w:rPr>
          <w:rFonts w:ascii="Times New Roman" w:hAnsi="Times New Roman" w:cs="Times New Roman"/>
        </w:rPr>
        <w:t>treated astrocytes</w:t>
      </w:r>
      <w:r w:rsidR="002E65DB">
        <w:rPr>
          <w:rFonts w:ascii="Times New Roman" w:hAnsi="Times New Roman" w:cs="Times New Roman"/>
        </w:rPr>
        <w:t>, as</w:t>
      </w:r>
      <w:r w:rsidR="00CA3B19">
        <w:rPr>
          <w:rFonts w:ascii="Times New Roman" w:hAnsi="Times New Roman" w:cs="Times New Roman"/>
        </w:rPr>
        <w:t xml:space="preserve"> measured by the MTT assay. There was also a decrease in th</w:t>
      </w:r>
      <w:r w:rsidR="00B80D03">
        <w:rPr>
          <w:rFonts w:ascii="Times New Roman" w:hAnsi="Times New Roman" w:cs="Times New Roman"/>
        </w:rPr>
        <w:t>e cell viability of MAB391-</w:t>
      </w:r>
      <w:r w:rsidR="00CA3B19">
        <w:rPr>
          <w:rFonts w:ascii="Times New Roman" w:hAnsi="Times New Roman" w:cs="Times New Roman"/>
        </w:rPr>
        <w:t>treat</w:t>
      </w:r>
      <w:r w:rsidR="00C325CF">
        <w:rPr>
          <w:rFonts w:ascii="Times New Roman" w:hAnsi="Times New Roman" w:cs="Times New Roman"/>
        </w:rPr>
        <w:t>ed astrocytes compared with IgG-</w:t>
      </w:r>
      <w:r w:rsidR="00CA3B19">
        <w:rPr>
          <w:rFonts w:ascii="Times New Roman" w:hAnsi="Times New Roman" w:cs="Times New Roman"/>
        </w:rPr>
        <w:t xml:space="preserve">treated astrocytes, however this was not significant. </w:t>
      </w:r>
      <w:r w:rsidR="002E65DB">
        <w:rPr>
          <w:rFonts w:ascii="Times New Roman" w:hAnsi="Times New Roman" w:cs="Times New Roman"/>
        </w:rPr>
        <w:t>T</w:t>
      </w:r>
      <w:r w:rsidR="007C2C0B">
        <w:rPr>
          <w:rFonts w:ascii="Times New Roman" w:hAnsi="Times New Roman" w:cs="Times New Roman"/>
        </w:rPr>
        <w:t>hu</w:t>
      </w:r>
      <w:r w:rsidR="009D4DB7">
        <w:rPr>
          <w:rFonts w:ascii="Times New Roman" w:hAnsi="Times New Roman" w:cs="Times New Roman"/>
        </w:rPr>
        <w:t>s</w:t>
      </w:r>
      <w:r w:rsidR="007C2C0B">
        <w:rPr>
          <w:rFonts w:ascii="Times New Roman" w:hAnsi="Times New Roman" w:cs="Times New Roman"/>
        </w:rPr>
        <w:t xml:space="preserve"> this</w:t>
      </w:r>
      <w:r w:rsidR="009D4DB7">
        <w:rPr>
          <w:rFonts w:ascii="Times New Roman" w:hAnsi="Times New Roman" w:cs="Times New Roman"/>
        </w:rPr>
        <w:t xml:space="preserve"> assay may hint at mitochondrial defects in the astrocytes as a result</w:t>
      </w:r>
      <w:r w:rsidR="007C2C0B">
        <w:rPr>
          <w:rFonts w:ascii="Times New Roman" w:hAnsi="Times New Roman" w:cs="Times New Roman"/>
        </w:rPr>
        <w:t xml:space="preserve"> of antibody treatment and </w:t>
      </w:r>
      <w:r w:rsidR="009D4DB7">
        <w:rPr>
          <w:rFonts w:ascii="Times New Roman" w:hAnsi="Times New Roman" w:cs="Times New Roman"/>
        </w:rPr>
        <w:t xml:space="preserve">this </w:t>
      </w:r>
      <w:r w:rsidR="007C2C0B">
        <w:rPr>
          <w:rFonts w:ascii="Times New Roman" w:hAnsi="Times New Roman" w:cs="Times New Roman"/>
        </w:rPr>
        <w:t xml:space="preserve">effect </w:t>
      </w:r>
      <w:r w:rsidR="009D4DB7">
        <w:rPr>
          <w:rFonts w:ascii="Times New Roman" w:hAnsi="Times New Roman" w:cs="Times New Roman"/>
        </w:rPr>
        <w:t xml:space="preserve">may be further </w:t>
      </w:r>
      <w:r w:rsidR="00992B89">
        <w:rPr>
          <w:rFonts w:ascii="Times New Roman" w:hAnsi="Times New Roman" w:cs="Times New Roman"/>
        </w:rPr>
        <w:t xml:space="preserve">exaggerated </w:t>
      </w:r>
      <w:r w:rsidR="009C2F2D">
        <w:rPr>
          <w:rFonts w:ascii="Times New Roman" w:hAnsi="Times New Roman" w:cs="Times New Roman"/>
        </w:rPr>
        <w:t>by</w:t>
      </w:r>
      <w:r w:rsidR="00992B89">
        <w:rPr>
          <w:rFonts w:ascii="Times New Roman" w:hAnsi="Times New Roman" w:cs="Times New Roman"/>
        </w:rPr>
        <w:t xml:space="preserve"> loss of IGF1R, but this would need to be </w:t>
      </w:r>
      <w:r w:rsidR="003F2BEB">
        <w:rPr>
          <w:rFonts w:ascii="Times New Roman" w:hAnsi="Times New Roman" w:cs="Times New Roman"/>
        </w:rPr>
        <w:t>confirmed</w:t>
      </w:r>
      <w:r w:rsidR="00992B89">
        <w:rPr>
          <w:rFonts w:ascii="Times New Roman" w:hAnsi="Times New Roman" w:cs="Times New Roman"/>
        </w:rPr>
        <w:t xml:space="preserve"> by using more specific approaches</w:t>
      </w:r>
      <w:r w:rsidR="003F2BEB">
        <w:rPr>
          <w:rFonts w:ascii="Times New Roman" w:hAnsi="Times New Roman" w:cs="Times New Roman"/>
        </w:rPr>
        <w:t xml:space="preserve"> that</w:t>
      </w:r>
      <w:r w:rsidR="009C2F2D">
        <w:rPr>
          <w:rFonts w:ascii="Times New Roman" w:hAnsi="Times New Roman" w:cs="Times New Roman"/>
        </w:rPr>
        <w:t xml:space="preserve"> assess changes in mitochondrial function</w:t>
      </w:r>
      <w:r w:rsidR="00992B89">
        <w:rPr>
          <w:rFonts w:ascii="Times New Roman" w:hAnsi="Times New Roman" w:cs="Times New Roman"/>
        </w:rPr>
        <w:t xml:space="preserve"> </w:t>
      </w:r>
      <w:r w:rsidR="00992B8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"10.1042/BJ20110162", "ISSN" : "1470-8728", "PMID" : "21726199", "abstract" : "Assessing mitochondrial dysfunction requires definition of the dysfunction to be investigated. Usually, it is the ability of the mitochondria to make ATP appropriately in response to energy demands. Where other functions are of interest, tailored solutions are required. Dysfunction can be assessed in isolated mitochondria, in cells or in vivo, with different balances between precise experimental control and physiological relevance. There are many methods to measure mitochondrial function and dysfunction in these systems. Generally, measurements of fluxes give more information about the ability to make ATP than do measurements of intermediates and potentials. For isolated mitochondria, the best assay is mitochondrial respiratory control: the increase in respiration rate in response to ADP. For intact cells, the best assay is the equivalent measurement of cell respiratory control, which reports the rate of ATP production, the proton leak rate, the coupling efficiency, the maximum respiratory rate, the respiratory control ratio and the spare respiratory capacity. Measurements of membrane potential provide useful additional information. Measurement of both respiration and potential during appropriate titrations enables the identification of the primary sites of effectors and the distribution of control, allowing deeper quantitative analyses. Many other measurements in current use can be more problematic, as discussed in the present review.", "author" : [ { "dropping-particle" : "", "family" : "Brand", "given" : "Martin D", "non-dropping-particle" : "", "parse-names" : false, "suffix" : "" }, { "dropping-particle" : "", "family" : "Nicholls", "given" : "David G", "non-dropping-particle" : "", "parse-names" : false, "suffix" : "" } ], "container-title" : "The Biochemical journal", "id" : "ITEM-1", "issue" : "2", "issued" : { "date-parts" : [ [ "2011", "4", "15" ] ] }, "page" : "297-312", "title" : "Assessing mitochondrial dysfunction in cells.", "type" : "article-journal", "volume" : "435" }, "uris" : [ "http://www.mendeley.com/documents/?uuid=5dc1ac96-0ed1-4901-a84e-2cd18801d0b3" ] } ], "mendeley" : { "formattedCitation" : "(Brand &amp; Nicholls 2011)", "plainTextFormattedCitation" : "(Brand &amp; Nicholls 2011)", "previouslyFormattedCitation" : "(Brand &amp; Nicholls 2011)" }, "properties" : { "noteIndex" : 0 }, "schema" : "https://github.com/citation-style-language/schema/raw/master/csl-citation.json" }</w:instrText>
      </w:r>
      <w:r w:rsidR="00992B89">
        <w:rPr>
          <w:rFonts w:ascii="Times New Roman" w:hAnsi="Times New Roman" w:cs="Times New Roman"/>
        </w:rPr>
        <w:fldChar w:fldCharType="separate"/>
      </w:r>
      <w:r w:rsidR="00C148FC" w:rsidRPr="00C148FC">
        <w:rPr>
          <w:rFonts w:ascii="Times New Roman" w:hAnsi="Times New Roman" w:cs="Times New Roman"/>
          <w:noProof/>
        </w:rPr>
        <w:t>(Brand &amp; Nicholls 2011)</w:t>
      </w:r>
      <w:r w:rsidR="00992B89">
        <w:rPr>
          <w:rFonts w:ascii="Times New Roman" w:hAnsi="Times New Roman" w:cs="Times New Roman"/>
        </w:rPr>
        <w:fldChar w:fldCharType="end"/>
      </w:r>
      <w:r w:rsidR="00992B89">
        <w:rPr>
          <w:rFonts w:ascii="Times New Roman" w:hAnsi="Times New Roman" w:cs="Times New Roman"/>
        </w:rPr>
        <w:t>.</w:t>
      </w:r>
    </w:p>
    <w:p w14:paraId="4A99E280" w14:textId="77777777" w:rsidR="00367972" w:rsidRDefault="00367972" w:rsidP="00C63BC1">
      <w:pPr>
        <w:spacing w:line="360" w:lineRule="auto"/>
        <w:jc w:val="both"/>
        <w:rPr>
          <w:rFonts w:ascii="Times New Roman" w:hAnsi="Times New Roman" w:cs="Times New Roman"/>
        </w:rPr>
      </w:pPr>
    </w:p>
    <w:p w14:paraId="71BA87FE" w14:textId="3234BC7C" w:rsidR="00943D43" w:rsidRDefault="007C2C0B" w:rsidP="00C63BC1">
      <w:pPr>
        <w:spacing w:line="360" w:lineRule="auto"/>
        <w:jc w:val="both"/>
        <w:rPr>
          <w:rFonts w:ascii="Times New Roman" w:hAnsi="Times New Roman" w:cs="Times New Roman"/>
        </w:rPr>
      </w:pPr>
      <w:r>
        <w:rPr>
          <w:rFonts w:ascii="Times New Roman" w:hAnsi="Times New Roman" w:cs="Times New Roman"/>
        </w:rPr>
        <w:t xml:space="preserve">Overall, there did not appear to be any obvious differences in the astrocytes as a result of impairing the IGF1 signalling pathway. These results may not be surprising </w:t>
      </w:r>
      <w:r w:rsidR="00BC17EB">
        <w:rPr>
          <w:rFonts w:ascii="Times New Roman" w:hAnsi="Times New Roman" w:cs="Times New Roman"/>
        </w:rPr>
        <w:t>since</w:t>
      </w:r>
      <w:r w:rsidR="00367972">
        <w:rPr>
          <w:rFonts w:ascii="Times New Roman" w:hAnsi="Times New Roman" w:cs="Times New Roman"/>
        </w:rPr>
        <w:t xml:space="preserve"> signalling through Akt wa</w:t>
      </w:r>
      <w:r w:rsidR="00165AF3">
        <w:rPr>
          <w:rFonts w:ascii="Times New Roman" w:hAnsi="Times New Roman" w:cs="Times New Roman"/>
        </w:rPr>
        <w:t>s moderately impaired by loss of I</w:t>
      </w:r>
      <w:r w:rsidR="00A86115">
        <w:rPr>
          <w:rFonts w:ascii="Times New Roman" w:hAnsi="Times New Roman" w:cs="Times New Roman"/>
        </w:rPr>
        <w:t>GF1R after 24 hours and by 72hr</w:t>
      </w:r>
      <w:r w:rsidR="00165AF3">
        <w:rPr>
          <w:rFonts w:ascii="Times New Roman" w:hAnsi="Times New Roman" w:cs="Times New Roman"/>
        </w:rPr>
        <w:t xml:space="preserve"> PME </w:t>
      </w:r>
      <w:r w:rsidR="00BC17EB">
        <w:rPr>
          <w:rFonts w:ascii="Times New Roman" w:hAnsi="Times New Roman" w:cs="Times New Roman"/>
        </w:rPr>
        <w:t xml:space="preserve">astrocytes </w:t>
      </w:r>
      <w:r w:rsidR="00367972">
        <w:rPr>
          <w:rFonts w:ascii="Times New Roman" w:hAnsi="Times New Roman" w:cs="Times New Roman"/>
        </w:rPr>
        <w:t>had</w:t>
      </w:r>
      <w:r w:rsidR="005C4F14">
        <w:rPr>
          <w:rFonts w:ascii="Times New Roman" w:hAnsi="Times New Roman" w:cs="Times New Roman"/>
        </w:rPr>
        <w:t xml:space="preserve"> compensate</w:t>
      </w:r>
      <w:r w:rsidR="00165AF3">
        <w:rPr>
          <w:rFonts w:ascii="Times New Roman" w:hAnsi="Times New Roman" w:cs="Times New Roman"/>
        </w:rPr>
        <w:t>d</w:t>
      </w:r>
      <w:r w:rsidR="005C4F14">
        <w:rPr>
          <w:rFonts w:ascii="Times New Roman" w:hAnsi="Times New Roman" w:cs="Times New Roman"/>
        </w:rPr>
        <w:t xml:space="preserve"> </w:t>
      </w:r>
      <w:r w:rsidR="00BC17EB">
        <w:rPr>
          <w:rFonts w:ascii="Times New Roman" w:hAnsi="Times New Roman" w:cs="Times New Roman"/>
        </w:rPr>
        <w:t>for</w:t>
      </w:r>
      <w:r w:rsidR="005979BD">
        <w:rPr>
          <w:rFonts w:ascii="Times New Roman" w:hAnsi="Times New Roman" w:cs="Times New Roman"/>
        </w:rPr>
        <w:t xml:space="preserve"> loss of IGF1R and restore</w:t>
      </w:r>
      <w:r w:rsidR="00165AF3">
        <w:rPr>
          <w:rFonts w:ascii="Times New Roman" w:hAnsi="Times New Roman" w:cs="Times New Roman"/>
        </w:rPr>
        <w:t>d</w:t>
      </w:r>
      <w:r w:rsidR="00BC17EB">
        <w:rPr>
          <w:rFonts w:ascii="Times New Roman" w:hAnsi="Times New Roman" w:cs="Times New Roman"/>
        </w:rPr>
        <w:t xml:space="preserve"> downstream signalling</w:t>
      </w:r>
      <w:r>
        <w:rPr>
          <w:rFonts w:ascii="Times New Roman" w:hAnsi="Times New Roman" w:cs="Times New Roman"/>
        </w:rPr>
        <w:t xml:space="preserve"> through Akt</w:t>
      </w:r>
      <w:r w:rsidR="00BC17EB">
        <w:rPr>
          <w:rFonts w:ascii="Times New Roman" w:hAnsi="Times New Roman" w:cs="Times New Roman"/>
        </w:rPr>
        <w:t>.</w:t>
      </w:r>
      <w:r w:rsidR="008073AB">
        <w:rPr>
          <w:rFonts w:ascii="Times New Roman" w:hAnsi="Times New Roman" w:cs="Times New Roman"/>
        </w:rPr>
        <w:t xml:space="preserve"> </w:t>
      </w:r>
      <w:r w:rsidR="00BB7C13">
        <w:rPr>
          <w:rFonts w:ascii="Times New Roman" w:hAnsi="Times New Roman" w:cs="Times New Roman"/>
        </w:rPr>
        <w:t xml:space="preserve">Also, IGF1 signalling was preserved through P44/42, which may be </w:t>
      </w:r>
      <w:r w:rsidR="00943D43">
        <w:rPr>
          <w:rFonts w:ascii="Times New Roman" w:hAnsi="Times New Roman" w:cs="Times New Roman"/>
        </w:rPr>
        <w:t>a</w:t>
      </w:r>
      <w:r w:rsidR="00BB7C13">
        <w:rPr>
          <w:rFonts w:ascii="Times New Roman" w:hAnsi="Times New Roman" w:cs="Times New Roman"/>
        </w:rPr>
        <w:t xml:space="preserve"> compensatory feature of </w:t>
      </w:r>
      <w:r w:rsidR="00943D43">
        <w:rPr>
          <w:rFonts w:ascii="Times New Roman" w:hAnsi="Times New Roman" w:cs="Times New Roman"/>
        </w:rPr>
        <w:t xml:space="preserve">human </w:t>
      </w:r>
      <w:r w:rsidR="00BB7C13">
        <w:rPr>
          <w:rFonts w:ascii="Times New Roman" w:hAnsi="Times New Roman" w:cs="Times New Roman"/>
        </w:rPr>
        <w:t>astrocytes to withstand changes in growth factor signalling. It would be interesting to explore whether a 24 hour treatment with MAB391 in conjunction with inhibition of the P44/42 pathway would result in</w:t>
      </w:r>
      <w:r w:rsidR="00743CF1">
        <w:rPr>
          <w:rFonts w:ascii="Times New Roman" w:hAnsi="Times New Roman" w:cs="Times New Roman"/>
        </w:rPr>
        <w:t xml:space="preserve"> a more distinct change in astrocyte phenotype. </w:t>
      </w:r>
    </w:p>
    <w:p w14:paraId="7DE02336" w14:textId="77777777" w:rsidR="005F182A" w:rsidRDefault="005F182A" w:rsidP="00C63BC1">
      <w:pPr>
        <w:spacing w:line="360" w:lineRule="auto"/>
        <w:jc w:val="both"/>
        <w:rPr>
          <w:rFonts w:ascii="Times New Roman" w:hAnsi="Times New Roman" w:cs="Times New Roman"/>
        </w:rPr>
      </w:pPr>
    </w:p>
    <w:p w14:paraId="4F2DFC13" w14:textId="61A9B366" w:rsidR="009072F5" w:rsidRDefault="00420DD4" w:rsidP="00C63BC1">
      <w:pPr>
        <w:spacing w:line="360" w:lineRule="auto"/>
        <w:jc w:val="both"/>
        <w:rPr>
          <w:rFonts w:ascii="Times New Roman" w:hAnsi="Times New Roman" w:cs="Times New Roman"/>
        </w:rPr>
      </w:pPr>
      <w:r>
        <w:rPr>
          <w:rFonts w:ascii="Times New Roman" w:hAnsi="Times New Roman" w:cs="Times New Roman"/>
        </w:rPr>
        <w:t>Recently,</w:t>
      </w:r>
      <w:r w:rsidR="00203F80">
        <w:rPr>
          <w:rFonts w:ascii="Times New Roman" w:hAnsi="Times New Roman" w:cs="Times New Roman"/>
        </w:rPr>
        <w:t xml:space="preserve"> hippocampal astrocytes of</w:t>
      </w:r>
      <w:r>
        <w:rPr>
          <w:rFonts w:ascii="Times New Roman" w:hAnsi="Times New Roman" w:cs="Times New Roman"/>
        </w:rPr>
        <w:t xml:space="preserve"> 90 day old</w:t>
      </w:r>
      <w:r w:rsidR="00C14BDF">
        <w:rPr>
          <w:rFonts w:ascii="Times New Roman" w:hAnsi="Times New Roman" w:cs="Times New Roman"/>
        </w:rPr>
        <w:t xml:space="preserve"> (mature)</w:t>
      </w:r>
      <w:r>
        <w:rPr>
          <w:rFonts w:ascii="Times New Roman" w:hAnsi="Times New Roman" w:cs="Times New Roman"/>
        </w:rPr>
        <w:t xml:space="preserve"> and 180 day old</w:t>
      </w:r>
      <w:r w:rsidR="00203F80">
        <w:rPr>
          <w:rFonts w:ascii="Times New Roman" w:hAnsi="Times New Roman" w:cs="Times New Roman"/>
        </w:rPr>
        <w:t xml:space="preserve"> </w:t>
      </w:r>
      <w:r w:rsidR="00C14BDF">
        <w:rPr>
          <w:rFonts w:ascii="Times New Roman" w:hAnsi="Times New Roman" w:cs="Times New Roman"/>
        </w:rPr>
        <w:t xml:space="preserve">(aged) </w:t>
      </w:r>
      <w:r w:rsidR="00203F80">
        <w:rPr>
          <w:rFonts w:ascii="Times New Roman" w:hAnsi="Times New Roman" w:cs="Times New Roman"/>
        </w:rPr>
        <w:t>Wistar rats</w:t>
      </w:r>
      <w:r>
        <w:rPr>
          <w:rFonts w:ascii="Times New Roman" w:hAnsi="Times New Roman" w:cs="Times New Roman"/>
        </w:rPr>
        <w:t xml:space="preserve"> have been grown in culture and assessed for age and disease associated changes. Some of the</w:t>
      </w:r>
      <w:r w:rsidR="00C14BDF">
        <w:rPr>
          <w:rFonts w:ascii="Times New Roman" w:hAnsi="Times New Roman" w:cs="Times New Roman"/>
        </w:rPr>
        <w:t xml:space="preserve"> </w:t>
      </w:r>
      <w:r w:rsidR="00714CE9">
        <w:rPr>
          <w:rFonts w:ascii="Times New Roman" w:hAnsi="Times New Roman" w:cs="Times New Roman"/>
        </w:rPr>
        <w:t>assays</w:t>
      </w:r>
      <w:r>
        <w:rPr>
          <w:rFonts w:ascii="Times New Roman" w:hAnsi="Times New Roman" w:cs="Times New Roman"/>
        </w:rPr>
        <w:t xml:space="preserve"> used </w:t>
      </w:r>
      <w:r w:rsidR="00C14BDF">
        <w:rPr>
          <w:rFonts w:ascii="Times New Roman" w:hAnsi="Times New Roman" w:cs="Times New Roman"/>
        </w:rPr>
        <w:t>to identify these changes were also assessed in the IGF1R impaired astrocytes</w:t>
      </w:r>
      <w:r w:rsidR="00714CE9">
        <w:rPr>
          <w:rFonts w:ascii="Times New Roman" w:hAnsi="Times New Roman" w:cs="Times New Roman"/>
        </w:rPr>
        <w:t>, which suggests that they were appropriate measures to take</w:t>
      </w:r>
      <w:r w:rsidR="00C14BDF">
        <w:rPr>
          <w:rFonts w:ascii="Times New Roman" w:hAnsi="Times New Roman" w:cs="Times New Roman"/>
        </w:rPr>
        <w:t xml:space="preserve">. </w:t>
      </w:r>
      <w:r w:rsidR="00714CE9">
        <w:rPr>
          <w:rFonts w:ascii="Times New Roman" w:hAnsi="Times New Roman" w:cs="Times New Roman"/>
        </w:rPr>
        <w:t>MAB391 treatment does not result in a</w:t>
      </w:r>
      <w:r w:rsidR="00C14BDF">
        <w:rPr>
          <w:rFonts w:ascii="Times New Roman" w:hAnsi="Times New Roman" w:cs="Times New Roman"/>
        </w:rPr>
        <w:t xml:space="preserve"> significant </w:t>
      </w:r>
      <w:r w:rsidR="00714CE9">
        <w:rPr>
          <w:rFonts w:ascii="Times New Roman" w:hAnsi="Times New Roman" w:cs="Times New Roman"/>
        </w:rPr>
        <w:t>change</w:t>
      </w:r>
      <w:r w:rsidR="00C14BDF">
        <w:rPr>
          <w:rFonts w:ascii="Times New Roman" w:hAnsi="Times New Roman" w:cs="Times New Roman"/>
        </w:rPr>
        <w:t xml:space="preserve"> in ROS and GFAP levels yet in aged</w:t>
      </w:r>
      <w:r w:rsidR="00943D43">
        <w:rPr>
          <w:rFonts w:ascii="Times New Roman" w:hAnsi="Times New Roman" w:cs="Times New Roman"/>
        </w:rPr>
        <w:t xml:space="preserve"> rat</w:t>
      </w:r>
      <w:r w:rsidR="00C14BDF">
        <w:rPr>
          <w:rFonts w:ascii="Times New Roman" w:hAnsi="Times New Roman" w:cs="Times New Roman"/>
        </w:rPr>
        <w:t xml:space="preserve"> astrocytes GFAP levels significantly </w:t>
      </w:r>
      <w:r w:rsidR="0049626C">
        <w:rPr>
          <w:rFonts w:ascii="Times New Roman" w:hAnsi="Times New Roman" w:cs="Times New Roman"/>
        </w:rPr>
        <w:t>decreased</w:t>
      </w:r>
      <w:r w:rsidR="00C14BDF">
        <w:rPr>
          <w:rFonts w:ascii="Times New Roman" w:hAnsi="Times New Roman" w:cs="Times New Roman"/>
        </w:rPr>
        <w:t xml:space="preserve">, whilst ROS levels significantly </w:t>
      </w:r>
      <w:r w:rsidR="0049626C">
        <w:rPr>
          <w:rFonts w:ascii="Times New Roman" w:hAnsi="Times New Roman" w:cs="Times New Roman"/>
        </w:rPr>
        <w:t>increased</w:t>
      </w:r>
      <w:r w:rsidR="00C14BDF">
        <w:rPr>
          <w:rFonts w:ascii="Times New Roman" w:hAnsi="Times New Roman" w:cs="Times New Roman"/>
        </w:rPr>
        <w:t xml:space="preserve"> </w:t>
      </w:r>
      <w:r w:rsidR="00C14BDF">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"10.1007/s12035-016-9880-8", "ISSN" : "1559-1182", "PMID" : "27026184", "abstract" : "Astrocytes are dynamic cells that maintain brain homeostasis, regulate neurotransmitter systems, and process synaptic information, energy metabolism, antioxidant defenses, and inflammatory response. Aging is a biological process that is closely associated with hippocampal astrocyte dysfunction. In this sense, we demonstrated that hippocampal astrocytes from adult and aged Wistar rats reproduce the glial functionality alterations observed in aging by evaluating several senescence, glutamatergic, oxidative and inflammatory parameters commonly associated with the aging process. Here, we show that the p21 senescence-associated gene and classical astrocyte markers, such as glial fibrillary acidic protein (GFAP), vimentin, and actin, changed their expressions in adult and aged astrocytes. Age-dependent changes were also observed in glutamate transporters (glutamate aspartate transporter (GLAST) and glutamate transporter-1 (GLT-1)) and glutamine synthetase immunolabeling and activity. Additionally, according to in vivo aging, astrocytes from adult and aged rats showed an increase in oxidative/nitrosative stress with mitochondrial dysfunction, an increase in RNA oxidation, NADPH oxidase (NOX) activity, superoxide levels, and inducible nitric oxide synthase (iNOS) expression levels. Changes in antioxidant defenses were also observed. Hippocampal astrocytes also displayed age-dependent inflammatory response with augmentation of proinflammatory cytokine levels, such as TNF-\u03b1, IL-1\u03b2, IL-6, IL-18, and messenger RNA (mRNA) levels of cyclo-oxygenase 2 (COX-2). Furthermore, these cells secrete neurotrophic factors, including glia-derived neurotrophic factor (GDNF), brain-derived neurotrophic factor (BDNF), S100 calcium-binding protein B (S100B) protein, and transforming growth factor-\u03b2 (TGF-\u03b2), which changed in an age-dependent manner. Classical signaling pathways associated with aging, such as nuclear factor erythroid-derived 2-like 2 (Nrf2), nuclear factor kappa B (NF\u03baB), heme oxygenase-1 (HO-1), and p38 mitogen-activated protein kinase (MAPK), were also changed in adult and aged astrocytes and are probably related to the changes observed in senescence marker, glutamatergic metabolism, mitochondrial dysfunction, oxidative/nitrosative stress, antioxidant defenses, inflammatory response, and trophic factors release. Together, our results reinforce the role of hippocampal astrocytes as a target for understanding the mechanisms involved in aging and provide an innovative\u2026", "author" : [ { "dropping-particle" : "", "family" : "Bellaver", "given" : "Bruna", "non-dropping-particle" : "", "parse-names" : false, "suffix" : "" }, { "dropping-particle" : "", "family" : "Souza", "given" : "D\u00e9bora Guerini", "non-dropping-particle" : "", "parse-names" : false, "suffix" : "" }, { "dropping-particle" : "", "family" : "Souza", "given" : "Diogo Onofre", "non-dropping-particle" : "", "parse-names" : false, "suffix" : "" }, { "dropping-particle" : "", "family" : "Quincozes-Santos", "given" : "Andr\u00e9", "non-dropping-particle" : "", "parse-names" : false, "suffix" : "" } ], "container-title" : "Molecular neurobiology", "id" : "ITEM-1", "issued" : { "date-parts" : [ [ "2016", "3", "30" ] ] }, "title" : "Hippocampal Astrocyte Cultures from Adult and Aged Rats Reproduce Changes in Glial Functionality Observed in the Aging Brain.", "type" : "article-journal" }, "uris" : [ "http://www.mendeley.com/documents/?uuid=72a3429c-7d99-481a-851c-44dd5bdd1827" ] } ], "mendeley" : { "formattedCitation" : "(Bellaver et al. 2016)", "plainTextFormattedCitation" : "(Bellaver et al. 2016)", "previouslyFormattedCitation" : "(Bellaver et al. 2016)" }, "properties" : { "noteIndex" : 0 }, "schema" : "https://github.com/citation-style-language/schema/raw/master/csl-citation.json" }</w:instrText>
      </w:r>
      <w:r w:rsidR="00C14BDF">
        <w:rPr>
          <w:rFonts w:ascii="Times New Roman" w:hAnsi="Times New Roman" w:cs="Times New Roman"/>
        </w:rPr>
        <w:fldChar w:fldCharType="separate"/>
      </w:r>
      <w:r w:rsidR="00C148FC" w:rsidRPr="00C148FC">
        <w:rPr>
          <w:rFonts w:ascii="Times New Roman" w:hAnsi="Times New Roman" w:cs="Times New Roman"/>
          <w:noProof/>
        </w:rPr>
        <w:t>(Bellaver et al. 2016)</w:t>
      </w:r>
      <w:r w:rsidR="00C14BDF">
        <w:rPr>
          <w:rFonts w:ascii="Times New Roman" w:hAnsi="Times New Roman" w:cs="Times New Roman"/>
        </w:rPr>
        <w:fldChar w:fldCharType="end"/>
      </w:r>
      <w:r w:rsidR="00C14BDF">
        <w:rPr>
          <w:rFonts w:ascii="Times New Roman" w:hAnsi="Times New Roman" w:cs="Times New Roman"/>
        </w:rPr>
        <w:t xml:space="preserve">. There are likely to be many contributing factors that </w:t>
      </w:r>
      <w:r w:rsidR="0049626C">
        <w:rPr>
          <w:rFonts w:ascii="Times New Roman" w:hAnsi="Times New Roman" w:cs="Times New Roman"/>
        </w:rPr>
        <w:t>cause age-associated changes in the Wistar rat</w:t>
      </w:r>
      <w:r w:rsidR="00C14BDF">
        <w:rPr>
          <w:rFonts w:ascii="Times New Roman" w:hAnsi="Times New Roman" w:cs="Times New Roman"/>
        </w:rPr>
        <w:t xml:space="preserve"> astrocytes that are not replicated</w:t>
      </w:r>
      <w:r w:rsidR="00551852">
        <w:rPr>
          <w:rFonts w:ascii="Times New Roman" w:hAnsi="Times New Roman" w:cs="Times New Roman"/>
        </w:rPr>
        <w:t xml:space="preserve"> simply</w:t>
      </w:r>
      <w:r w:rsidR="00C14BDF">
        <w:rPr>
          <w:rFonts w:ascii="Times New Roman" w:hAnsi="Times New Roman" w:cs="Times New Roman"/>
        </w:rPr>
        <w:t xml:space="preserve"> by loss of IGF1R.</w:t>
      </w:r>
      <w:r w:rsidR="00551852">
        <w:rPr>
          <w:rFonts w:ascii="Times New Roman" w:hAnsi="Times New Roman" w:cs="Times New Roman"/>
        </w:rPr>
        <w:t xml:space="preserve"> NRF2, GSH, glutamate receptor and inflammatory levels were also altered in the aged rat astrocytes, which </w:t>
      </w:r>
      <w:r w:rsidR="00B80D03">
        <w:rPr>
          <w:rFonts w:ascii="Times New Roman" w:hAnsi="Times New Roman" w:cs="Times New Roman"/>
        </w:rPr>
        <w:t>were not explored in the MAB391-</w:t>
      </w:r>
      <w:r w:rsidR="00551852">
        <w:rPr>
          <w:rFonts w:ascii="Times New Roman" w:hAnsi="Times New Roman" w:cs="Times New Roman"/>
        </w:rPr>
        <w:t>treated astrocytes. Changes in these different features cannot be ruled out in the IGF1R impaired astrocytes</w:t>
      </w:r>
      <w:r w:rsidR="00C8016D">
        <w:rPr>
          <w:rFonts w:ascii="Times New Roman" w:hAnsi="Times New Roman" w:cs="Times New Roman"/>
        </w:rPr>
        <w:t xml:space="preserve">, especially as NRF2 and GSH are modulated by Akt activity. </w:t>
      </w:r>
      <w:r w:rsidR="009072F5">
        <w:rPr>
          <w:rFonts w:ascii="Times New Roman" w:hAnsi="Times New Roman" w:cs="Times New Roman"/>
        </w:rPr>
        <w:t>Therefore, there may be</w:t>
      </w:r>
      <w:r w:rsidR="00943D43">
        <w:rPr>
          <w:rFonts w:ascii="Times New Roman" w:hAnsi="Times New Roman" w:cs="Times New Roman"/>
        </w:rPr>
        <w:t xml:space="preserve"> underlying</w:t>
      </w:r>
      <w:r w:rsidR="009072F5">
        <w:rPr>
          <w:rFonts w:ascii="Times New Roman" w:hAnsi="Times New Roman" w:cs="Times New Roman"/>
        </w:rPr>
        <w:t xml:space="preserve"> defects in the IGF1R impaired astrocytes but t</w:t>
      </w:r>
      <w:r w:rsidR="00943D43">
        <w:rPr>
          <w:rFonts w:ascii="Times New Roman" w:hAnsi="Times New Roman" w:cs="Times New Roman"/>
        </w:rPr>
        <w:t>he assays u</w:t>
      </w:r>
      <w:r w:rsidR="00993D70">
        <w:rPr>
          <w:rFonts w:ascii="Times New Roman" w:hAnsi="Times New Roman" w:cs="Times New Roman"/>
        </w:rPr>
        <w:t>sed have not uncovered any IGF1-</w:t>
      </w:r>
      <w:r w:rsidR="00943D43">
        <w:rPr>
          <w:rFonts w:ascii="Times New Roman" w:hAnsi="Times New Roman" w:cs="Times New Roman"/>
        </w:rPr>
        <w:t xml:space="preserve">related changes. </w:t>
      </w:r>
      <w:r w:rsidR="009072F5">
        <w:rPr>
          <w:rFonts w:ascii="Times New Roman" w:hAnsi="Times New Roman" w:cs="Times New Roman"/>
        </w:rPr>
        <w:t xml:space="preserve"> </w:t>
      </w:r>
    </w:p>
    <w:p w14:paraId="684FAAD3" w14:textId="77777777" w:rsidR="00962EE3" w:rsidRDefault="00962EE3" w:rsidP="00C63BC1">
      <w:pPr>
        <w:spacing w:line="360" w:lineRule="auto"/>
        <w:jc w:val="both"/>
        <w:rPr>
          <w:rFonts w:ascii="Times New Roman" w:hAnsi="Times New Roman" w:cs="Times New Roman"/>
        </w:rPr>
      </w:pPr>
    </w:p>
    <w:p w14:paraId="20E052D2" w14:textId="2516BCCC" w:rsidR="00367972" w:rsidRDefault="00367972" w:rsidP="00C63BC1">
      <w:pPr>
        <w:pStyle w:val="Heading3"/>
        <w:jc w:val="both"/>
      </w:pPr>
      <w:bookmarkStart w:id="1195" w:name="_Toc332972645"/>
      <w:bookmarkStart w:id="1196" w:name="_Toc333046924"/>
      <w:bookmarkStart w:id="1197" w:name="_Toc333477271"/>
      <w:bookmarkStart w:id="1198" w:name="_Toc333478041"/>
      <w:bookmarkStart w:id="1199" w:name="_Toc333644941"/>
      <w:r>
        <w:t>3.5.5 Expression of IGF1R in human tissue</w:t>
      </w:r>
      <w:bookmarkEnd w:id="1195"/>
      <w:bookmarkEnd w:id="1196"/>
      <w:bookmarkEnd w:id="1197"/>
      <w:bookmarkEnd w:id="1198"/>
      <w:bookmarkEnd w:id="1199"/>
    </w:p>
    <w:p w14:paraId="0291D381" w14:textId="77777777" w:rsidR="00FB67C3" w:rsidRDefault="00FB67C3" w:rsidP="00C63BC1">
      <w:pPr>
        <w:jc w:val="both"/>
      </w:pPr>
    </w:p>
    <w:p w14:paraId="2F6BB170" w14:textId="5A81705D" w:rsidR="00FB67C3" w:rsidRPr="00FB67C3" w:rsidRDefault="00A52127" w:rsidP="00C63BC1">
      <w:pPr>
        <w:spacing w:line="360" w:lineRule="auto"/>
        <w:jc w:val="both"/>
        <w:rPr>
          <w:rFonts w:ascii="Times New Roman" w:hAnsi="Times New Roman" w:cs="Times New Roman"/>
        </w:rPr>
      </w:pPr>
      <w:r>
        <w:rPr>
          <w:rFonts w:ascii="Times New Roman" w:hAnsi="Times New Roman" w:cs="Times New Roman"/>
        </w:rPr>
        <w:t>IGF1R staining of human tissue was performed to primarily assess where this protein was localised to in the brain and more importantly if it could be detected in astrocytes. IGF1R expression was detected in GFAP positive astrocytes. It was also present in blood vessels and in the nucleus of glia and neurons.</w:t>
      </w:r>
      <w:r w:rsidR="004555D0">
        <w:rPr>
          <w:rFonts w:ascii="Times New Roman" w:hAnsi="Times New Roman" w:cs="Times New Roman"/>
        </w:rPr>
        <w:t xml:space="preserve"> The strong immunoreactivity in blood vessels indicates an ability to respond to IGF1 in endothelial cells.</w:t>
      </w:r>
      <w:r>
        <w:rPr>
          <w:rFonts w:ascii="Times New Roman" w:hAnsi="Times New Roman" w:cs="Times New Roman"/>
        </w:rPr>
        <w:t xml:space="preserve"> Consistent with previous reports, IGF1R was</w:t>
      </w:r>
      <w:r w:rsidR="004555D0">
        <w:rPr>
          <w:rFonts w:ascii="Times New Roman" w:hAnsi="Times New Roman" w:cs="Times New Roman"/>
        </w:rPr>
        <w:t xml:space="preserve"> also</w:t>
      </w:r>
      <w:r>
        <w:rPr>
          <w:rFonts w:ascii="Times New Roman" w:hAnsi="Times New Roman" w:cs="Times New Roman"/>
        </w:rPr>
        <w:t xml:space="preserve"> found in processes surrounding plaques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"10.1016/j.neurobiolaging.2008.04.002", "ISSN" : "1558-1497", "PMID" : "18479783", "abstract" : "Insulin like growth factor-1 receptor (IGF-1R) and insulin receptor (IR) signalling control vital growth, survival and metabolic functions in the brain. Here we describe specific and significant alterations in IGF-1R, IR, and their key substrate adaptor proteins IRS-1 and IRS-2 in Alzheimer's disease (AD). Western immunoblot analysis detected increased IGF-1R levels, and decreased levels of IGF-1-binding protein-2 (IGFBP-2), a major IGF-1-binding protein, in AD temporal cortex. Increased IGF-1R was observed surrounding and within amyloid-beta (Abeta)-containing plaques, also evident in an animal model of AD, and in astrocytes in AD. However, despite the overall increase in IGF-1R levels, a significantly lower number of neurons expressed IGF-1R in AD, and IGF-1R was aberrantly distributed in AD neurons especially evident in those with neurofibrillary tangles (NFTs). IR protein levels were similar in AD and control cases, however, the IR was concentrated intracellularly in AD neurons, unlike its distribution throughout the neuronal cell soma and in dendrites in control brain. Significant decreases in IRS-1 and IRS-2 levels were identified in AD neurons, in association with increased levels of inactivated phospho(Ser312)IRS-1 and phospho(Ser616)IRS-1, where increased levels of these phosphoserine epitopes colocalised strongly with NFTs. Our results show that IGF-1R and IR signalling is compromised in AD neurons and suggest that neurons that degenerate in AD may be resistant to IGF-1R/IR signalling.", "author" : [ { "dropping-particle" : "", "family" : "Moloney", "given" : "Aileen M", "non-dropping-particle" : "", "parse-names" : false, "suffix" : "" }, { "dropping-particle" : "", "family" : "Griffin", "given" : "Rebecca J", "non-dropping-particle" : "", "parse-names" : false, "suffix" : "" }, { "dropping-particle" : "", "family" : "Timmons", "given" : "Suzanne", "non-dropping-particle" : "", "parse-names" : false, "suffix" : "" }, { "dropping-particle" : "", "family" : "O'Connor", "given" : "Rosemary", "non-dropping-particle" : "", "parse-names" : false, "suffix" : "" }, { "dropping-particle" : "", "family" : "Ravid", "given" : "Rivka", "non-dropping-particle" : "", "parse-names" : false, "suffix" : "" }, { "dropping-particle" : "", "family" : "O'Neill", "given" : "Cora", "non-dropping-particle" : "", "parse-names" : false, "suffix" : "" } ], "container-title" : "Neurobiology of aging", "id" : "ITEM-1", "issue" : "2", "issued" : { "date-parts" : [ [ "2010", "2" ] ] }, "page" : "224-43", "title" : "Defects in IGF-1 receptor, insulin receptor and IRS-1/2 in Alzheimer's disease indicate possible resistance to IGF-1 and insulin signalling.", "type" : "article-journal", "volume" : "31" }, "uris" : [ "http://www.mendeley.com/documents/?uuid=54a00811-6d6c-3ddd-bf02-1e5ba5a93159" ] } ], "mendeley" : { "formattedCitation" : "(Moloney et al. 2010b)", "manualFormatting" : "(Moloney et al., 2010)", "plainTextFormattedCitation" : "(Moloney et al. 2010b)", "previouslyFormattedCitation" : "(Moloney et al. 2010b)" }, "properties" : { "noteIndex" : 0 }, "schema" : "https://github.com/citation-style-language/schema/raw/master/csl-citation.json"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(Moloney et al., 2010</w:t>
      </w:r>
      <w:r w:rsidRPr="00A52127">
        <w:rPr>
          <w:rFonts w:ascii="Times New Roman" w:hAnsi="Times New Roman" w:cs="Times New Roman"/>
          <w:noProof/>
        </w:rPr>
        <w:t>)</w:t>
      </w:r>
      <w:r>
        <w:rPr>
          <w:rFonts w:ascii="Times New Roman" w:hAnsi="Times New Roman" w:cs="Times New Roman"/>
        </w:rPr>
        <w:fldChar w:fldCharType="end"/>
      </w:r>
      <w:r>
        <w:rPr>
          <w:rFonts w:ascii="Times New Roman" w:hAnsi="Times New Roman" w:cs="Times New Roman"/>
        </w:rPr>
        <w:t>, although dual labelling with</w:t>
      </w:r>
      <w:r w:rsidR="004555D0">
        <w:rPr>
          <w:rFonts w:ascii="Times New Roman" w:hAnsi="Times New Roman" w:cs="Times New Roman"/>
        </w:rPr>
        <w:t xml:space="preserve"> an</w:t>
      </w:r>
      <w:r>
        <w:rPr>
          <w:rFonts w:ascii="Times New Roman" w:hAnsi="Times New Roman" w:cs="Times New Roman"/>
        </w:rPr>
        <w:t xml:space="preserve"> </w:t>
      </w:r>
      <w:r w:rsidR="004555D0">
        <w:rPr>
          <w:rFonts w:ascii="Times New Roman" w:hAnsi="Times New Roman" w:cs="Times New Roman"/>
        </w:rPr>
        <w:t xml:space="preserve">antibody that detects </w:t>
      </w:r>
      <w:r w:rsidR="00EF3E44" w:rsidRPr="00EF2AF4">
        <w:rPr>
          <w:rFonts w:ascii="Times New Roman" w:hAnsi="Times New Roman" w:cs="Times New Roman"/>
        </w:rPr>
        <w:t>Aβ</w:t>
      </w:r>
      <w:r w:rsidR="00EF3E44">
        <w:rPr>
          <w:rFonts w:ascii="Times New Roman" w:hAnsi="Times New Roman" w:cs="Times New Roman"/>
        </w:rPr>
        <w:t xml:space="preserve"> </w:t>
      </w:r>
      <w:r w:rsidR="004555D0">
        <w:rPr>
          <w:rFonts w:ascii="Times New Roman" w:hAnsi="Times New Roman" w:cs="Times New Roman"/>
        </w:rPr>
        <w:t>would need to be perfor</w:t>
      </w:r>
      <w:r w:rsidR="002F39AB">
        <w:rPr>
          <w:rFonts w:ascii="Times New Roman" w:hAnsi="Times New Roman" w:cs="Times New Roman"/>
        </w:rPr>
        <w:t>med to confirm this. However this observation may support the findings of</w:t>
      </w:r>
      <w:r w:rsidR="004555D0">
        <w:rPr>
          <w:rFonts w:ascii="Times New Roman" w:hAnsi="Times New Roman" w:cs="Times New Roman"/>
        </w:rPr>
        <w:t xml:space="preserve"> Moloney and colleagues</w:t>
      </w:r>
      <w:r w:rsidR="002F39AB">
        <w:rPr>
          <w:rFonts w:ascii="Times New Roman" w:hAnsi="Times New Roman" w:cs="Times New Roman"/>
        </w:rPr>
        <w:t xml:space="preserve"> and provide further evidence</w:t>
      </w:r>
      <w:r w:rsidR="004555D0">
        <w:rPr>
          <w:rFonts w:ascii="Times New Roman" w:hAnsi="Times New Roman" w:cs="Times New Roman"/>
        </w:rPr>
        <w:t xml:space="preserve"> that dysregulation of IGF1 signalling is apparent in astrocytes in association with AD pathology. IGF1R staining was not quantified since there was considerable background staining.</w:t>
      </w:r>
    </w:p>
    <w:p w14:paraId="2443E515" w14:textId="77777777" w:rsidR="00367972" w:rsidRPr="00367972" w:rsidRDefault="00367972" w:rsidP="00C63BC1">
      <w:pPr>
        <w:jc w:val="both"/>
      </w:pPr>
      <w:bookmarkStart w:id="1200" w:name="_Toc328301156"/>
      <w:bookmarkStart w:id="1201" w:name="_Toc329593447"/>
      <w:bookmarkStart w:id="1202" w:name="_Toc331425946"/>
      <w:bookmarkStart w:id="1203" w:name="_Toc331427127"/>
      <w:bookmarkStart w:id="1204" w:name="_Toc331427499"/>
      <w:bookmarkStart w:id="1205" w:name="_Toc331427641"/>
    </w:p>
    <w:p w14:paraId="1D067562" w14:textId="160DFFBD" w:rsidR="00DA5A91" w:rsidRDefault="00EC63A7" w:rsidP="00C63BC1">
      <w:pPr>
        <w:pStyle w:val="Heading2"/>
        <w:jc w:val="both"/>
      </w:pPr>
      <w:bookmarkStart w:id="1206" w:name="_Toc332972646"/>
      <w:bookmarkStart w:id="1207" w:name="_Toc333046925"/>
      <w:bookmarkStart w:id="1208" w:name="_Toc333477272"/>
      <w:bookmarkStart w:id="1209" w:name="_Toc333478042"/>
      <w:bookmarkStart w:id="1210" w:name="_Toc333644942"/>
      <w:r>
        <w:t xml:space="preserve">3.6 </w:t>
      </w:r>
      <w:r w:rsidR="00F57E88">
        <w:t>Summary</w:t>
      </w:r>
      <w:bookmarkEnd w:id="1200"/>
      <w:bookmarkEnd w:id="1201"/>
      <w:bookmarkEnd w:id="1202"/>
      <w:bookmarkEnd w:id="1203"/>
      <w:bookmarkEnd w:id="1204"/>
      <w:bookmarkEnd w:id="1205"/>
      <w:bookmarkEnd w:id="1206"/>
      <w:bookmarkEnd w:id="1207"/>
      <w:bookmarkEnd w:id="1208"/>
      <w:bookmarkEnd w:id="1209"/>
      <w:bookmarkEnd w:id="1210"/>
    </w:p>
    <w:p w14:paraId="290CDEF7" w14:textId="77777777" w:rsidR="00F57E88" w:rsidRDefault="00F57E88" w:rsidP="00C63BC1">
      <w:pPr>
        <w:spacing w:line="360" w:lineRule="auto"/>
        <w:jc w:val="both"/>
        <w:rPr>
          <w:rFonts w:ascii="Times New Roman" w:hAnsi="Times New Roman" w:cs="Times New Roman"/>
          <w:b/>
          <w:u w:val="single"/>
        </w:rPr>
      </w:pPr>
    </w:p>
    <w:p w14:paraId="077640A0" w14:textId="6841FFF9" w:rsidR="00086871" w:rsidRDefault="00D13E6F" w:rsidP="00C63BC1">
      <w:pPr>
        <w:spacing w:line="360" w:lineRule="auto"/>
        <w:jc w:val="both"/>
        <w:rPr>
          <w:rFonts w:ascii="Times New Roman" w:hAnsi="Times New Roman" w:cs="Times New Roman"/>
        </w:rPr>
      </w:pPr>
      <w:r>
        <w:rPr>
          <w:rFonts w:ascii="Times New Roman" w:hAnsi="Times New Roman" w:cs="Times New Roman"/>
        </w:rPr>
        <w:t>IGF1</w:t>
      </w:r>
      <w:r w:rsidR="002E623C">
        <w:rPr>
          <w:rFonts w:ascii="Times New Roman" w:hAnsi="Times New Roman" w:cs="Times New Roman"/>
        </w:rPr>
        <w:t>R wa</w:t>
      </w:r>
      <w:r w:rsidR="004B2641">
        <w:rPr>
          <w:rFonts w:ascii="Times New Roman" w:hAnsi="Times New Roman" w:cs="Times New Roman"/>
        </w:rPr>
        <w:t xml:space="preserve">s present in human astrocytes </w:t>
      </w:r>
      <w:r w:rsidR="004B2641">
        <w:rPr>
          <w:rFonts w:ascii="Times New Roman" w:hAnsi="Times New Roman" w:cs="Times New Roman"/>
          <w:i/>
        </w:rPr>
        <w:t>in vitro</w:t>
      </w:r>
      <w:r w:rsidR="004B2641">
        <w:rPr>
          <w:rFonts w:ascii="Times New Roman" w:hAnsi="Times New Roman" w:cs="Times New Roman"/>
        </w:rPr>
        <w:t xml:space="preserve"> and in post-mortem tissue.</w:t>
      </w:r>
      <w:r>
        <w:rPr>
          <w:rFonts w:ascii="Times New Roman" w:hAnsi="Times New Roman" w:cs="Times New Roman"/>
        </w:rPr>
        <w:t xml:space="preserve"> </w:t>
      </w:r>
      <w:r w:rsidR="004B2641">
        <w:rPr>
          <w:rFonts w:ascii="Times New Roman" w:hAnsi="Times New Roman" w:cs="Times New Roman"/>
        </w:rPr>
        <w:t>IGF1 signalling</w:t>
      </w:r>
      <w:r>
        <w:rPr>
          <w:rFonts w:ascii="Times New Roman" w:hAnsi="Times New Roman" w:cs="Times New Roman"/>
        </w:rPr>
        <w:t xml:space="preserve"> </w:t>
      </w:r>
      <w:r w:rsidR="002E623C">
        <w:rPr>
          <w:rFonts w:ascii="Times New Roman" w:hAnsi="Times New Roman" w:cs="Times New Roman"/>
        </w:rPr>
        <w:t>was</w:t>
      </w:r>
      <w:r>
        <w:rPr>
          <w:rFonts w:ascii="Times New Roman" w:hAnsi="Times New Roman" w:cs="Times New Roman"/>
        </w:rPr>
        <w:t xml:space="preserve"> impaired</w:t>
      </w:r>
      <w:r w:rsidR="004B2641">
        <w:rPr>
          <w:rFonts w:ascii="Times New Roman" w:hAnsi="Times New Roman" w:cs="Times New Roman"/>
        </w:rPr>
        <w:t xml:space="preserve"> by treating human astrocytes with</w:t>
      </w:r>
      <w:r>
        <w:rPr>
          <w:rFonts w:ascii="Times New Roman" w:hAnsi="Times New Roman" w:cs="Times New Roman"/>
        </w:rPr>
        <w:t xml:space="preserve"> a monoclonal antibody that specifically targets IGF1R (MAB391). This </w:t>
      </w:r>
      <w:r w:rsidR="002E623C">
        <w:rPr>
          <w:rFonts w:ascii="Times New Roman" w:hAnsi="Times New Roman" w:cs="Times New Roman"/>
        </w:rPr>
        <w:t>caused</w:t>
      </w:r>
      <w:r>
        <w:rPr>
          <w:rFonts w:ascii="Times New Roman" w:hAnsi="Times New Roman" w:cs="Times New Roman"/>
        </w:rPr>
        <w:t xml:space="preserve"> </w:t>
      </w:r>
      <w:r w:rsidR="00B8043D">
        <w:rPr>
          <w:rFonts w:ascii="Times New Roman" w:hAnsi="Times New Roman" w:cs="Times New Roman"/>
        </w:rPr>
        <w:t>persistent</w:t>
      </w:r>
      <w:r>
        <w:rPr>
          <w:rFonts w:ascii="Times New Roman" w:hAnsi="Times New Roman" w:cs="Times New Roman"/>
        </w:rPr>
        <w:t xml:space="preserve"> loss of IGF1R (up to 96 hours) at the protein level but no changes in the expression of IGF1R at the gene level. </w:t>
      </w:r>
      <w:r w:rsidR="002E623C">
        <w:rPr>
          <w:rFonts w:ascii="Times New Roman" w:hAnsi="Times New Roman" w:cs="Times New Roman"/>
        </w:rPr>
        <w:t>Loss of IGF1R impaired</w:t>
      </w:r>
      <w:r w:rsidR="009617D6">
        <w:rPr>
          <w:rFonts w:ascii="Times New Roman" w:hAnsi="Times New Roman" w:cs="Times New Roman"/>
        </w:rPr>
        <w:t xml:space="preserve"> signalling through Akt differently across a panel of different </w:t>
      </w:r>
      <w:r w:rsidR="004B2641">
        <w:rPr>
          <w:rFonts w:ascii="Times New Roman" w:hAnsi="Times New Roman" w:cs="Times New Roman"/>
        </w:rPr>
        <w:t xml:space="preserve">human </w:t>
      </w:r>
      <w:r w:rsidR="009617D6">
        <w:rPr>
          <w:rFonts w:ascii="Times New Roman" w:hAnsi="Times New Roman" w:cs="Times New Roman"/>
        </w:rPr>
        <w:t xml:space="preserve">astrocytes suggesting varying susceptibilities to IGF1R loss at the level of Akt in these cells. No obvious changes were detected in the morphology, viability, stress or ROS production as a result of IGF1 signalling pathway impairment. </w:t>
      </w:r>
      <w:bookmarkStart w:id="1211" w:name="_Toc328301157"/>
      <w:bookmarkStart w:id="1212" w:name="_Toc329593448"/>
      <w:bookmarkStart w:id="1213" w:name="_Toc331425947"/>
      <w:bookmarkStart w:id="1214" w:name="_Toc331427128"/>
      <w:bookmarkStart w:id="1215" w:name="_Toc331427500"/>
      <w:bookmarkStart w:id="1216" w:name="_Toc331427642"/>
    </w:p>
    <w:p w14:paraId="7E9981AC" w14:textId="77777777" w:rsidR="003776BA" w:rsidRPr="004555D0" w:rsidRDefault="003776BA" w:rsidP="00C63BC1">
      <w:pPr>
        <w:spacing w:line="360" w:lineRule="auto"/>
        <w:jc w:val="both"/>
        <w:rPr>
          <w:rFonts w:ascii="Times New Roman" w:hAnsi="Times New Roman" w:cs="Times New Roman"/>
        </w:rPr>
      </w:pPr>
    </w:p>
    <w:p w14:paraId="68C7C4C8" w14:textId="76BE99A7" w:rsidR="00AE0CEC" w:rsidRDefault="00EC63A7" w:rsidP="00C63BC1">
      <w:pPr>
        <w:pStyle w:val="Heading2"/>
        <w:jc w:val="both"/>
      </w:pPr>
      <w:bookmarkStart w:id="1217" w:name="_Toc332972647"/>
      <w:bookmarkStart w:id="1218" w:name="_Toc333046926"/>
      <w:bookmarkStart w:id="1219" w:name="_Toc333477273"/>
      <w:bookmarkStart w:id="1220" w:name="_Toc333478043"/>
      <w:bookmarkStart w:id="1221" w:name="_Toc333644943"/>
      <w:r>
        <w:t>3.7</w:t>
      </w:r>
      <w:r w:rsidR="0062211D">
        <w:t xml:space="preserve"> </w:t>
      </w:r>
      <w:r w:rsidR="00470FDB">
        <w:t>Main Conclusions</w:t>
      </w:r>
      <w:bookmarkEnd w:id="1211"/>
      <w:bookmarkEnd w:id="1212"/>
      <w:bookmarkEnd w:id="1213"/>
      <w:bookmarkEnd w:id="1214"/>
      <w:bookmarkEnd w:id="1215"/>
      <w:bookmarkEnd w:id="1216"/>
      <w:bookmarkEnd w:id="1217"/>
      <w:bookmarkEnd w:id="1218"/>
      <w:bookmarkEnd w:id="1219"/>
      <w:bookmarkEnd w:id="1220"/>
      <w:bookmarkEnd w:id="1221"/>
    </w:p>
    <w:p w14:paraId="0D5EDBC6" w14:textId="77777777" w:rsidR="00A30BF3" w:rsidRDefault="00A30BF3" w:rsidP="00C63BC1">
      <w:pPr>
        <w:jc w:val="both"/>
        <w:rPr>
          <w:rFonts w:ascii="Times New Roman" w:hAnsi="Times New Roman" w:cs="Times New Roman"/>
          <w:b/>
          <w:u w:val="single"/>
        </w:rPr>
      </w:pPr>
    </w:p>
    <w:p w14:paraId="3313D74E" w14:textId="47DF22D0" w:rsidR="00A30BF3" w:rsidRDefault="002E623C" w:rsidP="00C63BC1">
      <w:pPr>
        <w:pStyle w:val="ListParagraph"/>
        <w:numPr>
          <w:ilvl w:val="0"/>
          <w:numId w:val="1"/>
        </w:numPr>
        <w:jc w:val="both"/>
        <w:rPr>
          <w:rFonts w:ascii="Times New Roman" w:hAnsi="Times New Roman" w:cs="Times New Roman"/>
        </w:rPr>
      </w:pPr>
      <w:r>
        <w:rPr>
          <w:rFonts w:ascii="Times New Roman" w:hAnsi="Times New Roman" w:cs="Times New Roman"/>
        </w:rPr>
        <w:t>IGF1 signalling wa</w:t>
      </w:r>
      <w:r w:rsidR="00A30BF3">
        <w:rPr>
          <w:rFonts w:ascii="Times New Roman" w:hAnsi="Times New Roman" w:cs="Times New Roman"/>
        </w:rPr>
        <w:t>s present and functional in primary human astrocytes</w:t>
      </w:r>
    </w:p>
    <w:p w14:paraId="38CFF4FA" w14:textId="0D572ABF" w:rsidR="00A30BF3" w:rsidRDefault="00A30BF3" w:rsidP="00C63BC1">
      <w:pPr>
        <w:pStyle w:val="ListParagraph"/>
        <w:numPr>
          <w:ilvl w:val="0"/>
          <w:numId w:val="1"/>
        </w:numPr>
        <w:jc w:val="both"/>
        <w:rPr>
          <w:rFonts w:ascii="Times New Roman" w:hAnsi="Times New Roman" w:cs="Times New Roman"/>
        </w:rPr>
      </w:pPr>
      <w:r>
        <w:rPr>
          <w:rFonts w:ascii="Times New Roman" w:hAnsi="Times New Roman" w:cs="Times New Roman"/>
        </w:rPr>
        <w:t xml:space="preserve">MAB391 treatment </w:t>
      </w:r>
      <w:r w:rsidR="002E623C">
        <w:rPr>
          <w:rFonts w:ascii="Times New Roman" w:hAnsi="Times New Roman" w:cs="Times New Roman"/>
        </w:rPr>
        <w:t>was</w:t>
      </w:r>
      <w:r>
        <w:rPr>
          <w:rFonts w:ascii="Times New Roman" w:hAnsi="Times New Roman" w:cs="Times New Roman"/>
        </w:rPr>
        <w:t xml:space="preserve"> used to create a model of</w:t>
      </w:r>
      <w:r w:rsidR="00C93B86">
        <w:rPr>
          <w:rFonts w:ascii="Times New Roman" w:hAnsi="Times New Roman" w:cs="Times New Roman"/>
        </w:rPr>
        <w:t xml:space="preserve"> both acute and chronic</w:t>
      </w:r>
      <w:r>
        <w:rPr>
          <w:rFonts w:ascii="Times New Roman" w:hAnsi="Times New Roman" w:cs="Times New Roman"/>
        </w:rPr>
        <w:t xml:space="preserve"> IGF1R loss in </w:t>
      </w:r>
      <w:r w:rsidR="00C93B86">
        <w:rPr>
          <w:rFonts w:ascii="Times New Roman" w:hAnsi="Times New Roman" w:cs="Times New Roman"/>
        </w:rPr>
        <w:t xml:space="preserve">a range of different </w:t>
      </w:r>
      <w:r>
        <w:rPr>
          <w:rFonts w:ascii="Times New Roman" w:hAnsi="Times New Roman" w:cs="Times New Roman"/>
        </w:rPr>
        <w:t>astrocytes</w:t>
      </w:r>
    </w:p>
    <w:p w14:paraId="5C37C5D0" w14:textId="14CC2507" w:rsidR="006C540A" w:rsidRDefault="002E623C" w:rsidP="00C63BC1">
      <w:pPr>
        <w:pStyle w:val="ListParagraph"/>
        <w:numPr>
          <w:ilvl w:val="0"/>
          <w:numId w:val="1"/>
        </w:numPr>
        <w:jc w:val="both"/>
        <w:rPr>
          <w:rFonts w:ascii="Times New Roman" w:hAnsi="Times New Roman" w:cs="Times New Roman"/>
        </w:rPr>
      </w:pPr>
      <w:r>
        <w:rPr>
          <w:rFonts w:ascii="Times New Roman" w:hAnsi="Times New Roman" w:cs="Times New Roman"/>
        </w:rPr>
        <w:t>Loss of IGF1R in astrocytes wa</w:t>
      </w:r>
      <w:r w:rsidR="006C540A">
        <w:rPr>
          <w:rFonts w:ascii="Times New Roman" w:hAnsi="Times New Roman" w:cs="Times New Roman"/>
        </w:rPr>
        <w:t xml:space="preserve">s </w:t>
      </w:r>
      <w:r w:rsidR="00B8043D">
        <w:rPr>
          <w:rFonts w:ascii="Times New Roman" w:hAnsi="Times New Roman" w:cs="Times New Roman"/>
        </w:rPr>
        <w:t>associated with reduction in Akt</w:t>
      </w:r>
      <w:r>
        <w:rPr>
          <w:rFonts w:ascii="Times New Roman" w:hAnsi="Times New Roman" w:cs="Times New Roman"/>
        </w:rPr>
        <w:t xml:space="preserve"> signalling, although there wa</w:t>
      </w:r>
      <w:r w:rsidR="006C540A">
        <w:rPr>
          <w:rFonts w:ascii="Times New Roman" w:hAnsi="Times New Roman" w:cs="Times New Roman"/>
        </w:rPr>
        <w:t>s compensation by unknown mechanisms to restore downstream signalling through this pathway.</w:t>
      </w:r>
    </w:p>
    <w:p w14:paraId="4A7C7354" w14:textId="1EBC2EC9" w:rsidR="00DC403B" w:rsidRDefault="00DC403B" w:rsidP="00C63BC1">
      <w:pPr>
        <w:pStyle w:val="ListParagraph"/>
        <w:numPr>
          <w:ilvl w:val="0"/>
          <w:numId w:val="1"/>
        </w:numPr>
        <w:jc w:val="both"/>
        <w:rPr>
          <w:rFonts w:ascii="Times New Roman" w:hAnsi="Times New Roman" w:cs="Times New Roman"/>
        </w:rPr>
      </w:pPr>
      <w:r>
        <w:rPr>
          <w:rFonts w:ascii="Times New Roman" w:hAnsi="Times New Roman" w:cs="Times New Roman"/>
        </w:rPr>
        <w:t>Human astrocytes respond</w:t>
      </w:r>
      <w:r w:rsidR="002E623C">
        <w:rPr>
          <w:rFonts w:ascii="Times New Roman" w:hAnsi="Times New Roman" w:cs="Times New Roman"/>
        </w:rPr>
        <w:t>ed</w:t>
      </w:r>
      <w:r>
        <w:rPr>
          <w:rFonts w:ascii="Times New Roman" w:hAnsi="Times New Roman" w:cs="Times New Roman"/>
        </w:rPr>
        <w:t xml:space="preserve"> differently at </w:t>
      </w:r>
      <w:r w:rsidR="00376B6F">
        <w:rPr>
          <w:rFonts w:ascii="Times New Roman" w:hAnsi="Times New Roman" w:cs="Times New Roman"/>
        </w:rPr>
        <w:t xml:space="preserve">the </w:t>
      </w:r>
      <w:r>
        <w:rPr>
          <w:rFonts w:ascii="Times New Roman" w:hAnsi="Times New Roman" w:cs="Times New Roman"/>
        </w:rPr>
        <w:t>level of d</w:t>
      </w:r>
      <w:r w:rsidR="00B8043D">
        <w:rPr>
          <w:rFonts w:ascii="Times New Roman" w:hAnsi="Times New Roman" w:cs="Times New Roman"/>
        </w:rPr>
        <w:t>ownstream signalling through Akt</w:t>
      </w:r>
      <w:r>
        <w:rPr>
          <w:rFonts w:ascii="Times New Roman" w:hAnsi="Times New Roman" w:cs="Times New Roman"/>
        </w:rPr>
        <w:t xml:space="preserve"> following loss of IGF1R</w:t>
      </w:r>
      <w:r w:rsidR="002E623C">
        <w:rPr>
          <w:rFonts w:ascii="Times New Roman" w:hAnsi="Times New Roman" w:cs="Times New Roman"/>
        </w:rPr>
        <w:t>.</w:t>
      </w:r>
    </w:p>
    <w:p w14:paraId="14828307" w14:textId="472B146C" w:rsidR="006C540A" w:rsidRDefault="002E623C" w:rsidP="00C63BC1">
      <w:pPr>
        <w:pStyle w:val="ListParagraph"/>
        <w:numPr>
          <w:ilvl w:val="0"/>
          <w:numId w:val="1"/>
        </w:numPr>
        <w:jc w:val="both"/>
        <w:rPr>
          <w:rFonts w:ascii="Times New Roman" w:hAnsi="Times New Roman" w:cs="Times New Roman"/>
        </w:rPr>
      </w:pPr>
      <w:r>
        <w:rPr>
          <w:rFonts w:ascii="Times New Roman" w:hAnsi="Times New Roman" w:cs="Times New Roman"/>
        </w:rPr>
        <w:t>Loss of IGF1R wa</w:t>
      </w:r>
      <w:r w:rsidR="006C540A">
        <w:rPr>
          <w:rFonts w:ascii="Times New Roman" w:hAnsi="Times New Roman" w:cs="Times New Roman"/>
        </w:rPr>
        <w:t xml:space="preserve">s not </w:t>
      </w:r>
      <w:r w:rsidR="001D7611">
        <w:rPr>
          <w:rFonts w:ascii="Times New Roman" w:hAnsi="Times New Roman" w:cs="Times New Roman"/>
        </w:rPr>
        <w:t>attributed to reduced viability</w:t>
      </w:r>
      <w:r w:rsidR="009F73CC">
        <w:rPr>
          <w:rFonts w:ascii="Times New Roman" w:hAnsi="Times New Roman" w:cs="Times New Roman"/>
        </w:rPr>
        <w:t xml:space="preserve"> but </w:t>
      </w:r>
      <w:r>
        <w:rPr>
          <w:rFonts w:ascii="Times New Roman" w:hAnsi="Times New Roman" w:cs="Times New Roman"/>
        </w:rPr>
        <w:t>could</w:t>
      </w:r>
      <w:r w:rsidR="009F73CC">
        <w:rPr>
          <w:rFonts w:ascii="Times New Roman" w:hAnsi="Times New Roman" w:cs="Times New Roman"/>
        </w:rPr>
        <w:t xml:space="preserve"> </w:t>
      </w:r>
      <w:r w:rsidR="00B8043D">
        <w:rPr>
          <w:rFonts w:ascii="Times New Roman" w:hAnsi="Times New Roman" w:cs="Times New Roman"/>
        </w:rPr>
        <w:t>indicate</w:t>
      </w:r>
      <w:r w:rsidR="009F73CC">
        <w:rPr>
          <w:rFonts w:ascii="Times New Roman" w:hAnsi="Times New Roman" w:cs="Times New Roman"/>
        </w:rPr>
        <w:t xml:space="preserve"> changes in mitochondrial function</w:t>
      </w:r>
      <w:r w:rsidR="001D7611">
        <w:rPr>
          <w:rFonts w:ascii="Times New Roman" w:hAnsi="Times New Roman" w:cs="Times New Roman"/>
        </w:rPr>
        <w:t>.</w:t>
      </w:r>
    </w:p>
    <w:p w14:paraId="5719C211" w14:textId="5C314EF4" w:rsidR="00535052" w:rsidRPr="009F73CC" w:rsidRDefault="006C540A" w:rsidP="00C63BC1">
      <w:pPr>
        <w:pStyle w:val="ListParagraph"/>
        <w:numPr>
          <w:ilvl w:val="0"/>
          <w:numId w:val="1"/>
        </w:numPr>
        <w:jc w:val="both"/>
        <w:rPr>
          <w:rFonts w:ascii="Times New Roman" w:hAnsi="Times New Roman" w:cs="Times New Roman"/>
        </w:rPr>
      </w:pPr>
      <w:r>
        <w:rPr>
          <w:rFonts w:ascii="Times New Roman" w:hAnsi="Times New Roman" w:cs="Times New Roman"/>
        </w:rPr>
        <w:t>No observable changes in cell stress</w:t>
      </w:r>
      <w:r w:rsidR="00376B6F">
        <w:rPr>
          <w:rFonts w:ascii="Times New Roman" w:hAnsi="Times New Roman" w:cs="Times New Roman"/>
        </w:rPr>
        <w:t xml:space="preserve"> or morphology</w:t>
      </w:r>
      <w:r>
        <w:rPr>
          <w:rFonts w:ascii="Times New Roman" w:hAnsi="Times New Roman" w:cs="Times New Roman"/>
        </w:rPr>
        <w:t xml:space="preserve"> were detected following IGF1R loss in the ScienCell (1) astrocytes</w:t>
      </w:r>
      <w:r w:rsidR="009F73CC">
        <w:rPr>
          <w:rFonts w:ascii="Times New Roman" w:hAnsi="Times New Roman" w:cs="Times New Roman"/>
        </w:rPr>
        <w:t xml:space="preserve"> as measured by levels of GFAP, γH2AX and ROS. </w:t>
      </w:r>
    </w:p>
    <w:p w14:paraId="7C7E6345" w14:textId="3FB7F143" w:rsidR="00892C52" w:rsidRPr="004555D0" w:rsidRDefault="00DC403B" w:rsidP="00C63BC1">
      <w:pPr>
        <w:pStyle w:val="ListParagraph"/>
        <w:numPr>
          <w:ilvl w:val="0"/>
          <w:numId w:val="1"/>
        </w:numPr>
        <w:jc w:val="both"/>
        <w:rPr>
          <w:rFonts w:ascii="Times New Roman" w:hAnsi="Times New Roman" w:cs="Times New Roman"/>
        </w:rPr>
      </w:pPr>
      <w:r>
        <w:rPr>
          <w:rFonts w:ascii="Times New Roman" w:hAnsi="Times New Roman" w:cs="Times New Roman"/>
        </w:rPr>
        <w:t>IGF1 signalling proteins have been identified in human brain tissue</w:t>
      </w:r>
      <w:r w:rsidR="00B8043D">
        <w:rPr>
          <w:rFonts w:ascii="Times New Roman" w:hAnsi="Times New Roman" w:cs="Times New Roman"/>
        </w:rPr>
        <w:t>, with IGF1R expression demonstated in human astrocytes.</w:t>
      </w:r>
      <w:r w:rsidR="00E2640C">
        <w:rPr>
          <w:rFonts w:ascii="Times New Roman" w:hAnsi="Times New Roman" w:cs="Times New Roman"/>
          <w:color w:val="FF0000"/>
        </w:rPr>
        <w:t xml:space="preserve"> </w:t>
      </w:r>
      <w:r w:rsidR="00395B55" w:rsidRPr="004555D0">
        <w:rPr>
          <w:lang w:val="en-US"/>
        </w:rPr>
        <w:t xml:space="preserve">                                              </w:t>
      </w:r>
    </w:p>
    <w:p w14:paraId="44DC8D5D" w14:textId="4019B54D" w:rsidR="00395B55" w:rsidRDefault="003776BA" w:rsidP="00395B55">
      <w:pPr>
        <w:pStyle w:val="Heading1"/>
      </w:pPr>
      <w:bookmarkStart w:id="1222" w:name="_Toc328301158"/>
      <w:bookmarkStart w:id="1223" w:name="_Toc329593449"/>
      <w:bookmarkStart w:id="1224" w:name="_Toc331425948"/>
      <w:bookmarkStart w:id="1225" w:name="_Toc331427129"/>
      <w:bookmarkStart w:id="1226" w:name="_Toc331427501"/>
      <w:bookmarkStart w:id="1227" w:name="_Toc331427643"/>
      <w:bookmarkStart w:id="1228" w:name="_Toc332972648"/>
      <w:bookmarkStart w:id="1229" w:name="_Toc333046927"/>
      <w:bookmarkStart w:id="1230" w:name="_Toc333477274"/>
      <w:bookmarkStart w:id="1231" w:name="_Toc333478044"/>
      <w:r w:rsidRPr="003776BA">
        <w:rPr>
          <w:u w:val="none"/>
        </w:rPr>
        <w:t xml:space="preserve">                                      </w:t>
      </w:r>
      <w:bookmarkStart w:id="1232" w:name="_Toc333644944"/>
      <w:r w:rsidR="00DC5F54" w:rsidRPr="004D350C">
        <w:t>Chapter 4</w:t>
      </w:r>
      <w:bookmarkEnd w:id="1222"/>
      <w:bookmarkEnd w:id="1223"/>
      <w:bookmarkEnd w:id="1224"/>
      <w:bookmarkEnd w:id="1225"/>
      <w:bookmarkEnd w:id="1226"/>
      <w:bookmarkEnd w:id="1227"/>
      <w:bookmarkEnd w:id="1228"/>
      <w:bookmarkEnd w:id="1229"/>
      <w:bookmarkEnd w:id="1230"/>
      <w:bookmarkEnd w:id="1231"/>
      <w:bookmarkEnd w:id="1232"/>
    </w:p>
    <w:p w14:paraId="387A4BBB" w14:textId="5C27EFF7" w:rsidR="00AE0CEC" w:rsidRPr="00C24EFD" w:rsidRDefault="00AE0CEC" w:rsidP="00395B55">
      <w:pPr>
        <w:pStyle w:val="Heading1"/>
        <w:jc w:val="center"/>
        <w:rPr>
          <w:sz w:val="32"/>
          <w:szCs w:val="32"/>
          <w:u w:val="none"/>
        </w:rPr>
      </w:pPr>
      <w:bookmarkStart w:id="1233" w:name="_Toc328301159"/>
      <w:bookmarkStart w:id="1234" w:name="_Toc329593450"/>
      <w:bookmarkStart w:id="1235" w:name="_Toc331425949"/>
      <w:bookmarkStart w:id="1236" w:name="_Toc331427130"/>
      <w:bookmarkStart w:id="1237" w:name="_Toc331427502"/>
      <w:bookmarkStart w:id="1238" w:name="_Toc331427644"/>
      <w:bookmarkStart w:id="1239" w:name="_Toc332972649"/>
      <w:bookmarkStart w:id="1240" w:name="_Toc333046928"/>
      <w:bookmarkStart w:id="1241" w:name="_Toc333477275"/>
      <w:bookmarkStart w:id="1242" w:name="_Toc333478045"/>
      <w:bookmarkStart w:id="1243" w:name="_Toc333644945"/>
      <w:r w:rsidRPr="00C24EFD">
        <w:rPr>
          <w:sz w:val="32"/>
          <w:szCs w:val="32"/>
          <w:u w:val="none"/>
        </w:rPr>
        <w:t xml:space="preserve">Establishing a novel </w:t>
      </w:r>
      <w:r w:rsidR="0048772A" w:rsidRPr="00C24EFD">
        <w:rPr>
          <w:sz w:val="32"/>
          <w:szCs w:val="32"/>
          <w:u w:val="none"/>
        </w:rPr>
        <w:t xml:space="preserve">human </w:t>
      </w:r>
      <w:r w:rsidRPr="00C24EFD">
        <w:rPr>
          <w:sz w:val="32"/>
          <w:szCs w:val="32"/>
          <w:u w:val="none"/>
        </w:rPr>
        <w:t>astrocyte-neuron co-culture system and investigating whether impai</w:t>
      </w:r>
      <w:r w:rsidR="00FC2E19" w:rsidRPr="00C24EFD">
        <w:rPr>
          <w:sz w:val="32"/>
          <w:szCs w:val="32"/>
          <w:u w:val="none"/>
        </w:rPr>
        <w:t>red IGF1 signalling</w:t>
      </w:r>
      <w:r w:rsidR="004E6D6B" w:rsidRPr="00C24EFD">
        <w:rPr>
          <w:sz w:val="32"/>
          <w:szCs w:val="32"/>
          <w:u w:val="none"/>
        </w:rPr>
        <w:t xml:space="preserve"> a</w:t>
      </w:r>
      <w:r w:rsidR="0048772A" w:rsidRPr="00C24EFD">
        <w:rPr>
          <w:sz w:val="32"/>
          <w:szCs w:val="32"/>
          <w:u w:val="none"/>
        </w:rPr>
        <w:t xml:space="preserve">ffects </w:t>
      </w:r>
      <w:r w:rsidR="00FC2E19" w:rsidRPr="00C24EFD">
        <w:rPr>
          <w:sz w:val="32"/>
          <w:szCs w:val="32"/>
          <w:u w:val="none"/>
        </w:rPr>
        <w:t>astrocytic support for</w:t>
      </w:r>
      <w:r w:rsidRPr="00C24EFD">
        <w:rPr>
          <w:sz w:val="32"/>
          <w:szCs w:val="32"/>
          <w:u w:val="none"/>
        </w:rPr>
        <w:t xml:space="preserve"> neuron</w:t>
      </w:r>
      <w:r w:rsidR="00FC2E19" w:rsidRPr="00C24EFD">
        <w:rPr>
          <w:sz w:val="32"/>
          <w:szCs w:val="32"/>
          <w:u w:val="none"/>
        </w:rPr>
        <w:t>s</w:t>
      </w:r>
      <w:bookmarkEnd w:id="1233"/>
      <w:bookmarkEnd w:id="1234"/>
      <w:bookmarkEnd w:id="1235"/>
      <w:bookmarkEnd w:id="1236"/>
      <w:bookmarkEnd w:id="1237"/>
      <w:bookmarkEnd w:id="1238"/>
      <w:bookmarkEnd w:id="1239"/>
      <w:bookmarkEnd w:id="1240"/>
      <w:bookmarkEnd w:id="1241"/>
      <w:bookmarkEnd w:id="1242"/>
      <w:bookmarkEnd w:id="1243"/>
    </w:p>
    <w:p w14:paraId="46383944" w14:textId="77777777" w:rsidR="00260E03" w:rsidRDefault="00260E03">
      <w:pPr>
        <w:rPr>
          <w:rFonts w:ascii="Times New Roman" w:hAnsi="Times New Roman" w:cs="Times New Roman"/>
          <w:b/>
          <w:u w:val="single"/>
        </w:rPr>
      </w:pPr>
    </w:p>
    <w:p w14:paraId="2CDA5128" w14:textId="631507FC" w:rsidR="00DF6C1C" w:rsidRDefault="00F94933" w:rsidP="00395B55">
      <w:pPr>
        <w:pStyle w:val="Heading2"/>
      </w:pPr>
      <w:bookmarkStart w:id="1244" w:name="_Toc328301160"/>
      <w:bookmarkStart w:id="1245" w:name="_Toc329593451"/>
      <w:bookmarkStart w:id="1246" w:name="_Toc331425950"/>
      <w:bookmarkStart w:id="1247" w:name="_Toc331427131"/>
      <w:bookmarkStart w:id="1248" w:name="_Toc331427503"/>
      <w:bookmarkStart w:id="1249" w:name="_Toc331427645"/>
      <w:bookmarkStart w:id="1250" w:name="_Toc332972650"/>
      <w:bookmarkStart w:id="1251" w:name="_Toc333046929"/>
      <w:bookmarkStart w:id="1252" w:name="_Toc333477276"/>
      <w:bookmarkStart w:id="1253" w:name="_Toc333478046"/>
      <w:bookmarkStart w:id="1254" w:name="_Toc333644946"/>
      <w:r>
        <w:t xml:space="preserve">4.1 </w:t>
      </w:r>
      <w:r w:rsidR="00DF6C1C">
        <w:t>Introduction</w:t>
      </w:r>
      <w:bookmarkEnd w:id="1244"/>
      <w:bookmarkEnd w:id="1245"/>
      <w:bookmarkEnd w:id="1246"/>
      <w:bookmarkEnd w:id="1247"/>
      <w:bookmarkEnd w:id="1248"/>
      <w:bookmarkEnd w:id="1249"/>
      <w:bookmarkEnd w:id="1250"/>
      <w:bookmarkEnd w:id="1251"/>
      <w:bookmarkEnd w:id="1252"/>
      <w:bookmarkEnd w:id="1253"/>
      <w:bookmarkEnd w:id="1254"/>
    </w:p>
    <w:p w14:paraId="514AB902" w14:textId="77777777" w:rsidR="005F182A" w:rsidRDefault="005F182A" w:rsidP="00762B6C">
      <w:pPr>
        <w:spacing w:line="360" w:lineRule="auto"/>
        <w:rPr>
          <w:rFonts w:ascii="Times New Roman" w:hAnsi="Times New Roman" w:cs="Times New Roman"/>
          <w:b/>
          <w:u w:val="single"/>
        </w:rPr>
      </w:pPr>
    </w:p>
    <w:p w14:paraId="72CCDFCC" w14:textId="1BC56433" w:rsidR="00636278" w:rsidRDefault="00004888" w:rsidP="00C63BC1">
      <w:pPr>
        <w:spacing w:line="360" w:lineRule="auto"/>
        <w:jc w:val="both"/>
        <w:rPr>
          <w:rFonts w:ascii="Times New Roman" w:hAnsi="Times New Roman" w:cs="Times New Roman"/>
        </w:rPr>
      </w:pPr>
      <w:r>
        <w:rPr>
          <w:rFonts w:ascii="Times New Roman" w:hAnsi="Times New Roman" w:cs="Times New Roman"/>
        </w:rPr>
        <w:t>There is growing evidence that astrocytes</w:t>
      </w:r>
      <w:r w:rsidR="007A747B">
        <w:rPr>
          <w:rFonts w:ascii="Times New Roman" w:hAnsi="Times New Roman" w:cs="Times New Roman"/>
        </w:rPr>
        <w:t xml:space="preserve"> become functionally mat</w:t>
      </w:r>
      <w:r w:rsidR="00AA7EE2">
        <w:rPr>
          <w:rFonts w:ascii="Times New Roman" w:hAnsi="Times New Roman" w:cs="Times New Roman"/>
        </w:rPr>
        <w:t xml:space="preserve">ure when cultured with neurons. This has been demonstrated by </w:t>
      </w:r>
      <w:r w:rsidR="00AD152F">
        <w:rPr>
          <w:rFonts w:ascii="Times New Roman" w:hAnsi="Times New Roman" w:cs="Times New Roman"/>
        </w:rPr>
        <w:t xml:space="preserve">various </w:t>
      </w:r>
      <w:r w:rsidR="00AA7EE2">
        <w:rPr>
          <w:rFonts w:ascii="Times New Roman" w:hAnsi="Times New Roman" w:cs="Times New Roman"/>
        </w:rPr>
        <w:t xml:space="preserve">groups who report significant upregulation of a number of genes typically associated with mature astrocytes when astrocytes are co-cultured with neurons. In monoculture, astrocytes </w:t>
      </w:r>
      <w:r w:rsidR="00330334">
        <w:rPr>
          <w:rFonts w:ascii="Times New Roman" w:hAnsi="Times New Roman" w:cs="Times New Roman"/>
        </w:rPr>
        <w:t xml:space="preserve">have been shown to </w:t>
      </w:r>
      <w:r w:rsidR="00AA7EE2">
        <w:rPr>
          <w:rFonts w:ascii="Times New Roman" w:hAnsi="Times New Roman" w:cs="Times New Roman"/>
        </w:rPr>
        <w:t>express minimal levels of the glutamate transporter GLT1</w:t>
      </w:r>
      <w:r w:rsidR="00F37D55">
        <w:rPr>
          <w:rFonts w:ascii="Times New Roman" w:hAnsi="Times New Roman" w:cs="Times New Roman"/>
        </w:rPr>
        <w:t xml:space="preserve"> (EAAT2)</w:t>
      </w:r>
      <w:r w:rsidR="00AA7EE2">
        <w:rPr>
          <w:rFonts w:ascii="Times New Roman" w:hAnsi="Times New Roman" w:cs="Times New Roman"/>
        </w:rPr>
        <w:t xml:space="preserve"> and higher levels of EAAT1</w:t>
      </w:r>
      <w:r w:rsidR="0083521E">
        <w:rPr>
          <w:rFonts w:ascii="Times New Roman" w:hAnsi="Times New Roman" w:cs="Times New Roman"/>
        </w:rPr>
        <w:t xml:space="preserve"> (Duan </w:t>
      </w:r>
      <w:r w:rsidR="0083521E">
        <w:rPr>
          <w:rFonts w:ascii="Times New Roman" w:hAnsi="Times New Roman" w:cs="Times New Roman"/>
          <w:i/>
        </w:rPr>
        <w:t>et al,</w:t>
      </w:r>
      <w:r w:rsidR="0083521E">
        <w:rPr>
          <w:rFonts w:ascii="Times New Roman" w:hAnsi="Times New Roman" w:cs="Times New Roman"/>
        </w:rPr>
        <w:t xml:space="preserve"> 1990)</w:t>
      </w:r>
      <w:r w:rsidR="00AA7EE2">
        <w:rPr>
          <w:rFonts w:ascii="Times New Roman" w:hAnsi="Times New Roman" w:cs="Times New Roman"/>
        </w:rPr>
        <w:t>. When</w:t>
      </w:r>
      <w:r w:rsidR="00F33B1D">
        <w:rPr>
          <w:rFonts w:ascii="Times New Roman" w:hAnsi="Times New Roman" w:cs="Times New Roman"/>
        </w:rPr>
        <w:t xml:space="preserve"> rodent</w:t>
      </w:r>
      <w:r w:rsidR="00AA7EE2">
        <w:rPr>
          <w:rFonts w:ascii="Times New Roman" w:hAnsi="Times New Roman" w:cs="Times New Roman"/>
        </w:rPr>
        <w:t xml:space="preserve"> astrocytes are co-</w:t>
      </w:r>
      <w:r w:rsidR="00F33B1D">
        <w:rPr>
          <w:rFonts w:ascii="Times New Roman" w:hAnsi="Times New Roman" w:cs="Times New Roman"/>
        </w:rPr>
        <w:t>cultured with neurons there is</w:t>
      </w:r>
      <w:r w:rsidR="00AA7EE2">
        <w:rPr>
          <w:rFonts w:ascii="Times New Roman" w:hAnsi="Times New Roman" w:cs="Times New Roman"/>
        </w:rPr>
        <w:t xml:space="preserve"> significant </w:t>
      </w:r>
      <w:r w:rsidR="0083521E">
        <w:rPr>
          <w:rFonts w:ascii="Times New Roman" w:hAnsi="Times New Roman" w:cs="Times New Roman"/>
        </w:rPr>
        <w:t>upregulation of GLT1</w:t>
      </w:r>
      <w:r w:rsidR="009250F1">
        <w:rPr>
          <w:rFonts w:ascii="Times New Roman" w:hAnsi="Times New Roman" w:cs="Times New Roman"/>
        </w:rPr>
        <w:t xml:space="preserve"> </w:t>
      </w:r>
      <w:r w:rsidR="009250F1">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"0270-6474", "PMID" : "8994048", "abstract" : "GLT-1, GLAST, and EAAC1 are high-affinity, Na(+)-dependent glutamate transporters identified in rat forebrain. The expression of these transporter subtypes was characterized in three preparations: undifferentiated rat cortical astrocyte cultures, astrocytes cocultured with cortical neurons, and astrocyte cultures differentiated with dibutyryl cyclic AMP (dBcAMP). The undifferentiated astrocyte monocultures expressed only the GLAST subtype. Astrocytes cocultured with neurons developed a stellate morphology and expressed both GLAST and GLT-1; neurons expressed only the EAAC1 transporter, and rare microglia in these cultures expressed GLT-1. Treatment of astrocyte cultures with dBcAMP induced expression of GLT-1 and increased expression of GLAST. These effects of dBcAMP on transporter expression were qualitatively similar to those resulting from coculture with neurons, but immunocytochemistry showed the pattern of transporter expression to be more complex in the coculture preparations. Compared with astrocytes expressing only GLAST, the dBcAMP-treated cultures expressing both GLAST and GLT-1 showed an increase in glutamate uptake Vmax, but no change in the glutamate K(m) and no increased sensitivity to inhibition by dihydrokainate. Pyrrolidine-2,4-dicarboxylic acid and threo-beta-hydroxyaspartic acid caused relatively less inhibition of transport in cultures expressing both GLAST and GLT-1, suggesting a weaker effect at GLT-1 than at GLAST. These studies show that astrocyte expression of glutamate transporter subtypes is influenced by neurons, and that dBcAMP can partially mimic this influence. Manipulation of transporter expression in astrocyte cultures may permit identification of factors regulating the expression and function of GLAST and GLT-1 in their native cell type.", "author" : [ { "dropping-particle" : "", "family" : "Swanson", "given" : "R A", "non-dropping-particle" : "", "parse-names" : false, "suffix" : "" }, { "dropping-particle" : "", "family" : "Liu", "given" : "J", "non-dropping-particle" : "", "parse-names" : false, "suffix" : "" }, { "dropping-particle" : "", "family" : "Miller", "given" : "J W", "non-dropping-particle" : "", "parse-names" : false, "suffix" : "" }, { "dropping-particle" : "", "family" : "Rothstein", "given" : "J D", "non-dropping-particle" : "", "parse-names" : false, "suffix" : "" }, { "dropping-particle" : "", "family" : "Farrell", "given" : "K", "non-dropping-particle" : "", "parse-names" : false, "suffix" : "" }, { "dropping-particle" : "", "family" : "Stein", "given" : "B A", "non-dropping-particle" : "", "parse-names" : false, "suffix" : "" }, { "dropping-particle" : "", "family" : "Longuemare", "given" : "M C", "non-dropping-particle" : "", "parse-names" : false, "suffix" : "" } ], "container-title" : "The Journal of neuroscience : the official journal of the Society for Neuroscience", "id" : "ITEM-1", "issue" : "3", "issued" : { "date-parts" : [ [ "1997", "2", "1" ] ] }, "page" : "932-40", "publisher" : "Society for Neuroscience", "title" : "Neuronal regulation of glutamate transporter subtype expression in astrocytes.", "type" : "article-journal", "volume" : "17" }, "uris" : [ "http://www.mendeley.com/documents/?uuid=62c26190-cda6-31d8-9fb1-8e85571a83fa" ] }, { "id" : "ITEM-2", "itemData" : { "DOI" : "10.1016/j.neuron.2009.02.010", "ISSN" : "08966273", "abstract" : "The neuron-astrocyte synaptic complex is a fundamental operational unit of the nervous system. Astroglia regulate synaptic glutamate, via neurotransmitter transport by GLT1/EAAT2. Astroglial mechanisms underlying this essential neuron-glial communication are not known. We now show that presynaptic terminals regulate astroglial synaptic functions, GLT1/EAAT2, via kappa B-motif binding phosphoprotein (KBBP), the mouse homolog of human heterogeneous nuclear ribonucleoprotein K (hnRNP K), which binds the GLT1/EAAT2 promoter. Neuron-stimulated KBBP is required for GLT1/EAAT2 transcriptional activation and is responsible for astroglial alterations in neural injury. Denervation of neuron-astrocyte signaling by corticospinal tract transection, ricin-induced motor neuron death, or neurodegeneration in amyotrophic lateral sclerosis all result in reduced astroglial KBBP expression and transcriptional dysfunction of astroglial transporter expression. Presynaptic elements dynamically coordinate normal astroglial function and also provide a fundamental signaling mechanism by which altered neuronal function and injury leads to dysregulated astroglia in CNS disease.", "author" : [ { "dropping-particle" : "", "family" : "Yang", "given" : "Yongjie", "non-dropping-particle" : "", "parse-names" : false, "suffix" : "" }, { "dropping-particle" : "", "family" : "Gozen", "given" : "Oguz", "non-dropping-particle" : "", "parse-names" : false, "suffix" : "" }, { "dropping-particle" : "", "family" : "Watkins", "given" : "Andrew", "non-dropping-particle" : "", "parse-names" : false, "suffix" : "" }, { "dropping-particle" : "", "family" : "Lorenzini", "given" : "Ileana", "non-dropping-particle" : "", "parse-names" : false, "suffix" : "" }, { "dropping-particle" : "", "family" : "Lepore", "given" : "Angelo", "non-dropping-particle" : "", "parse-names" : false, "suffix" : "" }, { "dropping-particle" : "", "family" : "Gao", "given" : "Yuanzheng", "non-dropping-particle" : "", "parse-names" : false, "suffix" : "" }, { "dropping-particle" : "", "family" : "Vidensky", "given" : "Svetlana", "non-dropping-particle" : "", "parse-names" : false, "suffix" : "" }, { "dropping-particle" : "", "family" : "Brennan", "given" : "Jean", "non-dropping-particle" : "", "parse-names" : false, "suffix" : "" }, { "dropping-particle" : "", "family" : "Poulsen", "given" : "David", "non-dropping-particle" : "", "parse-names" : false, "suffix" : "" }, { "dropping-particle" : "", "family" : "Won Park", "given" : "Jeong", "non-dropping-particle" : "", "parse-names" : false, "suffix" : "" }, { "dropping-particle" : "", "family" : "Li Jeon", "given" : "Noo", "non-dropping-particle" : "", "parse-names" : false, "suffix" : "" }, { "dropping-particle" : "", "family" : "Robinson", "given" : "Michael B.", "non-dropping-particle" : "", "parse-names" : false, "suffix" : "" }, { "dropping-particle" : "", "family" : "Rothstein", "given" : "Jeffrey D.", "non-dropping-particle" : "", "parse-names" : false, "suffix" : "" } ], "container-title" : "Neuron", "id" : "ITEM-2", "issue" : "6", "issued" : { "date-parts" : [ [ "2009" ] ] }, "page" : "880-894", "title" : "Presynaptic Regulation of Astroglial Excitatory Neurotransmitter Transporter GLT1", "type" : "article-journal", "volume" : "61" }, "uris" : [ "http://www.mendeley.com/documents/?uuid=e499d9c4-b41b-36e4-a68d-9a2ebb0f275c" ] } ], "mendeley" : { "formattedCitation" : "(Swanson et al. 1997; Yang et al. 2009)", "plainTextFormattedCitation" : "(Swanson et al. 1997; Yang et al. 2009)", "previouslyFormattedCitation" : "(Swanson et al. 1997; Yang et al. 2009)" }, "properties" : { "noteIndex" : 0 }, "schema" : "https://github.com/citation-style-language/schema/raw/master/csl-citation.json" }</w:instrText>
      </w:r>
      <w:r w:rsidR="009250F1">
        <w:rPr>
          <w:rFonts w:ascii="Times New Roman" w:hAnsi="Times New Roman" w:cs="Times New Roman"/>
        </w:rPr>
        <w:fldChar w:fldCharType="separate"/>
      </w:r>
      <w:r w:rsidR="00C148FC" w:rsidRPr="00C148FC">
        <w:rPr>
          <w:rFonts w:ascii="Times New Roman" w:hAnsi="Times New Roman" w:cs="Times New Roman"/>
          <w:noProof/>
        </w:rPr>
        <w:t>(Swanson et al. 1997; Yang et al. 2009)</w:t>
      </w:r>
      <w:r w:rsidR="009250F1">
        <w:rPr>
          <w:rFonts w:ascii="Times New Roman" w:hAnsi="Times New Roman" w:cs="Times New Roman"/>
        </w:rPr>
        <w:fldChar w:fldCharType="end"/>
      </w:r>
      <w:r w:rsidR="0083521E">
        <w:rPr>
          <w:rFonts w:ascii="Times New Roman" w:hAnsi="Times New Roman" w:cs="Times New Roman"/>
        </w:rPr>
        <w:t xml:space="preserve"> and gap junction proteins connexin 43/30</w:t>
      </w:r>
      <w:r w:rsidR="00D2357B">
        <w:rPr>
          <w:rFonts w:ascii="Times New Roman" w:hAnsi="Times New Roman" w:cs="Times New Roman"/>
        </w:rPr>
        <w:t xml:space="preserve"> </w:t>
      </w:r>
      <w:r w:rsidR="00D2357B">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"10.1002/glia.20698", "ISSN" : "1098-1136", "PMID" : "18512249", "abstract" : "A characteristic feature of astrocytes is their high level of intercellular communication mediated by gap junctions. The two main connexins, Cx30 and Cx43, that form these junctions in astrocytes of adult brain display different developmental and regional expression, with a delayed onset of appearance for Cx30. In primary cultures of astrocytes from newborn cerebral cortex, while Cx43 is abundantly expressed, Cx30 is not detectable. In the present report, Western blot and confocal immunofluorescence analysis performed in astrocyte/neuron cocultures demonstrate that neurons upregulate the expression of Cx43 and induce that of Cx30 in subsets of astrocytes preferentially located in close proximity to neuronal soma. In Cx43 lacking astrocytes cocultured with neurons, the induction of Cx30 allows the restoration of dye coupling within islets of Cx30-positive astrocytes, indicating that intercellular channels formed by Cx30 are functional. The upregulating effect of neurons on the expression of connexins in cortical astrocytes is independent of their electrical activity and requires tight interactions between both cell types. This effect is reversed after neuronal death induced by neurotoxic treatments. Furthermore, excitotoxic treatments triggering neuronal death in vivo lead to a downregulation of both connexins in reactive astrocytes located within the area depleted in neurons. Altogether these observations indicate that the expression of the two main astrocyte connexins is tightly regulated by neurons.", "author" : [ { "dropping-particle" : "", "family" : "Koulakoff", "given" : "Annette", "non-dropping-particle" : "", "parse-names" : false, "suffix" : "" }, { "dropping-particle" : "", "family" : "Ezan", "given" : "Pascal", "non-dropping-particle" : "", "parse-names" : false, "suffix" : "" }, { "dropping-particle" : "", "family" : "Giaume", "given" : "Christian", "non-dropping-particle" : "", "parse-names" : false, "suffix" : "" } ], "container-title" : "Glia", "id" : "ITEM-1", "issue" : "12", "issued" : { "date-parts" : [ [ "2008", "9" ] ] }, "page" : "1299-311", "title" : "Neurons control the expression of connexin 30 and connexin 43 in mouse cortical astrocytes.", "type" : "article-journal", "volume" : "56" }, "uris" : [ "http://www.mendeley.com/documents/?uuid=4f13de19-b758-4425-9d6f-815df79fb4ee" ] }, { "id" : "ITEM-2", "itemData" : { "DOI" : "10.1083/jcb.149.7.1513", "ISSN" : "0021-9525", "author" : [ { "dropping-particle" : "", "family" : "Rouach", "given" : "Nathalie", "non-dropping-particle" : "", "parse-names" : false, "suffix" : "" }, { "dropping-particle" : "", "family" : "Glowinski", "given" : "Jacques", "non-dropping-particle" : "", "parse-names" : false, "suffix" : "" }, { "dropping-particle" : "", "family" : "Giaume", "given" : "Christian", "non-dropping-particle" : "", "parse-names" : false, "suffix" : "" } ], "container-title" : "The Journal of Cell Biology", "id" : "ITEM-2", "issue" : "7", "issued" : { "date-parts" : [ [ "2000", "6", "26" ] ] }, "page" : "1513-1526", "publisher" : "Rockefeller University Press", "title" : "Activity-Dependent Neuronal Control of Gap-Junctional Communication in Astrocytes", "type" : "article-journal", "volume" : "149" }, "uris" : [ "http://www.mendeley.com/documents/?uuid=0e33d0bf-8998-3c34-b578-623168965f92" ] } ], "mendeley" : { "formattedCitation" : "(Koulakoff et al. 2008; Rouach et al. 2000)", "plainTextFormattedCitation" : "(Koulakoff et al. 2008; Rouach et al. 2000)", "previouslyFormattedCitation" : "(Koulakoff et al. 2008; Rouach et al. 2000)" }, "properties" : { "noteIndex" : 0 }, "schema" : "https://github.com/citation-style-language/schema/raw/master/csl-citation.json" }</w:instrText>
      </w:r>
      <w:r w:rsidR="00D2357B">
        <w:rPr>
          <w:rFonts w:ascii="Times New Roman" w:hAnsi="Times New Roman" w:cs="Times New Roman"/>
        </w:rPr>
        <w:fldChar w:fldCharType="separate"/>
      </w:r>
      <w:r w:rsidR="00C148FC" w:rsidRPr="00C148FC">
        <w:rPr>
          <w:rFonts w:ascii="Times New Roman" w:hAnsi="Times New Roman" w:cs="Times New Roman"/>
          <w:noProof/>
        </w:rPr>
        <w:t>(Koulakoff et al. 2008; Rouach et al. 2000)</w:t>
      </w:r>
      <w:r w:rsidR="00D2357B">
        <w:rPr>
          <w:rFonts w:ascii="Times New Roman" w:hAnsi="Times New Roman" w:cs="Times New Roman"/>
        </w:rPr>
        <w:fldChar w:fldCharType="end"/>
      </w:r>
      <w:r w:rsidR="00AD152F">
        <w:rPr>
          <w:rFonts w:ascii="Times New Roman" w:hAnsi="Times New Roman" w:cs="Times New Roman"/>
        </w:rPr>
        <w:t xml:space="preserve">. In addition, transcriptome analysis of </w:t>
      </w:r>
      <w:r w:rsidR="00993D70">
        <w:rPr>
          <w:rFonts w:ascii="Times New Roman" w:hAnsi="Times New Roman" w:cs="Times New Roman"/>
        </w:rPr>
        <w:t>mono-</w:t>
      </w:r>
      <w:r w:rsidR="00AD152F">
        <w:rPr>
          <w:rFonts w:ascii="Times New Roman" w:hAnsi="Times New Roman" w:cs="Times New Roman"/>
        </w:rPr>
        <w:t xml:space="preserve">cultured astrocytes </w:t>
      </w:r>
      <w:r w:rsidR="00330334">
        <w:rPr>
          <w:rFonts w:ascii="Times New Roman" w:hAnsi="Times New Roman" w:cs="Times New Roman"/>
        </w:rPr>
        <w:t>is</w:t>
      </w:r>
      <w:r w:rsidR="00AD152F">
        <w:rPr>
          <w:rFonts w:ascii="Times New Roman" w:hAnsi="Times New Roman" w:cs="Times New Roman"/>
        </w:rPr>
        <w:t xml:space="preserve"> similar to </w:t>
      </w:r>
      <w:r w:rsidR="00330334">
        <w:rPr>
          <w:rFonts w:ascii="Times New Roman" w:hAnsi="Times New Roman" w:cs="Times New Roman"/>
        </w:rPr>
        <w:t>the gene</w:t>
      </w:r>
      <w:r w:rsidR="00FD7464">
        <w:rPr>
          <w:rFonts w:ascii="Times New Roman" w:hAnsi="Times New Roman" w:cs="Times New Roman"/>
        </w:rPr>
        <w:t xml:space="preserve"> expression</w:t>
      </w:r>
      <w:r w:rsidR="00330334">
        <w:rPr>
          <w:rFonts w:ascii="Times New Roman" w:hAnsi="Times New Roman" w:cs="Times New Roman"/>
        </w:rPr>
        <w:t xml:space="preserve"> profile of </w:t>
      </w:r>
      <w:r w:rsidR="00AD152F">
        <w:rPr>
          <w:rFonts w:ascii="Times New Roman" w:hAnsi="Times New Roman" w:cs="Times New Roman"/>
        </w:rPr>
        <w:t>immature</w:t>
      </w:r>
      <w:r w:rsidR="00330334">
        <w:rPr>
          <w:rFonts w:ascii="Times New Roman" w:hAnsi="Times New Roman" w:cs="Times New Roman"/>
        </w:rPr>
        <w:t xml:space="preserve"> astrocytes </w:t>
      </w:r>
      <w:r w:rsidR="00330334">
        <w:rPr>
          <w:rFonts w:ascii="Times New Roman" w:hAnsi="Times New Roman" w:cs="Times New Roman"/>
          <w:i/>
        </w:rPr>
        <w:t xml:space="preserve">in vivo </w:t>
      </w:r>
      <w:r w:rsidR="00D2357B">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"10.1523/JNEUROSCI.4178-07.2008", "ISSN" : "1529-2401", "PMID" : "18171944", "abstract" : "Understanding the cell-cell interactions that control CNS development and function has long been limited by the lack of methods to cleanly separate neural cell types. Here we describe methods for the prospective isolation and purification of astrocytes, neurons, and oligodendrocytes from developing and mature mouse forebrain. We used FACS (fluorescent-activated cell sorting) to isolate astrocytes from transgenic mice that express enhanced green fluorescent protein (EGFP) under the control of an S100beta promoter. Using Affymetrix GeneChip Arrays, we then created a transcriptome database of the expression levels of &gt;20,000 genes by gene profiling these three main CNS neural cell types at various postnatal ages between postnatal day 1 (P1) and P30. This database provides a detailed global characterization and comparison of the genes expressed by acutely isolated astrocytes, neurons, and oligodendrocytes. We found that Aldh1L1 is a highly specific antigenic marker for astrocytes with a substantially broader pattern of astrocyte expression than the traditional astrocyte marker GFAP. Astrocytes were enriched in specific metabolic and lipid synthetic pathways, as well as the draper/Megf10 and Mertk/integrin alpha(v)beta5 phagocytic pathways suggesting that astrocytes are professional phagocytes. Our findings call into question the concept of a \"glial\" cell class as the gene profiles of astrocytes and oligodendrocytes are as dissimilar to each other as they are to neurons. This transcriptome database of acutely isolated purified astrocytes, neurons, and oligodendrocytes provides a resource to the neuroscience community by providing improved cell-type-specific markers and for better understanding of neural development, function, and disease.", "author" : [ { "dropping-particle" : "", "family" : "Cahoy", "given" : "John D", "non-dropping-particle" : "", "parse-names" : false, "suffix" : "" }, { "dropping-particle" : "", "family" : "Emery", "given" : "Ben", "non-dropping-particle" : "", "parse-names" : false, "suffix" : "" }, { "dropping-particle" : "", "family" : "Kaushal", "given" : "Amit", "non-dropping-particle" : "", "parse-names" : false, "suffix" : "" }, { "dropping-particle" : "", "family" : "Foo", "given" : "Lynette C", "non-dropping-particle" : "", "parse-names" : false, "suffix" : "" }, { "dropping-particle" : "", "family" : "Zamanian", "given" : "Jennifer L", "non-dropping-particle" : "", "parse-names" : false, "suffix" : "" }, { "dropping-particle" : "", "family" : "Christopherson", "given" : "Karen S", "non-dropping-particle" : "", "parse-names" : false, "suffix" : "" }, { "dropping-particle" : "", "family" : "Xing", "given" : "Yi", "non-dropping-particle" : "", "parse-names" : false, "suffix" : "" }, { "dropping-particle" : "", "family" : "Lubischer", "given" : "Jane L", "non-dropping-particle" : "", "parse-names" : false, "suffix" : "" }, { "dropping-particle" : "", "family" : "Krieg", "given" : "Paul A", "non-dropping-particle" : "", "parse-names" : false, "suffix" : "" }, { "dropping-particle" : "", "family" : "Krupenko", "given" : "Sergey A", "non-dropping-particle" : "", "parse-names" : false, "suffix" : "" }, { "dropping-particle" : "", "family" : "Thompson", "given" : "Wesley J", "non-dropping-particle" : "", "parse-names" : false, "suffix" : "" }, { "dropping-particle" : "", "family" : "Barres", "given" : "Ben A", "non-dropping-particle" : "", "parse-names" : false, "suffix" : "" } ], "container-title" : "The Journal of neuroscience : the official journal of the Society for Neuroscience", "id" : "ITEM-1", "issue" : "1", "issued" : { "date-parts" : [ [ "2008", "1", "2" ] ] }, "page" : "264-78", "title" : "A transcriptome database for astrocytes, neurons, and oligodendrocytes: a new resource for understanding brain development and function.", "type" : "article-journal", "volume" : "28" }, "uris" : [ "http://www.mendeley.com/documents/?uuid=7a9c84bd-d270-47af-b641-1de83216ca39" ] } ], "mendeley" : { "formattedCitation" : "(Cahoy et al. 2008)", "plainTextFormattedCitation" : "(Cahoy et al. 2008)", "previouslyFormattedCitation" : "(Cahoy et al. 2008)" }, "properties" : { "noteIndex" : 0 }, "schema" : "https://github.com/citation-style-language/schema/raw/master/csl-citation.json" }</w:instrText>
      </w:r>
      <w:r w:rsidR="00D2357B">
        <w:rPr>
          <w:rFonts w:ascii="Times New Roman" w:hAnsi="Times New Roman" w:cs="Times New Roman"/>
        </w:rPr>
        <w:fldChar w:fldCharType="separate"/>
      </w:r>
      <w:r w:rsidR="00C148FC" w:rsidRPr="00C148FC">
        <w:rPr>
          <w:rFonts w:ascii="Times New Roman" w:hAnsi="Times New Roman" w:cs="Times New Roman"/>
          <w:noProof/>
        </w:rPr>
        <w:t>(Cahoy et al. 2008)</w:t>
      </w:r>
      <w:r w:rsidR="00D2357B">
        <w:rPr>
          <w:rFonts w:ascii="Times New Roman" w:hAnsi="Times New Roman" w:cs="Times New Roman"/>
        </w:rPr>
        <w:fldChar w:fldCharType="end"/>
      </w:r>
      <w:r w:rsidR="00D2357B">
        <w:rPr>
          <w:rFonts w:ascii="Times New Roman" w:hAnsi="Times New Roman" w:cs="Times New Roman"/>
        </w:rPr>
        <w:t xml:space="preserve">. </w:t>
      </w:r>
      <w:r w:rsidR="002C2870">
        <w:rPr>
          <w:rFonts w:ascii="Times New Roman" w:hAnsi="Times New Roman" w:cs="Times New Roman"/>
        </w:rPr>
        <w:t xml:space="preserve">Separation of astrocytes from astrocyte-neuron co-cultures also revealed different transcriptomic profiles compared with astrocytes cultured alone </w:t>
      </w:r>
      <w:r w:rsidR="002C287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"10.3389/fncel.2014.00012", "ISSN" : "1662-5102", "PMID" : "24523672", "abstract" : "Over the last decade, the importance of astrocyte-neuron communication in neuronal development and synaptic plasticity has become increasingly clear. Since neuron-astrocyte interactions represent highly dynamic and reciprocal processes, we hypothesized that many astrocyte genes may be regulated as a consequence of their interactions with maturing neurons. In order to identify such neuron-responsive astrocyte genes in vitro, we sought to establish an expedited technique for separation of neurons from co-cultured astrocytes. Our newly established method makes use of cold jet, which exploits different adhesion characteristics of subpopulations of cells (Jirsova etal., 1997), and is rapid, performed under ice-cold conditions and avoids protease-mediated isolation of astrocytes or time-consuming centrifugation, yielding intact astrocyte mRNA with approximately 90% of neuronal RNA removed. Using this purification method, we executed genome-wide profiling in which RNA derived from astrocyte-only cultures was compared with astrocyte RNA derived from differentiating neuron-astrocyte co-cultures. Data analysis determined that many astrocytic mRNAs and biological processes are regulated by neuronal interaction. Our results validate the cold jet as an efficient method to separate astrocytes from neurons in co-culture, and reveals that neurons induce robust gene-expression changes in co-cultured astrocytes.", "author" : [ { "dropping-particle" : "", "family" : "Goudriaan", "given" : "Andrea", "non-dropping-particle" : "", "parse-names" : false, "suffix" : "" }, { "dropping-particle" : "", "family" : "Camargo", "given" : "Nutabi", "non-dropping-particle" : "", "parse-names" : false, "suffix" : "" }, { "dropping-particle" : "", "family" : "Carney", "given" : "Karen E", "non-dropping-particle" : "", "parse-names" : false, "suffix" : "" }, { "dropping-particle" : "", "family" : "Oliet", "given" : "St\u00e9phane H R", "non-dropping-particle" : "", "parse-names" : false, "suffix" : "" }, { "dropping-particle" : "", "family" : "Smit", "given" : "August B", "non-dropping-particle" : "", "parse-names" : false, "suffix" : "" }, { "dropping-particle" : "", "family" : "Verheijen", "given" : "Mark H G", "non-dropping-particle" : "", "parse-names" : false, "suffix" : "" } ], "container-title" : "Frontiers in cellular neuroscience", "id" : "ITEM-1", "issued" : { "date-parts" : [ [ "2014", "1", "30" ] ] }, "language" : "English", "page" : "12", "publisher" : "Frontiers", "title" : "Novel cell separation method for molecular analysis of neuron-astrocyte co-cultures.", "type" : "article-journal", "volume" : "8" }, "uris" : [ "http://www.mendeley.com/documents/?uuid=8b0c08f1-fbc3-47dd-ac12-a31970da9103" ] } ], "mendeley" : { "formattedCitation" : "(Goudriaan et al. 2014)", "plainTextFormattedCitation" : "(Goudriaan et al. 2014)", "previouslyFormattedCitation" : "(Goudriaan et al. 2014)" }, "properties" : { "noteIndex" : 0 }, "schema" : "https://github.com/citation-style-language/schema/raw/master/csl-citation.json" }</w:instrText>
      </w:r>
      <w:r w:rsidR="002C2870">
        <w:rPr>
          <w:rFonts w:ascii="Times New Roman" w:hAnsi="Times New Roman" w:cs="Times New Roman"/>
        </w:rPr>
        <w:fldChar w:fldCharType="separate"/>
      </w:r>
      <w:r w:rsidR="00C148FC" w:rsidRPr="00C148FC">
        <w:rPr>
          <w:rFonts w:ascii="Times New Roman" w:hAnsi="Times New Roman" w:cs="Times New Roman"/>
          <w:noProof/>
        </w:rPr>
        <w:t>(Goudriaan et al. 2014)</w:t>
      </w:r>
      <w:r w:rsidR="002C2870">
        <w:rPr>
          <w:rFonts w:ascii="Times New Roman" w:hAnsi="Times New Roman" w:cs="Times New Roman"/>
        </w:rPr>
        <w:fldChar w:fldCharType="end"/>
      </w:r>
      <w:r w:rsidR="002C2870">
        <w:rPr>
          <w:rFonts w:ascii="Times New Roman" w:hAnsi="Times New Roman" w:cs="Times New Roman"/>
        </w:rPr>
        <w:t>.</w:t>
      </w:r>
      <w:r w:rsidR="00330334">
        <w:rPr>
          <w:rFonts w:ascii="Times New Roman" w:hAnsi="Times New Roman" w:cs="Times New Roman"/>
        </w:rPr>
        <w:t xml:space="preserve"> </w:t>
      </w:r>
      <w:r w:rsidR="001922D4">
        <w:rPr>
          <w:rFonts w:ascii="Times New Roman" w:hAnsi="Times New Roman" w:cs="Times New Roman"/>
        </w:rPr>
        <w:t>Taken together,</w:t>
      </w:r>
      <w:r w:rsidR="00330334">
        <w:rPr>
          <w:rFonts w:ascii="Times New Roman" w:hAnsi="Times New Roman" w:cs="Times New Roman"/>
        </w:rPr>
        <w:t xml:space="preserve"> this suggests a strong neuron-dependent induction of astroglial genes in cultured astrocytes, possibly through </w:t>
      </w:r>
      <w:r w:rsidR="001922D4">
        <w:rPr>
          <w:rFonts w:ascii="Times New Roman" w:hAnsi="Times New Roman" w:cs="Times New Roman"/>
        </w:rPr>
        <w:t>contacts made with neuronal receptors or neurotransmitters that induce a signalling response in the astrocyte</w:t>
      </w:r>
      <w:r w:rsidR="00330334">
        <w:rPr>
          <w:rFonts w:ascii="Times New Roman" w:hAnsi="Times New Roman" w:cs="Times New Roman"/>
        </w:rPr>
        <w:t xml:space="preserve">. </w:t>
      </w:r>
      <w:r w:rsidR="007C242F">
        <w:rPr>
          <w:rFonts w:ascii="Times New Roman" w:hAnsi="Times New Roman" w:cs="Times New Roman"/>
        </w:rPr>
        <w:t xml:space="preserve">Therefore, </w:t>
      </w:r>
      <w:r w:rsidR="00DC5F54">
        <w:rPr>
          <w:rFonts w:ascii="Times New Roman" w:hAnsi="Times New Roman" w:cs="Times New Roman"/>
        </w:rPr>
        <w:t xml:space="preserve">functional changes in </w:t>
      </w:r>
      <w:r w:rsidR="007C242F">
        <w:rPr>
          <w:rFonts w:ascii="Times New Roman" w:hAnsi="Times New Roman" w:cs="Times New Roman"/>
        </w:rPr>
        <w:t>astrocytes following a</w:t>
      </w:r>
      <w:r w:rsidR="00DC5F54">
        <w:rPr>
          <w:rFonts w:ascii="Times New Roman" w:hAnsi="Times New Roman" w:cs="Times New Roman"/>
        </w:rPr>
        <w:t xml:space="preserve"> disease or </w:t>
      </w:r>
      <w:r w:rsidR="00514789">
        <w:rPr>
          <w:rFonts w:ascii="Times New Roman" w:hAnsi="Times New Roman" w:cs="Times New Roman"/>
        </w:rPr>
        <w:t xml:space="preserve">age-related alteration </w:t>
      </w:r>
      <w:r w:rsidR="00DC5F54">
        <w:rPr>
          <w:rFonts w:ascii="Times New Roman" w:hAnsi="Times New Roman" w:cs="Times New Roman"/>
        </w:rPr>
        <w:t>(</w:t>
      </w:r>
      <w:r w:rsidR="00514789">
        <w:rPr>
          <w:rFonts w:ascii="Times New Roman" w:hAnsi="Times New Roman" w:cs="Times New Roman"/>
        </w:rPr>
        <w:t xml:space="preserve">such as </w:t>
      </w:r>
      <w:r w:rsidR="00DC5F54">
        <w:rPr>
          <w:rFonts w:ascii="Times New Roman" w:hAnsi="Times New Roman" w:cs="Times New Roman"/>
        </w:rPr>
        <w:t>impaired IGF1 signalling)</w:t>
      </w:r>
      <w:r w:rsidR="00514789">
        <w:rPr>
          <w:rFonts w:ascii="Times New Roman" w:hAnsi="Times New Roman" w:cs="Times New Roman"/>
        </w:rPr>
        <w:t>,</w:t>
      </w:r>
      <w:r w:rsidR="007C242F">
        <w:rPr>
          <w:rFonts w:ascii="Times New Roman" w:hAnsi="Times New Roman" w:cs="Times New Roman"/>
        </w:rPr>
        <w:t xml:space="preserve"> </w:t>
      </w:r>
      <w:r w:rsidR="00DC5F54">
        <w:rPr>
          <w:rFonts w:ascii="Times New Roman" w:hAnsi="Times New Roman" w:cs="Times New Roman"/>
        </w:rPr>
        <w:t>may only become apparent when</w:t>
      </w:r>
      <w:r w:rsidR="007C242F">
        <w:rPr>
          <w:rFonts w:ascii="Times New Roman" w:hAnsi="Times New Roman" w:cs="Times New Roman"/>
        </w:rPr>
        <w:t xml:space="preserve"> astrocytes </w:t>
      </w:r>
      <w:r w:rsidR="00DC5F54">
        <w:rPr>
          <w:rFonts w:ascii="Times New Roman" w:hAnsi="Times New Roman" w:cs="Times New Roman"/>
        </w:rPr>
        <w:t xml:space="preserve">are </w:t>
      </w:r>
      <w:r w:rsidR="00F33B1D">
        <w:rPr>
          <w:rFonts w:ascii="Times New Roman" w:hAnsi="Times New Roman" w:cs="Times New Roman"/>
        </w:rPr>
        <w:t>co-cultured with neurons</w:t>
      </w:r>
      <w:r w:rsidR="00DC5F54">
        <w:rPr>
          <w:rFonts w:ascii="Times New Roman" w:hAnsi="Times New Roman" w:cs="Times New Roman"/>
        </w:rPr>
        <w:t xml:space="preserve"> since they are more functionally mature</w:t>
      </w:r>
      <w:r w:rsidR="00F33B1D">
        <w:rPr>
          <w:rFonts w:ascii="Times New Roman" w:hAnsi="Times New Roman" w:cs="Times New Roman"/>
        </w:rPr>
        <w:t xml:space="preserve">. </w:t>
      </w:r>
      <w:r w:rsidR="00514789">
        <w:rPr>
          <w:rFonts w:ascii="Times New Roman" w:hAnsi="Times New Roman" w:cs="Times New Roman"/>
        </w:rPr>
        <w:t>Furthermore, neuronal survival critically depends on</w:t>
      </w:r>
      <w:r w:rsidR="00AF3FF7">
        <w:rPr>
          <w:rFonts w:ascii="Times New Roman" w:hAnsi="Times New Roman" w:cs="Times New Roman"/>
        </w:rPr>
        <w:t xml:space="preserve"> </w:t>
      </w:r>
      <w:r w:rsidR="00514789">
        <w:rPr>
          <w:rFonts w:ascii="Times New Roman" w:hAnsi="Times New Roman" w:cs="Times New Roman"/>
        </w:rPr>
        <w:t>the astrocytes ability to maintain</w:t>
      </w:r>
      <w:r w:rsidR="00AF3FF7">
        <w:rPr>
          <w:rFonts w:ascii="Times New Roman" w:hAnsi="Times New Roman" w:cs="Times New Roman"/>
        </w:rPr>
        <w:t xml:space="preserve"> homeostasis, </w:t>
      </w:r>
      <w:r w:rsidR="00514789">
        <w:rPr>
          <w:rFonts w:ascii="Times New Roman" w:hAnsi="Times New Roman" w:cs="Times New Roman"/>
        </w:rPr>
        <w:t xml:space="preserve">offer </w:t>
      </w:r>
      <w:r w:rsidR="00193BF4">
        <w:rPr>
          <w:rFonts w:ascii="Times New Roman" w:hAnsi="Times New Roman" w:cs="Times New Roman"/>
        </w:rPr>
        <w:t xml:space="preserve">metabolic support and </w:t>
      </w:r>
      <w:r w:rsidR="001922D4">
        <w:rPr>
          <w:rFonts w:ascii="Times New Roman" w:hAnsi="Times New Roman" w:cs="Times New Roman"/>
        </w:rPr>
        <w:t>operate antioxidant</w:t>
      </w:r>
      <w:r w:rsidR="00514789">
        <w:rPr>
          <w:rFonts w:ascii="Times New Roman" w:hAnsi="Times New Roman" w:cs="Times New Roman"/>
        </w:rPr>
        <w:t xml:space="preserve"> defence </w:t>
      </w:r>
      <w:r w:rsidR="00DD767E">
        <w:rPr>
          <w:rFonts w:ascii="Times New Roman" w:hAnsi="Times New Roman" w:cs="Times New Roman"/>
        </w:rPr>
        <w:t xml:space="preserve">mechanisms necessary to </w:t>
      </w:r>
      <w:r w:rsidR="00514789">
        <w:rPr>
          <w:rFonts w:ascii="Times New Roman" w:hAnsi="Times New Roman" w:cs="Times New Roman"/>
        </w:rPr>
        <w:t xml:space="preserve">protect </w:t>
      </w:r>
      <w:r w:rsidR="00DD767E">
        <w:rPr>
          <w:rFonts w:ascii="Times New Roman" w:hAnsi="Times New Roman" w:cs="Times New Roman"/>
        </w:rPr>
        <w:t xml:space="preserve">the neurons </w:t>
      </w:r>
      <w:r w:rsidR="00AF3FF7">
        <w:rPr>
          <w:rFonts w:ascii="Times New Roman" w:hAnsi="Times New Roman" w:cs="Times New Roman"/>
        </w:rPr>
        <w:t>against insult</w:t>
      </w:r>
      <w:r w:rsidR="00193BF4">
        <w:rPr>
          <w:rFonts w:ascii="Times New Roman" w:hAnsi="Times New Roman" w:cs="Times New Roman"/>
        </w:rPr>
        <w:t>.</w:t>
      </w:r>
      <w:r w:rsidR="00636278">
        <w:rPr>
          <w:rFonts w:ascii="Times New Roman" w:hAnsi="Times New Roman" w:cs="Times New Roman"/>
        </w:rPr>
        <w:t xml:space="preserve"> Th</w:t>
      </w:r>
      <w:r w:rsidR="003A7624">
        <w:rPr>
          <w:rFonts w:ascii="Times New Roman" w:hAnsi="Times New Roman" w:cs="Times New Roman"/>
        </w:rPr>
        <w:t>us</w:t>
      </w:r>
      <w:r w:rsidR="00636278">
        <w:rPr>
          <w:rFonts w:ascii="Times New Roman" w:hAnsi="Times New Roman" w:cs="Times New Roman"/>
        </w:rPr>
        <w:t xml:space="preserve">, </w:t>
      </w:r>
      <w:r w:rsidR="0086131E">
        <w:rPr>
          <w:rFonts w:ascii="Times New Roman" w:hAnsi="Times New Roman" w:cs="Times New Roman"/>
        </w:rPr>
        <w:t>by establishing a human astrocyte-neuronal co-culture</w:t>
      </w:r>
      <w:r w:rsidR="007C242F">
        <w:rPr>
          <w:rFonts w:ascii="Times New Roman" w:hAnsi="Times New Roman" w:cs="Times New Roman"/>
        </w:rPr>
        <w:t xml:space="preserve">, </w:t>
      </w:r>
      <w:r w:rsidR="00636278">
        <w:rPr>
          <w:rFonts w:ascii="Times New Roman" w:hAnsi="Times New Roman" w:cs="Times New Roman"/>
        </w:rPr>
        <w:t xml:space="preserve">the neurons can be used </w:t>
      </w:r>
      <w:r w:rsidR="001922D4">
        <w:rPr>
          <w:rFonts w:ascii="Times New Roman" w:hAnsi="Times New Roman" w:cs="Times New Roman"/>
        </w:rPr>
        <w:t xml:space="preserve">both </w:t>
      </w:r>
      <w:r w:rsidR="008F5FC8">
        <w:rPr>
          <w:rFonts w:ascii="Times New Roman" w:hAnsi="Times New Roman" w:cs="Times New Roman"/>
        </w:rPr>
        <w:t>as a tool to</w:t>
      </w:r>
      <w:r w:rsidR="003A7624">
        <w:rPr>
          <w:rFonts w:ascii="Times New Roman" w:hAnsi="Times New Roman" w:cs="Times New Roman"/>
        </w:rPr>
        <w:t xml:space="preserve"> encourage astrocyte maturation and </w:t>
      </w:r>
      <w:r w:rsidR="001922D4">
        <w:rPr>
          <w:rFonts w:ascii="Times New Roman" w:hAnsi="Times New Roman" w:cs="Times New Roman"/>
        </w:rPr>
        <w:t>a</w:t>
      </w:r>
      <w:r w:rsidR="008F5FC8">
        <w:rPr>
          <w:rFonts w:ascii="Times New Roman" w:hAnsi="Times New Roman" w:cs="Times New Roman"/>
        </w:rPr>
        <w:t>s a</w:t>
      </w:r>
      <w:r w:rsidR="001922D4">
        <w:rPr>
          <w:rFonts w:ascii="Times New Roman" w:hAnsi="Times New Roman" w:cs="Times New Roman"/>
        </w:rPr>
        <w:t xml:space="preserve"> measure of </w:t>
      </w:r>
      <w:r w:rsidR="00636278">
        <w:rPr>
          <w:rFonts w:ascii="Times New Roman" w:hAnsi="Times New Roman" w:cs="Times New Roman"/>
        </w:rPr>
        <w:t xml:space="preserve">astrocyte health. </w:t>
      </w:r>
    </w:p>
    <w:p w14:paraId="5E99FBFC" w14:textId="77777777" w:rsidR="00086871" w:rsidRDefault="002C306D" w:rsidP="00C63BC1">
      <w:pPr>
        <w:spacing w:line="360" w:lineRule="auto"/>
        <w:jc w:val="both"/>
        <w:rPr>
          <w:rFonts w:ascii="Times New Roman" w:hAnsi="Times New Roman" w:cs="Times New Roman"/>
        </w:rPr>
      </w:pPr>
      <w:r>
        <w:rPr>
          <w:rFonts w:ascii="Times New Roman" w:hAnsi="Times New Roman" w:cs="Times New Roman"/>
        </w:rPr>
        <w:t xml:space="preserve">     </w:t>
      </w:r>
    </w:p>
    <w:p w14:paraId="53E5CB65" w14:textId="1F0A2808" w:rsidR="00D7037F" w:rsidRDefault="001922D4" w:rsidP="00C63BC1">
      <w:pPr>
        <w:spacing w:line="360" w:lineRule="auto"/>
        <w:jc w:val="both"/>
        <w:rPr>
          <w:rFonts w:ascii="Times New Roman" w:hAnsi="Times New Roman" w:cs="Times New Roman"/>
        </w:rPr>
      </w:pPr>
      <w:r>
        <w:rPr>
          <w:rFonts w:ascii="Times New Roman" w:hAnsi="Times New Roman" w:cs="Times New Roman"/>
        </w:rPr>
        <w:t>To date, a</w:t>
      </w:r>
      <w:r w:rsidR="00082BFE">
        <w:rPr>
          <w:rFonts w:ascii="Times New Roman" w:hAnsi="Times New Roman" w:cs="Times New Roman"/>
        </w:rPr>
        <w:t xml:space="preserve"> significant amount of astrocyte neuronal co-culture work has been conducted using rodent cells</w:t>
      </w:r>
      <w:r>
        <w:rPr>
          <w:rFonts w:ascii="Times New Roman" w:hAnsi="Times New Roman" w:cs="Times New Roman"/>
        </w:rPr>
        <w:t>, which</w:t>
      </w:r>
      <w:r w:rsidR="00A75297">
        <w:rPr>
          <w:rFonts w:ascii="Times New Roman" w:hAnsi="Times New Roman" w:cs="Times New Roman"/>
        </w:rPr>
        <w:t xml:space="preserve"> has been important in understanding the</w:t>
      </w:r>
      <w:r w:rsidR="003C1118">
        <w:rPr>
          <w:rFonts w:ascii="Times New Roman" w:hAnsi="Times New Roman" w:cs="Times New Roman"/>
        </w:rPr>
        <w:t xml:space="preserve"> fundamental</w:t>
      </w:r>
      <w:r w:rsidR="00CC1C2D">
        <w:rPr>
          <w:rFonts w:ascii="Times New Roman" w:hAnsi="Times New Roman" w:cs="Times New Roman"/>
        </w:rPr>
        <w:t xml:space="preserve"> </w:t>
      </w:r>
      <w:r w:rsidR="00A75297">
        <w:rPr>
          <w:rFonts w:ascii="Times New Roman" w:hAnsi="Times New Roman" w:cs="Times New Roman"/>
        </w:rPr>
        <w:t>rela</w:t>
      </w:r>
      <w:r w:rsidR="00CC1C2D">
        <w:rPr>
          <w:rFonts w:ascii="Times New Roman" w:hAnsi="Times New Roman" w:cs="Times New Roman"/>
        </w:rPr>
        <w:t>tionship between these two cell types</w:t>
      </w:r>
      <w:r w:rsidR="00A75297">
        <w:rPr>
          <w:rFonts w:ascii="Times New Roman" w:hAnsi="Times New Roman" w:cs="Times New Roman"/>
        </w:rPr>
        <w:t>. However in order to</w:t>
      </w:r>
      <w:r>
        <w:rPr>
          <w:rFonts w:ascii="Times New Roman" w:hAnsi="Times New Roman" w:cs="Times New Roman"/>
        </w:rPr>
        <w:t xml:space="preserve"> investigate particular mechanisms and</w:t>
      </w:r>
      <w:r w:rsidR="00A75297">
        <w:rPr>
          <w:rFonts w:ascii="Times New Roman" w:hAnsi="Times New Roman" w:cs="Times New Roman"/>
        </w:rPr>
        <w:t xml:space="preserve"> extrapolate</w:t>
      </w:r>
      <w:r>
        <w:rPr>
          <w:rFonts w:ascii="Times New Roman" w:hAnsi="Times New Roman" w:cs="Times New Roman"/>
        </w:rPr>
        <w:t xml:space="preserve"> these</w:t>
      </w:r>
      <w:r w:rsidR="00A75297">
        <w:rPr>
          <w:rFonts w:ascii="Times New Roman" w:hAnsi="Times New Roman" w:cs="Times New Roman"/>
        </w:rPr>
        <w:t xml:space="preserve"> back </w:t>
      </w:r>
      <w:r>
        <w:rPr>
          <w:rFonts w:ascii="Times New Roman" w:hAnsi="Times New Roman" w:cs="Times New Roman"/>
        </w:rPr>
        <w:t xml:space="preserve">into a human disease context it is necessary to conduct </w:t>
      </w:r>
      <w:r w:rsidR="00A75297">
        <w:rPr>
          <w:rFonts w:ascii="Times New Roman" w:hAnsi="Times New Roman" w:cs="Times New Roman"/>
          <w:i/>
        </w:rPr>
        <w:t>in vitro</w:t>
      </w:r>
      <w:r w:rsidR="00A75297">
        <w:rPr>
          <w:rFonts w:ascii="Times New Roman" w:hAnsi="Times New Roman" w:cs="Times New Roman"/>
        </w:rPr>
        <w:t xml:space="preserve"> studies with human </w:t>
      </w:r>
      <w:r w:rsidR="008F5FC8">
        <w:rPr>
          <w:rFonts w:ascii="Times New Roman" w:hAnsi="Times New Roman" w:cs="Times New Roman"/>
        </w:rPr>
        <w:t>astrocytes and neurons</w:t>
      </w:r>
      <w:r w:rsidR="00A75297">
        <w:rPr>
          <w:rFonts w:ascii="Times New Roman" w:hAnsi="Times New Roman" w:cs="Times New Roman"/>
        </w:rPr>
        <w:t xml:space="preserve">. </w:t>
      </w:r>
      <w:r w:rsidR="00CC5858">
        <w:rPr>
          <w:rFonts w:ascii="Times New Roman" w:hAnsi="Times New Roman" w:cs="Times New Roman"/>
        </w:rPr>
        <w:t xml:space="preserve">The </w:t>
      </w:r>
      <w:r w:rsidR="00201C59">
        <w:rPr>
          <w:rFonts w:ascii="Times New Roman" w:hAnsi="Times New Roman" w:cs="Times New Roman"/>
        </w:rPr>
        <w:t>current human astrocyte-neuron</w:t>
      </w:r>
      <w:r w:rsidR="00CC5858">
        <w:rPr>
          <w:rFonts w:ascii="Times New Roman" w:hAnsi="Times New Roman" w:cs="Times New Roman"/>
        </w:rPr>
        <w:t xml:space="preserve"> co-culture</w:t>
      </w:r>
      <w:r w:rsidR="00F81F9E">
        <w:rPr>
          <w:rFonts w:ascii="Times New Roman" w:hAnsi="Times New Roman" w:cs="Times New Roman"/>
        </w:rPr>
        <w:t xml:space="preserve"> model</w:t>
      </w:r>
      <w:r w:rsidR="00CC5858">
        <w:rPr>
          <w:rFonts w:ascii="Times New Roman" w:hAnsi="Times New Roman" w:cs="Times New Roman"/>
        </w:rPr>
        <w:t>s that have been establi</w:t>
      </w:r>
      <w:r w:rsidR="00CE4D9D">
        <w:rPr>
          <w:rFonts w:ascii="Times New Roman" w:hAnsi="Times New Roman" w:cs="Times New Roman"/>
        </w:rPr>
        <w:t xml:space="preserve">shed use </w:t>
      </w:r>
      <w:r w:rsidR="00CC5858">
        <w:rPr>
          <w:rFonts w:ascii="Times New Roman" w:hAnsi="Times New Roman" w:cs="Times New Roman"/>
        </w:rPr>
        <w:t>human</w:t>
      </w:r>
      <w:r w:rsidR="00CE4D9D">
        <w:rPr>
          <w:rFonts w:ascii="Times New Roman" w:hAnsi="Times New Roman" w:cs="Times New Roman"/>
        </w:rPr>
        <w:t xml:space="preserve"> stem cell derived co-cultures.</w:t>
      </w:r>
      <w:r w:rsidR="008261AC">
        <w:rPr>
          <w:rFonts w:ascii="Times New Roman" w:hAnsi="Times New Roman" w:cs="Times New Roman"/>
        </w:rPr>
        <w:t xml:space="preserve"> One such stem cell line is NT2 (NTERA-2), which is a human germ cell carcinoma capable of being differentiated into NT2 neurons and astrocytes following </w:t>
      </w:r>
      <w:r w:rsidR="007C0DEB">
        <w:rPr>
          <w:rFonts w:ascii="Times New Roman" w:hAnsi="Times New Roman" w:cs="Times New Roman"/>
        </w:rPr>
        <w:t xml:space="preserve">prolonged </w:t>
      </w:r>
      <w:r w:rsidR="008261AC">
        <w:rPr>
          <w:rFonts w:ascii="Times New Roman" w:hAnsi="Times New Roman" w:cs="Times New Roman"/>
        </w:rPr>
        <w:t xml:space="preserve">retinoic acid treatment. </w:t>
      </w:r>
      <w:r w:rsidR="000371B1">
        <w:rPr>
          <w:rFonts w:ascii="Times New Roman" w:hAnsi="Times New Roman" w:cs="Times New Roman"/>
        </w:rPr>
        <w:t>This co-culture has been</w:t>
      </w:r>
      <w:r w:rsidR="00AB41C0">
        <w:rPr>
          <w:rFonts w:ascii="Times New Roman" w:hAnsi="Times New Roman" w:cs="Times New Roman"/>
        </w:rPr>
        <w:t xml:space="preserve"> extensively characteris</w:t>
      </w:r>
      <w:r w:rsidR="007C0DEB">
        <w:rPr>
          <w:rFonts w:ascii="Times New Roman" w:hAnsi="Times New Roman" w:cs="Times New Roman"/>
        </w:rPr>
        <w:t xml:space="preserve">ed and there is evidence that </w:t>
      </w:r>
      <w:r w:rsidR="00C7150B">
        <w:rPr>
          <w:rFonts w:ascii="Times New Roman" w:hAnsi="Times New Roman" w:cs="Times New Roman"/>
        </w:rPr>
        <w:t>shows</w:t>
      </w:r>
      <w:r w:rsidR="00D7037F">
        <w:rPr>
          <w:rFonts w:ascii="Times New Roman" w:hAnsi="Times New Roman" w:cs="Times New Roman"/>
        </w:rPr>
        <w:t xml:space="preserve"> communication between </w:t>
      </w:r>
      <w:r w:rsidR="007C0DEB">
        <w:rPr>
          <w:rFonts w:ascii="Times New Roman" w:hAnsi="Times New Roman" w:cs="Times New Roman"/>
        </w:rPr>
        <w:t>astrocytes and neurons in a potentially tripartite manner</w:t>
      </w:r>
      <w:r w:rsidR="00A920A7">
        <w:rPr>
          <w:rFonts w:ascii="Times New Roman" w:hAnsi="Times New Roman" w:cs="Times New Roman"/>
        </w:rPr>
        <w:t xml:space="preserve"> </w:t>
      </w:r>
      <w:r w:rsidR="00A920A7">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"10.1371/journal.pone.0036098", "ISSN" : "1932-6203", "PMID" : "22567128", "abstract" : "A major focus of stem cell research is the generation of neurons that may then be implanted to treat neurodegenerative diseases. However, a picture is emerging where astrocytes are partners to neurons in sustaining and modulating brain function. We therefore investigated the functional properties of NT2 derived astrocytes and neurons using electrophysiological and calcium imaging approaches. NT2 neurons (NT2Ns) expressed sodium dependent action potentials, as well as responses to depolarisation and the neurotransmitter glutamate. NT2Ns exhibited spontaneous and coordinated calcium elevations in clusters and in extended processes, indicating local and long distance signalling. Tetrodotoxin sensitive network activity could also be evoked by electrical stimulation. Similarly, NT2 astrocytes (NT2As) exhibited morphology and functional properties consistent with this glial cell type. NT2As responded to neuronal activity and to exogenously applied neurotransmitters with calcium elevations, and in contrast to neurons, also exhibited spontaneous rhythmic calcium oscillations. NT2As also generated propagating calcium waves that were gap junction and purinergic signalling dependent. Our results show that NT2 derived astrocytes exhibit appropriate functionality and that NT2N networks interact with NT2A networks in co-culture. These findings underline the utility of such cultures to investigate human brain cell type signalling under controlled conditions. Furthermore, since stem cell derived neuron function and survival is of great importance therapeutically, our findings suggest that the presence of complementary astrocytes may be valuable in supporting stem cell derived neuronal networks. Indeed, this also supports the intriguing possibility of selective therapeutic replacement of astrocytes in diseases where these cells are either lost or lose functionality.", "author" : [ { "dropping-particle" : "", "family" : "Hill", "given" : "Eric J", "non-dropping-particle" : "", "parse-names" : false, "suffix" : "" }, { "dropping-particle" : "", "family" : "Jim\u00e9nez-Gonz\u00e1lez", "given" : "Cristina", "non-dropping-particle" : "", "parse-names" : false, "suffix" : "" }, { "dropping-particle" : "", "family" : "Tarczyluk", "given" : "Marta", "non-dropping-particle" : "", "parse-names" : false, "suffix" : "" }, { "dropping-particle" : "", "family" : "Nagel", "given" : "David A", "non-dropping-particle" : "", "parse-names" : false, "suffix" : "" }, { "dropping-particle" : "", "family" : "Coleman", "given" : "Michael D", "non-dropping-particle" : "", "parse-names" : false, "suffix" : "" }, { "dropping-particle" : "", "family" : "Parri", "given" : "H Rheinallt", "non-dropping-particle" : "", "parse-names" : false, "suffix" : "" } ], "container-title" : "PloS one", "id" : "ITEM-1", "issue" : "5", "issued" : { "date-parts" : [ [ "2012", "1", "2" ] ] }, "page" : "e36098", "publisher" : "Public Library of Science", "title" : "NT2 derived neuronal and astrocytic network signalling.", "type" : "article-journal", "volume" : "7" }, "uris" : [ "http://www.mendeley.com/documents/?uuid=9cd64ad7-ad50-4f5b-9564-eadced04a8de" ] } ], "mendeley" : { "formattedCitation" : "(Hill et al. 2012)", "plainTextFormattedCitation" : "(Hill et al. 2012)", "previouslyFormattedCitation" : "(Hill et al. 2012)" }, "properties" : { "noteIndex" : 0 }, "schema" : "https://github.com/citation-style-language/schema/raw/master/csl-citation.json" }</w:instrText>
      </w:r>
      <w:r w:rsidR="00A920A7">
        <w:rPr>
          <w:rFonts w:ascii="Times New Roman" w:hAnsi="Times New Roman" w:cs="Times New Roman"/>
        </w:rPr>
        <w:fldChar w:fldCharType="separate"/>
      </w:r>
      <w:r w:rsidR="00C148FC" w:rsidRPr="00C148FC">
        <w:rPr>
          <w:rFonts w:ascii="Times New Roman" w:hAnsi="Times New Roman" w:cs="Times New Roman"/>
          <w:noProof/>
        </w:rPr>
        <w:t>(Hill et al. 2012)</w:t>
      </w:r>
      <w:r w:rsidR="00A920A7">
        <w:rPr>
          <w:rFonts w:ascii="Times New Roman" w:hAnsi="Times New Roman" w:cs="Times New Roman"/>
        </w:rPr>
        <w:fldChar w:fldCharType="end"/>
      </w:r>
      <w:r w:rsidR="00C7150B">
        <w:rPr>
          <w:rFonts w:ascii="Times New Roman" w:hAnsi="Times New Roman" w:cs="Times New Roman"/>
        </w:rPr>
        <w:t xml:space="preserve"> making it a functional co-culture system to study molecular mechanisms of neurodegeneration</w:t>
      </w:r>
      <w:r w:rsidR="007C0DEB">
        <w:rPr>
          <w:rFonts w:ascii="Times New Roman" w:hAnsi="Times New Roman" w:cs="Times New Roman"/>
        </w:rPr>
        <w:t>.</w:t>
      </w:r>
      <w:r w:rsidR="003F39E0">
        <w:rPr>
          <w:rFonts w:ascii="Times New Roman" w:hAnsi="Times New Roman" w:cs="Times New Roman"/>
        </w:rPr>
        <w:t xml:space="preserve"> </w:t>
      </w:r>
    </w:p>
    <w:p w14:paraId="1A5D7B48" w14:textId="77777777" w:rsidR="00D7037F" w:rsidRDefault="00D7037F" w:rsidP="00C63BC1">
      <w:pPr>
        <w:spacing w:line="360" w:lineRule="auto"/>
        <w:jc w:val="both"/>
        <w:rPr>
          <w:rFonts w:ascii="Times New Roman" w:hAnsi="Times New Roman" w:cs="Times New Roman"/>
        </w:rPr>
      </w:pPr>
      <w:r>
        <w:rPr>
          <w:rFonts w:ascii="Times New Roman" w:hAnsi="Times New Roman" w:cs="Times New Roman"/>
        </w:rPr>
        <w:t xml:space="preserve">  </w:t>
      </w:r>
    </w:p>
    <w:p w14:paraId="607A2693" w14:textId="035CE282" w:rsidR="005F182A" w:rsidRDefault="00CE4D9D" w:rsidP="00C63BC1">
      <w:pPr>
        <w:spacing w:line="360" w:lineRule="auto"/>
        <w:jc w:val="both"/>
        <w:rPr>
          <w:rFonts w:ascii="Times New Roman" w:hAnsi="Times New Roman" w:cs="Times New Roman"/>
        </w:rPr>
      </w:pPr>
      <w:r>
        <w:rPr>
          <w:rFonts w:ascii="Times New Roman" w:hAnsi="Times New Roman" w:cs="Times New Roman"/>
        </w:rPr>
        <w:t>T</w:t>
      </w:r>
      <w:r w:rsidR="00D42329">
        <w:rPr>
          <w:rFonts w:ascii="Times New Roman" w:hAnsi="Times New Roman" w:cs="Times New Roman"/>
        </w:rPr>
        <w:t>he model of IGF1R impairment</w:t>
      </w:r>
      <w:r w:rsidR="009439BE">
        <w:rPr>
          <w:rFonts w:ascii="Times New Roman" w:hAnsi="Times New Roman" w:cs="Times New Roman"/>
        </w:rPr>
        <w:t xml:space="preserve"> </w:t>
      </w:r>
      <w:r w:rsidR="00AB41C0">
        <w:rPr>
          <w:rFonts w:ascii="Times New Roman" w:hAnsi="Times New Roman" w:cs="Times New Roman"/>
        </w:rPr>
        <w:t>established and characteris</w:t>
      </w:r>
      <w:r>
        <w:rPr>
          <w:rFonts w:ascii="Times New Roman" w:hAnsi="Times New Roman" w:cs="Times New Roman"/>
        </w:rPr>
        <w:t>ed in</w:t>
      </w:r>
      <w:r w:rsidR="009439BE">
        <w:rPr>
          <w:rFonts w:ascii="Times New Roman" w:hAnsi="Times New Roman" w:cs="Times New Roman"/>
        </w:rPr>
        <w:t xml:space="preserve"> </w:t>
      </w:r>
      <w:r w:rsidR="00D7037F">
        <w:rPr>
          <w:rFonts w:ascii="Times New Roman" w:hAnsi="Times New Roman" w:cs="Times New Roman"/>
        </w:rPr>
        <w:t>chapter 3</w:t>
      </w:r>
      <w:r w:rsidR="009439BE">
        <w:rPr>
          <w:rFonts w:ascii="Times New Roman" w:hAnsi="Times New Roman" w:cs="Times New Roman"/>
        </w:rPr>
        <w:t>, uses</w:t>
      </w:r>
      <w:r w:rsidR="00201C59">
        <w:rPr>
          <w:rFonts w:ascii="Times New Roman" w:hAnsi="Times New Roman" w:cs="Times New Roman"/>
        </w:rPr>
        <w:t xml:space="preserve"> ScienCell</w:t>
      </w:r>
      <w:r w:rsidR="00DD2495">
        <w:rPr>
          <w:rFonts w:ascii="Times New Roman" w:hAnsi="Times New Roman" w:cs="Times New Roman"/>
        </w:rPr>
        <w:t xml:space="preserve"> </w:t>
      </w:r>
      <w:r w:rsidR="009439BE">
        <w:rPr>
          <w:rFonts w:ascii="Times New Roman" w:hAnsi="Times New Roman" w:cs="Times New Roman"/>
        </w:rPr>
        <w:t xml:space="preserve">human </w:t>
      </w:r>
      <w:r>
        <w:rPr>
          <w:rFonts w:ascii="Times New Roman" w:hAnsi="Times New Roman" w:cs="Times New Roman"/>
        </w:rPr>
        <w:t xml:space="preserve">astrocytes. </w:t>
      </w:r>
      <w:r w:rsidR="003658B2">
        <w:rPr>
          <w:rFonts w:ascii="Times New Roman" w:hAnsi="Times New Roman" w:cs="Times New Roman"/>
        </w:rPr>
        <w:t>At present, there</w:t>
      </w:r>
      <w:r w:rsidR="009439BE">
        <w:rPr>
          <w:rFonts w:ascii="Times New Roman" w:hAnsi="Times New Roman" w:cs="Times New Roman"/>
        </w:rPr>
        <w:t xml:space="preserve"> are no reports of </w:t>
      </w:r>
      <w:r w:rsidR="00F81F9E">
        <w:rPr>
          <w:rFonts w:ascii="Times New Roman" w:hAnsi="Times New Roman" w:cs="Times New Roman"/>
        </w:rPr>
        <w:t>these cells</w:t>
      </w:r>
      <w:r w:rsidR="009439BE">
        <w:rPr>
          <w:rFonts w:ascii="Times New Roman" w:hAnsi="Times New Roman" w:cs="Times New Roman"/>
        </w:rPr>
        <w:t xml:space="preserve"> being co-cultured with</w:t>
      </w:r>
      <w:r w:rsidR="0036506B">
        <w:rPr>
          <w:rFonts w:ascii="Times New Roman" w:hAnsi="Times New Roman" w:cs="Times New Roman"/>
        </w:rPr>
        <w:t xml:space="preserve"> human</w:t>
      </w:r>
      <w:r w:rsidR="009439BE">
        <w:rPr>
          <w:rFonts w:ascii="Times New Roman" w:hAnsi="Times New Roman" w:cs="Times New Roman"/>
        </w:rPr>
        <w:t xml:space="preserve"> neurons. The co-culture model established in this chapter offers a novel system with which to study these astrocytes in a more p</w:t>
      </w:r>
      <w:r w:rsidR="004079AF">
        <w:rPr>
          <w:rFonts w:ascii="Times New Roman" w:hAnsi="Times New Roman" w:cs="Times New Roman"/>
        </w:rPr>
        <w:t>hysiologically relevant context, where the astrocytes are likely to display a broader spectrum of functions.</w:t>
      </w:r>
    </w:p>
    <w:p w14:paraId="71AD2705" w14:textId="560087FA" w:rsidR="002C306D" w:rsidRDefault="005412C2" w:rsidP="00C63BC1">
      <w:pPr>
        <w:spacing w:line="360" w:lineRule="auto"/>
        <w:jc w:val="both"/>
        <w:rPr>
          <w:rFonts w:ascii="Times New Roman" w:hAnsi="Times New Roman" w:cs="Times New Roman"/>
        </w:rPr>
      </w:pPr>
      <w:r>
        <w:rPr>
          <w:rFonts w:ascii="Times New Roman" w:hAnsi="Times New Roman" w:cs="Times New Roman"/>
        </w:rPr>
        <w:t>The neurons chosen f</w:t>
      </w:r>
      <w:r w:rsidR="003C4F55">
        <w:rPr>
          <w:rFonts w:ascii="Times New Roman" w:hAnsi="Times New Roman" w:cs="Times New Roman"/>
        </w:rPr>
        <w:t>o</w:t>
      </w:r>
      <w:r>
        <w:rPr>
          <w:rFonts w:ascii="Times New Roman" w:hAnsi="Times New Roman" w:cs="Times New Roman"/>
        </w:rPr>
        <w:t>r the</w:t>
      </w:r>
      <w:r w:rsidR="003C4F55">
        <w:rPr>
          <w:rFonts w:ascii="Times New Roman" w:hAnsi="Times New Roman" w:cs="Times New Roman"/>
        </w:rPr>
        <w:t xml:space="preserve"> develop</w:t>
      </w:r>
      <w:r>
        <w:rPr>
          <w:rFonts w:ascii="Times New Roman" w:hAnsi="Times New Roman" w:cs="Times New Roman"/>
        </w:rPr>
        <w:t>ment</w:t>
      </w:r>
      <w:r w:rsidR="003C4F55">
        <w:rPr>
          <w:rFonts w:ascii="Times New Roman" w:hAnsi="Times New Roman" w:cs="Times New Roman"/>
        </w:rPr>
        <w:t xml:space="preserve"> </w:t>
      </w:r>
      <w:r>
        <w:rPr>
          <w:rFonts w:ascii="Times New Roman" w:hAnsi="Times New Roman" w:cs="Times New Roman"/>
        </w:rPr>
        <w:t xml:space="preserve">of a </w:t>
      </w:r>
      <w:r w:rsidR="009439BE">
        <w:rPr>
          <w:rFonts w:ascii="Times New Roman" w:hAnsi="Times New Roman" w:cs="Times New Roman"/>
        </w:rPr>
        <w:t>co-culture</w:t>
      </w:r>
      <w:r w:rsidR="003C4F55">
        <w:rPr>
          <w:rFonts w:ascii="Times New Roman" w:hAnsi="Times New Roman" w:cs="Times New Roman"/>
        </w:rPr>
        <w:t xml:space="preserve"> </w:t>
      </w:r>
      <w:r w:rsidR="009439BE">
        <w:rPr>
          <w:rFonts w:ascii="Times New Roman" w:hAnsi="Times New Roman" w:cs="Times New Roman"/>
        </w:rPr>
        <w:t>s</w:t>
      </w:r>
      <w:r w:rsidR="003C4F55">
        <w:rPr>
          <w:rFonts w:ascii="Times New Roman" w:hAnsi="Times New Roman" w:cs="Times New Roman"/>
        </w:rPr>
        <w:t>ystem</w:t>
      </w:r>
      <w:r w:rsidR="009439BE">
        <w:rPr>
          <w:rFonts w:ascii="Times New Roman" w:hAnsi="Times New Roman" w:cs="Times New Roman"/>
        </w:rPr>
        <w:t xml:space="preserve"> are </w:t>
      </w:r>
      <w:r w:rsidR="00825F11">
        <w:rPr>
          <w:rFonts w:ascii="Times New Roman" w:hAnsi="Times New Roman" w:cs="Times New Roman"/>
        </w:rPr>
        <w:t>Lund Human Mesenc</w:t>
      </w:r>
      <w:r w:rsidR="003C5D6F">
        <w:rPr>
          <w:rFonts w:ascii="Times New Roman" w:hAnsi="Times New Roman" w:cs="Times New Roman"/>
        </w:rPr>
        <w:t>ep</w:t>
      </w:r>
      <w:r w:rsidR="00CE4D9D">
        <w:rPr>
          <w:rFonts w:ascii="Times New Roman" w:hAnsi="Times New Roman" w:cs="Times New Roman"/>
        </w:rPr>
        <w:t>h</w:t>
      </w:r>
      <w:r w:rsidR="003C5D6F">
        <w:rPr>
          <w:rFonts w:ascii="Times New Roman" w:hAnsi="Times New Roman" w:cs="Times New Roman"/>
        </w:rPr>
        <w:t>a</w:t>
      </w:r>
      <w:r w:rsidR="00CE4D9D">
        <w:rPr>
          <w:rFonts w:ascii="Times New Roman" w:hAnsi="Times New Roman" w:cs="Times New Roman"/>
        </w:rPr>
        <w:t>lic</w:t>
      </w:r>
      <w:r w:rsidR="00825F11">
        <w:rPr>
          <w:rFonts w:ascii="Times New Roman" w:hAnsi="Times New Roman" w:cs="Times New Roman"/>
        </w:rPr>
        <w:t xml:space="preserve"> precursor</w:t>
      </w:r>
      <w:r w:rsidR="00CE4D9D">
        <w:rPr>
          <w:rFonts w:ascii="Times New Roman" w:hAnsi="Times New Roman" w:cs="Times New Roman"/>
        </w:rPr>
        <w:t xml:space="preserve"> cells</w:t>
      </w:r>
      <w:r w:rsidR="00825F11">
        <w:rPr>
          <w:rFonts w:ascii="Times New Roman" w:hAnsi="Times New Roman" w:cs="Times New Roman"/>
        </w:rPr>
        <w:t xml:space="preserve"> (LUHMES)</w:t>
      </w:r>
      <w:r w:rsidR="00D42E3E">
        <w:rPr>
          <w:rFonts w:ascii="Times New Roman" w:hAnsi="Times New Roman" w:cs="Times New Roman"/>
        </w:rPr>
        <w:t xml:space="preserve"> derived</w:t>
      </w:r>
      <w:r w:rsidR="00825F11">
        <w:rPr>
          <w:rFonts w:ascii="Times New Roman" w:hAnsi="Times New Roman" w:cs="Times New Roman"/>
        </w:rPr>
        <w:t xml:space="preserve"> from a human female fetus that have been conditionally imm</w:t>
      </w:r>
      <w:r w:rsidR="00201C59">
        <w:rPr>
          <w:rFonts w:ascii="Times New Roman" w:hAnsi="Times New Roman" w:cs="Times New Roman"/>
        </w:rPr>
        <w:t>ortalis</w:t>
      </w:r>
      <w:r w:rsidR="00825F11">
        <w:rPr>
          <w:rFonts w:ascii="Times New Roman" w:hAnsi="Times New Roman" w:cs="Times New Roman"/>
        </w:rPr>
        <w:t>ed by v-myc under the control of tetracycline</w:t>
      </w:r>
      <w:r w:rsidR="00D42E3E">
        <w:rPr>
          <w:rFonts w:ascii="Times New Roman" w:hAnsi="Times New Roman" w:cs="Times New Roman"/>
        </w:rPr>
        <w:t xml:space="preserve"> (tet-off system)</w:t>
      </w:r>
      <w:r w:rsidR="00825F11">
        <w:rPr>
          <w:rFonts w:ascii="Times New Roman" w:hAnsi="Times New Roman" w:cs="Times New Roman"/>
        </w:rPr>
        <w:t xml:space="preserve">. These cells can be differentiated </w:t>
      </w:r>
      <w:r w:rsidR="003C1118">
        <w:rPr>
          <w:rFonts w:ascii="Times New Roman" w:hAnsi="Times New Roman" w:cs="Times New Roman"/>
        </w:rPr>
        <w:t>over a five-</w:t>
      </w:r>
      <w:r w:rsidR="00D42E3E">
        <w:rPr>
          <w:rFonts w:ascii="Times New Roman" w:hAnsi="Times New Roman" w:cs="Times New Roman"/>
        </w:rPr>
        <w:t>day period into fully post-mit</w:t>
      </w:r>
      <w:r w:rsidR="000D43F4">
        <w:rPr>
          <w:rFonts w:ascii="Times New Roman" w:hAnsi="Times New Roman" w:cs="Times New Roman"/>
        </w:rPr>
        <w:t>otic</w:t>
      </w:r>
      <w:r w:rsidR="00481CC6">
        <w:rPr>
          <w:rFonts w:ascii="Times New Roman" w:hAnsi="Times New Roman" w:cs="Times New Roman"/>
        </w:rPr>
        <w:t>, electrically active</w:t>
      </w:r>
      <w:r w:rsidR="000D43F4">
        <w:rPr>
          <w:rFonts w:ascii="Times New Roman" w:hAnsi="Times New Roman" w:cs="Times New Roman"/>
        </w:rPr>
        <w:t xml:space="preserve"> neurons (fully characteris</w:t>
      </w:r>
      <w:r w:rsidR="00D42E3E">
        <w:rPr>
          <w:rFonts w:ascii="Times New Roman" w:hAnsi="Times New Roman" w:cs="Times New Roman"/>
        </w:rPr>
        <w:t xml:space="preserve">ed by Krug </w:t>
      </w:r>
      <w:r w:rsidR="00D42E3E">
        <w:rPr>
          <w:rFonts w:ascii="Times New Roman" w:hAnsi="Times New Roman" w:cs="Times New Roman"/>
          <w:i/>
        </w:rPr>
        <w:t xml:space="preserve">et al., </w:t>
      </w:r>
      <w:r w:rsidR="00D42E3E">
        <w:rPr>
          <w:rFonts w:ascii="Times New Roman" w:hAnsi="Times New Roman" w:cs="Times New Roman"/>
        </w:rPr>
        <w:t xml:space="preserve">2014; Schildknecht </w:t>
      </w:r>
      <w:r w:rsidR="00D42E3E">
        <w:rPr>
          <w:rFonts w:ascii="Times New Roman" w:hAnsi="Times New Roman" w:cs="Times New Roman"/>
          <w:i/>
        </w:rPr>
        <w:t xml:space="preserve">et al., </w:t>
      </w:r>
      <w:r w:rsidR="00D42E3E">
        <w:rPr>
          <w:rFonts w:ascii="Times New Roman" w:hAnsi="Times New Roman" w:cs="Times New Roman"/>
        </w:rPr>
        <w:t xml:space="preserve">2013; Scholz </w:t>
      </w:r>
      <w:r w:rsidR="00D42E3E">
        <w:rPr>
          <w:rFonts w:ascii="Times New Roman" w:hAnsi="Times New Roman" w:cs="Times New Roman"/>
          <w:i/>
        </w:rPr>
        <w:t>et al.,</w:t>
      </w:r>
      <w:r w:rsidR="00D42E3E">
        <w:rPr>
          <w:rFonts w:ascii="Times New Roman" w:hAnsi="Times New Roman" w:cs="Times New Roman"/>
        </w:rPr>
        <w:t xml:space="preserve"> 2011). Although </w:t>
      </w:r>
      <w:r w:rsidR="00520E99">
        <w:rPr>
          <w:rFonts w:ascii="Times New Roman" w:hAnsi="Times New Roman" w:cs="Times New Roman"/>
        </w:rPr>
        <w:t>more widely used in the Parkinson’s field</w:t>
      </w:r>
      <w:r w:rsidR="00D42E3E">
        <w:rPr>
          <w:rFonts w:ascii="Times New Roman" w:hAnsi="Times New Roman" w:cs="Times New Roman"/>
        </w:rPr>
        <w:t>,</w:t>
      </w:r>
      <w:r w:rsidR="00520E99">
        <w:rPr>
          <w:rFonts w:ascii="Times New Roman" w:hAnsi="Times New Roman" w:cs="Times New Roman"/>
        </w:rPr>
        <w:t xml:space="preserve"> they have been used for </w:t>
      </w:r>
      <w:r w:rsidR="00E42DB6">
        <w:rPr>
          <w:rFonts w:ascii="Times New Roman" w:hAnsi="Times New Roman" w:cs="Times New Roman"/>
        </w:rPr>
        <w:t>AD</w:t>
      </w:r>
      <w:r w:rsidR="00520E99">
        <w:rPr>
          <w:rFonts w:ascii="Times New Roman" w:hAnsi="Times New Roman" w:cs="Times New Roman"/>
        </w:rPr>
        <w:t xml:space="preserve"> related research d</w:t>
      </w:r>
      <w:r w:rsidR="00201C59">
        <w:rPr>
          <w:rFonts w:ascii="Times New Roman" w:hAnsi="Times New Roman" w:cs="Times New Roman"/>
        </w:rPr>
        <w:t>ue to expression of Aβ</w:t>
      </w:r>
      <w:r w:rsidR="00D42E3E">
        <w:rPr>
          <w:rFonts w:ascii="Times New Roman" w:hAnsi="Times New Roman" w:cs="Times New Roman"/>
        </w:rPr>
        <w:t xml:space="preserve"> and </w:t>
      </w:r>
      <w:r w:rsidR="00A763D4">
        <w:rPr>
          <w:rFonts w:ascii="Times New Roman" w:hAnsi="Times New Roman" w:cs="Times New Roman"/>
        </w:rPr>
        <w:t xml:space="preserve">recent evidence </w:t>
      </w:r>
      <w:r w:rsidR="0036506B">
        <w:rPr>
          <w:rFonts w:ascii="Times New Roman" w:hAnsi="Times New Roman" w:cs="Times New Roman"/>
        </w:rPr>
        <w:t>that the midbrain is implicated</w:t>
      </w:r>
      <w:r w:rsidR="00A763D4">
        <w:rPr>
          <w:rFonts w:ascii="Times New Roman" w:hAnsi="Times New Roman" w:cs="Times New Roman"/>
        </w:rPr>
        <w:t xml:space="preserve"> in AD progression</w:t>
      </w:r>
      <w:r w:rsidR="00AB41C0">
        <w:rPr>
          <w:rFonts w:ascii="Times New Roman" w:hAnsi="Times New Roman" w:cs="Times New Roman"/>
        </w:rPr>
        <w:t xml:space="preserve"> </w:t>
      </w:r>
      <w:r w:rsidR="00AB41C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"10.1016/j.neurobiolaging.2012.03.012", "ISSN" : "01974580", "abstract" : "Few studies have compared the processing of endogenous human amyloid precursor protein (APP) in younger and older neurons. Here, we characterized LUHMES cells as a human model to study Alzheimer's disease-related processes during neuronal maturation and aging. Differentiated LUHMES expressed and spontaneously processed APP via the secretase pathways, and they secreted amyloid \u03b2 (A\u03b2) peptide. This was inhibited by cholesterol depletion or secretase inhibition, but not by block of tau phosphorylation. In vitro aged cells increased A\u03b2 secretion without upregulation of APP or secretases. We identified the medium constituent glial cell line-derived neurotrophic factor (GDNF) as responsible for this effect. GDNF-triggered A\u03b2 release was associated with rapid upregulation of the GDNF coreceptor \u201crearranged during transfection\u201d (RET). Other direct (neurturin) or indirect (nerve growth factor) RET activators also increased A\u03b2, whereas different neurotrophins were ineffective. Downstream of RET, we found activation of protein kinase B (AKT) to be involved. Accordingly, inhibitors of the AKT regulator phosphatidylinositol-3-kinase completely blocked GDNF-triggered AKT phosphorylation and A\u03b2 increase. This suggests that RET signaling affects A\u03b2 release from aging neurons.", "author" : [ { "dropping-particle" : "", "family" : "Scholz", "given" : "Diana", "non-dropping-particle" : "", "parse-names" : false, "suffix" : "" }, { "dropping-particle" : "", "family" : "Chernyshova", "given" : "Yana", "non-dropping-particle" : "", "parse-names" : false, "suffix" : "" }, { "dropping-particle" : "", "family" : "Leist", "given" : "Marcel", "non-dropping-particle" : "", "parse-names" : false, "suffix" : "" } ], "container-title" : "Neurobiology of Aging", "id" : "ITEM-1", "issue" : "1", "issued" : { "date-parts" : [ [ "2013" ] ] }, "page" : "184-199", "title" : "Control of A\u03b2 release from human neurons by differentiation status and RET signaling", "type" : "article-journal", "volume" : "34" }, "uris" : [ "http://www.mendeley.com/documents/?uuid=836a1361-c773-38e0-aac7-76ff8c6c8764" ] } ], "mendeley" : { "formattedCitation" : "(Scholz et al. 2013)", "plainTextFormattedCitation" : "(Scholz et al. 2013)", "previouslyFormattedCitation" : "(Scholz et al. 2013)" }, "properties" : { "noteIndex" : 0 }, "schema" : "https://github.com/citation-style-language/schema/raw/master/csl-citation.json" }</w:instrText>
      </w:r>
      <w:r w:rsidR="00AB41C0">
        <w:rPr>
          <w:rFonts w:ascii="Times New Roman" w:hAnsi="Times New Roman" w:cs="Times New Roman"/>
        </w:rPr>
        <w:fldChar w:fldCharType="separate"/>
      </w:r>
      <w:r w:rsidR="00C148FC" w:rsidRPr="00C148FC">
        <w:rPr>
          <w:rFonts w:ascii="Times New Roman" w:hAnsi="Times New Roman" w:cs="Times New Roman"/>
          <w:noProof/>
        </w:rPr>
        <w:t>(Scholz et al. 2013)</w:t>
      </w:r>
      <w:r w:rsidR="00AB41C0">
        <w:rPr>
          <w:rFonts w:ascii="Times New Roman" w:hAnsi="Times New Roman" w:cs="Times New Roman"/>
        </w:rPr>
        <w:fldChar w:fldCharType="end"/>
      </w:r>
      <w:r w:rsidR="00A763D4">
        <w:rPr>
          <w:rFonts w:ascii="Times New Roman" w:hAnsi="Times New Roman" w:cs="Times New Roman"/>
        </w:rPr>
        <w:t xml:space="preserve">. </w:t>
      </w:r>
    </w:p>
    <w:p w14:paraId="7B1931D6" w14:textId="77777777" w:rsidR="005F182A" w:rsidRDefault="005F182A" w:rsidP="00C63BC1">
      <w:pPr>
        <w:spacing w:line="360" w:lineRule="auto"/>
        <w:jc w:val="both"/>
        <w:rPr>
          <w:rFonts w:ascii="Times New Roman" w:hAnsi="Times New Roman" w:cs="Times New Roman"/>
        </w:rPr>
      </w:pPr>
    </w:p>
    <w:p w14:paraId="5D354CD1" w14:textId="66EE3373" w:rsidR="00ED7EEB" w:rsidRDefault="00D7037F" w:rsidP="00C63BC1">
      <w:pPr>
        <w:spacing w:line="360" w:lineRule="auto"/>
        <w:jc w:val="both"/>
        <w:rPr>
          <w:rFonts w:ascii="Times New Roman" w:hAnsi="Times New Roman" w:cs="Times New Roman"/>
        </w:rPr>
      </w:pPr>
      <w:r>
        <w:rPr>
          <w:rFonts w:ascii="Times New Roman" w:hAnsi="Times New Roman" w:cs="Times New Roman"/>
        </w:rPr>
        <w:t>In chapter 3</w:t>
      </w:r>
      <w:r w:rsidR="00932D5B">
        <w:rPr>
          <w:rFonts w:ascii="Times New Roman" w:hAnsi="Times New Roman" w:cs="Times New Roman"/>
        </w:rPr>
        <w:t>,</w:t>
      </w:r>
      <w:r w:rsidR="00E42DB6">
        <w:rPr>
          <w:rFonts w:ascii="Times New Roman" w:hAnsi="Times New Roman" w:cs="Times New Roman"/>
        </w:rPr>
        <w:t xml:space="preserve"> a model of impaired astrocytic IGF1 signalling was described, although there was no obvious change in cell phenotype. </w:t>
      </w:r>
      <w:r w:rsidR="009A4FE6">
        <w:rPr>
          <w:rFonts w:ascii="Times New Roman" w:hAnsi="Times New Roman" w:cs="Times New Roman"/>
        </w:rPr>
        <w:t>By developing a</w:t>
      </w:r>
      <w:r w:rsidR="00932D5B">
        <w:rPr>
          <w:rFonts w:ascii="Times New Roman" w:hAnsi="Times New Roman" w:cs="Times New Roman"/>
        </w:rPr>
        <w:t xml:space="preserve"> co-culture system</w:t>
      </w:r>
      <w:r w:rsidR="009A4FE6">
        <w:rPr>
          <w:rFonts w:ascii="Times New Roman" w:hAnsi="Times New Roman" w:cs="Times New Roman"/>
        </w:rPr>
        <w:t xml:space="preserve">, the focus is shifted from assessing specific pathways or targets that may be altered in the astrocyte to </w:t>
      </w:r>
      <w:r w:rsidR="003C1118">
        <w:rPr>
          <w:rFonts w:ascii="Times New Roman" w:hAnsi="Times New Roman" w:cs="Times New Roman"/>
        </w:rPr>
        <w:t xml:space="preserve">measuring </w:t>
      </w:r>
      <w:r w:rsidR="009A4FE6">
        <w:rPr>
          <w:rFonts w:ascii="Times New Roman" w:hAnsi="Times New Roman" w:cs="Times New Roman"/>
        </w:rPr>
        <w:t xml:space="preserve">changes in </w:t>
      </w:r>
      <w:r w:rsidR="00E42DB6">
        <w:rPr>
          <w:rFonts w:ascii="Times New Roman" w:hAnsi="Times New Roman" w:cs="Times New Roman"/>
        </w:rPr>
        <w:t>neurons</w:t>
      </w:r>
      <w:r w:rsidR="009A4FE6">
        <w:rPr>
          <w:rFonts w:ascii="Times New Roman" w:hAnsi="Times New Roman" w:cs="Times New Roman"/>
        </w:rPr>
        <w:t xml:space="preserve">, which </w:t>
      </w:r>
      <w:r w:rsidR="002C45EF">
        <w:rPr>
          <w:rFonts w:ascii="Times New Roman" w:hAnsi="Times New Roman" w:cs="Times New Roman"/>
        </w:rPr>
        <w:t>will be</w:t>
      </w:r>
      <w:r w:rsidR="009A4FE6">
        <w:rPr>
          <w:rFonts w:ascii="Times New Roman" w:hAnsi="Times New Roman" w:cs="Times New Roman"/>
        </w:rPr>
        <w:t xml:space="preserve"> critically dependent on proper astrocyte functioning</w:t>
      </w:r>
      <w:r w:rsidR="005F182A">
        <w:rPr>
          <w:rFonts w:ascii="Times New Roman" w:hAnsi="Times New Roman" w:cs="Times New Roman"/>
        </w:rPr>
        <w:t xml:space="preserve">. </w:t>
      </w:r>
      <w:r w:rsidR="00E42DB6">
        <w:rPr>
          <w:rFonts w:ascii="Times New Roman" w:hAnsi="Times New Roman" w:cs="Times New Roman"/>
        </w:rPr>
        <w:t>One</w:t>
      </w:r>
      <w:r w:rsidR="00551551">
        <w:rPr>
          <w:rFonts w:ascii="Times New Roman" w:hAnsi="Times New Roman" w:cs="Times New Roman"/>
        </w:rPr>
        <w:t xml:space="preserve"> typical measure of astrocyte support is in the ability of neurons to extend axons and dendrites (</w:t>
      </w:r>
      <w:r w:rsidR="003C1118">
        <w:rPr>
          <w:rFonts w:ascii="Times New Roman" w:hAnsi="Times New Roman" w:cs="Times New Roman"/>
        </w:rPr>
        <w:t xml:space="preserve">collectively known as neurites), which is necessary </w:t>
      </w:r>
      <w:r w:rsidR="00E42DB6">
        <w:rPr>
          <w:rFonts w:ascii="Times New Roman" w:hAnsi="Times New Roman" w:cs="Times New Roman"/>
        </w:rPr>
        <w:t>for</w:t>
      </w:r>
      <w:r w:rsidR="00551551">
        <w:rPr>
          <w:rFonts w:ascii="Times New Roman" w:hAnsi="Times New Roman" w:cs="Times New Roman"/>
        </w:rPr>
        <w:t xml:space="preserve"> establish</w:t>
      </w:r>
      <w:r w:rsidR="00E42DB6">
        <w:rPr>
          <w:rFonts w:ascii="Times New Roman" w:hAnsi="Times New Roman" w:cs="Times New Roman"/>
        </w:rPr>
        <w:t>ing</w:t>
      </w:r>
      <w:r w:rsidR="00551551">
        <w:rPr>
          <w:rFonts w:ascii="Times New Roman" w:hAnsi="Times New Roman" w:cs="Times New Roman"/>
        </w:rPr>
        <w:t xml:space="preserve"> synaptic contact.</w:t>
      </w:r>
      <w:r w:rsidR="00E7766E">
        <w:rPr>
          <w:rFonts w:ascii="Times New Roman" w:hAnsi="Times New Roman" w:cs="Times New Roman"/>
        </w:rPr>
        <w:t xml:space="preserve"> Neurite length can be measured an</w:t>
      </w:r>
      <w:r w:rsidR="002C45EF">
        <w:rPr>
          <w:rFonts w:ascii="Times New Roman" w:hAnsi="Times New Roman" w:cs="Times New Roman"/>
        </w:rPr>
        <w:t>d used as an indication of the extent</w:t>
      </w:r>
      <w:r w:rsidR="00E7766E">
        <w:rPr>
          <w:rFonts w:ascii="Times New Roman" w:hAnsi="Times New Roman" w:cs="Times New Roman"/>
        </w:rPr>
        <w:t xml:space="preserve"> of astrocytic support</w:t>
      </w:r>
      <w:r w:rsidR="003C1118">
        <w:rPr>
          <w:rFonts w:ascii="Times New Roman" w:hAnsi="Times New Roman" w:cs="Times New Roman"/>
        </w:rPr>
        <w:t xml:space="preserve"> and thus </w:t>
      </w:r>
      <w:r w:rsidR="000D1346">
        <w:rPr>
          <w:rFonts w:ascii="Times New Roman" w:hAnsi="Times New Roman" w:cs="Times New Roman"/>
        </w:rPr>
        <w:t>provide information on</w:t>
      </w:r>
      <w:r w:rsidR="00B830E5">
        <w:rPr>
          <w:rFonts w:ascii="Times New Roman" w:hAnsi="Times New Roman" w:cs="Times New Roman"/>
        </w:rPr>
        <w:t xml:space="preserve"> </w:t>
      </w:r>
      <w:r w:rsidR="002C45EF">
        <w:rPr>
          <w:rFonts w:ascii="Times New Roman" w:hAnsi="Times New Roman" w:cs="Times New Roman"/>
        </w:rPr>
        <w:t>whether there are any functional changes in the astrocytes</w:t>
      </w:r>
      <w:r w:rsidR="00E7766E">
        <w:rPr>
          <w:rFonts w:ascii="Times New Roman" w:hAnsi="Times New Roman" w:cs="Times New Roman"/>
        </w:rPr>
        <w:t>.</w:t>
      </w:r>
    </w:p>
    <w:p w14:paraId="6B84EB3C" w14:textId="77777777" w:rsidR="005F182A" w:rsidRDefault="005F182A" w:rsidP="00C63BC1">
      <w:pPr>
        <w:spacing w:line="360" w:lineRule="auto"/>
        <w:jc w:val="both"/>
        <w:rPr>
          <w:rFonts w:ascii="Times New Roman" w:hAnsi="Times New Roman" w:cs="Times New Roman"/>
        </w:rPr>
      </w:pPr>
    </w:p>
    <w:p w14:paraId="00E369E6" w14:textId="50037081" w:rsidR="00617930" w:rsidRDefault="00F713D2" w:rsidP="00C63BC1">
      <w:pPr>
        <w:spacing w:line="360" w:lineRule="auto"/>
        <w:jc w:val="both"/>
        <w:rPr>
          <w:rFonts w:ascii="Times New Roman" w:hAnsi="Times New Roman" w:cs="Times New Roman"/>
        </w:rPr>
      </w:pPr>
      <w:r>
        <w:rPr>
          <w:rFonts w:ascii="Times New Roman" w:hAnsi="Times New Roman" w:cs="Times New Roman"/>
        </w:rPr>
        <w:t xml:space="preserve">There are reports that </w:t>
      </w:r>
      <w:r w:rsidR="00E50403">
        <w:rPr>
          <w:rFonts w:ascii="Times New Roman" w:hAnsi="Times New Roman" w:cs="Times New Roman"/>
        </w:rPr>
        <w:t>IGF1 enhance</w:t>
      </w:r>
      <w:r>
        <w:rPr>
          <w:rFonts w:ascii="Times New Roman" w:hAnsi="Times New Roman" w:cs="Times New Roman"/>
        </w:rPr>
        <w:t>s</w:t>
      </w:r>
      <w:r w:rsidR="00E50403">
        <w:rPr>
          <w:rFonts w:ascii="Times New Roman" w:hAnsi="Times New Roman" w:cs="Times New Roman"/>
        </w:rPr>
        <w:t xml:space="preserve"> ne</w:t>
      </w:r>
      <w:r w:rsidR="00E7766E">
        <w:rPr>
          <w:rFonts w:ascii="Times New Roman" w:hAnsi="Times New Roman" w:cs="Times New Roman"/>
        </w:rPr>
        <w:t>urite outgrowth</w:t>
      </w:r>
      <w:r w:rsidR="00E42DB6">
        <w:rPr>
          <w:rFonts w:ascii="Times New Roman" w:hAnsi="Times New Roman" w:cs="Times New Roman"/>
        </w:rPr>
        <w:t xml:space="preserve"> in a PI3K/Akt</w:t>
      </w:r>
      <w:r w:rsidR="009908E4">
        <w:rPr>
          <w:rFonts w:ascii="Times New Roman" w:hAnsi="Times New Roman" w:cs="Times New Roman"/>
        </w:rPr>
        <w:t xml:space="preserve"> dependent manner </w:t>
      </w:r>
      <w:r w:rsidR="009908E4">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"10.1242/jcs.02490", "ISSN" : "0021-9533", "PMID" : "16046480", "abstract" : "Exocytotic incorporation of plasmalemmal precursor vesicles (PPVs) into the cell surface is necessary for axonal outgrowth and is known to occur mainly at the nerve growth cone. We have demonstrated recently that plasmalemmal expansion is regulated at the growth cone by IGF-1, but not by BDNF, in a manner that is quasi independent of the neuron's perikaryon. To begin elucidating the signaling pathway by which exocytosis of the plasmalemmal precursor is regulated, we studied activation of the IRS/PI3K/Akt pathway in isolated growth cones and hippocampal neurons in culture stimulated with IGF-1 or BDNF. Our results show that IGF-1, but not BDNF, significantly and rapidly stimulates IRS/PI3K/Akt and membrane expansion. Inhibition of PI3K with Wortmannin or LY294002 blocked IGF-1-stimulated plasmalemmal expansion at the growth cones of cultured neurons. Finally, our results show that, upon stimulation with IGF-1, most active PI3K becomes associated with distal microtubules in the proximal or central domain of the growth cone. Taken together, our results suggest a critical role for IGF-1 and the IRS/PI3K/Akt pathway in the process of membrane assembly at the axonal growth cone.", "author" : [ { "dropping-particle" : "", "family" : "Laurino", "given" : "Lisandro", "non-dropping-particle" : "", "parse-names" : false, "suffix" : "" }, { "dropping-particle" : "", "family" : "Wang", "given" : "Xiaoxin X", "non-dropping-particle" : "", "parse-names" : false, "suffix" : "" }, { "dropping-particle" : "", "family" : "la Houssaye", "given" : "Becky A", "non-dropping-particle" : "de", "parse-names" : false, "suffix" : "" }, { "dropping-particle" : "", "family" : "Sosa", "given" : "Lucas", "non-dropping-particle" : "", "parse-names" : false, "suffix" : "" }, { "dropping-particle" : "", "family" : "Dupraz", "given" : "Sebastian", "non-dropping-particle" : "", "parse-names" : false, "suffix" : "" }, { "dropping-particle" : "", "family" : "C\u00e1ceres", "given" : "Alfredo", "non-dropping-particle" : "", "parse-names" : false, "suffix" : "" }, { "dropping-particle" : "", "family" : "Pfenninger", "given" : "Karl H", "non-dropping-particle" : "", "parse-names" : false, "suffix" : "" }, { "dropping-particle" : "", "family" : "Quiroga", "given" : "Santiago", "non-dropping-particle" : "", "parse-names" : false, "suffix" : "" } ], "container-title" : "Journal of cell science", "id" : "ITEM-1", "issue" : "Pt 16", "issued" : { "date-parts" : [ [ "2005", "8", "15" ] ] }, "page" : "3653-62", "title" : "PI3K activation by IGF-1 is essential for the regulation of membrane expansion at the nerve growth cone.", "type" : "article-journal", "volume" : "118" }, "uris" : [ "http://www.mendeley.com/documents/?uuid=5681ba8b-4571-4947-81f5-7c902b1e3322" ] } ], "mendeley" : { "formattedCitation" : "(Laurino et al. 2005)", "plainTextFormattedCitation" : "(Laurino et al. 2005)", "previouslyFormattedCitation" : "(Laurino et al. 2005)" }, "properties" : { "noteIndex" : 0 }, "schema" : "https://github.com/citation-style-language/schema/raw/master/csl-citation.json" }</w:instrText>
      </w:r>
      <w:r w:rsidR="009908E4">
        <w:rPr>
          <w:rFonts w:ascii="Times New Roman" w:hAnsi="Times New Roman" w:cs="Times New Roman"/>
        </w:rPr>
        <w:fldChar w:fldCharType="separate"/>
      </w:r>
      <w:r w:rsidR="00C148FC" w:rsidRPr="00C148FC">
        <w:rPr>
          <w:rFonts w:ascii="Times New Roman" w:hAnsi="Times New Roman" w:cs="Times New Roman"/>
          <w:noProof/>
        </w:rPr>
        <w:t>(Laurino et al. 2005)</w:t>
      </w:r>
      <w:r w:rsidR="009908E4">
        <w:rPr>
          <w:rFonts w:ascii="Times New Roman" w:hAnsi="Times New Roman" w:cs="Times New Roman"/>
        </w:rPr>
        <w:fldChar w:fldCharType="end"/>
      </w:r>
      <w:r w:rsidR="001F4494">
        <w:rPr>
          <w:rFonts w:ascii="Times New Roman" w:hAnsi="Times New Roman" w:cs="Times New Roman"/>
        </w:rPr>
        <w:t xml:space="preserve">. Expression of IGF1R has been identified in neuronal growth cones and </w:t>
      </w:r>
      <w:r w:rsidR="009908E4">
        <w:rPr>
          <w:rFonts w:ascii="Times New Roman" w:hAnsi="Times New Roman" w:cs="Times New Roman"/>
        </w:rPr>
        <w:t xml:space="preserve">following reduction </w:t>
      </w:r>
      <w:r w:rsidR="00E42DB6">
        <w:rPr>
          <w:rFonts w:ascii="Times New Roman" w:hAnsi="Times New Roman" w:cs="Times New Roman"/>
        </w:rPr>
        <w:t xml:space="preserve">of IGF1R </w:t>
      </w:r>
      <w:r w:rsidR="009908E4">
        <w:rPr>
          <w:rFonts w:ascii="Times New Roman" w:hAnsi="Times New Roman" w:cs="Times New Roman"/>
        </w:rPr>
        <w:t xml:space="preserve">by </w:t>
      </w:r>
      <w:r w:rsidR="001F4494">
        <w:rPr>
          <w:rFonts w:ascii="Times New Roman" w:hAnsi="Times New Roman" w:cs="Times New Roman"/>
        </w:rPr>
        <w:t>s</w:t>
      </w:r>
      <w:r w:rsidR="008020CF">
        <w:rPr>
          <w:rFonts w:ascii="Times New Roman" w:hAnsi="Times New Roman" w:cs="Times New Roman"/>
        </w:rPr>
        <w:t>iRNA</w:t>
      </w:r>
      <w:r w:rsidR="001F4494">
        <w:rPr>
          <w:rFonts w:ascii="Times New Roman" w:hAnsi="Times New Roman" w:cs="Times New Roman"/>
        </w:rPr>
        <w:t xml:space="preserve"> there is</w:t>
      </w:r>
      <w:r>
        <w:rPr>
          <w:rFonts w:ascii="Times New Roman" w:hAnsi="Times New Roman" w:cs="Times New Roman"/>
        </w:rPr>
        <w:t xml:space="preserve"> a reported reduction in</w:t>
      </w:r>
      <w:r w:rsidR="001F4494">
        <w:rPr>
          <w:rFonts w:ascii="Times New Roman" w:hAnsi="Times New Roman" w:cs="Times New Roman"/>
        </w:rPr>
        <w:t xml:space="preserve"> neurite outgrowth </w:t>
      </w:r>
      <w:r w:rsidR="001F4494">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"10.1038/nn1742", "ISSN" : "1097-6256", "PMID" : "16845384", "abstract" : "How a neuron becomes polarized remains largely unknown. Results obtained with a function-blocking antibody and an siRNA targeting the insulin-like growth factor-1 (IGF-1) receptor suggest that an essential step in the establishment of hippocampal neuronal polarity and the initiation of axonal outgrowth is the activation of the phosphatidylinositol 3-kinase (PI3k)-Cdc42 pathway by the IGF-1 receptor, but not by the TrkA or TrkB receptors.", "author" : [ { "dropping-particle" : "", "family" : "Sosa", "given" : "Lucas", "non-dropping-particle" : "", "parse-names" : false, "suffix" : "" }, { "dropping-particle" : "", "family" : "Dupraz", "given" : "Sebastian", "non-dropping-particle" : "", "parse-names" : false, "suffix" : "" }, { "dropping-particle" : "", "family" : "Laurino", "given" : "Lisandro", "non-dropping-particle" : "", "parse-names" : false, "suffix" : "" }, { "dropping-particle" : "", "family" : "Bollati", "given" : "Flavia", "non-dropping-particle" : "", "parse-names" : false, "suffix" : "" }, { "dropping-particle" : "", "family" : "Bisbal", "given" : "Mariano", "non-dropping-particle" : "", "parse-names" : false, "suffix" : "" }, { "dropping-particle" : "", "family" : "C\u00e1ceres", "given" : "Alfredo", "non-dropping-particle" : "", "parse-names" : false, "suffix" : "" }, { "dropping-particle" : "", "family" : "Pfenninger", "given" : "Karl H", "non-dropping-particle" : "", "parse-names" : false, "suffix" : "" }, { "dropping-particle" : "", "family" : "Quiroga", "given" : "Santiago", "non-dropping-particle" : "", "parse-names" : false, "suffix" : "" } ], "container-title" : "Nature neuroscience", "id" : "ITEM-1", "issue" : "8", "issued" : { "date-parts" : [ [ "2006", "8" ] ] }, "page" : "993-5", "publisher" : "Nature Publishing Group", "title" : "IGF-1 receptor is essential for the establishment of hippocampal neuronal polarity.", "title-short" : "Nat Neurosci", "type" : "article-journal", "volume" : "9" }, "uris" : [ "http://www.mendeley.com/documents/?uuid=02e7345d-0693-4973-a17f-d6685e3d9c8f" ] } ], "mendeley" : { "formattedCitation" : "(Sosa et al. 2006)", "plainTextFormattedCitation" : "(Sosa et al. 2006)", "previouslyFormattedCitation" : "(Sosa et al. 2006)" }, "properties" : { "noteIndex" : 0 }, "schema" : "https://github.com/citation-style-language/schema/raw/master/csl-citation.json" }</w:instrText>
      </w:r>
      <w:r w:rsidR="001F4494">
        <w:rPr>
          <w:rFonts w:ascii="Times New Roman" w:hAnsi="Times New Roman" w:cs="Times New Roman"/>
        </w:rPr>
        <w:fldChar w:fldCharType="separate"/>
      </w:r>
      <w:r w:rsidR="00C148FC" w:rsidRPr="00C148FC">
        <w:rPr>
          <w:rFonts w:ascii="Times New Roman" w:hAnsi="Times New Roman" w:cs="Times New Roman"/>
          <w:noProof/>
        </w:rPr>
        <w:t>(Sosa et al. 2006)</w:t>
      </w:r>
      <w:r w:rsidR="001F4494">
        <w:rPr>
          <w:rFonts w:ascii="Times New Roman" w:hAnsi="Times New Roman" w:cs="Times New Roman"/>
        </w:rPr>
        <w:fldChar w:fldCharType="end"/>
      </w:r>
      <w:r>
        <w:rPr>
          <w:rFonts w:ascii="Times New Roman" w:hAnsi="Times New Roman" w:cs="Times New Roman"/>
        </w:rPr>
        <w:t xml:space="preserve">. This </w:t>
      </w:r>
      <w:r w:rsidR="009908E4">
        <w:rPr>
          <w:rFonts w:ascii="Times New Roman" w:hAnsi="Times New Roman" w:cs="Times New Roman"/>
        </w:rPr>
        <w:t>may mirror reports</w:t>
      </w:r>
      <w:r>
        <w:rPr>
          <w:rFonts w:ascii="Times New Roman" w:hAnsi="Times New Roman" w:cs="Times New Roman"/>
        </w:rPr>
        <w:t xml:space="preserve"> of IGF1R knockout mice having a marked decrease in axon density and severe defects in CNS development </w:t>
      </w:r>
      <w:r w:rsidR="00C266CC">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"0092-8674", "PMID" : "8402901", "abstract" : "Newborn mice homozygous for a targeted disruption of insulin-like growth factor gene (Igf-1) exhibit a growth deficiency similar in severity to that previously observed in viable Igf-2 null mutants (60% of normal birthweight). Depending on genetic background, some of the Igf-1(-/-) dwarfs die shortly after birth, while others survive and reach adulthood. In contrast, null mutants for the Igf1r gene die invariably at birth of respiratory failure and exhibit a more severe growth deficiency (45% normal size). In addition to generalized organ hypoplasia in Igf1r(-/-) embryos, including the muscles, and developmental delays in ossification, deviations from normalcy were observed in the central nervous system and epidermis. Igf-1(-/-)/Igf1r(-/-) double mutants did not differ in phenotype from Igf1r(-/-) single mutants, while in Igf-2(-)/Igf1r(-/-) and Igf-1(-/-)/Igf-2(-) double mutants, which are phenotypically identical, the dwarfism was further exacerbated (30% normal size). The roles of the IGFs in mouse embryonic development, as revealed from the phenotypic differences between these mutants, are discussed.", "author" : [ { "dropping-particle" : "", "family" : "Liu", "given" : "J P", "non-dropping-particle" : "", "parse-names" : false, "suffix" : "" }, { "dropping-particle" : "", "family" : "Baker", "given" : "J", "non-dropping-particle" : "", "parse-names" : false, "suffix" : "" }, { "dropping-particle" : "", "family" : "Perkins", "given" : "A S", "non-dropping-particle" : "", "parse-names" : false, "suffix" : "" }, { "dropping-particle" : "", "family" : "Robertson", "given" : "E J", "non-dropping-particle" : "", "parse-names" : false, "suffix" : "" }, { "dropping-particle" : "", "family" : "Efstratiadis", "given" : "A", "non-dropping-particle" : "", "parse-names" : false, "suffix" : "" } ], "container-title" : "Cell", "id" : "ITEM-1", "issue" : "1", "issued" : { "date-parts" : [ [ "1993", "10", "8" ] ] }, "page" : "59-72", "title" : "Mice carrying null mutations of the genes encoding insulin-like growth factor I (Igf-1) and type 1 IGF receptor (Igf1r).", "type" : "article-journal", "volume" : "75" }, "uris" : [ "http://www.mendeley.com/documents/?uuid=bda9cb6d-9cf6-4f7d-93e6-a9927328f486" ] } ], "mendeley" : { "formattedCitation" : "(Liu et al. 1993)", "plainTextFormattedCitation" : "(Liu et al. 1993)", "previouslyFormattedCitation" : "(Liu et al. 1993)" }, "properties" : { "noteIndex" : 0 }, "schema" : "https://github.com/citation-style-language/schema/raw/master/csl-citation.json" }</w:instrText>
      </w:r>
      <w:r w:rsidR="00C266CC">
        <w:rPr>
          <w:rFonts w:ascii="Times New Roman" w:hAnsi="Times New Roman" w:cs="Times New Roman"/>
        </w:rPr>
        <w:fldChar w:fldCharType="separate"/>
      </w:r>
      <w:r w:rsidR="00C148FC" w:rsidRPr="00C148FC">
        <w:rPr>
          <w:rFonts w:ascii="Times New Roman" w:hAnsi="Times New Roman" w:cs="Times New Roman"/>
          <w:noProof/>
        </w:rPr>
        <w:t>(Liu et al. 1993)</w:t>
      </w:r>
      <w:r w:rsidR="00C266CC">
        <w:rPr>
          <w:rFonts w:ascii="Times New Roman" w:hAnsi="Times New Roman" w:cs="Times New Roman"/>
        </w:rPr>
        <w:fldChar w:fldCharType="end"/>
      </w:r>
      <w:r w:rsidR="009908E4">
        <w:rPr>
          <w:rFonts w:ascii="Times New Roman" w:hAnsi="Times New Roman" w:cs="Times New Roman"/>
        </w:rPr>
        <w:t xml:space="preserve">. </w:t>
      </w:r>
      <w:r w:rsidR="00E7766E">
        <w:rPr>
          <w:rFonts w:ascii="Times New Roman" w:hAnsi="Times New Roman" w:cs="Times New Roman"/>
        </w:rPr>
        <w:t xml:space="preserve"> </w:t>
      </w:r>
      <w:r w:rsidR="00E42DB6">
        <w:rPr>
          <w:rFonts w:ascii="Times New Roman" w:hAnsi="Times New Roman" w:cs="Times New Roman"/>
        </w:rPr>
        <w:t>It has also been</w:t>
      </w:r>
      <w:r w:rsidR="008020CF">
        <w:rPr>
          <w:rFonts w:ascii="Times New Roman" w:hAnsi="Times New Roman" w:cs="Times New Roman"/>
        </w:rPr>
        <w:t xml:space="preserve"> suggested that the increase in axonal length following IGF1 treatment is mediated by </w:t>
      </w:r>
      <w:r w:rsidR="00183A97">
        <w:rPr>
          <w:rFonts w:ascii="Times New Roman" w:hAnsi="Times New Roman" w:cs="Times New Roman"/>
        </w:rPr>
        <w:t xml:space="preserve">astrocytes </w:t>
      </w:r>
      <w:r w:rsidR="00183A97">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"10.1016/0022-510X(92)90164-G", "ISSN" : "0022510X", "abstract" : "We isolated motoneurons from E15 dissociated mouse spinal cord by density centrifugation and planted them onto poly-ornithine-coated coverslips in a growth medium (DMEM/F12) supplemented with progesterone, transferrin, selenium, horse serum and muscle extract. Under these conditions only 28% of the motoneurons survived for 8 days. When living astrocytes on a separate coverslip were introduced into dishes containing motoneurons, there was a two-fold increase in neuronal survival. The addition of insulin and insulin-like growth factor I (IGF-I) to such cultures alone or together, still further increased motoneuron survival, but this did not happen in the absence of astrocytes. We conclude that (a) astrocytes exert a trophic role in the survival of spinal motoneurons, (b) the effect does not require physical contact of the cells, and (c) insulin and IGF-1 have neurotrophic activity for motoneurons, an effect possibly mediated by living astrocytes.", "author" : [ { "dropping-particle" : "", "family" : "Ang", "given" : "Lee C.", "non-dropping-particle" : "", "parse-names" : false, "suffix" : "" }, { "dropping-particle" : "", "family" : "Bhaumick", "given" : "Banani", "non-dropping-particle" : "", "parse-names" : false, "suffix" : "" }, { "dropping-particle" : "", "family" : "Munoz", "given" : "David G.", "non-dropping-particle" : "", "parse-names" : false, "suffix" : "" }, { "dropping-particle" : "", "family" : "Sass", "given" : "Jennifer", "non-dropping-particle" : "", "parse-names" : false, "suffix" : "" }, { "dropping-particle" : "", "family" : "Juurlink", "given" : "Bernhard H.J.", "non-dropping-particle" : "", "parse-names" : false, "suffix" : "" } ], "container-title" : "Journal of the Neurological Sciences", "id" : "ITEM-1", "issue" : "2", "issued" : { "date-parts" : [ [ "1992", "6" ] ] }, "page" : "168-172", "title" : "Effects of astrocytes, insulin and insulin-like growth factor I on the survival of motoneurons in vitro", "type" : "article-journal", "volume" : "109" }, "uris" : [ "http://www.mendeley.com/documents/?uuid=2755f744-343b-4f64-8e5b-e6936b4730dd" ] } ], "mendeley" : { "formattedCitation" : "(Ang et al. 1992)", "plainTextFormattedCitation" : "(Ang et al. 1992)", "previouslyFormattedCitation" : "(Ang et al. 1992)" }, "properties" : { "noteIndex" : 0 }, "schema" : "https://github.com/citation-style-language/schema/raw/master/csl-citation.json" }</w:instrText>
      </w:r>
      <w:r w:rsidR="00183A97">
        <w:rPr>
          <w:rFonts w:ascii="Times New Roman" w:hAnsi="Times New Roman" w:cs="Times New Roman"/>
        </w:rPr>
        <w:fldChar w:fldCharType="separate"/>
      </w:r>
      <w:r w:rsidR="00C148FC" w:rsidRPr="00C148FC">
        <w:rPr>
          <w:rFonts w:ascii="Times New Roman" w:hAnsi="Times New Roman" w:cs="Times New Roman"/>
          <w:noProof/>
        </w:rPr>
        <w:t>(Ang et al. 1992)</w:t>
      </w:r>
      <w:r w:rsidR="00183A97">
        <w:rPr>
          <w:rFonts w:ascii="Times New Roman" w:hAnsi="Times New Roman" w:cs="Times New Roman"/>
        </w:rPr>
        <w:fldChar w:fldCharType="end"/>
      </w:r>
      <w:r w:rsidR="00E50403">
        <w:rPr>
          <w:rFonts w:ascii="Times New Roman" w:hAnsi="Times New Roman" w:cs="Times New Roman"/>
        </w:rPr>
        <w:t>.</w:t>
      </w:r>
      <w:r w:rsidR="003D63AF">
        <w:rPr>
          <w:rFonts w:ascii="Times New Roman" w:hAnsi="Times New Roman" w:cs="Times New Roman"/>
        </w:rPr>
        <w:t xml:space="preserve"> </w:t>
      </w:r>
      <w:r w:rsidR="00534847">
        <w:rPr>
          <w:rFonts w:ascii="Times New Roman" w:hAnsi="Times New Roman" w:cs="Times New Roman"/>
        </w:rPr>
        <w:t>Therefore it</w:t>
      </w:r>
      <w:r w:rsidR="00E42DB6">
        <w:rPr>
          <w:rFonts w:ascii="Times New Roman" w:hAnsi="Times New Roman" w:cs="Times New Roman"/>
        </w:rPr>
        <w:t xml:space="preserve"> is</w:t>
      </w:r>
      <w:r w:rsidR="00534847">
        <w:rPr>
          <w:rFonts w:ascii="Times New Roman" w:hAnsi="Times New Roman" w:cs="Times New Roman"/>
        </w:rPr>
        <w:t xml:space="preserve"> plausible that a loss of IGF1R from astrocytes</w:t>
      </w:r>
      <w:r w:rsidR="0036130D">
        <w:rPr>
          <w:rFonts w:ascii="Times New Roman" w:hAnsi="Times New Roman" w:cs="Times New Roman"/>
        </w:rPr>
        <w:t xml:space="preserve"> limits the IGF1 mediated effect of astrocytes to support neuronal outgrowth. Additionally, loss of IGF1 signalling</w:t>
      </w:r>
      <w:r w:rsidR="003D63AF">
        <w:rPr>
          <w:rFonts w:ascii="Times New Roman" w:hAnsi="Times New Roman" w:cs="Times New Roman"/>
        </w:rPr>
        <w:t xml:space="preserve"> may influence astrocyte</w:t>
      </w:r>
      <w:r w:rsidR="00617930">
        <w:rPr>
          <w:rFonts w:ascii="Times New Roman" w:hAnsi="Times New Roman" w:cs="Times New Roman"/>
        </w:rPr>
        <w:t xml:space="preserve"> to neuron</w:t>
      </w:r>
      <w:r w:rsidR="003D63AF">
        <w:rPr>
          <w:rFonts w:ascii="Times New Roman" w:hAnsi="Times New Roman" w:cs="Times New Roman"/>
        </w:rPr>
        <w:t xml:space="preserve"> communication</w:t>
      </w:r>
      <w:r w:rsidR="00DE3839">
        <w:rPr>
          <w:rFonts w:ascii="Times New Roman" w:hAnsi="Times New Roman" w:cs="Times New Roman"/>
        </w:rPr>
        <w:t xml:space="preserve"> or interfere with contacts made between the cells</w:t>
      </w:r>
      <w:r w:rsidR="0036130D">
        <w:rPr>
          <w:rFonts w:ascii="Times New Roman" w:hAnsi="Times New Roman" w:cs="Times New Roman"/>
        </w:rPr>
        <w:t xml:space="preserve"> that in turn influence neuronal outgrowth</w:t>
      </w:r>
      <w:r w:rsidR="003D63AF">
        <w:rPr>
          <w:rFonts w:ascii="Times New Roman" w:hAnsi="Times New Roman" w:cs="Times New Roman"/>
        </w:rPr>
        <w:t>.</w:t>
      </w:r>
      <w:r w:rsidR="00E50403">
        <w:rPr>
          <w:rFonts w:ascii="Times New Roman" w:hAnsi="Times New Roman" w:cs="Times New Roman"/>
        </w:rPr>
        <w:t xml:space="preserve"> </w:t>
      </w:r>
      <w:r w:rsidR="0091237A">
        <w:rPr>
          <w:rFonts w:ascii="Times New Roman" w:hAnsi="Times New Roman" w:cs="Times New Roman"/>
        </w:rPr>
        <w:t>To investigate this</w:t>
      </w:r>
      <w:r w:rsidR="00475D42">
        <w:rPr>
          <w:rFonts w:ascii="Times New Roman" w:hAnsi="Times New Roman" w:cs="Times New Roman"/>
        </w:rPr>
        <w:t>, a neurite outgrowth assay was developed to assess whether loss of a functional IGF1 sig</w:t>
      </w:r>
      <w:r w:rsidR="00E42DB6">
        <w:rPr>
          <w:rFonts w:ascii="Times New Roman" w:hAnsi="Times New Roman" w:cs="Times New Roman"/>
        </w:rPr>
        <w:t>nalling pathway in astrocytes wa</w:t>
      </w:r>
      <w:r w:rsidR="00475D42">
        <w:rPr>
          <w:rFonts w:ascii="Times New Roman" w:hAnsi="Times New Roman" w:cs="Times New Roman"/>
        </w:rPr>
        <w:t xml:space="preserve">s detrimental to </w:t>
      </w:r>
      <w:r w:rsidR="00E42DB6">
        <w:rPr>
          <w:rFonts w:ascii="Times New Roman" w:hAnsi="Times New Roman" w:cs="Times New Roman"/>
        </w:rPr>
        <w:t>neurite outgrowth.</w:t>
      </w:r>
    </w:p>
    <w:p w14:paraId="2CCCFD7B" w14:textId="77777777" w:rsidR="005F182A" w:rsidRDefault="005F182A" w:rsidP="00C63BC1">
      <w:pPr>
        <w:spacing w:line="360" w:lineRule="auto"/>
        <w:jc w:val="both"/>
        <w:rPr>
          <w:rFonts w:ascii="Times New Roman" w:hAnsi="Times New Roman" w:cs="Times New Roman"/>
        </w:rPr>
      </w:pPr>
    </w:p>
    <w:p w14:paraId="54E5E517" w14:textId="69747126" w:rsidR="00DF6C1C" w:rsidRDefault="003829EA" w:rsidP="00C63BC1">
      <w:pPr>
        <w:spacing w:line="360" w:lineRule="auto"/>
        <w:jc w:val="both"/>
        <w:rPr>
          <w:rFonts w:ascii="Times New Roman" w:hAnsi="Times New Roman" w:cs="Times New Roman"/>
        </w:rPr>
      </w:pPr>
      <w:r>
        <w:rPr>
          <w:rFonts w:ascii="Times New Roman" w:hAnsi="Times New Roman" w:cs="Times New Roman"/>
        </w:rPr>
        <w:t>The</w:t>
      </w:r>
      <w:r w:rsidR="00475D42">
        <w:rPr>
          <w:rFonts w:ascii="Times New Roman" w:hAnsi="Times New Roman" w:cs="Times New Roman"/>
        </w:rPr>
        <w:t xml:space="preserve"> neurite outgrowth assays</w:t>
      </w:r>
      <w:r>
        <w:rPr>
          <w:rFonts w:ascii="Times New Roman" w:hAnsi="Times New Roman" w:cs="Times New Roman"/>
        </w:rPr>
        <w:t xml:space="preserve"> were developed </w:t>
      </w:r>
      <w:r w:rsidR="00475D42">
        <w:rPr>
          <w:rFonts w:ascii="Times New Roman" w:hAnsi="Times New Roman" w:cs="Times New Roman"/>
        </w:rPr>
        <w:t>using a stable GFP expressing neu</w:t>
      </w:r>
      <w:r w:rsidR="00B66F12">
        <w:rPr>
          <w:rFonts w:ascii="Times New Roman" w:hAnsi="Times New Roman" w:cs="Times New Roman"/>
        </w:rPr>
        <w:t>ronal cell line (GFP</w:t>
      </w:r>
      <w:r w:rsidR="0091237A">
        <w:rPr>
          <w:rFonts w:ascii="Times New Roman" w:hAnsi="Times New Roman" w:cs="Times New Roman"/>
        </w:rPr>
        <w:t xml:space="preserve"> </w:t>
      </w:r>
      <w:r w:rsidR="00B66F12">
        <w:rPr>
          <w:rFonts w:ascii="Times New Roman" w:hAnsi="Times New Roman" w:cs="Times New Roman"/>
        </w:rPr>
        <w:t>LUHMES). They have</w:t>
      </w:r>
      <w:r w:rsidR="00475D42">
        <w:rPr>
          <w:rFonts w:ascii="Times New Roman" w:hAnsi="Times New Roman" w:cs="Times New Roman"/>
        </w:rPr>
        <w:t xml:space="preserve"> provided extensive information on the co-culture model and the effect of co-culturing IGF1 signalling impaired astrocytes with neurons</w:t>
      </w:r>
      <w:r w:rsidR="005F182A">
        <w:rPr>
          <w:rFonts w:ascii="Times New Roman" w:hAnsi="Times New Roman" w:cs="Times New Roman"/>
        </w:rPr>
        <w:t xml:space="preserve">. </w:t>
      </w:r>
      <w:r w:rsidR="00C22446">
        <w:rPr>
          <w:rFonts w:ascii="Times New Roman" w:hAnsi="Times New Roman" w:cs="Times New Roman"/>
        </w:rPr>
        <w:t xml:space="preserve">Furthermore, this chapter explores </w:t>
      </w:r>
      <w:r w:rsidR="00E42DB6">
        <w:rPr>
          <w:rFonts w:ascii="Times New Roman" w:hAnsi="Times New Roman" w:cs="Times New Roman"/>
        </w:rPr>
        <w:t xml:space="preserve">whether astrocytes with impaired IGF1 signalling can </w:t>
      </w:r>
      <w:r w:rsidR="00C22446">
        <w:rPr>
          <w:rFonts w:ascii="Times New Roman" w:hAnsi="Times New Roman" w:cs="Times New Roman"/>
        </w:rPr>
        <w:t xml:space="preserve">protect neurons against oxidative stress </w:t>
      </w:r>
      <w:r w:rsidR="00E42DB6">
        <w:rPr>
          <w:rFonts w:ascii="Times New Roman" w:hAnsi="Times New Roman" w:cs="Times New Roman"/>
        </w:rPr>
        <w:t>since</w:t>
      </w:r>
      <w:r w:rsidR="003B11A1">
        <w:rPr>
          <w:rFonts w:ascii="Times New Roman" w:hAnsi="Times New Roman" w:cs="Times New Roman"/>
        </w:rPr>
        <w:t xml:space="preserve"> loss of functional IGF1 signa</w:t>
      </w:r>
      <w:r w:rsidR="00E42DB6">
        <w:rPr>
          <w:rFonts w:ascii="Times New Roman" w:hAnsi="Times New Roman" w:cs="Times New Roman"/>
        </w:rPr>
        <w:t>lling in rodent astrocytes results in</w:t>
      </w:r>
      <w:r w:rsidR="003B11A1">
        <w:rPr>
          <w:rFonts w:ascii="Times New Roman" w:hAnsi="Times New Roman" w:cs="Times New Roman"/>
        </w:rPr>
        <w:t xml:space="preserve"> neurons </w:t>
      </w:r>
      <w:r w:rsidR="00E42DB6">
        <w:rPr>
          <w:rFonts w:ascii="Times New Roman" w:hAnsi="Times New Roman" w:cs="Times New Roman"/>
        </w:rPr>
        <w:t xml:space="preserve">being </w:t>
      </w:r>
      <w:r w:rsidR="003B11A1">
        <w:rPr>
          <w:rFonts w:ascii="Times New Roman" w:hAnsi="Times New Roman" w:cs="Times New Roman"/>
        </w:rPr>
        <w:t xml:space="preserve">more susceptible to oxidative damage </w:t>
      </w:r>
      <w:r w:rsidR="00D65F3C">
        <w:rPr>
          <w:rFonts w:ascii="Times New Roman" w:hAnsi="Times New Roman" w:cs="Times New Roman"/>
        </w:rPr>
        <w:t xml:space="preserve">due to the increases in </w:t>
      </w:r>
      <w:r w:rsidR="006755E0">
        <w:rPr>
          <w:rFonts w:ascii="Times New Roman" w:hAnsi="Times New Roman" w:cs="Times New Roman"/>
        </w:rPr>
        <w:t xml:space="preserve">astrocytic levels of </w:t>
      </w:r>
      <w:r w:rsidR="00D65F3C">
        <w:rPr>
          <w:rFonts w:ascii="Times New Roman" w:hAnsi="Times New Roman" w:cs="Times New Roman"/>
        </w:rPr>
        <w:t xml:space="preserve">the proxidant TXNIP1 </w:t>
      </w:r>
      <w:r w:rsidR="003B11A1">
        <w:rPr>
          <w:rFonts w:ascii="Times New Roman" w:hAnsi="Times New Roman" w:cs="Times New Roman"/>
        </w:rPr>
        <w:t xml:space="preserve">(Genis </w:t>
      </w:r>
      <w:r w:rsidR="003B11A1">
        <w:rPr>
          <w:rFonts w:ascii="Times New Roman" w:hAnsi="Times New Roman" w:cs="Times New Roman"/>
          <w:i/>
        </w:rPr>
        <w:t xml:space="preserve">et al, </w:t>
      </w:r>
      <w:r w:rsidR="003B11A1">
        <w:rPr>
          <w:rFonts w:ascii="Times New Roman" w:hAnsi="Times New Roman" w:cs="Times New Roman"/>
        </w:rPr>
        <w:t>2013).</w:t>
      </w:r>
      <w:r w:rsidR="003F39E0">
        <w:rPr>
          <w:rFonts w:ascii="Times New Roman" w:hAnsi="Times New Roman" w:cs="Times New Roman"/>
          <w:color w:val="FF0000"/>
        </w:rPr>
        <w:t xml:space="preserve"> </w:t>
      </w:r>
      <w:r w:rsidR="00B830E5">
        <w:rPr>
          <w:rFonts w:ascii="Times New Roman" w:hAnsi="Times New Roman" w:cs="Times New Roman"/>
        </w:rPr>
        <w:t xml:space="preserve">More recently it has been demonstrated that astrocytes are able to exert protection against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 xml:space="preserve">2 </w:t>
      </w:r>
      <w:r w:rsidR="00B830E5">
        <w:rPr>
          <w:rFonts w:ascii="Times New Roman" w:hAnsi="Times New Roman" w:cs="Times New Roman"/>
        </w:rPr>
        <w:t>thro</w:t>
      </w:r>
      <w:r w:rsidR="0039715D">
        <w:rPr>
          <w:rFonts w:ascii="Times New Roman" w:hAnsi="Times New Roman" w:cs="Times New Roman"/>
        </w:rPr>
        <w:t>ugh functional IGF</w:t>
      </w:r>
      <w:r w:rsidR="00E42DB6">
        <w:rPr>
          <w:rFonts w:ascii="Times New Roman" w:hAnsi="Times New Roman" w:cs="Times New Roman"/>
        </w:rPr>
        <w:t>1 signalling operating in an Akt</w:t>
      </w:r>
      <w:r w:rsidR="0039715D">
        <w:rPr>
          <w:rFonts w:ascii="Times New Roman" w:hAnsi="Times New Roman" w:cs="Times New Roman"/>
        </w:rPr>
        <w:t xml:space="preserve"> dependent manner</w:t>
      </w:r>
      <w:r w:rsidR="00B830E5">
        <w:rPr>
          <w:rFonts w:ascii="Times New Roman" w:hAnsi="Times New Roman" w:cs="Times New Roman"/>
        </w:rPr>
        <w:t xml:space="preserve"> </w:t>
      </w:r>
      <w:r w:rsidR="00803C5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"10.1074/jbc.M115.695478", "ISSN" : "1083-351X", "PMID" : "26631726", "abstract" : "Disruption of insulin-like growth factor I (IGF-I) signaling is a key step in the development of cancer or neurodegeneration. For example, interference of the prosurvival IGF-I/AKT/FOXO3 pathway by redox activation of the stress kinases p38 and JNK is instrumental in neuronal death by oxidative stress. However, in astrocytes, IGF-I retains its protective action against oxidative stress. The molecular mechanisms underlying this cell-specific protection remain obscure but may be relevant to unveil new ways to combat IGF-I/insulin resistance. Here, we describe that, in astrocytes exposed to oxidative stress by hydrogen peroxide (H2O2), p38 activation did not inhibit AKT (protein kinase B) activation by IGF-I, which is in contrast to our previous observations in neurons. Rather, stimulation of AKT by IGF-I was significantly higher and more sustained in astrocytes than in neurons either under normal or oxidative conditions. This may be explained by phosphorylation of the phosphatase PTEN at the plasma membrane in response to IGF-I, inducing its cytosolic translocation and preserving in this way AKT activity. Stimulation of AKT by IGF-I, mimicked also by a constitutively active AKT mutant, reduced oxidative stress levels and cell death in H2O2-exposed astrocytes, boosting their neuroprotective action in co-cultured neurons. These results indicate that armoring of AKT activation by IGF-I is crucial to preserve its cytoprotective effect in astrocytes and may form part of the brain defense mechanism against oxidative stress injury.", "author" : [ { "dropping-particle" : "", "family" : "D\u00e1vila", "given" : "David", "non-dropping-particle" : "", "parse-names" : false, "suffix" : "" }, { "dropping-particle" : "", "family" : "Fern\u00e1ndez", "given" : "Silvia", "non-dropping-particle" : "", "parse-names" : false, "suffix" : "" }, { "dropping-particle" : "", "family" : "Torres-Alem\u00e1n", "given" : "Ignacio", "non-dropping-particle" : "", "parse-names" : false, "suffix" : "" } ], "container-title" : "The Journal of biological chemistry", "id" : "ITEM-1", "issue" : "5", "issued" : { "date-parts" : [ [ "2016", "1", "29" ] ] }, "page" : "2510-23", "title" : "Astrocyte Resilience to Oxidative Stress Induced by Insulin-like Growth Factor I (IGF-I) Involves Preserved AKT (Protein Kinase B) Activity.", "type" : "article-journal", "volume" : "291" }, "uris" : [ "http://www.mendeley.com/documents/?uuid=f46d4255-04af-41f5-aafb-51f099500ab8" ] } ], "mendeley" : { "formattedCitation" : "(D\u00e1vila et al. 2016b)", "manualFormatting" : "(D\u00e1vila et al., 2016)", "plainTextFormattedCitation" : "(D\u00e1vila et al. 2016b)", "previouslyFormattedCitation" : "(D\u00e1vila et al. 2016b)" }, "properties" : { "noteIndex" : 0 }, "schema" : "https://github.com/citation-style-language/schema/raw/master/csl-citation.json" }</w:instrText>
      </w:r>
      <w:r w:rsidR="00803C52">
        <w:rPr>
          <w:rFonts w:ascii="Times New Roman" w:hAnsi="Times New Roman" w:cs="Times New Roman"/>
        </w:rPr>
        <w:fldChar w:fldCharType="separate"/>
      </w:r>
      <w:r w:rsidR="00DD2495">
        <w:rPr>
          <w:rFonts w:ascii="Times New Roman" w:hAnsi="Times New Roman" w:cs="Times New Roman"/>
          <w:noProof/>
        </w:rPr>
        <w:t>(Dávila et al., 2016</w:t>
      </w:r>
      <w:r w:rsidR="00970704" w:rsidRPr="00970704">
        <w:rPr>
          <w:rFonts w:ascii="Times New Roman" w:hAnsi="Times New Roman" w:cs="Times New Roman"/>
          <w:noProof/>
        </w:rPr>
        <w:t>)</w:t>
      </w:r>
      <w:r w:rsidR="00803C52">
        <w:rPr>
          <w:rFonts w:ascii="Times New Roman" w:hAnsi="Times New Roman" w:cs="Times New Roman"/>
        </w:rPr>
        <w:fldChar w:fldCharType="end"/>
      </w:r>
      <w:r w:rsidR="00803C52">
        <w:rPr>
          <w:rFonts w:ascii="Times New Roman" w:hAnsi="Times New Roman" w:cs="Times New Roman"/>
        </w:rPr>
        <w:t>.</w:t>
      </w:r>
      <w:r w:rsidR="0039715D">
        <w:rPr>
          <w:rFonts w:ascii="Times New Roman" w:hAnsi="Times New Roman" w:cs="Times New Roman"/>
        </w:rPr>
        <w:t xml:space="preserve"> </w:t>
      </w:r>
    </w:p>
    <w:p w14:paraId="3B066FC4" w14:textId="77777777" w:rsidR="000D29E0" w:rsidRPr="00B830E5" w:rsidRDefault="000D29E0" w:rsidP="00C63BC1">
      <w:pPr>
        <w:spacing w:line="360" w:lineRule="auto"/>
        <w:jc w:val="both"/>
        <w:rPr>
          <w:rFonts w:ascii="Times New Roman" w:hAnsi="Times New Roman" w:cs="Times New Roman"/>
        </w:rPr>
      </w:pPr>
    </w:p>
    <w:p w14:paraId="307FA819" w14:textId="77777777" w:rsidR="00404072" w:rsidRDefault="00404072" w:rsidP="00C63BC1">
      <w:pPr>
        <w:pStyle w:val="Heading2"/>
        <w:jc w:val="both"/>
      </w:pPr>
      <w:bookmarkStart w:id="1255" w:name="_Toc328301161"/>
      <w:bookmarkStart w:id="1256" w:name="_Toc329593452"/>
    </w:p>
    <w:p w14:paraId="2C60A259" w14:textId="77777777" w:rsidR="00404072" w:rsidRDefault="00404072" w:rsidP="00C63BC1">
      <w:pPr>
        <w:jc w:val="both"/>
      </w:pPr>
    </w:p>
    <w:p w14:paraId="1240ECF4" w14:textId="77777777" w:rsidR="00404072" w:rsidRDefault="00404072" w:rsidP="00C63BC1">
      <w:pPr>
        <w:jc w:val="both"/>
      </w:pPr>
    </w:p>
    <w:p w14:paraId="5FCEFE17" w14:textId="77777777" w:rsidR="00404072" w:rsidRDefault="00404072" w:rsidP="00C63BC1">
      <w:pPr>
        <w:jc w:val="both"/>
      </w:pPr>
    </w:p>
    <w:p w14:paraId="23B2EA2D" w14:textId="77777777" w:rsidR="00404072" w:rsidRDefault="00404072" w:rsidP="00C63BC1">
      <w:pPr>
        <w:jc w:val="both"/>
      </w:pPr>
    </w:p>
    <w:p w14:paraId="377D15D4" w14:textId="77777777" w:rsidR="0091237A" w:rsidRDefault="0091237A" w:rsidP="00C63BC1">
      <w:pPr>
        <w:jc w:val="both"/>
      </w:pPr>
    </w:p>
    <w:p w14:paraId="4F00257A" w14:textId="77777777" w:rsidR="0091237A" w:rsidRPr="00404072" w:rsidRDefault="0091237A" w:rsidP="00C63BC1">
      <w:pPr>
        <w:jc w:val="both"/>
      </w:pPr>
    </w:p>
    <w:p w14:paraId="68BDAA0A" w14:textId="2E13C005" w:rsidR="00535052" w:rsidRDefault="00F00E0E" w:rsidP="00C63BC1">
      <w:pPr>
        <w:pStyle w:val="Heading2"/>
        <w:jc w:val="both"/>
      </w:pPr>
      <w:bookmarkStart w:id="1257" w:name="_Toc331425951"/>
      <w:bookmarkStart w:id="1258" w:name="_Toc331427132"/>
      <w:bookmarkStart w:id="1259" w:name="_Toc331427504"/>
      <w:bookmarkStart w:id="1260" w:name="_Toc331427646"/>
      <w:bookmarkStart w:id="1261" w:name="_Toc332972651"/>
      <w:bookmarkStart w:id="1262" w:name="_Toc333046930"/>
      <w:bookmarkStart w:id="1263" w:name="_Toc333477277"/>
      <w:bookmarkStart w:id="1264" w:name="_Toc333478047"/>
      <w:bookmarkStart w:id="1265" w:name="_Toc333644947"/>
      <w:r>
        <w:t xml:space="preserve">4.2 </w:t>
      </w:r>
      <w:r w:rsidR="00FE56BD">
        <w:t>Aims</w:t>
      </w:r>
      <w:r>
        <w:t xml:space="preserve"> and Objectives</w:t>
      </w:r>
      <w:bookmarkEnd w:id="1255"/>
      <w:bookmarkEnd w:id="1256"/>
      <w:bookmarkEnd w:id="1257"/>
      <w:bookmarkEnd w:id="1258"/>
      <w:bookmarkEnd w:id="1259"/>
      <w:bookmarkEnd w:id="1260"/>
      <w:bookmarkEnd w:id="1261"/>
      <w:bookmarkEnd w:id="1262"/>
      <w:bookmarkEnd w:id="1263"/>
      <w:bookmarkEnd w:id="1264"/>
      <w:bookmarkEnd w:id="1265"/>
    </w:p>
    <w:p w14:paraId="5C45B037" w14:textId="77777777" w:rsidR="00FE56BD" w:rsidRDefault="00FE56BD" w:rsidP="00C63BC1">
      <w:pPr>
        <w:jc w:val="both"/>
        <w:rPr>
          <w:rFonts w:ascii="Times New Roman" w:hAnsi="Times New Roman" w:cs="Times New Roman"/>
          <w:b/>
          <w:u w:val="single"/>
        </w:rPr>
      </w:pPr>
    </w:p>
    <w:p w14:paraId="4AAFE066" w14:textId="51890151" w:rsidR="00FE56BD" w:rsidRPr="00FE56BD" w:rsidRDefault="005E53D5" w:rsidP="00C63BC1">
      <w:pPr>
        <w:pStyle w:val="ListParagraph"/>
        <w:numPr>
          <w:ilvl w:val="0"/>
          <w:numId w:val="5"/>
        </w:numPr>
        <w:jc w:val="both"/>
        <w:rPr>
          <w:rFonts w:ascii="Times New Roman" w:hAnsi="Times New Roman" w:cs="Times New Roman"/>
        </w:rPr>
      </w:pPr>
      <w:r>
        <w:rPr>
          <w:rFonts w:ascii="Times New Roman" w:hAnsi="Times New Roman" w:cs="Times New Roman"/>
        </w:rPr>
        <w:t>To e</w:t>
      </w:r>
      <w:r w:rsidR="00FE56BD" w:rsidRPr="00FE56BD">
        <w:rPr>
          <w:rFonts w:ascii="Times New Roman" w:hAnsi="Times New Roman" w:cs="Times New Roman"/>
        </w:rPr>
        <w:t>stablish</w:t>
      </w:r>
      <w:r w:rsidR="00FE56BD">
        <w:rPr>
          <w:rFonts w:ascii="Times New Roman" w:hAnsi="Times New Roman" w:cs="Times New Roman"/>
        </w:rPr>
        <w:t xml:space="preserve"> and characterise</w:t>
      </w:r>
      <w:r w:rsidR="00AB41C0">
        <w:rPr>
          <w:rFonts w:ascii="Times New Roman" w:hAnsi="Times New Roman" w:cs="Times New Roman"/>
        </w:rPr>
        <w:t xml:space="preserve"> a human astrocyte-</w:t>
      </w:r>
      <w:r w:rsidR="0091237A">
        <w:rPr>
          <w:rFonts w:ascii="Times New Roman" w:hAnsi="Times New Roman" w:cs="Times New Roman"/>
        </w:rPr>
        <w:t>neuron</w:t>
      </w:r>
      <w:r w:rsidR="00FE56BD" w:rsidRPr="00FE56BD">
        <w:rPr>
          <w:rFonts w:ascii="Times New Roman" w:hAnsi="Times New Roman" w:cs="Times New Roman"/>
        </w:rPr>
        <w:t xml:space="preserve"> co-culture model</w:t>
      </w:r>
      <w:r w:rsidR="008977B5">
        <w:rPr>
          <w:rFonts w:ascii="Times New Roman" w:hAnsi="Times New Roman" w:cs="Times New Roman"/>
        </w:rPr>
        <w:t>.</w:t>
      </w:r>
    </w:p>
    <w:p w14:paraId="509368D3" w14:textId="0EA4DAEB" w:rsidR="00FE56BD" w:rsidRPr="005E53D5" w:rsidRDefault="005E53D5" w:rsidP="00C63BC1">
      <w:pPr>
        <w:pStyle w:val="ListParagraph"/>
        <w:numPr>
          <w:ilvl w:val="0"/>
          <w:numId w:val="5"/>
        </w:numPr>
        <w:jc w:val="both"/>
        <w:rPr>
          <w:rFonts w:ascii="Times New Roman" w:hAnsi="Times New Roman" w:cs="Times New Roman"/>
        </w:rPr>
      </w:pPr>
      <w:r>
        <w:rPr>
          <w:rFonts w:ascii="Times New Roman" w:hAnsi="Times New Roman" w:cs="Times New Roman"/>
        </w:rPr>
        <w:t>To g</w:t>
      </w:r>
      <w:r w:rsidR="00FE56BD">
        <w:rPr>
          <w:rFonts w:ascii="Times New Roman" w:hAnsi="Times New Roman" w:cs="Times New Roman"/>
        </w:rPr>
        <w:t>enerate stably</w:t>
      </w:r>
      <w:r w:rsidR="008977B5">
        <w:rPr>
          <w:rFonts w:ascii="Times New Roman" w:hAnsi="Times New Roman" w:cs="Times New Roman"/>
        </w:rPr>
        <w:t xml:space="preserve"> expressing</w:t>
      </w:r>
      <w:r w:rsidR="00FE56BD">
        <w:rPr>
          <w:rFonts w:ascii="Times New Roman" w:hAnsi="Times New Roman" w:cs="Times New Roman"/>
        </w:rPr>
        <w:t xml:space="preserve"> GFP neurons</w:t>
      </w:r>
      <w:r>
        <w:rPr>
          <w:rFonts w:ascii="Times New Roman" w:hAnsi="Times New Roman" w:cs="Times New Roman"/>
        </w:rPr>
        <w:t xml:space="preserve"> in order to develop a neurite outgrowth assay </w:t>
      </w:r>
      <w:r w:rsidR="008966BB" w:rsidRPr="005E53D5">
        <w:rPr>
          <w:rFonts w:ascii="Times New Roman" w:hAnsi="Times New Roman" w:cs="Times New Roman"/>
        </w:rPr>
        <w:t>to assess astrocytic support for neurons</w:t>
      </w:r>
      <w:r w:rsidR="008977B5" w:rsidRPr="005E53D5">
        <w:rPr>
          <w:rFonts w:ascii="Times New Roman" w:hAnsi="Times New Roman" w:cs="Times New Roman"/>
        </w:rPr>
        <w:t>.</w:t>
      </w:r>
    </w:p>
    <w:p w14:paraId="44E0C4D5" w14:textId="387238C3" w:rsidR="00FE56BD" w:rsidRDefault="008977B5" w:rsidP="00C63BC1">
      <w:pPr>
        <w:pStyle w:val="ListParagraph"/>
        <w:numPr>
          <w:ilvl w:val="0"/>
          <w:numId w:val="5"/>
        </w:numPr>
        <w:jc w:val="both"/>
        <w:rPr>
          <w:rFonts w:ascii="Times New Roman" w:hAnsi="Times New Roman" w:cs="Times New Roman"/>
        </w:rPr>
      </w:pPr>
      <w:r>
        <w:rPr>
          <w:rFonts w:ascii="Times New Roman" w:hAnsi="Times New Roman" w:cs="Times New Roman"/>
        </w:rPr>
        <w:t>Investigate how impairments in the IGF1 signalling pathway affect</w:t>
      </w:r>
      <w:r w:rsidR="008966BB">
        <w:rPr>
          <w:rFonts w:ascii="Times New Roman" w:hAnsi="Times New Roman" w:cs="Times New Roman"/>
        </w:rPr>
        <w:t xml:space="preserve"> astrocytic support for neurons under basal </w:t>
      </w:r>
      <w:r>
        <w:rPr>
          <w:rFonts w:ascii="Times New Roman" w:hAnsi="Times New Roman" w:cs="Times New Roman"/>
        </w:rPr>
        <w:t>and oxidative stress conditions.</w:t>
      </w:r>
    </w:p>
    <w:p w14:paraId="70F16021" w14:textId="77777777" w:rsidR="008966BB" w:rsidRPr="00FE56BD" w:rsidRDefault="008966BB" w:rsidP="00C63BC1">
      <w:pPr>
        <w:pStyle w:val="ListParagraph"/>
        <w:ind w:left="600"/>
        <w:jc w:val="both"/>
        <w:rPr>
          <w:rFonts w:ascii="Times New Roman" w:hAnsi="Times New Roman" w:cs="Times New Roman"/>
        </w:rPr>
      </w:pPr>
    </w:p>
    <w:p w14:paraId="29848F53" w14:textId="767B8EC9" w:rsidR="00DF6C1C" w:rsidRDefault="00F00E0E" w:rsidP="00C63BC1">
      <w:pPr>
        <w:pStyle w:val="Heading2"/>
        <w:jc w:val="both"/>
      </w:pPr>
      <w:bookmarkStart w:id="1266" w:name="_Toc328301162"/>
      <w:bookmarkStart w:id="1267" w:name="_Toc329593453"/>
      <w:bookmarkStart w:id="1268" w:name="_Toc331425952"/>
      <w:bookmarkStart w:id="1269" w:name="_Toc331427133"/>
      <w:bookmarkStart w:id="1270" w:name="_Toc331427505"/>
      <w:bookmarkStart w:id="1271" w:name="_Toc331427647"/>
      <w:bookmarkStart w:id="1272" w:name="_Toc332972652"/>
      <w:bookmarkStart w:id="1273" w:name="_Toc333046931"/>
      <w:bookmarkStart w:id="1274" w:name="_Toc333477278"/>
      <w:bookmarkStart w:id="1275" w:name="_Toc333478048"/>
      <w:bookmarkStart w:id="1276" w:name="_Toc333644948"/>
      <w:r>
        <w:t>4.3</w:t>
      </w:r>
      <w:r w:rsidR="00F94933">
        <w:t xml:space="preserve"> </w:t>
      </w:r>
      <w:r w:rsidR="00DF6C1C">
        <w:t>Methods</w:t>
      </w:r>
      <w:bookmarkEnd w:id="1266"/>
      <w:bookmarkEnd w:id="1267"/>
      <w:bookmarkEnd w:id="1268"/>
      <w:bookmarkEnd w:id="1269"/>
      <w:bookmarkEnd w:id="1270"/>
      <w:bookmarkEnd w:id="1271"/>
      <w:bookmarkEnd w:id="1272"/>
      <w:bookmarkEnd w:id="1273"/>
      <w:bookmarkEnd w:id="1274"/>
      <w:bookmarkEnd w:id="1275"/>
      <w:bookmarkEnd w:id="1276"/>
    </w:p>
    <w:p w14:paraId="5D7B27DC" w14:textId="77777777" w:rsidR="00DF6C1C" w:rsidRDefault="00DF6C1C" w:rsidP="00C63BC1">
      <w:pPr>
        <w:jc w:val="both"/>
        <w:rPr>
          <w:rFonts w:ascii="Times New Roman" w:hAnsi="Times New Roman" w:cs="Times New Roman"/>
          <w:b/>
          <w:u w:val="single"/>
        </w:rPr>
      </w:pPr>
    </w:p>
    <w:p w14:paraId="35905123" w14:textId="3CBCA54A" w:rsidR="00DF6C1C" w:rsidRDefault="00617930" w:rsidP="00C63BC1">
      <w:pPr>
        <w:spacing w:line="360" w:lineRule="auto"/>
        <w:jc w:val="both"/>
        <w:rPr>
          <w:rFonts w:ascii="Times New Roman" w:hAnsi="Times New Roman" w:cs="Times New Roman"/>
        </w:rPr>
      </w:pPr>
      <w:r>
        <w:rPr>
          <w:rFonts w:ascii="Times New Roman" w:hAnsi="Times New Roman" w:cs="Times New Roman"/>
        </w:rPr>
        <w:t xml:space="preserve">Detailed methods for this section can be found in chapter </w:t>
      </w:r>
      <w:r w:rsidR="00B92D16">
        <w:rPr>
          <w:rFonts w:ascii="Times New Roman" w:hAnsi="Times New Roman" w:cs="Times New Roman"/>
        </w:rPr>
        <w:t>2</w:t>
      </w:r>
      <w:r>
        <w:rPr>
          <w:rFonts w:ascii="Times New Roman" w:hAnsi="Times New Roman" w:cs="Times New Roman"/>
        </w:rPr>
        <w:t>. In summary</w:t>
      </w:r>
      <w:r w:rsidR="00CE4D9D">
        <w:rPr>
          <w:rFonts w:ascii="Times New Roman" w:hAnsi="Times New Roman" w:cs="Times New Roman"/>
        </w:rPr>
        <w:t>, h</w:t>
      </w:r>
      <w:r w:rsidR="008B3651">
        <w:rPr>
          <w:rFonts w:ascii="Times New Roman" w:hAnsi="Times New Roman" w:cs="Times New Roman"/>
        </w:rPr>
        <w:t xml:space="preserve">uman astrocytes (ScienCell </w:t>
      </w:r>
      <w:r w:rsidR="00AB41C0">
        <w:rPr>
          <w:rFonts w:ascii="Times New Roman" w:hAnsi="Times New Roman" w:cs="Times New Roman"/>
        </w:rPr>
        <w:t>(</w:t>
      </w:r>
      <w:r w:rsidR="008B3651">
        <w:rPr>
          <w:rFonts w:ascii="Times New Roman" w:hAnsi="Times New Roman" w:cs="Times New Roman"/>
        </w:rPr>
        <w:t>2)</w:t>
      </w:r>
      <w:r w:rsidR="00AB41C0">
        <w:rPr>
          <w:rFonts w:ascii="Times New Roman" w:hAnsi="Times New Roman" w:cs="Times New Roman"/>
        </w:rPr>
        <w:t>)</w:t>
      </w:r>
      <w:r w:rsidR="008B3651">
        <w:rPr>
          <w:rFonts w:ascii="Times New Roman" w:hAnsi="Times New Roman" w:cs="Times New Roman"/>
        </w:rPr>
        <w:t xml:space="preserve"> were cultured with LUHMES to establish a unique human astro</w:t>
      </w:r>
      <w:r w:rsidR="00AB41C0">
        <w:rPr>
          <w:rFonts w:ascii="Times New Roman" w:hAnsi="Times New Roman" w:cs="Times New Roman"/>
        </w:rPr>
        <w:t>cyte-</w:t>
      </w:r>
      <w:r w:rsidR="0091237A">
        <w:rPr>
          <w:rFonts w:ascii="Times New Roman" w:hAnsi="Times New Roman" w:cs="Times New Roman"/>
        </w:rPr>
        <w:t xml:space="preserve">neuron </w:t>
      </w:r>
      <w:r w:rsidR="00D31E60">
        <w:rPr>
          <w:rFonts w:ascii="Times New Roman" w:hAnsi="Times New Roman" w:cs="Times New Roman"/>
        </w:rPr>
        <w:t xml:space="preserve">co-culture model. </w:t>
      </w:r>
      <w:r w:rsidR="008B3651">
        <w:rPr>
          <w:rFonts w:ascii="Times New Roman" w:hAnsi="Times New Roman" w:cs="Times New Roman"/>
        </w:rPr>
        <w:t>Neurite outgrowth is supported by the presen</w:t>
      </w:r>
      <w:r w:rsidR="003247BF">
        <w:rPr>
          <w:rFonts w:ascii="Times New Roman" w:hAnsi="Times New Roman" w:cs="Times New Roman"/>
        </w:rPr>
        <w:t>ce of astrocytes. T</w:t>
      </w:r>
      <w:r w:rsidR="008B3651">
        <w:rPr>
          <w:rFonts w:ascii="Times New Roman" w:hAnsi="Times New Roman" w:cs="Times New Roman"/>
        </w:rPr>
        <w:t>his feature was exploited for the design of a neurite outgrowth assay</w:t>
      </w:r>
      <w:r w:rsidR="003247BF">
        <w:rPr>
          <w:rFonts w:ascii="Times New Roman" w:hAnsi="Times New Roman" w:cs="Times New Roman"/>
        </w:rPr>
        <w:t xml:space="preserve">, which would be able to </w:t>
      </w:r>
      <w:r w:rsidR="008B3651">
        <w:rPr>
          <w:rFonts w:ascii="Times New Roman" w:hAnsi="Times New Roman" w:cs="Times New Roman"/>
        </w:rPr>
        <w:t xml:space="preserve">determine the ability of astrocytes to support this process under conditions of </w:t>
      </w:r>
      <w:r w:rsidR="00CE0416">
        <w:rPr>
          <w:rFonts w:ascii="Times New Roman" w:hAnsi="Times New Roman" w:cs="Times New Roman"/>
        </w:rPr>
        <w:t xml:space="preserve">impaired </w:t>
      </w:r>
      <w:r w:rsidR="00B67D35">
        <w:rPr>
          <w:rFonts w:ascii="Times New Roman" w:hAnsi="Times New Roman" w:cs="Times New Roman"/>
        </w:rPr>
        <w:t>IGF</w:t>
      </w:r>
      <w:r w:rsidR="009B04FB">
        <w:rPr>
          <w:rFonts w:ascii="Times New Roman" w:hAnsi="Times New Roman" w:cs="Times New Roman"/>
        </w:rPr>
        <w:t>1</w:t>
      </w:r>
      <w:r w:rsidR="00CE0416">
        <w:rPr>
          <w:rFonts w:ascii="Times New Roman" w:hAnsi="Times New Roman" w:cs="Times New Roman"/>
        </w:rPr>
        <w:t xml:space="preserve"> signalling</w:t>
      </w:r>
      <w:r w:rsidR="008B3651">
        <w:rPr>
          <w:rFonts w:ascii="Times New Roman" w:hAnsi="Times New Roman" w:cs="Times New Roman"/>
        </w:rPr>
        <w:t xml:space="preserve">. </w:t>
      </w:r>
      <w:r w:rsidR="002A4865">
        <w:rPr>
          <w:rFonts w:ascii="Times New Roman" w:hAnsi="Times New Roman" w:cs="Times New Roman"/>
        </w:rPr>
        <w:t>For this assay, stably expressing GFP LUHMES were generated using lentiviral transduction and used in</w:t>
      </w:r>
      <w:r w:rsidR="00D31E60">
        <w:rPr>
          <w:rFonts w:ascii="Times New Roman" w:hAnsi="Times New Roman" w:cs="Times New Roman"/>
        </w:rPr>
        <w:t xml:space="preserve"> the assay as outlined i</w:t>
      </w:r>
      <w:r w:rsidR="00404072">
        <w:rPr>
          <w:rFonts w:ascii="Times New Roman" w:hAnsi="Times New Roman" w:cs="Times New Roman"/>
        </w:rPr>
        <w:t xml:space="preserve">n </w:t>
      </w:r>
      <w:r w:rsidR="0091237A">
        <w:rPr>
          <w:rFonts w:ascii="Times New Roman" w:hAnsi="Times New Roman" w:cs="Times New Roman"/>
        </w:rPr>
        <w:t>section 2.2.1</w:t>
      </w:r>
      <w:r w:rsidR="00404072">
        <w:rPr>
          <w:rFonts w:ascii="Times New Roman" w:hAnsi="Times New Roman" w:cs="Times New Roman"/>
        </w:rPr>
        <w:t>(h)</w:t>
      </w:r>
      <w:r w:rsidR="002A4865">
        <w:rPr>
          <w:rFonts w:ascii="Times New Roman" w:hAnsi="Times New Roman" w:cs="Times New Roman"/>
        </w:rPr>
        <w:t xml:space="preserve">. </w:t>
      </w:r>
      <w:r>
        <w:rPr>
          <w:rFonts w:ascii="Times New Roman" w:hAnsi="Times New Roman" w:cs="Times New Roman"/>
        </w:rPr>
        <w:t xml:space="preserve">In addition, the antioxidant capacity of the astrocytes was tested by incorporating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 xml:space="preserve">2 </w:t>
      </w:r>
      <w:r>
        <w:rPr>
          <w:rFonts w:ascii="Times New Roman" w:hAnsi="Times New Roman" w:cs="Times New Roman"/>
        </w:rPr>
        <w:t>treatments</w:t>
      </w:r>
      <w:r w:rsidR="00CE0416">
        <w:rPr>
          <w:rFonts w:ascii="Times New Roman" w:hAnsi="Times New Roman" w:cs="Times New Roman"/>
        </w:rPr>
        <w:t xml:space="preserve"> (50μM for 2 hours)</w:t>
      </w:r>
      <w:r>
        <w:rPr>
          <w:rFonts w:ascii="Times New Roman" w:hAnsi="Times New Roman" w:cs="Times New Roman"/>
        </w:rPr>
        <w:t xml:space="preserve"> into the </w:t>
      </w:r>
      <w:r w:rsidR="00022BBE">
        <w:rPr>
          <w:rFonts w:ascii="Times New Roman" w:hAnsi="Times New Roman" w:cs="Times New Roman"/>
        </w:rPr>
        <w:t>neurite outgrowth assay</w:t>
      </w:r>
      <w:r>
        <w:rPr>
          <w:rFonts w:ascii="Times New Roman" w:hAnsi="Times New Roman" w:cs="Times New Roman"/>
        </w:rPr>
        <w:t>.</w:t>
      </w:r>
    </w:p>
    <w:p w14:paraId="0C49B747" w14:textId="77777777" w:rsidR="00A621B6" w:rsidRPr="008B3651" w:rsidRDefault="00A621B6" w:rsidP="00C63BC1">
      <w:pPr>
        <w:spacing w:line="360" w:lineRule="auto"/>
        <w:jc w:val="both"/>
        <w:rPr>
          <w:rFonts w:ascii="Times New Roman" w:hAnsi="Times New Roman" w:cs="Times New Roman"/>
        </w:rPr>
      </w:pPr>
    </w:p>
    <w:p w14:paraId="243565FB" w14:textId="77777777" w:rsidR="00404072" w:rsidRDefault="00404072" w:rsidP="00C63BC1">
      <w:pPr>
        <w:jc w:val="both"/>
      </w:pPr>
      <w:bookmarkStart w:id="1277" w:name="_Toc328301163"/>
      <w:bookmarkStart w:id="1278" w:name="_Toc329593454"/>
    </w:p>
    <w:p w14:paraId="6EFF0AB2" w14:textId="77777777" w:rsidR="003829EA" w:rsidRDefault="003829EA" w:rsidP="00C63BC1">
      <w:pPr>
        <w:jc w:val="both"/>
      </w:pPr>
    </w:p>
    <w:p w14:paraId="494A45A6" w14:textId="77777777" w:rsidR="003829EA" w:rsidRDefault="003829EA" w:rsidP="00C63BC1">
      <w:pPr>
        <w:jc w:val="both"/>
      </w:pPr>
    </w:p>
    <w:p w14:paraId="415EDC3A" w14:textId="77777777" w:rsidR="003829EA" w:rsidRDefault="003829EA" w:rsidP="00C63BC1">
      <w:pPr>
        <w:jc w:val="both"/>
      </w:pPr>
    </w:p>
    <w:p w14:paraId="6F337EA0" w14:textId="77777777" w:rsidR="003829EA" w:rsidRDefault="003829EA" w:rsidP="00C63BC1">
      <w:pPr>
        <w:jc w:val="both"/>
      </w:pPr>
    </w:p>
    <w:p w14:paraId="258DACFF" w14:textId="77777777" w:rsidR="003829EA" w:rsidRDefault="003829EA" w:rsidP="00C63BC1">
      <w:pPr>
        <w:jc w:val="both"/>
      </w:pPr>
    </w:p>
    <w:p w14:paraId="473289A1" w14:textId="77777777" w:rsidR="003829EA" w:rsidRDefault="003829EA" w:rsidP="00C63BC1">
      <w:pPr>
        <w:jc w:val="both"/>
      </w:pPr>
    </w:p>
    <w:p w14:paraId="78D6BAE7" w14:textId="77777777" w:rsidR="003829EA" w:rsidRDefault="003829EA" w:rsidP="00C63BC1">
      <w:pPr>
        <w:jc w:val="both"/>
      </w:pPr>
    </w:p>
    <w:p w14:paraId="0043C6BA" w14:textId="77777777" w:rsidR="00AB41C0" w:rsidRDefault="00AB41C0" w:rsidP="00C63BC1">
      <w:pPr>
        <w:jc w:val="both"/>
      </w:pPr>
    </w:p>
    <w:p w14:paraId="723D567A" w14:textId="77777777" w:rsidR="00AB41C0" w:rsidRDefault="00AB41C0" w:rsidP="00C63BC1">
      <w:pPr>
        <w:jc w:val="both"/>
      </w:pPr>
    </w:p>
    <w:p w14:paraId="362B7A3C" w14:textId="77777777" w:rsidR="00AB41C0" w:rsidRDefault="00AB41C0" w:rsidP="00C63BC1">
      <w:pPr>
        <w:jc w:val="both"/>
      </w:pPr>
    </w:p>
    <w:p w14:paraId="3CFD29A3" w14:textId="77777777" w:rsidR="00AB41C0" w:rsidRDefault="00AB41C0" w:rsidP="00C63BC1">
      <w:pPr>
        <w:jc w:val="both"/>
      </w:pPr>
    </w:p>
    <w:p w14:paraId="573323E3" w14:textId="77777777" w:rsidR="00AB41C0" w:rsidRDefault="00AB41C0" w:rsidP="00C63BC1">
      <w:pPr>
        <w:jc w:val="both"/>
      </w:pPr>
    </w:p>
    <w:p w14:paraId="2C1DE2EC" w14:textId="77777777" w:rsidR="004C1CF7" w:rsidRDefault="004C1CF7" w:rsidP="00C63BC1">
      <w:pPr>
        <w:jc w:val="both"/>
      </w:pPr>
    </w:p>
    <w:p w14:paraId="5FF494DA" w14:textId="77777777" w:rsidR="00AB41C0" w:rsidRDefault="00AB41C0" w:rsidP="00C63BC1">
      <w:pPr>
        <w:jc w:val="both"/>
      </w:pPr>
    </w:p>
    <w:p w14:paraId="6E1934E8" w14:textId="77777777" w:rsidR="00AB41C0" w:rsidRPr="00404072" w:rsidRDefault="00AB41C0" w:rsidP="00C63BC1">
      <w:pPr>
        <w:jc w:val="both"/>
      </w:pPr>
    </w:p>
    <w:p w14:paraId="340AC964" w14:textId="10A823AA" w:rsidR="00D4628B" w:rsidRDefault="00F00E0E" w:rsidP="00C63BC1">
      <w:pPr>
        <w:pStyle w:val="Heading2"/>
        <w:jc w:val="both"/>
      </w:pPr>
      <w:bookmarkStart w:id="1279" w:name="_Toc331425953"/>
      <w:bookmarkStart w:id="1280" w:name="_Toc331427134"/>
      <w:bookmarkStart w:id="1281" w:name="_Toc331427506"/>
      <w:bookmarkStart w:id="1282" w:name="_Toc331427648"/>
      <w:bookmarkStart w:id="1283" w:name="_Toc332972653"/>
      <w:bookmarkStart w:id="1284" w:name="_Toc333046932"/>
      <w:bookmarkStart w:id="1285" w:name="_Toc333477279"/>
      <w:bookmarkStart w:id="1286" w:name="_Toc333478049"/>
      <w:bookmarkStart w:id="1287" w:name="_Toc333644949"/>
      <w:r>
        <w:t>4.4</w:t>
      </w:r>
      <w:r w:rsidR="00F94933">
        <w:t xml:space="preserve"> </w:t>
      </w:r>
      <w:r w:rsidR="00D4628B">
        <w:t>Results</w:t>
      </w:r>
      <w:bookmarkEnd w:id="1277"/>
      <w:bookmarkEnd w:id="1278"/>
      <w:bookmarkEnd w:id="1279"/>
      <w:bookmarkEnd w:id="1280"/>
      <w:bookmarkEnd w:id="1281"/>
      <w:bookmarkEnd w:id="1282"/>
      <w:bookmarkEnd w:id="1283"/>
      <w:bookmarkEnd w:id="1284"/>
      <w:bookmarkEnd w:id="1285"/>
      <w:bookmarkEnd w:id="1286"/>
      <w:bookmarkEnd w:id="1287"/>
    </w:p>
    <w:p w14:paraId="642B731B" w14:textId="775F8DBD" w:rsidR="00DF6C1C" w:rsidRDefault="00F00E0E" w:rsidP="00C63BC1">
      <w:pPr>
        <w:pStyle w:val="Heading3"/>
        <w:jc w:val="both"/>
      </w:pPr>
      <w:bookmarkStart w:id="1288" w:name="_Toc328301164"/>
      <w:bookmarkStart w:id="1289" w:name="_Toc329593455"/>
      <w:bookmarkStart w:id="1290" w:name="_Toc331425954"/>
      <w:bookmarkStart w:id="1291" w:name="_Toc331427135"/>
      <w:bookmarkStart w:id="1292" w:name="_Toc331427507"/>
      <w:bookmarkStart w:id="1293" w:name="_Toc331427649"/>
      <w:bookmarkStart w:id="1294" w:name="_Toc332972654"/>
      <w:bookmarkStart w:id="1295" w:name="_Toc333046933"/>
      <w:bookmarkStart w:id="1296" w:name="_Toc333477280"/>
      <w:bookmarkStart w:id="1297" w:name="_Toc333478050"/>
      <w:bookmarkStart w:id="1298" w:name="_Toc333644950"/>
      <w:r>
        <w:t>4.4</w:t>
      </w:r>
      <w:r w:rsidR="00F94933">
        <w:t xml:space="preserve">.1 </w:t>
      </w:r>
      <w:r w:rsidR="00DF6C1C">
        <w:t>Establishing a human astrocyte-neuronal co-culture system</w:t>
      </w:r>
      <w:bookmarkEnd w:id="1288"/>
      <w:bookmarkEnd w:id="1289"/>
      <w:bookmarkEnd w:id="1290"/>
      <w:bookmarkEnd w:id="1291"/>
      <w:bookmarkEnd w:id="1292"/>
      <w:bookmarkEnd w:id="1293"/>
      <w:bookmarkEnd w:id="1294"/>
      <w:bookmarkEnd w:id="1295"/>
      <w:bookmarkEnd w:id="1296"/>
      <w:bookmarkEnd w:id="1297"/>
      <w:bookmarkEnd w:id="1298"/>
    </w:p>
    <w:p w14:paraId="311BB07C" w14:textId="77777777" w:rsidR="000523C5" w:rsidRDefault="000523C5" w:rsidP="00C63BC1">
      <w:pPr>
        <w:jc w:val="both"/>
        <w:rPr>
          <w:rFonts w:ascii="Times New Roman" w:hAnsi="Times New Roman" w:cs="Times New Roman"/>
          <w:b/>
          <w:u w:val="single"/>
        </w:rPr>
      </w:pPr>
    </w:p>
    <w:p w14:paraId="0E4E63D6" w14:textId="77777777" w:rsidR="000523C5" w:rsidRDefault="000523C5" w:rsidP="00C63BC1">
      <w:pPr>
        <w:jc w:val="both"/>
        <w:rPr>
          <w:rFonts w:ascii="Times New Roman" w:hAnsi="Times New Roman" w:cs="Times New Roman"/>
        </w:rPr>
      </w:pPr>
    </w:p>
    <w:p w14:paraId="65659173" w14:textId="02E0AC8A" w:rsidR="005A4D8A" w:rsidRDefault="00B615EB" w:rsidP="00C63BC1">
      <w:pPr>
        <w:spacing w:line="360" w:lineRule="auto"/>
        <w:jc w:val="both"/>
        <w:rPr>
          <w:rFonts w:ascii="Times New Roman" w:hAnsi="Times New Roman" w:cs="Times New Roman"/>
        </w:rPr>
      </w:pPr>
      <w:r>
        <w:rPr>
          <w:rFonts w:ascii="Times New Roman" w:hAnsi="Times New Roman" w:cs="Times New Roman"/>
        </w:rPr>
        <w:t xml:space="preserve">Human </w:t>
      </w:r>
      <w:r w:rsidR="005A4D8A">
        <w:rPr>
          <w:rFonts w:ascii="Times New Roman" w:hAnsi="Times New Roman" w:cs="Times New Roman"/>
        </w:rPr>
        <w:t xml:space="preserve">ScienCell astrocytes </w:t>
      </w:r>
      <w:r w:rsidR="003829EA">
        <w:rPr>
          <w:rFonts w:ascii="Times New Roman" w:hAnsi="Times New Roman" w:cs="Times New Roman"/>
        </w:rPr>
        <w:t>were</w:t>
      </w:r>
      <w:r w:rsidR="005A4D8A">
        <w:rPr>
          <w:rFonts w:ascii="Times New Roman" w:hAnsi="Times New Roman" w:cs="Times New Roman"/>
        </w:rPr>
        <w:t xml:space="preserve"> successfully co-cultured with LUHMES. The co-culture procedure </w:t>
      </w:r>
      <w:r w:rsidR="003829EA">
        <w:rPr>
          <w:rFonts w:ascii="Times New Roman" w:hAnsi="Times New Roman" w:cs="Times New Roman"/>
        </w:rPr>
        <w:t>was developed</w:t>
      </w:r>
      <w:r w:rsidR="005A4D8A">
        <w:rPr>
          <w:rFonts w:ascii="Times New Roman" w:hAnsi="Times New Roman" w:cs="Times New Roman"/>
        </w:rPr>
        <w:t xml:space="preserve"> around the differentiation protocol of</w:t>
      </w:r>
      <w:r w:rsidR="005E59B5">
        <w:rPr>
          <w:rFonts w:ascii="Times New Roman" w:hAnsi="Times New Roman" w:cs="Times New Roman"/>
        </w:rPr>
        <w:t xml:space="preserve"> the LUHMES </w:t>
      </w:r>
      <w:r w:rsidR="0091547D">
        <w:rPr>
          <w:rFonts w:ascii="Times New Roman" w:hAnsi="Times New Roman" w:cs="Times New Roman"/>
        </w:rPr>
        <w:t xml:space="preserve">and is outlined in </w:t>
      </w:r>
      <w:r w:rsidR="0091547D" w:rsidRPr="00CA402A">
        <w:rPr>
          <w:rFonts w:ascii="Times New Roman" w:hAnsi="Times New Roman" w:cs="Times New Roman"/>
          <w:b/>
        </w:rPr>
        <w:t xml:space="preserve">figure </w:t>
      </w:r>
      <w:r w:rsidR="0007303C" w:rsidRPr="00CA402A">
        <w:rPr>
          <w:rFonts w:ascii="Times New Roman" w:hAnsi="Times New Roman" w:cs="Times New Roman"/>
          <w:b/>
        </w:rPr>
        <w:t>2.1</w:t>
      </w:r>
      <w:r w:rsidR="0091547D">
        <w:rPr>
          <w:rFonts w:ascii="Times New Roman" w:hAnsi="Times New Roman" w:cs="Times New Roman"/>
        </w:rPr>
        <w:t xml:space="preserve"> </w:t>
      </w:r>
      <w:r w:rsidR="005E59B5">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"10.1111/j.1471-4159.2011.07255.x", "ISSN" : "1471-4159", "PMID" : "21434924", "abstract" : "We characterized phenotype and function of a fetal human mesencephalic cell line (LUHMES, Lund human mesencephalic) as neuronal model system. Neurodevelopmental profiling of the proliferation stage (d0, day 0) of these conditionally-immortalized cells revealed neuronal features, expressed simultaneously with some early neuroblast and stem cell markers. An optimized 2-step differentiation procedure, triggered by shut-down of the myc transgene, resulted in uniformly post-mitotic neurons within 5 days (d5). This was associated with down-regulation of some precursor markers and further up-regulation of neuronal genes. Neurite network formation involved the outgrowth of 1-2, often &gt; 500 \u03bcm long projections. They showed dynamic growth cone behavior, as evidenced by time-lapse imaging of stably GFP-over-expressing cells. Voltage-dependent sodium channels and spontaneous electrical activity of LUHMES continuously increased from d0 to d11, while levels of synaptic markers reached their maximum on d5. The developmental expression patterns of most genes and of the dopamine uptake- and release-machinery appeared to be intrinsically predetermined, as the differentiation proceeded similarly when external factors such as dibutyryl-cAMP and glial cell derived neurotrophic factor were omitted. Only tyrosine hydroxylase required the continuous presence of cAMP. In conclusion, LUHMES are a robust neuronal model with adaptable phenotype and high value for neurodevelopmental studies, disease modeling and neuropharmacology.", "author" : [ { "dropping-particle" : "", "family" : "Scholz", "given" : "Diana", "non-dropping-particle" : "", "parse-names" : false, "suffix" : "" }, { "dropping-particle" : "", "family" : "P\u00f6ltl", "given" : "Dominik", "non-dropping-particle" : "", "parse-names" : false, "suffix" : "" }, { "dropping-particle" : "", "family" : "Genewsky", "given" : "Andreas", "non-dropping-particle" : "", "parse-names" : false, "suffix" : "" }, { "dropping-particle" : "", "family" : "Weng", "given" : "Matthias", "non-dropping-particle" : "", "parse-names" : false, "suffix" : "" }, { "dropping-particle" : "", "family" : "Waldmann", "given" : "Tanja", "non-dropping-particle" : "", "parse-names" : false, "suffix" : "" }, { "dropping-particle" : "", "family" : "Schildknecht", "given" : "Stefan", "non-dropping-particle" : "", "parse-names" : false, "suffix" : "" }, { "dropping-particle" : "", "family" : "Leist", "given" : "Marcel", "non-dropping-particle" : "", "parse-names" : false, "suffix" : "" } ], "container-title" : "Journal of neurochemistry", "id" : "ITEM-1", "issue" : "5", "issued" : { "date-parts" : [ [ "2011", "12" ] ] }, "page" : "957-71", "title" : "Rapid, complete and large-scale generation of post-mitotic neurons from the human LUHMES cell line.", "type" : "article-journal", "volume" : "119" }, "uris" : [ "http://www.mendeley.com/documents/?uuid=15f6f1b0-c5c9-4030-b0c8-7b0ad79591f6" ] } ], "mendeley" : { "formattedCitation" : "(Scholz et al. 2011)", "plainTextFormattedCitation" : "(Scholz et al. 2011)", "previouslyFormattedCitation" : "(Scholz et al. 2011)" }, "properties" : { "noteIndex" : 0 }, "schema" : "https://github.com/citation-style-language/schema/raw/master/csl-citation.json" }</w:instrText>
      </w:r>
      <w:r w:rsidR="005E59B5">
        <w:rPr>
          <w:rFonts w:ascii="Times New Roman" w:hAnsi="Times New Roman" w:cs="Times New Roman"/>
        </w:rPr>
        <w:fldChar w:fldCharType="separate"/>
      </w:r>
      <w:r w:rsidR="00C148FC" w:rsidRPr="00C148FC">
        <w:rPr>
          <w:rFonts w:ascii="Times New Roman" w:hAnsi="Times New Roman" w:cs="Times New Roman"/>
          <w:noProof/>
        </w:rPr>
        <w:t>(Scholz et al. 2011)</w:t>
      </w:r>
      <w:r w:rsidR="005E59B5">
        <w:rPr>
          <w:rFonts w:ascii="Times New Roman" w:hAnsi="Times New Roman" w:cs="Times New Roman"/>
        </w:rPr>
        <w:fldChar w:fldCharType="end"/>
      </w:r>
      <w:r w:rsidR="003829EA">
        <w:rPr>
          <w:rFonts w:ascii="Times New Roman" w:hAnsi="Times New Roman" w:cs="Times New Roman"/>
        </w:rPr>
        <w:t>. Astrocytes we</w:t>
      </w:r>
      <w:r w:rsidR="005A4D8A">
        <w:rPr>
          <w:rFonts w:ascii="Times New Roman" w:hAnsi="Times New Roman" w:cs="Times New Roman"/>
        </w:rPr>
        <w:t xml:space="preserve">re </w:t>
      </w:r>
      <w:r w:rsidR="005B682D">
        <w:rPr>
          <w:rFonts w:ascii="Times New Roman" w:hAnsi="Times New Roman" w:cs="Times New Roman"/>
        </w:rPr>
        <w:t xml:space="preserve">first </w:t>
      </w:r>
      <w:r w:rsidR="005A4D8A">
        <w:rPr>
          <w:rFonts w:ascii="Times New Roman" w:hAnsi="Times New Roman" w:cs="Times New Roman"/>
        </w:rPr>
        <w:t>plated on a 24 well plate</w:t>
      </w:r>
      <w:r w:rsidR="00BD63B1">
        <w:rPr>
          <w:rFonts w:ascii="Times New Roman" w:hAnsi="Times New Roman" w:cs="Times New Roman"/>
        </w:rPr>
        <w:t xml:space="preserve"> and i</w:t>
      </w:r>
      <w:r w:rsidR="0091237A">
        <w:rPr>
          <w:rFonts w:ascii="Times New Roman" w:hAnsi="Times New Roman" w:cs="Times New Roman"/>
        </w:rPr>
        <w:t xml:space="preserve">n parallel </w:t>
      </w:r>
      <w:r w:rsidR="0053311B">
        <w:rPr>
          <w:rFonts w:ascii="Times New Roman" w:hAnsi="Times New Roman" w:cs="Times New Roman"/>
        </w:rPr>
        <w:t>tetracycline wa</w:t>
      </w:r>
      <w:r w:rsidR="005B682D">
        <w:rPr>
          <w:rFonts w:ascii="Times New Roman" w:hAnsi="Times New Roman" w:cs="Times New Roman"/>
        </w:rPr>
        <w:t xml:space="preserve">s added to fresh media </w:t>
      </w:r>
      <w:r w:rsidR="00610587">
        <w:rPr>
          <w:rFonts w:ascii="Times New Roman" w:hAnsi="Times New Roman" w:cs="Times New Roman"/>
        </w:rPr>
        <w:t>to initiate differentiation of the</w:t>
      </w:r>
      <w:r w:rsidR="005B682D">
        <w:rPr>
          <w:rFonts w:ascii="Times New Roman" w:hAnsi="Times New Roman" w:cs="Times New Roman"/>
        </w:rPr>
        <w:t xml:space="preserve"> LU</w:t>
      </w:r>
      <w:r w:rsidR="00610587">
        <w:rPr>
          <w:rFonts w:ascii="Times New Roman" w:hAnsi="Times New Roman" w:cs="Times New Roman"/>
        </w:rPr>
        <w:t>HMES</w:t>
      </w:r>
      <w:r w:rsidR="005B682D">
        <w:rPr>
          <w:rFonts w:ascii="Times New Roman" w:hAnsi="Times New Roman" w:cs="Times New Roman"/>
        </w:rPr>
        <w:t>. The LUHMES require a replating step 48 hours following differentiation, which ensures a homogeneous population of differentiating cells are replated for further experiments</w:t>
      </w:r>
      <w:r w:rsidR="0053311B">
        <w:rPr>
          <w:rFonts w:ascii="Times New Roman" w:hAnsi="Times New Roman" w:cs="Times New Roman"/>
        </w:rPr>
        <w:t xml:space="preserve"> </w:t>
      </w:r>
      <w:r w:rsidR="0053311B">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"10.1111/j.1471-4159.2011.07255.x", "ISSN" : "1471-4159", "PMID" : "21434924", "abstract" : "We characterized phenotype and function of a fetal human mesencephalic cell line (LUHMES, Lund human mesencephalic) as neuronal model system. Neurodevelopmental profiling of the proliferation stage (d0, day 0) of these conditionally-immortalized cells revealed neuronal features, expressed simultaneously with some early neuroblast and stem cell markers. An optimized 2-step differentiation procedure, triggered by shut-down of the myc transgene, resulted in uniformly post-mitotic neurons within 5 days (d5). This was associated with down-regulation of some precursor markers and further up-regulation of neuronal genes. Neurite network formation involved the outgrowth of 1-2, often &gt; 500 \u03bcm long projections. They showed dynamic growth cone behavior, as evidenced by time-lapse imaging of stably GFP-over-expressing cells. Voltage-dependent sodium channels and spontaneous electrical activity of LUHMES continuously increased from d0 to d11, while levels of synaptic markers reached their maximum on d5. The developmental expression patterns of most genes and of the dopamine uptake- and release-machinery appeared to be intrinsically predetermined, as the differentiation proceeded similarly when external factors such as dibutyryl-cAMP and glial cell derived neurotrophic factor were omitted. Only tyrosine hydroxylase required the continuous presence of cAMP. In conclusion, LUHMES are a robust neuronal model with adaptable phenotype and high value for neurodevelopmental studies, disease modeling and neuropharmacology.", "author" : [ { "dropping-particle" : "", "family" : "Scholz", "given" : "Diana", "non-dropping-particle" : "", "parse-names" : false, "suffix" : "" }, { "dropping-particle" : "", "family" : "P\u00f6ltl", "given" : "Dominik", "non-dropping-particle" : "", "parse-names" : false, "suffix" : "" }, { "dropping-particle" : "", "family" : "Genewsky", "given" : "Andreas", "non-dropping-particle" : "", "parse-names" : false, "suffix" : "" }, { "dropping-particle" : "", "family" : "Weng", "given" : "Matthias", "non-dropping-particle" : "", "parse-names" : false, "suffix" : "" }, { "dropping-particle" : "", "family" : "Waldmann", "given" : "Tanja", "non-dropping-particle" : "", "parse-names" : false, "suffix" : "" }, { "dropping-particle" : "", "family" : "Schildknecht", "given" : "Stefan", "non-dropping-particle" : "", "parse-names" : false, "suffix" : "" }, { "dropping-particle" : "", "family" : "Leist", "given" : "Marcel", "non-dropping-particle" : "", "parse-names" : false, "suffix" : "" } ], "container-title" : "Journal of neurochemistry", "id" : "ITEM-1", "issue" : "5", "issued" : { "date-parts" : [ [ "2011", "12" ] ] }, "page" : "957-71", "title" : "Rapid, complete and large-scale generation of post-mitotic neurons from the human LUHMES cell line.", "type" : "article-journal", "volume" : "119" }, "uris" : [ "http://www.mendeley.com/documents/?uuid=15f6f1b0-c5c9-4030-b0c8-7b0ad79591f6" ] } ], "mendeley" : { "formattedCitation" : "(Scholz et al. 2011)", "plainTextFormattedCitation" : "(Scholz et al. 2011)", "previouslyFormattedCitation" : "(Scholz et al. 2011)" }, "properties" : { "noteIndex" : 0 }, "schema" : "https://github.com/citation-style-language/schema/raw/master/csl-citation.json" }</w:instrText>
      </w:r>
      <w:r w:rsidR="0053311B">
        <w:rPr>
          <w:rFonts w:ascii="Times New Roman" w:hAnsi="Times New Roman" w:cs="Times New Roman"/>
        </w:rPr>
        <w:fldChar w:fldCharType="separate"/>
      </w:r>
      <w:r w:rsidR="00C148FC" w:rsidRPr="00C148FC">
        <w:rPr>
          <w:rFonts w:ascii="Times New Roman" w:hAnsi="Times New Roman" w:cs="Times New Roman"/>
          <w:noProof/>
        </w:rPr>
        <w:t>(Scholz et al. 2011)</w:t>
      </w:r>
      <w:r w:rsidR="0053311B">
        <w:rPr>
          <w:rFonts w:ascii="Times New Roman" w:hAnsi="Times New Roman" w:cs="Times New Roman"/>
        </w:rPr>
        <w:fldChar w:fldCharType="end"/>
      </w:r>
      <w:r w:rsidR="005B682D">
        <w:rPr>
          <w:rFonts w:ascii="Times New Roman" w:hAnsi="Times New Roman" w:cs="Times New Roman"/>
        </w:rPr>
        <w:t>. In thi</w:t>
      </w:r>
      <w:r w:rsidR="0053311B">
        <w:rPr>
          <w:rFonts w:ascii="Times New Roman" w:hAnsi="Times New Roman" w:cs="Times New Roman"/>
        </w:rPr>
        <w:t>s co-culture model, the LUHMES we</w:t>
      </w:r>
      <w:r w:rsidR="005B682D">
        <w:rPr>
          <w:rFonts w:ascii="Times New Roman" w:hAnsi="Times New Roman" w:cs="Times New Roman"/>
        </w:rPr>
        <w:t>re replated on top of the</w:t>
      </w:r>
      <w:r w:rsidR="00900814">
        <w:rPr>
          <w:rFonts w:ascii="Times New Roman" w:hAnsi="Times New Roman" w:cs="Times New Roman"/>
        </w:rPr>
        <w:t xml:space="preserve"> confluent astrocyte monolayer (</w:t>
      </w:r>
      <w:r w:rsidR="00900814" w:rsidRPr="0017286C">
        <w:rPr>
          <w:rFonts w:ascii="Times New Roman" w:hAnsi="Times New Roman" w:cs="Times New Roman"/>
          <w:b/>
        </w:rPr>
        <w:t xml:space="preserve">figure </w:t>
      </w:r>
      <w:r w:rsidR="00B92D16" w:rsidRPr="0017286C">
        <w:rPr>
          <w:rFonts w:ascii="Times New Roman" w:hAnsi="Times New Roman" w:cs="Times New Roman"/>
          <w:b/>
        </w:rPr>
        <w:t>4.1</w:t>
      </w:r>
      <w:r w:rsidR="00900814">
        <w:rPr>
          <w:rFonts w:ascii="Times New Roman" w:hAnsi="Times New Roman" w:cs="Times New Roman"/>
        </w:rPr>
        <w:t>)</w:t>
      </w:r>
      <w:r w:rsidR="00025CDF">
        <w:rPr>
          <w:rFonts w:ascii="Times New Roman" w:hAnsi="Times New Roman" w:cs="Times New Roman"/>
        </w:rPr>
        <w:t xml:space="preserve">. The LUHMES are not considered fully differentiated until day 6, which is 72 hours following replating </w:t>
      </w:r>
      <w:r w:rsidR="00025CDF">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"10.1111/j.1471-4159.2011.07255.x", "ISSN" : "1471-4159", "PMID" : "21434924", "abstract" : "We characterized phenotype and function of a fetal human mesencephalic cell line (LUHMES, Lund human mesencephalic) as neuronal model system. Neurodevelopmental profiling of the proliferation stage (d0, day 0) of these conditionally-immortalized cells revealed neuronal features, expressed simultaneously with some early neuroblast and stem cell markers. An optimized 2-step differentiation procedure, triggered by shut-down of the myc transgene, resulted in uniformly post-mitotic neurons within 5 days (d5). This was associated with down-regulation of some precursor markers and further up-regulation of neuronal genes. Neurite network formation involved the outgrowth of 1-2, often &gt; 500 \u03bcm long projections. They showed dynamic growth cone behavior, as evidenced by time-lapse imaging of stably GFP-over-expressing cells. Voltage-dependent sodium channels and spontaneous electrical activity of LUHMES continuously increased from d0 to d11, while levels of synaptic markers reached their maximum on d5. The developmental expression patterns of most genes and of the dopamine uptake- and release-machinery appeared to be intrinsically predetermined, as the differentiation proceeded similarly when external factors such as dibutyryl-cAMP and glial cell derived neurotrophic factor were omitted. Only tyrosine hydroxylase required the continuous presence of cAMP. In conclusion, LUHMES are a robust neuronal model with adaptable phenotype and high value for neurodevelopmental studies, disease modeling and neuropharmacology.", "author" : [ { "dropping-particle" : "", "family" : "Scholz", "given" : "Diana", "non-dropping-particle" : "", "parse-names" : false, "suffix" : "" }, { "dropping-particle" : "", "family" : "P\u00f6ltl", "given" : "Dominik", "non-dropping-particle" : "", "parse-names" : false, "suffix" : "" }, { "dropping-particle" : "", "family" : "Genewsky", "given" : "Andreas", "non-dropping-particle" : "", "parse-names" : false, "suffix" : "" }, { "dropping-particle" : "", "family" : "Weng", "given" : "Matthias", "non-dropping-particle" : "", "parse-names" : false, "suffix" : "" }, { "dropping-particle" : "", "family" : "Waldmann", "given" : "Tanja", "non-dropping-particle" : "", "parse-names" : false, "suffix" : "" }, { "dropping-particle" : "", "family" : "Schildknecht", "given" : "Stefan", "non-dropping-particle" : "", "parse-names" : false, "suffix" : "" }, { "dropping-particle" : "", "family" : "Leist", "given" : "Marcel", "non-dropping-particle" : "", "parse-names" : false, "suffix" : "" } ], "container-title" : "Journal of neurochemistry", "id" : "ITEM-1", "issue" : "5", "issued" : { "date-parts" : [ [ "2011", "12" ] ] }, "page" : "957-71", "title" : "Rapid, complete and large-scale generation of post-mitotic neurons from the human LUHMES cell line.", "type" : "article-journal", "volume" : "119" }, "uris" : [ "http://www.mendeley.com/documents/?uuid=15f6f1b0-c5c9-4030-b0c8-7b0ad79591f6" ] } ], "mendeley" : { "formattedCitation" : "(Scholz et al. 2011)", "plainTextFormattedCitation" : "(Scholz et al. 2011)", "previouslyFormattedCitation" : "(Scholz et al. 2011)" }, "properties" : { "noteIndex" : 0 }, "schema" : "https://github.com/citation-style-language/schema/raw/master/csl-citation.json" }</w:instrText>
      </w:r>
      <w:r w:rsidR="00025CDF">
        <w:rPr>
          <w:rFonts w:ascii="Times New Roman" w:hAnsi="Times New Roman" w:cs="Times New Roman"/>
        </w:rPr>
        <w:fldChar w:fldCharType="separate"/>
      </w:r>
      <w:r w:rsidR="00C148FC" w:rsidRPr="00C148FC">
        <w:rPr>
          <w:rFonts w:ascii="Times New Roman" w:hAnsi="Times New Roman" w:cs="Times New Roman"/>
          <w:noProof/>
        </w:rPr>
        <w:t>(Scholz et al. 2011)</w:t>
      </w:r>
      <w:r w:rsidR="00025CDF">
        <w:rPr>
          <w:rFonts w:ascii="Times New Roman" w:hAnsi="Times New Roman" w:cs="Times New Roman"/>
        </w:rPr>
        <w:fldChar w:fldCharType="end"/>
      </w:r>
      <w:r w:rsidR="00025CDF">
        <w:rPr>
          <w:rFonts w:ascii="Times New Roman" w:hAnsi="Times New Roman" w:cs="Times New Roman"/>
        </w:rPr>
        <w:t>.</w:t>
      </w:r>
    </w:p>
    <w:p w14:paraId="3379C646" w14:textId="77777777" w:rsidR="00086871" w:rsidRDefault="00086871" w:rsidP="00C63BC1">
      <w:pPr>
        <w:spacing w:line="360" w:lineRule="auto"/>
        <w:jc w:val="both"/>
        <w:rPr>
          <w:rFonts w:ascii="Times New Roman" w:hAnsi="Times New Roman" w:cs="Times New Roman"/>
        </w:rPr>
      </w:pPr>
    </w:p>
    <w:p w14:paraId="313849FB" w14:textId="115BFE63" w:rsidR="005817F3" w:rsidRDefault="000523C5" w:rsidP="00C63BC1">
      <w:pPr>
        <w:spacing w:line="360" w:lineRule="auto"/>
        <w:jc w:val="both"/>
        <w:rPr>
          <w:rFonts w:ascii="Times New Roman" w:hAnsi="Times New Roman" w:cs="Times New Roman"/>
        </w:rPr>
      </w:pPr>
      <w:r>
        <w:rPr>
          <w:rFonts w:ascii="Times New Roman" w:hAnsi="Times New Roman" w:cs="Times New Roman"/>
        </w:rPr>
        <w:t xml:space="preserve">ScienCell (2) astrocytes were co-cultured with LUHMES for </w:t>
      </w:r>
      <w:r w:rsidR="00E0302A">
        <w:rPr>
          <w:rFonts w:ascii="Times New Roman" w:hAnsi="Times New Roman" w:cs="Times New Roman"/>
        </w:rPr>
        <w:t>24</w:t>
      </w:r>
      <w:r>
        <w:rPr>
          <w:rFonts w:ascii="Times New Roman" w:hAnsi="Times New Roman" w:cs="Times New Roman"/>
        </w:rPr>
        <w:t xml:space="preserve"> hours and stained with Beta-III-tubulin</w:t>
      </w:r>
      <w:r w:rsidR="0091547D">
        <w:rPr>
          <w:rFonts w:ascii="Times New Roman" w:hAnsi="Times New Roman" w:cs="Times New Roman"/>
        </w:rPr>
        <w:t xml:space="preserve"> (β3-tubulin) </w:t>
      </w:r>
      <w:r>
        <w:rPr>
          <w:rFonts w:ascii="Times New Roman" w:hAnsi="Times New Roman" w:cs="Times New Roman"/>
        </w:rPr>
        <w:t>an</w:t>
      </w:r>
      <w:r w:rsidR="00993D70">
        <w:rPr>
          <w:rFonts w:ascii="Times New Roman" w:hAnsi="Times New Roman" w:cs="Times New Roman"/>
        </w:rPr>
        <w:t>d a range of astrocytic markers Cluster of differentiation 44 (CD44), GFAP, v</w:t>
      </w:r>
      <w:r w:rsidR="00206AC5">
        <w:rPr>
          <w:rFonts w:ascii="Times New Roman" w:hAnsi="Times New Roman" w:cs="Times New Roman"/>
        </w:rPr>
        <w:t>imentin and</w:t>
      </w:r>
      <w:r w:rsidR="00E76BD3">
        <w:rPr>
          <w:rFonts w:ascii="Times New Roman" w:hAnsi="Times New Roman" w:cs="Times New Roman"/>
        </w:rPr>
        <w:t xml:space="preserve"> aldehyde dehydrogenase 1 family member L1</w:t>
      </w:r>
      <w:r w:rsidR="00206AC5">
        <w:rPr>
          <w:rFonts w:ascii="Times New Roman" w:hAnsi="Times New Roman" w:cs="Times New Roman"/>
        </w:rPr>
        <w:t xml:space="preserve"> </w:t>
      </w:r>
      <w:r w:rsidR="00E76BD3">
        <w:rPr>
          <w:rFonts w:ascii="Times New Roman" w:hAnsi="Times New Roman" w:cs="Times New Roman"/>
        </w:rPr>
        <w:t>(</w:t>
      </w:r>
      <w:r w:rsidR="00206AC5">
        <w:rPr>
          <w:rFonts w:ascii="Times New Roman" w:hAnsi="Times New Roman" w:cs="Times New Roman"/>
        </w:rPr>
        <w:t>ALDH1</w:t>
      </w:r>
      <w:r w:rsidR="00E76BD3">
        <w:rPr>
          <w:rFonts w:ascii="Times New Roman" w:hAnsi="Times New Roman" w:cs="Times New Roman"/>
        </w:rPr>
        <w:t>L1)</w:t>
      </w:r>
      <w:r w:rsidR="00206AC5">
        <w:rPr>
          <w:rFonts w:ascii="Times New Roman" w:hAnsi="Times New Roman" w:cs="Times New Roman"/>
        </w:rPr>
        <w:t xml:space="preserve">) </w:t>
      </w:r>
      <w:r>
        <w:rPr>
          <w:rFonts w:ascii="Times New Roman" w:hAnsi="Times New Roman" w:cs="Times New Roman"/>
        </w:rPr>
        <w:t xml:space="preserve">to </w:t>
      </w:r>
      <w:r w:rsidR="0091237A">
        <w:rPr>
          <w:rFonts w:ascii="Times New Roman" w:hAnsi="Times New Roman" w:cs="Times New Roman"/>
        </w:rPr>
        <w:t>characteris</w:t>
      </w:r>
      <w:r w:rsidR="00D963DE">
        <w:rPr>
          <w:rFonts w:ascii="Times New Roman" w:hAnsi="Times New Roman" w:cs="Times New Roman"/>
        </w:rPr>
        <w:t>e</w:t>
      </w:r>
      <w:r w:rsidR="00025CDF">
        <w:rPr>
          <w:rFonts w:ascii="Times New Roman" w:hAnsi="Times New Roman" w:cs="Times New Roman"/>
        </w:rPr>
        <w:t xml:space="preserve"> expression of</w:t>
      </w:r>
      <w:r w:rsidR="00D963DE">
        <w:rPr>
          <w:rFonts w:ascii="Times New Roman" w:hAnsi="Times New Roman" w:cs="Times New Roman"/>
        </w:rPr>
        <w:t xml:space="preserve"> cell-specific markers</w:t>
      </w:r>
      <w:r>
        <w:rPr>
          <w:rFonts w:ascii="Times New Roman" w:hAnsi="Times New Roman" w:cs="Times New Roman"/>
        </w:rPr>
        <w:t xml:space="preserve"> in the co-culture system</w:t>
      </w:r>
      <w:r w:rsidR="003829EA">
        <w:rPr>
          <w:rFonts w:ascii="Times New Roman" w:hAnsi="Times New Roman" w:cs="Times New Roman"/>
        </w:rPr>
        <w:t xml:space="preserve"> (</w:t>
      </w:r>
      <w:r w:rsidR="003829EA">
        <w:rPr>
          <w:rFonts w:ascii="Times New Roman" w:hAnsi="Times New Roman" w:cs="Times New Roman"/>
          <w:b/>
        </w:rPr>
        <w:t>figure 4.2</w:t>
      </w:r>
      <w:r w:rsidR="003829EA">
        <w:rPr>
          <w:rFonts w:ascii="Times New Roman" w:hAnsi="Times New Roman" w:cs="Times New Roman"/>
        </w:rPr>
        <w:t>)</w:t>
      </w:r>
      <w:r>
        <w:rPr>
          <w:rFonts w:ascii="Times New Roman" w:hAnsi="Times New Roman" w:cs="Times New Roman"/>
        </w:rPr>
        <w:t xml:space="preserve">. </w:t>
      </w:r>
      <w:r w:rsidR="003829EA">
        <w:rPr>
          <w:rFonts w:ascii="Times New Roman" w:hAnsi="Times New Roman" w:cs="Times New Roman"/>
        </w:rPr>
        <w:t xml:space="preserve">The </w:t>
      </w:r>
      <w:r w:rsidR="008357BB">
        <w:rPr>
          <w:rFonts w:ascii="Times New Roman" w:hAnsi="Times New Roman" w:cs="Times New Roman"/>
        </w:rPr>
        <w:t>astrocytes express astrocytic markers and LUHMES express th</w:t>
      </w:r>
      <w:r w:rsidR="00EF7E74">
        <w:rPr>
          <w:rFonts w:ascii="Times New Roman" w:hAnsi="Times New Roman" w:cs="Times New Roman"/>
        </w:rPr>
        <w:t>e neuronal marker β3-tubulin</w:t>
      </w:r>
      <w:r w:rsidR="00946B27">
        <w:rPr>
          <w:rFonts w:ascii="Times New Roman" w:hAnsi="Times New Roman" w:cs="Times New Roman"/>
        </w:rPr>
        <w:t xml:space="preserve"> after</w:t>
      </w:r>
      <w:r w:rsidR="005817F3">
        <w:rPr>
          <w:rFonts w:ascii="Times New Roman" w:hAnsi="Times New Roman" w:cs="Times New Roman"/>
        </w:rPr>
        <w:t xml:space="preserve"> 24 hours in co-culture</w:t>
      </w:r>
      <w:r w:rsidR="005E59B5">
        <w:rPr>
          <w:rFonts w:ascii="Times New Roman" w:hAnsi="Times New Roman" w:cs="Times New Roman"/>
        </w:rPr>
        <w:t>.</w:t>
      </w:r>
    </w:p>
    <w:p w14:paraId="727D59CF" w14:textId="77777777" w:rsidR="00086871" w:rsidRDefault="00086871" w:rsidP="00C63BC1">
      <w:pPr>
        <w:spacing w:line="360" w:lineRule="auto"/>
        <w:jc w:val="both"/>
        <w:rPr>
          <w:rFonts w:ascii="Times New Roman" w:hAnsi="Times New Roman" w:cs="Times New Roman"/>
        </w:rPr>
      </w:pPr>
    </w:p>
    <w:p w14:paraId="0F55102E" w14:textId="0E78521F" w:rsidR="0007476F" w:rsidRPr="003829EA" w:rsidRDefault="0007476F" w:rsidP="00C63BC1">
      <w:pPr>
        <w:spacing w:line="360" w:lineRule="auto"/>
        <w:jc w:val="both"/>
        <w:rPr>
          <w:rFonts w:ascii="Times New Roman" w:hAnsi="Times New Roman" w:cs="Times New Roman"/>
        </w:rPr>
      </w:pPr>
      <w:r>
        <w:rPr>
          <w:rFonts w:ascii="Times New Roman" w:hAnsi="Times New Roman" w:cs="Times New Roman"/>
        </w:rPr>
        <w:t>ScienCell (2) astrocytes</w:t>
      </w:r>
      <w:r w:rsidR="003829EA">
        <w:rPr>
          <w:rFonts w:ascii="Times New Roman" w:hAnsi="Times New Roman" w:cs="Times New Roman"/>
        </w:rPr>
        <w:t xml:space="preserve"> were</w:t>
      </w:r>
      <w:r>
        <w:rPr>
          <w:rFonts w:ascii="Times New Roman" w:hAnsi="Times New Roman" w:cs="Times New Roman"/>
        </w:rPr>
        <w:t xml:space="preserve"> successfully co-cultured with LUHMES for 72 hours, stained with β3-tubulin and a range of astrocytic markers (Vimentin, GFAP and ALDH1</w:t>
      </w:r>
      <w:r w:rsidR="00E76BD3">
        <w:rPr>
          <w:rFonts w:ascii="Times New Roman" w:hAnsi="Times New Roman" w:cs="Times New Roman"/>
        </w:rPr>
        <w:t>L1</w:t>
      </w:r>
      <w:r w:rsidR="003829EA">
        <w:rPr>
          <w:rFonts w:ascii="Times New Roman" w:hAnsi="Times New Roman" w:cs="Times New Roman"/>
        </w:rPr>
        <w:t>) (</w:t>
      </w:r>
      <w:r w:rsidR="003829EA">
        <w:rPr>
          <w:rFonts w:ascii="Times New Roman" w:hAnsi="Times New Roman" w:cs="Times New Roman"/>
          <w:b/>
        </w:rPr>
        <w:t>figure 4.3</w:t>
      </w:r>
      <w:r w:rsidR="003829EA">
        <w:rPr>
          <w:rFonts w:ascii="Times New Roman" w:hAnsi="Times New Roman" w:cs="Times New Roman"/>
        </w:rPr>
        <w:t>).</w:t>
      </w:r>
    </w:p>
    <w:p w14:paraId="3F992983" w14:textId="77777777" w:rsidR="006F2F88" w:rsidRDefault="006F2F88" w:rsidP="00C63BC1">
      <w:pPr>
        <w:spacing w:line="360" w:lineRule="auto"/>
        <w:jc w:val="both"/>
        <w:rPr>
          <w:rFonts w:ascii="Times New Roman" w:hAnsi="Times New Roman" w:cs="Times New Roman"/>
        </w:rPr>
      </w:pPr>
    </w:p>
    <w:p w14:paraId="3A169E31" w14:textId="072F7C66" w:rsidR="006F2F88" w:rsidRDefault="00900814" w:rsidP="00B87DAB">
      <w:pPr>
        <w:spacing w:line="360" w:lineRule="auto"/>
        <w:rPr>
          <w:rFonts w:ascii="Times New Roman" w:hAnsi="Times New Roman" w:cs="Times New Roman"/>
        </w:rPr>
      </w:pPr>
      <w:r>
        <w:rPr>
          <w:rFonts w:ascii="Times New Roman" w:hAnsi="Times New Roman" w:cs="Times New Roman"/>
        </w:rPr>
        <w:t xml:space="preserve"> </w:t>
      </w:r>
      <w:r w:rsidR="0007303C">
        <w:rPr>
          <w:rFonts w:ascii="Times New Roman" w:hAnsi="Times New Roman" w:cs="Times New Roman"/>
        </w:rPr>
        <w:t xml:space="preserve">  </w:t>
      </w:r>
      <w:r>
        <w:rPr>
          <w:rFonts w:ascii="Times New Roman" w:hAnsi="Times New Roman" w:cs="Times New Roman"/>
        </w:rPr>
        <w:t xml:space="preserve">    </w:t>
      </w:r>
      <w:r w:rsidR="00835CB7">
        <w:rPr>
          <w:rFonts w:ascii="Times New Roman" w:hAnsi="Times New Roman" w:cs="Times New Roman"/>
          <w:noProof/>
        </w:rPr>
        <w:drawing>
          <wp:inline distT="0" distB="0" distL="0" distR="0" wp14:anchorId="43C417BE" wp14:editId="0D86EDAA">
            <wp:extent cx="4992470" cy="3936555"/>
            <wp:effectExtent l="0" t="0" r="1143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48">
                      <a:extLst>
                        <a:ext uri="{28A0092B-C50C-407E-A947-70E740481C1C}">
                          <a14:useLocalDpi xmlns:a14="http://schemas.microsoft.com/office/drawing/2010/main" val="0"/>
                        </a:ext>
                      </a:extLst>
                    </a:blip>
                    <a:srcRect t="507" r="14512" b="9596"/>
                    <a:stretch/>
                  </pic:blipFill>
                  <pic:spPr bwMode="auto">
                    <a:xfrm>
                      <a:off x="0" y="0"/>
                      <a:ext cx="4993652" cy="3937487"/>
                    </a:xfrm>
                    <a:prstGeom prst="rect">
                      <a:avLst/>
                    </a:prstGeom>
                    <a:ln>
                      <a:noFill/>
                    </a:ln>
                    <a:extLst>
                      <a:ext uri="{53640926-AAD7-44d8-BBD7-CCE9431645EC}">
                        <a14:shadowObscured xmlns:a14="http://schemas.microsoft.com/office/drawing/2010/main"/>
                      </a:ext>
                    </a:extLst>
                  </pic:spPr>
                </pic:pic>
              </a:graphicData>
            </a:graphic>
          </wp:inline>
        </w:drawing>
      </w:r>
    </w:p>
    <w:p w14:paraId="55E1AE1C" w14:textId="77777777" w:rsidR="00321F59" w:rsidRDefault="00321F59" w:rsidP="00B87DAB">
      <w:pPr>
        <w:spacing w:line="360" w:lineRule="auto"/>
        <w:rPr>
          <w:rFonts w:ascii="Times New Roman" w:hAnsi="Times New Roman" w:cs="Times New Roman"/>
        </w:rPr>
      </w:pPr>
    </w:p>
    <w:p w14:paraId="08C36A5F" w14:textId="77777777" w:rsidR="001B72D6" w:rsidRDefault="00F94933" w:rsidP="001627E2">
      <w:pPr>
        <w:pStyle w:val="Caption"/>
      </w:pPr>
      <w:bookmarkStart w:id="1299" w:name="_Toc333569059"/>
      <w:bookmarkStart w:id="1300" w:name="_Toc333569284"/>
      <w:bookmarkStart w:id="1301" w:name="_Toc333570838"/>
      <w:bookmarkStart w:id="1302" w:name="_Toc333582221"/>
      <w:bookmarkStart w:id="1303" w:name="_Toc333582341"/>
      <w:bookmarkStart w:id="1304" w:name="_Toc333582753"/>
      <w:bookmarkStart w:id="1305" w:name="_Toc333583123"/>
      <w:bookmarkStart w:id="1306" w:name="_Toc333585228"/>
      <w:bookmarkStart w:id="1307" w:name="_Toc333586780"/>
      <w:bookmarkStart w:id="1308" w:name="_Toc333644479"/>
      <w:bookmarkStart w:id="1309" w:name="_Toc333644773"/>
      <w:r>
        <w:t>Figure 4.1</w:t>
      </w:r>
      <w:r w:rsidR="0043060F">
        <w:t>.</w:t>
      </w:r>
      <w:r>
        <w:t xml:space="preserve"> </w:t>
      </w:r>
      <w:r w:rsidR="004712CD" w:rsidRPr="004712CD">
        <w:t>Astrocyte and LUHMES</w:t>
      </w:r>
      <w:r w:rsidR="004712CD">
        <w:t xml:space="preserve"> </w:t>
      </w:r>
      <w:r w:rsidR="00E2265C" w:rsidRPr="00E2265C">
        <w:t>co-culture model</w:t>
      </w:r>
      <w:r w:rsidR="00E2265C">
        <w:t>.</w:t>
      </w:r>
      <w:bookmarkEnd w:id="1299"/>
      <w:bookmarkEnd w:id="1300"/>
      <w:bookmarkEnd w:id="1301"/>
      <w:bookmarkEnd w:id="1302"/>
      <w:bookmarkEnd w:id="1303"/>
      <w:bookmarkEnd w:id="1304"/>
      <w:bookmarkEnd w:id="1305"/>
      <w:bookmarkEnd w:id="1306"/>
      <w:bookmarkEnd w:id="1307"/>
      <w:bookmarkEnd w:id="1308"/>
      <w:bookmarkEnd w:id="1309"/>
      <w:r w:rsidR="00E2265C">
        <w:t xml:space="preserve"> </w:t>
      </w:r>
    </w:p>
    <w:p w14:paraId="47D54BEB" w14:textId="250D438A" w:rsidR="00E2265C" w:rsidRDefault="0053311B" w:rsidP="00C63BC1">
      <w:pPr>
        <w:spacing w:line="360" w:lineRule="auto"/>
        <w:jc w:val="both"/>
        <w:rPr>
          <w:rFonts w:ascii="Times New Roman" w:hAnsi="Times New Roman" w:cs="Times New Roman"/>
        </w:rPr>
      </w:pPr>
      <w:r>
        <w:rPr>
          <w:rFonts w:ascii="Times New Roman" w:hAnsi="Times New Roman" w:cs="Times New Roman"/>
        </w:rPr>
        <w:t>Astrocytes we</w:t>
      </w:r>
      <w:r w:rsidR="00E2265C">
        <w:rPr>
          <w:rFonts w:ascii="Times New Roman" w:hAnsi="Times New Roman" w:cs="Times New Roman"/>
        </w:rPr>
        <w:t>re plated on day on</w:t>
      </w:r>
      <w:r>
        <w:rPr>
          <w:rFonts w:ascii="Times New Roman" w:hAnsi="Times New Roman" w:cs="Times New Roman"/>
        </w:rPr>
        <w:t>e and in parallel LUHMES cells we</w:t>
      </w:r>
      <w:r w:rsidR="00E2265C">
        <w:rPr>
          <w:rFonts w:ascii="Times New Roman" w:hAnsi="Times New Roman" w:cs="Times New Roman"/>
        </w:rPr>
        <w:t>re differentiated. On day 3,</w:t>
      </w:r>
      <w:r w:rsidR="004712CD">
        <w:rPr>
          <w:rFonts w:ascii="Times New Roman" w:hAnsi="Times New Roman" w:cs="Times New Roman"/>
        </w:rPr>
        <w:t xml:space="preserve"> pre-differentiated</w:t>
      </w:r>
      <w:r w:rsidR="00106F16">
        <w:rPr>
          <w:rFonts w:ascii="Times New Roman" w:hAnsi="Times New Roman" w:cs="Times New Roman"/>
        </w:rPr>
        <w:t xml:space="preserve"> LUHMES</w:t>
      </w:r>
      <w:r>
        <w:rPr>
          <w:rFonts w:ascii="Times New Roman" w:hAnsi="Times New Roman" w:cs="Times New Roman"/>
        </w:rPr>
        <w:t xml:space="preserve"> we</w:t>
      </w:r>
      <w:r w:rsidR="00E2265C">
        <w:rPr>
          <w:rFonts w:ascii="Times New Roman" w:hAnsi="Times New Roman" w:cs="Times New Roman"/>
        </w:rPr>
        <w:t>re replated on astrocytes</w:t>
      </w:r>
      <w:r>
        <w:rPr>
          <w:rFonts w:ascii="Times New Roman" w:hAnsi="Times New Roman" w:cs="Times New Roman"/>
        </w:rPr>
        <w:t>, the cells we</w:t>
      </w:r>
      <w:r w:rsidR="00946B27">
        <w:rPr>
          <w:rFonts w:ascii="Times New Roman" w:hAnsi="Times New Roman" w:cs="Times New Roman"/>
        </w:rPr>
        <w:t>re fixed 24</w:t>
      </w:r>
      <w:r w:rsidR="00835CB7">
        <w:rPr>
          <w:rFonts w:ascii="Times New Roman" w:hAnsi="Times New Roman" w:cs="Times New Roman"/>
        </w:rPr>
        <w:t>-72</w:t>
      </w:r>
      <w:r w:rsidR="00946B27">
        <w:rPr>
          <w:rFonts w:ascii="Times New Roman" w:hAnsi="Times New Roman" w:cs="Times New Roman"/>
        </w:rPr>
        <w:t xml:space="preserve"> hours later and stained with a panel of neuronal and astrocytic markers.</w:t>
      </w:r>
    </w:p>
    <w:p w14:paraId="3840CA6B" w14:textId="77777777" w:rsidR="0057103B" w:rsidRDefault="0057103B" w:rsidP="00B87DAB">
      <w:pPr>
        <w:spacing w:line="360" w:lineRule="auto"/>
        <w:rPr>
          <w:rFonts w:ascii="Times New Roman" w:hAnsi="Times New Roman" w:cs="Times New Roman"/>
        </w:rPr>
      </w:pPr>
    </w:p>
    <w:p w14:paraId="28A2466F" w14:textId="77777777" w:rsidR="0057103B" w:rsidRDefault="0057103B" w:rsidP="00B87DAB">
      <w:pPr>
        <w:spacing w:line="360" w:lineRule="auto"/>
        <w:rPr>
          <w:rFonts w:ascii="Times New Roman" w:hAnsi="Times New Roman" w:cs="Times New Roman"/>
        </w:rPr>
      </w:pPr>
    </w:p>
    <w:p w14:paraId="7474E8D0" w14:textId="77777777" w:rsidR="0057103B" w:rsidRDefault="0057103B" w:rsidP="00B87DAB">
      <w:pPr>
        <w:spacing w:line="360" w:lineRule="auto"/>
        <w:rPr>
          <w:rFonts w:ascii="Times New Roman" w:hAnsi="Times New Roman" w:cs="Times New Roman"/>
        </w:rPr>
      </w:pPr>
    </w:p>
    <w:p w14:paraId="44146142" w14:textId="77777777" w:rsidR="0057103B" w:rsidRDefault="0057103B" w:rsidP="00B87DAB">
      <w:pPr>
        <w:spacing w:line="360" w:lineRule="auto"/>
        <w:rPr>
          <w:rFonts w:ascii="Times New Roman" w:hAnsi="Times New Roman" w:cs="Times New Roman"/>
        </w:rPr>
      </w:pPr>
    </w:p>
    <w:p w14:paraId="5CE3F7D1" w14:textId="77777777" w:rsidR="0057103B" w:rsidRDefault="0057103B" w:rsidP="00B87DAB">
      <w:pPr>
        <w:spacing w:line="360" w:lineRule="auto"/>
        <w:rPr>
          <w:rFonts w:ascii="Times New Roman" w:hAnsi="Times New Roman" w:cs="Times New Roman"/>
        </w:rPr>
      </w:pPr>
    </w:p>
    <w:p w14:paraId="30A6FAC6" w14:textId="77777777" w:rsidR="0057103B" w:rsidRDefault="0057103B" w:rsidP="00B87DAB">
      <w:pPr>
        <w:spacing w:line="360" w:lineRule="auto"/>
        <w:rPr>
          <w:rFonts w:ascii="Times New Roman" w:hAnsi="Times New Roman" w:cs="Times New Roman"/>
        </w:rPr>
      </w:pPr>
    </w:p>
    <w:p w14:paraId="10EF3C59" w14:textId="77777777" w:rsidR="0057103B" w:rsidRDefault="0057103B" w:rsidP="00B87DAB">
      <w:pPr>
        <w:spacing w:line="360" w:lineRule="auto"/>
        <w:rPr>
          <w:rFonts w:ascii="Times New Roman" w:hAnsi="Times New Roman" w:cs="Times New Roman"/>
        </w:rPr>
      </w:pPr>
    </w:p>
    <w:p w14:paraId="44EAE192" w14:textId="77777777" w:rsidR="0057103B" w:rsidRDefault="0057103B" w:rsidP="00B87DAB">
      <w:pPr>
        <w:spacing w:line="360" w:lineRule="auto"/>
        <w:rPr>
          <w:rFonts w:ascii="Times New Roman" w:hAnsi="Times New Roman" w:cs="Times New Roman"/>
        </w:rPr>
      </w:pPr>
    </w:p>
    <w:p w14:paraId="01DC8392" w14:textId="77777777" w:rsidR="0057103B" w:rsidRDefault="0057103B" w:rsidP="00B87DAB">
      <w:pPr>
        <w:spacing w:line="360" w:lineRule="auto"/>
        <w:rPr>
          <w:rFonts w:ascii="Times New Roman" w:hAnsi="Times New Roman" w:cs="Times New Roman"/>
        </w:rPr>
      </w:pPr>
    </w:p>
    <w:p w14:paraId="03B0303D" w14:textId="77777777" w:rsidR="0057103B" w:rsidRDefault="0057103B" w:rsidP="00B87DAB">
      <w:pPr>
        <w:spacing w:line="360" w:lineRule="auto"/>
        <w:rPr>
          <w:rFonts w:ascii="Times New Roman" w:hAnsi="Times New Roman" w:cs="Times New Roman"/>
        </w:rPr>
      </w:pPr>
    </w:p>
    <w:p w14:paraId="70CA749C" w14:textId="48A217AA" w:rsidR="001B3647" w:rsidRPr="001627E2" w:rsidRDefault="0057103B" w:rsidP="001627E2">
      <w:pPr>
        <w:pStyle w:val="Caption"/>
      </w:pPr>
      <w:bookmarkStart w:id="1310" w:name="_Toc333585229"/>
      <w:bookmarkStart w:id="1311" w:name="_Toc333586781"/>
      <w:bookmarkStart w:id="1312" w:name="_Toc333644480"/>
      <w:bookmarkStart w:id="1313" w:name="_Toc333644774"/>
      <w:r>
        <w:rPr>
          <w:rFonts w:cs="Times New Roman"/>
          <w:noProof/>
          <w:sz w:val="40"/>
          <w:szCs w:val="40"/>
        </w:rPr>
        <w:drawing>
          <wp:inline distT="0" distB="0" distL="0" distR="0" wp14:anchorId="3C99E99E" wp14:editId="5849A66D">
            <wp:extent cx="5395938" cy="2505700"/>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png"/>
                    <pic:cNvPicPr/>
                  </pic:nvPicPr>
                  <pic:blipFill rotWithShape="1">
                    <a:blip r:embed="rId49">
                      <a:extLst>
                        <a:ext uri="{28A0092B-C50C-407E-A947-70E740481C1C}">
                          <a14:useLocalDpi xmlns:a14="http://schemas.microsoft.com/office/drawing/2010/main" val="0"/>
                        </a:ext>
                      </a:extLst>
                    </a:blip>
                    <a:srcRect t="34826" b="3243"/>
                    <a:stretch/>
                  </pic:blipFill>
                  <pic:spPr bwMode="auto">
                    <a:xfrm>
                      <a:off x="0" y="0"/>
                      <a:ext cx="5396230" cy="2505836"/>
                    </a:xfrm>
                    <a:prstGeom prst="rect">
                      <a:avLst/>
                    </a:prstGeom>
                    <a:ln>
                      <a:noFill/>
                    </a:ln>
                    <a:extLst>
                      <a:ext uri="{53640926-AAD7-44d8-BBD7-CCE9431645EC}">
                        <a14:shadowObscured xmlns:a14="http://schemas.microsoft.com/office/drawing/2010/main"/>
                      </a:ext>
                    </a:extLst>
                  </pic:spPr>
                </pic:pic>
              </a:graphicData>
            </a:graphic>
          </wp:inline>
        </w:drawing>
      </w:r>
      <w:r>
        <w:rPr>
          <w:rFonts w:cs="Times New Roman"/>
          <w:noProof/>
          <w:sz w:val="40"/>
          <w:szCs w:val="40"/>
        </w:rPr>
        <w:drawing>
          <wp:inline distT="0" distB="0" distL="0" distR="0" wp14:anchorId="0226B67C" wp14:editId="3DD42ABD">
            <wp:extent cx="5341658" cy="2763097"/>
            <wp:effectExtent l="0" t="0" r="0" b="57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png"/>
                    <pic:cNvPicPr/>
                  </pic:nvPicPr>
                  <pic:blipFill rotWithShape="1">
                    <a:blip r:embed="rId50">
                      <a:extLst>
                        <a:ext uri="{28A0092B-C50C-407E-A947-70E740481C1C}">
                          <a14:useLocalDpi xmlns:a14="http://schemas.microsoft.com/office/drawing/2010/main" val="0"/>
                        </a:ext>
                      </a:extLst>
                    </a:blip>
                    <a:srcRect l="497" t="9458" r="1713" b="23006"/>
                    <a:stretch/>
                  </pic:blipFill>
                  <pic:spPr bwMode="auto">
                    <a:xfrm>
                      <a:off x="0" y="0"/>
                      <a:ext cx="5347541" cy="2766140"/>
                    </a:xfrm>
                    <a:prstGeom prst="rect">
                      <a:avLst/>
                    </a:prstGeom>
                    <a:ln>
                      <a:noFill/>
                    </a:ln>
                    <a:extLst>
                      <a:ext uri="{53640926-AAD7-44d8-BBD7-CCE9431645EC}">
                        <a14:shadowObscured xmlns:a14="http://schemas.microsoft.com/office/drawing/2010/main"/>
                      </a:ext>
                    </a:extLst>
                  </pic:spPr>
                </pic:pic>
              </a:graphicData>
            </a:graphic>
          </wp:inline>
        </w:drawing>
      </w:r>
      <w:r w:rsidRPr="0057103B">
        <w:rPr>
          <w:rFonts w:cs="Times New Roman"/>
        </w:rPr>
        <w:t xml:space="preserve"> </w:t>
      </w:r>
      <w:r w:rsidR="00F94933" w:rsidRPr="001627E2">
        <w:t>Figure 4.2</w:t>
      </w:r>
      <w:r w:rsidR="0043060F" w:rsidRPr="001627E2">
        <w:t>.</w:t>
      </w:r>
      <w:r w:rsidRPr="001627E2">
        <w:t xml:space="preserve"> Establishing a human astrocyte-neuronal co-culture model</w:t>
      </w:r>
      <w:r w:rsidR="00844384" w:rsidRPr="001627E2">
        <w:t xml:space="preserve"> (1)</w:t>
      </w:r>
      <w:r w:rsidR="001B72D6" w:rsidRPr="001627E2">
        <w:t>.</w:t>
      </w:r>
      <w:bookmarkEnd w:id="1310"/>
      <w:bookmarkEnd w:id="1311"/>
      <w:bookmarkEnd w:id="1312"/>
      <w:bookmarkEnd w:id="1313"/>
    </w:p>
    <w:p w14:paraId="214F7A6C" w14:textId="21E88507" w:rsidR="0057103B" w:rsidRDefault="0057103B" w:rsidP="00C63BC1">
      <w:pPr>
        <w:spacing w:line="360" w:lineRule="auto"/>
        <w:jc w:val="both"/>
        <w:rPr>
          <w:rFonts w:ascii="Times New Roman" w:hAnsi="Times New Roman" w:cs="Times New Roman"/>
        </w:rPr>
      </w:pPr>
      <w:r>
        <w:rPr>
          <w:rFonts w:ascii="Times New Roman" w:hAnsi="Times New Roman" w:cs="Times New Roman"/>
        </w:rPr>
        <w:t>Co-cultured astrocytes and neurons were fixed after 24 hours and stained with a panel of antibodies. Representative images are of LUHMES stained with β3-tubulin (green) and astrocytes stained with a range of astrocytic markers including CD44, GFAP, ALDH1</w:t>
      </w:r>
      <w:r w:rsidR="00086871">
        <w:rPr>
          <w:rFonts w:ascii="Times New Roman" w:hAnsi="Times New Roman" w:cs="Times New Roman"/>
        </w:rPr>
        <w:t>L1</w:t>
      </w:r>
      <w:r>
        <w:rPr>
          <w:rFonts w:ascii="Times New Roman" w:hAnsi="Times New Roman" w:cs="Times New Roman"/>
        </w:rPr>
        <w:t xml:space="preserve"> and vimentin (red). The nuclei of both cell types is stained with Hoescht (blue). Scale bar represents 10</w:t>
      </w:r>
      <w:r w:rsidR="00CB7B9E">
        <w:rPr>
          <w:rFonts w:ascii="Times New Roman" w:hAnsi="Times New Roman" w:cs="Times New Roman"/>
        </w:rPr>
        <w:t>μM.</w:t>
      </w:r>
    </w:p>
    <w:p w14:paraId="300F7F50" w14:textId="77777777" w:rsidR="00A65F77" w:rsidRDefault="00A65F77" w:rsidP="00B87DAB">
      <w:pPr>
        <w:spacing w:line="360" w:lineRule="auto"/>
        <w:rPr>
          <w:rFonts w:ascii="Times New Roman" w:hAnsi="Times New Roman" w:cs="Times New Roman"/>
        </w:rPr>
      </w:pPr>
    </w:p>
    <w:p w14:paraId="0F65B5EC" w14:textId="77777777" w:rsidR="00A65F77" w:rsidRDefault="00A65F77" w:rsidP="00B87DAB">
      <w:pPr>
        <w:spacing w:line="360" w:lineRule="auto"/>
        <w:rPr>
          <w:rFonts w:ascii="Times New Roman" w:hAnsi="Times New Roman" w:cs="Times New Roman"/>
        </w:rPr>
      </w:pPr>
    </w:p>
    <w:p w14:paraId="4C00E0E5" w14:textId="77777777" w:rsidR="00A65F77" w:rsidRDefault="00A65F77" w:rsidP="00B87DAB">
      <w:pPr>
        <w:spacing w:line="360" w:lineRule="auto"/>
        <w:rPr>
          <w:rFonts w:ascii="Times New Roman" w:hAnsi="Times New Roman" w:cs="Times New Roman"/>
        </w:rPr>
      </w:pPr>
    </w:p>
    <w:p w14:paraId="58C099F1" w14:textId="619E3119" w:rsidR="00A65F77" w:rsidRDefault="009B1D43" w:rsidP="00B87DAB">
      <w:pPr>
        <w:spacing w:line="360" w:lineRule="auto"/>
        <w:rPr>
          <w:rFonts w:ascii="Times New Roman" w:hAnsi="Times New Roman" w:cs="Times New Roman"/>
        </w:rPr>
      </w:pPr>
      <w:r>
        <w:rPr>
          <w:rFonts w:ascii="Times New Roman" w:hAnsi="Times New Roman" w:cs="Times New Roman"/>
          <w:noProof/>
        </w:rPr>
        <w:drawing>
          <wp:inline distT="0" distB="0" distL="0" distR="0" wp14:anchorId="0CCE8924" wp14:editId="19D811BB">
            <wp:extent cx="5929077" cy="4691453"/>
            <wp:effectExtent l="0" t="0" r="0" b="762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51">
                      <a:extLst>
                        <a:ext uri="{28A0092B-C50C-407E-A947-70E740481C1C}">
                          <a14:useLocalDpi xmlns:a14="http://schemas.microsoft.com/office/drawing/2010/main" val="0"/>
                        </a:ext>
                      </a:extLst>
                    </a:blip>
                    <a:srcRect l="8105" t="6551" r="8398" b="5337"/>
                    <a:stretch/>
                  </pic:blipFill>
                  <pic:spPr bwMode="auto">
                    <a:xfrm>
                      <a:off x="0" y="0"/>
                      <a:ext cx="5932140" cy="4693876"/>
                    </a:xfrm>
                    <a:prstGeom prst="rect">
                      <a:avLst/>
                    </a:prstGeom>
                    <a:ln>
                      <a:noFill/>
                    </a:ln>
                    <a:extLst>
                      <a:ext uri="{53640926-AAD7-44d8-BBD7-CCE9431645EC}">
                        <a14:shadowObscured xmlns:a14="http://schemas.microsoft.com/office/drawing/2010/main"/>
                      </a:ext>
                    </a:extLst>
                  </pic:spPr>
                </pic:pic>
              </a:graphicData>
            </a:graphic>
          </wp:inline>
        </w:drawing>
      </w:r>
    </w:p>
    <w:p w14:paraId="1ECF3C9D" w14:textId="77777777" w:rsidR="0007476F" w:rsidRDefault="0007476F" w:rsidP="00B87DAB">
      <w:pPr>
        <w:spacing w:line="360" w:lineRule="auto"/>
        <w:rPr>
          <w:rFonts w:ascii="Times New Roman" w:hAnsi="Times New Roman" w:cs="Times New Roman"/>
        </w:rPr>
      </w:pPr>
    </w:p>
    <w:p w14:paraId="7B2B35FD" w14:textId="6ECF84CF" w:rsidR="004C5898" w:rsidRDefault="00F94933" w:rsidP="007028AC">
      <w:pPr>
        <w:pStyle w:val="Caption"/>
      </w:pPr>
      <w:bookmarkStart w:id="1314" w:name="_Toc333569060"/>
      <w:bookmarkStart w:id="1315" w:name="_Toc333569285"/>
      <w:bookmarkStart w:id="1316" w:name="_Toc333570839"/>
      <w:bookmarkStart w:id="1317" w:name="_Toc333582222"/>
      <w:bookmarkStart w:id="1318" w:name="_Toc333582342"/>
      <w:bookmarkStart w:id="1319" w:name="_Toc333582754"/>
      <w:bookmarkStart w:id="1320" w:name="_Toc333583124"/>
      <w:bookmarkStart w:id="1321" w:name="_Toc333585230"/>
      <w:bookmarkStart w:id="1322" w:name="_Toc333586782"/>
      <w:bookmarkStart w:id="1323" w:name="_Toc333644481"/>
      <w:bookmarkStart w:id="1324" w:name="_Toc333644775"/>
      <w:r>
        <w:t>Figure 4.3</w:t>
      </w:r>
      <w:r w:rsidR="0043060F">
        <w:t>.</w:t>
      </w:r>
      <w:r w:rsidR="009B1D43">
        <w:t xml:space="preserve"> </w:t>
      </w:r>
      <w:r w:rsidR="00844384" w:rsidRPr="005E59B5">
        <w:t>Establishing a human astrocyte-neuronal co-culture model</w:t>
      </w:r>
      <w:r w:rsidR="00844384">
        <w:t xml:space="preserve"> (2</w:t>
      </w:r>
      <w:r w:rsidR="00844384" w:rsidRPr="00844384">
        <w:t>)</w:t>
      </w:r>
      <w:r w:rsidR="001B72D6">
        <w:t>.</w:t>
      </w:r>
      <w:bookmarkEnd w:id="1314"/>
      <w:bookmarkEnd w:id="1315"/>
      <w:bookmarkEnd w:id="1316"/>
      <w:bookmarkEnd w:id="1317"/>
      <w:bookmarkEnd w:id="1318"/>
      <w:bookmarkEnd w:id="1319"/>
      <w:bookmarkEnd w:id="1320"/>
      <w:bookmarkEnd w:id="1321"/>
      <w:bookmarkEnd w:id="1322"/>
      <w:bookmarkEnd w:id="1323"/>
      <w:bookmarkEnd w:id="1324"/>
      <w:r w:rsidR="00844384">
        <w:t xml:space="preserve"> </w:t>
      </w:r>
    </w:p>
    <w:p w14:paraId="4CE27E15" w14:textId="5C023AFA" w:rsidR="009B1D43" w:rsidRPr="00844384" w:rsidRDefault="00844384" w:rsidP="007028AC">
      <w:pPr>
        <w:spacing w:line="360" w:lineRule="auto"/>
        <w:rPr>
          <w:rFonts w:ascii="Times New Roman" w:hAnsi="Times New Roman" w:cs="Times New Roman"/>
        </w:rPr>
        <w:sectPr w:rsidR="009B1D43" w:rsidRPr="00844384" w:rsidSect="002728DE">
          <w:pgSz w:w="11900" w:h="16840"/>
          <w:pgMar w:top="1440" w:right="1134" w:bottom="1440" w:left="2268" w:header="709" w:footer="709" w:gutter="0"/>
          <w:cols w:space="708"/>
          <w:docGrid w:linePitch="360"/>
        </w:sectPr>
      </w:pPr>
      <w:r>
        <w:rPr>
          <w:rFonts w:ascii="Times New Roman" w:hAnsi="Times New Roman" w:cs="Times New Roman"/>
        </w:rPr>
        <w:t>Co-cultured astrocytes and neurons were fixed after 72 hours and stained with a panel of antibodies. Representative images are of LUHMES stained with β3-tubulin (green) and astrocytes stained with a range of astrocytic markers including GFAP, ALDH1</w:t>
      </w:r>
      <w:r w:rsidR="00086871">
        <w:rPr>
          <w:rFonts w:ascii="Times New Roman" w:hAnsi="Times New Roman" w:cs="Times New Roman"/>
        </w:rPr>
        <w:t>L1</w:t>
      </w:r>
      <w:r>
        <w:rPr>
          <w:rFonts w:ascii="Times New Roman" w:hAnsi="Times New Roman" w:cs="Times New Roman"/>
        </w:rPr>
        <w:t xml:space="preserve"> and vimentin (red). The nuclei of both cell types is stained with Hoescht (b</w:t>
      </w:r>
      <w:r w:rsidR="007028AC">
        <w:rPr>
          <w:rFonts w:ascii="Times New Roman" w:hAnsi="Times New Roman" w:cs="Times New Roman"/>
        </w:rPr>
        <w:t xml:space="preserve">lue). Scale bar </w:t>
      </w:r>
      <w:r w:rsidR="003775C6">
        <w:rPr>
          <w:rFonts w:ascii="Times New Roman" w:hAnsi="Times New Roman" w:cs="Times New Roman"/>
        </w:rPr>
        <w:t>represents 50μM.</w:t>
      </w:r>
    </w:p>
    <w:p w14:paraId="6C93C4AA" w14:textId="132532EA" w:rsidR="009920E3" w:rsidRDefault="00F00E0E" w:rsidP="00395B55">
      <w:pPr>
        <w:pStyle w:val="Heading3"/>
      </w:pPr>
      <w:bookmarkStart w:id="1325" w:name="_Toc328301165"/>
      <w:bookmarkStart w:id="1326" w:name="_Toc329593456"/>
      <w:bookmarkStart w:id="1327" w:name="_Toc331425955"/>
      <w:bookmarkStart w:id="1328" w:name="_Toc331427136"/>
      <w:bookmarkStart w:id="1329" w:name="_Toc331427508"/>
      <w:bookmarkStart w:id="1330" w:name="_Toc331427650"/>
      <w:bookmarkStart w:id="1331" w:name="_Toc332972655"/>
      <w:bookmarkStart w:id="1332" w:name="_Toc333046934"/>
      <w:bookmarkStart w:id="1333" w:name="_Toc333477281"/>
      <w:bookmarkStart w:id="1334" w:name="_Toc333478051"/>
      <w:bookmarkStart w:id="1335" w:name="_Toc333644951"/>
      <w:r>
        <w:t>4.4</w:t>
      </w:r>
      <w:r w:rsidR="00F94933">
        <w:t xml:space="preserve">.2 </w:t>
      </w:r>
      <w:r w:rsidR="00EE2AA5">
        <w:t>Trialling different coating conditions</w:t>
      </w:r>
      <w:bookmarkEnd w:id="1325"/>
      <w:bookmarkEnd w:id="1326"/>
      <w:bookmarkEnd w:id="1327"/>
      <w:bookmarkEnd w:id="1328"/>
      <w:bookmarkEnd w:id="1329"/>
      <w:bookmarkEnd w:id="1330"/>
      <w:bookmarkEnd w:id="1331"/>
      <w:bookmarkEnd w:id="1332"/>
      <w:bookmarkEnd w:id="1333"/>
      <w:bookmarkEnd w:id="1334"/>
      <w:bookmarkEnd w:id="1335"/>
    </w:p>
    <w:p w14:paraId="43C3CCD8" w14:textId="77777777" w:rsidR="00EE2AA5" w:rsidRDefault="00EE2AA5">
      <w:pPr>
        <w:rPr>
          <w:rFonts w:ascii="Times New Roman" w:hAnsi="Times New Roman" w:cs="Times New Roman"/>
          <w:b/>
          <w:u w:val="single"/>
        </w:rPr>
      </w:pPr>
    </w:p>
    <w:p w14:paraId="7E511158" w14:textId="5967AB18" w:rsidR="0091237A" w:rsidRDefault="000069C5" w:rsidP="00C63BC1">
      <w:pPr>
        <w:spacing w:line="360" w:lineRule="auto"/>
        <w:jc w:val="both"/>
        <w:rPr>
          <w:rFonts w:ascii="Times New Roman" w:hAnsi="Times New Roman" w:cs="Times New Roman"/>
        </w:rPr>
      </w:pPr>
      <w:r>
        <w:rPr>
          <w:rFonts w:ascii="Times New Roman" w:hAnsi="Times New Roman" w:cs="Times New Roman"/>
        </w:rPr>
        <w:t>Coating con</w:t>
      </w:r>
      <w:r w:rsidR="008D1BD3">
        <w:rPr>
          <w:rFonts w:ascii="Times New Roman" w:hAnsi="Times New Roman" w:cs="Times New Roman"/>
        </w:rPr>
        <w:t>ditions for culturing LUHMES have</w:t>
      </w:r>
      <w:r>
        <w:rPr>
          <w:rFonts w:ascii="Times New Roman" w:hAnsi="Times New Roman" w:cs="Times New Roman"/>
        </w:rPr>
        <w:t xml:space="preserve"> been pr</w:t>
      </w:r>
      <w:r w:rsidR="0007303C">
        <w:rPr>
          <w:rFonts w:ascii="Times New Roman" w:hAnsi="Times New Roman" w:cs="Times New Roman"/>
        </w:rPr>
        <w:t xml:space="preserve">eviously optimised </w:t>
      </w:r>
      <w:r w:rsidR="0007303C">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"10.1111/j.1471-4159.2011.07255.x", "ISSN" : "1471-4159", "PMID" : "21434924", "abstract" : "We characterized phenotype and function of a fetal human mesencephalic cell line (LUHMES, Lund human mesencephalic) as neuronal model system. Neurodevelopmental profiling of the proliferation stage (d0, day 0) of these conditionally-immortalized cells revealed neuronal features, expressed simultaneously with some early neuroblast and stem cell markers. An optimized 2-step differentiation procedure, triggered by shut-down of the myc transgene, resulted in uniformly post-mitotic neurons within 5 days (d5). This was associated with down-regulation of some precursor markers and further up-regulation of neuronal genes. Neurite network formation involved the outgrowth of 1-2, often &gt; 500 \u03bcm long projections. They showed dynamic growth cone behavior, as evidenced by time-lapse imaging of stably GFP-over-expressing cells. Voltage-dependent sodium channels and spontaneous electrical activity of LUHMES continuously increased from d0 to d11, while levels of synaptic markers reached their maximum on d5. The developmental expression patterns of most genes and of the dopamine uptake- and release-machinery appeared to be intrinsically predetermined, as the differentiation proceeded similarly when external factors such as dibutyryl-cAMP and glial cell derived neurotrophic factor were omitted. Only tyrosine hydroxylase required the continuous presence of cAMP. In conclusion, LUHMES are a robust neuronal model with adaptable phenotype and high value for neurodevelopmental studies, disease modeling and neuropharmacology.", "author" : [ { "dropping-particle" : "", "family" : "Scholz", "given" : "Diana", "non-dropping-particle" : "", "parse-names" : false, "suffix" : "" }, { "dropping-particle" : "", "family" : "P\u00f6ltl", "given" : "Dominik", "non-dropping-particle" : "", "parse-names" : false, "suffix" : "" }, { "dropping-particle" : "", "family" : "Genewsky", "given" : "Andreas", "non-dropping-particle" : "", "parse-names" : false, "suffix" : "" }, { "dropping-particle" : "", "family" : "Weng", "given" : "Matthias", "non-dropping-particle" : "", "parse-names" : false, "suffix" : "" }, { "dropping-particle" : "", "family" : "Waldmann", "given" : "Tanja", "non-dropping-particle" : "", "parse-names" : false, "suffix" : "" }, { "dropping-particle" : "", "family" : "Schildknecht", "given" : "Stefan", "non-dropping-particle" : "", "parse-names" : false, "suffix" : "" }, { "dropping-particle" : "", "family" : "Leist", "given" : "Marcel", "non-dropping-particle" : "", "parse-names" : false, "suffix" : "" } ], "container-title" : "Journal of neurochemistry", "id" : "ITEM-1", "issue" : "5", "issued" : { "date-parts" : [ [ "2011", "12" ] ] }, "page" : "957-71", "title" : "Rapid, complete and large-scale generation of post-mitotic neurons from the human LUHMES cell line.", "type" : "article-journal", "volume" : "119" }, "uris" : [ "http://www.mendeley.com/documents/?uuid=15f6f1b0-c5c9-4030-b0c8-7b0ad79591f6" ] } ], "mendeley" : { "formattedCitation" : "(Scholz et al. 2011)", "plainTextFormattedCitation" : "(Scholz et al. 2011)", "previouslyFormattedCitation" : "(Scholz et al. 2011)" }, "properties" : { "noteIndex" : 0 }, "schema" : "https://github.com/citation-style-language/schema/raw/master/csl-citation.json" }</w:instrText>
      </w:r>
      <w:r w:rsidR="0007303C">
        <w:rPr>
          <w:rFonts w:ascii="Times New Roman" w:hAnsi="Times New Roman" w:cs="Times New Roman"/>
        </w:rPr>
        <w:fldChar w:fldCharType="separate"/>
      </w:r>
      <w:r w:rsidR="00C148FC" w:rsidRPr="00C148FC">
        <w:rPr>
          <w:rFonts w:ascii="Times New Roman" w:hAnsi="Times New Roman" w:cs="Times New Roman"/>
          <w:noProof/>
        </w:rPr>
        <w:t>(Scholz et al. 2011)</w:t>
      </w:r>
      <w:r w:rsidR="0007303C">
        <w:rPr>
          <w:rFonts w:ascii="Times New Roman" w:hAnsi="Times New Roman" w:cs="Times New Roman"/>
        </w:rPr>
        <w:fldChar w:fldCharType="end"/>
      </w:r>
      <w:r>
        <w:rPr>
          <w:rFonts w:ascii="Times New Roman" w:hAnsi="Times New Roman" w:cs="Times New Roman"/>
        </w:rPr>
        <w:t>. Poly-l-ornithine and fibronectin in comb</w:t>
      </w:r>
      <w:r w:rsidR="00C2771E">
        <w:rPr>
          <w:rFonts w:ascii="Times New Roman" w:hAnsi="Times New Roman" w:cs="Times New Roman"/>
        </w:rPr>
        <w:t>ination were</w:t>
      </w:r>
      <w:r>
        <w:rPr>
          <w:rFonts w:ascii="Times New Roman" w:hAnsi="Times New Roman" w:cs="Times New Roman"/>
        </w:rPr>
        <w:t xml:space="preserve"> used to coat plasticware to promote neuronal survival and growth. In the model defined in </w:t>
      </w:r>
      <w:r w:rsidR="00B92D16">
        <w:rPr>
          <w:rFonts w:ascii="Times New Roman" w:hAnsi="Times New Roman" w:cs="Times New Roman"/>
        </w:rPr>
        <w:t>section 4.4.1</w:t>
      </w:r>
      <w:r>
        <w:rPr>
          <w:rFonts w:ascii="Times New Roman" w:hAnsi="Times New Roman" w:cs="Times New Roman"/>
        </w:rPr>
        <w:t xml:space="preserve">, the astrocytes are first plated two days before predifferentiated LUHMES are </w:t>
      </w:r>
      <w:r w:rsidR="00745166">
        <w:rPr>
          <w:rFonts w:ascii="Times New Roman" w:hAnsi="Times New Roman" w:cs="Times New Roman"/>
        </w:rPr>
        <w:t>added</w:t>
      </w:r>
      <w:r w:rsidR="007F69E5">
        <w:rPr>
          <w:rFonts w:ascii="Times New Roman" w:hAnsi="Times New Roman" w:cs="Times New Roman"/>
        </w:rPr>
        <w:t xml:space="preserve">. </w:t>
      </w:r>
    </w:p>
    <w:p w14:paraId="0BCD9F77" w14:textId="77777777" w:rsidR="0091237A" w:rsidRDefault="0091237A" w:rsidP="00C63BC1">
      <w:pPr>
        <w:spacing w:line="360" w:lineRule="auto"/>
        <w:jc w:val="both"/>
        <w:rPr>
          <w:rFonts w:ascii="Times New Roman" w:hAnsi="Times New Roman" w:cs="Times New Roman"/>
        </w:rPr>
      </w:pPr>
    </w:p>
    <w:p w14:paraId="5D66F78C" w14:textId="071355C2" w:rsidR="00745166" w:rsidRDefault="007F69E5" w:rsidP="00C63BC1">
      <w:pPr>
        <w:spacing w:line="360" w:lineRule="auto"/>
        <w:jc w:val="both"/>
        <w:rPr>
          <w:rFonts w:ascii="Times New Roman" w:hAnsi="Times New Roman" w:cs="Times New Roman"/>
        </w:rPr>
      </w:pPr>
      <w:r>
        <w:rPr>
          <w:rFonts w:ascii="Times New Roman" w:hAnsi="Times New Roman" w:cs="Times New Roman"/>
        </w:rPr>
        <w:t>A</w:t>
      </w:r>
      <w:r w:rsidR="0091237A">
        <w:rPr>
          <w:rFonts w:ascii="Times New Roman" w:hAnsi="Times New Roman" w:cs="Times New Roman"/>
        </w:rPr>
        <w:t>strocytes did</w:t>
      </w:r>
      <w:r w:rsidR="000069C5">
        <w:rPr>
          <w:rFonts w:ascii="Times New Roman" w:hAnsi="Times New Roman" w:cs="Times New Roman"/>
        </w:rPr>
        <w:t xml:space="preserve"> not adhere</w:t>
      </w:r>
      <w:r>
        <w:rPr>
          <w:rFonts w:ascii="Times New Roman" w:hAnsi="Times New Roman" w:cs="Times New Roman"/>
        </w:rPr>
        <w:t xml:space="preserve"> well</w:t>
      </w:r>
      <w:r w:rsidR="000069C5">
        <w:rPr>
          <w:rFonts w:ascii="Times New Roman" w:hAnsi="Times New Roman" w:cs="Times New Roman"/>
        </w:rPr>
        <w:t xml:space="preserve"> to coverslips pre-coated with poly-l-ornithine and fibronectin</w:t>
      </w:r>
      <w:r w:rsidR="00B05CF8">
        <w:rPr>
          <w:rFonts w:ascii="Times New Roman" w:hAnsi="Times New Roman" w:cs="Times New Roman"/>
        </w:rPr>
        <w:t>, however</w:t>
      </w:r>
      <w:r w:rsidR="00745166">
        <w:rPr>
          <w:rFonts w:ascii="Times New Roman" w:hAnsi="Times New Roman" w:cs="Times New Roman"/>
        </w:rPr>
        <w:t xml:space="preserve"> in spite of this</w:t>
      </w:r>
      <w:r w:rsidR="0091237A">
        <w:rPr>
          <w:rFonts w:ascii="Times New Roman" w:hAnsi="Times New Roman" w:cs="Times New Roman"/>
        </w:rPr>
        <w:t xml:space="preserve"> the LUHMES we</w:t>
      </w:r>
      <w:r w:rsidR="00B05CF8">
        <w:rPr>
          <w:rFonts w:ascii="Times New Roman" w:hAnsi="Times New Roman" w:cs="Times New Roman"/>
        </w:rPr>
        <w:t>re well dispersed in co-culture on the astrocytes.</w:t>
      </w:r>
      <w:r w:rsidR="00745166">
        <w:rPr>
          <w:rFonts w:ascii="Times New Roman" w:hAnsi="Times New Roman" w:cs="Times New Roman"/>
        </w:rPr>
        <w:t xml:space="preserve"> To improve adherence of astrocytes to coverslips, different coating conditions were trialled.</w:t>
      </w:r>
    </w:p>
    <w:p w14:paraId="2266D1CF" w14:textId="77777777" w:rsidR="00745166" w:rsidRDefault="00745166" w:rsidP="00C63BC1">
      <w:pPr>
        <w:spacing w:line="360" w:lineRule="auto"/>
        <w:jc w:val="both"/>
        <w:rPr>
          <w:rFonts w:ascii="Times New Roman" w:hAnsi="Times New Roman" w:cs="Times New Roman"/>
        </w:rPr>
      </w:pPr>
    </w:p>
    <w:p w14:paraId="1599EF12" w14:textId="2F196963" w:rsidR="00783EC1" w:rsidRPr="000069C5" w:rsidRDefault="00C2771E" w:rsidP="00C63BC1">
      <w:pPr>
        <w:spacing w:line="360" w:lineRule="auto"/>
        <w:jc w:val="both"/>
        <w:rPr>
          <w:rFonts w:ascii="Times New Roman" w:hAnsi="Times New Roman" w:cs="Times New Roman"/>
        </w:rPr>
      </w:pPr>
      <w:r>
        <w:rPr>
          <w:rFonts w:ascii="Times New Roman" w:hAnsi="Times New Roman" w:cs="Times New Roman"/>
        </w:rPr>
        <w:t>The astrocytes did</w:t>
      </w:r>
      <w:r w:rsidR="007F69E5">
        <w:rPr>
          <w:rFonts w:ascii="Times New Roman" w:hAnsi="Times New Roman" w:cs="Times New Roman"/>
        </w:rPr>
        <w:t xml:space="preserve"> not adhere well to poly-l-ornithine coated coverslips (</w:t>
      </w:r>
      <w:r w:rsidR="007F69E5" w:rsidRPr="0017286C">
        <w:rPr>
          <w:rFonts w:ascii="Times New Roman" w:hAnsi="Times New Roman" w:cs="Times New Roman"/>
          <w:b/>
        </w:rPr>
        <w:t xml:space="preserve">figure </w:t>
      </w:r>
      <w:r w:rsidR="00B92D16" w:rsidRPr="0017286C">
        <w:rPr>
          <w:rFonts w:ascii="Times New Roman" w:hAnsi="Times New Roman" w:cs="Times New Roman"/>
          <w:b/>
        </w:rPr>
        <w:t>4.4</w:t>
      </w:r>
      <w:r w:rsidR="007F69E5">
        <w:rPr>
          <w:rFonts w:ascii="Times New Roman" w:hAnsi="Times New Roman" w:cs="Times New Roman"/>
        </w:rPr>
        <w:t xml:space="preserve">) but </w:t>
      </w:r>
      <w:r w:rsidR="00745166">
        <w:rPr>
          <w:rFonts w:ascii="Times New Roman" w:hAnsi="Times New Roman" w:cs="Times New Roman"/>
        </w:rPr>
        <w:t>coating with</w:t>
      </w:r>
      <w:r w:rsidR="0091237A">
        <w:rPr>
          <w:rFonts w:ascii="Times New Roman" w:hAnsi="Times New Roman" w:cs="Times New Roman"/>
        </w:rPr>
        <w:t xml:space="preserve"> just fibronectin</w:t>
      </w:r>
      <w:r w:rsidR="00745166">
        <w:rPr>
          <w:rFonts w:ascii="Times New Roman" w:hAnsi="Times New Roman" w:cs="Times New Roman"/>
        </w:rPr>
        <w:t xml:space="preserve"> improved astrocyte adherence. It was important to have a healthy and confluent bed of astrocytes in order to investigate the support provided by astrocytes for neurons. </w:t>
      </w:r>
      <w:r w:rsidR="00033FFA">
        <w:rPr>
          <w:rFonts w:ascii="Times New Roman" w:hAnsi="Times New Roman" w:cs="Times New Roman"/>
        </w:rPr>
        <w:t>I</w:t>
      </w:r>
      <w:r w:rsidR="00F36223">
        <w:rPr>
          <w:rFonts w:ascii="Times New Roman" w:hAnsi="Times New Roman" w:cs="Times New Roman"/>
        </w:rPr>
        <w:t xml:space="preserve">f astrocytes are already stressed </w:t>
      </w:r>
      <w:r w:rsidR="00033FFA">
        <w:rPr>
          <w:rFonts w:ascii="Times New Roman" w:hAnsi="Times New Roman" w:cs="Times New Roman"/>
        </w:rPr>
        <w:t xml:space="preserve">by the coating conditions </w:t>
      </w:r>
      <w:r w:rsidR="00F36223">
        <w:rPr>
          <w:rFonts w:ascii="Times New Roman" w:hAnsi="Times New Roman" w:cs="Times New Roman"/>
        </w:rPr>
        <w:t>prior to the addition of treatments, then the readout of the level of the support for the neuron is not strictly due to the selected treatments applied to the astrocytes. Therefore</w:t>
      </w:r>
      <w:r w:rsidR="002E7CDE">
        <w:rPr>
          <w:rFonts w:ascii="Times New Roman" w:hAnsi="Times New Roman" w:cs="Times New Roman"/>
        </w:rPr>
        <w:t xml:space="preserve"> fibronectin alone was used in further experiments to coat coverslips. In these conditions,</w:t>
      </w:r>
      <w:r w:rsidR="00F36223">
        <w:rPr>
          <w:rFonts w:ascii="Times New Roman" w:hAnsi="Times New Roman" w:cs="Times New Roman"/>
        </w:rPr>
        <w:t xml:space="preserve"> a</w:t>
      </w:r>
      <w:r w:rsidR="001B3647">
        <w:rPr>
          <w:rFonts w:ascii="Times New Roman" w:hAnsi="Times New Roman" w:cs="Times New Roman"/>
        </w:rPr>
        <w:t xml:space="preserve">n </w:t>
      </w:r>
      <w:r w:rsidR="001B3647" w:rsidRPr="001B3647">
        <w:rPr>
          <w:rFonts w:ascii="Times New Roman" w:hAnsi="Times New Roman" w:cs="Times New Roman"/>
        </w:rPr>
        <w:t>evenly</w:t>
      </w:r>
      <w:r w:rsidR="00F36223" w:rsidRPr="001B3647">
        <w:rPr>
          <w:rFonts w:ascii="Times New Roman" w:hAnsi="Times New Roman" w:cs="Times New Roman"/>
        </w:rPr>
        <w:t xml:space="preserve"> dispersed neuronal network</w:t>
      </w:r>
      <w:r w:rsidR="00F36223">
        <w:rPr>
          <w:rFonts w:ascii="Times New Roman" w:hAnsi="Times New Roman" w:cs="Times New Roman"/>
        </w:rPr>
        <w:t xml:space="preserve"> was compromised in order to achieve a well-distributed </w:t>
      </w:r>
      <w:r w:rsidR="00120200">
        <w:rPr>
          <w:rFonts w:ascii="Times New Roman" w:hAnsi="Times New Roman" w:cs="Times New Roman"/>
        </w:rPr>
        <w:t xml:space="preserve">and </w:t>
      </w:r>
      <w:r w:rsidR="0091237A">
        <w:rPr>
          <w:rFonts w:ascii="Times New Roman" w:hAnsi="Times New Roman" w:cs="Times New Roman"/>
        </w:rPr>
        <w:t>more confluent</w:t>
      </w:r>
      <w:r w:rsidR="00120200">
        <w:rPr>
          <w:rFonts w:ascii="Times New Roman" w:hAnsi="Times New Roman" w:cs="Times New Roman"/>
        </w:rPr>
        <w:t xml:space="preserve"> </w:t>
      </w:r>
      <w:r w:rsidR="00F36223">
        <w:rPr>
          <w:rFonts w:ascii="Times New Roman" w:hAnsi="Times New Roman" w:cs="Times New Roman"/>
        </w:rPr>
        <w:t>layer of astrocytes.</w:t>
      </w:r>
      <w:r w:rsidR="000069C5">
        <w:rPr>
          <w:rFonts w:ascii="Times New Roman" w:hAnsi="Times New Roman" w:cs="Times New Roman"/>
        </w:rPr>
        <w:t xml:space="preserve"> </w:t>
      </w:r>
    </w:p>
    <w:p w14:paraId="267DD443" w14:textId="77777777" w:rsidR="00EE2AA5" w:rsidRDefault="00EE2AA5" w:rsidP="000069C5">
      <w:pPr>
        <w:spacing w:line="360" w:lineRule="auto"/>
        <w:rPr>
          <w:rFonts w:ascii="Times New Roman" w:hAnsi="Times New Roman" w:cs="Times New Roman"/>
          <w:b/>
          <w:u w:val="single"/>
        </w:rPr>
      </w:pPr>
    </w:p>
    <w:p w14:paraId="4444D692" w14:textId="776C355A" w:rsidR="00EE2AA5" w:rsidRDefault="00745166">
      <w:pPr>
        <w:rPr>
          <w:rFonts w:ascii="Times New Roman" w:hAnsi="Times New Roman" w:cs="Times New Roman"/>
        </w:rPr>
      </w:pPr>
      <w:r>
        <w:rPr>
          <w:rFonts w:ascii="Times New Roman" w:hAnsi="Times New Roman" w:cs="Times New Roman"/>
          <w:noProof/>
        </w:rPr>
        <w:t xml:space="preserve">    </w:t>
      </w:r>
      <w:r w:rsidR="00A0797B">
        <w:rPr>
          <w:rFonts w:ascii="Times New Roman" w:hAnsi="Times New Roman" w:cs="Times New Roman"/>
          <w:noProof/>
        </w:rPr>
        <w:drawing>
          <wp:inline distT="0" distB="0" distL="0" distR="0" wp14:anchorId="0D47AFD1" wp14:editId="79A093BE">
            <wp:extent cx="5299837" cy="4151156"/>
            <wp:effectExtent l="0" t="0" r="889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52">
                      <a:extLst>
                        <a:ext uri="{28A0092B-C50C-407E-A947-70E740481C1C}">
                          <a14:useLocalDpi xmlns:a14="http://schemas.microsoft.com/office/drawing/2010/main" val="0"/>
                        </a:ext>
                      </a:extLst>
                    </a:blip>
                    <a:srcRect l="7446" t="5478" r="7315" b="5482"/>
                    <a:stretch/>
                  </pic:blipFill>
                  <pic:spPr bwMode="auto">
                    <a:xfrm>
                      <a:off x="0" y="0"/>
                      <a:ext cx="5303064" cy="4153684"/>
                    </a:xfrm>
                    <a:prstGeom prst="rect">
                      <a:avLst/>
                    </a:prstGeom>
                    <a:ln>
                      <a:noFill/>
                    </a:ln>
                    <a:extLst>
                      <a:ext uri="{53640926-AAD7-44d8-BBD7-CCE9431645EC}">
                        <a14:shadowObscured xmlns:a14="http://schemas.microsoft.com/office/drawing/2010/main"/>
                      </a:ext>
                    </a:extLst>
                  </pic:spPr>
                </pic:pic>
              </a:graphicData>
            </a:graphic>
          </wp:inline>
        </w:drawing>
      </w:r>
    </w:p>
    <w:p w14:paraId="1FE87CC7" w14:textId="77777777" w:rsidR="00EE2AA5" w:rsidRDefault="00EE2AA5">
      <w:pPr>
        <w:rPr>
          <w:rFonts w:ascii="Times New Roman" w:hAnsi="Times New Roman" w:cs="Times New Roman"/>
        </w:rPr>
      </w:pPr>
    </w:p>
    <w:p w14:paraId="2B38A913" w14:textId="77777777" w:rsidR="001B72D6" w:rsidRDefault="00783EC1" w:rsidP="001627E2">
      <w:pPr>
        <w:pStyle w:val="Caption"/>
      </w:pPr>
      <w:bookmarkStart w:id="1336" w:name="_Toc333569061"/>
      <w:bookmarkStart w:id="1337" w:name="_Toc333569286"/>
      <w:bookmarkStart w:id="1338" w:name="_Toc333570840"/>
      <w:bookmarkStart w:id="1339" w:name="_Toc333582223"/>
      <w:bookmarkStart w:id="1340" w:name="_Toc333582343"/>
      <w:bookmarkStart w:id="1341" w:name="_Toc333582755"/>
      <w:bookmarkStart w:id="1342" w:name="_Toc333583125"/>
      <w:bookmarkStart w:id="1343" w:name="_Toc333585231"/>
      <w:bookmarkStart w:id="1344" w:name="_Toc333586783"/>
      <w:bookmarkStart w:id="1345" w:name="_Toc333644482"/>
      <w:bookmarkStart w:id="1346" w:name="_Toc333644776"/>
      <w:r>
        <w:t xml:space="preserve">Figure </w:t>
      </w:r>
      <w:r w:rsidR="00F94933">
        <w:t>4.4</w:t>
      </w:r>
      <w:r w:rsidR="0043060F">
        <w:t>.</w:t>
      </w:r>
      <w:r w:rsidR="00F94933">
        <w:t xml:space="preserve"> </w:t>
      </w:r>
      <w:r>
        <w:t xml:space="preserve">Different coating </w:t>
      </w:r>
      <w:r w:rsidR="00B144D0">
        <w:t>conditions affect</w:t>
      </w:r>
      <w:r>
        <w:t xml:space="preserve"> how astrocyte-neuronal co-cultures form.</w:t>
      </w:r>
      <w:bookmarkEnd w:id="1336"/>
      <w:bookmarkEnd w:id="1337"/>
      <w:bookmarkEnd w:id="1338"/>
      <w:bookmarkEnd w:id="1339"/>
      <w:bookmarkEnd w:id="1340"/>
      <w:bookmarkEnd w:id="1341"/>
      <w:bookmarkEnd w:id="1342"/>
      <w:bookmarkEnd w:id="1343"/>
      <w:bookmarkEnd w:id="1344"/>
      <w:bookmarkEnd w:id="1345"/>
      <w:bookmarkEnd w:id="1346"/>
      <w:r w:rsidR="008E6D40">
        <w:t xml:space="preserve"> </w:t>
      </w:r>
    </w:p>
    <w:p w14:paraId="35079AB0" w14:textId="37BB1259" w:rsidR="00EE2AA5" w:rsidRPr="008E6D40" w:rsidRDefault="008E6D40" w:rsidP="00C63BC1">
      <w:pPr>
        <w:spacing w:line="360" w:lineRule="auto"/>
        <w:jc w:val="both"/>
        <w:rPr>
          <w:rFonts w:ascii="Times New Roman" w:hAnsi="Times New Roman" w:cs="Times New Roman"/>
        </w:rPr>
      </w:pPr>
      <w:r>
        <w:rPr>
          <w:rFonts w:ascii="Times New Roman" w:hAnsi="Times New Roman" w:cs="Times New Roman"/>
        </w:rPr>
        <w:t>Images represent 24 hour co-cultures of human astrocytes and LUHMES on coverslips coated with a) poly-l-ornithine and fibronectin b) fibronectin alone c)</w:t>
      </w:r>
      <w:r w:rsidR="0017286C">
        <w:rPr>
          <w:rFonts w:ascii="Times New Roman" w:hAnsi="Times New Roman" w:cs="Times New Roman"/>
        </w:rPr>
        <w:t xml:space="preserve"> </w:t>
      </w:r>
      <w:r>
        <w:rPr>
          <w:rFonts w:ascii="Times New Roman" w:hAnsi="Times New Roman" w:cs="Times New Roman"/>
        </w:rPr>
        <w:t xml:space="preserve">poly-l-ornithine alone. The same number of astrocytes and LUHMES were plated in each condition, however less astrocytes adhered to coverslips coated with poly-l-ornithine alone or in combination with fibronectin. </w:t>
      </w:r>
      <w:r w:rsidR="009C6C9B">
        <w:rPr>
          <w:rFonts w:ascii="Times New Roman" w:hAnsi="Times New Roman" w:cs="Times New Roman"/>
        </w:rPr>
        <w:t xml:space="preserve">In contrast, the LUHMES require poly-l-ornithine to form well-dispersed networks. </w:t>
      </w:r>
      <w:r w:rsidR="00A0797B">
        <w:rPr>
          <w:rFonts w:ascii="Times New Roman" w:hAnsi="Times New Roman" w:cs="Times New Roman"/>
        </w:rPr>
        <w:t>Scale bar represents 50μM</w:t>
      </w:r>
      <w:r w:rsidR="00C63BC1">
        <w:rPr>
          <w:rFonts w:ascii="Times New Roman" w:hAnsi="Times New Roman" w:cs="Times New Roman"/>
        </w:rPr>
        <w:t>.</w:t>
      </w:r>
    </w:p>
    <w:p w14:paraId="0B19337D" w14:textId="77777777" w:rsidR="00115AC5" w:rsidRDefault="00115AC5">
      <w:pPr>
        <w:rPr>
          <w:rFonts w:ascii="Times New Roman" w:hAnsi="Times New Roman" w:cs="Times New Roman"/>
        </w:rPr>
      </w:pPr>
    </w:p>
    <w:p w14:paraId="60D8EB9E" w14:textId="77777777" w:rsidR="00115AC5" w:rsidRPr="00EE2AA5" w:rsidRDefault="00115AC5">
      <w:pPr>
        <w:rPr>
          <w:rFonts w:ascii="Times New Roman" w:hAnsi="Times New Roman" w:cs="Times New Roman"/>
        </w:rPr>
      </w:pPr>
    </w:p>
    <w:p w14:paraId="33C5B559" w14:textId="77777777" w:rsidR="004C5898" w:rsidRDefault="004C5898">
      <w:pPr>
        <w:rPr>
          <w:rFonts w:ascii="Times New Roman" w:hAnsi="Times New Roman" w:cs="Times New Roman"/>
          <w:b/>
          <w:u w:val="single"/>
        </w:rPr>
      </w:pPr>
    </w:p>
    <w:p w14:paraId="42CAD85F" w14:textId="77777777" w:rsidR="004C5898" w:rsidRDefault="004C5898">
      <w:pPr>
        <w:rPr>
          <w:rFonts w:ascii="Times New Roman" w:hAnsi="Times New Roman" w:cs="Times New Roman"/>
          <w:b/>
          <w:u w:val="single"/>
        </w:rPr>
      </w:pPr>
    </w:p>
    <w:p w14:paraId="7ADB8176" w14:textId="77777777" w:rsidR="004C5898" w:rsidRDefault="004C5898">
      <w:pPr>
        <w:rPr>
          <w:rFonts w:ascii="Times New Roman" w:hAnsi="Times New Roman" w:cs="Times New Roman"/>
          <w:b/>
          <w:u w:val="single"/>
        </w:rPr>
      </w:pPr>
    </w:p>
    <w:p w14:paraId="52027A9C" w14:textId="77777777" w:rsidR="004C5898" w:rsidRDefault="004C5898">
      <w:pPr>
        <w:rPr>
          <w:rFonts w:ascii="Times New Roman" w:hAnsi="Times New Roman" w:cs="Times New Roman"/>
          <w:b/>
          <w:u w:val="single"/>
        </w:rPr>
      </w:pPr>
    </w:p>
    <w:p w14:paraId="44269E7E" w14:textId="77777777" w:rsidR="004C5898" w:rsidRDefault="004C5898">
      <w:pPr>
        <w:rPr>
          <w:rFonts w:ascii="Times New Roman" w:hAnsi="Times New Roman" w:cs="Times New Roman"/>
          <w:b/>
          <w:u w:val="single"/>
        </w:rPr>
      </w:pPr>
    </w:p>
    <w:p w14:paraId="189B303A" w14:textId="77777777" w:rsidR="004C5898" w:rsidRDefault="004C5898">
      <w:pPr>
        <w:rPr>
          <w:rFonts w:ascii="Times New Roman" w:hAnsi="Times New Roman" w:cs="Times New Roman"/>
          <w:b/>
          <w:u w:val="single"/>
        </w:rPr>
      </w:pPr>
    </w:p>
    <w:p w14:paraId="1495DC7E" w14:textId="77777777" w:rsidR="004C5898" w:rsidRDefault="004C5898">
      <w:pPr>
        <w:rPr>
          <w:rFonts w:ascii="Times New Roman" w:hAnsi="Times New Roman" w:cs="Times New Roman"/>
          <w:b/>
          <w:u w:val="single"/>
        </w:rPr>
      </w:pPr>
    </w:p>
    <w:p w14:paraId="543882D2" w14:textId="77777777" w:rsidR="004C5898" w:rsidRDefault="004C5898">
      <w:pPr>
        <w:rPr>
          <w:rFonts w:ascii="Times New Roman" w:hAnsi="Times New Roman" w:cs="Times New Roman"/>
          <w:b/>
          <w:u w:val="single"/>
        </w:rPr>
      </w:pPr>
    </w:p>
    <w:p w14:paraId="16FFA335" w14:textId="77777777" w:rsidR="004C5898" w:rsidRDefault="004C5898">
      <w:pPr>
        <w:rPr>
          <w:rFonts w:ascii="Times New Roman" w:hAnsi="Times New Roman" w:cs="Times New Roman"/>
          <w:b/>
          <w:u w:val="single"/>
        </w:rPr>
      </w:pPr>
    </w:p>
    <w:p w14:paraId="47A6BAB9" w14:textId="60F1A2B9" w:rsidR="00DF6C1C" w:rsidRPr="00DF6C1C" w:rsidRDefault="00F00E0E" w:rsidP="00395B55">
      <w:pPr>
        <w:pStyle w:val="Heading3"/>
      </w:pPr>
      <w:bookmarkStart w:id="1347" w:name="_Toc328301166"/>
      <w:bookmarkStart w:id="1348" w:name="_Toc329593457"/>
      <w:bookmarkStart w:id="1349" w:name="_Toc331425956"/>
      <w:bookmarkStart w:id="1350" w:name="_Toc331427137"/>
      <w:bookmarkStart w:id="1351" w:name="_Toc331427509"/>
      <w:bookmarkStart w:id="1352" w:name="_Toc331427651"/>
      <w:bookmarkStart w:id="1353" w:name="_Toc332972656"/>
      <w:bookmarkStart w:id="1354" w:name="_Toc333046935"/>
      <w:bookmarkStart w:id="1355" w:name="_Toc333477282"/>
      <w:bookmarkStart w:id="1356" w:name="_Toc333478052"/>
      <w:bookmarkStart w:id="1357" w:name="_Toc333644952"/>
      <w:r>
        <w:t>4.4</w:t>
      </w:r>
      <w:r w:rsidR="00F94933">
        <w:t xml:space="preserve">.3 </w:t>
      </w:r>
      <w:r w:rsidR="00DF6C1C" w:rsidRPr="00DF6C1C">
        <w:t xml:space="preserve">Developing a model to </w:t>
      </w:r>
      <w:r w:rsidR="009C15B6">
        <w:t xml:space="preserve">measure </w:t>
      </w:r>
      <w:r w:rsidR="00DF6C1C" w:rsidRPr="00DF6C1C">
        <w:t>neurite outgrowth in the astrocyte-neuronal co-culture</w:t>
      </w:r>
      <w:bookmarkEnd w:id="1347"/>
      <w:bookmarkEnd w:id="1348"/>
      <w:bookmarkEnd w:id="1349"/>
      <w:bookmarkEnd w:id="1350"/>
      <w:bookmarkEnd w:id="1351"/>
      <w:bookmarkEnd w:id="1352"/>
      <w:bookmarkEnd w:id="1353"/>
      <w:bookmarkEnd w:id="1354"/>
      <w:bookmarkEnd w:id="1355"/>
      <w:bookmarkEnd w:id="1356"/>
      <w:bookmarkEnd w:id="1357"/>
    </w:p>
    <w:p w14:paraId="76B1EF5B" w14:textId="77777777" w:rsidR="00AD51E1" w:rsidRDefault="00AD51E1">
      <w:pPr>
        <w:rPr>
          <w:rFonts w:ascii="Times New Roman" w:hAnsi="Times New Roman" w:cs="Times New Roman"/>
          <w:b/>
          <w:sz w:val="40"/>
          <w:szCs w:val="40"/>
        </w:rPr>
      </w:pPr>
    </w:p>
    <w:p w14:paraId="0BC1F76D" w14:textId="50F01091" w:rsidR="00B24891" w:rsidRDefault="009E1F76" w:rsidP="00C63BC1">
      <w:pPr>
        <w:spacing w:line="360" w:lineRule="auto"/>
        <w:jc w:val="both"/>
        <w:rPr>
          <w:rFonts w:ascii="Times New Roman" w:hAnsi="Times New Roman" w:cs="Times New Roman"/>
        </w:rPr>
      </w:pPr>
      <w:r>
        <w:rPr>
          <w:rFonts w:ascii="Times New Roman" w:hAnsi="Times New Roman" w:cs="Times New Roman"/>
        </w:rPr>
        <w:t>To develop a neurite outgrowth assay, the number of LUHMES plated on the astrocyte</w:t>
      </w:r>
      <w:r w:rsidR="006B2EFE">
        <w:rPr>
          <w:rFonts w:ascii="Times New Roman" w:hAnsi="Times New Roman" w:cs="Times New Roman"/>
        </w:rPr>
        <w:t>s</w:t>
      </w:r>
      <w:r w:rsidR="00C2771E">
        <w:rPr>
          <w:rFonts w:ascii="Times New Roman" w:hAnsi="Times New Roman" w:cs="Times New Roman"/>
        </w:rPr>
        <w:t xml:space="preserve"> was</w:t>
      </w:r>
      <w:r w:rsidR="006B2EFE">
        <w:rPr>
          <w:rFonts w:ascii="Times New Roman" w:hAnsi="Times New Roman" w:cs="Times New Roman"/>
        </w:rPr>
        <w:t xml:space="preserve"> carefully optimis</w:t>
      </w:r>
      <w:r>
        <w:rPr>
          <w:rFonts w:ascii="Times New Roman" w:hAnsi="Times New Roman" w:cs="Times New Roman"/>
        </w:rPr>
        <w:t xml:space="preserve">ed. LUHMES have a tendency to bundle together when plated on astrocytes </w:t>
      </w:r>
      <w:r w:rsidR="006B2EFE">
        <w:rPr>
          <w:rFonts w:ascii="Times New Roman" w:hAnsi="Times New Roman" w:cs="Times New Roman"/>
        </w:rPr>
        <w:t>making</w:t>
      </w:r>
      <w:r>
        <w:rPr>
          <w:rFonts w:ascii="Times New Roman" w:hAnsi="Times New Roman" w:cs="Times New Roman"/>
        </w:rPr>
        <w:t xml:space="preserve"> neurite length</w:t>
      </w:r>
      <w:r w:rsidR="00610530">
        <w:rPr>
          <w:rFonts w:ascii="Times New Roman" w:hAnsi="Times New Roman" w:cs="Times New Roman"/>
        </w:rPr>
        <w:t xml:space="preserve"> </w:t>
      </w:r>
      <w:r>
        <w:rPr>
          <w:rFonts w:ascii="Times New Roman" w:hAnsi="Times New Roman" w:cs="Times New Roman"/>
        </w:rPr>
        <w:t xml:space="preserve">very difficult to measure. </w:t>
      </w:r>
      <w:r w:rsidR="00D20496">
        <w:rPr>
          <w:rFonts w:ascii="Times New Roman" w:hAnsi="Times New Roman" w:cs="Times New Roman"/>
        </w:rPr>
        <w:t xml:space="preserve">Using the co-culture system established in </w:t>
      </w:r>
      <w:r w:rsidR="0007303C">
        <w:rPr>
          <w:rFonts w:ascii="Times New Roman" w:hAnsi="Times New Roman" w:cs="Times New Roman"/>
        </w:rPr>
        <w:t>section 4.4.1</w:t>
      </w:r>
      <w:r w:rsidR="00D20496">
        <w:rPr>
          <w:rFonts w:ascii="Times New Roman" w:hAnsi="Times New Roman" w:cs="Times New Roman"/>
        </w:rPr>
        <w:t>,</w:t>
      </w:r>
      <w:r w:rsidR="00795BBC">
        <w:rPr>
          <w:rFonts w:ascii="Times New Roman" w:hAnsi="Times New Roman" w:cs="Times New Roman"/>
        </w:rPr>
        <w:t xml:space="preserve"> a low density of LUHMES</w:t>
      </w:r>
      <w:r>
        <w:rPr>
          <w:rFonts w:ascii="Times New Roman" w:hAnsi="Times New Roman" w:cs="Times New Roman"/>
        </w:rPr>
        <w:t xml:space="preserve"> was </w:t>
      </w:r>
      <w:r w:rsidR="00AD006A">
        <w:rPr>
          <w:rFonts w:ascii="Times New Roman" w:hAnsi="Times New Roman" w:cs="Times New Roman"/>
        </w:rPr>
        <w:t xml:space="preserve">optimised and </w:t>
      </w:r>
      <w:r w:rsidR="00795BBC">
        <w:rPr>
          <w:rFonts w:ascii="Times New Roman" w:hAnsi="Times New Roman" w:cs="Times New Roman"/>
        </w:rPr>
        <w:t>plated on a confluent astrocyte monola</w:t>
      </w:r>
      <w:r w:rsidR="00AD3FCD">
        <w:rPr>
          <w:rFonts w:ascii="Times New Roman" w:hAnsi="Times New Roman" w:cs="Times New Roman"/>
        </w:rPr>
        <w:t xml:space="preserve">yer. This co-culture system was </w:t>
      </w:r>
      <w:r>
        <w:rPr>
          <w:rFonts w:ascii="Times New Roman" w:hAnsi="Times New Roman" w:cs="Times New Roman"/>
        </w:rPr>
        <w:t>used to</w:t>
      </w:r>
      <w:r w:rsidR="00795BBC">
        <w:rPr>
          <w:rFonts w:ascii="Times New Roman" w:hAnsi="Times New Roman" w:cs="Times New Roman"/>
        </w:rPr>
        <w:t xml:space="preserve"> assess</w:t>
      </w:r>
      <w:r w:rsidR="00545238">
        <w:rPr>
          <w:rFonts w:ascii="Times New Roman" w:hAnsi="Times New Roman" w:cs="Times New Roman"/>
        </w:rPr>
        <w:t xml:space="preserve"> whether the</w:t>
      </w:r>
      <w:r w:rsidR="00795BBC">
        <w:rPr>
          <w:rFonts w:ascii="Times New Roman" w:hAnsi="Times New Roman" w:cs="Times New Roman"/>
        </w:rPr>
        <w:t xml:space="preserve"> </w:t>
      </w:r>
      <w:r w:rsidR="00545238">
        <w:rPr>
          <w:rFonts w:ascii="Times New Roman" w:hAnsi="Times New Roman" w:cs="Times New Roman"/>
        </w:rPr>
        <w:t xml:space="preserve">ScienCell </w:t>
      </w:r>
      <w:r w:rsidR="00795BBC">
        <w:rPr>
          <w:rFonts w:ascii="Times New Roman" w:hAnsi="Times New Roman" w:cs="Times New Roman"/>
        </w:rPr>
        <w:t xml:space="preserve">astrocytes </w:t>
      </w:r>
      <w:r w:rsidR="00545238">
        <w:rPr>
          <w:rFonts w:ascii="Times New Roman" w:hAnsi="Times New Roman" w:cs="Times New Roman"/>
        </w:rPr>
        <w:t xml:space="preserve">are able to </w:t>
      </w:r>
      <w:r w:rsidR="00610587">
        <w:rPr>
          <w:rFonts w:ascii="Times New Roman" w:hAnsi="Times New Roman" w:cs="Times New Roman"/>
        </w:rPr>
        <w:t>support</w:t>
      </w:r>
      <w:r w:rsidR="0015405C">
        <w:rPr>
          <w:rFonts w:ascii="Times New Roman" w:hAnsi="Times New Roman" w:cs="Times New Roman"/>
        </w:rPr>
        <w:t xml:space="preserve"> the </w:t>
      </w:r>
      <w:r w:rsidR="00795BBC">
        <w:rPr>
          <w:rFonts w:ascii="Times New Roman" w:hAnsi="Times New Roman" w:cs="Times New Roman"/>
        </w:rPr>
        <w:t>outgrowth of the LUHMES in the final 72 hours of differentiation</w:t>
      </w:r>
      <w:r w:rsidR="0013738D">
        <w:rPr>
          <w:rFonts w:ascii="Times New Roman" w:hAnsi="Times New Roman" w:cs="Times New Roman"/>
        </w:rPr>
        <w:t xml:space="preserve"> (</w:t>
      </w:r>
      <w:r w:rsidR="0013738D" w:rsidRPr="0017286C">
        <w:rPr>
          <w:rFonts w:ascii="Times New Roman" w:hAnsi="Times New Roman" w:cs="Times New Roman"/>
          <w:b/>
        </w:rPr>
        <w:t xml:space="preserve">figure </w:t>
      </w:r>
      <w:r w:rsidR="00B92D16" w:rsidRPr="0017286C">
        <w:rPr>
          <w:rFonts w:ascii="Times New Roman" w:hAnsi="Times New Roman" w:cs="Times New Roman"/>
          <w:b/>
        </w:rPr>
        <w:t>4.5</w:t>
      </w:r>
      <w:r w:rsidR="0013738D">
        <w:rPr>
          <w:rFonts w:ascii="Times New Roman" w:hAnsi="Times New Roman" w:cs="Times New Roman"/>
        </w:rPr>
        <w:t>)</w:t>
      </w:r>
      <w:r w:rsidR="00795BBC">
        <w:rPr>
          <w:rFonts w:ascii="Times New Roman" w:hAnsi="Times New Roman" w:cs="Times New Roman"/>
        </w:rPr>
        <w:t xml:space="preserve">. </w:t>
      </w:r>
    </w:p>
    <w:p w14:paraId="637B45D4" w14:textId="77777777" w:rsidR="006B2EFE" w:rsidRDefault="006B2EFE" w:rsidP="00C63BC1">
      <w:pPr>
        <w:spacing w:line="360" w:lineRule="auto"/>
        <w:jc w:val="both"/>
        <w:rPr>
          <w:rFonts w:ascii="Times New Roman" w:hAnsi="Times New Roman" w:cs="Times New Roman"/>
        </w:rPr>
      </w:pPr>
    </w:p>
    <w:p w14:paraId="7C5043DF" w14:textId="05FBB7BB" w:rsidR="00107310" w:rsidRDefault="006B2EFE" w:rsidP="00C63BC1">
      <w:pPr>
        <w:spacing w:line="360" w:lineRule="auto"/>
        <w:jc w:val="both"/>
        <w:rPr>
          <w:rFonts w:ascii="Times New Roman" w:hAnsi="Times New Roman" w:cs="Times New Roman"/>
        </w:rPr>
      </w:pPr>
      <w:r>
        <w:rPr>
          <w:rFonts w:ascii="Times New Roman" w:hAnsi="Times New Roman" w:cs="Times New Roman"/>
        </w:rPr>
        <w:t>A low density of 7500 LUHMES were</w:t>
      </w:r>
      <w:r w:rsidR="009E1F76">
        <w:rPr>
          <w:rFonts w:ascii="Times New Roman" w:hAnsi="Times New Roman" w:cs="Times New Roman"/>
        </w:rPr>
        <w:t xml:space="preserve"> plated on a confluent bed of 30 000 astrocytes per well of a twenty-four well plate. </w:t>
      </w:r>
      <w:r w:rsidR="00107310">
        <w:rPr>
          <w:rFonts w:ascii="Times New Roman" w:hAnsi="Times New Roman" w:cs="Times New Roman"/>
        </w:rPr>
        <w:t>The co-cultures were fixe</w:t>
      </w:r>
      <w:r>
        <w:rPr>
          <w:rFonts w:ascii="Times New Roman" w:hAnsi="Times New Roman" w:cs="Times New Roman"/>
        </w:rPr>
        <w:t>d with 4% PFA and stained with β3-tubulin</w:t>
      </w:r>
      <w:r w:rsidR="00107310">
        <w:rPr>
          <w:rFonts w:ascii="Times New Roman" w:hAnsi="Times New Roman" w:cs="Times New Roman"/>
        </w:rPr>
        <w:t xml:space="preserve"> and GFAP every 24 hours over the 72 hour period until the LUHMES in monoculture are reported as being fully differentiated</w:t>
      </w:r>
      <w:r w:rsidR="00BB775B">
        <w:rPr>
          <w:rFonts w:ascii="Times New Roman" w:hAnsi="Times New Roman" w:cs="Times New Roman"/>
        </w:rPr>
        <w:t xml:space="preserve"> </w:t>
      </w:r>
      <w:r w:rsidR="00BB775B">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"10.1111/j.1471-4159.2011.07255.x", "ISSN" : "1471-4159", "PMID" : "21434924", "abstract" : "We characterized phenotype and function of a fetal human mesencephalic cell line (LUHMES, Lund human mesencephalic) as neuronal model system. Neurodevelopmental profiling of the proliferation stage (d0, day 0) of these conditionally-immortalized cells revealed neuronal features, expressed simultaneously with some early neuroblast and stem cell markers. An optimized 2-step differentiation procedure, triggered by shut-down of the myc transgene, resulted in uniformly post-mitotic neurons within 5 days (d5). This was associated with down-regulation of some precursor markers and further up-regulation of neuronal genes. Neurite network formation involved the outgrowth of 1-2, often &gt; 500 \u03bcm long projections. They showed dynamic growth cone behavior, as evidenced by time-lapse imaging of stably GFP-over-expressing cells. Voltage-dependent sodium channels and spontaneous electrical activity of LUHMES continuously increased from d0 to d11, while levels of synaptic markers reached their maximum on d5. The developmental expression patterns of most genes and of the dopamine uptake- and release-machinery appeared to be intrinsically predetermined, as the differentiation proceeded similarly when external factors such as dibutyryl-cAMP and glial cell derived neurotrophic factor were omitted. Only tyrosine hydroxylase required the continuous presence of cAMP. In conclusion, LUHMES are a robust neuronal model with adaptable phenotype and high value for neurodevelopmental studies, disease modeling and neuropharmacology.", "author" : [ { "dropping-particle" : "", "family" : "Scholz", "given" : "Diana", "non-dropping-particle" : "", "parse-names" : false, "suffix" : "" }, { "dropping-particle" : "", "family" : "P\u00f6ltl", "given" : "Dominik", "non-dropping-particle" : "", "parse-names" : false, "suffix" : "" }, { "dropping-particle" : "", "family" : "Genewsky", "given" : "Andreas", "non-dropping-particle" : "", "parse-names" : false, "suffix" : "" }, { "dropping-particle" : "", "family" : "Weng", "given" : "Matthias", "non-dropping-particle" : "", "parse-names" : false, "suffix" : "" }, { "dropping-particle" : "", "family" : "Waldmann", "given" : "Tanja", "non-dropping-particle" : "", "parse-names" : false, "suffix" : "" }, { "dropping-particle" : "", "family" : "Schildknecht", "given" : "Stefan", "non-dropping-particle" : "", "parse-names" : false, "suffix" : "" }, { "dropping-particle" : "", "family" : "Leist", "given" : "Marcel", "non-dropping-particle" : "", "parse-names" : false, "suffix" : "" } ], "container-title" : "Journal of neurochemistry", "id" : "ITEM-1", "issue" : "5", "issued" : { "date-parts" : [ [ "2011", "12" ] ] }, "page" : "957-71", "title" : "Rapid, complete and large-scale generation of post-mitotic neurons from the human LUHMES cell line.", "type" : "article-journal", "volume" : "119" }, "uris" : [ "http://www.mendeley.com/documents/?uuid=15f6f1b0-c5c9-4030-b0c8-7b0ad79591f6" ] } ], "mendeley" : { "formattedCitation" : "(Scholz et al. 2011)", "plainTextFormattedCitation" : "(Scholz et al. 2011)", "previouslyFormattedCitation" : "(Scholz et al. 2011)" }, "properties" : { "noteIndex" : 0 }, "schema" : "https://github.com/citation-style-language/schema/raw/master/csl-citation.json" }</w:instrText>
      </w:r>
      <w:r w:rsidR="00BB775B">
        <w:rPr>
          <w:rFonts w:ascii="Times New Roman" w:hAnsi="Times New Roman" w:cs="Times New Roman"/>
        </w:rPr>
        <w:fldChar w:fldCharType="separate"/>
      </w:r>
      <w:r w:rsidR="00C148FC" w:rsidRPr="00C148FC">
        <w:rPr>
          <w:rFonts w:ascii="Times New Roman" w:hAnsi="Times New Roman" w:cs="Times New Roman"/>
          <w:noProof/>
        </w:rPr>
        <w:t>(Scholz et al. 2011)</w:t>
      </w:r>
      <w:r w:rsidR="00BB775B">
        <w:rPr>
          <w:rFonts w:ascii="Times New Roman" w:hAnsi="Times New Roman" w:cs="Times New Roman"/>
        </w:rPr>
        <w:fldChar w:fldCharType="end"/>
      </w:r>
      <w:r w:rsidR="00260911">
        <w:rPr>
          <w:rFonts w:ascii="Times New Roman" w:hAnsi="Times New Roman" w:cs="Times New Roman"/>
        </w:rPr>
        <w:t xml:space="preserve">. </w:t>
      </w:r>
      <w:r w:rsidR="00AD006A">
        <w:rPr>
          <w:rFonts w:ascii="Times New Roman" w:hAnsi="Times New Roman" w:cs="Times New Roman"/>
        </w:rPr>
        <w:t>There wa</w:t>
      </w:r>
      <w:r w:rsidR="00107310">
        <w:rPr>
          <w:rFonts w:ascii="Times New Roman" w:hAnsi="Times New Roman" w:cs="Times New Roman"/>
        </w:rPr>
        <w:t>s a clear increase in n</w:t>
      </w:r>
      <w:r w:rsidR="00260911">
        <w:rPr>
          <w:rFonts w:ascii="Times New Roman" w:hAnsi="Times New Roman" w:cs="Times New Roman"/>
        </w:rPr>
        <w:t>eur</w:t>
      </w:r>
      <w:r w:rsidR="00AD006A">
        <w:rPr>
          <w:rFonts w:ascii="Times New Roman" w:hAnsi="Times New Roman" w:cs="Times New Roman"/>
        </w:rPr>
        <w:t>ite outgrowth when the neurons we</w:t>
      </w:r>
      <w:r w:rsidR="00107310">
        <w:rPr>
          <w:rFonts w:ascii="Times New Roman" w:hAnsi="Times New Roman" w:cs="Times New Roman"/>
        </w:rPr>
        <w:t>re co-cultured with the astrocytes</w:t>
      </w:r>
      <w:r>
        <w:rPr>
          <w:rFonts w:ascii="Times New Roman" w:hAnsi="Times New Roman" w:cs="Times New Roman"/>
        </w:rPr>
        <w:t xml:space="preserve"> compared to</w:t>
      </w:r>
      <w:r w:rsidR="00AD006A">
        <w:rPr>
          <w:rFonts w:ascii="Times New Roman" w:hAnsi="Times New Roman" w:cs="Times New Roman"/>
        </w:rPr>
        <w:t xml:space="preserve"> when they were</w:t>
      </w:r>
      <w:r w:rsidR="009C6B64">
        <w:rPr>
          <w:rFonts w:ascii="Times New Roman" w:hAnsi="Times New Roman" w:cs="Times New Roman"/>
        </w:rPr>
        <w:t xml:space="preserve"> cultured alone</w:t>
      </w:r>
      <w:r w:rsidR="00107310">
        <w:rPr>
          <w:rFonts w:ascii="Times New Roman" w:hAnsi="Times New Roman" w:cs="Times New Roman"/>
        </w:rPr>
        <w:t>.</w:t>
      </w:r>
      <w:r w:rsidR="00260911">
        <w:rPr>
          <w:rFonts w:ascii="Times New Roman" w:hAnsi="Times New Roman" w:cs="Times New Roman"/>
        </w:rPr>
        <w:t xml:space="preserve"> This effect was observed </w:t>
      </w:r>
      <w:r w:rsidR="00E34F74">
        <w:rPr>
          <w:rFonts w:ascii="Times New Roman" w:hAnsi="Times New Roman" w:cs="Times New Roman"/>
        </w:rPr>
        <w:t>at all three time points a</w:t>
      </w:r>
      <w:r w:rsidR="00AD006A">
        <w:rPr>
          <w:rFonts w:ascii="Times New Roman" w:hAnsi="Times New Roman" w:cs="Times New Roman"/>
        </w:rPr>
        <w:t>nd suggests astrocytic support wa</w:t>
      </w:r>
      <w:r w:rsidR="00E34F74">
        <w:rPr>
          <w:rFonts w:ascii="Times New Roman" w:hAnsi="Times New Roman" w:cs="Times New Roman"/>
        </w:rPr>
        <w:t xml:space="preserve">s offered consistently during </w:t>
      </w:r>
      <w:r w:rsidR="00AD3FCD">
        <w:rPr>
          <w:rFonts w:ascii="Times New Roman" w:hAnsi="Times New Roman" w:cs="Times New Roman"/>
        </w:rPr>
        <w:t>the 72 hours in co-culture</w:t>
      </w:r>
      <w:r w:rsidR="00E34F74">
        <w:rPr>
          <w:rFonts w:ascii="Times New Roman" w:hAnsi="Times New Roman" w:cs="Times New Roman"/>
        </w:rPr>
        <w:t>.</w:t>
      </w:r>
      <w:r w:rsidR="00107310">
        <w:rPr>
          <w:rFonts w:ascii="Times New Roman" w:hAnsi="Times New Roman" w:cs="Times New Roman"/>
        </w:rPr>
        <w:t xml:space="preserve"> </w:t>
      </w:r>
      <w:r w:rsidR="001D5771">
        <w:rPr>
          <w:rFonts w:ascii="Times New Roman" w:hAnsi="Times New Roman" w:cs="Times New Roman"/>
        </w:rPr>
        <w:t xml:space="preserve">The LUHMES in monoculture </w:t>
      </w:r>
      <w:r w:rsidR="00AD006A">
        <w:rPr>
          <w:rFonts w:ascii="Times New Roman" w:hAnsi="Times New Roman" w:cs="Times New Roman"/>
        </w:rPr>
        <w:t>appeared to have</w:t>
      </w:r>
      <w:r w:rsidR="001D5771">
        <w:rPr>
          <w:rFonts w:ascii="Times New Roman" w:hAnsi="Times New Roman" w:cs="Times New Roman"/>
        </w:rPr>
        <w:t xml:space="preserve"> more branch points</w:t>
      </w:r>
      <w:r>
        <w:rPr>
          <w:rFonts w:ascii="Times New Roman" w:hAnsi="Times New Roman" w:cs="Times New Roman"/>
        </w:rPr>
        <w:t xml:space="preserve"> (</w:t>
      </w:r>
      <w:r w:rsidRPr="0017286C">
        <w:rPr>
          <w:rFonts w:ascii="Times New Roman" w:hAnsi="Times New Roman" w:cs="Times New Roman"/>
          <w:b/>
        </w:rPr>
        <w:t xml:space="preserve">figure </w:t>
      </w:r>
      <w:r w:rsidR="00025B52" w:rsidRPr="0017286C">
        <w:rPr>
          <w:rFonts w:ascii="Times New Roman" w:hAnsi="Times New Roman" w:cs="Times New Roman"/>
          <w:b/>
        </w:rPr>
        <w:t>4.6</w:t>
      </w:r>
      <w:r>
        <w:rPr>
          <w:rFonts w:ascii="Times New Roman" w:hAnsi="Times New Roman" w:cs="Times New Roman"/>
        </w:rPr>
        <w:t>)</w:t>
      </w:r>
      <w:r w:rsidR="00AD006A">
        <w:rPr>
          <w:rFonts w:ascii="Times New Roman" w:hAnsi="Times New Roman" w:cs="Times New Roman"/>
        </w:rPr>
        <w:t xml:space="preserve"> but there wa</w:t>
      </w:r>
      <w:r w:rsidR="001D5771">
        <w:rPr>
          <w:rFonts w:ascii="Times New Roman" w:hAnsi="Times New Roman" w:cs="Times New Roman"/>
        </w:rPr>
        <w:t xml:space="preserve">s an obvious elongation of neurites when </w:t>
      </w:r>
      <w:r w:rsidR="00AD006A">
        <w:rPr>
          <w:rFonts w:ascii="Times New Roman" w:hAnsi="Times New Roman" w:cs="Times New Roman"/>
        </w:rPr>
        <w:t>co-cultured with astrocytes.</w:t>
      </w:r>
    </w:p>
    <w:p w14:paraId="7CE0FBED" w14:textId="77777777" w:rsidR="006B2EFE" w:rsidRDefault="006B2EFE" w:rsidP="00C63BC1">
      <w:pPr>
        <w:spacing w:line="360" w:lineRule="auto"/>
        <w:jc w:val="both"/>
        <w:rPr>
          <w:rFonts w:ascii="Times New Roman" w:hAnsi="Times New Roman" w:cs="Times New Roman"/>
        </w:rPr>
      </w:pPr>
      <w:r>
        <w:rPr>
          <w:rFonts w:ascii="Times New Roman" w:hAnsi="Times New Roman" w:cs="Times New Roman"/>
        </w:rPr>
        <w:t xml:space="preserve">    </w:t>
      </w:r>
    </w:p>
    <w:p w14:paraId="0D3C56AB" w14:textId="183262E7" w:rsidR="00AD3FCD" w:rsidRPr="006B6D36" w:rsidRDefault="00AD3FCD" w:rsidP="00C63BC1">
      <w:pPr>
        <w:spacing w:line="360" w:lineRule="auto"/>
        <w:jc w:val="both"/>
        <w:rPr>
          <w:rFonts w:ascii="Times New Roman" w:hAnsi="Times New Roman" w:cs="Times New Roman"/>
          <w:color w:val="FF0000"/>
        </w:rPr>
      </w:pPr>
      <w:r>
        <w:rPr>
          <w:rFonts w:ascii="Times New Roman" w:hAnsi="Times New Roman" w:cs="Times New Roman"/>
        </w:rPr>
        <w:t xml:space="preserve">LUHMES were </w:t>
      </w:r>
      <w:r w:rsidR="006B2EFE">
        <w:rPr>
          <w:rFonts w:ascii="Times New Roman" w:hAnsi="Times New Roman" w:cs="Times New Roman"/>
        </w:rPr>
        <w:t xml:space="preserve">also </w:t>
      </w:r>
      <w:r>
        <w:rPr>
          <w:rFonts w:ascii="Times New Roman" w:hAnsi="Times New Roman" w:cs="Times New Roman"/>
        </w:rPr>
        <w:t>stained with a</w:t>
      </w:r>
      <w:r w:rsidR="006B2EFE">
        <w:rPr>
          <w:rFonts w:ascii="Times New Roman" w:hAnsi="Times New Roman" w:cs="Times New Roman"/>
        </w:rPr>
        <w:t>n antibody against</w:t>
      </w:r>
      <w:r>
        <w:rPr>
          <w:rFonts w:ascii="Times New Roman" w:hAnsi="Times New Roman" w:cs="Times New Roman"/>
        </w:rPr>
        <w:t xml:space="preserve"> </w:t>
      </w:r>
      <w:r w:rsidR="009B371B">
        <w:rPr>
          <w:rFonts w:ascii="Times New Roman" w:hAnsi="Times New Roman" w:cs="Times New Roman"/>
        </w:rPr>
        <w:t>Post synaptic NMDA receptor (PSD95)</w:t>
      </w:r>
      <w:r w:rsidR="00117FEC">
        <w:rPr>
          <w:rFonts w:ascii="Times New Roman" w:hAnsi="Times New Roman" w:cs="Times New Roman"/>
        </w:rPr>
        <w:t xml:space="preserve"> </w:t>
      </w:r>
      <w:r>
        <w:rPr>
          <w:rFonts w:ascii="Times New Roman" w:hAnsi="Times New Roman" w:cs="Times New Roman"/>
        </w:rPr>
        <w:t>to assess formation of synapses in monoculture versus co-culture</w:t>
      </w:r>
      <w:r w:rsidR="006B2EFE">
        <w:rPr>
          <w:rFonts w:ascii="Times New Roman" w:hAnsi="Times New Roman" w:cs="Times New Roman"/>
        </w:rPr>
        <w:t>. E</w:t>
      </w:r>
      <w:r w:rsidR="00745E88">
        <w:rPr>
          <w:rFonts w:ascii="Times New Roman" w:hAnsi="Times New Roman" w:cs="Times New Roman"/>
        </w:rPr>
        <w:t>xpression of PSD95 was observed by</w:t>
      </w:r>
      <w:r w:rsidR="006B2EFE">
        <w:rPr>
          <w:rFonts w:ascii="Times New Roman" w:hAnsi="Times New Roman" w:cs="Times New Roman"/>
        </w:rPr>
        <w:t xml:space="preserve"> both</w:t>
      </w:r>
      <w:r w:rsidR="00745E88">
        <w:rPr>
          <w:rFonts w:ascii="Times New Roman" w:hAnsi="Times New Roman" w:cs="Times New Roman"/>
        </w:rPr>
        <w:t xml:space="preserve"> </w:t>
      </w:r>
      <w:r w:rsidR="00AB0487">
        <w:rPr>
          <w:rFonts w:ascii="Times New Roman" w:hAnsi="Times New Roman" w:cs="Times New Roman"/>
        </w:rPr>
        <w:t>western blotting</w:t>
      </w:r>
      <w:r w:rsidR="00745E88">
        <w:rPr>
          <w:rFonts w:ascii="Times New Roman" w:hAnsi="Times New Roman" w:cs="Times New Roman"/>
        </w:rPr>
        <w:t xml:space="preserve"> and immunofluorescence</w:t>
      </w:r>
      <w:r w:rsidR="006B2EFE">
        <w:rPr>
          <w:rFonts w:ascii="Times New Roman" w:hAnsi="Times New Roman" w:cs="Times New Roman"/>
        </w:rPr>
        <w:t xml:space="preserve"> and was present</w:t>
      </w:r>
      <w:r w:rsidR="00745E88">
        <w:rPr>
          <w:rFonts w:ascii="Times New Roman" w:hAnsi="Times New Roman" w:cs="Times New Roman"/>
        </w:rPr>
        <w:t xml:space="preserve"> in the LUHMES in monoculture and co-culture. </w:t>
      </w:r>
      <w:r w:rsidR="00117FEC">
        <w:rPr>
          <w:rFonts w:ascii="Times New Roman" w:hAnsi="Times New Roman" w:cs="Times New Roman"/>
        </w:rPr>
        <w:t>Unexpectedly, e</w:t>
      </w:r>
      <w:r w:rsidR="00745E88">
        <w:rPr>
          <w:rFonts w:ascii="Times New Roman" w:hAnsi="Times New Roman" w:cs="Times New Roman"/>
        </w:rPr>
        <w:t>xpressi</w:t>
      </w:r>
      <w:r w:rsidR="007A27BD">
        <w:rPr>
          <w:rFonts w:ascii="Times New Roman" w:hAnsi="Times New Roman" w:cs="Times New Roman"/>
        </w:rPr>
        <w:t>on of PSD95 was also observed</w:t>
      </w:r>
      <w:r w:rsidR="00745E88">
        <w:rPr>
          <w:rFonts w:ascii="Times New Roman" w:hAnsi="Times New Roman" w:cs="Times New Roman"/>
        </w:rPr>
        <w:t xml:space="preserve"> in the astrocytes</w:t>
      </w:r>
      <w:r w:rsidR="006B2EFE">
        <w:rPr>
          <w:rFonts w:ascii="Times New Roman" w:hAnsi="Times New Roman" w:cs="Times New Roman"/>
        </w:rPr>
        <w:t>, both</w:t>
      </w:r>
      <w:r w:rsidR="00117FEC">
        <w:rPr>
          <w:rFonts w:ascii="Times New Roman" w:hAnsi="Times New Roman" w:cs="Times New Roman"/>
        </w:rPr>
        <w:t xml:space="preserve"> </w:t>
      </w:r>
      <w:r w:rsidR="0007303C">
        <w:rPr>
          <w:rFonts w:ascii="Times New Roman" w:hAnsi="Times New Roman" w:cs="Times New Roman"/>
        </w:rPr>
        <w:t xml:space="preserve">in </w:t>
      </w:r>
      <w:r w:rsidR="00117FEC">
        <w:rPr>
          <w:rFonts w:ascii="Times New Roman" w:hAnsi="Times New Roman" w:cs="Times New Roman"/>
        </w:rPr>
        <w:t>mono-culture and co-culture (</w:t>
      </w:r>
      <w:r w:rsidR="00117FEC" w:rsidRPr="002D6320">
        <w:rPr>
          <w:rFonts w:ascii="Times New Roman" w:hAnsi="Times New Roman" w:cs="Times New Roman"/>
          <w:b/>
        </w:rPr>
        <w:t xml:space="preserve">figure </w:t>
      </w:r>
      <w:r w:rsidR="00025B52" w:rsidRPr="002D6320">
        <w:rPr>
          <w:rFonts w:ascii="Times New Roman" w:hAnsi="Times New Roman" w:cs="Times New Roman"/>
          <w:b/>
        </w:rPr>
        <w:t>4.7</w:t>
      </w:r>
      <w:r w:rsidR="00117FEC">
        <w:rPr>
          <w:rFonts w:ascii="Times New Roman" w:hAnsi="Times New Roman" w:cs="Times New Roman"/>
        </w:rPr>
        <w:t>).</w:t>
      </w:r>
      <w:r w:rsidR="00745E88">
        <w:rPr>
          <w:rFonts w:ascii="Times New Roman" w:hAnsi="Times New Roman" w:cs="Times New Roman"/>
        </w:rPr>
        <w:t xml:space="preserve"> </w:t>
      </w:r>
    </w:p>
    <w:p w14:paraId="08DF3585" w14:textId="77777777" w:rsidR="00E042A9" w:rsidRDefault="00E042A9" w:rsidP="00C63BC1">
      <w:pPr>
        <w:spacing w:line="360" w:lineRule="auto"/>
        <w:jc w:val="both"/>
        <w:rPr>
          <w:rFonts w:ascii="Times New Roman" w:hAnsi="Times New Roman" w:cs="Times New Roman"/>
        </w:rPr>
      </w:pPr>
    </w:p>
    <w:p w14:paraId="469D10D5" w14:textId="77777777" w:rsidR="00CC1CBA" w:rsidRPr="00E042A9" w:rsidRDefault="00CC1CBA" w:rsidP="00E042A9">
      <w:pPr>
        <w:spacing w:line="360" w:lineRule="auto"/>
        <w:rPr>
          <w:rFonts w:ascii="Times New Roman" w:hAnsi="Times New Roman" w:cs="Times New Roman"/>
        </w:rPr>
        <w:sectPr w:rsidR="00CC1CBA" w:rsidRPr="00E042A9" w:rsidSect="000523C5">
          <w:pgSz w:w="11900" w:h="16840"/>
          <w:pgMar w:top="1440" w:right="1134" w:bottom="1440" w:left="2268" w:header="709" w:footer="709" w:gutter="0"/>
          <w:cols w:space="708"/>
          <w:docGrid w:linePitch="360"/>
        </w:sectPr>
      </w:pPr>
    </w:p>
    <w:p w14:paraId="1DB561D6" w14:textId="527716AC" w:rsidR="001627E2" w:rsidRDefault="00D20496" w:rsidP="00610530">
      <w:pPr>
        <w:rPr>
          <w:rFonts w:ascii="Times New Roman" w:hAnsi="Times New Roman" w:cs="Times New Roman"/>
          <w:b/>
          <w:sz w:val="40"/>
          <w:szCs w:val="40"/>
        </w:rPr>
      </w:pPr>
      <w:r>
        <w:rPr>
          <w:rFonts w:ascii="Times New Roman" w:hAnsi="Times New Roman" w:cs="Times New Roman"/>
          <w:b/>
          <w:sz w:val="40"/>
          <w:szCs w:val="40"/>
        </w:rPr>
        <w:t xml:space="preserve"> </w:t>
      </w:r>
      <w:r w:rsidR="00A554C3">
        <w:rPr>
          <w:rFonts w:ascii="Times New Roman" w:hAnsi="Times New Roman" w:cs="Times New Roman"/>
          <w:b/>
          <w:sz w:val="40"/>
          <w:szCs w:val="40"/>
        </w:rPr>
        <w:t xml:space="preserve">    </w:t>
      </w:r>
      <w:r w:rsidR="000E7073">
        <w:rPr>
          <w:rFonts w:ascii="Times New Roman" w:hAnsi="Times New Roman" w:cs="Times New Roman"/>
          <w:b/>
          <w:sz w:val="40"/>
          <w:szCs w:val="40"/>
        </w:rPr>
        <w:t xml:space="preserve">  </w:t>
      </w:r>
      <w:r w:rsidR="00016A69">
        <w:rPr>
          <w:rFonts w:ascii="Times New Roman" w:hAnsi="Times New Roman" w:cs="Times New Roman"/>
          <w:b/>
          <w:sz w:val="40"/>
          <w:szCs w:val="40"/>
        </w:rPr>
        <w:t xml:space="preserve">          </w:t>
      </w:r>
      <w:r w:rsidR="00610530">
        <w:rPr>
          <w:rFonts w:ascii="Times New Roman" w:hAnsi="Times New Roman" w:cs="Times New Roman"/>
          <w:b/>
          <w:sz w:val="40"/>
          <w:szCs w:val="40"/>
        </w:rPr>
        <w:t xml:space="preserve"> </w:t>
      </w:r>
      <w:r>
        <w:rPr>
          <w:rFonts w:ascii="Times New Roman" w:hAnsi="Times New Roman" w:cs="Times New Roman"/>
          <w:b/>
          <w:sz w:val="40"/>
          <w:szCs w:val="40"/>
        </w:rPr>
        <w:t xml:space="preserve">  </w:t>
      </w:r>
      <w:r w:rsidR="00610530">
        <w:rPr>
          <w:rFonts w:ascii="Times New Roman" w:hAnsi="Times New Roman" w:cs="Times New Roman"/>
          <w:b/>
          <w:noProof/>
          <w:sz w:val="40"/>
          <w:szCs w:val="40"/>
        </w:rPr>
        <w:drawing>
          <wp:inline distT="0" distB="0" distL="0" distR="0" wp14:anchorId="11CE6BC2" wp14:editId="517172A0">
            <wp:extent cx="6778265" cy="4325753"/>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53">
                      <a:extLst>
                        <a:ext uri="{28A0092B-C50C-407E-A947-70E740481C1C}">
                          <a14:useLocalDpi xmlns:a14="http://schemas.microsoft.com/office/drawing/2010/main" val="0"/>
                        </a:ext>
                      </a:extLst>
                    </a:blip>
                    <a:srcRect t="3980" b="10913"/>
                    <a:stretch/>
                  </pic:blipFill>
                  <pic:spPr bwMode="auto">
                    <a:xfrm>
                      <a:off x="0" y="0"/>
                      <a:ext cx="6780918" cy="4327446"/>
                    </a:xfrm>
                    <a:prstGeom prst="rect">
                      <a:avLst/>
                    </a:prstGeom>
                    <a:ln>
                      <a:noFill/>
                    </a:ln>
                    <a:extLst>
                      <a:ext uri="{53640926-AAD7-44d8-BBD7-CCE9431645EC}">
                        <a14:shadowObscured xmlns:a14="http://schemas.microsoft.com/office/drawing/2010/main"/>
                      </a:ext>
                    </a:extLst>
                  </pic:spPr>
                </pic:pic>
              </a:graphicData>
            </a:graphic>
          </wp:inline>
        </w:drawing>
      </w:r>
    </w:p>
    <w:p w14:paraId="5F61A6A3" w14:textId="69923785" w:rsidR="001B72D6" w:rsidRDefault="002C61EA" w:rsidP="007028AC">
      <w:pPr>
        <w:pStyle w:val="Caption"/>
      </w:pPr>
      <w:bookmarkStart w:id="1358" w:name="_Toc333569062"/>
      <w:bookmarkStart w:id="1359" w:name="_Toc333569287"/>
      <w:bookmarkStart w:id="1360" w:name="_Toc333570841"/>
      <w:bookmarkStart w:id="1361" w:name="_Toc333582224"/>
      <w:bookmarkStart w:id="1362" w:name="_Toc333582344"/>
      <w:bookmarkStart w:id="1363" w:name="_Toc333582756"/>
      <w:bookmarkStart w:id="1364" w:name="_Toc333583126"/>
      <w:bookmarkStart w:id="1365" w:name="_Toc333585232"/>
      <w:bookmarkStart w:id="1366" w:name="_Toc333586784"/>
      <w:bookmarkStart w:id="1367" w:name="_Toc333644483"/>
      <w:bookmarkStart w:id="1368" w:name="_Toc333644777"/>
      <w:r>
        <w:t xml:space="preserve">Figure </w:t>
      </w:r>
      <w:r w:rsidR="00F94933">
        <w:t>4.5</w:t>
      </w:r>
      <w:r w:rsidR="0043060F">
        <w:t>.</w:t>
      </w:r>
      <w:r>
        <w:t xml:space="preserve"> </w:t>
      </w:r>
      <w:r w:rsidR="006B2EFE" w:rsidRPr="006B2EFE">
        <w:t>Image outline</w:t>
      </w:r>
      <w:r w:rsidR="002C0EA0">
        <w:t xml:space="preserve"> of</w:t>
      </w:r>
      <w:r w:rsidR="006B2EFE" w:rsidRPr="006B2EFE">
        <w:t xml:space="preserve"> the c</w:t>
      </w:r>
      <w:r w:rsidRPr="006B2EFE">
        <w:t>o-culture</w:t>
      </w:r>
      <w:r w:rsidRPr="00545238">
        <w:t xml:space="preserve"> model </w:t>
      </w:r>
      <w:r w:rsidR="00545238" w:rsidRPr="00545238">
        <w:t>to assess astrocytic support for neurite outgrowth</w:t>
      </w:r>
      <w:r w:rsidR="00AD006A">
        <w:t>.</w:t>
      </w:r>
      <w:bookmarkEnd w:id="1358"/>
      <w:bookmarkEnd w:id="1359"/>
      <w:bookmarkEnd w:id="1360"/>
      <w:bookmarkEnd w:id="1361"/>
      <w:bookmarkEnd w:id="1362"/>
      <w:bookmarkEnd w:id="1363"/>
      <w:bookmarkEnd w:id="1364"/>
      <w:bookmarkEnd w:id="1365"/>
      <w:bookmarkEnd w:id="1366"/>
      <w:bookmarkEnd w:id="1367"/>
      <w:bookmarkEnd w:id="1368"/>
      <w:r w:rsidR="00AD006A">
        <w:t xml:space="preserve"> </w:t>
      </w:r>
    </w:p>
    <w:p w14:paraId="7B10BD64" w14:textId="4042AEAE" w:rsidR="002C61EA" w:rsidRPr="00610530" w:rsidRDefault="00AD006A" w:rsidP="007028AC">
      <w:pPr>
        <w:spacing w:line="360" w:lineRule="auto"/>
        <w:jc w:val="both"/>
        <w:rPr>
          <w:rFonts w:ascii="Times New Roman" w:hAnsi="Times New Roman" w:cs="Times New Roman"/>
          <w:b/>
          <w:sz w:val="40"/>
          <w:szCs w:val="40"/>
        </w:rPr>
        <w:sectPr w:rsidR="002C61EA" w:rsidRPr="00610530" w:rsidSect="00E042A9">
          <w:pgSz w:w="16840" w:h="11900" w:orient="landscape"/>
          <w:pgMar w:top="2268" w:right="1440" w:bottom="1134" w:left="1440" w:header="709" w:footer="709" w:gutter="0"/>
          <w:cols w:space="708"/>
          <w:docGrid w:linePitch="360"/>
        </w:sectPr>
      </w:pPr>
      <w:r>
        <w:rPr>
          <w:rFonts w:ascii="Times New Roman" w:hAnsi="Times New Roman" w:cs="Times New Roman"/>
        </w:rPr>
        <w:t>On day 1 astrocytes we</w:t>
      </w:r>
      <w:r w:rsidR="00545238">
        <w:rPr>
          <w:rFonts w:ascii="Times New Roman" w:hAnsi="Times New Roman" w:cs="Times New Roman"/>
        </w:rPr>
        <w:t>re plated and in parallel</w:t>
      </w:r>
      <w:r>
        <w:rPr>
          <w:rFonts w:ascii="Times New Roman" w:hAnsi="Times New Roman" w:cs="Times New Roman"/>
        </w:rPr>
        <w:t>, differentiation media was added to LUHME</w:t>
      </w:r>
      <w:r w:rsidR="00106F16">
        <w:rPr>
          <w:rFonts w:ascii="Times New Roman" w:hAnsi="Times New Roman" w:cs="Times New Roman"/>
        </w:rPr>
        <w:t>S</w:t>
      </w:r>
      <w:r>
        <w:rPr>
          <w:rFonts w:ascii="Times New Roman" w:hAnsi="Times New Roman" w:cs="Times New Roman"/>
        </w:rPr>
        <w:t>. LUHMES we</w:t>
      </w:r>
      <w:r w:rsidR="00545238">
        <w:rPr>
          <w:rFonts w:ascii="Times New Roman" w:hAnsi="Times New Roman" w:cs="Times New Roman"/>
        </w:rPr>
        <w:t>re replated on astrocytes on day 3 and co-cultures</w:t>
      </w:r>
      <w:r>
        <w:rPr>
          <w:rFonts w:ascii="Times New Roman" w:hAnsi="Times New Roman" w:cs="Times New Roman"/>
        </w:rPr>
        <w:t xml:space="preserve"> were</w:t>
      </w:r>
      <w:r w:rsidR="00545238">
        <w:rPr>
          <w:rFonts w:ascii="Times New Roman" w:hAnsi="Times New Roman" w:cs="Times New Roman"/>
        </w:rPr>
        <w:t xml:space="preserve"> </w:t>
      </w:r>
      <w:r w:rsidR="00260911">
        <w:rPr>
          <w:rFonts w:ascii="Times New Roman" w:hAnsi="Times New Roman" w:cs="Times New Roman"/>
        </w:rPr>
        <w:t>fixed every 24 hours over a 72 hour time course</w:t>
      </w:r>
      <w:r w:rsidR="002A23F9">
        <w:rPr>
          <w:rFonts w:ascii="Times New Roman" w:hAnsi="Times New Roman" w:cs="Times New Roman"/>
        </w:rPr>
        <w:t xml:space="preserve"> to assess changes in the neuronal developmen</w:t>
      </w:r>
      <w:r>
        <w:rPr>
          <w:rFonts w:ascii="Times New Roman" w:hAnsi="Times New Roman" w:cs="Times New Roman"/>
        </w:rPr>
        <w:t>t.</w:t>
      </w:r>
    </w:p>
    <w:p w14:paraId="1E7B8F5C" w14:textId="46072C42" w:rsidR="00E042A9" w:rsidRDefault="00BC3406">
      <w:pPr>
        <w:rPr>
          <w:rFonts w:ascii="Times New Roman" w:hAnsi="Times New Roman" w:cs="Times New Roman"/>
          <w:b/>
          <w:sz w:val="40"/>
          <w:szCs w:val="40"/>
        </w:rPr>
      </w:pPr>
      <w:r>
        <w:rPr>
          <w:rFonts w:ascii="Times New Roman" w:hAnsi="Times New Roman" w:cs="Times New Roman"/>
          <w:b/>
          <w:sz w:val="40"/>
          <w:szCs w:val="40"/>
        </w:rPr>
        <w:t xml:space="preserve">    </w:t>
      </w:r>
      <w:r w:rsidR="000E7073">
        <w:rPr>
          <w:rFonts w:ascii="Times New Roman" w:hAnsi="Times New Roman" w:cs="Times New Roman"/>
          <w:b/>
          <w:sz w:val="40"/>
          <w:szCs w:val="40"/>
        </w:rPr>
        <w:t xml:space="preserve">  </w:t>
      </w:r>
      <w:r w:rsidR="00D37BD3">
        <w:rPr>
          <w:rFonts w:ascii="Times New Roman" w:hAnsi="Times New Roman" w:cs="Times New Roman"/>
          <w:b/>
          <w:noProof/>
          <w:sz w:val="40"/>
          <w:szCs w:val="40"/>
        </w:rPr>
        <w:drawing>
          <wp:inline distT="0" distB="0" distL="0" distR="0" wp14:anchorId="32AC37F9" wp14:editId="4C647C73">
            <wp:extent cx="4509900" cy="5536692"/>
            <wp:effectExtent l="0" t="0" r="1143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54">
                      <a:extLst>
                        <a:ext uri="{28A0092B-C50C-407E-A947-70E740481C1C}">
                          <a14:useLocalDpi xmlns:a14="http://schemas.microsoft.com/office/drawing/2010/main" val="0"/>
                        </a:ext>
                      </a:extLst>
                    </a:blip>
                    <a:srcRect l="21076" t="3588" r="23613" b="5851"/>
                    <a:stretch/>
                  </pic:blipFill>
                  <pic:spPr bwMode="auto">
                    <a:xfrm>
                      <a:off x="0" y="0"/>
                      <a:ext cx="4510120" cy="5536962"/>
                    </a:xfrm>
                    <a:prstGeom prst="rect">
                      <a:avLst/>
                    </a:prstGeom>
                    <a:ln>
                      <a:noFill/>
                    </a:ln>
                    <a:extLst>
                      <a:ext uri="{53640926-AAD7-44d8-BBD7-CCE9431645EC}">
                        <a14:shadowObscured xmlns:a14="http://schemas.microsoft.com/office/drawing/2010/main"/>
                      </a:ext>
                    </a:extLst>
                  </pic:spPr>
                </pic:pic>
              </a:graphicData>
            </a:graphic>
          </wp:inline>
        </w:drawing>
      </w:r>
    </w:p>
    <w:p w14:paraId="3DADACB6" w14:textId="09E75228" w:rsidR="001627E2" w:rsidRDefault="00C664C4" w:rsidP="00C664C4">
      <w:pPr>
        <w:pStyle w:val="Caption"/>
      </w:pPr>
      <w:bookmarkStart w:id="1369" w:name="_Toc333585233"/>
      <w:bookmarkStart w:id="1370" w:name="_Toc333586785"/>
      <w:bookmarkStart w:id="1371" w:name="_Toc333644484"/>
      <w:bookmarkStart w:id="1372" w:name="_Toc333644778"/>
      <w:r>
        <w:t>Figure 4.6. Developing a model to assess neurite outgrowth in a human astrocyte-neuron co-culture.</w:t>
      </w:r>
      <w:bookmarkEnd w:id="1369"/>
      <w:bookmarkEnd w:id="1370"/>
      <w:bookmarkEnd w:id="1371"/>
      <w:bookmarkEnd w:id="1372"/>
    </w:p>
    <w:p w14:paraId="0AABE343" w14:textId="116DAB71" w:rsidR="00EB5293" w:rsidRDefault="00EB5293" w:rsidP="00C63BC1">
      <w:pPr>
        <w:spacing w:line="360" w:lineRule="auto"/>
        <w:jc w:val="both"/>
        <w:rPr>
          <w:rFonts w:ascii="Times New Roman" w:hAnsi="Times New Roman" w:cs="Times New Roman"/>
        </w:rPr>
      </w:pPr>
      <w:r>
        <w:rPr>
          <w:rFonts w:ascii="Times New Roman" w:hAnsi="Times New Roman" w:cs="Times New Roman"/>
        </w:rPr>
        <w:t>Immunocytochemistry of Beta-III-tubulin labe</w:t>
      </w:r>
      <w:r w:rsidR="00E73015">
        <w:rPr>
          <w:rFonts w:ascii="Times New Roman" w:hAnsi="Times New Roman" w:cs="Times New Roman"/>
        </w:rPr>
        <w:t>l</w:t>
      </w:r>
      <w:r>
        <w:rPr>
          <w:rFonts w:ascii="Times New Roman" w:hAnsi="Times New Roman" w:cs="Times New Roman"/>
        </w:rPr>
        <w:t>led LUHMES and GFAP label</w:t>
      </w:r>
      <w:r w:rsidR="00E73015">
        <w:rPr>
          <w:rFonts w:ascii="Times New Roman" w:hAnsi="Times New Roman" w:cs="Times New Roman"/>
        </w:rPr>
        <w:t>l</w:t>
      </w:r>
      <w:r>
        <w:rPr>
          <w:rFonts w:ascii="Times New Roman" w:hAnsi="Times New Roman" w:cs="Times New Roman"/>
        </w:rPr>
        <w:t xml:space="preserve">ed astrocytes during </w:t>
      </w:r>
      <w:r w:rsidR="00B459D0">
        <w:rPr>
          <w:rFonts w:ascii="Times New Roman" w:hAnsi="Times New Roman" w:cs="Times New Roman"/>
        </w:rPr>
        <w:t>a 72-</w:t>
      </w:r>
      <w:r w:rsidR="0020665D">
        <w:rPr>
          <w:rFonts w:ascii="Times New Roman" w:hAnsi="Times New Roman" w:cs="Times New Roman"/>
        </w:rPr>
        <w:t xml:space="preserve">hour co-culture period </w:t>
      </w:r>
      <w:r w:rsidR="00315A5F">
        <w:rPr>
          <w:rFonts w:ascii="Times New Roman" w:hAnsi="Times New Roman" w:cs="Times New Roman"/>
        </w:rPr>
        <w:t>(</w:t>
      </w:r>
      <w:r w:rsidR="0020665D">
        <w:rPr>
          <w:rFonts w:ascii="Times New Roman" w:hAnsi="Times New Roman" w:cs="Times New Roman"/>
        </w:rPr>
        <w:t>days 3-6</w:t>
      </w:r>
      <w:r w:rsidR="00315A5F">
        <w:rPr>
          <w:rFonts w:ascii="Times New Roman" w:hAnsi="Times New Roman" w:cs="Times New Roman"/>
        </w:rPr>
        <w:t>)</w:t>
      </w:r>
      <w:r w:rsidR="0020665D">
        <w:rPr>
          <w:rFonts w:ascii="Times New Roman" w:hAnsi="Times New Roman" w:cs="Times New Roman"/>
        </w:rPr>
        <w:t xml:space="preserve">. LUHMES </w:t>
      </w:r>
      <w:r w:rsidR="00693E69">
        <w:rPr>
          <w:rFonts w:ascii="Times New Roman" w:hAnsi="Times New Roman" w:cs="Times New Roman"/>
        </w:rPr>
        <w:t xml:space="preserve">show </w:t>
      </w:r>
      <w:r w:rsidR="0020665D">
        <w:rPr>
          <w:rFonts w:ascii="Times New Roman" w:hAnsi="Times New Roman" w:cs="Times New Roman"/>
        </w:rPr>
        <w:t>enhance</w:t>
      </w:r>
      <w:r w:rsidR="00693E69">
        <w:rPr>
          <w:rFonts w:ascii="Times New Roman" w:hAnsi="Times New Roman" w:cs="Times New Roman"/>
        </w:rPr>
        <w:t>d</w:t>
      </w:r>
      <w:r w:rsidR="0020665D">
        <w:rPr>
          <w:rFonts w:ascii="Times New Roman" w:hAnsi="Times New Roman" w:cs="Times New Roman"/>
        </w:rPr>
        <w:t xml:space="preserve"> neurite outgrowth in monoculture</w:t>
      </w:r>
      <w:r w:rsidR="00E73015">
        <w:rPr>
          <w:rFonts w:ascii="Times New Roman" w:hAnsi="Times New Roman" w:cs="Times New Roman"/>
        </w:rPr>
        <w:t>,</w:t>
      </w:r>
      <w:r w:rsidR="0020665D">
        <w:rPr>
          <w:rFonts w:ascii="Times New Roman" w:hAnsi="Times New Roman" w:cs="Times New Roman"/>
        </w:rPr>
        <w:t xml:space="preserve"> </w:t>
      </w:r>
      <w:r w:rsidR="00315A5F">
        <w:rPr>
          <w:rFonts w:ascii="Times New Roman" w:hAnsi="Times New Roman" w:cs="Times New Roman"/>
        </w:rPr>
        <w:t>which</w:t>
      </w:r>
      <w:r w:rsidR="0020665D">
        <w:rPr>
          <w:rFonts w:ascii="Times New Roman" w:hAnsi="Times New Roman" w:cs="Times New Roman"/>
        </w:rPr>
        <w:t xml:space="preserve"> is</w:t>
      </w:r>
      <w:r w:rsidR="00693E69">
        <w:rPr>
          <w:rFonts w:ascii="Times New Roman" w:hAnsi="Times New Roman" w:cs="Times New Roman"/>
        </w:rPr>
        <w:t xml:space="preserve"> further</w:t>
      </w:r>
      <w:r w:rsidR="0020665D">
        <w:rPr>
          <w:rFonts w:ascii="Times New Roman" w:hAnsi="Times New Roman" w:cs="Times New Roman"/>
        </w:rPr>
        <w:t xml:space="preserve"> enhanced in co-culture with astrocytes. In co-culture, GFAP label</w:t>
      </w:r>
      <w:r w:rsidR="00106F16">
        <w:rPr>
          <w:rFonts w:ascii="Times New Roman" w:hAnsi="Times New Roman" w:cs="Times New Roman"/>
        </w:rPr>
        <w:t>l</w:t>
      </w:r>
      <w:r w:rsidR="0020665D">
        <w:rPr>
          <w:rFonts w:ascii="Times New Roman" w:hAnsi="Times New Roman" w:cs="Times New Roman"/>
        </w:rPr>
        <w:t>ed astrocytes</w:t>
      </w:r>
      <w:r w:rsidR="00E73015">
        <w:rPr>
          <w:rFonts w:ascii="Times New Roman" w:hAnsi="Times New Roman" w:cs="Times New Roman"/>
        </w:rPr>
        <w:t xml:space="preserve"> appear to</w:t>
      </w:r>
      <w:r w:rsidR="0020665D">
        <w:rPr>
          <w:rFonts w:ascii="Times New Roman" w:hAnsi="Times New Roman" w:cs="Times New Roman"/>
        </w:rPr>
        <w:t xml:space="preserve"> associate with Beta-III-tubulin labe</w:t>
      </w:r>
      <w:r w:rsidR="00E73015">
        <w:rPr>
          <w:rFonts w:ascii="Times New Roman" w:hAnsi="Times New Roman" w:cs="Times New Roman"/>
        </w:rPr>
        <w:t>l</w:t>
      </w:r>
      <w:r w:rsidR="0020665D">
        <w:rPr>
          <w:rFonts w:ascii="Times New Roman" w:hAnsi="Times New Roman" w:cs="Times New Roman"/>
        </w:rPr>
        <w:t>led LUHMES.</w:t>
      </w:r>
      <w:r w:rsidR="000A6477">
        <w:rPr>
          <w:rFonts w:ascii="Times New Roman" w:hAnsi="Times New Roman" w:cs="Times New Roman"/>
        </w:rPr>
        <w:t xml:space="preserve"> Scale bar represents </w:t>
      </w:r>
      <w:r w:rsidR="004F6A9A">
        <w:rPr>
          <w:rFonts w:ascii="Times New Roman" w:hAnsi="Times New Roman" w:cs="Times New Roman"/>
        </w:rPr>
        <w:t>5</w:t>
      </w:r>
      <w:r w:rsidR="006868BE">
        <w:rPr>
          <w:rFonts w:ascii="Times New Roman" w:hAnsi="Times New Roman" w:cs="Times New Roman"/>
        </w:rPr>
        <w:t>0μM.</w:t>
      </w:r>
    </w:p>
    <w:p w14:paraId="08122E4E" w14:textId="77777777" w:rsidR="003567B7" w:rsidRDefault="003567B7" w:rsidP="006F2F88">
      <w:pPr>
        <w:spacing w:line="360" w:lineRule="auto"/>
        <w:rPr>
          <w:rFonts w:ascii="Times New Roman" w:hAnsi="Times New Roman" w:cs="Times New Roman"/>
        </w:rPr>
      </w:pPr>
    </w:p>
    <w:p w14:paraId="63165545" w14:textId="77777777" w:rsidR="00E73728" w:rsidRDefault="00E73728" w:rsidP="006F2F88">
      <w:pPr>
        <w:spacing w:line="360" w:lineRule="auto"/>
        <w:rPr>
          <w:rFonts w:ascii="Times New Roman" w:hAnsi="Times New Roman" w:cs="Times New Roman"/>
        </w:rPr>
      </w:pPr>
    </w:p>
    <w:p w14:paraId="1C591FDD" w14:textId="77777777" w:rsidR="00E73728" w:rsidRDefault="00E73728" w:rsidP="006F2F88">
      <w:pPr>
        <w:spacing w:line="360" w:lineRule="auto"/>
        <w:rPr>
          <w:rFonts w:ascii="Times New Roman" w:hAnsi="Times New Roman" w:cs="Times New Roman"/>
        </w:rPr>
        <w:sectPr w:rsidR="00E73728" w:rsidSect="00BC3406">
          <w:pgSz w:w="11900" w:h="16840"/>
          <w:pgMar w:top="1440" w:right="1134" w:bottom="1440" w:left="2268" w:header="709" w:footer="709" w:gutter="0"/>
          <w:cols w:space="708"/>
          <w:docGrid w:linePitch="360"/>
        </w:sectPr>
      </w:pPr>
    </w:p>
    <w:p w14:paraId="19075148" w14:textId="0EC8F8BD" w:rsidR="004C5898" w:rsidRDefault="005F182A" w:rsidP="006F2F88">
      <w:pPr>
        <w:spacing w:line="360" w:lineRule="auto"/>
        <w:rPr>
          <w:rFonts w:ascii="Times New Roman" w:hAnsi="Times New Roman" w:cs="Times New Roman"/>
        </w:rPr>
      </w:pPr>
      <w:r>
        <w:rPr>
          <w:rFonts w:ascii="Times New Roman" w:hAnsi="Times New Roman" w:cs="Times New Roman"/>
        </w:rPr>
        <w:t xml:space="preserve">          </w:t>
      </w:r>
      <w:r w:rsidR="00C8735A">
        <w:rPr>
          <w:rFonts w:ascii="Times New Roman" w:hAnsi="Times New Roman" w:cs="Times New Roman"/>
          <w:noProof/>
        </w:rPr>
        <w:drawing>
          <wp:inline distT="0" distB="0" distL="0" distR="0" wp14:anchorId="05349581" wp14:editId="2AA4C93D">
            <wp:extent cx="4271535" cy="3314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rotWithShape="1">
                    <a:blip r:embed="rId55">
                      <a:extLst>
                        <a:ext uri="{28A0092B-C50C-407E-A947-70E740481C1C}">
                          <a14:useLocalDpi xmlns:a14="http://schemas.microsoft.com/office/drawing/2010/main" val="0"/>
                        </a:ext>
                      </a:extLst>
                    </a:blip>
                    <a:srcRect t="955" r="4295"/>
                    <a:stretch/>
                  </pic:blipFill>
                  <pic:spPr bwMode="auto">
                    <a:xfrm>
                      <a:off x="0" y="0"/>
                      <a:ext cx="4272515" cy="3315460"/>
                    </a:xfrm>
                    <a:prstGeom prst="rect">
                      <a:avLst/>
                    </a:prstGeom>
                    <a:ln>
                      <a:noFill/>
                    </a:ln>
                    <a:extLst>
                      <a:ext uri="{53640926-AAD7-44d8-BBD7-CCE9431645EC}">
                        <a14:shadowObscured xmlns:a14="http://schemas.microsoft.com/office/drawing/2010/main"/>
                      </a:ext>
                    </a:extLst>
                  </pic:spPr>
                </pic:pic>
              </a:graphicData>
            </a:graphic>
          </wp:inline>
        </w:drawing>
      </w:r>
    </w:p>
    <w:p w14:paraId="1C7A031B" w14:textId="6AECA45A" w:rsidR="00E73728" w:rsidRDefault="004C5898" w:rsidP="006F2F88">
      <w:pPr>
        <w:spacing w:line="360" w:lineRule="auto"/>
        <w:rPr>
          <w:rFonts w:ascii="Times New Roman" w:hAnsi="Times New Roman" w:cs="Times New Roman"/>
        </w:rPr>
      </w:pPr>
      <w:r>
        <w:rPr>
          <w:rFonts w:ascii="Times New Roman" w:hAnsi="Times New Roman" w:cs="Times New Roman"/>
        </w:rPr>
        <w:t xml:space="preserve">                  </w:t>
      </w:r>
      <w:r w:rsidR="00E73728">
        <w:rPr>
          <w:rFonts w:ascii="Times New Roman" w:hAnsi="Times New Roman" w:cs="Times New Roman"/>
          <w:noProof/>
        </w:rPr>
        <w:drawing>
          <wp:inline distT="0" distB="0" distL="0" distR="0" wp14:anchorId="7E6B5AA2" wp14:editId="4CAD9BE5">
            <wp:extent cx="4051216" cy="15087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rotWithShape="1">
                    <a:blip r:embed="rId56">
                      <a:extLst>
                        <a:ext uri="{28A0092B-C50C-407E-A947-70E740481C1C}">
                          <a14:useLocalDpi xmlns:a14="http://schemas.microsoft.com/office/drawing/2010/main" val="0"/>
                        </a:ext>
                      </a:extLst>
                    </a:blip>
                    <a:srcRect t="1431" r="31279" b="64437"/>
                    <a:stretch/>
                  </pic:blipFill>
                  <pic:spPr bwMode="auto">
                    <a:xfrm>
                      <a:off x="0" y="0"/>
                      <a:ext cx="4055463" cy="1510342"/>
                    </a:xfrm>
                    <a:prstGeom prst="rect">
                      <a:avLst/>
                    </a:prstGeom>
                    <a:ln>
                      <a:noFill/>
                    </a:ln>
                    <a:extLst>
                      <a:ext uri="{53640926-AAD7-44d8-BBD7-CCE9431645EC}">
                        <a14:shadowObscured xmlns:a14="http://schemas.microsoft.com/office/drawing/2010/main"/>
                      </a:ext>
                    </a:extLst>
                  </pic:spPr>
                </pic:pic>
              </a:graphicData>
            </a:graphic>
          </wp:inline>
        </w:drawing>
      </w:r>
    </w:p>
    <w:p w14:paraId="0A477C4F" w14:textId="77777777" w:rsidR="00C664C4" w:rsidRDefault="00E73728" w:rsidP="007028AC">
      <w:pPr>
        <w:pStyle w:val="Caption"/>
        <w:rPr>
          <w:rFonts w:cs="Times New Roman"/>
        </w:rPr>
      </w:pPr>
      <w:bookmarkStart w:id="1373" w:name="_Toc333585234"/>
      <w:bookmarkStart w:id="1374" w:name="_Toc333586786"/>
      <w:bookmarkStart w:id="1375" w:name="_Toc333644485"/>
      <w:bookmarkStart w:id="1376" w:name="_Toc333644779"/>
      <w:r w:rsidRPr="00C664C4">
        <w:t xml:space="preserve">Figure </w:t>
      </w:r>
      <w:r w:rsidR="00F94933" w:rsidRPr="00C664C4">
        <w:t>4.7</w:t>
      </w:r>
      <w:r w:rsidR="0043060F" w:rsidRPr="00C664C4">
        <w:t>.</w:t>
      </w:r>
      <w:r w:rsidRPr="00C664C4">
        <w:t xml:space="preserve"> PSD95 expression in LUHMES, astrocytes and in the co-culture model</w:t>
      </w:r>
      <w:r w:rsidR="001B72D6" w:rsidRPr="00C664C4">
        <w:t>.</w:t>
      </w:r>
      <w:bookmarkEnd w:id="1373"/>
      <w:bookmarkEnd w:id="1374"/>
      <w:bookmarkEnd w:id="1375"/>
      <w:bookmarkEnd w:id="1376"/>
      <w:r>
        <w:rPr>
          <w:rFonts w:cs="Times New Roman"/>
        </w:rPr>
        <w:t xml:space="preserve"> </w:t>
      </w:r>
    </w:p>
    <w:p w14:paraId="02EC1757" w14:textId="7378A9E1" w:rsidR="00E73728" w:rsidRPr="00C664C4" w:rsidRDefault="00E73728" w:rsidP="007028AC">
      <w:pPr>
        <w:spacing w:line="360" w:lineRule="auto"/>
        <w:jc w:val="both"/>
        <w:rPr>
          <w:rFonts w:ascii="Times New Roman" w:hAnsi="Times New Roman" w:cs="Times New Roman"/>
          <w:b/>
          <w:color w:val="FF0000"/>
        </w:rPr>
        <w:sectPr w:rsidR="00E73728" w:rsidRPr="00C664C4" w:rsidSect="00BC3406">
          <w:pgSz w:w="11900" w:h="16840"/>
          <w:pgMar w:top="1440" w:right="1134" w:bottom="1440" w:left="2268" w:header="709" w:footer="709" w:gutter="0"/>
          <w:cols w:space="708"/>
          <w:docGrid w:linePitch="360"/>
        </w:sectPr>
      </w:pPr>
      <w:r w:rsidRPr="00C664C4">
        <w:rPr>
          <w:rFonts w:ascii="Times New Roman" w:hAnsi="Times New Roman" w:cs="Times New Roman"/>
        </w:rPr>
        <w:t>(</w:t>
      </w:r>
      <w:r w:rsidRPr="00C664C4">
        <w:rPr>
          <w:rFonts w:ascii="Times New Roman" w:hAnsi="Times New Roman" w:cs="Times New Roman"/>
          <w:b/>
        </w:rPr>
        <w:t>A</w:t>
      </w:r>
      <w:r w:rsidRPr="00C664C4">
        <w:rPr>
          <w:rFonts w:ascii="Times New Roman" w:hAnsi="Times New Roman" w:cs="Times New Roman"/>
        </w:rPr>
        <w:t>) Immunocytochemistry of PSD95 labelled LUHMES in monoculture or in co-culture with astrocytes for 72 hours (days 3-6). LUHMES show expression of PSD95 alone or in the presence of the astrocytes. Astrocytes also express PSD95.</w:t>
      </w:r>
      <w:r w:rsidR="003B72A9" w:rsidRPr="00C664C4">
        <w:rPr>
          <w:rFonts w:ascii="Times New Roman" w:hAnsi="Times New Roman" w:cs="Times New Roman"/>
        </w:rPr>
        <w:t xml:space="preserve"> Scale bar represents 10μM (</w:t>
      </w:r>
      <w:r w:rsidR="003B72A9" w:rsidRPr="00C664C4">
        <w:rPr>
          <w:rFonts w:ascii="Times New Roman" w:hAnsi="Times New Roman" w:cs="Times New Roman"/>
          <w:b/>
        </w:rPr>
        <w:t>B</w:t>
      </w:r>
      <w:r w:rsidR="003B72A9" w:rsidRPr="00C664C4">
        <w:rPr>
          <w:rFonts w:ascii="Times New Roman" w:hAnsi="Times New Roman" w:cs="Times New Roman"/>
        </w:rPr>
        <w:t xml:space="preserve">) Immunblotting of PSD95 in astrocytes, LUHMES and in co-culture on day 6. PSD-95 was present in all culturing conditions. </w:t>
      </w:r>
      <w:r w:rsidR="009B371B" w:rsidRPr="00C664C4">
        <w:rPr>
          <w:rFonts w:ascii="Times New Roman" w:hAnsi="Times New Roman" w:cs="Times New Roman"/>
        </w:rPr>
        <w:t>β</w:t>
      </w:r>
      <w:r w:rsidR="00187EE4" w:rsidRPr="00C664C4">
        <w:rPr>
          <w:rFonts w:ascii="Times New Roman" w:hAnsi="Times New Roman" w:cs="Times New Roman"/>
        </w:rPr>
        <w:t>-acti</w:t>
      </w:r>
      <w:r w:rsidR="008E3B37" w:rsidRPr="00C664C4">
        <w:rPr>
          <w:rFonts w:ascii="Times New Roman" w:hAnsi="Times New Roman" w:cs="Times New Roman"/>
        </w:rPr>
        <w:t>n was used as a loading control.</w:t>
      </w:r>
      <w:r w:rsidR="00781AE8" w:rsidRPr="00C664C4">
        <w:rPr>
          <w:rFonts w:ascii="Times New Roman" w:hAnsi="Times New Roman" w:cs="Times New Roman"/>
        </w:rPr>
        <w:t xml:space="preserve"> </w:t>
      </w:r>
    </w:p>
    <w:p w14:paraId="3755F8F3" w14:textId="6137BCC7" w:rsidR="00030017" w:rsidRDefault="00F00E0E" w:rsidP="00395B55">
      <w:pPr>
        <w:pStyle w:val="Heading3"/>
      </w:pPr>
      <w:bookmarkStart w:id="1377" w:name="_Toc328301167"/>
      <w:bookmarkStart w:id="1378" w:name="_Toc329593458"/>
      <w:bookmarkStart w:id="1379" w:name="_Toc331425957"/>
      <w:bookmarkStart w:id="1380" w:name="_Toc331427138"/>
      <w:bookmarkStart w:id="1381" w:name="_Toc331427510"/>
      <w:bookmarkStart w:id="1382" w:name="_Toc331427652"/>
      <w:bookmarkStart w:id="1383" w:name="_Toc332972657"/>
      <w:bookmarkStart w:id="1384" w:name="_Toc333046936"/>
      <w:bookmarkStart w:id="1385" w:name="_Toc333477283"/>
      <w:bookmarkStart w:id="1386" w:name="_Toc333478053"/>
      <w:bookmarkStart w:id="1387" w:name="_Toc333644953"/>
      <w:r>
        <w:t>4.4</w:t>
      </w:r>
      <w:r w:rsidR="00F94933">
        <w:t xml:space="preserve">.4 </w:t>
      </w:r>
      <w:r w:rsidR="00030017">
        <w:t>Generating stably expressing GFP LUHMES</w:t>
      </w:r>
      <w:bookmarkEnd w:id="1377"/>
      <w:bookmarkEnd w:id="1378"/>
      <w:bookmarkEnd w:id="1379"/>
      <w:bookmarkEnd w:id="1380"/>
      <w:bookmarkEnd w:id="1381"/>
      <w:bookmarkEnd w:id="1382"/>
      <w:bookmarkEnd w:id="1383"/>
      <w:bookmarkEnd w:id="1384"/>
      <w:bookmarkEnd w:id="1385"/>
      <w:bookmarkEnd w:id="1386"/>
      <w:bookmarkEnd w:id="1387"/>
    </w:p>
    <w:p w14:paraId="0973E1DA" w14:textId="77777777" w:rsidR="00944591" w:rsidRDefault="00944591">
      <w:pPr>
        <w:rPr>
          <w:rFonts w:ascii="Times New Roman" w:hAnsi="Times New Roman" w:cs="Times New Roman"/>
          <w:b/>
          <w:u w:val="single"/>
        </w:rPr>
      </w:pPr>
    </w:p>
    <w:p w14:paraId="17F50628" w14:textId="77777777" w:rsidR="00073138" w:rsidRDefault="00073138">
      <w:pPr>
        <w:rPr>
          <w:rFonts w:ascii="Times New Roman" w:hAnsi="Times New Roman" w:cs="Times New Roman"/>
          <w:b/>
          <w:u w:val="single"/>
        </w:rPr>
      </w:pPr>
    </w:p>
    <w:p w14:paraId="2DF9F2D1" w14:textId="1E95E928" w:rsidR="00073138" w:rsidRDefault="004716DF" w:rsidP="00C63BC1">
      <w:pPr>
        <w:spacing w:line="360" w:lineRule="auto"/>
        <w:jc w:val="both"/>
        <w:rPr>
          <w:rFonts w:ascii="Times New Roman" w:hAnsi="Times New Roman" w:cs="Times New Roman"/>
        </w:rPr>
      </w:pPr>
      <w:r>
        <w:rPr>
          <w:rFonts w:ascii="Times New Roman" w:hAnsi="Times New Roman" w:cs="Times New Roman"/>
        </w:rPr>
        <w:t>In</w:t>
      </w:r>
      <w:r w:rsidR="002301C9">
        <w:rPr>
          <w:rFonts w:ascii="Times New Roman" w:hAnsi="Times New Roman" w:cs="Times New Roman"/>
        </w:rPr>
        <w:t xml:space="preserve"> the last section, the number of LUHMES</w:t>
      </w:r>
      <w:r w:rsidR="00944591">
        <w:rPr>
          <w:rFonts w:ascii="Times New Roman" w:hAnsi="Times New Roman" w:cs="Times New Roman"/>
        </w:rPr>
        <w:t xml:space="preserve"> and astrocytes used in the neu</w:t>
      </w:r>
      <w:r w:rsidR="00AD006A">
        <w:rPr>
          <w:rFonts w:ascii="Times New Roman" w:hAnsi="Times New Roman" w:cs="Times New Roman"/>
        </w:rPr>
        <w:t>rite outgrowth assay was optimis</w:t>
      </w:r>
      <w:r w:rsidR="00944591">
        <w:rPr>
          <w:rFonts w:ascii="Times New Roman" w:hAnsi="Times New Roman" w:cs="Times New Roman"/>
        </w:rPr>
        <w:t xml:space="preserve">ed. To increase the speed at which these </w:t>
      </w:r>
      <w:r w:rsidR="00AD006A">
        <w:rPr>
          <w:rFonts w:ascii="Times New Roman" w:hAnsi="Times New Roman" w:cs="Times New Roman"/>
        </w:rPr>
        <w:t xml:space="preserve">assays </w:t>
      </w:r>
      <w:r w:rsidR="00944591">
        <w:rPr>
          <w:rFonts w:ascii="Times New Roman" w:hAnsi="Times New Roman" w:cs="Times New Roman"/>
        </w:rPr>
        <w:t xml:space="preserve">could be performed and </w:t>
      </w:r>
      <w:r w:rsidR="008E3B37">
        <w:rPr>
          <w:rFonts w:ascii="Times New Roman" w:hAnsi="Times New Roman" w:cs="Times New Roman"/>
        </w:rPr>
        <w:t>to overcome the issues with background staining of astrocytes associated with β3-tubulin</w:t>
      </w:r>
      <w:r w:rsidR="00944591">
        <w:rPr>
          <w:rFonts w:ascii="Times New Roman" w:hAnsi="Times New Roman" w:cs="Times New Roman"/>
        </w:rPr>
        <w:t>, a stably expressing GFP LUHMES cell line was generated.</w:t>
      </w:r>
      <w:r w:rsidR="002301C9">
        <w:rPr>
          <w:rFonts w:ascii="Times New Roman" w:hAnsi="Times New Roman" w:cs="Times New Roman"/>
        </w:rPr>
        <w:t xml:space="preserve"> </w:t>
      </w:r>
    </w:p>
    <w:p w14:paraId="17B026F4" w14:textId="77777777" w:rsidR="008E3B37" w:rsidRDefault="008E3B37" w:rsidP="00C63BC1">
      <w:pPr>
        <w:spacing w:line="360" w:lineRule="auto"/>
        <w:jc w:val="both"/>
        <w:rPr>
          <w:rFonts w:ascii="Times New Roman" w:hAnsi="Times New Roman" w:cs="Times New Roman"/>
        </w:rPr>
      </w:pPr>
    </w:p>
    <w:p w14:paraId="149909BB" w14:textId="658176A6" w:rsidR="00F87A46" w:rsidRDefault="001E6A4A" w:rsidP="00C63BC1">
      <w:pPr>
        <w:spacing w:line="360" w:lineRule="auto"/>
        <w:jc w:val="both"/>
        <w:rPr>
          <w:rFonts w:ascii="Times New Roman" w:hAnsi="Times New Roman" w:cs="Times New Roman"/>
        </w:rPr>
      </w:pPr>
      <w:r>
        <w:rPr>
          <w:rFonts w:ascii="Times New Roman" w:hAnsi="Times New Roman" w:cs="Times New Roman"/>
        </w:rPr>
        <w:t>Lentivirus encoding GFP</w:t>
      </w:r>
      <w:r w:rsidR="00803EF5">
        <w:rPr>
          <w:rFonts w:ascii="Times New Roman" w:hAnsi="Times New Roman" w:cs="Times New Roman"/>
        </w:rPr>
        <w:t xml:space="preserve"> (LV-GFP)</w:t>
      </w:r>
      <w:r>
        <w:rPr>
          <w:rFonts w:ascii="Times New Roman" w:hAnsi="Times New Roman" w:cs="Times New Roman"/>
        </w:rPr>
        <w:t xml:space="preserve"> unde</w:t>
      </w:r>
      <w:r w:rsidR="008E3B37">
        <w:rPr>
          <w:rFonts w:ascii="Times New Roman" w:hAnsi="Times New Roman" w:cs="Times New Roman"/>
        </w:rPr>
        <w:t>r the</w:t>
      </w:r>
      <w:r w:rsidR="001D3FD3">
        <w:rPr>
          <w:rFonts w:ascii="Times New Roman" w:hAnsi="Times New Roman" w:cs="Times New Roman"/>
        </w:rPr>
        <w:t xml:space="preserve"> phosphoglycerate kinase (</w:t>
      </w:r>
      <w:r w:rsidR="008E3B37">
        <w:rPr>
          <w:rFonts w:ascii="Times New Roman" w:hAnsi="Times New Roman" w:cs="Times New Roman"/>
        </w:rPr>
        <w:t>PGK</w:t>
      </w:r>
      <w:r w:rsidR="001D3FD3">
        <w:rPr>
          <w:rFonts w:ascii="Times New Roman" w:hAnsi="Times New Roman" w:cs="Times New Roman"/>
        </w:rPr>
        <w:t>)</w:t>
      </w:r>
      <w:r w:rsidR="008E3B37">
        <w:rPr>
          <w:rFonts w:ascii="Times New Roman" w:hAnsi="Times New Roman" w:cs="Times New Roman"/>
        </w:rPr>
        <w:t xml:space="preserve"> promoter was produced and</w:t>
      </w:r>
      <w:r>
        <w:rPr>
          <w:rFonts w:ascii="Times New Roman" w:hAnsi="Times New Roman" w:cs="Times New Roman"/>
        </w:rPr>
        <w:t xml:space="preserve"> HeLa cells and LUHME</w:t>
      </w:r>
      <w:r w:rsidR="00803EF5">
        <w:rPr>
          <w:rFonts w:ascii="Times New Roman" w:hAnsi="Times New Roman" w:cs="Times New Roman"/>
        </w:rPr>
        <w:t>S were transduced with different</w:t>
      </w:r>
      <w:r w:rsidR="008E3B37">
        <w:rPr>
          <w:rFonts w:ascii="Times New Roman" w:hAnsi="Times New Roman" w:cs="Times New Roman"/>
        </w:rPr>
        <w:t xml:space="preserve"> concentrations of LV-GFP. T</w:t>
      </w:r>
      <w:r>
        <w:rPr>
          <w:rFonts w:ascii="Times New Roman" w:hAnsi="Times New Roman" w:cs="Times New Roman"/>
        </w:rPr>
        <w:t>ransduction efficiency was</w:t>
      </w:r>
      <w:r w:rsidR="008E3B37">
        <w:rPr>
          <w:rFonts w:ascii="Times New Roman" w:hAnsi="Times New Roman" w:cs="Times New Roman"/>
        </w:rPr>
        <w:t xml:space="preserve"> then</w:t>
      </w:r>
      <w:r w:rsidR="00F87A46">
        <w:rPr>
          <w:rFonts w:ascii="Times New Roman" w:hAnsi="Times New Roman" w:cs="Times New Roman"/>
        </w:rPr>
        <w:t xml:space="preserve"> calculated using FACS sorting. </w:t>
      </w:r>
      <w:r w:rsidR="00B050E3">
        <w:rPr>
          <w:rFonts w:ascii="Times New Roman" w:hAnsi="Times New Roman" w:cs="Times New Roman"/>
        </w:rPr>
        <w:t xml:space="preserve">Three days following transduction with LV-GFP, GFP expression was observed in the LUHMES. </w:t>
      </w:r>
      <w:r w:rsidR="00E66673">
        <w:rPr>
          <w:rFonts w:ascii="Times New Roman" w:hAnsi="Times New Roman" w:cs="Times New Roman"/>
        </w:rPr>
        <w:t>Immunocytochemistry and western blots were used to confirm GFP expression in the LUHMES compared to non-transduced LUHMES.</w:t>
      </w:r>
      <w:r w:rsidR="00002325">
        <w:rPr>
          <w:rFonts w:ascii="Times New Roman" w:hAnsi="Times New Roman" w:cs="Times New Roman"/>
        </w:rPr>
        <w:t xml:space="preserve"> </w:t>
      </w:r>
    </w:p>
    <w:p w14:paraId="620F7718" w14:textId="77777777" w:rsidR="00C76900" w:rsidRDefault="00F87A46" w:rsidP="00C63BC1">
      <w:pPr>
        <w:spacing w:line="360" w:lineRule="auto"/>
        <w:jc w:val="both"/>
        <w:rPr>
          <w:rFonts w:ascii="Times New Roman" w:hAnsi="Times New Roman" w:cs="Times New Roman"/>
        </w:rPr>
      </w:pPr>
      <w:r>
        <w:rPr>
          <w:rFonts w:ascii="Times New Roman" w:hAnsi="Times New Roman" w:cs="Times New Roman"/>
        </w:rPr>
        <w:t xml:space="preserve">    </w:t>
      </w:r>
    </w:p>
    <w:p w14:paraId="3279B784" w14:textId="211900A5" w:rsidR="00F9173A" w:rsidRDefault="00803EF5" w:rsidP="00C63BC1">
      <w:pPr>
        <w:spacing w:line="360" w:lineRule="auto"/>
        <w:jc w:val="both"/>
        <w:rPr>
          <w:rFonts w:ascii="Times New Roman" w:hAnsi="Times New Roman" w:cs="Times New Roman"/>
        </w:rPr>
      </w:pPr>
      <w:r>
        <w:rPr>
          <w:rFonts w:ascii="Times New Roman" w:hAnsi="Times New Roman" w:cs="Times New Roman"/>
        </w:rPr>
        <w:t>HeLa and LUHMES cells were transduced with 1 in 100 dilution of LV-GFP and FACS sorted (</w:t>
      </w:r>
      <w:r>
        <w:rPr>
          <w:rFonts w:ascii="Times New Roman" w:hAnsi="Times New Roman" w:cs="Times New Roman"/>
          <w:b/>
        </w:rPr>
        <w:t>figure 4.</w:t>
      </w:r>
      <w:r w:rsidR="00295258">
        <w:rPr>
          <w:rFonts w:ascii="Times New Roman" w:hAnsi="Times New Roman" w:cs="Times New Roman"/>
          <w:b/>
        </w:rPr>
        <w:t>8</w:t>
      </w:r>
      <w:r>
        <w:rPr>
          <w:rFonts w:ascii="Times New Roman" w:hAnsi="Times New Roman" w:cs="Times New Roman"/>
        </w:rPr>
        <w:t xml:space="preserve">). </w:t>
      </w:r>
      <w:r w:rsidR="00002325">
        <w:rPr>
          <w:rFonts w:ascii="Times New Roman" w:hAnsi="Times New Roman" w:cs="Times New Roman"/>
        </w:rPr>
        <w:t xml:space="preserve">This dilution </w:t>
      </w:r>
      <w:r w:rsidR="00F87A46">
        <w:rPr>
          <w:rFonts w:ascii="Times New Roman" w:hAnsi="Times New Roman" w:cs="Times New Roman"/>
        </w:rPr>
        <w:t>of lentivirus resulted in successful transduction of approximately 99% of LUHMES cells.</w:t>
      </w:r>
      <w:r w:rsidR="00002325">
        <w:rPr>
          <w:rFonts w:ascii="Times New Roman" w:hAnsi="Times New Roman" w:cs="Times New Roman"/>
        </w:rPr>
        <w:t xml:space="preserve"> </w:t>
      </w:r>
      <w:r w:rsidR="004D3538">
        <w:rPr>
          <w:rFonts w:ascii="Times New Roman" w:hAnsi="Times New Roman" w:cs="Times New Roman"/>
        </w:rPr>
        <w:t xml:space="preserve">The calculated multiplicity of infection (MOI) of the lentivirus was 8. </w:t>
      </w:r>
      <w:r w:rsidR="00F87A46">
        <w:rPr>
          <w:rFonts w:ascii="Times New Roman" w:hAnsi="Times New Roman" w:cs="Times New Roman"/>
        </w:rPr>
        <w:t>Subsequently, early passage</w:t>
      </w:r>
      <w:r w:rsidR="00040A66">
        <w:rPr>
          <w:rFonts w:ascii="Times New Roman" w:hAnsi="Times New Roman" w:cs="Times New Roman"/>
        </w:rPr>
        <w:t xml:space="preserve"> undifferentiated</w:t>
      </w:r>
      <w:r w:rsidR="00F87A46">
        <w:rPr>
          <w:rFonts w:ascii="Times New Roman" w:hAnsi="Times New Roman" w:cs="Times New Roman"/>
        </w:rPr>
        <w:t xml:space="preserve"> LUHMES (passage number &lt;4) were tra</w:t>
      </w:r>
      <w:r w:rsidR="004D3538">
        <w:rPr>
          <w:rFonts w:ascii="Times New Roman" w:hAnsi="Times New Roman" w:cs="Times New Roman"/>
        </w:rPr>
        <w:t xml:space="preserve">nsduced with the GFP lentivirus, </w:t>
      </w:r>
      <w:r w:rsidR="00F87A46">
        <w:rPr>
          <w:rFonts w:ascii="Times New Roman" w:hAnsi="Times New Roman" w:cs="Times New Roman"/>
        </w:rPr>
        <w:t>split 72 hours later</w:t>
      </w:r>
      <w:r w:rsidR="004D3538">
        <w:rPr>
          <w:rFonts w:ascii="Times New Roman" w:hAnsi="Times New Roman" w:cs="Times New Roman"/>
        </w:rPr>
        <w:t xml:space="preserve"> and maintained in culture for various assays</w:t>
      </w:r>
      <w:r w:rsidR="00F87A46">
        <w:rPr>
          <w:rFonts w:ascii="Times New Roman" w:hAnsi="Times New Roman" w:cs="Times New Roman"/>
        </w:rPr>
        <w:t xml:space="preserve">. </w:t>
      </w:r>
      <w:r w:rsidR="003D1F8E">
        <w:rPr>
          <w:rFonts w:ascii="Times New Roman" w:hAnsi="Times New Roman" w:cs="Times New Roman"/>
        </w:rPr>
        <w:t>The e</w:t>
      </w:r>
      <w:r w:rsidR="00F87A46">
        <w:rPr>
          <w:rFonts w:ascii="Times New Roman" w:hAnsi="Times New Roman" w:cs="Times New Roman"/>
        </w:rPr>
        <w:t xml:space="preserve">xpression of GFP in </w:t>
      </w:r>
      <w:r w:rsidR="000D43F4">
        <w:rPr>
          <w:rFonts w:ascii="Times New Roman" w:hAnsi="Times New Roman" w:cs="Times New Roman"/>
        </w:rPr>
        <w:t xml:space="preserve">fully </w:t>
      </w:r>
      <w:r w:rsidR="00F87A46">
        <w:rPr>
          <w:rFonts w:ascii="Times New Roman" w:hAnsi="Times New Roman" w:cs="Times New Roman"/>
        </w:rPr>
        <w:t xml:space="preserve">differentiated LUHMES was </w:t>
      </w:r>
      <w:r w:rsidR="004D3538">
        <w:rPr>
          <w:rFonts w:ascii="Times New Roman" w:hAnsi="Times New Roman" w:cs="Times New Roman"/>
        </w:rPr>
        <w:t xml:space="preserve">initially </w:t>
      </w:r>
      <w:r w:rsidR="00F87A46">
        <w:rPr>
          <w:rFonts w:ascii="Times New Roman" w:hAnsi="Times New Roman" w:cs="Times New Roman"/>
        </w:rPr>
        <w:t>confirmed by western blotting and immun</w:t>
      </w:r>
      <w:r w:rsidR="00521135">
        <w:rPr>
          <w:rFonts w:ascii="Times New Roman" w:hAnsi="Times New Roman" w:cs="Times New Roman"/>
        </w:rPr>
        <w:t>ocytochemistry</w:t>
      </w:r>
      <w:r w:rsidR="00281523">
        <w:rPr>
          <w:rFonts w:ascii="Times New Roman" w:hAnsi="Times New Roman" w:cs="Times New Roman"/>
        </w:rPr>
        <w:t xml:space="preserve"> prior to</w:t>
      </w:r>
      <w:r w:rsidR="003D1F8E">
        <w:rPr>
          <w:rFonts w:ascii="Times New Roman" w:hAnsi="Times New Roman" w:cs="Times New Roman"/>
        </w:rPr>
        <w:t xml:space="preserve"> further culturing and</w:t>
      </w:r>
      <w:r w:rsidR="00281523">
        <w:rPr>
          <w:rFonts w:ascii="Times New Roman" w:hAnsi="Times New Roman" w:cs="Times New Roman"/>
        </w:rPr>
        <w:t xml:space="preserve"> use in future assays</w:t>
      </w:r>
      <w:r w:rsidR="00521135">
        <w:rPr>
          <w:rFonts w:ascii="Times New Roman" w:hAnsi="Times New Roman" w:cs="Times New Roman"/>
        </w:rPr>
        <w:t xml:space="preserve"> (</w:t>
      </w:r>
      <w:r w:rsidR="00521135" w:rsidRPr="00691810">
        <w:rPr>
          <w:rFonts w:ascii="Times New Roman" w:hAnsi="Times New Roman" w:cs="Times New Roman"/>
          <w:b/>
        </w:rPr>
        <w:t xml:space="preserve">figures </w:t>
      </w:r>
      <w:r w:rsidR="00025B52" w:rsidRPr="00691810">
        <w:rPr>
          <w:rFonts w:ascii="Times New Roman" w:hAnsi="Times New Roman" w:cs="Times New Roman"/>
          <w:b/>
        </w:rPr>
        <w:t>4.</w:t>
      </w:r>
      <w:r w:rsidR="00295258">
        <w:rPr>
          <w:rFonts w:ascii="Times New Roman" w:hAnsi="Times New Roman" w:cs="Times New Roman"/>
          <w:b/>
        </w:rPr>
        <w:t>9</w:t>
      </w:r>
      <w:r w:rsidR="00521135">
        <w:rPr>
          <w:rFonts w:ascii="Times New Roman" w:hAnsi="Times New Roman" w:cs="Times New Roman"/>
        </w:rPr>
        <w:t>)</w:t>
      </w:r>
      <w:r w:rsidR="00281523">
        <w:rPr>
          <w:rFonts w:ascii="Times New Roman" w:hAnsi="Times New Roman" w:cs="Times New Roman"/>
        </w:rPr>
        <w:t>.</w:t>
      </w:r>
    </w:p>
    <w:p w14:paraId="1D580649" w14:textId="77777777" w:rsidR="008E3B37" w:rsidRDefault="008E3B37" w:rsidP="00672DD1">
      <w:pPr>
        <w:spacing w:line="360" w:lineRule="auto"/>
        <w:rPr>
          <w:rFonts w:ascii="Times New Roman" w:hAnsi="Times New Roman" w:cs="Times New Roman"/>
        </w:rPr>
      </w:pPr>
    </w:p>
    <w:p w14:paraId="54F5EA45" w14:textId="77777777" w:rsidR="008E3B37" w:rsidRDefault="008E3B37" w:rsidP="00672DD1">
      <w:pPr>
        <w:spacing w:line="360" w:lineRule="auto"/>
        <w:rPr>
          <w:rFonts w:ascii="Times New Roman" w:hAnsi="Times New Roman" w:cs="Times New Roman"/>
        </w:rPr>
      </w:pPr>
    </w:p>
    <w:p w14:paraId="152BB9A9" w14:textId="77777777" w:rsidR="008E3B37" w:rsidRDefault="008E3B37" w:rsidP="00672DD1">
      <w:pPr>
        <w:spacing w:line="360" w:lineRule="auto"/>
        <w:rPr>
          <w:rFonts w:ascii="Times New Roman" w:hAnsi="Times New Roman" w:cs="Times New Roman"/>
        </w:rPr>
      </w:pPr>
    </w:p>
    <w:p w14:paraId="497E3C78" w14:textId="77777777" w:rsidR="008E3B37" w:rsidRDefault="008E3B37" w:rsidP="00672DD1">
      <w:pPr>
        <w:spacing w:line="360" w:lineRule="auto"/>
        <w:rPr>
          <w:rFonts w:ascii="Times New Roman" w:hAnsi="Times New Roman" w:cs="Times New Roman"/>
        </w:rPr>
      </w:pPr>
    </w:p>
    <w:p w14:paraId="0AE2AAA7" w14:textId="77777777" w:rsidR="008E3B37" w:rsidRDefault="008E3B37" w:rsidP="00672DD1">
      <w:pPr>
        <w:spacing w:line="360" w:lineRule="auto"/>
        <w:rPr>
          <w:rFonts w:ascii="Times New Roman" w:hAnsi="Times New Roman" w:cs="Times New Roman"/>
        </w:rPr>
      </w:pPr>
    </w:p>
    <w:p w14:paraId="34B98117" w14:textId="77777777" w:rsidR="008E3B37" w:rsidRDefault="008E3B37" w:rsidP="00672DD1">
      <w:pPr>
        <w:spacing w:line="360" w:lineRule="auto"/>
        <w:rPr>
          <w:rFonts w:ascii="Times New Roman" w:hAnsi="Times New Roman" w:cs="Times New Roman"/>
        </w:rPr>
      </w:pPr>
    </w:p>
    <w:p w14:paraId="114D1269" w14:textId="77777777" w:rsidR="008E3B37" w:rsidRDefault="008E3B37" w:rsidP="00672DD1">
      <w:pPr>
        <w:spacing w:line="360" w:lineRule="auto"/>
        <w:rPr>
          <w:rFonts w:ascii="Times New Roman" w:hAnsi="Times New Roman" w:cs="Times New Roman"/>
        </w:rPr>
        <w:sectPr w:rsidR="008E3B37" w:rsidSect="00E042A9">
          <w:pgSz w:w="11900" w:h="16840"/>
          <w:pgMar w:top="1440" w:right="1134" w:bottom="1440" w:left="2268" w:header="709" w:footer="709" w:gutter="0"/>
          <w:cols w:space="708"/>
          <w:docGrid w:linePitch="360"/>
        </w:sectPr>
      </w:pPr>
    </w:p>
    <w:p w14:paraId="08560978" w14:textId="75AB12B9" w:rsidR="008E3B37" w:rsidRDefault="008E3B37" w:rsidP="008E3B37">
      <w:pPr>
        <w:spacing w:line="360" w:lineRule="auto"/>
        <w:rPr>
          <w:rFonts w:ascii="Times New Roman" w:hAnsi="Times New Roman" w:cs="Times New Roman"/>
          <w:b/>
        </w:rPr>
      </w:pPr>
      <w:r>
        <w:rPr>
          <w:rFonts w:ascii="Times New Roman" w:hAnsi="Times New Roman" w:cs="Times New Roman"/>
          <w:b/>
        </w:rPr>
        <w:t xml:space="preserve"> </w:t>
      </w:r>
      <w:r w:rsidR="00295258">
        <w:rPr>
          <w:rFonts w:ascii="Times New Roman" w:hAnsi="Times New Roman" w:cs="Times New Roman"/>
          <w:b/>
        </w:rPr>
        <w:t xml:space="preserve">                                </w:t>
      </w:r>
      <w:r>
        <w:rPr>
          <w:rFonts w:ascii="Times New Roman" w:hAnsi="Times New Roman" w:cs="Times New Roman"/>
          <w:b/>
        </w:rPr>
        <w:t xml:space="preserve">   </w:t>
      </w:r>
      <w:r w:rsidR="00295258">
        <w:rPr>
          <w:rFonts w:ascii="Times New Roman" w:hAnsi="Times New Roman" w:cs="Times New Roman"/>
          <w:noProof/>
        </w:rPr>
        <w:drawing>
          <wp:inline distT="0" distB="0" distL="0" distR="0" wp14:anchorId="7DE0B6CC" wp14:editId="30D1A4C6">
            <wp:extent cx="5711371" cy="4282646"/>
            <wp:effectExtent l="0" t="0" r="3810" b="101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57">
                      <a:extLst>
                        <a:ext uri="{28A0092B-C50C-407E-A947-70E740481C1C}">
                          <a14:useLocalDpi xmlns:a14="http://schemas.microsoft.com/office/drawing/2010/main" val="0"/>
                        </a:ext>
                      </a:extLst>
                    </a:blip>
                    <a:stretch>
                      <a:fillRect/>
                    </a:stretch>
                  </pic:blipFill>
                  <pic:spPr>
                    <a:xfrm>
                      <a:off x="0" y="0"/>
                      <a:ext cx="5711784" cy="4282955"/>
                    </a:xfrm>
                    <a:prstGeom prst="rect">
                      <a:avLst/>
                    </a:prstGeom>
                  </pic:spPr>
                </pic:pic>
              </a:graphicData>
            </a:graphic>
          </wp:inline>
        </w:drawing>
      </w:r>
      <w:r>
        <w:rPr>
          <w:rFonts w:ascii="Times New Roman" w:hAnsi="Times New Roman" w:cs="Times New Roman"/>
          <w:b/>
        </w:rPr>
        <w:t xml:space="preserve">                </w:t>
      </w:r>
      <w:r w:rsidR="005F182A">
        <w:rPr>
          <w:rFonts w:ascii="Times New Roman" w:hAnsi="Times New Roman" w:cs="Times New Roman"/>
          <w:b/>
        </w:rPr>
        <w:t xml:space="preserve">       </w:t>
      </w:r>
      <w:r>
        <w:rPr>
          <w:rFonts w:ascii="Times New Roman" w:hAnsi="Times New Roman" w:cs="Times New Roman"/>
          <w:b/>
        </w:rPr>
        <w:t xml:space="preserve">     </w:t>
      </w:r>
    </w:p>
    <w:p w14:paraId="4EDE971A" w14:textId="77777777" w:rsidR="001B72D6" w:rsidRDefault="00295258" w:rsidP="00C664C4">
      <w:pPr>
        <w:pStyle w:val="Caption"/>
      </w:pPr>
      <w:bookmarkStart w:id="1388" w:name="_Toc333569063"/>
      <w:bookmarkStart w:id="1389" w:name="_Toc333569288"/>
      <w:bookmarkStart w:id="1390" w:name="_Toc333570842"/>
      <w:bookmarkStart w:id="1391" w:name="_Toc333582225"/>
      <w:bookmarkStart w:id="1392" w:name="_Toc333582345"/>
      <w:bookmarkStart w:id="1393" w:name="_Toc333582757"/>
      <w:bookmarkStart w:id="1394" w:name="_Toc333583127"/>
      <w:bookmarkStart w:id="1395" w:name="_Toc333585235"/>
      <w:bookmarkStart w:id="1396" w:name="_Toc333586787"/>
      <w:bookmarkStart w:id="1397" w:name="_Toc333644486"/>
      <w:bookmarkStart w:id="1398" w:name="_Toc333644780"/>
      <w:r>
        <w:t>Figure 4.8</w:t>
      </w:r>
      <w:r w:rsidR="0043060F">
        <w:t>.</w:t>
      </w:r>
      <w:r>
        <w:t xml:space="preserve"> FACS</w:t>
      </w:r>
      <w:r w:rsidRPr="008322E3">
        <w:t xml:space="preserve"> sorting of untransfected and LV-GFP transfected HeLa and LUHMES cells to establish MOI of LV-GFP</w:t>
      </w:r>
      <w:r>
        <w:t>.</w:t>
      </w:r>
      <w:bookmarkEnd w:id="1388"/>
      <w:bookmarkEnd w:id="1389"/>
      <w:bookmarkEnd w:id="1390"/>
      <w:bookmarkEnd w:id="1391"/>
      <w:bookmarkEnd w:id="1392"/>
      <w:bookmarkEnd w:id="1393"/>
      <w:bookmarkEnd w:id="1394"/>
      <w:bookmarkEnd w:id="1395"/>
      <w:bookmarkEnd w:id="1396"/>
      <w:bookmarkEnd w:id="1397"/>
      <w:bookmarkEnd w:id="1398"/>
      <w:r>
        <w:t xml:space="preserve"> </w:t>
      </w:r>
    </w:p>
    <w:p w14:paraId="18A99C28" w14:textId="4C579FAE" w:rsidR="00295258" w:rsidRPr="00521135" w:rsidRDefault="00295258" w:rsidP="00295258">
      <w:pPr>
        <w:spacing w:line="360" w:lineRule="auto"/>
        <w:rPr>
          <w:rFonts w:ascii="Times New Roman" w:hAnsi="Times New Roman" w:cs="Times New Roman"/>
        </w:rPr>
        <w:sectPr w:rsidR="00295258" w:rsidRPr="00521135" w:rsidSect="008E3B37">
          <w:pgSz w:w="16840" w:h="11900" w:orient="landscape"/>
          <w:pgMar w:top="2268" w:right="1440" w:bottom="1134" w:left="1440" w:header="709" w:footer="709" w:gutter="0"/>
          <w:cols w:space="708"/>
          <w:docGrid w:linePitch="360"/>
        </w:sectPr>
      </w:pPr>
      <w:r>
        <w:rPr>
          <w:rFonts w:ascii="Times New Roman" w:hAnsi="Times New Roman" w:cs="Times New Roman"/>
        </w:rPr>
        <w:t>Graphs represent both the side scatter (SSC) versus forward scatter (FSC) profiles and distribution of fluorescence versus FSC profiles</w:t>
      </w:r>
      <w:r w:rsidRPr="001A5FA5">
        <w:rPr>
          <w:rFonts w:ascii="Times New Roman" w:hAnsi="Times New Roman" w:cs="Times New Roman"/>
        </w:rPr>
        <w:t xml:space="preserve"> </w:t>
      </w:r>
      <w:r>
        <w:rPr>
          <w:rFonts w:ascii="Times New Roman" w:hAnsi="Times New Roman" w:cs="Times New Roman"/>
        </w:rPr>
        <w:t>of HeLa and LUHMES cells following treatment with 1:100 of stock LV-GFP. 98.5% LUHMES and 86.2% HeLa cells were successfully transfected</w:t>
      </w:r>
    </w:p>
    <w:p w14:paraId="75798546" w14:textId="77777777" w:rsidR="00295258" w:rsidRDefault="00295258" w:rsidP="008E3B37">
      <w:pPr>
        <w:spacing w:line="360" w:lineRule="auto"/>
        <w:rPr>
          <w:rFonts w:ascii="Times New Roman" w:hAnsi="Times New Roman" w:cs="Times New Roman"/>
          <w:b/>
        </w:rPr>
      </w:pPr>
      <w:r>
        <w:rPr>
          <w:rFonts w:ascii="Times New Roman" w:hAnsi="Times New Roman" w:cs="Times New Roman"/>
          <w:b/>
        </w:rPr>
        <w:t xml:space="preserve">                                 </w:t>
      </w:r>
      <w:r>
        <w:rPr>
          <w:rFonts w:ascii="Times New Roman" w:hAnsi="Times New Roman" w:cs="Times New Roman"/>
          <w:noProof/>
          <w:sz w:val="40"/>
          <w:szCs w:val="40"/>
        </w:rPr>
        <w:drawing>
          <wp:inline distT="0" distB="0" distL="0" distR="0" wp14:anchorId="4CAD2FAC" wp14:editId="2B0AB3D9">
            <wp:extent cx="6592824" cy="3789602"/>
            <wp:effectExtent l="0" t="0" r="1143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58">
                      <a:extLst>
                        <a:ext uri="{28A0092B-C50C-407E-A947-70E740481C1C}">
                          <a14:useLocalDpi xmlns:a14="http://schemas.microsoft.com/office/drawing/2010/main" val="0"/>
                        </a:ext>
                      </a:extLst>
                    </a:blip>
                    <a:srcRect t="11297" b="12047"/>
                    <a:stretch/>
                  </pic:blipFill>
                  <pic:spPr bwMode="auto">
                    <a:xfrm>
                      <a:off x="0" y="0"/>
                      <a:ext cx="6595343" cy="3791050"/>
                    </a:xfrm>
                    <a:prstGeom prst="rect">
                      <a:avLst/>
                    </a:prstGeom>
                    <a:ln>
                      <a:noFill/>
                    </a:ln>
                    <a:extLst>
                      <a:ext uri="{53640926-AAD7-44d8-BBD7-CCE9431645EC}">
                        <a14:shadowObscured xmlns:a14="http://schemas.microsoft.com/office/drawing/2010/main"/>
                      </a:ext>
                    </a:extLst>
                  </pic:spPr>
                </pic:pic>
              </a:graphicData>
            </a:graphic>
          </wp:inline>
        </w:drawing>
      </w:r>
    </w:p>
    <w:p w14:paraId="23244351" w14:textId="77777777" w:rsidR="001B72D6" w:rsidRDefault="008E3B37" w:rsidP="00C664C4">
      <w:pPr>
        <w:pStyle w:val="Caption"/>
      </w:pPr>
      <w:bookmarkStart w:id="1399" w:name="_Toc333569064"/>
      <w:bookmarkStart w:id="1400" w:name="_Toc333569289"/>
      <w:bookmarkStart w:id="1401" w:name="_Toc333570843"/>
      <w:bookmarkStart w:id="1402" w:name="_Toc333582226"/>
      <w:bookmarkStart w:id="1403" w:name="_Toc333582346"/>
      <w:bookmarkStart w:id="1404" w:name="_Toc333582758"/>
      <w:bookmarkStart w:id="1405" w:name="_Toc333583128"/>
      <w:bookmarkStart w:id="1406" w:name="_Toc333585236"/>
      <w:bookmarkStart w:id="1407" w:name="_Toc333586788"/>
      <w:bookmarkStart w:id="1408" w:name="_Toc333644487"/>
      <w:bookmarkStart w:id="1409" w:name="_Toc333644781"/>
      <w:r>
        <w:t xml:space="preserve">Figure </w:t>
      </w:r>
      <w:r w:rsidR="00F94933">
        <w:t>4.</w:t>
      </w:r>
      <w:r w:rsidR="00295258">
        <w:t>9</w:t>
      </w:r>
      <w:r w:rsidR="0043060F">
        <w:t>.</w:t>
      </w:r>
      <w:r>
        <w:t xml:space="preserve"> </w:t>
      </w:r>
      <w:r w:rsidRPr="00F12755">
        <w:t>Confirming GFP</w:t>
      </w:r>
      <w:r>
        <w:t xml:space="preserve"> expression in</w:t>
      </w:r>
      <w:r w:rsidRPr="00F12755">
        <w:t xml:space="preserve"> LUHMES</w:t>
      </w:r>
      <w:r>
        <w:t xml:space="preserve"> following transduction with lentivirus.</w:t>
      </w:r>
      <w:bookmarkEnd w:id="1399"/>
      <w:bookmarkEnd w:id="1400"/>
      <w:bookmarkEnd w:id="1401"/>
      <w:bookmarkEnd w:id="1402"/>
      <w:bookmarkEnd w:id="1403"/>
      <w:bookmarkEnd w:id="1404"/>
      <w:bookmarkEnd w:id="1405"/>
      <w:bookmarkEnd w:id="1406"/>
      <w:bookmarkEnd w:id="1407"/>
      <w:bookmarkEnd w:id="1408"/>
      <w:bookmarkEnd w:id="1409"/>
      <w:r>
        <w:t xml:space="preserve"> </w:t>
      </w:r>
    </w:p>
    <w:p w14:paraId="2E9E4F05" w14:textId="413740B5" w:rsidR="008E3B37" w:rsidRPr="0067652D" w:rsidRDefault="008E3B37" w:rsidP="00C63BC1">
      <w:pPr>
        <w:spacing w:line="360" w:lineRule="auto"/>
        <w:jc w:val="both"/>
        <w:rPr>
          <w:rFonts w:ascii="Times New Roman" w:hAnsi="Times New Roman" w:cs="Times New Roman"/>
        </w:rPr>
      </w:pPr>
      <w:r>
        <w:rPr>
          <w:rFonts w:ascii="Times New Roman" w:hAnsi="Times New Roman" w:cs="Times New Roman"/>
        </w:rPr>
        <w:t>Following a 24 hour transduction with GFP encoding lentivirus</w:t>
      </w:r>
      <w:r w:rsidR="00106F16">
        <w:rPr>
          <w:rFonts w:ascii="Times New Roman" w:hAnsi="Times New Roman" w:cs="Times New Roman"/>
        </w:rPr>
        <w:t xml:space="preserve"> (LV-GFP)</w:t>
      </w:r>
      <w:r>
        <w:rPr>
          <w:rFonts w:ascii="Times New Roman" w:hAnsi="Times New Roman" w:cs="Times New Roman"/>
        </w:rPr>
        <w:t xml:space="preserve"> and a further 48 hours of growth</w:t>
      </w:r>
      <w:r w:rsidR="00106F16">
        <w:rPr>
          <w:rFonts w:ascii="Times New Roman" w:hAnsi="Times New Roman" w:cs="Times New Roman"/>
        </w:rPr>
        <w:t>, pre-differentiated LUHMES bega</w:t>
      </w:r>
      <w:r>
        <w:rPr>
          <w:rFonts w:ascii="Times New Roman" w:hAnsi="Times New Roman" w:cs="Times New Roman"/>
        </w:rPr>
        <w:t>n to express GFP. Both non-transduced and LV-GFP transduced LUHMES were differentiated into post-mitotic neurons (day 6). Immunocytochemistry and</w:t>
      </w:r>
      <w:r w:rsidR="00AB0487">
        <w:rPr>
          <w:rFonts w:ascii="Times New Roman" w:hAnsi="Times New Roman" w:cs="Times New Roman"/>
        </w:rPr>
        <w:t xml:space="preserve"> western blotting</w:t>
      </w:r>
      <w:r>
        <w:rPr>
          <w:rFonts w:ascii="Times New Roman" w:hAnsi="Times New Roman" w:cs="Times New Roman"/>
        </w:rPr>
        <w:t xml:space="preserve"> confirm expression of GFP in LUHMES. Scale bar represents 10μM</w:t>
      </w:r>
      <w:r w:rsidR="00C63BC1">
        <w:rPr>
          <w:rFonts w:ascii="Times New Roman" w:hAnsi="Times New Roman" w:cs="Times New Roman"/>
        </w:rPr>
        <w:t>.</w:t>
      </w:r>
      <w:r>
        <w:rPr>
          <w:rFonts w:ascii="Times New Roman" w:hAnsi="Times New Roman" w:cs="Times New Roman"/>
        </w:rPr>
        <w:t xml:space="preserve"> </w:t>
      </w:r>
    </w:p>
    <w:p w14:paraId="69F97CF0" w14:textId="77777777" w:rsidR="001A5FA5" w:rsidRDefault="001A5FA5" w:rsidP="00672DD1">
      <w:pPr>
        <w:spacing w:line="360" w:lineRule="auto"/>
        <w:rPr>
          <w:rFonts w:ascii="Times New Roman" w:hAnsi="Times New Roman" w:cs="Times New Roman"/>
        </w:rPr>
        <w:sectPr w:rsidR="001A5FA5" w:rsidSect="008E3B37">
          <w:pgSz w:w="16840" w:h="11900" w:orient="landscape"/>
          <w:pgMar w:top="2268" w:right="1440" w:bottom="1134" w:left="1440" w:header="709" w:footer="709" w:gutter="0"/>
          <w:cols w:space="708"/>
          <w:docGrid w:linePitch="360"/>
        </w:sectPr>
      </w:pPr>
    </w:p>
    <w:p w14:paraId="00F9C42A" w14:textId="0EB45600" w:rsidR="00DB1D04" w:rsidRDefault="00F00E0E" w:rsidP="00395B55">
      <w:pPr>
        <w:pStyle w:val="Heading3"/>
      </w:pPr>
      <w:bookmarkStart w:id="1410" w:name="_Toc328301168"/>
      <w:bookmarkStart w:id="1411" w:name="_Toc329593459"/>
      <w:bookmarkStart w:id="1412" w:name="_Toc331425958"/>
      <w:bookmarkStart w:id="1413" w:name="_Toc331427139"/>
      <w:bookmarkStart w:id="1414" w:name="_Toc331427511"/>
      <w:bookmarkStart w:id="1415" w:name="_Toc331427653"/>
      <w:bookmarkStart w:id="1416" w:name="_Toc332972658"/>
      <w:bookmarkStart w:id="1417" w:name="_Toc333046937"/>
      <w:bookmarkStart w:id="1418" w:name="_Toc333477284"/>
      <w:bookmarkStart w:id="1419" w:name="_Toc333478054"/>
      <w:bookmarkStart w:id="1420" w:name="_Toc333644954"/>
      <w:r>
        <w:t>4.4</w:t>
      </w:r>
      <w:r w:rsidR="00F94933">
        <w:t xml:space="preserve">.5 </w:t>
      </w:r>
      <w:r w:rsidR="008E3B37">
        <w:t>Assessing astrocyte maturity in the co-culture system</w:t>
      </w:r>
      <w:bookmarkEnd w:id="1410"/>
      <w:bookmarkEnd w:id="1411"/>
      <w:bookmarkEnd w:id="1412"/>
      <w:bookmarkEnd w:id="1413"/>
      <w:bookmarkEnd w:id="1414"/>
      <w:bookmarkEnd w:id="1415"/>
      <w:bookmarkEnd w:id="1416"/>
      <w:bookmarkEnd w:id="1417"/>
      <w:bookmarkEnd w:id="1418"/>
      <w:bookmarkEnd w:id="1419"/>
      <w:bookmarkEnd w:id="1420"/>
    </w:p>
    <w:p w14:paraId="08E7209B" w14:textId="77777777" w:rsidR="00DB1D04" w:rsidRDefault="00DB1D04" w:rsidP="00281523">
      <w:pPr>
        <w:spacing w:line="360" w:lineRule="auto"/>
        <w:rPr>
          <w:rFonts w:ascii="Times New Roman" w:hAnsi="Times New Roman" w:cs="Times New Roman"/>
          <w:b/>
          <w:u w:val="single"/>
        </w:rPr>
      </w:pPr>
    </w:p>
    <w:p w14:paraId="37527E55" w14:textId="360D58B8" w:rsidR="003D28AB" w:rsidRDefault="00281523" w:rsidP="00C63BC1">
      <w:pPr>
        <w:spacing w:line="360" w:lineRule="auto"/>
        <w:jc w:val="both"/>
        <w:rPr>
          <w:rFonts w:ascii="Times New Roman" w:hAnsi="Times New Roman" w:cs="Times New Roman"/>
        </w:rPr>
      </w:pPr>
      <w:r>
        <w:rPr>
          <w:rFonts w:ascii="Times New Roman" w:hAnsi="Times New Roman" w:cs="Times New Roman"/>
        </w:rPr>
        <w:t xml:space="preserve">There is evidence to suggest astrocytes change </w:t>
      </w:r>
      <w:r w:rsidR="008E3B37">
        <w:rPr>
          <w:rFonts w:ascii="Times New Roman" w:hAnsi="Times New Roman" w:cs="Times New Roman"/>
        </w:rPr>
        <w:t>when</w:t>
      </w:r>
      <w:r>
        <w:rPr>
          <w:rFonts w:ascii="Times New Roman" w:hAnsi="Times New Roman" w:cs="Times New Roman"/>
        </w:rPr>
        <w:t xml:space="preserve"> co-culture</w:t>
      </w:r>
      <w:r w:rsidR="008E3B37">
        <w:rPr>
          <w:rFonts w:ascii="Times New Roman" w:hAnsi="Times New Roman" w:cs="Times New Roman"/>
        </w:rPr>
        <w:t>d with neurons or neuronal cell lines</w:t>
      </w:r>
      <w:r>
        <w:rPr>
          <w:rFonts w:ascii="Times New Roman" w:hAnsi="Times New Roman" w:cs="Times New Roman"/>
        </w:rPr>
        <w:t xml:space="preserve"> and are more representative of astrocytes observed </w:t>
      </w:r>
      <w:r>
        <w:rPr>
          <w:rFonts w:ascii="Times New Roman" w:hAnsi="Times New Roman" w:cs="Times New Roman"/>
          <w:i/>
        </w:rPr>
        <w:t>in vivo.</w:t>
      </w:r>
      <w:r>
        <w:rPr>
          <w:rFonts w:ascii="Times New Roman" w:hAnsi="Times New Roman" w:cs="Times New Roman"/>
        </w:rPr>
        <w:t xml:space="preserve"> To test </w:t>
      </w:r>
      <w:r w:rsidR="00716382">
        <w:rPr>
          <w:rFonts w:ascii="Times New Roman" w:hAnsi="Times New Roman" w:cs="Times New Roman"/>
        </w:rPr>
        <w:t xml:space="preserve">this hypothesis </w:t>
      </w:r>
      <w:r w:rsidR="007F222D">
        <w:rPr>
          <w:rFonts w:ascii="Times New Roman" w:hAnsi="Times New Roman" w:cs="Times New Roman"/>
        </w:rPr>
        <w:t>in the co-culture model</w:t>
      </w:r>
      <w:r w:rsidR="00A450C9">
        <w:rPr>
          <w:rFonts w:ascii="Times New Roman" w:hAnsi="Times New Roman" w:cs="Times New Roman"/>
        </w:rPr>
        <w:t>, the expression and localis</w:t>
      </w:r>
      <w:r>
        <w:rPr>
          <w:rFonts w:ascii="Times New Roman" w:hAnsi="Times New Roman" w:cs="Times New Roman"/>
        </w:rPr>
        <w:t>ation of</w:t>
      </w:r>
      <w:r w:rsidR="007F222D">
        <w:rPr>
          <w:rFonts w:ascii="Times New Roman" w:hAnsi="Times New Roman" w:cs="Times New Roman"/>
        </w:rPr>
        <w:t xml:space="preserve"> an</w:t>
      </w:r>
      <w:r w:rsidR="00074362">
        <w:rPr>
          <w:rFonts w:ascii="Times New Roman" w:hAnsi="Times New Roman" w:cs="Times New Roman"/>
        </w:rPr>
        <w:t xml:space="preserve"> astrocyte-specific</w:t>
      </w:r>
      <w:r w:rsidR="007F222D">
        <w:rPr>
          <w:rFonts w:ascii="Times New Roman" w:hAnsi="Times New Roman" w:cs="Times New Roman"/>
        </w:rPr>
        <w:t xml:space="preserve"> marker known to</w:t>
      </w:r>
      <w:r w:rsidR="002129CA">
        <w:rPr>
          <w:rFonts w:ascii="Times New Roman" w:hAnsi="Times New Roman" w:cs="Times New Roman"/>
        </w:rPr>
        <w:t xml:space="preserve"> </w:t>
      </w:r>
      <w:r w:rsidR="008B52C1">
        <w:rPr>
          <w:rFonts w:ascii="Times New Roman" w:hAnsi="Times New Roman" w:cs="Times New Roman"/>
        </w:rPr>
        <w:t xml:space="preserve">change </w:t>
      </w:r>
      <w:r w:rsidR="002129CA">
        <w:rPr>
          <w:rFonts w:ascii="Times New Roman" w:hAnsi="Times New Roman" w:cs="Times New Roman"/>
        </w:rPr>
        <w:t>in co-culture</w:t>
      </w:r>
      <w:r w:rsidR="007F222D">
        <w:rPr>
          <w:rFonts w:ascii="Times New Roman" w:hAnsi="Times New Roman" w:cs="Times New Roman"/>
        </w:rPr>
        <w:t xml:space="preserve"> was assessed.</w:t>
      </w:r>
      <w:r w:rsidR="00716382">
        <w:rPr>
          <w:rFonts w:ascii="Times New Roman" w:hAnsi="Times New Roman" w:cs="Times New Roman"/>
        </w:rPr>
        <w:t xml:space="preserve"> </w:t>
      </w:r>
      <w:r w:rsidR="007F222D">
        <w:rPr>
          <w:rFonts w:ascii="Times New Roman" w:hAnsi="Times New Roman" w:cs="Times New Roman"/>
        </w:rPr>
        <w:t xml:space="preserve">The astrocyte specific marker, </w:t>
      </w:r>
      <w:r w:rsidR="00106CA9">
        <w:rPr>
          <w:rFonts w:ascii="Times New Roman" w:hAnsi="Times New Roman" w:cs="Times New Roman"/>
        </w:rPr>
        <w:t>c</w:t>
      </w:r>
      <w:r w:rsidR="00716382">
        <w:rPr>
          <w:rFonts w:ascii="Times New Roman" w:hAnsi="Times New Roman" w:cs="Times New Roman"/>
        </w:rPr>
        <w:t>onnexin 43</w:t>
      </w:r>
      <w:r w:rsidR="008113E9">
        <w:rPr>
          <w:rFonts w:ascii="Times New Roman" w:hAnsi="Times New Roman" w:cs="Times New Roman"/>
        </w:rPr>
        <w:t xml:space="preserve"> (C</w:t>
      </w:r>
      <w:r w:rsidR="00B478CA">
        <w:rPr>
          <w:rFonts w:ascii="Times New Roman" w:hAnsi="Times New Roman" w:cs="Times New Roman"/>
        </w:rPr>
        <w:t>x</w:t>
      </w:r>
      <w:r w:rsidR="008113E9">
        <w:rPr>
          <w:rFonts w:ascii="Times New Roman" w:hAnsi="Times New Roman" w:cs="Times New Roman"/>
        </w:rPr>
        <w:t>43)</w:t>
      </w:r>
      <w:r w:rsidR="00106CA9">
        <w:rPr>
          <w:rFonts w:ascii="Times New Roman" w:hAnsi="Times New Roman" w:cs="Times New Roman"/>
        </w:rPr>
        <w:t>,</w:t>
      </w:r>
      <w:r w:rsidR="00716382">
        <w:rPr>
          <w:rFonts w:ascii="Times New Roman" w:hAnsi="Times New Roman" w:cs="Times New Roman"/>
        </w:rPr>
        <w:t xml:space="preserve"> has previously been shown to be e</w:t>
      </w:r>
      <w:r w:rsidR="008E3B37">
        <w:rPr>
          <w:rFonts w:ascii="Times New Roman" w:hAnsi="Times New Roman" w:cs="Times New Roman"/>
        </w:rPr>
        <w:t xml:space="preserve">levated in rodent astrocytes </w:t>
      </w:r>
      <w:r w:rsidR="00716382">
        <w:rPr>
          <w:rFonts w:ascii="Times New Roman" w:hAnsi="Times New Roman" w:cs="Times New Roman"/>
        </w:rPr>
        <w:t>co-culture</w:t>
      </w:r>
      <w:r w:rsidR="008E3B37">
        <w:rPr>
          <w:rFonts w:ascii="Times New Roman" w:hAnsi="Times New Roman" w:cs="Times New Roman"/>
        </w:rPr>
        <w:t>d</w:t>
      </w:r>
      <w:r w:rsidR="00716382">
        <w:rPr>
          <w:rFonts w:ascii="Times New Roman" w:hAnsi="Times New Roman" w:cs="Times New Roman"/>
        </w:rPr>
        <w:t xml:space="preserve"> with neurons </w:t>
      </w:r>
      <w:r w:rsidR="004658FF">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"10.1002/glia.20698", "ISSN" : "1098-1136", "PMID" : "18512249", "abstract" : "A characteristic feature of astrocytes is their high level of intercellular communication mediated by gap junctions. The two main connexins, Cx30 and Cx43, that form these junctions in astrocytes of adult brain display different developmental and regional expression, with a delayed onset of appearance for Cx30. In primary cultures of astrocytes from newborn cerebral cortex, while Cx43 is abundantly expressed, Cx30 is not detectable. In the present report, Western blot and confocal immunofluorescence analysis performed in astrocyte/neuron cocultures demonstrate that neurons upregulate the expression of Cx43 and induce that of Cx30 in subsets of astrocytes preferentially located in close proximity to neuronal soma. In Cx43 lacking astrocytes cocultured with neurons, the induction of Cx30 allows the restoration of dye coupling within islets of Cx30-positive astrocytes, indicating that intercellular channels formed by Cx30 are functional. The upregulating effect of neurons on the expression of connexins in cortical astrocytes is independent of their electrical activity and requires tight interactions between both cell types. This effect is reversed after neuronal death induced by neurotoxic treatments. Furthermore, excitotoxic treatments triggering neuronal death in vivo lead to a downregulation of both connexins in reactive astrocytes located within the area depleted in neurons. Altogether these observations indicate that the expression of the two main astrocyte connexins is tightly regulated by neurons.", "author" : [ { "dropping-particle" : "", "family" : "Koulakoff", "given" : "Annette", "non-dropping-particle" : "", "parse-names" : false, "suffix" : "" }, { "dropping-particle" : "", "family" : "Ezan", "given" : "Pascal", "non-dropping-particle" : "", "parse-names" : false, "suffix" : "" }, { "dropping-particle" : "", "family" : "Giaume", "given" : "Christian", "non-dropping-particle" : "", "parse-names" : false, "suffix" : "" } ], "container-title" : "Glia", "id" : "ITEM-1", "issue" : "12", "issued" : { "date-parts" : [ [ "2008", "9" ] ] }, "page" : "1299-311", "title" : "Neurons control the expression of connexin 30 and connexin 43 in mouse cortical astrocytes.", "type" : "article-journal", "volume" : "56" }, "uris" : [ "http://www.mendeley.com/documents/?uuid=4f13de19-b758-4425-9d6f-815df79fb4ee" ] } ], "mendeley" : { "formattedCitation" : "(Koulakoff et al. 2008)", "plainTextFormattedCitation" : "(Koulakoff et al. 2008)", "previouslyFormattedCitation" : "(Koulakoff et al. 2008)" }, "properties" : { "noteIndex" : 0 }, "schema" : "https://github.com/citation-style-language/schema/raw/master/csl-citation.json" }</w:instrText>
      </w:r>
      <w:r w:rsidR="004658FF">
        <w:rPr>
          <w:rFonts w:ascii="Times New Roman" w:hAnsi="Times New Roman" w:cs="Times New Roman"/>
        </w:rPr>
        <w:fldChar w:fldCharType="separate"/>
      </w:r>
      <w:r w:rsidR="00C148FC" w:rsidRPr="00C148FC">
        <w:rPr>
          <w:rFonts w:ascii="Times New Roman" w:hAnsi="Times New Roman" w:cs="Times New Roman"/>
          <w:noProof/>
        </w:rPr>
        <w:t>(Koulakoff et al. 2008)</w:t>
      </w:r>
      <w:r w:rsidR="004658FF">
        <w:rPr>
          <w:rFonts w:ascii="Times New Roman" w:hAnsi="Times New Roman" w:cs="Times New Roman"/>
        </w:rPr>
        <w:fldChar w:fldCharType="end"/>
      </w:r>
      <w:r w:rsidR="004658FF">
        <w:rPr>
          <w:rFonts w:ascii="Times New Roman" w:hAnsi="Times New Roman" w:cs="Times New Roman"/>
        </w:rPr>
        <w:t>.</w:t>
      </w:r>
      <w:r w:rsidR="00106CA9">
        <w:rPr>
          <w:rFonts w:ascii="Times New Roman" w:hAnsi="Times New Roman" w:cs="Times New Roman"/>
        </w:rPr>
        <w:t xml:space="preserve"> </w:t>
      </w:r>
      <w:r w:rsidR="008113E9">
        <w:rPr>
          <w:rFonts w:ascii="Times New Roman" w:hAnsi="Times New Roman" w:cs="Times New Roman"/>
        </w:rPr>
        <w:t>C</w:t>
      </w:r>
      <w:r w:rsidR="00B478CA">
        <w:rPr>
          <w:rFonts w:ascii="Times New Roman" w:hAnsi="Times New Roman" w:cs="Times New Roman"/>
        </w:rPr>
        <w:t>x</w:t>
      </w:r>
      <w:r w:rsidR="008113E9">
        <w:rPr>
          <w:rFonts w:ascii="Times New Roman" w:hAnsi="Times New Roman" w:cs="Times New Roman"/>
        </w:rPr>
        <w:t>43</w:t>
      </w:r>
      <w:r w:rsidR="00106CA9">
        <w:rPr>
          <w:rFonts w:ascii="Times New Roman" w:hAnsi="Times New Roman" w:cs="Times New Roman"/>
        </w:rPr>
        <w:t xml:space="preserve"> is a gap junction protein that facilitates calcium signalling between astrocytes and allows transmission of chemical signals</w:t>
      </w:r>
      <w:r w:rsidR="005725DC">
        <w:rPr>
          <w:rFonts w:ascii="Times New Roman" w:hAnsi="Times New Roman" w:cs="Times New Roman"/>
        </w:rPr>
        <w:t xml:space="preserve"> between astrocytes</w:t>
      </w:r>
      <w:r w:rsidR="00106CA9">
        <w:rPr>
          <w:rFonts w:ascii="Times New Roman" w:hAnsi="Times New Roman" w:cs="Times New Roman"/>
        </w:rPr>
        <w:t xml:space="preserve"> in response to neuronal electrical activity</w:t>
      </w:r>
      <w:r w:rsidR="00A450C9">
        <w:rPr>
          <w:rFonts w:ascii="Times New Roman" w:hAnsi="Times New Roman" w:cs="Times New Roman"/>
        </w:rPr>
        <w:t xml:space="preserve"> </w:t>
      </w:r>
      <w:r w:rsidR="00FC11D8">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"10.1042/BJ20082319", "ISSN" : "1470-8728", "PMID" : "19309313", "abstract" : "Vertebrate gap junctions, composed of proteins from the connexin gene family, play critical roles in embryonic development, co-ordinated contraction of excitable cells, tissue homoeostasis, normal cell growth and differentiation. Phosphorylation of connexin43, the most abundant and ubiquitously expressed connexin, has been implicated in the regulation of gap junctional communication at several stages of the connexin 'life cycle', including hemichannel oligomerization, export of the protein to the plasma membrane, hemichannel activity, gap junction assembly, gap junction channel gating and connexin degradation. Consistent with a short (1-5 h) protein half-life, connexin43 phosphorylation is dynamic and changes in response to activation of many different kinases. The present review assesses our current understanding of the effects of phosphorylation on connexin43 structure and function that in turn regulate gap junction biology, with an emphasis on events occurring in heart and skin.", "author" : [ { "dropping-particle" : "", "family" : "Solan", "given" : "Joell L", "non-dropping-particle" : "", "parse-names" : false, "suffix" : "" }, { "dropping-particle" : "", "family" : "Lampe", "given" : "Paul D", "non-dropping-particle" : "", "parse-names" : false, "suffix" : "" } ], "container-title" : "The Biochemical journal", "id" : "ITEM-1", "issue" : "2", "issued" : { "date-parts" : [ [ "2009", "4", "15" ] ] }, "page" : "261-72", "title" : "Connexin43 phosphorylation: structural changes and biological effects.", "type" : "article-journal", "volume" : "419" }, "uris" : [ "http://www.mendeley.com/documents/?uuid=786adb09-2880-42a4-90ab-5953075ef104" ] } ], "mendeley" : { "formattedCitation" : "(Solan &amp; Lampe 2009)", "plainTextFormattedCitation" : "(Solan &amp; Lampe 2009)", "previouslyFormattedCitation" : "(Solan &amp; Lampe 2009)" }, "properties" : { "noteIndex" : 0 }, "schema" : "https://github.com/citation-style-language/schema/raw/master/csl-citation.json" }</w:instrText>
      </w:r>
      <w:r w:rsidR="00FC11D8">
        <w:rPr>
          <w:rFonts w:ascii="Times New Roman" w:hAnsi="Times New Roman" w:cs="Times New Roman"/>
        </w:rPr>
        <w:fldChar w:fldCharType="separate"/>
      </w:r>
      <w:r w:rsidR="00C148FC" w:rsidRPr="00C148FC">
        <w:rPr>
          <w:rFonts w:ascii="Times New Roman" w:hAnsi="Times New Roman" w:cs="Times New Roman"/>
          <w:noProof/>
        </w:rPr>
        <w:t>(Solan &amp; Lampe 2009)</w:t>
      </w:r>
      <w:r w:rsidR="00FC11D8">
        <w:rPr>
          <w:rFonts w:ascii="Times New Roman" w:hAnsi="Times New Roman" w:cs="Times New Roman"/>
        </w:rPr>
        <w:fldChar w:fldCharType="end"/>
      </w:r>
      <w:r w:rsidR="00106CA9">
        <w:rPr>
          <w:rFonts w:ascii="Times New Roman" w:hAnsi="Times New Roman" w:cs="Times New Roman"/>
        </w:rPr>
        <w:t xml:space="preserve">. </w:t>
      </w:r>
      <w:r w:rsidR="008E3B37">
        <w:rPr>
          <w:rFonts w:ascii="Times New Roman" w:hAnsi="Times New Roman" w:cs="Times New Roman"/>
        </w:rPr>
        <w:t>Therefore, c</w:t>
      </w:r>
      <w:r w:rsidR="00106CA9">
        <w:rPr>
          <w:rFonts w:ascii="Times New Roman" w:hAnsi="Times New Roman" w:cs="Times New Roman"/>
        </w:rPr>
        <w:t xml:space="preserve">hanges in the expression of </w:t>
      </w:r>
      <w:r w:rsidR="008113E9">
        <w:rPr>
          <w:rFonts w:ascii="Times New Roman" w:hAnsi="Times New Roman" w:cs="Times New Roman"/>
        </w:rPr>
        <w:t>C</w:t>
      </w:r>
      <w:r w:rsidR="00B478CA">
        <w:rPr>
          <w:rFonts w:ascii="Times New Roman" w:hAnsi="Times New Roman" w:cs="Times New Roman"/>
        </w:rPr>
        <w:t>x</w:t>
      </w:r>
      <w:r w:rsidR="008113E9">
        <w:rPr>
          <w:rFonts w:ascii="Times New Roman" w:hAnsi="Times New Roman" w:cs="Times New Roman"/>
        </w:rPr>
        <w:t>43</w:t>
      </w:r>
      <w:r w:rsidR="00106CA9">
        <w:rPr>
          <w:rFonts w:ascii="Times New Roman" w:hAnsi="Times New Roman" w:cs="Times New Roman"/>
        </w:rPr>
        <w:t xml:space="preserve"> in astrocytes in co-culture may </w:t>
      </w:r>
      <w:r w:rsidR="002129CA">
        <w:rPr>
          <w:rFonts w:ascii="Times New Roman" w:hAnsi="Times New Roman" w:cs="Times New Roman"/>
        </w:rPr>
        <w:t>suggest</w:t>
      </w:r>
      <w:r w:rsidR="00716382">
        <w:rPr>
          <w:rFonts w:ascii="Times New Roman" w:hAnsi="Times New Roman" w:cs="Times New Roman"/>
        </w:rPr>
        <w:t xml:space="preserve"> </w:t>
      </w:r>
      <w:r w:rsidR="002129CA">
        <w:rPr>
          <w:rFonts w:ascii="Times New Roman" w:hAnsi="Times New Roman" w:cs="Times New Roman"/>
        </w:rPr>
        <w:t>altered</w:t>
      </w:r>
      <w:r w:rsidR="00716382">
        <w:rPr>
          <w:rFonts w:ascii="Times New Roman" w:hAnsi="Times New Roman" w:cs="Times New Roman"/>
        </w:rPr>
        <w:t xml:space="preserve"> communication between astrocytes</w:t>
      </w:r>
      <w:r w:rsidR="004658FF">
        <w:rPr>
          <w:rFonts w:ascii="Times New Roman" w:hAnsi="Times New Roman" w:cs="Times New Roman"/>
        </w:rPr>
        <w:t xml:space="preserve"> in</w:t>
      </w:r>
      <w:r w:rsidR="003D28AB">
        <w:rPr>
          <w:rFonts w:ascii="Times New Roman" w:hAnsi="Times New Roman" w:cs="Times New Roman"/>
        </w:rPr>
        <w:t xml:space="preserve"> response to synaptic </w:t>
      </w:r>
      <w:r w:rsidR="003F419C">
        <w:rPr>
          <w:rFonts w:ascii="Times New Roman" w:hAnsi="Times New Roman" w:cs="Times New Roman"/>
        </w:rPr>
        <w:t>activity</w:t>
      </w:r>
      <w:r w:rsidR="008113E9">
        <w:rPr>
          <w:rFonts w:ascii="Times New Roman" w:hAnsi="Times New Roman" w:cs="Times New Roman"/>
        </w:rPr>
        <w:t xml:space="preserve"> and potentially act as an indicator of changes in astrocyte function in the presence of neurons</w:t>
      </w:r>
      <w:r w:rsidR="00DE6556">
        <w:rPr>
          <w:rFonts w:ascii="Times New Roman" w:hAnsi="Times New Roman" w:cs="Times New Roman"/>
        </w:rPr>
        <w:t xml:space="preserve">. </w:t>
      </w:r>
    </w:p>
    <w:p w14:paraId="29D5D494" w14:textId="77777777" w:rsidR="00D15A79" w:rsidRDefault="003D28AB" w:rsidP="00C63BC1">
      <w:pPr>
        <w:spacing w:line="360" w:lineRule="auto"/>
        <w:jc w:val="both"/>
        <w:rPr>
          <w:rFonts w:ascii="Times New Roman" w:hAnsi="Times New Roman" w:cs="Times New Roman"/>
        </w:rPr>
      </w:pPr>
      <w:r>
        <w:rPr>
          <w:rFonts w:ascii="Times New Roman" w:hAnsi="Times New Roman" w:cs="Times New Roman"/>
        </w:rPr>
        <w:t xml:space="preserve"> </w:t>
      </w:r>
      <w:r w:rsidR="008113E9">
        <w:rPr>
          <w:rFonts w:ascii="Times New Roman" w:hAnsi="Times New Roman" w:cs="Times New Roman"/>
        </w:rPr>
        <w:t xml:space="preserve">   </w:t>
      </w:r>
    </w:p>
    <w:p w14:paraId="43C06693" w14:textId="170CE10C" w:rsidR="00281523" w:rsidRDefault="00135A5A" w:rsidP="00C63BC1">
      <w:pPr>
        <w:spacing w:line="360" w:lineRule="auto"/>
        <w:jc w:val="both"/>
        <w:rPr>
          <w:rFonts w:ascii="Times New Roman" w:hAnsi="Times New Roman" w:cs="Times New Roman"/>
        </w:rPr>
      </w:pPr>
      <w:r>
        <w:rPr>
          <w:rFonts w:ascii="Times New Roman" w:hAnsi="Times New Roman" w:cs="Times New Roman"/>
        </w:rPr>
        <w:t xml:space="preserve">ScienCell astrocytes were </w:t>
      </w:r>
      <w:r w:rsidR="00DE6556">
        <w:rPr>
          <w:rFonts w:ascii="Times New Roman" w:hAnsi="Times New Roman" w:cs="Times New Roman"/>
        </w:rPr>
        <w:t xml:space="preserve">stained with </w:t>
      </w:r>
      <w:r w:rsidR="008113E9">
        <w:rPr>
          <w:rFonts w:ascii="Times New Roman" w:hAnsi="Times New Roman" w:cs="Times New Roman"/>
        </w:rPr>
        <w:t>C</w:t>
      </w:r>
      <w:r w:rsidR="00B478CA">
        <w:rPr>
          <w:rFonts w:ascii="Times New Roman" w:hAnsi="Times New Roman" w:cs="Times New Roman"/>
        </w:rPr>
        <w:t>x</w:t>
      </w:r>
      <w:r w:rsidR="008113E9">
        <w:rPr>
          <w:rFonts w:ascii="Times New Roman" w:hAnsi="Times New Roman" w:cs="Times New Roman"/>
        </w:rPr>
        <w:t>43</w:t>
      </w:r>
      <w:r w:rsidR="00DE6556">
        <w:rPr>
          <w:rFonts w:ascii="Times New Roman" w:hAnsi="Times New Roman" w:cs="Times New Roman"/>
        </w:rPr>
        <w:t xml:space="preserve"> when in monoculture and co-culture. In monoculture astrocytes express</w:t>
      </w:r>
      <w:r w:rsidR="00A450C9">
        <w:rPr>
          <w:rFonts w:ascii="Times New Roman" w:hAnsi="Times New Roman" w:cs="Times New Roman"/>
        </w:rPr>
        <w:t>ed</w:t>
      </w:r>
      <w:r w:rsidR="00DE6556">
        <w:rPr>
          <w:rFonts w:ascii="Times New Roman" w:hAnsi="Times New Roman" w:cs="Times New Roman"/>
        </w:rPr>
        <w:t xml:space="preserve"> </w:t>
      </w:r>
      <w:r w:rsidR="008113E9">
        <w:rPr>
          <w:rFonts w:ascii="Times New Roman" w:hAnsi="Times New Roman" w:cs="Times New Roman"/>
        </w:rPr>
        <w:t>C</w:t>
      </w:r>
      <w:r w:rsidR="00B478CA">
        <w:rPr>
          <w:rFonts w:ascii="Times New Roman" w:hAnsi="Times New Roman" w:cs="Times New Roman"/>
        </w:rPr>
        <w:t>x</w:t>
      </w:r>
      <w:r w:rsidR="008113E9">
        <w:rPr>
          <w:rFonts w:ascii="Times New Roman" w:hAnsi="Times New Roman" w:cs="Times New Roman"/>
        </w:rPr>
        <w:t>43</w:t>
      </w:r>
      <w:r w:rsidR="00DA4237">
        <w:rPr>
          <w:rFonts w:ascii="Times New Roman" w:hAnsi="Times New Roman" w:cs="Times New Roman"/>
        </w:rPr>
        <w:t>,</w:t>
      </w:r>
      <w:r w:rsidR="00DE6556">
        <w:rPr>
          <w:rFonts w:ascii="Times New Roman" w:hAnsi="Times New Roman" w:cs="Times New Roman"/>
        </w:rPr>
        <w:t xml:space="preserve"> </w:t>
      </w:r>
      <w:r w:rsidR="000D43F4">
        <w:rPr>
          <w:rFonts w:ascii="Times New Roman" w:hAnsi="Times New Roman" w:cs="Times New Roman"/>
        </w:rPr>
        <w:t xml:space="preserve">as observed </w:t>
      </w:r>
      <w:r w:rsidR="00DE6556">
        <w:rPr>
          <w:rFonts w:ascii="Times New Roman" w:hAnsi="Times New Roman" w:cs="Times New Roman"/>
        </w:rPr>
        <w:t>by</w:t>
      </w:r>
      <w:r w:rsidR="000D43F4">
        <w:rPr>
          <w:rFonts w:ascii="Times New Roman" w:hAnsi="Times New Roman" w:cs="Times New Roman"/>
        </w:rPr>
        <w:t xml:space="preserve"> both</w:t>
      </w:r>
      <w:r w:rsidR="00DE6556">
        <w:rPr>
          <w:rFonts w:ascii="Times New Roman" w:hAnsi="Times New Roman" w:cs="Times New Roman"/>
        </w:rPr>
        <w:t xml:space="preserve"> western blot and </w:t>
      </w:r>
      <w:r w:rsidR="00E3232D">
        <w:rPr>
          <w:rFonts w:ascii="Times New Roman" w:hAnsi="Times New Roman" w:cs="Times New Roman"/>
        </w:rPr>
        <w:t>immunocytochemistry</w:t>
      </w:r>
      <w:r w:rsidR="009C0812">
        <w:rPr>
          <w:rFonts w:ascii="Times New Roman" w:hAnsi="Times New Roman" w:cs="Times New Roman"/>
        </w:rPr>
        <w:t xml:space="preserve"> (</w:t>
      </w:r>
      <w:r w:rsidR="009C0812" w:rsidRPr="00691810">
        <w:rPr>
          <w:rFonts w:ascii="Times New Roman" w:hAnsi="Times New Roman" w:cs="Times New Roman"/>
          <w:b/>
        </w:rPr>
        <w:t xml:space="preserve">figure </w:t>
      </w:r>
      <w:r w:rsidR="00222472" w:rsidRPr="00691810">
        <w:rPr>
          <w:rFonts w:ascii="Times New Roman" w:hAnsi="Times New Roman" w:cs="Times New Roman"/>
          <w:b/>
        </w:rPr>
        <w:t>4.10</w:t>
      </w:r>
      <w:r w:rsidR="009C0812">
        <w:rPr>
          <w:rFonts w:ascii="Times New Roman" w:hAnsi="Times New Roman" w:cs="Times New Roman"/>
        </w:rPr>
        <w:t>)</w:t>
      </w:r>
      <w:r w:rsidR="00DE6556">
        <w:rPr>
          <w:rFonts w:ascii="Times New Roman" w:hAnsi="Times New Roman" w:cs="Times New Roman"/>
        </w:rPr>
        <w:t>.</w:t>
      </w:r>
      <w:r w:rsidR="00D15A79">
        <w:rPr>
          <w:rFonts w:ascii="Times New Roman" w:hAnsi="Times New Roman" w:cs="Times New Roman"/>
        </w:rPr>
        <w:t xml:space="preserve"> In co-culture</w:t>
      </w:r>
      <w:r w:rsidR="005B7173">
        <w:rPr>
          <w:rFonts w:ascii="Times New Roman" w:hAnsi="Times New Roman" w:cs="Times New Roman"/>
        </w:rPr>
        <w:t xml:space="preserve"> </w:t>
      </w:r>
      <w:r w:rsidR="00D15A79">
        <w:rPr>
          <w:rFonts w:ascii="Times New Roman" w:hAnsi="Times New Roman" w:cs="Times New Roman"/>
        </w:rPr>
        <w:t>a</w:t>
      </w:r>
      <w:r w:rsidR="000D43F4">
        <w:rPr>
          <w:rFonts w:ascii="Times New Roman" w:hAnsi="Times New Roman" w:cs="Times New Roman"/>
        </w:rPr>
        <w:t>strocytes associated specifically with dense networks of neurons show</w:t>
      </w:r>
      <w:r w:rsidR="00A450C9">
        <w:rPr>
          <w:rFonts w:ascii="Times New Roman" w:hAnsi="Times New Roman" w:cs="Times New Roman"/>
        </w:rPr>
        <w:t>ed</w:t>
      </w:r>
      <w:r w:rsidR="000D43F4">
        <w:rPr>
          <w:rFonts w:ascii="Times New Roman" w:hAnsi="Times New Roman" w:cs="Times New Roman"/>
        </w:rPr>
        <w:t xml:space="preserve"> a distinct increase in the amount of </w:t>
      </w:r>
      <w:r w:rsidR="008113E9">
        <w:rPr>
          <w:rFonts w:ascii="Times New Roman" w:hAnsi="Times New Roman" w:cs="Times New Roman"/>
        </w:rPr>
        <w:t>C</w:t>
      </w:r>
      <w:r w:rsidR="00B478CA">
        <w:rPr>
          <w:rFonts w:ascii="Times New Roman" w:hAnsi="Times New Roman" w:cs="Times New Roman"/>
        </w:rPr>
        <w:t>x</w:t>
      </w:r>
      <w:r w:rsidR="008113E9">
        <w:rPr>
          <w:rFonts w:ascii="Times New Roman" w:hAnsi="Times New Roman" w:cs="Times New Roman"/>
        </w:rPr>
        <w:t>43</w:t>
      </w:r>
      <w:r w:rsidR="00126C1A">
        <w:rPr>
          <w:rFonts w:ascii="Times New Roman" w:hAnsi="Times New Roman" w:cs="Times New Roman"/>
        </w:rPr>
        <w:t>, as demonstrated by immunocytochemistry</w:t>
      </w:r>
      <w:r w:rsidR="00C96F00">
        <w:rPr>
          <w:rFonts w:ascii="Times New Roman" w:hAnsi="Times New Roman" w:cs="Times New Roman"/>
        </w:rPr>
        <w:t>.</w:t>
      </w:r>
      <w:r w:rsidR="006F78D1">
        <w:rPr>
          <w:rFonts w:ascii="Times New Roman" w:hAnsi="Times New Roman" w:cs="Times New Roman"/>
        </w:rPr>
        <w:t xml:space="preserve"> </w:t>
      </w:r>
      <w:r w:rsidR="00ED6E5D">
        <w:rPr>
          <w:rFonts w:ascii="Times New Roman" w:hAnsi="Times New Roman" w:cs="Times New Roman"/>
        </w:rPr>
        <w:t>W</w:t>
      </w:r>
      <w:r w:rsidR="00C96F00">
        <w:rPr>
          <w:rFonts w:ascii="Times New Roman" w:hAnsi="Times New Roman" w:cs="Times New Roman"/>
        </w:rPr>
        <w:t xml:space="preserve">estern blots </w:t>
      </w:r>
      <w:r w:rsidR="00126C1A">
        <w:rPr>
          <w:rFonts w:ascii="Times New Roman" w:hAnsi="Times New Roman" w:cs="Times New Roman"/>
        </w:rPr>
        <w:t>did</w:t>
      </w:r>
      <w:r w:rsidR="00ED6E5D">
        <w:rPr>
          <w:rFonts w:ascii="Times New Roman" w:hAnsi="Times New Roman" w:cs="Times New Roman"/>
        </w:rPr>
        <w:t xml:space="preserve"> </w:t>
      </w:r>
      <w:r w:rsidR="00C96F00">
        <w:rPr>
          <w:rFonts w:ascii="Times New Roman" w:hAnsi="Times New Roman" w:cs="Times New Roman"/>
        </w:rPr>
        <w:t>not</w:t>
      </w:r>
      <w:r w:rsidR="0080026E">
        <w:rPr>
          <w:rFonts w:ascii="Times New Roman" w:hAnsi="Times New Roman" w:cs="Times New Roman"/>
        </w:rPr>
        <w:t xml:space="preserve"> reflect this</w:t>
      </w:r>
      <w:r w:rsidR="00ED6E5D">
        <w:rPr>
          <w:rFonts w:ascii="Times New Roman" w:hAnsi="Times New Roman" w:cs="Times New Roman"/>
        </w:rPr>
        <w:t xml:space="preserve"> increase in total </w:t>
      </w:r>
      <w:r w:rsidR="008113E9">
        <w:rPr>
          <w:rFonts w:ascii="Times New Roman" w:hAnsi="Times New Roman" w:cs="Times New Roman"/>
        </w:rPr>
        <w:t>C</w:t>
      </w:r>
      <w:r w:rsidR="00B478CA">
        <w:rPr>
          <w:rFonts w:ascii="Times New Roman" w:hAnsi="Times New Roman" w:cs="Times New Roman"/>
        </w:rPr>
        <w:t>x</w:t>
      </w:r>
      <w:r w:rsidR="008113E9">
        <w:rPr>
          <w:rFonts w:ascii="Times New Roman" w:hAnsi="Times New Roman" w:cs="Times New Roman"/>
        </w:rPr>
        <w:t>43</w:t>
      </w:r>
      <w:r w:rsidR="00126C1A">
        <w:rPr>
          <w:rFonts w:ascii="Times New Roman" w:hAnsi="Times New Roman" w:cs="Times New Roman"/>
        </w:rPr>
        <w:t xml:space="preserve"> and remained unchanged in astrocytes in co-culture. However, there was a significant decrease in the upper two bands of</w:t>
      </w:r>
      <w:r w:rsidR="00222472">
        <w:rPr>
          <w:rFonts w:ascii="Times New Roman" w:hAnsi="Times New Roman" w:cs="Times New Roman"/>
        </w:rPr>
        <w:t xml:space="preserve"> C</w:t>
      </w:r>
      <w:r w:rsidR="00B478CA">
        <w:rPr>
          <w:rFonts w:ascii="Times New Roman" w:hAnsi="Times New Roman" w:cs="Times New Roman"/>
        </w:rPr>
        <w:t>x</w:t>
      </w:r>
      <w:r w:rsidR="00222472">
        <w:rPr>
          <w:rFonts w:ascii="Times New Roman" w:hAnsi="Times New Roman" w:cs="Times New Roman"/>
        </w:rPr>
        <w:t>43 levels</w:t>
      </w:r>
      <w:r w:rsidR="00126C1A">
        <w:rPr>
          <w:rFonts w:ascii="Times New Roman" w:hAnsi="Times New Roman" w:cs="Times New Roman"/>
        </w:rPr>
        <w:t xml:space="preserve">, which </w:t>
      </w:r>
      <w:r w:rsidR="00993D70">
        <w:rPr>
          <w:rFonts w:ascii="Times New Roman" w:hAnsi="Times New Roman" w:cs="Times New Roman"/>
        </w:rPr>
        <w:t>might represent</w:t>
      </w:r>
      <w:r w:rsidR="00126C1A">
        <w:rPr>
          <w:rFonts w:ascii="Times New Roman" w:hAnsi="Times New Roman" w:cs="Times New Roman"/>
        </w:rPr>
        <w:t xml:space="preserve"> different phosphorylated forms of Cx43</w:t>
      </w:r>
      <w:r w:rsidR="00222472">
        <w:rPr>
          <w:rFonts w:ascii="Times New Roman" w:hAnsi="Times New Roman" w:cs="Times New Roman"/>
        </w:rPr>
        <w:t xml:space="preserve"> (</w:t>
      </w:r>
      <w:r w:rsidR="00691810">
        <w:rPr>
          <w:rFonts w:ascii="Times New Roman" w:hAnsi="Times New Roman" w:cs="Times New Roman"/>
          <w:b/>
        </w:rPr>
        <w:t>f</w:t>
      </w:r>
      <w:r w:rsidR="00222472" w:rsidRPr="00691810">
        <w:rPr>
          <w:rFonts w:ascii="Times New Roman" w:hAnsi="Times New Roman" w:cs="Times New Roman"/>
          <w:b/>
        </w:rPr>
        <w:t>igure 4.10C</w:t>
      </w:r>
      <w:r w:rsidR="00222472">
        <w:rPr>
          <w:rFonts w:ascii="Times New Roman" w:hAnsi="Times New Roman" w:cs="Times New Roman"/>
        </w:rPr>
        <w:t xml:space="preserve"> p</w:t>
      </w:r>
      <w:r w:rsidR="001F1B59">
        <w:rPr>
          <w:rFonts w:ascii="Times New Roman" w:hAnsi="Times New Roman" w:cs="Times New Roman"/>
        </w:rPr>
        <w:t xml:space="preserve">&lt; </w:t>
      </w:r>
      <w:r w:rsidR="00222472">
        <w:rPr>
          <w:rFonts w:ascii="Times New Roman" w:hAnsi="Times New Roman" w:cs="Times New Roman"/>
        </w:rPr>
        <w:t>0.001</w:t>
      </w:r>
      <w:r w:rsidR="00126C1A">
        <w:rPr>
          <w:rFonts w:ascii="Times New Roman" w:hAnsi="Times New Roman" w:cs="Times New Roman"/>
        </w:rPr>
        <w:t>)</w:t>
      </w:r>
      <w:r w:rsidR="00ED6E5D">
        <w:rPr>
          <w:rFonts w:ascii="Times New Roman" w:hAnsi="Times New Roman" w:cs="Times New Roman"/>
        </w:rPr>
        <w:t xml:space="preserve">. </w:t>
      </w:r>
      <w:r w:rsidR="001F1B59">
        <w:rPr>
          <w:rFonts w:ascii="Times New Roman" w:hAnsi="Times New Roman" w:cs="Times New Roman"/>
        </w:rPr>
        <w:t>Taken together this may indicate</w:t>
      </w:r>
      <w:r w:rsidR="002129CA">
        <w:rPr>
          <w:rFonts w:ascii="Times New Roman" w:hAnsi="Times New Roman" w:cs="Times New Roman"/>
        </w:rPr>
        <w:t xml:space="preserve"> </w:t>
      </w:r>
      <w:r w:rsidR="00C96F00">
        <w:rPr>
          <w:rFonts w:ascii="Times New Roman" w:hAnsi="Times New Roman" w:cs="Times New Roman"/>
        </w:rPr>
        <w:t xml:space="preserve">a relocalisation </w:t>
      </w:r>
      <w:r w:rsidR="0080026E">
        <w:rPr>
          <w:rFonts w:ascii="Times New Roman" w:hAnsi="Times New Roman" w:cs="Times New Roman"/>
        </w:rPr>
        <w:t>and</w:t>
      </w:r>
      <w:r w:rsidR="001F1B59">
        <w:rPr>
          <w:rFonts w:ascii="Times New Roman" w:hAnsi="Times New Roman" w:cs="Times New Roman"/>
        </w:rPr>
        <w:t>/or</w:t>
      </w:r>
      <w:r w:rsidR="0080026E">
        <w:rPr>
          <w:rFonts w:ascii="Times New Roman" w:hAnsi="Times New Roman" w:cs="Times New Roman"/>
        </w:rPr>
        <w:t xml:space="preserve"> change in activity </w:t>
      </w:r>
      <w:r w:rsidR="00C96F00">
        <w:rPr>
          <w:rFonts w:ascii="Times New Roman" w:hAnsi="Times New Roman" w:cs="Times New Roman"/>
        </w:rPr>
        <w:t>of C</w:t>
      </w:r>
      <w:r w:rsidR="00B478CA">
        <w:rPr>
          <w:rFonts w:ascii="Times New Roman" w:hAnsi="Times New Roman" w:cs="Times New Roman"/>
        </w:rPr>
        <w:t>x</w:t>
      </w:r>
      <w:r w:rsidR="00C96F00">
        <w:rPr>
          <w:rFonts w:ascii="Times New Roman" w:hAnsi="Times New Roman" w:cs="Times New Roman"/>
        </w:rPr>
        <w:t xml:space="preserve">43 </w:t>
      </w:r>
      <w:r w:rsidR="0080026E">
        <w:rPr>
          <w:rFonts w:ascii="Times New Roman" w:hAnsi="Times New Roman" w:cs="Times New Roman"/>
        </w:rPr>
        <w:t>in</w:t>
      </w:r>
      <w:r w:rsidR="00C96F00">
        <w:rPr>
          <w:rFonts w:ascii="Times New Roman" w:hAnsi="Times New Roman" w:cs="Times New Roman"/>
        </w:rPr>
        <w:t xml:space="preserve"> astrocytes more initimately associated with neuronal bundles. </w:t>
      </w:r>
    </w:p>
    <w:p w14:paraId="056EAF4A" w14:textId="77777777" w:rsidR="00791AE9" w:rsidRDefault="00791AE9" w:rsidP="00281523">
      <w:pPr>
        <w:spacing w:line="360" w:lineRule="auto"/>
        <w:rPr>
          <w:rFonts w:ascii="Times New Roman" w:hAnsi="Times New Roman" w:cs="Times New Roman"/>
        </w:rPr>
      </w:pPr>
    </w:p>
    <w:p w14:paraId="0247611C" w14:textId="3A5ED8C4" w:rsidR="00791AE9" w:rsidRDefault="00791AE9" w:rsidP="00281523">
      <w:pPr>
        <w:spacing w:line="360" w:lineRule="auto"/>
        <w:rPr>
          <w:rFonts w:ascii="Times New Roman" w:hAnsi="Times New Roman" w:cs="Times New Roman"/>
          <w:noProof/>
        </w:rPr>
      </w:pPr>
    </w:p>
    <w:p w14:paraId="3FB48A62" w14:textId="77777777" w:rsidR="00CF0C95" w:rsidRDefault="00CF0C95" w:rsidP="00281523">
      <w:pPr>
        <w:spacing w:line="360" w:lineRule="auto"/>
        <w:rPr>
          <w:rFonts w:ascii="Times New Roman" w:hAnsi="Times New Roman" w:cs="Times New Roman"/>
          <w:noProof/>
        </w:rPr>
      </w:pPr>
    </w:p>
    <w:p w14:paraId="3FF96609" w14:textId="77777777" w:rsidR="00DA4237" w:rsidRDefault="00DA4237" w:rsidP="00281523">
      <w:pPr>
        <w:spacing w:line="360" w:lineRule="auto"/>
        <w:rPr>
          <w:rFonts w:ascii="Times New Roman" w:hAnsi="Times New Roman" w:cs="Times New Roman"/>
          <w:b/>
          <w:noProof/>
          <w:sz w:val="32"/>
          <w:szCs w:val="32"/>
        </w:rPr>
      </w:pPr>
    </w:p>
    <w:p w14:paraId="5DCC3C03" w14:textId="77777777" w:rsidR="00DA4237" w:rsidRDefault="00DA4237" w:rsidP="00281523">
      <w:pPr>
        <w:spacing w:line="360" w:lineRule="auto"/>
        <w:rPr>
          <w:rFonts w:ascii="Times New Roman" w:hAnsi="Times New Roman" w:cs="Times New Roman"/>
          <w:b/>
          <w:noProof/>
          <w:sz w:val="32"/>
          <w:szCs w:val="32"/>
        </w:rPr>
      </w:pPr>
    </w:p>
    <w:p w14:paraId="7F2729A2" w14:textId="77777777" w:rsidR="00DA4237" w:rsidRDefault="00DA4237" w:rsidP="00281523">
      <w:pPr>
        <w:spacing w:line="360" w:lineRule="auto"/>
        <w:rPr>
          <w:rFonts w:ascii="Times New Roman" w:hAnsi="Times New Roman" w:cs="Times New Roman"/>
          <w:b/>
          <w:noProof/>
          <w:sz w:val="32"/>
          <w:szCs w:val="32"/>
        </w:rPr>
      </w:pPr>
    </w:p>
    <w:p w14:paraId="1C75374C" w14:textId="77777777" w:rsidR="00DA4237" w:rsidRDefault="00DA4237" w:rsidP="00281523">
      <w:pPr>
        <w:spacing w:line="360" w:lineRule="auto"/>
        <w:rPr>
          <w:rFonts w:ascii="Times New Roman" w:hAnsi="Times New Roman" w:cs="Times New Roman"/>
          <w:b/>
          <w:noProof/>
          <w:sz w:val="32"/>
          <w:szCs w:val="32"/>
        </w:rPr>
      </w:pPr>
    </w:p>
    <w:p w14:paraId="7AAB690B" w14:textId="1CE9C74E" w:rsidR="00682060" w:rsidRPr="00682060" w:rsidRDefault="00682060" w:rsidP="00281523">
      <w:pPr>
        <w:spacing w:line="360" w:lineRule="auto"/>
        <w:rPr>
          <w:rFonts w:ascii="Times New Roman" w:hAnsi="Times New Roman" w:cs="Times New Roman"/>
          <w:b/>
          <w:noProof/>
          <w:sz w:val="32"/>
          <w:szCs w:val="32"/>
        </w:rPr>
      </w:pPr>
      <w:r w:rsidRPr="00682060">
        <w:rPr>
          <w:rFonts w:ascii="Times New Roman" w:hAnsi="Times New Roman" w:cs="Times New Roman"/>
          <w:b/>
          <w:noProof/>
          <w:sz w:val="32"/>
          <w:szCs w:val="32"/>
        </w:rPr>
        <w:t>A.</w:t>
      </w:r>
    </w:p>
    <w:p w14:paraId="0C2D9E2F" w14:textId="3F25D81F" w:rsidR="00CF0C95" w:rsidRDefault="00CF0C95" w:rsidP="00281523">
      <w:pPr>
        <w:spacing w:line="360" w:lineRule="auto"/>
        <w:rPr>
          <w:rFonts w:ascii="Times New Roman" w:hAnsi="Times New Roman" w:cs="Times New Roman"/>
        </w:rPr>
      </w:pPr>
      <w:r>
        <w:rPr>
          <w:rFonts w:ascii="Times New Roman" w:hAnsi="Times New Roman" w:cs="Times New Roman"/>
        </w:rPr>
        <w:t xml:space="preserve">    </w:t>
      </w:r>
      <w:r w:rsidR="003775C6">
        <w:rPr>
          <w:rFonts w:ascii="Times New Roman" w:hAnsi="Times New Roman" w:cs="Times New Roman"/>
        </w:rPr>
        <w:t xml:space="preserve">    </w:t>
      </w:r>
      <w:r w:rsidR="009663D5">
        <w:rPr>
          <w:rFonts w:ascii="Times New Roman" w:hAnsi="Times New Roman" w:cs="Times New Roman"/>
        </w:rPr>
        <w:t xml:space="preserve">     </w:t>
      </w:r>
      <w:r>
        <w:rPr>
          <w:rFonts w:ascii="Times New Roman" w:hAnsi="Times New Roman" w:cs="Times New Roman"/>
        </w:rPr>
        <w:t xml:space="preserve">    </w:t>
      </w:r>
      <w:r w:rsidR="009663D5">
        <w:rPr>
          <w:rFonts w:ascii="Times New Roman" w:hAnsi="Times New Roman" w:cs="Times New Roman"/>
          <w:noProof/>
        </w:rPr>
        <w:drawing>
          <wp:inline distT="0" distB="0" distL="0" distR="0" wp14:anchorId="3E7EF98F" wp14:editId="1C09CDB8">
            <wp:extent cx="4102929" cy="3820886"/>
            <wp:effectExtent l="0" t="0" r="1206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59">
                      <a:extLst>
                        <a:ext uri="{28A0092B-C50C-407E-A947-70E740481C1C}">
                          <a14:useLocalDpi xmlns:a14="http://schemas.microsoft.com/office/drawing/2010/main" val="0"/>
                        </a:ext>
                      </a:extLst>
                    </a:blip>
                    <a:srcRect l="13718" t="1077" r="10232" b="4471"/>
                    <a:stretch/>
                  </pic:blipFill>
                  <pic:spPr bwMode="auto">
                    <a:xfrm>
                      <a:off x="0" y="0"/>
                      <a:ext cx="4103859" cy="3821752"/>
                    </a:xfrm>
                    <a:prstGeom prst="rect">
                      <a:avLst/>
                    </a:prstGeom>
                    <a:ln>
                      <a:noFill/>
                    </a:ln>
                    <a:extLst>
                      <a:ext uri="{53640926-AAD7-44d8-BBD7-CCE9431645EC}">
                        <a14:shadowObscured xmlns:a14="http://schemas.microsoft.com/office/drawing/2010/main"/>
                      </a:ext>
                    </a:extLst>
                  </pic:spPr>
                </pic:pic>
              </a:graphicData>
            </a:graphic>
          </wp:inline>
        </w:drawing>
      </w:r>
    </w:p>
    <w:p w14:paraId="3E75495A" w14:textId="348BC774" w:rsidR="00682060" w:rsidRPr="00682060" w:rsidRDefault="00682060" w:rsidP="00281523">
      <w:pPr>
        <w:spacing w:line="360" w:lineRule="auto"/>
        <w:rPr>
          <w:rFonts w:ascii="Times New Roman" w:hAnsi="Times New Roman" w:cs="Times New Roman"/>
          <w:b/>
          <w:sz w:val="32"/>
          <w:szCs w:val="32"/>
        </w:rPr>
      </w:pPr>
      <w:r w:rsidRPr="00682060">
        <w:rPr>
          <w:rFonts w:ascii="Times New Roman" w:hAnsi="Times New Roman" w:cs="Times New Roman"/>
          <w:b/>
          <w:sz w:val="32"/>
          <w:szCs w:val="32"/>
        </w:rPr>
        <w:t>B.</w:t>
      </w:r>
    </w:p>
    <w:p w14:paraId="370DCB32" w14:textId="433B7D1F" w:rsidR="00CF0C95" w:rsidRDefault="00E45BCC" w:rsidP="00281523">
      <w:pPr>
        <w:spacing w:line="360" w:lineRule="auto"/>
        <w:rPr>
          <w:rFonts w:ascii="Times New Roman" w:hAnsi="Times New Roman" w:cs="Times New Roman"/>
        </w:rPr>
      </w:pPr>
      <w:r>
        <w:rPr>
          <w:rFonts w:ascii="Times New Roman" w:hAnsi="Times New Roman" w:cs="Times New Roman"/>
        </w:rPr>
        <w:t xml:space="preserve">                </w:t>
      </w:r>
      <w:r w:rsidR="00682060">
        <w:rPr>
          <w:rFonts w:ascii="Times New Roman" w:hAnsi="Times New Roman" w:cs="Times New Roman"/>
        </w:rPr>
        <w:t xml:space="preserve">   </w:t>
      </w:r>
      <w:r w:rsidR="00FB4BBE">
        <w:rPr>
          <w:rFonts w:ascii="Times New Roman" w:hAnsi="Times New Roman" w:cs="Times New Roman"/>
          <w:noProof/>
        </w:rPr>
        <w:drawing>
          <wp:inline distT="0" distB="0" distL="0" distR="0" wp14:anchorId="4EAC784B" wp14:editId="1A016990">
            <wp:extent cx="4016064" cy="735142"/>
            <wp:effectExtent l="0" t="0" r="0" b="190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rotWithShape="1">
                    <a:blip r:embed="rId60">
                      <a:extLst>
                        <a:ext uri="{28A0092B-C50C-407E-A947-70E740481C1C}">
                          <a14:useLocalDpi xmlns:a14="http://schemas.microsoft.com/office/drawing/2010/main" val="0"/>
                        </a:ext>
                      </a:extLst>
                    </a:blip>
                    <a:srcRect l="16051" t="10733" r="13287" b="72017"/>
                    <a:stretch/>
                  </pic:blipFill>
                  <pic:spPr bwMode="auto">
                    <a:xfrm>
                      <a:off x="0" y="0"/>
                      <a:ext cx="4021416" cy="736122"/>
                    </a:xfrm>
                    <a:prstGeom prst="rect">
                      <a:avLst/>
                    </a:prstGeom>
                    <a:ln>
                      <a:noFill/>
                    </a:ln>
                    <a:extLst>
                      <a:ext uri="{53640926-AAD7-44d8-BBD7-CCE9431645EC}">
                        <a14:shadowObscured xmlns:a14="http://schemas.microsoft.com/office/drawing/2010/main"/>
                      </a:ext>
                    </a:extLst>
                  </pic:spPr>
                </pic:pic>
              </a:graphicData>
            </a:graphic>
          </wp:inline>
        </w:drawing>
      </w:r>
    </w:p>
    <w:p w14:paraId="55BD8032" w14:textId="77777777" w:rsidR="00E45BCC" w:rsidRPr="00281523" w:rsidRDefault="00E45BCC" w:rsidP="00281523">
      <w:pPr>
        <w:spacing w:line="360" w:lineRule="auto"/>
        <w:rPr>
          <w:rFonts w:ascii="Times New Roman" w:hAnsi="Times New Roman" w:cs="Times New Roman"/>
        </w:rPr>
      </w:pPr>
    </w:p>
    <w:p w14:paraId="25DA8745" w14:textId="5C3BF6DC" w:rsidR="00DB1D04" w:rsidRDefault="00682060" w:rsidP="00DB1D04">
      <w:pPr>
        <w:rPr>
          <w:rFonts w:ascii="Times New Roman" w:hAnsi="Times New Roman" w:cs="Times New Roman"/>
          <w:b/>
          <w:sz w:val="32"/>
          <w:szCs w:val="32"/>
        </w:rPr>
      </w:pPr>
      <w:r w:rsidRPr="00682060">
        <w:rPr>
          <w:rFonts w:ascii="Times New Roman" w:hAnsi="Times New Roman" w:cs="Times New Roman"/>
          <w:b/>
          <w:sz w:val="32"/>
          <w:szCs w:val="32"/>
        </w:rPr>
        <w:t>C.</w:t>
      </w:r>
      <w:r w:rsidR="00E45BCC">
        <w:rPr>
          <w:rFonts w:ascii="Times New Roman" w:hAnsi="Times New Roman" w:cs="Times New Roman"/>
          <w:b/>
          <w:sz w:val="32"/>
          <w:szCs w:val="32"/>
        </w:rPr>
        <w:t xml:space="preserve">                </w:t>
      </w:r>
      <w:r w:rsidR="00E45BCC">
        <w:rPr>
          <w:rFonts w:ascii="Times New Roman" w:hAnsi="Times New Roman" w:cs="Times New Roman"/>
          <w:b/>
          <w:noProof/>
          <w:sz w:val="32"/>
          <w:szCs w:val="32"/>
        </w:rPr>
        <w:drawing>
          <wp:inline distT="0" distB="0" distL="0" distR="0" wp14:anchorId="2AFD6294" wp14:editId="705E55CF">
            <wp:extent cx="3660121" cy="1095935"/>
            <wp:effectExtent l="0" t="0" r="0" b="0"/>
            <wp:docPr id="1073741840" name="Picture 10737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rotWithShape="1">
                    <a:blip r:embed="rId61">
                      <a:extLst>
                        <a:ext uri="{28A0092B-C50C-407E-A947-70E740481C1C}">
                          <a14:useLocalDpi xmlns:a14="http://schemas.microsoft.com/office/drawing/2010/main" val="0"/>
                        </a:ext>
                      </a:extLst>
                    </a:blip>
                    <a:srcRect l="15951" t="28250" r="24956" b="48153"/>
                    <a:stretch/>
                  </pic:blipFill>
                  <pic:spPr bwMode="auto">
                    <a:xfrm>
                      <a:off x="0" y="0"/>
                      <a:ext cx="3664147" cy="1097140"/>
                    </a:xfrm>
                    <a:prstGeom prst="rect">
                      <a:avLst/>
                    </a:prstGeom>
                    <a:ln>
                      <a:noFill/>
                    </a:ln>
                    <a:extLst>
                      <a:ext uri="{53640926-AAD7-44d8-BBD7-CCE9431645EC}">
                        <a14:shadowObscured xmlns:a14="http://schemas.microsoft.com/office/drawing/2010/main"/>
                      </a:ext>
                    </a:extLst>
                  </pic:spPr>
                </pic:pic>
              </a:graphicData>
            </a:graphic>
          </wp:inline>
        </w:drawing>
      </w:r>
    </w:p>
    <w:p w14:paraId="51BA3A78" w14:textId="037A45A5" w:rsidR="00682060" w:rsidRPr="00682060" w:rsidRDefault="00E45BCC" w:rsidP="00DB1D04">
      <w:pPr>
        <w:rPr>
          <w:rFonts w:ascii="Times New Roman" w:hAnsi="Times New Roman" w:cs="Times New Roman"/>
          <w:b/>
          <w:sz w:val="32"/>
          <w:szCs w:val="32"/>
        </w:rPr>
      </w:pPr>
      <w:r>
        <w:rPr>
          <w:rFonts w:ascii="Times New Roman" w:hAnsi="Times New Roman" w:cs="Times New Roman"/>
          <w:b/>
          <w:sz w:val="32"/>
          <w:szCs w:val="32"/>
        </w:rPr>
        <w:t xml:space="preserve">    </w:t>
      </w:r>
      <w:r w:rsidR="00682060">
        <w:rPr>
          <w:rFonts w:ascii="Times New Roman" w:hAnsi="Times New Roman" w:cs="Times New Roman"/>
          <w:b/>
          <w:sz w:val="32"/>
          <w:szCs w:val="32"/>
        </w:rPr>
        <w:t xml:space="preserve">   </w:t>
      </w:r>
      <w:r w:rsidR="00682060">
        <w:rPr>
          <w:rFonts w:ascii="Times New Roman" w:hAnsi="Times New Roman" w:cs="Times New Roman"/>
          <w:noProof/>
        </w:rPr>
        <w:drawing>
          <wp:inline distT="0" distB="0" distL="0" distR="0" wp14:anchorId="7AD252A2" wp14:editId="2E92EDE7">
            <wp:extent cx="4692650" cy="1571972"/>
            <wp:effectExtent l="0" t="0" r="6350" b="31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rotWithShape="1">
                    <a:blip r:embed="rId60">
                      <a:extLst>
                        <a:ext uri="{28A0092B-C50C-407E-A947-70E740481C1C}">
                          <a14:useLocalDpi xmlns:a14="http://schemas.microsoft.com/office/drawing/2010/main" val="0"/>
                        </a:ext>
                      </a:extLst>
                    </a:blip>
                    <a:srcRect l="5366" t="52416" r="8779" b="9228"/>
                    <a:stretch/>
                  </pic:blipFill>
                  <pic:spPr bwMode="auto">
                    <a:xfrm>
                      <a:off x="0" y="0"/>
                      <a:ext cx="4694204" cy="1572493"/>
                    </a:xfrm>
                    <a:prstGeom prst="rect">
                      <a:avLst/>
                    </a:prstGeom>
                    <a:ln>
                      <a:noFill/>
                    </a:ln>
                    <a:extLst>
                      <a:ext uri="{53640926-AAD7-44d8-BBD7-CCE9431645EC}">
                        <a14:shadowObscured xmlns:a14="http://schemas.microsoft.com/office/drawing/2010/main"/>
                      </a:ext>
                    </a:extLst>
                  </pic:spPr>
                </pic:pic>
              </a:graphicData>
            </a:graphic>
          </wp:inline>
        </w:drawing>
      </w:r>
    </w:p>
    <w:p w14:paraId="765F3A1B" w14:textId="77777777" w:rsidR="00FC11D8" w:rsidRDefault="00FC11D8" w:rsidP="00370C0D">
      <w:pPr>
        <w:spacing w:line="360" w:lineRule="auto"/>
        <w:rPr>
          <w:rFonts w:ascii="Times New Roman" w:hAnsi="Times New Roman" w:cs="Times New Roman"/>
          <w:b/>
        </w:rPr>
      </w:pPr>
    </w:p>
    <w:p w14:paraId="1320997F" w14:textId="7E27A613" w:rsidR="00B4307D" w:rsidRDefault="00B4307D" w:rsidP="00C664C4">
      <w:pPr>
        <w:pStyle w:val="Caption"/>
      </w:pPr>
      <w:bookmarkStart w:id="1421" w:name="_Toc333569065"/>
      <w:bookmarkStart w:id="1422" w:name="_Toc333569290"/>
      <w:bookmarkStart w:id="1423" w:name="_Toc333570844"/>
      <w:bookmarkStart w:id="1424" w:name="_Toc333582227"/>
      <w:bookmarkStart w:id="1425" w:name="_Toc333582347"/>
      <w:bookmarkStart w:id="1426" w:name="_Toc333582759"/>
      <w:bookmarkStart w:id="1427" w:name="_Toc333583129"/>
      <w:bookmarkStart w:id="1428" w:name="_Toc333585237"/>
      <w:bookmarkStart w:id="1429" w:name="_Toc333586789"/>
      <w:bookmarkStart w:id="1430" w:name="_Toc333644488"/>
      <w:bookmarkStart w:id="1431" w:name="_Toc333644782"/>
      <w:r>
        <w:t xml:space="preserve">Figure </w:t>
      </w:r>
      <w:r w:rsidR="00F94933">
        <w:t>4.10</w:t>
      </w:r>
      <w:r w:rsidR="0043060F">
        <w:t>.</w:t>
      </w:r>
      <w:r>
        <w:t xml:space="preserve"> Relocalisation and post-translational modification of Connexin 43</w:t>
      </w:r>
      <w:r w:rsidR="00B478CA">
        <w:t xml:space="preserve"> (Cx43)</w:t>
      </w:r>
      <w:r>
        <w:t xml:space="preserve"> in astrocytes in co-culture.</w:t>
      </w:r>
      <w:bookmarkEnd w:id="1421"/>
      <w:bookmarkEnd w:id="1422"/>
      <w:bookmarkEnd w:id="1423"/>
      <w:bookmarkEnd w:id="1424"/>
      <w:bookmarkEnd w:id="1425"/>
      <w:bookmarkEnd w:id="1426"/>
      <w:bookmarkEnd w:id="1427"/>
      <w:bookmarkEnd w:id="1428"/>
      <w:bookmarkEnd w:id="1429"/>
      <w:bookmarkEnd w:id="1430"/>
      <w:bookmarkEnd w:id="1431"/>
      <w:r w:rsidR="00682060">
        <w:t xml:space="preserve"> </w:t>
      </w:r>
    </w:p>
    <w:p w14:paraId="3C0AD446" w14:textId="02E9D5B4" w:rsidR="00370C0D" w:rsidRDefault="00682060" w:rsidP="00C63BC1">
      <w:pPr>
        <w:spacing w:line="360" w:lineRule="auto"/>
        <w:jc w:val="both"/>
        <w:rPr>
          <w:rFonts w:ascii="Times New Roman" w:hAnsi="Times New Roman" w:cs="Times New Roman"/>
        </w:rPr>
      </w:pPr>
      <w:r>
        <w:rPr>
          <w:rFonts w:ascii="Times New Roman" w:hAnsi="Times New Roman" w:cs="Times New Roman"/>
        </w:rPr>
        <w:t>(</w:t>
      </w:r>
      <w:r w:rsidRPr="00370C0D">
        <w:rPr>
          <w:rFonts w:ascii="Times New Roman" w:hAnsi="Times New Roman" w:cs="Times New Roman"/>
          <w:b/>
        </w:rPr>
        <w:t>A</w:t>
      </w:r>
      <w:r>
        <w:rPr>
          <w:rFonts w:ascii="Times New Roman" w:hAnsi="Times New Roman" w:cs="Times New Roman"/>
        </w:rPr>
        <w:t xml:space="preserve">) Immunocytochemistry of </w:t>
      </w:r>
      <w:r w:rsidR="00B478CA">
        <w:rPr>
          <w:rFonts w:ascii="Times New Roman" w:hAnsi="Times New Roman" w:cs="Times New Roman"/>
        </w:rPr>
        <w:t>Cx43</w:t>
      </w:r>
      <w:r>
        <w:rPr>
          <w:rFonts w:ascii="Times New Roman" w:hAnsi="Times New Roman" w:cs="Times New Roman"/>
        </w:rPr>
        <w:t xml:space="preserve"> (red) in astrocytes in monoculture or in co-culture with astrocytes for 72 hours. White arrows indicate increased expression of </w:t>
      </w:r>
      <w:r w:rsidR="00B478CA">
        <w:rPr>
          <w:rFonts w:ascii="Times New Roman" w:hAnsi="Times New Roman" w:cs="Times New Roman"/>
        </w:rPr>
        <w:t>Cx43</w:t>
      </w:r>
      <w:r>
        <w:rPr>
          <w:rFonts w:ascii="Times New Roman" w:hAnsi="Times New Roman" w:cs="Times New Roman"/>
        </w:rPr>
        <w:t xml:space="preserve"> around neuronal networks. Scale bar represents 10μM (</w:t>
      </w:r>
      <w:r w:rsidRPr="00370C0D">
        <w:rPr>
          <w:rFonts w:ascii="Times New Roman" w:hAnsi="Times New Roman" w:cs="Times New Roman"/>
          <w:b/>
        </w:rPr>
        <w:t>B</w:t>
      </w:r>
      <w:r>
        <w:rPr>
          <w:rFonts w:ascii="Times New Roman" w:hAnsi="Times New Roman" w:cs="Times New Roman"/>
        </w:rPr>
        <w:t xml:space="preserve">) Immunblotting of </w:t>
      </w:r>
      <w:r w:rsidR="00B478CA">
        <w:rPr>
          <w:rFonts w:ascii="Times New Roman" w:hAnsi="Times New Roman" w:cs="Times New Roman"/>
        </w:rPr>
        <w:t>Cx43</w:t>
      </w:r>
      <w:r>
        <w:rPr>
          <w:rFonts w:ascii="Times New Roman" w:hAnsi="Times New Roman" w:cs="Times New Roman"/>
        </w:rPr>
        <w:t xml:space="preserve"> in astrocytes, LUHMES and in co-culture. </w:t>
      </w:r>
      <w:r w:rsidR="00370C0D">
        <w:rPr>
          <w:rFonts w:ascii="Times New Roman" w:hAnsi="Times New Roman" w:cs="Times New Roman"/>
        </w:rPr>
        <w:t>(</w:t>
      </w:r>
      <w:r w:rsidR="00370C0D" w:rsidRPr="00370C0D">
        <w:rPr>
          <w:rFonts w:ascii="Times New Roman" w:hAnsi="Times New Roman" w:cs="Times New Roman"/>
          <w:b/>
        </w:rPr>
        <w:t>C</w:t>
      </w:r>
      <w:r w:rsidR="00370C0D">
        <w:rPr>
          <w:rFonts w:ascii="Times New Roman" w:hAnsi="Times New Roman" w:cs="Times New Roman"/>
        </w:rPr>
        <w:t xml:space="preserve">) </w:t>
      </w:r>
      <w:r w:rsidR="00AB0487">
        <w:rPr>
          <w:rFonts w:ascii="Times New Roman" w:hAnsi="Times New Roman" w:cs="Times New Roman"/>
        </w:rPr>
        <w:t>Western blotting</w:t>
      </w:r>
      <w:r w:rsidR="00370C0D">
        <w:rPr>
          <w:rFonts w:ascii="Times New Roman" w:hAnsi="Times New Roman" w:cs="Times New Roman"/>
        </w:rPr>
        <w:t xml:space="preserve"> of </w:t>
      </w:r>
      <w:r w:rsidR="00B478CA">
        <w:rPr>
          <w:rFonts w:ascii="Times New Roman" w:hAnsi="Times New Roman" w:cs="Times New Roman"/>
        </w:rPr>
        <w:t>Cx43</w:t>
      </w:r>
      <w:r w:rsidR="00370C0D">
        <w:rPr>
          <w:rFonts w:ascii="Times New Roman" w:hAnsi="Times New Roman" w:cs="Times New Roman"/>
        </w:rPr>
        <w:t xml:space="preserve"> in astrocytes and co-cultures to increase resolution of</w:t>
      </w:r>
      <w:r w:rsidR="00DA4237">
        <w:rPr>
          <w:rFonts w:ascii="Times New Roman" w:hAnsi="Times New Roman" w:cs="Times New Roman"/>
        </w:rPr>
        <w:t xml:space="preserve"> the</w:t>
      </w:r>
      <w:r w:rsidR="00370C0D">
        <w:rPr>
          <w:rFonts w:ascii="Times New Roman" w:hAnsi="Times New Roman" w:cs="Times New Roman"/>
        </w:rPr>
        <w:t xml:space="preserve"> three C</w:t>
      </w:r>
      <w:r w:rsidR="00B478CA">
        <w:rPr>
          <w:rFonts w:ascii="Times New Roman" w:hAnsi="Times New Roman" w:cs="Times New Roman"/>
        </w:rPr>
        <w:t>x</w:t>
      </w:r>
      <w:r w:rsidR="00370C0D">
        <w:rPr>
          <w:rFonts w:ascii="Times New Roman" w:hAnsi="Times New Roman" w:cs="Times New Roman"/>
        </w:rPr>
        <w:t>43 bands. Bar charts show quantification of all 3 bands of C</w:t>
      </w:r>
      <w:r w:rsidR="00B478CA">
        <w:rPr>
          <w:rFonts w:ascii="Times New Roman" w:hAnsi="Times New Roman" w:cs="Times New Roman"/>
        </w:rPr>
        <w:t>x</w:t>
      </w:r>
      <w:r w:rsidR="00370C0D">
        <w:rPr>
          <w:rFonts w:ascii="Times New Roman" w:hAnsi="Times New Roman" w:cs="Times New Roman"/>
        </w:rPr>
        <w:t>43, the two upper bands of C</w:t>
      </w:r>
      <w:r w:rsidR="00B478CA">
        <w:rPr>
          <w:rFonts w:ascii="Times New Roman" w:hAnsi="Times New Roman" w:cs="Times New Roman"/>
        </w:rPr>
        <w:t>x</w:t>
      </w:r>
      <w:r w:rsidR="00370C0D">
        <w:rPr>
          <w:rFonts w:ascii="Times New Roman" w:hAnsi="Times New Roman" w:cs="Times New Roman"/>
        </w:rPr>
        <w:t>43 and the lower band of C</w:t>
      </w:r>
      <w:r w:rsidR="00B478CA">
        <w:rPr>
          <w:rFonts w:ascii="Times New Roman" w:hAnsi="Times New Roman" w:cs="Times New Roman"/>
        </w:rPr>
        <w:t>x</w:t>
      </w:r>
      <w:r w:rsidR="00370C0D">
        <w:rPr>
          <w:rFonts w:ascii="Times New Roman" w:hAnsi="Times New Roman" w:cs="Times New Roman"/>
        </w:rPr>
        <w:t xml:space="preserve">43.Data represents mean ± SEM (n=3, 3 replicates/experiment, unpaired t-test *p&lt;0.05 **p&lt;0.01). </w:t>
      </w:r>
    </w:p>
    <w:p w14:paraId="64AD63A4" w14:textId="77777777" w:rsidR="00B4307D" w:rsidRDefault="00B4307D" w:rsidP="00DB1D04">
      <w:pPr>
        <w:rPr>
          <w:rFonts w:ascii="Times New Roman" w:hAnsi="Times New Roman" w:cs="Times New Roman"/>
          <w:b/>
          <w:color w:val="FF0000"/>
          <w:u w:val="single"/>
        </w:rPr>
      </w:pPr>
    </w:p>
    <w:p w14:paraId="1C245D8A" w14:textId="2A60C720" w:rsidR="00DB1D04" w:rsidRDefault="00F00E0E" w:rsidP="00395B55">
      <w:pPr>
        <w:pStyle w:val="Heading3"/>
      </w:pPr>
      <w:bookmarkStart w:id="1432" w:name="_Toc328301169"/>
      <w:bookmarkStart w:id="1433" w:name="_Toc329593460"/>
      <w:bookmarkStart w:id="1434" w:name="_Toc331425959"/>
      <w:bookmarkStart w:id="1435" w:name="_Toc331427140"/>
      <w:bookmarkStart w:id="1436" w:name="_Toc331427512"/>
      <w:bookmarkStart w:id="1437" w:name="_Toc331427654"/>
      <w:bookmarkStart w:id="1438" w:name="_Toc332972659"/>
      <w:bookmarkStart w:id="1439" w:name="_Toc333046938"/>
      <w:bookmarkStart w:id="1440" w:name="_Toc333477285"/>
      <w:bookmarkStart w:id="1441" w:name="_Toc333478055"/>
      <w:bookmarkStart w:id="1442" w:name="_Toc333644955"/>
      <w:r>
        <w:t>4.4</w:t>
      </w:r>
      <w:r w:rsidR="00F94933">
        <w:t xml:space="preserve">.6 </w:t>
      </w:r>
      <w:r w:rsidR="00516881">
        <w:t>GFAP-</w:t>
      </w:r>
      <w:r w:rsidR="00A7373E">
        <w:t>positive astrocytes are</w:t>
      </w:r>
      <w:r w:rsidR="00DB1D04" w:rsidRPr="002A737C">
        <w:t xml:space="preserve"> associated with </w:t>
      </w:r>
      <w:r w:rsidR="00A7373E">
        <w:t>neurons</w:t>
      </w:r>
      <w:bookmarkEnd w:id="1432"/>
      <w:bookmarkEnd w:id="1433"/>
      <w:bookmarkEnd w:id="1434"/>
      <w:bookmarkEnd w:id="1435"/>
      <w:bookmarkEnd w:id="1436"/>
      <w:bookmarkEnd w:id="1437"/>
      <w:bookmarkEnd w:id="1438"/>
      <w:bookmarkEnd w:id="1439"/>
      <w:bookmarkEnd w:id="1440"/>
      <w:bookmarkEnd w:id="1441"/>
      <w:bookmarkEnd w:id="1442"/>
    </w:p>
    <w:p w14:paraId="2E370791" w14:textId="79CEC631" w:rsidR="0040113C" w:rsidRDefault="0040113C" w:rsidP="00DB1D04">
      <w:pPr>
        <w:spacing w:line="360" w:lineRule="auto"/>
        <w:rPr>
          <w:rFonts w:ascii="Times New Roman" w:hAnsi="Times New Roman" w:cs="Times New Roman"/>
        </w:rPr>
      </w:pPr>
    </w:p>
    <w:p w14:paraId="4CE659DF" w14:textId="4369702E" w:rsidR="0040113C" w:rsidRDefault="00DB1D04" w:rsidP="00C63BC1">
      <w:pPr>
        <w:spacing w:line="360" w:lineRule="auto"/>
        <w:jc w:val="both"/>
        <w:rPr>
          <w:rFonts w:ascii="Times New Roman" w:hAnsi="Times New Roman" w:cs="Times New Roman"/>
        </w:rPr>
      </w:pPr>
      <w:r>
        <w:rPr>
          <w:rFonts w:ascii="Times New Roman" w:hAnsi="Times New Roman" w:cs="Times New Roman"/>
        </w:rPr>
        <w:t xml:space="preserve">Following observations made in </w:t>
      </w:r>
      <w:r w:rsidR="006D007A">
        <w:rPr>
          <w:rFonts w:ascii="Times New Roman" w:hAnsi="Times New Roman" w:cs="Times New Roman"/>
        </w:rPr>
        <w:t xml:space="preserve">section </w:t>
      </w:r>
      <w:r w:rsidR="00222472">
        <w:rPr>
          <w:rFonts w:ascii="Times New Roman" w:hAnsi="Times New Roman" w:cs="Times New Roman"/>
        </w:rPr>
        <w:t>4.4.3</w:t>
      </w:r>
      <w:r>
        <w:rPr>
          <w:rFonts w:ascii="Times New Roman" w:hAnsi="Times New Roman" w:cs="Times New Roman"/>
        </w:rPr>
        <w:t>, immunocytochemistry was used to assess the relationship between GFAP expressi</w:t>
      </w:r>
      <w:r w:rsidR="00DA4237">
        <w:rPr>
          <w:rFonts w:ascii="Times New Roman" w:hAnsi="Times New Roman" w:cs="Times New Roman"/>
        </w:rPr>
        <w:t>on in astrocytes and the localis</w:t>
      </w:r>
      <w:r>
        <w:rPr>
          <w:rFonts w:ascii="Times New Roman" w:hAnsi="Times New Roman" w:cs="Times New Roman"/>
        </w:rPr>
        <w:t>ation of the LUHMES at two different plating densities of GFP LUHMES in co-culture</w:t>
      </w:r>
      <w:r w:rsidR="00F87A01">
        <w:rPr>
          <w:rFonts w:ascii="Times New Roman" w:hAnsi="Times New Roman" w:cs="Times New Roman"/>
        </w:rPr>
        <w:t>.</w:t>
      </w:r>
    </w:p>
    <w:p w14:paraId="244E89D8" w14:textId="740AE5ED" w:rsidR="00516881" w:rsidRDefault="00516881" w:rsidP="00C63BC1">
      <w:pPr>
        <w:spacing w:line="360" w:lineRule="auto"/>
        <w:jc w:val="both"/>
        <w:rPr>
          <w:rFonts w:ascii="Times New Roman" w:hAnsi="Times New Roman" w:cs="Times New Roman"/>
        </w:rPr>
      </w:pPr>
      <w:r>
        <w:rPr>
          <w:rFonts w:ascii="Times New Roman" w:hAnsi="Times New Roman" w:cs="Times New Roman"/>
        </w:rPr>
        <w:t xml:space="preserve"> </w:t>
      </w:r>
    </w:p>
    <w:p w14:paraId="41D19276" w14:textId="22176058" w:rsidR="00DB1D04" w:rsidRPr="000858E1" w:rsidRDefault="00DB1D04" w:rsidP="00C63BC1">
      <w:pPr>
        <w:spacing w:line="360" w:lineRule="auto"/>
        <w:jc w:val="both"/>
        <w:rPr>
          <w:rFonts w:ascii="Times New Roman" w:hAnsi="Times New Roman" w:cs="Times New Roman"/>
        </w:rPr>
      </w:pPr>
      <w:r>
        <w:rPr>
          <w:rFonts w:ascii="Times New Roman" w:hAnsi="Times New Roman" w:cs="Times New Roman"/>
        </w:rPr>
        <w:t xml:space="preserve">In monoculture, </w:t>
      </w:r>
      <w:r w:rsidR="00516881">
        <w:rPr>
          <w:rFonts w:ascii="Times New Roman" w:hAnsi="Times New Roman" w:cs="Times New Roman"/>
        </w:rPr>
        <w:t>astrocytes express</w:t>
      </w:r>
      <w:r w:rsidR="00DA4237">
        <w:rPr>
          <w:rFonts w:ascii="Times New Roman" w:hAnsi="Times New Roman" w:cs="Times New Roman"/>
        </w:rPr>
        <w:t>ed</w:t>
      </w:r>
      <w:r w:rsidR="00516881">
        <w:rPr>
          <w:rFonts w:ascii="Times New Roman" w:hAnsi="Times New Roman" w:cs="Times New Roman"/>
        </w:rPr>
        <w:t xml:space="preserve"> low levels of GFAP</w:t>
      </w:r>
      <w:r w:rsidR="00F76075">
        <w:rPr>
          <w:rFonts w:ascii="Times New Roman" w:hAnsi="Times New Roman" w:cs="Times New Roman"/>
        </w:rPr>
        <w:t xml:space="preserve"> (</w:t>
      </w:r>
      <w:r w:rsidR="00F76075">
        <w:rPr>
          <w:rFonts w:ascii="Times New Roman" w:hAnsi="Times New Roman" w:cs="Times New Roman"/>
          <w:b/>
        </w:rPr>
        <w:t>figure 4.11 A</w:t>
      </w:r>
      <w:r w:rsidR="00F76075">
        <w:rPr>
          <w:rFonts w:ascii="Times New Roman" w:hAnsi="Times New Roman" w:cs="Times New Roman"/>
        </w:rPr>
        <w:t>)</w:t>
      </w:r>
      <w:r w:rsidR="00516881">
        <w:rPr>
          <w:rFonts w:ascii="Times New Roman" w:hAnsi="Times New Roman" w:cs="Times New Roman"/>
        </w:rPr>
        <w:t xml:space="preserve">. </w:t>
      </w:r>
      <w:r w:rsidR="00223D28">
        <w:rPr>
          <w:rFonts w:ascii="Times New Roman" w:hAnsi="Times New Roman" w:cs="Times New Roman"/>
        </w:rPr>
        <w:t>When low</w:t>
      </w:r>
      <w:r w:rsidR="00F15A5D">
        <w:rPr>
          <w:rFonts w:ascii="Times New Roman" w:hAnsi="Times New Roman" w:cs="Times New Roman"/>
        </w:rPr>
        <w:t xml:space="preserve"> (7500 cells per well)</w:t>
      </w:r>
      <w:r w:rsidR="00223D28">
        <w:rPr>
          <w:rFonts w:ascii="Times New Roman" w:hAnsi="Times New Roman" w:cs="Times New Roman"/>
        </w:rPr>
        <w:t xml:space="preserve"> and high</w:t>
      </w:r>
      <w:r w:rsidR="00F15A5D">
        <w:rPr>
          <w:rFonts w:ascii="Times New Roman" w:hAnsi="Times New Roman" w:cs="Times New Roman"/>
        </w:rPr>
        <w:t xml:space="preserve"> (100 000 cells per well)</w:t>
      </w:r>
      <w:r w:rsidR="00223D28">
        <w:rPr>
          <w:rFonts w:ascii="Times New Roman" w:hAnsi="Times New Roman" w:cs="Times New Roman"/>
        </w:rPr>
        <w:t xml:space="preserve"> densities of</w:t>
      </w:r>
      <w:r w:rsidR="00516881">
        <w:rPr>
          <w:rFonts w:ascii="Times New Roman" w:hAnsi="Times New Roman" w:cs="Times New Roman"/>
        </w:rPr>
        <w:t xml:space="preserve"> GFP LUHMES</w:t>
      </w:r>
      <w:r w:rsidR="00223D28">
        <w:rPr>
          <w:rFonts w:ascii="Times New Roman" w:hAnsi="Times New Roman" w:cs="Times New Roman"/>
        </w:rPr>
        <w:t xml:space="preserve"> were present</w:t>
      </w:r>
      <w:r w:rsidR="00516881">
        <w:rPr>
          <w:rFonts w:ascii="Times New Roman" w:hAnsi="Times New Roman" w:cs="Times New Roman"/>
        </w:rPr>
        <w:t xml:space="preserve">, </w:t>
      </w:r>
      <w:r w:rsidR="00141B1C">
        <w:rPr>
          <w:rFonts w:ascii="Times New Roman" w:hAnsi="Times New Roman" w:cs="Times New Roman"/>
        </w:rPr>
        <w:t>there was an upregulation of GFAP in astrocytes closely associated with the LUHMES</w:t>
      </w:r>
      <w:r w:rsidR="00F76075">
        <w:rPr>
          <w:rFonts w:ascii="Times New Roman" w:hAnsi="Times New Roman" w:cs="Times New Roman"/>
        </w:rPr>
        <w:t xml:space="preserve"> (</w:t>
      </w:r>
      <w:r w:rsidR="00F76075">
        <w:rPr>
          <w:rFonts w:ascii="Times New Roman" w:hAnsi="Times New Roman" w:cs="Times New Roman"/>
          <w:b/>
        </w:rPr>
        <w:t>figure 4.11 B and figure 4.11 C</w:t>
      </w:r>
      <w:r w:rsidR="00F76075">
        <w:rPr>
          <w:rFonts w:ascii="Times New Roman" w:hAnsi="Times New Roman" w:cs="Times New Roman"/>
        </w:rPr>
        <w:t>)</w:t>
      </w:r>
      <w:r w:rsidR="00516881">
        <w:rPr>
          <w:rFonts w:ascii="Times New Roman" w:hAnsi="Times New Roman" w:cs="Times New Roman"/>
        </w:rPr>
        <w:t>.</w:t>
      </w:r>
      <w:r w:rsidR="00141B1C">
        <w:rPr>
          <w:rFonts w:ascii="Times New Roman" w:hAnsi="Times New Roman" w:cs="Times New Roman"/>
        </w:rPr>
        <w:t xml:space="preserve"> This was particularly evident when higher densities of LUHMES were co-cultured with astrocyte</w:t>
      </w:r>
      <w:r w:rsidR="00993D70">
        <w:rPr>
          <w:rFonts w:ascii="Times New Roman" w:hAnsi="Times New Roman" w:cs="Times New Roman"/>
        </w:rPr>
        <w:t>s, as GFAP-</w:t>
      </w:r>
      <w:r w:rsidR="00141B1C">
        <w:rPr>
          <w:rFonts w:ascii="Times New Roman" w:hAnsi="Times New Roman" w:cs="Times New Roman"/>
        </w:rPr>
        <w:t>positive astrocytes appeared to congregate around neuronal bundles</w:t>
      </w:r>
      <w:r w:rsidR="00516881">
        <w:rPr>
          <w:rFonts w:ascii="Times New Roman" w:hAnsi="Times New Roman" w:cs="Times New Roman"/>
        </w:rPr>
        <w:t xml:space="preserve"> </w:t>
      </w:r>
      <w:r w:rsidR="00141B1C">
        <w:rPr>
          <w:rFonts w:ascii="Times New Roman" w:hAnsi="Times New Roman" w:cs="Times New Roman"/>
        </w:rPr>
        <w:t>(</w:t>
      </w:r>
      <w:r w:rsidR="00141B1C" w:rsidRPr="00141B1C">
        <w:rPr>
          <w:rFonts w:ascii="Times New Roman" w:hAnsi="Times New Roman" w:cs="Times New Roman"/>
          <w:b/>
        </w:rPr>
        <w:t>figure 4.11 C</w:t>
      </w:r>
      <w:r w:rsidR="00141B1C">
        <w:rPr>
          <w:rFonts w:ascii="Times New Roman" w:hAnsi="Times New Roman" w:cs="Times New Roman"/>
        </w:rPr>
        <w:t>).</w:t>
      </w:r>
      <w:r w:rsidR="000858E1">
        <w:rPr>
          <w:rFonts w:ascii="Times New Roman" w:hAnsi="Times New Roman" w:cs="Times New Roman"/>
        </w:rPr>
        <w:t xml:space="preserve"> Morphological changes in GFAP-positive astrocytes did not occur as a result of switching the culturing media from F10MEM to the neuronal media (MEM+ Tet) (</w:t>
      </w:r>
      <w:r w:rsidR="000858E1">
        <w:rPr>
          <w:rFonts w:ascii="Times New Roman" w:hAnsi="Times New Roman" w:cs="Times New Roman"/>
          <w:b/>
        </w:rPr>
        <w:t>figure 4.11 D and figure 4.11 E</w:t>
      </w:r>
      <w:r w:rsidR="000858E1" w:rsidRPr="000858E1">
        <w:rPr>
          <w:rFonts w:ascii="Times New Roman" w:hAnsi="Times New Roman" w:cs="Times New Roman"/>
        </w:rPr>
        <w:t>)</w:t>
      </w:r>
      <w:r w:rsidR="000858E1">
        <w:rPr>
          <w:rFonts w:ascii="Times New Roman" w:hAnsi="Times New Roman" w:cs="Times New Roman"/>
        </w:rPr>
        <w:t>.</w:t>
      </w:r>
    </w:p>
    <w:p w14:paraId="7011592F" w14:textId="77777777" w:rsidR="00516881" w:rsidRDefault="00516881" w:rsidP="00C63BC1">
      <w:pPr>
        <w:spacing w:line="360" w:lineRule="auto"/>
        <w:jc w:val="both"/>
        <w:rPr>
          <w:rFonts w:ascii="Times New Roman" w:hAnsi="Times New Roman" w:cs="Times New Roman"/>
        </w:rPr>
      </w:pPr>
    </w:p>
    <w:p w14:paraId="04D704A1" w14:textId="0C962E2E" w:rsidR="002479C4" w:rsidRDefault="00516881" w:rsidP="00C63BC1">
      <w:pPr>
        <w:spacing w:line="360" w:lineRule="auto"/>
        <w:jc w:val="both"/>
        <w:rPr>
          <w:rFonts w:ascii="Times New Roman" w:hAnsi="Times New Roman" w:cs="Times New Roman"/>
        </w:rPr>
      </w:pPr>
      <w:r>
        <w:rPr>
          <w:rFonts w:ascii="Times New Roman" w:hAnsi="Times New Roman" w:cs="Times New Roman"/>
        </w:rPr>
        <w:t>In addition,</w:t>
      </w:r>
      <w:r w:rsidR="00DB1D04">
        <w:rPr>
          <w:rFonts w:ascii="Times New Roman" w:hAnsi="Times New Roman" w:cs="Times New Roman"/>
        </w:rPr>
        <w:t xml:space="preserve"> GFAP</w:t>
      </w:r>
      <w:r w:rsidR="00993D70">
        <w:rPr>
          <w:rFonts w:ascii="Times New Roman" w:hAnsi="Times New Roman" w:cs="Times New Roman"/>
        </w:rPr>
        <w:t>-</w:t>
      </w:r>
      <w:r>
        <w:rPr>
          <w:rFonts w:ascii="Times New Roman" w:hAnsi="Times New Roman" w:cs="Times New Roman"/>
        </w:rPr>
        <w:t>positive astrocytes closely associated with neuronal</w:t>
      </w:r>
    </w:p>
    <w:p w14:paraId="15C24CF9" w14:textId="07FB5D78" w:rsidR="0017460C" w:rsidRPr="00C2771E" w:rsidRDefault="00516881" w:rsidP="00C63BC1">
      <w:pPr>
        <w:spacing w:line="360" w:lineRule="auto"/>
        <w:rPr>
          <w:rFonts w:ascii="Times New Roman" w:hAnsi="Times New Roman" w:cs="Times New Roman"/>
          <w:color w:val="FF0000"/>
        </w:rPr>
        <w:sectPr w:rsidR="0017460C" w:rsidRPr="00C2771E" w:rsidSect="00FF0732">
          <w:pgSz w:w="11900" w:h="16840"/>
          <w:pgMar w:top="1440" w:right="1134" w:bottom="1440" w:left="2268" w:header="709" w:footer="709" w:gutter="0"/>
          <w:cols w:space="708"/>
          <w:docGrid w:linePitch="360"/>
        </w:sectPr>
      </w:pPr>
      <w:r>
        <w:rPr>
          <w:rFonts w:ascii="Times New Roman" w:hAnsi="Times New Roman" w:cs="Times New Roman"/>
        </w:rPr>
        <w:t>bundles change</w:t>
      </w:r>
      <w:r w:rsidR="00141B1C">
        <w:rPr>
          <w:rFonts w:ascii="Times New Roman" w:hAnsi="Times New Roman" w:cs="Times New Roman"/>
        </w:rPr>
        <w:t>d</w:t>
      </w:r>
      <w:r>
        <w:rPr>
          <w:rFonts w:ascii="Times New Roman" w:hAnsi="Times New Roman" w:cs="Times New Roman"/>
        </w:rPr>
        <w:t xml:space="preserve"> morphologically </w:t>
      </w:r>
      <w:r w:rsidR="00DB1D04">
        <w:rPr>
          <w:rFonts w:ascii="Times New Roman" w:hAnsi="Times New Roman" w:cs="Times New Roman"/>
        </w:rPr>
        <w:t>(</w:t>
      </w:r>
      <w:r w:rsidR="00DB1D04" w:rsidRPr="00691810">
        <w:rPr>
          <w:rFonts w:ascii="Times New Roman" w:hAnsi="Times New Roman" w:cs="Times New Roman"/>
          <w:b/>
        </w:rPr>
        <w:t xml:space="preserve">figure </w:t>
      </w:r>
      <w:r w:rsidR="00222472" w:rsidRPr="00691810">
        <w:rPr>
          <w:rFonts w:ascii="Times New Roman" w:hAnsi="Times New Roman" w:cs="Times New Roman"/>
          <w:b/>
        </w:rPr>
        <w:t>4.11 F</w:t>
      </w:r>
      <w:r w:rsidR="0040113C">
        <w:rPr>
          <w:rFonts w:ascii="Times New Roman" w:hAnsi="Times New Roman" w:cs="Times New Roman"/>
        </w:rPr>
        <w:t>)</w:t>
      </w:r>
      <w:r w:rsidR="00993D70">
        <w:rPr>
          <w:rFonts w:ascii="Times New Roman" w:hAnsi="Times New Roman" w:cs="Times New Roman"/>
        </w:rPr>
        <w:t>. In monoculture GFAP-</w:t>
      </w:r>
      <w:r>
        <w:rPr>
          <w:rFonts w:ascii="Times New Roman" w:hAnsi="Times New Roman" w:cs="Times New Roman"/>
        </w:rPr>
        <w:t>expressing astrocytes appear</w:t>
      </w:r>
      <w:r w:rsidR="00141B1C">
        <w:rPr>
          <w:rFonts w:ascii="Times New Roman" w:hAnsi="Times New Roman" w:cs="Times New Roman"/>
        </w:rPr>
        <w:t>ed</w:t>
      </w:r>
      <w:r>
        <w:rPr>
          <w:rFonts w:ascii="Times New Roman" w:hAnsi="Times New Roman" w:cs="Times New Roman"/>
        </w:rPr>
        <w:t xml:space="preserve"> larger</w:t>
      </w:r>
      <w:r w:rsidR="001F2636">
        <w:rPr>
          <w:rFonts w:ascii="Times New Roman" w:hAnsi="Times New Roman" w:cs="Times New Roman"/>
        </w:rPr>
        <w:t xml:space="preserve"> and flatter</w:t>
      </w:r>
      <w:r w:rsidR="00993D70">
        <w:rPr>
          <w:rFonts w:ascii="Times New Roman" w:hAnsi="Times New Roman" w:cs="Times New Roman"/>
        </w:rPr>
        <w:t xml:space="preserve"> but GFAP-</w:t>
      </w:r>
      <w:r>
        <w:rPr>
          <w:rFonts w:ascii="Times New Roman" w:hAnsi="Times New Roman" w:cs="Times New Roman"/>
        </w:rPr>
        <w:t>positive astrocytes associated with neuronal bundles become</w:t>
      </w:r>
      <w:r w:rsidR="00031593">
        <w:rPr>
          <w:rFonts w:ascii="Times New Roman" w:hAnsi="Times New Roman" w:cs="Times New Roman"/>
        </w:rPr>
        <w:t xml:space="preserve"> stellate</w:t>
      </w:r>
      <w:r w:rsidR="00141B1C">
        <w:rPr>
          <w:rFonts w:ascii="Times New Roman" w:hAnsi="Times New Roman" w:cs="Times New Roman"/>
        </w:rPr>
        <w:t>,</w:t>
      </w:r>
      <w:r w:rsidR="00031593">
        <w:rPr>
          <w:rFonts w:ascii="Times New Roman" w:hAnsi="Times New Roman" w:cs="Times New Roman"/>
        </w:rPr>
        <w:t xml:space="preserve"> bearing a</w:t>
      </w:r>
      <w:r>
        <w:rPr>
          <w:rFonts w:ascii="Times New Roman" w:hAnsi="Times New Roman" w:cs="Times New Roman"/>
        </w:rPr>
        <w:t xml:space="preserve"> morphology more typically associated with astrocytes.</w:t>
      </w:r>
      <w:r w:rsidR="0040113C">
        <w:rPr>
          <w:rFonts w:ascii="Times New Roman" w:hAnsi="Times New Roman" w:cs="Times New Roman"/>
        </w:rPr>
        <w:t xml:space="preserve"> </w:t>
      </w:r>
      <w:r w:rsidR="0017460C">
        <w:rPr>
          <w:rFonts w:ascii="Times New Roman" w:hAnsi="Times New Roman" w:cs="Times New Roman"/>
        </w:rPr>
        <w:t xml:space="preserve">These results </w:t>
      </w:r>
      <w:r w:rsidR="00B4307D">
        <w:rPr>
          <w:rFonts w:ascii="Times New Roman" w:hAnsi="Times New Roman" w:cs="Times New Roman"/>
        </w:rPr>
        <w:t xml:space="preserve">may </w:t>
      </w:r>
      <w:r w:rsidR="0017460C">
        <w:rPr>
          <w:rFonts w:ascii="Times New Roman" w:hAnsi="Times New Roman" w:cs="Times New Roman"/>
        </w:rPr>
        <w:t xml:space="preserve">provide </w:t>
      </w:r>
      <w:r w:rsidR="004A7DE4">
        <w:rPr>
          <w:rFonts w:ascii="Times New Roman" w:hAnsi="Times New Roman" w:cs="Times New Roman"/>
        </w:rPr>
        <w:t xml:space="preserve">additional </w:t>
      </w:r>
      <w:r w:rsidR="0017460C">
        <w:rPr>
          <w:rFonts w:ascii="Times New Roman" w:hAnsi="Times New Roman" w:cs="Times New Roman"/>
        </w:rPr>
        <w:t xml:space="preserve">evidence that </w:t>
      </w:r>
      <w:r w:rsidR="00295E08">
        <w:rPr>
          <w:rFonts w:ascii="Times New Roman" w:hAnsi="Times New Roman" w:cs="Times New Roman"/>
        </w:rPr>
        <w:t>astrocytes adopt new functions in the presence of neurons.</w:t>
      </w:r>
      <w:r w:rsidR="00C2771E">
        <w:rPr>
          <w:rFonts w:ascii="Times New Roman" w:hAnsi="Times New Roman" w:cs="Times New Roman"/>
          <w:color w:val="FF0000"/>
        </w:rPr>
        <w:t xml:space="preserve"> </w:t>
      </w:r>
    </w:p>
    <w:p w14:paraId="01620464" w14:textId="24D9EEFF" w:rsidR="00CF4908" w:rsidRDefault="00C52416">
      <w:pPr>
        <w:rPr>
          <w:rFonts w:ascii="Times New Roman" w:hAnsi="Times New Roman" w:cs="Times New Roman"/>
          <w:b/>
        </w:rPr>
      </w:pPr>
      <w:r>
        <w:rPr>
          <w:rFonts w:ascii="Times New Roman" w:hAnsi="Times New Roman" w:cs="Times New Roman"/>
          <w:b/>
          <w:noProof/>
        </w:rPr>
        <w:drawing>
          <wp:inline distT="0" distB="0" distL="0" distR="0" wp14:anchorId="57B2632F" wp14:editId="3E2EA8A1">
            <wp:extent cx="5601547" cy="5671567"/>
            <wp:effectExtent l="0" t="0" r="1206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62">
                      <a:extLst>
                        <a:ext uri="{28A0092B-C50C-407E-A947-70E740481C1C}">
                          <a14:useLocalDpi xmlns:a14="http://schemas.microsoft.com/office/drawing/2010/main" val="0"/>
                        </a:ext>
                      </a:extLst>
                    </a:blip>
                    <a:srcRect l="11610" r="14334"/>
                    <a:stretch/>
                  </pic:blipFill>
                  <pic:spPr bwMode="auto">
                    <a:xfrm>
                      <a:off x="0" y="0"/>
                      <a:ext cx="5601843" cy="5671866"/>
                    </a:xfrm>
                    <a:prstGeom prst="rect">
                      <a:avLst/>
                    </a:prstGeom>
                    <a:ln>
                      <a:noFill/>
                    </a:ln>
                    <a:extLst>
                      <a:ext uri="{53640926-AAD7-44d8-BBD7-CCE9431645EC}">
                        <a14:shadowObscured xmlns:a14="http://schemas.microsoft.com/office/drawing/2010/main"/>
                      </a:ext>
                    </a:extLst>
                  </pic:spPr>
                </pic:pic>
              </a:graphicData>
            </a:graphic>
          </wp:inline>
        </w:drawing>
      </w:r>
    </w:p>
    <w:p w14:paraId="0D1DD8D3" w14:textId="3E2281E8" w:rsidR="00541347" w:rsidRDefault="00404629">
      <w:pPr>
        <w:rPr>
          <w:rFonts w:ascii="Times New Roman" w:hAnsi="Times New Roman" w:cs="Times New Roman"/>
          <w:b/>
        </w:rPr>
      </w:pPr>
      <w:r>
        <w:rPr>
          <w:rFonts w:ascii="Times New Roman" w:hAnsi="Times New Roman" w:cs="Times New Roman"/>
          <w:b/>
        </w:rPr>
        <w:t xml:space="preserve">          </w:t>
      </w:r>
    </w:p>
    <w:p w14:paraId="4D13C170" w14:textId="0502AB4C" w:rsidR="00541347" w:rsidRDefault="00541347">
      <w:pPr>
        <w:rPr>
          <w:rFonts w:ascii="Times New Roman" w:hAnsi="Times New Roman" w:cs="Times New Roman"/>
          <w:b/>
        </w:rPr>
      </w:pPr>
      <w:r>
        <w:rPr>
          <w:rFonts w:ascii="Times New Roman" w:hAnsi="Times New Roman" w:cs="Times New Roman"/>
          <w:b/>
        </w:rPr>
        <w:t xml:space="preserve">             </w:t>
      </w:r>
    </w:p>
    <w:p w14:paraId="470241AB" w14:textId="77777777" w:rsidR="001B72D6" w:rsidRDefault="006D5766" w:rsidP="00C664C4">
      <w:pPr>
        <w:pStyle w:val="Caption"/>
      </w:pPr>
      <w:bookmarkStart w:id="1443" w:name="_Toc333569066"/>
      <w:bookmarkStart w:id="1444" w:name="_Toc333569291"/>
      <w:bookmarkStart w:id="1445" w:name="_Toc333570845"/>
      <w:bookmarkStart w:id="1446" w:name="_Toc333582228"/>
      <w:bookmarkStart w:id="1447" w:name="_Toc333582348"/>
      <w:bookmarkStart w:id="1448" w:name="_Toc333582760"/>
      <w:bookmarkStart w:id="1449" w:name="_Toc333583130"/>
      <w:bookmarkStart w:id="1450" w:name="_Toc333585238"/>
      <w:bookmarkStart w:id="1451" w:name="_Toc333586790"/>
      <w:bookmarkStart w:id="1452" w:name="_Toc333644489"/>
      <w:bookmarkStart w:id="1453" w:name="_Toc333644783"/>
      <w:r>
        <w:t xml:space="preserve">Figure </w:t>
      </w:r>
      <w:r w:rsidR="00F94933">
        <w:t>4.1</w:t>
      </w:r>
      <w:r w:rsidR="00B92D16">
        <w:t>1</w:t>
      </w:r>
      <w:r w:rsidR="0043060F">
        <w:t>.</w:t>
      </w:r>
      <w:r>
        <w:t xml:space="preserve"> </w:t>
      </w:r>
      <w:r w:rsidR="000B3505">
        <w:t xml:space="preserve">GFAP+ve astrocytes </w:t>
      </w:r>
      <w:r w:rsidR="000B3505" w:rsidRPr="000B3505">
        <w:t>have altered morphology in co-culture</w:t>
      </w:r>
      <w:r w:rsidR="000B3505">
        <w:t xml:space="preserve"> and relocalise to neuronal networks</w:t>
      </w:r>
      <w:r w:rsidR="000B3505" w:rsidRPr="000B3505">
        <w:t>.</w:t>
      </w:r>
      <w:bookmarkEnd w:id="1443"/>
      <w:bookmarkEnd w:id="1444"/>
      <w:bookmarkEnd w:id="1445"/>
      <w:bookmarkEnd w:id="1446"/>
      <w:bookmarkEnd w:id="1447"/>
      <w:bookmarkEnd w:id="1448"/>
      <w:bookmarkEnd w:id="1449"/>
      <w:bookmarkEnd w:id="1450"/>
      <w:bookmarkEnd w:id="1451"/>
      <w:bookmarkEnd w:id="1452"/>
      <w:bookmarkEnd w:id="1453"/>
      <w:r w:rsidR="000B3505">
        <w:t xml:space="preserve"> </w:t>
      </w:r>
    </w:p>
    <w:p w14:paraId="3673520F" w14:textId="3C9E1204" w:rsidR="009769CF" w:rsidRPr="00C52416" w:rsidRDefault="000B3505" w:rsidP="00C63BC1">
      <w:pPr>
        <w:spacing w:line="360" w:lineRule="auto"/>
        <w:jc w:val="both"/>
        <w:rPr>
          <w:rFonts w:ascii="Times New Roman" w:hAnsi="Times New Roman" w:cs="Times New Roman"/>
        </w:rPr>
      </w:pPr>
      <w:r>
        <w:rPr>
          <w:rFonts w:ascii="Times New Roman" w:hAnsi="Times New Roman" w:cs="Times New Roman"/>
        </w:rPr>
        <w:t>Human astrocytes and LUHMES were co-cultured together for 72hr and immunostained for GFAP (red) whilst nuclei were label</w:t>
      </w:r>
      <w:r w:rsidR="00141B1C">
        <w:rPr>
          <w:rFonts w:ascii="Times New Roman" w:hAnsi="Times New Roman" w:cs="Times New Roman"/>
        </w:rPr>
        <w:t>l</w:t>
      </w:r>
      <w:r>
        <w:rPr>
          <w:rFonts w:ascii="Times New Roman" w:hAnsi="Times New Roman" w:cs="Times New Roman"/>
        </w:rPr>
        <w:t>ed with</w:t>
      </w:r>
      <w:r w:rsidR="00141B1C">
        <w:rPr>
          <w:rFonts w:ascii="Times New Roman" w:hAnsi="Times New Roman" w:cs="Times New Roman"/>
        </w:rPr>
        <w:t xml:space="preserve"> a nuclear dye (Hoescht H3342) and </w:t>
      </w:r>
      <w:r>
        <w:rPr>
          <w:rFonts w:ascii="Times New Roman" w:hAnsi="Times New Roman" w:cs="Times New Roman"/>
        </w:rPr>
        <w:t>LUHMES</w:t>
      </w:r>
      <w:r w:rsidR="00141B1C">
        <w:rPr>
          <w:rFonts w:ascii="Times New Roman" w:hAnsi="Times New Roman" w:cs="Times New Roman"/>
        </w:rPr>
        <w:t xml:space="preserve"> expressed GFP</w:t>
      </w:r>
      <w:r>
        <w:rPr>
          <w:rFonts w:ascii="Times New Roman" w:hAnsi="Times New Roman" w:cs="Times New Roman"/>
        </w:rPr>
        <w:t xml:space="preserve"> </w:t>
      </w:r>
      <w:r w:rsidR="00141B1C">
        <w:rPr>
          <w:rFonts w:ascii="Times New Roman" w:hAnsi="Times New Roman" w:cs="Times New Roman"/>
        </w:rPr>
        <w:t>(</w:t>
      </w:r>
      <w:r>
        <w:rPr>
          <w:rFonts w:ascii="Times New Roman" w:hAnsi="Times New Roman" w:cs="Times New Roman"/>
        </w:rPr>
        <w:t>green</w:t>
      </w:r>
      <w:r w:rsidR="00141B1C">
        <w:rPr>
          <w:rFonts w:ascii="Times New Roman" w:hAnsi="Times New Roman" w:cs="Times New Roman"/>
        </w:rPr>
        <w:t>)</w:t>
      </w:r>
      <w:r>
        <w:rPr>
          <w:rFonts w:ascii="Times New Roman" w:hAnsi="Times New Roman" w:cs="Times New Roman"/>
        </w:rPr>
        <w:t>. Images show GFAP +ve astrocytes develop a more stellate morphology and relocalise to</w:t>
      </w:r>
      <w:r w:rsidR="00031593">
        <w:rPr>
          <w:rFonts w:ascii="Times New Roman" w:hAnsi="Times New Roman" w:cs="Times New Roman"/>
        </w:rPr>
        <w:t xml:space="preserve"> neuronal bundles in co-culture</w:t>
      </w:r>
      <w:r>
        <w:rPr>
          <w:rFonts w:ascii="Times New Roman" w:hAnsi="Times New Roman" w:cs="Times New Roman"/>
        </w:rPr>
        <w:t>. White arrows show association of GFAP +ve astrocytes with neuronal networks at low power.</w:t>
      </w:r>
      <w:r w:rsidR="008570B4">
        <w:rPr>
          <w:rFonts w:ascii="Times New Roman" w:hAnsi="Times New Roman" w:cs="Times New Roman"/>
        </w:rPr>
        <w:t xml:space="preserve"> </w:t>
      </w:r>
      <w:r w:rsidR="009769CF">
        <w:rPr>
          <w:rFonts w:ascii="Times New Roman" w:hAnsi="Times New Roman" w:cs="Times New Roman"/>
        </w:rPr>
        <w:t xml:space="preserve">Scale bar represents 10μM </w:t>
      </w:r>
      <w:r w:rsidR="00C52416" w:rsidRPr="00004C6C">
        <w:rPr>
          <w:rFonts w:ascii="Times New Roman" w:hAnsi="Times New Roman" w:cs="Times New Roman"/>
          <w:b/>
        </w:rPr>
        <w:t>(A-F)</w:t>
      </w:r>
      <w:r w:rsidR="00C52416">
        <w:rPr>
          <w:rFonts w:ascii="Times New Roman" w:hAnsi="Times New Roman" w:cs="Times New Roman"/>
        </w:rPr>
        <w:t xml:space="preserve"> </w:t>
      </w:r>
      <w:r w:rsidR="008961C3">
        <w:rPr>
          <w:rFonts w:ascii="Times New Roman" w:hAnsi="Times New Roman" w:cs="Times New Roman"/>
        </w:rPr>
        <w:t>and 20μM</w:t>
      </w:r>
      <w:r>
        <w:rPr>
          <w:rFonts w:ascii="Times New Roman" w:hAnsi="Times New Roman" w:cs="Times New Roman"/>
        </w:rPr>
        <w:t xml:space="preserve"> </w:t>
      </w:r>
      <w:r w:rsidR="00C52416" w:rsidRPr="00004C6C">
        <w:rPr>
          <w:rFonts w:ascii="Times New Roman" w:hAnsi="Times New Roman" w:cs="Times New Roman"/>
          <w:b/>
        </w:rPr>
        <w:t>(G).</w:t>
      </w:r>
    </w:p>
    <w:p w14:paraId="0C9EDFCC" w14:textId="6A9938B0" w:rsidR="00541347" w:rsidRPr="006D5766" w:rsidRDefault="00541347" w:rsidP="006F2F88">
      <w:pPr>
        <w:spacing w:line="360" w:lineRule="auto"/>
        <w:rPr>
          <w:rFonts w:ascii="Times New Roman" w:hAnsi="Times New Roman" w:cs="Times New Roman"/>
        </w:rPr>
      </w:pPr>
    </w:p>
    <w:p w14:paraId="53484426" w14:textId="77777777" w:rsidR="008961C3" w:rsidRDefault="008961C3">
      <w:pPr>
        <w:rPr>
          <w:rFonts w:ascii="Times New Roman" w:hAnsi="Times New Roman" w:cs="Times New Roman"/>
          <w:b/>
        </w:rPr>
      </w:pPr>
    </w:p>
    <w:p w14:paraId="0647C431" w14:textId="3BB9F2C8" w:rsidR="00710FF0" w:rsidRDefault="00F00E0E" w:rsidP="00395B55">
      <w:pPr>
        <w:pStyle w:val="Heading3"/>
      </w:pPr>
      <w:bookmarkStart w:id="1454" w:name="_Toc328301170"/>
      <w:bookmarkStart w:id="1455" w:name="_Toc329593461"/>
      <w:bookmarkStart w:id="1456" w:name="_Toc331425960"/>
      <w:bookmarkStart w:id="1457" w:name="_Toc331427141"/>
      <w:bookmarkStart w:id="1458" w:name="_Toc331427513"/>
      <w:bookmarkStart w:id="1459" w:name="_Toc331427655"/>
      <w:bookmarkStart w:id="1460" w:name="_Toc332972660"/>
      <w:bookmarkStart w:id="1461" w:name="_Toc333046939"/>
      <w:bookmarkStart w:id="1462" w:name="_Toc333477286"/>
      <w:bookmarkStart w:id="1463" w:name="_Toc333478056"/>
      <w:bookmarkStart w:id="1464" w:name="_Toc333644956"/>
      <w:r>
        <w:t>4.4</w:t>
      </w:r>
      <w:r w:rsidR="00F94933">
        <w:t xml:space="preserve">.7 </w:t>
      </w:r>
      <w:r w:rsidR="00AC1223">
        <w:t>Astrocytes prolong neuronal survival</w:t>
      </w:r>
      <w:bookmarkEnd w:id="1454"/>
      <w:bookmarkEnd w:id="1455"/>
      <w:bookmarkEnd w:id="1456"/>
      <w:bookmarkEnd w:id="1457"/>
      <w:bookmarkEnd w:id="1458"/>
      <w:bookmarkEnd w:id="1459"/>
      <w:bookmarkEnd w:id="1460"/>
      <w:bookmarkEnd w:id="1461"/>
      <w:bookmarkEnd w:id="1462"/>
      <w:bookmarkEnd w:id="1463"/>
      <w:bookmarkEnd w:id="1464"/>
    </w:p>
    <w:p w14:paraId="41387EEB" w14:textId="77777777" w:rsidR="00FF0732" w:rsidRDefault="00FF0732">
      <w:pPr>
        <w:rPr>
          <w:rFonts w:ascii="Times New Roman" w:hAnsi="Times New Roman" w:cs="Times New Roman"/>
          <w:b/>
          <w:u w:val="single"/>
        </w:rPr>
      </w:pPr>
    </w:p>
    <w:p w14:paraId="7C078620" w14:textId="422C8796" w:rsidR="005F182A" w:rsidRDefault="00FF0732" w:rsidP="00C63BC1">
      <w:pPr>
        <w:spacing w:line="360" w:lineRule="auto"/>
        <w:jc w:val="both"/>
        <w:rPr>
          <w:rFonts w:ascii="Times New Roman" w:hAnsi="Times New Roman" w:cs="Times New Roman"/>
        </w:rPr>
      </w:pPr>
      <w:r>
        <w:rPr>
          <w:rFonts w:ascii="Times New Roman" w:hAnsi="Times New Roman" w:cs="Times New Roman"/>
        </w:rPr>
        <w:t xml:space="preserve">Astrocytes support neuronal homeostasis and therefore </w:t>
      </w:r>
      <w:r w:rsidR="00F417A6">
        <w:rPr>
          <w:rFonts w:ascii="Times New Roman" w:hAnsi="Times New Roman" w:cs="Times New Roman"/>
        </w:rPr>
        <w:t>enhance</w:t>
      </w:r>
      <w:r>
        <w:rPr>
          <w:rFonts w:ascii="Times New Roman" w:hAnsi="Times New Roman" w:cs="Times New Roman"/>
        </w:rPr>
        <w:t xml:space="preserve"> neurona</w:t>
      </w:r>
      <w:r w:rsidR="007E48E0">
        <w:rPr>
          <w:rFonts w:ascii="Times New Roman" w:hAnsi="Times New Roman" w:cs="Times New Roman"/>
        </w:rPr>
        <w:t xml:space="preserve">l survival. </w:t>
      </w:r>
      <w:r w:rsidR="0097460D">
        <w:rPr>
          <w:rFonts w:ascii="Times New Roman" w:hAnsi="Times New Roman" w:cs="Times New Roman"/>
        </w:rPr>
        <w:t xml:space="preserve">In NT2 neuron-astrocyte co-cultures astrocytes </w:t>
      </w:r>
      <w:r w:rsidR="00F417A6">
        <w:rPr>
          <w:rFonts w:ascii="Times New Roman" w:hAnsi="Times New Roman" w:cs="Times New Roman"/>
        </w:rPr>
        <w:t xml:space="preserve">enhance neuronal survival </w:t>
      </w:r>
      <w:r w:rsidR="0097460D">
        <w:rPr>
          <w:rFonts w:ascii="Times New Roman" w:hAnsi="Times New Roman" w:cs="Times New Roman"/>
        </w:rPr>
        <w:t xml:space="preserve">approximately three-fold </w:t>
      </w:r>
      <w:r w:rsidR="0097460D">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"10.1371/journal.pone.0036098", "ISSN" : "1932-6203", "PMID" : "22567128", "abstract" : "A major focus of stem cell research is the generation of neurons that may then be implanted to treat neurodegenerative diseases. However, a picture is emerging where astrocytes are partners to neurons in sustaining and modulating brain function. We therefore investigated the functional properties of NT2 derived astrocytes and neurons using electrophysiological and calcium imaging approaches. NT2 neurons (NT2Ns) expressed sodium dependent action potentials, as well as responses to depolarisation and the neurotransmitter glutamate. NT2Ns exhibited spontaneous and coordinated calcium elevations in clusters and in extended processes, indicating local and long distance signalling. Tetrodotoxin sensitive network activity could also be evoked by electrical stimulation. Similarly, NT2 astrocytes (NT2As) exhibited morphology and functional properties consistent with this glial cell type. NT2As responded to neuronal activity and to exogenously applied neurotransmitters with calcium elevations, and in contrast to neurons, also exhibited spontaneous rhythmic calcium oscillations. NT2As also generated propagating calcium waves that were gap junction and purinergic signalling dependent. Our results show that NT2 derived astrocytes exhibit appropriate functionality and that NT2N networks interact with NT2A networks in co-culture. These findings underline the utility of such cultures to investigate human brain cell type signalling under controlled conditions. Furthermore, since stem cell derived neuron function and survival is of great importance therapeutically, our findings suggest that the presence of complementary astrocytes may be valuable in supporting stem cell derived neuronal networks. Indeed, this also supports the intriguing possibility of selective therapeutic replacement of astrocytes in diseases where these cells are either lost or lose functionality.", "author" : [ { "dropping-particle" : "", "family" : "Hill", "given" : "Eric J", "non-dropping-particle" : "", "parse-names" : false, "suffix" : "" }, { "dropping-particle" : "", "family" : "Jim\u00e9nez-Gonz\u00e1lez", "given" : "Cristina", "non-dropping-particle" : "", "parse-names" : false, "suffix" : "" }, { "dropping-particle" : "", "family" : "Tarczyluk", "given" : "Marta", "non-dropping-particle" : "", "parse-names" : false, "suffix" : "" }, { "dropping-particle" : "", "family" : "Nagel", "given" : "David A", "non-dropping-particle" : "", "parse-names" : false, "suffix" : "" }, { "dropping-particle" : "", "family" : "Coleman", "given" : "Michael D", "non-dropping-particle" : "", "parse-names" : false, "suffix" : "" }, { "dropping-particle" : "", "family" : "Parri", "given" : "H Rheinallt", "non-dropping-particle" : "", "parse-names" : false, "suffix" : "" } ], "container-title" : "PloS one", "id" : "ITEM-1", "issue" : "5", "issued" : { "date-parts" : [ [ "2012", "1", "2" ] ] }, "page" : "e36098", "publisher" : "Public Library of Science", "title" : "NT2 derived neuronal and astrocytic network signalling.", "type" : "article-journal", "volume" : "7" }, "uris" : [ "http://www.mendeley.com/documents/?uuid=9cd64ad7-ad50-4f5b-9564-eadced04a8de" ] } ], "mendeley" : { "formattedCitation" : "(Hill et al. 2012)", "plainTextFormattedCitation" : "(Hill et al. 2012)", "previouslyFormattedCitation" : "(Hill et al. 2012)" }, "properties" : { "noteIndex" : 0 }, "schema" : "https://github.com/citation-style-language/schema/raw/master/csl-citation.json" }</w:instrText>
      </w:r>
      <w:r w:rsidR="0097460D">
        <w:rPr>
          <w:rFonts w:ascii="Times New Roman" w:hAnsi="Times New Roman" w:cs="Times New Roman"/>
        </w:rPr>
        <w:fldChar w:fldCharType="separate"/>
      </w:r>
      <w:r w:rsidR="00C148FC" w:rsidRPr="00C148FC">
        <w:rPr>
          <w:rFonts w:ascii="Times New Roman" w:hAnsi="Times New Roman" w:cs="Times New Roman"/>
          <w:noProof/>
        </w:rPr>
        <w:t>(Hill et al. 2012)</w:t>
      </w:r>
      <w:r w:rsidR="0097460D">
        <w:rPr>
          <w:rFonts w:ascii="Times New Roman" w:hAnsi="Times New Roman" w:cs="Times New Roman"/>
        </w:rPr>
        <w:fldChar w:fldCharType="end"/>
      </w:r>
      <w:r w:rsidR="0097460D">
        <w:rPr>
          <w:rFonts w:ascii="Times New Roman" w:hAnsi="Times New Roman" w:cs="Times New Roman"/>
        </w:rPr>
        <w:t>.</w:t>
      </w:r>
    </w:p>
    <w:p w14:paraId="7C87C3C2" w14:textId="77777777" w:rsidR="005F182A" w:rsidRDefault="005F182A" w:rsidP="00C63BC1">
      <w:pPr>
        <w:spacing w:line="360" w:lineRule="auto"/>
        <w:jc w:val="both"/>
        <w:rPr>
          <w:rFonts w:ascii="Times New Roman" w:hAnsi="Times New Roman" w:cs="Times New Roman"/>
        </w:rPr>
      </w:pPr>
    </w:p>
    <w:p w14:paraId="1E6F23AB" w14:textId="77777777" w:rsidR="00A71A34" w:rsidRDefault="00F417A6" w:rsidP="00C63BC1">
      <w:pPr>
        <w:spacing w:line="360" w:lineRule="auto"/>
        <w:jc w:val="both"/>
        <w:rPr>
          <w:rFonts w:ascii="Times New Roman" w:hAnsi="Times New Roman" w:cs="Times New Roman"/>
        </w:rPr>
      </w:pPr>
      <w:r>
        <w:rPr>
          <w:rFonts w:ascii="Times New Roman" w:hAnsi="Times New Roman" w:cs="Times New Roman"/>
        </w:rPr>
        <w:t xml:space="preserve">To determine </w:t>
      </w:r>
      <w:r w:rsidR="007E48E0">
        <w:rPr>
          <w:rFonts w:ascii="Times New Roman" w:hAnsi="Times New Roman" w:cs="Times New Roman"/>
        </w:rPr>
        <w:t>whether</w:t>
      </w:r>
      <w:r>
        <w:rPr>
          <w:rFonts w:ascii="Times New Roman" w:hAnsi="Times New Roman" w:cs="Times New Roman"/>
        </w:rPr>
        <w:t xml:space="preserve"> human astrocytes (</w:t>
      </w:r>
      <w:r w:rsidR="007E48E0">
        <w:rPr>
          <w:rFonts w:ascii="Times New Roman" w:hAnsi="Times New Roman" w:cs="Times New Roman"/>
        </w:rPr>
        <w:t>ScienCell</w:t>
      </w:r>
      <w:r>
        <w:rPr>
          <w:rFonts w:ascii="Times New Roman" w:hAnsi="Times New Roman" w:cs="Times New Roman"/>
        </w:rPr>
        <w:t xml:space="preserve">) were able to extend neuronal </w:t>
      </w:r>
      <w:r w:rsidR="007E48E0">
        <w:rPr>
          <w:rFonts w:ascii="Times New Roman" w:hAnsi="Times New Roman" w:cs="Times New Roman"/>
        </w:rPr>
        <w:t>survival in this</w:t>
      </w:r>
      <w:r w:rsidR="00FF0732">
        <w:rPr>
          <w:rFonts w:ascii="Times New Roman" w:hAnsi="Times New Roman" w:cs="Times New Roman"/>
        </w:rPr>
        <w:t xml:space="preserve"> co-culture system</w:t>
      </w:r>
      <w:r w:rsidR="007E48E0">
        <w:rPr>
          <w:rFonts w:ascii="Times New Roman" w:hAnsi="Times New Roman" w:cs="Times New Roman"/>
        </w:rPr>
        <w:t>,</w:t>
      </w:r>
      <w:r w:rsidR="00FF0732">
        <w:rPr>
          <w:rFonts w:ascii="Times New Roman" w:hAnsi="Times New Roman" w:cs="Times New Roman"/>
        </w:rPr>
        <w:t xml:space="preserve"> GFP LUHMES </w:t>
      </w:r>
      <w:r w:rsidR="007E48E0">
        <w:rPr>
          <w:rFonts w:ascii="Times New Roman" w:hAnsi="Times New Roman" w:cs="Times New Roman"/>
        </w:rPr>
        <w:t>were grown</w:t>
      </w:r>
      <w:r w:rsidR="00FF0732">
        <w:rPr>
          <w:rFonts w:ascii="Times New Roman" w:hAnsi="Times New Roman" w:cs="Times New Roman"/>
        </w:rPr>
        <w:t xml:space="preserve"> alone or i</w:t>
      </w:r>
      <w:r>
        <w:rPr>
          <w:rFonts w:ascii="Times New Roman" w:hAnsi="Times New Roman" w:cs="Times New Roman"/>
        </w:rPr>
        <w:t>n co-culture with</w:t>
      </w:r>
      <w:r w:rsidR="007E48E0">
        <w:rPr>
          <w:rFonts w:ascii="Times New Roman" w:hAnsi="Times New Roman" w:cs="Times New Roman"/>
        </w:rPr>
        <w:t xml:space="preserve"> astrocytes</w:t>
      </w:r>
      <w:r w:rsidR="00FF0732">
        <w:rPr>
          <w:rFonts w:ascii="Times New Roman" w:hAnsi="Times New Roman" w:cs="Times New Roman"/>
        </w:rPr>
        <w:t xml:space="preserve">. GFP LUHMES were plated at </w:t>
      </w:r>
      <w:r>
        <w:rPr>
          <w:rFonts w:ascii="Times New Roman" w:hAnsi="Times New Roman" w:cs="Times New Roman"/>
        </w:rPr>
        <w:t xml:space="preserve">equivalent </w:t>
      </w:r>
      <w:r w:rsidR="00FF0732">
        <w:rPr>
          <w:rFonts w:ascii="Times New Roman" w:hAnsi="Times New Roman" w:cs="Times New Roman"/>
        </w:rPr>
        <w:t>densities on glass coverslips, in the presence or absence of astrocytes</w:t>
      </w:r>
      <w:r w:rsidR="00A71A34">
        <w:rPr>
          <w:rFonts w:ascii="Times New Roman" w:hAnsi="Times New Roman" w:cs="Times New Roman"/>
        </w:rPr>
        <w:t xml:space="preserve"> and cells</w:t>
      </w:r>
      <w:r>
        <w:rPr>
          <w:rFonts w:ascii="Times New Roman" w:hAnsi="Times New Roman" w:cs="Times New Roman"/>
        </w:rPr>
        <w:t xml:space="preserve"> </w:t>
      </w:r>
      <w:r w:rsidR="007E48E0">
        <w:rPr>
          <w:rFonts w:ascii="Times New Roman" w:hAnsi="Times New Roman" w:cs="Times New Roman"/>
        </w:rPr>
        <w:t>were</w:t>
      </w:r>
      <w:r w:rsidR="00A71A34">
        <w:rPr>
          <w:rFonts w:ascii="Times New Roman" w:hAnsi="Times New Roman" w:cs="Times New Roman"/>
        </w:rPr>
        <w:t xml:space="preserve"> then</w:t>
      </w:r>
      <w:r w:rsidR="007E48E0">
        <w:rPr>
          <w:rFonts w:ascii="Times New Roman" w:hAnsi="Times New Roman" w:cs="Times New Roman"/>
        </w:rPr>
        <w:t xml:space="preserve"> fixed </w:t>
      </w:r>
      <w:r>
        <w:rPr>
          <w:rFonts w:ascii="Times New Roman" w:hAnsi="Times New Roman" w:cs="Times New Roman"/>
        </w:rPr>
        <w:t xml:space="preserve">at 24 hour points for a period of 14 days </w:t>
      </w:r>
      <w:r w:rsidR="0097460D">
        <w:rPr>
          <w:rFonts w:ascii="Times New Roman" w:hAnsi="Times New Roman" w:cs="Times New Roman"/>
        </w:rPr>
        <w:t>(media was not changed during the course of the experiment)</w:t>
      </w:r>
      <w:r w:rsidR="00FF0732">
        <w:rPr>
          <w:rFonts w:ascii="Times New Roman" w:hAnsi="Times New Roman" w:cs="Times New Roman"/>
        </w:rPr>
        <w:t>.</w:t>
      </w:r>
      <w:r w:rsidR="00222472">
        <w:rPr>
          <w:rFonts w:ascii="Times New Roman" w:hAnsi="Times New Roman" w:cs="Times New Roman"/>
        </w:rPr>
        <w:t xml:space="preserve"> </w:t>
      </w:r>
    </w:p>
    <w:p w14:paraId="380B1ACA" w14:textId="77777777" w:rsidR="00A71A34" w:rsidRDefault="00A71A34" w:rsidP="00C63BC1">
      <w:pPr>
        <w:spacing w:line="360" w:lineRule="auto"/>
        <w:jc w:val="both"/>
        <w:rPr>
          <w:rFonts w:ascii="Times New Roman" w:hAnsi="Times New Roman" w:cs="Times New Roman"/>
        </w:rPr>
      </w:pPr>
    </w:p>
    <w:p w14:paraId="6F8C5B93" w14:textId="7CFD1D99" w:rsidR="00FD3DF7" w:rsidRPr="00FD3DF7" w:rsidRDefault="00FD3DF7" w:rsidP="00C63BC1">
      <w:pPr>
        <w:spacing w:line="360" w:lineRule="auto"/>
        <w:jc w:val="both"/>
        <w:rPr>
          <w:rFonts w:ascii="Times New Roman" w:hAnsi="Times New Roman" w:cs="Times New Roman"/>
        </w:rPr>
      </w:pPr>
      <w:r>
        <w:rPr>
          <w:rFonts w:ascii="Times New Roman" w:hAnsi="Times New Roman" w:cs="Times New Roman"/>
        </w:rPr>
        <w:t>Astrocytes appeared to support neurite integrity and prolong the formation of neuronal networks (</w:t>
      </w:r>
      <w:r>
        <w:rPr>
          <w:rFonts w:ascii="Times New Roman" w:hAnsi="Times New Roman" w:cs="Times New Roman"/>
          <w:b/>
        </w:rPr>
        <w:t>figure 4.12 A</w:t>
      </w:r>
      <w:r>
        <w:rPr>
          <w:rFonts w:ascii="Times New Roman" w:hAnsi="Times New Roman" w:cs="Times New Roman"/>
        </w:rPr>
        <w:t xml:space="preserve"> </w:t>
      </w:r>
      <w:r>
        <w:rPr>
          <w:rFonts w:ascii="Times New Roman" w:hAnsi="Times New Roman" w:cs="Times New Roman"/>
          <w:b/>
        </w:rPr>
        <w:t>and B</w:t>
      </w:r>
      <w:r>
        <w:rPr>
          <w:rFonts w:ascii="Times New Roman" w:hAnsi="Times New Roman" w:cs="Times New Roman"/>
        </w:rPr>
        <w:t>), this was demonstrated by capturing images of LUHMES/GFP LUHMES in monoculture or co-culture with astrocytes.</w:t>
      </w:r>
    </w:p>
    <w:p w14:paraId="70EC8A5E" w14:textId="77777777" w:rsidR="00FD3DF7" w:rsidRDefault="00FD3DF7" w:rsidP="00C63BC1">
      <w:pPr>
        <w:spacing w:line="360" w:lineRule="auto"/>
        <w:jc w:val="both"/>
        <w:rPr>
          <w:rFonts w:ascii="Times New Roman" w:hAnsi="Times New Roman" w:cs="Times New Roman"/>
          <w:b/>
          <w:color w:val="FF0000"/>
        </w:rPr>
      </w:pPr>
    </w:p>
    <w:p w14:paraId="09892EC5" w14:textId="54326E54" w:rsidR="00FF0732" w:rsidRPr="00FF0732" w:rsidRDefault="00F417A6" w:rsidP="00C63BC1">
      <w:pPr>
        <w:spacing w:line="360" w:lineRule="auto"/>
        <w:jc w:val="both"/>
        <w:rPr>
          <w:rFonts w:ascii="Times New Roman" w:hAnsi="Times New Roman" w:cs="Times New Roman"/>
        </w:rPr>
      </w:pPr>
      <w:r>
        <w:rPr>
          <w:rFonts w:ascii="Times New Roman" w:hAnsi="Times New Roman" w:cs="Times New Roman"/>
        </w:rPr>
        <w:t>GFP LUHMES appear</w:t>
      </w:r>
      <w:r w:rsidR="00FD3DF7">
        <w:rPr>
          <w:rFonts w:ascii="Times New Roman" w:hAnsi="Times New Roman" w:cs="Times New Roman"/>
        </w:rPr>
        <w:t>ed</w:t>
      </w:r>
      <w:r w:rsidR="007575A0">
        <w:rPr>
          <w:rFonts w:ascii="Times New Roman" w:hAnsi="Times New Roman" w:cs="Times New Roman"/>
        </w:rPr>
        <w:t xml:space="preserve"> healthy at day 6</w:t>
      </w:r>
      <w:r w:rsidR="00FF0732">
        <w:rPr>
          <w:rFonts w:ascii="Times New Roman" w:hAnsi="Times New Roman" w:cs="Times New Roman"/>
        </w:rPr>
        <w:t xml:space="preserve"> of differentiation</w:t>
      </w:r>
      <w:r w:rsidR="00FD3DF7">
        <w:rPr>
          <w:rFonts w:ascii="Times New Roman" w:hAnsi="Times New Roman" w:cs="Times New Roman"/>
        </w:rPr>
        <w:t xml:space="preserve"> in monoculture and at an equivalent point in coculture (</w:t>
      </w:r>
      <w:r w:rsidR="00FF0732">
        <w:rPr>
          <w:rFonts w:ascii="Times New Roman" w:hAnsi="Times New Roman" w:cs="Times New Roman"/>
        </w:rPr>
        <w:t>third day in co-culture</w:t>
      </w:r>
      <w:r w:rsidR="00FD3DF7">
        <w:rPr>
          <w:rFonts w:ascii="Times New Roman" w:hAnsi="Times New Roman" w:cs="Times New Roman"/>
        </w:rPr>
        <w:t>)</w:t>
      </w:r>
      <w:r>
        <w:rPr>
          <w:rFonts w:ascii="Times New Roman" w:hAnsi="Times New Roman" w:cs="Times New Roman"/>
        </w:rPr>
        <w:t>.</w:t>
      </w:r>
      <w:r w:rsidR="00FF0732">
        <w:rPr>
          <w:rFonts w:ascii="Times New Roman" w:hAnsi="Times New Roman" w:cs="Times New Roman"/>
        </w:rPr>
        <w:t xml:space="preserve"> LUHMES </w:t>
      </w:r>
      <w:r w:rsidR="00FD3DF7">
        <w:rPr>
          <w:rFonts w:ascii="Times New Roman" w:hAnsi="Times New Roman" w:cs="Times New Roman"/>
        </w:rPr>
        <w:t>we</w:t>
      </w:r>
      <w:r>
        <w:rPr>
          <w:rFonts w:ascii="Times New Roman" w:hAnsi="Times New Roman" w:cs="Times New Roman"/>
        </w:rPr>
        <w:t>re well distributed in monoculture</w:t>
      </w:r>
      <w:r w:rsidR="00FD3DF7">
        <w:rPr>
          <w:rFonts w:ascii="Times New Roman" w:hAnsi="Times New Roman" w:cs="Times New Roman"/>
        </w:rPr>
        <w:t xml:space="preserve"> whereas in co-culture they </w:t>
      </w:r>
      <w:r>
        <w:rPr>
          <w:rFonts w:ascii="Times New Roman" w:hAnsi="Times New Roman" w:cs="Times New Roman"/>
        </w:rPr>
        <w:t>form</w:t>
      </w:r>
      <w:r w:rsidR="00FD3DF7">
        <w:rPr>
          <w:rFonts w:ascii="Times New Roman" w:hAnsi="Times New Roman" w:cs="Times New Roman"/>
        </w:rPr>
        <w:t>ed</w:t>
      </w:r>
      <w:r>
        <w:rPr>
          <w:rFonts w:ascii="Times New Roman" w:hAnsi="Times New Roman" w:cs="Times New Roman"/>
        </w:rPr>
        <w:t xml:space="preserve"> bundles on top of the astrocytes. At day </w:t>
      </w:r>
      <w:r w:rsidR="00FF0732">
        <w:rPr>
          <w:rFonts w:ascii="Times New Roman" w:hAnsi="Times New Roman" w:cs="Times New Roman"/>
        </w:rPr>
        <w:t xml:space="preserve">8, </w:t>
      </w:r>
      <w:r w:rsidR="007E48E0">
        <w:rPr>
          <w:rFonts w:ascii="Times New Roman" w:hAnsi="Times New Roman" w:cs="Times New Roman"/>
        </w:rPr>
        <w:t>very few LUHMES survive</w:t>
      </w:r>
      <w:r w:rsidR="00FD3DF7">
        <w:rPr>
          <w:rFonts w:ascii="Times New Roman" w:hAnsi="Times New Roman" w:cs="Times New Roman"/>
        </w:rPr>
        <w:t>d</w:t>
      </w:r>
      <w:r>
        <w:rPr>
          <w:rFonts w:ascii="Times New Roman" w:hAnsi="Times New Roman" w:cs="Times New Roman"/>
        </w:rPr>
        <w:t xml:space="preserve"> when cultured in isolation</w:t>
      </w:r>
      <w:r w:rsidR="00FD3DF7">
        <w:rPr>
          <w:rFonts w:ascii="Times New Roman" w:hAnsi="Times New Roman" w:cs="Times New Roman"/>
        </w:rPr>
        <w:t xml:space="preserve"> (</w:t>
      </w:r>
      <w:r w:rsidRPr="00031593">
        <w:rPr>
          <w:rFonts w:ascii="Times New Roman" w:hAnsi="Times New Roman" w:cs="Times New Roman"/>
          <w:b/>
        </w:rPr>
        <w:t xml:space="preserve">figure </w:t>
      </w:r>
      <w:r w:rsidR="00222472" w:rsidRPr="00031593">
        <w:rPr>
          <w:rFonts w:ascii="Times New Roman" w:hAnsi="Times New Roman" w:cs="Times New Roman"/>
          <w:b/>
        </w:rPr>
        <w:t>4.12 B</w:t>
      </w:r>
      <w:r w:rsidR="00FD3DF7">
        <w:rPr>
          <w:rFonts w:ascii="Times New Roman" w:hAnsi="Times New Roman" w:cs="Times New Roman"/>
          <w:b/>
        </w:rPr>
        <w:t>)</w:t>
      </w:r>
      <w:r>
        <w:rPr>
          <w:rFonts w:ascii="Times New Roman" w:hAnsi="Times New Roman" w:cs="Times New Roman"/>
        </w:rPr>
        <w:t xml:space="preserve">. </w:t>
      </w:r>
      <w:r w:rsidR="00A542E9">
        <w:rPr>
          <w:rFonts w:ascii="Times New Roman" w:hAnsi="Times New Roman" w:cs="Times New Roman"/>
        </w:rPr>
        <w:t xml:space="preserve">However, in co-culture </w:t>
      </w:r>
      <w:r w:rsidR="007E48E0">
        <w:rPr>
          <w:rFonts w:ascii="Times New Roman" w:hAnsi="Times New Roman" w:cs="Times New Roman"/>
        </w:rPr>
        <w:t>the LUHMES form</w:t>
      </w:r>
      <w:r w:rsidR="00FD3DF7">
        <w:rPr>
          <w:rFonts w:ascii="Times New Roman" w:hAnsi="Times New Roman" w:cs="Times New Roman"/>
        </w:rPr>
        <w:t>ed</w:t>
      </w:r>
      <w:r w:rsidR="00A542E9">
        <w:rPr>
          <w:rFonts w:ascii="Times New Roman" w:hAnsi="Times New Roman" w:cs="Times New Roman"/>
        </w:rPr>
        <w:t xml:space="preserve"> strong networks of neuronal bundles on top of the astrocytes</w:t>
      </w:r>
      <w:r w:rsidR="00222472">
        <w:rPr>
          <w:rFonts w:ascii="Times New Roman" w:hAnsi="Times New Roman" w:cs="Times New Roman"/>
        </w:rPr>
        <w:t xml:space="preserve">. </w:t>
      </w:r>
      <w:r w:rsidR="00891F50">
        <w:rPr>
          <w:rFonts w:ascii="Times New Roman" w:hAnsi="Times New Roman" w:cs="Times New Roman"/>
        </w:rPr>
        <w:t>By</w:t>
      </w:r>
      <w:r w:rsidR="009E5749">
        <w:rPr>
          <w:rFonts w:ascii="Times New Roman" w:hAnsi="Times New Roman" w:cs="Times New Roman"/>
        </w:rPr>
        <w:t xml:space="preserve"> day 14</w:t>
      </w:r>
      <w:r w:rsidR="00891F50">
        <w:rPr>
          <w:rFonts w:ascii="Times New Roman" w:hAnsi="Times New Roman" w:cs="Times New Roman"/>
        </w:rPr>
        <w:t xml:space="preserve"> (or 12 days in co-culture)</w:t>
      </w:r>
      <w:r w:rsidR="009E5749">
        <w:rPr>
          <w:rFonts w:ascii="Times New Roman" w:hAnsi="Times New Roman" w:cs="Times New Roman"/>
        </w:rPr>
        <w:t xml:space="preserve">, </w:t>
      </w:r>
      <w:r w:rsidR="00891F50">
        <w:rPr>
          <w:rFonts w:ascii="Times New Roman" w:hAnsi="Times New Roman" w:cs="Times New Roman"/>
        </w:rPr>
        <w:t>there we</w:t>
      </w:r>
      <w:r>
        <w:rPr>
          <w:rFonts w:ascii="Times New Roman" w:hAnsi="Times New Roman" w:cs="Times New Roman"/>
        </w:rPr>
        <w:t>re no GFP-expressing LUHMES present in monoculture whereas neurons in co-</w:t>
      </w:r>
      <w:r w:rsidR="00891F50">
        <w:rPr>
          <w:rFonts w:ascii="Times New Roman" w:hAnsi="Times New Roman" w:cs="Times New Roman"/>
        </w:rPr>
        <w:t>culture we</w:t>
      </w:r>
      <w:r>
        <w:rPr>
          <w:rFonts w:ascii="Times New Roman" w:hAnsi="Times New Roman" w:cs="Times New Roman"/>
        </w:rPr>
        <w:t xml:space="preserve">re still present indicating that astrocytes </w:t>
      </w:r>
      <w:r w:rsidR="00891F50">
        <w:rPr>
          <w:rFonts w:ascii="Times New Roman" w:hAnsi="Times New Roman" w:cs="Times New Roman"/>
        </w:rPr>
        <w:t>could</w:t>
      </w:r>
      <w:r>
        <w:rPr>
          <w:rFonts w:ascii="Times New Roman" w:hAnsi="Times New Roman" w:cs="Times New Roman"/>
        </w:rPr>
        <w:t xml:space="preserve"> prolong the survival of LUHMES</w:t>
      </w:r>
      <w:r w:rsidR="00891F50">
        <w:rPr>
          <w:rFonts w:ascii="Times New Roman" w:hAnsi="Times New Roman" w:cs="Times New Roman"/>
        </w:rPr>
        <w:t xml:space="preserve"> in this co-culture system</w:t>
      </w:r>
      <w:r>
        <w:rPr>
          <w:rFonts w:ascii="Times New Roman" w:hAnsi="Times New Roman" w:cs="Times New Roman"/>
        </w:rPr>
        <w:t>.</w:t>
      </w:r>
      <w:r w:rsidR="00502E21">
        <w:rPr>
          <w:rFonts w:ascii="Times New Roman" w:hAnsi="Times New Roman" w:cs="Times New Roman"/>
        </w:rPr>
        <w:t xml:space="preserve"> </w:t>
      </w:r>
    </w:p>
    <w:p w14:paraId="36E17261" w14:textId="77777777" w:rsidR="00991419" w:rsidRDefault="00991419" w:rsidP="00C63BC1">
      <w:pPr>
        <w:jc w:val="both"/>
        <w:rPr>
          <w:rFonts w:ascii="Times New Roman" w:hAnsi="Times New Roman" w:cs="Times New Roman"/>
          <w:b/>
          <w:u w:val="single"/>
        </w:rPr>
      </w:pPr>
    </w:p>
    <w:p w14:paraId="77F71A9F" w14:textId="6D461E03" w:rsidR="00AC1223" w:rsidRDefault="00AC1223" w:rsidP="00C63BC1">
      <w:pPr>
        <w:jc w:val="both"/>
        <w:rPr>
          <w:rFonts w:ascii="Times New Roman" w:hAnsi="Times New Roman" w:cs="Times New Roman"/>
          <w:b/>
          <w:noProof/>
        </w:rPr>
      </w:pPr>
    </w:p>
    <w:p w14:paraId="35FA44B0" w14:textId="77777777" w:rsidR="00535052" w:rsidRDefault="00535052">
      <w:pPr>
        <w:rPr>
          <w:rFonts w:ascii="Times New Roman" w:hAnsi="Times New Roman" w:cs="Times New Roman"/>
          <w:b/>
          <w:noProof/>
        </w:rPr>
      </w:pPr>
    </w:p>
    <w:p w14:paraId="5D29E77B" w14:textId="77777777" w:rsidR="00535052" w:rsidRDefault="00535052">
      <w:pPr>
        <w:rPr>
          <w:rFonts w:ascii="Times New Roman" w:hAnsi="Times New Roman" w:cs="Times New Roman"/>
          <w:b/>
          <w:noProof/>
        </w:rPr>
      </w:pPr>
    </w:p>
    <w:p w14:paraId="2BA247D4" w14:textId="77777777" w:rsidR="00535052" w:rsidRDefault="00535052">
      <w:pPr>
        <w:rPr>
          <w:rFonts w:ascii="Times New Roman" w:hAnsi="Times New Roman" w:cs="Times New Roman"/>
          <w:b/>
          <w:noProof/>
        </w:rPr>
      </w:pPr>
    </w:p>
    <w:p w14:paraId="0BAA6A4F" w14:textId="77777777" w:rsidR="00535052" w:rsidRDefault="00535052">
      <w:pPr>
        <w:rPr>
          <w:rFonts w:ascii="Times New Roman" w:hAnsi="Times New Roman" w:cs="Times New Roman"/>
          <w:b/>
          <w:noProof/>
        </w:rPr>
      </w:pPr>
    </w:p>
    <w:p w14:paraId="23BD0775" w14:textId="77777777" w:rsidR="00535052" w:rsidRDefault="00535052">
      <w:pPr>
        <w:rPr>
          <w:rFonts w:ascii="Times New Roman" w:hAnsi="Times New Roman" w:cs="Times New Roman"/>
          <w:b/>
          <w:noProof/>
        </w:rPr>
      </w:pPr>
    </w:p>
    <w:p w14:paraId="25D3D42B" w14:textId="77777777" w:rsidR="00535052" w:rsidRDefault="00535052">
      <w:pPr>
        <w:rPr>
          <w:rFonts w:ascii="Times New Roman" w:hAnsi="Times New Roman" w:cs="Times New Roman"/>
          <w:b/>
          <w:noProof/>
        </w:rPr>
      </w:pPr>
    </w:p>
    <w:p w14:paraId="4A7F4618" w14:textId="77777777" w:rsidR="00535052" w:rsidRDefault="00535052">
      <w:pPr>
        <w:rPr>
          <w:rFonts w:ascii="Times New Roman" w:hAnsi="Times New Roman" w:cs="Times New Roman"/>
          <w:b/>
          <w:noProof/>
        </w:rPr>
      </w:pPr>
    </w:p>
    <w:p w14:paraId="0FB0E3B5" w14:textId="77777777" w:rsidR="00535052" w:rsidRDefault="00535052">
      <w:pPr>
        <w:rPr>
          <w:rFonts w:ascii="Times New Roman" w:hAnsi="Times New Roman" w:cs="Times New Roman"/>
          <w:b/>
          <w:noProof/>
        </w:rPr>
      </w:pPr>
    </w:p>
    <w:p w14:paraId="101C5A31" w14:textId="77777777" w:rsidR="00535052" w:rsidRDefault="00535052">
      <w:pPr>
        <w:rPr>
          <w:rFonts w:ascii="Times New Roman" w:hAnsi="Times New Roman" w:cs="Times New Roman"/>
          <w:b/>
          <w:noProof/>
        </w:rPr>
      </w:pPr>
    </w:p>
    <w:p w14:paraId="2ABCCF90" w14:textId="77777777" w:rsidR="00535052" w:rsidRDefault="00535052">
      <w:pPr>
        <w:rPr>
          <w:rFonts w:ascii="Times New Roman" w:hAnsi="Times New Roman" w:cs="Times New Roman"/>
          <w:b/>
          <w:noProof/>
        </w:rPr>
      </w:pPr>
    </w:p>
    <w:p w14:paraId="28737EE9" w14:textId="77777777" w:rsidR="00535052" w:rsidRDefault="00535052">
      <w:pPr>
        <w:rPr>
          <w:rFonts w:ascii="Times New Roman" w:hAnsi="Times New Roman" w:cs="Times New Roman"/>
          <w:b/>
          <w:noProof/>
        </w:rPr>
      </w:pPr>
    </w:p>
    <w:p w14:paraId="64062BC3" w14:textId="77777777" w:rsidR="00115AC5" w:rsidRDefault="00115AC5">
      <w:pPr>
        <w:rPr>
          <w:rFonts w:ascii="Times New Roman" w:hAnsi="Times New Roman" w:cs="Times New Roman"/>
          <w:b/>
        </w:rPr>
      </w:pPr>
    </w:p>
    <w:p w14:paraId="3AD90675" w14:textId="65B21197" w:rsidR="00115AC5" w:rsidRPr="00115AC5" w:rsidRDefault="00115AC5">
      <w:pPr>
        <w:rPr>
          <w:rFonts w:ascii="Times New Roman" w:hAnsi="Times New Roman" w:cs="Times New Roman"/>
          <w:b/>
          <w:sz w:val="36"/>
          <w:szCs w:val="36"/>
        </w:rPr>
      </w:pPr>
      <w:r>
        <w:rPr>
          <w:rFonts w:ascii="Times New Roman" w:hAnsi="Times New Roman" w:cs="Times New Roman"/>
          <w:b/>
          <w:sz w:val="36"/>
          <w:szCs w:val="36"/>
        </w:rPr>
        <w:t>A.</w:t>
      </w:r>
    </w:p>
    <w:p w14:paraId="5BC9CD40" w14:textId="1CF1603F" w:rsidR="00115AC5" w:rsidRDefault="007F1A7C">
      <w:pPr>
        <w:rPr>
          <w:rFonts w:ascii="Times New Roman" w:hAnsi="Times New Roman" w:cs="Times New Roman"/>
          <w:b/>
        </w:rPr>
      </w:pPr>
      <w:r>
        <w:rPr>
          <w:rFonts w:ascii="Times New Roman" w:hAnsi="Times New Roman" w:cs="Times New Roman"/>
          <w:b/>
        </w:rPr>
        <w:t xml:space="preserve">                    </w:t>
      </w:r>
      <w:r>
        <w:rPr>
          <w:rFonts w:ascii="Times New Roman" w:hAnsi="Times New Roman" w:cs="Times New Roman"/>
          <w:b/>
          <w:noProof/>
          <w:sz w:val="36"/>
          <w:szCs w:val="36"/>
        </w:rPr>
        <w:drawing>
          <wp:inline distT="0" distB="0" distL="0" distR="0" wp14:anchorId="0067A3C0" wp14:editId="0B5F7968">
            <wp:extent cx="4160520" cy="2653487"/>
            <wp:effectExtent l="0" t="0" r="5080" b="0"/>
            <wp:docPr id="1073741845" name="Picture 107374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63">
                      <a:extLst>
                        <a:ext uri="{28A0092B-C50C-407E-A947-70E740481C1C}">
                          <a14:useLocalDpi xmlns:a14="http://schemas.microsoft.com/office/drawing/2010/main" val="0"/>
                        </a:ext>
                      </a:extLst>
                    </a:blip>
                    <a:srcRect l="26776" t="29379" r="26458" b="30844"/>
                    <a:stretch/>
                  </pic:blipFill>
                  <pic:spPr bwMode="auto">
                    <a:xfrm>
                      <a:off x="0" y="0"/>
                      <a:ext cx="4163679" cy="2655502"/>
                    </a:xfrm>
                    <a:prstGeom prst="rect">
                      <a:avLst/>
                    </a:prstGeom>
                    <a:ln>
                      <a:noFill/>
                    </a:ln>
                    <a:extLst>
                      <a:ext uri="{53640926-AAD7-44d8-BBD7-CCE9431645EC}">
                        <a14:shadowObscured xmlns:a14="http://schemas.microsoft.com/office/drawing/2010/main"/>
                      </a:ext>
                    </a:extLst>
                  </pic:spPr>
                </pic:pic>
              </a:graphicData>
            </a:graphic>
          </wp:inline>
        </w:drawing>
      </w:r>
    </w:p>
    <w:p w14:paraId="42ED08AF" w14:textId="77777777" w:rsidR="007F1A7C" w:rsidRDefault="007F1A7C">
      <w:pPr>
        <w:rPr>
          <w:rFonts w:ascii="Times New Roman" w:hAnsi="Times New Roman" w:cs="Times New Roman"/>
          <w:b/>
          <w:sz w:val="40"/>
          <w:szCs w:val="40"/>
        </w:rPr>
      </w:pPr>
    </w:p>
    <w:p w14:paraId="5E4FBF7A" w14:textId="6BE0F3DB" w:rsidR="00115AC5" w:rsidRPr="00115AC5" w:rsidRDefault="00115AC5">
      <w:pPr>
        <w:rPr>
          <w:rFonts w:ascii="Times New Roman" w:hAnsi="Times New Roman" w:cs="Times New Roman"/>
          <w:b/>
          <w:sz w:val="40"/>
          <w:szCs w:val="40"/>
        </w:rPr>
      </w:pPr>
      <w:r>
        <w:rPr>
          <w:rFonts w:ascii="Times New Roman" w:hAnsi="Times New Roman" w:cs="Times New Roman"/>
          <w:b/>
          <w:sz w:val="40"/>
          <w:szCs w:val="40"/>
        </w:rPr>
        <w:t>B.</w:t>
      </w:r>
      <w:r w:rsidR="007F1A7C" w:rsidRPr="007F1A7C">
        <w:rPr>
          <w:rFonts w:ascii="Times New Roman" w:hAnsi="Times New Roman" w:cs="Times New Roman"/>
          <w:b/>
          <w:noProof/>
          <w:sz w:val="36"/>
          <w:szCs w:val="36"/>
        </w:rPr>
        <w:t xml:space="preserve"> </w:t>
      </w:r>
    </w:p>
    <w:p w14:paraId="70C70CC1" w14:textId="57EA9E7F" w:rsidR="00AC1223" w:rsidRPr="00725313" w:rsidRDefault="007F1A7C">
      <w:pPr>
        <w:rPr>
          <w:rFonts w:ascii="Times New Roman" w:hAnsi="Times New Roman" w:cs="Times New Roman"/>
          <w:b/>
        </w:rPr>
      </w:pPr>
      <w:r>
        <w:rPr>
          <w:rFonts w:ascii="Times New Roman" w:hAnsi="Times New Roman" w:cs="Times New Roman"/>
          <w:b/>
        </w:rPr>
        <w:t xml:space="preserve">           </w:t>
      </w:r>
      <w:r>
        <w:rPr>
          <w:rFonts w:ascii="Times New Roman" w:hAnsi="Times New Roman" w:cs="Times New Roman"/>
          <w:b/>
          <w:noProof/>
          <w:sz w:val="40"/>
          <w:szCs w:val="40"/>
        </w:rPr>
        <w:drawing>
          <wp:inline distT="0" distB="0" distL="0" distR="0" wp14:anchorId="58992817" wp14:editId="06A3E090">
            <wp:extent cx="4736318" cy="4568825"/>
            <wp:effectExtent l="0" t="0" r="0" b="3175"/>
            <wp:docPr id="1073741846" name="Picture 107374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rotWithShape="1">
                    <a:blip r:embed="rId64">
                      <a:extLst>
                        <a:ext uri="{28A0092B-C50C-407E-A947-70E740481C1C}">
                          <a14:useLocalDpi xmlns:a14="http://schemas.microsoft.com/office/drawing/2010/main" val="0"/>
                        </a:ext>
                      </a:extLst>
                    </a:blip>
                    <a:srcRect l="11024" t="-2043" r="9657"/>
                    <a:stretch/>
                  </pic:blipFill>
                  <pic:spPr bwMode="auto">
                    <a:xfrm>
                      <a:off x="0" y="0"/>
                      <a:ext cx="4737161" cy="4569639"/>
                    </a:xfrm>
                    <a:prstGeom prst="rect">
                      <a:avLst/>
                    </a:prstGeom>
                    <a:ln>
                      <a:noFill/>
                    </a:ln>
                    <a:extLst>
                      <a:ext uri="{53640926-AAD7-44d8-BBD7-CCE9431645EC}">
                        <a14:shadowObscured xmlns:a14="http://schemas.microsoft.com/office/drawing/2010/main"/>
                      </a:ext>
                    </a:extLst>
                  </pic:spPr>
                </pic:pic>
              </a:graphicData>
            </a:graphic>
          </wp:inline>
        </w:drawing>
      </w:r>
    </w:p>
    <w:p w14:paraId="1F41470B" w14:textId="2768D8B2" w:rsidR="00AC1223" w:rsidRPr="005274F8" w:rsidRDefault="00AC1223">
      <w:pPr>
        <w:rPr>
          <w:rFonts w:ascii="Times New Roman" w:hAnsi="Times New Roman" w:cs="Times New Roman"/>
        </w:rPr>
      </w:pPr>
    </w:p>
    <w:p w14:paraId="346CA153" w14:textId="77777777" w:rsidR="00AC1223" w:rsidRDefault="00AC1223">
      <w:pPr>
        <w:rPr>
          <w:rFonts w:ascii="Times New Roman" w:hAnsi="Times New Roman" w:cs="Times New Roman"/>
          <w:b/>
          <w:u w:val="single"/>
        </w:rPr>
      </w:pPr>
    </w:p>
    <w:p w14:paraId="4675AB58" w14:textId="77777777" w:rsidR="00AC1223" w:rsidRPr="00AC1223" w:rsidRDefault="00AC1223">
      <w:pPr>
        <w:rPr>
          <w:rFonts w:ascii="Times New Roman" w:hAnsi="Times New Roman" w:cs="Times New Roman"/>
          <w:b/>
          <w:u w:val="single"/>
        </w:rPr>
      </w:pPr>
    </w:p>
    <w:p w14:paraId="7B6A9EEB" w14:textId="77777777" w:rsidR="001B72D6" w:rsidRDefault="00497ECB" w:rsidP="00C664C4">
      <w:pPr>
        <w:pStyle w:val="Caption"/>
      </w:pPr>
      <w:bookmarkStart w:id="1465" w:name="_Toc333569067"/>
      <w:bookmarkStart w:id="1466" w:name="_Toc333569292"/>
      <w:bookmarkStart w:id="1467" w:name="_Toc333570846"/>
      <w:bookmarkStart w:id="1468" w:name="_Toc333582229"/>
      <w:bookmarkStart w:id="1469" w:name="_Toc333582349"/>
      <w:bookmarkStart w:id="1470" w:name="_Toc333582761"/>
      <w:bookmarkStart w:id="1471" w:name="_Toc333583131"/>
      <w:bookmarkStart w:id="1472" w:name="_Toc333585239"/>
      <w:bookmarkStart w:id="1473" w:name="_Toc333586791"/>
      <w:bookmarkStart w:id="1474" w:name="_Toc333644490"/>
      <w:bookmarkStart w:id="1475" w:name="_Toc333644784"/>
      <w:r>
        <w:t xml:space="preserve">Figure </w:t>
      </w:r>
      <w:r w:rsidR="00F94933">
        <w:t>4.1</w:t>
      </w:r>
      <w:r w:rsidR="00B92D16">
        <w:t>2</w:t>
      </w:r>
      <w:r w:rsidR="0043060F">
        <w:t>.</w:t>
      </w:r>
      <w:r>
        <w:t xml:space="preserve"> </w:t>
      </w:r>
      <w:r w:rsidRPr="007575A0">
        <w:t>Astrocytes enhance the survival of LUHMES.</w:t>
      </w:r>
      <w:bookmarkEnd w:id="1465"/>
      <w:bookmarkEnd w:id="1466"/>
      <w:bookmarkEnd w:id="1467"/>
      <w:bookmarkEnd w:id="1468"/>
      <w:bookmarkEnd w:id="1469"/>
      <w:bookmarkEnd w:id="1470"/>
      <w:bookmarkEnd w:id="1471"/>
      <w:bookmarkEnd w:id="1472"/>
      <w:bookmarkEnd w:id="1473"/>
      <w:bookmarkEnd w:id="1474"/>
      <w:bookmarkEnd w:id="1475"/>
    </w:p>
    <w:p w14:paraId="6C72AA96" w14:textId="2D294735" w:rsidR="009F3E9C" w:rsidRDefault="00004C6C" w:rsidP="00C63BC1">
      <w:pPr>
        <w:spacing w:line="360" w:lineRule="auto"/>
        <w:jc w:val="both"/>
        <w:rPr>
          <w:rFonts w:ascii="Times New Roman" w:hAnsi="Times New Roman" w:cs="Times New Roman"/>
          <w:color w:val="FF0000"/>
        </w:rPr>
      </w:pPr>
      <w:r>
        <w:rPr>
          <w:rFonts w:ascii="Times New Roman" w:hAnsi="Times New Roman" w:cs="Times New Roman"/>
        </w:rPr>
        <w:t>(</w:t>
      </w:r>
      <w:r w:rsidR="00115AC5" w:rsidRPr="00115AC5">
        <w:rPr>
          <w:rFonts w:ascii="Times New Roman" w:hAnsi="Times New Roman" w:cs="Times New Roman"/>
          <w:b/>
        </w:rPr>
        <w:t>A</w:t>
      </w:r>
      <w:r>
        <w:rPr>
          <w:rFonts w:ascii="Times New Roman" w:hAnsi="Times New Roman" w:cs="Times New Roman"/>
        </w:rPr>
        <w:t>)</w:t>
      </w:r>
      <w:r w:rsidR="0035352A">
        <w:rPr>
          <w:rFonts w:ascii="Times New Roman" w:hAnsi="Times New Roman" w:cs="Times New Roman"/>
        </w:rPr>
        <w:t xml:space="preserve"> Brightfield images of LUHMES on the 10</w:t>
      </w:r>
      <w:r w:rsidR="0035352A" w:rsidRPr="0035352A">
        <w:rPr>
          <w:rFonts w:ascii="Times New Roman" w:hAnsi="Times New Roman" w:cs="Times New Roman"/>
          <w:vertAlign w:val="superscript"/>
        </w:rPr>
        <w:t>th</w:t>
      </w:r>
      <w:r w:rsidR="0035352A">
        <w:rPr>
          <w:rFonts w:ascii="Times New Roman" w:hAnsi="Times New Roman" w:cs="Times New Roman"/>
        </w:rPr>
        <w:t xml:space="preserve"> day in isolation or in co-culture with astrocytes</w:t>
      </w:r>
      <w:r w:rsidR="00115AC5">
        <w:rPr>
          <w:rFonts w:ascii="Times New Roman" w:hAnsi="Times New Roman" w:cs="Times New Roman"/>
        </w:rPr>
        <w:t>.</w:t>
      </w:r>
      <w:r w:rsidR="00F04ACA">
        <w:rPr>
          <w:rFonts w:ascii="Times New Roman" w:hAnsi="Times New Roman" w:cs="Times New Roman"/>
        </w:rPr>
        <w:t xml:space="preserve"> Axons</w:t>
      </w:r>
      <w:r w:rsidR="008D69D4">
        <w:rPr>
          <w:rFonts w:ascii="Times New Roman" w:hAnsi="Times New Roman" w:cs="Times New Roman"/>
        </w:rPr>
        <w:t xml:space="preserve"> were preserved when neurons we</w:t>
      </w:r>
      <w:r w:rsidR="00F04ACA">
        <w:rPr>
          <w:rFonts w:ascii="Times New Roman" w:hAnsi="Times New Roman" w:cs="Times New Roman"/>
        </w:rPr>
        <w:t>re co-cultured with astrocytes</w:t>
      </w:r>
      <w:r w:rsidR="0035352A">
        <w:rPr>
          <w:rFonts w:ascii="Times New Roman" w:hAnsi="Times New Roman" w:cs="Times New Roman"/>
        </w:rPr>
        <w:t xml:space="preserve"> </w:t>
      </w:r>
      <w:r w:rsidR="008D69D4">
        <w:rPr>
          <w:rFonts w:ascii="Times New Roman" w:hAnsi="Times New Roman" w:cs="Times New Roman"/>
        </w:rPr>
        <w:t>compared to neurons in isolation</w:t>
      </w:r>
      <w:r w:rsidR="0035352A">
        <w:rPr>
          <w:rFonts w:ascii="Times New Roman" w:hAnsi="Times New Roman" w:cs="Times New Roman"/>
        </w:rPr>
        <w:t>, as indicated by the red arrows</w:t>
      </w:r>
      <w:r w:rsidR="00F04ACA">
        <w:rPr>
          <w:rFonts w:ascii="Times New Roman" w:hAnsi="Times New Roman" w:cs="Times New Roman"/>
        </w:rPr>
        <w:t>.</w:t>
      </w:r>
      <w:r w:rsidR="00A1603F">
        <w:rPr>
          <w:rFonts w:ascii="Times New Roman" w:hAnsi="Times New Roman" w:cs="Times New Roman"/>
        </w:rPr>
        <w:t xml:space="preserve"> </w:t>
      </w:r>
      <w:r>
        <w:rPr>
          <w:rFonts w:ascii="Times New Roman" w:hAnsi="Times New Roman" w:cs="Times New Roman"/>
        </w:rPr>
        <w:t>(</w:t>
      </w:r>
      <w:r w:rsidR="00115AC5" w:rsidRPr="00115AC5">
        <w:rPr>
          <w:rFonts w:ascii="Times New Roman" w:hAnsi="Times New Roman" w:cs="Times New Roman"/>
          <w:b/>
        </w:rPr>
        <w:t>B</w:t>
      </w:r>
      <w:r>
        <w:rPr>
          <w:rFonts w:ascii="Times New Roman" w:hAnsi="Times New Roman" w:cs="Times New Roman"/>
        </w:rPr>
        <w:t>)</w:t>
      </w:r>
      <w:r w:rsidR="00115AC5">
        <w:rPr>
          <w:rFonts w:ascii="Times New Roman" w:hAnsi="Times New Roman" w:cs="Times New Roman"/>
        </w:rPr>
        <w:t xml:space="preserve"> </w:t>
      </w:r>
      <w:r w:rsidR="009F3E9C">
        <w:rPr>
          <w:rFonts w:ascii="Times New Roman" w:hAnsi="Times New Roman" w:cs="Times New Roman"/>
        </w:rPr>
        <w:t>GFP LUHMES were grown in</w:t>
      </w:r>
      <w:r w:rsidR="0035352A">
        <w:rPr>
          <w:rFonts w:ascii="Times New Roman" w:hAnsi="Times New Roman" w:cs="Times New Roman"/>
        </w:rPr>
        <w:t xml:space="preserve"> isolation or co-cultured with astrocytes for </w:t>
      </w:r>
      <w:r w:rsidR="009F3E9C">
        <w:rPr>
          <w:rFonts w:ascii="Times New Roman" w:hAnsi="Times New Roman" w:cs="Times New Roman"/>
        </w:rPr>
        <w:t>3, 6 and 12 days</w:t>
      </w:r>
      <w:r w:rsidR="0035352A">
        <w:rPr>
          <w:rFonts w:ascii="Times New Roman" w:hAnsi="Times New Roman" w:cs="Times New Roman"/>
        </w:rPr>
        <w:t xml:space="preserve"> and subsequently fixed and imaged for GFP-expressing LUHMES (green). Scale bar represents 5</w:t>
      </w:r>
      <w:r w:rsidR="009769CF">
        <w:rPr>
          <w:rFonts w:ascii="Times New Roman" w:hAnsi="Times New Roman" w:cs="Times New Roman"/>
        </w:rPr>
        <w:t>0μM</w:t>
      </w:r>
      <w:r w:rsidR="00C63BC1">
        <w:rPr>
          <w:rFonts w:ascii="Times New Roman" w:hAnsi="Times New Roman" w:cs="Times New Roman"/>
        </w:rPr>
        <w:t>.</w:t>
      </w:r>
      <w:r w:rsidR="009769CF">
        <w:rPr>
          <w:rFonts w:ascii="Times New Roman" w:hAnsi="Times New Roman" w:cs="Times New Roman"/>
        </w:rPr>
        <w:t xml:space="preserve"> </w:t>
      </w:r>
    </w:p>
    <w:p w14:paraId="128B8C78" w14:textId="77777777" w:rsidR="00652FF0" w:rsidRPr="00756EA1" w:rsidRDefault="00652FF0" w:rsidP="00756EA1">
      <w:pPr>
        <w:spacing w:line="360" w:lineRule="auto"/>
        <w:rPr>
          <w:rFonts w:ascii="Times New Roman" w:hAnsi="Times New Roman" w:cs="Times New Roman"/>
          <w:color w:val="FF0000"/>
        </w:rPr>
      </w:pPr>
    </w:p>
    <w:p w14:paraId="68338600" w14:textId="0DEDD80C" w:rsidR="00710FF0" w:rsidRDefault="00F00E0E" w:rsidP="00395B55">
      <w:pPr>
        <w:pStyle w:val="Heading3"/>
      </w:pPr>
      <w:bookmarkStart w:id="1476" w:name="_Toc328301171"/>
      <w:bookmarkStart w:id="1477" w:name="_Toc329593462"/>
      <w:bookmarkStart w:id="1478" w:name="_Toc331425961"/>
      <w:bookmarkStart w:id="1479" w:name="_Toc331427142"/>
      <w:bookmarkStart w:id="1480" w:name="_Toc331427514"/>
      <w:bookmarkStart w:id="1481" w:name="_Toc331427656"/>
      <w:bookmarkStart w:id="1482" w:name="_Toc332972661"/>
      <w:bookmarkStart w:id="1483" w:name="_Toc333046940"/>
      <w:bookmarkStart w:id="1484" w:name="_Toc333477287"/>
      <w:bookmarkStart w:id="1485" w:name="_Toc333478057"/>
      <w:bookmarkStart w:id="1486" w:name="_Toc333644957"/>
      <w:r>
        <w:t>4.4</w:t>
      </w:r>
      <w:r w:rsidR="00F94933">
        <w:t xml:space="preserve">.8 </w:t>
      </w:r>
      <w:r w:rsidR="00710FF0" w:rsidRPr="00710FF0">
        <w:t>Neurite outgrowth is facilitated by direct contact with astrocytes</w:t>
      </w:r>
      <w:bookmarkEnd w:id="1476"/>
      <w:bookmarkEnd w:id="1477"/>
      <w:bookmarkEnd w:id="1478"/>
      <w:bookmarkEnd w:id="1479"/>
      <w:bookmarkEnd w:id="1480"/>
      <w:bookmarkEnd w:id="1481"/>
      <w:bookmarkEnd w:id="1482"/>
      <w:bookmarkEnd w:id="1483"/>
      <w:bookmarkEnd w:id="1484"/>
      <w:bookmarkEnd w:id="1485"/>
      <w:bookmarkEnd w:id="1486"/>
    </w:p>
    <w:p w14:paraId="24BD2F69" w14:textId="77777777" w:rsidR="006D4EFB" w:rsidRDefault="006D4EFB">
      <w:pPr>
        <w:rPr>
          <w:rFonts w:ascii="Times New Roman" w:hAnsi="Times New Roman" w:cs="Times New Roman"/>
        </w:rPr>
      </w:pPr>
    </w:p>
    <w:p w14:paraId="08D09E33" w14:textId="77777777" w:rsidR="006D4EFB" w:rsidRDefault="006D4EFB">
      <w:pPr>
        <w:rPr>
          <w:rFonts w:ascii="Times New Roman" w:hAnsi="Times New Roman" w:cs="Times New Roman"/>
        </w:rPr>
      </w:pPr>
    </w:p>
    <w:p w14:paraId="31E9718C" w14:textId="7FCE9B1C" w:rsidR="00786DA6" w:rsidRDefault="006D4EFB" w:rsidP="00C63BC1">
      <w:pPr>
        <w:spacing w:line="360" w:lineRule="auto"/>
        <w:jc w:val="both"/>
        <w:rPr>
          <w:rFonts w:ascii="Times New Roman" w:hAnsi="Times New Roman" w:cs="Times New Roman"/>
        </w:rPr>
      </w:pPr>
      <w:r>
        <w:rPr>
          <w:rFonts w:ascii="Times New Roman" w:hAnsi="Times New Roman" w:cs="Times New Roman"/>
        </w:rPr>
        <w:t>Following observations</w:t>
      </w:r>
      <w:r w:rsidR="00032D96">
        <w:rPr>
          <w:rFonts w:ascii="Times New Roman" w:hAnsi="Times New Roman" w:cs="Times New Roman"/>
        </w:rPr>
        <w:t xml:space="preserve"> made in section </w:t>
      </w:r>
      <w:r w:rsidR="00BB32DF">
        <w:rPr>
          <w:rFonts w:ascii="Times New Roman" w:hAnsi="Times New Roman" w:cs="Times New Roman"/>
        </w:rPr>
        <w:t>4.4.3</w:t>
      </w:r>
      <w:r w:rsidR="00032D96">
        <w:rPr>
          <w:rFonts w:ascii="Times New Roman" w:hAnsi="Times New Roman" w:cs="Times New Roman"/>
        </w:rPr>
        <w:t xml:space="preserve"> and reports in the literature that astrocytes enhance neurite outgrowth,</w:t>
      </w:r>
      <w:r>
        <w:rPr>
          <w:rFonts w:ascii="Times New Roman" w:hAnsi="Times New Roman" w:cs="Times New Roman"/>
        </w:rPr>
        <w:t xml:space="preserve"> </w:t>
      </w:r>
      <w:r w:rsidR="00917642">
        <w:rPr>
          <w:rFonts w:ascii="Times New Roman" w:hAnsi="Times New Roman" w:cs="Times New Roman"/>
        </w:rPr>
        <w:t xml:space="preserve">an assay was designed </w:t>
      </w:r>
      <w:r w:rsidR="00B93088">
        <w:rPr>
          <w:rFonts w:ascii="Times New Roman" w:hAnsi="Times New Roman" w:cs="Times New Roman"/>
        </w:rPr>
        <w:t>to measure the neurite length of the</w:t>
      </w:r>
      <w:r w:rsidR="00B059AB">
        <w:rPr>
          <w:rFonts w:ascii="Times New Roman" w:hAnsi="Times New Roman" w:cs="Times New Roman"/>
        </w:rPr>
        <w:t xml:space="preserve"> GFP LUHMES</w:t>
      </w:r>
      <w:r w:rsidR="00CF491D">
        <w:rPr>
          <w:rFonts w:ascii="Times New Roman" w:hAnsi="Times New Roman" w:cs="Times New Roman"/>
        </w:rPr>
        <w:t xml:space="preserve"> in monoculture and in co-culture with human astrocytes. </w:t>
      </w:r>
      <w:r w:rsidR="00CC34A5">
        <w:rPr>
          <w:rFonts w:ascii="Times New Roman" w:hAnsi="Times New Roman" w:cs="Times New Roman"/>
        </w:rPr>
        <w:t>An ImageJ plugin called Simpl</w:t>
      </w:r>
      <w:r w:rsidR="00560FBE">
        <w:rPr>
          <w:rFonts w:ascii="Times New Roman" w:hAnsi="Times New Roman" w:cs="Times New Roman"/>
        </w:rPr>
        <w:t xml:space="preserve">e Neurite Tracer was used to measure neurite lengths, this method was inspired by earlier work that developed </w:t>
      </w:r>
      <w:r w:rsidR="005378E3">
        <w:rPr>
          <w:rFonts w:ascii="Times New Roman" w:hAnsi="Times New Roman" w:cs="Times New Roman"/>
        </w:rPr>
        <w:t>a similar</w:t>
      </w:r>
      <w:r w:rsidR="00560FBE">
        <w:rPr>
          <w:rFonts w:ascii="Times New Roman" w:hAnsi="Times New Roman" w:cs="Times New Roman"/>
        </w:rPr>
        <w:t xml:space="preserve"> tool in ImageJ to trace neurite lengths</w:t>
      </w:r>
      <w:r w:rsidR="005378E3">
        <w:rPr>
          <w:rFonts w:ascii="Times New Roman" w:hAnsi="Times New Roman" w:cs="Times New Roman"/>
        </w:rPr>
        <w:t xml:space="preserve"> </w:t>
      </w:r>
      <w:r w:rsidR="005378E3">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"10.1016/j.jneumeth.2007.08.029", "ISSN" : "0165-0270", "PMID" : "17936365", "abstract" : "In vitro assays to measure neuronal growth are a fundamental tool used by many neurobiologists studying neuronal development and regeneration. The quantification of these assays requires accurate measurements of neurite length and neuronal cell numbers in neuronal cultures. Generally, these measurements are obtained through labor-intensive manual or semi-manual tracing of images. To automate these measurements, we have written NeuriteTracer, a neurite tracing plugin for the freely available image-processing program ImageJ. The plugin analyzes fluorescence microscopy images of neurites and nuclei of dissociated cultured neurons. Given user-defined thresholds, the plugin counts neuronal nuclei, and traces and measures neurite length. We find that NeuriteTracer accurately measures neurite outgrowth from cerebellar, DRG and hippocampal neurons. Values obtained by NeuriteTracer correlate strongly with those obtained by semi-manual tracing with NeuronJ and by using a sophisticated analysis package, MetaXpress. We reveal the utility of NeuriteTracer by demonstrating its ability to detect the neurite outgrowth promoting capacity of the rho kinase inhibitor Y-27632. Our plugin is an attractive alternative to existing tracing tools because it is fully automated and ready for use within a freely accessible imaging program.", "author" : [ { "dropping-particle" : "", "family" : "Pool", "given" : "Madeline", "non-dropping-particle" : "", "parse-names" : false, "suffix" : "" }, { "dropping-particle" : "", "family" : "Thiemann", "given" : "Joachim", "non-dropping-particle" : "", "parse-names" : false, "suffix" : "" }, { "dropping-particle" : "", "family" : "Bar-Or", "given" : "Amit", "non-dropping-particle" : "", "parse-names" : false, "suffix" : "" }, { "dropping-particle" : "", "family" : "Fournier", "given" : "Alyson E", "non-dropping-particle" : "", "parse-names" : false, "suffix" : "" } ], "container-title" : "Journal of neuroscience methods", "id" : "ITEM-1", "issue" : "1", "issued" : { "date-parts" : [ [ "2008", "2", "15" ] ] }, "page" : "134-9", "title" : "NeuriteTracer: a novel ImageJ plugin for automated quantification of neurite outgrowth.", "type" : "article-journal", "volume" : "168" }, "uris" : [ "http://www.mendeley.com/documents/?uuid=94277915-48b9-4869-8297-051fad8b3a3b" ] } ], "mendeley" : { "formattedCitation" : "(Pool et al. 2008)", "plainTextFormattedCitation" : "(Pool et al. 2008)", "previouslyFormattedCitation" : "(Pool et al. 2008)" }, "properties" : { "noteIndex" : 0 }, "schema" : "https://github.com/citation-style-language/schema/raw/master/csl-citation.json" }</w:instrText>
      </w:r>
      <w:r w:rsidR="005378E3">
        <w:rPr>
          <w:rFonts w:ascii="Times New Roman" w:hAnsi="Times New Roman" w:cs="Times New Roman"/>
        </w:rPr>
        <w:fldChar w:fldCharType="separate"/>
      </w:r>
      <w:r w:rsidR="00C148FC" w:rsidRPr="00C148FC">
        <w:rPr>
          <w:rFonts w:ascii="Times New Roman" w:hAnsi="Times New Roman" w:cs="Times New Roman"/>
          <w:noProof/>
        </w:rPr>
        <w:t>(Pool et al. 2008)</w:t>
      </w:r>
      <w:r w:rsidR="005378E3">
        <w:rPr>
          <w:rFonts w:ascii="Times New Roman" w:hAnsi="Times New Roman" w:cs="Times New Roman"/>
        </w:rPr>
        <w:fldChar w:fldCharType="end"/>
      </w:r>
      <w:r w:rsidR="005378E3">
        <w:rPr>
          <w:rFonts w:ascii="Times New Roman" w:hAnsi="Times New Roman" w:cs="Times New Roman"/>
        </w:rPr>
        <w:t>.</w:t>
      </w:r>
      <w:r w:rsidR="00560FBE">
        <w:rPr>
          <w:rFonts w:ascii="Times New Roman" w:hAnsi="Times New Roman" w:cs="Times New Roman"/>
        </w:rPr>
        <w:t xml:space="preserve"> </w:t>
      </w:r>
      <w:r w:rsidR="00CF491D">
        <w:rPr>
          <w:rFonts w:ascii="Times New Roman" w:hAnsi="Times New Roman" w:cs="Times New Roman"/>
        </w:rPr>
        <w:t>This assay was also used to determine whether enhanced neurite outgrowth was due to the release of soluble factors from astrocytes or if any enhanced neurite outgrowth was reliant upon direct contact with the astrocytes.</w:t>
      </w:r>
    </w:p>
    <w:p w14:paraId="14E0744B" w14:textId="77777777" w:rsidR="00E00939" w:rsidRDefault="00786DA6" w:rsidP="00C63BC1">
      <w:pPr>
        <w:spacing w:line="360" w:lineRule="auto"/>
        <w:jc w:val="both"/>
        <w:rPr>
          <w:rFonts w:ascii="Times New Roman" w:hAnsi="Times New Roman" w:cs="Times New Roman"/>
        </w:rPr>
      </w:pPr>
      <w:r>
        <w:rPr>
          <w:rFonts w:ascii="Times New Roman" w:hAnsi="Times New Roman" w:cs="Times New Roman"/>
        </w:rPr>
        <w:t xml:space="preserve"> </w:t>
      </w:r>
      <w:r w:rsidR="00E00939">
        <w:rPr>
          <w:rFonts w:ascii="Times New Roman" w:hAnsi="Times New Roman" w:cs="Times New Roman"/>
        </w:rPr>
        <w:t xml:space="preserve">    </w:t>
      </w:r>
    </w:p>
    <w:p w14:paraId="77476F8E" w14:textId="19FC910B" w:rsidR="00F740CD" w:rsidRDefault="00786DA6" w:rsidP="00C63BC1">
      <w:pPr>
        <w:spacing w:line="360" w:lineRule="auto"/>
        <w:jc w:val="both"/>
        <w:rPr>
          <w:rFonts w:ascii="Times New Roman" w:hAnsi="Times New Roman" w:cs="Times New Roman"/>
        </w:rPr>
      </w:pPr>
      <w:r>
        <w:rPr>
          <w:rFonts w:ascii="Times New Roman" w:hAnsi="Times New Roman" w:cs="Times New Roman"/>
        </w:rPr>
        <w:t>In these experiments, the astrocytes</w:t>
      </w:r>
      <w:r w:rsidR="002E3190">
        <w:rPr>
          <w:rFonts w:ascii="Times New Roman" w:hAnsi="Times New Roman" w:cs="Times New Roman"/>
        </w:rPr>
        <w:t xml:space="preserve"> were cultured in the Advanced </w:t>
      </w:r>
      <w:r>
        <w:rPr>
          <w:rFonts w:ascii="Times New Roman" w:hAnsi="Times New Roman" w:cs="Times New Roman"/>
        </w:rPr>
        <w:t xml:space="preserve">MEM </w:t>
      </w:r>
      <w:r w:rsidR="0014092F">
        <w:rPr>
          <w:rFonts w:ascii="Times New Roman" w:hAnsi="Times New Roman" w:cs="Times New Roman"/>
        </w:rPr>
        <w:t>(</w:t>
      </w:r>
      <w:r w:rsidR="00CF491D">
        <w:rPr>
          <w:rFonts w:ascii="Times New Roman" w:hAnsi="Times New Roman" w:cs="Times New Roman"/>
        </w:rPr>
        <w:t xml:space="preserve">+ tetracycline) </w:t>
      </w:r>
      <w:r>
        <w:rPr>
          <w:rFonts w:ascii="Times New Roman" w:hAnsi="Times New Roman" w:cs="Times New Roman"/>
        </w:rPr>
        <w:t xml:space="preserve">for 24 hours, which is defined as the astrocyte conditioned media (ACM). LUHMES were cultured </w:t>
      </w:r>
      <w:r w:rsidR="00CF491D">
        <w:rPr>
          <w:rFonts w:ascii="Times New Roman" w:hAnsi="Times New Roman" w:cs="Times New Roman"/>
        </w:rPr>
        <w:t>in isolation</w:t>
      </w:r>
      <w:r>
        <w:rPr>
          <w:rFonts w:ascii="Times New Roman" w:hAnsi="Times New Roman" w:cs="Times New Roman"/>
        </w:rPr>
        <w:t xml:space="preserve">, in ACM or in co-culture with astrocytes </w:t>
      </w:r>
      <w:r w:rsidR="00CF491D">
        <w:rPr>
          <w:rFonts w:ascii="Times New Roman" w:hAnsi="Times New Roman" w:cs="Times New Roman"/>
        </w:rPr>
        <w:t>to determine if neurite outgrowth was i) influenced by the pre</w:t>
      </w:r>
      <w:r w:rsidR="00CC34A5">
        <w:rPr>
          <w:rFonts w:ascii="Times New Roman" w:hAnsi="Times New Roman" w:cs="Times New Roman"/>
        </w:rPr>
        <w:t>s</w:t>
      </w:r>
      <w:r w:rsidR="00CF491D">
        <w:rPr>
          <w:rFonts w:ascii="Times New Roman" w:hAnsi="Times New Roman" w:cs="Times New Roman"/>
        </w:rPr>
        <w:t>ence of astrocytes and ii) whether any astrocytic influence was contact-mediated or was due to a soluble factor released into the media. In these experiments, neurite outgrowth was significantly increased b</w:t>
      </w:r>
      <w:r w:rsidR="00F740CD">
        <w:rPr>
          <w:rFonts w:ascii="Times New Roman" w:hAnsi="Times New Roman" w:cs="Times New Roman"/>
        </w:rPr>
        <w:t>y astrocytes, and the results indicate that this increase is contact dependent since there was no increase in neurite outgrowth when LUHMES were cultured in ACM (</w:t>
      </w:r>
      <w:r w:rsidR="00F740CD" w:rsidRPr="00691810">
        <w:rPr>
          <w:rFonts w:ascii="Times New Roman" w:hAnsi="Times New Roman" w:cs="Times New Roman"/>
          <w:b/>
        </w:rPr>
        <w:t xml:space="preserve">figure </w:t>
      </w:r>
      <w:r w:rsidR="00BB32DF" w:rsidRPr="00691810">
        <w:rPr>
          <w:rFonts w:ascii="Times New Roman" w:hAnsi="Times New Roman" w:cs="Times New Roman"/>
          <w:b/>
        </w:rPr>
        <w:t>4.13</w:t>
      </w:r>
      <w:r w:rsidR="00F740CD">
        <w:rPr>
          <w:rFonts w:ascii="Times New Roman" w:hAnsi="Times New Roman" w:cs="Times New Roman"/>
        </w:rPr>
        <w:t xml:space="preserve">). However, a limitation of this experiment was that it failed to consider soluble factors released by astrocytes are likely to be influenced by the presence of LUHMES. </w:t>
      </w:r>
    </w:p>
    <w:p w14:paraId="4C2476F8" w14:textId="77777777" w:rsidR="005F182A" w:rsidRDefault="005F182A" w:rsidP="00C63BC1">
      <w:pPr>
        <w:spacing w:line="360" w:lineRule="auto"/>
        <w:jc w:val="both"/>
        <w:rPr>
          <w:rFonts w:ascii="Times New Roman" w:hAnsi="Times New Roman" w:cs="Times New Roman"/>
        </w:rPr>
      </w:pPr>
    </w:p>
    <w:p w14:paraId="7E8042CE" w14:textId="511FCDBC" w:rsidR="001202E8" w:rsidRDefault="00341CE5" w:rsidP="00C63BC1">
      <w:pPr>
        <w:spacing w:line="360" w:lineRule="auto"/>
        <w:jc w:val="both"/>
        <w:rPr>
          <w:rFonts w:ascii="Times New Roman" w:hAnsi="Times New Roman" w:cs="Times New Roman"/>
        </w:rPr>
      </w:pPr>
      <w:r>
        <w:rPr>
          <w:rFonts w:ascii="Times New Roman" w:hAnsi="Times New Roman" w:cs="Times New Roman"/>
        </w:rPr>
        <w:t>To address this, co-cultures were incubated with the a</w:t>
      </w:r>
      <w:r w:rsidR="004E03DF">
        <w:rPr>
          <w:rFonts w:ascii="Times New Roman" w:hAnsi="Times New Roman" w:cs="Times New Roman"/>
        </w:rPr>
        <w:t>dvanced media for 24 hours</w:t>
      </w:r>
      <w:r>
        <w:rPr>
          <w:rFonts w:ascii="Times New Roman" w:hAnsi="Times New Roman" w:cs="Times New Roman"/>
        </w:rPr>
        <w:t xml:space="preserve">, </w:t>
      </w:r>
      <w:r w:rsidR="00F740CD">
        <w:rPr>
          <w:rFonts w:ascii="Times New Roman" w:hAnsi="Times New Roman" w:cs="Times New Roman"/>
        </w:rPr>
        <w:t xml:space="preserve">and </w:t>
      </w:r>
      <w:r>
        <w:rPr>
          <w:rFonts w:ascii="Times New Roman" w:hAnsi="Times New Roman" w:cs="Times New Roman"/>
        </w:rPr>
        <w:t>th</w:t>
      </w:r>
      <w:r w:rsidR="00F740CD">
        <w:rPr>
          <w:rFonts w:ascii="Times New Roman" w:hAnsi="Times New Roman" w:cs="Times New Roman"/>
        </w:rPr>
        <w:t>e media taken from the</w:t>
      </w:r>
      <w:r w:rsidR="00496020">
        <w:rPr>
          <w:rFonts w:ascii="Times New Roman" w:hAnsi="Times New Roman" w:cs="Times New Roman"/>
        </w:rPr>
        <w:t>s</w:t>
      </w:r>
      <w:r w:rsidR="00F740CD">
        <w:rPr>
          <w:rFonts w:ascii="Times New Roman" w:hAnsi="Times New Roman" w:cs="Times New Roman"/>
        </w:rPr>
        <w:t>e co-cultures was referred to as</w:t>
      </w:r>
      <w:r w:rsidR="00496020">
        <w:rPr>
          <w:rFonts w:ascii="Times New Roman" w:hAnsi="Times New Roman" w:cs="Times New Roman"/>
        </w:rPr>
        <w:t xml:space="preserve"> </w:t>
      </w:r>
      <w:r>
        <w:rPr>
          <w:rFonts w:ascii="Times New Roman" w:hAnsi="Times New Roman" w:cs="Times New Roman"/>
        </w:rPr>
        <w:t>neuron-astrocyte conditioned media (NACM).</w:t>
      </w:r>
      <w:r w:rsidR="004E03DF">
        <w:rPr>
          <w:rFonts w:ascii="Times New Roman" w:hAnsi="Times New Roman" w:cs="Times New Roman"/>
        </w:rPr>
        <w:t xml:space="preserve"> LUHMES cells were grown in normal differentiation media, in NACM or in direct contact with the astrocytes for 24 hours before recording neurite lengths</w:t>
      </w:r>
      <w:r w:rsidR="00FA1F49">
        <w:rPr>
          <w:rFonts w:ascii="Times New Roman" w:hAnsi="Times New Roman" w:cs="Times New Roman"/>
        </w:rPr>
        <w:t xml:space="preserve"> (</w:t>
      </w:r>
      <w:r w:rsidR="00FA1F49" w:rsidRPr="00691810">
        <w:rPr>
          <w:rFonts w:ascii="Times New Roman" w:hAnsi="Times New Roman" w:cs="Times New Roman"/>
          <w:b/>
        </w:rPr>
        <w:t xml:space="preserve">figure </w:t>
      </w:r>
      <w:r w:rsidR="00BB32DF" w:rsidRPr="00691810">
        <w:rPr>
          <w:rFonts w:ascii="Times New Roman" w:hAnsi="Times New Roman" w:cs="Times New Roman"/>
          <w:b/>
        </w:rPr>
        <w:t>4.14</w:t>
      </w:r>
      <w:r w:rsidR="00FA1F49">
        <w:rPr>
          <w:rFonts w:ascii="Times New Roman" w:hAnsi="Times New Roman" w:cs="Times New Roman"/>
        </w:rPr>
        <w:t>)</w:t>
      </w:r>
      <w:r w:rsidR="00F740CD">
        <w:rPr>
          <w:rFonts w:ascii="Times New Roman" w:hAnsi="Times New Roman" w:cs="Times New Roman"/>
        </w:rPr>
        <w:t>. The results support the finding that neurite outgrowth is driven by direct contact with astrocytes and not by an</w:t>
      </w:r>
      <w:r w:rsidR="004E03DF">
        <w:rPr>
          <w:rFonts w:ascii="Times New Roman" w:hAnsi="Times New Roman" w:cs="Times New Roman"/>
        </w:rPr>
        <w:t xml:space="preserve"> a</w:t>
      </w:r>
      <w:r w:rsidR="00F740CD">
        <w:rPr>
          <w:rFonts w:ascii="Times New Roman" w:hAnsi="Times New Roman" w:cs="Times New Roman"/>
        </w:rPr>
        <w:t>strocyte derived soluble factor.</w:t>
      </w:r>
    </w:p>
    <w:p w14:paraId="55509F0D" w14:textId="2805E8A3" w:rsidR="00E641A4" w:rsidRDefault="00E641A4" w:rsidP="00917642">
      <w:pPr>
        <w:spacing w:line="360" w:lineRule="auto"/>
        <w:rPr>
          <w:rFonts w:ascii="Times New Roman" w:hAnsi="Times New Roman" w:cs="Times New Roman"/>
          <w:b/>
          <w:sz w:val="28"/>
          <w:szCs w:val="28"/>
        </w:rPr>
      </w:pPr>
      <w:r>
        <w:rPr>
          <w:rFonts w:ascii="Times New Roman" w:hAnsi="Times New Roman" w:cs="Times New Roman"/>
          <w:b/>
          <w:sz w:val="28"/>
          <w:szCs w:val="28"/>
        </w:rPr>
        <w:t>A.</w:t>
      </w:r>
    </w:p>
    <w:p w14:paraId="4877A6B0" w14:textId="17336496" w:rsidR="00E641A4" w:rsidRDefault="00E641A4" w:rsidP="00917642">
      <w:pPr>
        <w:spacing w:line="360" w:lineRule="auto"/>
        <w:rPr>
          <w:rFonts w:ascii="Times New Roman" w:hAnsi="Times New Roman" w:cs="Times New Roman"/>
          <w:b/>
        </w:rPr>
      </w:pPr>
      <w:r>
        <w:rPr>
          <w:rFonts w:ascii="Times New Roman" w:hAnsi="Times New Roman" w:cs="Times New Roman"/>
          <w:b/>
          <w:sz w:val="28"/>
          <w:szCs w:val="28"/>
        </w:rPr>
        <w:t xml:space="preserve">  </w:t>
      </w:r>
      <w:r w:rsidR="005F182A">
        <w:rPr>
          <w:rFonts w:ascii="Times New Roman" w:hAnsi="Times New Roman" w:cs="Times New Roman"/>
          <w:b/>
          <w:sz w:val="28"/>
          <w:szCs w:val="28"/>
        </w:rPr>
        <w:t xml:space="preserve">      </w:t>
      </w:r>
      <w:r w:rsidR="00AD6DE8">
        <w:rPr>
          <w:rFonts w:ascii="Times New Roman" w:hAnsi="Times New Roman" w:cs="Times New Roman"/>
          <w:b/>
          <w:sz w:val="28"/>
          <w:szCs w:val="28"/>
        </w:rPr>
        <w:t xml:space="preserve">    </w:t>
      </w:r>
      <w:r w:rsidR="002321A1">
        <w:rPr>
          <w:rFonts w:ascii="Times New Roman" w:hAnsi="Times New Roman" w:cs="Times New Roman"/>
          <w:b/>
        </w:rPr>
        <w:t xml:space="preserve">      </w:t>
      </w:r>
      <w:r w:rsidR="00E869DA">
        <w:rPr>
          <w:rFonts w:ascii="Times New Roman" w:hAnsi="Times New Roman" w:cs="Times New Roman"/>
          <w:b/>
          <w:noProof/>
        </w:rPr>
        <w:drawing>
          <wp:inline distT="0" distB="0" distL="0" distR="0" wp14:anchorId="1B3E23A7" wp14:editId="0879A3BD">
            <wp:extent cx="3946398" cy="2174601"/>
            <wp:effectExtent l="0" t="0" r="0" b="101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65">
                      <a:extLst>
                        <a:ext uri="{28A0092B-C50C-407E-A947-70E740481C1C}">
                          <a14:useLocalDpi xmlns:a14="http://schemas.microsoft.com/office/drawing/2010/main" val="0"/>
                        </a:ext>
                      </a:extLst>
                    </a:blip>
                    <a:srcRect t="19810" r="38619" b="35082"/>
                    <a:stretch/>
                  </pic:blipFill>
                  <pic:spPr bwMode="auto">
                    <a:xfrm>
                      <a:off x="0" y="0"/>
                      <a:ext cx="3949451" cy="2176283"/>
                    </a:xfrm>
                    <a:prstGeom prst="rect">
                      <a:avLst/>
                    </a:prstGeom>
                    <a:ln>
                      <a:noFill/>
                    </a:ln>
                    <a:extLst>
                      <a:ext uri="{53640926-AAD7-44d8-BBD7-CCE9431645EC}">
                        <a14:shadowObscured xmlns:a14="http://schemas.microsoft.com/office/drawing/2010/main"/>
                      </a:ext>
                    </a:extLst>
                  </pic:spPr>
                </pic:pic>
              </a:graphicData>
            </a:graphic>
          </wp:inline>
        </w:drawing>
      </w:r>
    </w:p>
    <w:p w14:paraId="2DD1665C" w14:textId="314292DE" w:rsidR="00E641A4" w:rsidRPr="00E641A4" w:rsidRDefault="00E641A4" w:rsidP="00917642">
      <w:pPr>
        <w:spacing w:line="360" w:lineRule="auto"/>
        <w:rPr>
          <w:rFonts w:ascii="Times New Roman" w:hAnsi="Times New Roman" w:cs="Times New Roman"/>
          <w:b/>
          <w:sz w:val="28"/>
          <w:szCs w:val="28"/>
        </w:rPr>
      </w:pPr>
      <w:r>
        <w:rPr>
          <w:rFonts w:ascii="Times New Roman" w:hAnsi="Times New Roman" w:cs="Times New Roman"/>
          <w:b/>
          <w:sz w:val="28"/>
          <w:szCs w:val="28"/>
        </w:rPr>
        <w:t>B.</w:t>
      </w:r>
    </w:p>
    <w:p w14:paraId="69881024" w14:textId="07E27F1E" w:rsidR="0055269C" w:rsidRDefault="002321A1">
      <w:pPr>
        <w:rPr>
          <w:rFonts w:ascii="Times New Roman" w:hAnsi="Times New Roman" w:cs="Times New Roman"/>
          <w:b/>
        </w:rPr>
      </w:pPr>
      <w:r>
        <w:rPr>
          <w:rFonts w:ascii="Times New Roman" w:hAnsi="Times New Roman" w:cs="Times New Roman"/>
          <w:b/>
        </w:rPr>
        <w:t xml:space="preserve">                  </w:t>
      </w:r>
      <w:r w:rsidR="005F182A">
        <w:rPr>
          <w:rFonts w:ascii="Times New Roman" w:hAnsi="Times New Roman" w:cs="Times New Roman"/>
          <w:b/>
        </w:rPr>
        <w:t xml:space="preserve">        </w:t>
      </w:r>
      <w:r>
        <w:rPr>
          <w:rFonts w:ascii="Times New Roman" w:hAnsi="Times New Roman" w:cs="Times New Roman"/>
          <w:b/>
        </w:rPr>
        <w:t xml:space="preserve">      </w:t>
      </w:r>
      <w:r w:rsidR="00E641A4">
        <w:rPr>
          <w:rFonts w:ascii="Times New Roman" w:hAnsi="Times New Roman" w:cs="Times New Roman"/>
          <w:b/>
        </w:rPr>
        <w:t xml:space="preserve">  </w:t>
      </w:r>
      <w:r>
        <w:rPr>
          <w:rFonts w:ascii="Times New Roman" w:hAnsi="Times New Roman" w:cs="Times New Roman"/>
          <w:b/>
        </w:rPr>
        <w:t xml:space="preserve">     </w:t>
      </w:r>
      <w:r>
        <w:rPr>
          <w:rFonts w:ascii="Times New Roman" w:hAnsi="Times New Roman" w:cs="Times New Roman"/>
          <w:b/>
          <w:noProof/>
        </w:rPr>
        <w:drawing>
          <wp:inline distT="0" distB="0" distL="0" distR="0" wp14:anchorId="6D1ADFE9" wp14:editId="67C83D3F">
            <wp:extent cx="2344818" cy="216712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65">
                      <a:extLst>
                        <a:ext uri="{28A0092B-C50C-407E-A947-70E740481C1C}">
                          <a14:useLocalDpi xmlns:a14="http://schemas.microsoft.com/office/drawing/2010/main" val="0"/>
                        </a:ext>
                      </a:extLst>
                    </a:blip>
                    <a:srcRect l="60265" t="23440" b="27583"/>
                    <a:stretch/>
                  </pic:blipFill>
                  <pic:spPr bwMode="auto">
                    <a:xfrm>
                      <a:off x="0" y="0"/>
                      <a:ext cx="2346677" cy="2168846"/>
                    </a:xfrm>
                    <a:prstGeom prst="rect">
                      <a:avLst/>
                    </a:prstGeom>
                    <a:ln>
                      <a:noFill/>
                    </a:ln>
                    <a:extLst>
                      <a:ext uri="{53640926-AAD7-44d8-BBD7-CCE9431645EC}">
                        <a14:shadowObscured xmlns:a14="http://schemas.microsoft.com/office/drawing/2010/main"/>
                      </a:ext>
                    </a:extLst>
                  </pic:spPr>
                </pic:pic>
              </a:graphicData>
            </a:graphic>
          </wp:inline>
        </w:drawing>
      </w:r>
    </w:p>
    <w:p w14:paraId="1BC65E32" w14:textId="77777777" w:rsidR="001B72D6" w:rsidRDefault="001C299F" w:rsidP="00C664C4">
      <w:pPr>
        <w:pStyle w:val="Caption"/>
      </w:pPr>
      <w:bookmarkStart w:id="1487" w:name="_Toc333569068"/>
      <w:bookmarkStart w:id="1488" w:name="_Toc333569293"/>
      <w:bookmarkStart w:id="1489" w:name="_Toc333570847"/>
      <w:bookmarkStart w:id="1490" w:name="_Toc333582230"/>
      <w:bookmarkStart w:id="1491" w:name="_Toc333582350"/>
      <w:bookmarkStart w:id="1492" w:name="_Toc333582762"/>
      <w:bookmarkStart w:id="1493" w:name="_Toc333583132"/>
      <w:bookmarkStart w:id="1494" w:name="_Toc333585240"/>
      <w:bookmarkStart w:id="1495" w:name="_Toc333586792"/>
      <w:bookmarkStart w:id="1496" w:name="_Toc333644491"/>
      <w:bookmarkStart w:id="1497" w:name="_Toc333644785"/>
      <w:r>
        <w:t xml:space="preserve">Figure </w:t>
      </w:r>
      <w:r w:rsidR="00B92D16">
        <w:t>4.13</w:t>
      </w:r>
      <w:r w:rsidR="0043060F">
        <w:t>.</w:t>
      </w:r>
      <w:r>
        <w:t xml:space="preserve"> </w:t>
      </w:r>
      <w:r w:rsidRPr="009769CF">
        <w:t>Astrocyte conditioned media</w:t>
      </w:r>
      <w:r w:rsidR="006C74C2" w:rsidRPr="009769CF">
        <w:t xml:space="preserve"> (ACM)</w:t>
      </w:r>
      <w:r w:rsidRPr="009769CF">
        <w:t xml:space="preserve"> does not enhance neurite outgrowth</w:t>
      </w:r>
      <w:r>
        <w:t>.</w:t>
      </w:r>
      <w:bookmarkEnd w:id="1487"/>
      <w:bookmarkEnd w:id="1488"/>
      <w:bookmarkEnd w:id="1489"/>
      <w:bookmarkEnd w:id="1490"/>
      <w:bookmarkEnd w:id="1491"/>
      <w:bookmarkEnd w:id="1492"/>
      <w:bookmarkEnd w:id="1493"/>
      <w:bookmarkEnd w:id="1494"/>
      <w:bookmarkEnd w:id="1495"/>
      <w:bookmarkEnd w:id="1496"/>
      <w:bookmarkEnd w:id="1497"/>
      <w:r>
        <w:t xml:space="preserve"> </w:t>
      </w:r>
    </w:p>
    <w:p w14:paraId="46AEC8CA" w14:textId="5FB528A0" w:rsidR="00106F16" w:rsidRPr="00E36700" w:rsidRDefault="003B7FB0" w:rsidP="00F15A5D">
      <w:pPr>
        <w:spacing w:line="360" w:lineRule="auto"/>
        <w:jc w:val="both"/>
        <w:rPr>
          <w:rFonts w:ascii="Times New Roman" w:hAnsi="Times New Roman" w:cs="Times New Roman"/>
        </w:rPr>
      </w:pPr>
      <w:r>
        <w:rPr>
          <w:rFonts w:ascii="Times New Roman" w:hAnsi="Times New Roman" w:cs="Times New Roman"/>
        </w:rPr>
        <w:t xml:space="preserve">LUHMES </w:t>
      </w:r>
      <w:r w:rsidR="00F740CD">
        <w:rPr>
          <w:rFonts w:ascii="Times New Roman" w:hAnsi="Times New Roman" w:cs="Times New Roman"/>
        </w:rPr>
        <w:t xml:space="preserve">were cultured </w:t>
      </w:r>
      <w:r>
        <w:rPr>
          <w:rFonts w:ascii="Times New Roman" w:hAnsi="Times New Roman" w:cs="Times New Roman"/>
        </w:rPr>
        <w:t>in normal me</w:t>
      </w:r>
      <w:r w:rsidR="009769CF">
        <w:rPr>
          <w:rFonts w:ascii="Times New Roman" w:hAnsi="Times New Roman" w:cs="Times New Roman"/>
        </w:rPr>
        <w:t>dia, ACM</w:t>
      </w:r>
      <w:r>
        <w:rPr>
          <w:rFonts w:ascii="Times New Roman" w:hAnsi="Times New Roman" w:cs="Times New Roman"/>
        </w:rPr>
        <w:t xml:space="preserve"> and cultured</w:t>
      </w:r>
      <w:r w:rsidR="001334F2">
        <w:rPr>
          <w:rFonts w:ascii="Times New Roman" w:hAnsi="Times New Roman" w:cs="Times New Roman"/>
        </w:rPr>
        <w:t xml:space="preserve"> in</w:t>
      </w:r>
      <w:r w:rsidR="00F740CD">
        <w:rPr>
          <w:rFonts w:ascii="Times New Roman" w:hAnsi="Times New Roman" w:cs="Times New Roman"/>
        </w:rPr>
        <w:t xml:space="preserve"> co-culture with astrocytes for 24 hours.</w:t>
      </w:r>
      <w:r w:rsidR="00F15A5D">
        <w:rPr>
          <w:rFonts w:ascii="Times New Roman" w:hAnsi="Times New Roman" w:cs="Times New Roman"/>
        </w:rPr>
        <w:t xml:space="preserve"> Astrocytes were seeded at 30 000 cells per well and GFP LUHMES were seeded at a density of 7500 cells per well in a 24 well plate.</w:t>
      </w:r>
      <w:r w:rsidR="00F740CD">
        <w:rPr>
          <w:rFonts w:ascii="Times New Roman" w:hAnsi="Times New Roman" w:cs="Times New Roman"/>
        </w:rPr>
        <w:t xml:space="preserve"> (</w:t>
      </w:r>
      <w:r w:rsidR="00F740CD" w:rsidRPr="00E641A4">
        <w:rPr>
          <w:rFonts w:ascii="Times New Roman" w:hAnsi="Times New Roman" w:cs="Times New Roman"/>
          <w:b/>
        </w:rPr>
        <w:t>A</w:t>
      </w:r>
      <w:r w:rsidR="00F740CD">
        <w:rPr>
          <w:rFonts w:ascii="Times New Roman" w:hAnsi="Times New Roman" w:cs="Times New Roman"/>
        </w:rPr>
        <w:t>) Images of GFP-expressing LUHMES under each of the culturing conditions. (</w:t>
      </w:r>
      <w:r w:rsidR="00F740CD" w:rsidRPr="00E641A4">
        <w:rPr>
          <w:rFonts w:ascii="Times New Roman" w:hAnsi="Times New Roman" w:cs="Times New Roman"/>
          <w:b/>
        </w:rPr>
        <w:t>B</w:t>
      </w:r>
      <w:r w:rsidR="00F740CD">
        <w:rPr>
          <w:rFonts w:ascii="Times New Roman" w:hAnsi="Times New Roman" w:cs="Times New Roman"/>
        </w:rPr>
        <w:t>) Bar chart shows quantification of neurite outgrowth in LUHMES.</w:t>
      </w:r>
      <w:r w:rsidR="001334F2">
        <w:rPr>
          <w:rFonts w:ascii="Times New Roman" w:hAnsi="Times New Roman" w:cs="Times New Roman"/>
        </w:rPr>
        <w:t xml:space="preserve"> </w:t>
      </w:r>
      <w:r w:rsidR="002B24D8">
        <w:rPr>
          <w:rFonts w:ascii="Times New Roman" w:hAnsi="Times New Roman" w:cs="Times New Roman"/>
        </w:rPr>
        <w:t>Data represents mean ± SEM (n=3, 3 replicates/experiment, 5 fields counted per coverslip (represents 1 replicate</w:t>
      </w:r>
      <w:r w:rsidR="001334F2">
        <w:rPr>
          <w:rFonts w:ascii="Times New Roman" w:hAnsi="Times New Roman" w:cs="Times New Roman"/>
        </w:rPr>
        <w:t xml:space="preserve"> but repeated 3 times in one experiment</w:t>
      </w:r>
      <w:r w:rsidR="002B24D8">
        <w:rPr>
          <w:rFonts w:ascii="Times New Roman" w:hAnsi="Times New Roman" w:cs="Times New Roman"/>
        </w:rPr>
        <w:t>, one way ANOVA with post-hoc analysis ****p&lt;0.0001)</w:t>
      </w:r>
      <w:r w:rsidR="00E36700">
        <w:rPr>
          <w:rFonts w:ascii="Times New Roman" w:hAnsi="Times New Roman" w:cs="Times New Roman"/>
        </w:rPr>
        <w:t xml:space="preserve"> Scale bar represents 50μM</w:t>
      </w:r>
    </w:p>
    <w:p w14:paraId="31F7889F" w14:textId="77777777" w:rsidR="004A21A3" w:rsidRDefault="004A21A3">
      <w:pPr>
        <w:rPr>
          <w:rFonts w:ascii="Times New Roman" w:hAnsi="Times New Roman" w:cs="Times New Roman"/>
          <w:b/>
          <w:sz w:val="28"/>
          <w:szCs w:val="28"/>
        </w:rPr>
      </w:pPr>
    </w:p>
    <w:p w14:paraId="23E03761" w14:textId="326766E2" w:rsidR="0055269C" w:rsidRPr="00E641A4" w:rsidRDefault="00E641A4">
      <w:pPr>
        <w:rPr>
          <w:rFonts w:ascii="Times New Roman" w:hAnsi="Times New Roman" w:cs="Times New Roman"/>
          <w:b/>
          <w:sz w:val="28"/>
          <w:szCs w:val="28"/>
        </w:rPr>
      </w:pPr>
      <w:r>
        <w:rPr>
          <w:rFonts w:ascii="Times New Roman" w:hAnsi="Times New Roman" w:cs="Times New Roman"/>
          <w:b/>
          <w:sz w:val="28"/>
          <w:szCs w:val="28"/>
        </w:rPr>
        <w:t>A.</w:t>
      </w:r>
    </w:p>
    <w:p w14:paraId="39173D33" w14:textId="4C0911D4" w:rsidR="00E641A4" w:rsidRDefault="00AA21C2">
      <w:pPr>
        <w:rPr>
          <w:rFonts w:ascii="Times New Roman" w:hAnsi="Times New Roman" w:cs="Times New Roman"/>
          <w:b/>
        </w:rPr>
      </w:pPr>
      <w:r>
        <w:rPr>
          <w:rFonts w:ascii="Times New Roman" w:hAnsi="Times New Roman" w:cs="Times New Roman"/>
          <w:b/>
        </w:rPr>
        <w:t xml:space="preserve">    </w:t>
      </w:r>
      <w:r w:rsidR="00E641A4">
        <w:rPr>
          <w:rFonts w:ascii="Times New Roman" w:hAnsi="Times New Roman" w:cs="Times New Roman"/>
          <w:b/>
          <w:noProof/>
        </w:rPr>
        <w:drawing>
          <wp:inline distT="0" distB="0" distL="0" distR="0" wp14:anchorId="66FE67F4" wp14:editId="5C91E92E">
            <wp:extent cx="5135759" cy="1901952"/>
            <wp:effectExtent l="0" t="0" r="0"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66">
                      <a:extLst>
                        <a:ext uri="{28A0092B-C50C-407E-A947-70E740481C1C}">
                          <a14:useLocalDpi xmlns:a14="http://schemas.microsoft.com/office/drawing/2010/main" val="0"/>
                        </a:ext>
                      </a:extLst>
                    </a:blip>
                    <a:srcRect l="3229" t="11836" r="5034" b="42856"/>
                    <a:stretch/>
                  </pic:blipFill>
                  <pic:spPr bwMode="auto">
                    <a:xfrm>
                      <a:off x="0" y="0"/>
                      <a:ext cx="5141583" cy="1904109"/>
                    </a:xfrm>
                    <a:prstGeom prst="rect">
                      <a:avLst/>
                    </a:prstGeom>
                    <a:ln>
                      <a:noFill/>
                    </a:ln>
                    <a:extLst>
                      <a:ext uri="{53640926-AAD7-44d8-BBD7-CCE9431645EC}">
                        <a14:shadowObscured xmlns:a14="http://schemas.microsoft.com/office/drawing/2010/main"/>
                      </a:ext>
                    </a:extLst>
                  </pic:spPr>
                </pic:pic>
              </a:graphicData>
            </a:graphic>
          </wp:inline>
        </w:drawing>
      </w:r>
    </w:p>
    <w:p w14:paraId="76D6DD5E" w14:textId="77777777" w:rsidR="00E641A4" w:rsidRDefault="00E641A4">
      <w:pPr>
        <w:rPr>
          <w:rFonts w:ascii="Times New Roman" w:hAnsi="Times New Roman" w:cs="Times New Roman"/>
          <w:b/>
        </w:rPr>
      </w:pPr>
    </w:p>
    <w:p w14:paraId="2BF745A7" w14:textId="4837DDBA" w:rsidR="00E641A4" w:rsidRPr="00E641A4" w:rsidRDefault="00E641A4">
      <w:pPr>
        <w:rPr>
          <w:rFonts w:ascii="Times New Roman" w:hAnsi="Times New Roman" w:cs="Times New Roman"/>
          <w:b/>
          <w:sz w:val="28"/>
          <w:szCs w:val="28"/>
        </w:rPr>
      </w:pPr>
      <w:r>
        <w:rPr>
          <w:rFonts w:ascii="Times New Roman" w:hAnsi="Times New Roman" w:cs="Times New Roman"/>
          <w:b/>
          <w:sz w:val="28"/>
          <w:szCs w:val="28"/>
        </w:rPr>
        <w:t>B.</w:t>
      </w:r>
    </w:p>
    <w:p w14:paraId="6BB95934" w14:textId="0BB68028" w:rsidR="0055269C" w:rsidRDefault="00E641A4">
      <w:pPr>
        <w:rPr>
          <w:rFonts w:ascii="Times New Roman" w:hAnsi="Times New Roman" w:cs="Times New Roman"/>
          <w:b/>
        </w:rPr>
      </w:pPr>
      <w:r>
        <w:rPr>
          <w:rFonts w:ascii="Times New Roman" w:hAnsi="Times New Roman" w:cs="Times New Roman"/>
          <w:b/>
        </w:rPr>
        <w:t xml:space="preserve">                        </w:t>
      </w:r>
      <w:r w:rsidR="003F0EE8">
        <w:rPr>
          <w:rFonts w:ascii="Times New Roman" w:hAnsi="Times New Roman" w:cs="Times New Roman"/>
          <w:b/>
        </w:rPr>
        <w:t xml:space="preserve">   </w:t>
      </w:r>
      <w:r>
        <w:rPr>
          <w:rFonts w:ascii="Times New Roman" w:hAnsi="Times New Roman" w:cs="Times New Roman"/>
          <w:b/>
        </w:rPr>
        <w:t xml:space="preserve">      </w:t>
      </w:r>
      <w:r w:rsidR="00E10B51">
        <w:rPr>
          <w:rFonts w:ascii="Times New Roman" w:hAnsi="Times New Roman" w:cs="Times New Roman"/>
          <w:b/>
          <w:noProof/>
        </w:rPr>
        <w:drawing>
          <wp:inline distT="0" distB="0" distL="0" distR="0" wp14:anchorId="134EAA1C" wp14:editId="443DA382">
            <wp:extent cx="2517140" cy="2027773"/>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66">
                      <a:extLst>
                        <a:ext uri="{28A0092B-C50C-407E-A947-70E740481C1C}">
                          <a14:useLocalDpi xmlns:a14="http://schemas.microsoft.com/office/drawing/2010/main" val="0"/>
                        </a:ext>
                      </a:extLst>
                    </a:blip>
                    <a:srcRect l="25469" t="55612" r="32183" b="-1"/>
                    <a:stretch/>
                  </pic:blipFill>
                  <pic:spPr bwMode="auto">
                    <a:xfrm>
                      <a:off x="0" y="0"/>
                      <a:ext cx="2519724" cy="2029855"/>
                    </a:xfrm>
                    <a:prstGeom prst="rect">
                      <a:avLst/>
                    </a:prstGeom>
                    <a:ln>
                      <a:noFill/>
                    </a:ln>
                    <a:extLst>
                      <a:ext uri="{53640926-AAD7-44d8-BBD7-CCE9431645EC}">
                        <a14:shadowObscured xmlns:a14="http://schemas.microsoft.com/office/drawing/2010/main"/>
                      </a:ext>
                    </a:extLst>
                  </pic:spPr>
                </pic:pic>
              </a:graphicData>
            </a:graphic>
          </wp:inline>
        </w:drawing>
      </w:r>
    </w:p>
    <w:p w14:paraId="40A01F58" w14:textId="77777777" w:rsidR="0055269C" w:rsidRDefault="0055269C">
      <w:pPr>
        <w:rPr>
          <w:rFonts w:ascii="Times New Roman" w:hAnsi="Times New Roman" w:cs="Times New Roman"/>
          <w:b/>
        </w:rPr>
      </w:pPr>
    </w:p>
    <w:p w14:paraId="239D8550" w14:textId="77777777" w:rsidR="001B72D6" w:rsidRDefault="00E74A04" w:rsidP="00C664C4">
      <w:pPr>
        <w:pStyle w:val="Caption"/>
      </w:pPr>
      <w:bookmarkStart w:id="1498" w:name="_Toc333569069"/>
      <w:bookmarkStart w:id="1499" w:name="_Toc333569294"/>
      <w:bookmarkStart w:id="1500" w:name="_Toc333570848"/>
      <w:bookmarkStart w:id="1501" w:name="_Toc333582231"/>
      <w:bookmarkStart w:id="1502" w:name="_Toc333582351"/>
      <w:bookmarkStart w:id="1503" w:name="_Toc333582763"/>
      <w:bookmarkStart w:id="1504" w:name="_Toc333583133"/>
      <w:bookmarkStart w:id="1505" w:name="_Toc333585241"/>
      <w:bookmarkStart w:id="1506" w:name="_Toc333586793"/>
      <w:bookmarkStart w:id="1507" w:name="_Toc333644492"/>
      <w:bookmarkStart w:id="1508" w:name="_Toc333644786"/>
      <w:r>
        <w:t xml:space="preserve">Figure </w:t>
      </w:r>
      <w:r w:rsidR="00B92D16">
        <w:t>4.14</w:t>
      </w:r>
      <w:r w:rsidR="0043060F">
        <w:t>.</w:t>
      </w:r>
      <w:r>
        <w:t xml:space="preserve"> </w:t>
      </w:r>
      <w:r w:rsidRPr="009769CF">
        <w:t>Neuron-astrocyte conditioned media</w:t>
      </w:r>
      <w:r w:rsidR="006C74C2" w:rsidRPr="009769CF">
        <w:t xml:space="preserve"> (NACM)</w:t>
      </w:r>
      <w:r w:rsidRPr="009769CF">
        <w:t xml:space="preserve"> does not enhance neurite outgrowth</w:t>
      </w:r>
      <w:r w:rsidR="008A798D">
        <w:t xml:space="preserve"> but appears to be a </w:t>
      </w:r>
      <w:r w:rsidR="00001690">
        <w:t>contact-dependent mechanism</w:t>
      </w:r>
      <w:r>
        <w:t>.</w:t>
      </w:r>
      <w:bookmarkEnd w:id="1498"/>
      <w:bookmarkEnd w:id="1499"/>
      <w:bookmarkEnd w:id="1500"/>
      <w:bookmarkEnd w:id="1501"/>
      <w:bookmarkEnd w:id="1502"/>
      <w:bookmarkEnd w:id="1503"/>
      <w:bookmarkEnd w:id="1504"/>
      <w:bookmarkEnd w:id="1505"/>
      <w:bookmarkEnd w:id="1506"/>
      <w:bookmarkEnd w:id="1507"/>
      <w:bookmarkEnd w:id="1508"/>
      <w:r>
        <w:t xml:space="preserve"> </w:t>
      </w:r>
    </w:p>
    <w:p w14:paraId="16DF1399" w14:textId="77777777" w:rsidR="008A0586" w:rsidRDefault="00E74A04" w:rsidP="00C63BC1">
      <w:pPr>
        <w:spacing w:line="360" w:lineRule="auto"/>
        <w:jc w:val="both"/>
        <w:rPr>
          <w:rFonts w:ascii="Times New Roman" w:hAnsi="Times New Roman" w:cs="Times New Roman"/>
        </w:rPr>
      </w:pPr>
      <w:r>
        <w:rPr>
          <w:rFonts w:ascii="Times New Roman" w:hAnsi="Times New Roman" w:cs="Times New Roman"/>
        </w:rPr>
        <w:t xml:space="preserve">LUHMES </w:t>
      </w:r>
      <w:r w:rsidR="008A798D">
        <w:rPr>
          <w:rFonts w:ascii="Times New Roman" w:hAnsi="Times New Roman" w:cs="Times New Roman"/>
        </w:rPr>
        <w:t xml:space="preserve">were cultured </w:t>
      </w:r>
      <w:r>
        <w:rPr>
          <w:rFonts w:ascii="Times New Roman" w:hAnsi="Times New Roman" w:cs="Times New Roman"/>
        </w:rPr>
        <w:t xml:space="preserve">in normal media, </w:t>
      </w:r>
      <w:r w:rsidR="009769CF">
        <w:rPr>
          <w:rFonts w:ascii="Times New Roman" w:hAnsi="Times New Roman" w:cs="Times New Roman"/>
        </w:rPr>
        <w:t xml:space="preserve">NACM </w:t>
      </w:r>
      <w:r>
        <w:rPr>
          <w:rFonts w:ascii="Times New Roman" w:hAnsi="Times New Roman" w:cs="Times New Roman"/>
        </w:rPr>
        <w:t xml:space="preserve">(media taken from co-cultures after 24hours) and </w:t>
      </w:r>
      <w:r w:rsidR="008A798D">
        <w:rPr>
          <w:rFonts w:ascii="Times New Roman" w:hAnsi="Times New Roman" w:cs="Times New Roman"/>
        </w:rPr>
        <w:t xml:space="preserve">in co-culture </w:t>
      </w:r>
      <w:r w:rsidR="000D4410">
        <w:rPr>
          <w:rFonts w:ascii="Times New Roman" w:hAnsi="Times New Roman" w:cs="Times New Roman"/>
        </w:rPr>
        <w:t xml:space="preserve">with </w:t>
      </w:r>
      <w:r w:rsidR="008A0586">
        <w:rPr>
          <w:rFonts w:ascii="Times New Roman" w:hAnsi="Times New Roman" w:cs="Times New Roman"/>
        </w:rPr>
        <w:t xml:space="preserve">astrocytes for 24 hours. Astrocytes were seeded at </w:t>
      </w:r>
    </w:p>
    <w:p w14:paraId="62396F98" w14:textId="06FF9F5E" w:rsidR="008A798D" w:rsidRDefault="008A0586" w:rsidP="00C63BC1">
      <w:pPr>
        <w:spacing w:line="360" w:lineRule="auto"/>
        <w:jc w:val="both"/>
        <w:rPr>
          <w:rFonts w:ascii="Times New Roman" w:hAnsi="Times New Roman" w:cs="Times New Roman"/>
        </w:rPr>
      </w:pPr>
      <w:r>
        <w:rPr>
          <w:rFonts w:ascii="Times New Roman" w:hAnsi="Times New Roman" w:cs="Times New Roman"/>
        </w:rPr>
        <w:t>30 000 cells per well and GFP LUHMES were seeded at a density of 7500 cells per well in a 24 well plate.</w:t>
      </w:r>
      <w:r w:rsidR="008A798D">
        <w:rPr>
          <w:rFonts w:ascii="Times New Roman" w:hAnsi="Times New Roman" w:cs="Times New Roman"/>
        </w:rPr>
        <w:t xml:space="preserve"> (</w:t>
      </w:r>
      <w:r w:rsidR="008A798D" w:rsidRPr="00E641A4">
        <w:rPr>
          <w:rFonts w:ascii="Times New Roman" w:hAnsi="Times New Roman" w:cs="Times New Roman"/>
          <w:b/>
        </w:rPr>
        <w:t>A</w:t>
      </w:r>
      <w:r w:rsidR="008A798D">
        <w:rPr>
          <w:rFonts w:ascii="Times New Roman" w:hAnsi="Times New Roman" w:cs="Times New Roman"/>
        </w:rPr>
        <w:t>) Images of GFP-expressing LUHMES under each of the culturing conditions. (</w:t>
      </w:r>
      <w:r w:rsidR="008A798D" w:rsidRPr="00E641A4">
        <w:rPr>
          <w:rFonts w:ascii="Times New Roman" w:hAnsi="Times New Roman" w:cs="Times New Roman"/>
          <w:b/>
        </w:rPr>
        <w:t>B</w:t>
      </w:r>
      <w:r w:rsidR="008A798D">
        <w:rPr>
          <w:rFonts w:ascii="Times New Roman" w:hAnsi="Times New Roman" w:cs="Times New Roman"/>
        </w:rPr>
        <w:t>) Bar chart</w:t>
      </w:r>
      <w:r w:rsidR="00E74A04">
        <w:rPr>
          <w:rFonts w:ascii="Times New Roman" w:hAnsi="Times New Roman" w:cs="Times New Roman"/>
        </w:rPr>
        <w:t xml:space="preserve"> </w:t>
      </w:r>
      <w:r w:rsidR="009769CF">
        <w:rPr>
          <w:rFonts w:ascii="Times New Roman" w:hAnsi="Times New Roman" w:cs="Times New Roman"/>
        </w:rPr>
        <w:t>shows</w:t>
      </w:r>
      <w:r w:rsidR="00E74A04">
        <w:rPr>
          <w:rFonts w:ascii="Times New Roman" w:hAnsi="Times New Roman" w:cs="Times New Roman"/>
        </w:rPr>
        <w:t xml:space="preserve"> </w:t>
      </w:r>
      <w:r w:rsidR="008A798D">
        <w:rPr>
          <w:rFonts w:ascii="Times New Roman" w:hAnsi="Times New Roman" w:cs="Times New Roman"/>
        </w:rPr>
        <w:t xml:space="preserve">quantification of neurite outgrowth in LUHMES. </w:t>
      </w:r>
      <w:r w:rsidR="002B24D8">
        <w:rPr>
          <w:rFonts w:ascii="Times New Roman" w:hAnsi="Times New Roman" w:cs="Times New Roman"/>
        </w:rPr>
        <w:t>Data represents mean ± SEM (n=3, 3 replicates/experiment, 5 fields counted per coverslip (represents 1 replicate), one way ANOVA with post-hoc analysis ****p&lt;0.0001)</w:t>
      </w:r>
      <w:r w:rsidR="009769CF">
        <w:rPr>
          <w:rFonts w:ascii="Times New Roman" w:hAnsi="Times New Roman" w:cs="Times New Roman"/>
        </w:rPr>
        <w:t xml:space="preserve"> Scale bar represents 50μM</w:t>
      </w:r>
      <w:r w:rsidR="00E641A4">
        <w:rPr>
          <w:rFonts w:ascii="Times New Roman" w:hAnsi="Times New Roman" w:cs="Times New Roman"/>
        </w:rPr>
        <w:t>.</w:t>
      </w:r>
      <w:r w:rsidR="009769CF">
        <w:rPr>
          <w:rFonts w:ascii="Times New Roman" w:hAnsi="Times New Roman" w:cs="Times New Roman"/>
        </w:rPr>
        <w:t xml:space="preserve"> </w:t>
      </w:r>
    </w:p>
    <w:p w14:paraId="4A1DBCAF" w14:textId="77777777" w:rsidR="00086871" w:rsidRPr="00F740CD" w:rsidRDefault="00086871" w:rsidP="008A798D">
      <w:pPr>
        <w:spacing w:line="360" w:lineRule="auto"/>
        <w:rPr>
          <w:rFonts w:ascii="Times New Roman" w:hAnsi="Times New Roman" w:cs="Times New Roman"/>
          <w:color w:val="FF0000"/>
        </w:rPr>
      </w:pPr>
    </w:p>
    <w:p w14:paraId="1BAA3794" w14:textId="4747F57E" w:rsidR="009C0EA5" w:rsidRDefault="00F00E0E" w:rsidP="00395B55">
      <w:pPr>
        <w:pStyle w:val="Heading3"/>
      </w:pPr>
      <w:bookmarkStart w:id="1509" w:name="_Toc328301172"/>
      <w:bookmarkStart w:id="1510" w:name="_Toc329593463"/>
      <w:bookmarkStart w:id="1511" w:name="_Toc331425962"/>
      <w:bookmarkStart w:id="1512" w:name="_Toc331427143"/>
      <w:bookmarkStart w:id="1513" w:name="_Toc331427515"/>
      <w:bookmarkStart w:id="1514" w:name="_Toc331427657"/>
      <w:bookmarkStart w:id="1515" w:name="_Toc332972662"/>
      <w:bookmarkStart w:id="1516" w:name="_Toc333046941"/>
      <w:bookmarkStart w:id="1517" w:name="_Toc333477288"/>
      <w:bookmarkStart w:id="1518" w:name="_Toc333478058"/>
      <w:bookmarkStart w:id="1519" w:name="_Toc333644958"/>
      <w:r>
        <w:t>4.4</w:t>
      </w:r>
      <w:r w:rsidR="00F94933">
        <w:t xml:space="preserve">.9 </w:t>
      </w:r>
      <w:r w:rsidR="009C0EA5">
        <w:t>Loss of IG</w:t>
      </w:r>
      <w:r w:rsidR="006160A5">
        <w:t>F1R in astrocytes does not</w:t>
      </w:r>
      <w:r w:rsidR="009C0EA5">
        <w:t xml:space="preserve"> affect </w:t>
      </w:r>
      <w:r w:rsidR="000533F8">
        <w:t>neuronal bundle formation</w:t>
      </w:r>
      <w:bookmarkEnd w:id="1509"/>
      <w:bookmarkEnd w:id="1510"/>
      <w:bookmarkEnd w:id="1511"/>
      <w:bookmarkEnd w:id="1512"/>
      <w:bookmarkEnd w:id="1513"/>
      <w:bookmarkEnd w:id="1514"/>
      <w:bookmarkEnd w:id="1515"/>
      <w:bookmarkEnd w:id="1516"/>
      <w:bookmarkEnd w:id="1517"/>
      <w:bookmarkEnd w:id="1518"/>
      <w:bookmarkEnd w:id="1519"/>
    </w:p>
    <w:p w14:paraId="6931961D" w14:textId="77777777" w:rsidR="009C0EA5" w:rsidRDefault="009C0EA5" w:rsidP="00C63BC1">
      <w:pPr>
        <w:jc w:val="both"/>
        <w:rPr>
          <w:rFonts w:ascii="Times New Roman" w:hAnsi="Times New Roman" w:cs="Times New Roman"/>
          <w:b/>
          <w:u w:val="single"/>
        </w:rPr>
      </w:pPr>
    </w:p>
    <w:p w14:paraId="1FA9140D" w14:textId="4B2A38AD" w:rsidR="009C0EA5" w:rsidRDefault="009769CF" w:rsidP="00C63BC1">
      <w:pPr>
        <w:spacing w:line="360" w:lineRule="auto"/>
        <w:jc w:val="both"/>
        <w:rPr>
          <w:rFonts w:ascii="Times New Roman" w:hAnsi="Times New Roman" w:cs="Times New Roman"/>
        </w:rPr>
      </w:pPr>
      <w:r>
        <w:rPr>
          <w:rFonts w:ascii="Times New Roman" w:hAnsi="Times New Roman" w:cs="Times New Roman"/>
        </w:rPr>
        <w:t>To assess whether loss of</w:t>
      </w:r>
      <w:r w:rsidR="006160A5">
        <w:rPr>
          <w:rFonts w:ascii="Times New Roman" w:hAnsi="Times New Roman" w:cs="Times New Roman"/>
        </w:rPr>
        <w:t xml:space="preserve"> astrocytic</w:t>
      </w:r>
      <w:r>
        <w:rPr>
          <w:rFonts w:ascii="Times New Roman" w:hAnsi="Times New Roman" w:cs="Times New Roman"/>
        </w:rPr>
        <w:t xml:space="preserve"> IGF1R affects neuronal survival, GFP LUHMES were cultured with IgG or MAB391 pretreated astrocytes for 3, 6 and 12 da</w:t>
      </w:r>
      <w:r w:rsidR="006160A5">
        <w:rPr>
          <w:rFonts w:ascii="Times New Roman" w:hAnsi="Times New Roman" w:cs="Times New Roman"/>
        </w:rPr>
        <w:t>ys</w:t>
      </w:r>
      <w:r>
        <w:rPr>
          <w:rFonts w:ascii="Times New Roman" w:hAnsi="Times New Roman" w:cs="Times New Roman"/>
        </w:rPr>
        <w:t xml:space="preserve">. </w:t>
      </w:r>
      <w:r w:rsidR="009C0EA5">
        <w:rPr>
          <w:rFonts w:ascii="Times New Roman" w:hAnsi="Times New Roman" w:cs="Times New Roman"/>
        </w:rPr>
        <w:t>Pretreatment of astrocytes with MAB391 or IgG isotype control does not affect the ability of the astrocytes to support neuronal survival (</w:t>
      </w:r>
      <w:r w:rsidR="009C0EA5" w:rsidRPr="00691810">
        <w:rPr>
          <w:rFonts w:ascii="Times New Roman" w:hAnsi="Times New Roman" w:cs="Times New Roman"/>
          <w:b/>
        </w:rPr>
        <w:t xml:space="preserve">figure </w:t>
      </w:r>
      <w:r w:rsidR="00BB32DF" w:rsidRPr="00691810">
        <w:rPr>
          <w:rFonts w:ascii="Times New Roman" w:hAnsi="Times New Roman" w:cs="Times New Roman"/>
          <w:b/>
        </w:rPr>
        <w:t>4.15</w:t>
      </w:r>
      <w:r w:rsidR="009C0EA5">
        <w:rPr>
          <w:rFonts w:ascii="Times New Roman" w:hAnsi="Times New Roman" w:cs="Times New Roman"/>
        </w:rPr>
        <w:t xml:space="preserve">). In these experiments the media was not changed after </w:t>
      </w:r>
      <w:r w:rsidR="00ED63FC">
        <w:rPr>
          <w:rFonts w:ascii="Times New Roman" w:hAnsi="Times New Roman" w:cs="Times New Roman"/>
        </w:rPr>
        <w:t>replating LUHMES</w:t>
      </w:r>
      <w:r w:rsidR="009C0EA5">
        <w:rPr>
          <w:rFonts w:ascii="Times New Roman" w:hAnsi="Times New Roman" w:cs="Times New Roman"/>
        </w:rPr>
        <w:t>.  This suggests that astrocytes are able to replenish the nutrients and fulfill a homeostatic role within this co-culture system despite loss of IGF1R or pretreatment with IgG isotype control.</w:t>
      </w:r>
      <w:r w:rsidR="00F25BCE">
        <w:rPr>
          <w:rFonts w:ascii="Times New Roman" w:hAnsi="Times New Roman" w:cs="Times New Roman"/>
        </w:rPr>
        <w:t xml:space="preserve"> These experiments are limited by the tendency of the LUHMES to bundle on astrocytes making it difficult to extrapolate quantifiable data.</w:t>
      </w:r>
    </w:p>
    <w:p w14:paraId="048B65BE" w14:textId="77777777" w:rsidR="00001690" w:rsidRDefault="00001690" w:rsidP="00C63BC1">
      <w:pPr>
        <w:spacing w:line="360" w:lineRule="auto"/>
        <w:jc w:val="both"/>
        <w:rPr>
          <w:rFonts w:ascii="Times New Roman" w:hAnsi="Times New Roman" w:cs="Times New Roman"/>
        </w:rPr>
      </w:pPr>
    </w:p>
    <w:p w14:paraId="3EFC9073" w14:textId="491910F7" w:rsidR="009C0EA5" w:rsidRDefault="00AA21C2" w:rsidP="009C0EA5">
      <w:pPr>
        <w:spacing w:line="360" w:lineRule="auto"/>
        <w:rPr>
          <w:rFonts w:ascii="Times New Roman" w:hAnsi="Times New Roman" w:cs="Times New Roman"/>
        </w:rPr>
      </w:pPr>
      <w:r>
        <w:rPr>
          <w:rFonts w:ascii="Times New Roman" w:hAnsi="Times New Roman" w:cs="Times New Roman"/>
        </w:rPr>
        <w:t xml:space="preserve">    </w:t>
      </w:r>
      <w:r>
        <w:rPr>
          <w:rFonts w:ascii="Times New Roman" w:hAnsi="Times New Roman" w:cs="Times New Roman"/>
          <w:noProof/>
        </w:rPr>
        <w:drawing>
          <wp:inline distT="0" distB="0" distL="0" distR="0" wp14:anchorId="2E363CAC" wp14:editId="71C2613B">
            <wp:extent cx="4743664" cy="3557016"/>
            <wp:effectExtent l="0" t="0" r="6350" b="0"/>
            <wp:docPr id="1073741824" name="Picture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67">
                      <a:extLst>
                        <a:ext uri="{28A0092B-C50C-407E-A947-70E740481C1C}">
                          <a14:useLocalDpi xmlns:a14="http://schemas.microsoft.com/office/drawing/2010/main" val="0"/>
                        </a:ext>
                      </a:extLst>
                    </a:blip>
                    <a:stretch>
                      <a:fillRect/>
                    </a:stretch>
                  </pic:blipFill>
                  <pic:spPr>
                    <a:xfrm>
                      <a:off x="0" y="0"/>
                      <a:ext cx="4744967" cy="3557993"/>
                    </a:xfrm>
                    <a:prstGeom prst="rect">
                      <a:avLst/>
                    </a:prstGeom>
                  </pic:spPr>
                </pic:pic>
              </a:graphicData>
            </a:graphic>
          </wp:inline>
        </w:drawing>
      </w:r>
    </w:p>
    <w:p w14:paraId="24C369F4" w14:textId="77777777" w:rsidR="001B72D6" w:rsidRDefault="00AA21C2" w:rsidP="00585472">
      <w:pPr>
        <w:pStyle w:val="Caption"/>
      </w:pPr>
      <w:bookmarkStart w:id="1520" w:name="_Toc333569070"/>
      <w:bookmarkStart w:id="1521" w:name="_Toc333569295"/>
      <w:bookmarkStart w:id="1522" w:name="_Toc333570849"/>
      <w:bookmarkStart w:id="1523" w:name="_Toc333582232"/>
      <w:bookmarkStart w:id="1524" w:name="_Toc333582352"/>
      <w:bookmarkStart w:id="1525" w:name="_Toc333582764"/>
      <w:bookmarkStart w:id="1526" w:name="_Toc333583134"/>
      <w:bookmarkStart w:id="1527" w:name="_Toc333585242"/>
      <w:bookmarkStart w:id="1528" w:name="_Toc333586794"/>
      <w:bookmarkStart w:id="1529" w:name="_Toc333644493"/>
      <w:bookmarkStart w:id="1530" w:name="_Toc333644787"/>
      <w:r>
        <w:t>Figure 4.15</w:t>
      </w:r>
      <w:r w:rsidR="0043060F">
        <w:t>.</w:t>
      </w:r>
      <w:r>
        <w:t xml:space="preserve"> Loss of IGF1R in astrocytes does not affect neuronal bundle formation.</w:t>
      </w:r>
      <w:bookmarkEnd w:id="1520"/>
      <w:bookmarkEnd w:id="1521"/>
      <w:bookmarkEnd w:id="1522"/>
      <w:bookmarkEnd w:id="1523"/>
      <w:bookmarkEnd w:id="1524"/>
      <w:bookmarkEnd w:id="1525"/>
      <w:bookmarkEnd w:id="1526"/>
      <w:bookmarkEnd w:id="1527"/>
      <w:bookmarkEnd w:id="1528"/>
      <w:bookmarkEnd w:id="1529"/>
      <w:bookmarkEnd w:id="1530"/>
      <w:r w:rsidRPr="00B5265C">
        <w:t xml:space="preserve"> </w:t>
      </w:r>
    </w:p>
    <w:p w14:paraId="469343A6" w14:textId="77C48549" w:rsidR="00AA21C2" w:rsidRPr="00B5265C" w:rsidRDefault="00AA21C2" w:rsidP="00585472">
      <w:pPr>
        <w:spacing w:line="360" w:lineRule="auto"/>
        <w:rPr>
          <w:rFonts w:ascii="Times New Roman" w:hAnsi="Times New Roman" w:cs="Times New Roman"/>
          <w:b/>
        </w:rPr>
        <w:sectPr w:rsidR="00AA21C2" w:rsidRPr="00B5265C" w:rsidSect="00AA21C2">
          <w:pgSz w:w="11900" w:h="16840"/>
          <w:pgMar w:top="1440" w:right="1134" w:bottom="1440" w:left="2268" w:header="709" w:footer="709" w:gutter="0"/>
          <w:cols w:space="708"/>
          <w:docGrid w:linePitch="360"/>
        </w:sectPr>
      </w:pPr>
      <w:r>
        <w:rPr>
          <w:rFonts w:ascii="Times New Roman" w:hAnsi="Times New Roman" w:cs="Times New Roman"/>
        </w:rPr>
        <w:t>GFP LUHMES were grown in co-culture with control/ IgG or MAB391 pretreated astrocytes for 3, 6 and 12 (day 6, day 9 and day 15 respectively) days to assess neuronal network formation and survival. Images show GFP-expressing LUHMES (green) and scale bar represents 50μM.</w:t>
      </w:r>
    </w:p>
    <w:p w14:paraId="15B0DD41" w14:textId="0B60C0A5" w:rsidR="007F301F" w:rsidRDefault="00F00E0E" w:rsidP="00395B55">
      <w:pPr>
        <w:pStyle w:val="Heading3"/>
      </w:pPr>
      <w:bookmarkStart w:id="1531" w:name="_Toc328301173"/>
      <w:bookmarkStart w:id="1532" w:name="_Toc329593464"/>
      <w:bookmarkStart w:id="1533" w:name="_Toc331425963"/>
      <w:bookmarkStart w:id="1534" w:name="_Toc331427144"/>
      <w:bookmarkStart w:id="1535" w:name="_Toc331427516"/>
      <w:bookmarkStart w:id="1536" w:name="_Toc331427658"/>
      <w:bookmarkStart w:id="1537" w:name="_Toc332972663"/>
      <w:bookmarkStart w:id="1538" w:name="_Toc333046942"/>
      <w:bookmarkStart w:id="1539" w:name="_Toc333477289"/>
      <w:bookmarkStart w:id="1540" w:name="_Toc333478059"/>
      <w:bookmarkStart w:id="1541" w:name="_Toc333644959"/>
      <w:r>
        <w:t>4.4</w:t>
      </w:r>
      <w:r w:rsidR="00F94933">
        <w:t xml:space="preserve">.10 </w:t>
      </w:r>
      <w:r w:rsidR="00A9598E">
        <w:t>Loss of</w:t>
      </w:r>
      <w:r w:rsidR="007F301F">
        <w:t xml:space="preserve"> IGF1R</w:t>
      </w:r>
      <w:r w:rsidR="00A9598E">
        <w:t xml:space="preserve"> in astrocytes does not</w:t>
      </w:r>
      <w:r w:rsidR="007F301F">
        <w:t xml:space="preserve"> affect neurite outgrowth during neuronal differentiation</w:t>
      </w:r>
      <w:bookmarkEnd w:id="1531"/>
      <w:bookmarkEnd w:id="1532"/>
      <w:bookmarkEnd w:id="1533"/>
      <w:bookmarkEnd w:id="1534"/>
      <w:bookmarkEnd w:id="1535"/>
      <w:bookmarkEnd w:id="1536"/>
      <w:bookmarkEnd w:id="1537"/>
      <w:bookmarkEnd w:id="1538"/>
      <w:bookmarkEnd w:id="1539"/>
      <w:bookmarkEnd w:id="1540"/>
      <w:bookmarkEnd w:id="1541"/>
    </w:p>
    <w:p w14:paraId="74060EF0" w14:textId="77777777" w:rsidR="007F301F" w:rsidRDefault="007F301F">
      <w:pPr>
        <w:rPr>
          <w:rFonts w:ascii="Times New Roman" w:hAnsi="Times New Roman" w:cs="Times New Roman"/>
          <w:b/>
          <w:u w:val="single"/>
        </w:rPr>
      </w:pPr>
    </w:p>
    <w:p w14:paraId="41310353" w14:textId="77777777" w:rsidR="007F301F" w:rsidRDefault="007F301F">
      <w:pPr>
        <w:rPr>
          <w:rFonts w:ascii="Times New Roman" w:hAnsi="Times New Roman" w:cs="Times New Roman"/>
        </w:rPr>
      </w:pPr>
    </w:p>
    <w:p w14:paraId="43FF7B3D" w14:textId="5BCF337C" w:rsidR="00A9598E" w:rsidRDefault="006160A5" w:rsidP="00C63BC1">
      <w:pPr>
        <w:spacing w:line="360" w:lineRule="auto"/>
        <w:jc w:val="both"/>
        <w:rPr>
          <w:rFonts w:ascii="Times New Roman" w:hAnsi="Times New Roman" w:cs="Times New Roman"/>
        </w:rPr>
      </w:pPr>
      <w:r>
        <w:rPr>
          <w:rFonts w:ascii="Times New Roman" w:hAnsi="Times New Roman" w:cs="Times New Roman"/>
        </w:rPr>
        <w:t>To</w:t>
      </w:r>
      <w:r w:rsidR="004B6D45">
        <w:rPr>
          <w:rFonts w:ascii="Times New Roman" w:hAnsi="Times New Roman" w:cs="Times New Roman"/>
        </w:rPr>
        <w:t xml:space="preserve"> elucidate</w:t>
      </w:r>
      <w:r w:rsidR="00E1541C">
        <w:rPr>
          <w:rFonts w:ascii="Times New Roman" w:hAnsi="Times New Roman" w:cs="Times New Roman"/>
        </w:rPr>
        <w:t xml:space="preserve"> whether impairment of the</w:t>
      </w:r>
      <w:r w:rsidR="002270F6">
        <w:rPr>
          <w:rFonts w:ascii="Times New Roman" w:hAnsi="Times New Roman" w:cs="Times New Roman"/>
        </w:rPr>
        <w:t xml:space="preserve"> IGF1 signallin</w:t>
      </w:r>
      <w:r w:rsidR="00E1541C">
        <w:rPr>
          <w:rFonts w:ascii="Times New Roman" w:hAnsi="Times New Roman" w:cs="Times New Roman"/>
        </w:rPr>
        <w:t>g pathway</w:t>
      </w:r>
      <w:r w:rsidR="002270F6">
        <w:rPr>
          <w:rFonts w:ascii="Times New Roman" w:hAnsi="Times New Roman" w:cs="Times New Roman"/>
        </w:rPr>
        <w:t xml:space="preserve"> affects the ability of astrocytes to support neurite outgrowth during neuronal differentiation</w:t>
      </w:r>
      <w:r>
        <w:rPr>
          <w:rFonts w:ascii="Times New Roman" w:hAnsi="Times New Roman" w:cs="Times New Roman"/>
        </w:rPr>
        <w:t xml:space="preserve">, </w:t>
      </w:r>
      <w:r w:rsidR="008744D6">
        <w:rPr>
          <w:rFonts w:ascii="Times New Roman" w:hAnsi="Times New Roman" w:cs="Times New Roman"/>
        </w:rPr>
        <w:t>astrocytes were treated with MAB391/IgG (</w:t>
      </w:r>
      <w:r w:rsidR="008744D6" w:rsidRPr="008B5DBA">
        <w:rPr>
          <w:rFonts w:ascii="Times New Roman" w:hAnsi="Times New Roman" w:cs="Times New Roman"/>
          <w:b/>
        </w:rPr>
        <w:t xml:space="preserve">figure </w:t>
      </w:r>
      <w:r w:rsidR="00BB32DF" w:rsidRPr="008B5DBA">
        <w:rPr>
          <w:rFonts w:ascii="Times New Roman" w:hAnsi="Times New Roman" w:cs="Times New Roman"/>
          <w:b/>
        </w:rPr>
        <w:t>4.16</w:t>
      </w:r>
      <w:r w:rsidR="008744D6">
        <w:rPr>
          <w:rFonts w:ascii="Times New Roman" w:hAnsi="Times New Roman" w:cs="Times New Roman"/>
        </w:rPr>
        <w:t>) for 24 hours prior to co-culture with GFP LUHMES.</w:t>
      </w:r>
      <w:r w:rsidR="00EB0D84">
        <w:rPr>
          <w:rFonts w:ascii="Times New Roman" w:hAnsi="Times New Roman" w:cs="Times New Roman"/>
        </w:rPr>
        <w:t xml:space="preserve"> </w:t>
      </w:r>
      <w:r w:rsidR="001E367E">
        <w:rPr>
          <w:rFonts w:ascii="Times New Roman" w:hAnsi="Times New Roman" w:cs="Times New Roman"/>
        </w:rPr>
        <w:t>In</w:t>
      </w:r>
      <w:r>
        <w:rPr>
          <w:rFonts w:ascii="Times New Roman" w:hAnsi="Times New Roman" w:cs="Times New Roman"/>
        </w:rPr>
        <w:t xml:space="preserve"> Chapter 3 it was show</w:t>
      </w:r>
      <w:r w:rsidR="00970C54">
        <w:rPr>
          <w:rFonts w:ascii="Times New Roman" w:hAnsi="Times New Roman" w:cs="Times New Roman"/>
        </w:rPr>
        <w:t>n that astrocytic IGF1R levels we</w:t>
      </w:r>
      <w:r>
        <w:rPr>
          <w:rFonts w:ascii="Times New Roman" w:hAnsi="Times New Roman" w:cs="Times New Roman"/>
        </w:rPr>
        <w:t xml:space="preserve">re reduced 24 hours after MAB391 treatment </w:t>
      </w:r>
      <w:r w:rsidR="00970C54">
        <w:rPr>
          <w:rFonts w:ascii="Times New Roman" w:hAnsi="Times New Roman" w:cs="Times New Roman"/>
        </w:rPr>
        <w:t>but there we</w:t>
      </w:r>
      <w:r w:rsidR="00971F1B">
        <w:rPr>
          <w:rFonts w:ascii="Times New Roman" w:hAnsi="Times New Roman" w:cs="Times New Roman"/>
        </w:rPr>
        <w:t>re no changes in the levels of</w:t>
      </w:r>
      <w:r w:rsidR="00C14AA7">
        <w:rPr>
          <w:rFonts w:ascii="Times New Roman" w:hAnsi="Times New Roman" w:cs="Times New Roman"/>
        </w:rPr>
        <w:t xml:space="preserve"> phosphorylated Akt</w:t>
      </w:r>
      <w:r w:rsidR="001E367E">
        <w:rPr>
          <w:rFonts w:ascii="Times New Roman" w:hAnsi="Times New Roman" w:cs="Times New Roman"/>
        </w:rPr>
        <w:t xml:space="preserve"> (s473) (</w:t>
      </w:r>
      <w:r w:rsidR="008B5DBA">
        <w:rPr>
          <w:rFonts w:ascii="Times New Roman" w:hAnsi="Times New Roman" w:cs="Times New Roman"/>
        </w:rPr>
        <w:t xml:space="preserve">chapter 3, </w:t>
      </w:r>
      <w:r w:rsidR="001E367E" w:rsidRPr="00691810">
        <w:rPr>
          <w:rFonts w:ascii="Times New Roman" w:hAnsi="Times New Roman" w:cs="Times New Roman"/>
          <w:b/>
        </w:rPr>
        <w:t xml:space="preserve">figure </w:t>
      </w:r>
      <w:r w:rsidR="00004C6C" w:rsidRPr="00691810">
        <w:rPr>
          <w:rFonts w:ascii="Times New Roman" w:hAnsi="Times New Roman" w:cs="Times New Roman"/>
          <w:b/>
        </w:rPr>
        <w:t>3.7A</w:t>
      </w:r>
      <w:r w:rsidR="001E367E">
        <w:rPr>
          <w:rFonts w:ascii="Times New Roman" w:hAnsi="Times New Roman" w:cs="Times New Roman"/>
        </w:rPr>
        <w:t>)</w:t>
      </w:r>
      <w:r w:rsidR="007A7648">
        <w:rPr>
          <w:rFonts w:ascii="Times New Roman" w:hAnsi="Times New Roman" w:cs="Times New Roman"/>
        </w:rPr>
        <w:t xml:space="preserve"> and there was a persistent loss of IGF1R 72 hours after this time point</w:t>
      </w:r>
      <w:r w:rsidR="001E367E">
        <w:rPr>
          <w:rFonts w:ascii="Times New Roman" w:hAnsi="Times New Roman" w:cs="Times New Roman"/>
        </w:rPr>
        <w:t>.</w:t>
      </w:r>
      <w:r w:rsidR="00A9598E" w:rsidRPr="00A9598E">
        <w:rPr>
          <w:rFonts w:ascii="Times New Roman" w:hAnsi="Times New Roman" w:cs="Times New Roman"/>
        </w:rPr>
        <w:t xml:space="preserve"> </w:t>
      </w:r>
      <w:r w:rsidR="00A9598E">
        <w:rPr>
          <w:rFonts w:ascii="Times New Roman" w:hAnsi="Times New Roman" w:cs="Times New Roman"/>
        </w:rPr>
        <w:t>Therefore with the MAB391 pretreatment, astrocytes have reduced IGF1R levels when the LUHMES are plated with them and in monoculture at least, this is true during the full course of neuronal differentiation.</w:t>
      </w:r>
      <w:r w:rsidR="00EB0D84">
        <w:rPr>
          <w:rFonts w:ascii="Times New Roman" w:hAnsi="Times New Roman" w:cs="Times New Roman"/>
        </w:rPr>
        <w:t xml:space="preserve"> Astrocytes were also pre-treated with Wortmannin to assess how downregulation of Akt signalling in astrocytes affects neurite outgrowth (this will be discussed in section 4.4.11).</w:t>
      </w:r>
    </w:p>
    <w:p w14:paraId="28C728FF" w14:textId="77777777" w:rsidR="00086871" w:rsidRDefault="00086871" w:rsidP="00C63BC1">
      <w:pPr>
        <w:spacing w:line="360" w:lineRule="auto"/>
        <w:jc w:val="both"/>
        <w:rPr>
          <w:rFonts w:ascii="Times New Roman" w:hAnsi="Times New Roman" w:cs="Times New Roman"/>
        </w:rPr>
      </w:pPr>
    </w:p>
    <w:p w14:paraId="12F42856" w14:textId="4226D464" w:rsidR="00BB32DF" w:rsidRPr="00C2771E" w:rsidRDefault="007A7648" w:rsidP="00C63BC1">
      <w:pPr>
        <w:spacing w:line="360" w:lineRule="auto"/>
        <w:jc w:val="both"/>
        <w:rPr>
          <w:rFonts w:ascii="Times New Roman" w:hAnsi="Times New Roman" w:cs="Times New Roman"/>
          <w:color w:val="FF0000"/>
        </w:rPr>
      </w:pPr>
      <w:r>
        <w:rPr>
          <w:rFonts w:ascii="Times New Roman" w:hAnsi="Times New Roman" w:cs="Times New Roman"/>
        </w:rPr>
        <w:t xml:space="preserve">Astrocytes significantly enhanced neurite outgrowth during the 72 hour co-culture period compared to neurons grown alone. However, loss of IGF1R did not affect the ability of astrocytes to support neurite outgrowth during this period. </w:t>
      </w:r>
      <w:r w:rsidR="00BB32DF">
        <w:rPr>
          <w:rFonts w:ascii="Times New Roman" w:hAnsi="Times New Roman" w:cs="Times New Roman"/>
        </w:rPr>
        <w:t>(</w:t>
      </w:r>
      <w:r w:rsidR="00BB32DF" w:rsidRPr="00691810">
        <w:rPr>
          <w:rFonts w:ascii="Times New Roman" w:hAnsi="Times New Roman" w:cs="Times New Roman"/>
          <w:b/>
        </w:rPr>
        <w:t>figure 4.17</w:t>
      </w:r>
      <w:r w:rsidR="00BB32DF">
        <w:rPr>
          <w:rFonts w:ascii="Times New Roman" w:hAnsi="Times New Roman" w:cs="Times New Roman"/>
        </w:rPr>
        <w:t>)</w:t>
      </w:r>
      <w:r w:rsidR="00A9598E">
        <w:rPr>
          <w:rFonts w:ascii="Times New Roman" w:hAnsi="Times New Roman" w:cs="Times New Roman"/>
        </w:rPr>
        <w:t xml:space="preserve">. </w:t>
      </w:r>
    </w:p>
    <w:p w14:paraId="3BBC155A" w14:textId="77777777" w:rsidR="00BB32DF" w:rsidRDefault="00BB32DF" w:rsidP="00C63BC1">
      <w:pPr>
        <w:spacing w:line="360" w:lineRule="auto"/>
        <w:jc w:val="both"/>
        <w:rPr>
          <w:rFonts w:ascii="Times New Roman" w:hAnsi="Times New Roman" w:cs="Times New Roman"/>
        </w:rPr>
      </w:pPr>
    </w:p>
    <w:p w14:paraId="398BFAAF" w14:textId="77777777" w:rsidR="00BB32DF" w:rsidRDefault="00BB32DF" w:rsidP="002270F6">
      <w:pPr>
        <w:spacing w:line="360" w:lineRule="auto"/>
        <w:rPr>
          <w:rFonts w:ascii="Times New Roman" w:hAnsi="Times New Roman" w:cs="Times New Roman"/>
        </w:rPr>
      </w:pPr>
    </w:p>
    <w:p w14:paraId="4A1CCF02" w14:textId="77777777" w:rsidR="00BB32DF" w:rsidRDefault="00BB32DF" w:rsidP="002270F6">
      <w:pPr>
        <w:spacing w:line="360" w:lineRule="auto"/>
        <w:rPr>
          <w:rFonts w:ascii="Times New Roman" w:hAnsi="Times New Roman" w:cs="Times New Roman"/>
        </w:rPr>
      </w:pPr>
    </w:p>
    <w:p w14:paraId="76232B15" w14:textId="683A1299" w:rsidR="00A9598E" w:rsidRDefault="004D4ADC" w:rsidP="00A9598E">
      <w:pPr>
        <w:rPr>
          <w:rFonts w:ascii="Times New Roman" w:hAnsi="Times New Roman" w:cs="Times New Roman"/>
          <w:b/>
        </w:rPr>
      </w:pPr>
      <w:r>
        <w:rPr>
          <w:rFonts w:ascii="Times New Roman" w:hAnsi="Times New Roman" w:cs="Times New Roman"/>
          <w:b/>
          <w:noProof/>
        </w:rPr>
        <w:drawing>
          <wp:inline distT="0" distB="0" distL="0" distR="0" wp14:anchorId="16E86F18" wp14:editId="09572EB2">
            <wp:extent cx="5396230" cy="3403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68">
                      <a:extLst>
                        <a:ext uri="{28A0092B-C50C-407E-A947-70E740481C1C}">
                          <a14:useLocalDpi xmlns:a14="http://schemas.microsoft.com/office/drawing/2010/main" val="0"/>
                        </a:ext>
                      </a:extLst>
                    </a:blip>
                    <a:srcRect t="9417" b="6466"/>
                    <a:stretch/>
                  </pic:blipFill>
                  <pic:spPr bwMode="auto">
                    <a:xfrm>
                      <a:off x="0" y="0"/>
                      <a:ext cx="5396230" cy="3403600"/>
                    </a:xfrm>
                    <a:prstGeom prst="rect">
                      <a:avLst/>
                    </a:prstGeom>
                    <a:ln>
                      <a:noFill/>
                    </a:ln>
                    <a:extLst>
                      <a:ext uri="{53640926-AAD7-44d8-BBD7-CCE9431645EC}">
                        <a14:shadowObscured xmlns:a14="http://schemas.microsoft.com/office/drawing/2010/main"/>
                      </a:ext>
                    </a:extLst>
                  </pic:spPr>
                </pic:pic>
              </a:graphicData>
            </a:graphic>
          </wp:inline>
        </w:drawing>
      </w:r>
    </w:p>
    <w:p w14:paraId="1034DA0C" w14:textId="77777777" w:rsidR="00BB32DF" w:rsidRDefault="00BB32DF" w:rsidP="00A9598E">
      <w:pPr>
        <w:rPr>
          <w:rFonts w:ascii="Times New Roman" w:hAnsi="Times New Roman" w:cs="Times New Roman"/>
          <w:b/>
        </w:rPr>
      </w:pPr>
    </w:p>
    <w:p w14:paraId="569DB4E8" w14:textId="77777777" w:rsidR="00BB32DF" w:rsidRDefault="00BB32DF" w:rsidP="00A9598E">
      <w:pPr>
        <w:rPr>
          <w:rFonts w:ascii="Times New Roman" w:hAnsi="Times New Roman" w:cs="Times New Roman"/>
          <w:b/>
        </w:rPr>
      </w:pPr>
    </w:p>
    <w:p w14:paraId="68923301" w14:textId="77777777" w:rsidR="001B72D6" w:rsidRDefault="00B92D16" w:rsidP="00C664C4">
      <w:pPr>
        <w:pStyle w:val="Caption"/>
      </w:pPr>
      <w:bookmarkStart w:id="1542" w:name="_Toc333569071"/>
      <w:bookmarkStart w:id="1543" w:name="_Toc333569296"/>
      <w:bookmarkStart w:id="1544" w:name="_Toc333570850"/>
      <w:bookmarkStart w:id="1545" w:name="_Toc333582233"/>
      <w:bookmarkStart w:id="1546" w:name="_Toc333582353"/>
      <w:bookmarkStart w:id="1547" w:name="_Toc333582765"/>
      <w:bookmarkStart w:id="1548" w:name="_Toc333583135"/>
      <w:bookmarkStart w:id="1549" w:name="_Toc333585243"/>
      <w:bookmarkStart w:id="1550" w:name="_Toc333586795"/>
      <w:bookmarkStart w:id="1551" w:name="_Toc333644494"/>
      <w:bookmarkStart w:id="1552" w:name="_Toc333644788"/>
      <w:r>
        <w:t>Figure 4.16</w:t>
      </w:r>
      <w:r w:rsidR="0043060F">
        <w:t>.</w:t>
      </w:r>
      <w:r w:rsidR="00A9598E">
        <w:t xml:space="preserve"> </w:t>
      </w:r>
      <w:r w:rsidR="00A9598E" w:rsidRPr="00BB3CED">
        <w:t>Timeline of neurite outgrowth assay to assess effect of MAB391/IgG pretreatment of astrocytes on neurons</w:t>
      </w:r>
      <w:r w:rsidR="00CE682C">
        <w:t>.</w:t>
      </w:r>
      <w:bookmarkEnd w:id="1542"/>
      <w:bookmarkEnd w:id="1543"/>
      <w:bookmarkEnd w:id="1544"/>
      <w:bookmarkEnd w:id="1545"/>
      <w:bookmarkEnd w:id="1546"/>
      <w:bookmarkEnd w:id="1547"/>
      <w:bookmarkEnd w:id="1548"/>
      <w:bookmarkEnd w:id="1549"/>
      <w:bookmarkEnd w:id="1550"/>
      <w:bookmarkEnd w:id="1551"/>
      <w:bookmarkEnd w:id="1552"/>
      <w:r w:rsidR="00CE682C">
        <w:t xml:space="preserve">  </w:t>
      </w:r>
    </w:p>
    <w:p w14:paraId="3E38C4D5" w14:textId="5D8CF049" w:rsidR="00A9598E" w:rsidRPr="006E3732" w:rsidRDefault="00CE682C" w:rsidP="00C63BC1">
      <w:pPr>
        <w:spacing w:line="360" w:lineRule="auto"/>
        <w:jc w:val="both"/>
        <w:rPr>
          <w:rFonts w:ascii="Times New Roman" w:hAnsi="Times New Roman" w:cs="Times New Roman"/>
        </w:rPr>
      </w:pPr>
      <w:r>
        <w:rPr>
          <w:rFonts w:ascii="Times New Roman" w:hAnsi="Times New Roman" w:cs="Times New Roman"/>
        </w:rPr>
        <w:t>On day 1 30</w:t>
      </w:r>
      <w:r w:rsidR="00737D07">
        <w:rPr>
          <w:rFonts w:ascii="Times New Roman" w:hAnsi="Times New Roman" w:cs="Times New Roman"/>
        </w:rPr>
        <w:t xml:space="preserve"> </w:t>
      </w:r>
      <w:r>
        <w:rPr>
          <w:rFonts w:ascii="Times New Roman" w:hAnsi="Times New Roman" w:cs="Times New Roman"/>
        </w:rPr>
        <w:t>000 astrocytes we</w:t>
      </w:r>
      <w:r w:rsidR="00A9598E">
        <w:rPr>
          <w:rFonts w:ascii="Times New Roman" w:hAnsi="Times New Roman" w:cs="Times New Roman"/>
        </w:rPr>
        <w:t>re plated per well of a 24 well plate in astrocyte media (F10MEM) and in parallel dif</w:t>
      </w:r>
      <w:r>
        <w:rPr>
          <w:rFonts w:ascii="Times New Roman" w:hAnsi="Times New Roman" w:cs="Times New Roman"/>
        </w:rPr>
        <w:t>ferentiation of the GFP LUHMES wa</w:t>
      </w:r>
      <w:r w:rsidR="00A9598E">
        <w:rPr>
          <w:rFonts w:ascii="Times New Roman" w:hAnsi="Times New Roman" w:cs="Times New Roman"/>
        </w:rPr>
        <w:t xml:space="preserve">s initiated. On day 2 the astrocytes </w:t>
      </w:r>
      <w:r>
        <w:rPr>
          <w:rFonts w:ascii="Times New Roman" w:hAnsi="Times New Roman" w:cs="Times New Roman"/>
        </w:rPr>
        <w:t>we</w:t>
      </w:r>
      <w:r w:rsidR="002C76AE">
        <w:rPr>
          <w:rFonts w:ascii="Times New Roman" w:hAnsi="Times New Roman" w:cs="Times New Roman"/>
        </w:rPr>
        <w:t xml:space="preserve">re treated with IgG/MAB391 </w:t>
      </w:r>
      <w:r>
        <w:rPr>
          <w:rFonts w:ascii="Times New Roman" w:hAnsi="Times New Roman" w:cs="Times New Roman"/>
        </w:rPr>
        <w:t>(</w:t>
      </w:r>
      <w:r w:rsidR="002C76AE">
        <w:rPr>
          <w:rFonts w:ascii="Times New Roman" w:hAnsi="Times New Roman" w:cs="Times New Roman"/>
        </w:rPr>
        <w:t>or W</w:t>
      </w:r>
      <w:r w:rsidR="00A9598E">
        <w:rPr>
          <w:rFonts w:ascii="Times New Roman" w:hAnsi="Times New Roman" w:cs="Times New Roman"/>
        </w:rPr>
        <w:t>ortmannin</w:t>
      </w:r>
      <w:r w:rsidR="0002245B">
        <w:rPr>
          <w:rFonts w:ascii="Times New Roman" w:hAnsi="Times New Roman" w:cs="Times New Roman"/>
        </w:rPr>
        <w:t>, which will be discussed later</w:t>
      </w:r>
      <w:r>
        <w:rPr>
          <w:rFonts w:ascii="Times New Roman" w:hAnsi="Times New Roman" w:cs="Times New Roman"/>
        </w:rPr>
        <w:t>) for 24 hours. Astrocytes we</w:t>
      </w:r>
      <w:r w:rsidR="00A9598E">
        <w:rPr>
          <w:rFonts w:ascii="Times New Roman" w:hAnsi="Times New Roman" w:cs="Times New Roman"/>
        </w:rPr>
        <w:t>re washed wi</w:t>
      </w:r>
      <w:r>
        <w:rPr>
          <w:rFonts w:ascii="Times New Roman" w:hAnsi="Times New Roman" w:cs="Times New Roman"/>
        </w:rPr>
        <w:t>th PBS on day 3 and GFP LUHMES we</w:t>
      </w:r>
      <w:r w:rsidR="00A9598E">
        <w:rPr>
          <w:rFonts w:ascii="Times New Roman" w:hAnsi="Times New Roman" w:cs="Times New Roman"/>
        </w:rPr>
        <w:t>re replated on the astrocytes in the neuronal media (Advanced MEM media + Tet) at a density of 7500 LUHMES per 24 well. On day 4, 5 and 6, which represent 24, 48 and 72 hours in co-cul</w:t>
      </w:r>
      <w:r>
        <w:rPr>
          <w:rFonts w:ascii="Times New Roman" w:hAnsi="Times New Roman" w:cs="Times New Roman"/>
        </w:rPr>
        <w:t>ture respectively, co-cultures we</w:t>
      </w:r>
      <w:r w:rsidR="00A9598E">
        <w:rPr>
          <w:rFonts w:ascii="Times New Roman" w:hAnsi="Times New Roman" w:cs="Times New Roman"/>
        </w:rPr>
        <w:t>re fixed with 4%</w:t>
      </w:r>
      <w:r w:rsidR="004B6D45">
        <w:rPr>
          <w:rFonts w:ascii="Times New Roman" w:hAnsi="Times New Roman" w:cs="Times New Roman"/>
        </w:rPr>
        <w:t xml:space="preserve"> </w:t>
      </w:r>
      <w:r w:rsidR="00A9598E">
        <w:rPr>
          <w:rFonts w:ascii="Times New Roman" w:hAnsi="Times New Roman" w:cs="Times New Roman"/>
        </w:rPr>
        <w:t>PFA, stained with Hoescht and images captured on the Nikon microscope for image analysis using Simple Neurite Tracer (an ImageJ plugin).</w:t>
      </w:r>
    </w:p>
    <w:p w14:paraId="22E3F121" w14:textId="77777777" w:rsidR="00A9598E" w:rsidRDefault="00A9598E" w:rsidP="00A9598E">
      <w:pPr>
        <w:rPr>
          <w:rFonts w:ascii="Times New Roman" w:hAnsi="Times New Roman" w:cs="Times New Roman"/>
          <w:b/>
        </w:rPr>
      </w:pPr>
    </w:p>
    <w:p w14:paraId="1DA638FC" w14:textId="77777777" w:rsidR="00A9598E" w:rsidRDefault="00A9598E" w:rsidP="00A9598E">
      <w:pPr>
        <w:rPr>
          <w:rFonts w:ascii="Times New Roman" w:hAnsi="Times New Roman" w:cs="Times New Roman"/>
          <w:b/>
        </w:rPr>
      </w:pPr>
    </w:p>
    <w:p w14:paraId="0CE4E5A8" w14:textId="77777777" w:rsidR="00A9598E" w:rsidRDefault="00A9598E" w:rsidP="00A9598E">
      <w:pPr>
        <w:rPr>
          <w:rFonts w:ascii="Times New Roman" w:hAnsi="Times New Roman" w:cs="Times New Roman"/>
          <w:b/>
        </w:rPr>
      </w:pPr>
    </w:p>
    <w:p w14:paraId="265A93F4" w14:textId="77777777" w:rsidR="00A9598E" w:rsidRDefault="00A9598E" w:rsidP="00A9598E">
      <w:pPr>
        <w:rPr>
          <w:rFonts w:ascii="Times New Roman" w:hAnsi="Times New Roman" w:cs="Times New Roman"/>
          <w:b/>
        </w:rPr>
      </w:pPr>
    </w:p>
    <w:p w14:paraId="7BEACE08" w14:textId="77777777" w:rsidR="00A9598E" w:rsidRDefault="00A9598E" w:rsidP="00A9598E">
      <w:pPr>
        <w:rPr>
          <w:rFonts w:ascii="Times New Roman" w:hAnsi="Times New Roman" w:cs="Times New Roman"/>
          <w:b/>
        </w:rPr>
      </w:pPr>
    </w:p>
    <w:p w14:paraId="79EEF34D" w14:textId="77777777" w:rsidR="00A9598E" w:rsidRDefault="00A9598E" w:rsidP="00A9598E">
      <w:pPr>
        <w:rPr>
          <w:rFonts w:ascii="Times New Roman" w:hAnsi="Times New Roman" w:cs="Times New Roman"/>
          <w:b/>
        </w:rPr>
      </w:pPr>
    </w:p>
    <w:p w14:paraId="5EF8CE7A" w14:textId="77777777" w:rsidR="00A9598E" w:rsidRDefault="00A9598E" w:rsidP="00A9598E">
      <w:pPr>
        <w:rPr>
          <w:rFonts w:ascii="Times New Roman" w:hAnsi="Times New Roman" w:cs="Times New Roman"/>
          <w:b/>
        </w:rPr>
      </w:pPr>
    </w:p>
    <w:p w14:paraId="0A1601C1" w14:textId="77777777" w:rsidR="00A9598E" w:rsidRDefault="00A9598E" w:rsidP="00A9598E">
      <w:pPr>
        <w:rPr>
          <w:rFonts w:ascii="Times New Roman" w:hAnsi="Times New Roman" w:cs="Times New Roman"/>
          <w:b/>
        </w:rPr>
      </w:pPr>
    </w:p>
    <w:p w14:paraId="094DFE04" w14:textId="77777777" w:rsidR="00A9598E" w:rsidRDefault="00A9598E" w:rsidP="00A9598E">
      <w:pPr>
        <w:rPr>
          <w:rFonts w:ascii="Times New Roman" w:hAnsi="Times New Roman" w:cs="Times New Roman"/>
          <w:b/>
        </w:rPr>
      </w:pPr>
    </w:p>
    <w:p w14:paraId="10169C13" w14:textId="77777777" w:rsidR="00A9598E" w:rsidRDefault="00A9598E" w:rsidP="00A9598E">
      <w:pPr>
        <w:rPr>
          <w:rFonts w:ascii="Times New Roman" w:hAnsi="Times New Roman" w:cs="Times New Roman"/>
          <w:b/>
        </w:rPr>
      </w:pPr>
    </w:p>
    <w:p w14:paraId="30B6239F" w14:textId="77777777" w:rsidR="00EB0D84" w:rsidRDefault="00EB0D84" w:rsidP="00A9598E">
      <w:pPr>
        <w:rPr>
          <w:rFonts w:ascii="Times New Roman" w:hAnsi="Times New Roman" w:cs="Times New Roman"/>
          <w:b/>
        </w:rPr>
        <w:sectPr w:rsidR="00EB0D84" w:rsidSect="00EB0D84">
          <w:pgSz w:w="11900" w:h="16840"/>
          <w:pgMar w:top="1440" w:right="1134" w:bottom="1440" w:left="2268" w:header="709" w:footer="709" w:gutter="0"/>
          <w:cols w:space="708"/>
          <w:docGrid w:linePitch="360"/>
        </w:sectPr>
      </w:pPr>
    </w:p>
    <w:p w14:paraId="4E6E365B" w14:textId="4A5818A4" w:rsidR="00A9598E" w:rsidRDefault="00A9598E" w:rsidP="00A9598E">
      <w:pPr>
        <w:rPr>
          <w:rFonts w:ascii="Times New Roman" w:hAnsi="Times New Roman" w:cs="Times New Roman"/>
          <w:b/>
        </w:rPr>
      </w:pPr>
    </w:p>
    <w:p w14:paraId="0B06B74A" w14:textId="36F7077F" w:rsidR="00A9598E" w:rsidRDefault="00533EBD" w:rsidP="00A9598E">
      <w:pPr>
        <w:rPr>
          <w:rFonts w:ascii="Times New Roman" w:hAnsi="Times New Roman" w:cs="Times New Roman"/>
          <w:b/>
        </w:rPr>
      </w:pPr>
      <w:r>
        <w:rPr>
          <w:rFonts w:ascii="Times New Roman" w:hAnsi="Times New Roman" w:cs="Times New Roman"/>
          <w:b/>
          <w:noProof/>
        </w:rPr>
        <w:drawing>
          <wp:inline distT="0" distB="0" distL="0" distR="0" wp14:anchorId="2CD38DD6" wp14:editId="1108F573">
            <wp:extent cx="7196308" cy="3631475"/>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69">
                      <a:extLst>
                        <a:ext uri="{28A0092B-C50C-407E-A947-70E740481C1C}">
                          <a14:useLocalDpi xmlns:a14="http://schemas.microsoft.com/office/drawing/2010/main" val="0"/>
                        </a:ext>
                      </a:extLst>
                    </a:blip>
                    <a:srcRect t="18155" b="14547"/>
                    <a:stretch/>
                  </pic:blipFill>
                  <pic:spPr bwMode="auto">
                    <a:xfrm>
                      <a:off x="0" y="0"/>
                      <a:ext cx="7196455" cy="3631549"/>
                    </a:xfrm>
                    <a:prstGeom prst="rect">
                      <a:avLst/>
                    </a:prstGeom>
                    <a:ln>
                      <a:noFill/>
                    </a:ln>
                    <a:extLst>
                      <a:ext uri="{53640926-AAD7-44d8-BBD7-CCE9431645EC}">
                        <a14:shadowObscured xmlns:a14="http://schemas.microsoft.com/office/drawing/2010/main"/>
                      </a:ext>
                    </a:extLst>
                  </pic:spPr>
                </pic:pic>
              </a:graphicData>
            </a:graphic>
          </wp:inline>
        </w:drawing>
      </w:r>
    </w:p>
    <w:p w14:paraId="1BB24EA7" w14:textId="77777777" w:rsidR="00A9598E" w:rsidRDefault="00A9598E" w:rsidP="00A9598E">
      <w:pPr>
        <w:rPr>
          <w:rFonts w:ascii="Times New Roman" w:hAnsi="Times New Roman" w:cs="Times New Roman"/>
          <w:b/>
        </w:rPr>
      </w:pPr>
    </w:p>
    <w:p w14:paraId="5B338A14" w14:textId="77777777" w:rsidR="001B72D6" w:rsidRDefault="00A9598E" w:rsidP="00585472">
      <w:pPr>
        <w:pStyle w:val="Caption"/>
        <w:jc w:val="left"/>
      </w:pPr>
      <w:bookmarkStart w:id="1553" w:name="_Toc333569072"/>
      <w:bookmarkStart w:id="1554" w:name="_Toc333569297"/>
      <w:bookmarkStart w:id="1555" w:name="_Toc333570851"/>
      <w:bookmarkStart w:id="1556" w:name="_Toc333582234"/>
      <w:bookmarkStart w:id="1557" w:name="_Toc333582354"/>
      <w:bookmarkStart w:id="1558" w:name="_Toc333582766"/>
      <w:bookmarkStart w:id="1559" w:name="_Toc333583136"/>
      <w:bookmarkStart w:id="1560" w:name="_Toc333585244"/>
      <w:bookmarkStart w:id="1561" w:name="_Toc333586796"/>
      <w:bookmarkStart w:id="1562" w:name="_Toc333644495"/>
      <w:bookmarkStart w:id="1563" w:name="_Toc333644789"/>
      <w:r>
        <w:t xml:space="preserve">Figure </w:t>
      </w:r>
      <w:r w:rsidR="00B92D16">
        <w:t>4.17</w:t>
      </w:r>
      <w:r w:rsidR="0043060F">
        <w:t>.</w:t>
      </w:r>
      <w:r w:rsidR="00F94933">
        <w:t xml:space="preserve"> </w:t>
      </w:r>
      <w:r w:rsidRPr="00BB3CED">
        <w:t xml:space="preserve">Astrocytes enhance neurite outgrowth during LUHMES differentiation, however loss of IGF1R </w:t>
      </w:r>
      <w:r w:rsidR="00BB3CED">
        <w:t>in</w:t>
      </w:r>
      <w:r w:rsidRPr="00BB3CED">
        <w:t xml:space="preserve"> astrocytes does not affect rate of neurite outgrowth during the differentiation process</w:t>
      </w:r>
      <w:r>
        <w:t>.</w:t>
      </w:r>
      <w:bookmarkEnd w:id="1553"/>
      <w:bookmarkEnd w:id="1554"/>
      <w:bookmarkEnd w:id="1555"/>
      <w:bookmarkEnd w:id="1556"/>
      <w:bookmarkEnd w:id="1557"/>
      <w:bookmarkEnd w:id="1558"/>
      <w:bookmarkEnd w:id="1559"/>
      <w:bookmarkEnd w:id="1560"/>
      <w:bookmarkEnd w:id="1561"/>
      <w:bookmarkEnd w:id="1562"/>
      <w:bookmarkEnd w:id="1563"/>
    </w:p>
    <w:p w14:paraId="688F047E" w14:textId="6345170D" w:rsidR="00A9598E" w:rsidRPr="00A9598E" w:rsidRDefault="00A9598E" w:rsidP="00585472">
      <w:pPr>
        <w:spacing w:line="360" w:lineRule="auto"/>
        <w:rPr>
          <w:rFonts w:ascii="Times New Roman" w:hAnsi="Times New Roman" w:cs="Times New Roman"/>
        </w:rPr>
        <w:sectPr w:rsidR="00A9598E" w:rsidRPr="00A9598E" w:rsidSect="00EB0D84">
          <w:pgSz w:w="16840" w:h="11900" w:orient="landscape"/>
          <w:pgMar w:top="2268" w:right="1440" w:bottom="1134" w:left="1440" w:header="709" w:footer="709" w:gutter="0"/>
          <w:cols w:space="708"/>
          <w:docGrid w:linePitch="360"/>
        </w:sectPr>
      </w:pPr>
      <w:r>
        <w:rPr>
          <w:rFonts w:ascii="Times New Roman" w:hAnsi="Times New Roman" w:cs="Times New Roman"/>
        </w:rPr>
        <w:t xml:space="preserve"> Data represents mean ± SEM (n=3, 3 replicates/experiment, 5 fields counted per coverslip (represents 1 replicate), one way ANOVA with post-hoc analysis **p&lt;0.01 ****p&lt;0.0001</w:t>
      </w:r>
    </w:p>
    <w:p w14:paraId="6E93BA8D" w14:textId="4355BFB5" w:rsidR="00A9598E" w:rsidRDefault="00F00E0E" w:rsidP="00395B55">
      <w:pPr>
        <w:pStyle w:val="Heading3"/>
      </w:pPr>
      <w:bookmarkStart w:id="1564" w:name="_Toc328301174"/>
      <w:bookmarkStart w:id="1565" w:name="_Toc329593465"/>
      <w:bookmarkStart w:id="1566" w:name="_Toc331425964"/>
      <w:bookmarkStart w:id="1567" w:name="_Toc331427145"/>
      <w:bookmarkStart w:id="1568" w:name="_Toc331427517"/>
      <w:bookmarkStart w:id="1569" w:name="_Toc331427659"/>
      <w:bookmarkStart w:id="1570" w:name="_Toc332972664"/>
      <w:bookmarkStart w:id="1571" w:name="_Toc333046943"/>
      <w:bookmarkStart w:id="1572" w:name="_Toc333477290"/>
      <w:bookmarkStart w:id="1573" w:name="_Toc333478060"/>
      <w:bookmarkStart w:id="1574" w:name="_Toc333644960"/>
      <w:r>
        <w:t>4.4</w:t>
      </w:r>
      <w:r w:rsidR="00F94933">
        <w:t xml:space="preserve">.11 </w:t>
      </w:r>
      <w:r w:rsidR="006160A5">
        <w:t>Reduced astrocytic p</w:t>
      </w:r>
      <w:r w:rsidR="004D61B4">
        <w:t>Akt</w:t>
      </w:r>
      <w:r w:rsidR="006160A5">
        <w:t xml:space="preserve"> (s473)</w:t>
      </w:r>
      <w:r w:rsidR="00A9598E">
        <w:t xml:space="preserve"> </w:t>
      </w:r>
      <w:r w:rsidR="006160A5">
        <w:t>limits</w:t>
      </w:r>
      <w:r w:rsidR="00A9598E">
        <w:t xml:space="preserve"> the support for neurite outgrowth during differentiation</w:t>
      </w:r>
      <w:bookmarkEnd w:id="1564"/>
      <w:bookmarkEnd w:id="1565"/>
      <w:bookmarkEnd w:id="1566"/>
      <w:bookmarkEnd w:id="1567"/>
      <w:bookmarkEnd w:id="1568"/>
      <w:bookmarkEnd w:id="1569"/>
      <w:bookmarkEnd w:id="1570"/>
      <w:bookmarkEnd w:id="1571"/>
      <w:bookmarkEnd w:id="1572"/>
      <w:bookmarkEnd w:id="1573"/>
      <w:bookmarkEnd w:id="1574"/>
    </w:p>
    <w:p w14:paraId="48158D3B" w14:textId="77777777" w:rsidR="00A9598E" w:rsidRDefault="00A9598E" w:rsidP="002270F6">
      <w:pPr>
        <w:spacing w:line="360" w:lineRule="auto"/>
        <w:rPr>
          <w:rFonts w:ascii="Times New Roman" w:hAnsi="Times New Roman" w:cs="Times New Roman"/>
          <w:b/>
          <w:u w:val="single"/>
        </w:rPr>
      </w:pPr>
    </w:p>
    <w:p w14:paraId="2F0EC522" w14:textId="71444348" w:rsidR="00F879FA" w:rsidRDefault="00F879FA" w:rsidP="00A9598E">
      <w:pPr>
        <w:spacing w:line="360" w:lineRule="auto"/>
        <w:rPr>
          <w:rFonts w:ascii="Times New Roman" w:hAnsi="Times New Roman" w:cs="Times New Roman"/>
        </w:rPr>
      </w:pPr>
      <w:r>
        <w:rPr>
          <w:rFonts w:ascii="Times New Roman" w:hAnsi="Times New Roman" w:cs="Times New Roman"/>
        </w:rPr>
        <w:t>Despite a reduction in astrocytic IGF1R followi</w:t>
      </w:r>
      <w:r w:rsidR="00116D11">
        <w:rPr>
          <w:rFonts w:ascii="Times New Roman" w:hAnsi="Times New Roman" w:cs="Times New Roman"/>
        </w:rPr>
        <w:t>ng treatment with MAB391 there wa</w:t>
      </w:r>
      <w:r>
        <w:rPr>
          <w:rFonts w:ascii="Times New Roman" w:hAnsi="Times New Roman" w:cs="Times New Roman"/>
        </w:rPr>
        <w:t>s no observable reduction in Akt signalling at either the 24</w:t>
      </w:r>
      <w:r w:rsidR="00BF46C3">
        <w:rPr>
          <w:rFonts w:ascii="Times New Roman" w:hAnsi="Times New Roman" w:cs="Times New Roman"/>
        </w:rPr>
        <w:t xml:space="preserve"> </w:t>
      </w:r>
      <w:r>
        <w:rPr>
          <w:rFonts w:ascii="Times New Roman" w:hAnsi="Times New Roman" w:cs="Times New Roman"/>
        </w:rPr>
        <w:t>h</w:t>
      </w:r>
      <w:r w:rsidR="00BF46C3">
        <w:rPr>
          <w:rFonts w:ascii="Times New Roman" w:hAnsi="Times New Roman" w:cs="Times New Roman"/>
        </w:rPr>
        <w:t>r</w:t>
      </w:r>
      <w:r>
        <w:rPr>
          <w:rFonts w:ascii="Times New Roman" w:hAnsi="Times New Roman" w:cs="Times New Roman"/>
        </w:rPr>
        <w:t xml:space="preserve"> or 96</w:t>
      </w:r>
      <w:r w:rsidR="00BF46C3">
        <w:rPr>
          <w:rFonts w:ascii="Times New Roman" w:hAnsi="Times New Roman" w:cs="Times New Roman"/>
        </w:rPr>
        <w:t xml:space="preserve"> </w:t>
      </w:r>
      <w:r>
        <w:rPr>
          <w:rFonts w:ascii="Times New Roman" w:hAnsi="Times New Roman" w:cs="Times New Roman"/>
        </w:rPr>
        <w:t>h</w:t>
      </w:r>
      <w:r w:rsidR="00BF46C3">
        <w:rPr>
          <w:rFonts w:ascii="Times New Roman" w:hAnsi="Times New Roman" w:cs="Times New Roman"/>
        </w:rPr>
        <w:t>r</w:t>
      </w:r>
      <w:r>
        <w:rPr>
          <w:rFonts w:ascii="Times New Roman" w:hAnsi="Times New Roman" w:cs="Times New Roman"/>
        </w:rPr>
        <w:t xml:space="preserve"> timepoint, which might reflect compensatory sig</w:t>
      </w:r>
      <w:r w:rsidR="00004C6C">
        <w:rPr>
          <w:rFonts w:ascii="Times New Roman" w:hAnsi="Times New Roman" w:cs="Times New Roman"/>
        </w:rPr>
        <w:t>nalling mechanisms (</w:t>
      </w:r>
      <w:r w:rsidR="00004C6C" w:rsidRPr="00691810">
        <w:rPr>
          <w:rFonts w:ascii="Times New Roman" w:hAnsi="Times New Roman" w:cs="Times New Roman"/>
          <w:b/>
        </w:rPr>
        <w:t>figure 3.7</w:t>
      </w:r>
      <w:r>
        <w:rPr>
          <w:rFonts w:ascii="Times New Roman" w:hAnsi="Times New Roman" w:cs="Times New Roman"/>
        </w:rPr>
        <w:t>).</w:t>
      </w:r>
    </w:p>
    <w:p w14:paraId="76A337C7" w14:textId="77777777" w:rsidR="00BF46C3" w:rsidRDefault="00BF46C3" w:rsidP="00C63BC1">
      <w:pPr>
        <w:pStyle w:val="Heading4"/>
        <w:jc w:val="both"/>
        <w:rPr>
          <w:u w:val="single"/>
        </w:rPr>
      </w:pPr>
      <w:r>
        <w:rPr>
          <w:u w:val="single"/>
        </w:rPr>
        <w:t>Effect of Akt inhibition in astrocytes in monoculture</w:t>
      </w:r>
    </w:p>
    <w:p w14:paraId="66FA81BC" w14:textId="5E162B45" w:rsidR="00F879FA" w:rsidRPr="007D5559" w:rsidRDefault="00F879FA" w:rsidP="00C63BC1">
      <w:pPr>
        <w:spacing w:line="360" w:lineRule="auto"/>
        <w:jc w:val="both"/>
        <w:rPr>
          <w:rFonts w:ascii="Times New Roman" w:hAnsi="Times New Roman" w:cs="Times New Roman"/>
        </w:rPr>
      </w:pPr>
      <w:r>
        <w:rPr>
          <w:rFonts w:ascii="Times New Roman" w:hAnsi="Times New Roman" w:cs="Times New Roman"/>
        </w:rPr>
        <w:t xml:space="preserve"> To investigate whether redu</w:t>
      </w:r>
      <w:r w:rsidR="00116D11">
        <w:rPr>
          <w:rFonts w:ascii="Times New Roman" w:hAnsi="Times New Roman" w:cs="Times New Roman"/>
        </w:rPr>
        <w:t>ced Akt activity in astrocytes wa</w:t>
      </w:r>
      <w:r>
        <w:rPr>
          <w:rFonts w:ascii="Times New Roman" w:hAnsi="Times New Roman" w:cs="Times New Roman"/>
        </w:rPr>
        <w:t>s detrimental to neurite outgrowth in LUHMES, a model of Akt inhibition was developed in human astrocytes. Astrocytes were treated with the irreversible non-compet</w:t>
      </w:r>
      <w:r w:rsidR="00BF46C3">
        <w:rPr>
          <w:rFonts w:ascii="Times New Roman" w:hAnsi="Times New Roman" w:cs="Times New Roman"/>
        </w:rPr>
        <w:t xml:space="preserve">itive PI3K inhibitor Wortmannin (1μM) for 24 hours, which </w:t>
      </w:r>
      <w:r>
        <w:rPr>
          <w:rFonts w:ascii="Times New Roman" w:hAnsi="Times New Roman" w:cs="Times New Roman"/>
        </w:rPr>
        <w:t>resulted in a significant reduction in Akt activity as</w:t>
      </w:r>
      <w:r w:rsidR="00D368F9">
        <w:rPr>
          <w:rFonts w:ascii="Times New Roman" w:hAnsi="Times New Roman" w:cs="Times New Roman"/>
        </w:rPr>
        <w:t xml:space="preserve"> measured by phosphorylated</w:t>
      </w:r>
      <w:r w:rsidR="007D5559">
        <w:rPr>
          <w:rFonts w:ascii="Times New Roman" w:hAnsi="Times New Roman" w:cs="Times New Roman"/>
        </w:rPr>
        <w:t xml:space="preserve"> Akt</w:t>
      </w:r>
      <w:r>
        <w:rPr>
          <w:rFonts w:ascii="Times New Roman" w:hAnsi="Times New Roman" w:cs="Times New Roman"/>
        </w:rPr>
        <w:t xml:space="preserve"> (pAkt S473) (</w:t>
      </w:r>
      <w:r w:rsidR="007D5559">
        <w:rPr>
          <w:rFonts w:ascii="Times New Roman" w:hAnsi="Times New Roman" w:cs="Times New Roman"/>
        </w:rPr>
        <w:t xml:space="preserve">p&lt;0.0001). </w:t>
      </w:r>
      <w:r>
        <w:rPr>
          <w:rFonts w:ascii="Times New Roman" w:hAnsi="Times New Roman" w:cs="Times New Roman"/>
        </w:rPr>
        <w:t>To replicate conditions used in the</w:t>
      </w:r>
      <w:r w:rsidR="00004C6C">
        <w:rPr>
          <w:rFonts w:ascii="Times New Roman" w:hAnsi="Times New Roman" w:cs="Times New Roman"/>
        </w:rPr>
        <w:t xml:space="preserve"> MAB391 co-culture experiments </w:t>
      </w:r>
      <w:r>
        <w:rPr>
          <w:rFonts w:ascii="Times New Roman" w:hAnsi="Times New Roman" w:cs="Times New Roman"/>
        </w:rPr>
        <w:t>a media change was carried out at 24 hours. Astrocytes harvested 24 h</w:t>
      </w:r>
      <w:r w:rsidR="00171609">
        <w:rPr>
          <w:rFonts w:ascii="Times New Roman" w:hAnsi="Times New Roman" w:cs="Times New Roman"/>
        </w:rPr>
        <w:t>ours after the media change had</w:t>
      </w:r>
      <w:r>
        <w:rPr>
          <w:rFonts w:ascii="Times New Roman" w:hAnsi="Times New Roman" w:cs="Times New Roman"/>
        </w:rPr>
        <w:t xml:space="preserve"> restored levels of pAkt S473, with a trend towards an increase in phosphorylation (</w:t>
      </w:r>
      <w:r w:rsidR="00004C6C" w:rsidRPr="00691810">
        <w:rPr>
          <w:rFonts w:ascii="Times New Roman" w:hAnsi="Times New Roman" w:cs="Times New Roman"/>
          <w:b/>
        </w:rPr>
        <w:t>figure 4.18A</w:t>
      </w:r>
      <w:r w:rsidR="007D5559">
        <w:rPr>
          <w:rFonts w:ascii="Times New Roman" w:hAnsi="Times New Roman" w:cs="Times New Roman"/>
        </w:rPr>
        <w:t xml:space="preserve">). </w:t>
      </w:r>
      <w:r w:rsidR="00285CBF">
        <w:rPr>
          <w:rFonts w:ascii="Times New Roman" w:hAnsi="Times New Roman" w:cs="Times New Roman"/>
        </w:rPr>
        <w:t>The morphol</w:t>
      </w:r>
      <w:r w:rsidR="00AA55F8">
        <w:rPr>
          <w:rFonts w:ascii="Times New Roman" w:hAnsi="Times New Roman" w:cs="Times New Roman"/>
        </w:rPr>
        <w:t>ogy of astrocytes treated with W</w:t>
      </w:r>
      <w:r w:rsidR="00285CBF">
        <w:rPr>
          <w:rFonts w:ascii="Times New Roman" w:hAnsi="Times New Roman" w:cs="Times New Roman"/>
        </w:rPr>
        <w:t>ortmannin for 24 hours was assessed to see whether inhib</w:t>
      </w:r>
      <w:r w:rsidR="00171609">
        <w:rPr>
          <w:rFonts w:ascii="Times New Roman" w:hAnsi="Times New Roman" w:cs="Times New Roman"/>
        </w:rPr>
        <w:t>ition of Akt altered</w:t>
      </w:r>
      <w:r w:rsidR="00285CBF">
        <w:rPr>
          <w:rFonts w:ascii="Times New Roman" w:hAnsi="Times New Roman" w:cs="Times New Roman"/>
        </w:rPr>
        <w:t xml:space="preserve"> cell morphology. Astrocytes were immunolabelled with vimentin and GFAP (</w:t>
      </w:r>
      <w:r w:rsidR="00004C6C" w:rsidRPr="00691810">
        <w:rPr>
          <w:rFonts w:ascii="Times New Roman" w:hAnsi="Times New Roman" w:cs="Times New Roman"/>
          <w:b/>
        </w:rPr>
        <w:t>f</w:t>
      </w:r>
      <w:r w:rsidR="00285CBF" w:rsidRPr="00691810">
        <w:rPr>
          <w:rFonts w:ascii="Times New Roman" w:hAnsi="Times New Roman" w:cs="Times New Roman"/>
          <w:b/>
        </w:rPr>
        <w:t>igure 4.18 B</w:t>
      </w:r>
      <w:r w:rsidR="00285CBF">
        <w:rPr>
          <w:rFonts w:ascii="Times New Roman" w:hAnsi="Times New Roman" w:cs="Times New Roman"/>
        </w:rPr>
        <w:t>) but no obvious differences were observed in cell morphology or GFAP levels. In addition, via</w:t>
      </w:r>
      <w:r w:rsidR="002C76AE">
        <w:rPr>
          <w:rFonts w:ascii="Times New Roman" w:hAnsi="Times New Roman" w:cs="Times New Roman"/>
        </w:rPr>
        <w:t>bility of astrocytes following W</w:t>
      </w:r>
      <w:r w:rsidR="00285CBF">
        <w:rPr>
          <w:rFonts w:ascii="Times New Roman" w:hAnsi="Times New Roman" w:cs="Times New Roman"/>
        </w:rPr>
        <w:t>ortmannin treatment was assessed over a 72 hour period</w:t>
      </w:r>
      <w:r w:rsidR="00D368F9">
        <w:rPr>
          <w:rFonts w:ascii="Times New Roman" w:hAnsi="Times New Roman" w:cs="Times New Roman"/>
        </w:rPr>
        <w:t xml:space="preserve"> using an MTT assay</w:t>
      </w:r>
      <w:r w:rsidR="00285CBF">
        <w:rPr>
          <w:rFonts w:ascii="Times New Roman" w:hAnsi="Times New Roman" w:cs="Times New Roman"/>
        </w:rPr>
        <w:t xml:space="preserve">. As with MAB391 treatments, media was changed after the initial 24 hour treatment. When astrocytes were plated at 15 000 cells per well, an initial </w:t>
      </w:r>
      <w:r w:rsidR="00BF46C3">
        <w:rPr>
          <w:rFonts w:ascii="Times New Roman" w:hAnsi="Times New Roman" w:cs="Times New Roman"/>
        </w:rPr>
        <w:t>reduction in Akt activity caused</w:t>
      </w:r>
      <w:r w:rsidR="00285CBF">
        <w:rPr>
          <w:rFonts w:ascii="Times New Roman" w:hAnsi="Times New Roman" w:cs="Times New Roman"/>
        </w:rPr>
        <w:t xml:space="preserve"> a significant reduction in viability observed over</w:t>
      </w:r>
      <w:r w:rsidR="00004C6C">
        <w:rPr>
          <w:rFonts w:ascii="Times New Roman" w:hAnsi="Times New Roman" w:cs="Times New Roman"/>
        </w:rPr>
        <w:t xml:space="preserve"> the 72 hour period (</w:t>
      </w:r>
      <w:r w:rsidR="00004C6C" w:rsidRPr="00BF46C3">
        <w:rPr>
          <w:rFonts w:ascii="Times New Roman" w:hAnsi="Times New Roman" w:cs="Times New Roman"/>
          <w:b/>
        </w:rPr>
        <w:t>figure 4.19</w:t>
      </w:r>
      <w:r w:rsidR="00285CBF">
        <w:rPr>
          <w:rFonts w:ascii="Times New Roman" w:hAnsi="Times New Roman" w:cs="Times New Roman"/>
        </w:rPr>
        <w:t xml:space="preserve">). </w:t>
      </w:r>
    </w:p>
    <w:p w14:paraId="4FFC2921" w14:textId="77777777" w:rsidR="00382E5A" w:rsidRDefault="00382E5A" w:rsidP="00C63BC1">
      <w:pPr>
        <w:spacing w:line="360" w:lineRule="auto"/>
        <w:jc w:val="both"/>
        <w:rPr>
          <w:rFonts w:ascii="Times New Roman" w:hAnsi="Times New Roman" w:cs="Times New Roman"/>
          <w:color w:val="FF0000"/>
        </w:rPr>
      </w:pPr>
    </w:p>
    <w:p w14:paraId="17C2A956" w14:textId="77777777" w:rsidR="00382E5A" w:rsidRDefault="00382E5A" w:rsidP="00C63BC1">
      <w:pPr>
        <w:spacing w:line="360" w:lineRule="auto"/>
        <w:jc w:val="both"/>
        <w:rPr>
          <w:rFonts w:ascii="Times New Roman" w:hAnsi="Times New Roman" w:cs="Times New Roman"/>
          <w:color w:val="FF0000"/>
        </w:rPr>
      </w:pPr>
    </w:p>
    <w:p w14:paraId="21E7139F" w14:textId="77777777" w:rsidR="00382E5A" w:rsidRPr="00F879FA" w:rsidRDefault="00382E5A" w:rsidP="00C63BC1">
      <w:pPr>
        <w:spacing w:line="360" w:lineRule="auto"/>
        <w:jc w:val="both"/>
        <w:rPr>
          <w:rFonts w:ascii="Times New Roman" w:hAnsi="Times New Roman" w:cs="Times New Roman"/>
          <w:color w:val="FF0000"/>
        </w:rPr>
      </w:pPr>
    </w:p>
    <w:p w14:paraId="1D587362" w14:textId="1D36EDA0" w:rsidR="00A9598E" w:rsidRDefault="00F879FA" w:rsidP="00C63BC1">
      <w:pPr>
        <w:spacing w:line="360" w:lineRule="auto"/>
        <w:jc w:val="both"/>
        <w:rPr>
          <w:rFonts w:ascii="Times New Roman" w:hAnsi="Times New Roman" w:cs="Times New Roman"/>
        </w:rPr>
      </w:pPr>
      <w:r>
        <w:rPr>
          <w:rFonts w:ascii="Times New Roman" w:hAnsi="Times New Roman" w:cs="Times New Roman"/>
        </w:rPr>
        <w:t xml:space="preserve">   </w:t>
      </w:r>
    </w:p>
    <w:p w14:paraId="05BC03C7" w14:textId="77777777" w:rsidR="0048349E" w:rsidRDefault="0048349E" w:rsidP="00C63BC1">
      <w:pPr>
        <w:spacing w:line="360" w:lineRule="auto"/>
        <w:jc w:val="both"/>
        <w:rPr>
          <w:rFonts w:ascii="Times New Roman" w:hAnsi="Times New Roman" w:cs="Times New Roman"/>
        </w:rPr>
      </w:pPr>
    </w:p>
    <w:p w14:paraId="18E9A58A" w14:textId="77777777" w:rsidR="0048349E" w:rsidRDefault="0048349E" w:rsidP="00C63BC1">
      <w:pPr>
        <w:spacing w:line="360" w:lineRule="auto"/>
        <w:jc w:val="both"/>
        <w:rPr>
          <w:rFonts w:ascii="Times New Roman" w:hAnsi="Times New Roman" w:cs="Times New Roman"/>
        </w:rPr>
      </w:pPr>
    </w:p>
    <w:p w14:paraId="5680541B" w14:textId="77777777" w:rsidR="0048349E" w:rsidRDefault="0048349E" w:rsidP="00F879FA">
      <w:pPr>
        <w:spacing w:line="360" w:lineRule="auto"/>
        <w:rPr>
          <w:rFonts w:ascii="Times New Roman" w:hAnsi="Times New Roman" w:cs="Times New Roman"/>
        </w:rPr>
      </w:pPr>
    </w:p>
    <w:p w14:paraId="142779C3" w14:textId="77777777" w:rsidR="0048349E" w:rsidRDefault="0048349E" w:rsidP="00F879FA">
      <w:pPr>
        <w:spacing w:line="360" w:lineRule="auto"/>
        <w:rPr>
          <w:rFonts w:ascii="Times New Roman" w:hAnsi="Times New Roman" w:cs="Times New Roman"/>
        </w:rPr>
      </w:pPr>
    </w:p>
    <w:p w14:paraId="110F47BA" w14:textId="77777777" w:rsidR="00395B55" w:rsidRDefault="00395B55" w:rsidP="00395B55"/>
    <w:p w14:paraId="73F588E1" w14:textId="77777777" w:rsidR="00086871" w:rsidRPr="00395B55" w:rsidRDefault="00086871" w:rsidP="00395B55"/>
    <w:p w14:paraId="5BF59BB0" w14:textId="6BA7959C" w:rsidR="00285CBF" w:rsidRPr="00285CBF" w:rsidRDefault="00285CBF" w:rsidP="00F879FA">
      <w:pPr>
        <w:spacing w:line="360" w:lineRule="auto"/>
        <w:rPr>
          <w:rFonts w:ascii="Times New Roman" w:hAnsi="Times New Roman" w:cs="Times New Roman"/>
          <w:b/>
          <w:sz w:val="28"/>
          <w:szCs w:val="28"/>
        </w:rPr>
      </w:pPr>
      <w:r>
        <w:rPr>
          <w:rFonts w:ascii="Times New Roman" w:hAnsi="Times New Roman" w:cs="Times New Roman"/>
          <w:b/>
          <w:sz w:val="28"/>
          <w:szCs w:val="28"/>
        </w:rPr>
        <w:t>A</w:t>
      </w:r>
      <w:r w:rsidRPr="00285CBF">
        <w:rPr>
          <w:rFonts w:ascii="Times New Roman" w:hAnsi="Times New Roman" w:cs="Times New Roman"/>
          <w:b/>
          <w:sz w:val="28"/>
          <w:szCs w:val="28"/>
        </w:rPr>
        <w:t>.</w:t>
      </w:r>
    </w:p>
    <w:p w14:paraId="4EE68809" w14:textId="16238454" w:rsidR="002D41A8" w:rsidRDefault="003F0EE8" w:rsidP="002D41A8">
      <w:pPr>
        <w:rPr>
          <w:rFonts w:ascii="Times New Roman" w:hAnsi="Times New Roman" w:cs="Times New Roman"/>
          <w:b/>
        </w:rPr>
      </w:pPr>
      <w:r>
        <w:rPr>
          <w:rFonts w:ascii="Times New Roman" w:hAnsi="Times New Roman" w:cs="Times New Roman"/>
          <w:b/>
        </w:rPr>
        <w:t xml:space="preserve">        </w:t>
      </w:r>
      <w:r w:rsidR="00382E5A">
        <w:rPr>
          <w:rFonts w:ascii="Times New Roman" w:hAnsi="Times New Roman" w:cs="Times New Roman"/>
          <w:b/>
          <w:noProof/>
        </w:rPr>
        <w:drawing>
          <wp:inline distT="0" distB="0" distL="0" distR="0" wp14:anchorId="15B1DEEF" wp14:editId="06235FEC">
            <wp:extent cx="4544695" cy="3595877"/>
            <wp:effectExtent l="0" t="0" r="1905" b="1143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70">
                      <a:extLst>
                        <a:ext uri="{28A0092B-C50C-407E-A947-70E740481C1C}">
                          <a14:useLocalDpi xmlns:a14="http://schemas.microsoft.com/office/drawing/2010/main" val="0"/>
                        </a:ext>
                      </a:extLst>
                    </a:blip>
                    <a:srcRect r="5233"/>
                    <a:stretch/>
                  </pic:blipFill>
                  <pic:spPr bwMode="auto">
                    <a:xfrm>
                      <a:off x="0" y="0"/>
                      <a:ext cx="4544883" cy="3596026"/>
                    </a:xfrm>
                    <a:prstGeom prst="rect">
                      <a:avLst/>
                    </a:prstGeom>
                    <a:ln>
                      <a:noFill/>
                    </a:ln>
                    <a:extLst>
                      <a:ext uri="{53640926-AAD7-44d8-BBD7-CCE9431645EC}">
                        <a14:shadowObscured xmlns:a14="http://schemas.microsoft.com/office/drawing/2010/main"/>
                      </a:ext>
                    </a:extLst>
                  </pic:spPr>
                </pic:pic>
              </a:graphicData>
            </a:graphic>
          </wp:inline>
        </w:drawing>
      </w:r>
    </w:p>
    <w:p w14:paraId="47E9C3BE" w14:textId="6E0730AE" w:rsidR="00285CBF" w:rsidRDefault="00285CBF" w:rsidP="002D41A8">
      <w:pPr>
        <w:rPr>
          <w:rFonts w:ascii="Times New Roman" w:hAnsi="Times New Roman" w:cs="Times New Roman"/>
          <w:b/>
        </w:rPr>
      </w:pPr>
      <w:r>
        <w:rPr>
          <w:rFonts w:ascii="Times New Roman" w:hAnsi="Times New Roman" w:cs="Times New Roman"/>
          <w:b/>
        </w:rPr>
        <w:t xml:space="preserve">B. </w:t>
      </w:r>
    </w:p>
    <w:p w14:paraId="37A54FDD" w14:textId="38928E6E" w:rsidR="00285CBF" w:rsidRDefault="00285CBF" w:rsidP="002D41A8">
      <w:pPr>
        <w:rPr>
          <w:rFonts w:ascii="Times New Roman" w:hAnsi="Times New Roman" w:cs="Times New Roman"/>
          <w:b/>
        </w:rPr>
      </w:pPr>
      <w:r>
        <w:rPr>
          <w:rFonts w:ascii="Times New Roman" w:hAnsi="Times New Roman" w:cs="Times New Roman"/>
          <w:b/>
        </w:rPr>
        <w:t xml:space="preserve">    </w:t>
      </w:r>
      <w:r w:rsidR="003F0EE8">
        <w:rPr>
          <w:rFonts w:ascii="Times New Roman" w:hAnsi="Times New Roman" w:cs="Times New Roman"/>
          <w:b/>
        </w:rPr>
        <w:t xml:space="preserve">         </w:t>
      </w:r>
      <w:r>
        <w:rPr>
          <w:rFonts w:ascii="Times New Roman" w:hAnsi="Times New Roman" w:cs="Times New Roman"/>
          <w:b/>
        </w:rPr>
        <w:t xml:space="preserve">      </w:t>
      </w:r>
      <w:r w:rsidRPr="00140D85">
        <w:rPr>
          <w:rFonts w:ascii="Times New Roman" w:hAnsi="Times New Roman" w:cs="Times New Roman"/>
          <w:b/>
          <w:noProof/>
        </w:rPr>
        <w:drawing>
          <wp:inline distT="0" distB="0" distL="0" distR="0" wp14:anchorId="037BEDE8" wp14:editId="05F8E5BF">
            <wp:extent cx="3611880" cy="3016505"/>
            <wp:effectExtent l="0" t="0" r="0" b="6350"/>
            <wp:docPr id="1073741825" name="Picture 107374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71">
                      <a:extLst>
                        <a:ext uri="{28A0092B-C50C-407E-A947-70E740481C1C}">
                          <a14:useLocalDpi xmlns:a14="http://schemas.microsoft.com/office/drawing/2010/main" val="0"/>
                        </a:ext>
                      </a:extLst>
                    </a:blip>
                    <a:srcRect l="13800" t="9363" r="17211" b="13795"/>
                    <a:stretch/>
                  </pic:blipFill>
                  <pic:spPr bwMode="auto">
                    <a:xfrm>
                      <a:off x="0" y="0"/>
                      <a:ext cx="3612663" cy="3017159"/>
                    </a:xfrm>
                    <a:prstGeom prst="rect">
                      <a:avLst/>
                    </a:prstGeom>
                    <a:ln>
                      <a:noFill/>
                    </a:ln>
                    <a:extLst>
                      <a:ext uri="{53640926-AAD7-44d8-BBD7-CCE9431645EC}">
                        <a14:shadowObscured xmlns:a14="http://schemas.microsoft.com/office/drawing/2010/main"/>
                      </a:ext>
                    </a:extLst>
                  </pic:spPr>
                </pic:pic>
              </a:graphicData>
            </a:graphic>
          </wp:inline>
        </w:drawing>
      </w:r>
    </w:p>
    <w:p w14:paraId="7CFDAE36" w14:textId="77777777" w:rsidR="002D41A8" w:rsidRDefault="002D41A8" w:rsidP="002D41A8">
      <w:pPr>
        <w:rPr>
          <w:rFonts w:ascii="Times New Roman" w:hAnsi="Times New Roman" w:cs="Times New Roman"/>
          <w:b/>
        </w:rPr>
      </w:pPr>
    </w:p>
    <w:p w14:paraId="1D58E303" w14:textId="77777777" w:rsidR="001B72D6" w:rsidRDefault="00B92D16" w:rsidP="00C664C4">
      <w:pPr>
        <w:pStyle w:val="Caption"/>
      </w:pPr>
      <w:bookmarkStart w:id="1575" w:name="_Toc333569073"/>
      <w:bookmarkStart w:id="1576" w:name="_Toc333569298"/>
      <w:bookmarkStart w:id="1577" w:name="_Toc333570852"/>
      <w:bookmarkStart w:id="1578" w:name="_Toc333582235"/>
      <w:bookmarkStart w:id="1579" w:name="_Toc333582355"/>
      <w:bookmarkStart w:id="1580" w:name="_Toc333582767"/>
      <w:bookmarkStart w:id="1581" w:name="_Toc333583137"/>
      <w:bookmarkStart w:id="1582" w:name="_Toc333585245"/>
      <w:bookmarkStart w:id="1583" w:name="_Toc333586797"/>
      <w:bookmarkStart w:id="1584" w:name="_Toc333644496"/>
      <w:bookmarkStart w:id="1585" w:name="_Toc333644790"/>
      <w:r>
        <w:t>Figure 4.18</w:t>
      </w:r>
      <w:r w:rsidR="0043060F">
        <w:t>.</w:t>
      </w:r>
      <w:r w:rsidR="004B6D45">
        <w:t xml:space="preserve"> </w:t>
      </w:r>
      <w:r w:rsidR="00ED63FC">
        <w:t>L</w:t>
      </w:r>
      <w:r w:rsidR="004B6D45">
        <w:t>oss of phosphorylated Akt (s473) in primary human astro</w:t>
      </w:r>
      <w:r w:rsidR="00AA55F8">
        <w:t>cytes following treatment with W</w:t>
      </w:r>
      <w:r w:rsidR="004B6D45">
        <w:t>ortmannin.</w:t>
      </w:r>
      <w:bookmarkEnd w:id="1575"/>
      <w:bookmarkEnd w:id="1576"/>
      <w:bookmarkEnd w:id="1577"/>
      <w:bookmarkEnd w:id="1578"/>
      <w:bookmarkEnd w:id="1579"/>
      <w:bookmarkEnd w:id="1580"/>
      <w:bookmarkEnd w:id="1581"/>
      <w:bookmarkEnd w:id="1582"/>
      <w:bookmarkEnd w:id="1583"/>
      <w:bookmarkEnd w:id="1584"/>
      <w:bookmarkEnd w:id="1585"/>
      <w:r w:rsidR="002D41A8">
        <w:t xml:space="preserve"> </w:t>
      </w:r>
    </w:p>
    <w:p w14:paraId="2B1151DE" w14:textId="7609B4A4" w:rsidR="002D41A8" w:rsidRDefault="00285CBF" w:rsidP="00C63BC1">
      <w:pPr>
        <w:spacing w:line="360" w:lineRule="auto"/>
        <w:jc w:val="both"/>
        <w:rPr>
          <w:rFonts w:ascii="Times New Roman" w:hAnsi="Times New Roman" w:cs="Times New Roman"/>
        </w:rPr>
      </w:pPr>
      <w:r>
        <w:rPr>
          <w:rFonts w:ascii="Times New Roman" w:hAnsi="Times New Roman" w:cs="Times New Roman"/>
          <w:b/>
        </w:rPr>
        <w:t xml:space="preserve">A. </w:t>
      </w:r>
      <w:r>
        <w:rPr>
          <w:rFonts w:ascii="Times New Roman" w:hAnsi="Times New Roman" w:cs="Times New Roman"/>
        </w:rPr>
        <w:t>ScienCell (2) as</w:t>
      </w:r>
      <w:r w:rsidR="00AA55F8">
        <w:rPr>
          <w:rFonts w:ascii="Times New Roman" w:hAnsi="Times New Roman" w:cs="Times New Roman"/>
        </w:rPr>
        <w:t>trocytes were treated with 1μM W</w:t>
      </w:r>
      <w:r>
        <w:rPr>
          <w:rFonts w:ascii="Times New Roman" w:hAnsi="Times New Roman" w:cs="Times New Roman"/>
        </w:rPr>
        <w:t xml:space="preserve">ortmannin for 24 hours </w:t>
      </w:r>
      <w:r w:rsidR="002D41A8">
        <w:rPr>
          <w:rFonts w:ascii="Times New Roman" w:hAnsi="Times New Roman" w:cs="Times New Roman"/>
        </w:rPr>
        <w:t xml:space="preserve">(top) or 48 hours, with a media exchange after 24 hours (bottom). Representative </w:t>
      </w:r>
      <w:r w:rsidR="00AB0487">
        <w:rPr>
          <w:rFonts w:ascii="Times New Roman" w:hAnsi="Times New Roman" w:cs="Times New Roman"/>
        </w:rPr>
        <w:t>western blots</w:t>
      </w:r>
      <w:r w:rsidR="002D41A8">
        <w:rPr>
          <w:rFonts w:ascii="Times New Roman" w:hAnsi="Times New Roman" w:cs="Times New Roman"/>
        </w:rPr>
        <w:t xml:space="preserve"> pro</w:t>
      </w:r>
      <w:r w:rsidR="00F879FA">
        <w:rPr>
          <w:rFonts w:ascii="Times New Roman" w:hAnsi="Times New Roman" w:cs="Times New Roman"/>
        </w:rPr>
        <w:t>bed with antibodies against pAkt</w:t>
      </w:r>
      <w:r w:rsidR="00BF46C3">
        <w:rPr>
          <w:rFonts w:ascii="Times New Roman" w:hAnsi="Times New Roman" w:cs="Times New Roman"/>
        </w:rPr>
        <w:t xml:space="preserve"> (s473)</w:t>
      </w:r>
      <w:r w:rsidR="00F879FA">
        <w:rPr>
          <w:rFonts w:ascii="Times New Roman" w:hAnsi="Times New Roman" w:cs="Times New Roman"/>
        </w:rPr>
        <w:t>, Total Akt</w:t>
      </w:r>
      <w:r w:rsidR="002D41A8">
        <w:rPr>
          <w:rFonts w:ascii="Times New Roman" w:hAnsi="Times New Roman" w:cs="Times New Roman"/>
        </w:rPr>
        <w:t xml:space="preserve"> are shown with α-tubulin used as a loading control (a representative loading control is shown). Molecular weight markers are indicated (kDa) Bar charts </w:t>
      </w:r>
      <w:r w:rsidR="00F879FA">
        <w:rPr>
          <w:rFonts w:ascii="Times New Roman" w:hAnsi="Times New Roman" w:cs="Times New Roman"/>
        </w:rPr>
        <w:t xml:space="preserve">show quantification of </w:t>
      </w:r>
      <w:r w:rsidR="00AB0487">
        <w:rPr>
          <w:rFonts w:ascii="Times New Roman" w:hAnsi="Times New Roman" w:cs="Times New Roman"/>
        </w:rPr>
        <w:t>western blots</w:t>
      </w:r>
      <w:r w:rsidR="002D41A8">
        <w:rPr>
          <w:rFonts w:ascii="Times New Roman" w:hAnsi="Times New Roman" w:cs="Times New Roman"/>
        </w:rPr>
        <w:t>. Data are mean + SEM (n=3, 3 replicates/experiments, unpaired t-test ****p&lt;0.0001)</w:t>
      </w:r>
      <w:r w:rsidRPr="00285CBF">
        <w:rPr>
          <w:rFonts w:ascii="Times New Roman" w:hAnsi="Times New Roman" w:cs="Times New Roman"/>
          <w:b/>
        </w:rPr>
        <w:t xml:space="preserve"> </w:t>
      </w:r>
      <w:r>
        <w:rPr>
          <w:rFonts w:ascii="Times New Roman" w:hAnsi="Times New Roman" w:cs="Times New Roman"/>
          <w:b/>
        </w:rPr>
        <w:t xml:space="preserve">B. </w:t>
      </w:r>
      <w:r>
        <w:rPr>
          <w:rFonts w:ascii="Times New Roman" w:hAnsi="Times New Roman" w:cs="Times New Roman"/>
        </w:rPr>
        <w:t>ScienCell (2) astrocy</w:t>
      </w:r>
      <w:r w:rsidR="00AA55F8">
        <w:rPr>
          <w:rFonts w:ascii="Times New Roman" w:hAnsi="Times New Roman" w:cs="Times New Roman"/>
        </w:rPr>
        <w:t>tes were treated with 1μM W</w:t>
      </w:r>
      <w:r>
        <w:rPr>
          <w:rFonts w:ascii="Times New Roman" w:hAnsi="Times New Roman" w:cs="Times New Roman"/>
        </w:rPr>
        <w:t>ortmannin for 24 hours and morphology was assessed by staining with Vimentin and GFAP (both in red) and Hoescht to stain nuclei.</w:t>
      </w:r>
    </w:p>
    <w:p w14:paraId="440EEBAE" w14:textId="77777777" w:rsidR="00285CBF" w:rsidRDefault="00285CBF" w:rsidP="002D41A8">
      <w:pPr>
        <w:spacing w:line="360" w:lineRule="auto"/>
        <w:rPr>
          <w:rFonts w:ascii="Times New Roman" w:hAnsi="Times New Roman" w:cs="Times New Roman"/>
        </w:rPr>
      </w:pPr>
    </w:p>
    <w:p w14:paraId="5633F973" w14:textId="77777777" w:rsidR="0048349E" w:rsidRDefault="0048349E" w:rsidP="002D41A8">
      <w:pPr>
        <w:spacing w:line="360" w:lineRule="auto"/>
        <w:rPr>
          <w:rFonts w:ascii="Times New Roman" w:hAnsi="Times New Roman" w:cs="Times New Roman"/>
        </w:rPr>
      </w:pPr>
    </w:p>
    <w:p w14:paraId="22F59E40" w14:textId="33EC27B4" w:rsidR="0048349E" w:rsidRDefault="0048349E" w:rsidP="002D41A8">
      <w:pPr>
        <w:spacing w:line="360" w:lineRule="auto"/>
        <w:rPr>
          <w:rFonts w:ascii="Times New Roman" w:hAnsi="Times New Roman" w:cs="Times New Roman"/>
        </w:rPr>
      </w:pPr>
      <w:r>
        <w:rPr>
          <w:rFonts w:ascii="Times New Roman" w:hAnsi="Times New Roman" w:cs="Times New Roman"/>
        </w:rPr>
        <w:t xml:space="preserve">                       </w:t>
      </w:r>
      <w:r w:rsidRPr="0048349E">
        <w:rPr>
          <w:rFonts w:ascii="Times New Roman" w:hAnsi="Times New Roman" w:cs="Times New Roman"/>
          <w:noProof/>
        </w:rPr>
        <w:drawing>
          <wp:inline distT="0" distB="0" distL="0" distR="0" wp14:anchorId="564D6DEC" wp14:editId="4D258856">
            <wp:extent cx="3824498" cy="2171700"/>
            <wp:effectExtent l="0" t="0" r="11430" b="0"/>
            <wp:docPr id="107" name="Picture 3" descr="1 - Data 1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1 - Data 10.pdf"/>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3824498" cy="2171700"/>
                    </a:xfrm>
                    <a:prstGeom prst="rect">
                      <a:avLst/>
                    </a:prstGeom>
                  </pic:spPr>
                </pic:pic>
              </a:graphicData>
            </a:graphic>
          </wp:inline>
        </w:drawing>
      </w:r>
    </w:p>
    <w:p w14:paraId="7F67C179" w14:textId="77777777" w:rsidR="00D80668" w:rsidRDefault="00D80668" w:rsidP="002D41A8">
      <w:pPr>
        <w:spacing w:line="360" w:lineRule="auto"/>
        <w:rPr>
          <w:rFonts w:ascii="Times New Roman" w:hAnsi="Times New Roman" w:cs="Times New Roman"/>
        </w:rPr>
      </w:pPr>
    </w:p>
    <w:p w14:paraId="60CCDEC2" w14:textId="77777777" w:rsidR="00C664C4" w:rsidRDefault="00D80668" w:rsidP="00585472">
      <w:pPr>
        <w:pStyle w:val="Caption"/>
        <w:rPr>
          <w:rStyle w:val="Heading5Char"/>
        </w:rPr>
      </w:pPr>
      <w:bookmarkStart w:id="1586" w:name="_Toc333585246"/>
      <w:bookmarkStart w:id="1587" w:name="_Toc333586798"/>
      <w:bookmarkStart w:id="1588" w:name="_Toc333644497"/>
      <w:bookmarkStart w:id="1589" w:name="_Toc333644791"/>
      <w:r w:rsidRPr="00C664C4">
        <w:t>Figure</w:t>
      </w:r>
      <w:r w:rsidR="00B92D16" w:rsidRPr="00C664C4">
        <w:t xml:space="preserve"> 4.19</w:t>
      </w:r>
      <w:r w:rsidR="0043060F" w:rsidRPr="00C664C4">
        <w:t>.</w:t>
      </w:r>
      <w:r w:rsidRPr="00C664C4">
        <w:t xml:space="preserve"> </w:t>
      </w:r>
      <w:r w:rsidR="004B780A" w:rsidRPr="00C664C4">
        <w:t>Akt inhibition reduces astrocyte viability when plated at low densities.</w:t>
      </w:r>
      <w:bookmarkEnd w:id="1586"/>
      <w:bookmarkEnd w:id="1587"/>
      <w:bookmarkEnd w:id="1588"/>
      <w:bookmarkEnd w:id="1589"/>
      <w:r w:rsidR="004B780A" w:rsidRPr="001B72D6">
        <w:rPr>
          <w:rStyle w:val="Heading5Char"/>
        </w:rPr>
        <w:t xml:space="preserve"> </w:t>
      </w:r>
    </w:p>
    <w:p w14:paraId="610558A8" w14:textId="2E8A9DA2" w:rsidR="004B780A" w:rsidRPr="00C664C4" w:rsidRDefault="004B780A" w:rsidP="00585472">
      <w:pPr>
        <w:spacing w:line="360" w:lineRule="auto"/>
        <w:jc w:val="both"/>
        <w:rPr>
          <w:rFonts w:ascii="Times New Roman" w:hAnsi="Times New Roman" w:cs="Times New Roman"/>
        </w:rPr>
        <w:sectPr w:rsidR="004B780A" w:rsidRPr="00C664C4" w:rsidSect="00F73944">
          <w:pgSz w:w="11900" w:h="16840"/>
          <w:pgMar w:top="1440" w:right="1134" w:bottom="1440" w:left="2268" w:header="709" w:footer="709" w:gutter="0"/>
          <w:cols w:space="708"/>
          <w:docGrid w:linePitch="360"/>
        </w:sectPr>
      </w:pPr>
      <w:r w:rsidRPr="00C664C4">
        <w:rPr>
          <w:rFonts w:ascii="Times New Roman" w:hAnsi="Times New Roman" w:cs="Times New Roman"/>
        </w:rPr>
        <w:t>MTT</w:t>
      </w:r>
      <w:r w:rsidR="002C76AE" w:rsidRPr="00C664C4">
        <w:rPr>
          <w:rFonts w:ascii="Times New Roman" w:hAnsi="Times New Roman" w:cs="Times New Roman"/>
        </w:rPr>
        <w:t xml:space="preserve"> assay of W</w:t>
      </w:r>
      <w:r w:rsidRPr="00C664C4">
        <w:rPr>
          <w:rFonts w:ascii="Times New Roman" w:hAnsi="Times New Roman" w:cs="Times New Roman"/>
        </w:rPr>
        <w:t xml:space="preserve">ortmannin treated astrocytes in monoculture, when cells are plated at 15 000/ well in a 24 well. Graphs represent n=3, 3 experiments/ replicate. (Data are mean + SEM, </w:t>
      </w:r>
      <w:r w:rsidR="00382AA6" w:rsidRPr="00C664C4">
        <w:rPr>
          <w:rFonts w:ascii="Times New Roman" w:hAnsi="Times New Roman" w:cs="Times New Roman"/>
        </w:rPr>
        <w:t>unpaired t-test</w:t>
      </w:r>
      <w:r w:rsidR="00BF46C3" w:rsidRPr="00C664C4">
        <w:rPr>
          <w:rFonts w:ascii="Times New Roman" w:hAnsi="Times New Roman" w:cs="Times New Roman"/>
        </w:rPr>
        <w:t xml:space="preserve"> **p&lt;0.01 and ***p&lt;0.001</w:t>
      </w:r>
      <w:r w:rsidR="00382AA6" w:rsidRPr="00C664C4">
        <w:rPr>
          <w:rFonts w:ascii="Times New Roman" w:hAnsi="Times New Roman" w:cs="Times New Roman"/>
        </w:rPr>
        <w:t>).</w:t>
      </w:r>
    </w:p>
    <w:p w14:paraId="564FFA66" w14:textId="3BEB011C" w:rsidR="002270F6" w:rsidRDefault="00AA55F8" w:rsidP="00C63BC1">
      <w:pPr>
        <w:spacing w:line="360" w:lineRule="auto"/>
        <w:jc w:val="both"/>
        <w:rPr>
          <w:rFonts w:ascii="Times New Roman" w:hAnsi="Times New Roman" w:cs="Times New Roman"/>
        </w:rPr>
      </w:pPr>
      <w:r>
        <w:rPr>
          <w:rFonts w:ascii="Times New Roman" w:hAnsi="Times New Roman" w:cs="Times New Roman"/>
        </w:rPr>
        <w:t>In the W</w:t>
      </w:r>
      <w:r w:rsidR="00950270">
        <w:rPr>
          <w:rFonts w:ascii="Times New Roman" w:hAnsi="Times New Roman" w:cs="Times New Roman"/>
        </w:rPr>
        <w:t>o</w:t>
      </w:r>
      <w:r w:rsidR="00AA0B32">
        <w:rPr>
          <w:rFonts w:ascii="Times New Roman" w:hAnsi="Times New Roman" w:cs="Times New Roman"/>
        </w:rPr>
        <w:t>rtmannin model,</w:t>
      </w:r>
      <w:r w:rsidR="00582AF7">
        <w:rPr>
          <w:rFonts w:ascii="Times New Roman" w:hAnsi="Times New Roman" w:cs="Times New Roman"/>
        </w:rPr>
        <w:t xml:space="preserve"> p</w:t>
      </w:r>
      <w:r w:rsidR="00D70310">
        <w:rPr>
          <w:rFonts w:ascii="Times New Roman" w:hAnsi="Times New Roman" w:cs="Times New Roman"/>
        </w:rPr>
        <w:t>Akt</w:t>
      </w:r>
      <w:r w:rsidR="00950270">
        <w:rPr>
          <w:rFonts w:ascii="Times New Roman" w:hAnsi="Times New Roman" w:cs="Times New Roman"/>
        </w:rPr>
        <w:t xml:space="preserve"> (s473) </w:t>
      </w:r>
      <w:r w:rsidR="00171609">
        <w:rPr>
          <w:rFonts w:ascii="Times New Roman" w:hAnsi="Times New Roman" w:cs="Times New Roman"/>
        </w:rPr>
        <w:t>wa</w:t>
      </w:r>
      <w:r w:rsidR="00582AF7">
        <w:rPr>
          <w:rFonts w:ascii="Times New Roman" w:hAnsi="Times New Roman" w:cs="Times New Roman"/>
        </w:rPr>
        <w:t>s significantly reduced after</w:t>
      </w:r>
      <w:r w:rsidR="00950270">
        <w:rPr>
          <w:rFonts w:ascii="Times New Roman" w:hAnsi="Times New Roman" w:cs="Times New Roman"/>
        </w:rPr>
        <w:t xml:space="preserve"> 24 hours (</w:t>
      </w:r>
      <w:r w:rsidR="009D0DF8">
        <w:rPr>
          <w:rFonts w:ascii="Times New Roman" w:hAnsi="Times New Roman" w:cs="Times New Roman"/>
        </w:rPr>
        <w:t xml:space="preserve">p&lt;0.0001 </w:t>
      </w:r>
      <w:r w:rsidR="00004C6C" w:rsidRPr="00171609">
        <w:rPr>
          <w:rFonts w:ascii="Times New Roman" w:hAnsi="Times New Roman" w:cs="Times New Roman"/>
          <w:b/>
        </w:rPr>
        <w:t>figure 4.18A</w:t>
      </w:r>
      <w:r w:rsidR="00950270">
        <w:rPr>
          <w:rFonts w:ascii="Times New Roman" w:hAnsi="Times New Roman" w:cs="Times New Roman"/>
        </w:rPr>
        <w:t xml:space="preserve">). </w:t>
      </w:r>
      <w:r w:rsidR="00171609">
        <w:rPr>
          <w:rFonts w:ascii="Times New Roman" w:hAnsi="Times New Roman" w:cs="Times New Roman"/>
        </w:rPr>
        <w:t>This means that a</w:t>
      </w:r>
      <w:r w:rsidR="00681FB6">
        <w:rPr>
          <w:rFonts w:ascii="Times New Roman" w:hAnsi="Times New Roman" w:cs="Times New Roman"/>
        </w:rPr>
        <w:t>strocytes</w:t>
      </w:r>
      <w:r w:rsidR="00691810">
        <w:rPr>
          <w:rFonts w:ascii="Times New Roman" w:hAnsi="Times New Roman" w:cs="Times New Roman"/>
        </w:rPr>
        <w:t xml:space="preserve"> (ScienCell (2)</w:t>
      </w:r>
      <w:r w:rsidR="00582AF7">
        <w:rPr>
          <w:rFonts w:ascii="Times New Roman" w:hAnsi="Times New Roman" w:cs="Times New Roman"/>
        </w:rPr>
        <w:t>)</w:t>
      </w:r>
      <w:r w:rsidR="002C76AE">
        <w:rPr>
          <w:rFonts w:ascii="Times New Roman" w:hAnsi="Times New Roman" w:cs="Times New Roman"/>
        </w:rPr>
        <w:t xml:space="preserve"> pretreated with W</w:t>
      </w:r>
      <w:r w:rsidR="00681FB6">
        <w:rPr>
          <w:rFonts w:ascii="Times New Roman" w:hAnsi="Times New Roman" w:cs="Times New Roman"/>
        </w:rPr>
        <w:t>ortma</w:t>
      </w:r>
      <w:r w:rsidR="00582AF7">
        <w:rPr>
          <w:rFonts w:ascii="Times New Roman" w:hAnsi="Times New Roman" w:cs="Times New Roman"/>
        </w:rPr>
        <w:t xml:space="preserve">nnin </w:t>
      </w:r>
      <w:r w:rsidR="00171609">
        <w:rPr>
          <w:rFonts w:ascii="Times New Roman" w:hAnsi="Times New Roman" w:cs="Times New Roman"/>
        </w:rPr>
        <w:t xml:space="preserve">would </w:t>
      </w:r>
      <w:r w:rsidR="00582AF7">
        <w:rPr>
          <w:rFonts w:ascii="Times New Roman" w:hAnsi="Times New Roman" w:cs="Times New Roman"/>
        </w:rPr>
        <w:t>have impaired p</w:t>
      </w:r>
      <w:r w:rsidR="00847B00">
        <w:rPr>
          <w:rFonts w:ascii="Times New Roman" w:hAnsi="Times New Roman" w:cs="Times New Roman"/>
        </w:rPr>
        <w:t>Akt</w:t>
      </w:r>
      <w:r w:rsidR="00681FB6">
        <w:rPr>
          <w:rFonts w:ascii="Times New Roman" w:hAnsi="Times New Roman" w:cs="Times New Roman"/>
        </w:rPr>
        <w:t xml:space="preserve"> (s473) levels at the point of co-culturing wit</w:t>
      </w:r>
      <w:r w:rsidR="00171609">
        <w:rPr>
          <w:rFonts w:ascii="Times New Roman" w:hAnsi="Times New Roman" w:cs="Times New Roman"/>
        </w:rPr>
        <w:t>h the LUHMES. H</w:t>
      </w:r>
      <w:r w:rsidR="00AA0B32">
        <w:rPr>
          <w:rFonts w:ascii="Times New Roman" w:hAnsi="Times New Roman" w:cs="Times New Roman"/>
        </w:rPr>
        <w:t>owever</w:t>
      </w:r>
      <w:r w:rsidR="00227E4E">
        <w:rPr>
          <w:rFonts w:ascii="Times New Roman" w:hAnsi="Times New Roman" w:cs="Times New Roman"/>
        </w:rPr>
        <w:t>, 48 hours after initially treating astrocytes with Wortmannin, there was recovery in the Akt pathway.</w:t>
      </w:r>
      <w:r w:rsidR="00AA0B32">
        <w:rPr>
          <w:rFonts w:ascii="Times New Roman" w:hAnsi="Times New Roman" w:cs="Times New Roman"/>
        </w:rPr>
        <w:t xml:space="preserve"> </w:t>
      </w:r>
      <w:r w:rsidR="00D80668">
        <w:rPr>
          <w:rFonts w:ascii="Times New Roman" w:hAnsi="Times New Roman" w:cs="Times New Roman"/>
        </w:rPr>
        <w:t>T</w:t>
      </w:r>
      <w:r w:rsidR="00681FB6">
        <w:rPr>
          <w:rFonts w:ascii="Times New Roman" w:hAnsi="Times New Roman" w:cs="Times New Roman"/>
        </w:rPr>
        <w:t xml:space="preserve">reatment </w:t>
      </w:r>
      <w:r>
        <w:rPr>
          <w:rFonts w:ascii="Times New Roman" w:hAnsi="Times New Roman" w:cs="Times New Roman"/>
        </w:rPr>
        <w:t>with W</w:t>
      </w:r>
      <w:r w:rsidR="00D80668">
        <w:rPr>
          <w:rFonts w:ascii="Times New Roman" w:hAnsi="Times New Roman" w:cs="Times New Roman"/>
        </w:rPr>
        <w:t xml:space="preserve">ortmannin </w:t>
      </w:r>
      <w:r w:rsidR="00D368F9">
        <w:rPr>
          <w:rFonts w:ascii="Times New Roman" w:hAnsi="Times New Roman" w:cs="Times New Roman"/>
        </w:rPr>
        <w:t>was used</w:t>
      </w:r>
      <w:r w:rsidR="00847B00">
        <w:rPr>
          <w:rFonts w:ascii="Times New Roman" w:hAnsi="Times New Roman" w:cs="Times New Roman"/>
        </w:rPr>
        <w:t xml:space="preserve"> to</w:t>
      </w:r>
      <w:r w:rsidR="00D368F9">
        <w:rPr>
          <w:rFonts w:ascii="Times New Roman" w:hAnsi="Times New Roman" w:cs="Times New Roman"/>
        </w:rPr>
        <w:t xml:space="preserve"> assess whether impairments in Akt signalling in astrocytes affected neurite outgrowth in the LUHMES.</w:t>
      </w:r>
    </w:p>
    <w:p w14:paraId="7E7FC523" w14:textId="4480F17C" w:rsidR="0048349E" w:rsidRDefault="0087510A" w:rsidP="00C63BC1">
      <w:pPr>
        <w:pStyle w:val="Heading4"/>
        <w:jc w:val="both"/>
      </w:pPr>
      <w:r>
        <w:t xml:space="preserve"> </w:t>
      </w:r>
      <w:r w:rsidR="00847B00">
        <w:t xml:space="preserve">  </w:t>
      </w:r>
    </w:p>
    <w:p w14:paraId="06BAC2E2" w14:textId="29ABA0EC" w:rsidR="0048349E" w:rsidRDefault="00D80668" w:rsidP="00C63BC1">
      <w:pPr>
        <w:pStyle w:val="Heading4"/>
        <w:jc w:val="both"/>
        <w:rPr>
          <w:u w:val="single"/>
        </w:rPr>
      </w:pPr>
      <w:r w:rsidRPr="00D80668">
        <w:rPr>
          <w:u w:val="single"/>
        </w:rPr>
        <w:t>Determining how reduced signalling through Akt effects neuronal support</w:t>
      </w:r>
    </w:p>
    <w:p w14:paraId="62B8C1EE" w14:textId="4CADFFB8" w:rsidR="00E81C8F" w:rsidRDefault="00E263CC" w:rsidP="00C63BC1">
      <w:pPr>
        <w:spacing w:line="360" w:lineRule="auto"/>
        <w:jc w:val="both"/>
        <w:rPr>
          <w:rFonts w:ascii="Times New Roman" w:hAnsi="Times New Roman" w:cs="Times New Roman"/>
        </w:rPr>
      </w:pPr>
      <w:r>
        <w:rPr>
          <w:rFonts w:ascii="Times New Roman" w:hAnsi="Times New Roman" w:cs="Times New Roman"/>
        </w:rPr>
        <w:t>T</w:t>
      </w:r>
      <w:r w:rsidR="003814B9">
        <w:rPr>
          <w:rFonts w:ascii="Times New Roman" w:hAnsi="Times New Roman" w:cs="Times New Roman"/>
        </w:rPr>
        <w:t xml:space="preserve">o determine if </w:t>
      </w:r>
      <w:r>
        <w:rPr>
          <w:rFonts w:ascii="Times New Roman" w:hAnsi="Times New Roman" w:cs="Times New Roman"/>
        </w:rPr>
        <w:t>impairing</w:t>
      </w:r>
      <w:r w:rsidR="003814B9">
        <w:rPr>
          <w:rFonts w:ascii="Times New Roman" w:hAnsi="Times New Roman" w:cs="Times New Roman"/>
        </w:rPr>
        <w:t xml:space="preserve"> A</w:t>
      </w:r>
      <w:r w:rsidR="00847B00">
        <w:rPr>
          <w:rFonts w:ascii="Times New Roman" w:hAnsi="Times New Roman" w:cs="Times New Roman"/>
        </w:rPr>
        <w:t>kt</w:t>
      </w:r>
      <w:r>
        <w:rPr>
          <w:rFonts w:ascii="Times New Roman" w:hAnsi="Times New Roman" w:cs="Times New Roman"/>
        </w:rPr>
        <w:t xml:space="preserve"> signalling in the astrocytes has an impact on the support for</w:t>
      </w:r>
      <w:r w:rsidR="003814B9">
        <w:rPr>
          <w:rFonts w:ascii="Times New Roman" w:hAnsi="Times New Roman" w:cs="Times New Roman"/>
        </w:rPr>
        <w:t xml:space="preserve"> neurite outgrowth</w:t>
      </w:r>
      <w:r>
        <w:rPr>
          <w:rFonts w:ascii="Times New Roman" w:hAnsi="Times New Roman" w:cs="Times New Roman"/>
        </w:rPr>
        <w:t>,</w:t>
      </w:r>
      <w:r w:rsidR="003814B9">
        <w:rPr>
          <w:rFonts w:ascii="Times New Roman" w:hAnsi="Times New Roman" w:cs="Times New Roman"/>
        </w:rPr>
        <w:t xml:space="preserve"> astrocytes </w:t>
      </w:r>
      <w:r>
        <w:rPr>
          <w:rFonts w:ascii="Times New Roman" w:hAnsi="Times New Roman" w:cs="Times New Roman"/>
        </w:rPr>
        <w:t xml:space="preserve">were </w:t>
      </w:r>
      <w:r w:rsidR="002C76AE">
        <w:rPr>
          <w:rFonts w:ascii="Times New Roman" w:hAnsi="Times New Roman" w:cs="Times New Roman"/>
        </w:rPr>
        <w:t>pretreated with W</w:t>
      </w:r>
      <w:r w:rsidR="003814B9">
        <w:rPr>
          <w:rFonts w:ascii="Times New Roman" w:hAnsi="Times New Roman" w:cs="Times New Roman"/>
        </w:rPr>
        <w:t>ortmannin</w:t>
      </w:r>
      <w:r w:rsidR="00AC74B0">
        <w:rPr>
          <w:rFonts w:ascii="Times New Roman" w:hAnsi="Times New Roman" w:cs="Times New Roman"/>
        </w:rPr>
        <w:t xml:space="preserve"> for 24 hours</w:t>
      </w:r>
      <w:r>
        <w:rPr>
          <w:rFonts w:ascii="Times New Roman" w:hAnsi="Times New Roman" w:cs="Times New Roman"/>
        </w:rPr>
        <w:t xml:space="preserve"> and cultured with GFP LUHMES for 72 hours over which period neurite lengths were measured</w:t>
      </w:r>
      <w:r w:rsidR="003814B9">
        <w:rPr>
          <w:rFonts w:ascii="Times New Roman" w:hAnsi="Times New Roman" w:cs="Times New Roman"/>
        </w:rPr>
        <w:t xml:space="preserve">. </w:t>
      </w:r>
      <w:r w:rsidR="00847B00">
        <w:rPr>
          <w:rFonts w:ascii="Times New Roman" w:hAnsi="Times New Roman" w:cs="Times New Roman"/>
        </w:rPr>
        <w:t>An initial impairment of Akt</w:t>
      </w:r>
      <w:r w:rsidR="00A06E16">
        <w:rPr>
          <w:rFonts w:ascii="Times New Roman" w:hAnsi="Times New Roman" w:cs="Times New Roman"/>
        </w:rPr>
        <w:t xml:space="preserve"> signalling in the astrocytes consistently </w:t>
      </w:r>
      <w:r w:rsidR="007719BE">
        <w:rPr>
          <w:rFonts w:ascii="Times New Roman" w:hAnsi="Times New Roman" w:cs="Times New Roman"/>
        </w:rPr>
        <w:t xml:space="preserve">and significantly </w:t>
      </w:r>
      <w:r w:rsidR="00D368F9">
        <w:rPr>
          <w:rFonts w:ascii="Times New Roman" w:hAnsi="Times New Roman" w:cs="Times New Roman"/>
        </w:rPr>
        <w:t>reduced</w:t>
      </w:r>
      <w:r w:rsidR="00A06E16">
        <w:rPr>
          <w:rFonts w:ascii="Times New Roman" w:hAnsi="Times New Roman" w:cs="Times New Roman"/>
        </w:rPr>
        <w:t xml:space="preserve"> the neurite outgrowth during the</w:t>
      </w:r>
      <w:r>
        <w:rPr>
          <w:rFonts w:ascii="Times New Roman" w:hAnsi="Times New Roman" w:cs="Times New Roman"/>
        </w:rPr>
        <w:t xml:space="preserve"> 72 hour</w:t>
      </w:r>
      <w:r w:rsidR="00A06E16">
        <w:rPr>
          <w:rFonts w:ascii="Times New Roman" w:hAnsi="Times New Roman" w:cs="Times New Roman"/>
        </w:rPr>
        <w:t xml:space="preserve"> differentiation process compared to DMSO treated astrocytes</w:t>
      </w:r>
      <w:r w:rsidR="007719BE">
        <w:rPr>
          <w:rFonts w:ascii="Times New Roman" w:hAnsi="Times New Roman" w:cs="Times New Roman"/>
        </w:rPr>
        <w:t xml:space="preserve"> (p&lt;0.0001)</w:t>
      </w:r>
      <w:r w:rsidR="00D368F9">
        <w:rPr>
          <w:rFonts w:ascii="Times New Roman" w:hAnsi="Times New Roman" w:cs="Times New Roman"/>
        </w:rPr>
        <w:t xml:space="preserve"> (</w:t>
      </w:r>
      <w:r w:rsidR="00D368F9">
        <w:rPr>
          <w:rFonts w:ascii="Times New Roman" w:hAnsi="Times New Roman" w:cs="Times New Roman"/>
          <w:b/>
        </w:rPr>
        <w:t>figure 4.20</w:t>
      </w:r>
      <w:r w:rsidR="00D368F9">
        <w:rPr>
          <w:rFonts w:ascii="Times New Roman" w:hAnsi="Times New Roman" w:cs="Times New Roman"/>
        </w:rPr>
        <w:t>)</w:t>
      </w:r>
      <w:r w:rsidR="00A06E16">
        <w:rPr>
          <w:rFonts w:ascii="Times New Roman" w:hAnsi="Times New Roman" w:cs="Times New Roman"/>
        </w:rPr>
        <w:t>.</w:t>
      </w:r>
      <w:r w:rsidR="00AC74B0">
        <w:rPr>
          <w:rFonts w:ascii="Times New Roman" w:hAnsi="Times New Roman" w:cs="Times New Roman"/>
        </w:rPr>
        <w:t xml:space="preserve"> </w:t>
      </w:r>
      <w:r>
        <w:rPr>
          <w:rFonts w:ascii="Times New Roman" w:hAnsi="Times New Roman" w:cs="Times New Roman"/>
        </w:rPr>
        <w:t>T</w:t>
      </w:r>
      <w:r w:rsidR="00E81C8F">
        <w:rPr>
          <w:rFonts w:ascii="Times New Roman" w:hAnsi="Times New Roman" w:cs="Times New Roman"/>
        </w:rPr>
        <w:t>o investigate whether</w:t>
      </w:r>
      <w:r>
        <w:rPr>
          <w:rFonts w:ascii="Times New Roman" w:hAnsi="Times New Roman" w:cs="Times New Roman"/>
        </w:rPr>
        <w:t xml:space="preserve"> treating astrocytes with Wortmannin causes a reduction in astrocyte cell number </w:t>
      </w:r>
      <w:r w:rsidR="00D80668">
        <w:rPr>
          <w:rFonts w:ascii="Times New Roman" w:hAnsi="Times New Roman" w:cs="Times New Roman"/>
        </w:rPr>
        <w:t xml:space="preserve">at the density of astrocytes used in this assay, </w:t>
      </w:r>
      <w:r w:rsidR="00AA55F8">
        <w:rPr>
          <w:rFonts w:ascii="Times New Roman" w:hAnsi="Times New Roman" w:cs="Times New Roman"/>
        </w:rPr>
        <w:t>both an MTT assay and a</w:t>
      </w:r>
      <w:r>
        <w:rPr>
          <w:rFonts w:ascii="Times New Roman" w:hAnsi="Times New Roman" w:cs="Times New Roman"/>
        </w:rPr>
        <w:t xml:space="preserve"> c</w:t>
      </w:r>
      <w:r w:rsidR="00AA55F8">
        <w:rPr>
          <w:rFonts w:ascii="Times New Roman" w:hAnsi="Times New Roman" w:cs="Times New Roman"/>
        </w:rPr>
        <w:t>ount of the number of astrocyte nuclei</w:t>
      </w:r>
      <w:r>
        <w:rPr>
          <w:rFonts w:ascii="Times New Roman" w:hAnsi="Times New Roman" w:cs="Times New Roman"/>
        </w:rPr>
        <w:t xml:space="preserve"> in the co-culture s</w:t>
      </w:r>
      <w:r w:rsidR="00004C6C">
        <w:rPr>
          <w:rFonts w:ascii="Times New Roman" w:hAnsi="Times New Roman" w:cs="Times New Roman"/>
        </w:rPr>
        <w:t>ystem were conducted (</w:t>
      </w:r>
      <w:r w:rsidR="00004C6C" w:rsidRPr="00691810">
        <w:rPr>
          <w:rFonts w:ascii="Times New Roman" w:hAnsi="Times New Roman" w:cs="Times New Roman"/>
          <w:b/>
        </w:rPr>
        <w:t>figure 4.21A and 4.21B</w:t>
      </w:r>
      <w:r>
        <w:rPr>
          <w:rFonts w:ascii="Times New Roman" w:hAnsi="Times New Roman" w:cs="Times New Roman"/>
        </w:rPr>
        <w:t xml:space="preserve">). </w:t>
      </w:r>
      <w:r w:rsidR="00D80668">
        <w:rPr>
          <w:rFonts w:ascii="Times New Roman" w:hAnsi="Times New Roman" w:cs="Times New Roman"/>
        </w:rPr>
        <w:t>Astrocytes were plated at 30</w:t>
      </w:r>
      <w:r w:rsidR="00737D07">
        <w:rPr>
          <w:rFonts w:ascii="Times New Roman" w:hAnsi="Times New Roman" w:cs="Times New Roman"/>
        </w:rPr>
        <w:t xml:space="preserve"> </w:t>
      </w:r>
      <w:r w:rsidR="00D80668">
        <w:rPr>
          <w:rFonts w:ascii="Times New Roman" w:hAnsi="Times New Roman" w:cs="Times New Roman"/>
        </w:rPr>
        <w:t xml:space="preserve">000 astrocytes per </w:t>
      </w:r>
      <w:r w:rsidR="00D368F9">
        <w:rPr>
          <w:rFonts w:ascii="Times New Roman" w:hAnsi="Times New Roman" w:cs="Times New Roman"/>
        </w:rPr>
        <w:t>well in a 24 well plate, which wa</w:t>
      </w:r>
      <w:r w:rsidR="00D80668">
        <w:rPr>
          <w:rFonts w:ascii="Times New Roman" w:hAnsi="Times New Roman" w:cs="Times New Roman"/>
        </w:rPr>
        <w:t>s double the amount of cells used in the previous MTT assay</w:t>
      </w:r>
      <w:r w:rsidR="00D368F9">
        <w:rPr>
          <w:rFonts w:ascii="Times New Roman" w:hAnsi="Times New Roman" w:cs="Times New Roman"/>
        </w:rPr>
        <w:t xml:space="preserve"> (</w:t>
      </w:r>
      <w:r w:rsidR="00D368F9">
        <w:rPr>
          <w:rFonts w:ascii="Times New Roman" w:hAnsi="Times New Roman" w:cs="Times New Roman"/>
          <w:b/>
        </w:rPr>
        <w:t>figure 4.19</w:t>
      </w:r>
      <w:r w:rsidR="00D368F9">
        <w:rPr>
          <w:rFonts w:ascii="Times New Roman" w:hAnsi="Times New Roman" w:cs="Times New Roman"/>
        </w:rPr>
        <w:t>)</w:t>
      </w:r>
      <w:r w:rsidR="00D80668">
        <w:rPr>
          <w:rFonts w:ascii="Times New Roman" w:hAnsi="Times New Roman" w:cs="Times New Roman"/>
        </w:rPr>
        <w:t>. At these densities, b</w:t>
      </w:r>
      <w:r>
        <w:rPr>
          <w:rFonts w:ascii="Times New Roman" w:hAnsi="Times New Roman" w:cs="Times New Roman"/>
        </w:rPr>
        <w:t xml:space="preserve">oth the MTT assay and </w:t>
      </w:r>
      <w:r w:rsidR="002C76AE">
        <w:rPr>
          <w:rFonts w:ascii="Times New Roman" w:hAnsi="Times New Roman" w:cs="Times New Roman"/>
        </w:rPr>
        <w:t>nuclei count data suggest</w:t>
      </w:r>
      <w:r w:rsidR="00D368F9">
        <w:rPr>
          <w:rFonts w:ascii="Times New Roman" w:hAnsi="Times New Roman" w:cs="Times New Roman"/>
        </w:rPr>
        <w:t>ed</w:t>
      </w:r>
      <w:r w:rsidR="002C76AE">
        <w:rPr>
          <w:rFonts w:ascii="Times New Roman" w:hAnsi="Times New Roman" w:cs="Times New Roman"/>
        </w:rPr>
        <w:t xml:space="preserve"> that W</w:t>
      </w:r>
      <w:r>
        <w:rPr>
          <w:rFonts w:ascii="Times New Roman" w:hAnsi="Times New Roman" w:cs="Times New Roman"/>
        </w:rPr>
        <w:t>ortmannin</w:t>
      </w:r>
      <w:r w:rsidR="00D80668">
        <w:rPr>
          <w:rFonts w:ascii="Times New Roman" w:hAnsi="Times New Roman" w:cs="Times New Roman"/>
        </w:rPr>
        <w:t>,</w:t>
      </w:r>
      <w:r>
        <w:rPr>
          <w:rFonts w:ascii="Times New Roman" w:hAnsi="Times New Roman" w:cs="Times New Roman"/>
        </w:rPr>
        <w:t xml:space="preserve"> despite cau</w:t>
      </w:r>
      <w:r w:rsidR="00847B00">
        <w:rPr>
          <w:rFonts w:ascii="Times New Roman" w:hAnsi="Times New Roman" w:cs="Times New Roman"/>
        </w:rPr>
        <w:t>sing an initial reduction in Akt</w:t>
      </w:r>
      <w:r>
        <w:rPr>
          <w:rFonts w:ascii="Times New Roman" w:hAnsi="Times New Roman" w:cs="Times New Roman"/>
        </w:rPr>
        <w:t xml:space="preserve"> signalling</w:t>
      </w:r>
      <w:r w:rsidR="00D80668">
        <w:rPr>
          <w:rFonts w:ascii="Times New Roman" w:hAnsi="Times New Roman" w:cs="Times New Roman"/>
        </w:rPr>
        <w:t>,</w:t>
      </w:r>
      <w:r w:rsidR="00D368F9">
        <w:rPr>
          <w:rFonts w:ascii="Times New Roman" w:hAnsi="Times New Roman" w:cs="Times New Roman"/>
        </w:rPr>
        <w:t xml:space="preserve"> did</w:t>
      </w:r>
      <w:r>
        <w:rPr>
          <w:rFonts w:ascii="Times New Roman" w:hAnsi="Times New Roman" w:cs="Times New Roman"/>
        </w:rPr>
        <w:t xml:space="preserve"> not cause any significant changes in astrocyte cell number</w:t>
      </w:r>
      <w:r w:rsidR="00D80668">
        <w:rPr>
          <w:rFonts w:ascii="Times New Roman" w:hAnsi="Times New Roman" w:cs="Times New Roman"/>
        </w:rPr>
        <w:t xml:space="preserve"> over the 72 hour co-culture period</w:t>
      </w:r>
      <w:r>
        <w:rPr>
          <w:rFonts w:ascii="Times New Roman" w:hAnsi="Times New Roman" w:cs="Times New Roman"/>
        </w:rPr>
        <w:t>.</w:t>
      </w:r>
      <w:r w:rsidR="00457FD7">
        <w:rPr>
          <w:rFonts w:ascii="Times New Roman" w:hAnsi="Times New Roman" w:cs="Times New Roman"/>
        </w:rPr>
        <w:t xml:space="preserve"> Therefore,</w:t>
      </w:r>
      <w:r w:rsidR="002C76AE">
        <w:rPr>
          <w:rFonts w:ascii="Times New Roman" w:hAnsi="Times New Roman" w:cs="Times New Roman"/>
        </w:rPr>
        <w:t xml:space="preserve"> impaired neurite outgrowth on W</w:t>
      </w:r>
      <w:r w:rsidR="00457FD7">
        <w:rPr>
          <w:rFonts w:ascii="Times New Roman" w:hAnsi="Times New Roman" w:cs="Times New Roman"/>
        </w:rPr>
        <w:t xml:space="preserve">ortmannin pre-treated astrocytes might be explained by more than a </w:t>
      </w:r>
      <w:r w:rsidR="0050465D">
        <w:rPr>
          <w:rFonts w:ascii="Times New Roman" w:hAnsi="Times New Roman" w:cs="Times New Roman"/>
        </w:rPr>
        <w:t xml:space="preserve">subtle </w:t>
      </w:r>
      <w:r w:rsidR="00457FD7">
        <w:rPr>
          <w:rFonts w:ascii="Times New Roman" w:hAnsi="Times New Roman" w:cs="Times New Roman"/>
        </w:rPr>
        <w:t>reduction in astrocyte number.</w:t>
      </w:r>
      <w:r w:rsidR="004C69E8">
        <w:rPr>
          <w:rFonts w:ascii="Times New Roman" w:hAnsi="Times New Roman" w:cs="Times New Roman"/>
        </w:rPr>
        <w:t xml:space="preserve"> </w:t>
      </w:r>
    </w:p>
    <w:p w14:paraId="3C2D8E0F" w14:textId="77777777" w:rsidR="00AA0B32" w:rsidRDefault="00AA0B32" w:rsidP="00C63BC1">
      <w:pPr>
        <w:spacing w:line="360" w:lineRule="auto"/>
        <w:jc w:val="both"/>
        <w:rPr>
          <w:rFonts w:ascii="Times New Roman" w:hAnsi="Times New Roman" w:cs="Times New Roman"/>
        </w:rPr>
      </w:pPr>
    </w:p>
    <w:p w14:paraId="3AAFB522" w14:textId="77777777" w:rsidR="00AA0B32" w:rsidRDefault="00AA0B32" w:rsidP="002270F6">
      <w:pPr>
        <w:spacing w:line="360" w:lineRule="auto"/>
        <w:rPr>
          <w:rFonts w:ascii="Times New Roman" w:hAnsi="Times New Roman" w:cs="Times New Roman"/>
        </w:rPr>
      </w:pPr>
    </w:p>
    <w:p w14:paraId="66242EB1" w14:textId="2CC6EE50" w:rsidR="00BC3FF9" w:rsidRPr="00B42BBE" w:rsidRDefault="00BC3FF9" w:rsidP="00B42BBE">
      <w:pPr>
        <w:spacing w:line="360" w:lineRule="auto"/>
        <w:rPr>
          <w:rFonts w:ascii="Times New Roman" w:hAnsi="Times New Roman" w:cs="Times New Roman"/>
        </w:rPr>
      </w:pPr>
    </w:p>
    <w:p w14:paraId="15203BD5" w14:textId="77777777" w:rsidR="00BC3FF9" w:rsidRDefault="00BC3FF9">
      <w:pPr>
        <w:rPr>
          <w:rFonts w:ascii="Times New Roman" w:hAnsi="Times New Roman" w:cs="Times New Roman"/>
          <w:b/>
        </w:rPr>
      </w:pPr>
    </w:p>
    <w:p w14:paraId="10A413B4" w14:textId="77777777" w:rsidR="00BC3FF9" w:rsidRDefault="00BC3FF9">
      <w:pPr>
        <w:rPr>
          <w:rFonts w:ascii="Times New Roman" w:hAnsi="Times New Roman" w:cs="Times New Roman"/>
          <w:b/>
        </w:rPr>
      </w:pPr>
    </w:p>
    <w:p w14:paraId="0EAED548" w14:textId="77777777" w:rsidR="003F0EE8" w:rsidRDefault="00B42BBE" w:rsidP="003F0EE8">
      <w:pPr>
        <w:spacing w:line="360" w:lineRule="auto"/>
        <w:rPr>
          <w:rFonts w:ascii="Times New Roman" w:hAnsi="Times New Roman" w:cs="Times New Roman"/>
          <w:b/>
        </w:rPr>
      </w:pPr>
      <w:r>
        <w:rPr>
          <w:rFonts w:ascii="Times New Roman" w:hAnsi="Times New Roman" w:cs="Times New Roman"/>
          <w:b/>
          <w:noProof/>
        </w:rPr>
        <w:drawing>
          <wp:inline distT="0" distB="0" distL="0" distR="0" wp14:anchorId="4BD19ED6" wp14:editId="68EB96FB">
            <wp:extent cx="4817806" cy="4798060"/>
            <wp:effectExtent l="0" t="0" r="8255"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73">
                      <a:extLst>
                        <a:ext uri="{28A0092B-C50C-407E-A947-70E740481C1C}">
                          <a14:useLocalDpi xmlns:a14="http://schemas.microsoft.com/office/drawing/2010/main" val="0"/>
                        </a:ext>
                      </a:extLst>
                    </a:blip>
                    <a:srcRect l="13532" t="328" r="11422" b="-1"/>
                    <a:stretch/>
                  </pic:blipFill>
                  <pic:spPr bwMode="auto">
                    <a:xfrm>
                      <a:off x="0" y="0"/>
                      <a:ext cx="4818254" cy="4798506"/>
                    </a:xfrm>
                    <a:prstGeom prst="rect">
                      <a:avLst/>
                    </a:prstGeom>
                    <a:ln>
                      <a:noFill/>
                    </a:ln>
                    <a:extLst>
                      <a:ext uri="{53640926-AAD7-44d8-BBD7-CCE9431645EC}">
                        <a14:shadowObscured xmlns:a14="http://schemas.microsoft.com/office/drawing/2010/main"/>
                      </a:ext>
                    </a:extLst>
                  </pic:spPr>
                </pic:pic>
              </a:graphicData>
            </a:graphic>
          </wp:inline>
        </w:drawing>
      </w:r>
      <w:r w:rsidR="003F0EE8" w:rsidRPr="003F0EE8">
        <w:rPr>
          <w:rFonts w:ascii="Times New Roman" w:hAnsi="Times New Roman" w:cs="Times New Roman"/>
          <w:b/>
        </w:rPr>
        <w:t xml:space="preserve"> </w:t>
      </w:r>
    </w:p>
    <w:p w14:paraId="2D6ED9B9" w14:textId="77777777" w:rsidR="001B72D6" w:rsidRDefault="003F0EE8" w:rsidP="00585472">
      <w:pPr>
        <w:pStyle w:val="Caption"/>
      </w:pPr>
      <w:bookmarkStart w:id="1590" w:name="_Toc333569074"/>
      <w:bookmarkStart w:id="1591" w:name="_Toc333569299"/>
      <w:bookmarkStart w:id="1592" w:name="_Toc333570853"/>
      <w:bookmarkStart w:id="1593" w:name="_Toc333582236"/>
      <w:bookmarkStart w:id="1594" w:name="_Toc333582356"/>
      <w:bookmarkStart w:id="1595" w:name="_Toc333582768"/>
      <w:bookmarkStart w:id="1596" w:name="_Toc333583138"/>
      <w:bookmarkStart w:id="1597" w:name="_Toc333585247"/>
      <w:bookmarkStart w:id="1598" w:name="_Toc333586799"/>
      <w:bookmarkStart w:id="1599" w:name="_Toc333644498"/>
      <w:bookmarkStart w:id="1600" w:name="_Toc333644792"/>
      <w:r>
        <w:t xml:space="preserve">Figure </w:t>
      </w:r>
      <w:r w:rsidRPr="00F94933">
        <w:t>4.</w:t>
      </w:r>
      <w:r>
        <w:t>20</w:t>
      </w:r>
      <w:r w:rsidR="0043060F">
        <w:t>.</w:t>
      </w:r>
      <w:r>
        <w:t xml:space="preserve"> Reduced pAkt in astrocytes</w:t>
      </w:r>
      <w:r w:rsidRPr="00FF6A16">
        <w:t xml:space="preserve"> affects support</w:t>
      </w:r>
      <w:r>
        <w:t xml:space="preserve"> for</w:t>
      </w:r>
      <w:r w:rsidRPr="00FF6A16">
        <w:t xml:space="preserve"> neurite outgrowth during neuronal differentiation</w:t>
      </w:r>
      <w:r>
        <w:t>.</w:t>
      </w:r>
      <w:bookmarkEnd w:id="1590"/>
      <w:bookmarkEnd w:id="1591"/>
      <w:bookmarkEnd w:id="1592"/>
      <w:bookmarkEnd w:id="1593"/>
      <w:bookmarkEnd w:id="1594"/>
      <w:bookmarkEnd w:id="1595"/>
      <w:bookmarkEnd w:id="1596"/>
      <w:bookmarkEnd w:id="1597"/>
      <w:bookmarkEnd w:id="1598"/>
      <w:bookmarkEnd w:id="1599"/>
      <w:bookmarkEnd w:id="1600"/>
      <w:r>
        <w:t xml:space="preserve"> </w:t>
      </w:r>
    </w:p>
    <w:p w14:paraId="070B37AD" w14:textId="10A369EC" w:rsidR="003F0EE8" w:rsidRDefault="003F0EE8" w:rsidP="00585472">
      <w:pPr>
        <w:spacing w:line="360" w:lineRule="auto"/>
        <w:jc w:val="both"/>
        <w:rPr>
          <w:rFonts w:ascii="Times New Roman" w:hAnsi="Times New Roman" w:cs="Times New Roman"/>
        </w:rPr>
      </w:pPr>
      <w:r>
        <w:rPr>
          <w:rFonts w:ascii="Times New Roman" w:hAnsi="Times New Roman" w:cs="Times New Roman"/>
        </w:rPr>
        <w:t>GFP LUHMES were co-cultured with DMSO or Wortmannin pretreated astrocytes for 24, 48 and 72 hours. Representative images show GFP LUHMES co-cultured with DMSO and Wortmannin pretreated astrocytes. Bar charts represent the quantification of the neurite outgrowth at each time point. Data represents mean ± SEM (n=3, 3 replicates/experiment, 5 fields counted per coverslip (represents 1 replicate),</w:t>
      </w:r>
      <w:r w:rsidRPr="0069207A">
        <w:rPr>
          <w:rFonts w:ascii="Times New Roman" w:hAnsi="Times New Roman" w:cs="Times New Roman"/>
        </w:rPr>
        <w:t xml:space="preserve"> </w:t>
      </w:r>
      <w:r>
        <w:rPr>
          <w:rFonts w:ascii="Times New Roman" w:hAnsi="Times New Roman" w:cs="Times New Roman"/>
        </w:rPr>
        <w:t xml:space="preserve">one way ANOVA with post-hoc analysis **p&lt;0.01 ****p&lt;0.0001). </w:t>
      </w:r>
    </w:p>
    <w:p w14:paraId="04F608B3" w14:textId="06CB99A2" w:rsidR="00BC3FF9" w:rsidRDefault="00BC3FF9">
      <w:pPr>
        <w:rPr>
          <w:rFonts w:ascii="Times New Roman" w:hAnsi="Times New Roman" w:cs="Times New Roman"/>
          <w:b/>
        </w:rPr>
        <w:sectPr w:rsidR="00BC3FF9" w:rsidSect="00A9598E">
          <w:pgSz w:w="11900" w:h="16840"/>
          <w:pgMar w:top="1440" w:right="1134" w:bottom="1440" w:left="2268" w:header="709" w:footer="709" w:gutter="0"/>
          <w:cols w:space="708"/>
          <w:docGrid w:linePitch="360"/>
        </w:sectPr>
      </w:pPr>
    </w:p>
    <w:p w14:paraId="36C9586A" w14:textId="77777777" w:rsidR="008B622C" w:rsidRDefault="008B622C" w:rsidP="00BC3FF9">
      <w:pPr>
        <w:rPr>
          <w:rFonts w:ascii="Times New Roman" w:hAnsi="Times New Roman" w:cs="Times New Roman"/>
          <w:b/>
        </w:rPr>
      </w:pPr>
    </w:p>
    <w:p w14:paraId="367AF1F4" w14:textId="30E34FE1" w:rsidR="00BC3FF9" w:rsidRDefault="00C67F6A" w:rsidP="00BC3FF9">
      <w:pPr>
        <w:rPr>
          <w:rFonts w:ascii="Times New Roman" w:hAnsi="Times New Roman" w:cs="Times New Roman"/>
          <w:b/>
        </w:rPr>
      </w:pPr>
      <w:r>
        <w:rPr>
          <w:rFonts w:ascii="Times New Roman" w:hAnsi="Times New Roman" w:cs="Times New Roman"/>
          <w:b/>
          <w:noProof/>
        </w:rPr>
        <w:drawing>
          <wp:inline distT="0" distB="0" distL="0" distR="0" wp14:anchorId="6A94349F" wp14:editId="18297181">
            <wp:extent cx="5394960" cy="38671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rotWithShape="1">
                    <a:blip r:embed="rId74">
                      <a:extLst>
                        <a:ext uri="{28A0092B-C50C-407E-A947-70E740481C1C}">
                          <a14:useLocalDpi xmlns:a14="http://schemas.microsoft.com/office/drawing/2010/main" val="0"/>
                        </a:ext>
                      </a:extLst>
                    </a:blip>
                    <a:srcRect l="8876" t="8921" r="6667" b="10341"/>
                    <a:stretch/>
                  </pic:blipFill>
                  <pic:spPr bwMode="auto">
                    <a:xfrm>
                      <a:off x="0" y="0"/>
                      <a:ext cx="5397338" cy="3868855"/>
                    </a:xfrm>
                    <a:prstGeom prst="rect">
                      <a:avLst/>
                    </a:prstGeom>
                    <a:ln>
                      <a:noFill/>
                    </a:ln>
                    <a:extLst>
                      <a:ext uri="{53640926-AAD7-44d8-BBD7-CCE9431645EC}">
                        <a14:shadowObscured xmlns:a14="http://schemas.microsoft.com/office/drawing/2010/main"/>
                      </a:ext>
                    </a:extLst>
                  </pic:spPr>
                </pic:pic>
              </a:graphicData>
            </a:graphic>
          </wp:inline>
        </w:drawing>
      </w:r>
    </w:p>
    <w:p w14:paraId="1B30A0C7" w14:textId="77777777" w:rsidR="001B72D6" w:rsidRDefault="00BC3FF9" w:rsidP="00585472">
      <w:pPr>
        <w:pStyle w:val="Caption"/>
      </w:pPr>
      <w:bookmarkStart w:id="1601" w:name="_Toc333569075"/>
      <w:bookmarkStart w:id="1602" w:name="_Toc333569300"/>
      <w:bookmarkStart w:id="1603" w:name="_Toc333570854"/>
      <w:bookmarkStart w:id="1604" w:name="_Toc333582237"/>
      <w:bookmarkStart w:id="1605" w:name="_Toc333582357"/>
      <w:bookmarkStart w:id="1606" w:name="_Toc333582769"/>
      <w:bookmarkStart w:id="1607" w:name="_Toc333583139"/>
      <w:bookmarkStart w:id="1608" w:name="_Toc333585248"/>
      <w:bookmarkStart w:id="1609" w:name="_Toc333586800"/>
      <w:bookmarkStart w:id="1610" w:name="_Toc333644499"/>
      <w:bookmarkStart w:id="1611" w:name="_Toc333644793"/>
      <w:r>
        <w:t>Figure</w:t>
      </w:r>
      <w:r w:rsidR="00B92D16">
        <w:t xml:space="preserve"> 4.21</w:t>
      </w:r>
      <w:r w:rsidR="0043060F">
        <w:t>.</w:t>
      </w:r>
      <w:r>
        <w:t xml:space="preserve"> </w:t>
      </w:r>
      <w:r w:rsidR="009D365C">
        <w:t>Treatment of</w:t>
      </w:r>
      <w:r w:rsidR="00BB3CED">
        <w:t xml:space="preserve"> </w:t>
      </w:r>
      <w:r w:rsidR="00722AA5">
        <w:t>primary human astrocytes</w:t>
      </w:r>
      <w:r w:rsidR="009D365C">
        <w:t xml:space="preserve"> with Wortmannin</w:t>
      </w:r>
      <w:r w:rsidRPr="00FF6A16">
        <w:t xml:space="preserve"> does not significantly affect astrocyte </w:t>
      </w:r>
      <w:r w:rsidR="00FF6A16">
        <w:t>cell number.</w:t>
      </w:r>
      <w:bookmarkEnd w:id="1601"/>
      <w:bookmarkEnd w:id="1602"/>
      <w:bookmarkEnd w:id="1603"/>
      <w:bookmarkEnd w:id="1604"/>
      <w:bookmarkEnd w:id="1605"/>
      <w:bookmarkEnd w:id="1606"/>
      <w:bookmarkEnd w:id="1607"/>
      <w:bookmarkEnd w:id="1608"/>
      <w:bookmarkEnd w:id="1609"/>
      <w:bookmarkEnd w:id="1610"/>
      <w:bookmarkEnd w:id="1611"/>
      <w:r w:rsidR="00FF6A16">
        <w:t xml:space="preserve"> </w:t>
      </w:r>
    </w:p>
    <w:p w14:paraId="02D4C0E5" w14:textId="4102BB77" w:rsidR="00BC3FF9" w:rsidRDefault="00E36700" w:rsidP="00585472">
      <w:pPr>
        <w:tabs>
          <w:tab w:val="left" w:pos="5812"/>
        </w:tabs>
        <w:spacing w:line="360" w:lineRule="auto"/>
        <w:rPr>
          <w:rFonts w:ascii="Times New Roman" w:hAnsi="Times New Roman" w:cs="Times New Roman"/>
        </w:rPr>
        <w:sectPr w:rsidR="00BC3FF9" w:rsidSect="00F73944">
          <w:pgSz w:w="11900" w:h="16840"/>
          <w:pgMar w:top="1440" w:right="1134" w:bottom="1440" w:left="2268" w:header="709" w:footer="709" w:gutter="0"/>
          <w:cols w:space="708"/>
          <w:docGrid w:linePitch="360"/>
        </w:sectPr>
      </w:pPr>
      <w:r>
        <w:rPr>
          <w:rFonts w:ascii="Times New Roman" w:hAnsi="Times New Roman" w:cs="Times New Roman"/>
          <w:b/>
        </w:rPr>
        <w:t>(A)</w:t>
      </w:r>
      <w:r w:rsidR="00C67F6A">
        <w:rPr>
          <w:rFonts w:ascii="Times New Roman" w:hAnsi="Times New Roman" w:cs="Times New Roman"/>
          <w:b/>
        </w:rPr>
        <w:t xml:space="preserve"> </w:t>
      </w:r>
      <w:r w:rsidR="00C67F6A">
        <w:rPr>
          <w:rFonts w:ascii="Times New Roman" w:hAnsi="Times New Roman" w:cs="Times New Roman"/>
        </w:rPr>
        <w:t xml:space="preserve">Bar graphs represent astrocyte nuclei counts in neurite outgrowth assays. </w:t>
      </w:r>
      <w:r w:rsidR="009D365C">
        <w:rPr>
          <w:rFonts w:ascii="Times New Roman" w:hAnsi="Times New Roman" w:cs="Times New Roman"/>
        </w:rPr>
        <w:t xml:space="preserve">Data represents mean ± SEM (n=3, 3 replicates/experiment, 5 fields counted per coverslip (represents 1 replicate), unpaired t-test *p&lt;0.05 </w:t>
      </w:r>
      <w:r>
        <w:rPr>
          <w:rFonts w:ascii="Times New Roman" w:hAnsi="Times New Roman" w:cs="Times New Roman"/>
        </w:rPr>
        <w:t>(</w:t>
      </w:r>
      <w:r>
        <w:rPr>
          <w:rFonts w:ascii="Times New Roman" w:hAnsi="Times New Roman" w:cs="Times New Roman"/>
          <w:b/>
        </w:rPr>
        <w:t>B)</w:t>
      </w:r>
      <w:r w:rsidR="00C67F6A">
        <w:rPr>
          <w:rFonts w:ascii="Times New Roman" w:hAnsi="Times New Roman" w:cs="Times New Roman"/>
          <w:b/>
        </w:rPr>
        <w:t xml:space="preserve"> </w:t>
      </w:r>
      <w:r w:rsidR="002C76AE">
        <w:rPr>
          <w:rFonts w:ascii="Times New Roman" w:hAnsi="Times New Roman" w:cs="Times New Roman"/>
        </w:rPr>
        <w:t>MTT assay of W</w:t>
      </w:r>
      <w:r w:rsidR="00C67F6A">
        <w:rPr>
          <w:rFonts w:ascii="Times New Roman" w:hAnsi="Times New Roman" w:cs="Times New Roman"/>
        </w:rPr>
        <w:t>ortmannin treatment of astrocytes in monoculture</w:t>
      </w:r>
      <w:r w:rsidR="00106F16">
        <w:rPr>
          <w:rFonts w:ascii="Times New Roman" w:hAnsi="Times New Roman" w:cs="Times New Roman"/>
        </w:rPr>
        <w:t>,</w:t>
      </w:r>
      <w:r w:rsidR="00C67F6A">
        <w:rPr>
          <w:rFonts w:ascii="Times New Roman" w:hAnsi="Times New Roman" w:cs="Times New Roman"/>
        </w:rPr>
        <w:t xml:space="preserve"> at </w:t>
      </w:r>
      <w:r w:rsidR="00106F16">
        <w:rPr>
          <w:rFonts w:ascii="Times New Roman" w:hAnsi="Times New Roman" w:cs="Times New Roman"/>
        </w:rPr>
        <w:t xml:space="preserve">cell </w:t>
      </w:r>
      <w:r w:rsidR="00C67F6A">
        <w:rPr>
          <w:rFonts w:ascii="Times New Roman" w:hAnsi="Times New Roman" w:cs="Times New Roman"/>
        </w:rPr>
        <w:t xml:space="preserve">densities used in the neurite outgrowth assay. </w:t>
      </w:r>
      <w:r w:rsidR="00BC3FF9">
        <w:rPr>
          <w:rFonts w:ascii="Times New Roman" w:hAnsi="Times New Roman" w:cs="Times New Roman"/>
        </w:rPr>
        <w:t>Graph</w:t>
      </w:r>
      <w:r w:rsidR="00C67F6A">
        <w:rPr>
          <w:rFonts w:ascii="Times New Roman" w:hAnsi="Times New Roman" w:cs="Times New Roman"/>
        </w:rPr>
        <w:t>s represent</w:t>
      </w:r>
      <w:r w:rsidR="00BC3FF9">
        <w:rPr>
          <w:rFonts w:ascii="Times New Roman" w:hAnsi="Times New Roman" w:cs="Times New Roman"/>
        </w:rPr>
        <w:t xml:space="preserve"> n=3, 3 experiments/ replicate. (Data are mean + SEM, One way ANOVA with post-hoc analysis</w:t>
      </w:r>
      <w:r w:rsidR="001C37DA">
        <w:rPr>
          <w:rFonts w:ascii="Times New Roman" w:hAnsi="Times New Roman" w:cs="Times New Roman"/>
        </w:rPr>
        <w:t>).</w:t>
      </w:r>
    </w:p>
    <w:p w14:paraId="660095A4" w14:textId="49086A90" w:rsidR="00BC3FF9" w:rsidRDefault="00F00E0E" w:rsidP="00395B55">
      <w:pPr>
        <w:pStyle w:val="Heading3"/>
      </w:pPr>
      <w:bookmarkStart w:id="1612" w:name="_Toc328301175"/>
      <w:bookmarkStart w:id="1613" w:name="_Toc329593466"/>
      <w:bookmarkStart w:id="1614" w:name="_Toc331425965"/>
      <w:bookmarkStart w:id="1615" w:name="_Toc331427146"/>
      <w:bookmarkStart w:id="1616" w:name="_Toc331427518"/>
      <w:bookmarkStart w:id="1617" w:name="_Toc331427660"/>
      <w:bookmarkStart w:id="1618" w:name="_Toc332972665"/>
      <w:bookmarkStart w:id="1619" w:name="_Toc333046944"/>
      <w:bookmarkStart w:id="1620" w:name="_Toc333477291"/>
      <w:bookmarkStart w:id="1621" w:name="_Toc333478061"/>
      <w:bookmarkStart w:id="1622" w:name="_Toc333644961"/>
      <w:r>
        <w:t>4.4</w:t>
      </w:r>
      <w:r w:rsidR="00F94933">
        <w:t xml:space="preserve">.12 </w:t>
      </w:r>
      <w:r w:rsidR="00BC3FF9">
        <w:t>Pre-treatment of astrocytes with hydrogen peroxi</w:t>
      </w:r>
      <w:r w:rsidR="00ED63FC">
        <w:t xml:space="preserve">de does not affect support for </w:t>
      </w:r>
      <w:r w:rsidR="00BC3FF9">
        <w:t>neurite outgrowth</w:t>
      </w:r>
      <w:bookmarkEnd w:id="1612"/>
      <w:bookmarkEnd w:id="1613"/>
      <w:bookmarkEnd w:id="1614"/>
      <w:bookmarkEnd w:id="1615"/>
      <w:bookmarkEnd w:id="1616"/>
      <w:bookmarkEnd w:id="1617"/>
      <w:bookmarkEnd w:id="1618"/>
      <w:bookmarkEnd w:id="1619"/>
      <w:bookmarkEnd w:id="1620"/>
      <w:bookmarkEnd w:id="1621"/>
      <w:bookmarkEnd w:id="1622"/>
    </w:p>
    <w:p w14:paraId="3F79B48E" w14:textId="77777777" w:rsidR="00BC3FF9" w:rsidRDefault="00BC3FF9" w:rsidP="00BC3FF9">
      <w:pPr>
        <w:rPr>
          <w:rFonts w:ascii="Times New Roman" w:hAnsi="Times New Roman" w:cs="Times New Roman"/>
        </w:rPr>
      </w:pPr>
    </w:p>
    <w:p w14:paraId="3B108EB7" w14:textId="02467A31" w:rsidR="00BC3FF9" w:rsidRPr="00007E9D" w:rsidRDefault="00BC3FF9" w:rsidP="00C63BC1">
      <w:pPr>
        <w:spacing w:line="360" w:lineRule="auto"/>
        <w:jc w:val="both"/>
        <w:rPr>
          <w:rFonts w:ascii="Times New Roman" w:hAnsi="Times New Roman" w:cs="Times New Roman"/>
        </w:rPr>
      </w:pPr>
      <w:r>
        <w:rPr>
          <w:rFonts w:ascii="Times New Roman" w:hAnsi="Times New Roman" w:cs="Times New Roman"/>
        </w:rPr>
        <w:t>Astrocytes are capable of neutralizing pro</w:t>
      </w:r>
      <w:r w:rsidR="00A9077B">
        <w:rPr>
          <w:rFonts w:ascii="Times New Roman" w:hAnsi="Times New Roman" w:cs="Times New Roman"/>
        </w:rPr>
        <w:t>-</w:t>
      </w:r>
      <w:r>
        <w:rPr>
          <w:rFonts w:ascii="Times New Roman" w:hAnsi="Times New Roman" w:cs="Times New Roman"/>
        </w:rPr>
        <w:t>oxidants</w:t>
      </w:r>
      <w:r w:rsidR="00A9077B">
        <w:rPr>
          <w:rFonts w:ascii="Times New Roman" w:hAnsi="Times New Roman" w:cs="Times New Roman"/>
        </w:rPr>
        <w:t xml:space="preserve"> due to their</w:t>
      </w:r>
      <w:r>
        <w:rPr>
          <w:rFonts w:ascii="Times New Roman" w:hAnsi="Times New Roman" w:cs="Times New Roman"/>
        </w:rPr>
        <w:t xml:space="preserve"> </w:t>
      </w:r>
      <w:r w:rsidR="00A9077B">
        <w:rPr>
          <w:rFonts w:ascii="Times New Roman" w:hAnsi="Times New Roman" w:cs="Times New Roman"/>
        </w:rPr>
        <w:t>high antioxidant capacity. In</w:t>
      </w:r>
      <w:r w:rsidR="00A72990">
        <w:rPr>
          <w:rFonts w:ascii="Times New Roman" w:hAnsi="Times New Roman" w:cs="Times New Roman"/>
        </w:rPr>
        <w:t xml:space="preserve"> rodent astrocytes</w:t>
      </w:r>
      <w:r w:rsidR="007B4B31">
        <w:rPr>
          <w:rFonts w:ascii="Times New Roman" w:hAnsi="Times New Roman" w:cs="Times New Roman"/>
        </w:rPr>
        <w:t xml:space="preserve"> this</w:t>
      </w:r>
      <w:r w:rsidR="00A72990">
        <w:rPr>
          <w:rFonts w:ascii="Times New Roman" w:hAnsi="Times New Roman" w:cs="Times New Roman"/>
        </w:rPr>
        <w:t xml:space="preserve"> has been shown to be dependent on f</w:t>
      </w:r>
      <w:r w:rsidR="007B4B31">
        <w:rPr>
          <w:rFonts w:ascii="Times New Roman" w:hAnsi="Times New Roman" w:cs="Times New Roman"/>
        </w:rPr>
        <w:t>unctional IGF1 signalling</w:t>
      </w:r>
      <w:r w:rsidR="001E4A10">
        <w:rPr>
          <w:rFonts w:ascii="Times New Roman" w:hAnsi="Times New Roman" w:cs="Times New Roman"/>
        </w:rPr>
        <w:t xml:space="preserve"> </w:t>
      </w:r>
      <w:r w:rsidR="001E4A1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"10.12688/f1000research.3-28.v1", "ISSN" : "2046-1402", "author" : [ { "dropping-particle" : "", "family" : "Genis", "given" : "Laura", "non-dropping-particle" : "", "parse-names" : false, "suffix" : "" }, { "dropping-particle" : "", "family" : "D\u00e1vila", "given" : "David", "non-dropping-particle" : "", "parse-names" : false, "suffix" : "" }, { "dropping-particle" : "", "family" : "Fernandez", "given" : "Silvia", "non-dropping-particle" : "", "parse-names" : false, "suffix" : "" }, { "dropping-particle" : "", "family" : "Pozo-Rodrig\u00e1lvarez", "given" : "Andrea", "non-dropping-particle" : "", "parse-names" : false, "suffix" : "" }, { "dropping-particle" : "", "family" : "Mart\u00ednez-Murillo", "given" : "Ricardo", "non-dropping-particle" : "", "parse-names" : false, "suffix" : "" }, { "dropping-particle" : "", "family" : "Torres-Aleman", "given" : "Ignacio", "non-dropping-particle" : "", "parse-names" : false, "suffix" : "" } ], "container-title" : "F1000Research", "id" : "ITEM-1", "issued" : { "date-parts" : [ [ "2014", "1", "28" ] ] }, "title" : "Astrocytes require insulin-like growth factor I to protect neurons against oxidative injury", "type" : "article-journal", "volume" : "3" }, "uris" : [ "http://www.mendeley.com/documents/?uuid=ad994b94-d7cf-4a27-9bfb-2351db2f4759" ] } ], "mendeley" : { "formattedCitation" : "(Genis et al. 2014)", "plainTextFormattedCitation" : "(Genis et al. 2014)", "previouslyFormattedCitation" : "(Genis et al. 2014)" }, "properties" : { "noteIndex" : 0 }, "schema" : "https://github.com/citation-style-language/schema/raw/master/csl-citation.json" }</w:instrText>
      </w:r>
      <w:r w:rsidR="001E4A10">
        <w:rPr>
          <w:rFonts w:ascii="Times New Roman" w:hAnsi="Times New Roman" w:cs="Times New Roman"/>
        </w:rPr>
        <w:fldChar w:fldCharType="separate"/>
      </w:r>
      <w:r w:rsidR="00C148FC" w:rsidRPr="00C148FC">
        <w:rPr>
          <w:rFonts w:ascii="Times New Roman" w:hAnsi="Times New Roman" w:cs="Times New Roman"/>
          <w:noProof/>
        </w:rPr>
        <w:t>(Genis et al. 2014)</w:t>
      </w:r>
      <w:r w:rsidR="001E4A10">
        <w:rPr>
          <w:rFonts w:ascii="Times New Roman" w:hAnsi="Times New Roman" w:cs="Times New Roman"/>
        </w:rPr>
        <w:fldChar w:fldCharType="end"/>
      </w:r>
      <w:r w:rsidR="007B4B31">
        <w:rPr>
          <w:rFonts w:ascii="Times New Roman" w:hAnsi="Times New Roman" w:cs="Times New Roman"/>
        </w:rPr>
        <w:t>.</w:t>
      </w:r>
      <w:r w:rsidR="00C01054">
        <w:rPr>
          <w:rFonts w:ascii="Times New Roman" w:hAnsi="Times New Roman" w:cs="Times New Roman"/>
        </w:rPr>
        <w:t xml:space="preserve"> To assess whether IGF1 signalling is important in human astrocytes to preserve support for neurons under additional stress, a sublethal concentration of H</w:t>
      </w:r>
      <w:r w:rsidR="00C01054">
        <w:rPr>
          <w:rFonts w:ascii="Times New Roman" w:hAnsi="Times New Roman" w:cs="Times New Roman"/>
          <w:vertAlign w:val="subscript"/>
        </w:rPr>
        <w:t>2</w:t>
      </w:r>
      <w:r w:rsidR="00C01054">
        <w:rPr>
          <w:rFonts w:ascii="Times New Roman" w:hAnsi="Times New Roman" w:cs="Times New Roman"/>
        </w:rPr>
        <w:t>O</w:t>
      </w:r>
      <w:r w:rsidR="00C01054">
        <w:rPr>
          <w:rFonts w:ascii="Times New Roman" w:hAnsi="Times New Roman" w:cs="Times New Roman"/>
          <w:vertAlign w:val="subscript"/>
        </w:rPr>
        <w:t>2</w:t>
      </w:r>
      <w:r w:rsidR="002E21ED">
        <w:rPr>
          <w:rFonts w:ascii="Times New Roman" w:hAnsi="Times New Roman" w:cs="Times New Roman"/>
        </w:rPr>
        <w:t xml:space="preserve"> </w:t>
      </w:r>
      <w:r w:rsidR="00C01054">
        <w:rPr>
          <w:rFonts w:ascii="Times New Roman" w:hAnsi="Times New Roman" w:cs="Times New Roman"/>
        </w:rPr>
        <w:t>in astrocytes needed to first be determined. I</w:t>
      </w:r>
      <w:r w:rsidR="001E4A10">
        <w:rPr>
          <w:rFonts w:ascii="Times New Roman" w:hAnsi="Times New Roman" w:cs="Times New Roman"/>
        </w:rPr>
        <w:t xml:space="preserve">t was important to select a concentration of </w:t>
      </w:r>
      <w:r w:rsidR="0079098A">
        <w:rPr>
          <w:rFonts w:ascii="Times New Roman" w:hAnsi="Times New Roman" w:cs="Times New Roman"/>
        </w:rPr>
        <w:t>H</w:t>
      </w:r>
      <w:r w:rsidR="0079098A">
        <w:rPr>
          <w:rFonts w:ascii="Times New Roman" w:hAnsi="Times New Roman" w:cs="Times New Roman"/>
          <w:vertAlign w:val="subscript"/>
        </w:rPr>
        <w:t>2</w:t>
      </w:r>
      <w:r w:rsidR="0079098A">
        <w:rPr>
          <w:rFonts w:ascii="Times New Roman" w:hAnsi="Times New Roman" w:cs="Times New Roman"/>
        </w:rPr>
        <w:t>O</w:t>
      </w:r>
      <w:r w:rsidR="0079098A">
        <w:rPr>
          <w:rFonts w:ascii="Times New Roman" w:hAnsi="Times New Roman" w:cs="Times New Roman"/>
          <w:vertAlign w:val="subscript"/>
        </w:rPr>
        <w:t xml:space="preserve">2 </w:t>
      </w:r>
      <w:r w:rsidR="001E4A10">
        <w:rPr>
          <w:rFonts w:ascii="Times New Roman" w:hAnsi="Times New Roman" w:cs="Times New Roman"/>
        </w:rPr>
        <w:t>that does not affect</w:t>
      </w:r>
      <w:r w:rsidR="00473076">
        <w:rPr>
          <w:rFonts w:ascii="Times New Roman" w:hAnsi="Times New Roman" w:cs="Times New Roman"/>
        </w:rPr>
        <w:t xml:space="preserve"> cell viability since this would impact the number of astrocytes supporting the neurons in the co-culture system and would limit the conclusions that could be drawn from the</w:t>
      </w:r>
      <w:r w:rsidR="00300C52">
        <w:rPr>
          <w:rFonts w:ascii="Times New Roman" w:hAnsi="Times New Roman" w:cs="Times New Roman"/>
        </w:rPr>
        <w:t xml:space="preserve"> neurite outgrowth assay. </w:t>
      </w:r>
      <w:r w:rsidR="001E4A10">
        <w:rPr>
          <w:rFonts w:ascii="Times New Roman" w:hAnsi="Times New Roman" w:cs="Times New Roman"/>
        </w:rPr>
        <w:t>Previous work has demonstrated that 50μM H</w:t>
      </w:r>
      <w:r w:rsidR="001E4A10">
        <w:rPr>
          <w:rFonts w:ascii="Times New Roman" w:hAnsi="Times New Roman" w:cs="Times New Roman"/>
          <w:vertAlign w:val="subscript"/>
        </w:rPr>
        <w:t>2</w:t>
      </w:r>
      <w:r w:rsidR="001E4A10">
        <w:rPr>
          <w:rFonts w:ascii="Times New Roman" w:hAnsi="Times New Roman" w:cs="Times New Roman"/>
        </w:rPr>
        <w:t>O</w:t>
      </w:r>
      <w:r w:rsidR="001E4A10">
        <w:rPr>
          <w:rFonts w:ascii="Times New Roman" w:hAnsi="Times New Roman" w:cs="Times New Roman"/>
          <w:vertAlign w:val="subscript"/>
        </w:rPr>
        <w:t xml:space="preserve">2 </w:t>
      </w:r>
      <w:r w:rsidR="001E4A10">
        <w:rPr>
          <w:rFonts w:ascii="Times New Roman" w:hAnsi="Times New Roman" w:cs="Times New Roman"/>
        </w:rPr>
        <w:t xml:space="preserve">is a sublethal concentration to use in rat astroglial cells </w:t>
      </w:r>
      <w:r w:rsidR="001E4A1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"10.1016/S0006-8993(01)02277-6", "ISSN" : "00068993", "abstract" : "The brain is particularly vulnerable to oxygen free radicals, which have been implicated in the pathology of several neurological disorders. The antioxidant enzyme (AOE) system of the brain may play an important role in the protection against such oxidative stress. We investigated the influence of oxidative stress on the transcription of catalase and MnSOD mRNA. Primary rat astroglial cell cultures were treated either with hydrogen peroxide (H2O2), as a direct mediator of oxidative stress, or with the redox cycling compound paraquat. Both substances led to an increase of catalase and MnSOD mRNA levels. To further elucidate the mechanisms residing behind this increase, transfection experiments were performed. Transient transfection of primary astroglial cells with a reporter plasmid containing the upstream region of the catalase gene showed a decrease in reporter gene activity after exposure of transfected cells to either H2O2 or paraquat. In contrast, transfection experiments done with reporter plasmids for the MnSOD upstream region resulted in an increase of reporter gene activity after H2O2 as well as after paraquat treatment of transfected cells. These results indicate transcriptional regulation of MnSOD and post-transcriptional regulation of catalase gene expression after oxidative stress in primary rat astrocytes.", "author" : [ { "dropping-particle" : "", "family" : "R\u00f6hrdanz", "given" : "Elke", "non-dropping-particle" : "", "parse-names" : false, "suffix" : "" }, { "dropping-particle" : "", "family" : "Schmuck", "given" : "Gabriele", "non-dropping-particle" : "", "parse-names" : false, "suffix" : "" }, { "dropping-particle" : "", "family" : "Ohler", "given" : "Sandra", "non-dropping-particle" : "", "parse-names" : false, "suffix" : "" }, { "dropping-particle" : "", "family" : "Kahl", "given" : "Regine", "non-dropping-particle" : "", "parse-names" : false, "suffix" : "" } ], "container-title" : "Brain Research", "id" : "ITEM-1", "issue" : "1", "issued" : { "date-parts" : [ [ "2001" ] ] }, "page" : "128-136", "title" : "The influence of oxidative stress on catalase and MnSOD gene transcription in astrocytes", "type" : "article-journal", "volume" : "900" }, "uris" : [ "http://www.mendeley.com/documents/?uuid=e2558b6e-f8b1-36a2-8d84-3cfa25bdc4a4" ] } ], "mendeley" : { "formattedCitation" : "(R\u00f6hrdanz et al. 2001)", "plainTextFormattedCitation" : "(R\u00f6hrdanz et al. 2001)", "previouslyFormattedCitation" : "(R\u00f6hrdanz et al. 2001)" }, "properties" : { "noteIndex" : 0 }, "schema" : "https://github.com/citation-style-language/schema/raw/master/csl-citation.json" }</w:instrText>
      </w:r>
      <w:r w:rsidR="001E4A10">
        <w:rPr>
          <w:rFonts w:ascii="Times New Roman" w:hAnsi="Times New Roman" w:cs="Times New Roman"/>
        </w:rPr>
        <w:fldChar w:fldCharType="separate"/>
      </w:r>
      <w:r w:rsidR="00C148FC" w:rsidRPr="00C148FC">
        <w:rPr>
          <w:rFonts w:ascii="Times New Roman" w:hAnsi="Times New Roman" w:cs="Times New Roman"/>
          <w:noProof/>
        </w:rPr>
        <w:t>(Röhrdanz et al. 2001)</w:t>
      </w:r>
      <w:r w:rsidR="001E4A10">
        <w:rPr>
          <w:rFonts w:ascii="Times New Roman" w:hAnsi="Times New Roman" w:cs="Times New Roman"/>
        </w:rPr>
        <w:fldChar w:fldCharType="end"/>
      </w:r>
      <w:r w:rsidR="00007E9D">
        <w:rPr>
          <w:rFonts w:ascii="Times New Roman" w:hAnsi="Times New Roman" w:cs="Times New Roman"/>
        </w:rPr>
        <w:t xml:space="preserve"> and it has been demonstrated that higher c</w:t>
      </w:r>
      <w:r w:rsidR="002E21ED">
        <w:rPr>
          <w:rFonts w:ascii="Times New Roman" w:hAnsi="Times New Roman" w:cs="Times New Roman"/>
        </w:rPr>
        <w:t>oncentrations reduced astrocyte</w:t>
      </w:r>
      <w:r w:rsidR="00007E9D">
        <w:rPr>
          <w:rFonts w:ascii="Times New Roman" w:hAnsi="Times New Roman" w:cs="Times New Roman"/>
        </w:rPr>
        <w:t xml:space="preserve"> viability and increase</w:t>
      </w:r>
      <w:r w:rsidR="002E21ED">
        <w:rPr>
          <w:rFonts w:ascii="Times New Roman" w:hAnsi="Times New Roman" w:cs="Times New Roman"/>
        </w:rPr>
        <w:t>d</w:t>
      </w:r>
      <w:r w:rsidR="00007E9D">
        <w:rPr>
          <w:rFonts w:ascii="Times New Roman" w:hAnsi="Times New Roman" w:cs="Times New Roman"/>
        </w:rPr>
        <w:t xml:space="preserve"> mitochondrial ROS production </w:t>
      </w:r>
      <w:r w:rsidR="00007E9D">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"10.12688/f1000research.3-28.v1", "ISSN" : "2046-1402", "author" : [ { "dropping-particle" : "", "family" : "Genis", "given" : "Laura", "non-dropping-particle" : "", "parse-names" : false, "suffix" : "" }, { "dropping-particle" : "", "family" : "D\u00e1vila", "given" : "David", "non-dropping-particle" : "", "parse-names" : false, "suffix" : "" }, { "dropping-particle" : "", "family" : "Fernandez", "given" : "Silvia", "non-dropping-particle" : "", "parse-names" : false, "suffix" : "" }, { "dropping-particle" : "", "family" : "Pozo-Rodrig\u00e1lvarez", "given" : "Andrea", "non-dropping-particle" : "", "parse-names" : false, "suffix" : "" }, { "dropping-particle" : "", "family" : "Mart\u00ednez-Murillo", "given" : "Ricardo", "non-dropping-particle" : "", "parse-names" : false, "suffix" : "" }, { "dropping-particle" : "", "family" : "Torres-Aleman", "given" : "Ignacio", "non-dropping-particle" : "", "parse-names" : false, "suffix" : "" } ], "container-title" : "F1000Research", "id" : "ITEM-1", "issued" : { "date-parts" : [ [ "2014", "1", "28" ] ] }, "title" : "Astrocytes require insulin-like growth factor I to protect neurons against oxidative injury", "type" : "article-journal", "volume" : "3" }, "uris" : [ "http://www.mendeley.com/documents/?uuid=ad994b94-d7cf-4a27-9bfb-2351db2f4759" ] } ], "mendeley" : { "formattedCitation" : "(Genis et al. 2014)", "plainTextFormattedCitation" : "(Genis et al. 2014)", "previouslyFormattedCitation" : "(Genis et al. 2014)" }, "properties" : { "noteIndex" : 0 }, "schema" : "https://github.com/citation-style-language/schema/raw/master/csl-citation.json" }</w:instrText>
      </w:r>
      <w:r w:rsidR="00007E9D">
        <w:rPr>
          <w:rFonts w:ascii="Times New Roman" w:hAnsi="Times New Roman" w:cs="Times New Roman"/>
        </w:rPr>
        <w:fldChar w:fldCharType="separate"/>
      </w:r>
      <w:r w:rsidR="00C148FC" w:rsidRPr="00C148FC">
        <w:rPr>
          <w:rFonts w:ascii="Times New Roman" w:hAnsi="Times New Roman" w:cs="Times New Roman"/>
          <w:noProof/>
        </w:rPr>
        <w:t>(Genis et al. 2014)</w:t>
      </w:r>
      <w:r w:rsidR="00007E9D">
        <w:rPr>
          <w:rFonts w:ascii="Times New Roman" w:hAnsi="Times New Roman" w:cs="Times New Roman"/>
        </w:rPr>
        <w:fldChar w:fldCharType="end"/>
      </w:r>
      <w:r w:rsidR="00007E9D">
        <w:rPr>
          <w:rFonts w:ascii="Times New Roman" w:hAnsi="Times New Roman" w:cs="Times New Roman"/>
        </w:rPr>
        <w:t xml:space="preserve">. </w:t>
      </w:r>
      <w:r w:rsidR="002E21ED">
        <w:rPr>
          <w:rFonts w:ascii="Times New Roman" w:hAnsi="Times New Roman" w:cs="Times New Roman"/>
        </w:rPr>
        <w:t xml:space="preserve">A </w:t>
      </w:r>
      <w:r w:rsidR="00007E9D">
        <w:rPr>
          <w:rFonts w:ascii="Times New Roman" w:hAnsi="Times New Roman" w:cs="Times New Roman"/>
        </w:rPr>
        <w:t>50μM H</w:t>
      </w:r>
      <w:r w:rsidR="00007E9D">
        <w:rPr>
          <w:rFonts w:ascii="Times New Roman" w:hAnsi="Times New Roman" w:cs="Times New Roman"/>
          <w:vertAlign w:val="subscript"/>
        </w:rPr>
        <w:t>2</w:t>
      </w:r>
      <w:r w:rsidR="00007E9D">
        <w:rPr>
          <w:rFonts w:ascii="Times New Roman" w:hAnsi="Times New Roman" w:cs="Times New Roman"/>
        </w:rPr>
        <w:t>O</w:t>
      </w:r>
      <w:r w:rsidR="00007E9D">
        <w:rPr>
          <w:rFonts w:ascii="Times New Roman" w:hAnsi="Times New Roman" w:cs="Times New Roman"/>
          <w:vertAlign w:val="subscript"/>
        </w:rPr>
        <w:t xml:space="preserve">2 </w:t>
      </w:r>
      <w:r w:rsidR="002E21ED">
        <w:rPr>
          <w:rFonts w:ascii="Times New Roman" w:hAnsi="Times New Roman" w:cs="Times New Roman"/>
        </w:rPr>
        <w:t>treatment was selected to see whether this was sublethal in the astrocytes.</w:t>
      </w:r>
    </w:p>
    <w:p w14:paraId="149BFA1E" w14:textId="77777777" w:rsidR="00473076" w:rsidRDefault="00473076" w:rsidP="00C63BC1">
      <w:pPr>
        <w:spacing w:line="360" w:lineRule="auto"/>
        <w:jc w:val="both"/>
        <w:rPr>
          <w:rFonts w:ascii="Times New Roman" w:hAnsi="Times New Roman" w:cs="Times New Roman"/>
        </w:rPr>
      </w:pPr>
    </w:p>
    <w:p w14:paraId="1D435273" w14:textId="50AACB38" w:rsidR="00473076" w:rsidRDefault="00BC3FF9" w:rsidP="00C63BC1">
      <w:pPr>
        <w:spacing w:line="360" w:lineRule="auto"/>
        <w:jc w:val="both"/>
        <w:rPr>
          <w:rFonts w:ascii="Times New Roman" w:hAnsi="Times New Roman" w:cs="Times New Roman"/>
        </w:rPr>
      </w:pPr>
      <w:r>
        <w:rPr>
          <w:rFonts w:ascii="Times New Roman" w:hAnsi="Times New Roman" w:cs="Times New Roman"/>
        </w:rPr>
        <w:t xml:space="preserve">An MTT assay was first performed to determine whether </w:t>
      </w:r>
      <w:r w:rsidR="00747329">
        <w:rPr>
          <w:rFonts w:ascii="Times New Roman" w:hAnsi="Times New Roman" w:cs="Times New Roman"/>
        </w:rPr>
        <w:t>treatment of astrocytes with 50</w:t>
      </w:r>
      <w:r w:rsidR="00747329">
        <w:rPr>
          <w:rFonts w:ascii="Times New Roman" w:hAnsi="Times New Roman" w:cs="Times New Roman"/>
        </w:rPr>
        <w:sym w:font="Symbol" w:char="F06D"/>
      </w:r>
      <w:r>
        <w:rPr>
          <w:rFonts w:ascii="Times New Roman" w:hAnsi="Times New Roman" w:cs="Times New Roman"/>
        </w:rPr>
        <w:t xml:space="preserve">M </w:t>
      </w:r>
      <w:r w:rsidR="00473076">
        <w:rPr>
          <w:rFonts w:ascii="Times New Roman" w:hAnsi="Times New Roman" w:cs="Times New Roman"/>
        </w:rPr>
        <w:t>H</w:t>
      </w:r>
      <w:r w:rsidR="00473076">
        <w:rPr>
          <w:rFonts w:ascii="Times New Roman" w:hAnsi="Times New Roman" w:cs="Times New Roman"/>
          <w:vertAlign w:val="subscript"/>
        </w:rPr>
        <w:t>2</w:t>
      </w:r>
      <w:r w:rsidR="00473076">
        <w:rPr>
          <w:rFonts w:ascii="Times New Roman" w:hAnsi="Times New Roman" w:cs="Times New Roman"/>
        </w:rPr>
        <w:t>O</w:t>
      </w:r>
      <w:r w:rsidR="00473076">
        <w:rPr>
          <w:rFonts w:ascii="Times New Roman" w:hAnsi="Times New Roman" w:cs="Times New Roman"/>
          <w:vertAlign w:val="subscript"/>
        </w:rPr>
        <w:t xml:space="preserve">2 </w:t>
      </w:r>
      <w:r>
        <w:rPr>
          <w:rFonts w:ascii="Times New Roman" w:hAnsi="Times New Roman" w:cs="Times New Roman"/>
        </w:rPr>
        <w:t xml:space="preserve">altered cell viability. </w:t>
      </w:r>
      <w:r w:rsidR="00747329">
        <w:rPr>
          <w:rFonts w:ascii="Times New Roman" w:hAnsi="Times New Roman" w:cs="Times New Roman"/>
        </w:rPr>
        <w:t>50</w:t>
      </w:r>
      <w:r w:rsidR="00747329">
        <w:rPr>
          <w:rFonts w:ascii="Times New Roman" w:hAnsi="Times New Roman" w:cs="Times New Roman"/>
        </w:rPr>
        <w:sym w:font="Symbol" w:char="F06D"/>
      </w:r>
      <w:r>
        <w:rPr>
          <w:rFonts w:ascii="Times New Roman" w:hAnsi="Times New Roman" w:cs="Times New Roman"/>
        </w:rPr>
        <w:t xml:space="preserve">M </w:t>
      </w:r>
      <w:r w:rsidR="00473076">
        <w:rPr>
          <w:rFonts w:ascii="Times New Roman" w:hAnsi="Times New Roman" w:cs="Times New Roman"/>
        </w:rPr>
        <w:t>H</w:t>
      </w:r>
      <w:r w:rsidR="00473076">
        <w:rPr>
          <w:rFonts w:ascii="Times New Roman" w:hAnsi="Times New Roman" w:cs="Times New Roman"/>
          <w:vertAlign w:val="subscript"/>
        </w:rPr>
        <w:t>2</w:t>
      </w:r>
      <w:r w:rsidR="00473076">
        <w:rPr>
          <w:rFonts w:ascii="Times New Roman" w:hAnsi="Times New Roman" w:cs="Times New Roman"/>
        </w:rPr>
        <w:t>O</w:t>
      </w:r>
      <w:r w:rsidR="00473076">
        <w:rPr>
          <w:rFonts w:ascii="Times New Roman" w:hAnsi="Times New Roman" w:cs="Times New Roman"/>
          <w:vertAlign w:val="subscript"/>
        </w:rPr>
        <w:t xml:space="preserve">2 </w:t>
      </w:r>
      <w:r w:rsidR="00116D11">
        <w:rPr>
          <w:rFonts w:ascii="Times New Roman" w:hAnsi="Times New Roman" w:cs="Times New Roman"/>
        </w:rPr>
        <w:t>wa</w:t>
      </w:r>
      <w:r>
        <w:rPr>
          <w:rFonts w:ascii="Times New Roman" w:hAnsi="Times New Roman" w:cs="Times New Roman"/>
        </w:rPr>
        <w:t>s a sublethal dose in these astrocytes an</w:t>
      </w:r>
      <w:r w:rsidR="00116D11">
        <w:rPr>
          <w:rFonts w:ascii="Times New Roman" w:hAnsi="Times New Roman" w:cs="Times New Roman"/>
        </w:rPr>
        <w:t>d did</w:t>
      </w:r>
      <w:r>
        <w:rPr>
          <w:rFonts w:ascii="Times New Roman" w:hAnsi="Times New Roman" w:cs="Times New Roman"/>
        </w:rPr>
        <w:t xml:space="preserve"> not alter </w:t>
      </w:r>
      <w:r w:rsidR="00C01054">
        <w:rPr>
          <w:rFonts w:ascii="Times New Roman" w:hAnsi="Times New Roman" w:cs="Times New Roman"/>
        </w:rPr>
        <w:t>viability as measured by MTT</w:t>
      </w:r>
      <w:r w:rsidR="003A4038">
        <w:rPr>
          <w:rFonts w:ascii="Times New Roman" w:hAnsi="Times New Roman" w:cs="Times New Roman"/>
        </w:rPr>
        <w:t xml:space="preserve"> (</w:t>
      </w:r>
      <w:r w:rsidR="003A4038">
        <w:rPr>
          <w:rFonts w:ascii="Times New Roman" w:hAnsi="Times New Roman" w:cs="Times New Roman"/>
          <w:b/>
        </w:rPr>
        <w:t>figure 4.22A</w:t>
      </w:r>
      <w:r w:rsidR="003A4038">
        <w:rPr>
          <w:rFonts w:ascii="Times New Roman" w:hAnsi="Times New Roman" w:cs="Times New Roman"/>
        </w:rPr>
        <w:t>)</w:t>
      </w:r>
      <w:r>
        <w:rPr>
          <w:rFonts w:ascii="Times New Roman" w:hAnsi="Times New Roman" w:cs="Times New Roman"/>
        </w:rPr>
        <w:t xml:space="preserve">. </w:t>
      </w:r>
      <w:r w:rsidR="00473076">
        <w:rPr>
          <w:rFonts w:ascii="Times New Roman" w:hAnsi="Times New Roman" w:cs="Times New Roman"/>
        </w:rPr>
        <w:t>To assess whether H</w:t>
      </w:r>
      <w:r w:rsidR="00473076">
        <w:rPr>
          <w:rFonts w:ascii="Times New Roman" w:hAnsi="Times New Roman" w:cs="Times New Roman"/>
          <w:vertAlign w:val="subscript"/>
        </w:rPr>
        <w:t>2</w:t>
      </w:r>
      <w:r w:rsidR="00473076">
        <w:rPr>
          <w:rFonts w:ascii="Times New Roman" w:hAnsi="Times New Roman" w:cs="Times New Roman"/>
        </w:rPr>
        <w:t>O</w:t>
      </w:r>
      <w:r w:rsidR="00473076">
        <w:rPr>
          <w:rFonts w:ascii="Times New Roman" w:hAnsi="Times New Roman" w:cs="Times New Roman"/>
          <w:vertAlign w:val="subscript"/>
        </w:rPr>
        <w:t xml:space="preserve">2 </w:t>
      </w:r>
      <w:r w:rsidR="00473076">
        <w:rPr>
          <w:rFonts w:ascii="Times New Roman" w:hAnsi="Times New Roman" w:cs="Times New Roman"/>
        </w:rPr>
        <w:t xml:space="preserve">treatment resulted in an increase in reactive oxygen species (ROS) in the astrocytes, a CellRox assay was performed. </w:t>
      </w:r>
      <w:r w:rsidR="003A4038">
        <w:rPr>
          <w:rFonts w:ascii="Times New Roman" w:hAnsi="Times New Roman" w:cs="Times New Roman"/>
        </w:rPr>
        <w:t>T</w:t>
      </w:r>
      <w:r w:rsidR="00473076">
        <w:rPr>
          <w:rFonts w:ascii="Times New Roman" w:hAnsi="Times New Roman" w:cs="Times New Roman"/>
        </w:rPr>
        <w:t>here was no obvious change in ROS levels in astrocytes following treatment with 50</w:t>
      </w:r>
      <w:r w:rsidR="00473076">
        <w:rPr>
          <w:rFonts w:ascii="Times New Roman" w:hAnsi="Times New Roman" w:cs="Times New Roman"/>
        </w:rPr>
        <w:sym w:font="Symbol" w:char="F06D"/>
      </w:r>
      <w:r w:rsidR="00473076">
        <w:rPr>
          <w:rFonts w:ascii="Times New Roman" w:hAnsi="Times New Roman" w:cs="Times New Roman"/>
        </w:rPr>
        <w:t>M H</w:t>
      </w:r>
      <w:r w:rsidR="00473076">
        <w:rPr>
          <w:rFonts w:ascii="Times New Roman" w:hAnsi="Times New Roman" w:cs="Times New Roman"/>
          <w:vertAlign w:val="subscript"/>
        </w:rPr>
        <w:t>2</w:t>
      </w:r>
      <w:r w:rsidR="00473076">
        <w:rPr>
          <w:rFonts w:ascii="Times New Roman" w:hAnsi="Times New Roman" w:cs="Times New Roman"/>
        </w:rPr>
        <w:t>O</w:t>
      </w:r>
      <w:r w:rsidR="00473076">
        <w:rPr>
          <w:rFonts w:ascii="Times New Roman" w:hAnsi="Times New Roman" w:cs="Times New Roman"/>
          <w:vertAlign w:val="subscript"/>
        </w:rPr>
        <w:t>2</w:t>
      </w:r>
      <w:r w:rsidR="003A4038">
        <w:rPr>
          <w:rFonts w:ascii="Times New Roman" w:hAnsi="Times New Roman" w:cs="Times New Roman"/>
          <w:vertAlign w:val="subscript"/>
        </w:rPr>
        <w:t xml:space="preserve"> </w:t>
      </w:r>
      <w:r w:rsidR="003A4038">
        <w:rPr>
          <w:rFonts w:ascii="Times New Roman" w:hAnsi="Times New Roman" w:cs="Times New Roman"/>
        </w:rPr>
        <w:t>(</w:t>
      </w:r>
      <w:r w:rsidR="003A4038">
        <w:rPr>
          <w:rFonts w:ascii="Times New Roman" w:hAnsi="Times New Roman" w:cs="Times New Roman"/>
          <w:b/>
        </w:rPr>
        <w:t>figure 4.22B</w:t>
      </w:r>
      <w:r w:rsidR="003A4038">
        <w:rPr>
          <w:rFonts w:ascii="Times New Roman" w:hAnsi="Times New Roman" w:cs="Times New Roman"/>
        </w:rPr>
        <w:t>)</w:t>
      </w:r>
      <w:r w:rsidR="00473076">
        <w:rPr>
          <w:rFonts w:ascii="Times New Roman" w:hAnsi="Times New Roman" w:cs="Times New Roman"/>
          <w:vertAlign w:val="subscript"/>
        </w:rPr>
        <w:t xml:space="preserve">. </w:t>
      </w:r>
    </w:p>
    <w:p w14:paraId="42CFD909" w14:textId="77777777" w:rsidR="00473076" w:rsidRDefault="00473076" w:rsidP="00C63BC1">
      <w:pPr>
        <w:spacing w:line="360" w:lineRule="auto"/>
        <w:jc w:val="both"/>
        <w:rPr>
          <w:rFonts w:ascii="Times New Roman" w:hAnsi="Times New Roman" w:cs="Times New Roman"/>
        </w:rPr>
      </w:pPr>
    </w:p>
    <w:p w14:paraId="54202808" w14:textId="43431097" w:rsidR="00CB39D8" w:rsidRPr="00473076" w:rsidRDefault="00473076" w:rsidP="00C63BC1">
      <w:pPr>
        <w:spacing w:line="360" w:lineRule="auto"/>
        <w:jc w:val="both"/>
        <w:rPr>
          <w:rFonts w:ascii="Times New Roman" w:hAnsi="Times New Roman" w:cs="Times New Roman"/>
          <w:b/>
          <w:u w:val="single"/>
        </w:rPr>
      </w:pPr>
      <w:r>
        <w:rPr>
          <w:rFonts w:ascii="Times New Roman" w:hAnsi="Times New Roman" w:cs="Times New Roman"/>
        </w:rPr>
        <w:t>Following this optimization in monoculture, 50</w:t>
      </w:r>
      <w:r>
        <w:rPr>
          <w:rFonts w:ascii="Times New Roman" w:hAnsi="Times New Roman" w:cs="Times New Roman"/>
        </w:rPr>
        <w:sym w:font="Symbol" w:char="F06D"/>
      </w:r>
      <w:r>
        <w:rPr>
          <w:rFonts w:ascii="Times New Roman" w:hAnsi="Times New Roman" w:cs="Times New Roman"/>
        </w:rPr>
        <w:t>M H</w:t>
      </w:r>
      <w:r>
        <w:rPr>
          <w:rFonts w:ascii="Times New Roman" w:hAnsi="Times New Roman" w:cs="Times New Roman"/>
          <w:vertAlign w:val="subscript"/>
        </w:rPr>
        <w:t>2</w:t>
      </w:r>
      <w:r>
        <w:rPr>
          <w:rFonts w:ascii="Times New Roman" w:hAnsi="Times New Roman" w:cs="Times New Roman"/>
        </w:rPr>
        <w:t>O</w:t>
      </w:r>
      <w:r>
        <w:rPr>
          <w:rFonts w:ascii="Times New Roman" w:hAnsi="Times New Roman" w:cs="Times New Roman"/>
          <w:vertAlign w:val="subscript"/>
        </w:rPr>
        <w:t xml:space="preserve">2 </w:t>
      </w:r>
      <w:r>
        <w:rPr>
          <w:rFonts w:ascii="Times New Roman" w:hAnsi="Times New Roman" w:cs="Times New Roman"/>
        </w:rPr>
        <w:t>treatments were repeate</w:t>
      </w:r>
      <w:r w:rsidR="00691810">
        <w:rPr>
          <w:rFonts w:ascii="Times New Roman" w:hAnsi="Times New Roman" w:cs="Times New Roman"/>
        </w:rPr>
        <w:t xml:space="preserve">d within the co-culture system </w:t>
      </w:r>
      <w:r>
        <w:rPr>
          <w:rFonts w:ascii="Times New Roman" w:hAnsi="Times New Roman" w:cs="Times New Roman"/>
        </w:rPr>
        <w:t>(</w:t>
      </w:r>
      <w:r w:rsidRPr="00691810">
        <w:rPr>
          <w:rFonts w:ascii="Times New Roman" w:hAnsi="Times New Roman" w:cs="Times New Roman"/>
          <w:b/>
        </w:rPr>
        <w:t>figure</w:t>
      </w:r>
      <w:r w:rsidR="00F81627" w:rsidRPr="00691810">
        <w:rPr>
          <w:rFonts w:ascii="Times New Roman" w:hAnsi="Times New Roman" w:cs="Times New Roman"/>
          <w:b/>
        </w:rPr>
        <w:t xml:space="preserve"> 4.23</w:t>
      </w:r>
      <w:r>
        <w:rPr>
          <w:rFonts w:ascii="Times New Roman" w:hAnsi="Times New Roman" w:cs="Times New Roman"/>
        </w:rPr>
        <w:t xml:space="preserve">). </w:t>
      </w:r>
      <w:r w:rsidR="003A4038">
        <w:rPr>
          <w:rFonts w:ascii="Times New Roman" w:hAnsi="Times New Roman" w:cs="Times New Roman"/>
        </w:rPr>
        <w:t>A</w:t>
      </w:r>
      <w:r>
        <w:rPr>
          <w:rFonts w:ascii="Times New Roman" w:hAnsi="Times New Roman" w:cs="Times New Roman"/>
        </w:rPr>
        <w:t>n initial</w:t>
      </w:r>
      <w:r w:rsidR="00F81627">
        <w:rPr>
          <w:rFonts w:ascii="Times New Roman" w:hAnsi="Times New Roman" w:cs="Times New Roman"/>
        </w:rPr>
        <w:t xml:space="preserve"> 24 hour</w:t>
      </w:r>
      <w:r>
        <w:rPr>
          <w:rFonts w:ascii="Times New Roman" w:hAnsi="Times New Roman" w:cs="Times New Roman"/>
        </w:rPr>
        <w:t xml:space="preserve"> treatment with 50</w:t>
      </w:r>
      <w:r>
        <w:rPr>
          <w:rFonts w:ascii="Times New Roman" w:hAnsi="Times New Roman" w:cs="Times New Roman"/>
        </w:rPr>
        <w:sym w:font="Symbol" w:char="F06D"/>
      </w:r>
      <w:r>
        <w:rPr>
          <w:rFonts w:ascii="Times New Roman" w:hAnsi="Times New Roman" w:cs="Times New Roman"/>
        </w:rPr>
        <w:t>M H</w:t>
      </w:r>
      <w:r>
        <w:rPr>
          <w:rFonts w:ascii="Times New Roman" w:hAnsi="Times New Roman" w:cs="Times New Roman"/>
          <w:vertAlign w:val="subscript"/>
        </w:rPr>
        <w:t>2</w:t>
      </w:r>
      <w:r>
        <w:rPr>
          <w:rFonts w:ascii="Times New Roman" w:hAnsi="Times New Roman" w:cs="Times New Roman"/>
        </w:rPr>
        <w:t>O</w:t>
      </w:r>
      <w:r>
        <w:rPr>
          <w:rFonts w:ascii="Times New Roman" w:hAnsi="Times New Roman" w:cs="Times New Roman"/>
          <w:vertAlign w:val="subscript"/>
        </w:rPr>
        <w:t>2</w:t>
      </w:r>
      <w:r w:rsidR="003A4038">
        <w:rPr>
          <w:rFonts w:ascii="Times New Roman" w:hAnsi="Times New Roman" w:cs="Times New Roman"/>
        </w:rPr>
        <w:t xml:space="preserve"> did</w:t>
      </w:r>
      <w:r>
        <w:rPr>
          <w:rFonts w:ascii="Times New Roman" w:hAnsi="Times New Roman" w:cs="Times New Roman"/>
        </w:rPr>
        <w:t xml:space="preserve"> not impact astrocytic support for neurite outgrowth.</w:t>
      </w:r>
    </w:p>
    <w:p w14:paraId="70AC8E4C" w14:textId="77777777" w:rsidR="00CB39D8" w:rsidRDefault="00CB39D8" w:rsidP="00C63BC1">
      <w:pPr>
        <w:jc w:val="both"/>
        <w:rPr>
          <w:rFonts w:ascii="Times New Roman" w:hAnsi="Times New Roman" w:cs="Times New Roman"/>
          <w:b/>
          <w:u w:val="single"/>
        </w:rPr>
      </w:pPr>
    </w:p>
    <w:p w14:paraId="6122B0C1" w14:textId="6F70E86B" w:rsidR="00CB39D8" w:rsidRDefault="00151CD8">
      <w:pPr>
        <w:rPr>
          <w:rFonts w:ascii="Times New Roman" w:hAnsi="Times New Roman" w:cs="Times New Roman"/>
          <w:b/>
        </w:rPr>
      </w:pPr>
      <w:r>
        <w:rPr>
          <w:rFonts w:ascii="Times New Roman" w:hAnsi="Times New Roman" w:cs="Times New Roman"/>
          <w:b/>
        </w:rPr>
        <w:t xml:space="preserve">                   </w:t>
      </w:r>
      <w:r w:rsidR="00135983">
        <w:rPr>
          <w:rFonts w:ascii="Times New Roman" w:hAnsi="Times New Roman" w:cs="Times New Roman"/>
          <w:b/>
          <w:noProof/>
        </w:rPr>
        <w:drawing>
          <wp:inline distT="0" distB="0" distL="0" distR="0" wp14:anchorId="022CF886" wp14:editId="65EDD0D2">
            <wp:extent cx="3658945" cy="188945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75">
                      <a:extLst>
                        <a:ext uri="{28A0092B-C50C-407E-A947-70E740481C1C}">
                          <a14:useLocalDpi xmlns:a14="http://schemas.microsoft.com/office/drawing/2010/main" val="0"/>
                        </a:ext>
                      </a:extLst>
                    </a:blip>
                    <a:srcRect l="1" t="9306" r="48231" b="54889"/>
                    <a:stretch/>
                  </pic:blipFill>
                  <pic:spPr bwMode="auto">
                    <a:xfrm>
                      <a:off x="0" y="0"/>
                      <a:ext cx="3661768" cy="1890912"/>
                    </a:xfrm>
                    <a:prstGeom prst="rect">
                      <a:avLst/>
                    </a:prstGeom>
                    <a:ln>
                      <a:noFill/>
                    </a:ln>
                    <a:extLst>
                      <a:ext uri="{53640926-AAD7-44d8-BBD7-CCE9431645EC}">
                        <a14:shadowObscured xmlns:a14="http://schemas.microsoft.com/office/drawing/2010/main"/>
                      </a:ext>
                    </a:extLst>
                  </pic:spPr>
                </pic:pic>
              </a:graphicData>
            </a:graphic>
          </wp:inline>
        </w:drawing>
      </w:r>
    </w:p>
    <w:p w14:paraId="599152CC" w14:textId="665DA235" w:rsidR="00151CD8" w:rsidRPr="00151CD8" w:rsidRDefault="00151CD8">
      <w:pPr>
        <w:rPr>
          <w:rFonts w:ascii="Times New Roman" w:hAnsi="Times New Roman" w:cs="Times New Roman"/>
          <w:b/>
          <w:sz w:val="32"/>
          <w:szCs w:val="32"/>
        </w:rPr>
      </w:pPr>
      <w:r>
        <w:rPr>
          <w:rFonts w:ascii="Times New Roman" w:hAnsi="Times New Roman" w:cs="Times New Roman"/>
          <w:b/>
          <w:sz w:val="32"/>
          <w:szCs w:val="32"/>
        </w:rPr>
        <w:t xml:space="preserve">          </w:t>
      </w:r>
      <w:r w:rsidRPr="00151CD8">
        <w:rPr>
          <w:rFonts w:ascii="Times New Roman" w:hAnsi="Times New Roman" w:cs="Times New Roman"/>
          <w:b/>
          <w:sz w:val="32"/>
          <w:szCs w:val="32"/>
        </w:rPr>
        <w:t>B.</w:t>
      </w:r>
    </w:p>
    <w:p w14:paraId="372234C0" w14:textId="71422CC6" w:rsidR="00151CD8" w:rsidRDefault="00151CD8">
      <w:pPr>
        <w:rPr>
          <w:rFonts w:ascii="Times New Roman" w:hAnsi="Times New Roman" w:cs="Times New Roman"/>
          <w:b/>
        </w:rPr>
      </w:pPr>
      <w:r>
        <w:rPr>
          <w:rFonts w:ascii="Times New Roman" w:hAnsi="Times New Roman" w:cs="Times New Roman"/>
          <w:b/>
        </w:rPr>
        <w:t xml:space="preserve">                   </w:t>
      </w:r>
      <w:r>
        <w:rPr>
          <w:rFonts w:ascii="Times New Roman" w:hAnsi="Times New Roman" w:cs="Times New Roman"/>
          <w:b/>
          <w:noProof/>
        </w:rPr>
        <w:drawing>
          <wp:inline distT="0" distB="0" distL="0" distR="0" wp14:anchorId="4A821E1A" wp14:editId="7AD29B64">
            <wp:extent cx="3608343" cy="313316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76">
                      <a:extLst>
                        <a:ext uri="{28A0092B-C50C-407E-A947-70E740481C1C}">
                          <a14:useLocalDpi xmlns:a14="http://schemas.microsoft.com/office/drawing/2010/main" val="0"/>
                        </a:ext>
                      </a:extLst>
                    </a:blip>
                    <a:srcRect l="21433" t="13958" r="23747" b="22559"/>
                    <a:stretch/>
                  </pic:blipFill>
                  <pic:spPr bwMode="auto">
                    <a:xfrm>
                      <a:off x="0" y="0"/>
                      <a:ext cx="3609887" cy="3134506"/>
                    </a:xfrm>
                    <a:prstGeom prst="rect">
                      <a:avLst/>
                    </a:prstGeom>
                    <a:ln>
                      <a:noFill/>
                    </a:ln>
                    <a:extLst>
                      <a:ext uri="{53640926-AAD7-44d8-BBD7-CCE9431645EC}">
                        <a14:shadowObscured xmlns:a14="http://schemas.microsoft.com/office/drawing/2010/main"/>
                      </a:ext>
                    </a:extLst>
                  </pic:spPr>
                </pic:pic>
              </a:graphicData>
            </a:graphic>
          </wp:inline>
        </w:drawing>
      </w:r>
    </w:p>
    <w:p w14:paraId="006198F0" w14:textId="77777777" w:rsidR="00BA66E2" w:rsidRPr="00CB39D8" w:rsidRDefault="00BA66E2" w:rsidP="00C63BC1">
      <w:pPr>
        <w:jc w:val="both"/>
        <w:rPr>
          <w:rFonts w:ascii="Times New Roman" w:hAnsi="Times New Roman" w:cs="Times New Roman"/>
          <w:b/>
        </w:rPr>
      </w:pPr>
    </w:p>
    <w:p w14:paraId="1733F09C" w14:textId="71B89C00" w:rsidR="004C1D27" w:rsidRDefault="00A1651A" w:rsidP="00C664C4">
      <w:pPr>
        <w:pStyle w:val="Caption"/>
      </w:pPr>
      <w:bookmarkStart w:id="1623" w:name="_Toc333569076"/>
      <w:bookmarkStart w:id="1624" w:name="_Toc333569301"/>
      <w:bookmarkStart w:id="1625" w:name="_Toc333570855"/>
      <w:bookmarkStart w:id="1626" w:name="_Toc333582238"/>
      <w:bookmarkStart w:id="1627" w:name="_Toc333582358"/>
      <w:bookmarkStart w:id="1628" w:name="_Toc333582770"/>
      <w:bookmarkStart w:id="1629" w:name="_Toc333583140"/>
      <w:bookmarkStart w:id="1630" w:name="_Toc333585249"/>
      <w:bookmarkStart w:id="1631" w:name="_Toc333586801"/>
      <w:bookmarkStart w:id="1632" w:name="_Toc333644500"/>
      <w:bookmarkStart w:id="1633" w:name="_Toc333644794"/>
      <w:r>
        <w:t xml:space="preserve">Figure </w:t>
      </w:r>
      <w:r w:rsidR="00F94933">
        <w:t>4.2</w:t>
      </w:r>
      <w:r w:rsidR="00B92D16">
        <w:t>2</w:t>
      </w:r>
      <w:r w:rsidR="0043060F">
        <w:t>.</w:t>
      </w:r>
      <w:r w:rsidR="00BB3CED">
        <w:t xml:space="preserve"> </w:t>
      </w:r>
      <w:r w:rsidR="00BB3CED" w:rsidRPr="00BB3CED">
        <w:t>Treatment of astrocytes with</w:t>
      </w:r>
      <w:r w:rsidR="00ED63FC">
        <w:t xml:space="preserve"> </w:t>
      </w:r>
      <w:r w:rsidR="00ED63FC" w:rsidRPr="00ED63FC">
        <w:t>50μM</w:t>
      </w:r>
      <w:r w:rsidR="00BB3CED" w:rsidRPr="00BB3CED">
        <w:t xml:space="preserve"> </w:t>
      </w:r>
      <w:r w:rsidR="00F519D7" w:rsidRPr="00F519D7">
        <w:t>H</w:t>
      </w:r>
      <w:r w:rsidR="00F519D7" w:rsidRPr="00F519D7">
        <w:rPr>
          <w:vertAlign w:val="subscript"/>
        </w:rPr>
        <w:t>2</w:t>
      </w:r>
      <w:r w:rsidR="00F519D7" w:rsidRPr="00F519D7">
        <w:t>O</w:t>
      </w:r>
      <w:r w:rsidR="00F519D7" w:rsidRPr="00F519D7">
        <w:rPr>
          <w:vertAlign w:val="subscript"/>
        </w:rPr>
        <w:t>2</w:t>
      </w:r>
      <w:r w:rsidR="00F519D7">
        <w:rPr>
          <w:vertAlign w:val="subscript"/>
        </w:rPr>
        <w:t xml:space="preserve"> </w:t>
      </w:r>
      <w:r w:rsidR="00ED63FC">
        <w:t>does not change cell viability or</w:t>
      </w:r>
      <w:r w:rsidR="00BB3CED" w:rsidRPr="00BB3CED">
        <w:t xml:space="preserve"> change intracellular ROS levels</w:t>
      </w:r>
      <w:r w:rsidR="004C1D27">
        <w:t>.</w:t>
      </w:r>
      <w:bookmarkEnd w:id="1623"/>
      <w:bookmarkEnd w:id="1624"/>
      <w:bookmarkEnd w:id="1625"/>
      <w:bookmarkEnd w:id="1626"/>
      <w:bookmarkEnd w:id="1627"/>
      <w:bookmarkEnd w:id="1628"/>
      <w:bookmarkEnd w:id="1629"/>
      <w:bookmarkEnd w:id="1630"/>
      <w:bookmarkEnd w:id="1631"/>
      <w:bookmarkEnd w:id="1632"/>
      <w:bookmarkEnd w:id="1633"/>
      <w:r w:rsidR="00ED63FC">
        <w:t xml:space="preserve"> </w:t>
      </w:r>
    </w:p>
    <w:p w14:paraId="5F637446" w14:textId="7EBD786A" w:rsidR="00135983" w:rsidRDefault="004C1D27" w:rsidP="00C63BC1">
      <w:pPr>
        <w:spacing w:line="360" w:lineRule="auto"/>
        <w:jc w:val="both"/>
        <w:rPr>
          <w:rFonts w:ascii="Times New Roman" w:hAnsi="Times New Roman" w:cs="Times New Roman"/>
        </w:rPr>
      </w:pPr>
      <w:r>
        <w:rPr>
          <w:rFonts w:ascii="Times New Roman" w:hAnsi="Times New Roman" w:cs="Times New Roman"/>
          <w:b/>
        </w:rPr>
        <w:t>(</w:t>
      </w:r>
      <w:r w:rsidR="00885DDF" w:rsidRPr="00FE631C">
        <w:rPr>
          <w:rFonts w:ascii="Times New Roman" w:hAnsi="Times New Roman" w:cs="Times New Roman"/>
          <w:b/>
        </w:rPr>
        <w:t>A</w:t>
      </w:r>
      <w:r>
        <w:rPr>
          <w:rFonts w:ascii="Times New Roman" w:hAnsi="Times New Roman" w:cs="Times New Roman"/>
        </w:rPr>
        <w:t>)</w:t>
      </w:r>
      <w:r w:rsidR="00A1651A">
        <w:rPr>
          <w:rFonts w:ascii="Times New Roman" w:hAnsi="Times New Roman" w:cs="Times New Roman"/>
        </w:rPr>
        <w:t xml:space="preserve"> Treatm</w:t>
      </w:r>
      <w:r w:rsidR="00130946">
        <w:rPr>
          <w:rFonts w:ascii="Times New Roman" w:hAnsi="Times New Roman" w:cs="Times New Roman"/>
        </w:rPr>
        <w:t>ent of astrocytes with 50μM</w:t>
      </w:r>
      <w:r w:rsidR="00A1651A">
        <w:rPr>
          <w:rFonts w:ascii="Times New Roman" w:hAnsi="Times New Roman" w:cs="Times New Roman"/>
        </w:rPr>
        <w:t xml:space="preserve"> </w:t>
      </w:r>
      <w:r w:rsidR="00F519D7">
        <w:rPr>
          <w:rFonts w:ascii="Times New Roman" w:hAnsi="Times New Roman" w:cs="Times New Roman"/>
        </w:rPr>
        <w:t>H</w:t>
      </w:r>
      <w:r w:rsidR="00F519D7">
        <w:rPr>
          <w:rFonts w:ascii="Times New Roman" w:hAnsi="Times New Roman" w:cs="Times New Roman"/>
          <w:vertAlign w:val="subscript"/>
        </w:rPr>
        <w:t>2</w:t>
      </w:r>
      <w:r w:rsidR="00F519D7">
        <w:rPr>
          <w:rFonts w:ascii="Times New Roman" w:hAnsi="Times New Roman" w:cs="Times New Roman"/>
        </w:rPr>
        <w:t>O</w:t>
      </w:r>
      <w:r w:rsidR="00F519D7">
        <w:rPr>
          <w:rFonts w:ascii="Times New Roman" w:hAnsi="Times New Roman" w:cs="Times New Roman"/>
          <w:vertAlign w:val="subscript"/>
        </w:rPr>
        <w:t xml:space="preserve">2 </w:t>
      </w:r>
      <w:r w:rsidR="00ED63FC">
        <w:rPr>
          <w:rFonts w:ascii="Times New Roman" w:hAnsi="Times New Roman" w:cs="Times New Roman"/>
        </w:rPr>
        <w:t xml:space="preserve">does not affect cell viability as </w:t>
      </w:r>
      <w:r w:rsidR="00A1651A">
        <w:rPr>
          <w:rFonts w:ascii="Times New Roman" w:hAnsi="Times New Roman" w:cs="Times New Roman"/>
        </w:rPr>
        <w:t>identified by MTT. Graph represents n=3, 3 experime</w:t>
      </w:r>
      <w:r w:rsidR="00885DDF">
        <w:rPr>
          <w:rFonts w:ascii="Times New Roman" w:hAnsi="Times New Roman" w:cs="Times New Roman"/>
        </w:rPr>
        <w:t>nts/ replicate. (Data are mean ±</w:t>
      </w:r>
      <w:r w:rsidR="00A1651A">
        <w:rPr>
          <w:rFonts w:ascii="Times New Roman" w:hAnsi="Times New Roman" w:cs="Times New Roman"/>
        </w:rPr>
        <w:t xml:space="preserve"> SEM, One way ANOVA with post-hoc analysis)</w:t>
      </w:r>
      <w:r w:rsidR="00885DDF">
        <w:rPr>
          <w:rFonts w:ascii="Times New Roman" w:hAnsi="Times New Roman" w:cs="Times New Roman"/>
        </w:rPr>
        <w:t xml:space="preserve">. </w:t>
      </w:r>
      <w:r>
        <w:rPr>
          <w:rFonts w:ascii="Times New Roman" w:hAnsi="Times New Roman" w:cs="Times New Roman"/>
        </w:rPr>
        <w:t>(</w:t>
      </w:r>
      <w:r w:rsidR="00885DDF" w:rsidRPr="00FE631C">
        <w:rPr>
          <w:rFonts w:ascii="Times New Roman" w:hAnsi="Times New Roman" w:cs="Times New Roman"/>
          <w:b/>
        </w:rPr>
        <w:t>B</w:t>
      </w:r>
      <w:r>
        <w:rPr>
          <w:rFonts w:ascii="Times New Roman" w:hAnsi="Times New Roman" w:cs="Times New Roman"/>
        </w:rPr>
        <w:t>)</w:t>
      </w:r>
      <w:r w:rsidR="00885DDF">
        <w:rPr>
          <w:rFonts w:ascii="Times New Roman" w:hAnsi="Times New Roman" w:cs="Times New Roman"/>
        </w:rPr>
        <w:t xml:space="preserve"> </w:t>
      </w:r>
      <w:r w:rsidR="00F519D7">
        <w:rPr>
          <w:rFonts w:ascii="Times New Roman" w:hAnsi="Times New Roman" w:cs="Times New Roman"/>
        </w:rPr>
        <w:t xml:space="preserve">A </w:t>
      </w:r>
      <w:r w:rsidR="00885DDF">
        <w:rPr>
          <w:rFonts w:ascii="Times New Roman" w:hAnsi="Times New Roman" w:cs="Times New Roman"/>
        </w:rPr>
        <w:t>CellRox assay</w:t>
      </w:r>
      <w:r w:rsidR="00F519D7">
        <w:rPr>
          <w:rFonts w:ascii="Times New Roman" w:hAnsi="Times New Roman" w:cs="Times New Roman"/>
        </w:rPr>
        <w:t xml:space="preserve"> was performed to determine ROS levels in astrocytes following treatment with 50μM H</w:t>
      </w:r>
      <w:r w:rsidR="00F519D7">
        <w:rPr>
          <w:rFonts w:ascii="Times New Roman" w:hAnsi="Times New Roman" w:cs="Times New Roman"/>
          <w:vertAlign w:val="subscript"/>
        </w:rPr>
        <w:t>2</w:t>
      </w:r>
      <w:r w:rsidR="00F519D7">
        <w:rPr>
          <w:rFonts w:ascii="Times New Roman" w:hAnsi="Times New Roman" w:cs="Times New Roman"/>
        </w:rPr>
        <w:t>O</w:t>
      </w:r>
      <w:r w:rsidR="00F519D7">
        <w:rPr>
          <w:rFonts w:ascii="Times New Roman" w:hAnsi="Times New Roman" w:cs="Times New Roman"/>
          <w:vertAlign w:val="subscript"/>
        </w:rPr>
        <w:t xml:space="preserve">2 </w:t>
      </w:r>
      <w:r w:rsidR="00F519D7">
        <w:rPr>
          <w:rFonts w:ascii="Times New Roman" w:hAnsi="Times New Roman" w:cs="Times New Roman"/>
        </w:rPr>
        <w:t xml:space="preserve">for 24 hours. </w:t>
      </w:r>
      <w:r w:rsidR="00747329">
        <w:rPr>
          <w:rFonts w:ascii="Times New Roman" w:hAnsi="Times New Roman" w:cs="Times New Roman"/>
        </w:rPr>
        <w:t>Bar chart</w:t>
      </w:r>
      <w:r w:rsidR="00F519D7">
        <w:rPr>
          <w:rFonts w:ascii="Times New Roman" w:hAnsi="Times New Roman" w:cs="Times New Roman"/>
        </w:rPr>
        <w:t xml:space="preserve"> represents n=3, 3 experiments/</w:t>
      </w:r>
      <w:r w:rsidR="00747329">
        <w:rPr>
          <w:rFonts w:ascii="Times New Roman" w:hAnsi="Times New Roman" w:cs="Times New Roman"/>
        </w:rPr>
        <w:t>replicate (Data are mean</w:t>
      </w:r>
      <w:r w:rsidR="00130946">
        <w:rPr>
          <w:rFonts w:ascii="Times New Roman" w:hAnsi="Times New Roman" w:cs="Times New Roman"/>
        </w:rPr>
        <w:t xml:space="preserve"> </w:t>
      </w:r>
      <w:r w:rsidR="00747329">
        <w:rPr>
          <w:rFonts w:ascii="Times New Roman" w:hAnsi="Times New Roman" w:cs="Times New Roman"/>
        </w:rPr>
        <w:t>± SEM, unpaired t-test)</w:t>
      </w:r>
      <w:r w:rsidR="00585472">
        <w:rPr>
          <w:rFonts w:ascii="Times New Roman" w:hAnsi="Times New Roman" w:cs="Times New Roman"/>
        </w:rPr>
        <w:t>.</w:t>
      </w:r>
      <w:r w:rsidR="00747329">
        <w:rPr>
          <w:rFonts w:ascii="Times New Roman" w:hAnsi="Times New Roman" w:cs="Times New Roman"/>
        </w:rPr>
        <w:t xml:space="preserve"> </w:t>
      </w:r>
    </w:p>
    <w:p w14:paraId="30A77D53" w14:textId="77777777" w:rsidR="00135983" w:rsidRDefault="00135983" w:rsidP="00336972">
      <w:pPr>
        <w:spacing w:line="360" w:lineRule="auto"/>
        <w:rPr>
          <w:rFonts w:ascii="Times New Roman" w:hAnsi="Times New Roman" w:cs="Times New Roman"/>
        </w:rPr>
      </w:pPr>
    </w:p>
    <w:p w14:paraId="46C5CB2B" w14:textId="77777777" w:rsidR="00135983" w:rsidRDefault="00135983" w:rsidP="00336972">
      <w:pPr>
        <w:spacing w:line="360" w:lineRule="auto"/>
        <w:rPr>
          <w:rFonts w:ascii="Times New Roman" w:hAnsi="Times New Roman" w:cs="Times New Roman"/>
        </w:rPr>
      </w:pPr>
    </w:p>
    <w:p w14:paraId="060BDF64" w14:textId="77777777" w:rsidR="009D0DF8" w:rsidRDefault="009D0DF8" w:rsidP="00336972">
      <w:pPr>
        <w:spacing w:line="360" w:lineRule="auto"/>
        <w:rPr>
          <w:rFonts w:ascii="Times New Roman" w:hAnsi="Times New Roman" w:cs="Times New Roman"/>
        </w:rPr>
      </w:pPr>
      <w:r>
        <w:rPr>
          <w:rFonts w:ascii="Times New Roman" w:hAnsi="Times New Roman" w:cs="Times New Roman"/>
        </w:rPr>
        <w:t xml:space="preserve">                </w:t>
      </w:r>
    </w:p>
    <w:p w14:paraId="71CAD5CB" w14:textId="77777777" w:rsidR="009D0DF8" w:rsidRDefault="009D0DF8" w:rsidP="00336972">
      <w:pPr>
        <w:spacing w:line="360" w:lineRule="auto"/>
        <w:rPr>
          <w:rFonts w:ascii="Times New Roman" w:hAnsi="Times New Roman" w:cs="Times New Roman"/>
        </w:rPr>
      </w:pPr>
    </w:p>
    <w:p w14:paraId="0D78BFB1" w14:textId="77777777" w:rsidR="009D0DF8" w:rsidRDefault="009D0DF8" w:rsidP="00336972">
      <w:pPr>
        <w:spacing w:line="360" w:lineRule="auto"/>
        <w:rPr>
          <w:rFonts w:ascii="Times New Roman" w:hAnsi="Times New Roman" w:cs="Times New Roman"/>
        </w:rPr>
      </w:pPr>
    </w:p>
    <w:p w14:paraId="6C5E8EFD" w14:textId="77777777" w:rsidR="009D0DF8" w:rsidRDefault="009D0DF8" w:rsidP="00336972">
      <w:pPr>
        <w:spacing w:line="360" w:lineRule="auto"/>
        <w:rPr>
          <w:rFonts w:ascii="Times New Roman" w:hAnsi="Times New Roman" w:cs="Times New Roman"/>
        </w:rPr>
      </w:pPr>
    </w:p>
    <w:p w14:paraId="02A067C4" w14:textId="77777777" w:rsidR="009D0DF8" w:rsidRDefault="009D0DF8" w:rsidP="00336972">
      <w:pPr>
        <w:spacing w:line="360" w:lineRule="auto"/>
        <w:rPr>
          <w:rFonts w:ascii="Times New Roman" w:hAnsi="Times New Roman" w:cs="Times New Roman"/>
        </w:rPr>
      </w:pPr>
    </w:p>
    <w:p w14:paraId="1D350106" w14:textId="6EAC3B4F" w:rsidR="00F519D7" w:rsidRDefault="008451E8" w:rsidP="00336972">
      <w:pPr>
        <w:spacing w:line="360" w:lineRule="auto"/>
        <w:rPr>
          <w:rFonts w:ascii="Times New Roman" w:hAnsi="Times New Roman" w:cs="Times New Roman"/>
        </w:rPr>
      </w:pPr>
      <w:r>
        <w:rPr>
          <w:rFonts w:ascii="Times New Roman" w:hAnsi="Times New Roman" w:cs="Times New Roman"/>
        </w:rPr>
        <w:t xml:space="preserve">          </w:t>
      </w:r>
      <w:r w:rsidR="00C1199E">
        <w:rPr>
          <w:rFonts w:ascii="Times New Roman" w:hAnsi="Times New Roman" w:cs="Times New Roman"/>
        </w:rPr>
        <w:t xml:space="preserve">  </w:t>
      </w:r>
      <w:r w:rsidR="009D0DF8">
        <w:rPr>
          <w:rFonts w:ascii="Times New Roman" w:hAnsi="Times New Roman" w:cs="Times New Roman"/>
        </w:rPr>
        <w:t xml:space="preserve">     </w:t>
      </w:r>
      <w:r w:rsidR="009D0DF8">
        <w:rPr>
          <w:rFonts w:ascii="Times New Roman" w:hAnsi="Times New Roman" w:cs="Times New Roman"/>
          <w:noProof/>
        </w:rPr>
        <w:drawing>
          <wp:inline distT="0" distB="0" distL="0" distR="0" wp14:anchorId="2ABDD20E" wp14:editId="7FFB9A40">
            <wp:extent cx="4037907" cy="2030594"/>
            <wp:effectExtent l="0" t="0" r="127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rotWithShape="1">
                    <a:blip r:embed="rId77">
                      <a:extLst>
                        <a:ext uri="{28A0092B-C50C-407E-A947-70E740481C1C}">
                          <a14:useLocalDpi xmlns:a14="http://schemas.microsoft.com/office/drawing/2010/main" val="0"/>
                        </a:ext>
                      </a:extLst>
                    </a:blip>
                    <a:srcRect l="4735" t="19805" r="45649" b="46919"/>
                    <a:stretch/>
                  </pic:blipFill>
                  <pic:spPr bwMode="auto">
                    <a:xfrm>
                      <a:off x="0" y="0"/>
                      <a:ext cx="4044125" cy="2033721"/>
                    </a:xfrm>
                    <a:prstGeom prst="rect">
                      <a:avLst/>
                    </a:prstGeom>
                    <a:ln>
                      <a:noFill/>
                    </a:ln>
                    <a:extLst>
                      <a:ext uri="{53640926-AAD7-44d8-BBD7-CCE9431645EC}">
                        <a14:shadowObscured xmlns:a14="http://schemas.microsoft.com/office/drawing/2010/main"/>
                      </a:ext>
                    </a:extLst>
                  </pic:spPr>
                </pic:pic>
              </a:graphicData>
            </a:graphic>
          </wp:inline>
        </w:drawing>
      </w:r>
      <w:r w:rsidR="00D144D6">
        <w:rPr>
          <w:rFonts w:ascii="Times New Roman" w:hAnsi="Times New Roman" w:cs="Times New Roman"/>
        </w:rPr>
        <w:t xml:space="preserve">    </w:t>
      </w:r>
      <w:r w:rsidR="00756EA1">
        <w:rPr>
          <w:rFonts w:ascii="Times New Roman" w:hAnsi="Times New Roman" w:cs="Times New Roman"/>
        </w:rPr>
        <w:t xml:space="preserve">    </w:t>
      </w:r>
      <w:r w:rsidR="00D144D6">
        <w:rPr>
          <w:rFonts w:ascii="Times New Roman" w:hAnsi="Times New Roman" w:cs="Times New Roman"/>
        </w:rPr>
        <w:t xml:space="preserve"> </w:t>
      </w:r>
      <w:r w:rsidR="00F519D7">
        <w:rPr>
          <w:rFonts w:ascii="Times New Roman" w:hAnsi="Times New Roman" w:cs="Times New Roman"/>
        </w:rPr>
        <w:t xml:space="preserve">  </w:t>
      </w:r>
      <w:r w:rsidR="00222A7D">
        <w:rPr>
          <w:rFonts w:ascii="Times New Roman" w:hAnsi="Times New Roman" w:cs="Times New Roman"/>
        </w:rPr>
        <w:t xml:space="preserve">          </w:t>
      </w:r>
      <w:r w:rsidR="00F519D7">
        <w:rPr>
          <w:rFonts w:ascii="Times New Roman" w:hAnsi="Times New Roman" w:cs="Times New Roman"/>
        </w:rPr>
        <w:t xml:space="preserve">   </w:t>
      </w:r>
    </w:p>
    <w:p w14:paraId="5BBBBF0C" w14:textId="16692AA6" w:rsidR="00135983" w:rsidRDefault="00D144D6" w:rsidP="00336972">
      <w:pPr>
        <w:spacing w:line="360" w:lineRule="auto"/>
        <w:rPr>
          <w:rFonts w:ascii="Times New Roman" w:hAnsi="Times New Roman" w:cs="Times New Roman"/>
        </w:rPr>
      </w:pPr>
      <w:r>
        <w:rPr>
          <w:rFonts w:ascii="Times New Roman" w:hAnsi="Times New Roman" w:cs="Times New Roman"/>
        </w:rPr>
        <w:t xml:space="preserve">        </w:t>
      </w:r>
      <w:r w:rsidR="009D0DF8">
        <w:rPr>
          <w:rFonts w:ascii="Times New Roman" w:hAnsi="Times New Roman" w:cs="Times New Roman"/>
        </w:rPr>
        <w:t xml:space="preserve">   </w:t>
      </w:r>
      <w:r w:rsidR="00756EA1">
        <w:rPr>
          <w:rFonts w:ascii="Times New Roman" w:hAnsi="Times New Roman" w:cs="Times New Roman"/>
        </w:rPr>
        <w:t xml:space="preserve">  </w:t>
      </w:r>
      <w:r>
        <w:rPr>
          <w:rFonts w:ascii="Times New Roman" w:hAnsi="Times New Roman" w:cs="Times New Roman"/>
        </w:rPr>
        <w:t xml:space="preserve"> </w:t>
      </w:r>
      <w:r w:rsidR="00F519D7">
        <w:rPr>
          <w:rFonts w:ascii="Times New Roman" w:hAnsi="Times New Roman" w:cs="Times New Roman"/>
        </w:rPr>
        <w:t xml:space="preserve">  </w:t>
      </w:r>
      <w:r w:rsidR="00C1199E">
        <w:rPr>
          <w:rFonts w:ascii="Times New Roman" w:hAnsi="Times New Roman" w:cs="Times New Roman"/>
        </w:rPr>
        <w:t xml:space="preserve"> </w:t>
      </w:r>
      <w:r w:rsidR="00756EA1">
        <w:rPr>
          <w:rFonts w:ascii="Times New Roman" w:hAnsi="Times New Roman" w:cs="Times New Roman"/>
        </w:rPr>
        <w:t xml:space="preserve">   </w:t>
      </w:r>
      <w:r w:rsidR="00222A7D">
        <w:rPr>
          <w:rFonts w:ascii="Times New Roman" w:hAnsi="Times New Roman" w:cs="Times New Roman"/>
          <w:noProof/>
        </w:rPr>
        <w:drawing>
          <wp:inline distT="0" distB="0" distL="0" distR="0" wp14:anchorId="3764A4BE" wp14:editId="35157822">
            <wp:extent cx="3340977" cy="2786435"/>
            <wp:effectExtent l="0" t="0" r="12065"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rotWithShape="1">
                    <a:blip r:embed="rId77">
                      <a:extLst>
                        <a:ext uri="{28A0092B-C50C-407E-A947-70E740481C1C}">
                          <a14:useLocalDpi xmlns:a14="http://schemas.microsoft.com/office/drawing/2010/main" val="0"/>
                        </a:ext>
                      </a:extLst>
                    </a:blip>
                    <a:srcRect l="53168" t="17670" r="6527" b="37488"/>
                    <a:stretch/>
                  </pic:blipFill>
                  <pic:spPr bwMode="auto">
                    <a:xfrm>
                      <a:off x="0" y="0"/>
                      <a:ext cx="3342984" cy="2788109"/>
                    </a:xfrm>
                    <a:prstGeom prst="rect">
                      <a:avLst/>
                    </a:prstGeom>
                    <a:ln>
                      <a:noFill/>
                    </a:ln>
                    <a:extLst>
                      <a:ext uri="{53640926-AAD7-44d8-BBD7-CCE9431645EC}">
                        <a14:shadowObscured xmlns:a14="http://schemas.microsoft.com/office/drawing/2010/main"/>
                      </a:ext>
                    </a:extLst>
                  </pic:spPr>
                </pic:pic>
              </a:graphicData>
            </a:graphic>
          </wp:inline>
        </w:drawing>
      </w:r>
    </w:p>
    <w:p w14:paraId="2F640766" w14:textId="77777777" w:rsidR="004C1D27" w:rsidRDefault="00ED63FC" w:rsidP="00C664C4">
      <w:pPr>
        <w:pStyle w:val="Caption"/>
      </w:pPr>
      <w:bookmarkStart w:id="1634" w:name="_Toc333569077"/>
      <w:bookmarkStart w:id="1635" w:name="_Toc333569302"/>
      <w:bookmarkStart w:id="1636" w:name="_Toc333570856"/>
      <w:bookmarkStart w:id="1637" w:name="_Toc333582239"/>
      <w:bookmarkStart w:id="1638" w:name="_Toc333582359"/>
      <w:bookmarkStart w:id="1639" w:name="_Toc333582771"/>
      <w:bookmarkStart w:id="1640" w:name="_Toc333583141"/>
      <w:bookmarkStart w:id="1641" w:name="_Toc333585250"/>
      <w:bookmarkStart w:id="1642" w:name="_Toc333586802"/>
      <w:bookmarkStart w:id="1643" w:name="_Toc333644501"/>
      <w:bookmarkStart w:id="1644" w:name="_Toc333644795"/>
      <w:r>
        <w:t xml:space="preserve">Figure </w:t>
      </w:r>
      <w:r w:rsidR="00B92D16">
        <w:t>4.23</w:t>
      </w:r>
      <w:r w:rsidR="0043060F">
        <w:t>.</w:t>
      </w:r>
      <w:r>
        <w:t xml:space="preserve"> Astrocytes treated with </w:t>
      </w:r>
      <w:r w:rsidRPr="00ED63FC">
        <w:t>50μM</w:t>
      </w:r>
      <w:r>
        <w:t xml:space="preserve"> </w:t>
      </w:r>
      <w:r w:rsidR="00F519D7" w:rsidRPr="00F519D7">
        <w:t>H</w:t>
      </w:r>
      <w:r w:rsidR="00F519D7" w:rsidRPr="00F519D7">
        <w:rPr>
          <w:vertAlign w:val="subscript"/>
        </w:rPr>
        <w:t>2</w:t>
      </w:r>
      <w:r w:rsidR="00F519D7" w:rsidRPr="00F519D7">
        <w:t>O</w:t>
      </w:r>
      <w:r w:rsidR="00F519D7" w:rsidRPr="00F519D7">
        <w:rPr>
          <w:vertAlign w:val="subscript"/>
        </w:rPr>
        <w:t>2</w:t>
      </w:r>
      <w:r w:rsidR="00F519D7">
        <w:t xml:space="preserve"> retain their support for neurons as determined by measuring neurite lengths.</w:t>
      </w:r>
      <w:bookmarkEnd w:id="1634"/>
      <w:bookmarkEnd w:id="1635"/>
      <w:bookmarkEnd w:id="1636"/>
      <w:bookmarkEnd w:id="1637"/>
      <w:bookmarkEnd w:id="1638"/>
      <w:bookmarkEnd w:id="1639"/>
      <w:bookmarkEnd w:id="1640"/>
      <w:bookmarkEnd w:id="1641"/>
      <w:bookmarkEnd w:id="1642"/>
      <w:bookmarkEnd w:id="1643"/>
      <w:bookmarkEnd w:id="1644"/>
    </w:p>
    <w:p w14:paraId="2538518A" w14:textId="33532EC5" w:rsidR="00A1651A" w:rsidRPr="006D5C95" w:rsidRDefault="00B23F28" w:rsidP="00C63BC1">
      <w:pPr>
        <w:spacing w:line="360" w:lineRule="auto"/>
        <w:jc w:val="both"/>
        <w:rPr>
          <w:rFonts w:ascii="Times New Roman" w:hAnsi="Times New Roman" w:cs="Times New Roman"/>
          <w:color w:val="FF0000"/>
        </w:rPr>
      </w:pPr>
      <w:r>
        <w:rPr>
          <w:rFonts w:ascii="Times New Roman" w:hAnsi="Times New Roman" w:cs="Times New Roman"/>
        </w:rPr>
        <w:t xml:space="preserve">Astrocytes were pre-treated with </w:t>
      </w:r>
      <w:r w:rsidRPr="00ED63FC">
        <w:t>50μM</w:t>
      </w:r>
      <w:r>
        <w:t xml:space="preserve"> </w:t>
      </w:r>
      <w:r w:rsidRPr="00F519D7">
        <w:t>H</w:t>
      </w:r>
      <w:r w:rsidRPr="00F519D7">
        <w:rPr>
          <w:vertAlign w:val="subscript"/>
        </w:rPr>
        <w:t>2</w:t>
      </w:r>
      <w:r w:rsidRPr="00F519D7">
        <w:t>O</w:t>
      </w:r>
      <w:r w:rsidRPr="00F519D7">
        <w:rPr>
          <w:vertAlign w:val="subscript"/>
        </w:rPr>
        <w:t>2</w:t>
      </w:r>
      <w:r>
        <w:rPr>
          <w:vertAlign w:val="subscript"/>
        </w:rPr>
        <w:t xml:space="preserve"> </w:t>
      </w:r>
      <w:r>
        <w:t>for 24 hours prio</w:t>
      </w:r>
      <w:r w:rsidR="004A5709">
        <w:t>r to co-culture with GFP LUHMES and n</w:t>
      </w:r>
      <w:r w:rsidR="00130946">
        <w:rPr>
          <w:rFonts w:ascii="Times New Roman" w:hAnsi="Times New Roman" w:cs="Times New Roman"/>
        </w:rPr>
        <w:t>eurite outgrowth</w:t>
      </w:r>
      <w:r w:rsidR="00885DDF">
        <w:rPr>
          <w:rFonts w:ascii="Times New Roman" w:hAnsi="Times New Roman" w:cs="Times New Roman"/>
        </w:rPr>
        <w:t xml:space="preserve"> of </w:t>
      </w:r>
      <w:r w:rsidR="00130946">
        <w:rPr>
          <w:rFonts w:ascii="Times New Roman" w:hAnsi="Times New Roman" w:cs="Times New Roman"/>
        </w:rPr>
        <w:t>LUHMES</w:t>
      </w:r>
      <w:r>
        <w:rPr>
          <w:rFonts w:ascii="Times New Roman" w:hAnsi="Times New Roman" w:cs="Times New Roman"/>
        </w:rPr>
        <w:t xml:space="preserve"> was determined over a 72 hour period. Representative images are of GFP LUHMES cultured alone or in the presence of astrocytes treated with and without </w:t>
      </w:r>
      <w:r w:rsidRPr="00ED63FC">
        <w:t>50μM</w:t>
      </w:r>
      <w:r>
        <w:t xml:space="preserve"> </w:t>
      </w:r>
      <w:r w:rsidRPr="00F519D7">
        <w:t>H</w:t>
      </w:r>
      <w:r w:rsidRPr="00F519D7">
        <w:rPr>
          <w:vertAlign w:val="subscript"/>
        </w:rPr>
        <w:t>2</w:t>
      </w:r>
      <w:r w:rsidRPr="00F519D7">
        <w:t>O</w:t>
      </w:r>
      <w:r w:rsidRPr="00F519D7">
        <w:rPr>
          <w:vertAlign w:val="subscript"/>
        </w:rPr>
        <w:t>2</w:t>
      </w:r>
      <w:r>
        <w:t xml:space="preserve"> for 72 hours.</w:t>
      </w:r>
      <w:r w:rsidR="00130946">
        <w:rPr>
          <w:rFonts w:ascii="Times New Roman" w:hAnsi="Times New Roman" w:cs="Times New Roman"/>
        </w:rPr>
        <w:t xml:space="preserve"> </w:t>
      </w:r>
      <w:r>
        <w:rPr>
          <w:rFonts w:ascii="Times New Roman" w:hAnsi="Times New Roman" w:cs="Times New Roman"/>
        </w:rPr>
        <w:t xml:space="preserve">Bar chart shows that neurite outgrowth was </w:t>
      </w:r>
      <w:r w:rsidR="00130946">
        <w:rPr>
          <w:rFonts w:ascii="Times New Roman" w:hAnsi="Times New Roman" w:cs="Times New Roman"/>
        </w:rPr>
        <w:t xml:space="preserve">not </w:t>
      </w:r>
      <w:r w:rsidR="00F519D7">
        <w:rPr>
          <w:rFonts w:ascii="Times New Roman" w:hAnsi="Times New Roman" w:cs="Times New Roman"/>
        </w:rPr>
        <w:t xml:space="preserve">altered after </w:t>
      </w:r>
      <w:r w:rsidR="00747329">
        <w:rPr>
          <w:rFonts w:ascii="Times New Roman" w:hAnsi="Times New Roman" w:cs="Times New Roman"/>
        </w:rPr>
        <w:t xml:space="preserve">pretreating astrocytes </w:t>
      </w:r>
      <w:r w:rsidR="00130946">
        <w:rPr>
          <w:rFonts w:ascii="Times New Roman" w:hAnsi="Times New Roman" w:cs="Times New Roman"/>
        </w:rPr>
        <w:t xml:space="preserve">with </w:t>
      </w:r>
      <w:r w:rsidR="00885DDF">
        <w:rPr>
          <w:rFonts w:ascii="Times New Roman" w:hAnsi="Times New Roman" w:cs="Times New Roman"/>
        </w:rPr>
        <w:t xml:space="preserve">50μM </w:t>
      </w:r>
      <w:r w:rsidR="0079098A">
        <w:rPr>
          <w:rFonts w:ascii="Times New Roman" w:hAnsi="Times New Roman" w:cs="Times New Roman"/>
        </w:rPr>
        <w:t>H</w:t>
      </w:r>
      <w:r w:rsidR="0079098A">
        <w:rPr>
          <w:rFonts w:ascii="Times New Roman" w:hAnsi="Times New Roman" w:cs="Times New Roman"/>
          <w:vertAlign w:val="subscript"/>
        </w:rPr>
        <w:t>2</w:t>
      </w:r>
      <w:r w:rsidR="0079098A">
        <w:rPr>
          <w:rFonts w:ascii="Times New Roman" w:hAnsi="Times New Roman" w:cs="Times New Roman"/>
        </w:rPr>
        <w:t>O</w:t>
      </w:r>
      <w:r w:rsidR="0079098A">
        <w:rPr>
          <w:rFonts w:ascii="Times New Roman" w:hAnsi="Times New Roman" w:cs="Times New Roman"/>
          <w:vertAlign w:val="subscript"/>
        </w:rPr>
        <w:t>2</w:t>
      </w:r>
      <w:r w:rsidR="00885DDF">
        <w:rPr>
          <w:rFonts w:ascii="Times New Roman" w:hAnsi="Times New Roman" w:cs="Times New Roman"/>
        </w:rPr>
        <w:t>. Bar chart represents n=3, 3 experiments/ re</w:t>
      </w:r>
      <w:r w:rsidR="003A4038">
        <w:rPr>
          <w:rFonts w:ascii="Times New Roman" w:hAnsi="Times New Roman" w:cs="Times New Roman"/>
        </w:rPr>
        <w:t>plicate</w:t>
      </w:r>
      <w:r w:rsidR="00885DDF">
        <w:rPr>
          <w:rFonts w:ascii="Times New Roman" w:hAnsi="Times New Roman" w:cs="Times New Roman"/>
        </w:rPr>
        <w:t xml:space="preserve"> (Data are mean ± SEM, One way ANOVA with post-hoc analysis</w:t>
      </w:r>
      <w:r w:rsidR="00747329">
        <w:rPr>
          <w:rFonts w:ascii="Times New Roman" w:hAnsi="Times New Roman" w:cs="Times New Roman"/>
        </w:rPr>
        <w:t>)</w:t>
      </w:r>
      <w:r w:rsidR="003A4038">
        <w:rPr>
          <w:rFonts w:ascii="Times New Roman" w:hAnsi="Times New Roman" w:cs="Times New Roman"/>
        </w:rPr>
        <w:t>.</w:t>
      </w:r>
    </w:p>
    <w:p w14:paraId="5FCE3A71" w14:textId="77777777" w:rsidR="00AA21C2" w:rsidRDefault="00AA21C2" w:rsidP="00395B55">
      <w:pPr>
        <w:pStyle w:val="Heading3"/>
        <w:rPr>
          <w:rFonts w:eastAsiaTheme="minorEastAsia"/>
          <w:b w:val="0"/>
          <w:bCs w:val="0"/>
          <w:u w:val="single"/>
        </w:rPr>
      </w:pPr>
      <w:bookmarkStart w:id="1645" w:name="_Toc328301176"/>
      <w:bookmarkStart w:id="1646" w:name="_Toc329593467"/>
    </w:p>
    <w:p w14:paraId="030D7D49" w14:textId="34AF31E5" w:rsidR="00F42C8C" w:rsidRDefault="00F00E0E" w:rsidP="00395B55">
      <w:pPr>
        <w:pStyle w:val="Heading3"/>
      </w:pPr>
      <w:bookmarkStart w:id="1647" w:name="_Toc331425966"/>
      <w:bookmarkStart w:id="1648" w:name="_Toc331427147"/>
      <w:bookmarkStart w:id="1649" w:name="_Toc331427519"/>
      <w:bookmarkStart w:id="1650" w:name="_Toc331427661"/>
      <w:bookmarkStart w:id="1651" w:name="_Toc332972666"/>
      <w:bookmarkStart w:id="1652" w:name="_Toc333046945"/>
      <w:bookmarkStart w:id="1653" w:name="_Toc333477292"/>
      <w:bookmarkStart w:id="1654" w:name="_Toc333478062"/>
      <w:bookmarkStart w:id="1655" w:name="_Toc333644962"/>
      <w:r>
        <w:t>4.4</w:t>
      </w:r>
      <w:r w:rsidR="00F94933">
        <w:t xml:space="preserve">.13 </w:t>
      </w:r>
      <w:r w:rsidR="000728C2">
        <w:t>Loss of IGF1R in astrocytes impairs protection of neurons against oxidative stress</w:t>
      </w:r>
      <w:bookmarkEnd w:id="1645"/>
      <w:bookmarkEnd w:id="1646"/>
      <w:bookmarkEnd w:id="1647"/>
      <w:bookmarkEnd w:id="1648"/>
      <w:bookmarkEnd w:id="1649"/>
      <w:bookmarkEnd w:id="1650"/>
      <w:bookmarkEnd w:id="1651"/>
      <w:bookmarkEnd w:id="1652"/>
      <w:bookmarkEnd w:id="1653"/>
      <w:bookmarkEnd w:id="1654"/>
      <w:bookmarkEnd w:id="1655"/>
    </w:p>
    <w:p w14:paraId="5E3D5B41" w14:textId="77777777" w:rsidR="000728C2" w:rsidRDefault="000728C2">
      <w:pPr>
        <w:rPr>
          <w:rFonts w:ascii="Times New Roman" w:hAnsi="Times New Roman" w:cs="Times New Roman"/>
          <w:b/>
          <w:u w:val="single"/>
        </w:rPr>
      </w:pPr>
    </w:p>
    <w:p w14:paraId="69A6D54D" w14:textId="78763EA1" w:rsidR="00D13D78" w:rsidRDefault="00582AF7" w:rsidP="00C63BC1">
      <w:pPr>
        <w:spacing w:line="360" w:lineRule="auto"/>
        <w:jc w:val="both"/>
        <w:rPr>
          <w:rFonts w:ascii="Times New Roman" w:hAnsi="Times New Roman" w:cs="Times New Roman"/>
        </w:rPr>
      </w:pPr>
      <w:r>
        <w:rPr>
          <w:rFonts w:ascii="Times New Roman" w:hAnsi="Times New Roman" w:cs="Times New Roman"/>
        </w:rPr>
        <w:t>F</w:t>
      </w:r>
      <w:r w:rsidR="00A52A14">
        <w:rPr>
          <w:rFonts w:ascii="Times New Roman" w:hAnsi="Times New Roman" w:cs="Times New Roman"/>
        </w:rPr>
        <w:t>ollowing</w:t>
      </w:r>
      <w:r w:rsidR="00BB3CED">
        <w:rPr>
          <w:rFonts w:ascii="Times New Roman" w:hAnsi="Times New Roman" w:cs="Times New Roman"/>
        </w:rPr>
        <w:t xml:space="preserve"> treatment with 50</w:t>
      </w:r>
      <w:r w:rsidR="00BB3CED">
        <w:rPr>
          <w:rFonts w:ascii="Times New Roman" w:hAnsi="Times New Roman" w:cs="Times New Roman"/>
        </w:rPr>
        <w:sym w:font="Symbol" w:char="F06D"/>
      </w:r>
      <w:r w:rsidR="00BB3CED">
        <w:rPr>
          <w:rFonts w:ascii="Times New Roman" w:hAnsi="Times New Roman" w:cs="Times New Roman"/>
        </w:rPr>
        <w:t xml:space="preserve">M </w:t>
      </w:r>
      <w:r w:rsidRPr="00582AF7">
        <w:rPr>
          <w:rFonts w:ascii="Times New Roman" w:hAnsi="Times New Roman" w:cs="Times New Roman"/>
        </w:rPr>
        <w:t>H</w:t>
      </w:r>
      <w:r w:rsidRPr="00582AF7">
        <w:rPr>
          <w:rFonts w:ascii="Times New Roman" w:hAnsi="Times New Roman" w:cs="Times New Roman"/>
          <w:vertAlign w:val="subscript"/>
        </w:rPr>
        <w:t>2</w:t>
      </w:r>
      <w:r w:rsidRPr="00582AF7">
        <w:rPr>
          <w:rFonts w:ascii="Times New Roman" w:hAnsi="Times New Roman" w:cs="Times New Roman"/>
        </w:rPr>
        <w:t>O</w:t>
      </w:r>
      <w:r w:rsidRPr="00582AF7">
        <w:rPr>
          <w:rFonts w:ascii="Times New Roman" w:hAnsi="Times New Roman" w:cs="Times New Roman"/>
          <w:vertAlign w:val="subscript"/>
        </w:rPr>
        <w:t>2</w:t>
      </w:r>
      <w:r>
        <w:rPr>
          <w:rFonts w:ascii="Times New Roman" w:hAnsi="Times New Roman" w:cs="Times New Roman"/>
        </w:rPr>
        <w:t>, astrocyte cell number was un</w:t>
      </w:r>
      <w:r w:rsidR="00130946">
        <w:rPr>
          <w:rFonts w:ascii="Times New Roman" w:hAnsi="Times New Roman" w:cs="Times New Roman"/>
        </w:rPr>
        <w:t>affected</w:t>
      </w:r>
      <w:r>
        <w:rPr>
          <w:rFonts w:ascii="Times New Roman" w:hAnsi="Times New Roman" w:cs="Times New Roman"/>
        </w:rPr>
        <w:t>, ROS levels did not significantly increase and astrocytes continued to support neurite outgrowth.</w:t>
      </w:r>
      <w:r w:rsidR="00130946">
        <w:rPr>
          <w:rFonts w:ascii="Times New Roman" w:hAnsi="Times New Roman" w:cs="Times New Roman"/>
        </w:rPr>
        <w:t xml:space="preserve"> </w:t>
      </w:r>
    </w:p>
    <w:p w14:paraId="1C262FE1" w14:textId="77777777" w:rsidR="00AA21C2" w:rsidRDefault="00AA21C2" w:rsidP="00017EF3">
      <w:pPr>
        <w:spacing w:line="360" w:lineRule="auto"/>
        <w:rPr>
          <w:rFonts w:ascii="Times New Roman" w:hAnsi="Times New Roman" w:cs="Times New Roman"/>
        </w:rPr>
      </w:pPr>
    </w:p>
    <w:p w14:paraId="458E075C" w14:textId="422B564D" w:rsidR="006F2AE6" w:rsidRDefault="006920C8" w:rsidP="00C63BC1">
      <w:pPr>
        <w:spacing w:line="360" w:lineRule="auto"/>
        <w:jc w:val="both"/>
        <w:rPr>
          <w:rFonts w:ascii="Times New Roman" w:hAnsi="Times New Roman" w:cs="Times New Roman"/>
        </w:rPr>
      </w:pPr>
      <w:r>
        <w:rPr>
          <w:rFonts w:ascii="Times New Roman" w:hAnsi="Times New Roman" w:cs="Times New Roman"/>
        </w:rPr>
        <w:t>It has</w:t>
      </w:r>
      <w:r w:rsidR="004B472F">
        <w:rPr>
          <w:rFonts w:ascii="Times New Roman" w:hAnsi="Times New Roman" w:cs="Times New Roman"/>
        </w:rPr>
        <w:t xml:space="preserve"> been shown </w:t>
      </w:r>
      <w:r w:rsidR="004B472F">
        <w:rPr>
          <w:rFonts w:ascii="Times New Roman" w:hAnsi="Times New Roman" w:cs="Times New Roman"/>
          <w:i/>
        </w:rPr>
        <w:t xml:space="preserve">in </w:t>
      </w:r>
      <w:r w:rsidR="004B472F" w:rsidRPr="004B472F">
        <w:rPr>
          <w:rFonts w:ascii="Times New Roman" w:hAnsi="Times New Roman" w:cs="Times New Roman"/>
        </w:rPr>
        <w:t>vitro</w:t>
      </w:r>
      <w:r w:rsidR="004B472F">
        <w:rPr>
          <w:rFonts w:ascii="Times New Roman" w:hAnsi="Times New Roman" w:cs="Times New Roman"/>
        </w:rPr>
        <w:t xml:space="preserve"> that astrocytes can protect neurons from </w:t>
      </w:r>
      <w:r w:rsidR="00582AF7" w:rsidRPr="00582AF7">
        <w:rPr>
          <w:rFonts w:ascii="Times New Roman" w:hAnsi="Times New Roman" w:cs="Times New Roman"/>
        </w:rPr>
        <w:t>H</w:t>
      </w:r>
      <w:r w:rsidR="00582AF7" w:rsidRPr="00582AF7">
        <w:rPr>
          <w:rFonts w:ascii="Times New Roman" w:hAnsi="Times New Roman" w:cs="Times New Roman"/>
          <w:vertAlign w:val="subscript"/>
        </w:rPr>
        <w:t>2</w:t>
      </w:r>
      <w:r w:rsidR="00582AF7" w:rsidRPr="00582AF7">
        <w:rPr>
          <w:rFonts w:ascii="Times New Roman" w:hAnsi="Times New Roman" w:cs="Times New Roman"/>
        </w:rPr>
        <w:t>O</w:t>
      </w:r>
      <w:r w:rsidR="00582AF7" w:rsidRPr="00582AF7">
        <w:rPr>
          <w:rFonts w:ascii="Times New Roman" w:hAnsi="Times New Roman" w:cs="Times New Roman"/>
          <w:vertAlign w:val="subscript"/>
        </w:rPr>
        <w:t>2</w:t>
      </w:r>
      <w:r w:rsidR="00582AF7">
        <w:rPr>
          <w:rFonts w:ascii="Times New Roman" w:hAnsi="Times New Roman" w:cs="Times New Roman"/>
        </w:rPr>
        <w:t xml:space="preserve"> </w:t>
      </w:r>
      <w:r w:rsidR="004B472F">
        <w:rPr>
          <w:rFonts w:ascii="Times New Roman" w:hAnsi="Times New Roman" w:cs="Times New Roman"/>
        </w:rPr>
        <w:t xml:space="preserve">toxicity </w:t>
      </w:r>
      <w:r w:rsidR="004B472F">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"author" : [ { "dropping-particle" : "", "family" : "Desagher", "given" : "S", "non-dropping-particle" : "", "parse-names" : false, "suffix" : "" }, { "dropping-particle" : "", "family" : "Glowinski", "given" : "J", "non-dropping-particle" : "", "parse-names" : false, "suffix" : "" }, { "dropping-particle" : "", "family" : "Premont", "given" : "J", "non-dropping-particle" : "", "parse-names" : false, "suffix" : "" } ], "container-title" : "J. Neurosci.", "id" : "ITEM-1", "issue" : "8", "issued" : { "date-parts" : [ [ "1996", "4", "15" ] ] }, "page" : "2553-2562", "title" : "Astrocytes protect neurons from hydrogen peroxide toxicity", "type" : "article-journal", "volume" : "16" }, "uris" : [ "http://www.mendeley.com/documents/?uuid=04d62e37-1a9a-41ba-b3fb-47135569e49b" ] } ], "mendeley" : { "formattedCitation" : "(Desagher et al. 1996a)", "manualFormatting" : "(Desagher, Glowinski, &amp; Premont, 1996)", "plainTextFormattedCitation" : "(Desagher et al. 1996a)", "previouslyFormattedCitation" : "(Desagher et al. 1996a)" }, "properties" : { "noteIndex" : 0 }, "schema" : "https://github.com/citation-style-language/schema/raw/master/csl-citation.json" }</w:instrText>
      </w:r>
      <w:r w:rsidR="004B472F">
        <w:rPr>
          <w:rFonts w:ascii="Times New Roman" w:hAnsi="Times New Roman" w:cs="Times New Roman"/>
        </w:rPr>
        <w:fldChar w:fldCharType="separate"/>
      </w:r>
      <w:r w:rsidR="00AE1902" w:rsidRPr="00AE1902">
        <w:rPr>
          <w:rFonts w:ascii="Times New Roman" w:hAnsi="Times New Roman" w:cs="Times New Roman"/>
          <w:noProof/>
        </w:rPr>
        <w:t>(Desag</w:t>
      </w:r>
      <w:r w:rsidR="0073416B">
        <w:rPr>
          <w:rFonts w:ascii="Times New Roman" w:hAnsi="Times New Roman" w:cs="Times New Roman"/>
          <w:noProof/>
        </w:rPr>
        <w:t>her, Glowinski, &amp; Premont, 1996</w:t>
      </w:r>
      <w:r w:rsidR="00AE1902" w:rsidRPr="00AE1902">
        <w:rPr>
          <w:rFonts w:ascii="Times New Roman" w:hAnsi="Times New Roman" w:cs="Times New Roman"/>
          <w:noProof/>
        </w:rPr>
        <w:t>)</w:t>
      </w:r>
      <w:r w:rsidR="004B472F">
        <w:rPr>
          <w:rFonts w:ascii="Times New Roman" w:hAnsi="Times New Roman" w:cs="Times New Roman"/>
        </w:rPr>
        <w:fldChar w:fldCharType="end"/>
      </w:r>
      <w:r w:rsidR="00EB22C2">
        <w:rPr>
          <w:rFonts w:ascii="Times New Roman" w:hAnsi="Times New Roman" w:cs="Times New Roman"/>
        </w:rPr>
        <w:t xml:space="preserve">. </w:t>
      </w:r>
      <w:r w:rsidR="00582AF7">
        <w:rPr>
          <w:rFonts w:ascii="Times New Roman" w:hAnsi="Times New Roman" w:cs="Times New Roman"/>
        </w:rPr>
        <w:t>In this</w:t>
      </w:r>
      <w:r w:rsidR="00A1651A">
        <w:rPr>
          <w:rFonts w:ascii="Times New Roman" w:hAnsi="Times New Roman" w:cs="Times New Roman"/>
        </w:rPr>
        <w:t xml:space="preserve"> section, the</w:t>
      </w:r>
      <w:r w:rsidR="00582AF7">
        <w:rPr>
          <w:rFonts w:ascii="Times New Roman" w:hAnsi="Times New Roman" w:cs="Times New Roman"/>
        </w:rPr>
        <w:t xml:space="preserve"> aim was to assess if IGF1 </w:t>
      </w:r>
      <w:r w:rsidR="00925359">
        <w:rPr>
          <w:rFonts w:ascii="Times New Roman" w:hAnsi="Times New Roman" w:cs="Times New Roman"/>
        </w:rPr>
        <w:t>signalling impaired astrocytes we</w:t>
      </w:r>
      <w:r w:rsidR="00582AF7">
        <w:rPr>
          <w:rFonts w:ascii="Times New Roman" w:hAnsi="Times New Roman" w:cs="Times New Roman"/>
        </w:rPr>
        <w:t>re still able to protect neurons from oxidative stress. Astrocytes and GFP LUHMES were co-cultured as described previ</w:t>
      </w:r>
      <w:r w:rsidR="00F81627">
        <w:rPr>
          <w:rFonts w:ascii="Times New Roman" w:hAnsi="Times New Roman" w:cs="Times New Roman"/>
        </w:rPr>
        <w:t>ously</w:t>
      </w:r>
      <w:r w:rsidR="00582AF7">
        <w:rPr>
          <w:rFonts w:ascii="Times New Roman" w:hAnsi="Times New Roman" w:cs="Times New Roman"/>
        </w:rPr>
        <w:t xml:space="preserve"> for a total of 72 hours </w:t>
      </w:r>
      <w:r w:rsidR="00871BD1">
        <w:rPr>
          <w:rFonts w:ascii="Times New Roman" w:hAnsi="Times New Roman" w:cs="Times New Roman"/>
        </w:rPr>
        <w:t>before addition of 50μM of H</w:t>
      </w:r>
      <w:r w:rsidR="00871BD1">
        <w:rPr>
          <w:rFonts w:ascii="Times New Roman" w:hAnsi="Times New Roman" w:cs="Times New Roman"/>
          <w:vertAlign w:val="subscript"/>
        </w:rPr>
        <w:t>2</w:t>
      </w:r>
      <w:r w:rsidR="00871BD1">
        <w:rPr>
          <w:rFonts w:ascii="Times New Roman" w:hAnsi="Times New Roman" w:cs="Times New Roman"/>
        </w:rPr>
        <w:t>O</w:t>
      </w:r>
      <w:r>
        <w:rPr>
          <w:rFonts w:ascii="Times New Roman" w:hAnsi="Times New Roman" w:cs="Times New Roman"/>
          <w:vertAlign w:val="subscript"/>
        </w:rPr>
        <w:t>2</w:t>
      </w:r>
      <w:r w:rsidR="001066FD">
        <w:rPr>
          <w:rFonts w:ascii="Times New Roman" w:hAnsi="Times New Roman" w:cs="Times New Roman"/>
          <w:vertAlign w:val="subscript"/>
        </w:rPr>
        <w:t xml:space="preserve"> </w:t>
      </w:r>
      <w:r w:rsidR="001066FD">
        <w:rPr>
          <w:rFonts w:ascii="Times New Roman" w:hAnsi="Times New Roman" w:cs="Times New Roman"/>
        </w:rPr>
        <w:t>for 2 hours</w:t>
      </w:r>
      <w:r w:rsidR="00F81627">
        <w:rPr>
          <w:rFonts w:ascii="Times New Roman" w:hAnsi="Times New Roman" w:cs="Times New Roman"/>
        </w:rPr>
        <w:t xml:space="preserve"> on day 6 (</w:t>
      </w:r>
      <w:r w:rsidR="00F81627" w:rsidRPr="00691810">
        <w:rPr>
          <w:rFonts w:ascii="Times New Roman" w:hAnsi="Times New Roman" w:cs="Times New Roman"/>
          <w:b/>
        </w:rPr>
        <w:t>figure 4.24</w:t>
      </w:r>
      <w:r w:rsidR="00F81627">
        <w:rPr>
          <w:rFonts w:ascii="Times New Roman" w:hAnsi="Times New Roman" w:cs="Times New Roman"/>
        </w:rPr>
        <w:t>)</w:t>
      </w:r>
      <w:r w:rsidR="00582AF7">
        <w:rPr>
          <w:rFonts w:ascii="Times New Roman" w:hAnsi="Times New Roman" w:cs="Times New Roman"/>
        </w:rPr>
        <w:t xml:space="preserve">. </w:t>
      </w:r>
      <w:r w:rsidR="00D74B84">
        <w:rPr>
          <w:rFonts w:ascii="Times New Roman" w:hAnsi="Times New Roman" w:cs="Times New Roman"/>
        </w:rPr>
        <w:t>The astrocytes were also either pre-treated with IgG/MAB3</w:t>
      </w:r>
      <w:r w:rsidR="0073416B">
        <w:rPr>
          <w:rFonts w:ascii="Times New Roman" w:hAnsi="Times New Roman" w:cs="Times New Roman"/>
        </w:rPr>
        <w:t>91 for 24 hours, which has</w:t>
      </w:r>
      <w:r w:rsidR="00D74B84">
        <w:rPr>
          <w:rFonts w:ascii="Times New Roman" w:hAnsi="Times New Roman" w:cs="Times New Roman"/>
        </w:rPr>
        <w:t xml:space="preserve"> already</w:t>
      </w:r>
      <w:r w:rsidR="0073416B">
        <w:rPr>
          <w:rFonts w:ascii="Times New Roman" w:hAnsi="Times New Roman" w:cs="Times New Roman"/>
        </w:rPr>
        <w:t xml:space="preserve"> been shown</w:t>
      </w:r>
      <w:r w:rsidR="00D74B84">
        <w:rPr>
          <w:rFonts w:ascii="Times New Roman" w:hAnsi="Times New Roman" w:cs="Times New Roman"/>
        </w:rPr>
        <w:t xml:space="preserve"> not</w:t>
      </w:r>
      <w:r w:rsidR="0073416B">
        <w:rPr>
          <w:rFonts w:ascii="Times New Roman" w:hAnsi="Times New Roman" w:cs="Times New Roman"/>
        </w:rPr>
        <w:t xml:space="preserve"> to</w:t>
      </w:r>
      <w:r w:rsidR="00D74B84">
        <w:rPr>
          <w:rFonts w:ascii="Times New Roman" w:hAnsi="Times New Roman" w:cs="Times New Roman"/>
        </w:rPr>
        <w:t xml:space="preserve"> reduce neurite outgrowth, or left untreated before co-culturing with the GFP LUHMES.</w:t>
      </w:r>
    </w:p>
    <w:p w14:paraId="145473BB" w14:textId="77777777" w:rsidR="00582AF7" w:rsidRDefault="00582AF7" w:rsidP="00017EF3">
      <w:pPr>
        <w:spacing w:line="360" w:lineRule="auto"/>
        <w:rPr>
          <w:rFonts w:ascii="Times New Roman" w:hAnsi="Times New Roman" w:cs="Times New Roman"/>
        </w:rPr>
      </w:pPr>
    </w:p>
    <w:p w14:paraId="7900BB4A" w14:textId="3AF1B0FD" w:rsidR="00432FCA" w:rsidRDefault="001066FD" w:rsidP="00C14AA7">
      <w:pPr>
        <w:spacing w:line="360" w:lineRule="auto"/>
        <w:rPr>
          <w:rFonts w:ascii="Times New Roman" w:hAnsi="Times New Roman" w:cs="Times New Roman"/>
        </w:rPr>
      </w:pPr>
      <w:r>
        <w:rPr>
          <w:rFonts w:ascii="Times New Roman" w:hAnsi="Times New Roman" w:cs="Times New Roman"/>
        </w:rPr>
        <w:t xml:space="preserve">    </w:t>
      </w:r>
      <w:r w:rsidR="00AA21C2">
        <w:rPr>
          <w:rFonts w:ascii="Times New Roman" w:hAnsi="Times New Roman" w:cs="Times New Roman"/>
          <w:b/>
          <w:noProof/>
        </w:rPr>
        <w:drawing>
          <wp:inline distT="0" distB="0" distL="0" distR="0" wp14:anchorId="651FBA7E" wp14:editId="1D1405A9">
            <wp:extent cx="5623604" cy="3355848"/>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78">
                      <a:extLst>
                        <a:ext uri="{28A0092B-C50C-407E-A947-70E740481C1C}">
                          <a14:useLocalDpi xmlns:a14="http://schemas.microsoft.com/office/drawing/2010/main" val="0"/>
                        </a:ext>
                      </a:extLst>
                    </a:blip>
                    <a:srcRect t="9681" b="8159"/>
                    <a:stretch/>
                  </pic:blipFill>
                  <pic:spPr bwMode="auto">
                    <a:xfrm>
                      <a:off x="0" y="0"/>
                      <a:ext cx="5629451" cy="3359337"/>
                    </a:xfrm>
                    <a:prstGeom prst="rect">
                      <a:avLst/>
                    </a:prstGeom>
                    <a:ln>
                      <a:noFill/>
                    </a:ln>
                    <a:extLst>
                      <a:ext uri="{53640926-AAD7-44d8-BBD7-CCE9431645EC}">
                        <a14:shadowObscured xmlns:a14="http://schemas.microsoft.com/office/drawing/2010/main"/>
                      </a:ext>
                    </a:extLst>
                  </pic:spPr>
                </pic:pic>
              </a:graphicData>
            </a:graphic>
          </wp:inline>
        </w:drawing>
      </w:r>
    </w:p>
    <w:p w14:paraId="547785BA" w14:textId="77777777" w:rsidR="004C1D27" w:rsidRDefault="00AA21C2" w:rsidP="00C664C4">
      <w:pPr>
        <w:pStyle w:val="Caption"/>
      </w:pPr>
      <w:bookmarkStart w:id="1656" w:name="_Toc333569078"/>
      <w:bookmarkStart w:id="1657" w:name="_Toc333569303"/>
      <w:bookmarkStart w:id="1658" w:name="_Toc333570857"/>
      <w:bookmarkStart w:id="1659" w:name="_Toc333582240"/>
      <w:bookmarkStart w:id="1660" w:name="_Toc333582360"/>
      <w:bookmarkStart w:id="1661" w:name="_Toc333582772"/>
      <w:bookmarkStart w:id="1662" w:name="_Toc333583142"/>
      <w:bookmarkStart w:id="1663" w:name="_Toc333585251"/>
      <w:bookmarkStart w:id="1664" w:name="_Toc333586803"/>
      <w:bookmarkStart w:id="1665" w:name="_Toc333644502"/>
      <w:bookmarkStart w:id="1666" w:name="_Toc333644796"/>
      <w:r>
        <w:t>Figure 4.24</w:t>
      </w:r>
      <w:r w:rsidR="0043060F">
        <w:t>.</w:t>
      </w:r>
      <w:r>
        <w:t xml:space="preserve"> N</w:t>
      </w:r>
      <w:r w:rsidRPr="00D13D78">
        <w:t>eurite outgrowth assay</w:t>
      </w:r>
      <w:r>
        <w:t xml:space="preserve"> model</w:t>
      </w:r>
      <w:r w:rsidRPr="00D13D78">
        <w:t xml:space="preserve"> used to assess the neuroprotective capacity of astrocytes in co-culture</w:t>
      </w:r>
      <w:r>
        <w:t>.</w:t>
      </w:r>
      <w:bookmarkEnd w:id="1656"/>
      <w:bookmarkEnd w:id="1657"/>
      <w:bookmarkEnd w:id="1658"/>
      <w:bookmarkEnd w:id="1659"/>
      <w:bookmarkEnd w:id="1660"/>
      <w:bookmarkEnd w:id="1661"/>
      <w:bookmarkEnd w:id="1662"/>
      <w:bookmarkEnd w:id="1663"/>
      <w:bookmarkEnd w:id="1664"/>
      <w:bookmarkEnd w:id="1665"/>
      <w:bookmarkEnd w:id="1666"/>
      <w:r>
        <w:t xml:space="preserve"> </w:t>
      </w:r>
    </w:p>
    <w:p w14:paraId="150D9A22" w14:textId="085213B4" w:rsidR="00AA21C2" w:rsidRDefault="00925359" w:rsidP="003776BA">
      <w:pPr>
        <w:spacing w:line="360" w:lineRule="auto"/>
        <w:rPr>
          <w:rFonts w:ascii="Times New Roman" w:hAnsi="Times New Roman" w:cs="Times New Roman"/>
        </w:rPr>
        <w:sectPr w:rsidR="00AA21C2" w:rsidSect="00432FCA">
          <w:pgSz w:w="11900" w:h="16840"/>
          <w:pgMar w:top="1440" w:right="1134" w:bottom="1440" w:left="2268" w:header="709" w:footer="709" w:gutter="0"/>
          <w:cols w:space="708"/>
          <w:docGrid w:linePitch="360"/>
        </w:sectPr>
      </w:pPr>
      <w:r>
        <w:rPr>
          <w:rFonts w:ascii="Times New Roman" w:hAnsi="Times New Roman" w:cs="Times New Roman"/>
        </w:rPr>
        <w:t>On day 1 astrocytes we</w:t>
      </w:r>
      <w:r w:rsidR="00AA21C2">
        <w:rPr>
          <w:rFonts w:ascii="Times New Roman" w:hAnsi="Times New Roman" w:cs="Times New Roman"/>
        </w:rPr>
        <w:t>re plated at 30 000 cells per well in a 24 well plate and in parallel</w:t>
      </w:r>
      <w:r>
        <w:rPr>
          <w:rFonts w:ascii="Times New Roman" w:hAnsi="Times New Roman" w:cs="Times New Roman"/>
        </w:rPr>
        <w:t xml:space="preserve"> differentiation media was added to</w:t>
      </w:r>
      <w:r w:rsidR="00AA21C2">
        <w:rPr>
          <w:rFonts w:ascii="Times New Roman" w:hAnsi="Times New Roman" w:cs="Times New Roman"/>
        </w:rPr>
        <w:t xml:space="preserve"> GFP LUHMES. As</w:t>
      </w:r>
      <w:r>
        <w:rPr>
          <w:rFonts w:ascii="Times New Roman" w:hAnsi="Times New Roman" w:cs="Times New Roman"/>
        </w:rPr>
        <w:t>trocytes we</w:t>
      </w:r>
      <w:r w:rsidR="00AA21C2">
        <w:rPr>
          <w:rFonts w:ascii="Times New Roman" w:hAnsi="Times New Roman" w:cs="Times New Roman"/>
        </w:rPr>
        <w:t xml:space="preserve">re treated with IgG/MAB391 on day </w:t>
      </w:r>
      <w:r>
        <w:rPr>
          <w:rFonts w:ascii="Times New Roman" w:hAnsi="Times New Roman" w:cs="Times New Roman"/>
        </w:rPr>
        <w:t>2 and on day 3 7500 GFP LUHMES we</w:t>
      </w:r>
      <w:r w:rsidR="00AA21C2">
        <w:rPr>
          <w:rFonts w:ascii="Times New Roman" w:hAnsi="Times New Roman" w:cs="Times New Roman"/>
        </w:rPr>
        <w:t>re plated on the astrocytes. On</w:t>
      </w:r>
      <w:r>
        <w:rPr>
          <w:rFonts w:ascii="Times New Roman" w:hAnsi="Times New Roman" w:cs="Times New Roman"/>
        </w:rPr>
        <w:t xml:space="preserve"> day 6, 50μM </w:t>
      </w:r>
      <w:r w:rsidR="0079098A">
        <w:rPr>
          <w:rFonts w:ascii="Times New Roman" w:hAnsi="Times New Roman" w:cs="Times New Roman"/>
        </w:rPr>
        <w:t>H</w:t>
      </w:r>
      <w:r w:rsidR="0079098A">
        <w:rPr>
          <w:rFonts w:ascii="Times New Roman" w:hAnsi="Times New Roman" w:cs="Times New Roman"/>
          <w:vertAlign w:val="subscript"/>
        </w:rPr>
        <w:t>2</w:t>
      </w:r>
      <w:r w:rsidR="0079098A">
        <w:rPr>
          <w:rFonts w:ascii="Times New Roman" w:hAnsi="Times New Roman" w:cs="Times New Roman"/>
        </w:rPr>
        <w:t>O</w:t>
      </w:r>
      <w:r w:rsidR="0079098A">
        <w:rPr>
          <w:rFonts w:ascii="Times New Roman" w:hAnsi="Times New Roman" w:cs="Times New Roman"/>
          <w:vertAlign w:val="subscript"/>
        </w:rPr>
        <w:t xml:space="preserve">2 </w:t>
      </w:r>
      <w:r>
        <w:rPr>
          <w:rFonts w:ascii="Times New Roman" w:hAnsi="Times New Roman" w:cs="Times New Roman"/>
        </w:rPr>
        <w:t>wa</w:t>
      </w:r>
      <w:r w:rsidR="00AA21C2">
        <w:rPr>
          <w:rFonts w:ascii="Times New Roman" w:hAnsi="Times New Roman" w:cs="Times New Roman"/>
        </w:rPr>
        <w:t>s added to</w:t>
      </w:r>
      <w:r>
        <w:rPr>
          <w:rFonts w:ascii="Times New Roman" w:hAnsi="Times New Roman" w:cs="Times New Roman"/>
        </w:rPr>
        <w:t xml:space="preserve"> the co-culture and coverslips we</w:t>
      </w:r>
      <w:r w:rsidR="00AA21C2">
        <w:rPr>
          <w:rFonts w:ascii="Times New Roman" w:hAnsi="Times New Roman" w:cs="Times New Roman"/>
        </w:rPr>
        <w:t>re fixed and stained with Hoescht for imaging analysi</w:t>
      </w:r>
      <w:r>
        <w:rPr>
          <w:rFonts w:ascii="Times New Roman" w:hAnsi="Times New Roman" w:cs="Times New Roman"/>
        </w:rPr>
        <w:t>s.</w:t>
      </w:r>
    </w:p>
    <w:p w14:paraId="5152231D" w14:textId="5CCA8C58" w:rsidR="00C14AA7" w:rsidRDefault="00C14AA7" w:rsidP="00C63BC1">
      <w:pPr>
        <w:spacing w:line="360" w:lineRule="auto"/>
        <w:jc w:val="both"/>
        <w:rPr>
          <w:rFonts w:ascii="Times New Roman" w:hAnsi="Times New Roman" w:cs="Times New Roman"/>
        </w:rPr>
      </w:pPr>
    </w:p>
    <w:p w14:paraId="318ED260" w14:textId="4F7D5064" w:rsidR="00C14AA7" w:rsidRPr="00AA21C2" w:rsidRDefault="00925359" w:rsidP="00C63BC1">
      <w:pPr>
        <w:spacing w:line="360" w:lineRule="auto"/>
        <w:jc w:val="both"/>
        <w:rPr>
          <w:rFonts w:ascii="Times New Roman" w:hAnsi="Times New Roman" w:cs="Times New Roman"/>
        </w:rPr>
      </w:pPr>
      <w:r>
        <w:rPr>
          <w:rFonts w:ascii="Times New Roman" w:hAnsi="Times New Roman" w:cs="Times New Roman"/>
        </w:rPr>
        <w:t>In mono-culture, there was</w:t>
      </w:r>
      <w:r w:rsidR="00C14AA7">
        <w:rPr>
          <w:rFonts w:ascii="Times New Roman" w:hAnsi="Times New Roman" w:cs="Times New Roman"/>
        </w:rPr>
        <w:t xml:space="preserve"> a significant reduction in neurite length when</w:t>
      </w:r>
      <w:r>
        <w:rPr>
          <w:rFonts w:ascii="Times New Roman" w:hAnsi="Times New Roman" w:cs="Times New Roman"/>
        </w:rPr>
        <w:t xml:space="preserve"> GFP LUHMES were</w:t>
      </w:r>
      <w:r w:rsidR="00C14AA7">
        <w:rPr>
          <w:rFonts w:ascii="Times New Roman" w:hAnsi="Times New Roman" w:cs="Times New Roman"/>
        </w:rPr>
        <w:t xml:space="preserve"> treated with 50μM H</w:t>
      </w:r>
      <w:r w:rsidR="00C14AA7">
        <w:rPr>
          <w:rFonts w:ascii="Times New Roman" w:hAnsi="Times New Roman" w:cs="Times New Roman"/>
          <w:vertAlign w:val="subscript"/>
        </w:rPr>
        <w:t>2</w:t>
      </w:r>
      <w:r w:rsidR="00C14AA7">
        <w:rPr>
          <w:rFonts w:ascii="Times New Roman" w:hAnsi="Times New Roman" w:cs="Times New Roman"/>
        </w:rPr>
        <w:t>O</w:t>
      </w:r>
      <w:r w:rsidR="00C14AA7">
        <w:rPr>
          <w:rFonts w:ascii="Times New Roman" w:hAnsi="Times New Roman" w:cs="Times New Roman"/>
          <w:vertAlign w:val="subscript"/>
        </w:rPr>
        <w:t xml:space="preserve">2 </w:t>
      </w:r>
      <w:r w:rsidR="00C14AA7">
        <w:rPr>
          <w:rFonts w:ascii="Times New Roman" w:hAnsi="Times New Roman" w:cs="Times New Roman"/>
        </w:rPr>
        <w:t xml:space="preserve">for 2 hours </w:t>
      </w:r>
      <w:r w:rsidR="00F519D7">
        <w:rPr>
          <w:rFonts w:ascii="Times New Roman" w:hAnsi="Times New Roman" w:cs="Times New Roman"/>
        </w:rPr>
        <w:t xml:space="preserve">(p =0.0007, </w:t>
      </w:r>
      <w:r w:rsidR="00F519D7" w:rsidRPr="00691810">
        <w:rPr>
          <w:rFonts w:ascii="Times New Roman" w:hAnsi="Times New Roman" w:cs="Times New Roman"/>
          <w:b/>
        </w:rPr>
        <w:t>figure</w:t>
      </w:r>
      <w:r w:rsidR="00574F90" w:rsidRPr="00691810">
        <w:rPr>
          <w:rFonts w:ascii="Times New Roman" w:hAnsi="Times New Roman" w:cs="Times New Roman"/>
          <w:b/>
        </w:rPr>
        <w:t xml:space="preserve"> 4.25</w:t>
      </w:r>
      <w:r w:rsidR="00F519D7">
        <w:rPr>
          <w:rFonts w:ascii="Times New Roman" w:hAnsi="Times New Roman" w:cs="Times New Roman"/>
        </w:rPr>
        <w:t xml:space="preserve">). </w:t>
      </w:r>
      <w:r>
        <w:rPr>
          <w:rFonts w:ascii="Times New Roman" w:hAnsi="Times New Roman" w:cs="Times New Roman"/>
        </w:rPr>
        <w:t>When GFP-LUHMES we</w:t>
      </w:r>
      <w:r w:rsidR="00C14AA7">
        <w:rPr>
          <w:rFonts w:ascii="Times New Roman" w:hAnsi="Times New Roman" w:cs="Times New Roman"/>
        </w:rPr>
        <w:t>re co-cultured with astrocytes</w:t>
      </w:r>
      <w:r>
        <w:rPr>
          <w:rFonts w:ascii="Times New Roman" w:hAnsi="Times New Roman" w:cs="Times New Roman"/>
        </w:rPr>
        <w:t xml:space="preserve">, </w:t>
      </w:r>
      <w:r w:rsidR="00C14AA7">
        <w:rPr>
          <w:rFonts w:ascii="Times New Roman" w:hAnsi="Times New Roman" w:cs="Times New Roman"/>
        </w:rPr>
        <w:t>addition of H</w:t>
      </w:r>
      <w:r w:rsidR="00C14AA7">
        <w:rPr>
          <w:rFonts w:ascii="Times New Roman" w:hAnsi="Times New Roman" w:cs="Times New Roman"/>
          <w:vertAlign w:val="subscript"/>
        </w:rPr>
        <w:t>2</w:t>
      </w:r>
      <w:r w:rsidR="00C14AA7">
        <w:rPr>
          <w:rFonts w:ascii="Times New Roman" w:hAnsi="Times New Roman" w:cs="Times New Roman"/>
        </w:rPr>
        <w:t>O</w:t>
      </w:r>
      <w:r w:rsidR="00C14AA7">
        <w:rPr>
          <w:rFonts w:ascii="Times New Roman" w:hAnsi="Times New Roman" w:cs="Times New Roman"/>
          <w:vertAlign w:val="subscript"/>
        </w:rPr>
        <w:t xml:space="preserve">2 </w:t>
      </w:r>
      <w:r>
        <w:rPr>
          <w:rFonts w:ascii="Times New Roman" w:hAnsi="Times New Roman" w:cs="Times New Roman"/>
        </w:rPr>
        <w:t>did</w:t>
      </w:r>
      <w:r w:rsidR="00C14AA7">
        <w:rPr>
          <w:rFonts w:ascii="Times New Roman" w:hAnsi="Times New Roman" w:cs="Times New Roman"/>
        </w:rPr>
        <w:t xml:space="preserve"> not</w:t>
      </w:r>
      <w:r>
        <w:rPr>
          <w:rFonts w:ascii="Times New Roman" w:hAnsi="Times New Roman" w:cs="Times New Roman"/>
        </w:rPr>
        <w:t xml:space="preserve"> cause a</w:t>
      </w:r>
      <w:r w:rsidR="00C14AA7">
        <w:rPr>
          <w:rFonts w:ascii="Times New Roman" w:hAnsi="Times New Roman" w:cs="Times New Roman"/>
        </w:rPr>
        <w:t xml:space="preserve"> retraction in neurite length (</w:t>
      </w:r>
      <w:r w:rsidR="00C14AA7" w:rsidRPr="00925359">
        <w:rPr>
          <w:rFonts w:ascii="Times New Roman" w:hAnsi="Times New Roman" w:cs="Times New Roman"/>
          <w:b/>
        </w:rPr>
        <w:t xml:space="preserve">figure </w:t>
      </w:r>
      <w:r w:rsidR="00F81627" w:rsidRPr="00925359">
        <w:rPr>
          <w:rFonts w:ascii="Times New Roman" w:hAnsi="Times New Roman" w:cs="Times New Roman"/>
          <w:b/>
        </w:rPr>
        <w:t>4.25</w:t>
      </w:r>
      <w:r w:rsidR="00C14AA7">
        <w:rPr>
          <w:rFonts w:ascii="Times New Roman" w:hAnsi="Times New Roman" w:cs="Times New Roman"/>
        </w:rPr>
        <w:t>). Thi</w:t>
      </w:r>
      <w:r>
        <w:rPr>
          <w:rFonts w:ascii="Times New Roman" w:hAnsi="Times New Roman" w:cs="Times New Roman"/>
        </w:rPr>
        <w:t>s suggests that the astrocytes we</w:t>
      </w:r>
      <w:r w:rsidR="00C14AA7">
        <w:rPr>
          <w:rFonts w:ascii="Times New Roman" w:hAnsi="Times New Roman" w:cs="Times New Roman"/>
        </w:rPr>
        <w:t xml:space="preserve">re </w:t>
      </w:r>
      <w:r>
        <w:rPr>
          <w:rFonts w:ascii="Times New Roman" w:hAnsi="Times New Roman" w:cs="Times New Roman"/>
        </w:rPr>
        <w:t>able to protect</w:t>
      </w:r>
      <w:r w:rsidR="00C14AA7">
        <w:rPr>
          <w:rFonts w:ascii="Times New Roman" w:hAnsi="Times New Roman" w:cs="Times New Roman"/>
        </w:rPr>
        <w:t xml:space="preserve"> the LUHMES from the effects of H</w:t>
      </w:r>
      <w:r w:rsidR="00C14AA7">
        <w:rPr>
          <w:rFonts w:ascii="Times New Roman" w:hAnsi="Times New Roman" w:cs="Times New Roman"/>
          <w:vertAlign w:val="subscript"/>
        </w:rPr>
        <w:t>2</w:t>
      </w:r>
      <w:r w:rsidR="00C14AA7">
        <w:rPr>
          <w:rFonts w:ascii="Times New Roman" w:hAnsi="Times New Roman" w:cs="Times New Roman"/>
        </w:rPr>
        <w:t>O</w:t>
      </w:r>
      <w:r w:rsidR="00C14AA7">
        <w:rPr>
          <w:rFonts w:ascii="Times New Roman" w:hAnsi="Times New Roman" w:cs="Times New Roman"/>
          <w:vertAlign w:val="subscript"/>
        </w:rPr>
        <w:t>2.</w:t>
      </w:r>
    </w:p>
    <w:p w14:paraId="4F297D6C" w14:textId="77777777" w:rsidR="00C14AA7" w:rsidRDefault="00C14AA7" w:rsidP="00C63BC1">
      <w:pPr>
        <w:spacing w:line="360" w:lineRule="auto"/>
        <w:rPr>
          <w:rFonts w:ascii="Times New Roman" w:hAnsi="Times New Roman" w:cs="Times New Roman"/>
        </w:rPr>
      </w:pPr>
    </w:p>
    <w:p w14:paraId="45C1777D" w14:textId="77777777" w:rsidR="00585472" w:rsidRDefault="00C14AA7" w:rsidP="00585472">
      <w:pPr>
        <w:spacing w:line="360" w:lineRule="auto"/>
        <w:jc w:val="both"/>
        <w:rPr>
          <w:rFonts w:ascii="Times New Roman" w:hAnsi="Times New Roman" w:cs="Times New Roman"/>
        </w:rPr>
      </w:pPr>
      <w:r>
        <w:rPr>
          <w:rFonts w:ascii="Times New Roman" w:hAnsi="Times New Roman" w:cs="Times New Roman"/>
        </w:rPr>
        <w:t xml:space="preserve">Treatment with MAB391 induces loss of IGF1R for the duration of the co-culture period. In co-cultures where astrocytes </w:t>
      </w:r>
      <w:r w:rsidR="00925359">
        <w:rPr>
          <w:rFonts w:ascii="Times New Roman" w:hAnsi="Times New Roman" w:cs="Times New Roman"/>
        </w:rPr>
        <w:t>were</w:t>
      </w:r>
      <w:r>
        <w:rPr>
          <w:rFonts w:ascii="Times New Roman" w:hAnsi="Times New Roman" w:cs="Times New Roman"/>
        </w:rPr>
        <w:t xml:space="preserve"> pre-treated </w:t>
      </w:r>
      <w:r w:rsidR="00925359">
        <w:rPr>
          <w:rFonts w:ascii="Times New Roman" w:hAnsi="Times New Roman" w:cs="Times New Roman"/>
        </w:rPr>
        <w:t>with MAB391 but not IgG, there wa</w:t>
      </w:r>
      <w:r>
        <w:rPr>
          <w:rFonts w:ascii="Times New Roman" w:hAnsi="Times New Roman" w:cs="Times New Roman"/>
        </w:rPr>
        <w:t>s a significant reduction in neurite length following application of</w:t>
      </w:r>
      <w:r w:rsidR="00F519D7">
        <w:rPr>
          <w:rFonts w:ascii="Times New Roman" w:hAnsi="Times New Roman" w:cs="Times New Roman"/>
        </w:rPr>
        <w:t xml:space="preserve"> the </w:t>
      </w:r>
      <w:r w:rsidR="0079098A">
        <w:rPr>
          <w:rFonts w:ascii="Times New Roman" w:hAnsi="Times New Roman" w:cs="Times New Roman"/>
        </w:rPr>
        <w:t>H</w:t>
      </w:r>
      <w:r w:rsidR="0079098A">
        <w:rPr>
          <w:rFonts w:ascii="Times New Roman" w:hAnsi="Times New Roman" w:cs="Times New Roman"/>
          <w:vertAlign w:val="subscript"/>
        </w:rPr>
        <w:t>2</w:t>
      </w:r>
      <w:r w:rsidR="0079098A">
        <w:rPr>
          <w:rFonts w:ascii="Times New Roman" w:hAnsi="Times New Roman" w:cs="Times New Roman"/>
        </w:rPr>
        <w:t>O</w:t>
      </w:r>
      <w:r w:rsidR="0079098A">
        <w:rPr>
          <w:rFonts w:ascii="Times New Roman" w:hAnsi="Times New Roman" w:cs="Times New Roman"/>
          <w:vertAlign w:val="subscript"/>
        </w:rPr>
        <w:t>2</w:t>
      </w:r>
      <w:r w:rsidR="0079098A">
        <w:rPr>
          <w:rFonts w:ascii="Times New Roman" w:hAnsi="Times New Roman" w:cs="Times New Roman"/>
        </w:rPr>
        <w:t xml:space="preserve"> </w:t>
      </w:r>
      <w:r w:rsidR="00F519D7">
        <w:rPr>
          <w:rFonts w:ascii="Times New Roman" w:hAnsi="Times New Roman" w:cs="Times New Roman"/>
        </w:rPr>
        <w:t>(p &lt; 0.0001</w:t>
      </w:r>
      <w:r>
        <w:rPr>
          <w:rFonts w:ascii="Times New Roman" w:hAnsi="Times New Roman" w:cs="Times New Roman"/>
        </w:rPr>
        <w:t>). This suggests that loss of IGF1R i</w:t>
      </w:r>
      <w:r w:rsidR="00564C41">
        <w:rPr>
          <w:rFonts w:ascii="Times New Roman" w:hAnsi="Times New Roman" w:cs="Times New Roman"/>
        </w:rPr>
        <w:t>mpairs</w:t>
      </w:r>
      <w:r>
        <w:rPr>
          <w:rFonts w:ascii="Times New Roman" w:hAnsi="Times New Roman" w:cs="Times New Roman"/>
        </w:rPr>
        <w:t xml:space="preserve"> the neuroprotective capacity of t</w:t>
      </w:r>
      <w:r w:rsidR="00564C41">
        <w:rPr>
          <w:rFonts w:ascii="Times New Roman" w:hAnsi="Times New Roman" w:cs="Times New Roman"/>
        </w:rPr>
        <w:t xml:space="preserve">he astrocytes. In addition, </w:t>
      </w:r>
      <w:r>
        <w:rPr>
          <w:rFonts w:ascii="Times New Roman" w:hAnsi="Times New Roman" w:cs="Times New Roman"/>
        </w:rPr>
        <w:t>breakdo</w:t>
      </w:r>
      <w:r w:rsidR="00B80D03">
        <w:rPr>
          <w:rFonts w:ascii="Times New Roman" w:hAnsi="Times New Roman" w:cs="Times New Roman"/>
        </w:rPr>
        <w:t>wn of neurites on top of MAB391-</w:t>
      </w:r>
      <w:r>
        <w:rPr>
          <w:rFonts w:ascii="Times New Roman" w:hAnsi="Times New Roman" w:cs="Times New Roman"/>
        </w:rPr>
        <w:t xml:space="preserve">treated astrocytes following </w:t>
      </w:r>
      <w:r w:rsidR="0079098A">
        <w:rPr>
          <w:rFonts w:ascii="Times New Roman" w:hAnsi="Times New Roman" w:cs="Times New Roman"/>
        </w:rPr>
        <w:t>H</w:t>
      </w:r>
      <w:r w:rsidR="0079098A">
        <w:rPr>
          <w:rFonts w:ascii="Times New Roman" w:hAnsi="Times New Roman" w:cs="Times New Roman"/>
          <w:vertAlign w:val="subscript"/>
        </w:rPr>
        <w:t>2</w:t>
      </w:r>
      <w:r w:rsidR="0079098A">
        <w:rPr>
          <w:rFonts w:ascii="Times New Roman" w:hAnsi="Times New Roman" w:cs="Times New Roman"/>
        </w:rPr>
        <w:t>O</w:t>
      </w:r>
      <w:r w:rsidR="0079098A">
        <w:rPr>
          <w:rFonts w:ascii="Times New Roman" w:hAnsi="Times New Roman" w:cs="Times New Roman"/>
          <w:vertAlign w:val="subscript"/>
        </w:rPr>
        <w:t xml:space="preserve">2 </w:t>
      </w:r>
      <w:r>
        <w:rPr>
          <w:rFonts w:ascii="Times New Roman" w:hAnsi="Times New Roman" w:cs="Times New Roman"/>
        </w:rPr>
        <w:t xml:space="preserve">treatment </w:t>
      </w:r>
      <w:r w:rsidR="00564C41">
        <w:rPr>
          <w:rFonts w:ascii="Times New Roman" w:hAnsi="Times New Roman" w:cs="Times New Roman"/>
        </w:rPr>
        <w:t>was</w:t>
      </w:r>
      <w:r>
        <w:rPr>
          <w:rFonts w:ascii="Times New Roman" w:hAnsi="Times New Roman" w:cs="Times New Roman"/>
        </w:rPr>
        <w:t xml:space="preserve"> observed</w:t>
      </w:r>
      <w:r w:rsidR="00F81627">
        <w:rPr>
          <w:rFonts w:ascii="Times New Roman" w:hAnsi="Times New Roman" w:cs="Times New Roman"/>
        </w:rPr>
        <w:t xml:space="preserve"> (</w:t>
      </w:r>
      <w:r w:rsidR="00F81627" w:rsidRPr="00691810">
        <w:rPr>
          <w:rFonts w:ascii="Times New Roman" w:hAnsi="Times New Roman" w:cs="Times New Roman"/>
          <w:b/>
        </w:rPr>
        <w:t>figure 4.26</w:t>
      </w:r>
      <w:r w:rsidR="00F81627">
        <w:rPr>
          <w:rFonts w:ascii="Times New Roman" w:hAnsi="Times New Roman" w:cs="Times New Roman"/>
        </w:rPr>
        <w:t>)</w:t>
      </w:r>
      <w:r>
        <w:rPr>
          <w:rFonts w:ascii="Times New Roman" w:hAnsi="Times New Roman" w:cs="Times New Roman"/>
        </w:rPr>
        <w:t>.</w:t>
      </w:r>
      <w:r w:rsidR="00F81627">
        <w:rPr>
          <w:rFonts w:ascii="Times New Roman" w:hAnsi="Times New Roman" w:cs="Times New Roman"/>
        </w:rPr>
        <w:t xml:space="preserve"> This phenomenon is called “neuronal blebbing”</w:t>
      </w:r>
      <w:r w:rsidR="00AC5742">
        <w:rPr>
          <w:rFonts w:ascii="Times New Roman" w:hAnsi="Times New Roman" w:cs="Times New Roman"/>
        </w:rPr>
        <w:t xml:space="preserve"> and suggests that the plasma membrane</w:t>
      </w:r>
      <w:r w:rsidR="00564C41">
        <w:rPr>
          <w:rFonts w:ascii="Times New Roman" w:hAnsi="Times New Roman" w:cs="Times New Roman"/>
        </w:rPr>
        <w:t xml:space="preserve"> of the neurons</w:t>
      </w:r>
      <w:r w:rsidR="00AC5742">
        <w:rPr>
          <w:rFonts w:ascii="Times New Roman" w:hAnsi="Times New Roman" w:cs="Times New Roman"/>
        </w:rPr>
        <w:t xml:space="preserve"> </w:t>
      </w:r>
      <w:r w:rsidR="00564C41">
        <w:rPr>
          <w:rFonts w:ascii="Times New Roman" w:hAnsi="Times New Roman" w:cs="Times New Roman"/>
        </w:rPr>
        <w:t>was</w:t>
      </w:r>
      <w:r w:rsidR="00AC5742">
        <w:rPr>
          <w:rFonts w:ascii="Times New Roman" w:hAnsi="Times New Roman" w:cs="Times New Roman"/>
        </w:rPr>
        <w:t xml:space="preserve"> </w:t>
      </w:r>
    </w:p>
    <w:p w14:paraId="05BD7C31" w14:textId="2A11CF5A" w:rsidR="00C14AA7" w:rsidRPr="00564C41" w:rsidRDefault="00AC5742" w:rsidP="00585472">
      <w:pPr>
        <w:spacing w:line="360" w:lineRule="auto"/>
        <w:rPr>
          <w:rFonts w:ascii="Times New Roman" w:hAnsi="Times New Roman" w:cs="Times New Roman"/>
        </w:rPr>
        <w:sectPr w:rsidR="00C14AA7" w:rsidRPr="00564C41" w:rsidSect="00432FCA">
          <w:pgSz w:w="11900" w:h="16840"/>
          <w:pgMar w:top="1440" w:right="1134" w:bottom="1440" w:left="2268" w:header="709" w:footer="709" w:gutter="0"/>
          <w:cols w:space="708"/>
          <w:docGrid w:linePitch="360"/>
        </w:sectPr>
      </w:pPr>
      <w:r>
        <w:rPr>
          <w:rFonts w:ascii="Times New Roman" w:hAnsi="Times New Roman" w:cs="Times New Roman"/>
        </w:rPr>
        <w:t>compromised</w:t>
      </w:r>
      <w:r w:rsidR="00564C41">
        <w:rPr>
          <w:rFonts w:ascii="Times New Roman" w:hAnsi="Times New Roman" w:cs="Times New Roman"/>
        </w:rPr>
        <w:t xml:space="preserve"> in these conditions</w:t>
      </w:r>
      <w:r>
        <w:rPr>
          <w:rFonts w:ascii="Times New Roman" w:hAnsi="Times New Roman" w:cs="Times New Roman"/>
        </w:rPr>
        <w:t>.</w:t>
      </w:r>
      <w:r w:rsidR="00C14AA7">
        <w:rPr>
          <w:rFonts w:ascii="Times New Roman" w:hAnsi="Times New Roman" w:cs="Times New Roman"/>
        </w:rPr>
        <w:t xml:space="preserve"> This was also observed when LUHMES </w:t>
      </w:r>
      <w:r w:rsidR="00A2165E">
        <w:rPr>
          <w:rFonts w:ascii="Times New Roman" w:hAnsi="Times New Roman" w:cs="Times New Roman"/>
        </w:rPr>
        <w:t>grown in mono-culture</w:t>
      </w:r>
      <w:r w:rsidR="00C14AA7">
        <w:rPr>
          <w:rFonts w:ascii="Times New Roman" w:hAnsi="Times New Roman" w:cs="Times New Roman"/>
        </w:rPr>
        <w:t xml:space="preserve"> were exposed to H</w:t>
      </w:r>
      <w:r w:rsidR="00C14AA7">
        <w:rPr>
          <w:rFonts w:ascii="Times New Roman" w:hAnsi="Times New Roman" w:cs="Times New Roman"/>
          <w:vertAlign w:val="subscript"/>
        </w:rPr>
        <w:t>2</w:t>
      </w:r>
      <w:r w:rsidR="00C14AA7">
        <w:rPr>
          <w:rFonts w:ascii="Times New Roman" w:hAnsi="Times New Roman" w:cs="Times New Roman"/>
        </w:rPr>
        <w:t>O</w:t>
      </w:r>
      <w:r w:rsidR="00C14AA7">
        <w:rPr>
          <w:rFonts w:ascii="Times New Roman" w:hAnsi="Times New Roman" w:cs="Times New Roman"/>
          <w:vertAlign w:val="subscript"/>
        </w:rPr>
        <w:t>2</w:t>
      </w:r>
      <w:r w:rsidR="00564C41">
        <w:rPr>
          <w:rFonts w:ascii="Times New Roman" w:hAnsi="Times New Roman" w:cs="Times New Roman"/>
        </w:rPr>
        <w:t>.</w:t>
      </w:r>
    </w:p>
    <w:p w14:paraId="050ED480" w14:textId="507D2869" w:rsidR="00E24E9F" w:rsidRPr="00A81571" w:rsidRDefault="00A81571">
      <w:pPr>
        <w:rPr>
          <w:rFonts w:ascii="Times New Roman" w:hAnsi="Times New Roman" w:cs="Times New Roman"/>
          <w:b/>
          <w:sz w:val="40"/>
          <w:szCs w:val="40"/>
        </w:rPr>
      </w:pPr>
      <w:r>
        <w:rPr>
          <w:rFonts w:ascii="Times New Roman" w:hAnsi="Times New Roman" w:cs="Times New Roman"/>
          <w:b/>
          <w:sz w:val="40"/>
          <w:szCs w:val="40"/>
        </w:rPr>
        <w:t>A.</w:t>
      </w:r>
    </w:p>
    <w:p w14:paraId="4905CEDB" w14:textId="0BD036EC" w:rsidR="002C0639" w:rsidRDefault="00CC1CBA">
      <w:pPr>
        <w:rPr>
          <w:rFonts w:ascii="Times New Roman" w:hAnsi="Times New Roman" w:cs="Times New Roman"/>
          <w:b/>
        </w:rPr>
      </w:pPr>
      <w:r>
        <w:rPr>
          <w:rFonts w:ascii="Times New Roman" w:hAnsi="Times New Roman" w:cs="Times New Roman"/>
          <w:b/>
        </w:rPr>
        <w:t xml:space="preserve">                                </w:t>
      </w:r>
      <w:r w:rsidR="007539F0">
        <w:rPr>
          <w:rFonts w:ascii="Times New Roman" w:hAnsi="Times New Roman" w:cs="Times New Roman"/>
          <w:b/>
          <w:noProof/>
        </w:rPr>
        <w:drawing>
          <wp:inline distT="0" distB="0" distL="0" distR="0" wp14:anchorId="4DD7B009" wp14:editId="22EC78C6">
            <wp:extent cx="7458518" cy="5083526"/>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79">
                      <a:extLst>
                        <a:ext uri="{28A0092B-C50C-407E-A947-70E740481C1C}">
                          <a14:useLocalDpi xmlns:a14="http://schemas.microsoft.com/office/drawing/2010/main" val="0"/>
                        </a:ext>
                      </a:extLst>
                    </a:blip>
                    <a:srcRect t="9105"/>
                    <a:stretch/>
                  </pic:blipFill>
                  <pic:spPr bwMode="auto">
                    <a:xfrm>
                      <a:off x="0" y="0"/>
                      <a:ext cx="7458778" cy="5083703"/>
                    </a:xfrm>
                    <a:prstGeom prst="rect">
                      <a:avLst/>
                    </a:prstGeom>
                    <a:ln>
                      <a:noFill/>
                    </a:ln>
                    <a:extLst>
                      <a:ext uri="{53640926-AAD7-44d8-BBD7-CCE9431645EC}">
                        <a14:shadowObscured xmlns:a14="http://schemas.microsoft.com/office/drawing/2010/main"/>
                      </a:ext>
                    </a:extLst>
                  </pic:spPr>
                </pic:pic>
              </a:graphicData>
            </a:graphic>
          </wp:inline>
        </w:drawing>
      </w:r>
    </w:p>
    <w:p w14:paraId="67A21D0C" w14:textId="677BC2DD" w:rsidR="002C0639" w:rsidRDefault="00CC1CBA">
      <w:pPr>
        <w:rPr>
          <w:rFonts w:ascii="Times New Roman" w:hAnsi="Times New Roman" w:cs="Times New Roman"/>
          <w:b/>
        </w:rPr>
      </w:pPr>
      <w:r>
        <w:rPr>
          <w:rFonts w:ascii="Times New Roman" w:hAnsi="Times New Roman" w:cs="Times New Roman"/>
          <w:b/>
          <w:noProof/>
        </w:rPr>
        <w:t xml:space="preserve">                                  </w:t>
      </w:r>
      <w:r w:rsidR="007539F0">
        <w:rPr>
          <w:rFonts w:ascii="Times New Roman" w:hAnsi="Times New Roman" w:cs="Times New Roman"/>
          <w:b/>
          <w:noProof/>
        </w:rPr>
        <w:drawing>
          <wp:inline distT="0" distB="0" distL="0" distR="0" wp14:anchorId="11EF86F5" wp14:editId="386DC59B">
            <wp:extent cx="7196455" cy="539623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80">
                      <a:extLst>
                        <a:ext uri="{28A0092B-C50C-407E-A947-70E740481C1C}">
                          <a14:useLocalDpi xmlns:a14="http://schemas.microsoft.com/office/drawing/2010/main" val="0"/>
                        </a:ext>
                      </a:extLst>
                    </a:blip>
                    <a:stretch>
                      <a:fillRect/>
                    </a:stretch>
                  </pic:blipFill>
                  <pic:spPr>
                    <a:xfrm>
                      <a:off x="0" y="0"/>
                      <a:ext cx="7196455" cy="5396230"/>
                    </a:xfrm>
                    <a:prstGeom prst="rect">
                      <a:avLst/>
                    </a:prstGeom>
                  </pic:spPr>
                </pic:pic>
              </a:graphicData>
            </a:graphic>
          </wp:inline>
        </w:drawing>
      </w:r>
    </w:p>
    <w:p w14:paraId="5969F38F" w14:textId="77777777" w:rsidR="00DE547C" w:rsidRDefault="00DE547C">
      <w:pPr>
        <w:rPr>
          <w:rFonts w:ascii="Times New Roman" w:hAnsi="Times New Roman" w:cs="Times New Roman"/>
          <w:b/>
        </w:rPr>
        <w:sectPr w:rsidR="00DE547C" w:rsidSect="00E24E9F">
          <w:pgSz w:w="16840" w:h="11900" w:orient="landscape"/>
          <w:pgMar w:top="2268" w:right="1440" w:bottom="1134" w:left="1440" w:header="709" w:footer="709" w:gutter="0"/>
          <w:cols w:space="708"/>
          <w:docGrid w:linePitch="360"/>
        </w:sectPr>
      </w:pPr>
    </w:p>
    <w:p w14:paraId="6F7B3CBC" w14:textId="77777777" w:rsidR="00C664C4" w:rsidRDefault="00DE547C" w:rsidP="00C664C4">
      <w:pPr>
        <w:pStyle w:val="Caption"/>
      </w:pPr>
      <w:bookmarkStart w:id="1667" w:name="_Toc333585252"/>
      <w:bookmarkStart w:id="1668" w:name="_Toc333586804"/>
      <w:bookmarkStart w:id="1669" w:name="_Toc333644503"/>
      <w:bookmarkStart w:id="1670" w:name="_Toc333644797"/>
      <w:r>
        <w:t xml:space="preserve">Figure </w:t>
      </w:r>
      <w:r w:rsidR="00F94933">
        <w:t>4.2</w:t>
      </w:r>
      <w:r w:rsidR="00B92D16">
        <w:t>5</w:t>
      </w:r>
      <w:r w:rsidR="0043060F">
        <w:t>.</w:t>
      </w:r>
      <w:r>
        <w:t xml:space="preserve"> Loss of IGF1R in astrocytes impairs protection of neurons against </w:t>
      </w:r>
      <w:r w:rsidR="004C1CF7" w:rsidRPr="004C1CF7">
        <w:t>H</w:t>
      </w:r>
      <w:r w:rsidR="004C1CF7" w:rsidRPr="004C1CF7">
        <w:rPr>
          <w:vertAlign w:val="subscript"/>
        </w:rPr>
        <w:t>2</w:t>
      </w:r>
      <w:r w:rsidR="004C1CF7" w:rsidRPr="004C1CF7">
        <w:t>O</w:t>
      </w:r>
      <w:r w:rsidR="004C1CF7" w:rsidRPr="004C1CF7">
        <w:rPr>
          <w:vertAlign w:val="subscript"/>
        </w:rPr>
        <w:t>2</w:t>
      </w:r>
      <w:r w:rsidR="004C1CF7">
        <w:rPr>
          <w:vertAlign w:val="subscript"/>
        </w:rPr>
        <w:t xml:space="preserve"> </w:t>
      </w:r>
      <w:r w:rsidR="00C35C24">
        <w:t>in co-culture</w:t>
      </w:r>
      <w:r>
        <w:t>.</w:t>
      </w:r>
      <w:bookmarkEnd w:id="1667"/>
      <w:bookmarkEnd w:id="1668"/>
      <w:bookmarkEnd w:id="1669"/>
      <w:bookmarkEnd w:id="1670"/>
    </w:p>
    <w:p w14:paraId="22B399E9" w14:textId="59807CB7" w:rsidR="003F0EE8" w:rsidRDefault="00B80D03" w:rsidP="00C63BC1">
      <w:pPr>
        <w:spacing w:line="360" w:lineRule="auto"/>
        <w:jc w:val="both"/>
        <w:rPr>
          <w:rFonts w:ascii="Times New Roman" w:hAnsi="Times New Roman" w:cs="Times New Roman"/>
        </w:rPr>
      </w:pPr>
      <w:r>
        <w:rPr>
          <w:rFonts w:ascii="Times New Roman" w:hAnsi="Times New Roman" w:cs="Times New Roman"/>
        </w:rPr>
        <w:t>Untreated, IgG and MAB391-</w:t>
      </w:r>
      <w:r w:rsidR="00C35C24">
        <w:rPr>
          <w:rFonts w:ascii="Times New Roman" w:hAnsi="Times New Roman" w:cs="Times New Roman"/>
        </w:rPr>
        <w:t xml:space="preserve">treated astrocytes were co-cultured with GFP LUHMES prior to addition of 50 μM </w:t>
      </w:r>
      <w:r w:rsidR="00C35C24" w:rsidRPr="00FC2AAE">
        <w:rPr>
          <w:rFonts w:ascii="Times New Roman" w:hAnsi="Times New Roman" w:cs="Times New Roman"/>
        </w:rPr>
        <w:t>H</w:t>
      </w:r>
      <w:r w:rsidR="00C35C24" w:rsidRPr="00FC2AAE">
        <w:rPr>
          <w:rFonts w:ascii="Times New Roman" w:hAnsi="Times New Roman" w:cs="Times New Roman"/>
          <w:vertAlign w:val="subscript"/>
        </w:rPr>
        <w:t>2</w:t>
      </w:r>
      <w:r w:rsidR="0066174F">
        <w:rPr>
          <w:rFonts w:ascii="Times New Roman" w:hAnsi="Times New Roman" w:cs="Times New Roman"/>
        </w:rPr>
        <w:t>O</w:t>
      </w:r>
      <w:r w:rsidR="00C35C24" w:rsidRPr="00FC2AAE">
        <w:rPr>
          <w:rFonts w:ascii="Times New Roman" w:hAnsi="Times New Roman" w:cs="Times New Roman"/>
          <w:vertAlign w:val="subscript"/>
        </w:rPr>
        <w:t>2</w:t>
      </w:r>
      <w:r w:rsidR="00C35C24">
        <w:rPr>
          <w:rFonts w:ascii="Times New Roman" w:hAnsi="Times New Roman" w:cs="Times New Roman"/>
          <w:vertAlign w:val="subscript"/>
        </w:rPr>
        <w:t xml:space="preserve"> </w:t>
      </w:r>
      <w:r w:rsidR="00C35C24">
        <w:rPr>
          <w:rFonts w:ascii="Times New Roman" w:hAnsi="Times New Roman" w:cs="Times New Roman"/>
        </w:rPr>
        <w:t>for 2 hours on day 3 of co-culture (day 5 of LUHMES differentiation). Average neurite length per soma was calculated for each co-culture and for the LUHMES alone. LUHMES in mono-culture have reduced neurite length when treated with 50μM</w:t>
      </w:r>
      <w:r w:rsidR="00564C41">
        <w:rPr>
          <w:rFonts w:ascii="Times New Roman" w:hAnsi="Times New Roman" w:cs="Times New Roman"/>
        </w:rPr>
        <w:t xml:space="preserve">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2</w:t>
      </w:r>
      <w:r w:rsidR="00564C41">
        <w:rPr>
          <w:rFonts w:ascii="Times New Roman" w:hAnsi="Times New Roman" w:cs="Times New Roman"/>
        </w:rPr>
        <w:t>. Astrocytes we</w:t>
      </w:r>
      <w:r w:rsidR="00C35C24">
        <w:rPr>
          <w:rFonts w:ascii="Times New Roman" w:hAnsi="Times New Roman" w:cs="Times New Roman"/>
        </w:rPr>
        <w:t>re able to support LUHMES and prevent reduction of neurite length. Treati</w:t>
      </w:r>
      <w:r w:rsidR="00564C41">
        <w:rPr>
          <w:rFonts w:ascii="Times New Roman" w:hAnsi="Times New Roman" w:cs="Times New Roman"/>
        </w:rPr>
        <w:t>ng astrocytes with MAB391 caused</w:t>
      </w:r>
      <w:r w:rsidR="00C35C24">
        <w:rPr>
          <w:rFonts w:ascii="Times New Roman" w:hAnsi="Times New Roman" w:cs="Times New Roman"/>
        </w:rPr>
        <w:t xml:space="preserve"> a significant reduction in neurite length in conditions of oxidative stress. Data represents mean ± SEM (n=3, 3 replicates/experiment, 5 fields counted per coverslip (represents 1 replicate), one way ANOVA with post-hoc analysis ***p&lt;0.001 ****p&lt;0.0001).</w:t>
      </w:r>
    </w:p>
    <w:p w14:paraId="470F0CFD" w14:textId="77777777" w:rsidR="003F0EE8" w:rsidRDefault="003F0EE8" w:rsidP="003F0EE8">
      <w:pPr>
        <w:spacing w:line="360" w:lineRule="auto"/>
        <w:rPr>
          <w:rFonts w:ascii="Times New Roman" w:hAnsi="Times New Roman" w:cs="Times New Roman"/>
          <w:b/>
        </w:rPr>
      </w:pPr>
      <w:r>
        <w:rPr>
          <w:rFonts w:ascii="Times New Roman" w:hAnsi="Times New Roman" w:cs="Times New Roman"/>
        </w:rPr>
        <w:t xml:space="preserve">                    </w:t>
      </w:r>
      <w:r w:rsidR="00C35C24">
        <w:rPr>
          <w:rFonts w:ascii="Times New Roman" w:hAnsi="Times New Roman" w:cs="Times New Roman"/>
        </w:rPr>
        <w:t xml:space="preserve"> </w:t>
      </w:r>
      <w:r>
        <w:rPr>
          <w:rFonts w:ascii="Times New Roman" w:hAnsi="Times New Roman" w:cs="Times New Roman"/>
          <w:b/>
          <w:noProof/>
        </w:rPr>
        <w:drawing>
          <wp:inline distT="0" distB="0" distL="0" distR="0" wp14:anchorId="215BFE1F" wp14:editId="6130A840">
            <wp:extent cx="3656215" cy="3529853"/>
            <wp:effectExtent l="0" t="0" r="1905"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tiff"/>
                    <pic:cNvPicPr/>
                  </pic:nvPicPr>
                  <pic:blipFill rotWithShape="1">
                    <a:blip r:embed="rId81">
                      <a:extLst>
                        <a:ext uri="{28A0092B-C50C-407E-A947-70E740481C1C}">
                          <a14:useLocalDpi xmlns:a14="http://schemas.microsoft.com/office/drawing/2010/main" val="0"/>
                        </a:ext>
                      </a:extLst>
                    </a:blip>
                    <a:srcRect t="2911" r="32136" b="9730"/>
                    <a:stretch/>
                  </pic:blipFill>
                  <pic:spPr bwMode="auto">
                    <a:xfrm>
                      <a:off x="0" y="0"/>
                      <a:ext cx="3657729" cy="3531315"/>
                    </a:xfrm>
                    <a:prstGeom prst="rect">
                      <a:avLst/>
                    </a:prstGeom>
                    <a:ln>
                      <a:noFill/>
                    </a:ln>
                    <a:extLst>
                      <a:ext uri="{53640926-AAD7-44d8-BBD7-CCE9431645EC}">
                        <a14:shadowObscured xmlns:a14="http://schemas.microsoft.com/office/drawing/2010/main"/>
                      </a:ext>
                    </a:extLst>
                  </pic:spPr>
                </pic:pic>
              </a:graphicData>
            </a:graphic>
          </wp:inline>
        </w:drawing>
      </w:r>
      <w:r w:rsidRPr="003F0EE8">
        <w:rPr>
          <w:rFonts w:ascii="Times New Roman" w:hAnsi="Times New Roman" w:cs="Times New Roman"/>
          <w:b/>
        </w:rPr>
        <w:t xml:space="preserve"> </w:t>
      </w:r>
    </w:p>
    <w:p w14:paraId="1EDB1C9D" w14:textId="77777777" w:rsidR="004C1D27" w:rsidRDefault="003F0EE8" w:rsidP="00C664C4">
      <w:pPr>
        <w:pStyle w:val="Caption"/>
      </w:pPr>
      <w:bookmarkStart w:id="1671" w:name="_Toc333569079"/>
      <w:bookmarkStart w:id="1672" w:name="_Toc333569304"/>
      <w:bookmarkStart w:id="1673" w:name="_Toc333570858"/>
      <w:bookmarkStart w:id="1674" w:name="_Toc333582241"/>
      <w:bookmarkStart w:id="1675" w:name="_Toc333582361"/>
      <w:bookmarkStart w:id="1676" w:name="_Toc333582773"/>
      <w:bookmarkStart w:id="1677" w:name="_Toc333583143"/>
      <w:bookmarkStart w:id="1678" w:name="_Toc333585253"/>
      <w:bookmarkStart w:id="1679" w:name="_Toc333586805"/>
      <w:bookmarkStart w:id="1680" w:name="_Toc333644504"/>
      <w:bookmarkStart w:id="1681" w:name="_Toc333644798"/>
      <w:r>
        <w:t xml:space="preserve">Figure 4.26 Neuronal blebbing observed in LUHMES co-cultured with astrocytes pre-treated with </w:t>
      </w:r>
      <w:r w:rsidRPr="00C35C24">
        <w:t>MAB391</w:t>
      </w:r>
      <w:r>
        <w:t xml:space="preserve"> and exposed to oxidative stress.</w:t>
      </w:r>
      <w:bookmarkEnd w:id="1671"/>
      <w:bookmarkEnd w:id="1672"/>
      <w:bookmarkEnd w:id="1673"/>
      <w:bookmarkEnd w:id="1674"/>
      <w:bookmarkEnd w:id="1675"/>
      <w:bookmarkEnd w:id="1676"/>
      <w:bookmarkEnd w:id="1677"/>
      <w:bookmarkEnd w:id="1678"/>
      <w:bookmarkEnd w:id="1679"/>
      <w:bookmarkEnd w:id="1680"/>
      <w:bookmarkEnd w:id="1681"/>
      <w:r>
        <w:t xml:space="preserve"> </w:t>
      </w:r>
    </w:p>
    <w:p w14:paraId="4AA78EBE" w14:textId="56E56FCD" w:rsidR="00715C8D" w:rsidRPr="00715C8D" w:rsidRDefault="003F0EE8" w:rsidP="00C63BC1">
      <w:pPr>
        <w:spacing w:line="360" w:lineRule="auto"/>
        <w:jc w:val="both"/>
        <w:rPr>
          <w:rFonts w:ascii="Times New Roman" w:hAnsi="Times New Roman" w:cs="Times New Roman"/>
        </w:rPr>
        <w:sectPr w:rsidR="00715C8D" w:rsidRPr="00715C8D" w:rsidSect="00DE547C">
          <w:pgSz w:w="11900" w:h="16840"/>
          <w:pgMar w:top="1440" w:right="1134" w:bottom="1440" w:left="2268" w:header="709" w:footer="709" w:gutter="0"/>
          <w:cols w:space="708"/>
          <w:docGrid w:linePitch="360"/>
        </w:sectPr>
      </w:pPr>
      <w:r>
        <w:rPr>
          <w:rFonts w:ascii="Times New Roman" w:hAnsi="Times New Roman" w:cs="Times New Roman"/>
        </w:rPr>
        <w:t>Immunocytochemistry of GFP LUHMES sh</w:t>
      </w:r>
      <w:r w:rsidR="00564C41">
        <w:rPr>
          <w:rFonts w:ascii="Times New Roman" w:hAnsi="Times New Roman" w:cs="Times New Roman"/>
        </w:rPr>
        <w:t>owing neuronal blebbing occured</w:t>
      </w:r>
      <w:r>
        <w:rPr>
          <w:rFonts w:ascii="Times New Roman" w:hAnsi="Times New Roman" w:cs="Times New Roman"/>
        </w:rPr>
        <w:t xml:space="preserve"> both in LUHMES treated with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 xml:space="preserve">2 </w:t>
      </w:r>
      <w:r>
        <w:rPr>
          <w:rFonts w:ascii="Times New Roman" w:hAnsi="Times New Roman" w:cs="Times New Roman"/>
        </w:rPr>
        <w:t>and LUHMES associated with MAB391 pretreated astrocytes.</w:t>
      </w:r>
    </w:p>
    <w:p w14:paraId="6FED8BD5" w14:textId="66151CDE" w:rsidR="001D2456" w:rsidRDefault="00F94933" w:rsidP="00395B55">
      <w:pPr>
        <w:pStyle w:val="Heading2"/>
      </w:pPr>
      <w:bookmarkStart w:id="1682" w:name="_Toc328301177"/>
      <w:bookmarkStart w:id="1683" w:name="_Toc329593468"/>
      <w:bookmarkStart w:id="1684" w:name="_Toc331425967"/>
      <w:bookmarkStart w:id="1685" w:name="_Toc331427148"/>
      <w:bookmarkStart w:id="1686" w:name="_Toc331427520"/>
      <w:bookmarkStart w:id="1687" w:name="_Toc331427662"/>
      <w:bookmarkStart w:id="1688" w:name="_Toc332972667"/>
      <w:bookmarkStart w:id="1689" w:name="_Toc333046946"/>
      <w:bookmarkStart w:id="1690" w:name="_Toc333477293"/>
      <w:bookmarkStart w:id="1691" w:name="_Toc333478063"/>
      <w:bookmarkStart w:id="1692" w:name="_Toc333644963"/>
      <w:r>
        <w:t xml:space="preserve">4.5 </w:t>
      </w:r>
      <w:r w:rsidR="000A58FE">
        <w:t>Discussion</w:t>
      </w:r>
      <w:bookmarkEnd w:id="1682"/>
      <w:bookmarkEnd w:id="1683"/>
      <w:bookmarkEnd w:id="1684"/>
      <w:bookmarkEnd w:id="1685"/>
      <w:bookmarkEnd w:id="1686"/>
      <w:bookmarkEnd w:id="1687"/>
      <w:bookmarkEnd w:id="1688"/>
      <w:bookmarkEnd w:id="1689"/>
      <w:bookmarkEnd w:id="1690"/>
      <w:bookmarkEnd w:id="1691"/>
      <w:bookmarkEnd w:id="1692"/>
    </w:p>
    <w:p w14:paraId="3160852D" w14:textId="77777777" w:rsidR="00CC40C5" w:rsidRDefault="00CC40C5">
      <w:pPr>
        <w:rPr>
          <w:rFonts w:ascii="Times New Roman" w:hAnsi="Times New Roman" w:cs="Times New Roman"/>
          <w:b/>
        </w:rPr>
      </w:pPr>
    </w:p>
    <w:p w14:paraId="5743DBF3" w14:textId="5CD8184C" w:rsidR="000A58FE" w:rsidRDefault="000A58FE">
      <w:pPr>
        <w:rPr>
          <w:rFonts w:ascii="Times New Roman" w:hAnsi="Times New Roman" w:cs="Times New Roman"/>
        </w:rPr>
      </w:pPr>
    </w:p>
    <w:p w14:paraId="7443C5EC" w14:textId="2CBD4C61" w:rsidR="00CF60C3" w:rsidRDefault="00D65F01" w:rsidP="00C63BC1">
      <w:pPr>
        <w:spacing w:line="360" w:lineRule="auto"/>
        <w:jc w:val="both"/>
        <w:rPr>
          <w:rFonts w:ascii="Times New Roman" w:hAnsi="Times New Roman" w:cs="Times New Roman"/>
        </w:rPr>
      </w:pPr>
      <w:r>
        <w:rPr>
          <w:rFonts w:ascii="Times New Roman" w:hAnsi="Times New Roman" w:cs="Times New Roman"/>
        </w:rPr>
        <w:t>T</w:t>
      </w:r>
      <w:r w:rsidR="00AC4BE6">
        <w:rPr>
          <w:rFonts w:ascii="Times New Roman" w:hAnsi="Times New Roman" w:cs="Times New Roman"/>
        </w:rPr>
        <w:t>he work in this</w:t>
      </w:r>
      <w:r w:rsidR="003866B4">
        <w:rPr>
          <w:rFonts w:ascii="Times New Roman" w:hAnsi="Times New Roman" w:cs="Times New Roman"/>
        </w:rPr>
        <w:t xml:space="preserve"> chapter </w:t>
      </w:r>
      <w:r w:rsidR="00AC4BE6">
        <w:rPr>
          <w:rFonts w:ascii="Times New Roman" w:hAnsi="Times New Roman" w:cs="Times New Roman"/>
        </w:rPr>
        <w:t>was focused</w:t>
      </w:r>
      <w:r w:rsidR="00A36E02">
        <w:rPr>
          <w:rFonts w:ascii="Times New Roman" w:hAnsi="Times New Roman" w:cs="Times New Roman"/>
        </w:rPr>
        <w:t xml:space="preserve"> on</w:t>
      </w:r>
      <w:r w:rsidR="003866B4">
        <w:rPr>
          <w:rFonts w:ascii="Times New Roman" w:hAnsi="Times New Roman" w:cs="Times New Roman"/>
        </w:rPr>
        <w:t xml:space="preserve"> </w:t>
      </w:r>
      <w:r w:rsidR="003D5326">
        <w:rPr>
          <w:rFonts w:ascii="Times New Roman" w:hAnsi="Times New Roman" w:cs="Times New Roman"/>
        </w:rPr>
        <w:t>developing</w:t>
      </w:r>
      <w:r w:rsidR="003866B4">
        <w:rPr>
          <w:rFonts w:ascii="Times New Roman" w:hAnsi="Times New Roman" w:cs="Times New Roman"/>
        </w:rPr>
        <w:t xml:space="preserve"> a novel human ast</w:t>
      </w:r>
      <w:r w:rsidR="0079098A">
        <w:rPr>
          <w:rFonts w:ascii="Times New Roman" w:hAnsi="Times New Roman" w:cs="Times New Roman"/>
        </w:rPr>
        <w:t>rocyte-neuron</w:t>
      </w:r>
      <w:r w:rsidR="003866B4">
        <w:rPr>
          <w:rFonts w:ascii="Times New Roman" w:hAnsi="Times New Roman" w:cs="Times New Roman"/>
        </w:rPr>
        <w:t xml:space="preserve"> co-culture system</w:t>
      </w:r>
      <w:r w:rsidR="003D5326">
        <w:rPr>
          <w:rFonts w:ascii="Times New Roman" w:hAnsi="Times New Roman" w:cs="Times New Roman"/>
        </w:rPr>
        <w:t xml:space="preserve"> to investigate</w:t>
      </w:r>
      <w:r w:rsidR="00A36E02">
        <w:rPr>
          <w:rFonts w:ascii="Times New Roman" w:hAnsi="Times New Roman" w:cs="Times New Roman"/>
        </w:rPr>
        <w:t xml:space="preserve"> </w:t>
      </w:r>
      <w:r w:rsidR="0021604F">
        <w:rPr>
          <w:rFonts w:ascii="Times New Roman" w:hAnsi="Times New Roman" w:cs="Times New Roman"/>
        </w:rPr>
        <w:t>whether impairments in the IGF1 sign</w:t>
      </w:r>
      <w:r w:rsidR="004A5E95">
        <w:rPr>
          <w:rFonts w:ascii="Times New Roman" w:hAnsi="Times New Roman" w:cs="Times New Roman"/>
        </w:rPr>
        <w:t xml:space="preserve">alling pathway in astrocytes </w:t>
      </w:r>
      <w:r w:rsidR="00815D07">
        <w:rPr>
          <w:rFonts w:ascii="Times New Roman" w:hAnsi="Times New Roman" w:cs="Times New Roman"/>
        </w:rPr>
        <w:t>alter</w:t>
      </w:r>
      <w:r w:rsidR="003D5326">
        <w:rPr>
          <w:rFonts w:ascii="Times New Roman" w:hAnsi="Times New Roman" w:cs="Times New Roman"/>
        </w:rPr>
        <w:t xml:space="preserve"> the</w:t>
      </w:r>
      <w:r w:rsidR="004A5E95">
        <w:rPr>
          <w:rFonts w:ascii="Times New Roman" w:hAnsi="Times New Roman" w:cs="Times New Roman"/>
        </w:rPr>
        <w:t xml:space="preserve"> </w:t>
      </w:r>
      <w:r w:rsidR="00A36E02">
        <w:rPr>
          <w:rFonts w:ascii="Times New Roman" w:hAnsi="Times New Roman" w:cs="Times New Roman"/>
        </w:rPr>
        <w:t>support for neurons.</w:t>
      </w:r>
    </w:p>
    <w:p w14:paraId="264CCA17" w14:textId="30226DEF" w:rsidR="00B04BBD" w:rsidRDefault="00CF60C3" w:rsidP="00C63BC1">
      <w:pPr>
        <w:spacing w:line="360" w:lineRule="auto"/>
        <w:jc w:val="both"/>
        <w:rPr>
          <w:rFonts w:ascii="Times New Roman" w:hAnsi="Times New Roman" w:cs="Times New Roman"/>
        </w:rPr>
      </w:pPr>
      <w:r>
        <w:rPr>
          <w:rFonts w:ascii="Times New Roman" w:hAnsi="Times New Roman" w:cs="Times New Roman"/>
        </w:rPr>
        <w:t xml:space="preserve">   </w:t>
      </w:r>
    </w:p>
    <w:p w14:paraId="503F592D" w14:textId="5301641D" w:rsidR="00B04BBD" w:rsidRDefault="00F94933" w:rsidP="00C63BC1">
      <w:pPr>
        <w:pStyle w:val="Heading3"/>
        <w:jc w:val="both"/>
      </w:pPr>
      <w:bookmarkStart w:id="1693" w:name="_Toc328301178"/>
      <w:bookmarkStart w:id="1694" w:name="_Toc329593469"/>
      <w:bookmarkStart w:id="1695" w:name="_Toc331425968"/>
      <w:bookmarkStart w:id="1696" w:name="_Toc331427149"/>
      <w:bookmarkStart w:id="1697" w:name="_Toc331427521"/>
      <w:bookmarkStart w:id="1698" w:name="_Toc331427663"/>
      <w:bookmarkStart w:id="1699" w:name="_Toc332972668"/>
      <w:bookmarkStart w:id="1700" w:name="_Toc333046947"/>
      <w:bookmarkStart w:id="1701" w:name="_Toc333477294"/>
      <w:bookmarkStart w:id="1702" w:name="_Toc333478064"/>
      <w:bookmarkStart w:id="1703" w:name="_Toc333644964"/>
      <w:r>
        <w:t xml:space="preserve">4.5.1 </w:t>
      </w:r>
      <w:r w:rsidR="00B04BBD">
        <w:t>Development and characterisation of a novel human astrocyte-neuronal co-culture system</w:t>
      </w:r>
      <w:bookmarkEnd w:id="1693"/>
      <w:bookmarkEnd w:id="1694"/>
      <w:bookmarkEnd w:id="1695"/>
      <w:bookmarkEnd w:id="1696"/>
      <w:bookmarkEnd w:id="1697"/>
      <w:bookmarkEnd w:id="1698"/>
      <w:bookmarkEnd w:id="1699"/>
      <w:bookmarkEnd w:id="1700"/>
      <w:bookmarkEnd w:id="1701"/>
      <w:bookmarkEnd w:id="1702"/>
      <w:bookmarkEnd w:id="1703"/>
    </w:p>
    <w:p w14:paraId="294D059D" w14:textId="77777777" w:rsidR="00B04BBD" w:rsidRPr="00B04BBD" w:rsidRDefault="00B04BBD" w:rsidP="00C63BC1">
      <w:pPr>
        <w:spacing w:line="360" w:lineRule="auto"/>
        <w:jc w:val="both"/>
        <w:rPr>
          <w:rFonts w:ascii="Times New Roman" w:hAnsi="Times New Roman" w:cs="Times New Roman"/>
          <w:b/>
          <w:u w:val="single"/>
        </w:rPr>
      </w:pPr>
    </w:p>
    <w:p w14:paraId="1792D0AB" w14:textId="66DF1F01" w:rsidR="00A0789A" w:rsidRDefault="00AA21C2" w:rsidP="00C63BC1">
      <w:pPr>
        <w:spacing w:line="360" w:lineRule="auto"/>
        <w:jc w:val="both"/>
        <w:rPr>
          <w:rFonts w:ascii="Times New Roman" w:hAnsi="Times New Roman" w:cs="Times New Roman"/>
        </w:rPr>
      </w:pPr>
      <w:r>
        <w:rPr>
          <w:rFonts w:ascii="Times New Roman" w:hAnsi="Times New Roman" w:cs="Times New Roman"/>
        </w:rPr>
        <w:t>I</w:t>
      </w:r>
      <w:r w:rsidR="000D24BC">
        <w:rPr>
          <w:rFonts w:ascii="Times New Roman" w:hAnsi="Times New Roman" w:cs="Times New Roman"/>
        </w:rPr>
        <w:t>nitial c</w:t>
      </w:r>
      <w:r w:rsidR="006D3C13">
        <w:rPr>
          <w:rFonts w:ascii="Times New Roman" w:hAnsi="Times New Roman" w:cs="Times New Roman"/>
        </w:rPr>
        <w:t>haracteris</w:t>
      </w:r>
      <w:r w:rsidR="00A00F22">
        <w:rPr>
          <w:rFonts w:ascii="Times New Roman" w:hAnsi="Times New Roman" w:cs="Times New Roman"/>
        </w:rPr>
        <w:t>ation of the astrocytes and neurons in</w:t>
      </w:r>
      <w:r w:rsidR="00AC4BE6">
        <w:rPr>
          <w:rFonts w:ascii="Times New Roman" w:hAnsi="Times New Roman" w:cs="Times New Roman"/>
        </w:rPr>
        <w:t xml:space="preserve"> the co-culture</w:t>
      </w:r>
      <w:r w:rsidR="00F52BD5">
        <w:rPr>
          <w:rFonts w:ascii="Times New Roman" w:hAnsi="Times New Roman" w:cs="Times New Roman"/>
        </w:rPr>
        <w:t xml:space="preserve"> system</w:t>
      </w:r>
      <w:r w:rsidR="00AC4BE6">
        <w:rPr>
          <w:rFonts w:ascii="Times New Roman" w:hAnsi="Times New Roman" w:cs="Times New Roman"/>
        </w:rPr>
        <w:t xml:space="preserve"> was performed </w:t>
      </w:r>
      <w:r w:rsidR="00A00F22">
        <w:rPr>
          <w:rFonts w:ascii="Times New Roman" w:hAnsi="Times New Roman" w:cs="Times New Roman"/>
        </w:rPr>
        <w:t xml:space="preserve">to </w:t>
      </w:r>
      <w:r w:rsidR="002B5864">
        <w:rPr>
          <w:rFonts w:ascii="Times New Roman" w:hAnsi="Times New Roman" w:cs="Times New Roman"/>
        </w:rPr>
        <w:t xml:space="preserve">ensure appropriate </w:t>
      </w:r>
      <w:r w:rsidR="00A00F22">
        <w:rPr>
          <w:rFonts w:ascii="Times New Roman" w:hAnsi="Times New Roman" w:cs="Times New Roman"/>
        </w:rPr>
        <w:t>expression of neuronal and astrocytic markers</w:t>
      </w:r>
      <w:r w:rsidR="00AC4BE6">
        <w:rPr>
          <w:rFonts w:ascii="Times New Roman" w:hAnsi="Times New Roman" w:cs="Times New Roman"/>
        </w:rPr>
        <w:t xml:space="preserve">. </w:t>
      </w:r>
    </w:p>
    <w:p w14:paraId="7224B659" w14:textId="652EC5DE" w:rsidR="005330FD" w:rsidRDefault="00815D07" w:rsidP="00C63BC1">
      <w:pPr>
        <w:spacing w:line="360" w:lineRule="auto"/>
        <w:jc w:val="both"/>
        <w:rPr>
          <w:rFonts w:ascii="Times New Roman" w:hAnsi="Times New Roman" w:cs="Times New Roman"/>
        </w:rPr>
      </w:pPr>
      <w:r>
        <w:rPr>
          <w:rFonts w:ascii="Times New Roman" w:hAnsi="Times New Roman" w:cs="Times New Roman"/>
        </w:rPr>
        <w:t xml:space="preserve">Antibodies recognising </w:t>
      </w:r>
      <w:r w:rsidR="0018042F">
        <w:rPr>
          <w:rFonts w:ascii="Times New Roman" w:hAnsi="Times New Roman" w:cs="Times New Roman"/>
        </w:rPr>
        <w:t>CD44, GFAP</w:t>
      </w:r>
      <w:r w:rsidR="00F52BD5">
        <w:rPr>
          <w:rFonts w:ascii="Times New Roman" w:hAnsi="Times New Roman" w:cs="Times New Roman"/>
        </w:rPr>
        <w:t>, Vimentin</w:t>
      </w:r>
      <w:r w:rsidR="0018042F">
        <w:rPr>
          <w:rFonts w:ascii="Times New Roman" w:hAnsi="Times New Roman" w:cs="Times New Roman"/>
        </w:rPr>
        <w:t xml:space="preserve"> and ALDH1</w:t>
      </w:r>
      <w:r w:rsidR="005330FD">
        <w:rPr>
          <w:rFonts w:ascii="Times New Roman" w:hAnsi="Times New Roman" w:cs="Times New Roman"/>
        </w:rPr>
        <w:t>L1</w:t>
      </w:r>
      <w:r w:rsidR="00F52BD5">
        <w:rPr>
          <w:rFonts w:ascii="Times New Roman" w:hAnsi="Times New Roman" w:cs="Times New Roman"/>
        </w:rPr>
        <w:t xml:space="preserve"> </w:t>
      </w:r>
      <w:r w:rsidR="00945B05">
        <w:rPr>
          <w:rFonts w:ascii="Times New Roman" w:hAnsi="Times New Roman" w:cs="Times New Roman"/>
        </w:rPr>
        <w:t>were</w:t>
      </w:r>
      <w:r w:rsidR="00F52BD5">
        <w:rPr>
          <w:rFonts w:ascii="Times New Roman" w:hAnsi="Times New Roman" w:cs="Times New Roman"/>
        </w:rPr>
        <w:t xml:space="preserve"> </w:t>
      </w:r>
      <w:r w:rsidR="004B3179">
        <w:rPr>
          <w:rFonts w:ascii="Times New Roman" w:hAnsi="Times New Roman" w:cs="Times New Roman"/>
        </w:rPr>
        <w:t>used to</w:t>
      </w:r>
      <w:r w:rsidR="00F52BD5">
        <w:rPr>
          <w:rFonts w:ascii="Times New Roman" w:hAnsi="Times New Roman" w:cs="Times New Roman"/>
        </w:rPr>
        <w:t xml:space="preserve"> identify astrocytes within the co-culture system</w:t>
      </w:r>
      <w:r w:rsidR="005330FD">
        <w:rPr>
          <w:rFonts w:ascii="Times New Roman" w:hAnsi="Times New Roman" w:cs="Times New Roman"/>
        </w:rPr>
        <w:t xml:space="preserve">. </w:t>
      </w:r>
      <w:r w:rsidR="004B3179">
        <w:rPr>
          <w:rFonts w:ascii="Times New Roman" w:hAnsi="Times New Roman" w:cs="Times New Roman"/>
        </w:rPr>
        <w:t xml:space="preserve">CD44 is a transmembrane glycoprotein involved in cell-matrix adhesion and signalling, which has been identified as both a marker of mature astrocytes and of astrocyte restricted precursor cells that are committed to an astrocyte phenotype </w:t>
      </w:r>
      <w:r w:rsidR="004B317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"10.1016/j.ydbio.2004.08.018", "ISSN" : "0012-1606", "PMID" : "15531362", "abstract" : "The precise lineage between neural stem cells and mature astrocytes remains poorly defined. To examine astrocyte development, we have characterized glial precursors from neural tissue derived from early embryonic ages. We show that CD44 identifies an astrocyte-restricted precursor cell (ARP) that is committed to generating astrocytes in vitro and in vivo in both rodent and human tissue. CD44+ cells arise later in development than neuronal-restricted precursors (NRPs) or tripotential glial-restricted precursors (GRPs). ARPs are distinguished from GRP and NRP cells by their antigenic profile and differentiation ability. ARPs can be generated from GRP cells in mass or clonal cultures and in vivo after transplantation, suggesting a sequential differentiation of neuroepithelial stem cells (NEPs) to GRPs to ARPs and then to astrocytes. The properties of ARPs are different from other astrocyte precursors described previously in their expression of CD44 and S-100beta and absence of other lineage markers. Using a CD44 misexpression transgenic mouse model (CNP-CD44 mouse), we show that CD44 overexpression in vivo and in vitro decreases the number of mature glia and increases the number of O4+/GFAP+ cells tenfold. Misexpression of CD44 in culture inhibits oligodendrocytes and arrests cells at the precursor state. In summary, our data provide strong evidence for the existence of a CD44+ ARP in the developing nervous system.", "author" : [ { "dropping-particle" : "", "family" : "Liu", "given" : "Ying", "non-dropping-particle" : "", "parse-names" : false, "suffix" : "" }, { "dropping-particle" : "", "family" : "Han", "given" : "Steve S W", "non-dropping-particle" : "", "parse-names" : false, "suffix" : "" }, { "dropping-particle" : "", "family" : "Wu", "given" : "Yuanyuan", "non-dropping-particle" : "", "parse-names" : false, "suffix" : "" }, { "dropping-particle" : "", "family" : "Tuohy", "given" : "Therese M F", "non-dropping-particle" : "", "parse-names" : false, "suffix" : "" }, { "dropping-particle" : "", "family" : "Xue", "given" : "Haipeng", "non-dropping-particle" : "", "parse-names" : false, "suffix" : "" }, { "dropping-particle" : "", "family" : "Cai", "given" : "Jingli", "non-dropping-particle" : "", "parse-names" : false, "suffix" : "" }, { "dropping-particle" : "", "family" : "Back", "given" : "Stephen A", "non-dropping-particle" : "", "parse-names" : false, "suffix" : "" }, { "dropping-particle" : "", "family" : "Sherman", "given" : "Larry S", "non-dropping-particle" : "", "parse-names" : false, "suffix" : "" }, { "dropping-particle" : "", "family" : "Fischer", "given" : "Itzhak", "non-dropping-particle" : "", "parse-names" : false, "suffix" : "" }, { "dropping-particle" : "", "family" : "Rao", "given" : "Mahendra S", "non-dropping-particle" : "", "parse-names" : false, "suffix" : "" } ], "container-title" : "Developmental biology", "id" : "ITEM-1", "issue" : "1", "issued" : { "date-parts" : [ [ "2004", "12", "1" ] ] }, "page" : "31-46", "title" : "CD44 expression identifies astrocyte-restricted precursor cells.", "type" : "article-journal", "volume" : "276" }, "uris" : [ "http://www.mendeley.com/documents/?uuid=db0fb455-2f86-4c18-a166-359e12df0c67" ] } ], "mendeley" : { "formattedCitation" : "(Liu et al. 2004)", "plainTextFormattedCitation" : "(Liu et al. 2004)", "previouslyFormattedCitation" : "(Liu et al. 2004)" }, "properties" : { "noteIndex" : 0 }, "schema" : "https://github.com/citation-style-language/schema/raw/master/csl-citation.json" }</w:instrText>
      </w:r>
      <w:r w:rsidR="004B3179">
        <w:rPr>
          <w:rFonts w:ascii="Times New Roman" w:hAnsi="Times New Roman" w:cs="Times New Roman"/>
        </w:rPr>
        <w:fldChar w:fldCharType="separate"/>
      </w:r>
      <w:r w:rsidR="00C148FC" w:rsidRPr="00C148FC">
        <w:rPr>
          <w:rFonts w:ascii="Times New Roman" w:hAnsi="Times New Roman" w:cs="Times New Roman"/>
          <w:noProof/>
        </w:rPr>
        <w:t>(Liu et al. 2004)</w:t>
      </w:r>
      <w:r w:rsidR="004B3179">
        <w:rPr>
          <w:rFonts w:ascii="Times New Roman" w:hAnsi="Times New Roman" w:cs="Times New Roman"/>
        </w:rPr>
        <w:fldChar w:fldCharType="end"/>
      </w:r>
      <w:r w:rsidR="004B3179">
        <w:rPr>
          <w:rFonts w:ascii="Times New Roman" w:hAnsi="Times New Roman" w:cs="Times New Roman"/>
        </w:rPr>
        <w:t>.</w:t>
      </w:r>
      <w:r w:rsidR="007028F4">
        <w:rPr>
          <w:rFonts w:ascii="Times New Roman" w:hAnsi="Times New Roman" w:cs="Times New Roman"/>
        </w:rPr>
        <w:t xml:space="preserve"> CD44 is </w:t>
      </w:r>
      <w:r w:rsidR="00945B05">
        <w:rPr>
          <w:rFonts w:ascii="Times New Roman" w:hAnsi="Times New Roman" w:cs="Times New Roman"/>
        </w:rPr>
        <w:t xml:space="preserve">also </w:t>
      </w:r>
      <w:r w:rsidR="006D3C13">
        <w:rPr>
          <w:rFonts w:ascii="Times New Roman" w:hAnsi="Times New Roman" w:cs="Times New Roman"/>
        </w:rPr>
        <w:t>suggested to prece</w:t>
      </w:r>
      <w:r w:rsidR="008E5D13">
        <w:rPr>
          <w:rFonts w:ascii="Times New Roman" w:hAnsi="Times New Roman" w:cs="Times New Roman"/>
        </w:rPr>
        <w:t>d</w:t>
      </w:r>
      <w:r w:rsidR="006D3C13">
        <w:rPr>
          <w:rFonts w:ascii="Times New Roman" w:hAnsi="Times New Roman" w:cs="Times New Roman"/>
        </w:rPr>
        <w:t>e</w:t>
      </w:r>
      <w:r w:rsidR="007028F4">
        <w:rPr>
          <w:rFonts w:ascii="Times New Roman" w:hAnsi="Times New Roman" w:cs="Times New Roman"/>
        </w:rPr>
        <w:t xml:space="preserve"> GFAP expression in astrocytes. GFAP</w:t>
      </w:r>
      <w:r w:rsidR="007F3E3D">
        <w:rPr>
          <w:rFonts w:ascii="Times New Roman" w:hAnsi="Times New Roman" w:cs="Times New Roman"/>
        </w:rPr>
        <w:t xml:space="preserve"> is </w:t>
      </w:r>
      <w:r w:rsidR="00BC1675">
        <w:rPr>
          <w:rFonts w:ascii="Times New Roman" w:hAnsi="Times New Roman" w:cs="Times New Roman"/>
        </w:rPr>
        <w:t>the major protein</w:t>
      </w:r>
      <w:r w:rsidR="00BB7B16">
        <w:rPr>
          <w:rFonts w:ascii="Times New Roman" w:hAnsi="Times New Roman" w:cs="Times New Roman"/>
        </w:rPr>
        <w:t xml:space="preserve"> of glial intermediate filaments </w:t>
      </w:r>
      <w:r w:rsidR="00BB7B16">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"10.1016/S0165-5728(85)80063-1", "ISSN" : "01655728", "abstract" : "The glial fibrillary acidic protein (GFA protein or GFAP) is the major protein constituent of glial intermediate filaments in differentiated fibrous and protoplasmic astrocytes of the central nervous system. Proteins having similar molecular weights, isoelectric points, and immunoreactivity with GFAP have been found in cells of neural crest and ectodermal origin. A putative function ascribed to glial filaments is its role as a component of the cytoskeleton in defining and maintaining the shape of the astrocyte. Since 1980, over 350 reports have utilized antisera to GFAP for immunochemical and immunocytochemical studies.", "author" : [ { "dropping-particle" : "", "family" : "Eng", "given" : "Lawrence F.", "non-dropping-particle" : "", "parse-names" : false, "suffix" : "" } ], "container-title" : "Journal of Neuroimmunology", "id" : "ITEM-1", "issued" : { "date-parts" : [ [ "1985" ] ] }, "page" : "203-214", "title" : "Glial fibrillary acidic protein (GFAP): the major protein of glial intermediate filaments in differentiated astrocytes", "type" : "article-journal", "volume" : "8" }, "uris" : [ "http://www.mendeley.com/documents/?uuid=cef4681b-90e4-4266-b792-7d5d8ce8eea6" ] } ], "mendeley" : { "formattedCitation" : "(Eng 1985)", "plainTextFormattedCitation" : "(Eng 1985)", "previouslyFormattedCitation" : "(Eng 1985)" }, "properties" : { "noteIndex" : 0 }, "schema" : "https://github.com/citation-style-language/schema/raw/master/csl-citation.json" }</w:instrText>
      </w:r>
      <w:r w:rsidR="00BB7B16">
        <w:rPr>
          <w:rFonts w:ascii="Times New Roman" w:hAnsi="Times New Roman" w:cs="Times New Roman"/>
        </w:rPr>
        <w:fldChar w:fldCharType="separate"/>
      </w:r>
      <w:r w:rsidR="00C148FC" w:rsidRPr="00C148FC">
        <w:rPr>
          <w:rFonts w:ascii="Times New Roman" w:hAnsi="Times New Roman" w:cs="Times New Roman"/>
          <w:noProof/>
        </w:rPr>
        <w:t>(Eng 1985)</w:t>
      </w:r>
      <w:r w:rsidR="00BB7B16">
        <w:rPr>
          <w:rFonts w:ascii="Times New Roman" w:hAnsi="Times New Roman" w:cs="Times New Roman"/>
        </w:rPr>
        <w:fldChar w:fldCharType="end"/>
      </w:r>
      <w:r w:rsidR="00533350">
        <w:rPr>
          <w:rFonts w:ascii="Times New Roman" w:hAnsi="Times New Roman" w:cs="Times New Roman"/>
        </w:rPr>
        <w:t xml:space="preserve"> </w:t>
      </w:r>
      <w:r w:rsidR="00BB7B16">
        <w:rPr>
          <w:rFonts w:ascii="Times New Roman" w:hAnsi="Times New Roman" w:cs="Times New Roman"/>
        </w:rPr>
        <w:t>that is</w:t>
      </w:r>
      <w:r w:rsidR="00533350">
        <w:rPr>
          <w:rFonts w:ascii="Times New Roman" w:hAnsi="Times New Roman" w:cs="Times New Roman"/>
        </w:rPr>
        <w:t xml:space="preserve"> </w:t>
      </w:r>
      <w:r w:rsidR="00CC4F62">
        <w:rPr>
          <w:rFonts w:ascii="Times New Roman" w:hAnsi="Times New Roman" w:cs="Times New Roman"/>
        </w:rPr>
        <w:t>typically expressed by astrocytes undergoing differentiation or gliosis</w:t>
      </w:r>
      <w:r w:rsidR="00BB7B16">
        <w:rPr>
          <w:rFonts w:ascii="Times New Roman" w:hAnsi="Times New Roman" w:cs="Times New Roman"/>
        </w:rPr>
        <w:t xml:space="preserve"> </w:t>
      </w:r>
      <w:r w:rsidR="007F3E3D">
        <w:rPr>
          <w:rFonts w:ascii="Times New Roman" w:hAnsi="Times New Roman" w:cs="Times New Roman"/>
        </w:rPr>
        <w:t xml:space="preserve">and is present in a subset of </w:t>
      </w:r>
      <w:r w:rsidR="005330FD">
        <w:rPr>
          <w:rFonts w:ascii="Times New Roman" w:hAnsi="Times New Roman" w:cs="Times New Roman"/>
        </w:rPr>
        <w:t xml:space="preserve">the </w:t>
      </w:r>
      <w:r w:rsidR="007F3E3D">
        <w:rPr>
          <w:rFonts w:ascii="Times New Roman" w:hAnsi="Times New Roman" w:cs="Times New Roman"/>
        </w:rPr>
        <w:t>human ScienCell astrocytes both in monoculture and co-culture</w:t>
      </w:r>
      <w:r w:rsidR="00CC4F62">
        <w:rPr>
          <w:rFonts w:ascii="Times New Roman" w:hAnsi="Times New Roman" w:cs="Times New Roman"/>
        </w:rPr>
        <w:t>.</w:t>
      </w:r>
      <w:r w:rsidR="001F3F17">
        <w:rPr>
          <w:rFonts w:ascii="Times New Roman" w:hAnsi="Times New Roman" w:cs="Times New Roman"/>
        </w:rPr>
        <w:t xml:space="preserve"> Vimentin is another intermediate filament protein</w:t>
      </w:r>
      <w:r w:rsidR="003118A6">
        <w:rPr>
          <w:rFonts w:ascii="Times New Roman" w:hAnsi="Times New Roman" w:cs="Times New Roman"/>
        </w:rPr>
        <w:t xml:space="preserve"> </w:t>
      </w:r>
      <w:r w:rsidR="001F3F17">
        <w:rPr>
          <w:rFonts w:ascii="Times New Roman" w:hAnsi="Times New Roman" w:cs="Times New Roman"/>
        </w:rPr>
        <w:t>expressed in glial precursors during embryonic development.</w:t>
      </w:r>
      <w:r w:rsidR="0093397C">
        <w:rPr>
          <w:rFonts w:ascii="Times New Roman" w:hAnsi="Times New Roman" w:cs="Times New Roman"/>
        </w:rPr>
        <w:t xml:space="preserve"> G</w:t>
      </w:r>
      <w:r w:rsidR="005F5A3B">
        <w:rPr>
          <w:rFonts w:ascii="Times New Roman" w:hAnsi="Times New Roman" w:cs="Times New Roman"/>
        </w:rPr>
        <w:t>ene expression profiling of astrocytes isolated from the mouse forebrain</w:t>
      </w:r>
      <w:r w:rsidR="008E5D13">
        <w:rPr>
          <w:rFonts w:ascii="Times New Roman" w:hAnsi="Times New Roman" w:cs="Times New Roman"/>
        </w:rPr>
        <w:t xml:space="preserve"> has</w:t>
      </w:r>
      <w:r w:rsidR="0093397C">
        <w:rPr>
          <w:rFonts w:ascii="Times New Roman" w:hAnsi="Times New Roman" w:cs="Times New Roman"/>
        </w:rPr>
        <w:t xml:space="preserve"> </w:t>
      </w:r>
      <w:r w:rsidR="00B95F88">
        <w:rPr>
          <w:rFonts w:ascii="Times New Roman" w:hAnsi="Times New Roman" w:cs="Times New Roman"/>
        </w:rPr>
        <w:t>demonstrated that</w:t>
      </w:r>
      <w:r w:rsidR="005F5A3B">
        <w:rPr>
          <w:rFonts w:ascii="Times New Roman" w:hAnsi="Times New Roman" w:cs="Times New Roman"/>
        </w:rPr>
        <w:t xml:space="preserve"> </w:t>
      </w:r>
      <w:r w:rsidR="00FC7A38">
        <w:rPr>
          <w:rFonts w:ascii="Times New Roman" w:hAnsi="Times New Roman" w:cs="Times New Roman"/>
        </w:rPr>
        <w:t xml:space="preserve">an enzyme involved in formate oxidation, </w:t>
      </w:r>
      <w:r w:rsidR="00E8201E">
        <w:rPr>
          <w:rFonts w:ascii="Times New Roman" w:hAnsi="Times New Roman" w:cs="Times New Roman"/>
        </w:rPr>
        <w:t>ALDH1L1</w:t>
      </w:r>
      <w:r w:rsidR="00FC7A38">
        <w:rPr>
          <w:rFonts w:ascii="Times New Roman" w:hAnsi="Times New Roman" w:cs="Times New Roman"/>
        </w:rPr>
        <w:t>,</w:t>
      </w:r>
      <w:r w:rsidR="005F5A3B">
        <w:rPr>
          <w:rFonts w:ascii="Times New Roman" w:hAnsi="Times New Roman" w:cs="Times New Roman"/>
        </w:rPr>
        <w:t xml:space="preserve"> </w:t>
      </w:r>
      <w:r w:rsidR="00B95F88">
        <w:rPr>
          <w:rFonts w:ascii="Times New Roman" w:hAnsi="Times New Roman" w:cs="Times New Roman"/>
        </w:rPr>
        <w:t>is a</w:t>
      </w:r>
      <w:r w:rsidR="005F5A3B">
        <w:rPr>
          <w:rFonts w:ascii="Times New Roman" w:hAnsi="Times New Roman" w:cs="Times New Roman"/>
        </w:rPr>
        <w:t xml:space="preserve"> selective marker of </w:t>
      </w:r>
      <w:r w:rsidR="0093397C">
        <w:rPr>
          <w:rFonts w:ascii="Times New Roman" w:hAnsi="Times New Roman" w:cs="Times New Roman"/>
        </w:rPr>
        <w:t>astrocytes</w:t>
      </w:r>
      <w:r w:rsidR="005F5A3B">
        <w:rPr>
          <w:rFonts w:ascii="Times New Roman" w:hAnsi="Times New Roman" w:cs="Times New Roman"/>
        </w:rPr>
        <w:t xml:space="preserve"> with a broader pattern of expression than the classic astrocyte marker GFAP</w:t>
      </w:r>
      <w:r w:rsidR="00E8201E">
        <w:rPr>
          <w:rFonts w:ascii="Times New Roman" w:hAnsi="Times New Roman" w:cs="Times New Roman"/>
        </w:rPr>
        <w:t xml:space="preserve"> </w:t>
      </w:r>
      <w:r w:rsidR="00E8201E">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"10.1523/JNEUROSCI.4178-07.2008", "ISSN" : "1529-2401", "PMID" : "18171944", "abstract" : "Understanding the cell-cell interactions that control CNS development and function has long been limited by the lack of methods to cleanly separate neural cell types. Here we describe methods for the prospective isolation and purification of astrocytes, neurons, and oligodendrocytes from developing and mature mouse forebrain. We used FACS (fluorescent-activated cell sorting) to isolate astrocytes from transgenic mice that express enhanced green fluorescent protein (EGFP) under the control of an S100beta promoter. Using Affymetrix GeneChip Arrays, we then created a transcriptome database of the expression levels of &gt;20,000 genes by gene profiling these three main CNS neural cell types at various postnatal ages between postnatal day 1 (P1) and P30. This database provides a detailed global characterization and comparison of the genes expressed by acutely isolated astrocytes, neurons, and oligodendrocytes. We found that Aldh1L1 is a highly specific antigenic marker for astrocytes with a substantially broader pattern of astrocyte expression than the traditional astrocyte marker GFAP. Astrocytes were enriched in specific metabolic and lipid synthetic pathways, as well as the draper/Megf10 and Mertk/integrin alpha(v)beta5 phagocytic pathways suggesting that astrocytes are professional phagocytes. Our findings call into question the concept of a \"glial\" cell class as the gene profiles of astrocytes and oligodendrocytes are as dissimilar to each other as they are to neurons. This transcriptome database of acutely isolated purified astrocytes, neurons, and oligodendrocytes provides a resource to the neuroscience community by providing improved cell-type-specific markers and for better understanding of neural development, function, and disease.", "author" : [ { "dropping-particle" : "", "family" : "Cahoy", "given" : "John D", "non-dropping-particle" : "", "parse-names" : false, "suffix" : "" }, { "dropping-particle" : "", "family" : "Emery", "given" : "Ben", "non-dropping-particle" : "", "parse-names" : false, "suffix" : "" }, { "dropping-particle" : "", "family" : "Kaushal", "given" : "Amit", "non-dropping-particle" : "", "parse-names" : false, "suffix" : "" }, { "dropping-particle" : "", "family" : "Foo", "given" : "Lynette C", "non-dropping-particle" : "", "parse-names" : false, "suffix" : "" }, { "dropping-particle" : "", "family" : "Zamanian", "given" : "Jennifer L", "non-dropping-particle" : "", "parse-names" : false, "suffix" : "" }, { "dropping-particle" : "", "family" : "Christopherson", "given" : "Karen S", "non-dropping-particle" : "", "parse-names" : false, "suffix" : "" }, { "dropping-particle" : "", "family" : "Xing", "given" : "Yi", "non-dropping-particle" : "", "parse-names" : false, "suffix" : "" }, { "dropping-particle" : "", "family" : "Lubischer", "given" : "Jane L", "non-dropping-particle" : "", "parse-names" : false, "suffix" : "" }, { "dropping-particle" : "", "family" : "Krieg", "given" : "Paul A", "non-dropping-particle" : "", "parse-names" : false, "suffix" : "" }, { "dropping-particle" : "", "family" : "Krupenko", "given" : "Sergey A", "non-dropping-particle" : "", "parse-names" : false, "suffix" : "" }, { "dropping-particle" : "", "family" : "Thompson", "given" : "Wesley J", "non-dropping-particle" : "", "parse-names" : false, "suffix" : "" }, { "dropping-particle" : "", "family" : "Barres", "given" : "Ben A", "non-dropping-particle" : "", "parse-names" : false, "suffix" : "" } ], "container-title" : "The Journal of neuroscience : the official journal of the Society for Neuroscience", "id" : "ITEM-1", "issue" : "1", "issued" : { "date-parts" : [ [ "2008", "1", "2" ] ] }, "page" : "264-78", "title" : "A transcriptome database for astrocytes, neurons, and oligodendrocytes: a new resource for understanding brain development and function.", "type" : "article-journal", "volume" : "28" }, "uris" : [ "http://www.mendeley.com/documents/?uuid=7a9c84bd-d270-47af-b641-1de83216ca39" ] } ], "mendeley" : { "formattedCitation" : "(Cahoy et al. 2008)", "plainTextFormattedCitation" : "(Cahoy et al. 2008)", "previouslyFormattedCitation" : "(Cahoy et al. 2008)" }, "properties" : { "noteIndex" : 0 }, "schema" : "https://github.com/citation-style-language/schema/raw/master/csl-citation.json" }</w:instrText>
      </w:r>
      <w:r w:rsidR="00E8201E">
        <w:rPr>
          <w:rFonts w:ascii="Times New Roman" w:hAnsi="Times New Roman" w:cs="Times New Roman"/>
        </w:rPr>
        <w:fldChar w:fldCharType="separate"/>
      </w:r>
      <w:r w:rsidR="00C148FC" w:rsidRPr="00C148FC">
        <w:rPr>
          <w:rFonts w:ascii="Times New Roman" w:hAnsi="Times New Roman" w:cs="Times New Roman"/>
          <w:noProof/>
        </w:rPr>
        <w:t>(Cahoy et al. 2008)</w:t>
      </w:r>
      <w:r w:rsidR="00E8201E">
        <w:rPr>
          <w:rFonts w:ascii="Times New Roman" w:hAnsi="Times New Roman" w:cs="Times New Roman"/>
        </w:rPr>
        <w:fldChar w:fldCharType="end"/>
      </w:r>
      <w:r w:rsidR="00E8201E">
        <w:rPr>
          <w:rFonts w:ascii="Times New Roman" w:hAnsi="Times New Roman" w:cs="Times New Roman"/>
        </w:rPr>
        <w:t>.</w:t>
      </w:r>
      <w:r w:rsidR="005330FD">
        <w:rPr>
          <w:rFonts w:ascii="Times New Roman" w:hAnsi="Times New Roman" w:cs="Times New Roman"/>
        </w:rPr>
        <w:t xml:space="preserve"> All four of these</w:t>
      </w:r>
      <w:r w:rsidR="0093397C">
        <w:rPr>
          <w:rFonts w:ascii="Times New Roman" w:hAnsi="Times New Roman" w:cs="Times New Roman"/>
        </w:rPr>
        <w:t xml:space="preserve"> classic astrocyte</w:t>
      </w:r>
      <w:r w:rsidR="005330FD">
        <w:rPr>
          <w:rFonts w:ascii="Times New Roman" w:hAnsi="Times New Roman" w:cs="Times New Roman"/>
        </w:rPr>
        <w:t xml:space="preserve"> markers </w:t>
      </w:r>
      <w:r w:rsidR="003A4038">
        <w:rPr>
          <w:rFonts w:ascii="Times New Roman" w:hAnsi="Times New Roman" w:cs="Times New Roman"/>
        </w:rPr>
        <w:t>were</w:t>
      </w:r>
      <w:r w:rsidR="0093397C">
        <w:rPr>
          <w:rFonts w:ascii="Times New Roman" w:hAnsi="Times New Roman" w:cs="Times New Roman"/>
        </w:rPr>
        <w:t xml:space="preserve"> </w:t>
      </w:r>
      <w:r w:rsidR="003A4038">
        <w:rPr>
          <w:rFonts w:ascii="Times New Roman" w:hAnsi="Times New Roman" w:cs="Times New Roman"/>
        </w:rPr>
        <w:t>identified in</w:t>
      </w:r>
      <w:r w:rsidR="005330FD">
        <w:rPr>
          <w:rFonts w:ascii="Times New Roman" w:hAnsi="Times New Roman" w:cs="Times New Roman"/>
        </w:rPr>
        <w:t xml:space="preserve"> astrocytes</w:t>
      </w:r>
      <w:r w:rsidR="00FC7A38">
        <w:rPr>
          <w:rFonts w:ascii="Times New Roman" w:hAnsi="Times New Roman" w:cs="Times New Roman"/>
        </w:rPr>
        <w:t xml:space="preserve"> in the co-culture system</w:t>
      </w:r>
      <w:r w:rsidR="005330FD">
        <w:rPr>
          <w:rFonts w:ascii="Times New Roman" w:hAnsi="Times New Roman" w:cs="Times New Roman"/>
        </w:rPr>
        <w:t>.</w:t>
      </w:r>
    </w:p>
    <w:p w14:paraId="669F8E95" w14:textId="77777777" w:rsidR="00AA21C2" w:rsidRDefault="00AA21C2" w:rsidP="00C63BC1">
      <w:pPr>
        <w:spacing w:line="360" w:lineRule="auto"/>
        <w:jc w:val="both"/>
        <w:rPr>
          <w:rFonts w:ascii="Times New Roman" w:hAnsi="Times New Roman" w:cs="Times New Roman"/>
        </w:rPr>
      </w:pPr>
      <w:r>
        <w:rPr>
          <w:rFonts w:ascii="Times New Roman" w:hAnsi="Times New Roman" w:cs="Times New Roman"/>
        </w:rPr>
        <w:t xml:space="preserve"> </w:t>
      </w:r>
    </w:p>
    <w:p w14:paraId="76C6252A" w14:textId="45D03667" w:rsidR="005E5C4B" w:rsidRPr="003A4038" w:rsidRDefault="00E87614" w:rsidP="00C63BC1">
      <w:pPr>
        <w:spacing w:line="360" w:lineRule="auto"/>
        <w:jc w:val="both"/>
        <w:rPr>
          <w:rFonts w:ascii="Times New Roman" w:hAnsi="Times New Roman" w:cs="Times New Roman"/>
          <w:color w:val="FF0000"/>
        </w:rPr>
      </w:pPr>
      <w:r>
        <w:rPr>
          <w:rFonts w:ascii="Times New Roman" w:hAnsi="Times New Roman" w:cs="Times New Roman"/>
        </w:rPr>
        <w:t xml:space="preserve">Increasingly, </w:t>
      </w:r>
      <w:r w:rsidR="00F416F3">
        <w:rPr>
          <w:rFonts w:ascii="Times New Roman" w:hAnsi="Times New Roman" w:cs="Times New Roman"/>
        </w:rPr>
        <w:t xml:space="preserve">astrocytes have been reported to express </w:t>
      </w:r>
      <w:r w:rsidR="003A4038">
        <w:rPr>
          <w:rFonts w:ascii="Times New Roman" w:hAnsi="Times New Roman" w:cs="Times New Roman"/>
        </w:rPr>
        <w:t xml:space="preserve">some </w:t>
      </w:r>
      <w:r w:rsidR="00F416F3">
        <w:rPr>
          <w:rFonts w:ascii="Times New Roman" w:hAnsi="Times New Roman" w:cs="Times New Roman"/>
        </w:rPr>
        <w:t>neuronal markers</w:t>
      </w:r>
      <w:r w:rsidR="00E73D42">
        <w:rPr>
          <w:rFonts w:ascii="Times New Roman" w:hAnsi="Times New Roman" w:cs="Times New Roman"/>
        </w:rPr>
        <w:t>. For example</w:t>
      </w:r>
      <w:r>
        <w:rPr>
          <w:rFonts w:ascii="Times New Roman" w:hAnsi="Times New Roman" w:cs="Times New Roman"/>
        </w:rPr>
        <w:t>, m</w:t>
      </w:r>
      <w:r w:rsidR="0012556E">
        <w:rPr>
          <w:rFonts w:ascii="Times New Roman" w:hAnsi="Times New Roman" w:cs="Times New Roman"/>
        </w:rPr>
        <w:t xml:space="preserve">ature astrocytes in adult human neocortex have been shown to express the early neuronal marker doublecortin, a marker of neogenesis </w:t>
      </w:r>
      <w:r w:rsidR="0012556E">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"10.1093/brain/awm264", "ISSN" : "1460-2156", "PMID" : "18055496", "abstract" : "Doublecortin (DCX) is a microtubule-associated protein expressed by migrating neuroblasts and is considered to be a reliable marker of neurogenesis. DCX has been used to study the relation between neurogenesis in adult human brain and neurological and neurodegenerative disease processes in the search for putative therapeutic strategies. Using autopsy and surgically resected tissue from a total of 60 patients, we present evidence that DCX is present in several cellular compartments of differentiated astrocytes in the adult human neocortex. One of these compartments consisted of peripheral processes forming punctate envelopes around mature neuronal cell bodies. Markers of glial activation, such as GFAP and HLA, were not associated with DCX immunoreactivity, however, the presence of cytoarchitectural alterations tended to correlate with reduced DCX staining of astrocytic somata. Interestingly, local Alzheimer pathology that showed no relation with cytoarchitectural abnormalities appeared to correlate negatively with the expression of DCX in the astrocytic somata. In combination with the literature our data support the view that DCX in the adult human neocortex may have a function in glia-to-neuron communication. Furthermore, our results indicate that in the adult human neocortex DCX is neither a reliable nor a selective marker of neurogenesis.", "author" : [ { "dropping-particle" : "", "family" : "Verwer", "given" : "R W H", "non-dropping-particle" : "", "parse-names" : false, "suffix" : "" }, { "dropping-particle" : "", "family" : "Sluiter", "given" : "A A", "non-dropping-particle" : "", "parse-names" : false, "suffix" : "" }, { "dropping-particle" : "", "family" : "Balesar", "given" : "R A", "non-dropping-particle" : "", "parse-names" : false, "suffix" : "" }, { "dropping-particle" : "", "family" : "Baayen", "given" : "J C", "non-dropping-particle" : "", "parse-names" : false, "suffix" : "" }, { "dropping-particle" : "", "family" : "Noske", "given" : "D P", "non-dropping-particle" : "", "parse-names" : false, "suffix" : "" }, { "dropping-particle" : "", "family" : "Dirven", "given" : "C M F", "non-dropping-particle" : "", "parse-names" : false, "suffix" : "" }, { "dropping-particle" : "", "family" : "Wouda", "given" : "J", "non-dropping-particle" : "", "parse-names" : false, "suffix" : "" }, { "dropping-particle" : "", "family" : "Dam", "given" : "A M", "non-dropping-particle" : "van", "parse-names" : false, "suffix" : "" }, { "dropping-particle" : "", "family" : "Lucassen", "given" : "P J", "non-dropping-particle" : "", "parse-names" : false, "suffix" : "" }, { "dropping-particle" : "", "family" : "Swaab", "given" : "D F", "non-dropping-particle" : "", "parse-names" : false, "suffix" : "" } ], "container-title" : "Brain : a journal of neurology", "id" : "ITEM-1", "issue" : "Pt 12", "issued" : { "date-parts" : [ [ "2007", "12", "1" ] ] }, "page" : "3321-35", "title" : "Mature astrocytes in the adult human neocortex express the early neuronal marker doublecortin.", "type" : "article-journal", "volume" : "130" }, "uris" : [ "http://www.mendeley.com/documents/?uuid=d1de1146-a876-4aeb-8d79-846b41e81d83" ] } ], "mendeley" : { "formattedCitation" : "(Verwer et al. 2007)", "plainTextFormattedCitation" : "(Verwer et al. 2007)", "previouslyFormattedCitation" : "(Verwer et al. 2007)" }, "properties" : { "noteIndex" : 0 }, "schema" : "https://github.com/citation-style-language/schema/raw/master/csl-citation.json" }</w:instrText>
      </w:r>
      <w:r w:rsidR="0012556E">
        <w:rPr>
          <w:rFonts w:ascii="Times New Roman" w:hAnsi="Times New Roman" w:cs="Times New Roman"/>
        </w:rPr>
        <w:fldChar w:fldCharType="separate"/>
      </w:r>
      <w:r w:rsidR="00C148FC" w:rsidRPr="00C148FC">
        <w:rPr>
          <w:rFonts w:ascii="Times New Roman" w:hAnsi="Times New Roman" w:cs="Times New Roman"/>
          <w:noProof/>
        </w:rPr>
        <w:t>(Verwer et al. 2007)</w:t>
      </w:r>
      <w:r w:rsidR="0012556E">
        <w:rPr>
          <w:rFonts w:ascii="Times New Roman" w:hAnsi="Times New Roman" w:cs="Times New Roman"/>
        </w:rPr>
        <w:fldChar w:fldCharType="end"/>
      </w:r>
      <w:r>
        <w:rPr>
          <w:rFonts w:ascii="Times New Roman" w:hAnsi="Times New Roman" w:cs="Times New Roman"/>
        </w:rPr>
        <w:t xml:space="preserve"> and </w:t>
      </w:r>
      <w:r w:rsidR="003A4559">
        <w:rPr>
          <w:rFonts w:ascii="Times New Roman" w:hAnsi="Times New Roman" w:cs="Times New Roman"/>
        </w:rPr>
        <w:t xml:space="preserve">expression of a </w:t>
      </w:r>
      <w:r>
        <w:rPr>
          <w:rFonts w:ascii="Times New Roman" w:hAnsi="Times New Roman" w:cs="Times New Roman"/>
        </w:rPr>
        <w:t xml:space="preserve">neuron specific glutamate transporter EAAT4 has also been identified in astrocytes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"10.1002/glia.10268", "ISSN" : "0894-1491", "PMID" : "12951653", "abstract" : "High-affinity excitatory amino acid transporters (EAATs) are essential to terminate glutamatergic neurotransmission and to prevent excitotoxicity. To date, five distinct EAATs have been cloned from animal and human tissues: GLAST (EAAT1), GLT-1 (EAAT2), EAAC1 (EAAT3), EAAT4, and EAAT5. EAAT1 and EAAT2 are commonly known as glial glutamate transporters, whereas EAAT3, EAAT4, and EAAT5 are neuronal. EAAT4 is largely expressed in cerebellar Purkinje cells. In this study, using immunohistochemistry and Western blotting, we found that EAAT4-like immunoreactivity (ir) is enriched in the spinal cord and forebrain. Double-labeled fluorescent immunostaining and confocal image analysis indicated that EAAT4-like ir colocalizes with an astrocytic marker, glial fibrillary acidic protein (GFAP). The astrocytic localization of EAAT4 was further confirmed in astrocyte cultures by double-labeled fluorescent immunocytochemistry and Western blotting. Reverse transcriptase-polymerase chain reaction analysis demonstrated mRNA expression of EAAT4 in astrocyte cultures. Sequencing confirmed the specificity of the amplified fragment. These results demonstrate that EAAT4 is expressed in astrocytes. This astrocytic localization of neuronal EAAT4 may reveal a new function of EAAT4 in the central nervous system.", "author" : [ { "dropping-particle" : "", "family" : "Hu", "given" : "Wen-Hui", "non-dropping-particle" : "", "parse-names" : false, "suffix" : "" }, { "dropping-particle" : "", "family" : "Walters", "given" : "Winston M", "non-dropping-particle" : "", "parse-names" : false, "suffix" : "" }, { "dropping-particle" : "", "family" : "Xia", "given" : "Xiao-Mei", "non-dropping-particle" : "", "parse-names" : false, "suffix" : "" }, { "dropping-particle" : "", "family" : "Karmally", "given" : "Shaffiat A", "non-dropping-particle" : "", "parse-names" : false, "suffix" : "" }, { "dropping-particle" : "", "family" : "Bethea", "given" : "John R", "non-dropping-particle" : "", "parse-names" : false, "suffix" : "" } ], "container-title" : "Glia", "id" : "ITEM-1", "issue" : "1", "issued" : { "date-parts" : [ [ "2003", "10" ] ] }, "page" : "13-25", "title" : "Neuronal glutamate transporter EAAT4 is expressed in astrocytes.", "type" : "article-journal", "volume" : "44" }, "uris" : [ "http://www.mendeley.com/documents/?uuid=e569c650-429b-4c4d-8c7c-0a360fc48fa2" ] } ], "mendeley" : { "formattedCitation" : "(Hu et al. 2003)", "plainTextFormattedCitation" : "(Hu et al. 2003)", "previouslyFormattedCitation" : "(Hu et al. 2003)"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(Hu et al. 2003)</w:t>
      </w:r>
      <w:r>
        <w:rPr>
          <w:rFonts w:ascii="Times New Roman" w:hAnsi="Times New Roman" w:cs="Times New Roman"/>
        </w:rPr>
        <w:fldChar w:fldCharType="end"/>
      </w:r>
      <w:r w:rsidR="00F416F3">
        <w:rPr>
          <w:rFonts w:ascii="Times New Roman" w:hAnsi="Times New Roman" w:cs="Times New Roman"/>
        </w:rPr>
        <w:t xml:space="preserve">. Similarly, this </w:t>
      </w:r>
      <w:r w:rsidR="003A4038">
        <w:rPr>
          <w:rFonts w:ascii="Times New Roman" w:hAnsi="Times New Roman" w:cs="Times New Roman"/>
        </w:rPr>
        <w:t>work</w:t>
      </w:r>
      <w:r w:rsidR="00F416F3">
        <w:rPr>
          <w:rFonts w:ascii="Times New Roman" w:hAnsi="Times New Roman" w:cs="Times New Roman"/>
        </w:rPr>
        <w:t xml:space="preserve"> shows that PSD95, a marker of pre and post-synaptic neuronal regions, is expressed by human astrocytes. </w:t>
      </w:r>
      <w:r w:rsidR="00816175">
        <w:rPr>
          <w:rFonts w:ascii="Times New Roman" w:hAnsi="Times New Roman" w:cs="Times New Roman"/>
        </w:rPr>
        <w:t>Discovery of t</w:t>
      </w:r>
      <w:r w:rsidR="00F416F3">
        <w:rPr>
          <w:rFonts w:ascii="Times New Roman" w:hAnsi="Times New Roman" w:cs="Times New Roman"/>
        </w:rPr>
        <w:t>he</w:t>
      </w:r>
      <w:r w:rsidR="00816175">
        <w:rPr>
          <w:rFonts w:ascii="Times New Roman" w:hAnsi="Times New Roman" w:cs="Times New Roman"/>
        </w:rPr>
        <w:t xml:space="preserve">se typically neuron-associated proteins </w:t>
      </w:r>
      <w:r w:rsidR="006D3C13">
        <w:rPr>
          <w:rFonts w:ascii="Times New Roman" w:hAnsi="Times New Roman" w:cs="Times New Roman"/>
        </w:rPr>
        <w:t xml:space="preserve">in astrocytes suggests that some markers used to define lineage are not completely lineage-specific but also highlights </w:t>
      </w:r>
      <w:r w:rsidR="00816175">
        <w:rPr>
          <w:rFonts w:ascii="Times New Roman" w:hAnsi="Times New Roman" w:cs="Times New Roman"/>
        </w:rPr>
        <w:t xml:space="preserve">there is still so much left to understand about </w:t>
      </w:r>
      <w:r w:rsidR="00E73D42">
        <w:rPr>
          <w:rFonts w:ascii="Times New Roman" w:hAnsi="Times New Roman" w:cs="Times New Roman"/>
        </w:rPr>
        <w:t xml:space="preserve">the basic physiology of these cells. </w:t>
      </w:r>
    </w:p>
    <w:p w14:paraId="0778FBF7" w14:textId="77777777" w:rsidR="00C7513F" w:rsidRDefault="005E5C4B" w:rsidP="00C63BC1">
      <w:pPr>
        <w:spacing w:line="360" w:lineRule="auto"/>
        <w:jc w:val="both"/>
        <w:rPr>
          <w:rFonts w:ascii="Times New Roman" w:hAnsi="Times New Roman" w:cs="Times New Roman"/>
        </w:rPr>
      </w:pPr>
      <w:r>
        <w:rPr>
          <w:rFonts w:ascii="Times New Roman" w:hAnsi="Times New Roman" w:cs="Times New Roman"/>
        </w:rPr>
        <w:t xml:space="preserve">  </w:t>
      </w:r>
    </w:p>
    <w:p w14:paraId="2A5E198F" w14:textId="20ABBBDD" w:rsidR="00085252" w:rsidRDefault="005E5C4B" w:rsidP="00C63BC1">
      <w:pPr>
        <w:spacing w:line="360" w:lineRule="auto"/>
        <w:jc w:val="both"/>
        <w:rPr>
          <w:rFonts w:ascii="Times New Roman" w:hAnsi="Times New Roman" w:cs="Times New Roman"/>
        </w:rPr>
      </w:pPr>
      <w:r>
        <w:rPr>
          <w:rFonts w:ascii="Times New Roman" w:hAnsi="Times New Roman" w:cs="Times New Roman"/>
        </w:rPr>
        <w:t>A</w:t>
      </w:r>
      <w:r w:rsidR="00A00F22">
        <w:rPr>
          <w:rFonts w:ascii="Times New Roman" w:hAnsi="Times New Roman" w:cs="Times New Roman"/>
        </w:rPr>
        <w:t xml:space="preserve">strocytes and neurons </w:t>
      </w:r>
      <w:r>
        <w:rPr>
          <w:rFonts w:ascii="Times New Roman" w:hAnsi="Times New Roman" w:cs="Times New Roman"/>
        </w:rPr>
        <w:t>have also been shown to</w:t>
      </w:r>
      <w:r w:rsidR="00085252">
        <w:rPr>
          <w:rFonts w:ascii="Times New Roman" w:hAnsi="Times New Roman" w:cs="Times New Roman"/>
        </w:rPr>
        <w:t xml:space="preserve"> develop a more</w:t>
      </w:r>
      <w:r>
        <w:rPr>
          <w:rFonts w:ascii="Times New Roman" w:hAnsi="Times New Roman" w:cs="Times New Roman"/>
        </w:rPr>
        <w:t xml:space="preserve"> mature</w:t>
      </w:r>
      <w:r w:rsidR="00085252">
        <w:rPr>
          <w:rFonts w:ascii="Times New Roman" w:hAnsi="Times New Roman" w:cs="Times New Roman"/>
        </w:rPr>
        <w:t xml:space="preserve"> phenotype in co-culture compared to cells</w:t>
      </w:r>
      <w:r>
        <w:rPr>
          <w:rFonts w:ascii="Times New Roman" w:hAnsi="Times New Roman" w:cs="Times New Roman"/>
        </w:rPr>
        <w:t xml:space="preserve"> </w:t>
      </w:r>
      <w:r w:rsidR="00384920">
        <w:rPr>
          <w:rFonts w:ascii="Times New Roman" w:hAnsi="Times New Roman" w:cs="Times New Roman"/>
        </w:rPr>
        <w:t xml:space="preserve">in </w:t>
      </w:r>
      <w:r w:rsidR="00085252">
        <w:rPr>
          <w:rFonts w:ascii="Times New Roman" w:hAnsi="Times New Roman" w:cs="Times New Roman"/>
        </w:rPr>
        <w:t>mono</w:t>
      </w:r>
      <w:r>
        <w:rPr>
          <w:rFonts w:ascii="Times New Roman" w:hAnsi="Times New Roman" w:cs="Times New Roman"/>
        </w:rPr>
        <w:t>culture</w:t>
      </w:r>
      <w:r w:rsidR="00534237">
        <w:rPr>
          <w:rFonts w:ascii="Times New Roman" w:hAnsi="Times New Roman" w:cs="Times New Roman"/>
        </w:rPr>
        <w:t>. In the presence of neurons,</w:t>
      </w:r>
      <w:r w:rsidR="00C7513F">
        <w:rPr>
          <w:rFonts w:ascii="Times New Roman" w:hAnsi="Times New Roman" w:cs="Times New Roman"/>
        </w:rPr>
        <w:t xml:space="preserve"> </w:t>
      </w:r>
      <w:r w:rsidR="00484F10">
        <w:rPr>
          <w:rFonts w:ascii="Times New Roman" w:hAnsi="Times New Roman" w:cs="Times New Roman"/>
        </w:rPr>
        <w:t xml:space="preserve">astrocytic function </w:t>
      </w:r>
      <w:r w:rsidR="00C7513F">
        <w:rPr>
          <w:rFonts w:ascii="Times New Roman" w:hAnsi="Times New Roman" w:cs="Times New Roman"/>
        </w:rPr>
        <w:t>alter</w:t>
      </w:r>
      <w:r w:rsidR="00484F10">
        <w:rPr>
          <w:rFonts w:ascii="Times New Roman" w:hAnsi="Times New Roman" w:cs="Times New Roman"/>
        </w:rPr>
        <w:t>s</w:t>
      </w:r>
      <w:r w:rsidR="00C7513F">
        <w:rPr>
          <w:rFonts w:ascii="Times New Roman" w:hAnsi="Times New Roman" w:cs="Times New Roman"/>
        </w:rPr>
        <w:t xml:space="preserve"> as evidenced by the upregulation of </w:t>
      </w:r>
      <w:r>
        <w:rPr>
          <w:rFonts w:ascii="Times New Roman" w:hAnsi="Times New Roman" w:cs="Times New Roman"/>
        </w:rPr>
        <w:t xml:space="preserve">the glutamate transporter EAAT2 and the gap junction protein </w:t>
      </w:r>
      <w:r w:rsidR="004E6FEA">
        <w:rPr>
          <w:rFonts w:ascii="Times New Roman" w:hAnsi="Times New Roman" w:cs="Times New Roman"/>
        </w:rPr>
        <w:t>Cx43</w:t>
      </w:r>
      <w:r w:rsidR="00C7513F">
        <w:rPr>
          <w:rFonts w:ascii="Times New Roman" w:hAnsi="Times New Roman" w:cs="Times New Roman"/>
        </w:rPr>
        <w:t xml:space="preserve"> in rodent astrocytes</w:t>
      </w:r>
      <w:r w:rsidR="00534237">
        <w:rPr>
          <w:rFonts w:ascii="Times New Roman" w:hAnsi="Times New Roman" w:cs="Times New Roman"/>
        </w:rPr>
        <w:t xml:space="preserve"> </w:t>
      </w:r>
      <w:r w:rsidR="007C3288">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"10.1002/glia.20698", "ISSN" : "1098-1136", "PMID" : "18512249", "abstract" : "A characteristic feature of astrocytes is their high level of intercellular communication mediated by gap junctions. The two main connexins, Cx30 and Cx43, that form these junctions in astrocytes of adult brain display different developmental and regional expression, with a delayed onset of appearance for Cx30. In primary cultures of astrocytes from newborn cerebral cortex, while Cx43 is abundantly expressed, Cx30 is not detectable. In the present report, Western blot and confocal immunofluorescence analysis performed in astrocyte/neuron cocultures demonstrate that neurons upregulate the expression of Cx43 and induce that of Cx30 in subsets of astrocytes preferentially located in close proximity to neuronal soma. In Cx43 lacking astrocytes cocultured with neurons, the induction of Cx30 allows the restoration of dye coupling within islets of Cx30-positive astrocytes, indicating that intercellular channels formed by Cx30 are functional. The upregulating effect of neurons on the expression of connexins in cortical astrocytes is independent of their electrical activity and requires tight interactions between both cell types. This effect is reversed after neuronal death induced by neurotoxic treatments. Furthermore, excitotoxic treatments triggering neuronal death in vivo lead to a downregulation of both connexins in reactive astrocytes located within the area depleted in neurons. Altogether these observations indicate that the expression of the two main astrocyte connexins is tightly regulated by neurons.", "author" : [ { "dropping-particle" : "", "family" : "Koulakoff", "given" : "Annette", "non-dropping-particle" : "", "parse-names" : false, "suffix" : "" }, { "dropping-particle" : "", "family" : "Ezan", "given" : "Pascal", "non-dropping-particle" : "", "parse-names" : false, "suffix" : "" }, { "dropping-particle" : "", "family" : "Giaume", "given" : "Christian", "non-dropping-particle" : "", "parse-names" : false, "suffix" : "" } ], "container-title" : "Glia", "id" : "ITEM-1", "issue" : "12", "issued" : { "date-parts" : [ [ "2008", "9" ] ] }, "page" : "1299-311", "title" : "Neurons control the expression of connexin 30 and connexin 43 in mouse cortical astrocytes.", "type" : "article-journal", "volume" : "56" }, "uris" : [ "http://www.mendeley.com/documents/?uuid=4f13de19-b758-4425-9d6f-815df79fb4ee" ] } ], "mendeley" : { "formattedCitation" : "(Koulakoff et al. 2008)", "plainTextFormattedCitation" : "(Koulakoff et al. 2008)", "previouslyFormattedCitation" : "(Koulakoff et al. 2008)" }, "properties" : { "noteIndex" : 0 }, "schema" : "https://github.com/citation-style-language/schema/raw/master/csl-citation.json" }</w:instrText>
      </w:r>
      <w:r w:rsidR="007C3288">
        <w:rPr>
          <w:rFonts w:ascii="Times New Roman" w:hAnsi="Times New Roman" w:cs="Times New Roman"/>
        </w:rPr>
        <w:fldChar w:fldCharType="separate"/>
      </w:r>
      <w:r w:rsidR="00C148FC" w:rsidRPr="00C148FC">
        <w:rPr>
          <w:rFonts w:ascii="Times New Roman" w:hAnsi="Times New Roman" w:cs="Times New Roman"/>
          <w:noProof/>
        </w:rPr>
        <w:t>(Koulakoff et al. 2008)</w:t>
      </w:r>
      <w:r w:rsidR="007C3288">
        <w:rPr>
          <w:rFonts w:ascii="Times New Roman" w:hAnsi="Times New Roman" w:cs="Times New Roman"/>
        </w:rPr>
        <w:fldChar w:fldCharType="end"/>
      </w:r>
      <w:r>
        <w:rPr>
          <w:rFonts w:ascii="Times New Roman" w:hAnsi="Times New Roman" w:cs="Times New Roman"/>
        </w:rPr>
        <w:t xml:space="preserve"> whilst</w:t>
      </w:r>
      <w:r w:rsidR="00534237">
        <w:rPr>
          <w:rFonts w:ascii="Times New Roman" w:hAnsi="Times New Roman" w:cs="Times New Roman"/>
        </w:rPr>
        <w:t xml:space="preserve"> astrocytic support for neurons is visible thr</w:t>
      </w:r>
      <w:r w:rsidR="00F70ED1">
        <w:rPr>
          <w:rFonts w:ascii="Times New Roman" w:hAnsi="Times New Roman" w:cs="Times New Roman"/>
        </w:rPr>
        <w:t xml:space="preserve">ough enhanced neuronal survival, </w:t>
      </w:r>
      <w:r w:rsidR="001B6EDB">
        <w:rPr>
          <w:rFonts w:ascii="Times New Roman" w:hAnsi="Times New Roman" w:cs="Times New Roman"/>
        </w:rPr>
        <w:t>controlling synapse number</w:t>
      </w:r>
      <w:r w:rsidR="00F70ED1">
        <w:rPr>
          <w:rFonts w:ascii="Times New Roman" w:hAnsi="Times New Roman" w:cs="Times New Roman"/>
        </w:rPr>
        <w:t xml:space="preserve"> and protection from neurotoxicants</w:t>
      </w:r>
      <w:r w:rsidR="001B6EDB">
        <w:rPr>
          <w:rFonts w:ascii="Times New Roman" w:hAnsi="Times New Roman" w:cs="Times New Roman"/>
        </w:rPr>
        <w:t xml:space="preserve"> </w:t>
      </w:r>
      <w:r w:rsidR="001B6EDB">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"10.1126/science.291.5504.657", "ISSN" : "0036-8075", "PMID" : "11158678", "abstract" : "Although astrocytes constitute nearly half of the cells in our brain, their function is a long-standing neurobiological mystery. Here we show by quantal analyses, FM1-43 imaging, immunostaining, and electron microscopy that few synapses form in the absence of glial cells and that the few synapses that do form are functionally immature. Astrocytes increase the number of mature, functional synapses on central nervous system (CNS) neurons by sevenfold and are required for synaptic maintenance in vitro. We also show that most synapses are generated concurrently with the development of glia in vivo. These data demonstrate a previously unknown function for glia in inducing and stabilizing CNS synapses, show that CNS synapse number can be profoundly regulated by nonneuronal signals, and raise the possibility that glia may actively participate in synaptic plasticity.", "author" : [ { "dropping-particle" : "", "family" : "Ullian", "given" : "E M", "non-dropping-particle" : "", "parse-names" : false, "suffix" : "" }, { "dropping-particle" : "", "family" : "Sapperstein", "given" : "S K", "non-dropping-particle" : "", "parse-names" : false, "suffix" : "" }, { "dropping-particle" : "", "family" : "Christopherson", "given" : "K S", "non-dropping-particle" : "", "parse-names" : false, "suffix" : "" }, { "dropping-particle" : "", "family" : "Barres", "given" : "B A", "non-dropping-particle" : "", "parse-names" : false, "suffix" : "" } ], "container-title" : "Science (New York, N.Y.)", "id" : "ITEM-1", "issue" : "5504", "issued" : { "date-parts" : [ [ "2001", "1", "26" ] ] }, "page" : "657-61", "title" : "Control of synapse number by glia.", "type" : "article-journal", "volume" : "291" }, "uris" : [ "http://www.mendeley.com/documents/?uuid=d4041486-41c1-40b9-9db3-74053ebdaa83" ] }, { "id" : "ITEM-2", "itemData" : { "DOI" : "10.1007/s00204-016-1702-2", "ISSN" : "0340-5761", "PMID" : "27052459", "abstract" : "Astrocytes, the largest cell population in the human brain, are powerful inflammatory effectors. Several studies have examined the interaction of activated astrocytes with neurons, but little is known yet about human neurotoxicity under such situations and about strategies of neuronal rescue. To address this question, immortalized murine astrocytes (IMA) were combined with human LUHMES neurons and stimulated with an inflammatory (TNF, IL-1) cytokine mix (CM). Neurotoxicity was studied both in co-cultures and in monocultures after transfer of conditioned medium from activated IMA. Interventions with &gt;20 drugs were used to profile the model system. Control IMA supported neurons and protected them from neurotoxicants. Inflammatory activation reduced this protection, and prolonged exposure of co-cultures to CM triggered neurotoxicity. Neither the added cytokines nor the release of NO from astrocytes were involved in this neurodegeneration. The neurotoxicity-mediating effect of IMA was faithfully reproduced by human astrocytes. Moreover, glia-dependent toxicity was also observed, when IMA cultures were stimulated with CM, and the culture medium was transferred to neurons. Such neurotoxicity was prevented when astrocytes were treated by p38 kinase inhibitors or dexamethasone, whereas such compounds had no effect when added to neurons. Conversely, treatment of neurons with five different drugs, including resveratrol and CEP1347, prevented toxicity of astrocyte supernatants. Thus, the sequential IMA-LUHMES neuroinflammation model is suitable for separate profiling of both glial-directed and directly neuroprotective strategies. Moreover, direct evaluation in co-cultures of the same cells allows for testing of therapeutic effectiveness in more complex settings, in which astrocytes affect pharmacological properties of neurons.", "author" : [ { "dropping-particle" : "", "family" : "Efremova", "given" : "Liudmila", "non-dropping-particle" : "", "parse-names" : false, "suffix" : "" }, { "dropping-particle" : "", "family" : "Chovancova", "given" : "Petra", "non-dropping-particle" : "", "parse-names" : false, "suffix" : "" }, { "dropping-particle" : "", "family" : "Adam", "given" : "Martina", "non-dropping-particle" : "", "parse-names" : false, "suffix" : "" }, { "dropping-particle" : "", "family" : "Gutbier", "given" : "Simon", "non-dropping-particle" : "", "parse-names" : false, "suffix" : "" }, { "dropping-particle" : "", "family" : "Schildknecht", "given" : "Stefan", "non-dropping-particle" : "", "parse-names" : false, "suffix" : "" }, { "dropping-particle" : "", "family" : "Leist", "given" : "Marcel", "non-dropping-particle" : "", "parse-names" : false, "suffix" : "" } ], "container-title" : "Archives of Toxicology", "id" : "ITEM-2", "issued" : { "date-parts" : [ [ "2016", "4", "6" ] ] }, "title" : "Switching from astrocytic neuroprotection to neurodegeneration by cytokine stimulation", "type" : "article-journal" }, "uris" : [ "http://www.mendeley.com/documents/?uuid=b48a645e-6c19-4cf6-aa79-d4df5c168c0f" ] } ], "mendeley" : { "formattedCitation" : "(Ullian et al. 2001; Efremova et al. 2016a)", "manualFormatting" : "(Ullian et al. 2001; Efremova et al. 2016)", "plainTextFormattedCitation" : "(Ullian et al. 2001; Efremova et al. 2016a)", "previouslyFormattedCitation" : "(Ullian et al. 2001; Efremova et al. 2016a)" }, "properties" : { "noteIndex" : 0 }, "schema" : "https://github.com/citation-style-language/schema/raw/master/csl-citation.json" }</w:instrText>
      </w:r>
      <w:r w:rsidR="001B6EDB">
        <w:rPr>
          <w:rFonts w:ascii="Times New Roman" w:hAnsi="Times New Roman" w:cs="Times New Roman"/>
        </w:rPr>
        <w:fldChar w:fldCharType="separate"/>
      </w:r>
      <w:r w:rsidR="00DF4142" w:rsidRPr="00DF4142">
        <w:rPr>
          <w:rFonts w:ascii="Times New Roman" w:hAnsi="Times New Roman" w:cs="Times New Roman"/>
          <w:noProof/>
        </w:rPr>
        <w:t>(Ullian et</w:t>
      </w:r>
      <w:r w:rsidR="0079098A">
        <w:rPr>
          <w:rFonts w:ascii="Times New Roman" w:hAnsi="Times New Roman" w:cs="Times New Roman"/>
          <w:noProof/>
        </w:rPr>
        <w:t xml:space="preserve"> al. 2001; Efremova et al. 2016</w:t>
      </w:r>
      <w:r w:rsidR="00DF4142" w:rsidRPr="00DF4142">
        <w:rPr>
          <w:rFonts w:ascii="Times New Roman" w:hAnsi="Times New Roman" w:cs="Times New Roman"/>
          <w:noProof/>
        </w:rPr>
        <w:t>)</w:t>
      </w:r>
      <w:r w:rsidR="001B6EDB">
        <w:rPr>
          <w:rFonts w:ascii="Times New Roman" w:hAnsi="Times New Roman" w:cs="Times New Roman"/>
        </w:rPr>
        <w:fldChar w:fldCharType="end"/>
      </w:r>
      <w:r w:rsidR="00085252">
        <w:rPr>
          <w:rFonts w:ascii="Times New Roman" w:hAnsi="Times New Roman" w:cs="Times New Roman"/>
        </w:rPr>
        <w:t xml:space="preserve">. </w:t>
      </w:r>
      <w:r w:rsidR="006F0942">
        <w:rPr>
          <w:rFonts w:ascii="Times New Roman" w:hAnsi="Times New Roman" w:cs="Times New Roman"/>
        </w:rPr>
        <w:t xml:space="preserve">Changes in </w:t>
      </w:r>
      <w:r w:rsidR="004E6FEA">
        <w:rPr>
          <w:rFonts w:ascii="Times New Roman" w:hAnsi="Times New Roman" w:cs="Times New Roman"/>
        </w:rPr>
        <w:t>Cx43</w:t>
      </w:r>
      <w:r w:rsidR="006F0942">
        <w:rPr>
          <w:rFonts w:ascii="Times New Roman" w:hAnsi="Times New Roman" w:cs="Times New Roman"/>
        </w:rPr>
        <w:t xml:space="preserve"> and GFAP </w:t>
      </w:r>
      <w:r w:rsidR="008230BA">
        <w:rPr>
          <w:rFonts w:ascii="Times New Roman" w:hAnsi="Times New Roman" w:cs="Times New Roman"/>
        </w:rPr>
        <w:t xml:space="preserve">have also been observed in </w:t>
      </w:r>
      <w:r w:rsidR="00CA4275">
        <w:rPr>
          <w:rFonts w:ascii="Times New Roman" w:hAnsi="Times New Roman" w:cs="Times New Roman"/>
        </w:rPr>
        <w:t>human</w:t>
      </w:r>
      <w:r w:rsidR="006F0942">
        <w:rPr>
          <w:rFonts w:ascii="Times New Roman" w:hAnsi="Times New Roman" w:cs="Times New Roman"/>
        </w:rPr>
        <w:t xml:space="preserve"> astrocytes co-cultured with </w:t>
      </w:r>
      <w:r w:rsidR="00CA4275">
        <w:rPr>
          <w:rFonts w:ascii="Times New Roman" w:hAnsi="Times New Roman" w:cs="Times New Roman"/>
        </w:rPr>
        <w:t xml:space="preserve">LUHMES, which may </w:t>
      </w:r>
      <w:r w:rsidR="006F0942">
        <w:rPr>
          <w:rFonts w:ascii="Times New Roman" w:hAnsi="Times New Roman" w:cs="Times New Roman"/>
        </w:rPr>
        <w:t>provid</w:t>
      </w:r>
      <w:r w:rsidR="00CA4275">
        <w:rPr>
          <w:rFonts w:ascii="Times New Roman" w:hAnsi="Times New Roman" w:cs="Times New Roman"/>
        </w:rPr>
        <w:t>e</w:t>
      </w:r>
      <w:r w:rsidR="006F0942">
        <w:rPr>
          <w:rFonts w:ascii="Times New Roman" w:hAnsi="Times New Roman" w:cs="Times New Roman"/>
        </w:rPr>
        <w:t xml:space="preserve"> </w:t>
      </w:r>
      <w:r w:rsidR="000D24BC">
        <w:rPr>
          <w:rFonts w:ascii="Times New Roman" w:hAnsi="Times New Roman" w:cs="Times New Roman"/>
        </w:rPr>
        <w:t>some evidence</w:t>
      </w:r>
      <w:r w:rsidR="008230BA">
        <w:rPr>
          <w:rFonts w:ascii="Times New Roman" w:hAnsi="Times New Roman" w:cs="Times New Roman"/>
        </w:rPr>
        <w:t xml:space="preserve"> that</w:t>
      </w:r>
      <w:r w:rsidR="006F0942">
        <w:rPr>
          <w:rFonts w:ascii="Times New Roman" w:hAnsi="Times New Roman" w:cs="Times New Roman"/>
        </w:rPr>
        <w:t xml:space="preserve"> astrocytes </w:t>
      </w:r>
      <w:r w:rsidR="00CA4275">
        <w:rPr>
          <w:rFonts w:ascii="Times New Roman" w:hAnsi="Times New Roman" w:cs="Times New Roman"/>
        </w:rPr>
        <w:t>are</w:t>
      </w:r>
      <w:r w:rsidR="006F0942">
        <w:rPr>
          <w:rFonts w:ascii="Times New Roman" w:hAnsi="Times New Roman" w:cs="Times New Roman"/>
        </w:rPr>
        <w:t xml:space="preserve"> responding to </w:t>
      </w:r>
      <w:r w:rsidR="008230BA">
        <w:rPr>
          <w:rFonts w:ascii="Times New Roman" w:hAnsi="Times New Roman" w:cs="Times New Roman"/>
        </w:rPr>
        <w:t>being in contact with neurons.</w:t>
      </w:r>
    </w:p>
    <w:p w14:paraId="7FE7F3E5" w14:textId="77777777" w:rsidR="00B2209A" w:rsidRDefault="00B2209A" w:rsidP="00C63BC1">
      <w:pPr>
        <w:spacing w:line="360" w:lineRule="auto"/>
        <w:jc w:val="both"/>
        <w:rPr>
          <w:rFonts w:ascii="Times New Roman" w:hAnsi="Times New Roman" w:cs="Times New Roman"/>
        </w:rPr>
      </w:pPr>
    </w:p>
    <w:p w14:paraId="38E5F818" w14:textId="5C623ABC" w:rsidR="00A0151D" w:rsidRPr="009969E1" w:rsidRDefault="004E6FEA" w:rsidP="00C63BC1">
      <w:pPr>
        <w:spacing w:line="360" w:lineRule="auto"/>
        <w:jc w:val="both"/>
        <w:rPr>
          <w:rFonts w:ascii="Times New Roman" w:hAnsi="Times New Roman" w:cs="Times New Roman"/>
          <w:color w:val="FF0000"/>
        </w:rPr>
      </w:pPr>
      <w:r>
        <w:rPr>
          <w:rFonts w:ascii="Times New Roman" w:hAnsi="Times New Roman" w:cs="Times New Roman"/>
        </w:rPr>
        <w:t>Cx43</w:t>
      </w:r>
      <w:r w:rsidR="00892435">
        <w:rPr>
          <w:rFonts w:ascii="Times New Roman" w:hAnsi="Times New Roman" w:cs="Times New Roman"/>
        </w:rPr>
        <w:t xml:space="preserve"> is</w:t>
      </w:r>
      <w:r w:rsidR="00085252">
        <w:rPr>
          <w:rFonts w:ascii="Times New Roman" w:hAnsi="Times New Roman" w:cs="Times New Roman"/>
        </w:rPr>
        <w:t xml:space="preserve"> a</w:t>
      </w:r>
      <w:r w:rsidR="002B5864">
        <w:rPr>
          <w:rFonts w:ascii="Times New Roman" w:hAnsi="Times New Roman" w:cs="Times New Roman"/>
        </w:rPr>
        <w:t xml:space="preserve"> gap junction protein</w:t>
      </w:r>
      <w:r w:rsidR="00892435">
        <w:rPr>
          <w:rFonts w:ascii="Times New Roman" w:hAnsi="Times New Roman" w:cs="Times New Roman"/>
        </w:rPr>
        <w:t xml:space="preserve"> that </w:t>
      </w:r>
      <w:r w:rsidR="00085252">
        <w:rPr>
          <w:rFonts w:ascii="Times New Roman" w:hAnsi="Times New Roman" w:cs="Times New Roman"/>
        </w:rPr>
        <w:t>facilitates dialogue</w:t>
      </w:r>
      <w:r w:rsidR="002B5864">
        <w:rPr>
          <w:rFonts w:ascii="Times New Roman" w:hAnsi="Times New Roman" w:cs="Times New Roman"/>
        </w:rPr>
        <w:t xml:space="preserve"> between astrocytes</w:t>
      </w:r>
      <w:r w:rsidR="00AE1321">
        <w:rPr>
          <w:rFonts w:ascii="Times New Roman" w:hAnsi="Times New Roman" w:cs="Times New Roman"/>
        </w:rPr>
        <w:t xml:space="preserve"> through calcium wave propagation</w:t>
      </w:r>
      <w:r w:rsidR="00085252">
        <w:rPr>
          <w:rFonts w:ascii="Times New Roman" w:hAnsi="Times New Roman" w:cs="Times New Roman"/>
        </w:rPr>
        <w:t>. It has previously been</w:t>
      </w:r>
      <w:r w:rsidR="002B5864">
        <w:rPr>
          <w:rFonts w:ascii="Times New Roman" w:hAnsi="Times New Roman" w:cs="Times New Roman"/>
        </w:rPr>
        <w:t xml:space="preserve"> reported </w:t>
      </w:r>
      <w:r w:rsidR="00085252">
        <w:rPr>
          <w:rFonts w:ascii="Times New Roman" w:hAnsi="Times New Roman" w:cs="Times New Roman"/>
        </w:rPr>
        <w:t xml:space="preserve">that </w:t>
      </w:r>
      <w:r>
        <w:rPr>
          <w:rFonts w:ascii="Times New Roman" w:hAnsi="Times New Roman" w:cs="Times New Roman"/>
        </w:rPr>
        <w:t>Cx43</w:t>
      </w:r>
      <w:r w:rsidR="00085252">
        <w:rPr>
          <w:rFonts w:ascii="Times New Roman" w:hAnsi="Times New Roman" w:cs="Times New Roman"/>
        </w:rPr>
        <w:t xml:space="preserve"> is</w:t>
      </w:r>
      <w:r w:rsidR="002B5864">
        <w:rPr>
          <w:rFonts w:ascii="Times New Roman" w:hAnsi="Times New Roman" w:cs="Times New Roman"/>
        </w:rPr>
        <w:t xml:space="preserve"> upregulated in</w:t>
      </w:r>
      <w:r w:rsidR="00AE1321">
        <w:rPr>
          <w:rFonts w:ascii="Times New Roman" w:hAnsi="Times New Roman" w:cs="Times New Roman"/>
        </w:rPr>
        <w:t xml:space="preserve"> astrocytes </w:t>
      </w:r>
      <w:r w:rsidR="00B2209A">
        <w:rPr>
          <w:rFonts w:ascii="Times New Roman" w:hAnsi="Times New Roman" w:cs="Times New Roman"/>
        </w:rPr>
        <w:t>in direct contact</w:t>
      </w:r>
      <w:r w:rsidR="00AE1321">
        <w:rPr>
          <w:rFonts w:ascii="Times New Roman" w:hAnsi="Times New Roman" w:cs="Times New Roman"/>
        </w:rPr>
        <w:t xml:space="preserve"> with neurons</w:t>
      </w:r>
      <w:r w:rsidR="008230BA">
        <w:rPr>
          <w:rFonts w:ascii="Times New Roman" w:hAnsi="Times New Roman" w:cs="Times New Roman"/>
        </w:rPr>
        <w:t xml:space="preserve"> </w:t>
      </w:r>
      <w:r w:rsidR="008230BA">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"10.1002/glia.20698", "ISSN" : "1098-1136", "PMID" : "18512249", "abstract" : "A characteristic feature of astrocytes is their high level of intercellular communication mediated by gap junctions. The two main connexins, Cx30 and Cx43, that form these junctions in astrocytes of adult brain display different developmental and regional expression, with a delayed onset of appearance for Cx30. In primary cultures of astrocytes from newborn cerebral cortex, while Cx43 is abundantly expressed, Cx30 is not detectable. In the present report, Western blot and confocal immunofluorescence analysis performed in astrocyte/neuron cocultures demonstrate that neurons upregulate the expression of Cx43 and induce that of Cx30 in subsets of astrocytes preferentially located in close proximity to neuronal soma. In Cx43 lacking astrocytes cocultured with neurons, the induction of Cx30 allows the restoration of dye coupling within islets of Cx30-positive astrocytes, indicating that intercellular channels formed by Cx30 are functional. The upregulating effect of neurons on the expression of connexins in cortical astrocytes is independent of their electrical activity and requires tight interactions between both cell types. This effect is reversed after neuronal death induced by neurotoxic treatments. Furthermore, excitotoxic treatments triggering neuronal death in vivo lead to a downregulation of both connexins in reactive astrocytes located within the area depleted in neurons. Altogether these observations indicate that the expression of the two main astrocyte connexins is tightly regulated by neurons.", "author" : [ { "dropping-particle" : "", "family" : "Koulakoff", "given" : "Annette", "non-dropping-particle" : "", "parse-names" : false, "suffix" : "" }, { "dropping-particle" : "", "family" : "Ezan", "given" : "Pascal", "non-dropping-particle" : "", "parse-names" : false, "suffix" : "" }, { "dropping-particle" : "", "family" : "Giaume", "given" : "Christian", "non-dropping-particle" : "", "parse-names" : false, "suffix" : "" } ], "container-title" : "Glia", "id" : "ITEM-1", "issue" : "12", "issued" : { "date-parts" : [ [ "2008", "9" ] ] }, "page" : "1299-311", "title" : "Neurons control the expression of connexin 30 and connexin 43 in mouse cortical astrocytes.", "type" : "article-journal", "volume" : "56" }, "uris" : [ "http://www.mendeley.com/documents/?uuid=4f13de19-b758-4425-9d6f-815df79fb4ee" ] } ], "mendeley" : { "formattedCitation" : "(Koulakoff et al. 2008)", "plainTextFormattedCitation" : "(Koulakoff et al. 2008)", "previouslyFormattedCitation" : "(Koulakoff et al. 2008)" }, "properties" : { "noteIndex" : 0 }, "schema" : "https://github.com/citation-style-language/schema/raw/master/csl-citation.json" }</w:instrText>
      </w:r>
      <w:r w:rsidR="008230BA">
        <w:rPr>
          <w:rFonts w:ascii="Times New Roman" w:hAnsi="Times New Roman" w:cs="Times New Roman"/>
        </w:rPr>
        <w:fldChar w:fldCharType="separate"/>
      </w:r>
      <w:r w:rsidR="00C148FC" w:rsidRPr="00C148FC">
        <w:rPr>
          <w:rFonts w:ascii="Times New Roman" w:hAnsi="Times New Roman" w:cs="Times New Roman"/>
          <w:noProof/>
        </w:rPr>
        <w:t>(Koulakoff et al. 2008)</w:t>
      </w:r>
      <w:r w:rsidR="008230BA">
        <w:rPr>
          <w:rFonts w:ascii="Times New Roman" w:hAnsi="Times New Roman" w:cs="Times New Roman"/>
        </w:rPr>
        <w:fldChar w:fldCharType="end"/>
      </w:r>
      <w:r w:rsidR="00A00F22">
        <w:rPr>
          <w:rFonts w:ascii="Times New Roman" w:hAnsi="Times New Roman" w:cs="Times New Roman"/>
        </w:rPr>
        <w:t xml:space="preserve">. </w:t>
      </w:r>
      <w:r w:rsidR="00AE1321">
        <w:rPr>
          <w:rFonts w:ascii="Times New Roman" w:hAnsi="Times New Roman" w:cs="Times New Roman"/>
        </w:rPr>
        <w:t xml:space="preserve">In this co-culture system, </w:t>
      </w:r>
      <w:r w:rsidR="00892435">
        <w:rPr>
          <w:rFonts w:ascii="Times New Roman" w:hAnsi="Times New Roman" w:cs="Times New Roman"/>
        </w:rPr>
        <w:t>there were</w:t>
      </w:r>
      <w:r w:rsidR="00085252">
        <w:rPr>
          <w:rFonts w:ascii="Times New Roman" w:hAnsi="Times New Roman" w:cs="Times New Roman"/>
        </w:rPr>
        <w:t xml:space="preserve"> no change</w:t>
      </w:r>
      <w:r w:rsidR="00892435">
        <w:rPr>
          <w:rFonts w:ascii="Times New Roman" w:hAnsi="Times New Roman" w:cs="Times New Roman"/>
        </w:rPr>
        <w:t>s</w:t>
      </w:r>
      <w:r w:rsidR="00085252">
        <w:rPr>
          <w:rFonts w:ascii="Times New Roman" w:hAnsi="Times New Roman" w:cs="Times New Roman"/>
        </w:rPr>
        <w:t xml:space="preserve"> in total </w:t>
      </w:r>
      <w:r>
        <w:rPr>
          <w:rFonts w:ascii="Times New Roman" w:hAnsi="Times New Roman" w:cs="Times New Roman"/>
        </w:rPr>
        <w:t>Cx43</w:t>
      </w:r>
      <w:r w:rsidR="00892435">
        <w:rPr>
          <w:rFonts w:ascii="Times New Roman" w:hAnsi="Times New Roman" w:cs="Times New Roman"/>
        </w:rPr>
        <w:t xml:space="preserve"> as evidenced by </w:t>
      </w:r>
      <w:r w:rsidR="00AB0487">
        <w:rPr>
          <w:rFonts w:ascii="Times New Roman" w:hAnsi="Times New Roman" w:cs="Times New Roman"/>
        </w:rPr>
        <w:t>western blotting</w:t>
      </w:r>
      <w:r w:rsidR="00892435">
        <w:rPr>
          <w:rFonts w:ascii="Times New Roman" w:hAnsi="Times New Roman" w:cs="Times New Roman"/>
        </w:rPr>
        <w:t xml:space="preserve"> an</w:t>
      </w:r>
      <w:r w:rsidR="00CA4275">
        <w:rPr>
          <w:rFonts w:ascii="Times New Roman" w:hAnsi="Times New Roman" w:cs="Times New Roman"/>
        </w:rPr>
        <w:t>d immunocytochemistry. However,</w:t>
      </w:r>
      <w:r w:rsidR="00B05392">
        <w:rPr>
          <w:rFonts w:ascii="Times New Roman" w:hAnsi="Times New Roman" w:cs="Times New Roman"/>
        </w:rPr>
        <w:t xml:space="preserve"> relocalisation of </w:t>
      </w:r>
      <w:r>
        <w:rPr>
          <w:rFonts w:ascii="Times New Roman" w:hAnsi="Times New Roman" w:cs="Times New Roman"/>
        </w:rPr>
        <w:t>Cx43</w:t>
      </w:r>
      <w:r w:rsidR="00B05392">
        <w:rPr>
          <w:rFonts w:ascii="Times New Roman" w:hAnsi="Times New Roman" w:cs="Times New Roman"/>
        </w:rPr>
        <w:t xml:space="preserve"> to astrocytes specifically associated with neuronal bundles was </w:t>
      </w:r>
      <w:r w:rsidR="00892435">
        <w:rPr>
          <w:rFonts w:ascii="Times New Roman" w:hAnsi="Times New Roman" w:cs="Times New Roman"/>
        </w:rPr>
        <w:t>observed by immunocytochemistry</w:t>
      </w:r>
      <w:r w:rsidR="00B05392">
        <w:rPr>
          <w:rFonts w:ascii="Times New Roman" w:hAnsi="Times New Roman" w:cs="Times New Roman"/>
        </w:rPr>
        <w:t xml:space="preserve"> </w:t>
      </w:r>
      <w:r w:rsidR="00085252">
        <w:rPr>
          <w:rFonts w:ascii="Times New Roman" w:hAnsi="Times New Roman" w:cs="Times New Roman"/>
        </w:rPr>
        <w:t>and</w:t>
      </w:r>
      <w:r w:rsidR="00B05392">
        <w:rPr>
          <w:rFonts w:ascii="Times New Roman" w:hAnsi="Times New Roman" w:cs="Times New Roman"/>
        </w:rPr>
        <w:t xml:space="preserve"> </w:t>
      </w:r>
      <w:r w:rsidR="00AB0487">
        <w:rPr>
          <w:rFonts w:ascii="Times New Roman" w:hAnsi="Times New Roman" w:cs="Times New Roman"/>
        </w:rPr>
        <w:t>western blotting</w:t>
      </w:r>
      <w:r w:rsidR="00B05392">
        <w:rPr>
          <w:rFonts w:ascii="Times New Roman" w:hAnsi="Times New Roman" w:cs="Times New Roman"/>
        </w:rPr>
        <w:t xml:space="preserve"> revealed changes in</w:t>
      </w:r>
      <w:r w:rsidR="002D6E8E">
        <w:rPr>
          <w:rFonts w:ascii="Times New Roman" w:hAnsi="Times New Roman" w:cs="Times New Roman"/>
        </w:rPr>
        <w:t xml:space="preserve"> the</w:t>
      </w:r>
      <w:r w:rsidR="00085252">
        <w:rPr>
          <w:rFonts w:ascii="Times New Roman" w:hAnsi="Times New Roman" w:cs="Times New Roman"/>
        </w:rPr>
        <w:t xml:space="preserve"> molecular weight of </w:t>
      </w:r>
      <w:r>
        <w:rPr>
          <w:rFonts w:ascii="Times New Roman" w:hAnsi="Times New Roman" w:cs="Times New Roman"/>
        </w:rPr>
        <w:t>Cx43</w:t>
      </w:r>
      <w:r w:rsidR="00892435">
        <w:rPr>
          <w:rFonts w:ascii="Times New Roman" w:hAnsi="Times New Roman" w:cs="Times New Roman"/>
        </w:rPr>
        <w:t>,</w:t>
      </w:r>
      <w:r w:rsidR="00085252">
        <w:rPr>
          <w:rFonts w:ascii="Times New Roman" w:hAnsi="Times New Roman" w:cs="Times New Roman"/>
        </w:rPr>
        <w:t xml:space="preserve"> indicating that this protein</w:t>
      </w:r>
      <w:r w:rsidR="00892435">
        <w:rPr>
          <w:rFonts w:ascii="Times New Roman" w:hAnsi="Times New Roman" w:cs="Times New Roman"/>
        </w:rPr>
        <w:t xml:space="preserve"> may undergo</w:t>
      </w:r>
      <w:r w:rsidR="00B05392">
        <w:rPr>
          <w:rFonts w:ascii="Times New Roman" w:hAnsi="Times New Roman" w:cs="Times New Roman"/>
        </w:rPr>
        <w:t xml:space="preserve"> post-translational modification</w:t>
      </w:r>
      <w:r w:rsidR="00085252">
        <w:rPr>
          <w:rFonts w:ascii="Times New Roman" w:hAnsi="Times New Roman" w:cs="Times New Roman"/>
        </w:rPr>
        <w:t>s when cultured with neurons.</w:t>
      </w:r>
      <w:r w:rsidR="00F5450D">
        <w:rPr>
          <w:rFonts w:ascii="Times New Roman" w:hAnsi="Times New Roman" w:cs="Times New Roman"/>
        </w:rPr>
        <w:t xml:space="preserve"> When treated with an alkaline phosphatase, the additional upper bands are not observed in HeLa cells thus suggesting that the extra bands represent different phosphorylated forms of </w:t>
      </w:r>
      <w:r>
        <w:rPr>
          <w:rFonts w:ascii="Times New Roman" w:hAnsi="Times New Roman" w:cs="Times New Roman"/>
        </w:rPr>
        <w:t>Cx43</w:t>
      </w:r>
      <w:r w:rsidR="00F5450D">
        <w:rPr>
          <w:rFonts w:ascii="Times New Roman" w:hAnsi="Times New Roman" w:cs="Times New Roman"/>
        </w:rPr>
        <w:t>.</w:t>
      </w:r>
      <w:r w:rsidR="00085252">
        <w:rPr>
          <w:rFonts w:ascii="Times New Roman" w:hAnsi="Times New Roman" w:cs="Times New Roman"/>
        </w:rPr>
        <w:t xml:space="preserve"> A decrease in phosphorylation at </w:t>
      </w:r>
      <w:r>
        <w:rPr>
          <w:rFonts w:ascii="Times New Roman" w:hAnsi="Times New Roman" w:cs="Times New Roman"/>
          <w:color w:val="000000" w:themeColor="text1"/>
        </w:rPr>
        <w:t>serine residues 279/282</w:t>
      </w:r>
      <w:r w:rsidR="00085252">
        <w:rPr>
          <w:rFonts w:ascii="Times New Roman" w:hAnsi="Times New Roman" w:cs="Times New Roman"/>
        </w:rPr>
        <w:t xml:space="preserve"> on connexin 43 is reported to cause a conformational change in the protein that results in the gap junction channels</w:t>
      </w:r>
      <w:r w:rsidR="002D6E8E">
        <w:rPr>
          <w:rFonts w:ascii="Times New Roman" w:hAnsi="Times New Roman" w:cs="Times New Roman"/>
        </w:rPr>
        <w:t xml:space="preserve"> of </w:t>
      </w:r>
      <w:r>
        <w:rPr>
          <w:rFonts w:ascii="Times New Roman" w:hAnsi="Times New Roman" w:cs="Times New Roman"/>
        </w:rPr>
        <w:t>Cx</w:t>
      </w:r>
      <w:r w:rsidR="002D6E8E">
        <w:rPr>
          <w:rFonts w:ascii="Times New Roman" w:hAnsi="Times New Roman" w:cs="Times New Roman"/>
        </w:rPr>
        <w:t>43</w:t>
      </w:r>
      <w:r w:rsidR="00B05392">
        <w:rPr>
          <w:rFonts w:ascii="Times New Roman" w:hAnsi="Times New Roman" w:cs="Times New Roman"/>
        </w:rPr>
        <w:t xml:space="preserve"> in the astrocytes</w:t>
      </w:r>
      <w:r w:rsidR="00085252">
        <w:rPr>
          <w:rFonts w:ascii="Times New Roman" w:hAnsi="Times New Roman" w:cs="Times New Roman"/>
        </w:rPr>
        <w:t xml:space="preserve"> being more open (reviewed by</w:t>
      </w:r>
      <w:r w:rsidR="0008525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"10.1042/BJ20082319", "ISSN" : "1470-8728", "PMID" : "19309313", "abstract" : "Vertebrate gap junctions, composed of proteins from the connexin gene family, play critical roles in embryonic development, co-ordinated contraction of excitable cells, tissue homoeostasis, normal cell growth and differentiation. Phosphorylation of connexin43, the most abundant and ubiquitously expressed connexin, has been implicated in the regulation of gap junctional communication at several stages of the connexin 'life cycle', including hemichannel oligomerization, export of the protein to the plasma membrane, hemichannel activity, gap junction assembly, gap junction channel gating and connexin degradation. Consistent with a short (1-5 h) protein half-life, connexin43 phosphorylation is dynamic and changes in response to activation of many different kinases. The present review assesses our current understanding of the effects of phosphorylation on connexin43 structure and function that in turn regulate gap junction biology, with an emphasis on events occurring in heart and skin.", "author" : [ { "dropping-particle" : "", "family" : "Solan", "given" : "Joell L", "non-dropping-particle" : "", "parse-names" : false, "suffix" : "" }, { "dropping-particle" : "", "family" : "Lampe", "given" : "Paul D", "non-dropping-particle" : "", "parse-names" : false, "suffix" : "" } ], "container-title" : "The Biochemical journal", "id" : "ITEM-1", "issue" : "2", "issued" : { "date-parts" : [ [ "2009", "4", "15" ] ] }, "page" : "261-72", "title" : "Connexin43 phosphorylation: structural changes and biological effects.", "type" : "article-journal", "volume" : "419" }, "uris" : [ "http://www.mendeley.com/documents/?uuid=786adb09-2880-42a4-90ab-5953075ef104" ] } ], "mendeley" : { "formattedCitation" : "(Solan &amp; Lampe 2009)", "manualFormatting" : " Solan &amp; Lampe, 2009)", "plainTextFormattedCitation" : "(Solan &amp; Lampe 2009)", "previouslyFormattedCitation" : "(Solan &amp; Lampe 2009)" }, "properties" : { "noteIndex" : 0 }, "schema" : "https://github.com/citation-style-language/schema/raw/master/csl-citation.json" }</w:instrText>
      </w:r>
      <w:r w:rsidR="00085252">
        <w:rPr>
          <w:rFonts w:ascii="Times New Roman" w:hAnsi="Times New Roman" w:cs="Times New Roman"/>
        </w:rPr>
        <w:fldChar w:fldCharType="separate"/>
      </w:r>
      <w:r w:rsidR="00085252">
        <w:rPr>
          <w:rFonts w:ascii="Times New Roman" w:hAnsi="Times New Roman" w:cs="Times New Roman"/>
          <w:noProof/>
        </w:rPr>
        <w:t xml:space="preserve"> </w:t>
      </w:r>
      <w:r w:rsidR="00085252" w:rsidRPr="00A21DDC">
        <w:rPr>
          <w:rFonts w:ascii="Times New Roman" w:hAnsi="Times New Roman" w:cs="Times New Roman"/>
          <w:noProof/>
        </w:rPr>
        <w:t>Solan &amp; Lampe, 2009)</w:t>
      </w:r>
      <w:r w:rsidR="00085252">
        <w:rPr>
          <w:rFonts w:ascii="Times New Roman" w:hAnsi="Times New Roman" w:cs="Times New Roman"/>
        </w:rPr>
        <w:fldChar w:fldCharType="end"/>
      </w:r>
      <w:r w:rsidR="00B05392">
        <w:rPr>
          <w:rFonts w:ascii="Times New Roman" w:hAnsi="Times New Roman" w:cs="Times New Roman"/>
        </w:rPr>
        <w:t>.</w:t>
      </w:r>
      <w:r w:rsidR="00085252">
        <w:rPr>
          <w:rFonts w:ascii="Times New Roman" w:hAnsi="Times New Roman" w:cs="Times New Roman"/>
        </w:rPr>
        <w:t xml:space="preserve"> This may </w:t>
      </w:r>
      <w:r w:rsidR="00CE599B">
        <w:rPr>
          <w:rFonts w:ascii="Times New Roman" w:hAnsi="Times New Roman" w:cs="Times New Roman"/>
        </w:rPr>
        <w:t xml:space="preserve">suggest that </w:t>
      </w:r>
      <w:r w:rsidR="00085252">
        <w:rPr>
          <w:rFonts w:ascii="Times New Roman" w:hAnsi="Times New Roman" w:cs="Times New Roman"/>
        </w:rPr>
        <w:t xml:space="preserve">changes in the phosphorylation state of connexin 43 enables increased flux of calcium through </w:t>
      </w:r>
      <w:r w:rsidR="008962B0">
        <w:rPr>
          <w:rFonts w:ascii="Times New Roman" w:hAnsi="Times New Roman" w:cs="Times New Roman"/>
        </w:rPr>
        <w:t xml:space="preserve">gap-junction </w:t>
      </w:r>
      <w:r w:rsidR="00085252">
        <w:rPr>
          <w:rFonts w:ascii="Times New Roman" w:hAnsi="Times New Roman" w:cs="Times New Roman"/>
        </w:rPr>
        <w:t>channels to facilitate astrocytic communication</w:t>
      </w:r>
      <w:r>
        <w:rPr>
          <w:rFonts w:ascii="Times New Roman" w:hAnsi="Times New Roman" w:cs="Times New Roman"/>
        </w:rPr>
        <w:t xml:space="preserve"> in response to a neuronal stimulus</w:t>
      </w:r>
      <w:r w:rsidR="00085252">
        <w:rPr>
          <w:rFonts w:ascii="Times New Roman" w:hAnsi="Times New Roman" w:cs="Times New Roman"/>
        </w:rPr>
        <w:t xml:space="preserve">. </w:t>
      </w:r>
      <w:r w:rsidR="00205989">
        <w:rPr>
          <w:rFonts w:ascii="Times New Roman" w:hAnsi="Times New Roman" w:cs="Times New Roman"/>
        </w:rPr>
        <w:t>A specific phospho-C</w:t>
      </w:r>
      <w:r>
        <w:rPr>
          <w:rFonts w:ascii="Times New Roman" w:hAnsi="Times New Roman" w:cs="Times New Roman"/>
        </w:rPr>
        <w:t>x</w:t>
      </w:r>
      <w:r w:rsidR="00205989">
        <w:rPr>
          <w:rFonts w:ascii="Times New Roman" w:hAnsi="Times New Roman" w:cs="Times New Roman"/>
        </w:rPr>
        <w:t>43 antibody would need to be used to verify whether the post-translational modifications in C</w:t>
      </w:r>
      <w:r>
        <w:rPr>
          <w:rFonts w:ascii="Times New Roman" w:hAnsi="Times New Roman" w:cs="Times New Roman"/>
        </w:rPr>
        <w:t>x</w:t>
      </w:r>
      <w:r w:rsidR="00205989">
        <w:rPr>
          <w:rFonts w:ascii="Times New Roman" w:hAnsi="Times New Roman" w:cs="Times New Roman"/>
        </w:rPr>
        <w:t>43 are due to changes in phosphorylation status of the protein.</w:t>
      </w:r>
      <w:r w:rsidR="00A0151D">
        <w:rPr>
          <w:rFonts w:ascii="Times New Roman" w:hAnsi="Times New Roman" w:cs="Times New Roman"/>
        </w:rPr>
        <w:t xml:space="preserve"> </w:t>
      </w:r>
    </w:p>
    <w:p w14:paraId="7A686E4C" w14:textId="77777777" w:rsidR="00E609B8" w:rsidRDefault="006A5E2D" w:rsidP="00C63BC1">
      <w:pPr>
        <w:spacing w:line="360" w:lineRule="auto"/>
        <w:jc w:val="both"/>
        <w:rPr>
          <w:rFonts w:ascii="Times New Roman" w:hAnsi="Times New Roman" w:cs="Times New Roman"/>
        </w:rPr>
      </w:pPr>
      <w:r>
        <w:rPr>
          <w:rFonts w:ascii="Times New Roman" w:hAnsi="Times New Roman" w:cs="Times New Roman"/>
        </w:rPr>
        <w:t xml:space="preserve">   </w:t>
      </w:r>
    </w:p>
    <w:p w14:paraId="4A28C79E" w14:textId="329654CC" w:rsidR="00224BA1" w:rsidRDefault="006A5E2D" w:rsidP="00C63BC1">
      <w:pPr>
        <w:spacing w:line="360" w:lineRule="auto"/>
        <w:jc w:val="both"/>
        <w:rPr>
          <w:rFonts w:ascii="Times New Roman" w:hAnsi="Times New Roman" w:cs="Times New Roman"/>
        </w:rPr>
      </w:pPr>
      <w:r>
        <w:rPr>
          <w:rFonts w:ascii="Times New Roman" w:hAnsi="Times New Roman" w:cs="Times New Roman"/>
        </w:rPr>
        <w:t>GFAP expression</w:t>
      </w:r>
      <w:r w:rsidR="00CA4275">
        <w:rPr>
          <w:rFonts w:ascii="Times New Roman" w:hAnsi="Times New Roman" w:cs="Times New Roman"/>
        </w:rPr>
        <w:t xml:space="preserve"> in astrocytes</w:t>
      </w:r>
      <w:r w:rsidR="00E609B8">
        <w:rPr>
          <w:rFonts w:ascii="Times New Roman" w:hAnsi="Times New Roman" w:cs="Times New Roman"/>
        </w:rPr>
        <w:t xml:space="preserve"> </w:t>
      </w:r>
      <w:r w:rsidR="003A4038">
        <w:rPr>
          <w:rFonts w:ascii="Times New Roman" w:hAnsi="Times New Roman" w:cs="Times New Roman"/>
        </w:rPr>
        <w:t>also</w:t>
      </w:r>
      <w:r w:rsidR="00E609B8">
        <w:rPr>
          <w:rFonts w:ascii="Times New Roman" w:hAnsi="Times New Roman" w:cs="Times New Roman"/>
        </w:rPr>
        <w:t xml:space="preserve"> change</w:t>
      </w:r>
      <w:r w:rsidR="003A4038">
        <w:rPr>
          <w:rFonts w:ascii="Times New Roman" w:hAnsi="Times New Roman" w:cs="Times New Roman"/>
        </w:rPr>
        <w:t>s</w:t>
      </w:r>
      <w:r w:rsidR="00E609B8">
        <w:rPr>
          <w:rFonts w:ascii="Times New Roman" w:hAnsi="Times New Roman" w:cs="Times New Roman"/>
        </w:rPr>
        <w:t xml:space="preserve"> in</w:t>
      </w:r>
      <w:r w:rsidR="00CA4275">
        <w:rPr>
          <w:rFonts w:ascii="Times New Roman" w:hAnsi="Times New Roman" w:cs="Times New Roman"/>
        </w:rPr>
        <w:t xml:space="preserve"> the </w:t>
      </w:r>
      <w:r w:rsidR="00E609B8">
        <w:rPr>
          <w:rFonts w:ascii="Times New Roman" w:hAnsi="Times New Roman" w:cs="Times New Roman"/>
        </w:rPr>
        <w:t>co-culture</w:t>
      </w:r>
      <w:r w:rsidR="00CA4275">
        <w:rPr>
          <w:rFonts w:ascii="Times New Roman" w:hAnsi="Times New Roman" w:cs="Times New Roman"/>
        </w:rPr>
        <w:t xml:space="preserve"> system. In monoculture,</w:t>
      </w:r>
      <w:r w:rsidR="00E609B8">
        <w:rPr>
          <w:rFonts w:ascii="Times New Roman" w:hAnsi="Times New Roman" w:cs="Times New Roman"/>
        </w:rPr>
        <w:t xml:space="preserve"> human astrocytes express</w:t>
      </w:r>
      <w:r w:rsidR="00CA4275">
        <w:rPr>
          <w:rFonts w:ascii="Times New Roman" w:hAnsi="Times New Roman" w:cs="Times New Roman"/>
        </w:rPr>
        <w:t>ed</w:t>
      </w:r>
      <w:r w:rsidR="00E609B8">
        <w:rPr>
          <w:rFonts w:ascii="Times New Roman" w:hAnsi="Times New Roman" w:cs="Times New Roman"/>
        </w:rPr>
        <w:t xml:space="preserve"> low levels of GFAP</w:t>
      </w:r>
      <w:r w:rsidR="00CA4275">
        <w:rPr>
          <w:rFonts w:ascii="Times New Roman" w:hAnsi="Times New Roman" w:cs="Times New Roman"/>
        </w:rPr>
        <w:t xml:space="preserve">, whereas in co-culture </w:t>
      </w:r>
      <w:r w:rsidR="00690668">
        <w:rPr>
          <w:rFonts w:ascii="Times New Roman" w:hAnsi="Times New Roman" w:cs="Times New Roman"/>
        </w:rPr>
        <w:t xml:space="preserve">GFAP-positive </w:t>
      </w:r>
      <w:r w:rsidR="00CA4275">
        <w:rPr>
          <w:rFonts w:ascii="Times New Roman" w:hAnsi="Times New Roman" w:cs="Times New Roman"/>
        </w:rPr>
        <w:t xml:space="preserve">astrocytes have an altered morphology and expression </w:t>
      </w:r>
      <w:r w:rsidR="00690668">
        <w:rPr>
          <w:rFonts w:ascii="Times New Roman" w:hAnsi="Times New Roman" w:cs="Times New Roman"/>
        </w:rPr>
        <w:t>is increased adjacent to neurons</w:t>
      </w:r>
      <w:r w:rsidR="00E609B8">
        <w:rPr>
          <w:rFonts w:ascii="Times New Roman" w:hAnsi="Times New Roman" w:cs="Times New Roman"/>
        </w:rPr>
        <w:t>.</w:t>
      </w:r>
      <w:r w:rsidR="00D34602">
        <w:rPr>
          <w:rFonts w:ascii="Times New Roman" w:hAnsi="Times New Roman" w:cs="Times New Roman"/>
        </w:rPr>
        <w:t xml:space="preserve"> </w:t>
      </w:r>
      <w:r w:rsidR="00690668">
        <w:rPr>
          <w:rFonts w:ascii="Times New Roman" w:hAnsi="Times New Roman" w:cs="Times New Roman"/>
        </w:rPr>
        <w:t>This increase in GFAP expression</w:t>
      </w:r>
      <w:r w:rsidR="001919D5">
        <w:rPr>
          <w:rFonts w:ascii="Times New Roman" w:hAnsi="Times New Roman" w:cs="Times New Roman"/>
        </w:rPr>
        <w:t xml:space="preserve"> may</w:t>
      </w:r>
      <w:r w:rsidR="006331C7">
        <w:rPr>
          <w:rFonts w:ascii="Times New Roman" w:hAnsi="Times New Roman" w:cs="Times New Roman"/>
        </w:rPr>
        <w:t xml:space="preserve"> indicate a stress </w:t>
      </w:r>
      <w:r w:rsidR="001919D5">
        <w:rPr>
          <w:rFonts w:ascii="Times New Roman" w:hAnsi="Times New Roman" w:cs="Times New Roman"/>
        </w:rPr>
        <w:t>response,</w:t>
      </w:r>
      <w:r w:rsidR="006331C7">
        <w:rPr>
          <w:rFonts w:ascii="Times New Roman" w:hAnsi="Times New Roman" w:cs="Times New Roman"/>
        </w:rPr>
        <w:t xml:space="preserve"> </w:t>
      </w:r>
      <w:r w:rsidR="00D803E7">
        <w:rPr>
          <w:rFonts w:ascii="Times New Roman" w:hAnsi="Times New Roman" w:cs="Times New Roman"/>
        </w:rPr>
        <w:t>where</w:t>
      </w:r>
      <w:r w:rsidR="006331C7">
        <w:rPr>
          <w:rFonts w:ascii="Times New Roman" w:hAnsi="Times New Roman" w:cs="Times New Roman"/>
        </w:rPr>
        <w:t xml:space="preserve"> the GFAP positive astrocytes are facilitating support for neuronal </w:t>
      </w:r>
      <w:r w:rsidR="00784805">
        <w:rPr>
          <w:rFonts w:ascii="Times New Roman" w:hAnsi="Times New Roman" w:cs="Times New Roman"/>
        </w:rPr>
        <w:t>survival</w:t>
      </w:r>
      <w:r w:rsidR="00690668">
        <w:rPr>
          <w:rFonts w:ascii="Times New Roman" w:hAnsi="Times New Roman" w:cs="Times New Roman"/>
        </w:rPr>
        <w:t xml:space="preserve"> perhaps due to higher metabolic needs or other physiological demands</w:t>
      </w:r>
      <w:r w:rsidR="00D803E7">
        <w:rPr>
          <w:rFonts w:ascii="Times New Roman" w:hAnsi="Times New Roman" w:cs="Times New Roman"/>
        </w:rPr>
        <w:t>. However, since at low densities of neurons astrocytes can significantly increase neurite outgrowth an increase in G</w:t>
      </w:r>
      <w:r w:rsidR="00690668">
        <w:rPr>
          <w:rFonts w:ascii="Times New Roman" w:hAnsi="Times New Roman" w:cs="Times New Roman"/>
        </w:rPr>
        <w:t>FAP expression may indicate incr</w:t>
      </w:r>
      <w:r w:rsidR="00D803E7">
        <w:rPr>
          <w:rFonts w:ascii="Times New Roman" w:hAnsi="Times New Roman" w:cs="Times New Roman"/>
        </w:rPr>
        <w:t>ease</w:t>
      </w:r>
      <w:r w:rsidR="00690668">
        <w:rPr>
          <w:rFonts w:ascii="Times New Roman" w:hAnsi="Times New Roman" w:cs="Times New Roman"/>
        </w:rPr>
        <w:t>d</w:t>
      </w:r>
      <w:r w:rsidR="00D803E7">
        <w:rPr>
          <w:rFonts w:ascii="Times New Roman" w:hAnsi="Times New Roman" w:cs="Times New Roman"/>
        </w:rPr>
        <w:t xml:space="preserve"> neurotrophic support. For example, during ischemia reactive</w:t>
      </w:r>
      <w:r w:rsidR="000D361D">
        <w:rPr>
          <w:rFonts w:ascii="Times New Roman" w:hAnsi="Times New Roman" w:cs="Times New Roman"/>
        </w:rPr>
        <w:t xml:space="preserve"> rodent</w:t>
      </w:r>
      <w:r w:rsidR="00D803E7">
        <w:rPr>
          <w:rFonts w:ascii="Times New Roman" w:hAnsi="Times New Roman" w:cs="Times New Roman"/>
        </w:rPr>
        <w:t xml:space="preserve"> astrocytes increase IG</w:t>
      </w:r>
      <w:r w:rsidR="00690668">
        <w:rPr>
          <w:rFonts w:ascii="Times New Roman" w:hAnsi="Times New Roman" w:cs="Times New Roman"/>
        </w:rPr>
        <w:t>F1</w:t>
      </w:r>
      <w:r w:rsidR="000D361D">
        <w:rPr>
          <w:rFonts w:ascii="Times New Roman" w:hAnsi="Times New Roman" w:cs="Times New Roman"/>
        </w:rPr>
        <w:t xml:space="preserve"> signalling proteins</w:t>
      </w:r>
      <w:r w:rsidR="00690668">
        <w:rPr>
          <w:rFonts w:ascii="Times New Roman" w:hAnsi="Times New Roman" w:cs="Times New Roman"/>
        </w:rPr>
        <w:t xml:space="preserve"> to maintain neuronal support </w:t>
      </w:r>
      <w:r w:rsidR="00512E68" w:rsidRPr="00910D44">
        <w:rPr>
          <w:rFonts w:ascii="Times New Roman" w:hAnsi="Times New Roman" w:cs="Times New Roman"/>
          <w:color w:val="000000" w:themeColor="text1"/>
        </w:rPr>
        <w:fldChar w:fldCharType="begin" w:fldLock="1"/>
      </w:r>
      <w:r w:rsidR="003E7BDB">
        <w:rPr>
          <w:rFonts w:ascii="Times New Roman" w:hAnsi="Times New Roman" w:cs="Times New Roman"/>
          <w:color w:val="000000" w:themeColor="text1"/>
        </w:rPr>
        <w:instrText>ADDIN CSL_CITATION { "citationItems" : [ { "id" : "ITEM-1", "itemData" : { "DOI" : "10.1016/S0169-328X(98)00122-3", "ISSN" : "0169328X", "abstract" : "Insulin-like growth factor 1 (IGF-1) is induced after hypoxic\u2013ischemic (HI) brain injury, and therapeutic studies suggest that IGF-1 may restrict delayed neuronal and glial cell loss. We have used a well-characterised rat model of HI injury to extend our understanding of the modes of action of the IGF system after injury. The induction of the IGF system by injury was examined by in situ hybridization, immunohistochemistry, Northern blot analysis, RNase protection assay and reverse transcriptase-polymerase chain reaction (RT-PCR). IGF-1 accumulated in blood vessels of the damaged hemisphere within 5 h after a severe injury. By 3 days, IGF-1 mRNA was expressed by reactive microglia in regions of delayed neuronal death, and immunoreactive IGF-1 was associated with these microglia and reactive astrocytes juxtaposed to surviving neurones surrounding the infarct. Total IGF-1 receptor mRNA was unchanged by the injury. IGFBP-2 mRNA was strongly induced in reactive astrocytes throughout the injured hemisphere, and IGFBP-3 and IGFBP-5 mRNA were moderately induced in reactive microglia and neurones of the injured hippocampus, respectively. IGFBP-6 mRNA was induced in the damaged hemisphere by 3 days and increased protein was seen on the choroid plexus, ependyma and reactive glia. In contrast, insulin II was not induced. These results indicate cell type-specific expression for IGF-1, IGFBP-2,3,5 and 6 after injury. Our findings suggest that the IGF-1 produced by microglia after injury is transferred to perineuronal reactive astrocytes expressing IGFBP-2. Thus, modulation of IGF-1 action by IGFBP-2 might represent a key mechanism that restricts neuronal cell loss following HI brain injury.", "author" : [ { "dropping-particle" : "", "family" : "Beilharz", "given" : "Erica J.", "non-dropping-particle" : "", "parse-names" : false, "suffix" : "" }, { "dropping-particle" : "", "family" : "Russo", "given" : "Vincenzo C.", "non-dropping-particle" : "", "parse-names" : false, "suffix" : "" }, { "dropping-particle" : "", "family" : "Butler", "given" : "Gary", "non-dropping-particle" : "", "parse-names" : false, "suffix" : "" }, { "dropping-particle" : "", "family" : "Baker", "given" : "Naomi L.", "non-dropping-particle" : "", "parse-names" : false, "suffix" : "" }, { "dropping-particle" : "", "family" : "Connor", "given" : "Bronwyn", "non-dropping-particle" : "", "parse-names" : false, "suffix" : "" }, { "dropping-particle" : "", "family" : "Sirimanne", "given" : "Ernest S.", "non-dropping-particle" : "", "parse-names" : false, "suffix" : "" }, { "dropping-particle" : "", "family" : "Dragunow", "given" : "Mike", "non-dropping-particle" : "", "parse-names" : false, "suffix" : "" }, { "dropping-particle" : "", "family" : "Werther", "given" : "George A.", "non-dropping-particle" : "", "parse-names" : false, "suffix" : "" }, { "dropping-particle" : "", "family" : "Gluckman", "given" : "Peter D.", "non-dropping-particle" : "", "parse-names" : false, "suffix" : "" }, { "dropping-particle" : "", "family" : "Williams", "given" : "Chris E.", "non-dropping-particle" : "", "parse-names" : false, "suffix" : "" }, { "dropping-particle" : "", "family" : "Scheepens", "given" : "Arjan", "non-dropping-particle" : "", "parse-names" : false, "suffix" : "" } ], "container-title" : "Molecular Brain Research", "id" : "ITEM-1", "issue" : "2", "issued" : { "date-parts" : [ [ "1998" ] ] }, "page" : "119-134", "title" : "Co-ordinated and cellular specific induction of the components of the IGF/IGFBP axis in the rat brain following hypoxic\u2013ischemic injury", "type" : "article-journal", "volume" : "59" }, "uris" : [ "http://www.mendeley.com/documents/?uuid=f7a661f4-3948-3b98-8903-9f2db5f0dd4f" ] } ], "mendeley" : { "formattedCitation" : "(Beilharz et al. 1998)", "plainTextFormattedCitation" : "(Beilharz et al. 1998)", "previouslyFormattedCitation" : "(Beilharz et al. 1998)" }, "properties" : { "noteIndex" : 0 }, "schema" : "https://github.com/citation-style-language/schema/raw/master/csl-citation.json" }</w:instrText>
      </w:r>
      <w:r w:rsidR="00512E68" w:rsidRPr="00910D44">
        <w:rPr>
          <w:rFonts w:ascii="Times New Roman" w:hAnsi="Times New Roman" w:cs="Times New Roman"/>
          <w:color w:val="000000" w:themeColor="text1"/>
        </w:rPr>
        <w:fldChar w:fldCharType="separate"/>
      </w:r>
      <w:r w:rsidR="00C148FC" w:rsidRPr="00C148FC">
        <w:rPr>
          <w:rFonts w:ascii="Times New Roman" w:hAnsi="Times New Roman" w:cs="Times New Roman"/>
          <w:noProof/>
          <w:color w:val="000000" w:themeColor="text1"/>
        </w:rPr>
        <w:t>(Beilharz et al. 1998)</w:t>
      </w:r>
      <w:r w:rsidR="00512E68" w:rsidRPr="00910D44">
        <w:rPr>
          <w:rFonts w:ascii="Times New Roman" w:hAnsi="Times New Roman" w:cs="Times New Roman"/>
          <w:color w:val="000000" w:themeColor="text1"/>
        </w:rPr>
        <w:fldChar w:fldCharType="end"/>
      </w:r>
      <w:r w:rsidR="00512E68" w:rsidRPr="00910D44">
        <w:rPr>
          <w:rFonts w:ascii="Times New Roman" w:hAnsi="Times New Roman" w:cs="Times New Roman"/>
          <w:color w:val="000000" w:themeColor="text1"/>
        </w:rPr>
        <w:t>.</w:t>
      </w:r>
      <w:r w:rsidR="00690668" w:rsidRPr="00910D44">
        <w:rPr>
          <w:rFonts w:ascii="Times New Roman" w:hAnsi="Times New Roman" w:cs="Times New Roman"/>
          <w:color w:val="000000" w:themeColor="text1"/>
        </w:rPr>
        <w:t xml:space="preserve"> </w:t>
      </w:r>
      <w:r w:rsidR="00993D70">
        <w:rPr>
          <w:rFonts w:ascii="Times New Roman" w:hAnsi="Times New Roman" w:cs="Times New Roman"/>
        </w:rPr>
        <w:t>GFAP-</w:t>
      </w:r>
      <w:r w:rsidR="00D803E7">
        <w:rPr>
          <w:rFonts w:ascii="Times New Roman" w:hAnsi="Times New Roman" w:cs="Times New Roman"/>
        </w:rPr>
        <w:t>positive astrocytes</w:t>
      </w:r>
      <w:r w:rsidR="00690668">
        <w:rPr>
          <w:rFonts w:ascii="Times New Roman" w:hAnsi="Times New Roman" w:cs="Times New Roman"/>
        </w:rPr>
        <w:t xml:space="preserve"> may also indicate that the</w:t>
      </w:r>
      <w:r w:rsidR="001919D5">
        <w:rPr>
          <w:rFonts w:ascii="Times New Roman" w:hAnsi="Times New Roman" w:cs="Times New Roman"/>
        </w:rPr>
        <w:t xml:space="preserve"> astrocytes are more functionally mature</w:t>
      </w:r>
      <w:r w:rsidR="00784805">
        <w:rPr>
          <w:rFonts w:ascii="Times New Roman" w:hAnsi="Times New Roman" w:cs="Times New Roman"/>
        </w:rPr>
        <w:t xml:space="preserve">. </w:t>
      </w:r>
      <w:r w:rsidR="00690668">
        <w:rPr>
          <w:rFonts w:ascii="Times New Roman" w:hAnsi="Times New Roman" w:cs="Times New Roman"/>
        </w:rPr>
        <w:t>Alternatively, i</w:t>
      </w:r>
      <w:r w:rsidR="00784805">
        <w:rPr>
          <w:rFonts w:ascii="Times New Roman" w:hAnsi="Times New Roman" w:cs="Times New Roman"/>
        </w:rPr>
        <w:t xml:space="preserve">ncreased GFAP expression </w:t>
      </w:r>
      <w:r w:rsidR="00F0151B">
        <w:rPr>
          <w:rFonts w:ascii="Times New Roman" w:hAnsi="Times New Roman" w:cs="Times New Roman"/>
        </w:rPr>
        <w:t xml:space="preserve">may reflect a </w:t>
      </w:r>
      <w:r w:rsidR="00F16C47">
        <w:rPr>
          <w:rFonts w:ascii="Times New Roman" w:hAnsi="Times New Roman" w:cs="Times New Roman"/>
        </w:rPr>
        <w:t xml:space="preserve">more general increase in protein expression </w:t>
      </w:r>
      <w:r w:rsidR="001919D5">
        <w:rPr>
          <w:rFonts w:ascii="Times New Roman" w:hAnsi="Times New Roman" w:cs="Times New Roman"/>
        </w:rPr>
        <w:t>to increase neuronal support (however no obvious changes in morphology were seen when astrocytes were stained with other astrocytic markers).</w:t>
      </w:r>
    </w:p>
    <w:p w14:paraId="2698ED7C" w14:textId="77777777" w:rsidR="00CA4275" w:rsidRDefault="00CA4275" w:rsidP="00C63BC1">
      <w:pPr>
        <w:spacing w:line="360" w:lineRule="auto"/>
        <w:jc w:val="both"/>
        <w:rPr>
          <w:rFonts w:ascii="Times New Roman" w:hAnsi="Times New Roman" w:cs="Times New Roman"/>
        </w:rPr>
      </w:pPr>
    </w:p>
    <w:p w14:paraId="45DA18E0" w14:textId="4FDE6437" w:rsidR="00E609B8" w:rsidRDefault="006913AA" w:rsidP="00C63BC1">
      <w:pPr>
        <w:spacing w:line="360" w:lineRule="auto"/>
        <w:jc w:val="both"/>
        <w:rPr>
          <w:rFonts w:ascii="Times New Roman" w:hAnsi="Times New Roman" w:cs="Times New Roman"/>
        </w:rPr>
      </w:pPr>
      <w:r>
        <w:rPr>
          <w:rFonts w:ascii="Times New Roman" w:hAnsi="Times New Roman" w:cs="Times New Roman"/>
        </w:rPr>
        <w:t>C</w:t>
      </w:r>
      <w:r w:rsidR="00AF4B65">
        <w:rPr>
          <w:rFonts w:ascii="Times New Roman" w:hAnsi="Times New Roman" w:cs="Times New Roman"/>
        </w:rPr>
        <w:t>hanges in</w:t>
      </w:r>
      <w:r w:rsidR="00CA4275">
        <w:rPr>
          <w:rFonts w:ascii="Times New Roman" w:hAnsi="Times New Roman" w:cs="Times New Roman"/>
        </w:rPr>
        <w:t xml:space="preserve"> C</w:t>
      </w:r>
      <w:r w:rsidR="003A23E5">
        <w:rPr>
          <w:rFonts w:ascii="Times New Roman" w:hAnsi="Times New Roman" w:cs="Times New Roman"/>
        </w:rPr>
        <w:t>x</w:t>
      </w:r>
      <w:r w:rsidR="00CA4275">
        <w:rPr>
          <w:rFonts w:ascii="Times New Roman" w:hAnsi="Times New Roman" w:cs="Times New Roman"/>
        </w:rPr>
        <w:t>43</w:t>
      </w:r>
      <w:r w:rsidR="00AF4B65">
        <w:rPr>
          <w:rFonts w:ascii="Times New Roman" w:hAnsi="Times New Roman" w:cs="Times New Roman"/>
        </w:rPr>
        <w:t xml:space="preserve"> and GFAP</w:t>
      </w:r>
      <w:r w:rsidR="00CA4275">
        <w:rPr>
          <w:rFonts w:ascii="Times New Roman" w:hAnsi="Times New Roman" w:cs="Times New Roman"/>
        </w:rPr>
        <w:t xml:space="preserve"> </w:t>
      </w:r>
      <w:r w:rsidR="006C6654">
        <w:rPr>
          <w:rFonts w:ascii="Times New Roman" w:hAnsi="Times New Roman" w:cs="Times New Roman"/>
        </w:rPr>
        <w:t>in astrocytes</w:t>
      </w:r>
      <w:r>
        <w:rPr>
          <w:rFonts w:ascii="Times New Roman" w:hAnsi="Times New Roman" w:cs="Times New Roman"/>
        </w:rPr>
        <w:t xml:space="preserve"> co-culture</w:t>
      </w:r>
      <w:r w:rsidR="006C6654">
        <w:rPr>
          <w:rFonts w:ascii="Times New Roman" w:hAnsi="Times New Roman" w:cs="Times New Roman"/>
        </w:rPr>
        <w:t>d</w:t>
      </w:r>
      <w:r>
        <w:rPr>
          <w:rFonts w:ascii="Times New Roman" w:hAnsi="Times New Roman" w:cs="Times New Roman"/>
        </w:rPr>
        <w:t xml:space="preserve"> with neurons </w:t>
      </w:r>
      <w:r w:rsidR="00561CD6">
        <w:rPr>
          <w:rFonts w:ascii="Times New Roman" w:hAnsi="Times New Roman" w:cs="Times New Roman"/>
        </w:rPr>
        <w:t xml:space="preserve">provide </w:t>
      </w:r>
      <w:r>
        <w:rPr>
          <w:rFonts w:ascii="Times New Roman" w:hAnsi="Times New Roman" w:cs="Times New Roman"/>
        </w:rPr>
        <w:t>additional</w:t>
      </w:r>
      <w:r w:rsidR="00AF4B65">
        <w:rPr>
          <w:rFonts w:ascii="Times New Roman" w:hAnsi="Times New Roman" w:cs="Times New Roman"/>
        </w:rPr>
        <w:t xml:space="preserve"> evidence that </w:t>
      </w:r>
      <w:r w:rsidR="006C6654">
        <w:rPr>
          <w:rFonts w:ascii="Times New Roman" w:hAnsi="Times New Roman" w:cs="Times New Roman"/>
        </w:rPr>
        <w:t xml:space="preserve">astrocytes respond to external </w:t>
      </w:r>
      <w:r w:rsidR="00AF4B65">
        <w:rPr>
          <w:rFonts w:ascii="Times New Roman" w:hAnsi="Times New Roman" w:cs="Times New Roman"/>
        </w:rPr>
        <w:t>neuronal cues</w:t>
      </w:r>
      <w:r w:rsidR="006C6654">
        <w:rPr>
          <w:rFonts w:ascii="Times New Roman" w:hAnsi="Times New Roman" w:cs="Times New Roman"/>
        </w:rPr>
        <w:t xml:space="preserve"> and</w:t>
      </w:r>
      <w:r w:rsidR="00A06AFB">
        <w:rPr>
          <w:rFonts w:ascii="Times New Roman" w:hAnsi="Times New Roman" w:cs="Times New Roman"/>
        </w:rPr>
        <w:t xml:space="preserve"> tailor their function accordingly</w:t>
      </w:r>
      <w:r w:rsidR="00AF4B65">
        <w:rPr>
          <w:rFonts w:ascii="Times New Roman" w:hAnsi="Times New Roman" w:cs="Times New Roman"/>
        </w:rPr>
        <w:t>.</w:t>
      </w:r>
      <w:r w:rsidR="0050741E">
        <w:rPr>
          <w:rFonts w:ascii="Times New Roman" w:hAnsi="Times New Roman" w:cs="Times New Roman"/>
        </w:rPr>
        <w:t xml:space="preserve"> Although changes in C</w:t>
      </w:r>
      <w:r w:rsidR="003A23E5">
        <w:rPr>
          <w:rFonts w:ascii="Times New Roman" w:hAnsi="Times New Roman" w:cs="Times New Roman"/>
        </w:rPr>
        <w:t>x</w:t>
      </w:r>
      <w:r w:rsidR="0050741E">
        <w:rPr>
          <w:rFonts w:ascii="Times New Roman" w:hAnsi="Times New Roman" w:cs="Times New Roman"/>
        </w:rPr>
        <w:t>43 would need validating further by assess</w:t>
      </w:r>
      <w:r w:rsidR="003A23E5">
        <w:rPr>
          <w:rFonts w:ascii="Times New Roman" w:hAnsi="Times New Roman" w:cs="Times New Roman"/>
        </w:rPr>
        <w:t>ing</w:t>
      </w:r>
      <w:r w:rsidR="0050741E">
        <w:rPr>
          <w:rFonts w:ascii="Times New Roman" w:hAnsi="Times New Roman" w:cs="Times New Roman"/>
        </w:rPr>
        <w:t xml:space="preserve"> calcium oscillations in astrocytes close to neuronal bundles compared with those more distant to the neurons.</w:t>
      </w:r>
      <w:r>
        <w:rPr>
          <w:rFonts w:ascii="Times New Roman" w:hAnsi="Times New Roman" w:cs="Times New Roman"/>
        </w:rPr>
        <w:t xml:space="preserve"> </w:t>
      </w:r>
      <w:r w:rsidR="00561CD6">
        <w:rPr>
          <w:rFonts w:ascii="Times New Roman" w:hAnsi="Times New Roman" w:cs="Times New Roman"/>
        </w:rPr>
        <w:t>T</w:t>
      </w:r>
      <w:r w:rsidR="003D5544">
        <w:rPr>
          <w:rFonts w:ascii="Times New Roman" w:hAnsi="Times New Roman" w:cs="Times New Roman"/>
        </w:rPr>
        <w:t>he</w:t>
      </w:r>
      <w:r>
        <w:rPr>
          <w:rFonts w:ascii="Times New Roman" w:hAnsi="Times New Roman" w:cs="Times New Roman"/>
        </w:rPr>
        <w:t xml:space="preserve"> heterogeneity of astrocytes </w:t>
      </w:r>
      <w:r w:rsidR="006C6654">
        <w:rPr>
          <w:rFonts w:ascii="Times New Roman" w:hAnsi="Times New Roman" w:cs="Times New Roman"/>
        </w:rPr>
        <w:t xml:space="preserve">observed </w:t>
      </w:r>
      <w:r>
        <w:rPr>
          <w:rFonts w:ascii="Times New Roman" w:hAnsi="Times New Roman" w:cs="Times New Roman"/>
        </w:rPr>
        <w:t>in the brain may</w:t>
      </w:r>
      <w:r w:rsidR="003D5544">
        <w:rPr>
          <w:rFonts w:ascii="Times New Roman" w:hAnsi="Times New Roman" w:cs="Times New Roman"/>
        </w:rPr>
        <w:t xml:space="preserve"> </w:t>
      </w:r>
      <w:r w:rsidR="00561CD6">
        <w:rPr>
          <w:rFonts w:ascii="Times New Roman" w:hAnsi="Times New Roman" w:cs="Times New Roman"/>
        </w:rPr>
        <w:t xml:space="preserve">therefore be a </w:t>
      </w:r>
      <w:r w:rsidR="003D5544">
        <w:rPr>
          <w:rFonts w:ascii="Times New Roman" w:hAnsi="Times New Roman" w:cs="Times New Roman"/>
        </w:rPr>
        <w:t>reflect</w:t>
      </w:r>
      <w:r w:rsidR="00561CD6">
        <w:rPr>
          <w:rFonts w:ascii="Times New Roman" w:hAnsi="Times New Roman" w:cs="Times New Roman"/>
        </w:rPr>
        <w:t>ion of</w:t>
      </w:r>
      <w:r w:rsidR="003D5544">
        <w:rPr>
          <w:rFonts w:ascii="Times New Roman" w:hAnsi="Times New Roman" w:cs="Times New Roman"/>
        </w:rPr>
        <w:t xml:space="preserve"> </w:t>
      </w:r>
      <w:r>
        <w:rPr>
          <w:rFonts w:ascii="Times New Roman" w:hAnsi="Times New Roman" w:cs="Times New Roman"/>
        </w:rPr>
        <w:t xml:space="preserve">the regional demands for neuronal support and neuronal activity. There are several studies that have illustrated </w:t>
      </w:r>
      <w:r w:rsidR="00561CD6">
        <w:rPr>
          <w:rFonts w:ascii="Times New Roman" w:hAnsi="Times New Roman" w:cs="Times New Roman"/>
        </w:rPr>
        <w:t xml:space="preserve">the dynamic changes that occur in astrocytes </w:t>
      </w:r>
      <w:r>
        <w:rPr>
          <w:rFonts w:ascii="Times New Roman" w:hAnsi="Times New Roman" w:cs="Times New Roman"/>
        </w:rPr>
        <w:t>as a result of being cultured with neurons. A</w:t>
      </w:r>
      <w:r w:rsidR="00CA4275">
        <w:rPr>
          <w:rFonts w:ascii="Times New Roman" w:hAnsi="Times New Roman" w:cs="Times New Roman"/>
        </w:rPr>
        <w:t xml:space="preserve"> recent study using microfluidic chambers to co-culture rodent astrocytes and neurons has shown that neurons can influence the spatial distribution and increase the frequency of calcium signalling in astrocytes </w:t>
      </w:r>
      <w:r w:rsidR="00CA4275">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"10.1038/micronano.2015.45", "ISSN" : "2055-7434", "author" : [ { "dropping-particle" : "", "family" : "Gao", "given" : "Yandong", "non-dropping-particle" : "", "parse-names" : false, "suffix" : "" }, { "dropping-particle" : "", "family" : "Broussard", "given" : "Joey", "non-dropping-particle" : "", "parse-names" : false, "suffix" : "" }, { "dropping-particle" : "", "family" : "Haque", "given" : "Amranul", "non-dropping-particle" : "", "parse-names" : false, "suffix" : "" }, { "dropping-particle" : "", "family" : "Revzin", "given" : "Alexander", "non-dropping-particle" : "", "parse-names" : false, "suffix" : "" }, { "dropping-particle" : "", "family" : "Lin", "given" : "Tian", "non-dropping-particle" : "", "parse-names" : false, "suffix" : "" } ], "container-title" : "Microsystems &amp; Nanoengineering", "id" : "ITEM-1", "issued" : { "date-parts" : [ [ "2016", "2", "29" ] ] }, "language" : "en", "page" : "15045", "publisher" : "Nature Publishing Group", "title" : "Functional imaging of neuron\u2013astrocyte interactions in a compartmentalized microfluidic device", "type" : "article-journal", "volume" : "2" }, "uris" : [ "http://www.mendeley.com/documents/?uuid=b4a03221-584b-4d77-85b0-671df7df5674" ] } ], "mendeley" : { "formattedCitation" : "(Gao et al. 2016)", "plainTextFormattedCitation" : "(Gao et al. 2016)", "previouslyFormattedCitation" : "(Gao et al. 2016)" }, "properties" : { "noteIndex" : 0 }, "schema" : "https://github.com/citation-style-language/schema/raw/master/csl-citation.json" }</w:instrText>
      </w:r>
      <w:r w:rsidR="00CA4275">
        <w:rPr>
          <w:rFonts w:ascii="Times New Roman" w:hAnsi="Times New Roman" w:cs="Times New Roman"/>
        </w:rPr>
        <w:fldChar w:fldCharType="separate"/>
      </w:r>
      <w:r w:rsidR="00C148FC" w:rsidRPr="00C148FC">
        <w:rPr>
          <w:rFonts w:ascii="Times New Roman" w:hAnsi="Times New Roman" w:cs="Times New Roman"/>
          <w:noProof/>
        </w:rPr>
        <w:t>(Gao et al. 2016)</w:t>
      </w:r>
      <w:r w:rsidR="00CA4275">
        <w:rPr>
          <w:rFonts w:ascii="Times New Roman" w:hAnsi="Times New Roman" w:cs="Times New Roman"/>
        </w:rPr>
        <w:fldChar w:fldCharType="end"/>
      </w:r>
      <w:r w:rsidR="00CA4275">
        <w:rPr>
          <w:rFonts w:ascii="Times New Roman" w:hAnsi="Times New Roman" w:cs="Times New Roman"/>
        </w:rPr>
        <w:t xml:space="preserve">. Direct co-culture of astrocytes and neurons also showed increased frequency of calcium signalling compared to separation of astrocytes and neurons into distinct compartments in the microfluidic chambers. In addition, there is evidence of mitochondrial relocalisation to astrocytic processes and colocalisation with GLT1, which is suggestive of increased supply of ATP for Na-K+ ATPases that drive GLT1 activity </w:t>
      </w:r>
      <w:r w:rsidR="00CA4275">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"10.1111/jnc.12759", "ISSN" : "1471-4159", "PMID" : "24814819", "abstract" : "Recent evidence suggests that the predominant astrocyte glutamate transporter, GLT-1/ Excitatory Amino Acid Transporter 2 (EAAT2) is associated with mitochondria. We used primary cultures of mouse astrocytes to assess co-localization of GLT-1 with mitochondria, and tested whether the interaction was dependent on neurons, actin polymerization or the kinesin adaptor, TRAK2. Mouse primary astrocytes were transfected with constructs expressing V5-tagged GLT-1, pDsRed1-Mito with and without dominant negative TRAK2. Astrocytes were visualized using confocal microscopy and co-localization was quantified using Volocity software. Image analysis of confocal z-stacks revealed no co-localization between mitochondria and GLT-1 in pure astrocyte cultures. Co-culture of astrocytes with primary mouse cortical neurons revealed more mitochondria in processes and a positive correlation between mitochondria and GLT-1. This co-localization was not further enhanced after neuronal depolarization induced by 1 h treatment with 15 mM K(+). In pure astrocytes, a rho kinase inhibitor, Y27632 caused the distribution of mitochondria to astrocyte processes without enhancing GLT-1/mitochondrial co-localization, however, in co-cultures, Y27632 abolished mitochondrial:GLT-1 co-localization. Disrupting potential mitochondrial: kinesin interactions using dominant negative TRAK2 did not alter GLT-1 distribution or GLT-1: mitochondrial co-localization. We conclude that the association between GLT-1 and mitochondria is modest, is driven by synaptic activity and dependent on polymerized actin filaments. Mitochondria have limited co-localization with the glutamate transporter GLT-1 in primary astrocytes in culture. Few mitochondria are in the fine processes where GLT-1 is abundant. It is necessary to culture astrocytes with neurones to drive a significant level of co-localization, but co-localization is not further altered by depolarization, manipulating sodium ion gradients or Na/K ATPase activity.", "author" : [ { "dropping-particle" : "", "family" : "Ugbode", "given" : "Christopher I", "non-dropping-particle" : "", "parse-names" : false, "suffix" : "" }, { "dropping-particle" : "", "family" : "Hirst", "given" : "Warren D", "non-dropping-particle" : "", "parse-names" : false, "suffix" : "" }, { "dropping-particle" : "", "family" : "Rattray", "given" : "Marcus", "non-dropping-particle" : "", "parse-names" : false, "suffix" : "" } ], "container-title" : "Journal of neurochemistry", "id" : "ITEM-1", "issue" : "5", "issued" : { "date-parts" : [ [ "2014", "9" ] ] }, "page" : "668-77", "title" : "Neuronal influences are necessary to produce mitochondrial co-localization with glutamate transporters in astrocytes.", "type" : "article-journal", "volume" : "130" }, "uris" : [ "http://www.mendeley.com/documents/?uuid=f1d2e3c4-cd04-4c93-9a9b-eab09c3383fd" ] } ], "mendeley" : { "formattedCitation" : "(Ugbode et al. 2014)", "plainTextFormattedCitation" : "(Ugbode et al. 2014)", "previouslyFormattedCitation" : "(Ugbode et al. 2014)" }, "properties" : { "noteIndex" : 0 }, "schema" : "https://github.com/citation-style-language/schema/raw/master/csl-citation.json" }</w:instrText>
      </w:r>
      <w:r w:rsidR="00CA4275">
        <w:rPr>
          <w:rFonts w:ascii="Times New Roman" w:hAnsi="Times New Roman" w:cs="Times New Roman"/>
        </w:rPr>
        <w:fldChar w:fldCharType="separate"/>
      </w:r>
      <w:r w:rsidR="00C148FC" w:rsidRPr="00C148FC">
        <w:rPr>
          <w:rFonts w:ascii="Times New Roman" w:hAnsi="Times New Roman" w:cs="Times New Roman"/>
          <w:noProof/>
        </w:rPr>
        <w:t>(Ugbode et al. 2014)</w:t>
      </w:r>
      <w:r w:rsidR="00CA4275">
        <w:rPr>
          <w:rFonts w:ascii="Times New Roman" w:hAnsi="Times New Roman" w:cs="Times New Roman"/>
        </w:rPr>
        <w:fldChar w:fldCharType="end"/>
      </w:r>
      <w:r w:rsidR="00CA4275">
        <w:rPr>
          <w:rFonts w:ascii="Times New Roman" w:hAnsi="Times New Roman" w:cs="Times New Roman"/>
        </w:rPr>
        <w:t>. Furthermore recent work shows that the molecular profile of astrocytes is</w:t>
      </w:r>
      <w:r w:rsidR="00484F10">
        <w:rPr>
          <w:rFonts w:ascii="Times New Roman" w:hAnsi="Times New Roman" w:cs="Times New Roman"/>
          <w:color w:val="FF0000"/>
        </w:rPr>
        <w:t xml:space="preserve"> </w:t>
      </w:r>
      <w:r w:rsidR="00484F10">
        <w:rPr>
          <w:rFonts w:ascii="Times New Roman" w:hAnsi="Times New Roman" w:cs="Times New Roman"/>
        </w:rPr>
        <w:t xml:space="preserve">dynamic </w:t>
      </w:r>
      <w:r w:rsidR="00CA4275">
        <w:rPr>
          <w:rFonts w:ascii="Times New Roman" w:hAnsi="Times New Roman" w:cs="Times New Roman"/>
        </w:rPr>
        <w:t xml:space="preserve">and that neuron-derived cues can alter the specifities of astrocytes. Altering the levels of sonic hedgehog has been show to alter the phenotype of cerebral cortex derived astrocytes </w:t>
      </w:r>
      <w:r w:rsidR="00CA4275">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"10.1126/science.aab3103", "ISSN" : "0036-8075", "PMID" : "26912893", "abstract" : "Astrocytes are specialized and heterogeneous cells that contribute to central nervous system function and homeostasis. However, the mechanisms that create and maintain differences among astrocytes and allow them to fulfill particular physiological roles remain poorly defined. We reveal that neurons actively determine the features of astrocytes in the healthy adult brain and define a role for neuron-derived sonic hedgehog (Shh) in regulating the molecular and functional profile of astrocytes. Thus, the molecular and physiological program of astrocytes is not hardwired during development but, rather, depends on cues from neurons that drive and sustain their specialized properties.", "author" : [ { "dropping-particle" : "", "family" : "Farmer", "given" : "W. T.", "non-dropping-particle" : "", "parse-names" : false, "suffix" : "" }, { "dropping-particle" : "", "family" : "Abrahamsson", "given" : "T.", "non-dropping-particle" : "", "parse-names" : false, "suffix" : "" }, { "dropping-particle" : "", "family" : "Chierzi", "given" : "S.", "non-dropping-particle" : "", "parse-names" : false, "suffix" : "" }, { "dropping-particle" : "", "family" : "Lui", "given" : "C.", "non-dropping-particle" : "", "parse-names" : false, "suffix" : "" }, { "dropping-particle" : "", "family" : "Zaelzer", "given" : "C.", "non-dropping-particle" : "", "parse-names" : false, "suffix" : "" }, { "dropping-particle" : "V.", "family" : "Jones", "given" : "E.", "non-dropping-particle" : "", "parse-names" : false, "suffix" : "" }, { "dropping-particle" : "", "family" : "Bally", "given" : "B. P.", "non-dropping-particle" : "", "parse-names" : false, "suffix" : "" }, { "dropping-particle" : "", "family" : "Chen", "given" : "G. G.", "non-dropping-particle" : "", "parse-names" : false, "suffix" : "" }, { "dropping-particle" : "", "family" : "Theroux", "given" : "J.-F.", "non-dropping-particle" : "", "parse-names" : false, "suffix" : "" }, { "dropping-particle" : "", "family" : "Peng", "given" : "J.", "non-dropping-particle" : "", "parse-names" : false, "suffix" : "" }, { "dropping-particle" : "", "family" : "Bourque", "given" : "C. W.", "non-dropping-particle" : "", "parse-names" : false, "suffix" : "" }, { "dropping-particle" : "", "family" : "Charron", "given" : "F.", "non-dropping-particle" : "", "parse-names" : false, "suffix" : "" }, { "dropping-particle" : "", "family" : "Ernst", "given" : "C.", "non-dropping-particle" : "", "parse-names" : false, "suffix" : "" }, { "dropping-particle" : "", "family" : "Sjostrom", "given" : "P. J.", "non-dropping-particle" : "", "parse-names" : false, "suffix" : "" }, { "dropping-particle" : "", "family" : "Murai", "given" : "K. K.", "non-dropping-particle" : "", "parse-names" : false, "suffix" : "" } ], "container-title" : "Science", "id" : "ITEM-1", "issue" : "6275", "issued" : { "date-parts" : [ [ "2016", "2", "18" ] ] }, "page" : "849-854", "title" : "Neurons diversify astrocytes in the adult brain through sonic hedgehog signaling", "type" : "article-journal", "volume" : "351" }, "uris" : [ "http://www.mendeley.com/documents/?uuid=82398894-3df8-4ba3-8dd9-3011280f9ad8" ] } ], "mendeley" : { "formattedCitation" : "(Farmer et al. 2016)", "plainTextFormattedCitation" : "(Farmer et al. 2016)", "previouslyFormattedCitation" : "(Farmer et al. 2016)" }, "properties" : { "noteIndex" : 0 }, "schema" : "https://github.com/citation-style-language/schema/raw/master/csl-citation.json" }</w:instrText>
      </w:r>
      <w:r w:rsidR="00CA4275">
        <w:rPr>
          <w:rFonts w:ascii="Times New Roman" w:hAnsi="Times New Roman" w:cs="Times New Roman"/>
        </w:rPr>
        <w:fldChar w:fldCharType="separate"/>
      </w:r>
      <w:r w:rsidR="00C148FC" w:rsidRPr="00C148FC">
        <w:rPr>
          <w:rFonts w:ascii="Times New Roman" w:hAnsi="Times New Roman" w:cs="Times New Roman"/>
          <w:noProof/>
        </w:rPr>
        <w:t>(Farmer et al. 2016)</w:t>
      </w:r>
      <w:r w:rsidR="00CA4275">
        <w:rPr>
          <w:rFonts w:ascii="Times New Roman" w:hAnsi="Times New Roman" w:cs="Times New Roman"/>
        </w:rPr>
        <w:fldChar w:fldCharType="end"/>
      </w:r>
      <w:r w:rsidR="00CA4275">
        <w:rPr>
          <w:rFonts w:ascii="Times New Roman" w:hAnsi="Times New Roman" w:cs="Times New Roman"/>
        </w:rPr>
        <w:t xml:space="preserve">. </w:t>
      </w:r>
    </w:p>
    <w:p w14:paraId="64473B42" w14:textId="244CC0EE" w:rsidR="001919D5" w:rsidRPr="000C0B1C" w:rsidRDefault="00395B55" w:rsidP="00395B55">
      <w:pPr>
        <w:pStyle w:val="Heading3"/>
      </w:pPr>
      <w:bookmarkStart w:id="1704" w:name="_Toc328301179"/>
      <w:bookmarkStart w:id="1705" w:name="_Toc329593470"/>
      <w:bookmarkStart w:id="1706" w:name="_Toc331425969"/>
      <w:bookmarkStart w:id="1707" w:name="_Toc331427150"/>
      <w:bookmarkStart w:id="1708" w:name="_Toc331427522"/>
      <w:bookmarkStart w:id="1709" w:name="_Toc331427664"/>
      <w:bookmarkStart w:id="1710" w:name="_Toc332972669"/>
      <w:bookmarkStart w:id="1711" w:name="_Toc333046948"/>
      <w:bookmarkStart w:id="1712" w:name="_Toc333477295"/>
      <w:bookmarkStart w:id="1713" w:name="_Toc333478065"/>
      <w:bookmarkStart w:id="1714" w:name="_Toc333644965"/>
      <w:r w:rsidRPr="000C0B1C">
        <w:t xml:space="preserve">4.5.2 </w:t>
      </w:r>
      <w:r w:rsidR="001919D5" w:rsidRPr="000C0B1C">
        <w:t>Impairments in IGF1 signalling in astrocytes in the co-culture system</w:t>
      </w:r>
      <w:bookmarkEnd w:id="1704"/>
      <w:bookmarkEnd w:id="1705"/>
      <w:bookmarkEnd w:id="1706"/>
      <w:bookmarkEnd w:id="1707"/>
      <w:bookmarkEnd w:id="1708"/>
      <w:bookmarkEnd w:id="1709"/>
      <w:bookmarkEnd w:id="1710"/>
      <w:bookmarkEnd w:id="1711"/>
      <w:bookmarkEnd w:id="1712"/>
      <w:bookmarkEnd w:id="1713"/>
      <w:bookmarkEnd w:id="1714"/>
    </w:p>
    <w:p w14:paraId="1BB92EB1" w14:textId="77777777" w:rsidR="001919D5" w:rsidRPr="001919D5" w:rsidRDefault="001919D5" w:rsidP="003866B4">
      <w:pPr>
        <w:spacing w:line="360" w:lineRule="auto"/>
        <w:rPr>
          <w:rFonts w:ascii="Times New Roman" w:hAnsi="Times New Roman" w:cs="Times New Roman"/>
        </w:rPr>
      </w:pPr>
    </w:p>
    <w:p w14:paraId="75D5143F" w14:textId="56D75864" w:rsidR="006331C7" w:rsidRDefault="00E609B8" w:rsidP="00C63BC1">
      <w:pPr>
        <w:spacing w:line="360" w:lineRule="auto"/>
        <w:jc w:val="both"/>
        <w:rPr>
          <w:rFonts w:ascii="Times New Roman" w:hAnsi="Times New Roman" w:cs="Times New Roman"/>
        </w:rPr>
      </w:pPr>
      <w:r>
        <w:rPr>
          <w:rFonts w:ascii="Times New Roman" w:hAnsi="Times New Roman" w:cs="Times New Roman"/>
        </w:rPr>
        <w:t>This novel human astrocyte-LUHMES co-culture</w:t>
      </w:r>
      <w:r w:rsidR="00EE73B1">
        <w:rPr>
          <w:rFonts w:ascii="Times New Roman" w:hAnsi="Times New Roman" w:cs="Times New Roman"/>
        </w:rPr>
        <w:t xml:space="preserve"> </w:t>
      </w:r>
      <w:r>
        <w:rPr>
          <w:rFonts w:ascii="Times New Roman" w:hAnsi="Times New Roman" w:cs="Times New Roman"/>
        </w:rPr>
        <w:t xml:space="preserve">system was used to investigate </w:t>
      </w:r>
      <w:r w:rsidR="00C728BB">
        <w:rPr>
          <w:rFonts w:ascii="Times New Roman" w:hAnsi="Times New Roman" w:cs="Times New Roman"/>
        </w:rPr>
        <w:t>factors that modulate astrocytic support for neurons</w:t>
      </w:r>
      <w:r>
        <w:rPr>
          <w:rFonts w:ascii="Times New Roman" w:hAnsi="Times New Roman" w:cs="Times New Roman"/>
        </w:rPr>
        <w:t>.</w:t>
      </w:r>
      <w:r w:rsidR="00023A4E">
        <w:rPr>
          <w:rFonts w:ascii="Times New Roman" w:hAnsi="Times New Roman" w:cs="Times New Roman"/>
        </w:rPr>
        <w:t xml:space="preserve"> </w:t>
      </w:r>
      <w:r>
        <w:rPr>
          <w:rFonts w:ascii="Times New Roman" w:hAnsi="Times New Roman" w:cs="Times New Roman"/>
        </w:rPr>
        <w:t xml:space="preserve">GFP-tagged LUHMES </w:t>
      </w:r>
      <w:r w:rsidR="00C84087">
        <w:rPr>
          <w:rFonts w:ascii="Times New Roman" w:hAnsi="Times New Roman" w:cs="Times New Roman"/>
        </w:rPr>
        <w:t xml:space="preserve">survive better when </w:t>
      </w:r>
      <w:r w:rsidR="00C728BB">
        <w:rPr>
          <w:rFonts w:ascii="Times New Roman" w:hAnsi="Times New Roman" w:cs="Times New Roman"/>
        </w:rPr>
        <w:t>co-cultured with astrocytes.</w:t>
      </w:r>
      <w:r w:rsidR="00EE73B1">
        <w:rPr>
          <w:rFonts w:ascii="Times New Roman" w:hAnsi="Times New Roman" w:cs="Times New Roman"/>
        </w:rPr>
        <w:t xml:space="preserve"> Media was not changed during the course of assessing survival, </w:t>
      </w:r>
      <w:r w:rsidR="00561CD6">
        <w:rPr>
          <w:rFonts w:ascii="Times New Roman" w:hAnsi="Times New Roman" w:cs="Times New Roman"/>
        </w:rPr>
        <w:t>yet in the presence of astrocytes neuronal</w:t>
      </w:r>
      <w:r w:rsidR="00E71759">
        <w:rPr>
          <w:rFonts w:ascii="Times New Roman" w:hAnsi="Times New Roman" w:cs="Times New Roman"/>
        </w:rPr>
        <w:t xml:space="preserve"> networks were maintained. Provision of key substrates by astrocytes</w:t>
      </w:r>
      <w:r w:rsidR="00AA3E4D">
        <w:rPr>
          <w:rFonts w:ascii="Times New Roman" w:hAnsi="Times New Roman" w:cs="Times New Roman"/>
        </w:rPr>
        <w:t xml:space="preserve"> such as lactate or removal of ROS by the glutathione system</w:t>
      </w:r>
      <w:r w:rsidR="00E71759">
        <w:rPr>
          <w:rFonts w:ascii="Times New Roman" w:hAnsi="Times New Roman" w:cs="Times New Roman"/>
        </w:rPr>
        <w:t xml:space="preserve"> is a likely reason why neuronal integrity wa</w:t>
      </w:r>
      <w:r w:rsidR="00C84087">
        <w:rPr>
          <w:rFonts w:ascii="Times New Roman" w:hAnsi="Times New Roman" w:cs="Times New Roman"/>
        </w:rPr>
        <w:t xml:space="preserve">s preserved. </w:t>
      </w:r>
      <w:r w:rsidR="00EE73B1">
        <w:rPr>
          <w:rFonts w:ascii="Times New Roman" w:hAnsi="Times New Roman" w:cs="Times New Roman"/>
        </w:rPr>
        <w:t>Loss of</w:t>
      </w:r>
      <w:r w:rsidR="00C728BB">
        <w:rPr>
          <w:rFonts w:ascii="Times New Roman" w:hAnsi="Times New Roman" w:cs="Times New Roman"/>
        </w:rPr>
        <w:t xml:space="preserve"> astrocytic</w:t>
      </w:r>
      <w:r w:rsidR="00EE73B1">
        <w:rPr>
          <w:rFonts w:ascii="Times New Roman" w:hAnsi="Times New Roman" w:cs="Times New Roman"/>
        </w:rPr>
        <w:t xml:space="preserve"> IGF1R in astrocytes does not appear to reduce </w:t>
      </w:r>
      <w:r w:rsidR="00904AD1">
        <w:rPr>
          <w:rFonts w:ascii="Times New Roman" w:hAnsi="Times New Roman" w:cs="Times New Roman"/>
        </w:rPr>
        <w:t xml:space="preserve">the formation of </w:t>
      </w:r>
      <w:r w:rsidR="00EE73B1">
        <w:rPr>
          <w:rFonts w:ascii="Times New Roman" w:hAnsi="Times New Roman" w:cs="Times New Roman"/>
        </w:rPr>
        <w:t>neuronal networks</w:t>
      </w:r>
      <w:r w:rsidR="00904AD1">
        <w:rPr>
          <w:rFonts w:ascii="Times New Roman" w:hAnsi="Times New Roman" w:cs="Times New Roman"/>
        </w:rPr>
        <w:t>,</w:t>
      </w:r>
      <w:r w:rsidR="00EE73B1">
        <w:rPr>
          <w:rFonts w:ascii="Times New Roman" w:hAnsi="Times New Roman" w:cs="Times New Roman"/>
        </w:rPr>
        <w:t xml:space="preserve"> </w:t>
      </w:r>
      <w:r w:rsidR="00C728BB">
        <w:rPr>
          <w:rFonts w:ascii="Times New Roman" w:hAnsi="Times New Roman" w:cs="Times New Roman"/>
        </w:rPr>
        <w:t xml:space="preserve">indicating </w:t>
      </w:r>
      <w:r w:rsidR="00EE73B1">
        <w:rPr>
          <w:rFonts w:ascii="Times New Roman" w:hAnsi="Times New Roman" w:cs="Times New Roman"/>
        </w:rPr>
        <w:t xml:space="preserve">that the capacity of the astrocytes to </w:t>
      </w:r>
      <w:r w:rsidR="00C84087">
        <w:rPr>
          <w:rFonts w:ascii="Times New Roman" w:hAnsi="Times New Roman" w:cs="Times New Roman"/>
        </w:rPr>
        <w:t>support</w:t>
      </w:r>
      <w:r w:rsidR="00EE73B1">
        <w:rPr>
          <w:rFonts w:ascii="Times New Roman" w:hAnsi="Times New Roman" w:cs="Times New Roman"/>
        </w:rPr>
        <w:t xml:space="preserve"> the neurons is maintained</w:t>
      </w:r>
      <w:r w:rsidR="00C728BB">
        <w:rPr>
          <w:rFonts w:ascii="Times New Roman" w:hAnsi="Times New Roman" w:cs="Times New Roman"/>
        </w:rPr>
        <w:t xml:space="preserve"> despite the loss of this receptor</w:t>
      </w:r>
      <w:r w:rsidR="00EE73B1">
        <w:rPr>
          <w:rFonts w:ascii="Times New Roman" w:hAnsi="Times New Roman" w:cs="Times New Roman"/>
        </w:rPr>
        <w:t>.</w:t>
      </w:r>
    </w:p>
    <w:p w14:paraId="00EAC8A8" w14:textId="77777777" w:rsidR="00B04BBD" w:rsidRPr="00B04BBD" w:rsidRDefault="00B04BBD" w:rsidP="00C63BC1">
      <w:pPr>
        <w:spacing w:line="360" w:lineRule="auto"/>
        <w:jc w:val="both"/>
        <w:rPr>
          <w:rFonts w:ascii="Times New Roman" w:hAnsi="Times New Roman" w:cs="Times New Roman"/>
          <w:b/>
          <w:u w:val="single"/>
        </w:rPr>
      </w:pPr>
    </w:p>
    <w:p w14:paraId="00124BED" w14:textId="1EEFB57E" w:rsidR="00EE73B1" w:rsidRDefault="00F358D5" w:rsidP="00C63BC1">
      <w:pPr>
        <w:spacing w:line="360" w:lineRule="auto"/>
        <w:jc w:val="both"/>
        <w:rPr>
          <w:rFonts w:ascii="Times New Roman" w:hAnsi="Times New Roman" w:cs="Times New Roman"/>
        </w:rPr>
      </w:pPr>
      <w:r>
        <w:rPr>
          <w:rFonts w:ascii="Times New Roman" w:hAnsi="Times New Roman" w:cs="Times New Roman"/>
        </w:rPr>
        <w:t>T</w:t>
      </w:r>
      <w:r w:rsidR="006A275D">
        <w:rPr>
          <w:rFonts w:ascii="Times New Roman" w:hAnsi="Times New Roman" w:cs="Times New Roman"/>
        </w:rPr>
        <w:t>o assess</w:t>
      </w:r>
      <w:r>
        <w:rPr>
          <w:rFonts w:ascii="Times New Roman" w:hAnsi="Times New Roman" w:cs="Times New Roman"/>
        </w:rPr>
        <w:t xml:space="preserve"> in more detail the level of </w:t>
      </w:r>
      <w:r w:rsidR="003433E1">
        <w:rPr>
          <w:rFonts w:ascii="Times New Roman" w:hAnsi="Times New Roman" w:cs="Times New Roman"/>
        </w:rPr>
        <w:t xml:space="preserve">neuronal </w:t>
      </w:r>
      <w:r>
        <w:rPr>
          <w:rFonts w:ascii="Times New Roman" w:hAnsi="Times New Roman" w:cs="Times New Roman"/>
        </w:rPr>
        <w:t>support provided by astr</w:t>
      </w:r>
      <w:r w:rsidR="00AE0042">
        <w:rPr>
          <w:rFonts w:ascii="Times New Roman" w:hAnsi="Times New Roman" w:cs="Times New Roman"/>
        </w:rPr>
        <w:t>ocytes and the importance of</w:t>
      </w:r>
      <w:r>
        <w:rPr>
          <w:rFonts w:ascii="Times New Roman" w:hAnsi="Times New Roman" w:cs="Times New Roman"/>
        </w:rPr>
        <w:t xml:space="preserve"> </w:t>
      </w:r>
      <w:r w:rsidR="00AE0042">
        <w:rPr>
          <w:rFonts w:ascii="Times New Roman" w:hAnsi="Times New Roman" w:cs="Times New Roman"/>
        </w:rPr>
        <w:t xml:space="preserve">astrocytic </w:t>
      </w:r>
      <w:r>
        <w:rPr>
          <w:rFonts w:ascii="Times New Roman" w:hAnsi="Times New Roman" w:cs="Times New Roman"/>
        </w:rPr>
        <w:t xml:space="preserve">IGF1R in providing this support, a neurite outgrowth assay was designed. This </w:t>
      </w:r>
      <w:r w:rsidR="00AE0042">
        <w:rPr>
          <w:rFonts w:ascii="Times New Roman" w:hAnsi="Times New Roman" w:cs="Times New Roman"/>
        </w:rPr>
        <w:t xml:space="preserve">assay </w:t>
      </w:r>
      <w:r w:rsidR="003433E1">
        <w:rPr>
          <w:rFonts w:ascii="Times New Roman" w:hAnsi="Times New Roman" w:cs="Times New Roman"/>
        </w:rPr>
        <w:t>was used as a tool to measure both the</w:t>
      </w:r>
      <w:r>
        <w:rPr>
          <w:rFonts w:ascii="Times New Roman" w:hAnsi="Times New Roman" w:cs="Times New Roman"/>
        </w:rPr>
        <w:t xml:space="preserve"> </w:t>
      </w:r>
      <w:r w:rsidR="003433E1">
        <w:rPr>
          <w:rFonts w:ascii="Times New Roman" w:hAnsi="Times New Roman" w:cs="Times New Roman"/>
        </w:rPr>
        <w:t>astrocytic</w:t>
      </w:r>
      <w:r>
        <w:rPr>
          <w:rFonts w:ascii="Times New Roman" w:hAnsi="Times New Roman" w:cs="Times New Roman"/>
        </w:rPr>
        <w:t xml:space="preserve"> support</w:t>
      </w:r>
      <w:r w:rsidR="003433E1">
        <w:rPr>
          <w:rFonts w:ascii="Times New Roman" w:hAnsi="Times New Roman" w:cs="Times New Roman"/>
        </w:rPr>
        <w:t xml:space="preserve"> for</w:t>
      </w:r>
      <w:r>
        <w:rPr>
          <w:rFonts w:ascii="Times New Roman" w:hAnsi="Times New Roman" w:cs="Times New Roman"/>
        </w:rPr>
        <w:t xml:space="preserve"> neuronal devel</w:t>
      </w:r>
      <w:r w:rsidR="003433E1">
        <w:rPr>
          <w:rFonts w:ascii="Times New Roman" w:hAnsi="Times New Roman" w:cs="Times New Roman"/>
        </w:rPr>
        <w:t>opment during differentiation and the protection offered to neurons during</w:t>
      </w:r>
      <w:r>
        <w:rPr>
          <w:rFonts w:ascii="Times New Roman" w:hAnsi="Times New Roman" w:cs="Times New Roman"/>
        </w:rPr>
        <w:t xml:space="preserve"> </w:t>
      </w:r>
      <w:r w:rsidR="003433E1">
        <w:rPr>
          <w:rFonts w:ascii="Times New Roman" w:hAnsi="Times New Roman" w:cs="Times New Roman"/>
        </w:rPr>
        <w:t>condtions of oxidative stress.</w:t>
      </w:r>
    </w:p>
    <w:p w14:paraId="6D12683B" w14:textId="77777777" w:rsidR="00AA21C2" w:rsidRDefault="00EE73B1" w:rsidP="00C63BC1">
      <w:pPr>
        <w:spacing w:line="360" w:lineRule="auto"/>
        <w:jc w:val="both"/>
        <w:rPr>
          <w:rFonts w:ascii="Times New Roman" w:hAnsi="Times New Roman" w:cs="Times New Roman"/>
        </w:rPr>
      </w:pPr>
      <w:r>
        <w:rPr>
          <w:rFonts w:ascii="Times New Roman" w:hAnsi="Times New Roman" w:cs="Times New Roman"/>
        </w:rPr>
        <w:t xml:space="preserve">         </w:t>
      </w:r>
    </w:p>
    <w:p w14:paraId="31BBF556" w14:textId="50D7FB4F" w:rsidR="00EE73B1" w:rsidRDefault="00F358D5" w:rsidP="00C63BC1">
      <w:pPr>
        <w:spacing w:line="360" w:lineRule="auto"/>
        <w:jc w:val="both"/>
        <w:rPr>
          <w:rFonts w:ascii="Times New Roman" w:hAnsi="Times New Roman" w:cs="Times New Roman"/>
        </w:rPr>
      </w:pPr>
      <w:r>
        <w:rPr>
          <w:rFonts w:ascii="Times New Roman" w:hAnsi="Times New Roman" w:cs="Times New Roman"/>
        </w:rPr>
        <w:t xml:space="preserve">Human astrocytes support neurite outgrowth and support for this process is </w:t>
      </w:r>
      <w:r w:rsidR="00EE73B1">
        <w:rPr>
          <w:rFonts w:ascii="Times New Roman" w:hAnsi="Times New Roman" w:cs="Times New Roman"/>
        </w:rPr>
        <w:t>strongly dependent on physical associations between the astrocytes and neurons. Previously it has been shown that N-cadherins</w:t>
      </w:r>
      <w:r w:rsidR="002A5A44">
        <w:rPr>
          <w:rFonts w:ascii="Times New Roman" w:hAnsi="Times New Roman" w:cs="Times New Roman"/>
        </w:rPr>
        <w:t xml:space="preserve">, integrins and </w:t>
      </w:r>
      <w:r w:rsidR="00EE73B1">
        <w:rPr>
          <w:rFonts w:ascii="Times New Roman" w:hAnsi="Times New Roman" w:cs="Times New Roman"/>
        </w:rPr>
        <w:t>neural cell adhesion molecule</w:t>
      </w:r>
      <w:r w:rsidR="002A5A44">
        <w:rPr>
          <w:rFonts w:ascii="Times New Roman" w:hAnsi="Times New Roman" w:cs="Times New Roman"/>
        </w:rPr>
        <w:t xml:space="preserve"> (NCAM</w:t>
      </w:r>
      <w:r w:rsidR="00EE73B1">
        <w:rPr>
          <w:rFonts w:ascii="Times New Roman" w:hAnsi="Times New Roman" w:cs="Times New Roman"/>
        </w:rPr>
        <w:t xml:space="preserve">) on the surface of astrocytes are integral to supporting this axonal extension process </w:t>
      </w:r>
      <w:r w:rsidR="00EE73B1">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"10.1083/jcb.107.3.1177", "ISSN" : "0021-9525", "author" : [ { "dropping-particle" : "", "family" : "Neugebauer", "given" : "K. M.", "non-dropping-particle" : "", "parse-names" : false, "suffix" : "" } ], "container-title" : "The Journal of Cell Biology", "id" : "ITEM-1", "issue" : "3", "issued" : { "date-parts" : [ [ "1988", "9", "1" ] ] }, "page" : "1177-1187", "title" : "N-cadherin, NCAM, and integrins promote retinal neurite outgrowth on astrocytes in vitro", "type" : "article-journal", "volume" : "107" }, "uris" : [ "http://www.mendeley.com/documents/?uuid=990cb1c2-14ae-4fd3-b4a3-3ea9e5e6689e" ] } ], "mendeley" : { "formattedCitation" : "(Neugebauer 1988)", "plainTextFormattedCitation" : "(Neugebauer 1988)", "previouslyFormattedCitation" : "(Neugebauer 1988)" }, "properties" : { "noteIndex" : 0 }, "schema" : "https://github.com/citation-style-language/schema/raw/master/csl-citation.json" }</w:instrText>
      </w:r>
      <w:r w:rsidR="00EE73B1">
        <w:rPr>
          <w:rFonts w:ascii="Times New Roman" w:hAnsi="Times New Roman" w:cs="Times New Roman"/>
        </w:rPr>
        <w:fldChar w:fldCharType="separate"/>
      </w:r>
      <w:r w:rsidR="00C148FC" w:rsidRPr="00C148FC">
        <w:rPr>
          <w:rFonts w:ascii="Times New Roman" w:hAnsi="Times New Roman" w:cs="Times New Roman"/>
          <w:noProof/>
        </w:rPr>
        <w:t>(Neugebauer 1988)</w:t>
      </w:r>
      <w:r w:rsidR="00EE73B1">
        <w:rPr>
          <w:rFonts w:ascii="Times New Roman" w:hAnsi="Times New Roman" w:cs="Times New Roman"/>
        </w:rPr>
        <w:fldChar w:fldCharType="end"/>
      </w:r>
      <w:r w:rsidR="00EE73B1">
        <w:rPr>
          <w:rFonts w:ascii="Times New Roman" w:hAnsi="Times New Roman" w:cs="Times New Roman"/>
        </w:rPr>
        <w:t>. In addition,</w:t>
      </w:r>
      <w:r w:rsidR="00665ECE">
        <w:rPr>
          <w:rFonts w:ascii="Times New Roman" w:hAnsi="Times New Roman" w:cs="Times New Roman"/>
        </w:rPr>
        <w:t xml:space="preserve"> it has been shown that</w:t>
      </w:r>
      <w:r w:rsidR="00EE73B1">
        <w:rPr>
          <w:rFonts w:ascii="Times New Roman" w:hAnsi="Times New Roman" w:cs="Times New Roman"/>
        </w:rPr>
        <w:t xml:space="preserve"> contact made with astrocytes results in the redistribution of neuronal growth associated proteins such as GAP43 and </w:t>
      </w:r>
      <w:r w:rsidR="002A5A44">
        <w:rPr>
          <w:rFonts w:ascii="Times New Roman" w:hAnsi="Times New Roman" w:cs="Times New Roman"/>
        </w:rPr>
        <w:t>microtubule associated protein 1B (</w:t>
      </w:r>
      <w:r w:rsidR="00EE73B1">
        <w:rPr>
          <w:rFonts w:ascii="Times New Roman" w:hAnsi="Times New Roman" w:cs="Times New Roman"/>
        </w:rPr>
        <w:t>M</w:t>
      </w:r>
      <w:r w:rsidR="002A5A44">
        <w:rPr>
          <w:rFonts w:ascii="Times New Roman" w:hAnsi="Times New Roman" w:cs="Times New Roman"/>
        </w:rPr>
        <w:t>AP</w:t>
      </w:r>
      <w:r w:rsidR="00EE73B1">
        <w:rPr>
          <w:rFonts w:ascii="Times New Roman" w:hAnsi="Times New Roman" w:cs="Times New Roman"/>
        </w:rPr>
        <w:t>1B</w:t>
      </w:r>
      <w:r w:rsidR="002A5A44">
        <w:rPr>
          <w:rFonts w:ascii="Times New Roman" w:hAnsi="Times New Roman" w:cs="Times New Roman"/>
        </w:rPr>
        <w:t>)</w:t>
      </w:r>
      <w:r w:rsidR="00EE73B1">
        <w:rPr>
          <w:rFonts w:ascii="Times New Roman" w:hAnsi="Times New Roman" w:cs="Times New Roman"/>
        </w:rPr>
        <w:t xml:space="preserve"> to the distal end of axons </w:t>
      </w:r>
      <w:r w:rsidR="00EE73B1">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"0360-4012", "PMID" : "11835314", "abstract" : "The development of morphological complexity of CNS neurons is thought to be regulated by extracellular factors and cellular contact. To analyze the role of contact with astroglia in this process and to determine the intraneuronal mechanisms involved, an in vitro system was developed where terminally differentiated and polar human CNS model neurons (NT2-N neurons) were cultured on a layer of mouse astrocytes or isolated membrane fractions in chemically defined medium. Morphometric analysis revealed that physical contact with living astrocytes increased the lengths of axonal and dendritic processes and lead to an increased number of branch points. Contact with astrocytes also resulted in a redistribution of the growth-associated proteins MAP1b and GAP-43 toward the growth cones of NT2-N neurons. Astrocyte-contact did not lead to a maturation of the neurons as would be detected by an increased expression of tau isoforms containing the adult-specific exons 2 and 3. Culture on immobilized membrane fractions prepared from astrocytes also increased the morphological complexity of the neurons in a qualitatively similar manner. The results indicate that physical contact with astrocyte membranes increases the morphological complexity of CNS model neurons through a mechanism that involves a redistribution of growth-associated proteins to neuronal growth cones. NT2-N neurons may provide a useful cellular model to analyze cytoskeletal mechanisms during the development of terminally differentiated and polar human neurons.", "author" : [ { "dropping-particle" : "", "family" : "Piontek", "given" : "J\u00f6rg", "non-dropping-particle" : "", "parse-names" : false, "suffix" : "" }, { "dropping-particle" : "", "family" : "R\u00e9gnier-Vigouroux", "given" : "Anne", "non-dropping-particle" : "", "parse-names" : false, "suffix" : "" }, { "dropping-particle" : "", "family" : "Brandt", "given" : "Roland", "non-dropping-particle" : "", "parse-names" : false, "suffix" : "" } ], "container-title" : "Journal of neuroscience research", "id" : "ITEM-1", "issue" : "4", "issued" : { "date-parts" : [ [ "2002", "2", "15" ] ] }, "page" : "471-83", "title" : "Contact with astroglial membranes induces axonal and dendritic growth of human CNS model neurons and affects the distribution of the growth-associated proteins MAP1B and GAP43.", "type" : "article-journal", "volume" : "67" }, "uris" : [ "http://www.mendeley.com/documents/?uuid=09e64187-8278-4710-b522-337ac642107d" ] } ], "mendeley" : { "formattedCitation" : "(Piontek et al. 2002)", "plainTextFormattedCitation" : "(Piontek et al. 2002)", "previouslyFormattedCitation" : "(Piontek et al. 2002)" }, "properties" : { "noteIndex" : 0 }, "schema" : "https://github.com/citation-style-language/schema/raw/master/csl-citation.json" }</w:instrText>
      </w:r>
      <w:r w:rsidR="00EE73B1">
        <w:rPr>
          <w:rFonts w:ascii="Times New Roman" w:hAnsi="Times New Roman" w:cs="Times New Roman"/>
        </w:rPr>
        <w:fldChar w:fldCharType="separate"/>
      </w:r>
      <w:r w:rsidR="00C148FC" w:rsidRPr="00C148FC">
        <w:rPr>
          <w:rFonts w:ascii="Times New Roman" w:hAnsi="Times New Roman" w:cs="Times New Roman"/>
          <w:noProof/>
        </w:rPr>
        <w:t>(Piontek et al. 2002)</w:t>
      </w:r>
      <w:r w:rsidR="00EE73B1">
        <w:rPr>
          <w:rFonts w:ascii="Times New Roman" w:hAnsi="Times New Roman" w:cs="Times New Roman"/>
        </w:rPr>
        <w:fldChar w:fldCharType="end"/>
      </w:r>
      <w:r w:rsidR="00EE73B1">
        <w:rPr>
          <w:rFonts w:ascii="Times New Roman" w:hAnsi="Times New Roman" w:cs="Times New Roman"/>
        </w:rPr>
        <w:t xml:space="preserve">, which further encourages axonal elongation. </w:t>
      </w:r>
    </w:p>
    <w:p w14:paraId="77478D98" w14:textId="77777777" w:rsidR="00B04BBD" w:rsidRDefault="00B04BBD" w:rsidP="00C63BC1">
      <w:pPr>
        <w:spacing w:line="360" w:lineRule="auto"/>
        <w:jc w:val="both"/>
        <w:rPr>
          <w:rFonts w:ascii="Times New Roman" w:hAnsi="Times New Roman" w:cs="Times New Roman"/>
          <w:b/>
          <w:u w:val="single"/>
        </w:rPr>
      </w:pPr>
    </w:p>
    <w:p w14:paraId="361CA099" w14:textId="65FA3457" w:rsidR="0066216A" w:rsidRDefault="00F358D5" w:rsidP="00C63BC1">
      <w:pPr>
        <w:spacing w:line="360" w:lineRule="auto"/>
        <w:jc w:val="both"/>
        <w:rPr>
          <w:rFonts w:ascii="Times New Roman" w:hAnsi="Times New Roman" w:cs="Times New Roman"/>
        </w:rPr>
      </w:pPr>
      <w:r>
        <w:rPr>
          <w:rFonts w:ascii="Times New Roman" w:hAnsi="Times New Roman" w:cs="Times New Roman"/>
        </w:rPr>
        <w:t>Loss of astrocytic IGF1R</w:t>
      </w:r>
      <w:r w:rsidR="008145FC">
        <w:rPr>
          <w:rFonts w:ascii="Times New Roman" w:hAnsi="Times New Roman" w:cs="Times New Roman"/>
        </w:rPr>
        <w:t xml:space="preserve"> after a 24 hour MAB391 treatment</w:t>
      </w:r>
      <w:r>
        <w:rPr>
          <w:rFonts w:ascii="Times New Roman" w:hAnsi="Times New Roman" w:cs="Times New Roman"/>
        </w:rPr>
        <w:t xml:space="preserve"> </w:t>
      </w:r>
      <w:r w:rsidR="008145FC">
        <w:rPr>
          <w:rFonts w:ascii="Times New Roman" w:hAnsi="Times New Roman" w:cs="Times New Roman"/>
        </w:rPr>
        <w:t xml:space="preserve">does not reduce Akt activity </w:t>
      </w:r>
      <w:r>
        <w:rPr>
          <w:rFonts w:ascii="Times New Roman" w:hAnsi="Times New Roman" w:cs="Times New Roman"/>
        </w:rPr>
        <w:t xml:space="preserve">(Chapter </w:t>
      </w:r>
      <w:r w:rsidR="008145FC">
        <w:rPr>
          <w:rFonts w:ascii="Times New Roman" w:hAnsi="Times New Roman" w:cs="Times New Roman"/>
        </w:rPr>
        <w:t xml:space="preserve">3, </w:t>
      </w:r>
      <w:r w:rsidR="008145FC" w:rsidRPr="008145FC">
        <w:rPr>
          <w:rFonts w:ascii="Times New Roman" w:hAnsi="Times New Roman" w:cs="Times New Roman"/>
          <w:b/>
        </w:rPr>
        <w:t>figure 3.7A</w:t>
      </w:r>
      <w:r>
        <w:rPr>
          <w:rFonts w:ascii="Times New Roman" w:hAnsi="Times New Roman" w:cs="Times New Roman"/>
        </w:rPr>
        <w:t xml:space="preserve">). Therefore in the neurite outgrowth assays in which astrocyte IGF1R is reduced, effects on neurite outgrowth cannot be attributed to a reduction in Akt activity. </w:t>
      </w:r>
      <w:r w:rsidR="0066216A">
        <w:rPr>
          <w:rFonts w:ascii="Times New Roman" w:hAnsi="Times New Roman" w:cs="Times New Roman"/>
        </w:rPr>
        <w:t xml:space="preserve">Loss of astrocytic IGF1R has no effect on neurite outgrowth. This contradicts previous reports showing </w:t>
      </w:r>
      <w:r w:rsidR="008145FC">
        <w:rPr>
          <w:rFonts w:ascii="Times New Roman" w:hAnsi="Times New Roman" w:cs="Times New Roman"/>
        </w:rPr>
        <w:t>that IGF1 enhanced neur</w:t>
      </w:r>
      <w:r w:rsidR="0066216A">
        <w:rPr>
          <w:rFonts w:ascii="Times New Roman" w:hAnsi="Times New Roman" w:cs="Times New Roman"/>
        </w:rPr>
        <w:t>i</w:t>
      </w:r>
      <w:r w:rsidR="008145FC">
        <w:rPr>
          <w:rFonts w:ascii="Times New Roman" w:hAnsi="Times New Roman" w:cs="Times New Roman"/>
        </w:rPr>
        <w:t>t</w:t>
      </w:r>
      <w:r w:rsidR="0066216A">
        <w:rPr>
          <w:rFonts w:ascii="Times New Roman" w:hAnsi="Times New Roman" w:cs="Times New Roman"/>
        </w:rPr>
        <w:t>e outgrowth is mediated by astrocytes</w:t>
      </w:r>
      <w:r w:rsidR="00665646">
        <w:rPr>
          <w:rFonts w:ascii="Times New Roman" w:hAnsi="Times New Roman" w:cs="Times New Roman"/>
        </w:rPr>
        <w:t xml:space="preserve"> </w:t>
      </w:r>
      <w:r w:rsidR="00665646">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"10.1016/0022-510X(92)90164-G", "ISSN" : "0022510X", "abstract" : "We isolated motoneurons from E15 dissociated mouse spinal cord by density centrifugation and planted them onto poly-ornithine-coated coverslips in a growth medium (DMEM/F12) supplemented with progesterone, transferrin, selenium, horse serum and muscle extract. Under these conditions only 28% of the motoneurons survived for 8 days. When living astrocytes on a separate coverslip were introduced into dishes containing motoneurons, there was a two-fold increase in neuronal survival. The addition of insulin and insulin-like growth factor I (IGF-I) to such cultures alone or together, still further increased motoneuron survival, but this did not happen in the absence of astrocytes. We conclude that (a) astrocytes exert a trophic role in the survival of spinal motoneurons, (b) the effect does not require physical contact of the cells, and (c) insulin and IGF-1 have neurotrophic activity for motoneurons, an effect possibly mediated by living astrocytes.", "author" : [ { "dropping-particle" : "", "family" : "Ang", "given" : "Lee C.", "non-dropping-particle" : "", "parse-names" : false, "suffix" : "" }, { "dropping-particle" : "", "family" : "Bhaumick", "given" : "Banani", "non-dropping-particle" : "", "parse-names" : false, "suffix" : "" }, { "dropping-particle" : "", "family" : "Munoz", "given" : "David G.", "non-dropping-particle" : "", "parse-names" : false, "suffix" : "" }, { "dropping-particle" : "", "family" : "Sass", "given" : "Jennifer", "non-dropping-particle" : "", "parse-names" : false, "suffix" : "" }, { "dropping-particle" : "", "family" : "Juurlink", "given" : "Bernhard H.J.", "non-dropping-particle" : "", "parse-names" : false, "suffix" : "" } ], "container-title" : "Journal of the Neurological Sciences", "id" : "ITEM-1", "issue" : "2", "issued" : { "date-parts" : [ [ "1992", "6" ] ] }, "page" : "168-172", "title" : "Effects of astrocytes, insulin and insulin-like growth factor I on the survival of motoneurons in vitro", "type" : "article-journal", "volume" : "109" }, "uris" : [ "http://www.mendeley.com/documents/?uuid=2755f744-343b-4f64-8e5b-e6936b4730dd" ] } ], "mendeley" : { "formattedCitation" : "(Ang et al. 1992)", "plainTextFormattedCitation" : "(Ang et al. 1992)", "previouslyFormattedCitation" : "(Ang et al. 1992)" }, "properties" : { "noteIndex" : 0 }, "schema" : "https://github.com/citation-style-language/schema/raw/master/csl-citation.json" }</w:instrText>
      </w:r>
      <w:r w:rsidR="00665646">
        <w:rPr>
          <w:rFonts w:ascii="Times New Roman" w:hAnsi="Times New Roman" w:cs="Times New Roman"/>
        </w:rPr>
        <w:fldChar w:fldCharType="separate"/>
      </w:r>
      <w:r w:rsidR="00C148FC" w:rsidRPr="00C148FC">
        <w:rPr>
          <w:rFonts w:ascii="Times New Roman" w:hAnsi="Times New Roman" w:cs="Times New Roman"/>
          <w:noProof/>
        </w:rPr>
        <w:t>(Ang et al. 1992)</w:t>
      </w:r>
      <w:r w:rsidR="00665646">
        <w:rPr>
          <w:rFonts w:ascii="Times New Roman" w:hAnsi="Times New Roman" w:cs="Times New Roman"/>
        </w:rPr>
        <w:fldChar w:fldCharType="end"/>
      </w:r>
      <w:r w:rsidR="0066216A">
        <w:rPr>
          <w:rFonts w:ascii="Times New Roman" w:hAnsi="Times New Roman" w:cs="Times New Roman"/>
        </w:rPr>
        <w:t>. These differences could be e</w:t>
      </w:r>
      <w:r w:rsidR="002A5A44">
        <w:rPr>
          <w:rFonts w:ascii="Times New Roman" w:hAnsi="Times New Roman" w:cs="Times New Roman"/>
        </w:rPr>
        <w:t>xplained by a number of reasons, which are listed below.</w:t>
      </w:r>
      <w:r w:rsidR="0066216A">
        <w:rPr>
          <w:rFonts w:ascii="Times New Roman" w:hAnsi="Times New Roman" w:cs="Times New Roman"/>
        </w:rPr>
        <w:t xml:space="preserve"> </w:t>
      </w:r>
    </w:p>
    <w:p w14:paraId="78BB2844" w14:textId="69529581" w:rsidR="006331C7" w:rsidRDefault="0066216A" w:rsidP="00C63BC1">
      <w:pPr>
        <w:spacing w:line="360" w:lineRule="auto"/>
        <w:jc w:val="both"/>
        <w:rPr>
          <w:rFonts w:ascii="Times New Roman" w:hAnsi="Times New Roman" w:cs="Times New Roman"/>
        </w:rPr>
      </w:pPr>
      <w:r w:rsidRPr="003A4038">
        <w:rPr>
          <w:rFonts w:ascii="Times New Roman" w:hAnsi="Times New Roman" w:cs="Times New Roman"/>
        </w:rPr>
        <w:t>Human astrocytes in this model may have</w:t>
      </w:r>
      <w:r w:rsidR="00A41190" w:rsidRPr="003A4038">
        <w:rPr>
          <w:rFonts w:ascii="Times New Roman" w:hAnsi="Times New Roman" w:cs="Times New Roman"/>
        </w:rPr>
        <w:t xml:space="preserve"> compensated</w:t>
      </w:r>
      <w:r w:rsidR="008145FC" w:rsidRPr="003A4038">
        <w:rPr>
          <w:rFonts w:ascii="Times New Roman" w:hAnsi="Times New Roman" w:cs="Times New Roman"/>
        </w:rPr>
        <w:t xml:space="preserve"> earlier</w:t>
      </w:r>
      <w:r w:rsidR="00A41190" w:rsidRPr="003A4038">
        <w:rPr>
          <w:rFonts w:ascii="Times New Roman" w:hAnsi="Times New Roman" w:cs="Times New Roman"/>
        </w:rPr>
        <w:t xml:space="preserve"> for loss of IGF1R signall</w:t>
      </w:r>
      <w:r w:rsidRPr="003A4038">
        <w:rPr>
          <w:rFonts w:ascii="Times New Roman" w:hAnsi="Times New Roman" w:cs="Times New Roman"/>
        </w:rPr>
        <w:t xml:space="preserve">ing by restoring Akt </w:t>
      </w:r>
      <w:r w:rsidR="00B15044" w:rsidRPr="003A4038">
        <w:rPr>
          <w:rFonts w:ascii="Times New Roman" w:hAnsi="Times New Roman" w:cs="Times New Roman"/>
        </w:rPr>
        <w:t>activation</w:t>
      </w:r>
      <w:r w:rsidR="008145FC" w:rsidRPr="003A4038">
        <w:rPr>
          <w:rFonts w:ascii="Times New Roman" w:hAnsi="Times New Roman" w:cs="Times New Roman"/>
        </w:rPr>
        <w:t xml:space="preserve"> through upregulation of another RTK</w:t>
      </w:r>
      <w:r w:rsidRPr="003A4038">
        <w:rPr>
          <w:rFonts w:ascii="Times New Roman" w:hAnsi="Times New Roman" w:cs="Times New Roman"/>
        </w:rPr>
        <w:t>. This is supported by the literature; i</w:t>
      </w:r>
      <w:r w:rsidR="006331C7" w:rsidRPr="003A4038">
        <w:rPr>
          <w:rFonts w:ascii="Times New Roman" w:hAnsi="Times New Roman" w:cs="Times New Roman"/>
        </w:rPr>
        <w:t xml:space="preserve">n </w:t>
      </w:r>
      <w:r w:rsidR="00284E96" w:rsidRPr="003A4038">
        <w:rPr>
          <w:rFonts w:ascii="Times New Roman" w:hAnsi="Times New Roman" w:cs="Times New Roman"/>
        </w:rPr>
        <w:t>the cancer field recovery of Akt</w:t>
      </w:r>
      <w:r w:rsidR="006331C7" w:rsidRPr="003A4038">
        <w:rPr>
          <w:rFonts w:ascii="Times New Roman" w:hAnsi="Times New Roman" w:cs="Times New Roman"/>
        </w:rPr>
        <w:t xml:space="preserve"> activity following inhibition of upstream receptor tyro</w:t>
      </w:r>
      <w:r w:rsidR="002D6E8E" w:rsidRPr="003A4038">
        <w:rPr>
          <w:rFonts w:ascii="Times New Roman" w:hAnsi="Times New Roman" w:cs="Times New Roman"/>
        </w:rPr>
        <w:t>sine kinases has been frequently observed</w:t>
      </w:r>
      <w:r w:rsidR="006331C7" w:rsidRPr="003A4038">
        <w:rPr>
          <w:rFonts w:ascii="Times New Roman" w:hAnsi="Times New Roman" w:cs="Times New Roman"/>
        </w:rPr>
        <w:t>. For example, in acute myeloid leukemia cells there are high levels of phosphorylated Akt that are believed to drive increased proliferation.</w:t>
      </w:r>
      <w:r w:rsidRPr="003A4038">
        <w:rPr>
          <w:rFonts w:ascii="Times New Roman" w:hAnsi="Times New Roman" w:cs="Times New Roman"/>
        </w:rPr>
        <w:t xml:space="preserve"> A </w:t>
      </w:r>
      <w:r w:rsidR="006331C7" w:rsidRPr="003A4038">
        <w:rPr>
          <w:rFonts w:ascii="Times New Roman" w:hAnsi="Times New Roman" w:cs="Times New Roman"/>
        </w:rPr>
        <w:t xml:space="preserve">series of Akt inhibitors were used by Bertacchini </w:t>
      </w:r>
      <w:r w:rsidR="006331C7" w:rsidRPr="003A4038">
        <w:rPr>
          <w:rFonts w:ascii="Times New Roman" w:hAnsi="Times New Roman" w:cs="Times New Roman"/>
          <w:i/>
        </w:rPr>
        <w:t xml:space="preserve">et </w:t>
      </w:r>
      <w:r w:rsidR="006331C7" w:rsidRPr="003A4038">
        <w:rPr>
          <w:rFonts w:ascii="Times New Roman" w:hAnsi="Times New Roman" w:cs="Times New Roman"/>
        </w:rPr>
        <w:t xml:space="preserve">al (2014) to blunt Akt phosphorylation </w:t>
      </w:r>
      <w:r w:rsidR="00B15044" w:rsidRPr="003A4038">
        <w:rPr>
          <w:rFonts w:ascii="Times New Roman" w:hAnsi="Times New Roman" w:cs="Times New Roman"/>
        </w:rPr>
        <w:t>at 4 hours but</w:t>
      </w:r>
      <w:r w:rsidR="006331C7" w:rsidRPr="003A4038">
        <w:rPr>
          <w:rFonts w:ascii="Times New Roman" w:hAnsi="Times New Roman" w:cs="Times New Roman"/>
        </w:rPr>
        <w:t xml:space="preserve"> led to recovery and a two-fold increase in phosphorylated Akt at 20 hours. </w:t>
      </w:r>
      <w:r w:rsidR="008145FC" w:rsidRPr="003A4038">
        <w:rPr>
          <w:rFonts w:ascii="Times New Roman" w:hAnsi="Times New Roman" w:cs="Times New Roman"/>
        </w:rPr>
        <w:t xml:space="preserve">This is </w:t>
      </w:r>
      <w:r w:rsidR="006331C7" w:rsidRPr="003A4038">
        <w:rPr>
          <w:rFonts w:ascii="Times New Roman" w:hAnsi="Times New Roman" w:cs="Times New Roman"/>
        </w:rPr>
        <w:t>explain</w:t>
      </w:r>
      <w:r w:rsidR="008145FC" w:rsidRPr="003A4038">
        <w:rPr>
          <w:rFonts w:ascii="Times New Roman" w:hAnsi="Times New Roman" w:cs="Times New Roman"/>
        </w:rPr>
        <w:t>ed by increased RTK expression, which</w:t>
      </w:r>
      <w:r w:rsidR="00AA5ADB" w:rsidRPr="003A4038">
        <w:rPr>
          <w:rFonts w:ascii="Times New Roman" w:hAnsi="Times New Roman" w:cs="Times New Roman"/>
        </w:rPr>
        <w:t xml:space="preserve"> drive</w:t>
      </w:r>
      <w:r w:rsidR="008145FC" w:rsidRPr="003A4038">
        <w:rPr>
          <w:rFonts w:ascii="Times New Roman" w:hAnsi="Times New Roman" w:cs="Times New Roman"/>
        </w:rPr>
        <w:t>s</w:t>
      </w:r>
      <w:r w:rsidR="00AA5ADB" w:rsidRPr="003A4038">
        <w:rPr>
          <w:rFonts w:ascii="Times New Roman" w:hAnsi="Times New Roman" w:cs="Times New Roman"/>
        </w:rPr>
        <w:t xml:space="preserve"> back through the PI3K/Akt</w:t>
      </w:r>
      <w:r w:rsidR="006331C7" w:rsidRPr="003A4038">
        <w:rPr>
          <w:rFonts w:ascii="Times New Roman" w:hAnsi="Times New Roman" w:cs="Times New Roman"/>
        </w:rPr>
        <w:t xml:space="preserve"> axis or </w:t>
      </w:r>
      <w:r w:rsidR="008145FC" w:rsidRPr="003A4038">
        <w:rPr>
          <w:rFonts w:ascii="Times New Roman" w:hAnsi="Times New Roman" w:cs="Times New Roman"/>
        </w:rPr>
        <w:t>stabilisation of</w:t>
      </w:r>
      <w:r w:rsidR="006331C7" w:rsidRPr="003A4038">
        <w:rPr>
          <w:rFonts w:ascii="Times New Roman" w:hAnsi="Times New Roman" w:cs="Times New Roman"/>
        </w:rPr>
        <w:t xml:space="preserve"> IRS1 following inactivation of mTORC1 and S6K that under normal conditions negatively regulate PI3K signalling by degrading IRS1</w:t>
      </w:r>
      <w:r w:rsidR="008145FC" w:rsidRPr="003A4038">
        <w:rPr>
          <w:rFonts w:ascii="Times New Roman" w:hAnsi="Times New Roman" w:cs="Times New Roman"/>
        </w:rPr>
        <w:t xml:space="preserve"> </w:t>
      </w:r>
      <w:r w:rsidR="008145FC" w:rsidRPr="003A4038">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"10.1038/leu.2014.123", "ISSN" : "1476-5551", "PMID" : "24699302", "abstract" : "Acute myeloid leukemia (AML) primary cells express high levels of phosphorylated Akt, a master regulator of cellular functions regarded as a promising drug target. By means of reverse phase protein arrays, we examined the response of 80 samples of primary cells from AML patients to selective inhibitors of the phosphatidylinositol 3 kinase (PI3K)/Akt/mammalian target of rapamycin (mTOR) axis. We confirm that &gt;60% of the samples analyzed are characterized by high pathway phosphorylation. Unexpectedly, however, we show here that targeting Akt and mTOR with the specific inhibitors Akti 1/2 and Torin1, alone or in combination, result in paradoxical Akt phosphorylation and activation of downstream signaling in 70% of the samples. Indeed, we demonstrate that cropping Akt or mTOR activity can stabilize the Akt/mTOR downstream effectors Forkhead box O and insulin receptor substrate-1, which in turn potentiate signaling through upregulation of the expression/phosphorylation of selected growth factor receptor tyrosine kinases (RTKs). Activation of RTKs in turn reactivates PI3K and downstream signaling, thus overruling the action of the drugs. We finally demonstrate that dual inhibition of Akt and RTKs displays strong synergistic cytotoxic effects in AML cells and downmodulates Akt signaling to a much greater extent than either drug alone, and should therefore be explored in AML clinical setting.", "author" : [ { "dropping-particle" : "", "family" : "Bertacchini", "given" : "J", "non-dropping-particle" : "", "parse-names" : false, "suffix" : "" }, { "dropping-particle" : "", "family" : "Guida", "given" : "M", "non-dropping-particle" : "", "parse-names" : false, "suffix" : "" }, { "dropping-particle" : "", "family" : "Accordi", "given" : "B", "non-dropping-particle" : "", "parse-names" : false, "suffix" : "" }, { "dropping-particle" : "", "family" : "Mediani", "given" : "L", "non-dropping-particle" : "", "parse-names" : false, "suffix" : "" }, { "dropping-particle" : "", "family" : "Martelli", "given" : "A M", "non-dropping-particle" : "", "parse-names" : false, "suffix" : "" }, { "dropping-particle" : "", "family" : "Barozzi", "given" : "P", "non-dropping-particle" : "", "parse-names" : false, "suffix" : "" }, { "dropping-particle" : "", "family" : "Petricoin", "given" : "E", "non-dropping-particle" : "", "parse-names" : false, "suffix" : "" }, { "dropping-particle" : "", "family" : "Liotta", "given" : "L", "non-dropping-particle" : "", "parse-names" : false, "suffix" : "" }, { "dropping-particle" : "", "family" : "Milani", "given" : "G", "non-dropping-particle" : "", "parse-names" : false, "suffix" : "" }, { "dropping-particle" : "", "family" : "Giordan", "given" : "M", "non-dropping-particle" : "", "parse-names" : false, "suffix" : "" }, { "dropping-particle" : "", "family" : "Luppi", "given" : "M", "non-dropping-particle" : "", "parse-names" : false, "suffix" : "" }, { "dropping-particle" : "", "family" : "Forghieri", "given" : "F", "non-dropping-particle" : "", "parse-names" : false, "suffix" : "" }, { "dropping-particle" : "", "family" : "Pol", "given" : "A", "non-dropping-particle" : "De", "parse-names" : false, "suffix" : "" }, { "dropping-particle" : "", "family" : "Cocco", "given" : "L", "non-dropping-particle" : "", "parse-names" : false, "suffix" : "" }, { "dropping-particle" : "", "family" : "Basso", "given" : "G", "non-dropping-particle" : "", "parse-names" : false, "suffix" : "" }, { "dropping-particle" : "", "family" : "Marmiroli", "given" : "S", "non-dropping-particle" : "", "parse-names" : false, "suffix" : "" } ], "container-title" : "Leukemia", "id" : "ITEM-1", "issue" : "11", "issued" : { "date-parts" : [ [ "2014", "11" ] ] }, "page" : "2197-205", "title" : "Feedbacks and adaptive capabilities of the PI3K/Akt/mTOR axis in acute myeloid leukemia revealed by pathway selective inhibition and phosphoproteome analysis.", "type" : "article-journal", "volume" : "28" }, "uris" : [ "http://www.mendeley.com/documents/?uuid=1a56f418-767a-3c4a-bafb-ff6dbb2eca05" ] } ], "mendeley" : { "formattedCitation" : "(Bertacchini et al. 2014)", "plainTextFormattedCitation" : "(Bertacchini et al. 2014)", "previouslyFormattedCitation" : "(Bertacchini et al. 2014)" }, "properties" : { "noteIndex" : 0 }, "schema" : "https://github.com/citation-style-language/schema/raw/master/csl-citation.json" }</w:instrText>
      </w:r>
      <w:r w:rsidR="008145FC" w:rsidRPr="003A4038">
        <w:rPr>
          <w:rFonts w:ascii="Times New Roman" w:hAnsi="Times New Roman" w:cs="Times New Roman"/>
        </w:rPr>
        <w:fldChar w:fldCharType="separate"/>
      </w:r>
      <w:r w:rsidR="00C148FC" w:rsidRPr="00C148FC">
        <w:rPr>
          <w:rFonts w:ascii="Times New Roman" w:hAnsi="Times New Roman" w:cs="Times New Roman"/>
          <w:noProof/>
        </w:rPr>
        <w:t>(Bertacchini et al. 2014)</w:t>
      </w:r>
      <w:r w:rsidR="008145FC" w:rsidRPr="003A4038">
        <w:rPr>
          <w:rFonts w:ascii="Times New Roman" w:hAnsi="Times New Roman" w:cs="Times New Roman"/>
        </w:rPr>
        <w:fldChar w:fldCharType="end"/>
      </w:r>
      <w:r w:rsidR="006331C7" w:rsidRPr="003A4038">
        <w:rPr>
          <w:rFonts w:ascii="Times New Roman" w:hAnsi="Times New Roman" w:cs="Times New Roman"/>
        </w:rPr>
        <w:t xml:space="preserve">. </w:t>
      </w:r>
      <w:r w:rsidR="002A5A44">
        <w:rPr>
          <w:rFonts w:ascii="Times New Roman" w:hAnsi="Times New Roman" w:cs="Times New Roman"/>
        </w:rPr>
        <w:t>Since astrocytes need</w:t>
      </w:r>
      <w:r w:rsidR="006331C7" w:rsidRPr="003A4038">
        <w:rPr>
          <w:rFonts w:ascii="Times New Roman" w:hAnsi="Times New Roman" w:cs="Times New Roman"/>
        </w:rPr>
        <w:t xml:space="preserve"> to be resilient to changes in the brain and the</w:t>
      </w:r>
      <w:r w:rsidR="002A5A44">
        <w:rPr>
          <w:rFonts w:ascii="Times New Roman" w:hAnsi="Times New Roman" w:cs="Times New Roman"/>
        </w:rPr>
        <w:t>re is a</w:t>
      </w:r>
      <w:r w:rsidR="006331C7" w:rsidRPr="003A4038">
        <w:rPr>
          <w:rFonts w:ascii="Times New Roman" w:hAnsi="Times New Roman" w:cs="Times New Roman"/>
        </w:rPr>
        <w:t xml:space="preserve"> </w:t>
      </w:r>
      <w:r w:rsidR="002A5A44">
        <w:rPr>
          <w:rFonts w:ascii="Times New Roman" w:hAnsi="Times New Roman" w:cs="Times New Roman"/>
        </w:rPr>
        <w:t>demand on</w:t>
      </w:r>
      <w:r w:rsidR="002D6E8E" w:rsidRPr="003A4038">
        <w:rPr>
          <w:rFonts w:ascii="Times New Roman" w:hAnsi="Times New Roman" w:cs="Times New Roman"/>
        </w:rPr>
        <w:t xml:space="preserve"> astrocyte</w:t>
      </w:r>
      <w:r w:rsidR="002A5A44">
        <w:rPr>
          <w:rFonts w:ascii="Times New Roman" w:hAnsi="Times New Roman" w:cs="Times New Roman"/>
        </w:rPr>
        <w:t>s</w:t>
      </w:r>
      <w:r w:rsidR="006331C7" w:rsidRPr="003A4038">
        <w:rPr>
          <w:rFonts w:ascii="Times New Roman" w:hAnsi="Times New Roman" w:cs="Times New Roman"/>
        </w:rPr>
        <w:t xml:space="preserve"> to maximally support other surrounding cells in the brain, the return in signalling through Akt is </w:t>
      </w:r>
      <w:r w:rsidR="002A5A44">
        <w:rPr>
          <w:rFonts w:ascii="Times New Roman" w:hAnsi="Times New Roman" w:cs="Times New Roman"/>
        </w:rPr>
        <w:t xml:space="preserve">not </w:t>
      </w:r>
      <w:r w:rsidR="006331C7" w:rsidRPr="003A4038">
        <w:rPr>
          <w:rFonts w:ascii="Times New Roman" w:hAnsi="Times New Roman" w:cs="Times New Roman"/>
        </w:rPr>
        <w:t xml:space="preserve">surprising. </w:t>
      </w:r>
    </w:p>
    <w:p w14:paraId="1F89866B" w14:textId="77777777" w:rsidR="003A4038" w:rsidRPr="003A4038" w:rsidRDefault="003A4038" w:rsidP="00C63BC1">
      <w:pPr>
        <w:spacing w:line="360" w:lineRule="auto"/>
        <w:jc w:val="both"/>
        <w:rPr>
          <w:rFonts w:ascii="Times New Roman" w:hAnsi="Times New Roman" w:cs="Times New Roman"/>
        </w:rPr>
      </w:pPr>
    </w:p>
    <w:p w14:paraId="41800453" w14:textId="51457536" w:rsidR="0066216A" w:rsidRDefault="007C013C" w:rsidP="00C63BC1">
      <w:pPr>
        <w:spacing w:line="360" w:lineRule="auto"/>
        <w:jc w:val="both"/>
        <w:rPr>
          <w:rFonts w:ascii="Times New Roman" w:hAnsi="Times New Roman" w:cs="Times New Roman"/>
          <w:color w:val="000000" w:themeColor="text1"/>
        </w:rPr>
      </w:pPr>
      <w:r w:rsidRPr="003A4038">
        <w:rPr>
          <w:rFonts w:ascii="Times New Roman" w:hAnsi="Times New Roman" w:cs="Times New Roman"/>
          <w:color w:val="000000" w:themeColor="text1"/>
        </w:rPr>
        <w:t xml:space="preserve">In addition the IGF1 mediated astrocyte support for neurite outgrowth was demonstrated in a </w:t>
      </w:r>
      <w:r w:rsidR="00665646" w:rsidRPr="003A4038">
        <w:rPr>
          <w:rFonts w:ascii="Times New Roman" w:hAnsi="Times New Roman" w:cs="Times New Roman"/>
          <w:color w:val="000000" w:themeColor="text1"/>
        </w:rPr>
        <w:t>mouse</w:t>
      </w:r>
      <w:r w:rsidRPr="003A4038">
        <w:rPr>
          <w:rFonts w:ascii="Times New Roman" w:hAnsi="Times New Roman" w:cs="Times New Roman"/>
          <w:color w:val="000000" w:themeColor="text1"/>
        </w:rPr>
        <w:t xml:space="preserve"> astrocyte neuron co-culture model</w:t>
      </w:r>
      <w:r w:rsidR="0079098A">
        <w:rPr>
          <w:rFonts w:ascii="Times New Roman" w:hAnsi="Times New Roman" w:cs="Times New Roman"/>
          <w:color w:val="000000" w:themeColor="text1"/>
        </w:rPr>
        <w:t xml:space="preserve"> </w:t>
      </w:r>
      <w:r w:rsidR="0079098A">
        <w:rPr>
          <w:rFonts w:ascii="Times New Roman" w:hAnsi="Times New Roman" w:cs="Times New Roman"/>
          <w:color w:val="000000" w:themeColor="text1"/>
        </w:rPr>
        <w:fldChar w:fldCharType="begin" w:fldLock="1"/>
      </w:r>
      <w:r w:rsidR="003E7BDB">
        <w:rPr>
          <w:rFonts w:ascii="Times New Roman" w:hAnsi="Times New Roman" w:cs="Times New Roman"/>
          <w:color w:val="000000" w:themeColor="text1"/>
        </w:rPr>
        <w:instrText>ADDIN CSL_CITATION { "citationItems" : [ { "id" : "ITEM-1", "itemData" : { "DOI" : "10.1016/0022-510X(92)90164-G", "ISSN" : "0022510X", "abstract" : "We isolated motoneurons from E15 dissociated mouse spinal cord by density centrifugation and planted them onto poly-ornithine-coated coverslips in a growth medium (DMEM/F12) supplemented with progesterone, transferrin, selenium, horse serum and muscle extract. Under these conditions only 28% of the motoneurons survived for 8 days. When living astrocytes on a separate coverslip were introduced into dishes containing motoneurons, there was a two-fold increase in neuronal survival. The addition of insulin and insulin-like growth factor I (IGF-I) to such cultures alone or together, still further increased motoneuron survival, but this did not happen in the absence of astrocytes. We conclude that (a) astrocytes exert a trophic role in the survival of spinal motoneurons, (b) the effect does not require physical contact of the cells, and (c) insulin and IGF-1 have neurotrophic activity for motoneurons, an effect possibly mediated by living astrocytes.", "author" : [ { "dropping-particle" : "", "family" : "Ang", "given" : "Lee C.", "non-dropping-particle" : "", "parse-names" : false, "suffix" : "" }, { "dropping-particle" : "", "family" : "Bhaumick", "given" : "Banani", "non-dropping-particle" : "", "parse-names" : false, "suffix" : "" }, { "dropping-particle" : "", "family" : "Munoz", "given" : "David G.", "non-dropping-particle" : "", "parse-names" : false, "suffix" : "" }, { "dropping-particle" : "", "family" : "Sass", "given" : "Jennifer", "non-dropping-particle" : "", "parse-names" : false, "suffix" : "" }, { "dropping-particle" : "", "family" : "Juurlink", "given" : "Bernhard H.J.", "non-dropping-particle" : "", "parse-names" : false, "suffix" : "" } ], "container-title" : "Journal of the Neurological Sciences", "id" : "ITEM-1", "issue" : "2", "issued" : { "date-parts" : [ [ "1992", "6" ] ] }, "page" : "168-172", "title" : "Effects of astrocytes, insulin and insulin-like growth factor I on the survival of motoneurons in vitro", "type" : "article-journal", "volume" : "109" }, "uris" : [ "http://www.mendeley.com/documents/?uuid=2755f744-343b-4f64-8e5b-e6936b4730dd" ] } ], "mendeley" : { "formattedCitation" : "(Ang et al. 1992)", "plainTextFormattedCitation" : "(Ang et al. 1992)", "previouslyFormattedCitation" : "(Ang et al. 1992)" }, "properties" : { "noteIndex" : 0 }, "schema" : "https://github.com/citation-style-language/schema/raw/master/csl-citation.json" }</w:instrText>
      </w:r>
      <w:r w:rsidR="0079098A">
        <w:rPr>
          <w:rFonts w:ascii="Times New Roman" w:hAnsi="Times New Roman" w:cs="Times New Roman"/>
          <w:color w:val="000000" w:themeColor="text1"/>
        </w:rPr>
        <w:fldChar w:fldCharType="separate"/>
      </w:r>
      <w:r w:rsidR="00C148FC" w:rsidRPr="00C148FC">
        <w:rPr>
          <w:rFonts w:ascii="Times New Roman" w:hAnsi="Times New Roman" w:cs="Times New Roman"/>
          <w:noProof/>
          <w:color w:val="000000" w:themeColor="text1"/>
        </w:rPr>
        <w:t>(Ang et al. 1992)</w:t>
      </w:r>
      <w:r w:rsidR="0079098A">
        <w:rPr>
          <w:rFonts w:ascii="Times New Roman" w:hAnsi="Times New Roman" w:cs="Times New Roman"/>
          <w:color w:val="000000" w:themeColor="text1"/>
        </w:rPr>
        <w:fldChar w:fldCharType="end"/>
      </w:r>
      <w:r w:rsidRPr="003A4038">
        <w:rPr>
          <w:rFonts w:ascii="Times New Roman" w:hAnsi="Times New Roman" w:cs="Times New Roman"/>
          <w:color w:val="000000" w:themeColor="text1"/>
        </w:rPr>
        <w:t xml:space="preserve">. </w:t>
      </w:r>
      <w:r w:rsidR="00C71393" w:rsidRPr="003A4038">
        <w:rPr>
          <w:rFonts w:ascii="Times New Roman" w:hAnsi="Times New Roman" w:cs="Times New Roman"/>
          <w:color w:val="000000" w:themeColor="text1"/>
        </w:rPr>
        <w:t>Furthermore, supraphysiological concentrations of IGF1 were used to stimulate co-cultures in these experiments, which may drive other astrocytic support responses that have not been accounted for.</w:t>
      </w:r>
    </w:p>
    <w:p w14:paraId="79F676C8" w14:textId="77777777" w:rsidR="003A4038" w:rsidRPr="003A4038" w:rsidRDefault="003A4038" w:rsidP="00C63BC1">
      <w:pPr>
        <w:spacing w:line="360" w:lineRule="auto"/>
        <w:jc w:val="both"/>
        <w:rPr>
          <w:rFonts w:ascii="Times New Roman" w:hAnsi="Times New Roman" w:cs="Times New Roman"/>
          <w:color w:val="FF0000"/>
        </w:rPr>
      </w:pPr>
    </w:p>
    <w:p w14:paraId="26B75310" w14:textId="41566D73" w:rsidR="00A41190" w:rsidRDefault="006331C7" w:rsidP="00C63BC1">
      <w:pPr>
        <w:spacing w:line="360" w:lineRule="auto"/>
        <w:jc w:val="both"/>
        <w:rPr>
          <w:rFonts w:ascii="Times New Roman" w:hAnsi="Times New Roman" w:cs="Times New Roman"/>
        </w:rPr>
      </w:pPr>
      <w:r>
        <w:rPr>
          <w:rFonts w:ascii="Times New Roman" w:hAnsi="Times New Roman" w:cs="Times New Roman"/>
        </w:rPr>
        <w:t xml:space="preserve">Based on this </w:t>
      </w:r>
      <w:r w:rsidR="001A15F4">
        <w:rPr>
          <w:rFonts w:ascii="Times New Roman" w:hAnsi="Times New Roman" w:cs="Times New Roman"/>
        </w:rPr>
        <w:t xml:space="preserve">result </w:t>
      </w:r>
      <w:r>
        <w:rPr>
          <w:rFonts w:ascii="Times New Roman" w:hAnsi="Times New Roman" w:cs="Times New Roman"/>
        </w:rPr>
        <w:t>it was predicted that</w:t>
      </w:r>
      <w:r w:rsidR="004F202D">
        <w:rPr>
          <w:rFonts w:ascii="Times New Roman" w:hAnsi="Times New Roman" w:cs="Times New Roman"/>
        </w:rPr>
        <w:t xml:space="preserve"> compensation in Akt signalling</w:t>
      </w:r>
      <w:r w:rsidR="00665646">
        <w:rPr>
          <w:rFonts w:ascii="Times New Roman" w:hAnsi="Times New Roman" w:cs="Times New Roman"/>
        </w:rPr>
        <w:t xml:space="preserve"> following IGF1R loss was the reason</w:t>
      </w:r>
      <w:r w:rsidR="004F202D">
        <w:rPr>
          <w:rFonts w:ascii="Times New Roman" w:hAnsi="Times New Roman" w:cs="Times New Roman"/>
        </w:rPr>
        <w:t xml:space="preserve"> </w:t>
      </w:r>
      <w:r w:rsidR="00665646">
        <w:rPr>
          <w:rFonts w:ascii="Times New Roman" w:hAnsi="Times New Roman" w:cs="Times New Roman"/>
        </w:rPr>
        <w:t>why</w:t>
      </w:r>
      <w:r w:rsidR="004F202D">
        <w:rPr>
          <w:rFonts w:ascii="Times New Roman" w:hAnsi="Times New Roman" w:cs="Times New Roman"/>
        </w:rPr>
        <w:t xml:space="preserve"> support</w:t>
      </w:r>
      <w:r w:rsidR="00665646">
        <w:rPr>
          <w:rFonts w:ascii="Times New Roman" w:hAnsi="Times New Roman" w:cs="Times New Roman"/>
        </w:rPr>
        <w:t xml:space="preserve"> for</w:t>
      </w:r>
      <w:r w:rsidR="004F202D">
        <w:rPr>
          <w:rFonts w:ascii="Times New Roman" w:hAnsi="Times New Roman" w:cs="Times New Roman"/>
        </w:rPr>
        <w:t xml:space="preserve"> neurite outgrowth </w:t>
      </w:r>
      <w:r w:rsidR="00665646">
        <w:rPr>
          <w:rFonts w:ascii="Times New Roman" w:hAnsi="Times New Roman" w:cs="Times New Roman"/>
        </w:rPr>
        <w:t>was maintained</w:t>
      </w:r>
      <w:r w:rsidR="004F202D">
        <w:rPr>
          <w:rFonts w:ascii="Times New Roman" w:hAnsi="Times New Roman" w:cs="Times New Roman"/>
        </w:rPr>
        <w:t>. To test whether loss of Akt signalling reduces support for neurite outgrowth in the co-culture system, Wortmannin was used to indirectly inhibit Akt signalling in the astrocytes. After a 24 hour treatment</w:t>
      </w:r>
      <w:r w:rsidR="002C76AE">
        <w:rPr>
          <w:rFonts w:ascii="Times New Roman" w:hAnsi="Times New Roman" w:cs="Times New Roman"/>
        </w:rPr>
        <w:t xml:space="preserve"> with W</w:t>
      </w:r>
      <w:r w:rsidR="00665646">
        <w:rPr>
          <w:rFonts w:ascii="Times New Roman" w:hAnsi="Times New Roman" w:cs="Times New Roman"/>
        </w:rPr>
        <w:t>ortmannin, Akt signalling wa</w:t>
      </w:r>
      <w:r w:rsidR="004F202D">
        <w:rPr>
          <w:rFonts w:ascii="Times New Roman" w:hAnsi="Times New Roman" w:cs="Times New Roman"/>
        </w:rPr>
        <w:t xml:space="preserve">s inhibited by approximately </w:t>
      </w:r>
      <w:r w:rsidR="00665646">
        <w:rPr>
          <w:rFonts w:ascii="Times New Roman" w:hAnsi="Times New Roman" w:cs="Times New Roman"/>
        </w:rPr>
        <w:t>90% but signalling through Akt wa</w:t>
      </w:r>
      <w:r w:rsidR="004F202D">
        <w:rPr>
          <w:rFonts w:ascii="Times New Roman" w:hAnsi="Times New Roman" w:cs="Times New Roman"/>
        </w:rPr>
        <w:t>s restored by 48 hours. Therefor</w:t>
      </w:r>
      <w:r w:rsidR="002C76AE">
        <w:rPr>
          <w:rFonts w:ascii="Times New Roman" w:hAnsi="Times New Roman" w:cs="Times New Roman"/>
        </w:rPr>
        <w:t>e, pretreating astrocytes with W</w:t>
      </w:r>
      <w:r w:rsidR="004F202D">
        <w:rPr>
          <w:rFonts w:ascii="Times New Roman" w:hAnsi="Times New Roman" w:cs="Times New Roman"/>
        </w:rPr>
        <w:t>ortmannin is able to test whether an initial inhibition of Akt signalling has an effect on the support for neurite outgrowth. Results from the neurite outgrowth</w:t>
      </w:r>
      <w:r w:rsidR="00650BBF">
        <w:rPr>
          <w:rFonts w:ascii="Times New Roman" w:hAnsi="Times New Roman" w:cs="Times New Roman"/>
        </w:rPr>
        <w:t xml:space="preserve"> assay</w:t>
      </w:r>
      <w:r w:rsidR="004F202D">
        <w:rPr>
          <w:rFonts w:ascii="Times New Roman" w:hAnsi="Times New Roman" w:cs="Times New Roman"/>
        </w:rPr>
        <w:t xml:space="preserve"> show that temporary impairment in</w:t>
      </w:r>
      <w:r w:rsidR="00665646">
        <w:rPr>
          <w:rFonts w:ascii="Times New Roman" w:hAnsi="Times New Roman" w:cs="Times New Roman"/>
        </w:rPr>
        <w:t xml:space="preserve"> Akt signalling limits astrocytic</w:t>
      </w:r>
      <w:r w:rsidR="004F202D">
        <w:rPr>
          <w:rFonts w:ascii="Times New Roman" w:hAnsi="Times New Roman" w:cs="Times New Roman"/>
        </w:rPr>
        <w:t xml:space="preserve"> support for neurons during outgrowth but this effect is not due to a loss in astrocyte number. Prior to this, experiments showed that enhanced neurite outgrowth on astrocytes is </w:t>
      </w:r>
      <w:r w:rsidR="002C76AE">
        <w:rPr>
          <w:rFonts w:ascii="Times New Roman" w:hAnsi="Times New Roman" w:cs="Times New Roman"/>
        </w:rPr>
        <w:t>a contact-dependent effect. As W</w:t>
      </w:r>
      <w:r w:rsidR="004F202D">
        <w:rPr>
          <w:rFonts w:ascii="Times New Roman" w:hAnsi="Times New Roman" w:cs="Times New Roman"/>
        </w:rPr>
        <w:t>ortmannin treatment does not</w:t>
      </w:r>
      <w:r w:rsidR="0064416D">
        <w:rPr>
          <w:rFonts w:ascii="Times New Roman" w:hAnsi="Times New Roman" w:cs="Times New Roman"/>
        </w:rPr>
        <w:t xml:space="preserve"> signficantly</w:t>
      </w:r>
      <w:r w:rsidR="004F202D">
        <w:rPr>
          <w:rFonts w:ascii="Times New Roman" w:hAnsi="Times New Roman" w:cs="Times New Roman"/>
        </w:rPr>
        <w:t xml:space="preserve"> reduce astrocyte cell number it may be possible that Akt inhibition reduces the expression of </w:t>
      </w:r>
      <w:r>
        <w:rPr>
          <w:rFonts w:ascii="Times New Roman" w:hAnsi="Times New Roman" w:cs="Times New Roman"/>
        </w:rPr>
        <w:t>proteins</w:t>
      </w:r>
      <w:r w:rsidR="004F202D">
        <w:rPr>
          <w:rFonts w:ascii="Times New Roman" w:hAnsi="Times New Roman" w:cs="Times New Roman"/>
        </w:rPr>
        <w:t xml:space="preserve"> on the as</w:t>
      </w:r>
      <w:r>
        <w:rPr>
          <w:rFonts w:ascii="Times New Roman" w:hAnsi="Times New Roman" w:cs="Times New Roman"/>
        </w:rPr>
        <w:t>trocyte surface that interact with the neurons and encourage outgrowth.</w:t>
      </w:r>
      <w:r w:rsidRPr="006331C7">
        <w:rPr>
          <w:rFonts w:ascii="Times New Roman" w:hAnsi="Times New Roman" w:cs="Times New Roman"/>
        </w:rPr>
        <w:t xml:space="preserve"> </w:t>
      </w:r>
      <w:r>
        <w:rPr>
          <w:rFonts w:ascii="Times New Roman" w:hAnsi="Times New Roman" w:cs="Times New Roman"/>
        </w:rPr>
        <w:t xml:space="preserve">It has been reported that integrins and selectins on the surface of the astrocytes are able to accelerate axonal elongation, which may explain enhancement of neurite outgrowth being dependent on contact with the astrocytes </w:t>
      </w:r>
      <w:r>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"0896-6273", "PMID" : "2856086", "abstract" : "Receptor-mediated interactions between neurons and astroglia are likely to play a crucial role in the growth and guidance of CNS axons. Using antibodies to neuronal cell surface proteins, we identified two receptor systems mediating neurite outgrowth on cultured astrocytes. N-cadherin, a Ca2(+)-dependent cell adhesion molecule, functions prominently in the outgrowth of neurites on astrocytes by E8 and E14 chick ciliary ganglion (CG) neurons. beta 1-class integrin ECM receptor heterodimers function less prominently in E8 and not at all in E14 neurite outgrowth on astrocytes. The lack of effect of integrin beta 1 antibodies on E14 neurite outgrowth reflects an apparent loss of integrin function, as assayed by E14 neuronal attachment and process outgrowth on laminin. N-CAM appeared not to be required for neurite outgrowth by either E8 or E14 neurons. Since N-cadherin and integrin beta 1 antibodies together virtually eliminated E8 CG neurite outgrowth on cultured astrocytes, these two neuronal receptors are probably important in regulating axon growth on astroglia in vivo.", "author" : [ { "dropping-particle" : "", "family" : "Tomaselli", "given" : "K J", "non-dropping-particle" : "", "parse-names" : false, "suffix" : "" }, { "dropping-particle" : "", "family" : "Neugebauer", "given" : "K M", "non-dropping-particle" : "", "parse-names" : false, "suffix" : "" }, { "dropping-particle" : "", "family" : "Bixby", "given" : "J L", "non-dropping-particle" : "", "parse-names" : false, "suffix" : "" }, { "dropping-particle" : "", "family" : "Lilien", "given" : "J", "non-dropping-particle" : "", "parse-names" : false, "suffix" : "" }, { "dropping-particle" : "", "family" : "Reichardt", "given" : "L F", "non-dropping-particle" : "", "parse-names" : false, "suffix" : "" } ], "container-title" : "Neuron", "id" : "ITEM-1", "issue" : "1", "issued" : { "date-parts" : [ [ "1988", "3" ] ] }, "page" : "33-43", "title" : "N-cadherin and integrins: two receptor systems that mediate neuronal process outgrowth on astrocyte surfaces.", "type" : "article-journal", "volume" : "1" }, "uris" : [ "http://www.mendeley.com/documents/?uuid=f50c32fa-caa9-440e-8038-06ce7b9ccbf2" ] } ], "mendeley" : { "formattedCitation" : "(Tomaselli et al. 1988)", "plainTextFormattedCitation" : "(Tomaselli et al. 1988)", "previouslyFormattedCitation" : "(Tomaselli et al. 1988)" }, "properties" : { "noteIndex" : 0 }, "schema" : "https://github.com/citation-style-language/schema/raw/master/csl-citation.json" }</w:instrText>
      </w:r>
      <w:r>
        <w:rPr>
          <w:rFonts w:ascii="Times New Roman" w:hAnsi="Times New Roman" w:cs="Times New Roman"/>
        </w:rPr>
        <w:fldChar w:fldCharType="separate"/>
      </w:r>
      <w:r w:rsidR="00C148FC" w:rsidRPr="00C148FC">
        <w:rPr>
          <w:rFonts w:ascii="Times New Roman" w:hAnsi="Times New Roman" w:cs="Times New Roman"/>
          <w:noProof/>
        </w:rPr>
        <w:t>(Tomaselli et al. 1988)</w:t>
      </w:r>
      <w:r>
        <w:rPr>
          <w:rFonts w:ascii="Times New Roman" w:hAnsi="Times New Roman" w:cs="Times New Roman"/>
        </w:rPr>
        <w:fldChar w:fldCharType="end"/>
      </w:r>
      <w:r>
        <w:rPr>
          <w:rFonts w:ascii="Times New Roman" w:hAnsi="Times New Roman" w:cs="Times New Roman"/>
        </w:rPr>
        <w:t xml:space="preserve">. </w:t>
      </w:r>
      <w:r w:rsidR="0064416D">
        <w:rPr>
          <w:rFonts w:ascii="Times New Roman" w:hAnsi="Times New Roman" w:cs="Times New Roman"/>
        </w:rPr>
        <w:t>In addit</w:t>
      </w:r>
      <w:r w:rsidR="002A5A44">
        <w:rPr>
          <w:rFonts w:ascii="Times New Roman" w:hAnsi="Times New Roman" w:cs="Times New Roman"/>
        </w:rPr>
        <w:t xml:space="preserve">ion, growth factors such as </w:t>
      </w:r>
      <w:r w:rsidR="00013B0C">
        <w:rPr>
          <w:rFonts w:ascii="Times New Roman" w:hAnsi="Times New Roman" w:cs="Times New Roman"/>
        </w:rPr>
        <w:t>gl</w:t>
      </w:r>
      <w:r w:rsidR="002A5A44">
        <w:rPr>
          <w:rFonts w:ascii="Times New Roman" w:hAnsi="Times New Roman" w:cs="Times New Roman"/>
        </w:rPr>
        <w:t>ial-derived neurotrophic factor (GDNF)</w:t>
      </w:r>
      <w:r w:rsidR="0064416D">
        <w:rPr>
          <w:rFonts w:ascii="Times New Roman" w:hAnsi="Times New Roman" w:cs="Times New Roman"/>
        </w:rPr>
        <w:t xml:space="preserve"> and FGF are able to bind to proteoglycans on </w:t>
      </w:r>
      <w:r w:rsidR="002A5A44">
        <w:rPr>
          <w:rFonts w:ascii="Times New Roman" w:hAnsi="Times New Roman" w:cs="Times New Roman"/>
        </w:rPr>
        <w:t>the cell surface with effects downstream being</w:t>
      </w:r>
      <w:r w:rsidR="0064416D">
        <w:rPr>
          <w:rFonts w:ascii="Times New Roman" w:hAnsi="Times New Roman" w:cs="Times New Roman"/>
        </w:rPr>
        <w:t xml:space="preserve"> mediated by Akt</w:t>
      </w:r>
      <w:r w:rsidR="00013B0C">
        <w:rPr>
          <w:rFonts w:ascii="Times New Roman" w:hAnsi="Times New Roman" w:cs="Times New Roman"/>
        </w:rPr>
        <w:t xml:space="preserve"> </w:t>
      </w:r>
      <w:r w:rsidR="00013B0C">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"10.4103/1673-5374.128235", "ISSN" : "1673-5374", "PMID" : "25206822", "abstract" : "Proteoglycans in the central nervous system play integral roles as \"traffic signals\" for the direction of neurite outgrowth. This attribute of proteoglycans is a major factor in regeneration of the injured central nervous system. In this review, the structures of proteoglycans and the evidence suggesting their involvement in the response following spinal cord injury are presented. The review further describes the methods routinely used to determine the effect proteoglycans have on neurite outgrowth. The effects of proteoglycans on neurite outgrowth are not completely understood as there is disagreement on what component of the molecule is interacting with growing neurites and this ambiguity is chronicled in an historical context. Finally, the most recent findings suggesting possible receptors, interactions, and sulfation patterns that may be important in eliciting the effect of proteoglycans on neurite outgrowth are discussed. A greater understanding of the proteoglycan-neurite interaction is necessary for successfully promoting regeneration in the injured central nervous system.", "author" : [ { "dropping-particle" : "", "family" : "Beller", "given" : "Justin A", "non-dropping-particle" : "", "parse-names" : false, "suffix" : "" }, { "dropping-particle" : "", "family" : "Snow", "given" : "Diane M", "non-dropping-particle" : "", "parse-names" : false, "suffix" : "" } ], "container-title" : "Neural regeneration research", "id" : "ITEM-1", "issue" : "4", "issued" : { "date-parts" : [ [ "2014", "2", "15" ] ] }, "page" : "343-55", "publisher" : "Medknow Publications", "title" : "Proteoglycans: road signs for neurite outgrowth.", "type" : "article-journal", "volume" : "9" }, "uris" : [ "http://www.mendeley.com/documents/?uuid=1ce3d95b-3645-314b-97f4-651e4afc5f91" ] } ], "mendeley" : { "formattedCitation" : "(Beller &amp; Snow 2014)", "plainTextFormattedCitation" : "(Beller &amp; Snow 2014)", "previouslyFormattedCitation" : "(Beller &amp; Snow 2014)" }, "properties" : { "noteIndex" : 0 }, "schema" : "https://github.com/citation-style-language/schema/raw/master/csl-citation.json" }</w:instrText>
      </w:r>
      <w:r w:rsidR="00013B0C">
        <w:rPr>
          <w:rFonts w:ascii="Times New Roman" w:hAnsi="Times New Roman" w:cs="Times New Roman"/>
        </w:rPr>
        <w:fldChar w:fldCharType="separate"/>
      </w:r>
      <w:r w:rsidR="00C148FC" w:rsidRPr="00C148FC">
        <w:rPr>
          <w:rFonts w:ascii="Times New Roman" w:hAnsi="Times New Roman" w:cs="Times New Roman"/>
          <w:noProof/>
        </w:rPr>
        <w:t>(Beller &amp; Snow 2014)</w:t>
      </w:r>
      <w:r w:rsidR="00013B0C">
        <w:rPr>
          <w:rFonts w:ascii="Times New Roman" w:hAnsi="Times New Roman" w:cs="Times New Roman"/>
        </w:rPr>
        <w:fldChar w:fldCharType="end"/>
      </w:r>
      <w:r w:rsidR="0064416D">
        <w:rPr>
          <w:rFonts w:ascii="Times New Roman" w:hAnsi="Times New Roman" w:cs="Times New Roman"/>
        </w:rPr>
        <w:t>. Proteoglycans have been shown to modulate neurite outgrowth an</w:t>
      </w:r>
      <w:r w:rsidR="002A5A44">
        <w:rPr>
          <w:rFonts w:ascii="Times New Roman" w:hAnsi="Times New Roman" w:cs="Times New Roman"/>
        </w:rPr>
        <w:t>d therefore inhibiton of an Akt-</w:t>
      </w:r>
      <w:r w:rsidR="0064416D">
        <w:rPr>
          <w:rFonts w:ascii="Times New Roman" w:hAnsi="Times New Roman" w:cs="Times New Roman"/>
        </w:rPr>
        <w:t>mediated effect may</w:t>
      </w:r>
      <w:r w:rsidR="00013B0C">
        <w:rPr>
          <w:rFonts w:ascii="Times New Roman" w:hAnsi="Times New Roman" w:cs="Times New Roman"/>
        </w:rPr>
        <w:t xml:space="preserve"> impair support for neurite outgrowth.</w:t>
      </w:r>
      <w:r w:rsidR="0064416D">
        <w:rPr>
          <w:rFonts w:ascii="Times New Roman" w:hAnsi="Times New Roman" w:cs="Times New Roman"/>
        </w:rPr>
        <w:t xml:space="preserve"> </w:t>
      </w:r>
      <w:r>
        <w:rPr>
          <w:rFonts w:ascii="Times New Roman" w:hAnsi="Times New Roman" w:cs="Times New Roman"/>
        </w:rPr>
        <w:t xml:space="preserve">These experiments also suggest that inactivation of a nodal point in the signalling pathway is more </w:t>
      </w:r>
      <w:r w:rsidR="00665646">
        <w:rPr>
          <w:rFonts w:ascii="Times New Roman" w:hAnsi="Times New Roman" w:cs="Times New Roman"/>
        </w:rPr>
        <w:t xml:space="preserve">immediately </w:t>
      </w:r>
      <w:r>
        <w:rPr>
          <w:rFonts w:ascii="Times New Roman" w:hAnsi="Times New Roman" w:cs="Times New Roman"/>
        </w:rPr>
        <w:t xml:space="preserve">detrimental </w:t>
      </w:r>
      <w:r w:rsidR="00665646">
        <w:rPr>
          <w:rFonts w:ascii="Times New Roman" w:hAnsi="Times New Roman" w:cs="Times New Roman"/>
        </w:rPr>
        <w:t>to</w:t>
      </w:r>
      <w:r w:rsidR="00AA5ADB">
        <w:rPr>
          <w:rFonts w:ascii="Times New Roman" w:hAnsi="Times New Roman" w:cs="Times New Roman"/>
        </w:rPr>
        <w:t xml:space="preserve"> astrocytic support for neurite outgrowth</w:t>
      </w:r>
      <w:r>
        <w:rPr>
          <w:rFonts w:ascii="Times New Roman" w:hAnsi="Times New Roman" w:cs="Times New Roman"/>
        </w:rPr>
        <w:t xml:space="preserve">, however these </w:t>
      </w:r>
      <w:r w:rsidR="00665646">
        <w:rPr>
          <w:rFonts w:ascii="Times New Roman" w:hAnsi="Times New Roman" w:cs="Times New Roman"/>
        </w:rPr>
        <w:t>downstream signalling modific</w:t>
      </w:r>
      <w:r w:rsidR="002A5A44">
        <w:rPr>
          <w:rFonts w:ascii="Times New Roman" w:hAnsi="Times New Roman" w:cs="Times New Roman"/>
        </w:rPr>
        <w:t>ations are still restored by</w:t>
      </w:r>
      <w:r w:rsidR="00665646">
        <w:rPr>
          <w:rFonts w:ascii="Times New Roman" w:hAnsi="Times New Roman" w:cs="Times New Roman"/>
        </w:rPr>
        <w:t xml:space="preserve"> astrocytes.</w:t>
      </w:r>
    </w:p>
    <w:p w14:paraId="1327A635" w14:textId="77777777" w:rsidR="00AA3E4D" w:rsidRDefault="00AA3E4D" w:rsidP="00AA3E4D"/>
    <w:p w14:paraId="731FFD97" w14:textId="77777777" w:rsidR="00AA3E4D" w:rsidRPr="00AA3E4D" w:rsidRDefault="00AA3E4D" w:rsidP="00AA3E4D"/>
    <w:p w14:paraId="4CBAFCD5" w14:textId="15EEF6B4" w:rsidR="00B04BBD" w:rsidRDefault="00395B55" w:rsidP="00C63BC1">
      <w:pPr>
        <w:pStyle w:val="Heading3"/>
        <w:jc w:val="both"/>
      </w:pPr>
      <w:bookmarkStart w:id="1715" w:name="_Toc328301180"/>
      <w:bookmarkStart w:id="1716" w:name="_Toc329593471"/>
      <w:bookmarkStart w:id="1717" w:name="_Toc331425970"/>
      <w:bookmarkStart w:id="1718" w:name="_Toc331427151"/>
      <w:bookmarkStart w:id="1719" w:name="_Toc331427523"/>
      <w:bookmarkStart w:id="1720" w:name="_Toc331427665"/>
      <w:bookmarkStart w:id="1721" w:name="_Toc332972670"/>
      <w:bookmarkStart w:id="1722" w:name="_Toc333046949"/>
      <w:bookmarkStart w:id="1723" w:name="_Toc333477296"/>
      <w:bookmarkStart w:id="1724" w:name="_Toc333478066"/>
      <w:bookmarkStart w:id="1725" w:name="_Toc333644966"/>
      <w:r>
        <w:t>4.5.3</w:t>
      </w:r>
      <w:r w:rsidR="00F94933">
        <w:t xml:space="preserve"> </w:t>
      </w:r>
      <w:r w:rsidR="00B04BBD">
        <w:t>Loss of IGF1R impairs ability of astrocytes to support neurons during oxidative stress</w:t>
      </w:r>
      <w:bookmarkEnd w:id="1715"/>
      <w:bookmarkEnd w:id="1716"/>
      <w:bookmarkEnd w:id="1717"/>
      <w:bookmarkEnd w:id="1718"/>
      <w:bookmarkEnd w:id="1719"/>
      <w:bookmarkEnd w:id="1720"/>
      <w:bookmarkEnd w:id="1721"/>
      <w:bookmarkEnd w:id="1722"/>
      <w:bookmarkEnd w:id="1723"/>
      <w:bookmarkEnd w:id="1724"/>
      <w:bookmarkEnd w:id="1725"/>
    </w:p>
    <w:p w14:paraId="3C825F01" w14:textId="77777777" w:rsidR="00B04BBD" w:rsidRPr="00B04BBD" w:rsidRDefault="00B04BBD" w:rsidP="00C63BC1">
      <w:pPr>
        <w:spacing w:line="360" w:lineRule="auto"/>
        <w:jc w:val="both"/>
        <w:rPr>
          <w:rFonts w:ascii="Times New Roman" w:hAnsi="Times New Roman" w:cs="Times New Roman"/>
          <w:b/>
          <w:u w:val="single"/>
        </w:rPr>
      </w:pPr>
    </w:p>
    <w:p w14:paraId="576BDA9F" w14:textId="40D7A1A1" w:rsidR="0061102B" w:rsidRDefault="008130F0" w:rsidP="00C63BC1">
      <w:pPr>
        <w:spacing w:line="360" w:lineRule="auto"/>
        <w:jc w:val="both"/>
        <w:rPr>
          <w:rFonts w:ascii="Times New Roman" w:hAnsi="Times New Roman" w:cs="Times New Roman"/>
        </w:rPr>
      </w:pPr>
      <w:r>
        <w:rPr>
          <w:rFonts w:ascii="Times New Roman" w:hAnsi="Times New Roman" w:cs="Times New Roman"/>
        </w:rPr>
        <w:t>Astrocytes were also pretreated with a sublethal conce</w:t>
      </w:r>
      <w:r w:rsidR="007E0923">
        <w:rPr>
          <w:rFonts w:ascii="Times New Roman" w:hAnsi="Times New Roman" w:cs="Times New Roman"/>
        </w:rPr>
        <w:t xml:space="preserve">ntration of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 xml:space="preserve">2 </w:t>
      </w:r>
      <w:r w:rsidR="007E0923">
        <w:rPr>
          <w:rFonts w:ascii="Times New Roman" w:hAnsi="Times New Roman" w:cs="Times New Roman"/>
        </w:rPr>
        <w:t>that does not</w:t>
      </w:r>
      <w:r>
        <w:rPr>
          <w:rFonts w:ascii="Times New Roman" w:hAnsi="Times New Roman" w:cs="Times New Roman"/>
        </w:rPr>
        <w:t xml:space="preserve"> induce ROS production in the astrocytes. Astrocytes pre-exposed to oxidative stress support neurite outgrowth as much as untreate</w:t>
      </w:r>
      <w:r w:rsidR="003F0271">
        <w:rPr>
          <w:rFonts w:ascii="Times New Roman" w:hAnsi="Times New Roman" w:cs="Times New Roman"/>
        </w:rPr>
        <w:t>d astrocytes. The concentration</w:t>
      </w:r>
      <w:r>
        <w:rPr>
          <w:rFonts w:ascii="Times New Roman" w:hAnsi="Times New Roman" w:cs="Times New Roman"/>
        </w:rPr>
        <w:t xml:space="preserve"> of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 xml:space="preserve">2 </w:t>
      </w:r>
      <w:r w:rsidR="003F0271">
        <w:rPr>
          <w:rFonts w:ascii="Times New Roman" w:hAnsi="Times New Roman" w:cs="Times New Roman"/>
        </w:rPr>
        <w:t>used in these experiments was</w:t>
      </w:r>
      <w:r>
        <w:rPr>
          <w:rFonts w:ascii="Times New Roman" w:hAnsi="Times New Roman" w:cs="Times New Roman"/>
        </w:rPr>
        <w:t xml:space="preserve"> determined from experiments on rodent astrocytes, where </w:t>
      </w:r>
      <w:r w:rsidR="003F0271">
        <w:rPr>
          <w:rFonts w:ascii="Times New Roman" w:hAnsi="Times New Roman" w:cs="Times New Roman"/>
        </w:rPr>
        <w:t>the same concentration had a similar effect on cell viability</w:t>
      </w:r>
      <w:r w:rsidR="00262958">
        <w:rPr>
          <w:rFonts w:ascii="Times New Roman" w:hAnsi="Times New Roman" w:cs="Times New Roman"/>
        </w:rPr>
        <w:t xml:space="preserve"> </w:t>
      </w:r>
      <w:r w:rsidR="00262958">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"10.1016/S0006-8993(01)02277-6", "ISSN" : "00068993", "abstract" : "The brain is particularly vulnerable to oxygen free radicals, which have been implicated in the pathology of several neurological disorders. The antioxidant enzyme (AOE) system of the brain may play an important role in the protection against such oxidative stress. We investigated the influence of oxidative stress on the transcription of catalase and MnSOD mRNA. Primary rat astroglial cell cultures were treated either with hydrogen peroxide (H2O2), as a direct mediator of oxidative stress, or with the redox cycling compound paraquat. Both substances led to an increase of catalase and MnSOD mRNA levels. To further elucidate the mechanisms residing behind this increase, transfection experiments were performed. Transient transfection of primary astroglial cells with a reporter plasmid containing the upstream region of the catalase gene showed a decrease in reporter gene activity after exposure of transfected cells to either H2O2 or paraquat. In contrast, transfection experiments done with reporter plasmids for the MnSOD upstream region resulted in an increase of reporter gene activity after H2O2 as well as after paraquat treatment of transfected cells. These results indicate transcriptional regulation of MnSOD and post-transcriptional regulation of catalase gene expression after oxidative stress in primary rat astrocytes.", "author" : [ { "dropping-particle" : "", "family" : "R\u00f6hrdanz", "given" : "Elke", "non-dropping-particle" : "", "parse-names" : false, "suffix" : "" }, { "dropping-particle" : "", "family" : "Schmuck", "given" : "Gabriele", "non-dropping-particle" : "", "parse-names" : false, "suffix" : "" }, { "dropping-particle" : "", "family" : "Ohler", "given" : "Sandra", "non-dropping-particle" : "", "parse-names" : false, "suffix" : "" }, { "dropping-particle" : "", "family" : "Kahl", "given" : "Regine", "non-dropping-particle" : "", "parse-names" : false, "suffix" : "" } ], "container-title" : "Brain Research", "id" : "ITEM-1", "issue" : "1", "issued" : { "date-parts" : [ [ "2001" ] ] }, "page" : "128-136", "title" : "The influence of oxidative stress on catalase and MnSOD gene transcription in astrocytes", "type" : "article-journal", "volume" : "900" }, "uris" : [ "http://www.mendeley.com/documents/?uuid=e2558b6e-f8b1-36a2-8d84-3cfa25bdc4a4" ] } ], "mendeley" : { "formattedCitation" : "(R\u00f6hrdanz et al. 2001)", "plainTextFormattedCitation" : "(R\u00f6hrdanz et al. 2001)", "previouslyFormattedCitation" : "(R\u00f6hrdanz et al. 2001)" }, "properties" : { "noteIndex" : 0 }, "schema" : "https://github.com/citation-style-language/schema/raw/master/csl-citation.json" }</w:instrText>
      </w:r>
      <w:r w:rsidR="00262958">
        <w:rPr>
          <w:rFonts w:ascii="Times New Roman" w:hAnsi="Times New Roman" w:cs="Times New Roman"/>
        </w:rPr>
        <w:fldChar w:fldCharType="separate"/>
      </w:r>
      <w:r w:rsidR="00C148FC" w:rsidRPr="00C148FC">
        <w:rPr>
          <w:rFonts w:ascii="Times New Roman" w:hAnsi="Times New Roman" w:cs="Times New Roman"/>
          <w:noProof/>
        </w:rPr>
        <w:t>(Röhrdanz et al. 2001)</w:t>
      </w:r>
      <w:r w:rsidR="00262958">
        <w:rPr>
          <w:rFonts w:ascii="Times New Roman" w:hAnsi="Times New Roman" w:cs="Times New Roman"/>
        </w:rPr>
        <w:fldChar w:fldCharType="end"/>
      </w:r>
      <w:r>
        <w:rPr>
          <w:rFonts w:ascii="Times New Roman" w:hAnsi="Times New Roman" w:cs="Times New Roman"/>
        </w:rPr>
        <w:t xml:space="preserve">. </w:t>
      </w:r>
      <w:r w:rsidR="00262958">
        <w:rPr>
          <w:rFonts w:ascii="Times New Roman" w:hAnsi="Times New Roman" w:cs="Times New Roman"/>
        </w:rPr>
        <w:t>The high intrinsic antioxidant capacity of h</w:t>
      </w:r>
      <w:r w:rsidR="0061102B">
        <w:rPr>
          <w:rFonts w:ascii="Times New Roman" w:hAnsi="Times New Roman" w:cs="Times New Roman"/>
        </w:rPr>
        <w:t>uman astrocytes</w:t>
      </w:r>
      <w:r w:rsidR="00262958">
        <w:rPr>
          <w:rFonts w:ascii="Times New Roman" w:hAnsi="Times New Roman" w:cs="Times New Roman"/>
        </w:rPr>
        <w:t xml:space="preserve"> allows these cells to </w:t>
      </w:r>
      <w:r w:rsidR="0061102B">
        <w:rPr>
          <w:rFonts w:ascii="Times New Roman" w:hAnsi="Times New Roman" w:cs="Times New Roman"/>
        </w:rPr>
        <w:t xml:space="preserve">maintain support for neurons </w:t>
      </w:r>
      <w:r w:rsidR="00262958">
        <w:rPr>
          <w:rFonts w:ascii="Times New Roman" w:hAnsi="Times New Roman" w:cs="Times New Roman"/>
        </w:rPr>
        <w:t>when</w:t>
      </w:r>
      <w:r w:rsidR="007E0923">
        <w:rPr>
          <w:rFonts w:ascii="Times New Roman" w:hAnsi="Times New Roman" w:cs="Times New Roman"/>
        </w:rPr>
        <w:t xml:space="preserve"> challenged with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2</w:t>
      </w:r>
      <w:r w:rsidR="007E0923">
        <w:rPr>
          <w:rFonts w:ascii="Times New Roman" w:hAnsi="Times New Roman" w:cs="Times New Roman"/>
        </w:rPr>
        <w:t>.</w:t>
      </w:r>
    </w:p>
    <w:p w14:paraId="02ED720C" w14:textId="77777777" w:rsidR="00AA21C2" w:rsidRDefault="00AA21C2" w:rsidP="00C63BC1">
      <w:pPr>
        <w:spacing w:line="360" w:lineRule="auto"/>
        <w:jc w:val="both"/>
        <w:rPr>
          <w:rFonts w:ascii="Times New Roman" w:hAnsi="Times New Roman" w:cs="Times New Roman"/>
        </w:rPr>
      </w:pPr>
    </w:p>
    <w:p w14:paraId="7C50FCD1" w14:textId="0381C362" w:rsidR="0059010A" w:rsidRDefault="00291E7F" w:rsidP="00C63BC1">
      <w:pPr>
        <w:spacing w:line="360" w:lineRule="auto"/>
        <w:jc w:val="both"/>
        <w:rPr>
          <w:rFonts w:ascii="Times New Roman" w:hAnsi="Times New Roman" w:cs="Times New Roman"/>
        </w:rPr>
      </w:pPr>
      <w:r>
        <w:rPr>
          <w:rFonts w:ascii="Times New Roman" w:hAnsi="Times New Roman" w:cs="Times New Roman"/>
        </w:rPr>
        <w:t>Several papers hav</w:t>
      </w:r>
      <w:r w:rsidR="003A4038">
        <w:rPr>
          <w:rFonts w:ascii="Times New Roman" w:hAnsi="Times New Roman" w:cs="Times New Roman"/>
        </w:rPr>
        <w:t>e recently reported that</w:t>
      </w:r>
      <w:r>
        <w:rPr>
          <w:rFonts w:ascii="Times New Roman" w:hAnsi="Times New Roman" w:cs="Times New Roman"/>
        </w:rPr>
        <w:t xml:space="preserve"> functional IGF1 s</w:t>
      </w:r>
      <w:r w:rsidR="003A4038">
        <w:rPr>
          <w:rFonts w:ascii="Times New Roman" w:hAnsi="Times New Roman" w:cs="Times New Roman"/>
        </w:rPr>
        <w:t>ignalling in rodent astrocytes is essential</w:t>
      </w:r>
      <w:r>
        <w:rPr>
          <w:rFonts w:ascii="Times New Roman" w:hAnsi="Times New Roman" w:cs="Times New Roman"/>
        </w:rPr>
        <w:t xml:space="preserve"> to protect neurons from oxidative stress</w:t>
      </w:r>
      <w:r w:rsidR="001A15F4">
        <w:rPr>
          <w:rFonts w:ascii="Times New Roman" w:hAnsi="Times New Roman" w:cs="Times New Roman"/>
        </w:rPr>
        <w:t xml:space="preserve"> </w:t>
      </w:r>
      <w:r w:rsidR="001A15F4">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"10.12688/f1000research.3-28.v1", "ISSN" : "2046-1402", "author" : [ { "dropping-particle" : "", "family" : "Genis", "given" : "Laura", "non-dropping-particle" : "", "parse-names" : false, "suffix" : "" }, { "dropping-particle" : "", "family" : "D\u00e1vila", "given" : "David", "non-dropping-particle" : "", "parse-names" : false, "suffix" : "" }, { "dropping-particle" : "", "family" : "Fernandez", "given" : "Silvia", "non-dropping-particle" : "", "parse-names" : false, "suffix" : "" }, { "dropping-particle" : "", "family" : "Pozo-Rodrig\u00e1lvarez", "given" : "Andrea", "non-dropping-particle" : "", "parse-names" : false, "suffix" : "" }, { "dropping-particle" : "", "family" : "Mart\u00ednez-Murillo", "given" : "Ricardo", "non-dropping-particle" : "", "parse-names" : false, "suffix" : "" }, { "dropping-particle" : "", "family" : "Torres-Aleman", "given" : "Ignacio", "non-dropping-particle" : "", "parse-names" : false, "suffix" : "" } ], "container-title" : "F1000Research", "id" : "ITEM-1", "issued" : { "date-parts" : [ [ "2014", "1", "28" ] ] }, "title" : "Astrocytes require insulin-like growth factor I to protect neurons against oxidative injury", "type" : "article-journal", "volume" : "3" }, "uris" : [ "http://www.mendeley.com/documents/?uuid=ad994b94-d7cf-4a27-9bfb-2351db2f4759" ] }, { "id" : "ITEM-2", "itemData" : { "DOI" : "10.1074/jbc.M115.695478", "ISSN" : "1083-351X", "PMID" : "26631726", "abstract" : "Disruption of insulin-like growth factor I (IGF-I) signaling is a key step in the development of cancer or neurodegeneration. For example, interference of the prosurvival IGF-I/AKT/FOXO3 pathway by redox activation of the stress kinases p38 and JNK is instrumental in neuronal death by oxidative stress. However, in astrocytes, IGF-I retains its protective action against oxidative stress. The molecular mechanisms underlying this cell-specific protection remain obscure but may be relevant to unveil new ways to combat IGF-I/insulin resistance. Here, we describe that, in astrocytes exposed to oxidative stress by hydrogen peroxide (H2O2), p38 activation did not inhibit AKT (protein kinase B) activation by IGF-I, which is in contrast to our previous observations in neurons. Rather, stimulation of AKT by IGF-I was significantly higher and more sustained in astrocytes than in neurons either under normal or oxidative conditions. This may be explained by phosphorylation of the phosphatase PTEN at the plasma membrane in response to IGF-I, inducing its cytosolic translocation and preserving in this way AKT activity. Stimulation of AKT by IGF-I, mimicked also by a constitutively active AKT mutant, reduced oxidative stress levels and cell death in H2O2-exposed astrocytes, boosting their neuroprotective action in co-cultured neurons. These results indicate that armoring of AKT activation by IGF-I is crucial to preserve its cytoprotective effect in astrocytes and may form part of the brain defense mechanism against oxidative stress injury.", "author" : [ { "dropping-particle" : "", "family" : "D\u00e1vila", "given" : "David", "non-dropping-particle" : "", "parse-names" : false, "suffix" : "" }, { "dropping-particle" : "", "family" : "Fern\u00e1ndez", "given" : "Silvia", "non-dropping-particle" : "", "parse-names" : false, "suffix" : "" }, { "dropping-particle" : "", "family" : "Torres-Alem\u00e1n", "given" : "Ignacio", "non-dropping-particle" : "", "parse-names" : false, "suffix" : "" } ], "container-title" : "The Journal of biological chemistry", "id" : "ITEM-2", "issue" : "5", "issued" : { "date-parts" : [ [ "2016", "1", "29" ] ] }, "page" : "2510-23", "title" : "Astrocyte Resilience to Oxidative Stress Induced by Insulin-like Growth Factor I (IGF-I) Involves Preserved AKT (Protein Kinase B) Activity.", "type" : "article-journal", "volume" : "291" }, "uris" : [ "http://www.mendeley.com/documents/?uuid=f46d4255-04af-41f5-aafb-51f099500ab8" ] } ], "mendeley" : { "formattedCitation" : "(Genis et al. 2014; D\u00e1vila et al. 2016b)", "plainTextFormattedCitation" : "(Genis et al. 2014; D\u00e1vila et al. 2016b)", "previouslyFormattedCitation" : "(Genis et al. 2014; D\u00e1vila et al. 2016b)" }, "properties" : { "noteIndex" : 0 }, "schema" : "https://github.com/citation-style-language/schema/raw/master/csl-citation.json" }</w:instrText>
      </w:r>
      <w:r w:rsidR="001A15F4">
        <w:rPr>
          <w:rFonts w:ascii="Times New Roman" w:hAnsi="Times New Roman" w:cs="Times New Roman"/>
        </w:rPr>
        <w:fldChar w:fldCharType="separate"/>
      </w:r>
      <w:r w:rsidR="00C148FC" w:rsidRPr="00C148FC">
        <w:rPr>
          <w:rFonts w:ascii="Times New Roman" w:hAnsi="Times New Roman" w:cs="Times New Roman"/>
          <w:noProof/>
        </w:rPr>
        <w:t>(Genis et al. 2014; Dávila et al. 2016b)</w:t>
      </w:r>
      <w:r w:rsidR="001A15F4">
        <w:rPr>
          <w:rFonts w:ascii="Times New Roman" w:hAnsi="Times New Roman" w:cs="Times New Roman"/>
        </w:rPr>
        <w:fldChar w:fldCharType="end"/>
      </w:r>
      <w:r>
        <w:rPr>
          <w:rFonts w:ascii="Times New Roman" w:hAnsi="Times New Roman" w:cs="Times New Roman"/>
        </w:rPr>
        <w:t>. Thus the</w:t>
      </w:r>
      <w:r w:rsidR="0061102B">
        <w:rPr>
          <w:rFonts w:ascii="Times New Roman" w:hAnsi="Times New Roman" w:cs="Times New Roman"/>
        </w:rPr>
        <w:t xml:space="preserve"> next step involved testing the antioxidant capacity of the ScienCell (2) astrocytes in the co-culture system by exposing the co-culture to</w:t>
      </w:r>
      <w:r w:rsidR="004C1CF7">
        <w:rPr>
          <w:rFonts w:ascii="Times New Roman" w:hAnsi="Times New Roman" w:cs="Times New Roman"/>
        </w:rPr>
        <w:t xml:space="preserve"> 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2</w:t>
      </w:r>
      <w:r w:rsidR="0061102B">
        <w:rPr>
          <w:rFonts w:ascii="Times New Roman" w:hAnsi="Times New Roman" w:cs="Times New Roman"/>
        </w:rPr>
        <w:t xml:space="preserve">. On day 6 of the co-culture procedure, 50 μM of </w:t>
      </w:r>
      <w:r w:rsidR="0061102B" w:rsidRPr="00FC2AAE">
        <w:rPr>
          <w:rFonts w:ascii="Times New Roman" w:hAnsi="Times New Roman" w:cs="Times New Roman"/>
        </w:rPr>
        <w:t>H</w:t>
      </w:r>
      <w:r w:rsidR="0061102B" w:rsidRPr="00FC2AAE">
        <w:rPr>
          <w:rFonts w:ascii="Times New Roman" w:hAnsi="Times New Roman" w:cs="Times New Roman"/>
          <w:vertAlign w:val="subscript"/>
        </w:rPr>
        <w:t>2</w:t>
      </w:r>
      <w:r w:rsidR="0061102B">
        <w:rPr>
          <w:rFonts w:ascii="Times New Roman" w:hAnsi="Times New Roman" w:cs="Times New Roman"/>
        </w:rPr>
        <w:t>0</w:t>
      </w:r>
      <w:r w:rsidR="0061102B" w:rsidRPr="00FC2AAE">
        <w:rPr>
          <w:rFonts w:ascii="Times New Roman" w:hAnsi="Times New Roman" w:cs="Times New Roman"/>
          <w:vertAlign w:val="subscript"/>
        </w:rPr>
        <w:t>2</w:t>
      </w:r>
      <w:r w:rsidR="0061102B">
        <w:rPr>
          <w:rFonts w:ascii="Times New Roman" w:hAnsi="Times New Roman" w:cs="Times New Roman"/>
        </w:rPr>
        <w:t xml:space="preserve"> was added to the cells for 2 hours prior to fixation and image analysis. These experiments revealed the importance of astrocytes in protecting the neurons from oxidative stress, as revealed by neurite lengths being preserved and no neuronal blebbing</w:t>
      </w:r>
      <w:r w:rsidR="0078468A">
        <w:rPr>
          <w:rFonts w:ascii="Times New Roman" w:hAnsi="Times New Roman" w:cs="Times New Roman"/>
        </w:rPr>
        <w:t xml:space="preserve"> being apparent</w:t>
      </w:r>
      <w:r w:rsidR="0061102B">
        <w:rPr>
          <w:rFonts w:ascii="Times New Roman" w:hAnsi="Times New Roman" w:cs="Times New Roman"/>
        </w:rPr>
        <w:t xml:space="preserve"> after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 xml:space="preserve">2 </w:t>
      </w:r>
      <w:r w:rsidR="0061102B">
        <w:rPr>
          <w:rFonts w:ascii="Times New Roman" w:hAnsi="Times New Roman" w:cs="Times New Roman"/>
        </w:rPr>
        <w:t>treatment</w:t>
      </w:r>
      <w:r w:rsidR="001A15F4">
        <w:rPr>
          <w:rFonts w:ascii="Times New Roman" w:hAnsi="Times New Roman" w:cs="Times New Roman"/>
        </w:rPr>
        <w:t xml:space="preserve"> compared to neurons alone</w:t>
      </w:r>
      <w:r w:rsidR="0061102B">
        <w:rPr>
          <w:rFonts w:ascii="Times New Roman" w:hAnsi="Times New Roman" w:cs="Times New Roman"/>
        </w:rPr>
        <w:t>. Astrocytes pre-treated with MAB391 were unable to protect neurons from oxidative stress, as indicated by a significant reduction in neurite length (</w:t>
      </w:r>
      <w:r w:rsidR="0061102B" w:rsidRPr="0078468A">
        <w:rPr>
          <w:rFonts w:ascii="Times New Roman" w:hAnsi="Times New Roman" w:cs="Times New Roman"/>
          <w:b/>
        </w:rPr>
        <w:t xml:space="preserve">figure </w:t>
      </w:r>
      <w:r w:rsidR="00781632" w:rsidRPr="0078468A">
        <w:rPr>
          <w:rFonts w:ascii="Times New Roman" w:hAnsi="Times New Roman" w:cs="Times New Roman"/>
          <w:b/>
        </w:rPr>
        <w:t>4.25</w:t>
      </w:r>
      <w:r w:rsidR="00781632">
        <w:rPr>
          <w:rFonts w:ascii="Times New Roman" w:hAnsi="Times New Roman" w:cs="Times New Roman"/>
        </w:rPr>
        <w:t>, p&lt; 0.0001</w:t>
      </w:r>
      <w:r w:rsidR="0061102B">
        <w:rPr>
          <w:rFonts w:ascii="Times New Roman" w:hAnsi="Times New Roman" w:cs="Times New Roman"/>
        </w:rPr>
        <w:t>)</w:t>
      </w:r>
      <w:r w:rsidR="00A25409">
        <w:rPr>
          <w:rFonts w:ascii="Times New Roman" w:hAnsi="Times New Roman" w:cs="Times New Roman"/>
        </w:rPr>
        <w:t xml:space="preserve"> and </w:t>
      </w:r>
      <w:r w:rsidR="00F519D7">
        <w:rPr>
          <w:rFonts w:ascii="Times New Roman" w:hAnsi="Times New Roman" w:cs="Times New Roman"/>
        </w:rPr>
        <w:t xml:space="preserve">evidence of </w:t>
      </w:r>
      <w:r w:rsidR="00A25409">
        <w:rPr>
          <w:rFonts w:ascii="Times New Roman" w:hAnsi="Times New Roman" w:cs="Times New Roman"/>
        </w:rPr>
        <w:t>neuronal blebbing</w:t>
      </w:r>
      <w:r w:rsidR="0061102B">
        <w:rPr>
          <w:rFonts w:ascii="Times New Roman" w:hAnsi="Times New Roman" w:cs="Times New Roman"/>
        </w:rPr>
        <w:t xml:space="preserve">.  </w:t>
      </w:r>
      <w:r w:rsidR="00A25409">
        <w:rPr>
          <w:rFonts w:ascii="Times New Roman" w:hAnsi="Times New Roman" w:cs="Times New Roman"/>
        </w:rPr>
        <w:t xml:space="preserve">This result corroborates the earlier finding that rodent astrocytes require functional IGF1 signalling to protect neurons from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 xml:space="preserve">2 </w:t>
      </w:r>
      <w:r w:rsidR="00A2540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"10.12688/f1000research.3-28.v1", "ISSN" : "2046-1402", "author" : [ { "dropping-particle" : "", "family" : "Genis", "given" : "Laura", "non-dropping-particle" : "", "parse-names" : false, "suffix" : "" }, { "dropping-particle" : "", "family" : "D\u00e1vila", "given" : "David", "non-dropping-particle" : "", "parse-names" : false, "suffix" : "" }, { "dropping-particle" : "", "family" : "Fernandez", "given" : "Silvia", "non-dropping-particle" : "", "parse-names" : false, "suffix" : "" }, { "dropping-particle" : "", "family" : "Pozo-Rodrig\u00e1lvarez", "given" : "Andrea", "non-dropping-particle" : "", "parse-names" : false, "suffix" : "" }, { "dropping-particle" : "", "family" : "Mart\u00ednez-Murillo", "given" : "Ricardo", "non-dropping-particle" : "", "parse-names" : false, "suffix" : "" }, { "dropping-particle" : "", "family" : "Torres-Aleman", "given" : "Ignacio", "non-dropping-particle" : "", "parse-names" : false, "suffix" : "" } ], "container-title" : "F1000Research", "id" : "ITEM-1", "issued" : { "date-parts" : [ [ "2014", "1", "28" ] ] }, "title" : "Astrocytes require insulin-like growth factor I to protect neurons against oxidative injury", "type" : "article-journal", "volume" : "3" }, "uris" : [ "http://www.mendeley.com/documents/?uuid=ad994b94-d7cf-4a27-9bfb-2351db2f4759" ] } ], "mendeley" : { "formattedCitation" : "(Genis et al. 2014)", "plainTextFormattedCitation" : "(Genis et al. 2014)", "previouslyFormattedCitation" : "(Genis et al. 2014)" }, "properties" : { "noteIndex" : 0 }, "schema" : "https://github.com/citation-style-language/schema/raw/master/csl-citation.json" }</w:instrText>
      </w:r>
      <w:r w:rsidR="00A25409">
        <w:rPr>
          <w:rFonts w:ascii="Times New Roman" w:hAnsi="Times New Roman" w:cs="Times New Roman"/>
        </w:rPr>
        <w:fldChar w:fldCharType="separate"/>
      </w:r>
      <w:r w:rsidR="00C148FC" w:rsidRPr="00C148FC">
        <w:rPr>
          <w:rFonts w:ascii="Times New Roman" w:hAnsi="Times New Roman" w:cs="Times New Roman"/>
          <w:noProof/>
        </w:rPr>
        <w:t>(Genis et al. 2014)</w:t>
      </w:r>
      <w:r w:rsidR="00A25409">
        <w:rPr>
          <w:rFonts w:ascii="Times New Roman" w:hAnsi="Times New Roman" w:cs="Times New Roman"/>
        </w:rPr>
        <w:fldChar w:fldCharType="end"/>
      </w:r>
      <w:r w:rsidR="00A25409">
        <w:rPr>
          <w:rFonts w:ascii="Times New Roman" w:hAnsi="Times New Roman" w:cs="Times New Roman"/>
        </w:rPr>
        <w:t>.</w:t>
      </w:r>
      <w:r w:rsidR="00F05FC7">
        <w:rPr>
          <w:rFonts w:ascii="Times New Roman" w:hAnsi="Times New Roman" w:cs="Times New Roman"/>
        </w:rPr>
        <w:t xml:space="preserve"> Further</w:t>
      </w:r>
      <w:r w:rsidR="00025058">
        <w:rPr>
          <w:rFonts w:ascii="Times New Roman" w:hAnsi="Times New Roman" w:cs="Times New Roman"/>
        </w:rPr>
        <w:t xml:space="preserve">more, these results may suggest underlying impairments in the glutathione capacity of the astrocytes following IGF1R loss, since this is </w:t>
      </w:r>
      <w:r w:rsidR="007E0923">
        <w:rPr>
          <w:rFonts w:ascii="Times New Roman" w:hAnsi="Times New Roman" w:cs="Times New Roman"/>
        </w:rPr>
        <w:t>the most abundant non-protein thiol</w:t>
      </w:r>
      <w:r w:rsidR="00025058">
        <w:rPr>
          <w:rFonts w:ascii="Times New Roman" w:hAnsi="Times New Roman" w:cs="Times New Roman"/>
        </w:rPr>
        <w:t xml:space="preserve"> used by astrocytes to protect themselves and neighbouring cells against ROS. Also, it has been shown that removal of glucose in conjunction with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 xml:space="preserve">2 </w:t>
      </w:r>
      <w:r w:rsidR="00025058">
        <w:rPr>
          <w:rFonts w:ascii="Times New Roman" w:hAnsi="Times New Roman" w:cs="Times New Roman"/>
        </w:rPr>
        <w:t xml:space="preserve">challenge limits recycling of oxidised glutathione (GSSG) back to GSH </w:t>
      </w:r>
      <w:r w:rsidR="00025058">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"10.1016/S0006-8993(97)00233-3", "ISSN" : "00068993", "abstract" : "The ability of astroglial cells to detoxify exogenously applied hydrogen peroxide (H2O2) was tested using astroglia-rich primary cultures derived from the brains of newborn rats. Incubation of astroglial cells with 100 \u03bcM H2O2 in the absence of glucose led to a 66% oxidation of the cellular glutathione within 30 s. Under these conditions, the cells were unable to re-establish the original high ratio of GSH/GSSG within 30 min of incubation. In contrast, if glucose was present the amount of GSSG produced on incubation with H2O2 was smaller (45% of total glutathione after 30 s) and the original ratio of GSH/GSSG was almost completely re-established within 10 min. If 100 \u03bcM H2O2 was applied, H2O2 disappeared from the incubation buffer with an apparent half-life of \u22484 min. After 15 min of incubation, no H2O2 was detectable any more. The apparent half-life of H2O2 in the incubation buffer increased slightly but significantly with increasing concentration of H2O2 or when the cells were starved of glucose. A small reduction in the capacity of the cells to detoxify H2O2 was also observed after depletion of the glutathione content to 14% of control level by a 24 h pre-incubation of the cells in culture medium containing buthionine sulfoximine, an inhibitor of glutathione synthesis. Incubation of astroglial cells with mercaptosuccinate or 3-aminotriazole, inhibitors of glutathione peroxidase and catalase, respectively, only marginally reduced the rate of disappearance of H2O2 from the incubation buffer. In contrast, the rate of H2O2 clearance was strongly reduced in the presence of both inhibitors. These results demonstrate that glutathione peroxidase and catalase are involved in the detoxification of H2O2 by astroglial cells and that both enzymes are able to substitute for each other in the detoxification of H2O2.", "author" : [ { "dropping-particle" : "", "family" : "Dringen", "given" : "Ralf", "non-dropping-particle" : "", "parse-names" : false, "suffix" : "" }, { "dropping-particle" : "", "family" : "Hamprecht", "given" : "Bernd", "non-dropping-particle" : "", "parse-names" : false, "suffix" : "" } ], "container-title" : "Brain Research", "id" : "ITEM-1", "issue" : "1", "issued" : { "date-parts" : [ [ "1997", "6" ] ] }, "page" : "67-75", "title" : "Involvement of glutathione peroxidase and catalase in the disposal of exogenous hydrogen peroxide by cultured astroglial cells", "type" : "article-journal", "volume" : "759" }, "uris" : [ "http://www.mendeley.com/documents/?uuid=eea0f49c-35cb-4449-b0c9-a4e8d6dec82c" ] } ], "mendeley" : { "formattedCitation" : "(Dringen &amp; Hamprecht 1997)", "plainTextFormattedCitation" : "(Dringen &amp; Hamprecht 1997)", "previouslyFormattedCitation" : "(Dringen &amp; Hamprecht 1997)" }, "properties" : { "noteIndex" : 0 }, "schema" : "https://github.com/citation-style-language/schema/raw/master/csl-citation.json" }</w:instrText>
      </w:r>
      <w:r w:rsidR="00025058">
        <w:rPr>
          <w:rFonts w:ascii="Times New Roman" w:hAnsi="Times New Roman" w:cs="Times New Roman"/>
        </w:rPr>
        <w:fldChar w:fldCharType="separate"/>
      </w:r>
      <w:r w:rsidR="00C148FC" w:rsidRPr="00C148FC">
        <w:rPr>
          <w:rFonts w:ascii="Times New Roman" w:hAnsi="Times New Roman" w:cs="Times New Roman"/>
          <w:noProof/>
        </w:rPr>
        <w:t>(Dringen &amp; Hamprecht 1997)</w:t>
      </w:r>
      <w:r w:rsidR="00025058">
        <w:rPr>
          <w:rFonts w:ascii="Times New Roman" w:hAnsi="Times New Roman" w:cs="Times New Roman"/>
        </w:rPr>
        <w:fldChar w:fldCharType="end"/>
      </w:r>
      <w:r w:rsidR="002A5A44">
        <w:rPr>
          <w:rFonts w:ascii="Times New Roman" w:hAnsi="Times New Roman" w:cs="Times New Roman"/>
        </w:rPr>
        <w:t>. L</w:t>
      </w:r>
      <w:r w:rsidR="00025058">
        <w:rPr>
          <w:rFonts w:ascii="Times New Roman" w:hAnsi="Times New Roman" w:cs="Times New Roman"/>
        </w:rPr>
        <w:t>oss of IGF1R could be perceived by the astrocytes as limited nutrient availability</w:t>
      </w:r>
      <w:r w:rsidR="00EB68AB">
        <w:rPr>
          <w:rFonts w:ascii="Times New Roman" w:hAnsi="Times New Roman" w:cs="Times New Roman"/>
        </w:rPr>
        <w:t>,</w:t>
      </w:r>
      <w:r w:rsidR="00025058">
        <w:rPr>
          <w:rFonts w:ascii="Times New Roman" w:hAnsi="Times New Roman" w:cs="Times New Roman"/>
        </w:rPr>
        <w:t xml:space="preserve"> and a further challenge</w:t>
      </w:r>
      <w:r w:rsidR="00EB68AB">
        <w:rPr>
          <w:rFonts w:ascii="Times New Roman" w:hAnsi="Times New Roman" w:cs="Times New Roman"/>
        </w:rPr>
        <w:t xml:space="preserve"> with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 xml:space="preserve">2 </w:t>
      </w:r>
      <w:r w:rsidR="00025058">
        <w:rPr>
          <w:rFonts w:ascii="Times New Roman" w:hAnsi="Times New Roman" w:cs="Times New Roman"/>
        </w:rPr>
        <w:t xml:space="preserve">may limit the pool of reduced GSH present to deal with challenge by ROS. </w:t>
      </w:r>
    </w:p>
    <w:p w14:paraId="3CC1357B" w14:textId="77777777" w:rsidR="00AA21C2" w:rsidRDefault="00AA21C2" w:rsidP="00C63BC1">
      <w:pPr>
        <w:spacing w:line="360" w:lineRule="auto"/>
        <w:jc w:val="both"/>
        <w:rPr>
          <w:rFonts w:ascii="Times New Roman" w:hAnsi="Times New Roman" w:cs="Times New Roman"/>
        </w:rPr>
      </w:pPr>
      <w:r>
        <w:rPr>
          <w:rFonts w:ascii="Times New Roman" w:hAnsi="Times New Roman" w:cs="Times New Roman"/>
        </w:rPr>
        <w:t xml:space="preserve"> </w:t>
      </w:r>
    </w:p>
    <w:p w14:paraId="1ECD2A32" w14:textId="1FA9E1E1" w:rsidR="007E0923" w:rsidRDefault="007E0923" w:rsidP="00C63BC1">
      <w:pPr>
        <w:spacing w:line="360" w:lineRule="auto"/>
        <w:jc w:val="both"/>
        <w:rPr>
          <w:rFonts w:ascii="Times New Roman" w:hAnsi="Times New Roman" w:cs="Times New Roman"/>
        </w:rPr>
      </w:pPr>
      <w:r>
        <w:rPr>
          <w:rFonts w:ascii="Times New Roman" w:hAnsi="Times New Roman" w:cs="Times New Roman"/>
        </w:rPr>
        <w:t xml:space="preserve">A recent paper </w:t>
      </w:r>
      <w:r w:rsidR="00767AC9">
        <w:rPr>
          <w:rFonts w:ascii="Times New Roman" w:hAnsi="Times New Roman" w:cs="Times New Roman"/>
        </w:rPr>
        <w:t>has demonstrated</w:t>
      </w:r>
      <w:r>
        <w:rPr>
          <w:rFonts w:ascii="Times New Roman" w:hAnsi="Times New Roman" w:cs="Times New Roman"/>
        </w:rPr>
        <w:t xml:space="preserve"> that </w:t>
      </w:r>
      <w:r w:rsidR="00451968">
        <w:rPr>
          <w:rFonts w:ascii="Times New Roman" w:hAnsi="Times New Roman" w:cs="Times New Roman"/>
        </w:rPr>
        <w:t>IGF1 mediated Akt signalling in rodent astrocytes is important in</w:t>
      </w:r>
      <w:r w:rsidR="00767AC9">
        <w:rPr>
          <w:rFonts w:ascii="Times New Roman" w:hAnsi="Times New Roman" w:cs="Times New Roman"/>
        </w:rPr>
        <w:t xml:space="preserve"> preventing ROS formation and promoting</w:t>
      </w:r>
      <w:r w:rsidR="00451968">
        <w:rPr>
          <w:rFonts w:ascii="Times New Roman" w:hAnsi="Times New Roman" w:cs="Times New Roman"/>
        </w:rPr>
        <w:t xml:space="preserve"> </w:t>
      </w:r>
      <w:r w:rsidR="00767AC9">
        <w:rPr>
          <w:rFonts w:ascii="Times New Roman" w:hAnsi="Times New Roman" w:cs="Times New Roman"/>
        </w:rPr>
        <w:t>neuronal support</w:t>
      </w:r>
      <w:r w:rsidR="00451968">
        <w:rPr>
          <w:rFonts w:ascii="Times New Roman" w:hAnsi="Times New Roman" w:cs="Times New Roman"/>
        </w:rPr>
        <w:t xml:space="preserve"> following treatment with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 xml:space="preserve">2 </w:t>
      </w:r>
      <w:r w:rsidR="00451968">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"10.1074/jbc.M115.695478", "ISSN" : "1083-351X", "PMID" : "26631726", "abstract" : "Disruption of insulin-like growth factor I (IGF-I) signaling is a key step in the development of cancer or neurodegeneration. For example, interference of the prosurvival IGF-I/AKT/FOXO3 pathway by redox activation of the stress kinases p38 and JNK is instrumental in neuronal death by oxidative stress. However, in astrocytes, IGF-I retains its protective action against oxidative stress. The molecular mechanisms underlying this cell-specific protection remain obscure but may be relevant to unveil new ways to combat IGF-I/insulin resistance. Here, we describe that, in astrocytes exposed to oxidative stress by hydrogen peroxide (H2O2), p38 activation did not inhibit AKT (protein kinase B) activation by IGF-I, which is in contrast to our previous observations in neurons. Rather, stimulation of AKT by IGF-I was significantly higher and more sustained in astrocytes than in neurons either under normal or oxidative conditions. This may be explained by phosphorylation of the phosphatase PTEN at the plasma membrane in response to IGF-I, inducing its cytosolic translocation and preserving in this way AKT activity. Stimulation of AKT by IGF-I, mimicked also by a constitutively active AKT mutant, reduced oxidative stress levels and cell death in H2O2-exposed astrocytes, boosting their neuroprotective action in co-cultured neurons. These results indicate that armoring of AKT activation by IGF-I is crucial to preserve its cytoprotective effect in astrocytes and may form part of the brain defense mechanism against oxidative stress injury.", "author" : [ { "dropping-particle" : "", "family" : "D\u00e1vila", "given" : "David", "non-dropping-particle" : "", "parse-names" : false, "suffix" : "" }, { "dropping-particle" : "", "family" : "Fern\u00e1ndez", "given" : "Silvia", "non-dropping-particle" : "", "parse-names" : false, "suffix" : "" }, { "dropping-particle" : "", "family" : "Torres-Alem\u00e1n", "given" : "Ignacio", "non-dropping-particle" : "", "parse-names" : false, "suffix" : "" } ], "container-title" : "The Journal of biological chemistry", "id" : "ITEM-1", "issue" : "5", "issued" : { "date-parts" : [ [ "2016", "1", "29" ] ] }, "page" : "2510-23", "title" : "Astrocyte Resilience to Oxidative Stress Induced by Insulin-like Growth Factor I (IGF-I) Involves Preserved AKT (Protein Kinase B) Activity.", "type" : "article-journal", "volume" : "291" }, "uris" : [ "http://www.mendeley.com/documents/?uuid=f46d4255-04af-41f5-aafb-51f099500ab8" ] } ], "mendeley" : { "formattedCitation" : "(D\u00e1vila et al. 2016b)", "manualFormatting" : "(D\u00e1vila et al., 2016)", "plainTextFormattedCitation" : "(D\u00e1vila et al. 2016b)", "previouslyFormattedCitation" : "(D\u00e1vila et al. 2016b)" }, "properties" : { "noteIndex" : 0 }, "schema" : "https://github.com/citation-style-language/schema/raw/master/csl-citation.json" }</w:instrText>
      </w:r>
      <w:r w:rsidR="00451968">
        <w:rPr>
          <w:rFonts w:ascii="Times New Roman" w:hAnsi="Times New Roman" w:cs="Times New Roman"/>
        </w:rPr>
        <w:fldChar w:fldCharType="separate"/>
      </w:r>
      <w:r w:rsidR="00A0699D">
        <w:rPr>
          <w:rFonts w:ascii="Times New Roman" w:hAnsi="Times New Roman" w:cs="Times New Roman"/>
          <w:noProof/>
        </w:rPr>
        <w:t>(Dávila et al., 2016</w:t>
      </w:r>
      <w:r w:rsidR="00970704" w:rsidRPr="00970704">
        <w:rPr>
          <w:rFonts w:ascii="Times New Roman" w:hAnsi="Times New Roman" w:cs="Times New Roman"/>
          <w:noProof/>
        </w:rPr>
        <w:t>)</w:t>
      </w:r>
      <w:r w:rsidR="00451968">
        <w:rPr>
          <w:rFonts w:ascii="Times New Roman" w:hAnsi="Times New Roman" w:cs="Times New Roman"/>
        </w:rPr>
        <w:fldChar w:fldCharType="end"/>
      </w:r>
      <w:r w:rsidR="00451968">
        <w:rPr>
          <w:rFonts w:ascii="Times New Roman" w:hAnsi="Times New Roman" w:cs="Times New Roman"/>
        </w:rPr>
        <w:t xml:space="preserve">. </w:t>
      </w:r>
      <w:r w:rsidR="00767AC9">
        <w:rPr>
          <w:rFonts w:ascii="Times New Roman" w:hAnsi="Times New Roman" w:cs="Times New Roman"/>
        </w:rPr>
        <w:t>L</w:t>
      </w:r>
      <w:r w:rsidR="00EF4F15">
        <w:rPr>
          <w:rFonts w:ascii="Times New Roman" w:hAnsi="Times New Roman" w:cs="Times New Roman"/>
        </w:rPr>
        <w:t xml:space="preserve">oss of IGF1R </w:t>
      </w:r>
      <w:r w:rsidR="00767AC9">
        <w:rPr>
          <w:rFonts w:ascii="Times New Roman" w:hAnsi="Times New Roman" w:cs="Times New Roman"/>
        </w:rPr>
        <w:t xml:space="preserve">in the ScienCell (2) astrocytes </w:t>
      </w:r>
      <w:r w:rsidR="00EF4F15">
        <w:rPr>
          <w:rFonts w:ascii="Times New Roman" w:hAnsi="Times New Roman" w:cs="Times New Roman"/>
        </w:rPr>
        <w:t>does not result in reduced signalling through Akt</w:t>
      </w:r>
      <w:r w:rsidR="00767AC9">
        <w:rPr>
          <w:rFonts w:ascii="Times New Roman" w:hAnsi="Times New Roman" w:cs="Times New Roman"/>
        </w:rPr>
        <w:t xml:space="preserve"> between 24 and 96 hours following initial treatment with MAB391</w:t>
      </w:r>
      <w:r w:rsidR="00FF2248">
        <w:rPr>
          <w:rFonts w:ascii="Times New Roman" w:hAnsi="Times New Roman" w:cs="Times New Roman"/>
        </w:rPr>
        <w:t xml:space="preserve">. Therefore, the suggestion from the neurite outgrowth experiment </w:t>
      </w:r>
      <w:r w:rsidR="0078468A">
        <w:rPr>
          <w:rFonts w:ascii="Times New Roman" w:hAnsi="Times New Roman" w:cs="Times New Roman"/>
        </w:rPr>
        <w:t xml:space="preserve">shown </w:t>
      </w:r>
      <w:r w:rsidR="00FF2248">
        <w:rPr>
          <w:rFonts w:ascii="Times New Roman" w:hAnsi="Times New Roman" w:cs="Times New Roman"/>
        </w:rPr>
        <w:t xml:space="preserve">in </w:t>
      </w:r>
      <w:r w:rsidR="00FF2248" w:rsidRPr="0078468A">
        <w:rPr>
          <w:rFonts w:ascii="Times New Roman" w:hAnsi="Times New Roman" w:cs="Times New Roman"/>
          <w:b/>
        </w:rPr>
        <w:t xml:space="preserve">figure </w:t>
      </w:r>
      <w:r w:rsidR="00E86418" w:rsidRPr="0078468A">
        <w:rPr>
          <w:rFonts w:ascii="Times New Roman" w:hAnsi="Times New Roman" w:cs="Times New Roman"/>
          <w:b/>
        </w:rPr>
        <w:t>4.25</w:t>
      </w:r>
      <w:r w:rsidR="00FF2248">
        <w:rPr>
          <w:rFonts w:ascii="Times New Roman" w:hAnsi="Times New Roman" w:cs="Times New Roman"/>
        </w:rPr>
        <w:t xml:space="preserve"> is that loss of neuroprotection following MAB391 </w:t>
      </w:r>
      <w:r w:rsidR="00767AC9">
        <w:rPr>
          <w:rFonts w:ascii="Times New Roman" w:hAnsi="Times New Roman" w:cs="Times New Roman"/>
        </w:rPr>
        <w:t xml:space="preserve">treatment </w:t>
      </w:r>
      <w:r w:rsidR="00FF2248">
        <w:rPr>
          <w:rFonts w:ascii="Times New Roman" w:hAnsi="Times New Roman" w:cs="Times New Roman"/>
        </w:rPr>
        <w:t>is not necessa</w:t>
      </w:r>
      <w:r w:rsidR="00EF4F15">
        <w:rPr>
          <w:rFonts w:ascii="Times New Roman" w:hAnsi="Times New Roman" w:cs="Times New Roman"/>
        </w:rPr>
        <w:t>rily an Akt-dependent mechanism and that there may be other underlying changes in IGF1R deficient astrocytes that contribute to</w:t>
      </w:r>
      <w:r w:rsidR="004144FD">
        <w:rPr>
          <w:rFonts w:ascii="Times New Roman" w:hAnsi="Times New Roman" w:cs="Times New Roman"/>
        </w:rPr>
        <w:t xml:space="preserve"> the loss of</w:t>
      </w:r>
      <w:r w:rsidR="00EF4F15">
        <w:rPr>
          <w:rFonts w:ascii="Times New Roman" w:hAnsi="Times New Roman" w:cs="Times New Roman"/>
        </w:rPr>
        <w:t xml:space="preserve"> protection against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2</w:t>
      </w:r>
      <w:r w:rsidR="00EF4F15">
        <w:rPr>
          <w:rFonts w:ascii="Times New Roman" w:hAnsi="Times New Roman" w:cs="Times New Roman"/>
        </w:rPr>
        <w:t xml:space="preserve">. These </w:t>
      </w:r>
      <w:r w:rsidR="004144FD">
        <w:rPr>
          <w:rFonts w:ascii="Times New Roman" w:hAnsi="Times New Roman" w:cs="Times New Roman"/>
        </w:rPr>
        <w:t xml:space="preserve">differences may stem from </w:t>
      </w:r>
      <w:r w:rsidR="007B73D0">
        <w:rPr>
          <w:rFonts w:ascii="Times New Roman" w:hAnsi="Times New Roman" w:cs="Times New Roman"/>
        </w:rPr>
        <w:t xml:space="preserve">the different complexities in astrocytes observed between rodents and humans </w:t>
      </w:r>
      <w:r w:rsidR="007B73D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"10.1016/j.tins.2006.08.004", "ISSN" : "0166-2236", "PMID" : "16938356", "abstract" : "One of the most distinguishing features of the adult human brain is the complexity and diversity of its cortical astrocytes. Human protoplasmic astrocytes manifest a threefold larger diameter and have tenfold more primary processes than those of rodents. In all mammals, protoplasmic astrocytes are organized into spatially non-overlapping domains that encompass both neurons and vasculature. Yet unique to humans and primates are additional populations of layer 1 interlaminar astrocytes that extend long (millimeter) fibers, and layer 5-6 polarized astrocytes that also project distinctive long processes. We propose that human cortical evolution has been accompanied by increasing complexity in the form and function of astrocytes, which reflects an expansion of their functional roles in synaptic modulation and cortical circuitry.", "author" : [ { "dropping-particle" : "", "family" : "Oberheim", "given" : "Nancy Ann", "non-dropping-particle" : "", "parse-names" : false, "suffix" : "" }, { "dropping-particle" : "", "family" : "Wang", "given" : "Xiaohai", "non-dropping-particle" : "", "parse-names" : false, "suffix" : "" }, { "dropping-particle" : "", "family" : "Goldman", "given" : "Steven", "non-dropping-particle" : "", "parse-names" : false, "suffix" : "" }, { "dropping-particle" : "", "family" : "Nedergaard", "given" : "Maiken", "non-dropping-particle" : "", "parse-names" : false, "suffix" : "" } ], "container-title" : "Trends in neurosciences", "id" : "ITEM-1", "issue" : "10", "issued" : { "date-parts" : [ [ "2006", "10", "1" ] ] }, "language" : "English", "page" : "547-53", "publisher" : "Elsevier", "title" : "Astrocytic complexity distinguishes the human brain.", "type" : "article-journal", "volume" : "29" }, "uris" : [ "http://www.mendeley.com/documents/?uuid=c61b7cad-1cf5-46ed-ad24-67fd34e0cab9" ] }, { "id" : "ITEM-2", "itemData" : { "DOI" : "10.1523/JNEUROSCI.4707-08.2009", "ISSN" : "1529-2401", "PMID" : "19279265", "abstract" : "Defining the microanatomic differences between the human brain and that of other mammals is key to understanding its unique computational power. Although much effort has been devoted to comparative studies of neurons, astrocytes have received far less attention. We report here that protoplasmic astrocytes in human neocortex are 2.6-fold larger in diameter and extend 10-fold more GFAP (glial fibrillary acidic protein)-positive primary processes than their rodent counterparts. In cortical slices prepared from acutely resected surgical tissue, protoplasmic astrocytes propagate Ca(2+) waves with a speed of 36 microm/s, approximately fourfold faster than rodent. Human astrocytes also transiently increase cystosolic Ca(2+) in response to glutamatergic and purinergic receptor agonists. The human neocortex also harbors several anatomically defined subclasses of astrocytes not represented in rodents. These include a population of astrocytes that reside in layers 5-6 and extend long fibers characterized by regularly spaced varicosities. Another specialized type of astrocyte, the interlaminar astrocyte, abundantly populates the superficial cortical layers and extends long processes without varicosities to cortical layers 3 and 4. Human fibrous astrocytes resemble their rodent counterpart but are larger in diameter. Thus, human cortical astrocytes are both larger, and structurally both more complex and more diverse, than those of rodents. On this basis, we posit that this astrocytic complexity has permitted the increased functional competence of the adult human brain.", "author" : [ { "dropping-particle" : "", "family" : "Oberheim", "given" : "Nancy Ann", "non-dropping-particle" : "", "parse-names" : false, "suffix" : "" }, { "dropping-particle" : "", "family" : "Takano", "given" : "Takahiro", "non-dropping-particle" : "", "parse-names" : false, "suffix" : "" }, { "dropping-particle" : "", "family" : "Han", "given" : "Xiaoning", "non-dropping-particle" : "", "parse-names" : false, "suffix" : "" }, { "dropping-particle" : "", "family" : "He", "given" : "Wei", "non-dropping-particle" : "", "parse-names" : false, "suffix" : "" }, { "dropping-particle" : "", "family" : "Lin", "given" : "Jane H C", "non-dropping-particle" : "", "parse-names" : false, "suffix" : "" }, { "dropping-particle" : "", "family" : "Wang", "given" : "Fushun", "non-dropping-particle" : "", "parse-names" : false, "suffix" : "" }, { "dropping-particle" : "", "family" : "Xu", "given" : "Qiwu", "non-dropping-particle" : "", "parse-names" : false, "suffix" : "" }, { "dropping-particle" : "", "family" : "Wyatt", "given" : "Jeffrey D", "non-dropping-particle" : "", "parse-names" : false, "suffix" : "" }, { "dropping-particle" : "", "family" : "Pilcher", "given" : "Webster", "non-dropping-particle" : "", "parse-names" : false, "suffix" : "" }, { "dropping-particle" : "", "family" : "Ojemann", "given" : "Jeffrey G", "non-dropping-particle" : "", "parse-names" : false, "suffix" : "" }, { "dropping-particle" : "", "family" : "Ransom", "given" : "Bruce R", "non-dropping-particle" : "", "parse-names" : false, "suffix" : "" }, { "dropping-particle" : "", "family" : "Goldman", "given" : "Steven A", "non-dropping-particle" : "", "parse-names" : false, "suffix" : "" }, { "dropping-particle" : "", "family" : "Nedergaard", "given" : "Maiken", "non-dropping-particle" : "", "parse-names" : false, "suffix" : "" } ], "container-title" : "The Journal of neuroscience : the official journal of the Society for Neuroscience", "id" : "ITEM-2", "issue" : "10", "issued" : { "date-parts" : [ [ "2009", "3", "11" ] ] }, "page" : "3276-87", "title" : "Uniquely hominid features of adult human astrocytes.", "type" : "article-journal", "volume" : "29" }, "uris" : [ "http://www.mendeley.com/documents/?uuid=b96b0aba-664b-46c2-aa65-136af8bdec71" ] } ], "mendeley" : { "formattedCitation" : "(Oberheim et al. 2006; Oberheim et al. 2009)", "plainTextFormattedCitation" : "(Oberheim et al. 2006; Oberheim et al. 2009)", "previouslyFormattedCitation" : "(Oberheim et al. 2006; Oberheim et al. 2009)" }, "properties" : { "noteIndex" : 0 }, "schema" : "https://github.com/citation-style-language/schema/raw/master/csl-citation.json" }</w:instrText>
      </w:r>
      <w:r w:rsidR="007B73D0">
        <w:rPr>
          <w:rFonts w:ascii="Times New Roman" w:hAnsi="Times New Roman" w:cs="Times New Roman"/>
        </w:rPr>
        <w:fldChar w:fldCharType="separate"/>
      </w:r>
      <w:r w:rsidR="00C148FC" w:rsidRPr="00C148FC">
        <w:rPr>
          <w:rFonts w:ascii="Times New Roman" w:hAnsi="Times New Roman" w:cs="Times New Roman"/>
          <w:noProof/>
        </w:rPr>
        <w:t>(Oberheim et al. 2006; Oberheim et al. 2009)</w:t>
      </w:r>
      <w:r w:rsidR="007B73D0">
        <w:rPr>
          <w:rFonts w:ascii="Times New Roman" w:hAnsi="Times New Roman" w:cs="Times New Roman"/>
        </w:rPr>
        <w:fldChar w:fldCharType="end"/>
      </w:r>
      <w:r w:rsidR="007B73D0">
        <w:rPr>
          <w:rFonts w:ascii="Times New Roman" w:hAnsi="Times New Roman" w:cs="Times New Roman"/>
        </w:rPr>
        <w:t>.</w:t>
      </w:r>
      <w:r w:rsidR="00767AC9">
        <w:rPr>
          <w:rFonts w:ascii="Times New Roman" w:hAnsi="Times New Roman" w:cs="Times New Roman"/>
        </w:rPr>
        <w:t xml:space="preserve"> Although </w:t>
      </w:r>
      <w:r w:rsidR="002A5A44">
        <w:rPr>
          <w:rFonts w:ascii="Times New Roman" w:hAnsi="Times New Roman" w:cs="Times New Roman"/>
        </w:rPr>
        <w:t xml:space="preserve">the findings from Davila </w:t>
      </w:r>
      <w:r w:rsidR="002A5A44">
        <w:rPr>
          <w:rFonts w:ascii="Times New Roman" w:hAnsi="Times New Roman" w:cs="Times New Roman"/>
          <w:i/>
        </w:rPr>
        <w:t xml:space="preserve">et </w:t>
      </w:r>
      <w:r w:rsidR="002A5A44" w:rsidRPr="002A5A44">
        <w:rPr>
          <w:rFonts w:ascii="Times New Roman" w:hAnsi="Times New Roman" w:cs="Times New Roman"/>
        </w:rPr>
        <w:t>al</w:t>
      </w:r>
      <w:r w:rsidR="002A5A44">
        <w:rPr>
          <w:rFonts w:ascii="Times New Roman" w:hAnsi="Times New Roman" w:cs="Times New Roman"/>
        </w:rPr>
        <w:t>. paper report different findings with regards to Akt</w:t>
      </w:r>
      <w:r w:rsidR="00767AC9">
        <w:rPr>
          <w:rFonts w:ascii="Times New Roman" w:hAnsi="Times New Roman" w:cs="Times New Roman"/>
        </w:rPr>
        <w:t>, both results suggest</w:t>
      </w:r>
      <w:r w:rsidR="00286F70">
        <w:rPr>
          <w:rFonts w:ascii="Times New Roman" w:hAnsi="Times New Roman" w:cs="Times New Roman"/>
        </w:rPr>
        <w:t xml:space="preserve"> the</w:t>
      </w:r>
      <w:r w:rsidR="00767AC9">
        <w:rPr>
          <w:rFonts w:ascii="Times New Roman" w:hAnsi="Times New Roman" w:cs="Times New Roman"/>
        </w:rPr>
        <w:t xml:space="preserve"> importance of IGF1R in facilitating protection against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 xml:space="preserve">2 </w:t>
      </w:r>
      <w:r w:rsidR="00767AC9">
        <w:rPr>
          <w:rFonts w:ascii="Times New Roman" w:hAnsi="Times New Roman" w:cs="Times New Roman"/>
        </w:rPr>
        <w:t xml:space="preserve">in a co-culture system. </w:t>
      </w:r>
      <w:r w:rsidR="00286F70">
        <w:rPr>
          <w:rFonts w:ascii="Times New Roman" w:hAnsi="Times New Roman" w:cs="Times New Roman"/>
        </w:rPr>
        <w:t>Also, MAB391</w:t>
      </w:r>
      <w:r w:rsidR="000311B9">
        <w:rPr>
          <w:rFonts w:ascii="Times New Roman" w:hAnsi="Times New Roman" w:cs="Times New Roman"/>
        </w:rPr>
        <w:t xml:space="preserve"> treatment </w:t>
      </w:r>
      <w:r w:rsidR="00286F70">
        <w:rPr>
          <w:rFonts w:ascii="Times New Roman" w:hAnsi="Times New Roman" w:cs="Times New Roman"/>
        </w:rPr>
        <w:t>causes</w:t>
      </w:r>
      <w:r w:rsidR="000311B9">
        <w:rPr>
          <w:rFonts w:ascii="Times New Roman" w:hAnsi="Times New Roman" w:cs="Times New Roman"/>
        </w:rPr>
        <w:t xml:space="preserve"> an</w:t>
      </w:r>
      <w:r w:rsidR="00286F70">
        <w:rPr>
          <w:rFonts w:ascii="Times New Roman" w:hAnsi="Times New Roman" w:cs="Times New Roman"/>
        </w:rPr>
        <w:t xml:space="preserve"> associated reduction in the levels of insulin receptor, which is not the</w:t>
      </w:r>
      <w:r w:rsidR="00276BF4">
        <w:rPr>
          <w:rFonts w:ascii="Times New Roman" w:hAnsi="Times New Roman" w:cs="Times New Roman"/>
        </w:rPr>
        <w:t xml:space="preserve"> case in the</w:t>
      </w:r>
      <w:r w:rsidR="00286F70">
        <w:rPr>
          <w:rFonts w:ascii="Times New Roman" w:hAnsi="Times New Roman" w:cs="Times New Roman"/>
        </w:rPr>
        <w:t xml:space="preserve"> </w:t>
      </w:r>
      <w:r w:rsidR="00286F70" w:rsidRPr="00451968">
        <w:rPr>
          <w:rFonts w:ascii="Times New Roman" w:hAnsi="Times New Roman" w:cs="Times New Roman"/>
          <w:noProof/>
        </w:rPr>
        <w:t>Dávila et al</w:t>
      </w:r>
      <w:r w:rsidR="00286F70">
        <w:rPr>
          <w:rFonts w:ascii="Times New Roman" w:hAnsi="Times New Roman" w:cs="Times New Roman"/>
          <w:noProof/>
        </w:rPr>
        <w:t xml:space="preserve"> (2016) study</w:t>
      </w:r>
      <w:r w:rsidR="00276BF4">
        <w:rPr>
          <w:rFonts w:ascii="Times New Roman" w:hAnsi="Times New Roman" w:cs="Times New Roman"/>
          <w:noProof/>
        </w:rPr>
        <w:t>,</w:t>
      </w:r>
      <w:r w:rsidR="00286F70">
        <w:rPr>
          <w:rFonts w:ascii="Times New Roman" w:hAnsi="Times New Roman" w:cs="Times New Roman"/>
          <w:noProof/>
        </w:rPr>
        <w:t xml:space="preserve"> whi</w:t>
      </w:r>
      <w:r w:rsidR="00276BF4">
        <w:rPr>
          <w:rFonts w:ascii="Times New Roman" w:hAnsi="Times New Roman" w:cs="Times New Roman"/>
          <w:noProof/>
        </w:rPr>
        <w:t xml:space="preserve">ch uses IGF1 to stimulate IGF1R. Furthermore, </w:t>
      </w:r>
      <w:r w:rsidR="00D843FB">
        <w:rPr>
          <w:rFonts w:ascii="Times New Roman" w:hAnsi="Times New Roman" w:cs="Times New Roman"/>
          <w:noProof/>
        </w:rPr>
        <w:t xml:space="preserve">the model of IGF1 signalling impairment in this thesis measures the effects of a prolonged loss of this specific receptor in astrocytes with serum levels maintained. The </w:t>
      </w:r>
      <w:r w:rsidR="00D843FB" w:rsidRPr="00451968">
        <w:rPr>
          <w:rFonts w:ascii="Times New Roman" w:hAnsi="Times New Roman" w:cs="Times New Roman"/>
          <w:noProof/>
        </w:rPr>
        <w:t>Dávila et al</w:t>
      </w:r>
      <w:r w:rsidR="00D843FB">
        <w:rPr>
          <w:rFonts w:ascii="Times New Roman" w:hAnsi="Times New Roman" w:cs="Times New Roman"/>
          <w:noProof/>
        </w:rPr>
        <w:t xml:space="preserve"> (2016) study assesses the effects of IGF1 and H</w:t>
      </w:r>
      <w:r w:rsidR="00D843FB" w:rsidRPr="004D1D5B">
        <w:rPr>
          <w:rFonts w:ascii="Times New Roman" w:hAnsi="Times New Roman" w:cs="Times New Roman"/>
          <w:noProof/>
          <w:vertAlign w:val="subscript"/>
        </w:rPr>
        <w:t>2</w:t>
      </w:r>
      <w:r w:rsidR="00D843FB">
        <w:rPr>
          <w:rFonts w:ascii="Times New Roman" w:hAnsi="Times New Roman" w:cs="Times New Roman"/>
          <w:noProof/>
        </w:rPr>
        <w:t>O</w:t>
      </w:r>
      <w:r w:rsidR="00D843FB" w:rsidRPr="004D1D5B">
        <w:rPr>
          <w:rFonts w:ascii="Times New Roman" w:hAnsi="Times New Roman" w:cs="Times New Roman"/>
          <w:noProof/>
          <w:vertAlign w:val="subscript"/>
        </w:rPr>
        <w:t>2</w:t>
      </w:r>
      <w:r w:rsidR="00D843FB">
        <w:rPr>
          <w:rFonts w:ascii="Times New Roman" w:hAnsi="Times New Roman" w:cs="Times New Roman"/>
          <w:noProof/>
        </w:rPr>
        <w:t xml:space="preserve"> after serum starvation and then assesses</w:t>
      </w:r>
      <w:r w:rsidR="00D83180">
        <w:rPr>
          <w:rFonts w:ascii="Times New Roman" w:hAnsi="Times New Roman" w:cs="Times New Roman"/>
          <w:noProof/>
        </w:rPr>
        <w:t xml:space="preserve"> the</w:t>
      </w:r>
      <w:r w:rsidR="00D843FB">
        <w:rPr>
          <w:rFonts w:ascii="Times New Roman" w:hAnsi="Times New Roman" w:cs="Times New Roman"/>
          <w:noProof/>
        </w:rPr>
        <w:t xml:space="preserve"> contribution of the Akt pat</w:t>
      </w:r>
      <w:r w:rsidR="002C0EA0">
        <w:rPr>
          <w:rFonts w:ascii="Times New Roman" w:hAnsi="Times New Roman" w:cs="Times New Roman"/>
          <w:noProof/>
        </w:rPr>
        <w:t>hway by overexpressing a consti</w:t>
      </w:r>
      <w:r w:rsidR="00D843FB">
        <w:rPr>
          <w:rFonts w:ascii="Times New Roman" w:hAnsi="Times New Roman" w:cs="Times New Roman"/>
          <w:noProof/>
        </w:rPr>
        <w:t>t</w:t>
      </w:r>
      <w:r w:rsidR="002C0EA0">
        <w:rPr>
          <w:rFonts w:ascii="Times New Roman" w:hAnsi="Times New Roman" w:cs="Times New Roman"/>
          <w:noProof/>
        </w:rPr>
        <w:t>ut</w:t>
      </w:r>
      <w:r w:rsidR="00D843FB">
        <w:rPr>
          <w:rFonts w:ascii="Times New Roman" w:hAnsi="Times New Roman" w:cs="Times New Roman"/>
          <w:noProof/>
        </w:rPr>
        <w:t>ively active form of PTEN for a 48 hour to 72 hour period. The models used to investigate the importance of IGF1 signalling in astrocytes to protect against additional oxidative stres</w:t>
      </w:r>
      <w:r w:rsidR="00D83180">
        <w:rPr>
          <w:rFonts w:ascii="Times New Roman" w:hAnsi="Times New Roman" w:cs="Times New Roman"/>
          <w:noProof/>
        </w:rPr>
        <w:t>s are therefore very different and probably the reason for differences observed in these models.</w:t>
      </w:r>
    </w:p>
    <w:p w14:paraId="34E05493" w14:textId="77777777" w:rsidR="00AA21C2" w:rsidRDefault="00AA21C2" w:rsidP="00C63BC1">
      <w:pPr>
        <w:spacing w:line="360" w:lineRule="auto"/>
        <w:jc w:val="both"/>
        <w:rPr>
          <w:rFonts w:ascii="Times New Roman" w:hAnsi="Times New Roman" w:cs="Times New Roman"/>
        </w:rPr>
      </w:pPr>
    </w:p>
    <w:p w14:paraId="1ED21111" w14:textId="685AE4C9" w:rsidR="008130F0" w:rsidRDefault="0059010A" w:rsidP="00C63BC1">
      <w:pPr>
        <w:spacing w:line="360" w:lineRule="auto"/>
        <w:jc w:val="both"/>
        <w:rPr>
          <w:rFonts w:ascii="Times New Roman" w:hAnsi="Times New Roman" w:cs="Times New Roman"/>
        </w:rPr>
      </w:pPr>
      <w:r>
        <w:rPr>
          <w:rFonts w:ascii="Times New Roman" w:hAnsi="Times New Roman" w:cs="Times New Roman"/>
        </w:rPr>
        <w:t>Recently, a</w:t>
      </w:r>
      <w:r w:rsidR="00023A4E">
        <w:rPr>
          <w:rFonts w:ascii="Times New Roman" w:hAnsi="Times New Roman" w:cs="Times New Roman"/>
        </w:rPr>
        <w:t xml:space="preserve"> co-culture system using the LUHMES </w:t>
      </w:r>
      <w:r>
        <w:rPr>
          <w:rFonts w:ascii="Times New Roman" w:hAnsi="Times New Roman" w:cs="Times New Roman"/>
        </w:rPr>
        <w:t>and</w:t>
      </w:r>
      <w:r w:rsidR="00023A4E">
        <w:rPr>
          <w:rFonts w:ascii="Times New Roman" w:hAnsi="Times New Roman" w:cs="Times New Roman"/>
        </w:rPr>
        <w:t xml:space="preserve"> IMA’s (immortalized</w:t>
      </w:r>
      <w:r>
        <w:rPr>
          <w:rFonts w:ascii="Times New Roman" w:hAnsi="Times New Roman" w:cs="Times New Roman"/>
        </w:rPr>
        <w:t xml:space="preserve"> mouse astrocytes) or</w:t>
      </w:r>
      <w:r w:rsidR="00023A4E">
        <w:rPr>
          <w:rFonts w:ascii="Times New Roman" w:hAnsi="Times New Roman" w:cs="Times New Roman"/>
        </w:rPr>
        <w:t xml:space="preserve"> human astrocytes commercially available from Lonza</w:t>
      </w:r>
      <w:r>
        <w:rPr>
          <w:rFonts w:ascii="Times New Roman" w:hAnsi="Times New Roman" w:cs="Times New Roman"/>
        </w:rPr>
        <w:t xml:space="preserve"> has been established</w:t>
      </w:r>
      <w:r w:rsidR="00023A4E">
        <w:rPr>
          <w:rFonts w:ascii="Times New Roman" w:hAnsi="Times New Roman" w:cs="Times New Roman"/>
        </w:rPr>
        <w:t xml:space="preserve"> </w:t>
      </w:r>
      <w:r w:rsidR="00023A4E">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"10.1111/bph.13193", "ISSN" : "1476-5381", "PMID" : "25989025", "abstract" : "BACKGROUND AND PURPOSE: Few neuropharmacological model systems use human neurons. Moreover, available test systems rarely reflect functional roles of co-cultured glial cells. There is no human in vitro counterpart of the widely used 1-methyl-4-phenyl-tetrahydropyridine (MPTP) mouse model of Parkinson's disease\n\nEXPERIMENTAL APPROACH: We generated such a model by growing an intricate network of human dopaminergic neurons on a dense layer of astrocytes. In these co-cultures, MPTP was metabolized to 1-methyl-4-phenyl-pyridinium (MPP(+) ) by the glial cells, and the toxic metabolite was taken up through the dopamine transporter into neurons. Cell viability was measured biochemically and by quantitative neurite imaging, siRNA techniques were also used.\n\nKEY RESULTS: We initially characterized the activation of PARP. As in mouse models, MPTP exposure induced (poly-ADP-ribose) synthesis and neurodegeneration was blocked by PARP inhibitors. Several different putative neuroprotectants were then compared in mono-cultures and co-cultures. Rho kinase inhibitors worked in both models; CEP1347, ascorbic acid or a caspase inhibitor protected mono-cultures from MPP(+) toxicity, but did not protect co-cultures, when used alone or in combination. Application of GSSG prevented degeneration in co-cultures, but not in mono-cultures. The surprisingly different pharmacological profiles of the models suggest that the presence of glial cells, and the in situ generation of the toxic metabolite MPP(+) within the layered cultures played an important role in neuroprotection.\n\nCONCLUSIONS AND IMPLICATIONS: Our new model system is a closer model of human brain tissue than conventional cultures. Its use for screening of candidate neuroprotectants may increase the predictiveness of a test battery.", "author" : [ { "dropping-particle" : "", "family" : "Efremova", "given" : "Liudmila", "non-dropping-particle" : "", "parse-names" : false, "suffix" : "" }, { "dropping-particle" : "", "family" : "Schildknecht", "given" : "Stefan", "non-dropping-particle" : "", "parse-names" : false, "suffix" : "" }, { "dropping-particle" : "", "family" : "Adam", "given" : "Martina", "non-dropping-particle" : "", "parse-names" : false, "suffix" : "" }, { "dropping-particle" : "", "family" : "Pape", "given" : "Regina", "non-dropping-particle" : "", "parse-names" : false, "suffix" : "" }, { "dropping-particle" : "", "family" : "Gutbier", "given" : "Simon", "non-dropping-particle" : "", "parse-names" : false, "suffix" : "" }, { "dropping-particle" : "", "family" : "Hanf", "given" : "Benjamin", "non-dropping-particle" : "", "parse-names" : false, "suffix" : "" }, { "dropping-particle" : "", "family" : "B\u00fcrkle", "given" : "Alexander", "non-dropping-particle" : "", "parse-names" : false, "suffix" : "" }, { "dropping-particle" : "", "family" : "Leist", "given" : "Marcel", "non-dropping-particle" : "", "parse-names" : false, "suffix" : "" } ], "container-title" : "British journal of pharmacology", "id" : "ITEM-1", "issue" : "16", "issued" : { "date-parts" : [ [ "2015", "8" ] ] }, "page" : "4119-32", "title" : "Prevention of the degeneration of human dopaminergic neurons in an astrocyte co-culture system allowing endogenous drug metabolism.", "type" : "article-journal", "volume" : "172" }, "uris" : [ "http://www.mendeley.com/documents/?uuid=4290222a-96c6-4f42-a2cc-0c5d0ad47917" ] }, { "id" : "ITEM-2", "itemData" : { "DOI" : "10.1007/s00204-016-1702-2", "ISSN" : "0340-5761", "PMID" : "27052459", "abstract" : "Astrocytes, the largest cell population in the human brain, are powerful inflammatory effectors. Several studies have examined the interaction of activated astrocytes with neurons, but little is known yet about human neurotoxicity under such situations and about strategies of neuronal rescue. To address this question, immortalized murine astrocytes (IMA) were combined with human LUHMES neurons and stimulated with an inflammatory (TNF, IL-1) cytokine mix (CM). Neurotoxicity was studied both in co-cultures and in monocultures after transfer of conditioned medium from activated IMA. Interventions with &gt;20 drugs were used to profile the model system. Control IMA supported neurons and protected them from neurotoxicants. Inflammatory activation reduced this protection, and prolonged exposure of co-cultures to CM triggered neurotoxicity. Neither the added cytokines nor the release of NO from astrocytes were involved in this neurodegeneration. The neurotoxicity-mediating effect of IMA was faithfully reproduced by human astrocytes. Moreover, glia-dependent toxicity was also observed, when IMA cultures were stimulated with CM, and the culture medium was transferred to neurons. Such neurotoxicity was prevented when astrocytes were treated by p38 kinase inhibitors or dexamethasone, whereas such compounds had no effect when added to neurons. Conversely, treatment of neurons with five different drugs, including resveratrol and CEP1347, prevented toxicity of astrocyte supernatants. Thus, the sequential IMA-LUHMES neuroinflammation model is suitable for separate profiling of both glial-directed and directly neuroprotective strategies. Moreover, direct evaluation in co-cultures of the same cells allows for testing of therapeutic effectiveness in more complex settings, in which astrocytes affect pharmacological properties of neurons.", "author" : [ { "dropping-particle" : "", "family" : "Efremova", "given" : "Liudmila", "non-dropping-particle" : "", "parse-names" : false, "suffix" : "" }, { "dropping-particle" : "", "family" : "Chovancova", "given" : "Petra", "non-dropping-particle" : "", "parse-names" : false, "suffix" : "" }, { "dropping-particle" : "", "family" : "Adam", "given" : "Martina", "non-dropping-particle" : "", "parse-names" : false, "suffix" : "" }, { "dropping-particle" : "", "family" : "Gutbier", "given" : "Simon", "non-dropping-particle" : "", "parse-names" : false, "suffix" : "" }, { "dropping-particle" : "", "family" : "Schildknecht", "given" : "Stefan", "non-dropping-particle" : "", "parse-names" : false, "suffix" : "" }, { "dropping-particle" : "", "family" : "Leist", "given" : "Marcel", "non-dropping-particle" : "", "parse-names" : false, "suffix" : "" } ], "container-title" : "Archives of Toxicology", "id" : "ITEM-2", "issued" : { "date-parts" : [ [ "2016", "4", "6" ] ] }, "title" : "Switching from astrocytic neuroprotection to neurodegeneration by cytokine stimulation", "type" : "article-journal" }, "uris" : [ "http://www.mendeley.com/documents/?uuid=b48a645e-6c19-4cf6-aa79-d4df5c168c0f" ] } ], "mendeley" : { "formattedCitation" : "(Efremova et al. 2015; Efremova et al. 2016a)", "manualFormatting" : "(Efremova et al. 2015; Efremova et al. 2016)", "plainTextFormattedCitation" : "(Efremova et al. 2015; Efremova et al. 2016a)", "previouslyFormattedCitation" : "(Efremova et al. 2015; Efremova et al. 2016a)" }, "properties" : { "noteIndex" : 0 }, "schema" : "https://github.com/citation-style-language/schema/raw/master/csl-citation.json" }</w:instrText>
      </w:r>
      <w:r w:rsidR="00023A4E">
        <w:rPr>
          <w:rFonts w:ascii="Times New Roman" w:hAnsi="Times New Roman" w:cs="Times New Roman"/>
        </w:rPr>
        <w:fldChar w:fldCharType="separate"/>
      </w:r>
      <w:r w:rsidR="00DF4142" w:rsidRPr="00DF4142">
        <w:rPr>
          <w:rFonts w:ascii="Times New Roman" w:hAnsi="Times New Roman" w:cs="Times New Roman"/>
          <w:noProof/>
        </w:rPr>
        <w:t>(Efremova et</w:t>
      </w:r>
      <w:r w:rsidR="003D3E3A">
        <w:rPr>
          <w:rFonts w:ascii="Times New Roman" w:hAnsi="Times New Roman" w:cs="Times New Roman"/>
          <w:noProof/>
        </w:rPr>
        <w:t xml:space="preserve"> al. 2015; Efremova et al. 2016</w:t>
      </w:r>
      <w:r w:rsidR="00DF4142" w:rsidRPr="00DF4142">
        <w:rPr>
          <w:rFonts w:ascii="Times New Roman" w:hAnsi="Times New Roman" w:cs="Times New Roman"/>
          <w:noProof/>
        </w:rPr>
        <w:t>)</w:t>
      </w:r>
      <w:r w:rsidR="00023A4E">
        <w:rPr>
          <w:rFonts w:ascii="Times New Roman" w:hAnsi="Times New Roman" w:cs="Times New Roman"/>
        </w:rPr>
        <w:fldChar w:fldCharType="end"/>
      </w:r>
      <w:r w:rsidR="00023A4E">
        <w:rPr>
          <w:rFonts w:ascii="Times New Roman" w:hAnsi="Times New Roman" w:cs="Times New Roman"/>
        </w:rPr>
        <w:t xml:space="preserve">. </w:t>
      </w:r>
      <w:r w:rsidR="003D3E3A">
        <w:rPr>
          <w:rFonts w:ascii="Times New Roman" w:hAnsi="Times New Roman" w:cs="Times New Roman"/>
        </w:rPr>
        <w:t>P</w:t>
      </w:r>
      <w:r w:rsidR="0095451C">
        <w:rPr>
          <w:rFonts w:ascii="Times New Roman" w:hAnsi="Times New Roman" w:cs="Times New Roman"/>
        </w:rPr>
        <w:t>retreatment</w:t>
      </w:r>
      <w:r w:rsidR="003D3E3A">
        <w:rPr>
          <w:rFonts w:ascii="Times New Roman" w:hAnsi="Times New Roman" w:cs="Times New Roman"/>
        </w:rPr>
        <w:t xml:space="preserve"> of the </w:t>
      </w:r>
      <w:r w:rsidR="0095451C">
        <w:rPr>
          <w:rFonts w:ascii="Times New Roman" w:hAnsi="Times New Roman" w:cs="Times New Roman"/>
        </w:rPr>
        <w:t>IMA’s with a cytokine mix of TNF</w:t>
      </w:r>
      <w:r w:rsidR="0095451C">
        <w:rPr>
          <w:rFonts w:ascii="Times New Roman" w:hAnsi="Times New Roman" w:cs="Times New Roman"/>
        </w:rPr>
        <w:sym w:font="Symbol" w:char="F061"/>
      </w:r>
      <w:r w:rsidR="0095451C">
        <w:rPr>
          <w:rFonts w:ascii="Times New Roman" w:hAnsi="Times New Roman" w:cs="Times New Roman"/>
        </w:rPr>
        <w:t xml:space="preserve"> and IL</w:t>
      </w:r>
      <w:r w:rsidR="0095451C">
        <w:rPr>
          <w:rFonts w:ascii="Times New Roman" w:hAnsi="Times New Roman" w:cs="Times New Roman"/>
        </w:rPr>
        <w:sym w:font="Symbol" w:char="F062"/>
      </w:r>
      <w:r w:rsidR="0095451C">
        <w:rPr>
          <w:rFonts w:ascii="Times New Roman" w:hAnsi="Times New Roman" w:cs="Times New Roman"/>
        </w:rPr>
        <w:t xml:space="preserve"> reduces the neuroprotective capacity of astr</w:t>
      </w:r>
      <w:r w:rsidR="00781632">
        <w:rPr>
          <w:rFonts w:ascii="Times New Roman" w:hAnsi="Times New Roman" w:cs="Times New Roman"/>
        </w:rPr>
        <w:t xml:space="preserve">ocytes to peroxynitrite insult </w:t>
      </w:r>
      <w:r w:rsidR="0078163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"10.1007/s00204-016-1702-2", "ISSN" : "0340-5761", "PMID" : "27052459", "abstract" : "Astrocytes, the largest cell population in the human brain, are powerful inflammatory effectors. Several studies have examined the interaction of activated astrocytes with neurons, but little is known yet about human neurotoxicity under such situations and about strategies of neuronal rescue. To address this question, immortalized murine astrocytes (IMA) were combined with human LUHMES neurons and stimulated with an inflammatory (TNF, IL-1) cytokine mix (CM). Neurotoxicity was studied both in co-cultures and in monocultures after transfer of conditioned medium from activated IMA. Interventions with &gt;20 drugs were used to profile the model system. Control IMA supported neurons and protected them from neurotoxicants. Inflammatory activation reduced this protection, and prolonged exposure of co-cultures to CM triggered neurotoxicity. Neither the added cytokines nor the release of NO from astrocytes were involved in this neurodegeneration. The neurotoxicity-mediating effect of IMA was faithfully reproduced by human astrocytes. Moreover, glia-dependent toxicity was also observed, when IMA cultures were stimulated with CM, and the culture medium was transferred to neurons. Such neurotoxicity was prevented when astrocytes were treated by p38 kinase inhibitors or dexamethasone, whereas such compounds had no effect when added to neurons. Conversely, treatment of neurons with five different drugs, including resveratrol and CEP1347, prevented toxicity of astrocyte supernatants. Thus, the sequential IMA-LUHMES neuroinflammation model is suitable for separate profiling of both glial-directed and directly neuroprotective strategies. Moreover, direct evaluation in co-cultures of the same cells allows for testing of therapeutic effectiveness in more complex settings, in which astrocytes affect pharmacological properties of neurons.", "author" : [ { "dropping-particle" : "", "family" : "Efremova", "given" : "Liudmila", "non-dropping-particle" : "", "parse-names" : false, "suffix" : "" }, { "dropping-particle" : "", "family" : "Chovancova", "given" : "Petra", "non-dropping-particle" : "", "parse-names" : false, "suffix" : "" }, { "dropping-particle" : "", "family" : "Adam", "given" : "Martina", "non-dropping-particle" : "", "parse-names" : false, "suffix" : "" }, { "dropping-particle" : "", "family" : "Gutbier", "given" : "Simon", "non-dropping-particle" : "", "parse-names" : false, "suffix" : "" }, { "dropping-particle" : "", "family" : "Schildknecht", "given" : "Stefan", "non-dropping-particle" : "", "parse-names" : false, "suffix" : "" }, { "dropping-particle" : "", "family" : "Leist", "given" : "Marcel", "non-dropping-particle" : "", "parse-names" : false, "suffix" : "" } ], "container-title" : "Archives of Toxicology", "id" : "ITEM-1", "issued" : { "date-parts" : [ [ "2016", "4", "6" ] ] }, "title" : "Switching from astrocytic neuroprotection to neurodegeneration by cytokine stimulation", "type" : "article-journal" }, "uris" : [ "http://www.mendeley.com/documents/?uuid=b48a645e-6c19-4cf6-aa79-d4df5c168c0f" ] } ], "mendeley" : { "formattedCitation" : "(Efremova et al. 2016a)", "manualFormatting" : "(Efremova et al. 2016)", "plainTextFormattedCitation" : "(Efremova et al. 2016a)", "previouslyFormattedCitation" : "(Efremova et al. 2016a)" }, "properties" : { "noteIndex" : 0 }, "schema" : "https://github.com/citation-style-language/schema/raw/master/csl-citation.json" }</w:instrText>
      </w:r>
      <w:r w:rsidR="00781632">
        <w:rPr>
          <w:rFonts w:ascii="Times New Roman" w:hAnsi="Times New Roman" w:cs="Times New Roman"/>
        </w:rPr>
        <w:fldChar w:fldCharType="separate"/>
      </w:r>
      <w:r w:rsidR="003D3E3A">
        <w:rPr>
          <w:rFonts w:ascii="Times New Roman" w:hAnsi="Times New Roman" w:cs="Times New Roman"/>
          <w:noProof/>
        </w:rPr>
        <w:t>(Efremova et al. 2016</w:t>
      </w:r>
      <w:r w:rsidR="00DF4142" w:rsidRPr="00DF4142">
        <w:rPr>
          <w:rFonts w:ascii="Times New Roman" w:hAnsi="Times New Roman" w:cs="Times New Roman"/>
          <w:noProof/>
        </w:rPr>
        <w:t>)</w:t>
      </w:r>
      <w:r w:rsidR="00781632">
        <w:rPr>
          <w:rFonts w:ascii="Times New Roman" w:hAnsi="Times New Roman" w:cs="Times New Roman"/>
        </w:rPr>
        <w:fldChar w:fldCharType="end"/>
      </w:r>
      <w:r>
        <w:rPr>
          <w:rFonts w:ascii="Times New Roman" w:hAnsi="Times New Roman" w:cs="Times New Roman"/>
        </w:rPr>
        <w:t>. This su</w:t>
      </w:r>
      <w:r w:rsidR="003D3E3A">
        <w:rPr>
          <w:rFonts w:ascii="Times New Roman" w:hAnsi="Times New Roman" w:cs="Times New Roman"/>
        </w:rPr>
        <w:t xml:space="preserve">ggests that astrocytes </w:t>
      </w:r>
      <w:r w:rsidR="000A3A98">
        <w:rPr>
          <w:rFonts w:ascii="Times New Roman" w:hAnsi="Times New Roman" w:cs="Times New Roman"/>
        </w:rPr>
        <w:t>respond well to</w:t>
      </w:r>
      <w:r>
        <w:rPr>
          <w:rFonts w:ascii="Times New Roman" w:hAnsi="Times New Roman" w:cs="Times New Roman"/>
        </w:rPr>
        <w:t xml:space="preserve"> an initial insult but </w:t>
      </w:r>
      <w:r w:rsidR="000A3A98">
        <w:rPr>
          <w:rFonts w:ascii="Times New Roman" w:hAnsi="Times New Roman" w:cs="Times New Roman"/>
        </w:rPr>
        <w:t xml:space="preserve">due to underlying changes resulting from this first challenge are less able to respond to the second insult. </w:t>
      </w:r>
      <w:r>
        <w:rPr>
          <w:rFonts w:ascii="Times New Roman" w:hAnsi="Times New Roman" w:cs="Times New Roman"/>
        </w:rPr>
        <w:t xml:space="preserve"> </w:t>
      </w:r>
    </w:p>
    <w:p w14:paraId="4882BB08" w14:textId="77777777" w:rsidR="001919D5" w:rsidRDefault="001919D5" w:rsidP="006913AA">
      <w:pPr>
        <w:rPr>
          <w:rFonts w:ascii="Times New Roman" w:hAnsi="Times New Roman" w:cs="Times New Roman"/>
          <w:b/>
          <w:u w:val="single"/>
        </w:rPr>
      </w:pPr>
    </w:p>
    <w:p w14:paraId="442E3714" w14:textId="0A5D01D2" w:rsidR="00B04BBD" w:rsidRDefault="00F94933" w:rsidP="00395B55">
      <w:pPr>
        <w:pStyle w:val="Heading2"/>
      </w:pPr>
      <w:bookmarkStart w:id="1726" w:name="_Toc328301181"/>
      <w:bookmarkStart w:id="1727" w:name="_Toc329593472"/>
      <w:bookmarkStart w:id="1728" w:name="_Toc331425971"/>
      <w:bookmarkStart w:id="1729" w:name="_Toc331427152"/>
      <w:bookmarkStart w:id="1730" w:name="_Toc331427524"/>
      <w:bookmarkStart w:id="1731" w:name="_Toc331427666"/>
      <w:bookmarkStart w:id="1732" w:name="_Toc332972671"/>
      <w:bookmarkStart w:id="1733" w:name="_Toc333046950"/>
      <w:bookmarkStart w:id="1734" w:name="_Toc333477297"/>
      <w:bookmarkStart w:id="1735" w:name="_Toc333478067"/>
      <w:bookmarkStart w:id="1736" w:name="_Toc333644967"/>
      <w:r>
        <w:t xml:space="preserve">4.6 </w:t>
      </w:r>
      <w:r w:rsidR="00B04BBD">
        <w:t>Summary</w:t>
      </w:r>
      <w:bookmarkEnd w:id="1726"/>
      <w:bookmarkEnd w:id="1727"/>
      <w:bookmarkEnd w:id="1728"/>
      <w:bookmarkEnd w:id="1729"/>
      <w:bookmarkEnd w:id="1730"/>
      <w:bookmarkEnd w:id="1731"/>
      <w:bookmarkEnd w:id="1732"/>
      <w:bookmarkEnd w:id="1733"/>
      <w:bookmarkEnd w:id="1734"/>
      <w:bookmarkEnd w:id="1735"/>
      <w:bookmarkEnd w:id="1736"/>
      <w:r w:rsidR="00B04BBD">
        <w:t xml:space="preserve"> </w:t>
      </w:r>
    </w:p>
    <w:p w14:paraId="3C03D12F" w14:textId="77777777" w:rsidR="00B04BBD" w:rsidRPr="00B04BBD" w:rsidRDefault="00B04BBD" w:rsidP="003866B4">
      <w:pPr>
        <w:spacing w:line="360" w:lineRule="auto"/>
        <w:rPr>
          <w:rFonts w:ascii="Times New Roman" w:hAnsi="Times New Roman" w:cs="Times New Roman"/>
          <w:b/>
          <w:u w:val="single"/>
        </w:rPr>
      </w:pPr>
    </w:p>
    <w:p w14:paraId="51B98CE4" w14:textId="052C7E3A" w:rsidR="000A58FE" w:rsidRDefault="003A4038" w:rsidP="00C63BC1">
      <w:pPr>
        <w:spacing w:line="360" w:lineRule="auto"/>
        <w:jc w:val="both"/>
        <w:rPr>
          <w:rFonts w:ascii="Times New Roman" w:hAnsi="Times New Roman" w:cs="Times New Roman"/>
        </w:rPr>
      </w:pPr>
      <w:r>
        <w:rPr>
          <w:rFonts w:ascii="Times New Roman" w:hAnsi="Times New Roman" w:cs="Times New Roman"/>
        </w:rPr>
        <w:t>A</w:t>
      </w:r>
      <w:r w:rsidR="00B06791">
        <w:rPr>
          <w:rFonts w:ascii="Times New Roman" w:hAnsi="Times New Roman" w:cs="Times New Roman"/>
        </w:rPr>
        <w:t>n intact and</w:t>
      </w:r>
      <w:r w:rsidR="003866B4">
        <w:rPr>
          <w:rFonts w:ascii="Times New Roman" w:hAnsi="Times New Roman" w:cs="Times New Roman"/>
        </w:rPr>
        <w:t xml:space="preserve"> functional IGF1 signalling pathway</w:t>
      </w:r>
      <w:r w:rsidR="002E388A">
        <w:rPr>
          <w:rFonts w:ascii="Times New Roman" w:hAnsi="Times New Roman" w:cs="Times New Roman"/>
        </w:rPr>
        <w:t xml:space="preserve"> in astrocytes</w:t>
      </w:r>
      <w:r>
        <w:rPr>
          <w:rFonts w:ascii="Times New Roman" w:hAnsi="Times New Roman" w:cs="Times New Roman"/>
        </w:rPr>
        <w:t xml:space="preserve"> is important</w:t>
      </w:r>
      <w:r w:rsidR="003866B4">
        <w:rPr>
          <w:rFonts w:ascii="Times New Roman" w:hAnsi="Times New Roman" w:cs="Times New Roman"/>
        </w:rPr>
        <w:t xml:space="preserve"> to support neuronal development</w:t>
      </w:r>
      <w:r>
        <w:rPr>
          <w:rFonts w:ascii="Times New Roman" w:hAnsi="Times New Roman" w:cs="Times New Roman"/>
        </w:rPr>
        <w:t xml:space="preserve"> and protect from </w:t>
      </w:r>
      <w:r w:rsidR="00B06791">
        <w:rPr>
          <w:rFonts w:ascii="Times New Roman" w:hAnsi="Times New Roman" w:cs="Times New Roman"/>
        </w:rPr>
        <w:t xml:space="preserve">oxidative stress (in the form of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2</w:t>
      </w:r>
      <w:r w:rsidR="00B06791">
        <w:rPr>
          <w:rFonts w:ascii="Times New Roman" w:hAnsi="Times New Roman" w:cs="Times New Roman"/>
        </w:rPr>
        <w:t>)</w:t>
      </w:r>
      <w:r w:rsidR="003866B4">
        <w:rPr>
          <w:rFonts w:ascii="Times New Roman" w:hAnsi="Times New Roman" w:cs="Times New Roman"/>
        </w:rPr>
        <w:t>.</w:t>
      </w:r>
      <w:r w:rsidR="00B06791">
        <w:rPr>
          <w:rFonts w:ascii="Times New Roman" w:hAnsi="Times New Roman" w:cs="Times New Roman"/>
        </w:rPr>
        <w:t xml:space="preserve"> </w:t>
      </w:r>
      <w:r w:rsidR="00A65089">
        <w:rPr>
          <w:rFonts w:ascii="Times New Roman" w:hAnsi="Times New Roman" w:cs="Times New Roman"/>
        </w:rPr>
        <w:t>It suggests that whilst reduced signalling through the d</w:t>
      </w:r>
      <w:r w:rsidR="00AA5ADB">
        <w:rPr>
          <w:rFonts w:ascii="Times New Roman" w:hAnsi="Times New Roman" w:cs="Times New Roman"/>
        </w:rPr>
        <w:t>ownstream signalling protein Akt</w:t>
      </w:r>
      <w:r w:rsidR="00A65089">
        <w:rPr>
          <w:rFonts w:ascii="Times New Roman" w:hAnsi="Times New Roman" w:cs="Times New Roman"/>
        </w:rPr>
        <w:t xml:space="preserve"> </w:t>
      </w:r>
      <w:r w:rsidR="00E6343A">
        <w:rPr>
          <w:rFonts w:ascii="Times New Roman" w:hAnsi="Times New Roman" w:cs="Times New Roman"/>
        </w:rPr>
        <w:t>is important to support neurite outgrowth</w:t>
      </w:r>
      <w:r w:rsidR="00A65089">
        <w:rPr>
          <w:rFonts w:ascii="Times New Roman" w:hAnsi="Times New Roman" w:cs="Times New Roman"/>
        </w:rPr>
        <w:t>, that maintaining levels of IGF1R is also k</w:t>
      </w:r>
      <w:r w:rsidR="00E6343A">
        <w:rPr>
          <w:rFonts w:ascii="Times New Roman" w:hAnsi="Times New Roman" w:cs="Times New Roman"/>
        </w:rPr>
        <w:t>ey for the astrocytes to retain full support for neurons</w:t>
      </w:r>
      <w:r w:rsidR="00A65089">
        <w:rPr>
          <w:rFonts w:ascii="Times New Roman" w:hAnsi="Times New Roman" w:cs="Times New Roman"/>
        </w:rPr>
        <w:t>.</w:t>
      </w:r>
      <w:r w:rsidR="001A15F4">
        <w:rPr>
          <w:rFonts w:ascii="Times New Roman" w:hAnsi="Times New Roman" w:cs="Times New Roman"/>
        </w:rPr>
        <w:t xml:space="preserve"> Recently it has been shown </w:t>
      </w:r>
      <w:r w:rsidR="00EC63A7">
        <w:rPr>
          <w:rFonts w:ascii="Times New Roman" w:hAnsi="Times New Roman" w:cs="Times New Roman"/>
        </w:rPr>
        <w:t>that IGF1 signalling through Akt</w:t>
      </w:r>
      <w:r w:rsidR="001A15F4">
        <w:rPr>
          <w:rFonts w:ascii="Times New Roman" w:hAnsi="Times New Roman" w:cs="Times New Roman"/>
        </w:rPr>
        <w:t xml:space="preserve"> is necessary for rodent astrocytes to exert neuroprotective effects in co-culture </w:t>
      </w:r>
      <w:r w:rsidR="001A15F4">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"10.1074/jbc.M115.695478", "ISSN" : "1083-351X", "PMID" : "26631726", "abstract" : "Disruption of insulin-like growth factor I (IGF-I) signaling is a key step in the development of cancer or neurodegeneration. For example, interference of the prosurvival IGF-I/AKT/FOXO3 pathway by redox activation of the stress kinases p38 and JNK is instrumental in neuronal death by oxidative stress. However, in astrocytes, IGF-I retains its protective action against oxidative stress. The molecular mechanisms underlying this cell-specific protection remain obscure but may be relevant to unveil new ways to combat IGF-I/insulin resistance. Here, we describe that, in astrocytes exposed to oxidative stress by hydrogen peroxide (H2O2), p38 activation did not inhibit AKT (protein kinase B) activation by IGF-I, which is in contrast to our previous observations in neurons. Rather, stimulation of AKT by IGF-I was significantly higher and more sustained in astrocytes than in neurons either under normal or oxidative conditions. This may be explained by phosphorylation of the phosphatase PTEN at the plasma membrane in response to IGF-I, inducing its cytosolic translocation and preserving in this way AKT activity. Stimulation of AKT by IGF-I, mimicked also by a constitutively active AKT mutant, reduced oxidative stress levels and cell death in H2O2-exposed astrocytes, boosting their neuroprotective action in co-cultured neurons. These results indicate that armoring of AKT activation by IGF-I is crucial to preserve its cytoprotective effect in astrocytes and may form part of the brain defense mechanism against oxidative stress injury.", "author" : [ { "dropping-particle" : "", "family" : "D\u00e1vila", "given" : "David", "non-dropping-particle" : "", "parse-names" : false, "suffix" : "" }, { "dropping-particle" : "", "family" : "Fern\u00e1ndez", "given" : "Silvia", "non-dropping-particle" : "", "parse-names" : false, "suffix" : "" }, { "dropping-particle" : "", "family" : "Torres-Alem\u00e1n", "given" : "Ignacio", "non-dropping-particle" : "", "parse-names" : false, "suffix" : "" } ], "container-title" : "The Journal of biological chemistry", "id" : "ITEM-1", "issue" : "5", "issued" : { "date-parts" : [ [ "2016", "1", "29" ] ] }, "page" : "2510-23", "title" : "Astrocyte Resilience to Oxidative Stress Induced by Insulin-like Growth Factor I (IGF-I) Involves Preserved AKT (Protein Kinase B) Activity.", "type" : "article-journal", "volume" : "291" }, "uris" : [ "http://www.mendeley.com/documents/?uuid=f46d4255-04af-41f5-aafb-51f099500ab8" ] } ], "mendeley" : { "formattedCitation" : "(D\u00e1vila et al. 2016b)", "manualFormatting" : "(D\u00e1vila et al., 2016)", "plainTextFormattedCitation" : "(D\u00e1vila et al. 2016b)", "previouslyFormattedCitation" : "(D\u00e1vila et al. 2016b)" }, "properties" : { "noteIndex" : 0 }, "schema" : "https://github.com/citation-style-language/schema/raw/master/csl-citation.json" }</w:instrText>
      </w:r>
      <w:r w:rsidR="001A15F4">
        <w:rPr>
          <w:rFonts w:ascii="Times New Roman" w:hAnsi="Times New Roman" w:cs="Times New Roman"/>
        </w:rPr>
        <w:fldChar w:fldCharType="separate"/>
      </w:r>
      <w:r w:rsidR="000D1DD4">
        <w:rPr>
          <w:rFonts w:ascii="Times New Roman" w:hAnsi="Times New Roman" w:cs="Times New Roman"/>
          <w:noProof/>
        </w:rPr>
        <w:t>(Dávila et al., 2016</w:t>
      </w:r>
      <w:r w:rsidR="00970704" w:rsidRPr="00970704">
        <w:rPr>
          <w:rFonts w:ascii="Times New Roman" w:hAnsi="Times New Roman" w:cs="Times New Roman"/>
          <w:noProof/>
        </w:rPr>
        <w:t>)</w:t>
      </w:r>
      <w:r w:rsidR="001A15F4">
        <w:rPr>
          <w:rFonts w:ascii="Times New Roman" w:hAnsi="Times New Roman" w:cs="Times New Roman"/>
        </w:rPr>
        <w:fldChar w:fldCharType="end"/>
      </w:r>
      <w:r w:rsidR="001A15F4">
        <w:rPr>
          <w:rFonts w:ascii="Times New Roman" w:hAnsi="Times New Roman" w:cs="Times New Roman"/>
        </w:rPr>
        <w:t xml:space="preserve">.  </w:t>
      </w:r>
      <w:r w:rsidR="006762EF">
        <w:rPr>
          <w:rFonts w:ascii="Times New Roman" w:hAnsi="Times New Roman" w:cs="Times New Roman"/>
        </w:rPr>
        <w:t xml:space="preserve">The observation that loss of IGF1R affects the ability of astrocytes to protect against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 xml:space="preserve">2 </w:t>
      </w:r>
      <w:r w:rsidR="006762EF">
        <w:rPr>
          <w:rFonts w:ascii="Times New Roman" w:hAnsi="Times New Roman" w:cs="Times New Roman"/>
        </w:rPr>
        <w:t>may seem surprising since A</w:t>
      </w:r>
      <w:r w:rsidR="00AA5ADB">
        <w:rPr>
          <w:rFonts w:ascii="Times New Roman" w:hAnsi="Times New Roman" w:cs="Times New Roman"/>
        </w:rPr>
        <w:t>kt</w:t>
      </w:r>
      <w:r w:rsidR="006762EF">
        <w:rPr>
          <w:rFonts w:ascii="Times New Roman" w:hAnsi="Times New Roman" w:cs="Times New Roman"/>
        </w:rPr>
        <w:t xml:space="preserve"> is significantly upregulated by 72hr PME in monoculture. However,</w:t>
      </w:r>
      <w:r w:rsidR="003D3E3A">
        <w:rPr>
          <w:rFonts w:ascii="Times New Roman" w:hAnsi="Times New Roman" w:cs="Times New Roman"/>
        </w:rPr>
        <w:t xml:space="preserve"> there may already be</w:t>
      </w:r>
      <w:r w:rsidR="006762EF">
        <w:rPr>
          <w:rFonts w:ascii="Times New Roman" w:hAnsi="Times New Roman" w:cs="Times New Roman"/>
        </w:rPr>
        <w:t xml:space="preserve"> </w:t>
      </w:r>
      <w:r w:rsidR="00397A44">
        <w:rPr>
          <w:rFonts w:ascii="Times New Roman" w:hAnsi="Times New Roman" w:cs="Times New Roman"/>
        </w:rPr>
        <w:t>impairments</w:t>
      </w:r>
      <w:r w:rsidR="006762EF">
        <w:rPr>
          <w:rFonts w:ascii="Times New Roman" w:hAnsi="Times New Roman" w:cs="Times New Roman"/>
        </w:rPr>
        <w:t xml:space="preserve"> downstream in the pathway that are not reflected by this </w:t>
      </w:r>
      <w:r w:rsidR="00397A44">
        <w:rPr>
          <w:rFonts w:ascii="Times New Roman" w:hAnsi="Times New Roman" w:cs="Times New Roman"/>
        </w:rPr>
        <w:t xml:space="preserve">recovery in </w:t>
      </w:r>
      <w:r w:rsidR="006762EF">
        <w:rPr>
          <w:rFonts w:ascii="Times New Roman" w:hAnsi="Times New Roman" w:cs="Times New Roman"/>
        </w:rPr>
        <w:t>A</w:t>
      </w:r>
      <w:r w:rsidR="00AA5ADB">
        <w:rPr>
          <w:rFonts w:ascii="Times New Roman" w:hAnsi="Times New Roman" w:cs="Times New Roman"/>
        </w:rPr>
        <w:t>kt</w:t>
      </w:r>
      <w:r w:rsidR="006762EF">
        <w:rPr>
          <w:rFonts w:ascii="Times New Roman" w:hAnsi="Times New Roman" w:cs="Times New Roman"/>
        </w:rPr>
        <w:t xml:space="preserve"> phosphorylation</w:t>
      </w:r>
      <w:r w:rsidR="003D3E3A">
        <w:rPr>
          <w:rFonts w:ascii="Times New Roman" w:hAnsi="Times New Roman" w:cs="Times New Roman"/>
        </w:rPr>
        <w:t xml:space="preserve">, or the increase in </w:t>
      </w:r>
      <w:r w:rsidR="006762EF">
        <w:rPr>
          <w:rFonts w:ascii="Times New Roman" w:hAnsi="Times New Roman" w:cs="Times New Roman"/>
        </w:rPr>
        <w:t>A</w:t>
      </w:r>
      <w:r w:rsidR="00AA5ADB">
        <w:rPr>
          <w:rFonts w:ascii="Times New Roman" w:hAnsi="Times New Roman" w:cs="Times New Roman"/>
        </w:rPr>
        <w:t>kt</w:t>
      </w:r>
      <w:r w:rsidR="006762EF">
        <w:rPr>
          <w:rFonts w:ascii="Times New Roman" w:hAnsi="Times New Roman" w:cs="Times New Roman"/>
        </w:rPr>
        <w:t xml:space="preserve"> phosphorylation may in itself be </w:t>
      </w:r>
      <w:r w:rsidR="006C0A0E">
        <w:rPr>
          <w:rFonts w:ascii="Times New Roman" w:hAnsi="Times New Roman" w:cs="Times New Roman"/>
        </w:rPr>
        <w:t>detrimental</w:t>
      </w:r>
      <w:r w:rsidR="006762EF">
        <w:rPr>
          <w:rFonts w:ascii="Times New Roman" w:hAnsi="Times New Roman" w:cs="Times New Roman"/>
        </w:rPr>
        <w:t xml:space="preserve"> to</w:t>
      </w:r>
      <w:r w:rsidR="006C0A0E">
        <w:rPr>
          <w:rFonts w:ascii="Times New Roman" w:hAnsi="Times New Roman" w:cs="Times New Roman"/>
        </w:rPr>
        <w:t xml:space="preserve"> the astrocytes and an indicator that the astrocytes are </w:t>
      </w:r>
      <w:r w:rsidR="00397A44">
        <w:rPr>
          <w:rFonts w:ascii="Times New Roman" w:hAnsi="Times New Roman" w:cs="Times New Roman"/>
        </w:rPr>
        <w:t>working harder</w:t>
      </w:r>
      <w:r w:rsidR="006C0A0E">
        <w:rPr>
          <w:rFonts w:ascii="Times New Roman" w:hAnsi="Times New Roman" w:cs="Times New Roman"/>
        </w:rPr>
        <w:t xml:space="preserve"> to preserve function.</w:t>
      </w:r>
      <w:r w:rsidR="008C159D">
        <w:rPr>
          <w:rFonts w:ascii="Times New Roman" w:hAnsi="Times New Roman" w:cs="Times New Roman"/>
        </w:rPr>
        <w:t xml:space="preserve"> When faced with an additional insult</w:t>
      </w:r>
      <w:r w:rsidR="008D4E9F">
        <w:rPr>
          <w:rFonts w:ascii="Times New Roman" w:hAnsi="Times New Roman" w:cs="Times New Roman"/>
        </w:rPr>
        <w:t>, like</w:t>
      </w:r>
      <w:r w:rsidR="008C159D">
        <w:rPr>
          <w:rFonts w:ascii="Times New Roman" w:hAnsi="Times New Roman" w:cs="Times New Roman"/>
        </w:rPr>
        <w:t xml:space="preserve">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2</w:t>
      </w:r>
      <w:r w:rsidR="00397A44">
        <w:rPr>
          <w:rFonts w:ascii="Times New Roman" w:hAnsi="Times New Roman" w:cs="Times New Roman"/>
        </w:rPr>
        <w:t>, a system that may</w:t>
      </w:r>
      <w:r w:rsidR="008C159D">
        <w:rPr>
          <w:rFonts w:ascii="Times New Roman" w:hAnsi="Times New Roman" w:cs="Times New Roman"/>
        </w:rPr>
        <w:t xml:space="preserve"> alre</w:t>
      </w:r>
      <w:r w:rsidR="008D4E9F">
        <w:rPr>
          <w:rFonts w:ascii="Times New Roman" w:hAnsi="Times New Roman" w:cs="Times New Roman"/>
        </w:rPr>
        <w:t xml:space="preserve">ady </w:t>
      </w:r>
      <w:r w:rsidR="00397A44">
        <w:rPr>
          <w:rFonts w:ascii="Times New Roman" w:hAnsi="Times New Roman" w:cs="Times New Roman"/>
        </w:rPr>
        <w:t xml:space="preserve">be </w:t>
      </w:r>
      <w:r w:rsidR="003D3E3A">
        <w:rPr>
          <w:rFonts w:ascii="Times New Roman" w:hAnsi="Times New Roman" w:cs="Times New Roman"/>
        </w:rPr>
        <w:t>challenged</w:t>
      </w:r>
      <w:r w:rsidR="006A1975">
        <w:rPr>
          <w:rFonts w:ascii="Times New Roman" w:hAnsi="Times New Roman" w:cs="Times New Roman"/>
        </w:rPr>
        <w:t xml:space="preserve"> </w:t>
      </w:r>
      <w:r w:rsidR="003D3E3A">
        <w:rPr>
          <w:rFonts w:ascii="Times New Roman" w:hAnsi="Times New Roman" w:cs="Times New Roman"/>
        </w:rPr>
        <w:t>in</w:t>
      </w:r>
      <w:r w:rsidR="00FB47F0">
        <w:rPr>
          <w:rFonts w:ascii="Times New Roman" w:hAnsi="Times New Roman" w:cs="Times New Roman"/>
        </w:rPr>
        <w:t xml:space="preserve"> astrocytes may not operate </w:t>
      </w:r>
      <w:r w:rsidR="003D3E3A">
        <w:rPr>
          <w:rFonts w:ascii="Times New Roman" w:hAnsi="Times New Roman" w:cs="Times New Roman"/>
        </w:rPr>
        <w:t xml:space="preserve">effectively </w:t>
      </w:r>
      <w:r w:rsidR="00FB47F0">
        <w:rPr>
          <w:rFonts w:ascii="Times New Roman" w:hAnsi="Times New Roman" w:cs="Times New Roman"/>
        </w:rPr>
        <w:t>to deal with</w:t>
      </w:r>
      <w:r w:rsidR="003D3E3A">
        <w:rPr>
          <w:rFonts w:ascii="Times New Roman" w:hAnsi="Times New Roman" w:cs="Times New Roman"/>
        </w:rPr>
        <w:t xml:space="preserve"> any additional challenge</w:t>
      </w:r>
      <w:r w:rsidR="00FB47F0">
        <w:rPr>
          <w:rFonts w:ascii="Times New Roman" w:hAnsi="Times New Roman" w:cs="Times New Roman"/>
        </w:rPr>
        <w:t>. After this first challenge, the astrocyte</w:t>
      </w:r>
      <w:r w:rsidR="005F6086">
        <w:rPr>
          <w:rFonts w:ascii="Times New Roman" w:hAnsi="Times New Roman" w:cs="Times New Roman"/>
        </w:rPr>
        <w:t>s</w:t>
      </w:r>
      <w:r w:rsidR="00FB47F0">
        <w:rPr>
          <w:rFonts w:ascii="Times New Roman" w:hAnsi="Times New Roman" w:cs="Times New Roman"/>
        </w:rPr>
        <w:t xml:space="preserve"> may focus on compensating and restoring</w:t>
      </w:r>
      <w:r w:rsidR="00D825FA">
        <w:rPr>
          <w:rFonts w:ascii="Times New Roman" w:hAnsi="Times New Roman" w:cs="Times New Roman"/>
        </w:rPr>
        <w:t xml:space="preserve"> </w:t>
      </w:r>
      <w:r w:rsidR="00E6343A">
        <w:rPr>
          <w:rFonts w:ascii="Times New Roman" w:hAnsi="Times New Roman" w:cs="Times New Roman"/>
        </w:rPr>
        <w:t>their</w:t>
      </w:r>
      <w:r w:rsidR="00D825FA">
        <w:rPr>
          <w:rFonts w:ascii="Times New Roman" w:hAnsi="Times New Roman" w:cs="Times New Roman"/>
        </w:rPr>
        <w:t xml:space="preserve"> own</w:t>
      </w:r>
      <w:r w:rsidR="00FB47F0">
        <w:rPr>
          <w:rFonts w:ascii="Times New Roman" w:hAnsi="Times New Roman" w:cs="Times New Roman"/>
        </w:rPr>
        <w:t xml:space="preserve"> function, with</w:t>
      </w:r>
      <w:r w:rsidR="00D825FA">
        <w:rPr>
          <w:rFonts w:ascii="Times New Roman" w:hAnsi="Times New Roman" w:cs="Times New Roman"/>
        </w:rPr>
        <w:t xml:space="preserve"> a</w:t>
      </w:r>
      <w:r w:rsidR="00FB47F0">
        <w:rPr>
          <w:rFonts w:ascii="Times New Roman" w:hAnsi="Times New Roman" w:cs="Times New Roman"/>
        </w:rPr>
        <w:t xml:space="preserve"> lowered capacity </w:t>
      </w:r>
      <w:r w:rsidR="00D825FA">
        <w:rPr>
          <w:rFonts w:ascii="Times New Roman" w:hAnsi="Times New Roman" w:cs="Times New Roman"/>
        </w:rPr>
        <w:t xml:space="preserve">to </w:t>
      </w:r>
      <w:r w:rsidR="00E6343A">
        <w:rPr>
          <w:rFonts w:ascii="Times New Roman" w:hAnsi="Times New Roman" w:cs="Times New Roman"/>
        </w:rPr>
        <w:t>perform</w:t>
      </w:r>
      <w:r w:rsidR="00D825FA">
        <w:rPr>
          <w:rFonts w:ascii="Times New Roman" w:hAnsi="Times New Roman" w:cs="Times New Roman"/>
        </w:rPr>
        <w:t xml:space="preserve"> other roles, which include the support for other cell types. Hence, when the second insult is applied to the co-culture the astrocytes displ</w:t>
      </w:r>
      <w:r w:rsidR="00DB29CD">
        <w:rPr>
          <w:rFonts w:ascii="Times New Roman" w:hAnsi="Times New Roman" w:cs="Times New Roman"/>
        </w:rPr>
        <w:t>ay less support for</w:t>
      </w:r>
      <w:r w:rsidR="00E43F10">
        <w:rPr>
          <w:rFonts w:ascii="Times New Roman" w:hAnsi="Times New Roman" w:cs="Times New Roman"/>
        </w:rPr>
        <w:t xml:space="preserve"> neurons. </w:t>
      </w:r>
      <w:r w:rsidR="006C2F37">
        <w:rPr>
          <w:rFonts w:ascii="Times New Roman" w:hAnsi="Times New Roman" w:cs="Times New Roman"/>
        </w:rPr>
        <w:t>Thus impairments in the IGF1 signalling pathway may affect astrocy</w:t>
      </w:r>
      <w:r w:rsidR="00DB29CD">
        <w:rPr>
          <w:rFonts w:ascii="Times New Roman" w:hAnsi="Times New Roman" w:cs="Times New Roman"/>
        </w:rPr>
        <w:t>te “luxury function”, a</w:t>
      </w:r>
      <w:r w:rsidR="006C2F37">
        <w:rPr>
          <w:rFonts w:ascii="Times New Roman" w:hAnsi="Times New Roman" w:cs="Times New Roman"/>
        </w:rPr>
        <w:t xml:space="preserve"> phrase coined </w:t>
      </w:r>
      <w:r w:rsidR="00D86D4B">
        <w:rPr>
          <w:rFonts w:ascii="Times New Roman" w:hAnsi="Times New Roman" w:cs="Times New Roman"/>
        </w:rPr>
        <w:t xml:space="preserve">after murine neuroblastoma cells were treated with virus, which resulted in disturbance of </w:t>
      </w:r>
      <w:r w:rsidR="001A6606">
        <w:rPr>
          <w:rFonts w:ascii="Times New Roman" w:hAnsi="Times New Roman" w:cs="Times New Roman"/>
        </w:rPr>
        <w:t>differentiated or “luxury”</w:t>
      </w:r>
      <w:r w:rsidR="00D86D4B">
        <w:rPr>
          <w:rFonts w:ascii="Times New Roman" w:hAnsi="Times New Roman" w:cs="Times New Roman"/>
        </w:rPr>
        <w:t xml:space="preserve"> function without affecting the cell’s vital functions</w:t>
      </w:r>
      <w:r w:rsidR="00603CD6">
        <w:rPr>
          <w:rFonts w:ascii="Times New Roman" w:hAnsi="Times New Roman" w:cs="Times New Roman"/>
        </w:rPr>
        <w:t xml:space="preserve"> </w:t>
      </w:r>
      <w:r w:rsidR="00603CD6">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"10.1002/jcp.1040910316", "ISSN" : "0021-9541", "PMID" : "193868", "author" : [ { "dropping-particle" : "", "family" : "Oldstone", "given" : "M B", "non-dropping-particle" : "", "parse-names" : false, "suffix" : "" }, { "dropping-particle" : "", "family" : "Holmstoen", "given" : "J", "non-dropping-particle" : "", "parse-names" : false, "suffix" : "" }, { "dropping-particle" : "", "family" : "Welsh", "given" : "R M", "non-dropping-particle" : "", "parse-names" : false, "suffix" : "" } ], "container-title" : "Journal of cellular physiology", "id" : "ITEM-1", "issue" : "3", "issued" : { "date-parts" : [ [ "1977", "6" ] ] }, "page" : "459-72", "title" : "Alterations of acetylcholine enzymes in neuroblastoma cells persistently infected with lymphocytic choriomeningitis virus.", "type" : "article-journal", "volume" : "91" }, "uris" : [ "http://www.mendeley.com/documents/?uuid=d97e2824-eee4-408b-89e9-298ec0062893" ] } ], "mendeley" : { "formattedCitation" : "(Oldstone et al. 1977)", "plainTextFormattedCitation" : "(Oldstone et al. 1977)", "previouslyFormattedCitation" : "(Oldstone et al. 1977)" }, "properties" : { "noteIndex" : 0 }, "schema" : "https://github.com/citation-style-language/schema/raw/master/csl-citation.json" }</w:instrText>
      </w:r>
      <w:r w:rsidR="00603CD6">
        <w:rPr>
          <w:rFonts w:ascii="Times New Roman" w:hAnsi="Times New Roman" w:cs="Times New Roman"/>
        </w:rPr>
        <w:fldChar w:fldCharType="separate"/>
      </w:r>
      <w:r w:rsidR="00C148FC" w:rsidRPr="00C148FC">
        <w:rPr>
          <w:rFonts w:ascii="Times New Roman" w:hAnsi="Times New Roman" w:cs="Times New Roman"/>
          <w:noProof/>
        </w:rPr>
        <w:t>(Oldstone et al. 1977)</w:t>
      </w:r>
      <w:r w:rsidR="00603CD6">
        <w:rPr>
          <w:rFonts w:ascii="Times New Roman" w:hAnsi="Times New Roman" w:cs="Times New Roman"/>
        </w:rPr>
        <w:fldChar w:fldCharType="end"/>
      </w:r>
      <w:r w:rsidR="00D86D4B">
        <w:rPr>
          <w:rFonts w:ascii="Times New Roman" w:hAnsi="Times New Roman" w:cs="Times New Roman"/>
        </w:rPr>
        <w:t xml:space="preserve">. </w:t>
      </w:r>
    </w:p>
    <w:p w14:paraId="071A5DEC" w14:textId="33CE8A98" w:rsidR="001D2456" w:rsidRDefault="00EC63A7" w:rsidP="00585472">
      <w:pPr>
        <w:pStyle w:val="Heading2"/>
        <w:jc w:val="both"/>
      </w:pPr>
      <w:bookmarkStart w:id="1737" w:name="_Toc328301182"/>
      <w:bookmarkStart w:id="1738" w:name="_Toc329593473"/>
      <w:bookmarkStart w:id="1739" w:name="_Toc331425972"/>
      <w:bookmarkStart w:id="1740" w:name="_Toc331427153"/>
      <w:bookmarkStart w:id="1741" w:name="_Toc331427525"/>
      <w:bookmarkStart w:id="1742" w:name="_Toc331427667"/>
      <w:bookmarkStart w:id="1743" w:name="_Toc332972672"/>
      <w:bookmarkStart w:id="1744" w:name="_Toc333046951"/>
      <w:bookmarkStart w:id="1745" w:name="_Toc333477298"/>
      <w:bookmarkStart w:id="1746" w:name="_Toc333478068"/>
      <w:bookmarkStart w:id="1747" w:name="_Toc333644968"/>
      <w:r>
        <w:t>4.7</w:t>
      </w:r>
      <w:r w:rsidR="00F94933">
        <w:t xml:space="preserve"> </w:t>
      </w:r>
      <w:r w:rsidR="00E655BA">
        <w:t>Main conclusions</w:t>
      </w:r>
      <w:r w:rsidR="001D2456">
        <w:t>:</w:t>
      </w:r>
      <w:bookmarkEnd w:id="1737"/>
      <w:bookmarkEnd w:id="1738"/>
      <w:bookmarkEnd w:id="1739"/>
      <w:bookmarkEnd w:id="1740"/>
      <w:bookmarkEnd w:id="1741"/>
      <w:bookmarkEnd w:id="1742"/>
      <w:bookmarkEnd w:id="1743"/>
      <w:bookmarkEnd w:id="1744"/>
      <w:bookmarkEnd w:id="1745"/>
      <w:bookmarkEnd w:id="1746"/>
      <w:bookmarkEnd w:id="1747"/>
    </w:p>
    <w:p w14:paraId="0B312C31" w14:textId="77777777" w:rsidR="001D2456" w:rsidRDefault="001D2456" w:rsidP="00585472">
      <w:pPr>
        <w:spacing w:line="360" w:lineRule="auto"/>
        <w:jc w:val="both"/>
        <w:rPr>
          <w:rFonts w:ascii="Times New Roman" w:hAnsi="Times New Roman" w:cs="Times New Roman"/>
          <w:b/>
        </w:rPr>
      </w:pPr>
    </w:p>
    <w:p w14:paraId="787905C6" w14:textId="6DE73063" w:rsidR="001D2456" w:rsidRPr="00AC429E" w:rsidRDefault="001D2456" w:rsidP="00585472">
      <w:pPr>
        <w:pStyle w:val="ListParagraph"/>
        <w:numPr>
          <w:ilvl w:val="0"/>
          <w:numId w:val="3"/>
        </w:numPr>
        <w:jc w:val="both"/>
        <w:rPr>
          <w:rFonts w:ascii="Times New Roman" w:hAnsi="Times New Roman" w:cs="Times New Roman"/>
          <w:b/>
        </w:rPr>
      </w:pPr>
      <w:r>
        <w:rPr>
          <w:rFonts w:ascii="Times New Roman" w:hAnsi="Times New Roman" w:cs="Times New Roman"/>
        </w:rPr>
        <w:t>A</w:t>
      </w:r>
      <w:r w:rsidR="003C05AD">
        <w:rPr>
          <w:rFonts w:ascii="Times New Roman" w:hAnsi="Times New Roman" w:cs="Times New Roman"/>
        </w:rPr>
        <w:t xml:space="preserve"> unique</w:t>
      </w:r>
      <w:r>
        <w:rPr>
          <w:rFonts w:ascii="Times New Roman" w:hAnsi="Times New Roman" w:cs="Times New Roman"/>
        </w:rPr>
        <w:t xml:space="preserve"> co-culture</w:t>
      </w:r>
      <w:r w:rsidR="00F847E8">
        <w:rPr>
          <w:rFonts w:ascii="Times New Roman" w:hAnsi="Times New Roman" w:cs="Times New Roman"/>
        </w:rPr>
        <w:t xml:space="preserve"> system</w:t>
      </w:r>
      <w:r>
        <w:rPr>
          <w:rFonts w:ascii="Times New Roman" w:hAnsi="Times New Roman" w:cs="Times New Roman"/>
        </w:rPr>
        <w:t xml:space="preserve"> of human </w:t>
      </w:r>
      <w:r w:rsidR="00544D6F">
        <w:rPr>
          <w:rFonts w:ascii="Times New Roman" w:hAnsi="Times New Roman" w:cs="Times New Roman"/>
        </w:rPr>
        <w:t xml:space="preserve">ScienCell </w:t>
      </w:r>
      <w:r w:rsidR="003A4038">
        <w:rPr>
          <w:rFonts w:ascii="Times New Roman" w:hAnsi="Times New Roman" w:cs="Times New Roman"/>
        </w:rPr>
        <w:t>astrocytes and LUHMES w</w:t>
      </w:r>
      <w:r>
        <w:rPr>
          <w:rFonts w:ascii="Times New Roman" w:hAnsi="Times New Roman" w:cs="Times New Roman"/>
        </w:rPr>
        <w:t>as established</w:t>
      </w:r>
      <w:r w:rsidR="003C05AD">
        <w:rPr>
          <w:rFonts w:ascii="Times New Roman" w:hAnsi="Times New Roman" w:cs="Times New Roman"/>
        </w:rPr>
        <w:t>.</w:t>
      </w:r>
    </w:p>
    <w:p w14:paraId="5FD948DE" w14:textId="6D8699C2" w:rsidR="00AC429E" w:rsidRPr="00AC429E" w:rsidRDefault="00AC429E" w:rsidP="00585472">
      <w:pPr>
        <w:pStyle w:val="ListParagraph"/>
        <w:numPr>
          <w:ilvl w:val="0"/>
          <w:numId w:val="3"/>
        </w:numPr>
        <w:jc w:val="both"/>
        <w:rPr>
          <w:rFonts w:ascii="Times New Roman" w:hAnsi="Times New Roman" w:cs="Times New Roman"/>
          <w:b/>
        </w:rPr>
      </w:pPr>
      <w:r>
        <w:rPr>
          <w:rFonts w:ascii="Times New Roman" w:hAnsi="Times New Roman" w:cs="Times New Roman"/>
        </w:rPr>
        <w:t xml:space="preserve">LUHMES can stably express GFP </w:t>
      </w:r>
      <w:r w:rsidR="00DB29CD">
        <w:rPr>
          <w:rFonts w:ascii="Times New Roman" w:hAnsi="Times New Roman" w:cs="Times New Roman"/>
        </w:rPr>
        <w:t>following lentiviral transduction.</w:t>
      </w:r>
    </w:p>
    <w:p w14:paraId="523803BD" w14:textId="5A4586DA" w:rsidR="001D2456" w:rsidRPr="001D2456" w:rsidRDefault="00DB29CD" w:rsidP="00585472">
      <w:pPr>
        <w:pStyle w:val="ListParagraph"/>
        <w:numPr>
          <w:ilvl w:val="0"/>
          <w:numId w:val="3"/>
        </w:numPr>
        <w:jc w:val="both"/>
        <w:rPr>
          <w:rFonts w:ascii="Times New Roman" w:hAnsi="Times New Roman" w:cs="Times New Roman"/>
          <w:b/>
        </w:rPr>
      </w:pPr>
      <w:r>
        <w:rPr>
          <w:rFonts w:ascii="Times New Roman" w:hAnsi="Times New Roman" w:cs="Times New Roman"/>
        </w:rPr>
        <w:t xml:space="preserve">Redistribution of astrocytic proteins, GFAP and Cx43, was observed in astrocytes in close proximity </w:t>
      </w:r>
      <w:r w:rsidR="003A4038">
        <w:rPr>
          <w:rFonts w:ascii="Times New Roman" w:hAnsi="Times New Roman" w:cs="Times New Roman"/>
        </w:rPr>
        <w:t>to</w:t>
      </w:r>
      <w:r>
        <w:rPr>
          <w:rFonts w:ascii="Times New Roman" w:hAnsi="Times New Roman" w:cs="Times New Roman"/>
        </w:rPr>
        <w:t xml:space="preserve"> neuronal networks. </w:t>
      </w:r>
    </w:p>
    <w:p w14:paraId="1036B9B2" w14:textId="550BC549" w:rsidR="001D2456" w:rsidRPr="001D2456" w:rsidRDefault="001D2456" w:rsidP="00585472">
      <w:pPr>
        <w:pStyle w:val="ListParagraph"/>
        <w:numPr>
          <w:ilvl w:val="0"/>
          <w:numId w:val="3"/>
        </w:numPr>
        <w:jc w:val="both"/>
        <w:rPr>
          <w:rFonts w:ascii="Times New Roman" w:hAnsi="Times New Roman" w:cs="Times New Roman"/>
          <w:b/>
        </w:rPr>
      </w:pPr>
      <w:r>
        <w:rPr>
          <w:rFonts w:ascii="Times New Roman" w:hAnsi="Times New Roman" w:cs="Times New Roman"/>
        </w:rPr>
        <w:t>Astrocytes prolong the survival of LUHMES</w:t>
      </w:r>
      <w:r w:rsidR="00D03A33">
        <w:rPr>
          <w:rFonts w:ascii="Times New Roman" w:hAnsi="Times New Roman" w:cs="Times New Roman"/>
        </w:rPr>
        <w:t xml:space="preserve"> but loss of IGF1R does not </w:t>
      </w:r>
      <w:r w:rsidR="00DB29CD">
        <w:rPr>
          <w:rFonts w:ascii="Times New Roman" w:hAnsi="Times New Roman" w:cs="Times New Roman"/>
        </w:rPr>
        <w:t xml:space="preserve">appear to </w:t>
      </w:r>
      <w:r w:rsidR="00D03A33">
        <w:rPr>
          <w:rFonts w:ascii="Times New Roman" w:hAnsi="Times New Roman" w:cs="Times New Roman"/>
        </w:rPr>
        <w:t xml:space="preserve">affect </w:t>
      </w:r>
      <w:r w:rsidR="00DB29CD">
        <w:rPr>
          <w:rFonts w:ascii="Times New Roman" w:hAnsi="Times New Roman" w:cs="Times New Roman"/>
        </w:rPr>
        <w:t>neuronal network formation</w:t>
      </w:r>
      <w:r w:rsidR="003C05AD">
        <w:rPr>
          <w:rFonts w:ascii="Times New Roman" w:hAnsi="Times New Roman" w:cs="Times New Roman"/>
        </w:rPr>
        <w:t>.</w:t>
      </w:r>
    </w:p>
    <w:p w14:paraId="77634C4F" w14:textId="6F4F48BA" w:rsidR="001D2456" w:rsidRPr="001D2456" w:rsidRDefault="001D2456" w:rsidP="00585472">
      <w:pPr>
        <w:pStyle w:val="ListParagraph"/>
        <w:numPr>
          <w:ilvl w:val="0"/>
          <w:numId w:val="3"/>
        </w:numPr>
        <w:jc w:val="both"/>
        <w:rPr>
          <w:rFonts w:ascii="Times New Roman" w:hAnsi="Times New Roman" w:cs="Times New Roman"/>
          <w:b/>
        </w:rPr>
      </w:pPr>
      <w:r>
        <w:rPr>
          <w:rFonts w:ascii="Times New Roman" w:hAnsi="Times New Roman" w:cs="Times New Roman"/>
        </w:rPr>
        <w:t>Astrocytes enhance neurite outgrowth</w:t>
      </w:r>
      <w:r w:rsidR="00DB29CD">
        <w:rPr>
          <w:rFonts w:ascii="Times New Roman" w:hAnsi="Times New Roman" w:cs="Times New Roman"/>
        </w:rPr>
        <w:t xml:space="preserve"> in a contact-dependent manner</w:t>
      </w:r>
      <w:r w:rsidR="003C05AD">
        <w:rPr>
          <w:rFonts w:ascii="Times New Roman" w:hAnsi="Times New Roman" w:cs="Times New Roman"/>
        </w:rPr>
        <w:t>.</w:t>
      </w:r>
    </w:p>
    <w:p w14:paraId="3FC620AF" w14:textId="5F58D5E1" w:rsidR="001D2456" w:rsidRPr="001D2456" w:rsidRDefault="001D2456" w:rsidP="00585472">
      <w:pPr>
        <w:pStyle w:val="ListParagraph"/>
        <w:numPr>
          <w:ilvl w:val="0"/>
          <w:numId w:val="3"/>
        </w:numPr>
        <w:jc w:val="both"/>
        <w:rPr>
          <w:rFonts w:ascii="Times New Roman" w:hAnsi="Times New Roman" w:cs="Times New Roman"/>
          <w:b/>
        </w:rPr>
      </w:pPr>
      <w:r>
        <w:rPr>
          <w:rFonts w:ascii="Times New Roman" w:hAnsi="Times New Roman" w:cs="Times New Roman"/>
        </w:rPr>
        <w:t>Loss o</w:t>
      </w:r>
      <w:r w:rsidR="00972275">
        <w:rPr>
          <w:rFonts w:ascii="Times New Roman" w:hAnsi="Times New Roman" w:cs="Times New Roman"/>
        </w:rPr>
        <w:t>f IGF1R in astrocytes does not a</w:t>
      </w:r>
      <w:r>
        <w:rPr>
          <w:rFonts w:ascii="Times New Roman" w:hAnsi="Times New Roman" w:cs="Times New Roman"/>
        </w:rPr>
        <w:t xml:space="preserve">ffect </w:t>
      </w:r>
      <w:r w:rsidR="00DB29CD">
        <w:rPr>
          <w:rFonts w:ascii="Times New Roman" w:hAnsi="Times New Roman" w:cs="Times New Roman"/>
        </w:rPr>
        <w:t xml:space="preserve">support for </w:t>
      </w:r>
      <w:r>
        <w:rPr>
          <w:rFonts w:ascii="Times New Roman" w:hAnsi="Times New Roman" w:cs="Times New Roman"/>
        </w:rPr>
        <w:t>neurite outgrowth</w:t>
      </w:r>
      <w:r w:rsidR="00DB29CD">
        <w:rPr>
          <w:rFonts w:ascii="Times New Roman" w:hAnsi="Times New Roman" w:cs="Times New Roman"/>
        </w:rPr>
        <w:t>.</w:t>
      </w:r>
    </w:p>
    <w:p w14:paraId="5A18209A" w14:textId="20426369" w:rsidR="001D2456" w:rsidRPr="008E0723" w:rsidRDefault="00DB29CD" w:rsidP="00585472">
      <w:pPr>
        <w:pStyle w:val="ListParagraph"/>
        <w:numPr>
          <w:ilvl w:val="0"/>
          <w:numId w:val="3"/>
        </w:numPr>
        <w:jc w:val="both"/>
        <w:rPr>
          <w:rFonts w:ascii="Times New Roman" w:hAnsi="Times New Roman" w:cs="Times New Roman"/>
          <w:b/>
        </w:rPr>
      </w:pPr>
      <w:r>
        <w:rPr>
          <w:rFonts w:ascii="Times New Roman" w:hAnsi="Times New Roman" w:cs="Times New Roman"/>
        </w:rPr>
        <w:t>Temporary</w:t>
      </w:r>
      <w:r w:rsidR="00284E96">
        <w:rPr>
          <w:rFonts w:ascii="Times New Roman" w:hAnsi="Times New Roman" w:cs="Times New Roman"/>
        </w:rPr>
        <w:t xml:space="preserve"> impairment in Akt</w:t>
      </w:r>
      <w:r w:rsidR="001D2456">
        <w:rPr>
          <w:rFonts w:ascii="Times New Roman" w:hAnsi="Times New Roman" w:cs="Times New Roman"/>
        </w:rPr>
        <w:t xml:space="preserve"> signalling reduces astrocytic support for neurite outgrowth</w:t>
      </w:r>
      <w:r>
        <w:rPr>
          <w:rFonts w:ascii="Times New Roman" w:hAnsi="Times New Roman" w:cs="Times New Roman"/>
        </w:rPr>
        <w:t>.</w:t>
      </w:r>
    </w:p>
    <w:p w14:paraId="23F539D5" w14:textId="0B77F169" w:rsidR="001D2456" w:rsidRPr="00B43F00" w:rsidRDefault="00DB29CD" w:rsidP="00585472">
      <w:pPr>
        <w:pStyle w:val="ListParagraph"/>
        <w:numPr>
          <w:ilvl w:val="0"/>
          <w:numId w:val="3"/>
        </w:numPr>
        <w:jc w:val="both"/>
        <w:rPr>
          <w:rFonts w:ascii="Times New Roman" w:hAnsi="Times New Roman" w:cs="Times New Roman"/>
          <w:b/>
        </w:rPr>
      </w:pPr>
      <w:r>
        <w:rPr>
          <w:rFonts w:ascii="Times New Roman" w:hAnsi="Times New Roman" w:cs="Times New Roman"/>
        </w:rPr>
        <w:t>Astrocytes protect</w:t>
      </w:r>
      <w:r w:rsidR="00B43F00">
        <w:rPr>
          <w:rFonts w:ascii="Times New Roman" w:hAnsi="Times New Roman" w:cs="Times New Roman"/>
        </w:rPr>
        <w:t xml:space="preserve"> LUHMES from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 xml:space="preserve">2 </w:t>
      </w:r>
      <w:r w:rsidR="00B43F00">
        <w:rPr>
          <w:rFonts w:ascii="Times New Roman" w:hAnsi="Times New Roman" w:cs="Times New Roman"/>
        </w:rPr>
        <w:t>induced oxidative stress</w:t>
      </w:r>
    </w:p>
    <w:p w14:paraId="187F4470" w14:textId="0BA17F34" w:rsidR="00B43F00" w:rsidRPr="001D2456" w:rsidRDefault="00DB29CD" w:rsidP="00585472">
      <w:pPr>
        <w:pStyle w:val="ListParagraph"/>
        <w:numPr>
          <w:ilvl w:val="0"/>
          <w:numId w:val="3"/>
        </w:numPr>
        <w:jc w:val="both"/>
        <w:rPr>
          <w:rFonts w:ascii="Times New Roman" w:hAnsi="Times New Roman" w:cs="Times New Roman"/>
          <w:b/>
        </w:rPr>
      </w:pPr>
      <w:r>
        <w:rPr>
          <w:rFonts w:ascii="Times New Roman" w:hAnsi="Times New Roman" w:cs="Times New Roman"/>
        </w:rPr>
        <w:t xml:space="preserve">Loss of </w:t>
      </w:r>
      <w:r w:rsidR="00B43F00">
        <w:rPr>
          <w:rFonts w:ascii="Times New Roman" w:hAnsi="Times New Roman" w:cs="Times New Roman"/>
        </w:rPr>
        <w:t xml:space="preserve">IGF1R </w:t>
      </w:r>
      <w:r w:rsidR="00F847E8">
        <w:rPr>
          <w:rFonts w:ascii="Times New Roman" w:hAnsi="Times New Roman" w:cs="Times New Roman"/>
        </w:rPr>
        <w:t xml:space="preserve">expression </w:t>
      </w:r>
      <w:r w:rsidR="00B43F00">
        <w:rPr>
          <w:rFonts w:ascii="Times New Roman" w:hAnsi="Times New Roman" w:cs="Times New Roman"/>
        </w:rPr>
        <w:t xml:space="preserve">in astrocytes </w:t>
      </w:r>
      <w:r>
        <w:rPr>
          <w:rFonts w:ascii="Times New Roman" w:hAnsi="Times New Roman" w:cs="Times New Roman"/>
        </w:rPr>
        <w:t xml:space="preserve">impairs neuroprotection under additional challenge with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2</w:t>
      </w:r>
    </w:p>
    <w:p w14:paraId="1991DDCF" w14:textId="77777777" w:rsidR="001D2456" w:rsidRDefault="001D2456" w:rsidP="00C63BC1">
      <w:pPr>
        <w:jc w:val="both"/>
        <w:rPr>
          <w:rFonts w:ascii="Times New Roman" w:hAnsi="Times New Roman" w:cs="Times New Roman"/>
          <w:b/>
        </w:rPr>
      </w:pPr>
    </w:p>
    <w:p w14:paraId="48A4947B" w14:textId="77777777" w:rsidR="001D2456" w:rsidRDefault="001D2456" w:rsidP="001D2456">
      <w:pPr>
        <w:rPr>
          <w:rFonts w:ascii="Times New Roman" w:hAnsi="Times New Roman" w:cs="Times New Roman"/>
          <w:b/>
        </w:rPr>
      </w:pPr>
    </w:p>
    <w:p w14:paraId="6CE1204D" w14:textId="77777777" w:rsidR="001D2456" w:rsidRDefault="001D2456" w:rsidP="001D2456">
      <w:pPr>
        <w:rPr>
          <w:rFonts w:ascii="Times New Roman" w:hAnsi="Times New Roman" w:cs="Times New Roman"/>
          <w:b/>
        </w:rPr>
      </w:pPr>
    </w:p>
    <w:p w14:paraId="13A12036" w14:textId="77777777" w:rsidR="001D2456" w:rsidRDefault="001D2456" w:rsidP="001D2456">
      <w:pPr>
        <w:rPr>
          <w:rFonts w:ascii="Times New Roman" w:hAnsi="Times New Roman" w:cs="Times New Roman"/>
          <w:b/>
        </w:rPr>
      </w:pPr>
    </w:p>
    <w:p w14:paraId="275D835F" w14:textId="77777777" w:rsidR="001D2456" w:rsidRDefault="001D2456" w:rsidP="001D2456">
      <w:pPr>
        <w:rPr>
          <w:rFonts w:ascii="Times New Roman" w:hAnsi="Times New Roman" w:cs="Times New Roman"/>
          <w:b/>
        </w:rPr>
      </w:pPr>
    </w:p>
    <w:p w14:paraId="7981A2FB" w14:textId="77777777" w:rsidR="001919D5" w:rsidRDefault="001919D5" w:rsidP="00732E1D">
      <w:pPr>
        <w:rPr>
          <w:rFonts w:ascii="Times New Roman" w:hAnsi="Times New Roman" w:cs="Times New Roman"/>
          <w:b/>
          <w:sz w:val="40"/>
          <w:szCs w:val="40"/>
        </w:rPr>
      </w:pPr>
    </w:p>
    <w:p w14:paraId="4D999B4C" w14:textId="77777777" w:rsidR="004C1CF7" w:rsidRDefault="004C1CF7" w:rsidP="00732E1D">
      <w:pPr>
        <w:rPr>
          <w:rFonts w:ascii="Times New Roman" w:hAnsi="Times New Roman" w:cs="Times New Roman"/>
          <w:b/>
          <w:sz w:val="40"/>
          <w:szCs w:val="40"/>
        </w:rPr>
      </w:pPr>
    </w:p>
    <w:p w14:paraId="18E78F4C" w14:textId="77777777" w:rsidR="004C1CF7" w:rsidRDefault="004C1CF7" w:rsidP="00732E1D">
      <w:pPr>
        <w:rPr>
          <w:rFonts w:ascii="Times New Roman" w:hAnsi="Times New Roman" w:cs="Times New Roman"/>
          <w:b/>
          <w:sz w:val="40"/>
          <w:szCs w:val="40"/>
        </w:rPr>
      </w:pPr>
    </w:p>
    <w:p w14:paraId="264CB5FD" w14:textId="41231D7B" w:rsidR="003776BA" w:rsidRDefault="003776BA" w:rsidP="00395B55">
      <w:pPr>
        <w:pStyle w:val="Heading1"/>
        <w:rPr>
          <w:rFonts w:eastAsiaTheme="minorEastAsia"/>
          <w:bCs w:val="0"/>
          <w:sz w:val="40"/>
          <w:szCs w:val="40"/>
          <w:u w:val="none"/>
          <w:lang w:val="en-US"/>
        </w:rPr>
      </w:pPr>
      <w:bookmarkStart w:id="1748" w:name="_Toc328301183"/>
      <w:bookmarkStart w:id="1749" w:name="_Toc329593474"/>
      <w:bookmarkStart w:id="1750" w:name="_Toc331425973"/>
      <w:bookmarkStart w:id="1751" w:name="_Toc331427154"/>
      <w:bookmarkStart w:id="1752" w:name="_Toc331427526"/>
      <w:bookmarkStart w:id="1753" w:name="_Toc331427668"/>
      <w:bookmarkStart w:id="1754" w:name="_Toc332972673"/>
      <w:bookmarkStart w:id="1755" w:name="_Toc333046952"/>
      <w:bookmarkStart w:id="1756" w:name="_Toc333477299"/>
      <w:bookmarkStart w:id="1757" w:name="_Toc333478069"/>
    </w:p>
    <w:p w14:paraId="7B2EBCD7" w14:textId="77777777" w:rsidR="003776BA" w:rsidRDefault="003776BA" w:rsidP="003776BA"/>
    <w:p w14:paraId="4B0F770C" w14:textId="77777777" w:rsidR="003776BA" w:rsidRDefault="003776BA" w:rsidP="003776BA"/>
    <w:p w14:paraId="2B56D36A" w14:textId="77777777" w:rsidR="003776BA" w:rsidRDefault="003776BA" w:rsidP="003776BA"/>
    <w:p w14:paraId="3CF94AFF" w14:textId="77777777" w:rsidR="003776BA" w:rsidRPr="003776BA" w:rsidRDefault="003776BA" w:rsidP="003776BA"/>
    <w:p w14:paraId="1A2897DF" w14:textId="30FED44A" w:rsidR="001704A3" w:rsidRPr="00AA3E4D" w:rsidRDefault="003776BA" w:rsidP="00395B55">
      <w:pPr>
        <w:pStyle w:val="Heading1"/>
      </w:pPr>
      <w:r>
        <w:rPr>
          <w:u w:val="none"/>
        </w:rPr>
        <w:t xml:space="preserve">                                      </w:t>
      </w:r>
      <w:bookmarkStart w:id="1758" w:name="_Toc333644969"/>
      <w:r w:rsidR="00712FD1" w:rsidRPr="00AA3E4D">
        <w:t>Chapter 5</w:t>
      </w:r>
      <w:bookmarkEnd w:id="1748"/>
      <w:bookmarkEnd w:id="1749"/>
      <w:bookmarkEnd w:id="1750"/>
      <w:bookmarkEnd w:id="1751"/>
      <w:bookmarkEnd w:id="1752"/>
      <w:bookmarkEnd w:id="1753"/>
      <w:bookmarkEnd w:id="1754"/>
      <w:bookmarkEnd w:id="1755"/>
      <w:bookmarkEnd w:id="1756"/>
      <w:bookmarkEnd w:id="1757"/>
      <w:bookmarkEnd w:id="1758"/>
    </w:p>
    <w:p w14:paraId="30D26724" w14:textId="762463F8" w:rsidR="00732E1D" w:rsidRPr="002A2242" w:rsidRDefault="009E5564" w:rsidP="00395B55">
      <w:pPr>
        <w:pStyle w:val="Heading1"/>
        <w:jc w:val="center"/>
        <w:rPr>
          <w:sz w:val="32"/>
          <w:szCs w:val="32"/>
          <w:u w:val="none"/>
        </w:rPr>
      </w:pPr>
      <w:bookmarkStart w:id="1759" w:name="_Toc331425974"/>
      <w:bookmarkStart w:id="1760" w:name="_Toc331427155"/>
      <w:bookmarkStart w:id="1761" w:name="_Toc331427527"/>
      <w:bookmarkStart w:id="1762" w:name="_Toc331427669"/>
      <w:bookmarkStart w:id="1763" w:name="_Toc332972674"/>
      <w:bookmarkStart w:id="1764" w:name="_Toc333046953"/>
      <w:bookmarkStart w:id="1765" w:name="_Toc333477300"/>
      <w:bookmarkStart w:id="1766" w:name="_Toc333478070"/>
      <w:bookmarkStart w:id="1767" w:name="_Toc333644970"/>
      <w:bookmarkStart w:id="1768" w:name="_Toc328301184"/>
      <w:bookmarkStart w:id="1769" w:name="_Toc329593475"/>
      <w:r w:rsidRPr="002A2242">
        <w:rPr>
          <w:sz w:val="32"/>
          <w:szCs w:val="32"/>
          <w:u w:val="none"/>
        </w:rPr>
        <w:t xml:space="preserve">Gene expression profiling of IGF1 </w:t>
      </w:r>
      <w:r w:rsidR="00086871">
        <w:rPr>
          <w:sz w:val="32"/>
          <w:szCs w:val="32"/>
          <w:u w:val="none"/>
        </w:rPr>
        <w:t xml:space="preserve">signalling </w:t>
      </w:r>
      <w:r w:rsidRPr="002A2242">
        <w:rPr>
          <w:sz w:val="32"/>
          <w:szCs w:val="32"/>
          <w:u w:val="none"/>
        </w:rPr>
        <w:t>impaired astrocytes</w:t>
      </w:r>
      <w:bookmarkEnd w:id="1759"/>
      <w:bookmarkEnd w:id="1760"/>
      <w:bookmarkEnd w:id="1761"/>
      <w:bookmarkEnd w:id="1762"/>
      <w:bookmarkEnd w:id="1763"/>
      <w:bookmarkEnd w:id="1764"/>
      <w:bookmarkEnd w:id="1765"/>
      <w:bookmarkEnd w:id="1766"/>
      <w:bookmarkEnd w:id="1767"/>
      <w:r w:rsidRPr="002A2242">
        <w:rPr>
          <w:sz w:val="32"/>
          <w:szCs w:val="32"/>
          <w:u w:val="none"/>
        </w:rPr>
        <w:t xml:space="preserve"> </w:t>
      </w:r>
      <w:bookmarkEnd w:id="1768"/>
      <w:bookmarkEnd w:id="1769"/>
    </w:p>
    <w:p w14:paraId="017CCEC4" w14:textId="77777777" w:rsidR="00C42B3C" w:rsidRDefault="00C42B3C">
      <w:pPr>
        <w:rPr>
          <w:rFonts w:ascii="Times New Roman" w:hAnsi="Times New Roman" w:cs="Times New Roman"/>
          <w:b/>
        </w:rPr>
      </w:pPr>
    </w:p>
    <w:p w14:paraId="7F60C6BB" w14:textId="4CD36E17" w:rsidR="009E5564" w:rsidRPr="00AA3E4D" w:rsidRDefault="00010285" w:rsidP="00395B55">
      <w:pPr>
        <w:pStyle w:val="Heading2"/>
      </w:pPr>
      <w:bookmarkStart w:id="1770" w:name="_Toc328301185"/>
      <w:bookmarkStart w:id="1771" w:name="_Toc329593476"/>
      <w:bookmarkStart w:id="1772" w:name="_Toc331425975"/>
      <w:bookmarkStart w:id="1773" w:name="_Toc331427156"/>
      <w:bookmarkStart w:id="1774" w:name="_Toc331427528"/>
      <w:bookmarkStart w:id="1775" w:name="_Toc331427670"/>
      <w:bookmarkStart w:id="1776" w:name="_Toc332972675"/>
      <w:bookmarkStart w:id="1777" w:name="_Toc333046954"/>
      <w:bookmarkStart w:id="1778" w:name="_Toc333477301"/>
      <w:bookmarkStart w:id="1779" w:name="_Toc333478071"/>
      <w:bookmarkStart w:id="1780" w:name="_Toc333644971"/>
      <w:r w:rsidRPr="00AA3E4D">
        <w:t xml:space="preserve">5.1 </w:t>
      </w:r>
      <w:r w:rsidR="009E5564" w:rsidRPr="00AA3E4D">
        <w:t>Introduction</w:t>
      </w:r>
      <w:bookmarkEnd w:id="1770"/>
      <w:bookmarkEnd w:id="1771"/>
      <w:bookmarkEnd w:id="1772"/>
      <w:bookmarkEnd w:id="1773"/>
      <w:bookmarkEnd w:id="1774"/>
      <w:bookmarkEnd w:id="1775"/>
      <w:bookmarkEnd w:id="1776"/>
      <w:bookmarkEnd w:id="1777"/>
      <w:bookmarkEnd w:id="1778"/>
      <w:bookmarkEnd w:id="1779"/>
      <w:bookmarkEnd w:id="1780"/>
    </w:p>
    <w:p w14:paraId="409EE219" w14:textId="77777777" w:rsidR="009E5564" w:rsidRDefault="009E5564">
      <w:pPr>
        <w:rPr>
          <w:rFonts w:ascii="Times New Roman" w:hAnsi="Times New Roman" w:cs="Times New Roman"/>
          <w:sz w:val="32"/>
          <w:szCs w:val="32"/>
        </w:rPr>
      </w:pPr>
    </w:p>
    <w:p w14:paraId="4A8FE0B8" w14:textId="1AB69D3A" w:rsidR="00601064" w:rsidRDefault="00D96D4E" w:rsidP="00C63BC1">
      <w:pPr>
        <w:spacing w:line="360" w:lineRule="auto"/>
        <w:jc w:val="both"/>
        <w:rPr>
          <w:rFonts w:ascii="Times New Roman" w:hAnsi="Times New Roman" w:cs="Times New Roman"/>
        </w:rPr>
      </w:pPr>
      <w:r>
        <w:rPr>
          <w:rFonts w:ascii="Times New Roman" w:hAnsi="Times New Roman" w:cs="Times New Roman"/>
        </w:rPr>
        <w:t xml:space="preserve">The </w:t>
      </w:r>
      <w:r w:rsidR="003A4038">
        <w:rPr>
          <w:rFonts w:ascii="Times New Roman" w:hAnsi="Times New Roman" w:cs="Times New Roman"/>
        </w:rPr>
        <w:t>work in chapter 4</w:t>
      </w:r>
      <w:r w:rsidR="00E42947">
        <w:rPr>
          <w:rFonts w:ascii="Times New Roman" w:hAnsi="Times New Roman" w:cs="Times New Roman"/>
        </w:rPr>
        <w:t xml:space="preserve"> suggested that </w:t>
      </w:r>
      <w:r>
        <w:rPr>
          <w:rFonts w:ascii="Times New Roman" w:hAnsi="Times New Roman" w:cs="Times New Roman"/>
        </w:rPr>
        <w:t xml:space="preserve">astrocytes </w:t>
      </w:r>
      <w:r w:rsidR="00E42947">
        <w:rPr>
          <w:rFonts w:ascii="Times New Roman" w:hAnsi="Times New Roman" w:cs="Times New Roman"/>
        </w:rPr>
        <w:t>with impaired IGF1 signalling</w:t>
      </w:r>
      <w:r>
        <w:rPr>
          <w:rFonts w:ascii="Times New Roman" w:hAnsi="Times New Roman" w:cs="Times New Roman"/>
        </w:rPr>
        <w:t xml:space="preserve"> are unable to effectively protect neurons from oxidative stress. This chapter aims to identify possible mechanisms </w:t>
      </w:r>
      <w:r w:rsidR="00E42947">
        <w:rPr>
          <w:rFonts w:ascii="Times New Roman" w:hAnsi="Times New Roman" w:cs="Times New Roman"/>
        </w:rPr>
        <w:t>and/</w:t>
      </w:r>
      <w:r>
        <w:rPr>
          <w:rFonts w:ascii="Times New Roman" w:hAnsi="Times New Roman" w:cs="Times New Roman"/>
        </w:rPr>
        <w:t xml:space="preserve">or pathways altered in IGF1 signalling impaired astrocytes </w:t>
      </w:r>
      <w:r w:rsidR="00E42947">
        <w:rPr>
          <w:rFonts w:ascii="Times New Roman" w:hAnsi="Times New Roman" w:cs="Times New Roman"/>
        </w:rPr>
        <w:t>which might</w:t>
      </w:r>
      <w:r>
        <w:rPr>
          <w:rFonts w:ascii="Times New Roman" w:hAnsi="Times New Roman" w:cs="Times New Roman"/>
        </w:rPr>
        <w:t xml:space="preserve"> explain reduced neuronal support under conditions of oxidative stress using microarray profiling. </w:t>
      </w:r>
      <w:r w:rsidR="00B47514">
        <w:rPr>
          <w:rFonts w:ascii="Times New Roman" w:hAnsi="Times New Roman" w:cs="Times New Roman"/>
        </w:rPr>
        <w:t>Microarray profiling is a</w:t>
      </w:r>
      <w:r w:rsidR="00882F98">
        <w:rPr>
          <w:rFonts w:ascii="Times New Roman" w:hAnsi="Times New Roman" w:cs="Times New Roman"/>
        </w:rPr>
        <w:t>n experimental</w:t>
      </w:r>
      <w:r>
        <w:rPr>
          <w:rFonts w:ascii="Times New Roman" w:hAnsi="Times New Roman" w:cs="Times New Roman"/>
        </w:rPr>
        <w:t xml:space="preserve"> tool</w:t>
      </w:r>
      <w:r w:rsidR="00B47514">
        <w:rPr>
          <w:rFonts w:ascii="Times New Roman" w:hAnsi="Times New Roman" w:cs="Times New Roman"/>
        </w:rPr>
        <w:t xml:space="preserve"> used to identify </w:t>
      </w:r>
      <w:r w:rsidR="00882F98">
        <w:rPr>
          <w:rFonts w:ascii="Times New Roman" w:hAnsi="Times New Roman" w:cs="Times New Roman"/>
        </w:rPr>
        <w:t>alterations</w:t>
      </w:r>
      <w:r w:rsidR="00B47514">
        <w:rPr>
          <w:rFonts w:ascii="Times New Roman" w:hAnsi="Times New Roman" w:cs="Times New Roman"/>
        </w:rPr>
        <w:t xml:space="preserve"> in the level of RNA transcripts across the genome and thus highlight individual genes or particular biological pathwa</w:t>
      </w:r>
      <w:r w:rsidR="009914E0">
        <w:rPr>
          <w:rFonts w:ascii="Times New Roman" w:hAnsi="Times New Roman" w:cs="Times New Roman"/>
        </w:rPr>
        <w:t>ys dysregulated as a result of changes in response to a</w:t>
      </w:r>
      <w:r w:rsidR="00B47514">
        <w:rPr>
          <w:rFonts w:ascii="Times New Roman" w:hAnsi="Times New Roman" w:cs="Times New Roman"/>
        </w:rPr>
        <w:t xml:space="preserve"> specific treatment or set of conditions. </w:t>
      </w:r>
    </w:p>
    <w:p w14:paraId="68C50D3D" w14:textId="77777777" w:rsidR="00D96D4E" w:rsidRDefault="00D96D4E" w:rsidP="00C63BC1">
      <w:pPr>
        <w:spacing w:line="360" w:lineRule="auto"/>
        <w:jc w:val="both"/>
        <w:rPr>
          <w:rFonts w:ascii="Times New Roman" w:hAnsi="Times New Roman" w:cs="Times New Roman"/>
        </w:rPr>
      </w:pPr>
    </w:p>
    <w:p w14:paraId="53C90200" w14:textId="649AC221" w:rsidR="00D96D4E" w:rsidRDefault="00D96D4E" w:rsidP="00C63BC1">
      <w:pPr>
        <w:spacing w:line="360" w:lineRule="auto"/>
        <w:jc w:val="both"/>
        <w:rPr>
          <w:rFonts w:ascii="Times New Roman" w:hAnsi="Times New Roman" w:cs="Times New Roman"/>
        </w:rPr>
      </w:pPr>
      <w:r>
        <w:rPr>
          <w:rFonts w:ascii="Times New Roman" w:hAnsi="Times New Roman" w:cs="Times New Roman"/>
        </w:rPr>
        <w:t>It was hypothesised that changes in the gene expression profile of IGF1R impaired astrocytes occurs prior to</w:t>
      </w:r>
      <w:r w:rsidR="00E42947">
        <w:rPr>
          <w:rFonts w:ascii="Times New Roman" w:hAnsi="Times New Roman" w:cs="Times New Roman"/>
        </w:rPr>
        <w:t xml:space="preserve"> treatment of co-cultures with</w:t>
      </w:r>
      <w:r>
        <w:rPr>
          <w:rFonts w:ascii="Times New Roman" w:hAnsi="Times New Roman" w:cs="Times New Roman"/>
        </w:rPr>
        <w:t xml:space="preserve">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2</w:t>
      </w:r>
      <w:r w:rsidR="00E42947">
        <w:rPr>
          <w:rFonts w:ascii="Times New Roman" w:hAnsi="Times New Roman" w:cs="Times New Roman"/>
        </w:rPr>
        <w:t>. Therefore</w:t>
      </w:r>
      <w:r w:rsidR="00F5676D">
        <w:rPr>
          <w:rFonts w:ascii="Times New Roman" w:hAnsi="Times New Roman" w:cs="Times New Roman"/>
        </w:rPr>
        <w:t xml:space="preserve"> to investigate this</w:t>
      </w:r>
      <w:r>
        <w:rPr>
          <w:rFonts w:ascii="Times New Roman" w:hAnsi="Times New Roman" w:cs="Times New Roman"/>
        </w:rPr>
        <w:t xml:space="preserve"> a microarray experiment was performed on</w:t>
      </w:r>
      <w:r w:rsidR="00F5676D">
        <w:rPr>
          <w:rFonts w:ascii="Times New Roman" w:hAnsi="Times New Roman" w:cs="Times New Roman"/>
        </w:rPr>
        <w:t xml:space="preserve"> control and MAB391-treated astrocytes</w:t>
      </w:r>
      <w:r>
        <w:rPr>
          <w:rFonts w:ascii="Times New Roman" w:hAnsi="Times New Roman" w:cs="Times New Roman"/>
        </w:rPr>
        <w:t xml:space="preserve"> </w:t>
      </w:r>
      <w:r w:rsidR="00F5676D">
        <w:rPr>
          <w:rFonts w:ascii="Times New Roman" w:hAnsi="Times New Roman" w:cs="Times New Roman"/>
        </w:rPr>
        <w:t xml:space="preserve">isolated from co-cultured </w:t>
      </w:r>
      <w:r>
        <w:rPr>
          <w:rFonts w:ascii="Times New Roman" w:hAnsi="Times New Roman" w:cs="Times New Roman"/>
        </w:rPr>
        <w:t>neurons.</w:t>
      </w:r>
    </w:p>
    <w:p w14:paraId="06CFF475" w14:textId="77777777" w:rsidR="00D96D4E" w:rsidRDefault="00D96D4E" w:rsidP="00C63BC1">
      <w:pPr>
        <w:spacing w:line="360" w:lineRule="auto"/>
        <w:jc w:val="both"/>
        <w:rPr>
          <w:rFonts w:ascii="Times New Roman" w:hAnsi="Times New Roman" w:cs="Times New Roman"/>
        </w:rPr>
      </w:pPr>
    </w:p>
    <w:p w14:paraId="1C52855D" w14:textId="59C8A676" w:rsidR="00736E9F" w:rsidRPr="00D96D4E" w:rsidRDefault="00D96D4E" w:rsidP="00C63BC1">
      <w:pPr>
        <w:spacing w:line="360" w:lineRule="auto"/>
        <w:jc w:val="both"/>
        <w:rPr>
          <w:rFonts w:ascii="Times New Roman" w:hAnsi="Times New Roman" w:cs="Times New Roman"/>
          <w:b/>
          <w:sz w:val="32"/>
          <w:szCs w:val="32"/>
        </w:rPr>
      </w:pPr>
      <w:r>
        <w:rPr>
          <w:rFonts w:ascii="Times New Roman" w:hAnsi="Times New Roman" w:cs="Times New Roman"/>
        </w:rPr>
        <w:t>To achieve</w:t>
      </w:r>
      <w:r w:rsidR="004719A6">
        <w:rPr>
          <w:rFonts w:ascii="Times New Roman" w:hAnsi="Times New Roman" w:cs="Times New Roman"/>
        </w:rPr>
        <w:t xml:space="preserve"> this,</w:t>
      </w:r>
      <w:r w:rsidR="0023132C">
        <w:rPr>
          <w:rFonts w:ascii="Times New Roman" w:hAnsi="Times New Roman" w:cs="Times New Roman"/>
        </w:rPr>
        <w:t xml:space="preserve"> a method </w:t>
      </w:r>
      <w:r>
        <w:rPr>
          <w:rFonts w:ascii="Times New Roman" w:hAnsi="Times New Roman" w:cs="Times New Roman"/>
        </w:rPr>
        <w:t>was</w:t>
      </w:r>
      <w:r w:rsidR="0023132C">
        <w:rPr>
          <w:rFonts w:ascii="Times New Roman" w:hAnsi="Times New Roman" w:cs="Times New Roman"/>
        </w:rPr>
        <w:t xml:space="preserve"> established to separate astrocytes from neurons in co-culture. </w:t>
      </w:r>
      <w:r>
        <w:rPr>
          <w:rFonts w:ascii="Times New Roman" w:hAnsi="Times New Roman" w:cs="Times New Roman"/>
        </w:rPr>
        <w:t xml:space="preserve">Goudriaan </w:t>
      </w:r>
      <w:r>
        <w:rPr>
          <w:rFonts w:ascii="Times New Roman" w:hAnsi="Times New Roman" w:cs="Times New Roman"/>
          <w:i/>
        </w:rPr>
        <w:t xml:space="preserve">et al </w:t>
      </w:r>
      <w:r>
        <w:rPr>
          <w:rFonts w:ascii="Times New Roman" w:hAnsi="Times New Roman" w:cs="Times New Roman"/>
        </w:rPr>
        <w:t xml:space="preserve">(2014) recently described a cold-jet PBS wash separation method, which exploited the differential adherent properties of the cells </w:t>
      </w:r>
      <w:r w:rsidR="00C16A7A">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"10.3389/fncel.2014.00012", "ISSN" : "1662-5102", "PMID" : "24523672", "abstract" : "Over the last decade, the importance of astrocyte-neuron communication in neuronal development and synaptic plasticity has become increasingly clear. Since neuron-astrocyte interactions represent highly dynamic and reciprocal processes, we hypothesized that many astrocyte genes may be regulated as a consequence of their interactions with maturing neurons. In order to identify such neuron-responsive astrocyte genes in vitro, we sought to establish an expedited technique for separation of neurons from co-cultured astrocytes. Our newly established method makes use of cold jet, which exploits different adhesion characteristics of subpopulations of cells (Jirsova etal., 1997), and is rapid, performed under ice-cold conditions and avoids protease-mediated isolation of astrocytes or time-consuming centrifugation, yielding intact astrocyte mRNA with approximately 90% of neuronal RNA removed. Using this purification method, we executed genome-wide profiling in which RNA derived from astrocyte-only cultures was compared with astrocyte RNA derived from differentiating neuron-astrocyte co-cultures. Data analysis determined that many astrocytic mRNAs and biological processes are regulated by neuronal interaction. Our results validate the cold jet as an efficient method to separate astrocytes from neurons in co-culture, and reveals that neurons induce robust gene-expression changes in co-cultured astrocytes.", "author" : [ { "dropping-particle" : "", "family" : "Goudriaan", "given" : "Andrea", "non-dropping-particle" : "", "parse-names" : false, "suffix" : "" }, { "dropping-particle" : "", "family" : "Camargo", "given" : "Nutabi", "non-dropping-particle" : "", "parse-names" : false, "suffix" : "" }, { "dropping-particle" : "", "family" : "Carney", "given" : "Karen E", "non-dropping-particle" : "", "parse-names" : false, "suffix" : "" }, { "dropping-particle" : "", "family" : "Oliet", "given" : "St\u00e9phane H R", "non-dropping-particle" : "", "parse-names" : false, "suffix" : "" }, { "dropping-particle" : "", "family" : "Smit", "given" : "August B", "non-dropping-particle" : "", "parse-names" : false, "suffix" : "" }, { "dropping-particle" : "", "family" : "Verheijen", "given" : "Mark H G", "non-dropping-particle" : "", "parse-names" : false, "suffix" : "" } ], "container-title" : "Frontiers in cellular neuroscience", "id" : "ITEM-1", "issued" : { "date-parts" : [ [ "2014", "1", "30" ] ] }, "language" : "English", "page" : "12", "publisher" : "Frontiers", "title" : "Novel cell separation method for molecular analysis of neuron-astrocyte co-cultures.", "type" : "article-journal", "volume" : "8" }, "uris" : [ "http://www.mendeley.com/documents/?uuid=8b0c08f1-fbc3-47dd-ac12-a31970da9103" ] } ], "mendeley" : { "formattedCitation" : "(Goudriaan et al. 2014)", "plainTextFormattedCitation" : "(Goudriaan et al. 2014)", "previouslyFormattedCitation" : "(Goudriaan et al. 2014)" }, "properties" : { "noteIndex" : 0 }, "schema" : "https://github.com/citation-style-language/schema/raw/master/csl-citation.json" }</w:instrText>
      </w:r>
      <w:r w:rsidR="00C16A7A">
        <w:rPr>
          <w:rFonts w:ascii="Times New Roman" w:hAnsi="Times New Roman" w:cs="Times New Roman"/>
        </w:rPr>
        <w:fldChar w:fldCharType="separate"/>
      </w:r>
      <w:r w:rsidR="00C148FC" w:rsidRPr="00C148FC">
        <w:rPr>
          <w:rFonts w:ascii="Times New Roman" w:hAnsi="Times New Roman" w:cs="Times New Roman"/>
          <w:noProof/>
        </w:rPr>
        <w:t>(Goudriaan et al. 2014)</w:t>
      </w:r>
      <w:r w:rsidR="00C16A7A">
        <w:rPr>
          <w:rFonts w:ascii="Times New Roman" w:hAnsi="Times New Roman" w:cs="Times New Roman"/>
        </w:rPr>
        <w:fldChar w:fldCharType="end"/>
      </w:r>
      <w:r w:rsidR="0023132C">
        <w:rPr>
          <w:rFonts w:ascii="Times New Roman" w:hAnsi="Times New Roman" w:cs="Times New Roman"/>
        </w:rPr>
        <w:t xml:space="preserve">. </w:t>
      </w:r>
      <w:r w:rsidR="00882F98">
        <w:rPr>
          <w:rFonts w:ascii="Times New Roman" w:hAnsi="Times New Roman" w:cs="Times New Roman"/>
        </w:rPr>
        <w:t xml:space="preserve">Owing </w:t>
      </w:r>
      <w:r w:rsidR="0023132C">
        <w:rPr>
          <w:rFonts w:ascii="Times New Roman" w:hAnsi="Times New Roman" w:cs="Times New Roman"/>
        </w:rPr>
        <w:t xml:space="preserve">to limited success with this technique, </w:t>
      </w:r>
      <w:r w:rsidR="00284E96">
        <w:rPr>
          <w:rFonts w:ascii="Times New Roman" w:hAnsi="Times New Roman" w:cs="Times New Roman"/>
        </w:rPr>
        <w:t xml:space="preserve">an alternative approach was </w:t>
      </w:r>
      <w:r>
        <w:rPr>
          <w:rFonts w:ascii="Times New Roman" w:hAnsi="Times New Roman" w:cs="Times New Roman"/>
        </w:rPr>
        <w:t>developed using FACS to sort GFP LUHMES from astrocytes.</w:t>
      </w:r>
      <w:r w:rsidR="008E5D77">
        <w:rPr>
          <w:rFonts w:ascii="Times New Roman" w:hAnsi="Times New Roman" w:cs="Times New Roman"/>
        </w:rPr>
        <w:t xml:space="preserve"> </w:t>
      </w:r>
      <w:r w:rsidR="00BB7907">
        <w:rPr>
          <w:rFonts w:ascii="Times New Roman" w:hAnsi="Times New Roman" w:cs="Times New Roman"/>
        </w:rPr>
        <w:t xml:space="preserve">Cell sorting technology </w:t>
      </w:r>
      <w:r w:rsidR="00F5676D">
        <w:rPr>
          <w:rFonts w:ascii="Times New Roman" w:hAnsi="Times New Roman" w:cs="Times New Roman"/>
        </w:rPr>
        <w:t xml:space="preserve">has </w:t>
      </w:r>
      <w:r>
        <w:rPr>
          <w:rFonts w:ascii="Times New Roman" w:hAnsi="Times New Roman" w:cs="Times New Roman"/>
        </w:rPr>
        <w:t>previously</w:t>
      </w:r>
      <w:r w:rsidR="00F5676D">
        <w:rPr>
          <w:rFonts w:ascii="Times New Roman" w:hAnsi="Times New Roman" w:cs="Times New Roman"/>
        </w:rPr>
        <w:t xml:space="preserve"> been</w:t>
      </w:r>
      <w:r w:rsidR="00BB7907">
        <w:rPr>
          <w:rFonts w:ascii="Times New Roman" w:hAnsi="Times New Roman" w:cs="Times New Roman"/>
        </w:rPr>
        <w:t xml:space="preserve"> used to</w:t>
      </w:r>
      <w:r>
        <w:rPr>
          <w:rFonts w:ascii="Times New Roman" w:hAnsi="Times New Roman" w:cs="Times New Roman"/>
        </w:rPr>
        <w:t xml:space="preserve"> enrich for a population of GFP-</w:t>
      </w:r>
      <w:r w:rsidR="00BB7907">
        <w:rPr>
          <w:rFonts w:ascii="Times New Roman" w:hAnsi="Times New Roman" w:cs="Times New Roman"/>
        </w:rPr>
        <w:t>glia and</w:t>
      </w:r>
      <w:r w:rsidR="00094DFA">
        <w:rPr>
          <w:rFonts w:ascii="Times New Roman" w:hAnsi="Times New Roman" w:cs="Times New Roman"/>
        </w:rPr>
        <w:t xml:space="preserve"> unlabelled</w:t>
      </w:r>
      <w:r w:rsidR="00BB7907">
        <w:rPr>
          <w:rFonts w:ascii="Times New Roman" w:hAnsi="Times New Roman" w:cs="Times New Roman"/>
        </w:rPr>
        <w:t xml:space="preserve"> neurons from co-culture with the intention of assessing the gene expression profile of these cells in relation to the </w:t>
      </w:r>
      <w:r>
        <w:rPr>
          <w:rFonts w:ascii="Times New Roman" w:hAnsi="Times New Roman" w:cs="Times New Roman"/>
        </w:rPr>
        <w:t>neuroprotective effects of ARE activation and Nrf2</w:t>
      </w:r>
      <w:r w:rsidR="00076D0B">
        <w:rPr>
          <w:rFonts w:ascii="Times New Roman" w:hAnsi="Times New Roman" w:cs="Times New Roman"/>
        </w:rPr>
        <w:t xml:space="preserve"> dependence </w:t>
      </w:r>
      <w:r w:rsidR="00076D0B">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"10.1523/JNEUROSCI.3817-03.2004", "ISSN" : "1529-2401", "PMID" : "14762128", "abstract" : "Binding of the transcription factor nuclear factor E2-related factor 2 (Nrf2) to the antioxidant response element (ARE) in neural cells results in the induction of a battery of genes that can coordinate a protective response against a variety of oxidative stressors. In this study, tert-butylhydroquinone (tBHQ) and sulforaphane were used as activators of this pathway. Consistent with previous studies, treatment of primary cortical cultures from ARE reporter mice revealed selective promoter activity in astrocytes. This activation protected neurons from hydrogen peroxide and nonexcitotoxic glutamate toxicity. tBHQ treatment of cultures from Nrf2 knock-out animals resulted in neither ARE activation nor neuroprotection. By reintroducing Nrf2 via infection with a replication-deficient adenovirus (ad), both the genetic response and neuroprotection were rescued. Conversely, infection with adenovirus encoding dominant-negative (DN) Nrf2 (ad-DN-Nrf2) or pretreatment with the selective phosphatidylinositol-3 kinase inhibitor LY294002 inhibited the tBHQ-mediated promoter response and corresponding neuroprotection. Interestingly, the adenoviral infection showed a high selectivity for astrocytes over neurons. In an attempt to reveal some of the cell type-specific changes resulting from ARE activation, cultures were infected with adenovirus encoding green fluorescent protein (GFP) (ad-GFP) or ad-DN-Nrf2 (containing GFP) before tBHQ treatment. A glia-enriched population of GFP-infected cells was then isolated from a population of uninfected neurons using cell-sorting technology. Microarray analysis was used to evaluate potential glial versus neuron-specific contributions to the neuroprotective effects of ARE activation and Nrf2 dependence. Strikingly, the change in neuronal gene expression after tBHQ treatment was dependent on Nrf2 activity in the astrocytes. This suggests that Nrf2-dependent genetic changes alter neuron-glia interactions resulting in neuroprotection.", "author" : [ { "dropping-particle" : "", "family" : "Kraft", "given" : "Andrew D", "non-dropping-particle" : "", "parse-names" : false, "suffix" : "" }, { "dropping-particle" : "", "family" : "Johnson", "given" : "Delinda A", "non-dropping-particle" : "", "parse-names" : false, "suffix" : "" }, { "dropping-particle" : "", "family" : "Johnson", "given" : "Jeffrey A", "non-dropping-particle" : "", "parse-names" : false, "suffix" : "" } ], "container-title" : "The Journal of neuroscience : the official journal of the Society for Neuroscience", "id" : "ITEM-1", "issue" : "5", "issued" : { "date-parts" : [ [ "2004", "2", "4" ] ] }, "page" : "1101-12", "title" : "Nuclear factor E2-related factor 2-dependent antioxidant response element activation by tert-butylhydroquinone and sulforaphane occurring preferentially in astrocytes conditions neurons against oxidative insult.", "type" : "article-journal", "volume" : "24" }, "uris" : [ "http://www.mendeley.com/documents/?uuid=271abe84-7f6c-41e1-b85d-4766cf09296f" ] } ], "mendeley" : { "formattedCitation" : "(Kraft et al. 2004)", "plainTextFormattedCitation" : "(Kraft et al. 2004)", "previouslyFormattedCitation" : "(Kraft et al. 2004)" }, "properties" : { "noteIndex" : 0 }, "schema" : "https://github.com/citation-style-language/schema/raw/master/csl-citation.json" }</w:instrText>
      </w:r>
      <w:r w:rsidR="00076D0B">
        <w:rPr>
          <w:rFonts w:ascii="Times New Roman" w:hAnsi="Times New Roman" w:cs="Times New Roman"/>
        </w:rPr>
        <w:fldChar w:fldCharType="separate"/>
      </w:r>
      <w:r w:rsidR="00C148FC" w:rsidRPr="00C148FC">
        <w:rPr>
          <w:rFonts w:ascii="Times New Roman" w:hAnsi="Times New Roman" w:cs="Times New Roman"/>
          <w:noProof/>
        </w:rPr>
        <w:t>(Kraft et al. 2004)</w:t>
      </w:r>
      <w:r w:rsidR="00076D0B">
        <w:rPr>
          <w:rFonts w:ascii="Times New Roman" w:hAnsi="Times New Roman" w:cs="Times New Roman"/>
        </w:rPr>
        <w:fldChar w:fldCharType="end"/>
      </w:r>
      <w:r w:rsidR="00076D0B">
        <w:rPr>
          <w:rFonts w:ascii="Times New Roman" w:hAnsi="Times New Roman" w:cs="Times New Roman"/>
        </w:rPr>
        <w:t xml:space="preserve">. </w:t>
      </w:r>
      <w:r w:rsidR="00F5676D">
        <w:rPr>
          <w:rFonts w:ascii="Times New Roman" w:hAnsi="Times New Roman" w:cs="Times New Roman"/>
        </w:rPr>
        <w:t>Using this</w:t>
      </w:r>
      <w:r w:rsidR="00B213AE">
        <w:rPr>
          <w:rFonts w:ascii="Times New Roman" w:hAnsi="Times New Roman" w:cs="Times New Roman"/>
        </w:rPr>
        <w:t xml:space="preserve"> approach</w:t>
      </w:r>
      <w:r>
        <w:rPr>
          <w:rFonts w:ascii="Times New Roman" w:hAnsi="Times New Roman" w:cs="Times New Roman"/>
        </w:rPr>
        <w:t xml:space="preserve">, </w:t>
      </w:r>
      <w:r w:rsidR="00B213AE">
        <w:rPr>
          <w:rFonts w:ascii="Times New Roman" w:hAnsi="Times New Roman" w:cs="Times New Roman"/>
        </w:rPr>
        <w:t>astrocyte and neuronal pop</w:t>
      </w:r>
      <w:r w:rsidR="00B909EF">
        <w:rPr>
          <w:rFonts w:ascii="Times New Roman" w:hAnsi="Times New Roman" w:cs="Times New Roman"/>
        </w:rPr>
        <w:t xml:space="preserve">ulations </w:t>
      </w:r>
      <w:r w:rsidR="00F5676D">
        <w:rPr>
          <w:rFonts w:ascii="Times New Roman" w:hAnsi="Times New Roman" w:cs="Times New Roman"/>
        </w:rPr>
        <w:t xml:space="preserve">were enriched from </w:t>
      </w:r>
      <w:r>
        <w:rPr>
          <w:rFonts w:ascii="Times New Roman" w:hAnsi="Times New Roman" w:cs="Times New Roman"/>
        </w:rPr>
        <w:t xml:space="preserve">co-culture, enabling gene expression profiling to be performed on </w:t>
      </w:r>
      <w:r w:rsidR="00143B4E">
        <w:rPr>
          <w:rFonts w:ascii="Times New Roman" w:hAnsi="Times New Roman" w:cs="Times New Roman"/>
        </w:rPr>
        <w:t>IGF1 signalling</w:t>
      </w:r>
      <w:r w:rsidR="00E1694C">
        <w:rPr>
          <w:rFonts w:ascii="Times New Roman" w:hAnsi="Times New Roman" w:cs="Times New Roman"/>
        </w:rPr>
        <w:t xml:space="preserve"> impaired astrocyt</w:t>
      </w:r>
      <w:r w:rsidR="00D81BBE">
        <w:rPr>
          <w:rFonts w:ascii="Times New Roman" w:hAnsi="Times New Roman" w:cs="Times New Roman"/>
        </w:rPr>
        <w:t xml:space="preserve">es </w:t>
      </w:r>
      <w:r w:rsidR="00943E8E">
        <w:rPr>
          <w:rFonts w:ascii="Times New Roman" w:hAnsi="Times New Roman" w:cs="Times New Roman"/>
        </w:rPr>
        <w:t>separated from</w:t>
      </w:r>
      <w:r w:rsidR="005326A3">
        <w:rPr>
          <w:rFonts w:ascii="Times New Roman" w:hAnsi="Times New Roman" w:cs="Times New Roman"/>
        </w:rPr>
        <w:t xml:space="preserve"> LUHMES</w:t>
      </w:r>
      <w:r w:rsidR="00B909EF">
        <w:rPr>
          <w:rFonts w:ascii="Times New Roman" w:hAnsi="Times New Roman" w:cs="Times New Roman"/>
        </w:rPr>
        <w:t>.</w:t>
      </w:r>
      <w:r>
        <w:rPr>
          <w:rFonts w:ascii="Times New Roman" w:hAnsi="Times New Roman" w:cs="Times New Roman"/>
        </w:rPr>
        <w:t xml:space="preserve"> Changes in specific genes and pathways were identified that could potentially explain the alterations in neuronal support, as observed in the neurite outgrowth assays in chapter 4.</w:t>
      </w:r>
      <w:r w:rsidR="00B909EF">
        <w:rPr>
          <w:rFonts w:ascii="Times New Roman" w:hAnsi="Times New Roman" w:cs="Times New Roman"/>
        </w:rPr>
        <w:t xml:space="preserve"> </w:t>
      </w:r>
    </w:p>
    <w:p w14:paraId="24D2F78F" w14:textId="77777777" w:rsidR="00736E9F" w:rsidRPr="00736E9F" w:rsidRDefault="00736E9F" w:rsidP="00C63BC1">
      <w:pPr>
        <w:jc w:val="both"/>
      </w:pPr>
    </w:p>
    <w:p w14:paraId="0DE53EF8" w14:textId="21850EDA" w:rsidR="009E5564" w:rsidRDefault="003256A1" w:rsidP="00C63BC1">
      <w:pPr>
        <w:pStyle w:val="Heading2"/>
        <w:jc w:val="both"/>
      </w:pPr>
      <w:bookmarkStart w:id="1781" w:name="_Toc328301186"/>
      <w:bookmarkStart w:id="1782" w:name="_Toc329593477"/>
      <w:bookmarkStart w:id="1783" w:name="_Toc331425976"/>
      <w:bookmarkStart w:id="1784" w:name="_Toc331427157"/>
      <w:bookmarkStart w:id="1785" w:name="_Toc331427529"/>
      <w:bookmarkStart w:id="1786" w:name="_Toc331427671"/>
      <w:bookmarkStart w:id="1787" w:name="_Toc332972676"/>
      <w:bookmarkStart w:id="1788" w:name="_Toc333046955"/>
      <w:bookmarkStart w:id="1789" w:name="_Toc333477302"/>
      <w:bookmarkStart w:id="1790" w:name="_Toc333478072"/>
      <w:bookmarkStart w:id="1791" w:name="_Toc333644972"/>
      <w:r w:rsidRPr="00AA3E4D">
        <w:t xml:space="preserve">5.2 </w:t>
      </w:r>
      <w:r w:rsidR="009E5564" w:rsidRPr="00AA3E4D">
        <w:t>Aims and Objectives</w:t>
      </w:r>
      <w:bookmarkEnd w:id="1781"/>
      <w:bookmarkEnd w:id="1782"/>
      <w:bookmarkEnd w:id="1783"/>
      <w:bookmarkEnd w:id="1784"/>
      <w:bookmarkEnd w:id="1785"/>
      <w:bookmarkEnd w:id="1786"/>
      <w:bookmarkEnd w:id="1787"/>
      <w:bookmarkEnd w:id="1788"/>
      <w:bookmarkEnd w:id="1789"/>
      <w:bookmarkEnd w:id="1790"/>
      <w:bookmarkEnd w:id="1791"/>
    </w:p>
    <w:p w14:paraId="4E5B927B" w14:textId="77777777" w:rsidR="00F602B0" w:rsidRPr="00F602B0" w:rsidRDefault="00F602B0" w:rsidP="00C63BC1">
      <w:pPr>
        <w:jc w:val="both"/>
      </w:pPr>
    </w:p>
    <w:p w14:paraId="0EF15226" w14:textId="2E7C18C2" w:rsidR="003C0812" w:rsidRPr="00D96D4E" w:rsidRDefault="002540D9" w:rsidP="00C63BC1">
      <w:pPr>
        <w:spacing w:line="360" w:lineRule="auto"/>
        <w:jc w:val="both"/>
        <w:rPr>
          <w:rFonts w:ascii="Times New Roman" w:hAnsi="Times New Roman" w:cs="Times New Roman"/>
        </w:rPr>
      </w:pPr>
      <w:r>
        <w:rPr>
          <w:rFonts w:ascii="Times New Roman" w:hAnsi="Times New Roman" w:cs="Times New Roman"/>
        </w:rPr>
        <w:t>The aim of the experiments performed in this chapter was to identify potential mechanisms and signalling pathways impacted by reduced IGF1R</w:t>
      </w:r>
      <w:r w:rsidR="003A4038">
        <w:rPr>
          <w:rFonts w:ascii="Times New Roman" w:hAnsi="Times New Roman" w:cs="Times New Roman"/>
        </w:rPr>
        <w:t xml:space="preserve"> that could explain impaired ability of astrocytes to support neurons</w:t>
      </w:r>
      <w:r>
        <w:rPr>
          <w:rFonts w:ascii="Times New Roman" w:hAnsi="Times New Roman" w:cs="Times New Roman"/>
        </w:rPr>
        <w:t>. Specifically:</w:t>
      </w:r>
    </w:p>
    <w:p w14:paraId="3BB25A46" w14:textId="5778D40E" w:rsidR="00AA3E4D" w:rsidRPr="0066174F" w:rsidRDefault="0066174F" w:rsidP="00C63BC1">
      <w:pPr>
        <w:spacing w:line="360" w:lineRule="auto"/>
        <w:jc w:val="both"/>
        <w:rPr>
          <w:rFonts w:ascii="Times New Roman" w:hAnsi="Times New Roman" w:cs="Times New Roman"/>
        </w:rPr>
      </w:pPr>
      <w:r>
        <w:rPr>
          <w:rFonts w:ascii="Times New Roman" w:hAnsi="Times New Roman" w:cs="Times New Roman"/>
        </w:rPr>
        <w:t xml:space="preserve">1)   </w:t>
      </w:r>
      <w:r w:rsidR="002540D9" w:rsidRPr="0066174F">
        <w:rPr>
          <w:rFonts w:ascii="Times New Roman" w:hAnsi="Times New Roman" w:cs="Times New Roman"/>
        </w:rPr>
        <w:t>A method to separate co-cultured astrocyte and LUHMES was optimised.</w:t>
      </w:r>
    </w:p>
    <w:p w14:paraId="2EDFACB4" w14:textId="3418DA3E" w:rsidR="002540D9" w:rsidRPr="0066174F" w:rsidRDefault="0066174F" w:rsidP="00C63BC1">
      <w:pPr>
        <w:spacing w:line="360" w:lineRule="auto"/>
        <w:jc w:val="both"/>
        <w:rPr>
          <w:rFonts w:ascii="Times New Roman" w:hAnsi="Times New Roman" w:cs="Times New Roman"/>
        </w:rPr>
      </w:pPr>
      <w:r>
        <w:rPr>
          <w:rFonts w:ascii="Times New Roman" w:hAnsi="Times New Roman" w:cs="Times New Roman"/>
        </w:rPr>
        <w:t xml:space="preserve">2)   </w:t>
      </w:r>
      <w:r w:rsidR="002540D9" w:rsidRPr="0066174F">
        <w:rPr>
          <w:rFonts w:ascii="Times New Roman" w:hAnsi="Times New Roman" w:cs="Times New Roman"/>
        </w:rPr>
        <w:t>Assess gene expression changes between IGF1R impaired astrocytes and untreated astrocytes isolated from co-culture.</w:t>
      </w:r>
    </w:p>
    <w:p w14:paraId="23F82D70" w14:textId="17E3C18C" w:rsidR="002540D9" w:rsidRPr="0066174F" w:rsidRDefault="0066174F" w:rsidP="00C63BC1">
      <w:pPr>
        <w:spacing w:line="360" w:lineRule="auto"/>
        <w:jc w:val="both"/>
        <w:rPr>
          <w:rFonts w:ascii="Times New Roman" w:hAnsi="Times New Roman" w:cs="Times New Roman"/>
        </w:rPr>
      </w:pPr>
      <w:r>
        <w:rPr>
          <w:rFonts w:ascii="Times New Roman" w:hAnsi="Times New Roman" w:cs="Times New Roman"/>
        </w:rPr>
        <w:t xml:space="preserve">3)   </w:t>
      </w:r>
      <w:r w:rsidR="002540D9" w:rsidRPr="0066174F">
        <w:rPr>
          <w:rFonts w:ascii="Times New Roman" w:hAnsi="Times New Roman" w:cs="Times New Roman"/>
        </w:rPr>
        <w:t>Validate dif</w:t>
      </w:r>
      <w:r w:rsidR="00967133" w:rsidRPr="0066174F">
        <w:rPr>
          <w:rFonts w:ascii="Times New Roman" w:hAnsi="Times New Roman" w:cs="Times New Roman"/>
        </w:rPr>
        <w:t>ferentially expressed genes by q</w:t>
      </w:r>
      <w:r w:rsidR="002540D9" w:rsidRPr="0066174F">
        <w:rPr>
          <w:rFonts w:ascii="Times New Roman" w:hAnsi="Times New Roman" w:cs="Times New Roman"/>
        </w:rPr>
        <w:t>RT-PCR and functionally validate these changes.</w:t>
      </w:r>
    </w:p>
    <w:p w14:paraId="267E3D31" w14:textId="77777777" w:rsidR="003A4038" w:rsidRPr="0066174F" w:rsidRDefault="003A4038" w:rsidP="00C63BC1">
      <w:pPr>
        <w:ind w:left="360"/>
        <w:jc w:val="both"/>
        <w:rPr>
          <w:rFonts w:ascii="Times New Roman" w:hAnsi="Times New Roman" w:cs="Times New Roman"/>
        </w:rPr>
      </w:pPr>
    </w:p>
    <w:p w14:paraId="19F32881" w14:textId="08977367" w:rsidR="009E5564" w:rsidRPr="00AA3E4D" w:rsidRDefault="003256A1" w:rsidP="00C63BC1">
      <w:pPr>
        <w:pStyle w:val="Heading2"/>
        <w:jc w:val="both"/>
      </w:pPr>
      <w:bookmarkStart w:id="1792" w:name="_Toc328301187"/>
      <w:bookmarkStart w:id="1793" w:name="_Toc329593478"/>
      <w:bookmarkStart w:id="1794" w:name="_Toc331425977"/>
      <w:bookmarkStart w:id="1795" w:name="_Toc331427158"/>
      <w:bookmarkStart w:id="1796" w:name="_Toc331427530"/>
      <w:bookmarkStart w:id="1797" w:name="_Toc331427672"/>
      <w:bookmarkStart w:id="1798" w:name="_Toc332972677"/>
      <w:bookmarkStart w:id="1799" w:name="_Toc333046956"/>
      <w:bookmarkStart w:id="1800" w:name="_Toc333477303"/>
      <w:bookmarkStart w:id="1801" w:name="_Toc333478073"/>
      <w:bookmarkStart w:id="1802" w:name="_Toc333644973"/>
      <w:r w:rsidRPr="00AA3E4D">
        <w:t xml:space="preserve">5.3 </w:t>
      </w:r>
      <w:r w:rsidR="00176BC3" w:rsidRPr="00AA3E4D">
        <w:t>Methods</w:t>
      </w:r>
      <w:bookmarkEnd w:id="1792"/>
      <w:bookmarkEnd w:id="1793"/>
      <w:bookmarkEnd w:id="1794"/>
      <w:bookmarkEnd w:id="1795"/>
      <w:bookmarkEnd w:id="1796"/>
      <w:bookmarkEnd w:id="1797"/>
      <w:bookmarkEnd w:id="1798"/>
      <w:bookmarkEnd w:id="1799"/>
      <w:bookmarkEnd w:id="1800"/>
      <w:bookmarkEnd w:id="1801"/>
      <w:bookmarkEnd w:id="1802"/>
    </w:p>
    <w:p w14:paraId="6BB6D0C1" w14:textId="77777777" w:rsidR="00176BC3" w:rsidRDefault="00176BC3" w:rsidP="00C63BC1">
      <w:pPr>
        <w:jc w:val="both"/>
        <w:rPr>
          <w:rFonts w:ascii="Times New Roman" w:hAnsi="Times New Roman" w:cs="Times New Roman"/>
          <w:sz w:val="32"/>
          <w:szCs w:val="32"/>
        </w:rPr>
      </w:pPr>
    </w:p>
    <w:p w14:paraId="5486F794" w14:textId="1A60A1D7" w:rsidR="00BF035C" w:rsidRDefault="00BF035C" w:rsidP="00C63BC1">
      <w:pPr>
        <w:spacing w:line="360" w:lineRule="auto"/>
        <w:jc w:val="both"/>
        <w:rPr>
          <w:rFonts w:ascii="Times New Roman" w:hAnsi="Times New Roman" w:cs="Times New Roman"/>
        </w:rPr>
      </w:pPr>
      <w:r>
        <w:rPr>
          <w:rFonts w:ascii="Times New Roman" w:hAnsi="Times New Roman" w:cs="Times New Roman"/>
        </w:rPr>
        <w:t>For gene expression profiling Affymetrix GeneChip® Whole</w:t>
      </w:r>
      <w:r w:rsidR="00396863">
        <w:rPr>
          <w:rFonts w:ascii="Times New Roman" w:hAnsi="Times New Roman" w:cs="Times New Roman"/>
        </w:rPr>
        <w:t xml:space="preserve"> Transcript Arrays were used. </w:t>
      </w:r>
      <w:r w:rsidR="00B80D03">
        <w:rPr>
          <w:rFonts w:ascii="Times New Roman" w:hAnsi="Times New Roman" w:cs="Times New Roman"/>
        </w:rPr>
        <w:t>Control and MAB391-</w:t>
      </w:r>
      <w:r>
        <w:rPr>
          <w:rFonts w:ascii="Times New Roman" w:hAnsi="Times New Roman" w:cs="Times New Roman"/>
        </w:rPr>
        <w:t>treated astrocytes co-cultured with GFP LUHMES were FACS sorted producing enriched populations of astrocytes and neurons. RNA was subsequently isolated from astrocytes and amplified to produce single stranded complementary DNA (ss-cDNA).  The ss-cDNA was then fragmented and fluorescentl</w:t>
      </w:r>
      <w:r w:rsidR="00E60CD6">
        <w:rPr>
          <w:rFonts w:ascii="Times New Roman" w:hAnsi="Times New Roman" w:cs="Times New Roman"/>
        </w:rPr>
        <w:t>y labelled before being hybridis</w:t>
      </w:r>
      <w:r>
        <w:rPr>
          <w:rFonts w:ascii="Times New Roman" w:hAnsi="Times New Roman" w:cs="Times New Roman"/>
        </w:rPr>
        <w:t xml:space="preserve">ed to the microarray chip.  The chip is made up of multiple ss-cDNA probes with known target identities to which the ss-cDNA within each of the samples will bind. The fluorescent signal intensities on the array are proportional to the ss-cDNA bound to each of the probes. This will produce thousands of different intensity readings with each one relating to a particular gene of interest. Therefore, the result should provide an extensive profile of differentially expressed genes allowing the investigation of potential pathways altered following impairment of IGF1 signalling.  </w:t>
      </w:r>
      <w:r w:rsidRPr="00C2743F">
        <w:rPr>
          <w:rFonts w:ascii="Times New Roman" w:hAnsi="Times New Roman" w:cs="Times New Roman"/>
        </w:rPr>
        <w:t xml:space="preserve"> </w:t>
      </w:r>
      <w:r>
        <w:rPr>
          <w:rFonts w:ascii="Times New Roman" w:hAnsi="Times New Roman" w:cs="Times New Roman"/>
        </w:rPr>
        <w:t>Differentially expressed genes that emerged from the microarray were inputted into different analysis programs to</w:t>
      </w:r>
      <w:r w:rsidR="00F5676D">
        <w:rPr>
          <w:rFonts w:ascii="Times New Roman" w:hAnsi="Times New Roman" w:cs="Times New Roman"/>
        </w:rPr>
        <w:t xml:space="preserve"> identify</w:t>
      </w:r>
      <w:r>
        <w:rPr>
          <w:rFonts w:ascii="Times New Roman" w:hAnsi="Times New Roman" w:cs="Times New Roman"/>
        </w:rPr>
        <w:t xml:space="preserve"> potential pathways altered in the IGF1R impaired astrocytes isolated from co-culture. A selection of genes from the most enriched pathways were validated by</w:t>
      </w:r>
      <w:r w:rsidR="00967133">
        <w:rPr>
          <w:rFonts w:ascii="Times New Roman" w:hAnsi="Times New Roman" w:cs="Times New Roman"/>
        </w:rPr>
        <w:t xml:space="preserve"> q</w:t>
      </w:r>
      <w:r>
        <w:rPr>
          <w:rFonts w:ascii="Times New Roman" w:hAnsi="Times New Roman" w:cs="Times New Roman"/>
        </w:rPr>
        <w:t>RT-PCR and</w:t>
      </w:r>
      <w:r w:rsidR="00F5676D">
        <w:rPr>
          <w:rFonts w:ascii="Times New Roman" w:hAnsi="Times New Roman" w:cs="Times New Roman"/>
        </w:rPr>
        <w:t xml:space="preserve"> a subset of these were further analysed using</w:t>
      </w:r>
      <w:r>
        <w:rPr>
          <w:rFonts w:ascii="Times New Roman" w:hAnsi="Times New Roman" w:cs="Times New Roman"/>
        </w:rPr>
        <w:t xml:space="preserve"> functional assays</w:t>
      </w:r>
      <w:r w:rsidR="00F5676D">
        <w:rPr>
          <w:rFonts w:ascii="Times New Roman" w:hAnsi="Times New Roman" w:cs="Times New Roman"/>
        </w:rPr>
        <w:t>.</w:t>
      </w:r>
      <w:r>
        <w:rPr>
          <w:rFonts w:ascii="Times New Roman" w:hAnsi="Times New Roman" w:cs="Times New Roman"/>
        </w:rPr>
        <w:t xml:space="preserve"> </w:t>
      </w:r>
    </w:p>
    <w:p w14:paraId="58D4D20A" w14:textId="77777777" w:rsidR="00BF035C" w:rsidRDefault="00BF035C" w:rsidP="00C63BC1">
      <w:pPr>
        <w:spacing w:line="360" w:lineRule="auto"/>
        <w:jc w:val="both"/>
        <w:rPr>
          <w:rFonts w:ascii="Times New Roman" w:hAnsi="Times New Roman" w:cs="Times New Roman"/>
        </w:rPr>
      </w:pPr>
    </w:p>
    <w:p w14:paraId="2496A467" w14:textId="44EEAD18" w:rsidR="005B2755" w:rsidRDefault="00BF035C" w:rsidP="00C63BC1">
      <w:pPr>
        <w:spacing w:line="360" w:lineRule="auto"/>
        <w:jc w:val="both"/>
        <w:rPr>
          <w:rFonts w:ascii="Times New Roman" w:hAnsi="Times New Roman" w:cs="Times New Roman"/>
        </w:rPr>
      </w:pPr>
      <w:r>
        <w:rPr>
          <w:rFonts w:ascii="Times New Roman" w:hAnsi="Times New Roman" w:cs="Times New Roman"/>
        </w:rPr>
        <w:t xml:space="preserve">For detailed methods refer to Chapter </w:t>
      </w:r>
      <w:r w:rsidR="00F5676D">
        <w:rPr>
          <w:rFonts w:ascii="Times New Roman" w:hAnsi="Times New Roman" w:cs="Times New Roman"/>
        </w:rPr>
        <w:t xml:space="preserve">2, sections 2.2.8 to 2.2.10, </w:t>
      </w:r>
      <w:r>
        <w:rPr>
          <w:rFonts w:ascii="Times New Roman" w:hAnsi="Times New Roman" w:cs="Times New Roman"/>
        </w:rPr>
        <w:t xml:space="preserve">an outline of the experimental workflow is shown in </w:t>
      </w:r>
      <w:r w:rsidRPr="00BF035C">
        <w:rPr>
          <w:rFonts w:ascii="Times New Roman" w:hAnsi="Times New Roman" w:cs="Times New Roman"/>
          <w:b/>
        </w:rPr>
        <w:t>Figure 5.1</w:t>
      </w:r>
      <w:r>
        <w:rPr>
          <w:rFonts w:ascii="Times New Roman" w:hAnsi="Times New Roman" w:cs="Times New Roman"/>
        </w:rPr>
        <w:t>.</w:t>
      </w:r>
    </w:p>
    <w:p w14:paraId="411E1EF5" w14:textId="4767B529" w:rsidR="0048799D" w:rsidRDefault="00D05DD2" w:rsidP="00D568D2">
      <w:pPr>
        <w:spacing w:line="360" w:lineRule="auto"/>
        <w:jc w:val="center"/>
        <w:rPr>
          <w:rFonts w:ascii="Times New Roman" w:hAnsi="Times New Roman" w:cs="Times New Roman"/>
        </w:rPr>
      </w:pPr>
      <w:r>
        <w:rPr>
          <w:rFonts w:ascii="Times New Roman" w:hAnsi="Times New Roman" w:cs="Times New Roman"/>
        </w:rPr>
        <w:t xml:space="preserve">  </w:t>
      </w:r>
      <w:r w:rsidR="0078740D">
        <w:rPr>
          <w:rFonts w:ascii="Times New Roman" w:hAnsi="Times New Roman" w:cs="Times New Roman"/>
          <w:noProof/>
        </w:rPr>
        <w:drawing>
          <wp:inline distT="0" distB="0" distL="0" distR="0" wp14:anchorId="58BF4B8F" wp14:editId="2A619329">
            <wp:extent cx="5069734" cy="5184648"/>
            <wp:effectExtent l="0" t="0" r="1079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82">
                      <a:extLst>
                        <a:ext uri="{28A0092B-C50C-407E-A947-70E740481C1C}">
                          <a14:useLocalDpi xmlns:a14="http://schemas.microsoft.com/office/drawing/2010/main" val="0"/>
                        </a:ext>
                      </a:extLst>
                    </a:blip>
                    <a:srcRect l="18115" t="1169" r="9139" b="-1"/>
                    <a:stretch/>
                  </pic:blipFill>
                  <pic:spPr bwMode="auto">
                    <a:xfrm>
                      <a:off x="0" y="0"/>
                      <a:ext cx="5073160" cy="5188151"/>
                    </a:xfrm>
                    <a:prstGeom prst="rect">
                      <a:avLst/>
                    </a:prstGeom>
                    <a:ln>
                      <a:noFill/>
                    </a:ln>
                    <a:extLst>
                      <a:ext uri="{53640926-AAD7-44d8-BBD7-CCE9431645EC}">
                        <a14:shadowObscured xmlns:a14="http://schemas.microsoft.com/office/drawing/2010/main"/>
                      </a:ext>
                    </a:extLst>
                  </pic:spPr>
                </pic:pic>
              </a:graphicData>
            </a:graphic>
          </wp:inline>
        </w:drawing>
      </w:r>
    </w:p>
    <w:p w14:paraId="44E2FF7F" w14:textId="77777777" w:rsidR="00A42E9F" w:rsidRPr="000B161C" w:rsidRDefault="00A42E9F" w:rsidP="000B161C">
      <w:pPr>
        <w:spacing w:line="360" w:lineRule="auto"/>
        <w:rPr>
          <w:rFonts w:ascii="Times New Roman" w:hAnsi="Times New Roman" w:cs="Times New Roman"/>
        </w:rPr>
      </w:pPr>
    </w:p>
    <w:p w14:paraId="313D6414" w14:textId="77777777" w:rsidR="00C664C4" w:rsidRPr="00C664C4" w:rsidRDefault="00C46B7E" w:rsidP="00C664C4">
      <w:pPr>
        <w:pStyle w:val="Caption"/>
      </w:pPr>
      <w:bookmarkStart w:id="1803" w:name="_Toc333585254"/>
      <w:bookmarkStart w:id="1804" w:name="_Toc333586806"/>
      <w:bookmarkStart w:id="1805" w:name="_Toc333644505"/>
      <w:bookmarkStart w:id="1806" w:name="_Toc333644799"/>
      <w:r w:rsidRPr="00C664C4">
        <w:rPr>
          <w:rStyle w:val="Heading5Char"/>
          <w:rFonts w:eastAsiaTheme="minorEastAsia" w:cstheme="minorBidi"/>
          <w:b/>
          <w:color w:val="auto"/>
        </w:rPr>
        <w:t xml:space="preserve">Figure </w:t>
      </w:r>
      <w:r w:rsidR="00E508B2" w:rsidRPr="00C664C4">
        <w:rPr>
          <w:rStyle w:val="Heading5Char"/>
          <w:rFonts w:eastAsiaTheme="minorEastAsia" w:cstheme="minorBidi"/>
          <w:b/>
          <w:color w:val="auto"/>
        </w:rPr>
        <w:t>5.1</w:t>
      </w:r>
      <w:r w:rsidR="0043060F" w:rsidRPr="00C664C4">
        <w:rPr>
          <w:rStyle w:val="Heading5Char"/>
          <w:rFonts w:eastAsiaTheme="minorEastAsia" w:cstheme="minorBidi"/>
          <w:b/>
          <w:color w:val="auto"/>
        </w:rPr>
        <w:t>.</w:t>
      </w:r>
      <w:r w:rsidRPr="00C664C4">
        <w:rPr>
          <w:rStyle w:val="Heading5Char"/>
          <w:rFonts w:eastAsiaTheme="minorEastAsia" w:cstheme="minorBidi"/>
          <w:b/>
          <w:color w:val="auto"/>
        </w:rPr>
        <w:t xml:space="preserve"> Outline of the experimental workflow</w:t>
      </w:r>
      <w:r w:rsidR="00BF035C" w:rsidRPr="00C664C4">
        <w:rPr>
          <w:rStyle w:val="Heading5Char"/>
          <w:rFonts w:eastAsiaTheme="minorEastAsia" w:cstheme="minorBidi"/>
          <w:b/>
          <w:color w:val="auto"/>
        </w:rPr>
        <w:t xml:space="preserve"> for the treatment, co-culture and separation of human astrocytes and LUHMES prior to gene expression profiling.</w:t>
      </w:r>
      <w:r w:rsidRPr="00C664C4">
        <w:rPr>
          <w:rStyle w:val="Heading5Char"/>
          <w:rFonts w:eastAsiaTheme="minorEastAsia" w:cstheme="minorBidi"/>
          <w:b/>
          <w:color w:val="auto"/>
        </w:rPr>
        <w:t xml:space="preserve"> to assess the gene expression profile of IGF1 signalling impaired astrocytes.</w:t>
      </w:r>
      <w:bookmarkEnd w:id="1803"/>
      <w:bookmarkEnd w:id="1804"/>
      <w:bookmarkEnd w:id="1805"/>
      <w:bookmarkEnd w:id="1806"/>
      <w:r w:rsidR="00B5086C" w:rsidRPr="00C664C4">
        <w:t xml:space="preserve"> </w:t>
      </w:r>
    </w:p>
    <w:p w14:paraId="2065AC84" w14:textId="1B3526D0" w:rsidR="009E5564" w:rsidRPr="00C46B7E" w:rsidRDefault="00B5086C" w:rsidP="00C63BC1">
      <w:pPr>
        <w:spacing w:line="360" w:lineRule="auto"/>
        <w:jc w:val="both"/>
        <w:rPr>
          <w:rFonts w:ascii="Times New Roman" w:hAnsi="Times New Roman" w:cs="Times New Roman"/>
        </w:rPr>
      </w:pPr>
      <w:r>
        <w:rPr>
          <w:rFonts w:ascii="Times New Roman" w:hAnsi="Times New Roman" w:cs="Times New Roman"/>
        </w:rPr>
        <w:t xml:space="preserve">Astrocytes </w:t>
      </w:r>
      <w:r w:rsidR="00284E96">
        <w:rPr>
          <w:rFonts w:ascii="Times New Roman" w:hAnsi="Times New Roman" w:cs="Times New Roman"/>
        </w:rPr>
        <w:t>were cultured in the presence and absence of</w:t>
      </w:r>
      <w:r>
        <w:rPr>
          <w:rFonts w:ascii="Times New Roman" w:hAnsi="Times New Roman" w:cs="Times New Roman"/>
        </w:rPr>
        <w:t xml:space="preserve"> MAB391</w:t>
      </w:r>
      <w:r w:rsidR="00BF035C">
        <w:rPr>
          <w:rFonts w:ascii="Times New Roman" w:hAnsi="Times New Roman" w:cs="Times New Roman"/>
        </w:rPr>
        <w:t xml:space="preserve"> or IgG control</w:t>
      </w:r>
      <w:r>
        <w:rPr>
          <w:rFonts w:ascii="Times New Roman" w:hAnsi="Times New Roman" w:cs="Times New Roman"/>
        </w:rPr>
        <w:t xml:space="preserve"> for 24 hours prior to co-culturing with pre-differentiated GFP LUHMES for 72 h</w:t>
      </w:r>
      <w:r w:rsidR="00B8782A">
        <w:rPr>
          <w:rFonts w:ascii="Times New Roman" w:hAnsi="Times New Roman" w:cs="Times New Roman"/>
        </w:rPr>
        <w:t>ours. Co-cultures were then FACS</w:t>
      </w:r>
      <w:r>
        <w:rPr>
          <w:rFonts w:ascii="Times New Roman" w:hAnsi="Times New Roman" w:cs="Times New Roman"/>
        </w:rPr>
        <w:t xml:space="preserve"> sorted to enrich for neuronal and astrocyte populations. </w:t>
      </w:r>
      <w:r w:rsidR="00284E96">
        <w:rPr>
          <w:rFonts w:ascii="Times New Roman" w:hAnsi="Times New Roman" w:cs="Times New Roman"/>
        </w:rPr>
        <w:t>RNA was isolated from astrocytic</w:t>
      </w:r>
      <w:r>
        <w:rPr>
          <w:rFonts w:ascii="Times New Roman" w:hAnsi="Times New Roman" w:cs="Times New Roman"/>
        </w:rPr>
        <w:t xml:space="preserve"> populations and gene expression profiling undertaken to identify differentially expressed genes in IGF1 signalling impaired astrocytes compared with control astrocytes.</w:t>
      </w:r>
    </w:p>
    <w:p w14:paraId="0FEE4A07" w14:textId="77777777" w:rsidR="00395B55" w:rsidRDefault="00395B55">
      <w:pPr>
        <w:rPr>
          <w:rFonts w:ascii="Times New Roman" w:hAnsi="Times New Roman" w:cs="Times New Roman"/>
          <w:b/>
          <w:sz w:val="28"/>
          <w:szCs w:val="28"/>
        </w:rPr>
      </w:pPr>
    </w:p>
    <w:p w14:paraId="2C14DE31" w14:textId="3532DE5B" w:rsidR="00C42B3C" w:rsidRPr="00AA3E4D" w:rsidRDefault="003256A1" w:rsidP="00395B55">
      <w:pPr>
        <w:pStyle w:val="Heading2"/>
      </w:pPr>
      <w:bookmarkStart w:id="1807" w:name="_Toc328301188"/>
      <w:bookmarkStart w:id="1808" w:name="_Toc329593479"/>
      <w:bookmarkStart w:id="1809" w:name="_Toc331425978"/>
      <w:bookmarkStart w:id="1810" w:name="_Toc331427159"/>
      <w:bookmarkStart w:id="1811" w:name="_Toc331427531"/>
      <w:bookmarkStart w:id="1812" w:name="_Toc331427673"/>
      <w:bookmarkStart w:id="1813" w:name="_Toc332972678"/>
      <w:bookmarkStart w:id="1814" w:name="_Toc333046957"/>
      <w:bookmarkStart w:id="1815" w:name="_Toc333477304"/>
      <w:bookmarkStart w:id="1816" w:name="_Toc333478074"/>
      <w:bookmarkStart w:id="1817" w:name="_Toc333644974"/>
      <w:r w:rsidRPr="00AA3E4D">
        <w:t xml:space="preserve">5.4 </w:t>
      </w:r>
      <w:r w:rsidR="009E5564" w:rsidRPr="00AA3E4D">
        <w:t>Results</w:t>
      </w:r>
      <w:bookmarkEnd w:id="1807"/>
      <w:bookmarkEnd w:id="1808"/>
      <w:bookmarkEnd w:id="1809"/>
      <w:bookmarkEnd w:id="1810"/>
      <w:bookmarkEnd w:id="1811"/>
      <w:bookmarkEnd w:id="1812"/>
      <w:bookmarkEnd w:id="1813"/>
      <w:bookmarkEnd w:id="1814"/>
      <w:bookmarkEnd w:id="1815"/>
      <w:bookmarkEnd w:id="1816"/>
      <w:bookmarkEnd w:id="1817"/>
    </w:p>
    <w:p w14:paraId="7B1BE496" w14:textId="751A30FE" w:rsidR="000A252E" w:rsidRPr="008B6072" w:rsidRDefault="003256A1" w:rsidP="00395B55">
      <w:pPr>
        <w:pStyle w:val="Heading3"/>
      </w:pPr>
      <w:bookmarkStart w:id="1818" w:name="_Toc328301189"/>
      <w:bookmarkStart w:id="1819" w:name="_Toc329593480"/>
      <w:bookmarkStart w:id="1820" w:name="_Toc331425979"/>
      <w:bookmarkStart w:id="1821" w:name="_Toc331427160"/>
      <w:bookmarkStart w:id="1822" w:name="_Toc331427532"/>
      <w:bookmarkStart w:id="1823" w:name="_Toc331427674"/>
      <w:bookmarkStart w:id="1824" w:name="_Toc332972679"/>
      <w:bookmarkStart w:id="1825" w:name="_Toc333046958"/>
      <w:bookmarkStart w:id="1826" w:name="_Toc333477305"/>
      <w:bookmarkStart w:id="1827" w:name="_Toc333478075"/>
      <w:bookmarkStart w:id="1828" w:name="_Toc333644975"/>
      <w:r>
        <w:t xml:space="preserve">5.4.1 </w:t>
      </w:r>
      <w:bookmarkEnd w:id="1818"/>
      <w:bookmarkEnd w:id="1819"/>
      <w:r w:rsidR="00BF035C">
        <w:t>Isolating populations of astrocytes and LUHMES from co-cultures</w:t>
      </w:r>
      <w:bookmarkEnd w:id="1820"/>
      <w:bookmarkEnd w:id="1821"/>
      <w:bookmarkEnd w:id="1822"/>
      <w:bookmarkEnd w:id="1823"/>
      <w:bookmarkEnd w:id="1824"/>
      <w:bookmarkEnd w:id="1825"/>
      <w:bookmarkEnd w:id="1826"/>
      <w:bookmarkEnd w:id="1827"/>
      <w:bookmarkEnd w:id="1828"/>
    </w:p>
    <w:p w14:paraId="29265129" w14:textId="77777777" w:rsidR="00825A62" w:rsidRDefault="00825A62">
      <w:pPr>
        <w:rPr>
          <w:rFonts w:ascii="Times New Roman" w:hAnsi="Times New Roman" w:cs="Times New Roman"/>
          <w:b/>
          <w:sz w:val="40"/>
          <w:szCs w:val="40"/>
        </w:rPr>
      </w:pPr>
    </w:p>
    <w:p w14:paraId="08D663B5" w14:textId="23BBCBBB" w:rsidR="00BF035C" w:rsidRPr="00BF035C" w:rsidRDefault="00BF035C" w:rsidP="00C63BC1">
      <w:pPr>
        <w:jc w:val="both"/>
        <w:rPr>
          <w:rFonts w:ascii="Times New Roman" w:hAnsi="Times New Roman" w:cs="Times New Roman"/>
          <w:b/>
          <w:i/>
          <w:u w:val="single"/>
        </w:rPr>
      </w:pPr>
      <w:r>
        <w:rPr>
          <w:rFonts w:ascii="Times New Roman" w:hAnsi="Times New Roman" w:cs="Times New Roman"/>
          <w:b/>
          <w:i/>
          <w:u w:val="single"/>
        </w:rPr>
        <w:t>Cold-jet PBS wash technique</w:t>
      </w:r>
    </w:p>
    <w:p w14:paraId="19720A7C" w14:textId="396A40BA" w:rsidR="005B10AE" w:rsidRDefault="00BF035C" w:rsidP="00C63BC1">
      <w:pPr>
        <w:spacing w:line="360" w:lineRule="auto"/>
        <w:jc w:val="both"/>
        <w:rPr>
          <w:rFonts w:ascii="Times New Roman" w:hAnsi="Times New Roman" w:cs="Times New Roman"/>
        </w:rPr>
      </w:pPr>
      <w:r>
        <w:rPr>
          <w:rFonts w:ascii="Times New Roman" w:hAnsi="Times New Roman" w:cs="Times New Roman"/>
        </w:rPr>
        <w:t xml:space="preserve">To identify the individual changes that occur in astrocytes in the co-culture system a protocol needed to be established to separate the astrocytes and neurons from each other in the co-culture system. </w:t>
      </w:r>
      <w:r w:rsidR="00284E96">
        <w:rPr>
          <w:rFonts w:ascii="Times New Roman" w:hAnsi="Times New Roman" w:cs="Times New Roman"/>
        </w:rPr>
        <w:t xml:space="preserve">Goudriaan </w:t>
      </w:r>
      <w:r w:rsidR="00284E96" w:rsidRPr="003A4038">
        <w:rPr>
          <w:rFonts w:ascii="Times New Roman" w:hAnsi="Times New Roman" w:cs="Times New Roman"/>
          <w:i/>
        </w:rPr>
        <w:t>et al</w:t>
      </w:r>
      <w:r w:rsidR="00284E96">
        <w:rPr>
          <w:rFonts w:ascii="Times New Roman" w:hAnsi="Times New Roman" w:cs="Times New Roman"/>
        </w:rPr>
        <w:t xml:space="preserve"> (2014) demonstrated successful separation of a</w:t>
      </w:r>
      <w:r w:rsidR="00825A62">
        <w:rPr>
          <w:rFonts w:ascii="Times New Roman" w:hAnsi="Times New Roman" w:cs="Times New Roman"/>
        </w:rPr>
        <w:t xml:space="preserve">strocyte-neuronal co-cultures by cold-jet PBS wash. </w:t>
      </w:r>
      <w:r w:rsidR="0018736C">
        <w:rPr>
          <w:rFonts w:ascii="Times New Roman" w:hAnsi="Times New Roman" w:cs="Times New Roman"/>
        </w:rPr>
        <w:t xml:space="preserve"> This </w:t>
      </w:r>
      <w:r w:rsidR="00B65303">
        <w:rPr>
          <w:rFonts w:ascii="Times New Roman" w:hAnsi="Times New Roman" w:cs="Times New Roman"/>
        </w:rPr>
        <w:t xml:space="preserve">technique </w:t>
      </w:r>
      <w:r w:rsidR="0018736C">
        <w:rPr>
          <w:rFonts w:ascii="Times New Roman" w:hAnsi="Times New Roman" w:cs="Times New Roman"/>
        </w:rPr>
        <w:t xml:space="preserve">is </w:t>
      </w:r>
      <w:r w:rsidR="00B65303">
        <w:rPr>
          <w:rFonts w:ascii="Times New Roman" w:hAnsi="Times New Roman" w:cs="Times New Roman"/>
        </w:rPr>
        <w:t xml:space="preserve">reported to achieve </w:t>
      </w:r>
      <w:r w:rsidR="00E86889">
        <w:rPr>
          <w:rFonts w:ascii="Times New Roman" w:hAnsi="Times New Roman" w:cs="Times New Roman"/>
        </w:rPr>
        <w:t>removal of 90% of neuronal bodies and asso</w:t>
      </w:r>
      <w:r w:rsidR="0018736C">
        <w:rPr>
          <w:rFonts w:ascii="Times New Roman" w:hAnsi="Times New Roman" w:cs="Times New Roman"/>
        </w:rPr>
        <w:t>ciated neurons from co-cultured</w:t>
      </w:r>
      <w:r w:rsidR="00E86889">
        <w:rPr>
          <w:rFonts w:ascii="Times New Roman" w:hAnsi="Times New Roman" w:cs="Times New Roman"/>
        </w:rPr>
        <w:t xml:space="preserve"> astrocytes </w:t>
      </w:r>
      <w:r w:rsidR="00E8688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"10.3389/fncel.2014.00012", "ISSN" : "1662-5102", "PMID" : "24523672", "abstract" : "Over the last decade, the importance of astrocyte-neuron communication in neuronal development and synaptic plasticity has become increasingly clear. Since neuron-astrocyte interactions represent highly dynamic and reciprocal processes, we hypothesized that many astrocyte genes may be regulated as a consequence of their interactions with maturing neurons. In order to identify such neuron-responsive astrocyte genes in vitro, we sought to establish an expedited technique for separation of neurons from co-cultured astrocytes. Our newly established method makes use of cold jet, which exploits different adhesion characteristics of subpopulations of cells (Jirsova etal., 1997), and is rapid, performed under ice-cold conditions and avoids protease-mediated isolation of astrocytes or time-consuming centrifugation, yielding intact astrocyte mRNA with approximately 90% of neuronal RNA removed. Using this purification method, we executed genome-wide profiling in which RNA derived from astrocyte-only cultures was compared with astrocyte RNA derived from differentiating neuron-astrocyte co-cultures. Data analysis determined that many astrocytic mRNAs and biological processes are regulated by neuronal interaction. Our results validate the cold jet as an efficient method to separate astrocytes from neurons in co-culture, and reveals that neurons induce robust gene-expression changes in co-cultured astrocytes.", "author" : [ { "dropping-particle" : "", "family" : "Goudriaan", "given" : "Andrea", "non-dropping-particle" : "", "parse-names" : false, "suffix" : "" }, { "dropping-particle" : "", "family" : "Camargo", "given" : "Nutabi", "non-dropping-particle" : "", "parse-names" : false, "suffix" : "" }, { "dropping-particle" : "", "family" : "Carney", "given" : "Karen E", "non-dropping-particle" : "", "parse-names" : false, "suffix" : "" }, { "dropping-particle" : "", "family" : "Oliet", "given" : "St\u00e9phane H R", "non-dropping-particle" : "", "parse-names" : false, "suffix" : "" }, { "dropping-particle" : "", "family" : "Smit", "given" : "August B", "non-dropping-particle" : "", "parse-names" : false, "suffix" : "" }, { "dropping-particle" : "", "family" : "Verheijen", "given" : "Mark H G", "non-dropping-particle" : "", "parse-names" : false, "suffix" : "" } ], "container-title" : "Frontiers in cellular neuroscience", "id" : "ITEM-1", "issued" : { "date-parts" : [ [ "2014", "1", "30" ] ] }, "language" : "English", "page" : "12", "publisher" : "Frontiers", "title" : "Novel cell separation method for molecular analysis of neuron-astrocyte co-cultures.", "type" : "article-journal", "volume" : "8" }, "uris" : [ "http://www.mendeley.com/documents/?uuid=8b0c08f1-fbc3-47dd-ac12-a31970da9103" ] } ], "mendeley" : { "formattedCitation" : "(Goudriaan et al. 2014)", "plainTextFormattedCitation" : "(Goudriaan et al. 2014)", "previouslyFormattedCitation" : "(Goudriaan et al. 2014)" }, "properties" : { "noteIndex" : 0 }, "schema" : "https://github.com/citation-style-language/schema/raw/master/csl-citation.json" }</w:instrText>
      </w:r>
      <w:r w:rsidR="00E86889">
        <w:rPr>
          <w:rFonts w:ascii="Times New Roman" w:hAnsi="Times New Roman" w:cs="Times New Roman"/>
        </w:rPr>
        <w:fldChar w:fldCharType="separate"/>
      </w:r>
      <w:r w:rsidR="00C148FC" w:rsidRPr="00C148FC">
        <w:rPr>
          <w:rFonts w:ascii="Times New Roman" w:hAnsi="Times New Roman" w:cs="Times New Roman"/>
          <w:noProof/>
        </w:rPr>
        <w:t>(Goudriaan et al. 2014)</w:t>
      </w:r>
      <w:r w:rsidR="00E86889">
        <w:rPr>
          <w:rFonts w:ascii="Times New Roman" w:hAnsi="Times New Roman" w:cs="Times New Roman"/>
        </w:rPr>
        <w:fldChar w:fldCharType="end"/>
      </w:r>
      <w:r w:rsidR="0018736C">
        <w:rPr>
          <w:rFonts w:ascii="Times New Roman" w:hAnsi="Times New Roman" w:cs="Times New Roman"/>
        </w:rPr>
        <w:t xml:space="preserve"> and is based on cold PBS causing </w:t>
      </w:r>
      <w:r w:rsidR="00B65303">
        <w:rPr>
          <w:rFonts w:ascii="Times New Roman" w:hAnsi="Times New Roman" w:cs="Times New Roman"/>
        </w:rPr>
        <w:t xml:space="preserve">preferential detachment of neurons from the astrocytes. </w:t>
      </w:r>
    </w:p>
    <w:p w14:paraId="179B09CD" w14:textId="77777777" w:rsidR="00F5676D" w:rsidRDefault="005B10AE" w:rsidP="00C63BC1">
      <w:pPr>
        <w:spacing w:line="360" w:lineRule="auto"/>
        <w:jc w:val="both"/>
        <w:rPr>
          <w:rFonts w:ascii="Times New Roman" w:hAnsi="Times New Roman" w:cs="Times New Roman"/>
        </w:rPr>
      </w:pPr>
      <w:r>
        <w:rPr>
          <w:rFonts w:ascii="Times New Roman" w:hAnsi="Times New Roman" w:cs="Times New Roman"/>
        </w:rPr>
        <w:t xml:space="preserve"> </w:t>
      </w:r>
    </w:p>
    <w:p w14:paraId="3E0460CB" w14:textId="6B2DD62F" w:rsidR="00825A62" w:rsidRPr="00825A62" w:rsidRDefault="00B65303" w:rsidP="00C63BC1">
      <w:pPr>
        <w:spacing w:line="360" w:lineRule="auto"/>
        <w:jc w:val="both"/>
        <w:rPr>
          <w:rFonts w:ascii="Times New Roman" w:hAnsi="Times New Roman" w:cs="Times New Roman"/>
        </w:rPr>
      </w:pPr>
      <w:r>
        <w:rPr>
          <w:rFonts w:ascii="Times New Roman" w:hAnsi="Times New Roman" w:cs="Times New Roman"/>
        </w:rPr>
        <w:t xml:space="preserve">Co-cultures were set up </w:t>
      </w:r>
      <w:r w:rsidR="00157309">
        <w:rPr>
          <w:rFonts w:ascii="Times New Roman" w:hAnsi="Times New Roman" w:cs="Times New Roman"/>
        </w:rPr>
        <w:t>by plating</w:t>
      </w:r>
      <w:r w:rsidR="00192498">
        <w:rPr>
          <w:rFonts w:ascii="Times New Roman" w:hAnsi="Times New Roman" w:cs="Times New Roman"/>
        </w:rPr>
        <w:t xml:space="preserve"> two-day pre-differentiated neurons on</w:t>
      </w:r>
      <w:r w:rsidR="00157309">
        <w:rPr>
          <w:rFonts w:ascii="Times New Roman" w:hAnsi="Times New Roman" w:cs="Times New Roman"/>
        </w:rPr>
        <w:t xml:space="preserve"> </w:t>
      </w:r>
      <w:r w:rsidR="00192498">
        <w:rPr>
          <w:rFonts w:ascii="Times New Roman" w:hAnsi="Times New Roman" w:cs="Times New Roman"/>
        </w:rPr>
        <w:t>top</w:t>
      </w:r>
      <w:r w:rsidR="00157309">
        <w:rPr>
          <w:rFonts w:ascii="Times New Roman" w:hAnsi="Times New Roman" w:cs="Times New Roman"/>
        </w:rPr>
        <w:t xml:space="preserve"> of astrocytes</w:t>
      </w:r>
      <w:r w:rsidR="0018736C">
        <w:rPr>
          <w:rFonts w:ascii="Times New Roman" w:hAnsi="Times New Roman" w:cs="Times New Roman"/>
        </w:rPr>
        <w:t xml:space="preserve"> and cells were</w:t>
      </w:r>
      <w:r w:rsidR="00F5676D">
        <w:rPr>
          <w:rFonts w:ascii="Times New Roman" w:hAnsi="Times New Roman" w:cs="Times New Roman"/>
        </w:rPr>
        <w:t xml:space="preserve"> then</w:t>
      </w:r>
      <w:r w:rsidR="0018736C">
        <w:rPr>
          <w:rFonts w:ascii="Times New Roman" w:hAnsi="Times New Roman" w:cs="Times New Roman"/>
        </w:rPr>
        <w:t xml:space="preserve"> co-cultured for 72 hours</w:t>
      </w:r>
      <w:r w:rsidR="00192498">
        <w:rPr>
          <w:rFonts w:ascii="Times New Roman" w:hAnsi="Times New Roman" w:cs="Times New Roman"/>
        </w:rPr>
        <w:t>. Ice-</w:t>
      </w:r>
      <w:r>
        <w:rPr>
          <w:rFonts w:ascii="Times New Roman" w:hAnsi="Times New Roman" w:cs="Times New Roman"/>
        </w:rPr>
        <w:t xml:space="preserve">cold PBS was </w:t>
      </w:r>
      <w:r w:rsidR="00192498">
        <w:rPr>
          <w:rFonts w:ascii="Times New Roman" w:hAnsi="Times New Roman" w:cs="Times New Roman"/>
        </w:rPr>
        <w:t>ejected quickly</w:t>
      </w:r>
      <w:r w:rsidR="00882F98">
        <w:rPr>
          <w:rFonts w:ascii="Times New Roman" w:hAnsi="Times New Roman" w:cs="Times New Roman"/>
        </w:rPr>
        <w:t xml:space="preserve"> from a pipette</w:t>
      </w:r>
      <w:r w:rsidR="00192498">
        <w:rPr>
          <w:rFonts w:ascii="Times New Roman" w:hAnsi="Times New Roman" w:cs="Times New Roman"/>
        </w:rPr>
        <w:t xml:space="preserve"> onto the cells </w:t>
      </w:r>
      <w:r w:rsidR="00C671C6">
        <w:rPr>
          <w:rFonts w:ascii="Times New Roman" w:hAnsi="Times New Roman" w:cs="Times New Roman"/>
        </w:rPr>
        <w:t>in a</w:t>
      </w:r>
      <w:r w:rsidR="00192498">
        <w:rPr>
          <w:rFonts w:ascii="Times New Roman" w:hAnsi="Times New Roman" w:cs="Times New Roman"/>
        </w:rPr>
        <w:t xml:space="preserve"> concentric </w:t>
      </w:r>
      <w:r w:rsidR="00C671C6">
        <w:rPr>
          <w:rFonts w:ascii="Times New Roman" w:hAnsi="Times New Roman" w:cs="Times New Roman"/>
        </w:rPr>
        <w:t>circ</w:t>
      </w:r>
      <w:r w:rsidR="00EA21B2">
        <w:rPr>
          <w:rFonts w:ascii="Times New Roman" w:hAnsi="Times New Roman" w:cs="Times New Roman"/>
        </w:rPr>
        <w:t xml:space="preserve">ling motion (as described by Goudriaan </w:t>
      </w:r>
      <w:r w:rsidR="00EA21B2">
        <w:rPr>
          <w:rFonts w:ascii="Times New Roman" w:hAnsi="Times New Roman" w:cs="Times New Roman"/>
          <w:i/>
        </w:rPr>
        <w:t xml:space="preserve">et al, </w:t>
      </w:r>
      <w:r w:rsidR="00EA21B2">
        <w:rPr>
          <w:rFonts w:ascii="Times New Roman" w:hAnsi="Times New Roman" w:cs="Times New Roman"/>
        </w:rPr>
        <w:t xml:space="preserve">2014) </w:t>
      </w:r>
      <w:r>
        <w:rPr>
          <w:rFonts w:ascii="Times New Roman" w:hAnsi="Times New Roman" w:cs="Times New Roman"/>
        </w:rPr>
        <w:t xml:space="preserve">to detach </w:t>
      </w:r>
      <w:r w:rsidR="00EA21B2">
        <w:rPr>
          <w:rFonts w:ascii="Times New Roman" w:hAnsi="Times New Roman" w:cs="Times New Roman"/>
        </w:rPr>
        <w:t xml:space="preserve">the upper layer of </w:t>
      </w:r>
      <w:r>
        <w:rPr>
          <w:rFonts w:ascii="Times New Roman" w:hAnsi="Times New Roman" w:cs="Times New Roman"/>
        </w:rPr>
        <w:t>neurons from astro</w:t>
      </w:r>
      <w:r w:rsidR="00157309">
        <w:rPr>
          <w:rFonts w:ascii="Times New Roman" w:hAnsi="Times New Roman" w:cs="Times New Roman"/>
        </w:rPr>
        <w:t>cytes. Despite observing detachment of neurons</w:t>
      </w:r>
      <w:r>
        <w:rPr>
          <w:rFonts w:ascii="Times New Roman" w:hAnsi="Times New Roman" w:cs="Times New Roman"/>
        </w:rPr>
        <w:t xml:space="preserve"> from astrocytes under the microscope, </w:t>
      </w:r>
      <w:r w:rsidR="000B2168">
        <w:rPr>
          <w:rFonts w:ascii="Times New Roman" w:hAnsi="Times New Roman" w:cs="Times New Roman"/>
        </w:rPr>
        <w:t>western blotting</w:t>
      </w:r>
      <w:r w:rsidR="005B10AE">
        <w:rPr>
          <w:rFonts w:ascii="Times New Roman" w:hAnsi="Times New Roman" w:cs="Times New Roman"/>
        </w:rPr>
        <w:t xml:space="preserve"> </w:t>
      </w:r>
      <w:r w:rsidR="00157309">
        <w:rPr>
          <w:rFonts w:ascii="Times New Roman" w:hAnsi="Times New Roman" w:cs="Times New Roman"/>
        </w:rPr>
        <w:t>suggested</w:t>
      </w:r>
      <w:r w:rsidR="005B10AE">
        <w:rPr>
          <w:rFonts w:ascii="Times New Roman" w:hAnsi="Times New Roman" w:cs="Times New Roman"/>
        </w:rPr>
        <w:t xml:space="preserve"> </w:t>
      </w:r>
      <w:r w:rsidR="000B2168">
        <w:rPr>
          <w:rFonts w:ascii="Times New Roman" w:hAnsi="Times New Roman" w:cs="Times New Roman"/>
        </w:rPr>
        <w:t>cross-</w:t>
      </w:r>
      <w:r>
        <w:rPr>
          <w:rFonts w:ascii="Times New Roman" w:hAnsi="Times New Roman" w:cs="Times New Roman"/>
        </w:rPr>
        <w:t xml:space="preserve">contamination of </w:t>
      </w:r>
      <w:r w:rsidR="005B10AE">
        <w:rPr>
          <w:rFonts w:ascii="Times New Roman" w:hAnsi="Times New Roman" w:cs="Times New Roman"/>
        </w:rPr>
        <w:t xml:space="preserve">the astrocyte and neuronal populations </w:t>
      </w:r>
      <w:r w:rsidR="00192498">
        <w:rPr>
          <w:rFonts w:ascii="Times New Roman" w:hAnsi="Times New Roman" w:cs="Times New Roman"/>
        </w:rPr>
        <w:t>(</w:t>
      </w:r>
      <w:r w:rsidR="00192498" w:rsidRPr="000273AF">
        <w:rPr>
          <w:rFonts w:ascii="Times New Roman" w:hAnsi="Times New Roman" w:cs="Times New Roman"/>
          <w:b/>
        </w:rPr>
        <w:t xml:space="preserve">figure </w:t>
      </w:r>
      <w:r w:rsidR="00E508B2" w:rsidRPr="000273AF">
        <w:rPr>
          <w:rFonts w:ascii="Times New Roman" w:hAnsi="Times New Roman" w:cs="Times New Roman"/>
          <w:b/>
        </w:rPr>
        <w:t>5.2</w:t>
      </w:r>
      <w:r w:rsidR="00192498">
        <w:rPr>
          <w:rFonts w:ascii="Times New Roman" w:hAnsi="Times New Roman" w:cs="Times New Roman"/>
        </w:rPr>
        <w:t>)</w:t>
      </w:r>
      <w:r>
        <w:rPr>
          <w:rFonts w:ascii="Times New Roman" w:hAnsi="Times New Roman" w:cs="Times New Roman"/>
        </w:rPr>
        <w:t>.</w:t>
      </w:r>
      <w:r w:rsidR="00192498">
        <w:rPr>
          <w:rFonts w:ascii="Times New Roman" w:hAnsi="Times New Roman" w:cs="Times New Roman"/>
        </w:rPr>
        <w:t xml:space="preserve"> </w:t>
      </w:r>
      <w:r w:rsidR="00202DB3">
        <w:rPr>
          <w:rFonts w:ascii="Times New Roman" w:hAnsi="Times New Roman" w:cs="Times New Roman"/>
        </w:rPr>
        <w:t>NFL (neurofilament light</w:t>
      </w:r>
      <w:r w:rsidR="005B10AE">
        <w:rPr>
          <w:rFonts w:ascii="Times New Roman" w:hAnsi="Times New Roman" w:cs="Times New Roman"/>
        </w:rPr>
        <w:t xml:space="preserve">) was used to </w:t>
      </w:r>
      <w:r w:rsidR="0018736C">
        <w:rPr>
          <w:rFonts w:ascii="Times New Roman" w:hAnsi="Times New Roman" w:cs="Times New Roman"/>
        </w:rPr>
        <w:t>detect neurons and GFAP to detect astrocytes. Due to t</w:t>
      </w:r>
      <w:r w:rsidR="00F5676D">
        <w:rPr>
          <w:rFonts w:ascii="Times New Roman" w:hAnsi="Times New Roman" w:cs="Times New Roman"/>
        </w:rPr>
        <w:t>he degree of cross contamination</w:t>
      </w:r>
      <w:r w:rsidR="0018736C">
        <w:rPr>
          <w:rFonts w:ascii="Times New Roman" w:hAnsi="Times New Roman" w:cs="Times New Roman"/>
        </w:rPr>
        <w:t xml:space="preserve">, an alternative method was developed to separate the cell populations. </w:t>
      </w:r>
    </w:p>
    <w:p w14:paraId="778C1438" w14:textId="15349F61" w:rsidR="00821AB8" w:rsidRPr="007B319A" w:rsidRDefault="00394C9A" w:rsidP="00C63BC1">
      <w:pPr>
        <w:jc w:val="both"/>
        <w:rPr>
          <w:rFonts w:ascii="Times New Roman" w:hAnsi="Times New Roman" w:cs="Times New Roman"/>
          <w:b/>
        </w:rPr>
      </w:pPr>
      <w:r>
        <w:rPr>
          <w:rFonts w:ascii="Times New Roman" w:hAnsi="Times New Roman" w:cs="Times New Roman"/>
          <w:b/>
        </w:rPr>
        <w:t xml:space="preserve">  </w:t>
      </w:r>
    </w:p>
    <w:p w14:paraId="439AB3ED" w14:textId="77777777" w:rsidR="00395B55" w:rsidRDefault="00395B55" w:rsidP="00C63BC1">
      <w:pPr>
        <w:jc w:val="both"/>
        <w:rPr>
          <w:rFonts w:ascii="Times New Roman" w:hAnsi="Times New Roman" w:cs="Times New Roman"/>
          <w:b/>
          <w:sz w:val="32"/>
          <w:szCs w:val="32"/>
        </w:rPr>
      </w:pPr>
    </w:p>
    <w:p w14:paraId="20F56C95" w14:textId="77777777" w:rsidR="00395B55" w:rsidRDefault="00395B55" w:rsidP="00C63BC1">
      <w:pPr>
        <w:jc w:val="both"/>
        <w:rPr>
          <w:rFonts w:ascii="Times New Roman" w:hAnsi="Times New Roman" w:cs="Times New Roman"/>
          <w:b/>
          <w:sz w:val="32"/>
          <w:szCs w:val="32"/>
        </w:rPr>
      </w:pPr>
    </w:p>
    <w:p w14:paraId="02534FAC" w14:textId="77777777" w:rsidR="00395B55" w:rsidRDefault="00395B55" w:rsidP="00C63BC1">
      <w:pPr>
        <w:jc w:val="both"/>
        <w:rPr>
          <w:rFonts w:ascii="Times New Roman" w:hAnsi="Times New Roman" w:cs="Times New Roman"/>
          <w:b/>
          <w:sz w:val="32"/>
          <w:szCs w:val="32"/>
        </w:rPr>
      </w:pPr>
    </w:p>
    <w:p w14:paraId="51242E29" w14:textId="77777777" w:rsidR="00395B55" w:rsidRDefault="00395B55" w:rsidP="00C63BC1">
      <w:pPr>
        <w:jc w:val="both"/>
        <w:rPr>
          <w:rFonts w:ascii="Times New Roman" w:hAnsi="Times New Roman" w:cs="Times New Roman"/>
          <w:b/>
          <w:sz w:val="32"/>
          <w:szCs w:val="32"/>
        </w:rPr>
      </w:pPr>
    </w:p>
    <w:p w14:paraId="740BA8F8" w14:textId="77777777" w:rsidR="00395B55" w:rsidRDefault="00395B55" w:rsidP="00C63BC1">
      <w:pPr>
        <w:jc w:val="both"/>
        <w:rPr>
          <w:rFonts w:ascii="Times New Roman" w:hAnsi="Times New Roman" w:cs="Times New Roman"/>
          <w:b/>
          <w:sz w:val="32"/>
          <w:szCs w:val="32"/>
        </w:rPr>
      </w:pPr>
    </w:p>
    <w:p w14:paraId="7E5E2D46" w14:textId="77777777" w:rsidR="00395B55" w:rsidRDefault="00395B55" w:rsidP="00C63BC1">
      <w:pPr>
        <w:jc w:val="both"/>
        <w:rPr>
          <w:rFonts w:ascii="Times New Roman" w:hAnsi="Times New Roman" w:cs="Times New Roman"/>
          <w:b/>
          <w:sz w:val="32"/>
          <w:szCs w:val="32"/>
        </w:rPr>
      </w:pPr>
    </w:p>
    <w:p w14:paraId="2DE18B15" w14:textId="77777777" w:rsidR="00F602B0" w:rsidRDefault="00F602B0" w:rsidP="00C63BC1">
      <w:pPr>
        <w:jc w:val="both"/>
        <w:rPr>
          <w:rFonts w:ascii="Times New Roman" w:hAnsi="Times New Roman" w:cs="Times New Roman"/>
          <w:b/>
          <w:color w:val="FF0000"/>
          <w:sz w:val="32"/>
          <w:szCs w:val="32"/>
        </w:rPr>
      </w:pPr>
    </w:p>
    <w:p w14:paraId="709FAFED" w14:textId="77777777" w:rsidR="00153A5F" w:rsidRDefault="00153A5F" w:rsidP="00C63BC1">
      <w:pPr>
        <w:jc w:val="both"/>
        <w:rPr>
          <w:rFonts w:ascii="Times New Roman" w:hAnsi="Times New Roman" w:cs="Times New Roman"/>
          <w:b/>
          <w:color w:val="FF0000"/>
          <w:sz w:val="32"/>
          <w:szCs w:val="32"/>
        </w:rPr>
      </w:pPr>
    </w:p>
    <w:p w14:paraId="392CFE20" w14:textId="77777777" w:rsidR="00153A5F" w:rsidRDefault="00153A5F" w:rsidP="00C63BC1">
      <w:pPr>
        <w:jc w:val="both"/>
        <w:rPr>
          <w:rFonts w:ascii="Times New Roman" w:hAnsi="Times New Roman" w:cs="Times New Roman"/>
          <w:b/>
          <w:sz w:val="32"/>
          <w:szCs w:val="32"/>
        </w:rPr>
      </w:pPr>
    </w:p>
    <w:p w14:paraId="1941634C" w14:textId="77777777" w:rsidR="00AA21C2" w:rsidRDefault="00AA21C2" w:rsidP="00C63BC1">
      <w:pPr>
        <w:jc w:val="both"/>
        <w:rPr>
          <w:rFonts w:ascii="Times New Roman" w:hAnsi="Times New Roman" w:cs="Times New Roman"/>
          <w:b/>
          <w:sz w:val="32"/>
          <w:szCs w:val="32"/>
        </w:rPr>
      </w:pPr>
    </w:p>
    <w:p w14:paraId="7C8B25D6" w14:textId="77777777" w:rsidR="00AA21C2" w:rsidRDefault="00AA21C2" w:rsidP="00C63BC1">
      <w:pPr>
        <w:jc w:val="both"/>
        <w:rPr>
          <w:rFonts w:ascii="Times New Roman" w:hAnsi="Times New Roman" w:cs="Times New Roman"/>
          <w:b/>
          <w:sz w:val="32"/>
          <w:szCs w:val="32"/>
        </w:rPr>
      </w:pPr>
    </w:p>
    <w:p w14:paraId="01376AAC" w14:textId="77777777" w:rsidR="00AA21C2" w:rsidRDefault="00AA21C2" w:rsidP="00C63BC1">
      <w:pPr>
        <w:jc w:val="both"/>
        <w:rPr>
          <w:rFonts w:ascii="Times New Roman" w:hAnsi="Times New Roman" w:cs="Times New Roman"/>
          <w:b/>
          <w:sz w:val="32"/>
          <w:szCs w:val="32"/>
        </w:rPr>
      </w:pPr>
    </w:p>
    <w:p w14:paraId="4603F990" w14:textId="77777777" w:rsidR="00AA21C2" w:rsidRDefault="00AA21C2" w:rsidP="00C63BC1">
      <w:pPr>
        <w:jc w:val="both"/>
        <w:rPr>
          <w:rFonts w:ascii="Times New Roman" w:hAnsi="Times New Roman" w:cs="Times New Roman"/>
          <w:b/>
          <w:sz w:val="32"/>
          <w:szCs w:val="32"/>
        </w:rPr>
      </w:pPr>
    </w:p>
    <w:p w14:paraId="76ECA456" w14:textId="77777777" w:rsidR="00F602B0" w:rsidRDefault="00F602B0">
      <w:pPr>
        <w:rPr>
          <w:rFonts w:ascii="Times New Roman" w:hAnsi="Times New Roman" w:cs="Times New Roman"/>
          <w:b/>
          <w:sz w:val="32"/>
          <w:szCs w:val="32"/>
        </w:rPr>
      </w:pPr>
      <w:r>
        <w:rPr>
          <w:rFonts w:ascii="Times New Roman" w:hAnsi="Times New Roman" w:cs="Times New Roman"/>
          <w:b/>
          <w:sz w:val="32"/>
          <w:szCs w:val="32"/>
        </w:rPr>
        <w:t>A.</w:t>
      </w:r>
    </w:p>
    <w:p w14:paraId="3BED1B1B" w14:textId="77777777" w:rsidR="00F602B0" w:rsidRDefault="00F602B0">
      <w:pPr>
        <w:rPr>
          <w:rFonts w:ascii="Times New Roman" w:hAnsi="Times New Roman" w:cs="Times New Roman"/>
          <w:b/>
          <w:sz w:val="32"/>
          <w:szCs w:val="32"/>
        </w:rPr>
      </w:pPr>
    </w:p>
    <w:p w14:paraId="40A16092" w14:textId="7BE57863" w:rsidR="00F602B0" w:rsidRDefault="00F602B0">
      <w:pPr>
        <w:rPr>
          <w:rFonts w:ascii="Times New Roman" w:hAnsi="Times New Roman" w:cs="Times New Roman"/>
          <w:b/>
          <w:sz w:val="32"/>
          <w:szCs w:val="32"/>
        </w:rPr>
      </w:pPr>
      <w:r>
        <w:rPr>
          <w:rFonts w:ascii="Times New Roman" w:hAnsi="Times New Roman" w:cs="Times New Roman"/>
          <w:b/>
          <w:sz w:val="32"/>
          <w:szCs w:val="32"/>
        </w:rPr>
        <w:t xml:space="preserve">  </w:t>
      </w:r>
      <w:r>
        <w:rPr>
          <w:rFonts w:ascii="Times New Roman" w:hAnsi="Times New Roman" w:cs="Times New Roman"/>
          <w:b/>
          <w:noProof/>
          <w:sz w:val="32"/>
          <w:szCs w:val="32"/>
        </w:rPr>
        <w:drawing>
          <wp:inline distT="0" distB="0" distL="0" distR="0" wp14:anchorId="315A6456" wp14:editId="5E67FA93">
            <wp:extent cx="5255546" cy="1569889"/>
            <wp:effectExtent l="0" t="0" r="2540" b="5080"/>
            <wp:docPr id="1073741842" name="Picture 107374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83">
                      <a:extLst>
                        <a:ext uri="{28A0092B-C50C-407E-A947-70E740481C1C}">
                          <a14:useLocalDpi xmlns:a14="http://schemas.microsoft.com/office/drawing/2010/main" val="0"/>
                        </a:ext>
                      </a:extLst>
                    </a:blip>
                    <a:srcRect l="8117" t="59841" r="8765" b="7047"/>
                    <a:stretch/>
                  </pic:blipFill>
                  <pic:spPr bwMode="auto">
                    <a:xfrm>
                      <a:off x="0" y="0"/>
                      <a:ext cx="5260265" cy="1571299"/>
                    </a:xfrm>
                    <a:prstGeom prst="rect">
                      <a:avLst/>
                    </a:prstGeom>
                    <a:ln>
                      <a:noFill/>
                    </a:ln>
                    <a:extLst>
                      <a:ext uri="{53640926-AAD7-44d8-BBD7-CCE9431645EC}">
                        <a14:shadowObscured xmlns:a14="http://schemas.microsoft.com/office/drawing/2010/main"/>
                      </a:ext>
                    </a:extLst>
                  </pic:spPr>
                </pic:pic>
              </a:graphicData>
            </a:graphic>
          </wp:inline>
        </w:drawing>
      </w:r>
    </w:p>
    <w:p w14:paraId="3BE64EB3" w14:textId="2BDD2DD3" w:rsidR="00284E96" w:rsidRPr="00284E96" w:rsidRDefault="00F602B0">
      <w:pPr>
        <w:rPr>
          <w:rFonts w:ascii="Times New Roman" w:hAnsi="Times New Roman" w:cs="Times New Roman"/>
          <w:b/>
          <w:sz w:val="32"/>
          <w:szCs w:val="32"/>
        </w:rPr>
      </w:pPr>
      <w:r>
        <w:rPr>
          <w:rFonts w:ascii="Times New Roman" w:hAnsi="Times New Roman" w:cs="Times New Roman"/>
          <w:b/>
          <w:sz w:val="32"/>
          <w:szCs w:val="32"/>
        </w:rPr>
        <w:t>B</w:t>
      </w:r>
      <w:r w:rsidR="00284E96">
        <w:rPr>
          <w:rFonts w:ascii="Times New Roman" w:hAnsi="Times New Roman" w:cs="Times New Roman"/>
          <w:b/>
          <w:sz w:val="32"/>
          <w:szCs w:val="32"/>
        </w:rPr>
        <w:t>.</w:t>
      </w:r>
    </w:p>
    <w:p w14:paraId="31640775" w14:textId="2189E22E" w:rsidR="00B86A81" w:rsidRDefault="00807D31">
      <w:pPr>
        <w:rPr>
          <w:rFonts w:ascii="Times New Roman" w:hAnsi="Times New Roman" w:cs="Times New Roman"/>
          <w:b/>
        </w:rPr>
      </w:pPr>
      <w:r>
        <w:rPr>
          <w:rFonts w:ascii="Times New Roman" w:hAnsi="Times New Roman" w:cs="Times New Roman"/>
          <w:b/>
        </w:rPr>
        <w:t xml:space="preserve">             </w:t>
      </w:r>
      <w:r w:rsidR="00AA21C2">
        <w:rPr>
          <w:rFonts w:ascii="Times New Roman" w:hAnsi="Times New Roman" w:cs="Times New Roman"/>
          <w:b/>
        </w:rPr>
        <w:t xml:space="preserve">     </w:t>
      </w:r>
      <w:r>
        <w:rPr>
          <w:rFonts w:ascii="Times New Roman" w:hAnsi="Times New Roman" w:cs="Times New Roman"/>
          <w:b/>
        </w:rPr>
        <w:t xml:space="preserve"> </w:t>
      </w:r>
      <w:r w:rsidR="00394C9A">
        <w:rPr>
          <w:rFonts w:ascii="Times New Roman" w:hAnsi="Times New Roman" w:cs="Times New Roman"/>
          <w:b/>
        </w:rPr>
        <w:t xml:space="preserve"> </w:t>
      </w:r>
      <w:r w:rsidR="00C1199E">
        <w:rPr>
          <w:rFonts w:ascii="Times New Roman" w:hAnsi="Times New Roman" w:cs="Times New Roman"/>
          <w:b/>
        </w:rPr>
        <w:t xml:space="preserve">  </w:t>
      </w:r>
      <w:r w:rsidR="00394C9A">
        <w:rPr>
          <w:rFonts w:ascii="Times New Roman" w:hAnsi="Times New Roman" w:cs="Times New Roman"/>
          <w:b/>
        </w:rPr>
        <w:t xml:space="preserve">  </w:t>
      </w:r>
      <w:r w:rsidR="00284E96">
        <w:rPr>
          <w:rFonts w:ascii="Times New Roman" w:hAnsi="Times New Roman" w:cs="Times New Roman"/>
          <w:b/>
          <w:noProof/>
        </w:rPr>
        <w:drawing>
          <wp:inline distT="0" distB="0" distL="0" distR="0" wp14:anchorId="11832F86" wp14:editId="3FC6D3EB">
            <wp:extent cx="3618604" cy="1969090"/>
            <wp:effectExtent l="0" t="0" r="0" b="1270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tiff"/>
                    <pic:cNvPicPr/>
                  </pic:nvPicPr>
                  <pic:blipFill rotWithShape="1">
                    <a:blip r:embed="rId84">
                      <a:extLst>
                        <a:ext uri="{28A0092B-C50C-407E-A947-70E740481C1C}">
                          <a14:useLocalDpi xmlns:a14="http://schemas.microsoft.com/office/drawing/2010/main" val="0"/>
                        </a:ext>
                      </a:extLst>
                    </a:blip>
                    <a:srcRect l="19791" t="9413" r="15086" b="43337"/>
                    <a:stretch/>
                  </pic:blipFill>
                  <pic:spPr bwMode="auto">
                    <a:xfrm>
                      <a:off x="0" y="0"/>
                      <a:ext cx="3624366" cy="1972225"/>
                    </a:xfrm>
                    <a:prstGeom prst="rect">
                      <a:avLst/>
                    </a:prstGeom>
                    <a:ln>
                      <a:noFill/>
                    </a:ln>
                    <a:extLst>
                      <a:ext uri="{53640926-AAD7-44d8-BBD7-CCE9431645EC}">
                        <a14:shadowObscured xmlns:a14="http://schemas.microsoft.com/office/drawing/2010/main"/>
                      </a:ext>
                    </a:extLst>
                  </pic:spPr>
                </pic:pic>
              </a:graphicData>
            </a:graphic>
          </wp:inline>
        </w:drawing>
      </w:r>
    </w:p>
    <w:p w14:paraId="41B6CDFC" w14:textId="77777777" w:rsidR="00AA21C2" w:rsidRDefault="00AA21C2">
      <w:pPr>
        <w:rPr>
          <w:rFonts w:ascii="Times New Roman" w:hAnsi="Times New Roman" w:cs="Times New Roman"/>
          <w:b/>
        </w:rPr>
      </w:pPr>
    </w:p>
    <w:p w14:paraId="76B993AF" w14:textId="77777777" w:rsidR="004C1D27" w:rsidRDefault="005D6D0A" w:rsidP="00C664C4">
      <w:pPr>
        <w:pStyle w:val="Caption"/>
      </w:pPr>
      <w:bookmarkStart w:id="1829" w:name="_Toc333569080"/>
      <w:bookmarkStart w:id="1830" w:name="_Toc333569305"/>
      <w:bookmarkStart w:id="1831" w:name="_Toc333570859"/>
      <w:bookmarkStart w:id="1832" w:name="_Toc333582242"/>
      <w:bookmarkStart w:id="1833" w:name="_Toc333582362"/>
      <w:bookmarkStart w:id="1834" w:name="_Toc333582774"/>
      <w:bookmarkStart w:id="1835" w:name="_Toc333583144"/>
      <w:bookmarkStart w:id="1836" w:name="_Toc333585255"/>
      <w:bookmarkStart w:id="1837" w:name="_Toc333586807"/>
      <w:bookmarkStart w:id="1838" w:name="_Toc333644506"/>
      <w:bookmarkStart w:id="1839" w:name="_Toc333644800"/>
      <w:r>
        <w:t xml:space="preserve">Figure </w:t>
      </w:r>
      <w:r w:rsidR="00E508B2">
        <w:t>5.2</w:t>
      </w:r>
      <w:r w:rsidR="0043060F">
        <w:t>.</w:t>
      </w:r>
      <w:r>
        <w:t xml:space="preserve"> </w:t>
      </w:r>
      <w:r w:rsidR="00CA6008">
        <w:t>C</w:t>
      </w:r>
      <w:r w:rsidR="003C0812">
        <w:t>old-jet PBS separation of astrocytes from neurons.</w:t>
      </w:r>
      <w:bookmarkEnd w:id="1829"/>
      <w:bookmarkEnd w:id="1830"/>
      <w:bookmarkEnd w:id="1831"/>
      <w:bookmarkEnd w:id="1832"/>
      <w:bookmarkEnd w:id="1833"/>
      <w:bookmarkEnd w:id="1834"/>
      <w:bookmarkEnd w:id="1835"/>
      <w:bookmarkEnd w:id="1836"/>
      <w:bookmarkEnd w:id="1837"/>
      <w:bookmarkEnd w:id="1838"/>
      <w:bookmarkEnd w:id="1839"/>
      <w:r w:rsidR="00195996">
        <w:t xml:space="preserve"> </w:t>
      </w:r>
    </w:p>
    <w:p w14:paraId="31DF8B1F" w14:textId="48639670" w:rsidR="009E5564" w:rsidRPr="00D2042B" w:rsidRDefault="004C1D27" w:rsidP="00C63BC1">
      <w:pPr>
        <w:spacing w:line="360" w:lineRule="auto"/>
        <w:jc w:val="both"/>
        <w:rPr>
          <w:rFonts w:ascii="Times New Roman" w:hAnsi="Times New Roman" w:cs="Times New Roman"/>
        </w:rPr>
      </w:pPr>
      <w:r>
        <w:rPr>
          <w:rFonts w:ascii="Times New Roman" w:hAnsi="Times New Roman" w:cs="Times New Roman"/>
          <w:b/>
        </w:rPr>
        <w:t>(A)</w:t>
      </w:r>
      <w:r w:rsidR="00A45317">
        <w:rPr>
          <w:rFonts w:ascii="Times New Roman" w:hAnsi="Times New Roman" w:cs="Times New Roman"/>
          <w:b/>
        </w:rPr>
        <w:t xml:space="preserve"> </w:t>
      </w:r>
      <w:r w:rsidR="00F602B0">
        <w:rPr>
          <w:rFonts w:ascii="Times New Roman" w:hAnsi="Times New Roman" w:cs="Times New Roman"/>
        </w:rPr>
        <w:t xml:space="preserve">Images represent LUHMES and astrocytes cultured </w:t>
      </w:r>
      <w:r w:rsidR="00F5676D">
        <w:rPr>
          <w:rFonts w:ascii="Times New Roman" w:hAnsi="Times New Roman" w:cs="Times New Roman"/>
        </w:rPr>
        <w:t>separately</w:t>
      </w:r>
      <w:r w:rsidR="00F602B0">
        <w:rPr>
          <w:rFonts w:ascii="Times New Roman" w:hAnsi="Times New Roman" w:cs="Times New Roman"/>
        </w:rPr>
        <w:t>, together</w:t>
      </w:r>
      <w:r w:rsidR="00F5676D">
        <w:rPr>
          <w:rFonts w:ascii="Times New Roman" w:hAnsi="Times New Roman" w:cs="Times New Roman"/>
        </w:rPr>
        <w:t>,</w:t>
      </w:r>
      <w:r w:rsidR="00F602B0">
        <w:rPr>
          <w:rFonts w:ascii="Times New Roman" w:hAnsi="Times New Roman" w:cs="Times New Roman"/>
        </w:rPr>
        <w:t xml:space="preserve"> or show astrocytes remaining (red arrows) after using the cold-jet PBS separation technique to remove neuronal content.</w:t>
      </w:r>
      <w:r w:rsidR="00F602B0" w:rsidRPr="00F602B0">
        <w:rPr>
          <w:rFonts w:ascii="Times New Roman" w:hAnsi="Times New Roman" w:cs="Times New Roman"/>
          <w:b/>
        </w:rPr>
        <w:t xml:space="preserve"> </w:t>
      </w:r>
      <w:r>
        <w:rPr>
          <w:rFonts w:ascii="Times New Roman" w:hAnsi="Times New Roman" w:cs="Times New Roman"/>
          <w:b/>
        </w:rPr>
        <w:t>(</w:t>
      </w:r>
      <w:r w:rsidR="00F602B0" w:rsidRPr="00195996">
        <w:rPr>
          <w:rFonts w:ascii="Times New Roman" w:hAnsi="Times New Roman" w:cs="Times New Roman"/>
          <w:b/>
        </w:rPr>
        <w:t>B</w:t>
      </w:r>
      <w:r>
        <w:rPr>
          <w:rFonts w:ascii="Times New Roman" w:hAnsi="Times New Roman" w:cs="Times New Roman"/>
          <w:b/>
        </w:rPr>
        <w:t>)</w:t>
      </w:r>
      <w:r w:rsidR="00F602B0">
        <w:rPr>
          <w:rFonts w:ascii="Times New Roman" w:hAnsi="Times New Roman" w:cs="Times New Roman"/>
        </w:rPr>
        <w:t xml:space="preserve"> </w:t>
      </w:r>
      <w:r w:rsidR="000B2168">
        <w:rPr>
          <w:rFonts w:ascii="Times New Roman" w:hAnsi="Times New Roman" w:cs="Times New Roman"/>
        </w:rPr>
        <w:t xml:space="preserve">Western </w:t>
      </w:r>
      <w:r w:rsidR="00A45317">
        <w:rPr>
          <w:rFonts w:ascii="Times New Roman" w:hAnsi="Times New Roman" w:cs="Times New Roman"/>
        </w:rPr>
        <w:t>blotting of</w:t>
      </w:r>
      <w:r w:rsidR="00F5676D">
        <w:rPr>
          <w:rFonts w:ascii="Times New Roman" w:hAnsi="Times New Roman" w:cs="Times New Roman"/>
        </w:rPr>
        <w:t xml:space="preserve"> glial fibri</w:t>
      </w:r>
      <w:r w:rsidR="00F602B0">
        <w:rPr>
          <w:rFonts w:ascii="Times New Roman" w:hAnsi="Times New Roman" w:cs="Times New Roman"/>
        </w:rPr>
        <w:t>ll</w:t>
      </w:r>
      <w:r w:rsidR="00F5676D">
        <w:rPr>
          <w:rFonts w:ascii="Times New Roman" w:hAnsi="Times New Roman" w:cs="Times New Roman"/>
        </w:rPr>
        <w:t>a</w:t>
      </w:r>
      <w:r w:rsidR="00F602B0">
        <w:rPr>
          <w:rFonts w:ascii="Times New Roman" w:hAnsi="Times New Roman" w:cs="Times New Roman"/>
        </w:rPr>
        <w:t>ry acidic protein</w:t>
      </w:r>
      <w:r w:rsidR="00A45317">
        <w:rPr>
          <w:rFonts w:ascii="Times New Roman" w:hAnsi="Times New Roman" w:cs="Times New Roman"/>
        </w:rPr>
        <w:t xml:space="preserve"> </w:t>
      </w:r>
      <w:r w:rsidR="00F602B0">
        <w:rPr>
          <w:rFonts w:ascii="Times New Roman" w:hAnsi="Times New Roman" w:cs="Times New Roman"/>
        </w:rPr>
        <w:t>(</w:t>
      </w:r>
      <w:r w:rsidR="00A45317">
        <w:rPr>
          <w:rFonts w:ascii="Times New Roman" w:hAnsi="Times New Roman" w:cs="Times New Roman"/>
        </w:rPr>
        <w:t>GFAP</w:t>
      </w:r>
      <w:r w:rsidR="00F602B0">
        <w:rPr>
          <w:rFonts w:ascii="Times New Roman" w:hAnsi="Times New Roman" w:cs="Times New Roman"/>
        </w:rPr>
        <w:t>)</w:t>
      </w:r>
      <w:r w:rsidR="00A45317">
        <w:rPr>
          <w:rFonts w:ascii="Times New Roman" w:hAnsi="Times New Roman" w:cs="Times New Roman"/>
        </w:rPr>
        <w:t xml:space="preserve"> </w:t>
      </w:r>
      <w:r w:rsidR="00157309">
        <w:rPr>
          <w:rFonts w:ascii="Times New Roman" w:hAnsi="Times New Roman" w:cs="Times New Roman"/>
        </w:rPr>
        <w:t xml:space="preserve">(50kDa) </w:t>
      </w:r>
      <w:r w:rsidR="00A45317">
        <w:rPr>
          <w:rFonts w:ascii="Times New Roman" w:hAnsi="Times New Roman" w:cs="Times New Roman"/>
        </w:rPr>
        <w:t xml:space="preserve">and </w:t>
      </w:r>
      <w:r w:rsidR="00F602B0">
        <w:rPr>
          <w:rFonts w:ascii="Times New Roman" w:hAnsi="Times New Roman" w:cs="Times New Roman"/>
        </w:rPr>
        <w:t>neurofilament-light (</w:t>
      </w:r>
      <w:r w:rsidR="00A45317">
        <w:rPr>
          <w:rFonts w:ascii="Times New Roman" w:hAnsi="Times New Roman" w:cs="Times New Roman"/>
        </w:rPr>
        <w:t>NFL</w:t>
      </w:r>
      <w:r w:rsidR="00F602B0">
        <w:rPr>
          <w:rFonts w:ascii="Times New Roman" w:hAnsi="Times New Roman" w:cs="Times New Roman"/>
        </w:rPr>
        <w:t>)</w:t>
      </w:r>
      <w:r w:rsidR="00157309">
        <w:rPr>
          <w:rFonts w:ascii="Times New Roman" w:hAnsi="Times New Roman" w:cs="Times New Roman"/>
        </w:rPr>
        <w:t xml:space="preserve"> (68kDa)</w:t>
      </w:r>
      <w:r w:rsidR="00A45317">
        <w:rPr>
          <w:rFonts w:ascii="Times New Roman" w:hAnsi="Times New Roman" w:cs="Times New Roman"/>
        </w:rPr>
        <w:t xml:space="preserve"> in astrocytes and neurons separated using the cold jet PBS separation technique. A1 are astrocytes separated from co-culture with N1 neurons. A2 are astrocytes separated from c</w:t>
      </w:r>
      <w:r w:rsidR="00195996">
        <w:rPr>
          <w:rFonts w:ascii="Times New Roman" w:hAnsi="Times New Roman" w:cs="Times New Roman"/>
        </w:rPr>
        <w:t>o-culture with N2 neurons (Co-cultures were established for 72</w:t>
      </w:r>
      <w:r w:rsidR="007C3A1B">
        <w:rPr>
          <w:rFonts w:ascii="Times New Roman" w:hAnsi="Times New Roman" w:cs="Times New Roman"/>
        </w:rPr>
        <w:t xml:space="preserve"> </w:t>
      </w:r>
      <w:r w:rsidR="00195996">
        <w:rPr>
          <w:rFonts w:ascii="Times New Roman" w:hAnsi="Times New Roman" w:cs="Times New Roman"/>
        </w:rPr>
        <w:t xml:space="preserve">hours). </w:t>
      </w:r>
      <w:r w:rsidR="00153A5F">
        <w:rPr>
          <w:rFonts w:ascii="Times New Roman" w:hAnsi="Times New Roman" w:cs="Times New Roman"/>
        </w:rPr>
        <w:t>Molecular weight markers are indicated (kDa)</w:t>
      </w:r>
      <w:r w:rsidR="0066174F">
        <w:rPr>
          <w:rFonts w:ascii="Times New Roman" w:hAnsi="Times New Roman" w:cs="Times New Roman"/>
        </w:rPr>
        <w:t>.</w:t>
      </w:r>
    </w:p>
    <w:p w14:paraId="67E8E7B2" w14:textId="77777777" w:rsidR="009E5564" w:rsidRDefault="009E5564" w:rsidP="00C63BC1">
      <w:pPr>
        <w:jc w:val="both"/>
        <w:rPr>
          <w:rFonts w:ascii="Times New Roman" w:hAnsi="Times New Roman" w:cs="Times New Roman"/>
          <w:b/>
          <w:u w:val="single"/>
        </w:rPr>
      </w:pPr>
    </w:p>
    <w:p w14:paraId="73701498" w14:textId="77777777" w:rsidR="008E3664" w:rsidRDefault="008E3664" w:rsidP="00C63BC1">
      <w:pPr>
        <w:pStyle w:val="Heading3"/>
        <w:jc w:val="both"/>
      </w:pPr>
      <w:bookmarkStart w:id="1840" w:name="_Toc328301190"/>
      <w:bookmarkStart w:id="1841" w:name="_Toc329593481"/>
      <w:bookmarkStart w:id="1842" w:name="_Toc331425980"/>
      <w:bookmarkStart w:id="1843" w:name="_Toc331427161"/>
      <w:bookmarkStart w:id="1844" w:name="_Toc331427533"/>
      <w:bookmarkStart w:id="1845" w:name="_Toc331427675"/>
      <w:bookmarkStart w:id="1846" w:name="_Toc332972680"/>
      <w:bookmarkStart w:id="1847" w:name="_Toc333046959"/>
      <w:bookmarkStart w:id="1848" w:name="_Toc333477306"/>
      <w:bookmarkStart w:id="1849" w:name="_Toc333478076"/>
    </w:p>
    <w:p w14:paraId="2DD30FC5" w14:textId="77777777" w:rsidR="008E3664" w:rsidRDefault="008E3664" w:rsidP="008E3664"/>
    <w:p w14:paraId="1510B87C" w14:textId="77777777" w:rsidR="008E3664" w:rsidRDefault="008E3664" w:rsidP="008E3664"/>
    <w:p w14:paraId="3D821E33" w14:textId="77777777" w:rsidR="008E3664" w:rsidRDefault="008E3664" w:rsidP="008E3664"/>
    <w:p w14:paraId="43CD6A5C" w14:textId="77777777" w:rsidR="008E3664" w:rsidRDefault="008E3664" w:rsidP="008E3664"/>
    <w:p w14:paraId="3A76317A" w14:textId="77777777" w:rsidR="008E3664" w:rsidRDefault="008E3664" w:rsidP="008E3664"/>
    <w:p w14:paraId="6354D7EE" w14:textId="77777777" w:rsidR="008E3664" w:rsidRDefault="008E3664" w:rsidP="008E3664"/>
    <w:p w14:paraId="48ECB1A8" w14:textId="77777777" w:rsidR="008E3664" w:rsidRPr="008E3664" w:rsidRDefault="008E3664" w:rsidP="008E3664"/>
    <w:p w14:paraId="657EE360" w14:textId="284C3406" w:rsidR="00B86A81" w:rsidRDefault="003256A1" w:rsidP="00C63BC1">
      <w:pPr>
        <w:pStyle w:val="Heading3"/>
        <w:jc w:val="both"/>
      </w:pPr>
      <w:bookmarkStart w:id="1850" w:name="_Toc333644976"/>
      <w:r>
        <w:t xml:space="preserve">5.4.2 </w:t>
      </w:r>
      <w:r w:rsidR="002848C2">
        <w:t xml:space="preserve">FACS sorting of </w:t>
      </w:r>
      <w:r w:rsidR="00B86A81">
        <w:t>co-cultures</w:t>
      </w:r>
      <w:bookmarkEnd w:id="1840"/>
      <w:bookmarkEnd w:id="1841"/>
      <w:bookmarkEnd w:id="1842"/>
      <w:bookmarkEnd w:id="1843"/>
      <w:bookmarkEnd w:id="1844"/>
      <w:bookmarkEnd w:id="1845"/>
      <w:bookmarkEnd w:id="1846"/>
      <w:bookmarkEnd w:id="1847"/>
      <w:bookmarkEnd w:id="1848"/>
      <w:bookmarkEnd w:id="1849"/>
      <w:bookmarkEnd w:id="1850"/>
    </w:p>
    <w:p w14:paraId="24C6DCFE" w14:textId="77777777" w:rsidR="00F474AA" w:rsidRDefault="00F474AA" w:rsidP="00C63BC1">
      <w:pPr>
        <w:jc w:val="both"/>
        <w:rPr>
          <w:rFonts w:ascii="Times New Roman" w:hAnsi="Times New Roman" w:cs="Times New Roman"/>
          <w:b/>
          <w:u w:val="single"/>
        </w:rPr>
      </w:pPr>
    </w:p>
    <w:p w14:paraId="622CF0CD" w14:textId="2AF36E11" w:rsidR="00AF5B6E" w:rsidRPr="00395B55" w:rsidRDefault="0090413B" w:rsidP="00C63BC1">
      <w:pPr>
        <w:spacing w:line="360" w:lineRule="auto"/>
        <w:jc w:val="both"/>
        <w:rPr>
          <w:rFonts w:ascii="Times New Roman" w:hAnsi="Times New Roman" w:cs="Times New Roman"/>
          <w:b/>
          <w:noProof/>
        </w:rPr>
      </w:pPr>
      <w:r>
        <w:rPr>
          <w:rFonts w:ascii="Times New Roman" w:hAnsi="Times New Roman" w:cs="Times New Roman"/>
          <w:noProof/>
        </w:rPr>
        <w:t>Co-cultured astrocytes and neurons have previously been successfully</w:t>
      </w:r>
      <w:r w:rsidR="00D61AF7">
        <w:rPr>
          <w:rFonts w:ascii="Times New Roman" w:hAnsi="Times New Roman" w:cs="Times New Roman"/>
          <w:noProof/>
        </w:rPr>
        <w:t xml:space="preserve"> separated</w:t>
      </w:r>
      <w:r>
        <w:rPr>
          <w:rFonts w:ascii="Times New Roman" w:hAnsi="Times New Roman" w:cs="Times New Roman"/>
          <w:noProof/>
        </w:rPr>
        <w:t xml:space="preserve"> by FACS sorting</w:t>
      </w:r>
      <w:r w:rsidR="00D61AF7">
        <w:rPr>
          <w:rFonts w:ascii="Times New Roman" w:hAnsi="Times New Roman" w:cs="Times New Roman"/>
          <w:noProof/>
        </w:rPr>
        <w:t>.</w:t>
      </w:r>
      <w:r>
        <w:rPr>
          <w:rFonts w:ascii="Times New Roman" w:hAnsi="Times New Roman" w:cs="Times New Roman"/>
          <w:noProof/>
        </w:rPr>
        <w:t xml:space="preserve"> GFP astrocytes</w:t>
      </w:r>
      <w:r w:rsidR="00D61AF7">
        <w:rPr>
          <w:rFonts w:ascii="Times New Roman" w:hAnsi="Times New Roman" w:cs="Times New Roman"/>
          <w:noProof/>
        </w:rPr>
        <w:t xml:space="preserve"> were separated</w:t>
      </w:r>
      <w:r>
        <w:rPr>
          <w:rFonts w:ascii="Times New Roman" w:hAnsi="Times New Roman" w:cs="Times New Roman"/>
          <w:noProof/>
        </w:rPr>
        <w:t xml:space="preserve"> from non-GFP neurons </w:t>
      </w:r>
      <w:r w:rsidR="00882F98">
        <w:rPr>
          <w:rFonts w:ascii="Times New Roman" w:hAnsi="Times New Roman" w:cs="Times New Roman"/>
          <w:noProof/>
        </w:rPr>
        <w:t>in an investigation of</w:t>
      </w:r>
      <w:r w:rsidR="00EB58E8">
        <w:rPr>
          <w:rFonts w:ascii="Times New Roman" w:hAnsi="Times New Roman" w:cs="Times New Roman"/>
          <w:noProof/>
        </w:rPr>
        <w:t xml:space="preserve"> Nrf2 dependent genetic changes</w:t>
      </w:r>
      <w:r w:rsidR="00A82CE3">
        <w:rPr>
          <w:rFonts w:ascii="Times New Roman" w:hAnsi="Times New Roman" w:cs="Times New Roman"/>
          <w:noProof/>
        </w:rPr>
        <w:t xml:space="preserve"> that alter astrocyte-neuron interactions and</w:t>
      </w:r>
      <w:r w:rsidR="00E33FFD">
        <w:rPr>
          <w:rFonts w:ascii="Times New Roman" w:hAnsi="Times New Roman" w:cs="Times New Roman"/>
          <w:noProof/>
        </w:rPr>
        <w:t xml:space="preserve"> influence neuroprotection</w:t>
      </w:r>
      <w:r>
        <w:rPr>
          <w:rFonts w:ascii="Times New Roman" w:hAnsi="Times New Roman" w:cs="Times New Roman"/>
          <w:noProof/>
        </w:rPr>
        <w:t xml:space="preserve"> </w:t>
      </w:r>
      <w:r>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"10.1523/JNEUROSCI.3817-03.2004", "ISSN" : "1529-2401", "PMID" : "14762128", "abstract" : "Binding of the transcription factor nuclear factor E2-related factor 2 (Nrf2) to the antioxidant response element (ARE) in neural cells results in the induction of a battery of genes that can coordinate a protective response against a variety of oxidative stressors. In this study, tert-butylhydroquinone (tBHQ) and sulforaphane were used as activators of this pathway. Consistent with previous studies, treatment of primary cortical cultures from ARE reporter mice revealed selective promoter activity in astrocytes. This activation protected neurons from hydrogen peroxide and nonexcitotoxic glutamate toxicity. tBHQ treatment of cultures from Nrf2 knock-out animals resulted in neither ARE activation nor neuroprotection. By reintroducing Nrf2 via infection with a replication-deficient adenovirus (ad), both the genetic response and neuroprotection were rescued. Conversely, infection with adenovirus encoding dominant-negative (DN) Nrf2 (ad-DN-Nrf2) or pretreatment with the selective phosphatidylinositol-3 kinase inhibitor LY294002 inhibited the tBHQ-mediated promoter response and corresponding neuroprotection. Interestingly, the adenoviral infection showed a high selectivity for astrocytes over neurons. In an attempt to reveal some of the cell type-specific changes resulting from ARE activation, cultures were infected with adenovirus encoding green fluorescent protein (GFP) (ad-GFP) or ad-DN-Nrf2 (containing GFP) before tBHQ treatment. A glia-enriched population of GFP-infected cells was then isolated from a population of uninfected neurons using cell-sorting technology. Microarray analysis was used to evaluate potential glial versus neuron-specific contributions to the neuroprotective effects of ARE activation and Nrf2 dependence. Strikingly, the change in neuronal gene expression after tBHQ treatment was dependent on Nrf2 activity in the astrocytes. This suggests that Nrf2-dependent genetic changes alter neuron-glia interactions resulting in neuroprotection.", "author" : [ { "dropping-particle" : "", "family" : "Kraft", "given" : "Andrew D", "non-dropping-particle" : "", "parse-names" : false, "suffix" : "" }, { "dropping-particle" : "", "family" : "Johnson", "given" : "Delinda A", "non-dropping-particle" : "", "parse-names" : false, "suffix" : "" }, { "dropping-particle" : "", "family" : "Johnson", "given" : "Jeffrey A", "non-dropping-particle" : "", "parse-names" : false, "suffix" : "" } ], "container-title" : "The Journal of neuroscience : the official journal of the Society for Neuroscience", "id" : "ITEM-1", "issue" : "5", "issued" : { "date-parts" : [ [ "2004", "2", "4" ] ] }, "page" : "1101-12", "title" : "Nuclear factor E2-related factor 2-dependent antioxidant response element activation by tert-butylhydroquinone and sulforaphane occurring preferentially in astrocytes conditions neurons against oxidative insult.", "type" : "article-journal", "volume" : "24" }, "uris" : [ "http://www.mendeley.com/documents/?uuid=271abe84-7f6c-41e1-b85d-4766cf09296f" ] } ], "mendeley" : { "formattedCitation" : "(Kraft et al. 2004)", "plainTextFormattedCitation" : "(Kraft et al. 2004)", "previouslyFormattedCitation" : "(Kraft et al. 2004)" }, "properties" : { "noteIndex" : 0 }, "schema" : "https://github.com/citation-style-language/schema/raw/master/csl-citation.json" }</w:instrText>
      </w:r>
      <w:r>
        <w:rPr>
          <w:rFonts w:ascii="Times New Roman" w:hAnsi="Times New Roman" w:cs="Times New Roman"/>
          <w:noProof/>
        </w:rPr>
        <w:fldChar w:fldCharType="separate"/>
      </w:r>
      <w:r w:rsidR="00C148FC" w:rsidRPr="00C148FC">
        <w:rPr>
          <w:rFonts w:ascii="Times New Roman" w:hAnsi="Times New Roman" w:cs="Times New Roman"/>
          <w:noProof/>
        </w:rPr>
        <w:t>(Kraft et al. 2004)</w:t>
      </w:r>
      <w:r>
        <w:rPr>
          <w:rFonts w:ascii="Times New Roman" w:hAnsi="Times New Roman" w:cs="Times New Roman"/>
          <w:noProof/>
        </w:rPr>
        <w:fldChar w:fldCharType="end"/>
      </w:r>
      <w:r w:rsidR="00E33FFD">
        <w:rPr>
          <w:rFonts w:ascii="Times New Roman" w:hAnsi="Times New Roman" w:cs="Times New Roman"/>
          <w:noProof/>
        </w:rPr>
        <w:t>.</w:t>
      </w:r>
      <w:r>
        <w:rPr>
          <w:rFonts w:ascii="Times New Roman" w:hAnsi="Times New Roman" w:cs="Times New Roman"/>
          <w:noProof/>
        </w:rPr>
        <w:t xml:space="preserve"> Here, GFP LUHMES were separated from unlabelled astrocytes using the FACS Aria. Two key features of the LUHMES enabled this technique to be used: LUHMES have much smaller cell bodies than astrocytes and </w:t>
      </w:r>
      <w:r w:rsidR="003A4038">
        <w:rPr>
          <w:rFonts w:ascii="Times New Roman" w:hAnsi="Times New Roman" w:cs="Times New Roman"/>
          <w:noProof/>
        </w:rPr>
        <w:t xml:space="preserve">they </w:t>
      </w:r>
      <w:r>
        <w:rPr>
          <w:rFonts w:ascii="Times New Roman" w:hAnsi="Times New Roman" w:cs="Times New Roman"/>
          <w:noProof/>
        </w:rPr>
        <w:t>stably express GFP fol</w:t>
      </w:r>
      <w:r w:rsidR="005B4A83">
        <w:rPr>
          <w:rFonts w:ascii="Times New Roman" w:hAnsi="Times New Roman" w:cs="Times New Roman"/>
          <w:noProof/>
        </w:rPr>
        <w:t>lowing lentiviral transduction. LUHMES could therefore be sorted from astrocytes based on fluoresence and size, which removed the need to fluorescently label the astrocytes</w:t>
      </w:r>
      <w:r w:rsidR="00B170E6">
        <w:rPr>
          <w:rFonts w:ascii="Times New Roman" w:hAnsi="Times New Roman" w:cs="Times New Roman"/>
          <w:noProof/>
        </w:rPr>
        <w:t>. Optimisation of cell sorting was conducted on two independent co-culture populations in order to assess levels of separation at the RNA and protein level.</w:t>
      </w:r>
      <w:r w:rsidR="00E33FFD">
        <w:rPr>
          <w:rFonts w:ascii="Times New Roman" w:hAnsi="Times New Roman" w:cs="Times New Roman"/>
          <w:noProof/>
        </w:rPr>
        <w:t xml:space="preserve"> </w:t>
      </w:r>
    </w:p>
    <w:p w14:paraId="460B31F9" w14:textId="77777777" w:rsidR="00AF5B6E" w:rsidRDefault="00AF5B6E" w:rsidP="00F01B73">
      <w:pPr>
        <w:spacing w:line="360" w:lineRule="auto"/>
        <w:rPr>
          <w:rFonts w:ascii="Times New Roman" w:hAnsi="Times New Roman" w:cs="Times New Roman"/>
          <w:noProof/>
        </w:rPr>
      </w:pPr>
      <w:r>
        <w:rPr>
          <w:rFonts w:ascii="Times New Roman" w:hAnsi="Times New Roman" w:cs="Times New Roman"/>
          <w:noProof/>
        </w:rPr>
        <w:t xml:space="preserve">    </w:t>
      </w:r>
    </w:p>
    <w:p w14:paraId="531A17C6" w14:textId="3B22E271" w:rsidR="007C7431" w:rsidRDefault="00AD79AD" w:rsidP="003776BA">
      <w:pPr>
        <w:spacing w:line="360" w:lineRule="auto"/>
        <w:jc w:val="both"/>
        <w:rPr>
          <w:rFonts w:ascii="Times New Roman" w:hAnsi="Times New Roman" w:cs="Times New Roman"/>
          <w:noProof/>
        </w:rPr>
      </w:pPr>
      <w:r>
        <w:rPr>
          <w:rFonts w:ascii="Times New Roman" w:hAnsi="Times New Roman" w:cs="Times New Roman"/>
          <w:noProof/>
        </w:rPr>
        <w:t>Following separation</w:t>
      </w:r>
      <w:r w:rsidR="00B170E6">
        <w:rPr>
          <w:rFonts w:ascii="Times New Roman" w:hAnsi="Times New Roman" w:cs="Times New Roman"/>
          <w:noProof/>
        </w:rPr>
        <w:t xml:space="preserve"> of the first co-culture</w:t>
      </w:r>
      <w:r>
        <w:rPr>
          <w:rFonts w:ascii="Times New Roman" w:hAnsi="Times New Roman" w:cs="Times New Roman"/>
          <w:noProof/>
        </w:rPr>
        <w:t xml:space="preserve">, the sorted </w:t>
      </w:r>
      <w:r w:rsidR="005B4A83">
        <w:rPr>
          <w:rFonts w:ascii="Times New Roman" w:hAnsi="Times New Roman" w:cs="Times New Roman"/>
          <w:noProof/>
        </w:rPr>
        <w:t>cells were lysed, protein was extracted and a western blot was used to assess separation of astrocytes and LUHMES. FACS sorted astrocytes expressed GFAP with no detectable amount of the neuronal marker NFL (</w:t>
      </w:r>
      <w:r w:rsidR="00D61AF7">
        <w:rPr>
          <w:rFonts w:ascii="Times New Roman" w:hAnsi="Times New Roman" w:cs="Times New Roman"/>
          <w:b/>
          <w:noProof/>
        </w:rPr>
        <w:t>Figure 5.3</w:t>
      </w:r>
      <w:r w:rsidR="005B4A83">
        <w:rPr>
          <w:rFonts w:ascii="Times New Roman" w:hAnsi="Times New Roman" w:cs="Times New Roman"/>
          <w:b/>
          <w:noProof/>
        </w:rPr>
        <w:t>)</w:t>
      </w:r>
      <w:r w:rsidR="005B4A83">
        <w:rPr>
          <w:rFonts w:ascii="Times New Roman" w:hAnsi="Times New Roman" w:cs="Times New Roman"/>
          <w:noProof/>
        </w:rPr>
        <w:t xml:space="preserve">. FACS sorted neurons expressed NFL as well as low levels of GFAP. The supplier of the GFAP antibody (AbCam) suggest that the </w:t>
      </w:r>
      <w:r w:rsidR="00F67BF4">
        <w:rPr>
          <w:rFonts w:ascii="Times New Roman" w:hAnsi="Times New Roman" w:cs="Times New Roman"/>
          <w:noProof/>
        </w:rPr>
        <w:t xml:space="preserve">lower band in the western blot corresponds to a GFAP derived protein, whilst the upper band at 55kDa is the true GFAP band. </w:t>
      </w:r>
      <w:r w:rsidR="007C7431">
        <w:rPr>
          <w:rFonts w:ascii="Times New Roman" w:hAnsi="Times New Roman" w:cs="Times New Roman"/>
          <w:noProof/>
        </w:rPr>
        <w:t>Taken together</w:t>
      </w:r>
      <w:r w:rsidR="00D67893">
        <w:rPr>
          <w:rFonts w:ascii="Times New Roman" w:hAnsi="Times New Roman" w:cs="Times New Roman"/>
          <w:noProof/>
        </w:rPr>
        <w:t>, this blot suggests that</w:t>
      </w:r>
      <w:r w:rsidR="00A2066C">
        <w:rPr>
          <w:rFonts w:ascii="Times New Roman" w:hAnsi="Times New Roman" w:cs="Times New Roman"/>
          <w:noProof/>
        </w:rPr>
        <w:t xml:space="preserve"> the FACS sorting process has successfully enriched for astrocytic and neuronal populations</w:t>
      </w:r>
      <w:r w:rsidR="00AF5B6E">
        <w:rPr>
          <w:rFonts w:ascii="Times New Roman" w:hAnsi="Times New Roman" w:cs="Times New Roman"/>
          <w:noProof/>
        </w:rPr>
        <w:t xml:space="preserve"> at the protein level</w:t>
      </w:r>
      <w:r w:rsidR="00A2066C">
        <w:rPr>
          <w:rFonts w:ascii="Times New Roman" w:hAnsi="Times New Roman" w:cs="Times New Roman"/>
          <w:noProof/>
        </w:rPr>
        <w:t>.</w:t>
      </w:r>
    </w:p>
    <w:p w14:paraId="64A7F703" w14:textId="77777777" w:rsidR="007C7431" w:rsidRDefault="007C7431" w:rsidP="00F01B73">
      <w:pPr>
        <w:spacing w:line="360" w:lineRule="auto"/>
        <w:rPr>
          <w:rFonts w:ascii="Times New Roman" w:hAnsi="Times New Roman" w:cs="Times New Roman"/>
          <w:noProof/>
        </w:rPr>
      </w:pPr>
    </w:p>
    <w:p w14:paraId="1ABC0ADB" w14:textId="65DF6E14" w:rsidR="007C7431" w:rsidRDefault="001E2539" w:rsidP="00F01B73">
      <w:pPr>
        <w:spacing w:line="360" w:lineRule="auto"/>
        <w:rPr>
          <w:rFonts w:ascii="Times New Roman" w:hAnsi="Times New Roman" w:cs="Times New Roman"/>
          <w:noProof/>
        </w:rPr>
      </w:pPr>
      <w:r>
        <w:rPr>
          <w:rFonts w:ascii="Times New Roman" w:hAnsi="Times New Roman" w:cs="Times New Roman"/>
          <w:noProof/>
        </w:rPr>
        <w:t xml:space="preserve">    </w:t>
      </w:r>
      <w:r w:rsidR="00D24D34">
        <w:rPr>
          <w:rFonts w:ascii="Times New Roman" w:hAnsi="Times New Roman" w:cs="Times New Roman"/>
          <w:noProof/>
        </w:rPr>
        <w:drawing>
          <wp:inline distT="0" distB="0" distL="0" distR="0" wp14:anchorId="0077BB72" wp14:editId="1824C958">
            <wp:extent cx="4911291" cy="4301196"/>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85">
                      <a:extLst>
                        <a:ext uri="{28A0092B-C50C-407E-A947-70E740481C1C}">
                          <a14:useLocalDpi xmlns:a14="http://schemas.microsoft.com/office/drawing/2010/main" val="0"/>
                        </a:ext>
                      </a:extLst>
                    </a:blip>
                    <a:srcRect l="10632" t="14537" r="24794" b="10045"/>
                    <a:stretch/>
                  </pic:blipFill>
                  <pic:spPr bwMode="auto">
                    <a:xfrm>
                      <a:off x="0" y="0"/>
                      <a:ext cx="4912840" cy="4302553"/>
                    </a:xfrm>
                    <a:prstGeom prst="rect">
                      <a:avLst/>
                    </a:prstGeom>
                    <a:ln>
                      <a:noFill/>
                    </a:ln>
                    <a:extLst>
                      <a:ext uri="{53640926-AAD7-44d8-BBD7-CCE9431645EC}">
                        <a14:shadowObscured xmlns:a14="http://schemas.microsoft.com/office/drawing/2010/main"/>
                      </a:ext>
                    </a:extLst>
                  </pic:spPr>
                </pic:pic>
              </a:graphicData>
            </a:graphic>
          </wp:inline>
        </w:drawing>
      </w:r>
    </w:p>
    <w:p w14:paraId="596CB784" w14:textId="6AC2CA80" w:rsidR="004C1D27" w:rsidRDefault="00E508B2" w:rsidP="00C664C4">
      <w:pPr>
        <w:pStyle w:val="Caption"/>
        <w:rPr>
          <w:noProof/>
        </w:rPr>
      </w:pPr>
      <w:bookmarkStart w:id="1851" w:name="_Toc333569081"/>
      <w:bookmarkStart w:id="1852" w:name="_Toc333569306"/>
      <w:bookmarkStart w:id="1853" w:name="_Toc333570860"/>
      <w:bookmarkStart w:id="1854" w:name="_Toc333582243"/>
      <w:bookmarkStart w:id="1855" w:name="_Toc333582363"/>
      <w:bookmarkStart w:id="1856" w:name="_Toc333582775"/>
      <w:bookmarkStart w:id="1857" w:name="_Toc333583145"/>
      <w:bookmarkStart w:id="1858" w:name="_Toc333585256"/>
      <w:bookmarkStart w:id="1859" w:name="_Toc333586808"/>
      <w:bookmarkStart w:id="1860" w:name="_Toc333644507"/>
      <w:bookmarkStart w:id="1861" w:name="_Toc333644801"/>
      <w:r>
        <w:rPr>
          <w:noProof/>
        </w:rPr>
        <w:t>Figure 5.3</w:t>
      </w:r>
      <w:r w:rsidR="0043060F">
        <w:rPr>
          <w:noProof/>
        </w:rPr>
        <w:t>.</w:t>
      </w:r>
      <w:r w:rsidR="008E3664">
        <w:rPr>
          <w:noProof/>
        </w:rPr>
        <w:t xml:space="preserve"> </w:t>
      </w:r>
      <w:r w:rsidR="007C7431">
        <w:rPr>
          <w:noProof/>
        </w:rPr>
        <w:t>Optimising FACS sorting of astrocytes and LUHMES from co-culture 1.</w:t>
      </w:r>
      <w:bookmarkEnd w:id="1851"/>
      <w:bookmarkEnd w:id="1852"/>
      <w:bookmarkEnd w:id="1853"/>
      <w:bookmarkEnd w:id="1854"/>
      <w:bookmarkEnd w:id="1855"/>
      <w:bookmarkEnd w:id="1856"/>
      <w:bookmarkEnd w:id="1857"/>
      <w:bookmarkEnd w:id="1858"/>
      <w:bookmarkEnd w:id="1859"/>
      <w:bookmarkEnd w:id="1860"/>
      <w:bookmarkEnd w:id="1861"/>
      <w:r w:rsidR="007C7431">
        <w:rPr>
          <w:noProof/>
        </w:rPr>
        <w:t xml:space="preserve"> </w:t>
      </w:r>
    </w:p>
    <w:p w14:paraId="1D7AF161" w14:textId="21706496" w:rsidR="007C7431" w:rsidRDefault="00BF3D20" w:rsidP="00C63BC1">
      <w:pPr>
        <w:spacing w:line="360" w:lineRule="auto"/>
        <w:jc w:val="both"/>
        <w:rPr>
          <w:rFonts w:ascii="Times New Roman" w:hAnsi="Times New Roman" w:cs="Times New Roman"/>
        </w:rPr>
      </w:pPr>
      <w:r>
        <w:rPr>
          <w:rFonts w:ascii="Times New Roman" w:hAnsi="Times New Roman" w:cs="Times New Roman"/>
          <w:noProof/>
        </w:rPr>
        <w:t xml:space="preserve">Graphs show </w:t>
      </w:r>
      <w:r w:rsidR="00181794">
        <w:rPr>
          <w:rFonts w:ascii="Times New Roman" w:hAnsi="Times New Roman" w:cs="Times New Roman"/>
          <w:noProof/>
        </w:rPr>
        <w:t>FACS</w:t>
      </w:r>
      <w:r w:rsidR="007C7431">
        <w:rPr>
          <w:rFonts w:ascii="Times New Roman" w:hAnsi="Times New Roman" w:cs="Times New Roman"/>
          <w:noProof/>
        </w:rPr>
        <w:t xml:space="preserve"> sorting </w:t>
      </w:r>
      <w:r>
        <w:rPr>
          <w:rFonts w:ascii="Times New Roman" w:hAnsi="Times New Roman" w:cs="Times New Roman"/>
          <w:noProof/>
        </w:rPr>
        <w:t>of a</w:t>
      </w:r>
      <w:r w:rsidR="007C7431">
        <w:rPr>
          <w:rFonts w:ascii="Times New Roman" w:hAnsi="Times New Roman" w:cs="Times New Roman"/>
          <w:noProof/>
        </w:rPr>
        <w:t>strocyte and GFP L</w:t>
      </w:r>
      <w:r w:rsidR="00181794">
        <w:rPr>
          <w:rFonts w:ascii="Times New Roman" w:hAnsi="Times New Roman" w:cs="Times New Roman"/>
          <w:noProof/>
        </w:rPr>
        <w:t>UHMES co-cultures using the FACS</w:t>
      </w:r>
      <w:r w:rsidR="007C7431">
        <w:rPr>
          <w:rFonts w:ascii="Times New Roman" w:hAnsi="Times New Roman" w:cs="Times New Roman"/>
          <w:noProof/>
        </w:rPr>
        <w:t xml:space="preserve"> ARIA.</w:t>
      </w:r>
      <w:r w:rsidR="00C334E8">
        <w:rPr>
          <w:rFonts w:ascii="Times New Roman" w:hAnsi="Times New Roman" w:cs="Times New Roman"/>
          <w:noProof/>
        </w:rPr>
        <w:t xml:space="preserve"> </w:t>
      </w:r>
      <w:r w:rsidR="004C3C59">
        <w:rPr>
          <w:rFonts w:ascii="Times New Roman" w:hAnsi="Times New Roman" w:cs="Times New Roman"/>
          <w:noProof/>
        </w:rPr>
        <w:t xml:space="preserve">Co-cultures were separated according to size (FSC) and granularity (SSC), then assessed for the presence of GFP </w:t>
      </w:r>
      <w:r>
        <w:rPr>
          <w:rFonts w:ascii="Times New Roman" w:hAnsi="Times New Roman" w:cs="Times New Roman"/>
          <w:noProof/>
        </w:rPr>
        <w:t>(Blue 530/30-A)</w:t>
      </w:r>
      <w:r w:rsidR="00C334E8">
        <w:rPr>
          <w:rFonts w:ascii="Times New Roman" w:hAnsi="Times New Roman" w:cs="Times New Roman"/>
          <w:noProof/>
        </w:rPr>
        <w:t xml:space="preserve"> to achieve populations of astrocytes (blue) and GFP+ neurons (green). In red are the astrocyte and neuron populations that could not be differentiated from each other and cell debris</w:t>
      </w:r>
      <w:r>
        <w:rPr>
          <w:rFonts w:ascii="Times New Roman" w:hAnsi="Times New Roman" w:cs="Times New Roman"/>
          <w:noProof/>
        </w:rPr>
        <w:t>.</w:t>
      </w:r>
      <w:r w:rsidR="007C7431">
        <w:rPr>
          <w:rFonts w:ascii="Times New Roman" w:hAnsi="Times New Roman" w:cs="Times New Roman"/>
          <w:noProof/>
        </w:rPr>
        <w:t xml:space="preserve"> Equal amounts of astrocytes and neurons were successfully sorted (12.7%). Sorted cell populations were then lysed and </w:t>
      </w:r>
      <w:r w:rsidR="000B2168">
        <w:rPr>
          <w:rFonts w:ascii="Times New Roman" w:hAnsi="Times New Roman" w:cs="Times New Roman"/>
          <w:noProof/>
        </w:rPr>
        <w:t>western blotted</w:t>
      </w:r>
      <w:r w:rsidR="007C7431">
        <w:rPr>
          <w:rFonts w:ascii="Times New Roman" w:hAnsi="Times New Roman" w:cs="Times New Roman"/>
          <w:noProof/>
        </w:rPr>
        <w:t xml:space="preserve"> to assess levels of</w:t>
      </w:r>
      <w:r w:rsidR="00181794">
        <w:rPr>
          <w:rFonts w:ascii="Times New Roman" w:hAnsi="Times New Roman" w:cs="Times New Roman"/>
          <w:noProof/>
        </w:rPr>
        <w:t xml:space="preserve"> separation of co-cultures. FACS</w:t>
      </w:r>
      <w:r w:rsidR="007C7431">
        <w:rPr>
          <w:rFonts w:ascii="Times New Roman" w:hAnsi="Times New Roman" w:cs="Times New Roman"/>
          <w:noProof/>
        </w:rPr>
        <w:t xml:space="preserve"> sorted co-cultures were also ran against both cell types in mono-culture. </w:t>
      </w:r>
      <w:r w:rsidR="00181794">
        <w:rPr>
          <w:rFonts w:ascii="Times New Roman" w:hAnsi="Times New Roman" w:cs="Times New Roman"/>
          <w:noProof/>
        </w:rPr>
        <w:t>Glial fibrillary acidic protein (</w:t>
      </w:r>
      <w:r w:rsidR="007C7431">
        <w:rPr>
          <w:rFonts w:ascii="Times New Roman" w:hAnsi="Times New Roman" w:cs="Times New Roman"/>
          <w:noProof/>
        </w:rPr>
        <w:t>GFAP</w:t>
      </w:r>
      <w:r w:rsidR="00181794">
        <w:rPr>
          <w:rFonts w:ascii="Times New Roman" w:hAnsi="Times New Roman" w:cs="Times New Roman"/>
          <w:noProof/>
        </w:rPr>
        <w:t>)</w:t>
      </w:r>
      <w:r w:rsidR="007C7431">
        <w:rPr>
          <w:rFonts w:ascii="Times New Roman" w:hAnsi="Times New Roman" w:cs="Times New Roman"/>
          <w:noProof/>
        </w:rPr>
        <w:t xml:space="preserve"> was used to identify astrocytes and</w:t>
      </w:r>
      <w:r w:rsidR="00181794">
        <w:rPr>
          <w:rFonts w:ascii="Times New Roman" w:hAnsi="Times New Roman" w:cs="Times New Roman"/>
          <w:noProof/>
        </w:rPr>
        <w:t xml:space="preserve"> neurofilament-light (</w:t>
      </w:r>
      <w:r w:rsidR="007C7431">
        <w:rPr>
          <w:rFonts w:ascii="Times New Roman" w:hAnsi="Times New Roman" w:cs="Times New Roman"/>
          <w:noProof/>
        </w:rPr>
        <w:t>NFL</w:t>
      </w:r>
      <w:r w:rsidR="00181794">
        <w:rPr>
          <w:rFonts w:ascii="Times New Roman" w:hAnsi="Times New Roman" w:cs="Times New Roman"/>
          <w:noProof/>
        </w:rPr>
        <w:t>)</w:t>
      </w:r>
      <w:r w:rsidR="007C7431">
        <w:rPr>
          <w:rFonts w:ascii="Times New Roman" w:hAnsi="Times New Roman" w:cs="Times New Roman"/>
          <w:noProof/>
        </w:rPr>
        <w:t xml:space="preserve"> was used to detect neuronal presence, with </w:t>
      </w:r>
      <w:r w:rsidR="00181794">
        <w:rPr>
          <w:rFonts w:ascii="Times New Roman" w:hAnsi="Times New Roman" w:cs="Times New Roman"/>
          <w:noProof/>
        </w:rPr>
        <w:t>glyceraldehyde 3-phosphate dehydrogenase (</w:t>
      </w:r>
      <w:r w:rsidR="007C7431">
        <w:rPr>
          <w:rFonts w:ascii="Times New Roman" w:hAnsi="Times New Roman" w:cs="Times New Roman"/>
          <w:noProof/>
        </w:rPr>
        <w:t>GAPDH</w:t>
      </w:r>
      <w:r w:rsidR="00181794">
        <w:rPr>
          <w:rFonts w:ascii="Times New Roman" w:hAnsi="Times New Roman" w:cs="Times New Roman"/>
          <w:noProof/>
        </w:rPr>
        <w:t>)</w:t>
      </w:r>
      <w:r w:rsidR="007C7431">
        <w:rPr>
          <w:rFonts w:ascii="Times New Roman" w:hAnsi="Times New Roman" w:cs="Times New Roman"/>
          <w:noProof/>
        </w:rPr>
        <w:t xml:space="preserve"> used as a loading control. The western blot demonstrates enrichment of astrocytes and LUHMES from co-culture at the protein</w:t>
      </w:r>
      <w:r w:rsidR="0066174F">
        <w:rPr>
          <w:rFonts w:ascii="Times New Roman" w:hAnsi="Times New Roman" w:cs="Times New Roman"/>
          <w:noProof/>
        </w:rPr>
        <w:t xml:space="preserve"> level</w:t>
      </w:r>
      <w:r w:rsidR="007C7431">
        <w:rPr>
          <w:rFonts w:ascii="Times New Roman" w:hAnsi="Times New Roman" w:cs="Times New Roman"/>
          <w:noProof/>
        </w:rPr>
        <w:t>.</w:t>
      </w:r>
      <w:r w:rsidR="00181794">
        <w:rPr>
          <w:rFonts w:ascii="Times New Roman" w:hAnsi="Times New Roman" w:cs="Times New Roman"/>
          <w:noProof/>
        </w:rPr>
        <w:t xml:space="preserve"> </w:t>
      </w:r>
      <w:r w:rsidR="00181794">
        <w:rPr>
          <w:rFonts w:ascii="Times New Roman" w:hAnsi="Times New Roman" w:cs="Times New Roman"/>
        </w:rPr>
        <w:t>Molecular weight markers are indicated (kDa)</w:t>
      </w:r>
      <w:r w:rsidR="00C334E8">
        <w:rPr>
          <w:rFonts w:ascii="Times New Roman" w:hAnsi="Times New Roman" w:cs="Times New Roman"/>
        </w:rPr>
        <w:t>.</w:t>
      </w:r>
    </w:p>
    <w:p w14:paraId="4DDF81B7" w14:textId="77777777" w:rsidR="008E3664" w:rsidRDefault="008E3664" w:rsidP="00C63BC1">
      <w:pPr>
        <w:spacing w:line="360" w:lineRule="auto"/>
        <w:jc w:val="both"/>
        <w:rPr>
          <w:rFonts w:ascii="Times New Roman" w:hAnsi="Times New Roman" w:cs="Times New Roman"/>
        </w:rPr>
      </w:pPr>
    </w:p>
    <w:p w14:paraId="128034EE" w14:textId="77777777" w:rsidR="008E3664" w:rsidRPr="00D67893" w:rsidRDefault="008E3664" w:rsidP="00C63BC1">
      <w:pPr>
        <w:spacing w:line="360" w:lineRule="auto"/>
        <w:jc w:val="both"/>
        <w:rPr>
          <w:rFonts w:ascii="Times New Roman" w:hAnsi="Times New Roman" w:cs="Times New Roman"/>
          <w:noProof/>
        </w:rPr>
      </w:pPr>
    </w:p>
    <w:p w14:paraId="51FEDD93" w14:textId="77777777" w:rsidR="00D24D34" w:rsidRDefault="00D24D34" w:rsidP="00C63BC1">
      <w:pPr>
        <w:spacing w:line="360" w:lineRule="auto"/>
        <w:jc w:val="both"/>
        <w:rPr>
          <w:rFonts w:ascii="Times New Roman" w:hAnsi="Times New Roman" w:cs="Times New Roman"/>
          <w:noProof/>
        </w:rPr>
      </w:pPr>
    </w:p>
    <w:p w14:paraId="6D023B47" w14:textId="2BC32C3F" w:rsidR="00D61AF7" w:rsidRDefault="00D61AF7" w:rsidP="00C63BC1">
      <w:pPr>
        <w:spacing w:line="360" w:lineRule="auto"/>
        <w:jc w:val="both"/>
        <w:rPr>
          <w:rFonts w:ascii="Times New Roman" w:hAnsi="Times New Roman" w:cs="Times New Roman"/>
          <w:noProof/>
        </w:rPr>
      </w:pPr>
      <w:r>
        <w:rPr>
          <w:rFonts w:ascii="Times New Roman" w:hAnsi="Times New Roman" w:cs="Times New Roman"/>
          <w:noProof/>
        </w:rPr>
        <w:t>Co-cultures were set up for a second time and FACS sorting was repeated to determine the level of separation of astrocytes and neurons at the gene expression level</w:t>
      </w:r>
      <w:r w:rsidR="00E41BF1">
        <w:rPr>
          <w:rFonts w:ascii="Times New Roman" w:hAnsi="Times New Roman" w:cs="Times New Roman"/>
          <w:noProof/>
        </w:rPr>
        <w:t xml:space="preserve"> (</w:t>
      </w:r>
      <w:r w:rsidR="00E41BF1">
        <w:rPr>
          <w:rFonts w:ascii="Times New Roman" w:hAnsi="Times New Roman" w:cs="Times New Roman"/>
          <w:b/>
          <w:noProof/>
        </w:rPr>
        <w:t xml:space="preserve">figure 5.4 </w:t>
      </w:r>
      <w:r w:rsidR="00E41BF1">
        <w:rPr>
          <w:rFonts w:ascii="Times New Roman" w:hAnsi="Times New Roman" w:cs="Times New Roman"/>
          <w:noProof/>
        </w:rPr>
        <w:t xml:space="preserve">and appendix </w:t>
      </w:r>
      <w:r w:rsidR="00E41BF1">
        <w:rPr>
          <w:rFonts w:ascii="Times New Roman" w:hAnsi="Times New Roman" w:cs="Times New Roman"/>
          <w:b/>
          <w:noProof/>
        </w:rPr>
        <w:t>figure 7.3</w:t>
      </w:r>
      <w:r w:rsidR="00E41BF1">
        <w:rPr>
          <w:rFonts w:ascii="Times New Roman" w:hAnsi="Times New Roman" w:cs="Times New Roman"/>
          <w:noProof/>
        </w:rPr>
        <w:t>)</w:t>
      </w:r>
      <w:r>
        <w:rPr>
          <w:rFonts w:ascii="Times New Roman" w:hAnsi="Times New Roman" w:cs="Times New Roman"/>
          <w:noProof/>
        </w:rPr>
        <w:t xml:space="preserve">. </w:t>
      </w:r>
      <w:r w:rsidR="00F5676D">
        <w:rPr>
          <w:rFonts w:ascii="Times New Roman" w:hAnsi="Times New Roman" w:cs="Times New Roman"/>
          <w:noProof/>
        </w:rPr>
        <w:t>S</w:t>
      </w:r>
      <w:r>
        <w:rPr>
          <w:rFonts w:ascii="Times New Roman" w:hAnsi="Times New Roman" w:cs="Times New Roman"/>
          <w:noProof/>
        </w:rPr>
        <w:t>orted astrocytes and neurons</w:t>
      </w:r>
      <w:r w:rsidR="001B6451">
        <w:rPr>
          <w:rFonts w:ascii="Times New Roman" w:hAnsi="Times New Roman" w:cs="Times New Roman"/>
          <w:noProof/>
        </w:rPr>
        <w:t xml:space="preserve"> were harvested in TRIzol</w:t>
      </w:r>
      <w:r w:rsidR="00D67893">
        <w:rPr>
          <w:rFonts w:ascii="Times New Roman" w:hAnsi="Times New Roman" w:cs="Times New Roman"/>
          <w:noProof/>
        </w:rPr>
        <w:t>®</w:t>
      </w:r>
      <w:r w:rsidR="001B6451">
        <w:rPr>
          <w:rFonts w:ascii="Times New Roman" w:hAnsi="Times New Roman" w:cs="Times New Roman"/>
          <w:noProof/>
        </w:rPr>
        <w:t xml:space="preserve"> reagent for RNA isolation</w:t>
      </w:r>
      <w:r w:rsidR="00F5676D">
        <w:rPr>
          <w:rFonts w:ascii="Times New Roman" w:hAnsi="Times New Roman" w:cs="Times New Roman"/>
          <w:noProof/>
        </w:rPr>
        <w:t xml:space="preserve"> and the expression levels of </w:t>
      </w:r>
      <w:r w:rsidR="001B6451">
        <w:rPr>
          <w:rFonts w:ascii="Times New Roman" w:hAnsi="Times New Roman" w:cs="Times New Roman"/>
          <w:noProof/>
        </w:rPr>
        <w:t>GFAP, NFL and NeuN transcripts were assessed in the FACS sorted co-culture compared with astrocytes and LUHMES in monoculture.</w:t>
      </w:r>
      <w:r w:rsidR="00D67893">
        <w:rPr>
          <w:rFonts w:ascii="Times New Roman" w:hAnsi="Times New Roman" w:cs="Times New Roman"/>
          <w:noProof/>
        </w:rPr>
        <w:t xml:space="preserve"> </w:t>
      </w:r>
      <w:r w:rsidR="00F5676D">
        <w:rPr>
          <w:rFonts w:ascii="Times New Roman" w:hAnsi="Times New Roman" w:cs="Times New Roman"/>
          <w:noProof/>
        </w:rPr>
        <w:t>Mono-cultured</w:t>
      </w:r>
      <w:r w:rsidR="00D67893">
        <w:rPr>
          <w:rFonts w:ascii="Times New Roman" w:hAnsi="Times New Roman" w:cs="Times New Roman"/>
          <w:noProof/>
        </w:rPr>
        <w:t xml:space="preserve"> astrocytes </w:t>
      </w:r>
      <w:r w:rsidR="00650BFF">
        <w:rPr>
          <w:rFonts w:ascii="Times New Roman" w:hAnsi="Times New Roman" w:cs="Times New Roman"/>
          <w:noProof/>
        </w:rPr>
        <w:t>express NFL at the RNA level, which makes NFL a poor choice of transcript for assessing separatio</w:t>
      </w:r>
      <w:r w:rsidR="009D7D48">
        <w:rPr>
          <w:rFonts w:ascii="Times New Roman" w:hAnsi="Times New Roman" w:cs="Times New Roman"/>
          <w:noProof/>
        </w:rPr>
        <w:t xml:space="preserve">n of the astrocytes and LUHMES. </w:t>
      </w:r>
      <w:r w:rsidR="00F5676D">
        <w:rPr>
          <w:rFonts w:ascii="Times New Roman" w:hAnsi="Times New Roman" w:cs="Times New Roman"/>
          <w:noProof/>
        </w:rPr>
        <w:t>Instead,</w:t>
      </w:r>
      <w:r w:rsidR="00650BFF">
        <w:rPr>
          <w:rFonts w:ascii="Times New Roman" w:hAnsi="Times New Roman" w:cs="Times New Roman"/>
          <w:noProof/>
        </w:rPr>
        <w:t xml:space="preserve"> NeuN</w:t>
      </w:r>
      <w:r w:rsidR="009D7D48">
        <w:rPr>
          <w:rFonts w:ascii="Times New Roman" w:hAnsi="Times New Roman" w:cs="Times New Roman"/>
          <w:noProof/>
        </w:rPr>
        <w:t xml:space="preserve"> expression</w:t>
      </w:r>
      <w:r w:rsidR="00650BFF">
        <w:rPr>
          <w:rFonts w:ascii="Times New Roman" w:hAnsi="Times New Roman" w:cs="Times New Roman"/>
          <w:noProof/>
        </w:rPr>
        <w:t xml:space="preserve"> </w:t>
      </w:r>
      <w:r w:rsidR="00F5676D">
        <w:rPr>
          <w:rFonts w:ascii="Times New Roman" w:hAnsi="Times New Roman" w:cs="Times New Roman"/>
          <w:noProof/>
        </w:rPr>
        <w:t>was</w:t>
      </w:r>
      <w:r w:rsidR="00650BFF">
        <w:rPr>
          <w:rFonts w:ascii="Times New Roman" w:hAnsi="Times New Roman" w:cs="Times New Roman"/>
          <w:noProof/>
        </w:rPr>
        <w:t xml:space="preserve"> chosen to assess separation of the LUHMES and astrocytes as this is not expressed by astrocytes in monoculture. FACS sorted astrocytes have high expression of GFAP at the RNA level, with some expression of NeuN</w:t>
      </w:r>
      <w:r w:rsidR="009F33F9">
        <w:rPr>
          <w:rFonts w:ascii="Times New Roman" w:hAnsi="Times New Roman" w:cs="Times New Roman"/>
          <w:noProof/>
        </w:rPr>
        <w:t xml:space="preserve"> (</w:t>
      </w:r>
      <w:r w:rsidR="009F33F9" w:rsidRPr="000273AF">
        <w:rPr>
          <w:rFonts w:ascii="Times New Roman" w:hAnsi="Times New Roman" w:cs="Times New Roman"/>
          <w:b/>
          <w:noProof/>
        </w:rPr>
        <w:t>figure 5.4</w:t>
      </w:r>
      <w:r w:rsidR="0027426A">
        <w:rPr>
          <w:rFonts w:ascii="Times New Roman" w:hAnsi="Times New Roman" w:cs="Times New Roman"/>
          <w:noProof/>
        </w:rPr>
        <w:t>)</w:t>
      </w:r>
      <w:r w:rsidR="00650BFF">
        <w:rPr>
          <w:rFonts w:ascii="Times New Roman" w:hAnsi="Times New Roman" w:cs="Times New Roman"/>
          <w:noProof/>
        </w:rPr>
        <w:t xml:space="preserve">. This suggests that there is some neuronal contamination of the astrocytes, which is </w:t>
      </w:r>
      <w:r w:rsidR="009D7D48">
        <w:rPr>
          <w:rFonts w:ascii="Times New Roman" w:hAnsi="Times New Roman" w:cs="Times New Roman"/>
          <w:noProof/>
        </w:rPr>
        <w:t>not surprising</w:t>
      </w:r>
      <w:r w:rsidR="00650BFF">
        <w:rPr>
          <w:rFonts w:ascii="Times New Roman" w:hAnsi="Times New Roman" w:cs="Times New Roman"/>
          <w:noProof/>
        </w:rPr>
        <w:t xml:space="preserve"> since</w:t>
      </w:r>
      <w:r w:rsidR="009D7D48">
        <w:rPr>
          <w:rFonts w:ascii="Times New Roman" w:hAnsi="Times New Roman" w:cs="Times New Roman"/>
          <w:noProof/>
        </w:rPr>
        <w:t xml:space="preserve"> this is a contact dependent co-culture system</w:t>
      </w:r>
      <w:r w:rsidR="00650BFF">
        <w:rPr>
          <w:rFonts w:ascii="Times New Roman" w:hAnsi="Times New Roman" w:cs="Times New Roman"/>
          <w:noProof/>
        </w:rPr>
        <w:t>. The FACS sorted</w:t>
      </w:r>
      <w:r w:rsidR="00D67893">
        <w:rPr>
          <w:rFonts w:ascii="Times New Roman" w:hAnsi="Times New Roman" w:cs="Times New Roman"/>
          <w:noProof/>
        </w:rPr>
        <w:t xml:space="preserve"> neurons</w:t>
      </w:r>
      <w:r w:rsidR="00650BFF">
        <w:rPr>
          <w:rFonts w:ascii="Times New Roman" w:hAnsi="Times New Roman" w:cs="Times New Roman"/>
          <w:noProof/>
        </w:rPr>
        <w:t xml:space="preserve"> do not express GFAP at the RNA level a</w:t>
      </w:r>
      <w:r w:rsidR="0027426A">
        <w:rPr>
          <w:rFonts w:ascii="Times New Roman" w:hAnsi="Times New Roman" w:cs="Times New Roman"/>
          <w:noProof/>
        </w:rPr>
        <w:t>nd have high expression of NeuN (</w:t>
      </w:r>
      <w:r w:rsidR="0027426A" w:rsidRPr="000273AF">
        <w:rPr>
          <w:rFonts w:ascii="Times New Roman" w:hAnsi="Times New Roman" w:cs="Times New Roman"/>
          <w:b/>
          <w:noProof/>
        </w:rPr>
        <w:t xml:space="preserve">figure </w:t>
      </w:r>
      <w:r w:rsidR="009F33F9" w:rsidRPr="000273AF">
        <w:rPr>
          <w:rFonts w:ascii="Times New Roman" w:hAnsi="Times New Roman" w:cs="Times New Roman"/>
          <w:b/>
          <w:noProof/>
        </w:rPr>
        <w:t>5.4</w:t>
      </w:r>
      <w:r w:rsidR="0027426A">
        <w:rPr>
          <w:rFonts w:ascii="Times New Roman" w:hAnsi="Times New Roman" w:cs="Times New Roman"/>
          <w:noProof/>
        </w:rPr>
        <w:t>).</w:t>
      </w:r>
      <w:r w:rsidR="00650BFF">
        <w:rPr>
          <w:rFonts w:ascii="Times New Roman" w:hAnsi="Times New Roman" w:cs="Times New Roman"/>
          <w:noProof/>
        </w:rPr>
        <w:t xml:space="preserve"> </w:t>
      </w:r>
    </w:p>
    <w:p w14:paraId="6E1E89DA" w14:textId="77777777" w:rsidR="00AA21C2" w:rsidRDefault="00AA21C2" w:rsidP="00C63BC1">
      <w:pPr>
        <w:spacing w:line="360" w:lineRule="auto"/>
        <w:jc w:val="both"/>
        <w:rPr>
          <w:rFonts w:ascii="Times New Roman" w:hAnsi="Times New Roman" w:cs="Times New Roman"/>
          <w:noProof/>
        </w:rPr>
      </w:pPr>
    </w:p>
    <w:p w14:paraId="07A367B9" w14:textId="2AD97546" w:rsidR="00650BFF" w:rsidRDefault="00D61AF7" w:rsidP="00C63BC1">
      <w:pPr>
        <w:spacing w:line="360" w:lineRule="auto"/>
        <w:jc w:val="both"/>
        <w:rPr>
          <w:rFonts w:ascii="Times New Roman" w:hAnsi="Times New Roman" w:cs="Times New Roman"/>
          <w:noProof/>
        </w:rPr>
      </w:pPr>
      <w:r>
        <w:rPr>
          <w:rFonts w:ascii="Times New Roman" w:hAnsi="Times New Roman" w:cs="Times New Roman"/>
          <w:noProof/>
        </w:rPr>
        <w:t>Taken together, these results</w:t>
      </w:r>
      <w:r w:rsidR="00650BFF">
        <w:rPr>
          <w:rFonts w:ascii="Times New Roman" w:hAnsi="Times New Roman" w:cs="Times New Roman"/>
          <w:noProof/>
        </w:rPr>
        <w:t xml:space="preserve"> indicate that FACS sorting of GFP LUHMES from astrocytes</w:t>
      </w:r>
      <w:r w:rsidR="00E33FFD">
        <w:rPr>
          <w:rFonts w:ascii="Times New Roman" w:hAnsi="Times New Roman" w:cs="Times New Roman"/>
          <w:noProof/>
        </w:rPr>
        <w:t xml:space="preserve"> can produce</w:t>
      </w:r>
      <w:r w:rsidR="00650BFF">
        <w:rPr>
          <w:rFonts w:ascii="Times New Roman" w:hAnsi="Times New Roman" w:cs="Times New Roman"/>
          <w:noProof/>
        </w:rPr>
        <w:t xml:space="preserve"> enriched populations of both cell types</w:t>
      </w:r>
      <w:r w:rsidR="007C7431">
        <w:rPr>
          <w:rFonts w:ascii="Times New Roman" w:hAnsi="Times New Roman" w:cs="Times New Roman"/>
          <w:noProof/>
        </w:rPr>
        <w:t xml:space="preserve">, </w:t>
      </w:r>
      <w:r w:rsidR="0077086E">
        <w:rPr>
          <w:rFonts w:ascii="Times New Roman" w:hAnsi="Times New Roman" w:cs="Times New Roman"/>
          <w:noProof/>
        </w:rPr>
        <w:t xml:space="preserve">as revealed by RNA and protein expression. </w:t>
      </w:r>
    </w:p>
    <w:p w14:paraId="1AF6873B" w14:textId="77777777" w:rsidR="0027426A" w:rsidRPr="00650BFF" w:rsidRDefault="0027426A" w:rsidP="00C63BC1">
      <w:pPr>
        <w:spacing w:line="360" w:lineRule="auto"/>
        <w:jc w:val="both"/>
        <w:rPr>
          <w:rFonts w:ascii="Times New Roman" w:hAnsi="Times New Roman" w:cs="Times New Roman"/>
          <w:noProof/>
        </w:rPr>
      </w:pPr>
    </w:p>
    <w:p w14:paraId="3F56B5E9" w14:textId="08F12808" w:rsidR="00F474AA" w:rsidRDefault="00F474AA">
      <w:pPr>
        <w:rPr>
          <w:rFonts w:ascii="Times New Roman" w:hAnsi="Times New Roman" w:cs="Times New Roman"/>
          <w:b/>
          <w:noProof/>
        </w:rPr>
      </w:pPr>
    </w:p>
    <w:p w14:paraId="7C8D7E5D" w14:textId="77777777" w:rsidR="00F474AA" w:rsidRDefault="00F474AA">
      <w:pPr>
        <w:rPr>
          <w:rFonts w:ascii="Times New Roman" w:hAnsi="Times New Roman" w:cs="Times New Roman"/>
          <w:b/>
          <w:noProof/>
        </w:rPr>
      </w:pPr>
    </w:p>
    <w:p w14:paraId="33E19BB2" w14:textId="77777777" w:rsidR="00F474AA" w:rsidRDefault="00F474AA">
      <w:pPr>
        <w:rPr>
          <w:rFonts w:ascii="Times New Roman" w:hAnsi="Times New Roman" w:cs="Times New Roman"/>
          <w:b/>
          <w:noProof/>
        </w:rPr>
      </w:pPr>
    </w:p>
    <w:p w14:paraId="46A9AAC5" w14:textId="2B40C746" w:rsidR="00F474AA" w:rsidRDefault="00F72B09">
      <w:pPr>
        <w:rPr>
          <w:rFonts w:ascii="Times New Roman" w:hAnsi="Times New Roman" w:cs="Times New Roman"/>
          <w:b/>
          <w:noProof/>
        </w:rPr>
      </w:pPr>
      <w:r>
        <w:rPr>
          <w:rFonts w:ascii="Times New Roman" w:hAnsi="Times New Roman" w:cs="Times New Roman"/>
          <w:b/>
          <w:noProof/>
        </w:rPr>
        <w:drawing>
          <wp:inline distT="0" distB="0" distL="0" distR="0" wp14:anchorId="6F2982F2" wp14:editId="7AF74860">
            <wp:extent cx="5621418" cy="40005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86">
                      <a:extLst>
                        <a:ext uri="{28A0092B-C50C-407E-A947-70E740481C1C}">
                          <a14:useLocalDpi xmlns:a14="http://schemas.microsoft.com/office/drawing/2010/main" val="0"/>
                        </a:ext>
                      </a:extLst>
                    </a:blip>
                    <a:srcRect b="5085"/>
                    <a:stretch/>
                  </pic:blipFill>
                  <pic:spPr bwMode="auto">
                    <a:xfrm>
                      <a:off x="0" y="0"/>
                      <a:ext cx="5622002" cy="4000916"/>
                    </a:xfrm>
                    <a:prstGeom prst="rect">
                      <a:avLst/>
                    </a:prstGeom>
                    <a:ln>
                      <a:noFill/>
                    </a:ln>
                    <a:extLst>
                      <a:ext uri="{53640926-AAD7-44d8-BBD7-CCE9431645EC}">
                        <a14:shadowObscured xmlns:a14="http://schemas.microsoft.com/office/drawing/2010/main"/>
                      </a:ext>
                    </a:extLst>
                  </pic:spPr>
                </pic:pic>
              </a:graphicData>
            </a:graphic>
          </wp:inline>
        </w:drawing>
      </w:r>
    </w:p>
    <w:p w14:paraId="760914F7" w14:textId="77777777" w:rsidR="00F474AA" w:rsidRDefault="00F474AA">
      <w:pPr>
        <w:rPr>
          <w:rFonts w:ascii="Times New Roman" w:hAnsi="Times New Roman" w:cs="Times New Roman"/>
          <w:b/>
          <w:noProof/>
        </w:rPr>
      </w:pPr>
    </w:p>
    <w:p w14:paraId="0BB020FA" w14:textId="77777777" w:rsidR="00F474AA" w:rsidRDefault="00F474AA">
      <w:pPr>
        <w:rPr>
          <w:rFonts w:ascii="Times New Roman" w:hAnsi="Times New Roman" w:cs="Times New Roman"/>
          <w:b/>
          <w:noProof/>
        </w:rPr>
      </w:pPr>
    </w:p>
    <w:p w14:paraId="7EEDC559" w14:textId="77777777" w:rsidR="00F474AA" w:rsidRDefault="00F474AA" w:rsidP="00585472">
      <w:pPr>
        <w:jc w:val="both"/>
        <w:rPr>
          <w:rFonts w:ascii="Times New Roman" w:hAnsi="Times New Roman" w:cs="Times New Roman"/>
          <w:b/>
          <w:noProof/>
        </w:rPr>
      </w:pPr>
    </w:p>
    <w:p w14:paraId="4CE46856" w14:textId="77777777" w:rsidR="004C1D27" w:rsidRDefault="00F72B09" w:rsidP="00585472">
      <w:pPr>
        <w:pStyle w:val="Caption"/>
        <w:rPr>
          <w:noProof/>
        </w:rPr>
      </w:pPr>
      <w:bookmarkStart w:id="1862" w:name="_Toc333569082"/>
      <w:bookmarkStart w:id="1863" w:name="_Toc333569307"/>
      <w:bookmarkStart w:id="1864" w:name="_Toc333570861"/>
      <w:bookmarkStart w:id="1865" w:name="_Toc333582244"/>
      <w:bookmarkStart w:id="1866" w:name="_Toc333582364"/>
      <w:bookmarkStart w:id="1867" w:name="_Toc333582776"/>
      <w:bookmarkStart w:id="1868" w:name="_Toc333583146"/>
      <w:bookmarkStart w:id="1869" w:name="_Toc333585257"/>
      <w:bookmarkStart w:id="1870" w:name="_Toc333586809"/>
      <w:bookmarkStart w:id="1871" w:name="_Toc333644508"/>
      <w:bookmarkStart w:id="1872" w:name="_Toc333644802"/>
      <w:r>
        <w:rPr>
          <w:noProof/>
        </w:rPr>
        <w:t>Figure 5.4</w:t>
      </w:r>
      <w:r w:rsidR="0043060F">
        <w:rPr>
          <w:noProof/>
        </w:rPr>
        <w:t>.</w:t>
      </w:r>
      <w:r>
        <w:rPr>
          <w:noProof/>
        </w:rPr>
        <w:t xml:space="preserve"> Optimising FACS sorting of astrocytes and LUHMES from co-culture 2.</w:t>
      </w:r>
      <w:bookmarkEnd w:id="1862"/>
      <w:bookmarkEnd w:id="1863"/>
      <w:bookmarkEnd w:id="1864"/>
      <w:bookmarkEnd w:id="1865"/>
      <w:bookmarkEnd w:id="1866"/>
      <w:bookmarkEnd w:id="1867"/>
      <w:bookmarkEnd w:id="1868"/>
      <w:bookmarkEnd w:id="1869"/>
      <w:bookmarkEnd w:id="1870"/>
      <w:bookmarkEnd w:id="1871"/>
      <w:bookmarkEnd w:id="1872"/>
      <w:r>
        <w:rPr>
          <w:noProof/>
        </w:rPr>
        <w:t xml:space="preserve"> </w:t>
      </w:r>
    </w:p>
    <w:p w14:paraId="0FC4DBD0" w14:textId="718380CF" w:rsidR="00F72B09" w:rsidRPr="0053606E" w:rsidRDefault="00F72B09" w:rsidP="00585472">
      <w:pPr>
        <w:spacing w:line="360" w:lineRule="auto"/>
        <w:jc w:val="both"/>
        <w:rPr>
          <w:rFonts w:ascii="Times New Roman" w:hAnsi="Times New Roman" w:cs="Times New Roman"/>
          <w:b/>
          <w:noProof/>
        </w:rPr>
        <w:sectPr w:rsidR="00F72B09" w:rsidRPr="0053606E" w:rsidSect="00BD74B4">
          <w:pgSz w:w="11900" w:h="16840"/>
          <w:pgMar w:top="1440" w:right="1134" w:bottom="1440" w:left="2268" w:header="709" w:footer="709" w:gutter="0"/>
          <w:cols w:space="708"/>
          <w:docGrid w:linePitch="360"/>
        </w:sectPr>
      </w:pPr>
      <w:r>
        <w:rPr>
          <w:rFonts w:ascii="Times New Roman" w:hAnsi="Times New Roman" w:cs="Times New Roman"/>
          <w:noProof/>
        </w:rPr>
        <w:t>FACS sorting of astrocytes and GFP LUHMES from co-culture using the FACS</w:t>
      </w:r>
      <w:r w:rsidR="008E0335">
        <w:rPr>
          <w:rFonts w:ascii="Times New Roman" w:hAnsi="Times New Roman" w:cs="Times New Roman"/>
          <w:noProof/>
        </w:rPr>
        <w:t xml:space="preserve"> ARIA, with control astrocytes, LUHMES and GFP LUHMES used to set the gates.</w:t>
      </w:r>
      <w:r>
        <w:rPr>
          <w:rFonts w:ascii="Times New Roman" w:hAnsi="Times New Roman" w:cs="Times New Roman"/>
          <w:noProof/>
        </w:rPr>
        <w:t xml:space="preserve"> 18% of the total population of FACS</w:t>
      </w:r>
      <w:r w:rsidR="008E0335">
        <w:rPr>
          <w:rFonts w:ascii="Times New Roman" w:hAnsi="Times New Roman" w:cs="Times New Roman"/>
          <w:noProof/>
        </w:rPr>
        <w:t xml:space="preserve"> sorted co-cultured cells</w:t>
      </w:r>
      <w:r>
        <w:rPr>
          <w:rFonts w:ascii="Times New Roman" w:hAnsi="Times New Roman" w:cs="Times New Roman"/>
          <w:noProof/>
        </w:rPr>
        <w:t xml:space="preserve"> were GFP LUHMES</w:t>
      </w:r>
      <w:r w:rsidR="00BD74B4">
        <w:rPr>
          <w:rFonts w:ascii="Times New Roman" w:hAnsi="Times New Roman" w:cs="Times New Roman"/>
          <w:noProof/>
        </w:rPr>
        <w:t xml:space="preserve"> (green)</w:t>
      </w:r>
      <w:r>
        <w:rPr>
          <w:rFonts w:ascii="Times New Roman" w:hAnsi="Times New Roman" w:cs="Times New Roman"/>
          <w:noProof/>
        </w:rPr>
        <w:t xml:space="preserve"> and 11.2% were FACS sorted astrocytes</w:t>
      </w:r>
      <w:r w:rsidR="00BD74B4">
        <w:rPr>
          <w:rFonts w:ascii="Times New Roman" w:hAnsi="Times New Roman" w:cs="Times New Roman"/>
          <w:noProof/>
        </w:rPr>
        <w:t xml:space="preserve"> (blue)</w:t>
      </w:r>
      <w:r>
        <w:rPr>
          <w:rFonts w:ascii="Times New Roman" w:hAnsi="Times New Roman" w:cs="Times New Roman"/>
          <w:noProof/>
        </w:rPr>
        <w:t>.</w:t>
      </w:r>
      <w:r w:rsidR="00BD74B4">
        <w:rPr>
          <w:rFonts w:ascii="Times New Roman" w:hAnsi="Times New Roman" w:cs="Times New Roman"/>
          <w:noProof/>
        </w:rPr>
        <w:t xml:space="preserve"> Cells in red represent untransduced LUHMES or astrocytes that cannot be distin</w:t>
      </w:r>
      <w:r w:rsidR="0066174F">
        <w:rPr>
          <w:rFonts w:ascii="Times New Roman" w:hAnsi="Times New Roman" w:cs="Times New Roman"/>
          <w:noProof/>
        </w:rPr>
        <w:t>guished from one another</w:t>
      </w:r>
      <w:r w:rsidR="00BD74B4">
        <w:rPr>
          <w:rFonts w:ascii="Times New Roman" w:hAnsi="Times New Roman" w:cs="Times New Roman"/>
          <w:noProof/>
        </w:rPr>
        <w:t>.</w:t>
      </w:r>
      <w:r>
        <w:rPr>
          <w:rFonts w:ascii="Times New Roman" w:hAnsi="Times New Roman" w:cs="Times New Roman"/>
          <w:noProof/>
        </w:rPr>
        <w:t xml:space="preserve"> C</w:t>
      </w:r>
      <w:r w:rsidR="00BF332C">
        <w:rPr>
          <w:rFonts w:ascii="Times New Roman" w:hAnsi="Times New Roman" w:cs="Times New Roman"/>
          <w:noProof/>
        </w:rPr>
        <w:t xml:space="preserve">o-cultures were separated </w:t>
      </w:r>
      <w:r>
        <w:rPr>
          <w:rFonts w:ascii="Times New Roman" w:hAnsi="Times New Roman" w:cs="Times New Roman"/>
          <w:noProof/>
        </w:rPr>
        <w:t>according to size (FSC) and granularity (SSC), then assessed for</w:t>
      </w:r>
      <w:r w:rsidR="0066174F">
        <w:rPr>
          <w:rFonts w:ascii="Times New Roman" w:hAnsi="Times New Roman" w:cs="Times New Roman"/>
          <w:noProof/>
        </w:rPr>
        <w:t xml:space="preserve"> the</w:t>
      </w:r>
      <w:r>
        <w:rPr>
          <w:rFonts w:ascii="Times New Roman" w:hAnsi="Times New Roman" w:cs="Times New Roman"/>
          <w:noProof/>
        </w:rPr>
        <w:t xml:space="preserve"> presence of GFP. DNA gel shows expression of the astrocytic marker glial fibrillary acidic protein (GFAP) and neuronal markers neurofilament-light (NFL) and the neuronal specific nuclear protein (NeuN) across a panel of astrocytes and LUHMES in monoculture or</w:t>
      </w:r>
      <w:r w:rsidR="00B8782A">
        <w:rPr>
          <w:rFonts w:ascii="Times New Roman" w:hAnsi="Times New Roman" w:cs="Times New Roman"/>
          <w:noProof/>
        </w:rPr>
        <w:t xml:space="preserve"> FACS</w:t>
      </w:r>
      <w:r>
        <w:rPr>
          <w:rFonts w:ascii="Times New Roman" w:hAnsi="Times New Roman" w:cs="Times New Roman"/>
          <w:noProof/>
        </w:rPr>
        <w:t xml:space="preserve"> sorted from co-culture. The DNA gel shows enrichment of astrocyte and neu</w:t>
      </w:r>
      <w:r w:rsidR="00B8782A">
        <w:rPr>
          <w:rFonts w:ascii="Times New Roman" w:hAnsi="Times New Roman" w:cs="Times New Roman"/>
          <w:noProof/>
        </w:rPr>
        <w:t>ronal populations following FACS</w:t>
      </w:r>
      <w:r>
        <w:rPr>
          <w:rFonts w:ascii="Times New Roman" w:hAnsi="Times New Roman" w:cs="Times New Roman"/>
          <w:noProof/>
        </w:rPr>
        <w:t xml:space="preserve"> sorting.</w:t>
      </w:r>
    </w:p>
    <w:p w14:paraId="09EF86EA" w14:textId="43067C9F" w:rsidR="004B08AF" w:rsidRDefault="003256A1" w:rsidP="00395B55">
      <w:pPr>
        <w:pStyle w:val="Heading3"/>
        <w:rPr>
          <w:noProof/>
        </w:rPr>
      </w:pPr>
      <w:bookmarkStart w:id="1873" w:name="_Toc328301191"/>
      <w:bookmarkStart w:id="1874" w:name="_Toc329593482"/>
      <w:bookmarkStart w:id="1875" w:name="_Toc331425981"/>
      <w:bookmarkStart w:id="1876" w:name="_Toc331427162"/>
      <w:bookmarkStart w:id="1877" w:name="_Toc331427534"/>
      <w:bookmarkStart w:id="1878" w:name="_Toc331427676"/>
      <w:bookmarkStart w:id="1879" w:name="_Toc332972681"/>
      <w:bookmarkStart w:id="1880" w:name="_Toc333046960"/>
      <w:bookmarkStart w:id="1881" w:name="_Toc333477307"/>
      <w:bookmarkStart w:id="1882" w:name="_Toc333478077"/>
      <w:bookmarkStart w:id="1883" w:name="_Toc333644977"/>
      <w:r>
        <w:rPr>
          <w:noProof/>
        </w:rPr>
        <w:t xml:space="preserve">5.4.3 </w:t>
      </w:r>
      <w:r w:rsidR="00656D4E">
        <w:rPr>
          <w:noProof/>
        </w:rPr>
        <w:t>FACS sort of co-cultures</w:t>
      </w:r>
      <w:r w:rsidR="00D2042B">
        <w:rPr>
          <w:noProof/>
        </w:rPr>
        <w:t xml:space="preserve"> for microarray analysis</w:t>
      </w:r>
      <w:bookmarkEnd w:id="1873"/>
      <w:bookmarkEnd w:id="1874"/>
      <w:bookmarkEnd w:id="1875"/>
      <w:bookmarkEnd w:id="1876"/>
      <w:bookmarkEnd w:id="1877"/>
      <w:bookmarkEnd w:id="1878"/>
      <w:bookmarkEnd w:id="1879"/>
      <w:bookmarkEnd w:id="1880"/>
      <w:bookmarkEnd w:id="1881"/>
      <w:bookmarkEnd w:id="1882"/>
      <w:bookmarkEnd w:id="1883"/>
    </w:p>
    <w:p w14:paraId="4517812B" w14:textId="77777777" w:rsidR="004B08AF" w:rsidRDefault="004B08AF" w:rsidP="004B08AF">
      <w:pPr>
        <w:rPr>
          <w:rFonts w:ascii="Times New Roman" w:hAnsi="Times New Roman" w:cs="Times New Roman"/>
          <w:noProof/>
        </w:rPr>
      </w:pPr>
    </w:p>
    <w:p w14:paraId="5989D325" w14:textId="1FD09A8B" w:rsidR="004B4946" w:rsidRDefault="00F5676D" w:rsidP="00C63BC1">
      <w:pPr>
        <w:spacing w:line="360" w:lineRule="auto"/>
        <w:jc w:val="both"/>
        <w:rPr>
          <w:rFonts w:ascii="Times New Roman" w:hAnsi="Times New Roman" w:cs="Times New Roman"/>
          <w:noProof/>
        </w:rPr>
      </w:pPr>
      <w:r>
        <w:rPr>
          <w:rFonts w:ascii="Times New Roman" w:hAnsi="Times New Roman" w:cs="Times New Roman"/>
          <w:noProof/>
        </w:rPr>
        <w:t xml:space="preserve">Control and MAB391-treatd astrocytes were co-cultured with </w:t>
      </w:r>
      <w:r w:rsidR="001B6BBD">
        <w:rPr>
          <w:rFonts w:ascii="Times New Roman" w:hAnsi="Times New Roman" w:cs="Times New Roman"/>
          <w:noProof/>
        </w:rPr>
        <w:t>LUHM</w:t>
      </w:r>
      <w:r>
        <w:rPr>
          <w:rFonts w:ascii="Times New Roman" w:hAnsi="Times New Roman" w:cs="Times New Roman"/>
          <w:noProof/>
        </w:rPr>
        <w:t>ES</w:t>
      </w:r>
      <w:r w:rsidR="001B6BBD">
        <w:rPr>
          <w:rFonts w:ascii="Times New Roman" w:hAnsi="Times New Roman" w:cs="Times New Roman"/>
          <w:noProof/>
        </w:rPr>
        <w:t xml:space="preserve"> for 72 hours prio</w:t>
      </w:r>
      <w:r w:rsidR="00882F98">
        <w:rPr>
          <w:rFonts w:ascii="Times New Roman" w:hAnsi="Times New Roman" w:cs="Times New Roman"/>
          <w:noProof/>
        </w:rPr>
        <w:t>r to FACS sorting and separation of the</w:t>
      </w:r>
      <w:r w:rsidR="001B6BBD">
        <w:rPr>
          <w:rFonts w:ascii="Times New Roman" w:hAnsi="Times New Roman" w:cs="Times New Roman"/>
          <w:noProof/>
        </w:rPr>
        <w:t xml:space="preserve"> co-cultures back into the individual cell types.</w:t>
      </w:r>
      <w:r w:rsidR="0035158B">
        <w:rPr>
          <w:rFonts w:ascii="Times New Roman" w:hAnsi="Times New Roman" w:cs="Times New Roman"/>
          <w:noProof/>
        </w:rPr>
        <w:t xml:space="preserve"> </w:t>
      </w:r>
      <w:r w:rsidR="009500FD">
        <w:rPr>
          <w:rFonts w:ascii="Times New Roman" w:hAnsi="Times New Roman" w:cs="Times New Roman"/>
          <w:noProof/>
        </w:rPr>
        <w:t xml:space="preserve">Three sets of co-cultures were established from P5 GFP LUHMES and P7 ScienCell astrocytes. These were all plated, treated and FACS sorted on consecutive days. </w:t>
      </w:r>
      <w:r w:rsidR="004B4946">
        <w:rPr>
          <w:rFonts w:ascii="Times New Roman" w:hAnsi="Times New Roman" w:cs="Times New Roman"/>
          <w:noProof/>
        </w:rPr>
        <w:t>Samples will be referred to as C1/2/3 and M1/2/3, where C represents control, M represents MAB391-treated and the number indicates the independent co-culture experiment (for example C1 and M1 are control and MAB391-treated co-cultures set up at the same time).</w:t>
      </w:r>
    </w:p>
    <w:p w14:paraId="4461A734" w14:textId="77777777" w:rsidR="00086871" w:rsidRDefault="00086871" w:rsidP="00C63BC1">
      <w:pPr>
        <w:spacing w:line="360" w:lineRule="auto"/>
        <w:jc w:val="both"/>
        <w:rPr>
          <w:rFonts w:ascii="Times New Roman" w:hAnsi="Times New Roman" w:cs="Times New Roman"/>
          <w:noProof/>
        </w:rPr>
      </w:pPr>
    </w:p>
    <w:p w14:paraId="0FF89F72" w14:textId="563DB097" w:rsidR="001B6BBD" w:rsidRDefault="0035158B" w:rsidP="00C63BC1">
      <w:pPr>
        <w:spacing w:line="360" w:lineRule="auto"/>
        <w:jc w:val="both"/>
        <w:rPr>
          <w:rFonts w:ascii="Times New Roman" w:hAnsi="Times New Roman" w:cs="Times New Roman"/>
          <w:noProof/>
        </w:rPr>
      </w:pPr>
      <w:r>
        <w:rPr>
          <w:rFonts w:ascii="Times New Roman" w:hAnsi="Times New Roman" w:cs="Times New Roman"/>
          <w:noProof/>
        </w:rPr>
        <w:t xml:space="preserve">On average, </w:t>
      </w:r>
      <w:r w:rsidR="00B86349">
        <w:rPr>
          <w:rFonts w:ascii="Times New Roman" w:hAnsi="Times New Roman" w:cs="Times New Roman"/>
          <w:noProof/>
        </w:rPr>
        <w:t>approximately 140 000 astrocytes and 132 000 neurons were collected from the FACS sort (</w:t>
      </w:r>
      <w:r w:rsidR="00D63068" w:rsidRPr="000273AF">
        <w:rPr>
          <w:rFonts w:ascii="Times New Roman" w:hAnsi="Times New Roman" w:cs="Times New Roman"/>
          <w:b/>
          <w:noProof/>
        </w:rPr>
        <w:t xml:space="preserve">figure 5.5 and </w:t>
      </w:r>
      <w:r w:rsidR="00B86349" w:rsidRPr="000273AF">
        <w:rPr>
          <w:rFonts w:ascii="Times New Roman" w:hAnsi="Times New Roman" w:cs="Times New Roman"/>
          <w:b/>
          <w:noProof/>
        </w:rPr>
        <w:t xml:space="preserve">table </w:t>
      </w:r>
      <w:r w:rsidR="00354513" w:rsidRPr="000273AF">
        <w:rPr>
          <w:rFonts w:ascii="Times New Roman" w:hAnsi="Times New Roman" w:cs="Times New Roman"/>
          <w:b/>
          <w:noProof/>
        </w:rPr>
        <w:t>5.1</w:t>
      </w:r>
      <w:r w:rsidR="00B86349">
        <w:rPr>
          <w:rFonts w:ascii="Times New Roman" w:hAnsi="Times New Roman" w:cs="Times New Roman"/>
          <w:noProof/>
        </w:rPr>
        <w:t>).</w:t>
      </w:r>
      <w:r w:rsidR="009500FD">
        <w:rPr>
          <w:rFonts w:ascii="Times New Roman" w:hAnsi="Times New Roman" w:cs="Times New Roman"/>
          <w:noProof/>
        </w:rPr>
        <w:t xml:space="preserve"> </w:t>
      </w:r>
      <w:r w:rsidR="00E84347">
        <w:rPr>
          <w:rFonts w:ascii="Times New Roman" w:hAnsi="Times New Roman" w:cs="Times New Roman"/>
          <w:noProof/>
        </w:rPr>
        <w:t>Approximately 10% of the</w:t>
      </w:r>
      <w:r w:rsidR="00F5676D">
        <w:rPr>
          <w:rFonts w:ascii="Times New Roman" w:hAnsi="Times New Roman" w:cs="Times New Roman"/>
          <w:noProof/>
        </w:rPr>
        <w:t xml:space="preserve"> FACS sorted co-cultures</w:t>
      </w:r>
      <w:r w:rsidR="00E84347">
        <w:rPr>
          <w:rFonts w:ascii="Times New Roman" w:hAnsi="Times New Roman" w:cs="Times New Roman"/>
          <w:noProof/>
        </w:rPr>
        <w:t xml:space="preserve"> were astrocytes and 15% of the total cell population of sorted</w:t>
      </w:r>
      <w:r w:rsidR="000019E5">
        <w:rPr>
          <w:rFonts w:ascii="Times New Roman" w:hAnsi="Times New Roman" w:cs="Times New Roman"/>
          <w:noProof/>
        </w:rPr>
        <w:t xml:space="preserve"> cells</w:t>
      </w:r>
      <w:r w:rsidR="00E84347">
        <w:rPr>
          <w:rFonts w:ascii="Times New Roman" w:hAnsi="Times New Roman" w:cs="Times New Roman"/>
          <w:noProof/>
        </w:rPr>
        <w:t xml:space="preserve"> were GFP </w:t>
      </w:r>
      <w:r w:rsidR="000019E5">
        <w:rPr>
          <w:rFonts w:ascii="Times New Roman" w:hAnsi="Times New Roman" w:cs="Times New Roman"/>
          <w:noProof/>
        </w:rPr>
        <w:t>LUHMES</w:t>
      </w:r>
      <w:r w:rsidR="00E84347">
        <w:rPr>
          <w:rFonts w:ascii="Times New Roman" w:hAnsi="Times New Roman" w:cs="Times New Roman"/>
          <w:noProof/>
        </w:rPr>
        <w:t xml:space="preserve"> (figure </w:t>
      </w:r>
      <w:r w:rsidR="009F33F9">
        <w:rPr>
          <w:rFonts w:ascii="Times New Roman" w:hAnsi="Times New Roman" w:cs="Times New Roman"/>
          <w:noProof/>
        </w:rPr>
        <w:t>5.6</w:t>
      </w:r>
      <w:r w:rsidR="00E84347">
        <w:rPr>
          <w:rFonts w:ascii="Times New Roman" w:hAnsi="Times New Roman" w:cs="Times New Roman"/>
          <w:noProof/>
        </w:rPr>
        <w:t xml:space="preserve">). </w:t>
      </w:r>
      <w:r w:rsidR="009500FD">
        <w:rPr>
          <w:rFonts w:ascii="Times New Roman" w:hAnsi="Times New Roman" w:cs="Times New Roman"/>
          <w:noProof/>
        </w:rPr>
        <w:t>Cells were collected straight into media and later harvested in TRIzol</w:t>
      </w:r>
      <w:r w:rsidR="00D63068">
        <w:rPr>
          <w:rFonts w:ascii="Times New Roman" w:hAnsi="Times New Roman" w:cs="Times New Roman"/>
          <w:noProof/>
        </w:rPr>
        <w:t>®</w:t>
      </w:r>
      <w:r w:rsidR="009500FD">
        <w:rPr>
          <w:rFonts w:ascii="Times New Roman" w:hAnsi="Times New Roman" w:cs="Times New Roman"/>
          <w:noProof/>
        </w:rPr>
        <w:t xml:space="preserve"> before isolatin</w:t>
      </w:r>
      <w:r w:rsidR="00317574">
        <w:rPr>
          <w:rFonts w:ascii="Times New Roman" w:hAnsi="Times New Roman" w:cs="Times New Roman"/>
          <w:noProof/>
        </w:rPr>
        <w:t>g RNA using the Zymo Clean and C</w:t>
      </w:r>
      <w:r w:rsidR="009500FD">
        <w:rPr>
          <w:rFonts w:ascii="Times New Roman" w:hAnsi="Times New Roman" w:cs="Times New Roman"/>
          <w:noProof/>
        </w:rPr>
        <w:t>oncentrate kit.</w:t>
      </w:r>
      <w:r w:rsidR="00317574">
        <w:rPr>
          <w:rFonts w:ascii="Times New Roman" w:hAnsi="Times New Roman" w:cs="Times New Roman"/>
          <w:noProof/>
        </w:rPr>
        <w:t xml:space="preserve"> </w:t>
      </w:r>
    </w:p>
    <w:p w14:paraId="7C0AE2A7" w14:textId="77777777" w:rsidR="004D474F" w:rsidRPr="004D474F" w:rsidRDefault="004D474F" w:rsidP="004D474F"/>
    <w:p w14:paraId="48A6267D" w14:textId="3690C481" w:rsidR="004D474F" w:rsidRDefault="004D474F" w:rsidP="004D474F">
      <w:pPr>
        <w:pStyle w:val="Heading5"/>
        <w:rPr>
          <w:noProof/>
        </w:rPr>
      </w:pPr>
      <w:bookmarkStart w:id="1884" w:name="_Toc333585970"/>
      <w:bookmarkStart w:id="1885" w:name="_Toc333586845"/>
      <w:bookmarkStart w:id="1886" w:name="_Toc333644544"/>
      <w:bookmarkStart w:id="1887" w:name="_Toc333644838"/>
      <w:r>
        <w:rPr>
          <w:noProof/>
        </w:rPr>
        <w:t>Table 5.1. Number of astrocytes and neurons collected from FACS sorted co-cultures.</w:t>
      </w:r>
      <w:bookmarkEnd w:id="1884"/>
      <w:bookmarkEnd w:id="1885"/>
      <w:bookmarkEnd w:id="1886"/>
      <w:bookmarkEnd w:id="1887"/>
    </w:p>
    <w:p w14:paraId="33B4BFC4" w14:textId="1CB725DD" w:rsidR="004B08AF" w:rsidRPr="00F84E3F" w:rsidRDefault="004B08AF" w:rsidP="00C63BC1">
      <w:pPr>
        <w:spacing w:line="360" w:lineRule="auto"/>
        <w:jc w:val="both"/>
        <w:rPr>
          <w:rFonts w:ascii="Times New Roman" w:hAnsi="Times New Roman" w:cs="Times New Roman"/>
          <w:noProof/>
        </w:rPr>
      </w:pPr>
      <w:r>
        <w:rPr>
          <w:rFonts w:ascii="Times New Roman" w:hAnsi="Times New Roman" w:cs="Times New Roman"/>
          <w:noProof/>
        </w:rPr>
        <w:t>FACS ARIA was used to separate control ast</w:t>
      </w:r>
      <w:r w:rsidR="00B80D03">
        <w:rPr>
          <w:rFonts w:ascii="Times New Roman" w:hAnsi="Times New Roman" w:cs="Times New Roman"/>
          <w:noProof/>
        </w:rPr>
        <w:t>rocytes from neurons and MAB391-</w:t>
      </w:r>
      <w:r>
        <w:rPr>
          <w:rFonts w:ascii="Times New Roman" w:hAnsi="Times New Roman" w:cs="Times New Roman"/>
          <w:noProof/>
        </w:rPr>
        <w:t xml:space="preserve">treated astrocytes from neurons. </w:t>
      </w:r>
      <w:r w:rsidR="001E020D">
        <w:rPr>
          <w:rFonts w:ascii="Times New Roman" w:hAnsi="Times New Roman" w:cs="Times New Roman"/>
          <w:noProof/>
        </w:rPr>
        <w:t xml:space="preserve">Numbers </w:t>
      </w:r>
      <w:r w:rsidR="00821AB8">
        <w:rPr>
          <w:rFonts w:ascii="Times New Roman" w:hAnsi="Times New Roman" w:cs="Times New Roman"/>
          <w:noProof/>
        </w:rPr>
        <w:t>are representative of</w:t>
      </w:r>
      <w:r w:rsidR="001E020D">
        <w:rPr>
          <w:rFonts w:ascii="Times New Roman" w:hAnsi="Times New Roman" w:cs="Times New Roman"/>
          <w:noProof/>
        </w:rPr>
        <w:t xml:space="preserve"> cells collected.</w:t>
      </w:r>
    </w:p>
    <w:p w14:paraId="382D8E42" w14:textId="77777777" w:rsidR="004B08AF" w:rsidRDefault="004B08AF" w:rsidP="004B08AF">
      <w:pPr>
        <w:rPr>
          <w:rFonts w:ascii="Times New Roman" w:hAnsi="Times New Roman" w:cs="Times New Roman"/>
          <w:b/>
          <w:noProof/>
          <w:u w:val="single"/>
        </w:rPr>
      </w:pPr>
    </w:p>
    <w:tbl>
      <w:tblPr>
        <w:tblW w:w="6867" w:type="dxa"/>
        <w:tblInd w:w="756" w:type="dxa"/>
        <w:tblLook w:val="04A0" w:firstRow="1" w:lastRow="0" w:firstColumn="1" w:lastColumn="0" w:noHBand="0" w:noVBand="1"/>
      </w:tblPr>
      <w:tblGrid>
        <w:gridCol w:w="1785"/>
        <w:gridCol w:w="2668"/>
        <w:gridCol w:w="2414"/>
      </w:tblGrid>
      <w:tr w:rsidR="004B08AF" w14:paraId="229E54C9" w14:textId="77777777" w:rsidTr="00C53403">
        <w:trPr>
          <w:trHeight w:val="311"/>
        </w:trPr>
        <w:tc>
          <w:tcPr>
            <w:tcW w:w="1785" w:type="dxa"/>
            <w:tcBorders>
              <w:top w:val="single" w:sz="4" w:space="0" w:color="auto"/>
              <w:left w:val="nil"/>
              <w:bottom w:val="single" w:sz="4" w:space="0" w:color="auto"/>
              <w:right w:val="nil"/>
            </w:tcBorders>
            <w:shd w:val="clear" w:color="auto" w:fill="auto"/>
            <w:noWrap/>
            <w:vAlign w:val="bottom"/>
            <w:hideMark/>
          </w:tcPr>
          <w:p w14:paraId="46B73B77" w14:textId="77777777" w:rsidR="004B08AF" w:rsidRDefault="004B08AF" w:rsidP="0035158B">
            <w:pPr>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Sample</w:t>
            </w:r>
          </w:p>
        </w:tc>
        <w:tc>
          <w:tcPr>
            <w:tcW w:w="2668" w:type="dxa"/>
            <w:tcBorders>
              <w:top w:val="single" w:sz="4" w:space="0" w:color="auto"/>
              <w:left w:val="nil"/>
              <w:bottom w:val="single" w:sz="4" w:space="0" w:color="auto"/>
              <w:right w:val="nil"/>
            </w:tcBorders>
            <w:shd w:val="clear" w:color="auto" w:fill="auto"/>
            <w:noWrap/>
            <w:vAlign w:val="bottom"/>
            <w:hideMark/>
          </w:tcPr>
          <w:p w14:paraId="7E7114A0" w14:textId="77777777" w:rsidR="004B08AF" w:rsidRDefault="004B08AF" w:rsidP="0035158B">
            <w:pPr>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Astrocytes collected</w:t>
            </w:r>
          </w:p>
        </w:tc>
        <w:tc>
          <w:tcPr>
            <w:tcW w:w="2414" w:type="dxa"/>
            <w:tcBorders>
              <w:top w:val="single" w:sz="4" w:space="0" w:color="auto"/>
              <w:left w:val="nil"/>
              <w:bottom w:val="single" w:sz="4" w:space="0" w:color="auto"/>
              <w:right w:val="nil"/>
            </w:tcBorders>
            <w:shd w:val="clear" w:color="auto" w:fill="auto"/>
            <w:noWrap/>
            <w:vAlign w:val="bottom"/>
            <w:hideMark/>
          </w:tcPr>
          <w:p w14:paraId="53313A81" w14:textId="77777777" w:rsidR="004B08AF" w:rsidRDefault="004B08AF" w:rsidP="0035158B">
            <w:pPr>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Neurons collected</w:t>
            </w:r>
          </w:p>
        </w:tc>
      </w:tr>
      <w:tr w:rsidR="004B08AF" w14:paraId="5071048B" w14:textId="77777777" w:rsidTr="00C53403">
        <w:trPr>
          <w:trHeight w:val="311"/>
        </w:trPr>
        <w:tc>
          <w:tcPr>
            <w:tcW w:w="1785" w:type="dxa"/>
            <w:tcBorders>
              <w:top w:val="nil"/>
              <w:left w:val="nil"/>
              <w:bottom w:val="nil"/>
              <w:right w:val="nil"/>
            </w:tcBorders>
            <w:shd w:val="clear" w:color="auto" w:fill="auto"/>
            <w:noWrap/>
            <w:vAlign w:val="bottom"/>
            <w:hideMark/>
          </w:tcPr>
          <w:p w14:paraId="2F276868" w14:textId="500DED6A" w:rsidR="004B08AF" w:rsidRDefault="00A0000C" w:rsidP="00F5676D">
            <w:pPr>
              <w:rPr>
                <w:rFonts w:ascii="Times New Roman" w:eastAsia="Times New Roman" w:hAnsi="Times New Roman" w:cs="Times New Roman"/>
                <w:color w:val="000000"/>
              </w:rPr>
            </w:pPr>
            <w:r>
              <w:rPr>
                <w:rFonts w:ascii="Times New Roman" w:eastAsia="Times New Roman" w:hAnsi="Times New Roman" w:cs="Times New Roman"/>
                <w:color w:val="000000"/>
              </w:rPr>
              <w:t>Control 1</w:t>
            </w:r>
          </w:p>
        </w:tc>
        <w:tc>
          <w:tcPr>
            <w:tcW w:w="2668" w:type="dxa"/>
            <w:tcBorders>
              <w:top w:val="nil"/>
              <w:left w:val="nil"/>
              <w:bottom w:val="nil"/>
              <w:right w:val="nil"/>
            </w:tcBorders>
            <w:shd w:val="clear" w:color="auto" w:fill="auto"/>
            <w:noWrap/>
            <w:vAlign w:val="bottom"/>
            <w:hideMark/>
          </w:tcPr>
          <w:p w14:paraId="15DD18E7" w14:textId="77777777" w:rsidR="004B08AF" w:rsidRDefault="004B08AF" w:rsidP="00F5676D">
            <w:pPr>
              <w:rPr>
                <w:rFonts w:ascii="Times New Roman" w:eastAsia="Times New Roman" w:hAnsi="Times New Roman" w:cs="Times New Roman"/>
                <w:color w:val="000000"/>
              </w:rPr>
            </w:pPr>
            <w:r>
              <w:rPr>
                <w:rFonts w:ascii="Times New Roman" w:eastAsia="Times New Roman" w:hAnsi="Times New Roman" w:cs="Times New Roman"/>
                <w:color w:val="000000"/>
              </w:rPr>
              <w:t>145735</w:t>
            </w:r>
          </w:p>
        </w:tc>
        <w:tc>
          <w:tcPr>
            <w:tcW w:w="2414" w:type="dxa"/>
            <w:tcBorders>
              <w:top w:val="nil"/>
              <w:left w:val="nil"/>
              <w:bottom w:val="nil"/>
              <w:right w:val="nil"/>
            </w:tcBorders>
            <w:shd w:val="clear" w:color="auto" w:fill="auto"/>
            <w:noWrap/>
            <w:vAlign w:val="bottom"/>
            <w:hideMark/>
          </w:tcPr>
          <w:p w14:paraId="5E111575" w14:textId="77777777" w:rsidR="004B08AF" w:rsidRDefault="004B08AF" w:rsidP="00F5676D">
            <w:pPr>
              <w:rPr>
                <w:rFonts w:ascii="Times New Roman" w:eastAsia="Times New Roman" w:hAnsi="Times New Roman" w:cs="Times New Roman"/>
                <w:color w:val="000000"/>
              </w:rPr>
            </w:pPr>
            <w:r>
              <w:rPr>
                <w:rFonts w:ascii="Times New Roman" w:eastAsia="Times New Roman" w:hAnsi="Times New Roman" w:cs="Times New Roman"/>
                <w:color w:val="000000"/>
              </w:rPr>
              <w:t>83024</w:t>
            </w:r>
          </w:p>
        </w:tc>
      </w:tr>
      <w:tr w:rsidR="004B08AF" w14:paraId="05FDE773" w14:textId="77777777" w:rsidTr="00C53403">
        <w:trPr>
          <w:trHeight w:val="311"/>
        </w:trPr>
        <w:tc>
          <w:tcPr>
            <w:tcW w:w="1785" w:type="dxa"/>
            <w:tcBorders>
              <w:top w:val="nil"/>
              <w:left w:val="nil"/>
              <w:bottom w:val="nil"/>
              <w:right w:val="nil"/>
            </w:tcBorders>
            <w:shd w:val="clear" w:color="auto" w:fill="auto"/>
            <w:noWrap/>
            <w:vAlign w:val="bottom"/>
            <w:hideMark/>
          </w:tcPr>
          <w:p w14:paraId="1AC81693" w14:textId="2CF3392C" w:rsidR="004B08AF" w:rsidRDefault="00A0000C" w:rsidP="00F5676D">
            <w:pPr>
              <w:rPr>
                <w:rFonts w:ascii="Times New Roman" w:eastAsia="Times New Roman" w:hAnsi="Times New Roman" w:cs="Times New Roman"/>
                <w:color w:val="000000"/>
              </w:rPr>
            </w:pPr>
            <w:r>
              <w:rPr>
                <w:rFonts w:ascii="Times New Roman" w:eastAsia="Times New Roman" w:hAnsi="Times New Roman" w:cs="Times New Roman"/>
                <w:color w:val="000000"/>
              </w:rPr>
              <w:t>MAB391 1</w:t>
            </w:r>
          </w:p>
        </w:tc>
        <w:tc>
          <w:tcPr>
            <w:tcW w:w="2668" w:type="dxa"/>
            <w:tcBorders>
              <w:top w:val="nil"/>
              <w:left w:val="nil"/>
              <w:bottom w:val="nil"/>
              <w:right w:val="nil"/>
            </w:tcBorders>
            <w:shd w:val="clear" w:color="auto" w:fill="auto"/>
            <w:noWrap/>
            <w:vAlign w:val="bottom"/>
            <w:hideMark/>
          </w:tcPr>
          <w:p w14:paraId="0916C339" w14:textId="77777777" w:rsidR="004B08AF" w:rsidRDefault="004B08AF" w:rsidP="00F5676D">
            <w:pPr>
              <w:rPr>
                <w:rFonts w:ascii="Times New Roman" w:eastAsia="Times New Roman" w:hAnsi="Times New Roman" w:cs="Times New Roman"/>
                <w:color w:val="000000"/>
              </w:rPr>
            </w:pPr>
            <w:r>
              <w:rPr>
                <w:rFonts w:ascii="Times New Roman" w:eastAsia="Times New Roman" w:hAnsi="Times New Roman" w:cs="Times New Roman"/>
                <w:color w:val="000000"/>
              </w:rPr>
              <w:t>142711</w:t>
            </w:r>
          </w:p>
        </w:tc>
        <w:tc>
          <w:tcPr>
            <w:tcW w:w="2414" w:type="dxa"/>
            <w:tcBorders>
              <w:top w:val="nil"/>
              <w:left w:val="nil"/>
              <w:bottom w:val="nil"/>
              <w:right w:val="nil"/>
            </w:tcBorders>
            <w:shd w:val="clear" w:color="auto" w:fill="auto"/>
            <w:noWrap/>
            <w:vAlign w:val="bottom"/>
            <w:hideMark/>
          </w:tcPr>
          <w:p w14:paraId="494C0F90" w14:textId="77777777" w:rsidR="004B08AF" w:rsidRDefault="004B08AF" w:rsidP="00F5676D">
            <w:pPr>
              <w:rPr>
                <w:rFonts w:ascii="Times New Roman" w:eastAsia="Times New Roman" w:hAnsi="Times New Roman" w:cs="Times New Roman"/>
                <w:color w:val="000000"/>
              </w:rPr>
            </w:pPr>
            <w:r>
              <w:rPr>
                <w:rFonts w:ascii="Times New Roman" w:eastAsia="Times New Roman" w:hAnsi="Times New Roman" w:cs="Times New Roman"/>
                <w:color w:val="000000"/>
              </w:rPr>
              <w:t>113649</w:t>
            </w:r>
          </w:p>
        </w:tc>
      </w:tr>
      <w:tr w:rsidR="004B08AF" w14:paraId="37595B68" w14:textId="77777777" w:rsidTr="00C53403">
        <w:trPr>
          <w:trHeight w:val="311"/>
        </w:trPr>
        <w:tc>
          <w:tcPr>
            <w:tcW w:w="1785" w:type="dxa"/>
            <w:tcBorders>
              <w:top w:val="nil"/>
              <w:left w:val="nil"/>
              <w:bottom w:val="nil"/>
              <w:right w:val="nil"/>
            </w:tcBorders>
            <w:shd w:val="clear" w:color="auto" w:fill="auto"/>
            <w:noWrap/>
            <w:vAlign w:val="bottom"/>
            <w:hideMark/>
          </w:tcPr>
          <w:p w14:paraId="78A4DBF9" w14:textId="33B3C4FE" w:rsidR="004B08AF" w:rsidRDefault="00A0000C" w:rsidP="00F5676D">
            <w:pPr>
              <w:rPr>
                <w:rFonts w:ascii="Times New Roman" w:eastAsia="Times New Roman" w:hAnsi="Times New Roman" w:cs="Times New Roman"/>
                <w:color w:val="000000"/>
              </w:rPr>
            </w:pPr>
            <w:r>
              <w:rPr>
                <w:rFonts w:ascii="Times New Roman" w:eastAsia="Times New Roman" w:hAnsi="Times New Roman" w:cs="Times New Roman"/>
                <w:color w:val="000000"/>
              </w:rPr>
              <w:t>Control 2</w:t>
            </w:r>
          </w:p>
        </w:tc>
        <w:tc>
          <w:tcPr>
            <w:tcW w:w="2668" w:type="dxa"/>
            <w:tcBorders>
              <w:top w:val="nil"/>
              <w:left w:val="nil"/>
              <w:bottom w:val="nil"/>
              <w:right w:val="nil"/>
            </w:tcBorders>
            <w:shd w:val="clear" w:color="auto" w:fill="auto"/>
            <w:noWrap/>
            <w:vAlign w:val="bottom"/>
            <w:hideMark/>
          </w:tcPr>
          <w:p w14:paraId="6797DE4F" w14:textId="77777777" w:rsidR="004B08AF" w:rsidRDefault="004B08AF" w:rsidP="00F5676D">
            <w:pPr>
              <w:rPr>
                <w:rFonts w:ascii="Times New Roman" w:eastAsia="Times New Roman" w:hAnsi="Times New Roman" w:cs="Times New Roman"/>
                <w:color w:val="000000"/>
              </w:rPr>
            </w:pPr>
            <w:r>
              <w:rPr>
                <w:rFonts w:ascii="Times New Roman" w:eastAsia="Times New Roman" w:hAnsi="Times New Roman" w:cs="Times New Roman"/>
                <w:color w:val="000000"/>
              </w:rPr>
              <w:t>101038</w:t>
            </w:r>
          </w:p>
        </w:tc>
        <w:tc>
          <w:tcPr>
            <w:tcW w:w="2414" w:type="dxa"/>
            <w:tcBorders>
              <w:top w:val="nil"/>
              <w:left w:val="nil"/>
              <w:bottom w:val="nil"/>
              <w:right w:val="nil"/>
            </w:tcBorders>
            <w:shd w:val="clear" w:color="auto" w:fill="auto"/>
            <w:noWrap/>
            <w:vAlign w:val="bottom"/>
            <w:hideMark/>
          </w:tcPr>
          <w:p w14:paraId="48386A78" w14:textId="77777777" w:rsidR="004B08AF" w:rsidRDefault="004B08AF" w:rsidP="00F5676D">
            <w:pPr>
              <w:rPr>
                <w:rFonts w:ascii="Times New Roman" w:eastAsia="Times New Roman" w:hAnsi="Times New Roman" w:cs="Times New Roman"/>
                <w:color w:val="000000"/>
              </w:rPr>
            </w:pPr>
            <w:r>
              <w:rPr>
                <w:rFonts w:ascii="Times New Roman" w:eastAsia="Times New Roman" w:hAnsi="Times New Roman" w:cs="Times New Roman"/>
                <w:color w:val="000000"/>
              </w:rPr>
              <w:t>127444</w:t>
            </w:r>
          </w:p>
        </w:tc>
      </w:tr>
      <w:tr w:rsidR="004B08AF" w14:paraId="2F24AFB1" w14:textId="77777777" w:rsidTr="00C53403">
        <w:trPr>
          <w:trHeight w:val="311"/>
        </w:trPr>
        <w:tc>
          <w:tcPr>
            <w:tcW w:w="1785" w:type="dxa"/>
            <w:tcBorders>
              <w:top w:val="nil"/>
              <w:left w:val="nil"/>
              <w:bottom w:val="nil"/>
              <w:right w:val="nil"/>
            </w:tcBorders>
            <w:shd w:val="clear" w:color="auto" w:fill="auto"/>
            <w:noWrap/>
            <w:vAlign w:val="bottom"/>
            <w:hideMark/>
          </w:tcPr>
          <w:p w14:paraId="7A146823" w14:textId="35FDB552" w:rsidR="004B08AF" w:rsidRDefault="00A0000C" w:rsidP="00F5676D">
            <w:pPr>
              <w:rPr>
                <w:rFonts w:ascii="Times New Roman" w:eastAsia="Times New Roman" w:hAnsi="Times New Roman" w:cs="Times New Roman"/>
                <w:color w:val="000000"/>
              </w:rPr>
            </w:pPr>
            <w:r>
              <w:rPr>
                <w:rFonts w:ascii="Times New Roman" w:eastAsia="Times New Roman" w:hAnsi="Times New Roman" w:cs="Times New Roman"/>
                <w:color w:val="000000"/>
              </w:rPr>
              <w:t>MAB391 2</w:t>
            </w:r>
          </w:p>
        </w:tc>
        <w:tc>
          <w:tcPr>
            <w:tcW w:w="2668" w:type="dxa"/>
            <w:tcBorders>
              <w:top w:val="nil"/>
              <w:left w:val="nil"/>
              <w:bottom w:val="nil"/>
              <w:right w:val="nil"/>
            </w:tcBorders>
            <w:shd w:val="clear" w:color="auto" w:fill="auto"/>
            <w:noWrap/>
            <w:vAlign w:val="bottom"/>
            <w:hideMark/>
          </w:tcPr>
          <w:p w14:paraId="7BEC123A" w14:textId="77777777" w:rsidR="004B08AF" w:rsidRDefault="004B08AF" w:rsidP="00F5676D">
            <w:pPr>
              <w:rPr>
                <w:rFonts w:ascii="Times New Roman" w:eastAsia="Times New Roman" w:hAnsi="Times New Roman" w:cs="Times New Roman"/>
                <w:color w:val="000000"/>
              </w:rPr>
            </w:pPr>
            <w:r>
              <w:rPr>
                <w:rFonts w:ascii="Times New Roman" w:eastAsia="Times New Roman" w:hAnsi="Times New Roman" w:cs="Times New Roman"/>
                <w:color w:val="000000"/>
              </w:rPr>
              <w:t>89551</w:t>
            </w:r>
          </w:p>
        </w:tc>
        <w:tc>
          <w:tcPr>
            <w:tcW w:w="2414" w:type="dxa"/>
            <w:tcBorders>
              <w:top w:val="nil"/>
              <w:left w:val="nil"/>
              <w:bottom w:val="nil"/>
              <w:right w:val="nil"/>
            </w:tcBorders>
            <w:shd w:val="clear" w:color="auto" w:fill="auto"/>
            <w:noWrap/>
            <w:vAlign w:val="bottom"/>
            <w:hideMark/>
          </w:tcPr>
          <w:p w14:paraId="2A8443AB" w14:textId="77777777" w:rsidR="004B08AF" w:rsidRDefault="004B08AF" w:rsidP="00F5676D">
            <w:pPr>
              <w:rPr>
                <w:rFonts w:ascii="Times New Roman" w:eastAsia="Times New Roman" w:hAnsi="Times New Roman" w:cs="Times New Roman"/>
                <w:color w:val="000000"/>
              </w:rPr>
            </w:pPr>
            <w:r>
              <w:rPr>
                <w:rFonts w:ascii="Times New Roman" w:eastAsia="Times New Roman" w:hAnsi="Times New Roman" w:cs="Times New Roman"/>
                <w:color w:val="000000"/>
              </w:rPr>
              <w:t>122781</w:t>
            </w:r>
          </w:p>
        </w:tc>
      </w:tr>
      <w:tr w:rsidR="004B08AF" w14:paraId="184059B4" w14:textId="77777777" w:rsidTr="00C53403">
        <w:trPr>
          <w:trHeight w:val="311"/>
        </w:trPr>
        <w:tc>
          <w:tcPr>
            <w:tcW w:w="1785" w:type="dxa"/>
            <w:tcBorders>
              <w:top w:val="nil"/>
              <w:left w:val="nil"/>
              <w:bottom w:val="nil"/>
              <w:right w:val="nil"/>
            </w:tcBorders>
            <w:shd w:val="clear" w:color="auto" w:fill="auto"/>
            <w:noWrap/>
            <w:vAlign w:val="bottom"/>
            <w:hideMark/>
          </w:tcPr>
          <w:p w14:paraId="2D74F876" w14:textId="69E881B4" w:rsidR="004B08AF" w:rsidRDefault="00A0000C" w:rsidP="00F5676D">
            <w:pPr>
              <w:rPr>
                <w:rFonts w:ascii="Times New Roman" w:eastAsia="Times New Roman" w:hAnsi="Times New Roman" w:cs="Times New Roman"/>
                <w:color w:val="000000"/>
              </w:rPr>
            </w:pPr>
            <w:r>
              <w:rPr>
                <w:rFonts w:ascii="Times New Roman" w:eastAsia="Times New Roman" w:hAnsi="Times New Roman" w:cs="Times New Roman"/>
                <w:color w:val="000000"/>
              </w:rPr>
              <w:t>Control 3</w:t>
            </w:r>
          </w:p>
        </w:tc>
        <w:tc>
          <w:tcPr>
            <w:tcW w:w="2668" w:type="dxa"/>
            <w:tcBorders>
              <w:top w:val="nil"/>
              <w:left w:val="nil"/>
              <w:bottom w:val="nil"/>
              <w:right w:val="nil"/>
            </w:tcBorders>
            <w:shd w:val="clear" w:color="auto" w:fill="auto"/>
            <w:noWrap/>
            <w:vAlign w:val="bottom"/>
            <w:hideMark/>
          </w:tcPr>
          <w:p w14:paraId="7B6C9491" w14:textId="77777777" w:rsidR="004B08AF" w:rsidRDefault="004B08AF" w:rsidP="00F5676D">
            <w:pPr>
              <w:rPr>
                <w:rFonts w:ascii="Times New Roman" w:eastAsia="Times New Roman" w:hAnsi="Times New Roman" w:cs="Times New Roman"/>
                <w:color w:val="000000"/>
              </w:rPr>
            </w:pPr>
            <w:r>
              <w:rPr>
                <w:rFonts w:ascii="Times New Roman" w:eastAsia="Times New Roman" w:hAnsi="Times New Roman" w:cs="Times New Roman"/>
                <w:color w:val="000000"/>
              </w:rPr>
              <w:t>206968</w:t>
            </w:r>
          </w:p>
        </w:tc>
        <w:tc>
          <w:tcPr>
            <w:tcW w:w="2414" w:type="dxa"/>
            <w:tcBorders>
              <w:top w:val="nil"/>
              <w:left w:val="nil"/>
              <w:bottom w:val="nil"/>
              <w:right w:val="nil"/>
            </w:tcBorders>
            <w:shd w:val="clear" w:color="auto" w:fill="auto"/>
            <w:noWrap/>
            <w:vAlign w:val="bottom"/>
            <w:hideMark/>
          </w:tcPr>
          <w:p w14:paraId="0F8C6661" w14:textId="77777777" w:rsidR="004B08AF" w:rsidRDefault="004B08AF" w:rsidP="00F5676D">
            <w:pPr>
              <w:rPr>
                <w:rFonts w:ascii="Times New Roman" w:eastAsia="Times New Roman" w:hAnsi="Times New Roman" w:cs="Times New Roman"/>
                <w:color w:val="000000"/>
              </w:rPr>
            </w:pPr>
            <w:r>
              <w:rPr>
                <w:rFonts w:ascii="Times New Roman" w:eastAsia="Times New Roman" w:hAnsi="Times New Roman" w:cs="Times New Roman"/>
                <w:color w:val="000000"/>
              </w:rPr>
              <w:t>155059</w:t>
            </w:r>
          </w:p>
        </w:tc>
      </w:tr>
      <w:tr w:rsidR="004B08AF" w14:paraId="52EC10C5" w14:textId="77777777" w:rsidTr="00C53403">
        <w:trPr>
          <w:trHeight w:val="311"/>
        </w:trPr>
        <w:tc>
          <w:tcPr>
            <w:tcW w:w="1785" w:type="dxa"/>
            <w:tcBorders>
              <w:top w:val="nil"/>
              <w:left w:val="nil"/>
              <w:bottom w:val="nil"/>
              <w:right w:val="nil"/>
            </w:tcBorders>
            <w:shd w:val="clear" w:color="auto" w:fill="auto"/>
            <w:noWrap/>
            <w:vAlign w:val="bottom"/>
            <w:hideMark/>
          </w:tcPr>
          <w:p w14:paraId="77BE0649" w14:textId="36FB2F22" w:rsidR="004B08AF" w:rsidRDefault="00A0000C" w:rsidP="00F5676D">
            <w:pPr>
              <w:rPr>
                <w:rFonts w:ascii="Times New Roman" w:eastAsia="Times New Roman" w:hAnsi="Times New Roman" w:cs="Times New Roman"/>
                <w:color w:val="000000"/>
              </w:rPr>
            </w:pPr>
            <w:r>
              <w:rPr>
                <w:rFonts w:ascii="Times New Roman" w:eastAsia="Times New Roman" w:hAnsi="Times New Roman" w:cs="Times New Roman"/>
                <w:color w:val="000000"/>
              </w:rPr>
              <w:t>MAB391 3</w:t>
            </w:r>
          </w:p>
        </w:tc>
        <w:tc>
          <w:tcPr>
            <w:tcW w:w="2668" w:type="dxa"/>
            <w:tcBorders>
              <w:top w:val="nil"/>
              <w:left w:val="nil"/>
              <w:bottom w:val="nil"/>
              <w:right w:val="nil"/>
            </w:tcBorders>
            <w:shd w:val="clear" w:color="auto" w:fill="auto"/>
            <w:noWrap/>
            <w:vAlign w:val="bottom"/>
            <w:hideMark/>
          </w:tcPr>
          <w:p w14:paraId="50040BB0" w14:textId="77777777" w:rsidR="004B08AF" w:rsidRDefault="004B08AF" w:rsidP="00F5676D">
            <w:pPr>
              <w:rPr>
                <w:rFonts w:ascii="Times New Roman" w:eastAsia="Times New Roman" w:hAnsi="Times New Roman" w:cs="Times New Roman"/>
                <w:color w:val="000000"/>
              </w:rPr>
            </w:pPr>
            <w:r>
              <w:rPr>
                <w:rFonts w:ascii="Times New Roman" w:eastAsia="Times New Roman" w:hAnsi="Times New Roman" w:cs="Times New Roman"/>
                <w:color w:val="000000"/>
              </w:rPr>
              <w:t>176915</w:t>
            </w:r>
          </w:p>
        </w:tc>
        <w:tc>
          <w:tcPr>
            <w:tcW w:w="2414" w:type="dxa"/>
            <w:tcBorders>
              <w:top w:val="nil"/>
              <w:left w:val="nil"/>
              <w:bottom w:val="nil"/>
              <w:right w:val="nil"/>
            </w:tcBorders>
            <w:shd w:val="clear" w:color="auto" w:fill="auto"/>
            <w:noWrap/>
            <w:vAlign w:val="bottom"/>
            <w:hideMark/>
          </w:tcPr>
          <w:p w14:paraId="464151CD" w14:textId="77777777" w:rsidR="004B08AF" w:rsidRDefault="004B08AF" w:rsidP="00F5676D">
            <w:pPr>
              <w:rPr>
                <w:rFonts w:ascii="Times New Roman" w:eastAsia="Times New Roman" w:hAnsi="Times New Roman" w:cs="Times New Roman"/>
                <w:color w:val="000000"/>
              </w:rPr>
            </w:pPr>
            <w:r>
              <w:rPr>
                <w:rFonts w:ascii="Times New Roman" w:eastAsia="Times New Roman" w:hAnsi="Times New Roman" w:cs="Times New Roman"/>
                <w:color w:val="000000"/>
              </w:rPr>
              <w:t>190594</w:t>
            </w:r>
          </w:p>
        </w:tc>
      </w:tr>
      <w:tr w:rsidR="004B08AF" w14:paraId="611CF3FC" w14:textId="77777777" w:rsidTr="00C53403">
        <w:trPr>
          <w:trHeight w:val="311"/>
        </w:trPr>
        <w:tc>
          <w:tcPr>
            <w:tcW w:w="1785" w:type="dxa"/>
            <w:tcBorders>
              <w:top w:val="single" w:sz="4" w:space="0" w:color="auto"/>
              <w:left w:val="nil"/>
              <w:bottom w:val="single" w:sz="4" w:space="0" w:color="auto"/>
              <w:right w:val="nil"/>
            </w:tcBorders>
            <w:shd w:val="clear" w:color="auto" w:fill="auto"/>
            <w:noWrap/>
            <w:vAlign w:val="bottom"/>
            <w:hideMark/>
          </w:tcPr>
          <w:p w14:paraId="454C339A" w14:textId="77777777" w:rsidR="004B08AF" w:rsidRDefault="004B08AF" w:rsidP="0035158B">
            <w:pPr>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AVERAGE</w:t>
            </w:r>
          </w:p>
        </w:tc>
        <w:tc>
          <w:tcPr>
            <w:tcW w:w="2668" w:type="dxa"/>
            <w:tcBorders>
              <w:top w:val="single" w:sz="4" w:space="0" w:color="auto"/>
              <w:left w:val="nil"/>
              <w:bottom w:val="single" w:sz="4" w:space="0" w:color="auto"/>
              <w:right w:val="nil"/>
            </w:tcBorders>
            <w:shd w:val="clear" w:color="auto" w:fill="auto"/>
            <w:noWrap/>
            <w:vAlign w:val="bottom"/>
            <w:hideMark/>
          </w:tcPr>
          <w:p w14:paraId="17647337" w14:textId="77777777" w:rsidR="004B08AF" w:rsidRDefault="004B08AF" w:rsidP="0035158B">
            <w:pPr>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143820</w:t>
            </w:r>
          </w:p>
        </w:tc>
        <w:tc>
          <w:tcPr>
            <w:tcW w:w="2414" w:type="dxa"/>
            <w:tcBorders>
              <w:top w:val="single" w:sz="4" w:space="0" w:color="auto"/>
              <w:left w:val="nil"/>
              <w:bottom w:val="single" w:sz="4" w:space="0" w:color="auto"/>
              <w:right w:val="nil"/>
            </w:tcBorders>
            <w:shd w:val="clear" w:color="auto" w:fill="auto"/>
            <w:noWrap/>
            <w:vAlign w:val="bottom"/>
            <w:hideMark/>
          </w:tcPr>
          <w:p w14:paraId="03A4B769" w14:textId="77777777" w:rsidR="004B08AF" w:rsidRDefault="004B08AF" w:rsidP="0035158B">
            <w:pPr>
              <w:jc w:val="center"/>
              <w:rPr>
                <w:rFonts w:ascii="Times New Roman" w:eastAsia="Times New Roman" w:hAnsi="Times New Roman" w:cs="Times New Roman"/>
                <w:b/>
                <w:bCs/>
                <w:color w:val="000000"/>
              </w:rPr>
            </w:pPr>
            <w:r>
              <w:rPr>
                <w:rFonts w:ascii="Times New Roman" w:eastAsia="Times New Roman" w:hAnsi="Times New Roman" w:cs="Times New Roman"/>
                <w:b/>
                <w:bCs/>
                <w:color w:val="000000"/>
              </w:rPr>
              <w:t>132092</w:t>
            </w:r>
          </w:p>
        </w:tc>
      </w:tr>
    </w:tbl>
    <w:p w14:paraId="2EC8F745" w14:textId="77777777" w:rsidR="004B08AF" w:rsidRDefault="004B08AF" w:rsidP="004B08AF">
      <w:pPr>
        <w:rPr>
          <w:rFonts w:ascii="Times New Roman" w:hAnsi="Times New Roman" w:cs="Times New Roman"/>
          <w:b/>
          <w:noProof/>
          <w:u w:val="single"/>
        </w:rPr>
      </w:pPr>
      <w:r>
        <w:rPr>
          <w:rFonts w:ascii="Times New Roman" w:hAnsi="Times New Roman" w:cs="Times New Roman"/>
          <w:b/>
          <w:noProof/>
          <w:u w:val="single"/>
        </w:rPr>
        <w:t xml:space="preserve">    </w:t>
      </w:r>
    </w:p>
    <w:p w14:paraId="039A8B1F" w14:textId="5AD7C59A" w:rsidR="001B6451" w:rsidRDefault="001B6451">
      <w:pPr>
        <w:rPr>
          <w:rFonts w:ascii="Times New Roman" w:hAnsi="Times New Roman" w:cs="Times New Roman"/>
          <w:b/>
          <w:noProof/>
        </w:rPr>
      </w:pPr>
    </w:p>
    <w:p w14:paraId="0EB23464" w14:textId="0D519C3C" w:rsidR="00C53403" w:rsidRDefault="00D144D6">
      <w:pPr>
        <w:rPr>
          <w:rFonts w:ascii="Times New Roman" w:hAnsi="Times New Roman" w:cs="Times New Roman"/>
          <w:b/>
          <w:noProof/>
        </w:rPr>
      </w:pPr>
      <w:r>
        <w:rPr>
          <w:rFonts w:ascii="Times New Roman" w:hAnsi="Times New Roman" w:cs="Times New Roman"/>
          <w:b/>
          <w:noProof/>
        </w:rPr>
        <w:t xml:space="preserve">                </w:t>
      </w:r>
      <w:r w:rsidR="00D05DD2">
        <w:rPr>
          <w:rFonts w:ascii="Times New Roman" w:hAnsi="Times New Roman" w:cs="Times New Roman"/>
          <w:b/>
          <w:noProof/>
        </w:rPr>
        <w:t xml:space="preserve"> </w:t>
      </w:r>
      <w:r w:rsidR="00870F23">
        <w:rPr>
          <w:rFonts w:ascii="Times New Roman" w:hAnsi="Times New Roman" w:cs="Times New Roman"/>
          <w:b/>
          <w:noProof/>
        </w:rPr>
        <w:t xml:space="preserve">       </w:t>
      </w:r>
      <w:r w:rsidR="005422AC">
        <w:rPr>
          <w:rFonts w:ascii="Times New Roman" w:hAnsi="Times New Roman" w:cs="Times New Roman"/>
          <w:b/>
          <w:noProof/>
        </w:rPr>
        <w:t xml:space="preserve">   </w:t>
      </w:r>
      <w:r w:rsidR="00F84E3F">
        <w:rPr>
          <w:rFonts w:ascii="Times New Roman" w:hAnsi="Times New Roman" w:cs="Times New Roman"/>
          <w:b/>
          <w:noProof/>
        </w:rPr>
        <w:t xml:space="preserve">    </w:t>
      </w:r>
      <w:r w:rsidR="00F84E3F">
        <w:rPr>
          <w:rFonts w:ascii="Times New Roman" w:hAnsi="Times New Roman" w:cs="Times New Roman"/>
          <w:b/>
          <w:noProof/>
        </w:rPr>
        <w:drawing>
          <wp:inline distT="0" distB="0" distL="0" distR="0" wp14:anchorId="373AFBAF" wp14:editId="10022E11">
            <wp:extent cx="2552945" cy="2400300"/>
            <wp:effectExtent l="0" t="0" r="1270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87">
                      <a:extLst>
                        <a:ext uri="{28A0092B-C50C-407E-A947-70E740481C1C}">
                          <a14:useLocalDpi xmlns:a14="http://schemas.microsoft.com/office/drawing/2010/main" val="0"/>
                        </a:ext>
                      </a:extLst>
                    </a:blip>
                    <a:srcRect l="27730" t="24996" r="29396" b="21243"/>
                    <a:stretch/>
                  </pic:blipFill>
                  <pic:spPr bwMode="auto">
                    <a:xfrm>
                      <a:off x="0" y="0"/>
                      <a:ext cx="2555861" cy="2403041"/>
                    </a:xfrm>
                    <a:prstGeom prst="rect">
                      <a:avLst/>
                    </a:prstGeom>
                    <a:ln>
                      <a:noFill/>
                    </a:ln>
                    <a:extLst>
                      <a:ext uri="{53640926-AAD7-44d8-BBD7-CCE9431645EC}">
                        <a14:shadowObscured xmlns:a14="http://schemas.microsoft.com/office/drawing/2010/main"/>
                      </a:ext>
                    </a:extLst>
                  </pic:spPr>
                </pic:pic>
              </a:graphicData>
            </a:graphic>
          </wp:inline>
        </w:drawing>
      </w:r>
    </w:p>
    <w:p w14:paraId="65909BE5" w14:textId="6C6D2788" w:rsidR="00C53403" w:rsidRDefault="0092107B">
      <w:pPr>
        <w:rPr>
          <w:rFonts w:ascii="Times New Roman" w:hAnsi="Times New Roman" w:cs="Times New Roman"/>
          <w:b/>
          <w:noProof/>
        </w:rPr>
      </w:pPr>
      <w:r>
        <w:rPr>
          <w:rFonts w:ascii="Times New Roman" w:hAnsi="Times New Roman" w:cs="Times New Roman"/>
          <w:b/>
          <w:noProof/>
        </w:rPr>
        <w:t xml:space="preserve">           </w:t>
      </w:r>
    </w:p>
    <w:p w14:paraId="3934556B" w14:textId="77777777" w:rsidR="004C1D27" w:rsidRDefault="00F84E3F" w:rsidP="00C664C4">
      <w:pPr>
        <w:pStyle w:val="Caption"/>
        <w:rPr>
          <w:noProof/>
        </w:rPr>
      </w:pPr>
      <w:bookmarkStart w:id="1888" w:name="_Toc333569083"/>
      <w:bookmarkStart w:id="1889" w:name="_Toc333569308"/>
      <w:bookmarkStart w:id="1890" w:name="_Toc333570862"/>
      <w:bookmarkStart w:id="1891" w:name="_Toc333582245"/>
      <w:bookmarkStart w:id="1892" w:name="_Toc333582365"/>
      <w:bookmarkStart w:id="1893" w:name="_Toc333582777"/>
      <w:bookmarkStart w:id="1894" w:name="_Toc333583147"/>
      <w:bookmarkStart w:id="1895" w:name="_Toc333585258"/>
      <w:bookmarkStart w:id="1896" w:name="_Toc333586810"/>
      <w:bookmarkStart w:id="1897" w:name="_Toc333644509"/>
      <w:bookmarkStart w:id="1898" w:name="_Toc333644803"/>
      <w:r>
        <w:rPr>
          <w:noProof/>
        </w:rPr>
        <w:t xml:space="preserve">Figure </w:t>
      </w:r>
      <w:r w:rsidR="003256A1">
        <w:rPr>
          <w:noProof/>
        </w:rPr>
        <w:t>5.</w:t>
      </w:r>
      <w:r w:rsidR="009F33F9">
        <w:rPr>
          <w:noProof/>
        </w:rPr>
        <w:t>5</w:t>
      </w:r>
      <w:r w:rsidR="0043060F">
        <w:rPr>
          <w:noProof/>
        </w:rPr>
        <w:t>.</w:t>
      </w:r>
      <w:r>
        <w:rPr>
          <w:noProof/>
        </w:rPr>
        <w:t xml:space="preserve"> Percentage of astrocyte and neuron</w:t>
      </w:r>
      <w:r w:rsidR="001E020D">
        <w:rPr>
          <w:noProof/>
        </w:rPr>
        <w:t>al</w:t>
      </w:r>
      <w:r>
        <w:rPr>
          <w:noProof/>
        </w:rPr>
        <w:t xml:space="preserve"> populations FACS sorted.</w:t>
      </w:r>
      <w:bookmarkEnd w:id="1888"/>
      <w:bookmarkEnd w:id="1889"/>
      <w:bookmarkEnd w:id="1890"/>
      <w:bookmarkEnd w:id="1891"/>
      <w:bookmarkEnd w:id="1892"/>
      <w:bookmarkEnd w:id="1893"/>
      <w:bookmarkEnd w:id="1894"/>
      <w:bookmarkEnd w:id="1895"/>
      <w:bookmarkEnd w:id="1896"/>
      <w:bookmarkEnd w:id="1897"/>
      <w:bookmarkEnd w:id="1898"/>
      <w:r>
        <w:rPr>
          <w:noProof/>
        </w:rPr>
        <w:t xml:space="preserve"> </w:t>
      </w:r>
    </w:p>
    <w:p w14:paraId="0CD3C2A8" w14:textId="27BDC450" w:rsidR="00F84E3F" w:rsidRDefault="000019E5" w:rsidP="00C63BC1">
      <w:pPr>
        <w:spacing w:line="360" w:lineRule="auto"/>
        <w:jc w:val="both"/>
        <w:rPr>
          <w:rFonts w:ascii="Times New Roman" w:hAnsi="Times New Roman" w:cs="Times New Roman"/>
          <w:noProof/>
        </w:rPr>
      </w:pPr>
      <w:r>
        <w:rPr>
          <w:rFonts w:ascii="Times New Roman" w:hAnsi="Times New Roman" w:cs="Times New Roman"/>
          <w:noProof/>
        </w:rPr>
        <w:t xml:space="preserve">On average, </w:t>
      </w:r>
      <w:r w:rsidR="00F84E3F">
        <w:rPr>
          <w:rFonts w:ascii="Times New Roman" w:hAnsi="Times New Roman" w:cs="Times New Roman"/>
          <w:noProof/>
        </w:rPr>
        <w:t>10% of co-culture populations FACS sorted were astrocytes and approximately</w:t>
      </w:r>
      <w:r w:rsidR="00224061">
        <w:rPr>
          <w:rFonts w:ascii="Times New Roman" w:hAnsi="Times New Roman" w:cs="Times New Roman"/>
          <w:noProof/>
        </w:rPr>
        <w:t xml:space="preserve"> 15% collected were GFP LUHMES.</w:t>
      </w:r>
    </w:p>
    <w:p w14:paraId="61BE2D50" w14:textId="77777777" w:rsidR="00B170E6" w:rsidRDefault="00B170E6" w:rsidP="00F84E3F">
      <w:pPr>
        <w:spacing w:line="360" w:lineRule="auto"/>
        <w:rPr>
          <w:rFonts w:ascii="Times New Roman" w:hAnsi="Times New Roman" w:cs="Times New Roman"/>
          <w:noProof/>
        </w:rPr>
      </w:pPr>
    </w:p>
    <w:p w14:paraId="5C133C1F" w14:textId="016EE8D8" w:rsidR="00B170E6" w:rsidRDefault="00AA21C2" w:rsidP="00F84E3F">
      <w:pPr>
        <w:spacing w:line="360" w:lineRule="auto"/>
        <w:rPr>
          <w:rFonts w:ascii="Times New Roman" w:hAnsi="Times New Roman" w:cs="Times New Roman"/>
          <w:noProof/>
        </w:rPr>
      </w:pPr>
      <w:r>
        <w:rPr>
          <w:rFonts w:ascii="Times New Roman" w:hAnsi="Times New Roman" w:cs="Times New Roman"/>
          <w:b/>
          <w:noProof/>
        </w:rPr>
        <w:drawing>
          <wp:inline distT="0" distB="0" distL="0" distR="0" wp14:anchorId="16E76A48" wp14:editId="248E37B8">
            <wp:extent cx="5396230" cy="3293151"/>
            <wp:effectExtent l="0" t="0" r="0" b="889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88">
                      <a:extLst>
                        <a:ext uri="{28A0092B-C50C-407E-A947-70E740481C1C}">
                          <a14:useLocalDpi xmlns:a14="http://schemas.microsoft.com/office/drawing/2010/main" val="0"/>
                        </a:ext>
                      </a:extLst>
                    </a:blip>
                    <a:srcRect l="8713" t="10408" r="9967" b="27133"/>
                    <a:stretch/>
                  </pic:blipFill>
                  <pic:spPr bwMode="auto">
                    <a:xfrm>
                      <a:off x="0" y="0"/>
                      <a:ext cx="5396230" cy="3293151"/>
                    </a:xfrm>
                    <a:prstGeom prst="rect">
                      <a:avLst/>
                    </a:prstGeom>
                    <a:ln>
                      <a:noFill/>
                    </a:ln>
                    <a:extLst>
                      <a:ext uri="{53640926-AAD7-44d8-BBD7-CCE9431645EC}">
                        <a14:shadowObscured xmlns:a14="http://schemas.microsoft.com/office/drawing/2010/main"/>
                      </a:ext>
                    </a:extLst>
                  </pic:spPr>
                </pic:pic>
              </a:graphicData>
            </a:graphic>
          </wp:inline>
        </w:drawing>
      </w:r>
    </w:p>
    <w:p w14:paraId="2A872FD6" w14:textId="77777777" w:rsidR="00A50137" w:rsidRDefault="00A50137" w:rsidP="00F84E3F">
      <w:pPr>
        <w:spacing w:line="360" w:lineRule="auto"/>
        <w:rPr>
          <w:rFonts w:ascii="Times New Roman" w:hAnsi="Times New Roman" w:cs="Times New Roman"/>
          <w:noProof/>
          <w:color w:val="FF0000"/>
        </w:rPr>
      </w:pPr>
    </w:p>
    <w:p w14:paraId="02A9E3C1" w14:textId="77777777" w:rsidR="004C1D27" w:rsidRDefault="00AA21C2" w:rsidP="00C664C4">
      <w:pPr>
        <w:pStyle w:val="Caption"/>
        <w:rPr>
          <w:noProof/>
        </w:rPr>
      </w:pPr>
      <w:bookmarkStart w:id="1899" w:name="_Toc333569084"/>
      <w:bookmarkStart w:id="1900" w:name="_Toc333569309"/>
      <w:bookmarkStart w:id="1901" w:name="_Toc333570863"/>
      <w:bookmarkStart w:id="1902" w:name="_Toc333582246"/>
      <w:bookmarkStart w:id="1903" w:name="_Toc333582366"/>
      <w:bookmarkStart w:id="1904" w:name="_Toc333582778"/>
      <w:bookmarkStart w:id="1905" w:name="_Toc333583148"/>
      <w:bookmarkStart w:id="1906" w:name="_Toc333585259"/>
      <w:bookmarkStart w:id="1907" w:name="_Toc333586811"/>
      <w:bookmarkStart w:id="1908" w:name="_Toc333644510"/>
      <w:bookmarkStart w:id="1909" w:name="_Toc333644804"/>
      <w:r>
        <w:rPr>
          <w:noProof/>
        </w:rPr>
        <w:t>Figure 5.6</w:t>
      </w:r>
      <w:r w:rsidR="0043060F">
        <w:rPr>
          <w:noProof/>
        </w:rPr>
        <w:t>.</w:t>
      </w:r>
      <w:r>
        <w:rPr>
          <w:noProof/>
        </w:rPr>
        <w:t xml:space="preserve"> Representative graphs o</w:t>
      </w:r>
      <w:r w:rsidR="00B80D03">
        <w:rPr>
          <w:noProof/>
        </w:rPr>
        <w:t>f the FACS separation of MAB391-</w:t>
      </w:r>
      <w:r>
        <w:rPr>
          <w:noProof/>
        </w:rPr>
        <w:t>treated or untreated astrocytes co-cultured with LUHMES for microarray analysis.</w:t>
      </w:r>
      <w:bookmarkEnd w:id="1899"/>
      <w:bookmarkEnd w:id="1900"/>
      <w:bookmarkEnd w:id="1901"/>
      <w:bookmarkEnd w:id="1902"/>
      <w:bookmarkEnd w:id="1903"/>
      <w:bookmarkEnd w:id="1904"/>
      <w:bookmarkEnd w:id="1905"/>
      <w:bookmarkEnd w:id="1906"/>
      <w:bookmarkEnd w:id="1907"/>
      <w:bookmarkEnd w:id="1908"/>
      <w:bookmarkEnd w:id="1909"/>
      <w:r>
        <w:rPr>
          <w:noProof/>
        </w:rPr>
        <w:t xml:space="preserve"> </w:t>
      </w:r>
    </w:p>
    <w:p w14:paraId="2A7AA2D5" w14:textId="4A930642" w:rsidR="00AA21C2" w:rsidRDefault="00AA21C2" w:rsidP="00C63BC1">
      <w:pPr>
        <w:spacing w:line="360" w:lineRule="auto"/>
        <w:jc w:val="both"/>
        <w:rPr>
          <w:rFonts w:ascii="Times New Roman" w:hAnsi="Times New Roman" w:cs="Times New Roman"/>
          <w:noProof/>
        </w:rPr>
      </w:pPr>
      <w:r>
        <w:rPr>
          <w:rFonts w:ascii="Times New Roman" w:hAnsi="Times New Roman" w:cs="Times New Roman"/>
          <w:b/>
          <w:noProof/>
        </w:rPr>
        <w:t xml:space="preserve">(A-C) </w:t>
      </w:r>
      <w:r>
        <w:rPr>
          <w:rFonts w:ascii="Times New Roman" w:hAnsi="Times New Roman" w:cs="Times New Roman"/>
          <w:noProof/>
        </w:rPr>
        <w:t>Control astrocytes, GFP –ve neurons and GFP +ve neurons used to establish gates with which to sort co-cultures. (</w:t>
      </w:r>
      <w:r w:rsidRPr="001E020D">
        <w:rPr>
          <w:rFonts w:ascii="Times New Roman" w:hAnsi="Times New Roman" w:cs="Times New Roman"/>
          <w:b/>
          <w:noProof/>
        </w:rPr>
        <w:t>D-E</w:t>
      </w:r>
      <w:r>
        <w:rPr>
          <w:rFonts w:ascii="Times New Roman" w:hAnsi="Times New Roman" w:cs="Times New Roman"/>
          <w:noProof/>
        </w:rPr>
        <w:t>) C</w:t>
      </w:r>
      <w:r w:rsidR="00B80D03">
        <w:rPr>
          <w:rFonts w:ascii="Times New Roman" w:hAnsi="Times New Roman" w:cs="Times New Roman"/>
          <w:noProof/>
        </w:rPr>
        <w:t>ell sorting of untreated/MAB391-</w:t>
      </w:r>
      <w:r>
        <w:rPr>
          <w:rFonts w:ascii="Times New Roman" w:hAnsi="Times New Roman" w:cs="Times New Roman"/>
          <w:noProof/>
        </w:rPr>
        <w:t xml:space="preserve">treated astrocytes co-cultured with GFP LUHMES. Graphs </w:t>
      </w:r>
      <w:r w:rsidR="00103C42">
        <w:rPr>
          <w:rFonts w:ascii="Times New Roman" w:hAnsi="Times New Roman" w:cs="Times New Roman"/>
          <w:noProof/>
        </w:rPr>
        <w:t>show</w:t>
      </w:r>
      <w:r>
        <w:rPr>
          <w:rFonts w:ascii="Times New Roman" w:hAnsi="Times New Roman" w:cs="Times New Roman"/>
          <w:noProof/>
        </w:rPr>
        <w:t xml:space="preserve"> two distinct cell populations according to the side scatter and fluoresence profile of the cells. Gate P2 (blue) represents GFP LUHMES and gate P3 (pink) represents an enriched population of astrocytes. The population of cells represented in red were disposed of and excluded from the study.</w:t>
      </w:r>
    </w:p>
    <w:p w14:paraId="21F127AA" w14:textId="77777777" w:rsidR="00AA21C2" w:rsidRDefault="00AA21C2" w:rsidP="00395B55">
      <w:pPr>
        <w:pStyle w:val="Heading3"/>
        <w:rPr>
          <w:noProof/>
        </w:rPr>
      </w:pPr>
      <w:bookmarkStart w:id="1910" w:name="_Toc328301192"/>
      <w:bookmarkStart w:id="1911" w:name="_Toc329593483"/>
    </w:p>
    <w:p w14:paraId="0F7F0930" w14:textId="3B9A9A08" w:rsidR="00F9724B" w:rsidRDefault="003256A1" w:rsidP="00395B55">
      <w:pPr>
        <w:pStyle w:val="Heading3"/>
        <w:rPr>
          <w:noProof/>
        </w:rPr>
      </w:pPr>
      <w:bookmarkStart w:id="1912" w:name="_Toc331425982"/>
      <w:bookmarkStart w:id="1913" w:name="_Toc331427163"/>
      <w:bookmarkStart w:id="1914" w:name="_Toc331427535"/>
      <w:bookmarkStart w:id="1915" w:name="_Toc331427677"/>
      <w:bookmarkStart w:id="1916" w:name="_Toc332972682"/>
      <w:bookmarkStart w:id="1917" w:name="_Toc333046961"/>
      <w:bookmarkStart w:id="1918" w:name="_Toc333477308"/>
      <w:bookmarkStart w:id="1919" w:name="_Toc333478078"/>
      <w:bookmarkStart w:id="1920" w:name="_Toc333644978"/>
      <w:r>
        <w:rPr>
          <w:noProof/>
        </w:rPr>
        <w:t xml:space="preserve">5.4.4 </w:t>
      </w:r>
      <w:r w:rsidR="00F9724B">
        <w:rPr>
          <w:noProof/>
        </w:rPr>
        <w:t>Testing RNA integrity of sorted astrocytes</w:t>
      </w:r>
      <w:bookmarkEnd w:id="1910"/>
      <w:bookmarkEnd w:id="1911"/>
      <w:bookmarkEnd w:id="1912"/>
      <w:bookmarkEnd w:id="1913"/>
      <w:bookmarkEnd w:id="1914"/>
      <w:bookmarkEnd w:id="1915"/>
      <w:bookmarkEnd w:id="1916"/>
      <w:bookmarkEnd w:id="1917"/>
      <w:bookmarkEnd w:id="1918"/>
      <w:bookmarkEnd w:id="1919"/>
      <w:bookmarkEnd w:id="1920"/>
    </w:p>
    <w:p w14:paraId="2014E3F5" w14:textId="77777777" w:rsidR="00611833" w:rsidRDefault="00611833" w:rsidP="00212FE0">
      <w:pPr>
        <w:spacing w:line="360" w:lineRule="auto"/>
        <w:rPr>
          <w:rFonts w:ascii="Times New Roman" w:hAnsi="Times New Roman" w:cs="Times New Roman"/>
          <w:b/>
          <w:noProof/>
          <w:u w:val="single"/>
        </w:rPr>
      </w:pPr>
    </w:p>
    <w:p w14:paraId="5C79F4E2" w14:textId="62BAEF97" w:rsidR="00611833" w:rsidRPr="00F5676D" w:rsidRDefault="00873709" w:rsidP="00C63BC1">
      <w:pPr>
        <w:spacing w:line="360" w:lineRule="auto"/>
        <w:jc w:val="both"/>
        <w:rPr>
          <w:rFonts w:ascii="Times New Roman" w:eastAsia="Times New Roman" w:hAnsi="Times New Roman" w:cs="Times New Roman"/>
          <w:bCs/>
          <w:color w:val="000000"/>
          <w:lang w:val="en-GB"/>
        </w:rPr>
      </w:pPr>
      <w:r>
        <w:rPr>
          <w:rFonts w:ascii="Times New Roman" w:hAnsi="Times New Roman" w:cs="Times New Roman"/>
          <w:noProof/>
        </w:rPr>
        <w:t xml:space="preserve">Following </w:t>
      </w:r>
      <w:r w:rsidR="00212FE0">
        <w:rPr>
          <w:rFonts w:ascii="Times New Roman" w:hAnsi="Times New Roman" w:cs="Times New Roman"/>
          <w:noProof/>
        </w:rPr>
        <w:t>RNA extraction, the RNA quality and yield were assessed using the Nanodrop™ 1000 spectrophotometer. On average the RNA yield was 46.07ng</w:t>
      </w:r>
      <w:r w:rsidR="00212FE0" w:rsidRPr="00212FE0">
        <w:rPr>
          <w:rFonts w:ascii="Times New Roman" w:hAnsi="Times New Roman" w:cs="Times New Roman"/>
          <w:noProof/>
        </w:rPr>
        <w:t>/</w:t>
      </w:r>
      <w:r w:rsidR="00212FE0" w:rsidRPr="00212FE0">
        <w:rPr>
          <w:rFonts w:ascii="Times New Roman" w:eastAsia="Times New Roman" w:hAnsi="Times New Roman" w:cs="Times New Roman"/>
          <w:bCs/>
          <w:color w:val="000000"/>
          <w:lang w:val="en-GB"/>
        </w:rPr>
        <w:t>μl ± 18.27</w:t>
      </w:r>
      <w:r w:rsidR="00212FE0">
        <w:rPr>
          <w:rFonts w:ascii="Times New Roman" w:eastAsia="Times New Roman" w:hAnsi="Times New Roman" w:cs="Times New Roman"/>
          <w:bCs/>
          <w:color w:val="000000"/>
          <w:lang w:val="en-GB"/>
        </w:rPr>
        <w:t xml:space="preserve"> in a total of 10</w:t>
      </w:r>
      <w:r w:rsidR="00212FE0" w:rsidRPr="00212FE0">
        <w:rPr>
          <w:rFonts w:ascii="Times New Roman" w:eastAsia="Times New Roman" w:hAnsi="Times New Roman" w:cs="Times New Roman"/>
          <w:bCs/>
          <w:color w:val="000000"/>
          <w:lang w:val="en-GB"/>
        </w:rPr>
        <w:t xml:space="preserve"> μl</w:t>
      </w:r>
      <w:r w:rsidR="00212FE0">
        <w:rPr>
          <w:rFonts w:ascii="Times New Roman" w:eastAsia="Times New Roman" w:hAnsi="Times New Roman" w:cs="Times New Roman"/>
          <w:bCs/>
          <w:color w:val="000000"/>
          <w:lang w:val="en-GB"/>
        </w:rPr>
        <w:t xml:space="preserve"> nuclease free water. </w:t>
      </w:r>
      <w:r>
        <w:rPr>
          <w:rFonts w:ascii="Times New Roman" w:eastAsia="Times New Roman" w:hAnsi="Times New Roman" w:cs="Times New Roman"/>
          <w:bCs/>
          <w:color w:val="000000"/>
          <w:lang w:val="en-GB"/>
        </w:rPr>
        <w:t>Quality of R</w:t>
      </w:r>
      <w:r w:rsidR="00F5676D">
        <w:rPr>
          <w:rFonts w:ascii="Times New Roman" w:eastAsia="Times New Roman" w:hAnsi="Times New Roman" w:cs="Times New Roman"/>
          <w:bCs/>
          <w:color w:val="000000"/>
          <w:lang w:val="en-GB"/>
        </w:rPr>
        <w:t>NA was defined by using the ratio</w:t>
      </w:r>
      <w:r>
        <w:rPr>
          <w:rFonts w:ascii="Times New Roman" w:eastAsia="Times New Roman" w:hAnsi="Times New Roman" w:cs="Times New Roman"/>
          <w:bCs/>
          <w:color w:val="000000"/>
          <w:lang w:val="en-GB"/>
        </w:rPr>
        <w:t xml:space="preserve"> of A260/280 and each</w:t>
      </w:r>
      <w:r w:rsidR="00212FE0">
        <w:rPr>
          <w:rFonts w:ascii="Times New Roman" w:eastAsia="Times New Roman" w:hAnsi="Times New Roman" w:cs="Times New Roman"/>
          <w:bCs/>
          <w:color w:val="000000"/>
          <w:lang w:val="en-GB"/>
        </w:rPr>
        <w:t xml:space="preserve"> sample had a 260/280 ratio of approximately 2.00</w:t>
      </w:r>
      <w:r w:rsidR="00212FE0" w:rsidRPr="00212FE0">
        <w:rPr>
          <w:rFonts w:ascii="Times New Roman" w:eastAsia="Times New Roman" w:hAnsi="Times New Roman" w:cs="Times New Roman"/>
          <w:bCs/>
          <w:color w:val="000000"/>
          <w:lang w:val="en-GB"/>
        </w:rPr>
        <w:t xml:space="preserve"> (2.02 ± 0.13</w:t>
      </w:r>
      <w:r>
        <w:rPr>
          <w:rFonts w:ascii="Times New Roman" w:eastAsia="Times New Roman" w:hAnsi="Times New Roman" w:cs="Times New Roman"/>
          <w:bCs/>
          <w:color w:val="000000"/>
          <w:lang w:val="en-GB"/>
        </w:rPr>
        <w:t>). A</w:t>
      </w:r>
      <w:r w:rsidR="00212FE0">
        <w:rPr>
          <w:rFonts w:ascii="Times New Roman" w:eastAsia="Times New Roman" w:hAnsi="Times New Roman" w:cs="Times New Roman"/>
          <w:bCs/>
          <w:color w:val="000000"/>
          <w:lang w:val="en-GB"/>
        </w:rPr>
        <w:t xml:space="preserve">ssessments of RNA Integrity (RIN) on the Agilent 2100 Bioanalyzer </w:t>
      </w:r>
      <w:r w:rsidR="002E268B">
        <w:rPr>
          <w:rFonts w:ascii="Times New Roman" w:eastAsia="Times New Roman" w:hAnsi="Times New Roman" w:cs="Times New Roman"/>
          <w:bCs/>
          <w:color w:val="000000"/>
          <w:lang w:val="en-GB"/>
        </w:rPr>
        <w:t>suggested high quality RNA with values of approximately 9.7 (</w:t>
      </w:r>
      <w:r w:rsidR="002E268B" w:rsidRPr="002E268B">
        <w:rPr>
          <w:rFonts w:ascii="Times New Roman" w:eastAsia="Times New Roman" w:hAnsi="Times New Roman" w:cs="Times New Roman"/>
          <w:bCs/>
          <w:color w:val="000000"/>
          <w:lang w:val="en-GB"/>
        </w:rPr>
        <w:t>9.65 ± 0.23</w:t>
      </w:r>
      <w:r w:rsidR="002E268B">
        <w:rPr>
          <w:rFonts w:ascii="Times New Roman" w:eastAsia="Times New Roman" w:hAnsi="Times New Roman" w:cs="Times New Roman"/>
          <w:bCs/>
          <w:color w:val="000000"/>
          <w:lang w:val="en-GB"/>
        </w:rPr>
        <w:t>)</w:t>
      </w:r>
      <w:r w:rsidR="00FC7127">
        <w:rPr>
          <w:rFonts w:ascii="Times New Roman" w:eastAsia="Times New Roman" w:hAnsi="Times New Roman" w:cs="Times New Roman"/>
          <w:bCs/>
          <w:color w:val="000000"/>
          <w:lang w:val="en-GB"/>
        </w:rPr>
        <w:t xml:space="preserve"> (</w:t>
      </w:r>
      <w:r w:rsidR="00FC7127" w:rsidRPr="0066174F">
        <w:rPr>
          <w:rFonts w:ascii="Times New Roman" w:eastAsia="Times New Roman" w:hAnsi="Times New Roman" w:cs="Times New Roman"/>
          <w:b/>
          <w:bCs/>
          <w:color w:val="000000"/>
          <w:lang w:val="en-GB"/>
        </w:rPr>
        <w:t xml:space="preserve">Table </w:t>
      </w:r>
      <w:r w:rsidR="00B279BD" w:rsidRPr="0066174F">
        <w:rPr>
          <w:rFonts w:ascii="Times New Roman" w:eastAsia="Times New Roman" w:hAnsi="Times New Roman" w:cs="Times New Roman"/>
          <w:b/>
          <w:bCs/>
          <w:color w:val="000000"/>
          <w:lang w:val="en-GB"/>
        </w:rPr>
        <w:t>5.2</w:t>
      </w:r>
      <w:r w:rsidR="00FC7127">
        <w:rPr>
          <w:rFonts w:ascii="Times New Roman" w:eastAsia="Times New Roman" w:hAnsi="Times New Roman" w:cs="Times New Roman"/>
          <w:bCs/>
          <w:color w:val="000000"/>
          <w:lang w:val="en-GB"/>
        </w:rPr>
        <w:t>).</w:t>
      </w:r>
      <w:r w:rsidR="00052D49">
        <w:rPr>
          <w:rFonts w:ascii="Times New Roman" w:eastAsia="Times New Roman" w:hAnsi="Times New Roman" w:cs="Times New Roman"/>
          <w:bCs/>
          <w:color w:val="000000"/>
          <w:lang w:val="en-GB"/>
        </w:rPr>
        <w:t xml:space="preserve"> In addition, all RNA samples produced distinct 28S and 18S rRNA peaks on the electropherograms (</w:t>
      </w:r>
      <w:r w:rsidR="00052D49" w:rsidRPr="00873709">
        <w:rPr>
          <w:rFonts w:ascii="Times New Roman" w:eastAsia="Times New Roman" w:hAnsi="Times New Roman" w:cs="Times New Roman"/>
          <w:b/>
          <w:bCs/>
          <w:color w:val="000000"/>
          <w:lang w:val="en-GB"/>
        </w:rPr>
        <w:t xml:space="preserve">figure </w:t>
      </w:r>
      <w:r w:rsidR="009F33F9" w:rsidRPr="00873709">
        <w:rPr>
          <w:rFonts w:ascii="Times New Roman" w:eastAsia="Times New Roman" w:hAnsi="Times New Roman" w:cs="Times New Roman"/>
          <w:b/>
          <w:bCs/>
          <w:color w:val="000000"/>
          <w:lang w:val="en-GB"/>
        </w:rPr>
        <w:t>5.7</w:t>
      </w:r>
      <w:r w:rsidR="00052D49">
        <w:rPr>
          <w:rFonts w:ascii="Times New Roman" w:eastAsia="Times New Roman" w:hAnsi="Times New Roman" w:cs="Times New Roman"/>
          <w:bCs/>
          <w:color w:val="000000"/>
          <w:lang w:val="en-GB"/>
        </w:rPr>
        <w:t>)</w:t>
      </w:r>
      <w:r w:rsidR="007E4199">
        <w:rPr>
          <w:rFonts w:ascii="Times New Roman" w:eastAsia="Times New Roman" w:hAnsi="Times New Roman" w:cs="Times New Roman"/>
          <w:bCs/>
          <w:color w:val="000000"/>
          <w:lang w:val="en-GB"/>
        </w:rPr>
        <w:t>,</w:t>
      </w:r>
      <w:r w:rsidR="002F1B86">
        <w:rPr>
          <w:rFonts w:ascii="Times New Roman" w:eastAsia="Times New Roman" w:hAnsi="Times New Roman" w:cs="Times New Roman"/>
          <w:bCs/>
          <w:color w:val="000000"/>
          <w:lang w:val="en-GB"/>
        </w:rPr>
        <w:t xml:space="preserve"> </w:t>
      </w:r>
      <w:r w:rsidR="002F1B86" w:rsidRPr="007E4199">
        <w:rPr>
          <w:rFonts w:ascii="Times New Roman" w:eastAsia="Times New Roman" w:hAnsi="Times New Roman" w:cs="Times New Roman"/>
          <w:bCs/>
          <w:lang w:val="en-GB"/>
        </w:rPr>
        <w:t>indicating that</w:t>
      </w:r>
      <w:r w:rsidR="007E4199">
        <w:rPr>
          <w:rFonts w:ascii="Times New Roman" w:eastAsia="Times New Roman" w:hAnsi="Times New Roman" w:cs="Times New Roman"/>
          <w:bCs/>
          <w:lang w:val="en-GB"/>
        </w:rPr>
        <w:t xml:space="preserve"> RNA was intact.</w:t>
      </w:r>
    </w:p>
    <w:p w14:paraId="5F87CF9F" w14:textId="77777777" w:rsidR="00E9370B" w:rsidRDefault="00E9370B" w:rsidP="00C63BC1">
      <w:pPr>
        <w:jc w:val="both"/>
        <w:rPr>
          <w:rFonts w:ascii="Times New Roman" w:hAnsi="Times New Roman" w:cs="Times New Roman"/>
          <w:b/>
          <w:noProof/>
        </w:rPr>
      </w:pPr>
    </w:p>
    <w:p w14:paraId="0085B2FB" w14:textId="77777777" w:rsidR="004C1D27" w:rsidRDefault="00E9370B" w:rsidP="004D474F">
      <w:pPr>
        <w:pStyle w:val="Heading5"/>
        <w:rPr>
          <w:noProof/>
        </w:rPr>
      </w:pPr>
      <w:bookmarkStart w:id="1921" w:name="_Toc333569352"/>
      <w:bookmarkStart w:id="1922" w:name="_Toc333570890"/>
      <w:bookmarkStart w:id="1923" w:name="_Toc333585971"/>
      <w:bookmarkStart w:id="1924" w:name="_Toc333586846"/>
      <w:bookmarkStart w:id="1925" w:name="_Toc333644545"/>
      <w:bookmarkStart w:id="1926" w:name="_Toc333644839"/>
      <w:r>
        <w:rPr>
          <w:noProof/>
        </w:rPr>
        <w:t xml:space="preserve">Table </w:t>
      </w:r>
      <w:r w:rsidR="00B279BD">
        <w:rPr>
          <w:noProof/>
        </w:rPr>
        <w:t>5.2</w:t>
      </w:r>
      <w:r>
        <w:rPr>
          <w:noProof/>
        </w:rPr>
        <w:t xml:space="preserve"> Quality and yield of RNA extracted from</w:t>
      </w:r>
      <w:r w:rsidR="00B80D03">
        <w:rPr>
          <w:noProof/>
        </w:rPr>
        <w:t xml:space="preserve"> control (untreated) and MAB391-</w:t>
      </w:r>
      <w:r>
        <w:rPr>
          <w:noProof/>
        </w:rPr>
        <w:t>treated astrocytes.</w:t>
      </w:r>
      <w:bookmarkEnd w:id="1921"/>
      <w:bookmarkEnd w:id="1922"/>
      <w:bookmarkEnd w:id="1923"/>
      <w:bookmarkEnd w:id="1924"/>
      <w:bookmarkEnd w:id="1925"/>
      <w:bookmarkEnd w:id="1926"/>
      <w:r>
        <w:rPr>
          <w:noProof/>
        </w:rPr>
        <w:t xml:space="preserve"> </w:t>
      </w:r>
    </w:p>
    <w:p w14:paraId="7834F67A" w14:textId="242FFB09" w:rsidR="00E9370B" w:rsidRDefault="00E9370B" w:rsidP="00C63BC1">
      <w:pPr>
        <w:spacing w:line="360" w:lineRule="auto"/>
        <w:jc w:val="both"/>
        <w:rPr>
          <w:rFonts w:ascii="Times New Roman" w:hAnsi="Times New Roman" w:cs="Times New Roman"/>
          <w:noProof/>
        </w:rPr>
      </w:pPr>
      <w:r>
        <w:rPr>
          <w:rFonts w:ascii="Times New Roman" w:hAnsi="Times New Roman" w:cs="Times New Roman"/>
          <w:noProof/>
        </w:rPr>
        <w:t>A Nanodrop™ 1000 spectrophotometer and Agilent 2100 Bioanalyzer were used to measure the concentration and quality of RNA extracted from</w:t>
      </w:r>
      <w:r>
        <w:rPr>
          <w:rFonts w:ascii="Times New Roman" w:hAnsi="Times New Roman" w:cs="Times New Roman"/>
          <w:b/>
          <w:noProof/>
        </w:rPr>
        <w:t xml:space="preserve"> </w:t>
      </w:r>
      <w:r w:rsidR="00B80D03">
        <w:rPr>
          <w:rFonts w:ascii="Times New Roman" w:hAnsi="Times New Roman" w:cs="Times New Roman"/>
          <w:noProof/>
        </w:rPr>
        <w:t>control and MAB391-</w:t>
      </w:r>
      <w:r w:rsidRPr="00E9370B">
        <w:rPr>
          <w:rFonts w:ascii="Times New Roman" w:hAnsi="Times New Roman" w:cs="Times New Roman"/>
          <w:noProof/>
        </w:rPr>
        <w:t>treated astrocytes</w:t>
      </w:r>
      <w:r>
        <w:rPr>
          <w:rFonts w:ascii="Times New Roman" w:hAnsi="Times New Roman" w:cs="Times New Roman"/>
          <w:noProof/>
        </w:rPr>
        <w:t>. Quality of RNA was defined by using the ratio of A260/280. RNA integrity was measured using the Agilent 2100 Bioanalyzer. RNA Integrity Number (RIN) is measured on a scale of 0-10, with values of 0 representative of completely degraded material and values of 10 being completely intact.</w:t>
      </w:r>
    </w:p>
    <w:p w14:paraId="7F116886" w14:textId="77777777" w:rsidR="007F51D2" w:rsidRPr="00E9370B" w:rsidRDefault="007F51D2" w:rsidP="00E9370B">
      <w:pPr>
        <w:spacing w:line="360" w:lineRule="auto"/>
        <w:rPr>
          <w:rFonts w:ascii="Times New Roman" w:hAnsi="Times New Roman" w:cs="Times New Roman"/>
          <w:noProof/>
        </w:rPr>
      </w:pPr>
    </w:p>
    <w:tbl>
      <w:tblPr>
        <w:tblW w:w="9400" w:type="dxa"/>
        <w:tblInd w:w="93" w:type="dxa"/>
        <w:tblLook w:val="04A0" w:firstRow="1" w:lastRow="0" w:firstColumn="1" w:lastColumn="0" w:noHBand="0" w:noVBand="1"/>
      </w:tblPr>
      <w:tblGrid>
        <w:gridCol w:w="1680"/>
        <w:gridCol w:w="1960"/>
        <w:gridCol w:w="1180"/>
        <w:gridCol w:w="1240"/>
        <w:gridCol w:w="1220"/>
        <w:gridCol w:w="2120"/>
      </w:tblGrid>
      <w:tr w:rsidR="00181E7B" w:rsidRPr="00181E7B" w14:paraId="21FA347F" w14:textId="77777777" w:rsidTr="00181E7B">
        <w:trPr>
          <w:trHeight w:val="300"/>
        </w:trPr>
        <w:tc>
          <w:tcPr>
            <w:tcW w:w="1680" w:type="dxa"/>
            <w:tcBorders>
              <w:top w:val="single" w:sz="4" w:space="0" w:color="auto"/>
              <w:left w:val="nil"/>
              <w:bottom w:val="single" w:sz="4" w:space="0" w:color="auto"/>
              <w:right w:val="nil"/>
            </w:tcBorders>
            <w:shd w:val="clear" w:color="auto" w:fill="auto"/>
            <w:noWrap/>
            <w:vAlign w:val="bottom"/>
            <w:hideMark/>
          </w:tcPr>
          <w:p w14:paraId="5EDCCDDB" w14:textId="77777777" w:rsidR="00181E7B" w:rsidRPr="00181E7B" w:rsidRDefault="00181E7B" w:rsidP="00F5676D">
            <w:pPr>
              <w:rPr>
                <w:rFonts w:ascii="Times New Roman" w:eastAsia="Times New Roman" w:hAnsi="Times New Roman" w:cs="Times New Roman"/>
                <w:b/>
                <w:bCs/>
                <w:color w:val="000000"/>
                <w:lang w:val="en-GB"/>
              </w:rPr>
            </w:pPr>
            <w:r w:rsidRPr="00181E7B">
              <w:rPr>
                <w:rFonts w:ascii="Times New Roman" w:eastAsia="Times New Roman" w:hAnsi="Times New Roman" w:cs="Times New Roman"/>
                <w:b/>
                <w:bCs/>
                <w:color w:val="000000"/>
                <w:lang w:val="en-GB"/>
              </w:rPr>
              <w:t>Sample</w:t>
            </w:r>
          </w:p>
        </w:tc>
        <w:tc>
          <w:tcPr>
            <w:tcW w:w="1960" w:type="dxa"/>
            <w:tcBorders>
              <w:top w:val="single" w:sz="4" w:space="0" w:color="auto"/>
              <w:left w:val="nil"/>
              <w:bottom w:val="single" w:sz="4" w:space="0" w:color="auto"/>
              <w:right w:val="nil"/>
            </w:tcBorders>
            <w:shd w:val="clear" w:color="auto" w:fill="auto"/>
            <w:noWrap/>
            <w:vAlign w:val="bottom"/>
            <w:hideMark/>
          </w:tcPr>
          <w:p w14:paraId="57D23E19" w14:textId="77777777" w:rsidR="00181E7B" w:rsidRPr="00181E7B" w:rsidRDefault="00181E7B" w:rsidP="00F5676D">
            <w:pPr>
              <w:rPr>
                <w:rFonts w:ascii="Times New Roman" w:eastAsia="Times New Roman" w:hAnsi="Times New Roman" w:cs="Times New Roman"/>
                <w:b/>
                <w:bCs/>
                <w:color w:val="000000"/>
                <w:lang w:val="en-GB"/>
              </w:rPr>
            </w:pPr>
            <w:r w:rsidRPr="00181E7B">
              <w:rPr>
                <w:rFonts w:ascii="Times New Roman" w:eastAsia="Times New Roman" w:hAnsi="Times New Roman" w:cs="Times New Roman"/>
                <w:b/>
                <w:bCs/>
                <w:color w:val="000000"/>
                <w:lang w:val="en-GB"/>
              </w:rPr>
              <w:t>RNA yield (ng/μl)</w:t>
            </w:r>
          </w:p>
        </w:tc>
        <w:tc>
          <w:tcPr>
            <w:tcW w:w="1180" w:type="dxa"/>
            <w:tcBorders>
              <w:top w:val="single" w:sz="4" w:space="0" w:color="auto"/>
              <w:left w:val="nil"/>
              <w:bottom w:val="single" w:sz="4" w:space="0" w:color="auto"/>
              <w:right w:val="nil"/>
            </w:tcBorders>
            <w:shd w:val="clear" w:color="auto" w:fill="auto"/>
            <w:noWrap/>
            <w:vAlign w:val="bottom"/>
            <w:hideMark/>
          </w:tcPr>
          <w:p w14:paraId="37A5225E" w14:textId="77777777" w:rsidR="00181E7B" w:rsidRPr="00181E7B" w:rsidRDefault="00181E7B" w:rsidP="00F5676D">
            <w:pPr>
              <w:rPr>
                <w:rFonts w:ascii="Times New Roman" w:eastAsia="Times New Roman" w:hAnsi="Times New Roman" w:cs="Times New Roman"/>
                <w:b/>
                <w:bCs/>
                <w:color w:val="000000"/>
                <w:lang w:val="en-GB"/>
              </w:rPr>
            </w:pPr>
            <w:r w:rsidRPr="00181E7B">
              <w:rPr>
                <w:rFonts w:ascii="Times New Roman" w:eastAsia="Times New Roman" w:hAnsi="Times New Roman" w:cs="Times New Roman"/>
                <w:b/>
                <w:bCs/>
                <w:color w:val="000000"/>
                <w:lang w:val="en-GB"/>
              </w:rPr>
              <w:t>A260/280</w:t>
            </w:r>
          </w:p>
        </w:tc>
        <w:tc>
          <w:tcPr>
            <w:tcW w:w="1240" w:type="dxa"/>
            <w:tcBorders>
              <w:top w:val="single" w:sz="4" w:space="0" w:color="auto"/>
              <w:left w:val="nil"/>
              <w:bottom w:val="single" w:sz="4" w:space="0" w:color="auto"/>
              <w:right w:val="nil"/>
            </w:tcBorders>
            <w:shd w:val="clear" w:color="auto" w:fill="auto"/>
            <w:noWrap/>
            <w:vAlign w:val="bottom"/>
            <w:hideMark/>
          </w:tcPr>
          <w:p w14:paraId="55244F75" w14:textId="77777777" w:rsidR="00181E7B" w:rsidRPr="00181E7B" w:rsidRDefault="00181E7B" w:rsidP="00F5676D">
            <w:pPr>
              <w:rPr>
                <w:rFonts w:ascii="Times New Roman" w:eastAsia="Times New Roman" w:hAnsi="Times New Roman" w:cs="Times New Roman"/>
                <w:b/>
                <w:bCs/>
                <w:color w:val="000000"/>
                <w:lang w:val="en-GB"/>
              </w:rPr>
            </w:pPr>
            <w:r w:rsidRPr="00181E7B">
              <w:rPr>
                <w:rFonts w:ascii="Times New Roman" w:eastAsia="Times New Roman" w:hAnsi="Times New Roman" w:cs="Times New Roman"/>
                <w:b/>
                <w:bCs/>
                <w:color w:val="000000"/>
                <w:lang w:val="en-GB"/>
              </w:rPr>
              <w:t>A260/230</w:t>
            </w:r>
          </w:p>
        </w:tc>
        <w:tc>
          <w:tcPr>
            <w:tcW w:w="1220" w:type="dxa"/>
            <w:tcBorders>
              <w:top w:val="single" w:sz="4" w:space="0" w:color="auto"/>
              <w:left w:val="nil"/>
              <w:bottom w:val="single" w:sz="4" w:space="0" w:color="auto"/>
              <w:right w:val="nil"/>
            </w:tcBorders>
            <w:shd w:val="clear" w:color="auto" w:fill="auto"/>
            <w:noWrap/>
            <w:vAlign w:val="bottom"/>
            <w:hideMark/>
          </w:tcPr>
          <w:p w14:paraId="6D091724" w14:textId="77777777" w:rsidR="00181E7B" w:rsidRPr="00181E7B" w:rsidRDefault="00181E7B" w:rsidP="00F5676D">
            <w:pPr>
              <w:rPr>
                <w:rFonts w:ascii="Times New Roman" w:eastAsia="Times New Roman" w:hAnsi="Times New Roman" w:cs="Times New Roman"/>
                <w:b/>
                <w:bCs/>
                <w:color w:val="000000"/>
                <w:lang w:val="en-GB"/>
              </w:rPr>
            </w:pPr>
            <w:r w:rsidRPr="00181E7B">
              <w:rPr>
                <w:rFonts w:ascii="Times New Roman" w:eastAsia="Times New Roman" w:hAnsi="Times New Roman" w:cs="Times New Roman"/>
                <w:b/>
                <w:bCs/>
                <w:color w:val="000000"/>
                <w:lang w:val="en-GB"/>
              </w:rPr>
              <w:t>RIN</w:t>
            </w:r>
          </w:p>
        </w:tc>
        <w:tc>
          <w:tcPr>
            <w:tcW w:w="2120" w:type="dxa"/>
            <w:tcBorders>
              <w:top w:val="single" w:sz="4" w:space="0" w:color="auto"/>
              <w:left w:val="nil"/>
              <w:bottom w:val="single" w:sz="4" w:space="0" w:color="auto"/>
              <w:right w:val="nil"/>
            </w:tcBorders>
            <w:shd w:val="clear" w:color="auto" w:fill="auto"/>
            <w:noWrap/>
            <w:vAlign w:val="bottom"/>
            <w:hideMark/>
          </w:tcPr>
          <w:p w14:paraId="10C99F8A" w14:textId="77777777" w:rsidR="00181E7B" w:rsidRPr="00181E7B" w:rsidRDefault="00181E7B" w:rsidP="00F5676D">
            <w:pPr>
              <w:rPr>
                <w:rFonts w:ascii="Times New Roman" w:eastAsia="Times New Roman" w:hAnsi="Times New Roman" w:cs="Times New Roman"/>
                <w:b/>
                <w:bCs/>
                <w:color w:val="000000"/>
                <w:lang w:val="en-GB"/>
              </w:rPr>
            </w:pPr>
            <w:r w:rsidRPr="00181E7B">
              <w:rPr>
                <w:rFonts w:ascii="Times New Roman" w:eastAsia="Times New Roman" w:hAnsi="Times New Roman" w:cs="Times New Roman"/>
                <w:b/>
                <w:bCs/>
                <w:color w:val="000000"/>
                <w:lang w:val="en-GB"/>
              </w:rPr>
              <w:t>28S/18S rRNA ratio</w:t>
            </w:r>
          </w:p>
        </w:tc>
      </w:tr>
      <w:tr w:rsidR="00181E7B" w:rsidRPr="00181E7B" w14:paraId="47BC9184" w14:textId="77777777" w:rsidTr="00181E7B">
        <w:trPr>
          <w:trHeight w:val="300"/>
        </w:trPr>
        <w:tc>
          <w:tcPr>
            <w:tcW w:w="1680" w:type="dxa"/>
            <w:tcBorders>
              <w:top w:val="nil"/>
              <w:left w:val="nil"/>
              <w:bottom w:val="nil"/>
              <w:right w:val="nil"/>
            </w:tcBorders>
            <w:shd w:val="clear" w:color="auto" w:fill="auto"/>
            <w:noWrap/>
            <w:vAlign w:val="bottom"/>
            <w:hideMark/>
          </w:tcPr>
          <w:p w14:paraId="16BCAAEE" w14:textId="220A3D61" w:rsidR="00181E7B" w:rsidRPr="00181E7B" w:rsidRDefault="004B4946" w:rsidP="00F5676D">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Control 1</w:t>
            </w:r>
          </w:p>
        </w:tc>
        <w:tc>
          <w:tcPr>
            <w:tcW w:w="1960" w:type="dxa"/>
            <w:tcBorders>
              <w:top w:val="nil"/>
              <w:left w:val="nil"/>
              <w:bottom w:val="nil"/>
              <w:right w:val="nil"/>
            </w:tcBorders>
            <w:shd w:val="clear" w:color="auto" w:fill="auto"/>
            <w:noWrap/>
            <w:vAlign w:val="bottom"/>
            <w:hideMark/>
          </w:tcPr>
          <w:p w14:paraId="5EF6282D"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34.73</w:t>
            </w:r>
          </w:p>
        </w:tc>
        <w:tc>
          <w:tcPr>
            <w:tcW w:w="1180" w:type="dxa"/>
            <w:tcBorders>
              <w:top w:val="nil"/>
              <w:left w:val="nil"/>
              <w:bottom w:val="nil"/>
              <w:right w:val="nil"/>
            </w:tcBorders>
            <w:shd w:val="clear" w:color="auto" w:fill="auto"/>
            <w:noWrap/>
            <w:vAlign w:val="bottom"/>
            <w:hideMark/>
          </w:tcPr>
          <w:p w14:paraId="24703DA3"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2.01</w:t>
            </w:r>
          </w:p>
        </w:tc>
        <w:tc>
          <w:tcPr>
            <w:tcW w:w="1240" w:type="dxa"/>
            <w:tcBorders>
              <w:top w:val="nil"/>
              <w:left w:val="nil"/>
              <w:bottom w:val="nil"/>
              <w:right w:val="nil"/>
            </w:tcBorders>
            <w:shd w:val="clear" w:color="auto" w:fill="auto"/>
            <w:noWrap/>
            <w:vAlign w:val="bottom"/>
            <w:hideMark/>
          </w:tcPr>
          <w:p w14:paraId="00F9504A"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1.84</w:t>
            </w:r>
          </w:p>
        </w:tc>
        <w:tc>
          <w:tcPr>
            <w:tcW w:w="1220" w:type="dxa"/>
            <w:tcBorders>
              <w:top w:val="nil"/>
              <w:left w:val="nil"/>
              <w:bottom w:val="nil"/>
              <w:right w:val="nil"/>
            </w:tcBorders>
            <w:shd w:val="clear" w:color="auto" w:fill="auto"/>
            <w:noWrap/>
            <w:vAlign w:val="bottom"/>
            <w:hideMark/>
          </w:tcPr>
          <w:p w14:paraId="7789D197"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9.7</w:t>
            </w:r>
          </w:p>
        </w:tc>
        <w:tc>
          <w:tcPr>
            <w:tcW w:w="2120" w:type="dxa"/>
            <w:tcBorders>
              <w:top w:val="nil"/>
              <w:left w:val="nil"/>
              <w:bottom w:val="nil"/>
              <w:right w:val="nil"/>
            </w:tcBorders>
            <w:shd w:val="clear" w:color="auto" w:fill="auto"/>
            <w:noWrap/>
            <w:vAlign w:val="bottom"/>
            <w:hideMark/>
          </w:tcPr>
          <w:p w14:paraId="7D3A7C39"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2.1</w:t>
            </w:r>
          </w:p>
        </w:tc>
      </w:tr>
      <w:tr w:rsidR="00181E7B" w:rsidRPr="00181E7B" w14:paraId="13269337" w14:textId="77777777" w:rsidTr="00181E7B">
        <w:trPr>
          <w:trHeight w:val="300"/>
        </w:trPr>
        <w:tc>
          <w:tcPr>
            <w:tcW w:w="1680" w:type="dxa"/>
            <w:tcBorders>
              <w:top w:val="nil"/>
              <w:left w:val="nil"/>
              <w:bottom w:val="nil"/>
              <w:right w:val="nil"/>
            </w:tcBorders>
            <w:shd w:val="clear" w:color="auto" w:fill="auto"/>
            <w:noWrap/>
            <w:vAlign w:val="bottom"/>
            <w:hideMark/>
          </w:tcPr>
          <w:p w14:paraId="282743B4" w14:textId="4AFC6FAB" w:rsidR="00181E7B" w:rsidRPr="00181E7B" w:rsidRDefault="004B4946" w:rsidP="00F5676D">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MAB391 1</w:t>
            </w:r>
          </w:p>
        </w:tc>
        <w:tc>
          <w:tcPr>
            <w:tcW w:w="1960" w:type="dxa"/>
            <w:tcBorders>
              <w:top w:val="nil"/>
              <w:left w:val="nil"/>
              <w:bottom w:val="nil"/>
              <w:right w:val="nil"/>
            </w:tcBorders>
            <w:shd w:val="clear" w:color="auto" w:fill="auto"/>
            <w:noWrap/>
            <w:vAlign w:val="bottom"/>
            <w:hideMark/>
          </w:tcPr>
          <w:p w14:paraId="055D2690"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43.33</w:t>
            </w:r>
          </w:p>
        </w:tc>
        <w:tc>
          <w:tcPr>
            <w:tcW w:w="1180" w:type="dxa"/>
            <w:tcBorders>
              <w:top w:val="nil"/>
              <w:left w:val="nil"/>
              <w:bottom w:val="nil"/>
              <w:right w:val="nil"/>
            </w:tcBorders>
            <w:shd w:val="clear" w:color="auto" w:fill="auto"/>
            <w:noWrap/>
            <w:vAlign w:val="bottom"/>
            <w:hideMark/>
          </w:tcPr>
          <w:p w14:paraId="619D1171"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2.05</w:t>
            </w:r>
          </w:p>
        </w:tc>
        <w:tc>
          <w:tcPr>
            <w:tcW w:w="1240" w:type="dxa"/>
            <w:tcBorders>
              <w:top w:val="nil"/>
              <w:left w:val="nil"/>
              <w:bottom w:val="nil"/>
              <w:right w:val="nil"/>
            </w:tcBorders>
            <w:shd w:val="clear" w:color="auto" w:fill="auto"/>
            <w:noWrap/>
            <w:vAlign w:val="bottom"/>
            <w:hideMark/>
          </w:tcPr>
          <w:p w14:paraId="61B2FF8E"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2.13</w:t>
            </w:r>
          </w:p>
        </w:tc>
        <w:tc>
          <w:tcPr>
            <w:tcW w:w="1220" w:type="dxa"/>
            <w:tcBorders>
              <w:top w:val="nil"/>
              <w:left w:val="nil"/>
              <w:bottom w:val="nil"/>
              <w:right w:val="nil"/>
            </w:tcBorders>
            <w:shd w:val="clear" w:color="auto" w:fill="auto"/>
            <w:noWrap/>
            <w:vAlign w:val="bottom"/>
            <w:hideMark/>
          </w:tcPr>
          <w:p w14:paraId="2B02CCD2"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9.5</w:t>
            </w:r>
          </w:p>
        </w:tc>
        <w:tc>
          <w:tcPr>
            <w:tcW w:w="2120" w:type="dxa"/>
            <w:tcBorders>
              <w:top w:val="nil"/>
              <w:left w:val="nil"/>
              <w:bottom w:val="nil"/>
              <w:right w:val="nil"/>
            </w:tcBorders>
            <w:shd w:val="clear" w:color="auto" w:fill="auto"/>
            <w:noWrap/>
            <w:vAlign w:val="bottom"/>
            <w:hideMark/>
          </w:tcPr>
          <w:p w14:paraId="25784CC9"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2.1</w:t>
            </w:r>
          </w:p>
        </w:tc>
      </w:tr>
      <w:tr w:rsidR="00181E7B" w:rsidRPr="00181E7B" w14:paraId="0AB16B26" w14:textId="77777777" w:rsidTr="00181E7B">
        <w:trPr>
          <w:trHeight w:val="300"/>
        </w:trPr>
        <w:tc>
          <w:tcPr>
            <w:tcW w:w="1680" w:type="dxa"/>
            <w:tcBorders>
              <w:top w:val="nil"/>
              <w:left w:val="nil"/>
              <w:bottom w:val="nil"/>
              <w:right w:val="nil"/>
            </w:tcBorders>
            <w:shd w:val="clear" w:color="auto" w:fill="auto"/>
            <w:noWrap/>
            <w:vAlign w:val="bottom"/>
            <w:hideMark/>
          </w:tcPr>
          <w:p w14:paraId="49EA5070" w14:textId="3FB4AF1B" w:rsidR="00181E7B" w:rsidRPr="00181E7B" w:rsidRDefault="004B4946" w:rsidP="00F5676D">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Control 2</w:t>
            </w:r>
          </w:p>
        </w:tc>
        <w:tc>
          <w:tcPr>
            <w:tcW w:w="1960" w:type="dxa"/>
            <w:tcBorders>
              <w:top w:val="nil"/>
              <w:left w:val="nil"/>
              <w:bottom w:val="nil"/>
              <w:right w:val="nil"/>
            </w:tcBorders>
            <w:shd w:val="clear" w:color="auto" w:fill="auto"/>
            <w:noWrap/>
            <w:vAlign w:val="bottom"/>
            <w:hideMark/>
          </w:tcPr>
          <w:p w14:paraId="3D1CC004"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39.84</w:t>
            </w:r>
          </w:p>
        </w:tc>
        <w:tc>
          <w:tcPr>
            <w:tcW w:w="1180" w:type="dxa"/>
            <w:tcBorders>
              <w:top w:val="nil"/>
              <w:left w:val="nil"/>
              <w:bottom w:val="nil"/>
              <w:right w:val="nil"/>
            </w:tcBorders>
            <w:shd w:val="clear" w:color="auto" w:fill="auto"/>
            <w:noWrap/>
            <w:vAlign w:val="bottom"/>
            <w:hideMark/>
          </w:tcPr>
          <w:p w14:paraId="12FF1F70"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1.8</w:t>
            </w:r>
          </w:p>
        </w:tc>
        <w:tc>
          <w:tcPr>
            <w:tcW w:w="1240" w:type="dxa"/>
            <w:tcBorders>
              <w:top w:val="nil"/>
              <w:left w:val="nil"/>
              <w:bottom w:val="nil"/>
              <w:right w:val="nil"/>
            </w:tcBorders>
            <w:shd w:val="clear" w:color="auto" w:fill="auto"/>
            <w:noWrap/>
            <w:vAlign w:val="bottom"/>
            <w:hideMark/>
          </w:tcPr>
          <w:p w14:paraId="6065D830"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1.57</w:t>
            </w:r>
          </w:p>
        </w:tc>
        <w:tc>
          <w:tcPr>
            <w:tcW w:w="1220" w:type="dxa"/>
            <w:tcBorders>
              <w:top w:val="nil"/>
              <w:left w:val="nil"/>
              <w:bottom w:val="nil"/>
              <w:right w:val="nil"/>
            </w:tcBorders>
            <w:shd w:val="clear" w:color="auto" w:fill="auto"/>
            <w:noWrap/>
            <w:vAlign w:val="bottom"/>
            <w:hideMark/>
          </w:tcPr>
          <w:p w14:paraId="3E2394BC"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10</w:t>
            </w:r>
          </w:p>
        </w:tc>
        <w:tc>
          <w:tcPr>
            <w:tcW w:w="2120" w:type="dxa"/>
            <w:tcBorders>
              <w:top w:val="nil"/>
              <w:left w:val="nil"/>
              <w:bottom w:val="nil"/>
              <w:right w:val="nil"/>
            </w:tcBorders>
            <w:shd w:val="clear" w:color="auto" w:fill="auto"/>
            <w:noWrap/>
            <w:vAlign w:val="bottom"/>
            <w:hideMark/>
          </w:tcPr>
          <w:p w14:paraId="760DCE54"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1.7</w:t>
            </w:r>
          </w:p>
        </w:tc>
      </w:tr>
      <w:tr w:rsidR="00181E7B" w:rsidRPr="00181E7B" w14:paraId="1CEE114C" w14:textId="77777777" w:rsidTr="00181E7B">
        <w:trPr>
          <w:trHeight w:val="300"/>
        </w:trPr>
        <w:tc>
          <w:tcPr>
            <w:tcW w:w="1680" w:type="dxa"/>
            <w:tcBorders>
              <w:top w:val="nil"/>
              <w:left w:val="nil"/>
              <w:bottom w:val="nil"/>
              <w:right w:val="nil"/>
            </w:tcBorders>
            <w:shd w:val="clear" w:color="auto" w:fill="auto"/>
            <w:noWrap/>
            <w:vAlign w:val="bottom"/>
            <w:hideMark/>
          </w:tcPr>
          <w:p w14:paraId="53684361" w14:textId="6C1B1833" w:rsidR="00181E7B" w:rsidRPr="00181E7B" w:rsidRDefault="004B4946" w:rsidP="00F5676D">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MAB391 2</w:t>
            </w:r>
          </w:p>
        </w:tc>
        <w:tc>
          <w:tcPr>
            <w:tcW w:w="1960" w:type="dxa"/>
            <w:tcBorders>
              <w:top w:val="nil"/>
              <w:left w:val="nil"/>
              <w:bottom w:val="nil"/>
              <w:right w:val="nil"/>
            </w:tcBorders>
            <w:shd w:val="clear" w:color="auto" w:fill="auto"/>
            <w:noWrap/>
            <w:vAlign w:val="bottom"/>
            <w:hideMark/>
          </w:tcPr>
          <w:p w14:paraId="61EDD161"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37.26</w:t>
            </w:r>
          </w:p>
        </w:tc>
        <w:tc>
          <w:tcPr>
            <w:tcW w:w="1180" w:type="dxa"/>
            <w:tcBorders>
              <w:top w:val="nil"/>
              <w:left w:val="nil"/>
              <w:bottom w:val="nil"/>
              <w:right w:val="nil"/>
            </w:tcBorders>
            <w:shd w:val="clear" w:color="auto" w:fill="auto"/>
            <w:noWrap/>
            <w:vAlign w:val="bottom"/>
            <w:hideMark/>
          </w:tcPr>
          <w:p w14:paraId="7B865AB7"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2.02</w:t>
            </w:r>
          </w:p>
        </w:tc>
        <w:tc>
          <w:tcPr>
            <w:tcW w:w="1240" w:type="dxa"/>
            <w:tcBorders>
              <w:top w:val="nil"/>
              <w:left w:val="nil"/>
              <w:bottom w:val="nil"/>
              <w:right w:val="nil"/>
            </w:tcBorders>
            <w:shd w:val="clear" w:color="auto" w:fill="auto"/>
            <w:noWrap/>
            <w:vAlign w:val="bottom"/>
            <w:hideMark/>
          </w:tcPr>
          <w:p w14:paraId="6C530E92"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0.32</w:t>
            </w:r>
          </w:p>
        </w:tc>
        <w:tc>
          <w:tcPr>
            <w:tcW w:w="1220" w:type="dxa"/>
            <w:tcBorders>
              <w:top w:val="nil"/>
              <w:left w:val="nil"/>
              <w:bottom w:val="nil"/>
              <w:right w:val="nil"/>
            </w:tcBorders>
            <w:shd w:val="clear" w:color="auto" w:fill="auto"/>
            <w:noWrap/>
            <w:vAlign w:val="bottom"/>
            <w:hideMark/>
          </w:tcPr>
          <w:p w14:paraId="4962ED0D"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9.4</w:t>
            </w:r>
          </w:p>
        </w:tc>
        <w:tc>
          <w:tcPr>
            <w:tcW w:w="2120" w:type="dxa"/>
            <w:tcBorders>
              <w:top w:val="nil"/>
              <w:left w:val="nil"/>
              <w:bottom w:val="nil"/>
              <w:right w:val="nil"/>
            </w:tcBorders>
            <w:shd w:val="clear" w:color="auto" w:fill="auto"/>
            <w:noWrap/>
            <w:vAlign w:val="bottom"/>
            <w:hideMark/>
          </w:tcPr>
          <w:p w14:paraId="732CE8DB"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2.1</w:t>
            </w:r>
          </w:p>
        </w:tc>
      </w:tr>
      <w:tr w:rsidR="00181E7B" w:rsidRPr="00181E7B" w14:paraId="316B5224" w14:textId="77777777" w:rsidTr="00181E7B">
        <w:trPr>
          <w:trHeight w:val="300"/>
        </w:trPr>
        <w:tc>
          <w:tcPr>
            <w:tcW w:w="1680" w:type="dxa"/>
            <w:tcBorders>
              <w:top w:val="nil"/>
              <w:left w:val="nil"/>
              <w:bottom w:val="nil"/>
              <w:right w:val="nil"/>
            </w:tcBorders>
            <w:shd w:val="clear" w:color="auto" w:fill="auto"/>
            <w:noWrap/>
            <w:vAlign w:val="bottom"/>
            <w:hideMark/>
          </w:tcPr>
          <w:p w14:paraId="741A4E46" w14:textId="4ADED09D" w:rsidR="00181E7B" w:rsidRPr="00181E7B" w:rsidRDefault="004B4946" w:rsidP="00F5676D">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Control 3</w:t>
            </w:r>
          </w:p>
        </w:tc>
        <w:tc>
          <w:tcPr>
            <w:tcW w:w="1960" w:type="dxa"/>
            <w:tcBorders>
              <w:top w:val="nil"/>
              <w:left w:val="nil"/>
              <w:bottom w:val="nil"/>
              <w:right w:val="nil"/>
            </w:tcBorders>
            <w:shd w:val="clear" w:color="auto" w:fill="auto"/>
            <w:noWrap/>
            <w:vAlign w:val="bottom"/>
            <w:hideMark/>
          </w:tcPr>
          <w:p w14:paraId="3039C014"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82.91</w:t>
            </w:r>
          </w:p>
        </w:tc>
        <w:tc>
          <w:tcPr>
            <w:tcW w:w="1180" w:type="dxa"/>
            <w:tcBorders>
              <w:top w:val="nil"/>
              <w:left w:val="nil"/>
              <w:bottom w:val="nil"/>
              <w:right w:val="nil"/>
            </w:tcBorders>
            <w:shd w:val="clear" w:color="auto" w:fill="auto"/>
            <w:noWrap/>
            <w:vAlign w:val="bottom"/>
            <w:hideMark/>
          </w:tcPr>
          <w:p w14:paraId="328A816E"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2.08</w:t>
            </w:r>
          </w:p>
        </w:tc>
        <w:tc>
          <w:tcPr>
            <w:tcW w:w="1240" w:type="dxa"/>
            <w:tcBorders>
              <w:top w:val="nil"/>
              <w:left w:val="nil"/>
              <w:bottom w:val="nil"/>
              <w:right w:val="nil"/>
            </w:tcBorders>
            <w:shd w:val="clear" w:color="auto" w:fill="auto"/>
            <w:noWrap/>
            <w:vAlign w:val="bottom"/>
            <w:hideMark/>
          </w:tcPr>
          <w:p w14:paraId="06941B5A"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1.16</w:t>
            </w:r>
          </w:p>
        </w:tc>
        <w:tc>
          <w:tcPr>
            <w:tcW w:w="1220" w:type="dxa"/>
            <w:tcBorders>
              <w:top w:val="nil"/>
              <w:left w:val="nil"/>
              <w:bottom w:val="nil"/>
              <w:right w:val="nil"/>
            </w:tcBorders>
            <w:shd w:val="clear" w:color="auto" w:fill="auto"/>
            <w:noWrap/>
            <w:vAlign w:val="bottom"/>
            <w:hideMark/>
          </w:tcPr>
          <w:p w14:paraId="7AE9FC9F"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9.8</w:t>
            </w:r>
          </w:p>
        </w:tc>
        <w:tc>
          <w:tcPr>
            <w:tcW w:w="2120" w:type="dxa"/>
            <w:tcBorders>
              <w:top w:val="nil"/>
              <w:left w:val="nil"/>
              <w:bottom w:val="nil"/>
              <w:right w:val="nil"/>
            </w:tcBorders>
            <w:shd w:val="clear" w:color="auto" w:fill="auto"/>
            <w:noWrap/>
            <w:vAlign w:val="bottom"/>
            <w:hideMark/>
          </w:tcPr>
          <w:p w14:paraId="7D8D510D"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1.7</w:t>
            </w:r>
          </w:p>
        </w:tc>
      </w:tr>
      <w:tr w:rsidR="00181E7B" w:rsidRPr="00181E7B" w14:paraId="677827AB" w14:textId="77777777" w:rsidTr="00181E7B">
        <w:trPr>
          <w:trHeight w:val="300"/>
        </w:trPr>
        <w:tc>
          <w:tcPr>
            <w:tcW w:w="1680" w:type="dxa"/>
            <w:tcBorders>
              <w:top w:val="nil"/>
              <w:left w:val="nil"/>
              <w:bottom w:val="nil"/>
              <w:right w:val="nil"/>
            </w:tcBorders>
            <w:shd w:val="clear" w:color="auto" w:fill="auto"/>
            <w:noWrap/>
            <w:vAlign w:val="bottom"/>
            <w:hideMark/>
          </w:tcPr>
          <w:p w14:paraId="7D3AF0A3" w14:textId="55A538DE" w:rsidR="00181E7B" w:rsidRPr="00181E7B" w:rsidRDefault="004B4946" w:rsidP="00F5676D">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MAB391 3</w:t>
            </w:r>
          </w:p>
        </w:tc>
        <w:tc>
          <w:tcPr>
            <w:tcW w:w="1960" w:type="dxa"/>
            <w:tcBorders>
              <w:top w:val="nil"/>
              <w:left w:val="nil"/>
              <w:bottom w:val="nil"/>
              <w:right w:val="nil"/>
            </w:tcBorders>
            <w:shd w:val="clear" w:color="auto" w:fill="auto"/>
            <w:noWrap/>
            <w:vAlign w:val="bottom"/>
            <w:hideMark/>
          </w:tcPr>
          <w:p w14:paraId="592E9AF1"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38.32</w:t>
            </w:r>
          </w:p>
        </w:tc>
        <w:tc>
          <w:tcPr>
            <w:tcW w:w="1180" w:type="dxa"/>
            <w:tcBorders>
              <w:top w:val="nil"/>
              <w:left w:val="nil"/>
              <w:bottom w:val="nil"/>
              <w:right w:val="nil"/>
            </w:tcBorders>
            <w:shd w:val="clear" w:color="auto" w:fill="auto"/>
            <w:noWrap/>
            <w:vAlign w:val="bottom"/>
            <w:hideMark/>
          </w:tcPr>
          <w:p w14:paraId="6BFB07F5"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2.2</w:t>
            </w:r>
          </w:p>
        </w:tc>
        <w:tc>
          <w:tcPr>
            <w:tcW w:w="1240" w:type="dxa"/>
            <w:tcBorders>
              <w:top w:val="nil"/>
              <w:left w:val="nil"/>
              <w:bottom w:val="nil"/>
              <w:right w:val="nil"/>
            </w:tcBorders>
            <w:shd w:val="clear" w:color="auto" w:fill="auto"/>
            <w:noWrap/>
            <w:vAlign w:val="bottom"/>
            <w:hideMark/>
          </w:tcPr>
          <w:p w14:paraId="186D3E3D"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1.85</w:t>
            </w:r>
          </w:p>
        </w:tc>
        <w:tc>
          <w:tcPr>
            <w:tcW w:w="1220" w:type="dxa"/>
            <w:tcBorders>
              <w:top w:val="nil"/>
              <w:left w:val="nil"/>
              <w:bottom w:val="nil"/>
              <w:right w:val="nil"/>
            </w:tcBorders>
            <w:shd w:val="clear" w:color="auto" w:fill="auto"/>
            <w:noWrap/>
            <w:vAlign w:val="bottom"/>
            <w:hideMark/>
          </w:tcPr>
          <w:p w14:paraId="31F963EE"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9.5</w:t>
            </w:r>
          </w:p>
        </w:tc>
        <w:tc>
          <w:tcPr>
            <w:tcW w:w="2120" w:type="dxa"/>
            <w:tcBorders>
              <w:top w:val="nil"/>
              <w:left w:val="nil"/>
              <w:bottom w:val="nil"/>
              <w:right w:val="nil"/>
            </w:tcBorders>
            <w:shd w:val="clear" w:color="auto" w:fill="auto"/>
            <w:noWrap/>
            <w:vAlign w:val="bottom"/>
            <w:hideMark/>
          </w:tcPr>
          <w:p w14:paraId="477B7D06" w14:textId="77777777" w:rsidR="00181E7B" w:rsidRPr="00181E7B" w:rsidRDefault="00181E7B" w:rsidP="00F5676D">
            <w:pPr>
              <w:rPr>
                <w:rFonts w:ascii="Times New Roman" w:eastAsia="Times New Roman" w:hAnsi="Times New Roman" w:cs="Times New Roman"/>
                <w:color w:val="000000"/>
                <w:lang w:val="en-GB"/>
              </w:rPr>
            </w:pPr>
            <w:r w:rsidRPr="00181E7B">
              <w:rPr>
                <w:rFonts w:ascii="Times New Roman" w:eastAsia="Times New Roman" w:hAnsi="Times New Roman" w:cs="Times New Roman"/>
                <w:color w:val="000000"/>
                <w:lang w:val="en-GB"/>
              </w:rPr>
              <w:t>2.2</w:t>
            </w:r>
          </w:p>
        </w:tc>
      </w:tr>
      <w:tr w:rsidR="00181E7B" w:rsidRPr="00181E7B" w14:paraId="73D9ED46" w14:textId="77777777" w:rsidTr="00181E7B">
        <w:trPr>
          <w:trHeight w:val="300"/>
        </w:trPr>
        <w:tc>
          <w:tcPr>
            <w:tcW w:w="1680" w:type="dxa"/>
            <w:tcBorders>
              <w:top w:val="single" w:sz="4" w:space="0" w:color="auto"/>
              <w:left w:val="nil"/>
              <w:bottom w:val="single" w:sz="4" w:space="0" w:color="auto"/>
              <w:right w:val="nil"/>
            </w:tcBorders>
            <w:shd w:val="clear" w:color="auto" w:fill="auto"/>
            <w:noWrap/>
            <w:vAlign w:val="bottom"/>
            <w:hideMark/>
          </w:tcPr>
          <w:p w14:paraId="0796B8D2" w14:textId="77777777" w:rsidR="00181E7B" w:rsidRPr="00181E7B" w:rsidRDefault="00181E7B" w:rsidP="00F5676D">
            <w:pPr>
              <w:rPr>
                <w:rFonts w:ascii="Times New Roman" w:eastAsia="Times New Roman" w:hAnsi="Times New Roman" w:cs="Times New Roman"/>
                <w:b/>
                <w:bCs/>
                <w:color w:val="000000"/>
                <w:lang w:val="en-GB"/>
              </w:rPr>
            </w:pPr>
            <w:r w:rsidRPr="00181E7B">
              <w:rPr>
                <w:rFonts w:ascii="Times New Roman" w:eastAsia="Times New Roman" w:hAnsi="Times New Roman" w:cs="Times New Roman"/>
                <w:b/>
                <w:bCs/>
                <w:color w:val="000000"/>
                <w:lang w:val="en-GB"/>
              </w:rPr>
              <w:t>Mean ± SD</w:t>
            </w:r>
          </w:p>
        </w:tc>
        <w:tc>
          <w:tcPr>
            <w:tcW w:w="1960" w:type="dxa"/>
            <w:tcBorders>
              <w:top w:val="single" w:sz="4" w:space="0" w:color="auto"/>
              <w:left w:val="nil"/>
              <w:bottom w:val="single" w:sz="4" w:space="0" w:color="auto"/>
              <w:right w:val="nil"/>
            </w:tcBorders>
            <w:shd w:val="clear" w:color="auto" w:fill="auto"/>
            <w:noWrap/>
            <w:vAlign w:val="bottom"/>
            <w:hideMark/>
          </w:tcPr>
          <w:p w14:paraId="3C3D00C5" w14:textId="77777777" w:rsidR="00181E7B" w:rsidRPr="00181E7B" w:rsidRDefault="00181E7B" w:rsidP="00F5676D">
            <w:pPr>
              <w:rPr>
                <w:rFonts w:ascii="Times New Roman" w:eastAsia="Times New Roman" w:hAnsi="Times New Roman" w:cs="Times New Roman"/>
                <w:b/>
                <w:bCs/>
                <w:color w:val="000000"/>
                <w:lang w:val="en-GB"/>
              </w:rPr>
            </w:pPr>
            <w:r w:rsidRPr="00181E7B">
              <w:rPr>
                <w:rFonts w:ascii="Times New Roman" w:eastAsia="Times New Roman" w:hAnsi="Times New Roman" w:cs="Times New Roman"/>
                <w:b/>
                <w:bCs/>
                <w:color w:val="000000"/>
                <w:lang w:val="en-GB"/>
              </w:rPr>
              <w:t>46.07 ± 18.27</w:t>
            </w:r>
          </w:p>
        </w:tc>
        <w:tc>
          <w:tcPr>
            <w:tcW w:w="1180" w:type="dxa"/>
            <w:tcBorders>
              <w:top w:val="single" w:sz="4" w:space="0" w:color="auto"/>
              <w:left w:val="nil"/>
              <w:bottom w:val="single" w:sz="4" w:space="0" w:color="auto"/>
              <w:right w:val="nil"/>
            </w:tcBorders>
            <w:shd w:val="clear" w:color="auto" w:fill="auto"/>
            <w:noWrap/>
            <w:vAlign w:val="bottom"/>
            <w:hideMark/>
          </w:tcPr>
          <w:p w14:paraId="0B534D0D" w14:textId="77777777" w:rsidR="00181E7B" w:rsidRPr="00181E7B" w:rsidRDefault="00181E7B" w:rsidP="00F5676D">
            <w:pPr>
              <w:rPr>
                <w:rFonts w:ascii="Times New Roman" w:eastAsia="Times New Roman" w:hAnsi="Times New Roman" w:cs="Times New Roman"/>
                <w:b/>
                <w:bCs/>
                <w:color w:val="000000"/>
                <w:lang w:val="en-GB"/>
              </w:rPr>
            </w:pPr>
            <w:r w:rsidRPr="00181E7B">
              <w:rPr>
                <w:rFonts w:ascii="Times New Roman" w:eastAsia="Times New Roman" w:hAnsi="Times New Roman" w:cs="Times New Roman"/>
                <w:b/>
                <w:bCs/>
                <w:color w:val="000000"/>
                <w:lang w:val="en-GB"/>
              </w:rPr>
              <w:t>2.02 ± 0.13</w:t>
            </w:r>
          </w:p>
        </w:tc>
        <w:tc>
          <w:tcPr>
            <w:tcW w:w="1240" w:type="dxa"/>
            <w:tcBorders>
              <w:top w:val="single" w:sz="4" w:space="0" w:color="auto"/>
              <w:left w:val="nil"/>
              <w:bottom w:val="single" w:sz="4" w:space="0" w:color="auto"/>
              <w:right w:val="nil"/>
            </w:tcBorders>
            <w:shd w:val="clear" w:color="auto" w:fill="auto"/>
            <w:noWrap/>
            <w:vAlign w:val="bottom"/>
            <w:hideMark/>
          </w:tcPr>
          <w:p w14:paraId="15BFAA24" w14:textId="77777777" w:rsidR="00181E7B" w:rsidRPr="00181E7B" w:rsidRDefault="00181E7B" w:rsidP="00F5676D">
            <w:pPr>
              <w:rPr>
                <w:rFonts w:ascii="Times New Roman" w:eastAsia="Times New Roman" w:hAnsi="Times New Roman" w:cs="Times New Roman"/>
                <w:b/>
                <w:bCs/>
                <w:color w:val="000000"/>
                <w:lang w:val="en-GB"/>
              </w:rPr>
            </w:pPr>
            <w:r w:rsidRPr="00181E7B">
              <w:rPr>
                <w:rFonts w:ascii="Times New Roman" w:eastAsia="Times New Roman" w:hAnsi="Times New Roman" w:cs="Times New Roman"/>
                <w:b/>
                <w:bCs/>
                <w:color w:val="000000"/>
                <w:lang w:val="en-GB"/>
              </w:rPr>
              <w:t>1.48 ± 0.65</w:t>
            </w:r>
          </w:p>
        </w:tc>
        <w:tc>
          <w:tcPr>
            <w:tcW w:w="1220" w:type="dxa"/>
            <w:tcBorders>
              <w:top w:val="single" w:sz="4" w:space="0" w:color="auto"/>
              <w:left w:val="nil"/>
              <w:bottom w:val="single" w:sz="4" w:space="0" w:color="auto"/>
              <w:right w:val="nil"/>
            </w:tcBorders>
            <w:shd w:val="clear" w:color="auto" w:fill="auto"/>
            <w:noWrap/>
            <w:vAlign w:val="bottom"/>
            <w:hideMark/>
          </w:tcPr>
          <w:p w14:paraId="74EEE651" w14:textId="77777777" w:rsidR="00181E7B" w:rsidRPr="00181E7B" w:rsidRDefault="00181E7B" w:rsidP="00F5676D">
            <w:pPr>
              <w:rPr>
                <w:rFonts w:ascii="Times New Roman" w:eastAsia="Times New Roman" w:hAnsi="Times New Roman" w:cs="Times New Roman"/>
                <w:b/>
                <w:bCs/>
                <w:color w:val="000000"/>
                <w:lang w:val="en-GB"/>
              </w:rPr>
            </w:pPr>
            <w:r w:rsidRPr="00181E7B">
              <w:rPr>
                <w:rFonts w:ascii="Times New Roman" w:eastAsia="Times New Roman" w:hAnsi="Times New Roman" w:cs="Times New Roman"/>
                <w:b/>
                <w:bCs/>
                <w:color w:val="000000"/>
                <w:lang w:val="en-GB"/>
              </w:rPr>
              <w:t>9.65 ± 0.23</w:t>
            </w:r>
          </w:p>
        </w:tc>
        <w:tc>
          <w:tcPr>
            <w:tcW w:w="2120" w:type="dxa"/>
            <w:tcBorders>
              <w:top w:val="single" w:sz="4" w:space="0" w:color="auto"/>
              <w:left w:val="nil"/>
              <w:bottom w:val="single" w:sz="4" w:space="0" w:color="auto"/>
              <w:right w:val="nil"/>
            </w:tcBorders>
            <w:shd w:val="clear" w:color="auto" w:fill="auto"/>
            <w:noWrap/>
            <w:vAlign w:val="bottom"/>
            <w:hideMark/>
          </w:tcPr>
          <w:p w14:paraId="0C0696F5" w14:textId="77777777" w:rsidR="00181E7B" w:rsidRPr="00181E7B" w:rsidRDefault="00181E7B" w:rsidP="00F5676D">
            <w:pPr>
              <w:rPr>
                <w:rFonts w:ascii="Times New Roman" w:eastAsia="Times New Roman" w:hAnsi="Times New Roman" w:cs="Times New Roman"/>
                <w:b/>
                <w:bCs/>
                <w:color w:val="000000"/>
                <w:lang w:val="en-GB"/>
              </w:rPr>
            </w:pPr>
            <w:r w:rsidRPr="00181E7B">
              <w:rPr>
                <w:rFonts w:ascii="Times New Roman" w:eastAsia="Times New Roman" w:hAnsi="Times New Roman" w:cs="Times New Roman"/>
                <w:b/>
                <w:bCs/>
                <w:color w:val="000000"/>
                <w:lang w:val="en-GB"/>
              </w:rPr>
              <w:t>1.98 ± 0.22</w:t>
            </w:r>
          </w:p>
        </w:tc>
      </w:tr>
    </w:tbl>
    <w:p w14:paraId="2202A6F0" w14:textId="77777777" w:rsidR="000B20D5" w:rsidRDefault="000B20D5">
      <w:pPr>
        <w:rPr>
          <w:rFonts w:ascii="Times New Roman" w:hAnsi="Times New Roman" w:cs="Times New Roman"/>
          <w:b/>
          <w:noProof/>
          <w:u w:val="single"/>
        </w:rPr>
      </w:pPr>
    </w:p>
    <w:p w14:paraId="4713A17F" w14:textId="77777777" w:rsidR="004D1FE6" w:rsidRDefault="004D1FE6">
      <w:pPr>
        <w:rPr>
          <w:rFonts w:ascii="Times New Roman" w:hAnsi="Times New Roman" w:cs="Times New Roman"/>
          <w:b/>
          <w:noProof/>
        </w:rPr>
      </w:pPr>
      <w:r>
        <w:rPr>
          <w:rFonts w:ascii="Times New Roman" w:hAnsi="Times New Roman" w:cs="Times New Roman"/>
          <w:b/>
          <w:noProof/>
        </w:rPr>
        <w:t xml:space="preserve">         </w:t>
      </w:r>
    </w:p>
    <w:p w14:paraId="1E285AD6" w14:textId="77777777" w:rsidR="004D1FE6" w:rsidRDefault="004D1FE6">
      <w:pPr>
        <w:rPr>
          <w:rFonts w:ascii="Times New Roman" w:hAnsi="Times New Roman" w:cs="Times New Roman"/>
          <w:b/>
          <w:noProof/>
        </w:rPr>
      </w:pPr>
    </w:p>
    <w:p w14:paraId="246867ED" w14:textId="78AE4842" w:rsidR="00F474AA" w:rsidRDefault="00771757">
      <w:pPr>
        <w:rPr>
          <w:rFonts w:ascii="Times New Roman" w:hAnsi="Times New Roman" w:cs="Times New Roman"/>
          <w:b/>
          <w:noProof/>
        </w:rPr>
      </w:pPr>
      <w:r>
        <w:rPr>
          <w:rFonts w:ascii="Times New Roman" w:hAnsi="Times New Roman" w:cs="Times New Roman"/>
          <w:b/>
          <w:noProof/>
        </w:rPr>
        <w:t xml:space="preserve">       </w:t>
      </w:r>
      <w:r w:rsidR="004576E1">
        <w:rPr>
          <w:rFonts w:ascii="Times New Roman" w:hAnsi="Times New Roman" w:cs="Times New Roman"/>
          <w:b/>
          <w:noProof/>
        </w:rPr>
        <w:t xml:space="preserve">           </w:t>
      </w:r>
      <w:r>
        <w:rPr>
          <w:rFonts w:ascii="Times New Roman" w:hAnsi="Times New Roman" w:cs="Times New Roman"/>
          <w:b/>
          <w:noProof/>
        </w:rPr>
        <w:t xml:space="preserve">       </w:t>
      </w:r>
      <w:r w:rsidR="00F474AA" w:rsidRPr="004D1FE6">
        <w:rPr>
          <w:rFonts w:ascii="Times New Roman" w:hAnsi="Times New Roman" w:cs="Times New Roman"/>
          <w:b/>
          <w:noProof/>
        </w:rPr>
        <w:drawing>
          <wp:inline distT="0" distB="0" distL="0" distR="0" wp14:anchorId="4E7C4860" wp14:editId="3B5CF84C">
            <wp:extent cx="3291873" cy="2171700"/>
            <wp:effectExtent l="0" t="0" r="1016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89">
                      <a:extLst>
                        <a:ext uri="{28A0092B-C50C-407E-A947-70E740481C1C}">
                          <a14:useLocalDpi xmlns:a14="http://schemas.microsoft.com/office/drawing/2010/main" val="0"/>
                        </a:ext>
                      </a:extLst>
                    </a:blip>
                    <a:srcRect l="18828" t="15425" r="19845" b="30618"/>
                    <a:stretch/>
                  </pic:blipFill>
                  <pic:spPr bwMode="auto">
                    <a:xfrm>
                      <a:off x="0" y="0"/>
                      <a:ext cx="3294716" cy="2173576"/>
                    </a:xfrm>
                    <a:prstGeom prst="rect">
                      <a:avLst/>
                    </a:prstGeom>
                    <a:ln>
                      <a:noFill/>
                    </a:ln>
                    <a:extLst>
                      <a:ext uri="{53640926-AAD7-44d8-BBD7-CCE9431645EC}">
                        <a14:shadowObscured xmlns:a14="http://schemas.microsoft.com/office/drawing/2010/main"/>
                      </a:ext>
                    </a:extLst>
                  </pic:spPr>
                </pic:pic>
              </a:graphicData>
            </a:graphic>
          </wp:inline>
        </w:drawing>
      </w:r>
    </w:p>
    <w:p w14:paraId="611EC158" w14:textId="77777777" w:rsidR="00C664C4" w:rsidRDefault="00C664C4" w:rsidP="00C664C4">
      <w:pPr>
        <w:pStyle w:val="Caption"/>
        <w:rPr>
          <w:noProof/>
        </w:rPr>
      </w:pPr>
      <w:bookmarkStart w:id="1927" w:name="_Toc333585260"/>
      <w:bookmarkStart w:id="1928" w:name="_Toc333586812"/>
      <w:bookmarkStart w:id="1929" w:name="_Toc333644511"/>
      <w:bookmarkStart w:id="1930" w:name="_Toc333644805"/>
      <w:r>
        <w:rPr>
          <w:noProof/>
        </w:rPr>
        <w:t>Figure 5.7 Assessment of RNA integrity of astrocytes using the Agilent 2100 Bioanalyzer</w:t>
      </w:r>
      <w:bookmarkEnd w:id="1927"/>
      <w:bookmarkEnd w:id="1928"/>
      <w:bookmarkEnd w:id="1929"/>
      <w:bookmarkEnd w:id="1930"/>
    </w:p>
    <w:p w14:paraId="71872067" w14:textId="73EC2741" w:rsidR="00771757" w:rsidRPr="00C664C4" w:rsidRDefault="002B710D" w:rsidP="00C664C4">
      <w:pPr>
        <w:spacing w:line="360" w:lineRule="auto"/>
        <w:rPr>
          <w:rFonts w:ascii="Times New Roman" w:hAnsi="Times New Roman" w:cs="Times New Roman"/>
          <w:noProof/>
        </w:rPr>
      </w:pPr>
      <w:r w:rsidRPr="00C664C4">
        <w:rPr>
          <w:rFonts w:ascii="Times New Roman" w:hAnsi="Times New Roman" w:cs="Times New Roman"/>
          <w:noProof/>
        </w:rPr>
        <w:t>A</w:t>
      </w:r>
      <w:r w:rsidR="00771757" w:rsidRPr="00C664C4">
        <w:rPr>
          <w:rFonts w:ascii="Times New Roman" w:hAnsi="Times New Roman" w:cs="Times New Roman"/>
          <w:noProof/>
        </w:rPr>
        <w:t>n example electropherogram and corresponding electrophoresis gel produced by the Agilent 2100 Bioanalyzer used to assess the RNA integrity of extracted RNA samples from</w:t>
      </w:r>
      <w:r w:rsidR="00872B86" w:rsidRPr="00C664C4">
        <w:rPr>
          <w:rFonts w:ascii="Times New Roman" w:hAnsi="Times New Roman" w:cs="Times New Roman"/>
          <w:noProof/>
        </w:rPr>
        <w:t xml:space="preserve"> FACS </w:t>
      </w:r>
      <w:r w:rsidR="00771757" w:rsidRPr="00C664C4">
        <w:rPr>
          <w:rFonts w:ascii="Times New Roman" w:hAnsi="Times New Roman" w:cs="Times New Roman"/>
          <w:noProof/>
        </w:rPr>
        <w:t>sorted</w:t>
      </w:r>
      <w:r w:rsidRPr="00C664C4">
        <w:rPr>
          <w:rFonts w:ascii="Times New Roman" w:hAnsi="Times New Roman" w:cs="Times New Roman"/>
          <w:noProof/>
        </w:rPr>
        <w:t xml:space="preserve"> astrocytes. The</w:t>
      </w:r>
      <w:r w:rsidR="00771757" w:rsidRPr="00C664C4">
        <w:rPr>
          <w:rFonts w:ascii="Times New Roman" w:hAnsi="Times New Roman" w:cs="Times New Roman"/>
          <w:noProof/>
        </w:rPr>
        <w:t xml:space="preserve"> labelled </w:t>
      </w:r>
      <w:r w:rsidRPr="00C664C4">
        <w:rPr>
          <w:rFonts w:ascii="Times New Roman" w:hAnsi="Times New Roman" w:cs="Times New Roman"/>
          <w:noProof/>
        </w:rPr>
        <w:t xml:space="preserve">peaks </w:t>
      </w:r>
      <w:r w:rsidR="00771757" w:rsidRPr="00C664C4">
        <w:rPr>
          <w:rFonts w:ascii="Times New Roman" w:hAnsi="Times New Roman" w:cs="Times New Roman"/>
          <w:noProof/>
        </w:rPr>
        <w:t>are representative of 18S and 28S rRNA</w:t>
      </w:r>
      <w:r w:rsidR="00A0000C" w:rsidRPr="00C664C4">
        <w:rPr>
          <w:rFonts w:ascii="Times New Roman" w:hAnsi="Times New Roman" w:cs="Times New Roman"/>
          <w:noProof/>
        </w:rPr>
        <w:t xml:space="preserve"> and suggest that the RNA was intact</w:t>
      </w:r>
      <w:r w:rsidR="00771757" w:rsidRPr="00C664C4">
        <w:rPr>
          <w:rFonts w:ascii="Times New Roman" w:hAnsi="Times New Roman" w:cs="Times New Roman"/>
          <w:noProof/>
        </w:rPr>
        <w:t>.</w:t>
      </w:r>
      <w:r w:rsidR="00A0000C" w:rsidRPr="00C664C4">
        <w:rPr>
          <w:rFonts w:ascii="Times New Roman" w:hAnsi="Times New Roman" w:cs="Times New Roman"/>
          <w:noProof/>
        </w:rPr>
        <w:t xml:space="preserve"> (FU-fluorescence unit).</w:t>
      </w:r>
    </w:p>
    <w:p w14:paraId="1FDC6217" w14:textId="77777777" w:rsidR="00B906CF" w:rsidRDefault="00B906CF" w:rsidP="00771757">
      <w:pPr>
        <w:spacing w:line="360" w:lineRule="auto"/>
        <w:rPr>
          <w:rFonts w:ascii="Times New Roman" w:hAnsi="Times New Roman" w:cs="Times New Roman"/>
          <w:noProof/>
        </w:rPr>
      </w:pPr>
    </w:p>
    <w:p w14:paraId="6F034180" w14:textId="7DF78E17" w:rsidR="00A938EC" w:rsidRPr="00A938EC" w:rsidRDefault="003256A1" w:rsidP="00395B55">
      <w:pPr>
        <w:pStyle w:val="Heading3"/>
        <w:rPr>
          <w:noProof/>
        </w:rPr>
      </w:pPr>
      <w:bookmarkStart w:id="1931" w:name="_Toc328301193"/>
      <w:bookmarkStart w:id="1932" w:name="_Toc329593484"/>
      <w:bookmarkStart w:id="1933" w:name="_Toc331425983"/>
      <w:bookmarkStart w:id="1934" w:name="_Toc331427164"/>
      <w:bookmarkStart w:id="1935" w:name="_Toc331427536"/>
      <w:bookmarkStart w:id="1936" w:name="_Toc331427678"/>
      <w:bookmarkStart w:id="1937" w:name="_Toc332972683"/>
      <w:bookmarkStart w:id="1938" w:name="_Toc333046962"/>
      <w:bookmarkStart w:id="1939" w:name="_Toc333477309"/>
      <w:bookmarkStart w:id="1940" w:name="_Toc333478079"/>
      <w:bookmarkStart w:id="1941" w:name="_Toc333644979"/>
      <w:r>
        <w:rPr>
          <w:noProof/>
        </w:rPr>
        <w:t xml:space="preserve">5.4.5 </w:t>
      </w:r>
      <w:r w:rsidR="00A938EC" w:rsidRPr="00A938EC">
        <w:rPr>
          <w:noProof/>
        </w:rPr>
        <w:t>RNA precipitation of</w:t>
      </w:r>
      <w:r w:rsidR="00A938EC">
        <w:rPr>
          <w:noProof/>
        </w:rPr>
        <w:t xml:space="preserve"> FACS</w:t>
      </w:r>
      <w:r w:rsidR="00A938EC" w:rsidRPr="00A938EC">
        <w:rPr>
          <w:noProof/>
        </w:rPr>
        <w:t xml:space="preserve"> sorted astrocytes</w:t>
      </w:r>
      <w:bookmarkEnd w:id="1931"/>
      <w:bookmarkEnd w:id="1932"/>
      <w:bookmarkEnd w:id="1933"/>
      <w:bookmarkEnd w:id="1934"/>
      <w:bookmarkEnd w:id="1935"/>
      <w:bookmarkEnd w:id="1936"/>
      <w:bookmarkEnd w:id="1937"/>
      <w:bookmarkEnd w:id="1938"/>
      <w:bookmarkEnd w:id="1939"/>
      <w:bookmarkEnd w:id="1940"/>
      <w:bookmarkEnd w:id="1941"/>
    </w:p>
    <w:p w14:paraId="37371B92" w14:textId="77777777" w:rsidR="00170D9F" w:rsidRDefault="00170D9F">
      <w:pPr>
        <w:rPr>
          <w:rFonts w:ascii="Times New Roman" w:hAnsi="Times New Roman" w:cs="Times New Roman"/>
          <w:b/>
          <w:noProof/>
        </w:rPr>
      </w:pPr>
    </w:p>
    <w:p w14:paraId="56B4E1C8" w14:textId="13DB11C7" w:rsidR="008D77B2" w:rsidRPr="008D77B2" w:rsidRDefault="008D77B2" w:rsidP="00C63BC1">
      <w:pPr>
        <w:spacing w:line="360" w:lineRule="auto"/>
        <w:jc w:val="both"/>
        <w:rPr>
          <w:rFonts w:ascii="Times New Roman" w:hAnsi="Times New Roman" w:cs="Times New Roman"/>
          <w:noProof/>
        </w:rPr>
      </w:pPr>
      <w:r>
        <w:rPr>
          <w:rFonts w:ascii="Times New Roman" w:hAnsi="Times New Roman" w:cs="Times New Roman"/>
          <w:noProof/>
        </w:rPr>
        <w:t xml:space="preserve">Affymetrix recommend that the input RNA for microarray analysis is between 50ng and 500ng. </w:t>
      </w:r>
      <w:r w:rsidR="004D0314">
        <w:rPr>
          <w:rFonts w:ascii="Times New Roman" w:hAnsi="Times New Roman" w:cs="Times New Roman"/>
          <w:noProof/>
        </w:rPr>
        <w:t>Due to</w:t>
      </w:r>
      <w:r w:rsidR="008A2FA9">
        <w:rPr>
          <w:rFonts w:ascii="Times New Roman" w:hAnsi="Times New Roman" w:cs="Times New Roman"/>
          <w:noProof/>
        </w:rPr>
        <w:t xml:space="preserve"> </w:t>
      </w:r>
      <w:r w:rsidR="00D35DA9">
        <w:rPr>
          <w:rFonts w:ascii="Times New Roman" w:hAnsi="Times New Roman" w:cs="Times New Roman"/>
          <w:noProof/>
        </w:rPr>
        <w:t xml:space="preserve">the </w:t>
      </w:r>
      <w:r w:rsidR="008A2FA9">
        <w:rPr>
          <w:rFonts w:ascii="Times New Roman" w:hAnsi="Times New Roman" w:cs="Times New Roman"/>
          <w:noProof/>
        </w:rPr>
        <w:t xml:space="preserve">low RNA yields </w:t>
      </w:r>
      <w:r w:rsidR="008179F0">
        <w:rPr>
          <w:rFonts w:ascii="Times New Roman" w:hAnsi="Times New Roman" w:cs="Times New Roman"/>
          <w:noProof/>
        </w:rPr>
        <w:t xml:space="preserve">being </w:t>
      </w:r>
      <w:r w:rsidR="008A2FA9">
        <w:rPr>
          <w:rFonts w:ascii="Times New Roman" w:hAnsi="Times New Roman" w:cs="Times New Roman"/>
          <w:noProof/>
        </w:rPr>
        <w:t xml:space="preserve">collected from the FACS sorted astrocytes and in order to </w:t>
      </w:r>
      <w:r w:rsidR="00D35DA9">
        <w:rPr>
          <w:rFonts w:ascii="Times New Roman" w:hAnsi="Times New Roman" w:cs="Times New Roman"/>
          <w:noProof/>
        </w:rPr>
        <w:t>generate</w:t>
      </w:r>
      <w:r w:rsidR="008A2FA9">
        <w:rPr>
          <w:rFonts w:ascii="Times New Roman" w:hAnsi="Times New Roman" w:cs="Times New Roman"/>
          <w:noProof/>
        </w:rPr>
        <w:t xml:space="preserve"> a</w:t>
      </w:r>
      <w:r w:rsidR="00D35DA9">
        <w:rPr>
          <w:rFonts w:ascii="Times New Roman" w:hAnsi="Times New Roman" w:cs="Times New Roman"/>
          <w:noProof/>
        </w:rPr>
        <w:t>n optimum concentration of RNA for</w:t>
      </w:r>
      <w:r w:rsidR="008A2FA9">
        <w:rPr>
          <w:rFonts w:ascii="Times New Roman" w:hAnsi="Times New Roman" w:cs="Times New Roman"/>
          <w:noProof/>
        </w:rPr>
        <w:t xml:space="preserve"> the </w:t>
      </w:r>
      <w:r w:rsidR="008179F0">
        <w:rPr>
          <w:rFonts w:ascii="Times New Roman" w:hAnsi="Times New Roman" w:cs="Times New Roman"/>
          <w:noProof/>
        </w:rPr>
        <w:t>microarray</w:t>
      </w:r>
      <w:r w:rsidR="008A2FA9">
        <w:rPr>
          <w:rFonts w:ascii="Times New Roman" w:hAnsi="Times New Roman" w:cs="Times New Roman"/>
          <w:noProof/>
        </w:rPr>
        <w:t xml:space="preserve"> preparation steps, a glycoblue precipitation process was carried out.</w:t>
      </w:r>
      <w:r w:rsidR="00B52AA8">
        <w:rPr>
          <w:rFonts w:ascii="Times New Roman" w:hAnsi="Times New Roman" w:cs="Times New Roman"/>
          <w:noProof/>
        </w:rPr>
        <w:t xml:space="preserve"> Ambion® GlycoBlue™ coprecipitant</w:t>
      </w:r>
      <w:r w:rsidR="008451E8">
        <w:rPr>
          <w:rFonts w:ascii="Times New Roman" w:hAnsi="Times New Roman" w:cs="Times New Roman"/>
          <w:noProof/>
        </w:rPr>
        <w:t xml:space="preserve"> (descr</w:t>
      </w:r>
      <w:r w:rsidR="00103C42">
        <w:rPr>
          <w:rFonts w:ascii="Times New Roman" w:hAnsi="Times New Roman" w:cs="Times New Roman"/>
          <w:noProof/>
        </w:rPr>
        <w:t>ibed in chapter 2, section 2.2.5</w:t>
      </w:r>
      <w:r w:rsidR="00882F98">
        <w:rPr>
          <w:rFonts w:ascii="Times New Roman" w:hAnsi="Times New Roman" w:cs="Times New Roman"/>
          <w:noProof/>
        </w:rPr>
        <w:t>)</w:t>
      </w:r>
      <w:r w:rsidR="00F5676D">
        <w:rPr>
          <w:rFonts w:ascii="Times New Roman" w:hAnsi="Times New Roman" w:cs="Times New Roman"/>
          <w:noProof/>
        </w:rPr>
        <w:t xml:space="preserve"> was used to faci</w:t>
      </w:r>
      <w:r w:rsidR="00B52AA8">
        <w:rPr>
          <w:rFonts w:ascii="Times New Roman" w:hAnsi="Times New Roman" w:cs="Times New Roman"/>
          <w:noProof/>
        </w:rPr>
        <w:t>litate precipitation of the nucleic acid and incubated with RNA samples for 24 hours at -20°C</w:t>
      </w:r>
      <w:r w:rsidR="00E90888">
        <w:rPr>
          <w:rFonts w:ascii="Times New Roman" w:hAnsi="Times New Roman" w:cs="Times New Roman"/>
          <w:noProof/>
        </w:rPr>
        <w:t xml:space="preserve"> </w:t>
      </w:r>
      <w:r w:rsidR="00D35DA9">
        <w:rPr>
          <w:rFonts w:ascii="Times New Roman" w:hAnsi="Times New Roman" w:cs="Times New Roman"/>
          <w:noProof/>
        </w:rPr>
        <w:t>using</w:t>
      </w:r>
      <w:r w:rsidR="00E90888">
        <w:rPr>
          <w:rFonts w:ascii="Times New Roman" w:hAnsi="Times New Roman" w:cs="Times New Roman"/>
          <w:noProof/>
        </w:rPr>
        <w:t xml:space="preserve"> the ratios calculated in </w:t>
      </w:r>
      <w:r w:rsidR="00E90888" w:rsidRPr="000273AF">
        <w:rPr>
          <w:rFonts w:ascii="Times New Roman" w:hAnsi="Times New Roman" w:cs="Times New Roman"/>
          <w:b/>
          <w:noProof/>
        </w:rPr>
        <w:t xml:space="preserve">table </w:t>
      </w:r>
      <w:r w:rsidR="002D6DB4" w:rsidRPr="000273AF">
        <w:rPr>
          <w:rFonts w:ascii="Times New Roman" w:hAnsi="Times New Roman" w:cs="Times New Roman"/>
          <w:b/>
          <w:noProof/>
        </w:rPr>
        <w:t>5.3</w:t>
      </w:r>
      <w:r w:rsidR="00B52AA8">
        <w:rPr>
          <w:rFonts w:ascii="Times New Roman" w:hAnsi="Times New Roman" w:cs="Times New Roman"/>
          <w:noProof/>
        </w:rPr>
        <w:t>. The sample was then centrifuged and washed with</w:t>
      </w:r>
      <w:r w:rsidR="004D0314">
        <w:rPr>
          <w:rFonts w:ascii="Times New Roman" w:hAnsi="Times New Roman" w:cs="Times New Roman"/>
          <w:noProof/>
        </w:rPr>
        <w:t xml:space="preserve"> 70% ethanol before resuspending in 3</w:t>
      </w:r>
      <w:r w:rsidR="004D0314" w:rsidRPr="004D0314">
        <w:rPr>
          <w:rFonts w:ascii="Times New Roman" w:eastAsia="Times New Roman" w:hAnsi="Times New Roman" w:cs="Times New Roman"/>
          <w:bCs/>
          <w:color w:val="000000"/>
          <w:lang w:val="en-GB"/>
        </w:rPr>
        <w:t>μl</w:t>
      </w:r>
      <w:r w:rsidR="004D0314">
        <w:rPr>
          <w:rFonts w:ascii="Times New Roman" w:eastAsia="Times New Roman" w:hAnsi="Times New Roman" w:cs="Times New Roman"/>
          <w:bCs/>
          <w:color w:val="000000"/>
          <w:lang w:val="en-GB"/>
        </w:rPr>
        <w:t xml:space="preserve"> of nuclease free water. This ensured that 250ng of RNA of each sample could be included in the subsequent preparations. </w:t>
      </w:r>
    </w:p>
    <w:p w14:paraId="50A19996" w14:textId="77777777" w:rsidR="00A938EC" w:rsidRPr="00A938EC" w:rsidRDefault="00A938EC">
      <w:pPr>
        <w:rPr>
          <w:rFonts w:ascii="Times New Roman" w:hAnsi="Times New Roman" w:cs="Times New Roman"/>
          <w:noProof/>
        </w:rPr>
      </w:pPr>
    </w:p>
    <w:p w14:paraId="3B068666" w14:textId="77777777" w:rsidR="00E90888" w:rsidRDefault="00E90888" w:rsidP="008D77B2">
      <w:pPr>
        <w:spacing w:line="360" w:lineRule="auto"/>
        <w:rPr>
          <w:rFonts w:ascii="Times New Roman" w:hAnsi="Times New Roman" w:cs="Times New Roman"/>
          <w:b/>
          <w:noProof/>
        </w:rPr>
      </w:pPr>
    </w:p>
    <w:p w14:paraId="045ED64B" w14:textId="77777777" w:rsidR="00E90888" w:rsidRDefault="00E90888" w:rsidP="008D77B2">
      <w:pPr>
        <w:spacing w:line="360" w:lineRule="auto"/>
        <w:rPr>
          <w:rFonts w:ascii="Times New Roman" w:hAnsi="Times New Roman" w:cs="Times New Roman"/>
          <w:b/>
          <w:noProof/>
        </w:rPr>
      </w:pPr>
    </w:p>
    <w:p w14:paraId="454FA98D" w14:textId="77777777" w:rsidR="00E90888" w:rsidRDefault="00E90888" w:rsidP="008D77B2">
      <w:pPr>
        <w:spacing w:line="360" w:lineRule="auto"/>
        <w:rPr>
          <w:rFonts w:ascii="Times New Roman" w:hAnsi="Times New Roman" w:cs="Times New Roman"/>
          <w:b/>
          <w:noProof/>
        </w:rPr>
      </w:pPr>
    </w:p>
    <w:p w14:paraId="1C2869CE" w14:textId="77777777" w:rsidR="00E90888" w:rsidRDefault="00E90888" w:rsidP="008D77B2">
      <w:pPr>
        <w:spacing w:line="360" w:lineRule="auto"/>
        <w:rPr>
          <w:rFonts w:ascii="Times New Roman" w:hAnsi="Times New Roman" w:cs="Times New Roman"/>
          <w:b/>
          <w:noProof/>
        </w:rPr>
      </w:pPr>
    </w:p>
    <w:p w14:paraId="5D5D5862" w14:textId="77777777" w:rsidR="00A0000C" w:rsidRDefault="00A0000C" w:rsidP="008D77B2">
      <w:pPr>
        <w:spacing w:line="360" w:lineRule="auto"/>
        <w:rPr>
          <w:rFonts w:ascii="Times New Roman" w:hAnsi="Times New Roman" w:cs="Times New Roman"/>
          <w:b/>
          <w:noProof/>
        </w:rPr>
      </w:pPr>
    </w:p>
    <w:p w14:paraId="6986D173" w14:textId="21266804" w:rsidR="00771757" w:rsidRPr="00170D9F" w:rsidRDefault="00170D9F" w:rsidP="004D474F">
      <w:pPr>
        <w:pStyle w:val="Heading5"/>
        <w:rPr>
          <w:noProof/>
        </w:rPr>
      </w:pPr>
      <w:bookmarkStart w:id="1942" w:name="_Toc333569353"/>
      <w:bookmarkStart w:id="1943" w:name="_Toc333570891"/>
      <w:bookmarkStart w:id="1944" w:name="_Toc333585972"/>
      <w:bookmarkStart w:id="1945" w:name="_Toc333586847"/>
      <w:bookmarkStart w:id="1946" w:name="_Toc333644546"/>
      <w:bookmarkStart w:id="1947" w:name="_Toc333644840"/>
      <w:r>
        <w:rPr>
          <w:noProof/>
        </w:rPr>
        <w:t xml:space="preserve">Table </w:t>
      </w:r>
      <w:r w:rsidR="002D6DB4">
        <w:rPr>
          <w:noProof/>
        </w:rPr>
        <w:t>5.3</w:t>
      </w:r>
      <w:r w:rsidR="0043060F">
        <w:rPr>
          <w:noProof/>
        </w:rPr>
        <w:t>.</w:t>
      </w:r>
      <w:r>
        <w:rPr>
          <w:noProof/>
        </w:rPr>
        <w:t xml:space="preserve"> Volumes of RNA used for glycoblue RNA precipitation</w:t>
      </w:r>
      <w:r w:rsidR="008D77B2">
        <w:rPr>
          <w:noProof/>
        </w:rPr>
        <w:t xml:space="preserve"> to generate 250ng of </w:t>
      </w:r>
      <w:r w:rsidR="00C12D9C">
        <w:rPr>
          <w:noProof/>
        </w:rPr>
        <w:t xml:space="preserve">input </w:t>
      </w:r>
      <w:r w:rsidR="008D77B2">
        <w:rPr>
          <w:noProof/>
        </w:rPr>
        <w:t>RNA</w:t>
      </w:r>
      <w:r w:rsidR="00C12D9C">
        <w:rPr>
          <w:noProof/>
        </w:rPr>
        <w:t>.</w:t>
      </w:r>
      <w:bookmarkEnd w:id="1942"/>
      <w:bookmarkEnd w:id="1943"/>
      <w:bookmarkEnd w:id="1944"/>
      <w:bookmarkEnd w:id="1945"/>
      <w:bookmarkEnd w:id="1946"/>
      <w:bookmarkEnd w:id="1947"/>
    </w:p>
    <w:p w14:paraId="4EF1F01E" w14:textId="77777777" w:rsidR="000B20D5" w:rsidRDefault="000B20D5">
      <w:pPr>
        <w:rPr>
          <w:rFonts w:ascii="Times New Roman" w:hAnsi="Times New Roman" w:cs="Times New Roman"/>
          <w:b/>
          <w:noProof/>
        </w:rPr>
      </w:pPr>
    </w:p>
    <w:tbl>
      <w:tblPr>
        <w:tblW w:w="9229" w:type="dxa"/>
        <w:tblInd w:w="93" w:type="dxa"/>
        <w:tblLayout w:type="fixed"/>
        <w:tblLook w:val="04A0" w:firstRow="1" w:lastRow="0" w:firstColumn="1" w:lastColumn="0" w:noHBand="0" w:noVBand="1"/>
      </w:tblPr>
      <w:tblGrid>
        <w:gridCol w:w="1381"/>
        <w:gridCol w:w="1328"/>
        <w:gridCol w:w="1842"/>
        <w:gridCol w:w="356"/>
        <w:gridCol w:w="2742"/>
        <w:gridCol w:w="1580"/>
      </w:tblGrid>
      <w:tr w:rsidR="000B20D5" w:rsidRPr="000B20D5" w14:paraId="334ABEE5" w14:textId="77777777" w:rsidTr="00C12D9C">
        <w:trPr>
          <w:trHeight w:val="296"/>
        </w:trPr>
        <w:tc>
          <w:tcPr>
            <w:tcW w:w="1381" w:type="dxa"/>
            <w:tcBorders>
              <w:top w:val="single" w:sz="4" w:space="0" w:color="auto"/>
              <w:left w:val="nil"/>
              <w:bottom w:val="single" w:sz="4" w:space="0" w:color="auto"/>
              <w:right w:val="nil"/>
            </w:tcBorders>
            <w:shd w:val="clear" w:color="auto" w:fill="auto"/>
            <w:noWrap/>
            <w:vAlign w:val="bottom"/>
            <w:hideMark/>
          </w:tcPr>
          <w:p w14:paraId="3E1CC145" w14:textId="77777777" w:rsidR="000B20D5" w:rsidRPr="000B20D5" w:rsidRDefault="000B20D5" w:rsidP="00F5676D">
            <w:pPr>
              <w:rPr>
                <w:rFonts w:ascii="Times New Roman" w:eastAsia="Times New Roman" w:hAnsi="Times New Roman" w:cs="Times New Roman"/>
                <w:b/>
                <w:bCs/>
                <w:color w:val="000000"/>
                <w:lang w:val="en-GB"/>
              </w:rPr>
            </w:pPr>
            <w:r w:rsidRPr="000B20D5">
              <w:rPr>
                <w:rFonts w:ascii="Times New Roman" w:eastAsia="Times New Roman" w:hAnsi="Times New Roman" w:cs="Times New Roman"/>
                <w:b/>
                <w:bCs/>
                <w:color w:val="000000"/>
                <w:lang w:val="en-GB"/>
              </w:rPr>
              <w:t>Sample</w:t>
            </w:r>
          </w:p>
        </w:tc>
        <w:tc>
          <w:tcPr>
            <w:tcW w:w="1328" w:type="dxa"/>
            <w:tcBorders>
              <w:top w:val="single" w:sz="4" w:space="0" w:color="auto"/>
              <w:left w:val="nil"/>
              <w:bottom w:val="single" w:sz="4" w:space="0" w:color="auto"/>
              <w:right w:val="nil"/>
            </w:tcBorders>
            <w:shd w:val="clear" w:color="auto" w:fill="auto"/>
            <w:noWrap/>
            <w:vAlign w:val="bottom"/>
            <w:hideMark/>
          </w:tcPr>
          <w:p w14:paraId="702F4151" w14:textId="77777777" w:rsidR="000B20D5" w:rsidRPr="000B20D5" w:rsidRDefault="000B20D5" w:rsidP="00F5676D">
            <w:pPr>
              <w:rPr>
                <w:rFonts w:ascii="Times New Roman" w:eastAsia="Times New Roman" w:hAnsi="Times New Roman" w:cs="Times New Roman"/>
                <w:b/>
                <w:bCs/>
                <w:color w:val="000000"/>
                <w:lang w:val="en-GB"/>
              </w:rPr>
            </w:pPr>
            <w:r w:rsidRPr="000B20D5">
              <w:rPr>
                <w:rFonts w:ascii="Times New Roman" w:eastAsia="Times New Roman" w:hAnsi="Times New Roman" w:cs="Times New Roman"/>
                <w:b/>
                <w:bCs/>
                <w:color w:val="000000"/>
                <w:lang w:val="en-GB"/>
              </w:rPr>
              <w:t>Sample (μl)</w:t>
            </w:r>
          </w:p>
        </w:tc>
        <w:tc>
          <w:tcPr>
            <w:tcW w:w="1842" w:type="dxa"/>
            <w:tcBorders>
              <w:top w:val="single" w:sz="4" w:space="0" w:color="auto"/>
              <w:left w:val="nil"/>
              <w:bottom w:val="single" w:sz="4" w:space="0" w:color="auto"/>
              <w:right w:val="nil"/>
            </w:tcBorders>
            <w:shd w:val="clear" w:color="auto" w:fill="auto"/>
            <w:noWrap/>
            <w:vAlign w:val="bottom"/>
            <w:hideMark/>
          </w:tcPr>
          <w:p w14:paraId="5FE9A4AE" w14:textId="77777777" w:rsidR="000B20D5" w:rsidRPr="000B20D5" w:rsidRDefault="000B20D5" w:rsidP="00F5676D">
            <w:pPr>
              <w:rPr>
                <w:rFonts w:ascii="Times New Roman" w:eastAsia="Times New Roman" w:hAnsi="Times New Roman" w:cs="Times New Roman"/>
                <w:b/>
                <w:bCs/>
                <w:color w:val="000000"/>
                <w:lang w:val="en-GB"/>
              </w:rPr>
            </w:pPr>
            <w:r w:rsidRPr="000B20D5">
              <w:rPr>
                <w:rFonts w:ascii="Times New Roman" w:eastAsia="Times New Roman" w:hAnsi="Times New Roman" w:cs="Times New Roman"/>
                <w:b/>
                <w:bCs/>
                <w:color w:val="000000"/>
                <w:lang w:val="en-GB"/>
              </w:rPr>
              <w:t>Glyco Blue (μl)</w:t>
            </w:r>
          </w:p>
        </w:tc>
        <w:tc>
          <w:tcPr>
            <w:tcW w:w="3098" w:type="dxa"/>
            <w:gridSpan w:val="2"/>
            <w:tcBorders>
              <w:top w:val="single" w:sz="4" w:space="0" w:color="auto"/>
              <w:left w:val="nil"/>
              <w:bottom w:val="single" w:sz="4" w:space="0" w:color="auto"/>
              <w:right w:val="nil"/>
            </w:tcBorders>
            <w:shd w:val="clear" w:color="auto" w:fill="auto"/>
            <w:noWrap/>
            <w:vAlign w:val="bottom"/>
            <w:hideMark/>
          </w:tcPr>
          <w:p w14:paraId="215F828D" w14:textId="77777777" w:rsidR="000B20D5" w:rsidRPr="000B20D5" w:rsidRDefault="000B20D5" w:rsidP="00F5676D">
            <w:pPr>
              <w:rPr>
                <w:rFonts w:ascii="Times New Roman" w:eastAsia="Times New Roman" w:hAnsi="Times New Roman" w:cs="Times New Roman"/>
                <w:b/>
                <w:bCs/>
                <w:color w:val="000000"/>
                <w:lang w:val="en-GB"/>
              </w:rPr>
            </w:pPr>
            <w:r w:rsidRPr="000B20D5">
              <w:rPr>
                <w:rFonts w:ascii="Times New Roman" w:eastAsia="Times New Roman" w:hAnsi="Times New Roman" w:cs="Times New Roman"/>
                <w:b/>
                <w:bCs/>
                <w:color w:val="000000"/>
                <w:lang w:val="en-GB"/>
              </w:rPr>
              <w:t>Ammonium acetate (μl)</w:t>
            </w:r>
          </w:p>
        </w:tc>
        <w:tc>
          <w:tcPr>
            <w:tcW w:w="1580" w:type="dxa"/>
            <w:tcBorders>
              <w:top w:val="single" w:sz="4" w:space="0" w:color="auto"/>
              <w:left w:val="nil"/>
              <w:bottom w:val="single" w:sz="4" w:space="0" w:color="auto"/>
              <w:right w:val="nil"/>
            </w:tcBorders>
            <w:shd w:val="clear" w:color="auto" w:fill="auto"/>
            <w:noWrap/>
            <w:vAlign w:val="bottom"/>
            <w:hideMark/>
          </w:tcPr>
          <w:p w14:paraId="68201ECE" w14:textId="77777777" w:rsidR="000B20D5" w:rsidRPr="000B20D5" w:rsidRDefault="000B20D5" w:rsidP="00F5676D">
            <w:pPr>
              <w:rPr>
                <w:rFonts w:ascii="Times New Roman" w:eastAsia="Times New Roman" w:hAnsi="Times New Roman" w:cs="Times New Roman"/>
                <w:b/>
                <w:bCs/>
                <w:color w:val="000000"/>
                <w:lang w:val="en-GB"/>
              </w:rPr>
            </w:pPr>
            <w:r w:rsidRPr="000B20D5">
              <w:rPr>
                <w:rFonts w:ascii="Times New Roman" w:eastAsia="Times New Roman" w:hAnsi="Times New Roman" w:cs="Times New Roman"/>
                <w:b/>
                <w:bCs/>
                <w:color w:val="000000"/>
                <w:lang w:val="en-GB"/>
              </w:rPr>
              <w:t>Isopropanol (μl)</w:t>
            </w:r>
          </w:p>
        </w:tc>
      </w:tr>
      <w:tr w:rsidR="000B20D5" w:rsidRPr="000B20D5" w14:paraId="57C4D98E" w14:textId="77777777" w:rsidTr="00C12D9C">
        <w:trPr>
          <w:trHeight w:val="296"/>
        </w:trPr>
        <w:tc>
          <w:tcPr>
            <w:tcW w:w="1381" w:type="dxa"/>
            <w:tcBorders>
              <w:top w:val="nil"/>
              <w:left w:val="nil"/>
              <w:bottom w:val="nil"/>
              <w:right w:val="nil"/>
            </w:tcBorders>
            <w:shd w:val="clear" w:color="auto" w:fill="auto"/>
            <w:noWrap/>
            <w:vAlign w:val="bottom"/>
            <w:hideMark/>
          </w:tcPr>
          <w:p w14:paraId="558A2CE9"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Control A</w:t>
            </w:r>
          </w:p>
        </w:tc>
        <w:tc>
          <w:tcPr>
            <w:tcW w:w="1328" w:type="dxa"/>
            <w:tcBorders>
              <w:top w:val="nil"/>
              <w:left w:val="nil"/>
              <w:bottom w:val="nil"/>
              <w:right w:val="nil"/>
            </w:tcBorders>
            <w:shd w:val="clear" w:color="auto" w:fill="auto"/>
            <w:noWrap/>
            <w:vAlign w:val="bottom"/>
            <w:hideMark/>
          </w:tcPr>
          <w:p w14:paraId="30E9B8B1"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7.2</w:t>
            </w:r>
          </w:p>
        </w:tc>
        <w:tc>
          <w:tcPr>
            <w:tcW w:w="2198" w:type="dxa"/>
            <w:gridSpan w:val="2"/>
            <w:tcBorders>
              <w:top w:val="nil"/>
              <w:left w:val="nil"/>
              <w:bottom w:val="nil"/>
              <w:right w:val="nil"/>
            </w:tcBorders>
            <w:shd w:val="clear" w:color="auto" w:fill="auto"/>
            <w:noWrap/>
            <w:vAlign w:val="bottom"/>
            <w:hideMark/>
          </w:tcPr>
          <w:p w14:paraId="115F342C"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1</w:t>
            </w:r>
          </w:p>
        </w:tc>
        <w:tc>
          <w:tcPr>
            <w:tcW w:w="2742" w:type="dxa"/>
            <w:tcBorders>
              <w:top w:val="nil"/>
              <w:left w:val="nil"/>
              <w:bottom w:val="nil"/>
              <w:right w:val="nil"/>
            </w:tcBorders>
            <w:shd w:val="clear" w:color="auto" w:fill="auto"/>
            <w:noWrap/>
            <w:vAlign w:val="bottom"/>
            <w:hideMark/>
          </w:tcPr>
          <w:p w14:paraId="0C61359C"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0.5</w:t>
            </w:r>
          </w:p>
        </w:tc>
        <w:tc>
          <w:tcPr>
            <w:tcW w:w="1580" w:type="dxa"/>
            <w:tcBorders>
              <w:top w:val="nil"/>
              <w:left w:val="nil"/>
              <w:bottom w:val="nil"/>
              <w:right w:val="nil"/>
            </w:tcBorders>
            <w:shd w:val="clear" w:color="auto" w:fill="auto"/>
            <w:noWrap/>
            <w:vAlign w:val="bottom"/>
            <w:hideMark/>
          </w:tcPr>
          <w:p w14:paraId="085248F0"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8.7</w:t>
            </w:r>
          </w:p>
        </w:tc>
      </w:tr>
      <w:tr w:rsidR="000B20D5" w:rsidRPr="000B20D5" w14:paraId="4EFCC935" w14:textId="77777777" w:rsidTr="00C12D9C">
        <w:trPr>
          <w:trHeight w:val="296"/>
        </w:trPr>
        <w:tc>
          <w:tcPr>
            <w:tcW w:w="1381" w:type="dxa"/>
            <w:tcBorders>
              <w:top w:val="nil"/>
              <w:left w:val="nil"/>
              <w:bottom w:val="nil"/>
              <w:right w:val="nil"/>
            </w:tcBorders>
            <w:shd w:val="clear" w:color="auto" w:fill="auto"/>
            <w:noWrap/>
            <w:vAlign w:val="bottom"/>
            <w:hideMark/>
          </w:tcPr>
          <w:p w14:paraId="35DB0988"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MAB391 A</w:t>
            </w:r>
          </w:p>
        </w:tc>
        <w:tc>
          <w:tcPr>
            <w:tcW w:w="1328" w:type="dxa"/>
            <w:tcBorders>
              <w:top w:val="nil"/>
              <w:left w:val="nil"/>
              <w:bottom w:val="nil"/>
              <w:right w:val="nil"/>
            </w:tcBorders>
            <w:shd w:val="clear" w:color="auto" w:fill="auto"/>
            <w:noWrap/>
            <w:vAlign w:val="bottom"/>
            <w:hideMark/>
          </w:tcPr>
          <w:p w14:paraId="2F09844B"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5.8</w:t>
            </w:r>
          </w:p>
        </w:tc>
        <w:tc>
          <w:tcPr>
            <w:tcW w:w="2198" w:type="dxa"/>
            <w:gridSpan w:val="2"/>
            <w:tcBorders>
              <w:top w:val="nil"/>
              <w:left w:val="nil"/>
              <w:bottom w:val="nil"/>
              <w:right w:val="nil"/>
            </w:tcBorders>
            <w:shd w:val="clear" w:color="auto" w:fill="auto"/>
            <w:noWrap/>
            <w:vAlign w:val="bottom"/>
            <w:hideMark/>
          </w:tcPr>
          <w:p w14:paraId="1B24FB94"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1</w:t>
            </w:r>
          </w:p>
        </w:tc>
        <w:tc>
          <w:tcPr>
            <w:tcW w:w="2742" w:type="dxa"/>
            <w:tcBorders>
              <w:top w:val="nil"/>
              <w:left w:val="nil"/>
              <w:bottom w:val="nil"/>
              <w:right w:val="nil"/>
            </w:tcBorders>
            <w:shd w:val="clear" w:color="auto" w:fill="auto"/>
            <w:noWrap/>
            <w:vAlign w:val="bottom"/>
            <w:hideMark/>
          </w:tcPr>
          <w:p w14:paraId="74D4176E"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0.5</w:t>
            </w:r>
          </w:p>
        </w:tc>
        <w:tc>
          <w:tcPr>
            <w:tcW w:w="1580" w:type="dxa"/>
            <w:tcBorders>
              <w:top w:val="nil"/>
              <w:left w:val="nil"/>
              <w:bottom w:val="nil"/>
              <w:right w:val="nil"/>
            </w:tcBorders>
            <w:shd w:val="clear" w:color="auto" w:fill="auto"/>
            <w:noWrap/>
            <w:vAlign w:val="bottom"/>
            <w:hideMark/>
          </w:tcPr>
          <w:p w14:paraId="0793DFC9"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7.2</w:t>
            </w:r>
          </w:p>
        </w:tc>
      </w:tr>
      <w:tr w:rsidR="000B20D5" w:rsidRPr="000B20D5" w14:paraId="15AAF878" w14:textId="77777777" w:rsidTr="00C12D9C">
        <w:trPr>
          <w:trHeight w:val="296"/>
        </w:trPr>
        <w:tc>
          <w:tcPr>
            <w:tcW w:w="1381" w:type="dxa"/>
            <w:tcBorders>
              <w:top w:val="nil"/>
              <w:left w:val="nil"/>
              <w:bottom w:val="nil"/>
              <w:right w:val="nil"/>
            </w:tcBorders>
            <w:shd w:val="clear" w:color="auto" w:fill="auto"/>
            <w:noWrap/>
            <w:vAlign w:val="bottom"/>
            <w:hideMark/>
          </w:tcPr>
          <w:p w14:paraId="52BFD004"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Control B</w:t>
            </w:r>
          </w:p>
        </w:tc>
        <w:tc>
          <w:tcPr>
            <w:tcW w:w="1328" w:type="dxa"/>
            <w:tcBorders>
              <w:top w:val="nil"/>
              <w:left w:val="nil"/>
              <w:bottom w:val="nil"/>
              <w:right w:val="nil"/>
            </w:tcBorders>
            <w:shd w:val="clear" w:color="auto" w:fill="auto"/>
            <w:noWrap/>
            <w:vAlign w:val="bottom"/>
            <w:hideMark/>
          </w:tcPr>
          <w:p w14:paraId="239C1A86"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6.3</w:t>
            </w:r>
          </w:p>
        </w:tc>
        <w:tc>
          <w:tcPr>
            <w:tcW w:w="2198" w:type="dxa"/>
            <w:gridSpan w:val="2"/>
            <w:tcBorders>
              <w:top w:val="nil"/>
              <w:left w:val="nil"/>
              <w:bottom w:val="nil"/>
              <w:right w:val="nil"/>
            </w:tcBorders>
            <w:shd w:val="clear" w:color="auto" w:fill="auto"/>
            <w:noWrap/>
            <w:vAlign w:val="bottom"/>
            <w:hideMark/>
          </w:tcPr>
          <w:p w14:paraId="36B23DD4"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1</w:t>
            </w:r>
          </w:p>
        </w:tc>
        <w:tc>
          <w:tcPr>
            <w:tcW w:w="2742" w:type="dxa"/>
            <w:tcBorders>
              <w:top w:val="nil"/>
              <w:left w:val="nil"/>
              <w:bottom w:val="nil"/>
              <w:right w:val="nil"/>
            </w:tcBorders>
            <w:shd w:val="clear" w:color="auto" w:fill="auto"/>
            <w:noWrap/>
            <w:vAlign w:val="bottom"/>
            <w:hideMark/>
          </w:tcPr>
          <w:p w14:paraId="6EFABBDD"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0.5</w:t>
            </w:r>
          </w:p>
        </w:tc>
        <w:tc>
          <w:tcPr>
            <w:tcW w:w="1580" w:type="dxa"/>
            <w:tcBorders>
              <w:top w:val="nil"/>
              <w:left w:val="nil"/>
              <w:bottom w:val="nil"/>
              <w:right w:val="nil"/>
            </w:tcBorders>
            <w:shd w:val="clear" w:color="auto" w:fill="auto"/>
            <w:noWrap/>
            <w:vAlign w:val="bottom"/>
            <w:hideMark/>
          </w:tcPr>
          <w:p w14:paraId="240602ED"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7.8</w:t>
            </w:r>
          </w:p>
        </w:tc>
      </w:tr>
      <w:tr w:rsidR="000B20D5" w:rsidRPr="000B20D5" w14:paraId="0EA2FDAF" w14:textId="77777777" w:rsidTr="00C12D9C">
        <w:trPr>
          <w:trHeight w:val="296"/>
        </w:trPr>
        <w:tc>
          <w:tcPr>
            <w:tcW w:w="1381" w:type="dxa"/>
            <w:tcBorders>
              <w:top w:val="nil"/>
              <w:left w:val="nil"/>
              <w:bottom w:val="nil"/>
              <w:right w:val="nil"/>
            </w:tcBorders>
            <w:shd w:val="clear" w:color="auto" w:fill="auto"/>
            <w:noWrap/>
            <w:vAlign w:val="bottom"/>
            <w:hideMark/>
          </w:tcPr>
          <w:p w14:paraId="5B0ADA2D"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MAB391 B</w:t>
            </w:r>
          </w:p>
        </w:tc>
        <w:tc>
          <w:tcPr>
            <w:tcW w:w="1328" w:type="dxa"/>
            <w:tcBorders>
              <w:top w:val="nil"/>
              <w:left w:val="nil"/>
              <w:bottom w:val="nil"/>
              <w:right w:val="nil"/>
            </w:tcBorders>
            <w:shd w:val="clear" w:color="auto" w:fill="auto"/>
            <w:noWrap/>
            <w:vAlign w:val="bottom"/>
            <w:hideMark/>
          </w:tcPr>
          <w:p w14:paraId="4A60CE3C"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8.0</w:t>
            </w:r>
          </w:p>
        </w:tc>
        <w:tc>
          <w:tcPr>
            <w:tcW w:w="2198" w:type="dxa"/>
            <w:gridSpan w:val="2"/>
            <w:tcBorders>
              <w:top w:val="nil"/>
              <w:left w:val="nil"/>
              <w:bottom w:val="nil"/>
              <w:right w:val="nil"/>
            </w:tcBorders>
            <w:shd w:val="clear" w:color="auto" w:fill="auto"/>
            <w:noWrap/>
            <w:vAlign w:val="bottom"/>
            <w:hideMark/>
          </w:tcPr>
          <w:p w14:paraId="7ED49E1F"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1</w:t>
            </w:r>
          </w:p>
        </w:tc>
        <w:tc>
          <w:tcPr>
            <w:tcW w:w="2742" w:type="dxa"/>
            <w:tcBorders>
              <w:top w:val="nil"/>
              <w:left w:val="nil"/>
              <w:bottom w:val="nil"/>
              <w:right w:val="nil"/>
            </w:tcBorders>
            <w:shd w:val="clear" w:color="auto" w:fill="auto"/>
            <w:noWrap/>
            <w:vAlign w:val="bottom"/>
            <w:hideMark/>
          </w:tcPr>
          <w:p w14:paraId="3DC312A8"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0.6</w:t>
            </w:r>
          </w:p>
        </w:tc>
        <w:tc>
          <w:tcPr>
            <w:tcW w:w="1580" w:type="dxa"/>
            <w:tcBorders>
              <w:top w:val="nil"/>
              <w:left w:val="nil"/>
              <w:bottom w:val="nil"/>
              <w:right w:val="nil"/>
            </w:tcBorders>
            <w:shd w:val="clear" w:color="auto" w:fill="auto"/>
            <w:noWrap/>
            <w:vAlign w:val="bottom"/>
            <w:hideMark/>
          </w:tcPr>
          <w:p w14:paraId="7FAF998F"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9.6</w:t>
            </w:r>
          </w:p>
        </w:tc>
      </w:tr>
      <w:tr w:rsidR="000B20D5" w:rsidRPr="000B20D5" w14:paraId="3B72C1AB" w14:textId="77777777" w:rsidTr="00C12D9C">
        <w:trPr>
          <w:trHeight w:val="296"/>
        </w:trPr>
        <w:tc>
          <w:tcPr>
            <w:tcW w:w="1381" w:type="dxa"/>
            <w:tcBorders>
              <w:top w:val="nil"/>
              <w:left w:val="nil"/>
              <w:bottom w:val="nil"/>
              <w:right w:val="nil"/>
            </w:tcBorders>
            <w:shd w:val="clear" w:color="auto" w:fill="auto"/>
            <w:noWrap/>
            <w:vAlign w:val="bottom"/>
            <w:hideMark/>
          </w:tcPr>
          <w:p w14:paraId="1DEAEA6F"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Control C</w:t>
            </w:r>
          </w:p>
        </w:tc>
        <w:tc>
          <w:tcPr>
            <w:tcW w:w="1328" w:type="dxa"/>
            <w:tcBorders>
              <w:top w:val="nil"/>
              <w:left w:val="nil"/>
              <w:bottom w:val="nil"/>
              <w:right w:val="nil"/>
            </w:tcBorders>
            <w:shd w:val="clear" w:color="auto" w:fill="auto"/>
            <w:noWrap/>
            <w:vAlign w:val="bottom"/>
            <w:hideMark/>
          </w:tcPr>
          <w:p w14:paraId="58305F37"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3.0</w:t>
            </w:r>
          </w:p>
        </w:tc>
        <w:tc>
          <w:tcPr>
            <w:tcW w:w="2198" w:type="dxa"/>
            <w:gridSpan w:val="2"/>
            <w:tcBorders>
              <w:top w:val="nil"/>
              <w:left w:val="nil"/>
              <w:bottom w:val="nil"/>
              <w:right w:val="nil"/>
            </w:tcBorders>
            <w:shd w:val="clear" w:color="auto" w:fill="auto"/>
            <w:noWrap/>
            <w:vAlign w:val="bottom"/>
            <w:hideMark/>
          </w:tcPr>
          <w:p w14:paraId="52C1B857"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1</w:t>
            </w:r>
          </w:p>
        </w:tc>
        <w:tc>
          <w:tcPr>
            <w:tcW w:w="2742" w:type="dxa"/>
            <w:tcBorders>
              <w:top w:val="nil"/>
              <w:left w:val="nil"/>
              <w:bottom w:val="nil"/>
              <w:right w:val="nil"/>
            </w:tcBorders>
            <w:shd w:val="clear" w:color="auto" w:fill="auto"/>
            <w:noWrap/>
            <w:vAlign w:val="bottom"/>
            <w:hideMark/>
          </w:tcPr>
          <w:p w14:paraId="6CC9C901"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0.3</w:t>
            </w:r>
          </w:p>
        </w:tc>
        <w:tc>
          <w:tcPr>
            <w:tcW w:w="1580" w:type="dxa"/>
            <w:tcBorders>
              <w:top w:val="nil"/>
              <w:left w:val="nil"/>
              <w:bottom w:val="nil"/>
              <w:right w:val="nil"/>
            </w:tcBorders>
            <w:shd w:val="clear" w:color="auto" w:fill="auto"/>
            <w:noWrap/>
            <w:vAlign w:val="bottom"/>
            <w:hideMark/>
          </w:tcPr>
          <w:p w14:paraId="14311EAE"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4.0</w:t>
            </w:r>
          </w:p>
        </w:tc>
      </w:tr>
      <w:tr w:rsidR="000B20D5" w:rsidRPr="000B20D5" w14:paraId="3C7710D5" w14:textId="77777777" w:rsidTr="00C12D9C">
        <w:trPr>
          <w:trHeight w:val="296"/>
        </w:trPr>
        <w:tc>
          <w:tcPr>
            <w:tcW w:w="1381" w:type="dxa"/>
            <w:tcBorders>
              <w:top w:val="nil"/>
              <w:left w:val="nil"/>
              <w:bottom w:val="nil"/>
              <w:right w:val="nil"/>
            </w:tcBorders>
            <w:shd w:val="clear" w:color="auto" w:fill="auto"/>
            <w:noWrap/>
            <w:vAlign w:val="bottom"/>
            <w:hideMark/>
          </w:tcPr>
          <w:p w14:paraId="3C7C8966"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MAB391 C</w:t>
            </w:r>
          </w:p>
        </w:tc>
        <w:tc>
          <w:tcPr>
            <w:tcW w:w="1328" w:type="dxa"/>
            <w:tcBorders>
              <w:top w:val="nil"/>
              <w:left w:val="nil"/>
              <w:bottom w:val="nil"/>
              <w:right w:val="nil"/>
            </w:tcBorders>
            <w:shd w:val="clear" w:color="auto" w:fill="auto"/>
            <w:noWrap/>
            <w:vAlign w:val="bottom"/>
            <w:hideMark/>
          </w:tcPr>
          <w:p w14:paraId="10AFE473"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6.5</w:t>
            </w:r>
          </w:p>
        </w:tc>
        <w:tc>
          <w:tcPr>
            <w:tcW w:w="2198" w:type="dxa"/>
            <w:gridSpan w:val="2"/>
            <w:tcBorders>
              <w:top w:val="nil"/>
              <w:left w:val="nil"/>
              <w:bottom w:val="nil"/>
              <w:right w:val="nil"/>
            </w:tcBorders>
            <w:shd w:val="clear" w:color="auto" w:fill="auto"/>
            <w:noWrap/>
            <w:vAlign w:val="bottom"/>
            <w:hideMark/>
          </w:tcPr>
          <w:p w14:paraId="46DBD3D0"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1</w:t>
            </w:r>
          </w:p>
        </w:tc>
        <w:tc>
          <w:tcPr>
            <w:tcW w:w="2742" w:type="dxa"/>
            <w:tcBorders>
              <w:top w:val="nil"/>
              <w:left w:val="nil"/>
              <w:bottom w:val="nil"/>
              <w:right w:val="nil"/>
            </w:tcBorders>
            <w:shd w:val="clear" w:color="auto" w:fill="auto"/>
            <w:noWrap/>
            <w:vAlign w:val="bottom"/>
            <w:hideMark/>
          </w:tcPr>
          <w:p w14:paraId="7A59A9B3"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0.5</w:t>
            </w:r>
          </w:p>
        </w:tc>
        <w:tc>
          <w:tcPr>
            <w:tcW w:w="1580" w:type="dxa"/>
            <w:tcBorders>
              <w:top w:val="nil"/>
              <w:left w:val="nil"/>
              <w:bottom w:val="nil"/>
              <w:right w:val="nil"/>
            </w:tcBorders>
            <w:shd w:val="clear" w:color="auto" w:fill="auto"/>
            <w:noWrap/>
            <w:vAlign w:val="bottom"/>
            <w:hideMark/>
          </w:tcPr>
          <w:p w14:paraId="5CD041BE" w14:textId="77777777" w:rsidR="000B20D5" w:rsidRPr="000B20D5" w:rsidRDefault="000B20D5" w:rsidP="00F5676D">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8.0</w:t>
            </w:r>
          </w:p>
        </w:tc>
      </w:tr>
    </w:tbl>
    <w:p w14:paraId="32958DD5" w14:textId="77777777" w:rsidR="000B20D5" w:rsidRDefault="000B20D5">
      <w:pPr>
        <w:rPr>
          <w:rFonts w:ascii="Times New Roman" w:hAnsi="Times New Roman" w:cs="Times New Roman"/>
          <w:b/>
          <w:noProof/>
        </w:rPr>
      </w:pPr>
    </w:p>
    <w:p w14:paraId="3ECD8A0E" w14:textId="77777777" w:rsidR="000B20D5" w:rsidRDefault="000B20D5">
      <w:pPr>
        <w:rPr>
          <w:rFonts w:ascii="Times New Roman" w:hAnsi="Times New Roman" w:cs="Times New Roman"/>
          <w:b/>
          <w:noProof/>
        </w:rPr>
      </w:pPr>
    </w:p>
    <w:p w14:paraId="1EC1E266" w14:textId="77777777" w:rsidR="004B27F5" w:rsidRDefault="004B27F5">
      <w:pPr>
        <w:rPr>
          <w:rFonts w:ascii="Times New Roman" w:hAnsi="Times New Roman" w:cs="Times New Roman"/>
          <w:b/>
          <w:noProof/>
        </w:rPr>
      </w:pPr>
    </w:p>
    <w:p w14:paraId="0F172CCA" w14:textId="1D130184" w:rsidR="004B27F5" w:rsidRDefault="003256A1" w:rsidP="00395B55">
      <w:pPr>
        <w:pStyle w:val="Heading3"/>
        <w:rPr>
          <w:noProof/>
        </w:rPr>
      </w:pPr>
      <w:bookmarkStart w:id="1948" w:name="_Toc328301194"/>
      <w:bookmarkStart w:id="1949" w:name="_Toc329593485"/>
      <w:bookmarkStart w:id="1950" w:name="_Toc331425984"/>
      <w:bookmarkStart w:id="1951" w:name="_Toc331427165"/>
      <w:bookmarkStart w:id="1952" w:name="_Toc331427537"/>
      <w:bookmarkStart w:id="1953" w:name="_Toc331427679"/>
      <w:bookmarkStart w:id="1954" w:name="_Toc332972684"/>
      <w:bookmarkStart w:id="1955" w:name="_Toc333046963"/>
      <w:bookmarkStart w:id="1956" w:name="_Toc333477310"/>
      <w:bookmarkStart w:id="1957" w:name="_Toc333478080"/>
      <w:bookmarkStart w:id="1958" w:name="_Toc333644980"/>
      <w:r>
        <w:rPr>
          <w:noProof/>
        </w:rPr>
        <w:t xml:space="preserve">5.4.6 </w:t>
      </w:r>
      <w:r w:rsidR="004B27F5">
        <w:rPr>
          <w:noProof/>
        </w:rPr>
        <w:t>Preparation of RNA for Microarray analysis</w:t>
      </w:r>
      <w:bookmarkEnd w:id="1948"/>
      <w:bookmarkEnd w:id="1949"/>
      <w:bookmarkEnd w:id="1950"/>
      <w:bookmarkEnd w:id="1951"/>
      <w:bookmarkEnd w:id="1952"/>
      <w:bookmarkEnd w:id="1953"/>
      <w:bookmarkEnd w:id="1954"/>
      <w:bookmarkEnd w:id="1955"/>
      <w:bookmarkEnd w:id="1956"/>
      <w:bookmarkEnd w:id="1957"/>
      <w:bookmarkEnd w:id="1958"/>
    </w:p>
    <w:p w14:paraId="21C07F2F" w14:textId="77777777" w:rsidR="004B27F5" w:rsidRPr="004B27F5" w:rsidRDefault="004B27F5" w:rsidP="004B27F5">
      <w:pPr>
        <w:spacing w:line="360" w:lineRule="auto"/>
        <w:rPr>
          <w:rFonts w:ascii="Times New Roman" w:hAnsi="Times New Roman" w:cs="Times New Roman"/>
          <w:noProof/>
        </w:rPr>
      </w:pPr>
    </w:p>
    <w:p w14:paraId="6801E17F" w14:textId="7CE9D7C4" w:rsidR="00E32089" w:rsidRDefault="00203DD0" w:rsidP="00C63BC1">
      <w:pPr>
        <w:spacing w:line="360" w:lineRule="auto"/>
        <w:jc w:val="both"/>
        <w:rPr>
          <w:rFonts w:ascii="Times New Roman" w:eastAsia="Times New Roman" w:hAnsi="Times New Roman" w:cs="Times New Roman"/>
          <w:bCs/>
          <w:color w:val="000000"/>
          <w:lang w:val="en-GB"/>
        </w:rPr>
      </w:pPr>
      <w:r>
        <w:rPr>
          <w:rFonts w:ascii="Times New Roman" w:hAnsi="Times New Roman" w:cs="Times New Roman"/>
          <w:noProof/>
          <w:color w:val="000000" w:themeColor="text1"/>
        </w:rPr>
        <w:t xml:space="preserve">250ng of input RNA was </w:t>
      </w:r>
      <w:r w:rsidR="008C0E71">
        <w:rPr>
          <w:rFonts w:ascii="Times New Roman" w:hAnsi="Times New Roman" w:cs="Times New Roman"/>
          <w:noProof/>
          <w:color w:val="000000" w:themeColor="text1"/>
        </w:rPr>
        <w:t xml:space="preserve">reverse transcribed using </w:t>
      </w:r>
      <w:r w:rsidR="00882F98">
        <w:rPr>
          <w:rFonts w:ascii="Times New Roman" w:hAnsi="Times New Roman" w:cs="Times New Roman"/>
          <w:noProof/>
          <w:color w:val="000000" w:themeColor="text1"/>
        </w:rPr>
        <w:t xml:space="preserve">a mixture of both random and oligo dT </w:t>
      </w:r>
      <w:r w:rsidR="008C0E71">
        <w:rPr>
          <w:rFonts w:ascii="Times New Roman" w:hAnsi="Times New Roman" w:cs="Times New Roman"/>
          <w:noProof/>
          <w:color w:val="000000" w:themeColor="text1"/>
        </w:rPr>
        <w:t>primers containing a T7 promoter s</w:t>
      </w:r>
      <w:r w:rsidR="00454D06">
        <w:rPr>
          <w:rFonts w:ascii="Times New Roman" w:hAnsi="Times New Roman" w:cs="Times New Roman"/>
          <w:noProof/>
          <w:color w:val="000000" w:themeColor="text1"/>
        </w:rPr>
        <w:t>equence. This reaction synthesiz</w:t>
      </w:r>
      <w:r w:rsidR="008C0E71">
        <w:rPr>
          <w:rFonts w:ascii="Times New Roman" w:hAnsi="Times New Roman" w:cs="Times New Roman"/>
          <w:noProof/>
          <w:color w:val="000000" w:themeColor="text1"/>
        </w:rPr>
        <w:t>es single-stranded cDNA with a T7 promoter sequence at the 5’ end. DNA polymerase and RNase H are</w:t>
      </w:r>
      <w:r w:rsidR="007F5A24">
        <w:rPr>
          <w:rFonts w:ascii="Times New Roman" w:hAnsi="Times New Roman" w:cs="Times New Roman"/>
          <w:noProof/>
          <w:color w:val="000000" w:themeColor="text1"/>
        </w:rPr>
        <w:t xml:space="preserve"> then</w:t>
      </w:r>
      <w:r w:rsidR="008C0E71">
        <w:rPr>
          <w:rFonts w:ascii="Times New Roman" w:hAnsi="Times New Roman" w:cs="Times New Roman"/>
          <w:noProof/>
          <w:color w:val="000000" w:themeColor="text1"/>
        </w:rPr>
        <w:t xml:space="preserve"> used to synthesise a second strand of cDNA and in parallel </w:t>
      </w:r>
      <w:r w:rsidR="00882F98">
        <w:rPr>
          <w:rFonts w:ascii="Times New Roman" w:hAnsi="Times New Roman" w:cs="Times New Roman"/>
          <w:noProof/>
          <w:color w:val="000000" w:themeColor="text1"/>
        </w:rPr>
        <w:t>nick</w:t>
      </w:r>
      <w:r w:rsidR="008C0E71">
        <w:rPr>
          <w:rFonts w:ascii="Times New Roman" w:hAnsi="Times New Roman" w:cs="Times New Roman"/>
          <w:noProof/>
          <w:color w:val="000000" w:themeColor="text1"/>
        </w:rPr>
        <w:t xml:space="preserve"> the RNA. </w:t>
      </w:r>
      <w:r w:rsidR="00D35DA9">
        <w:rPr>
          <w:rFonts w:ascii="Times New Roman" w:hAnsi="Times New Roman" w:cs="Times New Roman"/>
          <w:noProof/>
          <w:color w:val="000000" w:themeColor="text1"/>
        </w:rPr>
        <w:t>T7 RNA polymerase was</w:t>
      </w:r>
      <w:r w:rsidR="00882F98">
        <w:rPr>
          <w:rFonts w:ascii="Times New Roman" w:hAnsi="Times New Roman" w:cs="Times New Roman"/>
          <w:noProof/>
          <w:color w:val="000000" w:themeColor="text1"/>
        </w:rPr>
        <w:t xml:space="preserve"> then be</w:t>
      </w:r>
      <w:r w:rsidR="00101A97">
        <w:rPr>
          <w:rFonts w:ascii="Times New Roman" w:hAnsi="Times New Roman" w:cs="Times New Roman"/>
          <w:noProof/>
          <w:color w:val="000000" w:themeColor="text1"/>
        </w:rPr>
        <w:t xml:space="preserve"> used to transcribe and amplify the second-strand cDNA template to </w:t>
      </w:r>
      <w:r w:rsidR="00A80195">
        <w:rPr>
          <w:rFonts w:ascii="Times New Roman" w:hAnsi="Times New Roman" w:cs="Times New Roman"/>
          <w:noProof/>
          <w:color w:val="000000" w:themeColor="text1"/>
        </w:rPr>
        <w:t>complimentary RNA (cRNA)</w:t>
      </w:r>
      <w:r w:rsidR="00101A97">
        <w:rPr>
          <w:rFonts w:ascii="Times New Roman" w:hAnsi="Times New Roman" w:cs="Times New Roman"/>
          <w:noProof/>
          <w:color w:val="000000" w:themeColor="text1"/>
        </w:rPr>
        <w:t xml:space="preserve">. </w:t>
      </w:r>
      <w:r w:rsidR="00D35DA9">
        <w:rPr>
          <w:rFonts w:ascii="Times New Roman" w:eastAsia="Times New Roman" w:hAnsi="Times New Roman" w:cs="Times New Roman"/>
          <w:bCs/>
          <w:color w:val="000000"/>
          <w:lang w:val="en-GB"/>
        </w:rPr>
        <w:t>Purification beads were</w:t>
      </w:r>
      <w:r w:rsidR="00646334">
        <w:rPr>
          <w:rFonts w:ascii="Times New Roman" w:eastAsia="Times New Roman" w:hAnsi="Times New Roman" w:cs="Times New Roman"/>
          <w:bCs/>
          <w:color w:val="000000"/>
          <w:lang w:val="en-GB"/>
        </w:rPr>
        <w:t xml:space="preserve"> used to remove salts, enzymes, inorganic phosphates and unincorporated nucleotides</w:t>
      </w:r>
      <w:r w:rsidR="007D0CFF">
        <w:rPr>
          <w:rFonts w:ascii="Times New Roman" w:eastAsia="Times New Roman" w:hAnsi="Times New Roman" w:cs="Times New Roman"/>
          <w:bCs/>
          <w:color w:val="000000"/>
          <w:lang w:val="en-GB"/>
        </w:rPr>
        <w:t xml:space="preserve"> from cRNA</w:t>
      </w:r>
      <w:r w:rsidR="00646334">
        <w:rPr>
          <w:rFonts w:ascii="Times New Roman" w:eastAsia="Times New Roman" w:hAnsi="Times New Roman" w:cs="Times New Roman"/>
          <w:bCs/>
          <w:color w:val="000000"/>
          <w:lang w:val="en-GB"/>
        </w:rPr>
        <w:t>.</w:t>
      </w:r>
      <w:r w:rsidR="00A80195">
        <w:rPr>
          <w:rFonts w:ascii="Times New Roman" w:eastAsia="Times New Roman" w:hAnsi="Times New Roman" w:cs="Times New Roman"/>
          <w:bCs/>
          <w:color w:val="000000"/>
          <w:lang w:val="en-GB"/>
        </w:rPr>
        <w:t xml:space="preserve"> The NanoDrop 1000 spectrophotometer was used to determine </w:t>
      </w:r>
      <w:r w:rsidR="007D0CFF">
        <w:rPr>
          <w:rFonts w:ascii="Times New Roman" w:eastAsia="Times New Roman" w:hAnsi="Times New Roman" w:cs="Times New Roman"/>
          <w:bCs/>
          <w:color w:val="000000"/>
          <w:lang w:val="en-GB"/>
        </w:rPr>
        <w:t>the</w:t>
      </w:r>
      <w:r w:rsidR="00A80195">
        <w:rPr>
          <w:rFonts w:ascii="Times New Roman" w:eastAsia="Times New Roman" w:hAnsi="Times New Roman" w:cs="Times New Roman"/>
          <w:bCs/>
          <w:color w:val="000000"/>
          <w:lang w:val="en-GB"/>
        </w:rPr>
        <w:t xml:space="preserve"> yield</w:t>
      </w:r>
      <w:r w:rsidR="007D0CFF">
        <w:rPr>
          <w:rFonts w:ascii="Times New Roman" w:eastAsia="Times New Roman" w:hAnsi="Times New Roman" w:cs="Times New Roman"/>
          <w:bCs/>
          <w:color w:val="000000"/>
          <w:lang w:val="en-GB"/>
        </w:rPr>
        <w:t xml:space="preserve"> of purified cRNA</w:t>
      </w:r>
      <w:r w:rsidR="00A80195">
        <w:rPr>
          <w:rFonts w:ascii="Times New Roman" w:eastAsia="Times New Roman" w:hAnsi="Times New Roman" w:cs="Times New Roman"/>
          <w:bCs/>
          <w:color w:val="000000"/>
          <w:lang w:val="en-GB"/>
        </w:rPr>
        <w:t>.</w:t>
      </w:r>
      <w:r w:rsidR="00646334">
        <w:rPr>
          <w:rFonts w:ascii="Times New Roman" w:eastAsia="Times New Roman" w:hAnsi="Times New Roman" w:cs="Times New Roman"/>
          <w:bCs/>
          <w:color w:val="000000"/>
          <w:lang w:val="en-GB"/>
        </w:rPr>
        <w:t xml:space="preserve"> </w:t>
      </w:r>
      <w:r w:rsidR="00646334">
        <w:rPr>
          <w:rFonts w:ascii="Times New Roman" w:hAnsi="Times New Roman" w:cs="Times New Roman"/>
          <w:noProof/>
          <w:color w:val="000000" w:themeColor="text1"/>
        </w:rPr>
        <w:t>On average, 1294.</w:t>
      </w:r>
      <w:r w:rsidR="00646334" w:rsidRPr="00101A97">
        <w:rPr>
          <w:rFonts w:ascii="Times New Roman" w:hAnsi="Times New Roman" w:cs="Times New Roman"/>
          <w:noProof/>
          <w:color w:val="000000" w:themeColor="text1"/>
        </w:rPr>
        <w:t xml:space="preserve">48 </w:t>
      </w:r>
      <w:r w:rsidR="00646334" w:rsidRPr="00101A97">
        <w:rPr>
          <w:rFonts w:ascii="Times New Roman" w:eastAsia="Times New Roman" w:hAnsi="Times New Roman" w:cs="Times New Roman"/>
          <w:bCs/>
          <w:color w:val="000000"/>
          <w:lang w:val="en-GB"/>
        </w:rPr>
        <w:t>± 651.93 ng</w:t>
      </w:r>
      <w:r w:rsidR="00646334">
        <w:rPr>
          <w:rFonts w:ascii="Times New Roman" w:hAnsi="Times New Roman" w:cs="Times New Roman"/>
          <w:noProof/>
          <w:color w:val="000000" w:themeColor="text1"/>
        </w:rPr>
        <w:t xml:space="preserve"> of cRNA was collected following purification, with a 260/280 ratio of 2.14 </w:t>
      </w:r>
      <w:r w:rsidR="00646334" w:rsidRPr="00101A97">
        <w:rPr>
          <w:rFonts w:ascii="Times New Roman" w:eastAsia="Times New Roman" w:hAnsi="Times New Roman" w:cs="Times New Roman"/>
          <w:bCs/>
          <w:color w:val="000000"/>
          <w:lang w:val="en-GB"/>
        </w:rPr>
        <w:t>±</w:t>
      </w:r>
      <w:r w:rsidR="00E32089">
        <w:rPr>
          <w:rFonts w:ascii="Times New Roman" w:eastAsia="Times New Roman" w:hAnsi="Times New Roman" w:cs="Times New Roman"/>
          <w:bCs/>
          <w:color w:val="000000"/>
          <w:lang w:val="en-GB"/>
        </w:rPr>
        <w:t xml:space="preserve"> 0.03 (</w:t>
      </w:r>
      <w:r w:rsidR="00E32089" w:rsidRPr="000273AF">
        <w:rPr>
          <w:rFonts w:ascii="Times New Roman" w:eastAsia="Times New Roman" w:hAnsi="Times New Roman" w:cs="Times New Roman"/>
          <w:b/>
          <w:bCs/>
          <w:color w:val="000000"/>
          <w:lang w:val="en-GB"/>
        </w:rPr>
        <w:t xml:space="preserve">table </w:t>
      </w:r>
      <w:r w:rsidR="00791D22" w:rsidRPr="000273AF">
        <w:rPr>
          <w:rFonts w:ascii="Times New Roman" w:eastAsia="Times New Roman" w:hAnsi="Times New Roman" w:cs="Times New Roman"/>
          <w:b/>
          <w:bCs/>
          <w:color w:val="000000"/>
          <w:lang w:val="en-GB"/>
        </w:rPr>
        <w:t>5.4</w:t>
      </w:r>
      <w:r w:rsidR="00E32089">
        <w:rPr>
          <w:rFonts w:ascii="Times New Roman" w:eastAsia="Times New Roman" w:hAnsi="Times New Roman" w:cs="Times New Roman"/>
          <w:bCs/>
          <w:color w:val="000000"/>
          <w:lang w:val="en-GB"/>
        </w:rPr>
        <w:t>).</w:t>
      </w:r>
    </w:p>
    <w:p w14:paraId="46A844C4" w14:textId="77777777" w:rsidR="00E32089" w:rsidRDefault="00E32089" w:rsidP="00C63BC1">
      <w:pPr>
        <w:jc w:val="both"/>
        <w:rPr>
          <w:rFonts w:ascii="Times New Roman" w:hAnsi="Times New Roman" w:cs="Times New Roman"/>
          <w:b/>
          <w:noProof/>
        </w:rPr>
      </w:pPr>
    </w:p>
    <w:p w14:paraId="3A96E1BD" w14:textId="6395B09D" w:rsidR="00E32089" w:rsidRDefault="00E32089" w:rsidP="004D474F">
      <w:pPr>
        <w:pStyle w:val="Heading5"/>
        <w:rPr>
          <w:noProof/>
        </w:rPr>
      </w:pPr>
      <w:bookmarkStart w:id="1959" w:name="_Toc333569354"/>
      <w:bookmarkStart w:id="1960" w:name="_Toc333570892"/>
      <w:bookmarkStart w:id="1961" w:name="_Toc333586848"/>
      <w:bookmarkStart w:id="1962" w:name="_Toc333644547"/>
      <w:bookmarkStart w:id="1963" w:name="_Toc333644841"/>
      <w:r>
        <w:rPr>
          <w:noProof/>
        </w:rPr>
        <w:t xml:space="preserve">Table </w:t>
      </w:r>
      <w:r w:rsidR="00791D22">
        <w:rPr>
          <w:noProof/>
        </w:rPr>
        <w:t>5.4</w:t>
      </w:r>
      <w:r w:rsidR="0043060F">
        <w:rPr>
          <w:noProof/>
        </w:rPr>
        <w:t xml:space="preserve">. </w:t>
      </w:r>
      <w:r>
        <w:rPr>
          <w:noProof/>
        </w:rPr>
        <w:t>Yield of cRNA post-amplifcation</w:t>
      </w:r>
      <w:bookmarkEnd w:id="1959"/>
      <w:bookmarkEnd w:id="1960"/>
      <w:bookmarkEnd w:id="1961"/>
      <w:bookmarkEnd w:id="1962"/>
      <w:bookmarkEnd w:id="1963"/>
    </w:p>
    <w:p w14:paraId="495EDE69" w14:textId="77777777" w:rsidR="00E32089" w:rsidRDefault="00E32089" w:rsidP="00E32089">
      <w:pPr>
        <w:rPr>
          <w:rFonts w:ascii="Times New Roman" w:hAnsi="Times New Roman" w:cs="Times New Roman"/>
          <w:b/>
          <w:noProof/>
        </w:rPr>
      </w:pPr>
    </w:p>
    <w:tbl>
      <w:tblPr>
        <w:tblW w:w="6341" w:type="dxa"/>
        <w:jc w:val="center"/>
        <w:tblInd w:w="108" w:type="dxa"/>
        <w:tblLook w:val="04A0" w:firstRow="1" w:lastRow="0" w:firstColumn="1" w:lastColumn="0" w:noHBand="0" w:noVBand="1"/>
      </w:tblPr>
      <w:tblGrid>
        <w:gridCol w:w="1545"/>
        <w:gridCol w:w="2549"/>
        <w:gridCol w:w="2247"/>
      </w:tblGrid>
      <w:tr w:rsidR="00E32089" w:rsidRPr="000B20D5" w14:paraId="51C6ED96" w14:textId="77777777" w:rsidTr="00F00D71">
        <w:trPr>
          <w:trHeight w:val="298"/>
          <w:jc w:val="center"/>
        </w:trPr>
        <w:tc>
          <w:tcPr>
            <w:tcW w:w="1545" w:type="dxa"/>
            <w:tcBorders>
              <w:top w:val="single" w:sz="4" w:space="0" w:color="auto"/>
              <w:left w:val="nil"/>
              <w:bottom w:val="single" w:sz="4" w:space="0" w:color="auto"/>
              <w:right w:val="nil"/>
            </w:tcBorders>
            <w:shd w:val="clear" w:color="auto" w:fill="auto"/>
            <w:noWrap/>
            <w:vAlign w:val="bottom"/>
            <w:hideMark/>
          </w:tcPr>
          <w:p w14:paraId="57873850" w14:textId="77777777" w:rsidR="00E32089" w:rsidRPr="000B20D5" w:rsidRDefault="00E32089" w:rsidP="00454D06">
            <w:pPr>
              <w:rPr>
                <w:rFonts w:ascii="Times New Roman" w:eastAsia="Times New Roman" w:hAnsi="Times New Roman" w:cs="Times New Roman"/>
                <w:b/>
                <w:bCs/>
                <w:color w:val="000000"/>
                <w:lang w:val="en-GB"/>
              </w:rPr>
            </w:pPr>
            <w:r w:rsidRPr="000B20D5">
              <w:rPr>
                <w:rFonts w:ascii="Times New Roman" w:eastAsia="Times New Roman" w:hAnsi="Times New Roman" w:cs="Times New Roman"/>
                <w:b/>
                <w:bCs/>
                <w:color w:val="000000"/>
                <w:lang w:val="en-GB"/>
              </w:rPr>
              <w:t>Sample</w:t>
            </w:r>
          </w:p>
        </w:tc>
        <w:tc>
          <w:tcPr>
            <w:tcW w:w="2549" w:type="dxa"/>
            <w:tcBorders>
              <w:top w:val="single" w:sz="4" w:space="0" w:color="auto"/>
              <w:left w:val="nil"/>
              <w:bottom w:val="single" w:sz="4" w:space="0" w:color="auto"/>
              <w:right w:val="nil"/>
            </w:tcBorders>
            <w:shd w:val="clear" w:color="auto" w:fill="auto"/>
            <w:noWrap/>
            <w:vAlign w:val="bottom"/>
            <w:hideMark/>
          </w:tcPr>
          <w:p w14:paraId="79882A8D" w14:textId="77777777" w:rsidR="00E32089" w:rsidRPr="000B20D5" w:rsidRDefault="00E32089" w:rsidP="00454D06">
            <w:pPr>
              <w:rPr>
                <w:rFonts w:ascii="Times New Roman" w:eastAsia="Times New Roman" w:hAnsi="Times New Roman" w:cs="Times New Roman"/>
                <w:b/>
                <w:bCs/>
                <w:color w:val="000000"/>
                <w:lang w:val="en-GB"/>
              </w:rPr>
            </w:pPr>
            <w:r w:rsidRPr="000B20D5">
              <w:rPr>
                <w:rFonts w:ascii="Times New Roman" w:eastAsia="Times New Roman" w:hAnsi="Times New Roman" w:cs="Times New Roman"/>
                <w:b/>
                <w:bCs/>
                <w:color w:val="000000"/>
                <w:lang w:val="en-GB"/>
              </w:rPr>
              <w:t>cRNA yield</w:t>
            </w:r>
            <w:r>
              <w:rPr>
                <w:rFonts w:ascii="Times New Roman" w:eastAsia="Times New Roman" w:hAnsi="Times New Roman" w:cs="Times New Roman"/>
                <w:b/>
                <w:bCs/>
                <w:color w:val="000000"/>
                <w:lang w:val="en-GB"/>
              </w:rPr>
              <w:t xml:space="preserve"> (ng</w:t>
            </w:r>
            <w:r w:rsidRPr="000B20D5">
              <w:rPr>
                <w:rFonts w:ascii="Times New Roman" w:eastAsia="Times New Roman" w:hAnsi="Times New Roman" w:cs="Times New Roman"/>
                <w:b/>
                <w:bCs/>
                <w:color w:val="000000"/>
                <w:lang w:val="en-GB"/>
              </w:rPr>
              <w:t>)</w:t>
            </w:r>
          </w:p>
        </w:tc>
        <w:tc>
          <w:tcPr>
            <w:tcW w:w="2247" w:type="dxa"/>
            <w:tcBorders>
              <w:top w:val="single" w:sz="4" w:space="0" w:color="auto"/>
              <w:left w:val="nil"/>
              <w:bottom w:val="single" w:sz="4" w:space="0" w:color="auto"/>
              <w:right w:val="nil"/>
            </w:tcBorders>
            <w:shd w:val="clear" w:color="auto" w:fill="auto"/>
            <w:noWrap/>
            <w:vAlign w:val="bottom"/>
            <w:hideMark/>
          </w:tcPr>
          <w:p w14:paraId="77D56D16" w14:textId="77777777" w:rsidR="00E32089" w:rsidRPr="000B20D5" w:rsidRDefault="00E32089" w:rsidP="00454D06">
            <w:pPr>
              <w:rPr>
                <w:rFonts w:ascii="Times New Roman" w:eastAsia="Times New Roman" w:hAnsi="Times New Roman" w:cs="Times New Roman"/>
                <w:b/>
                <w:bCs/>
                <w:color w:val="000000"/>
                <w:lang w:val="en-GB"/>
              </w:rPr>
            </w:pPr>
            <w:r w:rsidRPr="000B20D5">
              <w:rPr>
                <w:rFonts w:ascii="Times New Roman" w:eastAsia="Times New Roman" w:hAnsi="Times New Roman" w:cs="Times New Roman"/>
                <w:b/>
                <w:bCs/>
                <w:color w:val="000000"/>
                <w:lang w:val="en-GB"/>
              </w:rPr>
              <w:t>260/280</w:t>
            </w:r>
          </w:p>
        </w:tc>
      </w:tr>
      <w:tr w:rsidR="00E32089" w:rsidRPr="000B20D5" w14:paraId="42D7140C" w14:textId="77777777" w:rsidTr="00F00D71">
        <w:trPr>
          <w:trHeight w:val="298"/>
          <w:jc w:val="center"/>
        </w:trPr>
        <w:tc>
          <w:tcPr>
            <w:tcW w:w="1545" w:type="dxa"/>
            <w:tcBorders>
              <w:top w:val="nil"/>
              <w:left w:val="nil"/>
              <w:bottom w:val="nil"/>
              <w:right w:val="nil"/>
            </w:tcBorders>
            <w:shd w:val="clear" w:color="auto" w:fill="auto"/>
            <w:noWrap/>
            <w:vAlign w:val="bottom"/>
            <w:hideMark/>
          </w:tcPr>
          <w:p w14:paraId="5795726D" w14:textId="535FD6DA" w:rsidR="00E32089" w:rsidRPr="000B20D5" w:rsidRDefault="004B4946" w:rsidP="00454D06">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Control 1</w:t>
            </w:r>
          </w:p>
        </w:tc>
        <w:tc>
          <w:tcPr>
            <w:tcW w:w="2549" w:type="dxa"/>
            <w:tcBorders>
              <w:top w:val="nil"/>
              <w:left w:val="nil"/>
              <w:bottom w:val="nil"/>
              <w:right w:val="nil"/>
            </w:tcBorders>
            <w:shd w:val="clear" w:color="auto" w:fill="auto"/>
            <w:noWrap/>
            <w:vAlign w:val="bottom"/>
            <w:hideMark/>
          </w:tcPr>
          <w:p w14:paraId="1B539EC2"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993.88</w:t>
            </w:r>
          </w:p>
        </w:tc>
        <w:tc>
          <w:tcPr>
            <w:tcW w:w="2247" w:type="dxa"/>
            <w:tcBorders>
              <w:top w:val="nil"/>
              <w:left w:val="nil"/>
              <w:bottom w:val="nil"/>
              <w:right w:val="nil"/>
            </w:tcBorders>
            <w:shd w:val="clear" w:color="auto" w:fill="auto"/>
            <w:noWrap/>
            <w:vAlign w:val="bottom"/>
            <w:hideMark/>
          </w:tcPr>
          <w:p w14:paraId="71FE462D"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2.17</w:t>
            </w:r>
          </w:p>
        </w:tc>
      </w:tr>
      <w:tr w:rsidR="00E32089" w:rsidRPr="000B20D5" w14:paraId="5D994F26" w14:textId="77777777" w:rsidTr="00F00D71">
        <w:trPr>
          <w:trHeight w:val="298"/>
          <w:jc w:val="center"/>
        </w:trPr>
        <w:tc>
          <w:tcPr>
            <w:tcW w:w="1545" w:type="dxa"/>
            <w:tcBorders>
              <w:top w:val="nil"/>
              <w:left w:val="nil"/>
              <w:bottom w:val="nil"/>
              <w:right w:val="nil"/>
            </w:tcBorders>
            <w:shd w:val="clear" w:color="auto" w:fill="auto"/>
            <w:noWrap/>
            <w:vAlign w:val="bottom"/>
            <w:hideMark/>
          </w:tcPr>
          <w:p w14:paraId="5028F92F" w14:textId="1C36B198" w:rsidR="00E32089" w:rsidRPr="000B20D5" w:rsidRDefault="004B4946" w:rsidP="00454D06">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MAB391 1</w:t>
            </w:r>
          </w:p>
        </w:tc>
        <w:tc>
          <w:tcPr>
            <w:tcW w:w="2549" w:type="dxa"/>
            <w:tcBorders>
              <w:top w:val="nil"/>
              <w:left w:val="nil"/>
              <w:bottom w:val="nil"/>
              <w:right w:val="nil"/>
            </w:tcBorders>
            <w:shd w:val="clear" w:color="auto" w:fill="auto"/>
            <w:noWrap/>
            <w:vAlign w:val="bottom"/>
            <w:hideMark/>
          </w:tcPr>
          <w:p w14:paraId="4EEC5E55"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2594.12</w:t>
            </w:r>
          </w:p>
        </w:tc>
        <w:tc>
          <w:tcPr>
            <w:tcW w:w="2247" w:type="dxa"/>
            <w:tcBorders>
              <w:top w:val="nil"/>
              <w:left w:val="nil"/>
              <w:bottom w:val="nil"/>
              <w:right w:val="nil"/>
            </w:tcBorders>
            <w:shd w:val="clear" w:color="auto" w:fill="auto"/>
            <w:noWrap/>
            <w:vAlign w:val="bottom"/>
            <w:hideMark/>
          </w:tcPr>
          <w:p w14:paraId="5CEBD00C"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2.13</w:t>
            </w:r>
          </w:p>
        </w:tc>
      </w:tr>
      <w:tr w:rsidR="00E32089" w:rsidRPr="000B20D5" w14:paraId="76503935" w14:textId="77777777" w:rsidTr="00F00D71">
        <w:trPr>
          <w:trHeight w:val="298"/>
          <w:jc w:val="center"/>
        </w:trPr>
        <w:tc>
          <w:tcPr>
            <w:tcW w:w="1545" w:type="dxa"/>
            <w:tcBorders>
              <w:top w:val="nil"/>
              <w:left w:val="nil"/>
              <w:bottom w:val="nil"/>
              <w:right w:val="nil"/>
            </w:tcBorders>
            <w:shd w:val="clear" w:color="auto" w:fill="auto"/>
            <w:noWrap/>
            <w:vAlign w:val="bottom"/>
            <w:hideMark/>
          </w:tcPr>
          <w:p w14:paraId="5D7E4922" w14:textId="51B0AA3E" w:rsidR="00E32089" w:rsidRPr="000B20D5" w:rsidRDefault="004B4946" w:rsidP="00454D06">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Control 2</w:t>
            </w:r>
          </w:p>
        </w:tc>
        <w:tc>
          <w:tcPr>
            <w:tcW w:w="2549" w:type="dxa"/>
            <w:tcBorders>
              <w:top w:val="nil"/>
              <w:left w:val="nil"/>
              <w:bottom w:val="nil"/>
              <w:right w:val="nil"/>
            </w:tcBorders>
            <w:shd w:val="clear" w:color="auto" w:fill="auto"/>
            <w:noWrap/>
            <w:vAlign w:val="bottom"/>
            <w:hideMark/>
          </w:tcPr>
          <w:p w14:paraId="50C87F82"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789.33</w:t>
            </w:r>
          </w:p>
        </w:tc>
        <w:tc>
          <w:tcPr>
            <w:tcW w:w="2247" w:type="dxa"/>
            <w:tcBorders>
              <w:top w:val="nil"/>
              <w:left w:val="nil"/>
              <w:bottom w:val="nil"/>
              <w:right w:val="nil"/>
            </w:tcBorders>
            <w:shd w:val="clear" w:color="auto" w:fill="auto"/>
            <w:noWrap/>
            <w:vAlign w:val="bottom"/>
            <w:hideMark/>
          </w:tcPr>
          <w:p w14:paraId="36D0761E"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2.16</w:t>
            </w:r>
          </w:p>
        </w:tc>
      </w:tr>
      <w:tr w:rsidR="00E32089" w:rsidRPr="000B20D5" w14:paraId="34FC16F0" w14:textId="77777777" w:rsidTr="00F00D71">
        <w:trPr>
          <w:trHeight w:val="298"/>
          <w:jc w:val="center"/>
        </w:trPr>
        <w:tc>
          <w:tcPr>
            <w:tcW w:w="1545" w:type="dxa"/>
            <w:tcBorders>
              <w:top w:val="nil"/>
              <w:left w:val="nil"/>
              <w:bottom w:val="nil"/>
              <w:right w:val="nil"/>
            </w:tcBorders>
            <w:shd w:val="clear" w:color="auto" w:fill="auto"/>
            <w:noWrap/>
            <w:vAlign w:val="bottom"/>
            <w:hideMark/>
          </w:tcPr>
          <w:p w14:paraId="7EAF9E10" w14:textId="2139E088" w:rsidR="00E32089" w:rsidRPr="000B20D5" w:rsidRDefault="004B4946" w:rsidP="00454D06">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MAB391 2</w:t>
            </w:r>
          </w:p>
        </w:tc>
        <w:tc>
          <w:tcPr>
            <w:tcW w:w="2549" w:type="dxa"/>
            <w:tcBorders>
              <w:top w:val="nil"/>
              <w:left w:val="nil"/>
              <w:bottom w:val="nil"/>
              <w:right w:val="nil"/>
            </w:tcBorders>
            <w:shd w:val="clear" w:color="auto" w:fill="auto"/>
            <w:noWrap/>
            <w:vAlign w:val="bottom"/>
            <w:hideMark/>
          </w:tcPr>
          <w:p w14:paraId="324FB6BD"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1055.07</w:t>
            </w:r>
          </w:p>
        </w:tc>
        <w:tc>
          <w:tcPr>
            <w:tcW w:w="2247" w:type="dxa"/>
            <w:tcBorders>
              <w:top w:val="nil"/>
              <w:left w:val="nil"/>
              <w:bottom w:val="nil"/>
              <w:right w:val="nil"/>
            </w:tcBorders>
            <w:shd w:val="clear" w:color="auto" w:fill="auto"/>
            <w:noWrap/>
            <w:vAlign w:val="bottom"/>
            <w:hideMark/>
          </w:tcPr>
          <w:p w14:paraId="37222BEE"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2.18</w:t>
            </w:r>
          </w:p>
        </w:tc>
      </w:tr>
      <w:tr w:rsidR="00E32089" w:rsidRPr="000B20D5" w14:paraId="56D64BAD" w14:textId="77777777" w:rsidTr="00F00D71">
        <w:trPr>
          <w:trHeight w:val="298"/>
          <w:jc w:val="center"/>
        </w:trPr>
        <w:tc>
          <w:tcPr>
            <w:tcW w:w="1545" w:type="dxa"/>
            <w:tcBorders>
              <w:top w:val="nil"/>
              <w:left w:val="nil"/>
              <w:bottom w:val="nil"/>
              <w:right w:val="nil"/>
            </w:tcBorders>
            <w:shd w:val="clear" w:color="auto" w:fill="auto"/>
            <w:noWrap/>
            <w:vAlign w:val="bottom"/>
            <w:hideMark/>
          </w:tcPr>
          <w:p w14:paraId="4608C7FC" w14:textId="50F31427" w:rsidR="00E32089" w:rsidRPr="000B20D5" w:rsidRDefault="004B4946" w:rsidP="00454D06">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Control 3</w:t>
            </w:r>
          </w:p>
        </w:tc>
        <w:tc>
          <w:tcPr>
            <w:tcW w:w="2549" w:type="dxa"/>
            <w:tcBorders>
              <w:top w:val="nil"/>
              <w:left w:val="nil"/>
              <w:bottom w:val="nil"/>
              <w:right w:val="nil"/>
            </w:tcBorders>
            <w:shd w:val="clear" w:color="auto" w:fill="auto"/>
            <w:noWrap/>
            <w:vAlign w:val="bottom"/>
            <w:hideMark/>
          </w:tcPr>
          <w:p w14:paraId="59ECDD5F"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1186.58</w:t>
            </w:r>
          </w:p>
        </w:tc>
        <w:tc>
          <w:tcPr>
            <w:tcW w:w="2247" w:type="dxa"/>
            <w:tcBorders>
              <w:top w:val="nil"/>
              <w:left w:val="nil"/>
              <w:bottom w:val="nil"/>
              <w:right w:val="nil"/>
            </w:tcBorders>
            <w:shd w:val="clear" w:color="auto" w:fill="auto"/>
            <w:noWrap/>
            <w:vAlign w:val="bottom"/>
            <w:hideMark/>
          </w:tcPr>
          <w:p w14:paraId="6EF562A5"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2.1</w:t>
            </w:r>
          </w:p>
        </w:tc>
      </w:tr>
      <w:tr w:rsidR="00E32089" w:rsidRPr="000B20D5" w14:paraId="69E9335A" w14:textId="77777777" w:rsidTr="00F00D71">
        <w:trPr>
          <w:trHeight w:val="298"/>
          <w:jc w:val="center"/>
        </w:trPr>
        <w:tc>
          <w:tcPr>
            <w:tcW w:w="1545" w:type="dxa"/>
            <w:tcBorders>
              <w:top w:val="nil"/>
              <w:left w:val="nil"/>
              <w:bottom w:val="nil"/>
              <w:right w:val="nil"/>
            </w:tcBorders>
            <w:shd w:val="clear" w:color="auto" w:fill="auto"/>
            <w:noWrap/>
            <w:vAlign w:val="bottom"/>
            <w:hideMark/>
          </w:tcPr>
          <w:p w14:paraId="76220FE0" w14:textId="28A313BC" w:rsidR="00E32089" w:rsidRPr="000B20D5" w:rsidRDefault="004B4946" w:rsidP="00454D06">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MAB391 3</w:t>
            </w:r>
          </w:p>
        </w:tc>
        <w:tc>
          <w:tcPr>
            <w:tcW w:w="2549" w:type="dxa"/>
            <w:tcBorders>
              <w:top w:val="nil"/>
              <w:left w:val="nil"/>
              <w:bottom w:val="nil"/>
              <w:right w:val="nil"/>
            </w:tcBorders>
            <w:shd w:val="clear" w:color="auto" w:fill="auto"/>
            <w:noWrap/>
            <w:vAlign w:val="bottom"/>
            <w:hideMark/>
          </w:tcPr>
          <w:p w14:paraId="13C7F106"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1147.88</w:t>
            </w:r>
          </w:p>
        </w:tc>
        <w:tc>
          <w:tcPr>
            <w:tcW w:w="2247" w:type="dxa"/>
            <w:tcBorders>
              <w:top w:val="nil"/>
              <w:left w:val="nil"/>
              <w:bottom w:val="nil"/>
              <w:right w:val="nil"/>
            </w:tcBorders>
            <w:shd w:val="clear" w:color="auto" w:fill="auto"/>
            <w:noWrap/>
            <w:vAlign w:val="bottom"/>
            <w:hideMark/>
          </w:tcPr>
          <w:p w14:paraId="78763557"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2.12</w:t>
            </w:r>
          </w:p>
        </w:tc>
      </w:tr>
      <w:tr w:rsidR="00E32089" w:rsidRPr="000B20D5" w14:paraId="0A34F89B" w14:textId="77777777" w:rsidTr="00F00D71">
        <w:trPr>
          <w:trHeight w:val="298"/>
          <w:jc w:val="center"/>
        </w:trPr>
        <w:tc>
          <w:tcPr>
            <w:tcW w:w="1545" w:type="dxa"/>
            <w:tcBorders>
              <w:top w:val="single" w:sz="4" w:space="0" w:color="auto"/>
              <w:left w:val="nil"/>
              <w:bottom w:val="single" w:sz="4" w:space="0" w:color="auto"/>
              <w:right w:val="nil"/>
            </w:tcBorders>
            <w:shd w:val="clear" w:color="auto" w:fill="auto"/>
            <w:noWrap/>
            <w:vAlign w:val="bottom"/>
            <w:hideMark/>
          </w:tcPr>
          <w:p w14:paraId="32640180" w14:textId="77777777" w:rsidR="00E32089" w:rsidRPr="000B20D5" w:rsidRDefault="00E32089" w:rsidP="00454D06">
            <w:pPr>
              <w:rPr>
                <w:rFonts w:ascii="Times New Roman" w:eastAsia="Times New Roman" w:hAnsi="Times New Roman" w:cs="Times New Roman"/>
                <w:b/>
                <w:bCs/>
                <w:color w:val="000000"/>
                <w:lang w:val="en-GB"/>
              </w:rPr>
            </w:pPr>
            <w:r w:rsidRPr="000B20D5">
              <w:rPr>
                <w:rFonts w:ascii="Times New Roman" w:eastAsia="Times New Roman" w:hAnsi="Times New Roman" w:cs="Times New Roman"/>
                <w:b/>
                <w:bCs/>
                <w:color w:val="000000"/>
                <w:lang w:val="en-GB"/>
              </w:rPr>
              <w:t>Mean ± SD</w:t>
            </w:r>
          </w:p>
        </w:tc>
        <w:tc>
          <w:tcPr>
            <w:tcW w:w="2549" w:type="dxa"/>
            <w:tcBorders>
              <w:top w:val="single" w:sz="4" w:space="0" w:color="auto"/>
              <w:left w:val="nil"/>
              <w:bottom w:val="single" w:sz="4" w:space="0" w:color="auto"/>
              <w:right w:val="nil"/>
            </w:tcBorders>
            <w:shd w:val="clear" w:color="auto" w:fill="auto"/>
            <w:noWrap/>
            <w:vAlign w:val="bottom"/>
            <w:hideMark/>
          </w:tcPr>
          <w:p w14:paraId="419A645D" w14:textId="77777777" w:rsidR="00E32089" w:rsidRPr="000B20D5" w:rsidRDefault="00E32089" w:rsidP="00454D06">
            <w:pPr>
              <w:rPr>
                <w:rFonts w:ascii="Times New Roman" w:eastAsia="Times New Roman" w:hAnsi="Times New Roman" w:cs="Times New Roman"/>
                <w:b/>
                <w:bCs/>
                <w:color w:val="000000"/>
                <w:lang w:val="en-GB"/>
              </w:rPr>
            </w:pPr>
            <w:r w:rsidRPr="000B20D5">
              <w:rPr>
                <w:rFonts w:ascii="Times New Roman" w:eastAsia="Times New Roman" w:hAnsi="Times New Roman" w:cs="Times New Roman"/>
                <w:b/>
                <w:bCs/>
                <w:color w:val="000000"/>
                <w:lang w:val="en-GB"/>
              </w:rPr>
              <w:t>1294.48 ± 651.93</w:t>
            </w:r>
          </w:p>
        </w:tc>
        <w:tc>
          <w:tcPr>
            <w:tcW w:w="2247" w:type="dxa"/>
            <w:tcBorders>
              <w:top w:val="single" w:sz="4" w:space="0" w:color="auto"/>
              <w:left w:val="nil"/>
              <w:bottom w:val="single" w:sz="4" w:space="0" w:color="auto"/>
              <w:right w:val="nil"/>
            </w:tcBorders>
            <w:shd w:val="clear" w:color="auto" w:fill="auto"/>
            <w:noWrap/>
            <w:vAlign w:val="bottom"/>
            <w:hideMark/>
          </w:tcPr>
          <w:p w14:paraId="5B092DF5" w14:textId="77777777" w:rsidR="00E32089" w:rsidRPr="000B20D5" w:rsidRDefault="00E32089" w:rsidP="00454D06">
            <w:pPr>
              <w:rPr>
                <w:rFonts w:ascii="Times New Roman" w:eastAsia="Times New Roman" w:hAnsi="Times New Roman" w:cs="Times New Roman"/>
                <w:b/>
                <w:bCs/>
                <w:color w:val="000000"/>
                <w:lang w:val="en-GB"/>
              </w:rPr>
            </w:pPr>
            <w:r w:rsidRPr="000B20D5">
              <w:rPr>
                <w:rFonts w:ascii="Times New Roman" w:eastAsia="Times New Roman" w:hAnsi="Times New Roman" w:cs="Times New Roman"/>
                <w:b/>
                <w:bCs/>
                <w:color w:val="000000"/>
                <w:lang w:val="en-GB"/>
              </w:rPr>
              <w:t>2.14 ± 0.03</w:t>
            </w:r>
          </w:p>
        </w:tc>
      </w:tr>
    </w:tbl>
    <w:p w14:paraId="2D321BAA" w14:textId="77777777" w:rsidR="00E32089" w:rsidRDefault="00E32089" w:rsidP="00E32089">
      <w:pPr>
        <w:rPr>
          <w:rFonts w:ascii="Times New Roman" w:hAnsi="Times New Roman" w:cs="Times New Roman"/>
          <w:b/>
          <w:noProof/>
        </w:rPr>
      </w:pPr>
      <w:r>
        <w:rPr>
          <w:rFonts w:ascii="Times New Roman" w:hAnsi="Times New Roman" w:cs="Times New Roman"/>
          <w:b/>
          <w:noProof/>
        </w:rPr>
        <w:t xml:space="preserve"> </w:t>
      </w:r>
    </w:p>
    <w:p w14:paraId="765C1BED" w14:textId="77777777" w:rsidR="00E32089" w:rsidRDefault="00E32089" w:rsidP="00E32089">
      <w:pPr>
        <w:rPr>
          <w:rFonts w:ascii="Times New Roman" w:hAnsi="Times New Roman" w:cs="Times New Roman"/>
          <w:b/>
          <w:noProof/>
        </w:rPr>
      </w:pPr>
    </w:p>
    <w:p w14:paraId="2055C55E" w14:textId="77777777" w:rsidR="00E32089" w:rsidRDefault="00E32089" w:rsidP="008C0E71">
      <w:pPr>
        <w:spacing w:line="360" w:lineRule="auto"/>
        <w:rPr>
          <w:rFonts w:ascii="Times New Roman" w:eastAsia="Times New Roman" w:hAnsi="Times New Roman" w:cs="Times New Roman"/>
          <w:bCs/>
          <w:color w:val="000000"/>
          <w:lang w:val="en-GB"/>
        </w:rPr>
      </w:pPr>
    </w:p>
    <w:p w14:paraId="17AB7917" w14:textId="6E4C8783" w:rsidR="00E32089" w:rsidRPr="004C1D27" w:rsidRDefault="00F00D71" w:rsidP="004C1D27">
      <w:pPr>
        <w:spacing w:line="360" w:lineRule="auto"/>
        <w:jc w:val="both"/>
        <w:rPr>
          <w:rFonts w:ascii="Times New Roman" w:eastAsia="Times New Roman" w:hAnsi="Times New Roman" w:cs="Times New Roman"/>
          <w:bCs/>
          <w:color w:val="000000"/>
          <w:lang w:val="en-GB"/>
        </w:rPr>
      </w:pPr>
      <w:r>
        <w:rPr>
          <w:rFonts w:ascii="Times New Roman" w:eastAsia="Times New Roman" w:hAnsi="Times New Roman" w:cs="Times New Roman"/>
          <w:bCs/>
          <w:color w:val="000000"/>
          <w:lang w:val="en-GB"/>
        </w:rPr>
        <w:t>15</w:t>
      </w:r>
      <w:r w:rsidRPr="00F00D71">
        <w:rPr>
          <w:rFonts w:ascii="Times New Roman" w:eastAsia="Times New Roman" w:hAnsi="Times New Roman" w:cs="Times New Roman"/>
          <w:bCs/>
          <w:color w:val="000000"/>
          <w:lang w:val="en-GB"/>
        </w:rPr>
        <w:t>μ</w:t>
      </w:r>
      <w:r>
        <w:rPr>
          <w:rFonts w:ascii="Times New Roman" w:eastAsia="Times New Roman" w:hAnsi="Times New Roman" w:cs="Times New Roman"/>
          <w:bCs/>
          <w:color w:val="000000"/>
          <w:lang w:val="en-GB"/>
        </w:rPr>
        <w:t xml:space="preserve">g of </w:t>
      </w:r>
      <w:r w:rsidR="00E32089">
        <w:rPr>
          <w:rFonts w:ascii="Times New Roman" w:eastAsia="Times New Roman" w:hAnsi="Times New Roman" w:cs="Times New Roman"/>
          <w:bCs/>
          <w:color w:val="000000"/>
          <w:lang w:val="en-GB"/>
        </w:rPr>
        <w:t>cRNA wa</w:t>
      </w:r>
      <w:r w:rsidR="00646334">
        <w:rPr>
          <w:rFonts w:ascii="Times New Roman" w:eastAsia="Times New Roman" w:hAnsi="Times New Roman" w:cs="Times New Roman"/>
          <w:bCs/>
          <w:color w:val="000000"/>
          <w:lang w:val="en-GB"/>
        </w:rPr>
        <w:t>s reverse transcribed</w:t>
      </w:r>
      <w:r w:rsidR="004208EC">
        <w:rPr>
          <w:rFonts w:ascii="Times New Roman" w:eastAsia="Times New Roman" w:hAnsi="Times New Roman" w:cs="Times New Roman"/>
          <w:bCs/>
          <w:color w:val="000000"/>
          <w:lang w:val="en-GB"/>
        </w:rPr>
        <w:t xml:space="preserve"> using </w:t>
      </w:r>
      <w:r w:rsidR="004208EC">
        <w:rPr>
          <w:rFonts w:ascii="Times New Roman" w:eastAsia="Times New Roman" w:hAnsi="Times New Roman" w:cs="Times New Roman"/>
          <w:bCs/>
          <w:i/>
          <w:color w:val="000000"/>
          <w:lang w:val="en-GB"/>
        </w:rPr>
        <w:t>in vitro</w:t>
      </w:r>
      <w:r w:rsidR="004208EC">
        <w:rPr>
          <w:rFonts w:ascii="Times New Roman" w:eastAsia="Times New Roman" w:hAnsi="Times New Roman" w:cs="Times New Roman"/>
          <w:bCs/>
          <w:color w:val="000000"/>
          <w:lang w:val="en-GB"/>
        </w:rPr>
        <w:t xml:space="preserve"> transcription</w:t>
      </w:r>
      <w:r w:rsidR="00646334">
        <w:rPr>
          <w:rFonts w:ascii="Times New Roman" w:eastAsia="Times New Roman" w:hAnsi="Times New Roman" w:cs="Times New Roman"/>
          <w:bCs/>
          <w:color w:val="000000"/>
          <w:lang w:val="en-GB"/>
        </w:rPr>
        <w:t xml:space="preserve"> t</w:t>
      </w:r>
      <w:r w:rsidR="00A80195">
        <w:rPr>
          <w:rFonts w:ascii="Times New Roman" w:eastAsia="Times New Roman" w:hAnsi="Times New Roman" w:cs="Times New Roman"/>
          <w:bCs/>
          <w:color w:val="000000"/>
          <w:lang w:val="en-GB"/>
        </w:rPr>
        <w:t xml:space="preserve">o synthesise sense-strand cDNA, with dUTP’s being incorporated into the ss-cDNA. </w:t>
      </w:r>
      <w:r>
        <w:rPr>
          <w:rFonts w:ascii="Times New Roman" w:eastAsia="Times New Roman" w:hAnsi="Times New Roman" w:cs="Times New Roman"/>
          <w:bCs/>
          <w:color w:val="000000"/>
          <w:lang w:val="en-GB"/>
        </w:rPr>
        <w:t>RNase H wa</w:t>
      </w:r>
      <w:r w:rsidR="00646334">
        <w:rPr>
          <w:rFonts w:ascii="Times New Roman" w:eastAsia="Times New Roman" w:hAnsi="Times New Roman" w:cs="Times New Roman"/>
          <w:bCs/>
          <w:color w:val="000000"/>
          <w:lang w:val="en-GB"/>
        </w:rPr>
        <w:t>s then used to hydrolyse the cRNA te</w:t>
      </w:r>
      <w:r w:rsidR="00882F98">
        <w:rPr>
          <w:rFonts w:ascii="Times New Roman" w:eastAsia="Times New Roman" w:hAnsi="Times New Roman" w:cs="Times New Roman"/>
          <w:bCs/>
          <w:color w:val="000000"/>
          <w:lang w:val="en-GB"/>
        </w:rPr>
        <w:t>mplate leaving the single strand</w:t>
      </w:r>
      <w:r w:rsidR="00646334">
        <w:rPr>
          <w:rFonts w:ascii="Times New Roman" w:eastAsia="Times New Roman" w:hAnsi="Times New Roman" w:cs="Times New Roman"/>
          <w:bCs/>
          <w:color w:val="000000"/>
          <w:lang w:val="en-GB"/>
        </w:rPr>
        <w:t xml:space="preserve">ed cDNA (ss-cDNA). </w:t>
      </w:r>
      <w:r w:rsidR="00A80195">
        <w:rPr>
          <w:rFonts w:ascii="Times New Roman" w:eastAsia="Times New Roman" w:hAnsi="Times New Roman" w:cs="Times New Roman"/>
          <w:bCs/>
          <w:color w:val="000000"/>
          <w:lang w:val="en-GB"/>
        </w:rPr>
        <w:t>A second purification wa</w:t>
      </w:r>
      <w:r w:rsidR="00220DCD">
        <w:rPr>
          <w:rFonts w:ascii="Times New Roman" w:eastAsia="Times New Roman" w:hAnsi="Times New Roman" w:cs="Times New Roman"/>
          <w:bCs/>
          <w:color w:val="000000"/>
          <w:lang w:val="en-GB"/>
        </w:rPr>
        <w:t>s carried out using p</w:t>
      </w:r>
      <w:r w:rsidR="00A80195">
        <w:rPr>
          <w:rFonts w:ascii="Times New Roman" w:eastAsia="Times New Roman" w:hAnsi="Times New Roman" w:cs="Times New Roman"/>
          <w:bCs/>
          <w:color w:val="000000"/>
          <w:lang w:val="en-GB"/>
        </w:rPr>
        <w:t>urification beads</w:t>
      </w:r>
      <w:r>
        <w:rPr>
          <w:rFonts w:ascii="Times New Roman" w:eastAsia="Times New Roman" w:hAnsi="Times New Roman" w:cs="Times New Roman"/>
          <w:bCs/>
          <w:color w:val="000000"/>
          <w:lang w:val="en-GB"/>
        </w:rPr>
        <w:t xml:space="preserve"> to remove</w:t>
      </w:r>
      <w:r w:rsidR="00220DCD">
        <w:rPr>
          <w:rFonts w:ascii="Times New Roman" w:eastAsia="Times New Roman" w:hAnsi="Times New Roman" w:cs="Times New Roman"/>
          <w:bCs/>
          <w:color w:val="000000"/>
          <w:lang w:val="en-GB"/>
        </w:rPr>
        <w:t xml:space="preserve"> salts, enzymes and unincorporated dNTPs. </w:t>
      </w:r>
      <w:r w:rsidR="00A80195">
        <w:rPr>
          <w:rFonts w:ascii="Times New Roman" w:eastAsia="Times New Roman" w:hAnsi="Times New Roman" w:cs="Times New Roman"/>
          <w:bCs/>
          <w:color w:val="000000"/>
          <w:lang w:val="en-GB"/>
        </w:rPr>
        <w:t>The Nanodrop 1000 Spectrophotometer identified that a</w:t>
      </w:r>
      <w:r w:rsidR="00646334">
        <w:rPr>
          <w:rFonts w:ascii="Times New Roman" w:eastAsia="Times New Roman" w:hAnsi="Times New Roman" w:cs="Times New Roman"/>
          <w:bCs/>
          <w:color w:val="000000"/>
          <w:lang w:val="en-GB"/>
        </w:rPr>
        <w:t>pproximately 311.48 ± 77.84ng of s</w:t>
      </w:r>
      <w:r w:rsidR="00EE7C72">
        <w:rPr>
          <w:rFonts w:ascii="Times New Roman" w:eastAsia="Times New Roman" w:hAnsi="Times New Roman" w:cs="Times New Roman"/>
          <w:bCs/>
          <w:color w:val="000000"/>
          <w:lang w:val="en-GB"/>
        </w:rPr>
        <w:t xml:space="preserve">s-cDNA was generated </w:t>
      </w:r>
      <w:r w:rsidR="00194E9A">
        <w:rPr>
          <w:rFonts w:ascii="Times New Roman" w:eastAsia="Times New Roman" w:hAnsi="Times New Roman" w:cs="Times New Roman"/>
          <w:bCs/>
          <w:color w:val="000000"/>
          <w:lang w:val="en-GB"/>
        </w:rPr>
        <w:t>from this process</w:t>
      </w:r>
      <w:r w:rsidR="00A80195">
        <w:rPr>
          <w:rFonts w:ascii="Times New Roman" w:eastAsia="Times New Roman" w:hAnsi="Times New Roman" w:cs="Times New Roman"/>
          <w:bCs/>
          <w:color w:val="000000"/>
          <w:lang w:val="en-GB"/>
        </w:rPr>
        <w:t xml:space="preserve"> (</w:t>
      </w:r>
      <w:r w:rsidR="00A80195" w:rsidRPr="000273AF">
        <w:rPr>
          <w:rFonts w:ascii="Times New Roman" w:eastAsia="Times New Roman" w:hAnsi="Times New Roman" w:cs="Times New Roman"/>
          <w:b/>
          <w:bCs/>
          <w:color w:val="000000"/>
          <w:lang w:val="en-GB"/>
        </w:rPr>
        <w:t xml:space="preserve">table </w:t>
      </w:r>
      <w:r w:rsidR="00791D22" w:rsidRPr="000273AF">
        <w:rPr>
          <w:rFonts w:ascii="Times New Roman" w:eastAsia="Times New Roman" w:hAnsi="Times New Roman" w:cs="Times New Roman"/>
          <w:b/>
          <w:bCs/>
          <w:color w:val="000000"/>
          <w:lang w:val="en-GB"/>
        </w:rPr>
        <w:t>5.5</w:t>
      </w:r>
      <w:r w:rsidR="00A80195">
        <w:rPr>
          <w:rFonts w:ascii="Times New Roman" w:eastAsia="Times New Roman" w:hAnsi="Times New Roman" w:cs="Times New Roman"/>
          <w:bCs/>
          <w:color w:val="000000"/>
          <w:lang w:val="en-GB"/>
        </w:rPr>
        <w:t>)</w:t>
      </w:r>
      <w:r w:rsidR="00194E9A">
        <w:rPr>
          <w:rFonts w:ascii="Times New Roman" w:eastAsia="Times New Roman" w:hAnsi="Times New Roman" w:cs="Times New Roman"/>
          <w:bCs/>
          <w:color w:val="000000"/>
          <w:lang w:val="en-GB"/>
        </w:rPr>
        <w:t xml:space="preserve">. </w:t>
      </w:r>
    </w:p>
    <w:p w14:paraId="7A801C61" w14:textId="00A554A0" w:rsidR="00E32089" w:rsidRDefault="00E32089" w:rsidP="004D474F">
      <w:pPr>
        <w:pStyle w:val="Heading5"/>
        <w:rPr>
          <w:noProof/>
        </w:rPr>
      </w:pPr>
      <w:bookmarkStart w:id="1964" w:name="_Toc333569355"/>
      <w:bookmarkStart w:id="1965" w:name="_Toc333570893"/>
      <w:bookmarkStart w:id="1966" w:name="_Toc333585973"/>
      <w:bookmarkStart w:id="1967" w:name="_Toc333586849"/>
      <w:bookmarkStart w:id="1968" w:name="_Toc333644548"/>
      <w:bookmarkStart w:id="1969" w:name="_Toc333644842"/>
      <w:r>
        <w:rPr>
          <w:noProof/>
        </w:rPr>
        <w:t xml:space="preserve">Table </w:t>
      </w:r>
      <w:r w:rsidR="00791D22">
        <w:rPr>
          <w:noProof/>
        </w:rPr>
        <w:t>5.5</w:t>
      </w:r>
      <w:r w:rsidR="0043060F">
        <w:rPr>
          <w:noProof/>
        </w:rPr>
        <w:t>.</w:t>
      </w:r>
      <w:r w:rsidR="00791D22">
        <w:rPr>
          <w:noProof/>
        </w:rPr>
        <w:t xml:space="preserve"> </w:t>
      </w:r>
      <w:r>
        <w:rPr>
          <w:noProof/>
        </w:rPr>
        <w:t>Yield of ss-cDNA</w:t>
      </w:r>
      <w:r w:rsidR="00A02CB7">
        <w:rPr>
          <w:noProof/>
        </w:rPr>
        <w:t xml:space="preserve"> </w:t>
      </w:r>
      <w:r w:rsidR="00A02CB7">
        <w:rPr>
          <w:rFonts w:eastAsia="Times New Roman"/>
          <w:bCs/>
          <w:color w:val="000000"/>
          <w:lang w:val="en-GB"/>
        </w:rPr>
        <w:t>(ng/μl</w:t>
      </w:r>
      <w:r w:rsidR="00A02CB7" w:rsidRPr="000B20D5">
        <w:rPr>
          <w:rFonts w:eastAsia="Times New Roman"/>
          <w:bCs/>
          <w:color w:val="000000"/>
          <w:lang w:val="en-GB"/>
        </w:rPr>
        <w:t>)</w:t>
      </w:r>
      <w:r w:rsidR="00A02CB7">
        <w:rPr>
          <w:noProof/>
        </w:rPr>
        <w:t xml:space="preserve"> in a total of 31.2</w:t>
      </w:r>
      <w:r w:rsidR="00A02CB7" w:rsidRPr="00A02CB7">
        <w:rPr>
          <w:rFonts w:eastAsia="Times New Roman"/>
          <w:bCs/>
          <w:color w:val="000000"/>
          <w:lang w:val="en-GB"/>
        </w:rPr>
        <w:t xml:space="preserve"> </w:t>
      </w:r>
      <w:r w:rsidR="00A02CB7">
        <w:rPr>
          <w:rFonts w:eastAsia="Times New Roman"/>
          <w:bCs/>
          <w:color w:val="000000"/>
          <w:lang w:val="en-GB"/>
        </w:rPr>
        <w:t>μl</w:t>
      </w:r>
      <w:bookmarkEnd w:id="1964"/>
      <w:bookmarkEnd w:id="1965"/>
      <w:bookmarkEnd w:id="1966"/>
      <w:bookmarkEnd w:id="1967"/>
      <w:bookmarkEnd w:id="1968"/>
      <w:bookmarkEnd w:id="1969"/>
    </w:p>
    <w:p w14:paraId="1FCDB957" w14:textId="77777777" w:rsidR="00E32089" w:rsidRDefault="00E32089" w:rsidP="00E32089">
      <w:pPr>
        <w:rPr>
          <w:rFonts w:ascii="Times New Roman" w:hAnsi="Times New Roman" w:cs="Times New Roman"/>
          <w:b/>
          <w:noProof/>
        </w:rPr>
      </w:pPr>
    </w:p>
    <w:tbl>
      <w:tblPr>
        <w:tblW w:w="7520" w:type="dxa"/>
        <w:jc w:val="center"/>
        <w:tblInd w:w="93" w:type="dxa"/>
        <w:tblLook w:val="04A0" w:firstRow="1" w:lastRow="0" w:firstColumn="1" w:lastColumn="0" w:noHBand="0" w:noVBand="1"/>
      </w:tblPr>
      <w:tblGrid>
        <w:gridCol w:w="1820"/>
        <w:gridCol w:w="3740"/>
        <w:gridCol w:w="1960"/>
      </w:tblGrid>
      <w:tr w:rsidR="00E32089" w:rsidRPr="000B20D5" w14:paraId="35DDF658" w14:textId="77777777" w:rsidTr="00F00D71">
        <w:trPr>
          <w:trHeight w:val="300"/>
          <w:jc w:val="center"/>
        </w:trPr>
        <w:tc>
          <w:tcPr>
            <w:tcW w:w="1820" w:type="dxa"/>
            <w:tcBorders>
              <w:top w:val="single" w:sz="4" w:space="0" w:color="auto"/>
              <w:left w:val="nil"/>
              <w:bottom w:val="single" w:sz="4" w:space="0" w:color="auto"/>
              <w:right w:val="nil"/>
            </w:tcBorders>
            <w:shd w:val="clear" w:color="auto" w:fill="auto"/>
            <w:noWrap/>
            <w:vAlign w:val="bottom"/>
            <w:hideMark/>
          </w:tcPr>
          <w:p w14:paraId="324BFB13" w14:textId="77777777" w:rsidR="00E32089" w:rsidRPr="000B20D5" w:rsidRDefault="00E32089" w:rsidP="00454D06">
            <w:pPr>
              <w:rPr>
                <w:rFonts w:ascii="Times New Roman" w:eastAsia="Times New Roman" w:hAnsi="Times New Roman" w:cs="Times New Roman"/>
                <w:b/>
                <w:bCs/>
                <w:color w:val="000000"/>
                <w:lang w:val="en-GB"/>
              </w:rPr>
            </w:pPr>
            <w:r w:rsidRPr="000B20D5">
              <w:rPr>
                <w:rFonts w:ascii="Times New Roman" w:eastAsia="Times New Roman" w:hAnsi="Times New Roman" w:cs="Times New Roman"/>
                <w:b/>
                <w:bCs/>
                <w:color w:val="000000"/>
                <w:lang w:val="en-GB"/>
              </w:rPr>
              <w:t>Sample</w:t>
            </w:r>
          </w:p>
        </w:tc>
        <w:tc>
          <w:tcPr>
            <w:tcW w:w="3740" w:type="dxa"/>
            <w:tcBorders>
              <w:top w:val="single" w:sz="4" w:space="0" w:color="auto"/>
              <w:left w:val="nil"/>
              <w:bottom w:val="single" w:sz="4" w:space="0" w:color="auto"/>
              <w:right w:val="nil"/>
            </w:tcBorders>
            <w:shd w:val="clear" w:color="auto" w:fill="auto"/>
            <w:noWrap/>
            <w:vAlign w:val="bottom"/>
            <w:hideMark/>
          </w:tcPr>
          <w:p w14:paraId="27EBD1C9" w14:textId="7B3FE205" w:rsidR="00E32089" w:rsidRPr="000B20D5" w:rsidRDefault="00E32089" w:rsidP="00454D06">
            <w:pPr>
              <w:rPr>
                <w:rFonts w:ascii="Times New Roman" w:eastAsia="Times New Roman" w:hAnsi="Times New Roman" w:cs="Times New Roman"/>
                <w:b/>
                <w:bCs/>
                <w:color w:val="000000"/>
                <w:lang w:val="en-GB"/>
              </w:rPr>
            </w:pPr>
            <w:r w:rsidRPr="000B20D5">
              <w:rPr>
                <w:rFonts w:ascii="Times New Roman" w:eastAsia="Times New Roman" w:hAnsi="Times New Roman" w:cs="Times New Roman"/>
                <w:b/>
                <w:bCs/>
                <w:color w:val="000000"/>
                <w:lang w:val="en-GB"/>
              </w:rPr>
              <w:t>Single-stranded cD</w:t>
            </w:r>
            <w:r>
              <w:rPr>
                <w:rFonts w:ascii="Times New Roman" w:eastAsia="Times New Roman" w:hAnsi="Times New Roman" w:cs="Times New Roman"/>
                <w:b/>
                <w:bCs/>
                <w:color w:val="000000"/>
                <w:lang w:val="en-GB"/>
              </w:rPr>
              <w:t>NA yield (ng</w:t>
            </w:r>
            <w:r w:rsidR="00A02CB7">
              <w:rPr>
                <w:rFonts w:ascii="Times New Roman" w:eastAsia="Times New Roman" w:hAnsi="Times New Roman" w:cs="Times New Roman"/>
                <w:b/>
                <w:bCs/>
                <w:color w:val="000000"/>
                <w:lang w:val="en-GB"/>
              </w:rPr>
              <w:t>/μl</w:t>
            </w:r>
            <w:r w:rsidRPr="000B20D5">
              <w:rPr>
                <w:rFonts w:ascii="Times New Roman" w:eastAsia="Times New Roman" w:hAnsi="Times New Roman" w:cs="Times New Roman"/>
                <w:b/>
                <w:bCs/>
                <w:color w:val="000000"/>
                <w:lang w:val="en-GB"/>
              </w:rPr>
              <w:t>)</w:t>
            </w:r>
          </w:p>
        </w:tc>
        <w:tc>
          <w:tcPr>
            <w:tcW w:w="1960" w:type="dxa"/>
            <w:tcBorders>
              <w:top w:val="single" w:sz="4" w:space="0" w:color="auto"/>
              <w:left w:val="nil"/>
              <w:bottom w:val="single" w:sz="4" w:space="0" w:color="auto"/>
              <w:right w:val="nil"/>
            </w:tcBorders>
            <w:shd w:val="clear" w:color="auto" w:fill="auto"/>
            <w:noWrap/>
            <w:vAlign w:val="bottom"/>
            <w:hideMark/>
          </w:tcPr>
          <w:p w14:paraId="1CDBC33F" w14:textId="77777777" w:rsidR="00E32089" w:rsidRPr="000B20D5" w:rsidRDefault="00E32089" w:rsidP="00454D06">
            <w:pPr>
              <w:rPr>
                <w:rFonts w:ascii="Times New Roman" w:eastAsia="Times New Roman" w:hAnsi="Times New Roman" w:cs="Times New Roman"/>
                <w:b/>
                <w:bCs/>
                <w:color w:val="000000"/>
                <w:lang w:val="en-GB"/>
              </w:rPr>
            </w:pPr>
            <w:r w:rsidRPr="000B20D5">
              <w:rPr>
                <w:rFonts w:ascii="Times New Roman" w:eastAsia="Times New Roman" w:hAnsi="Times New Roman" w:cs="Times New Roman"/>
                <w:b/>
                <w:bCs/>
                <w:color w:val="000000"/>
                <w:lang w:val="en-GB"/>
              </w:rPr>
              <w:t>260/280</w:t>
            </w:r>
          </w:p>
        </w:tc>
      </w:tr>
      <w:tr w:rsidR="00E32089" w:rsidRPr="000B20D5" w14:paraId="00B892E8" w14:textId="77777777" w:rsidTr="00F00D71">
        <w:trPr>
          <w:trHeight w:val="300"/>
          <w:jc w:val="center"/>
        </w:trPr>
        <w:tc>
          <w:tcPr>
            <w:tcW w:w="1820" w:type="dxa"/>
            <w:tcBorders>
              <w:top w:val="nil"/>
              <w:left w:val="nil"/>
              <w:bottom w:val="nil"/>
              <w:right w:val="nil"/>
            </w:tcBorders>
            <w:shd w:val="clear" w:color="auto" w:fill="auto"/>
            <w:noWrap/>
            <w:vAlign w:val="bottom"/>
            <w:hideMark/>
          </w:tcPr>
          <w:p w14:paraId="1F405920" w14:textId="08BA973A" w:rsidR="00E32089" w:rsidRPr="000B20D5" w:rsidRDefault="004B4946" w:rsidP="00454D06">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Control 1</w:t>
            </w:r>
          </w:p>
        </w:tc>
        <w:tc>
          <w:tcPr>
            <w:tcW w:w="3740" w:type="dxa"/>
            <w:tcBorders>
              <w:top w:val="nil"/>
              <w:left w:val="nil"/>
              <w:bottom w:val="nil"/>
              <w:right w:val="nil"/>
            </w:tcBorders>
            <w:shd w:val="clear" w:color="auto" w:fill="auto"/>
            <w:noWrap/>
            <w:vAlign w:val="bottom"/>
            <w:hideMark/>
          </w:tcPr>
          <w:p w14:paraId="02A7DB39"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263.95</w:t>
            </w:r>
          </w:p>
        </w:tc>
        <w:tc>
          <w:tcPr>
            <w:tcW w:w="1960" w:type="dxa"/>
            <w:tcBorders>
              <w:top w:val="nil"/>
              <w:left w:val="nil"/>
              <w:bottom w:val="nil"/>
              <w:right w:val="nil"/>
            </w:tcBorders>
            <w:shd w:val="clear" w:color="auto" w:fill="auto"/>
            <w:noWrap/>
            <w:vAlign w:val="bottom"/>
            <w:hideMark/>
          </w:tcPr>
          <w:p w14:paraId="7C91CED4"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2.16</w:t>
            </w:r>
          </w:p>
        </w:tc>
      </w:tr>
      <w:tr w:rsidR="00E32089" w:rsidRPr="000B20D5" w14:paraId="5A49781F" w14:textId="77777777" w:rsidTr="00F00D71">
        <w:trPr>
          <w:trHeight w:val="300"/>
          <w:jc w:val="center"/>
        </w:trPr>
        <w:tc>
          <w:tcPr>
            <w:tcW w:w="1820" w:type="dxa"/>
            <w:tcBorders>
              <w:top w:val="nil"/>
              <w:left w:val="nil"/>
              <w:bottom w:val="nil"/>
              <w:right w:val="nil"/>
            </w:tcBorders>
            <w:shd w:val="clear" w:color="auto" w:fill="auto"/>
            <w:noWrap/>
            <w:vAlign w:val="bottom"/>
            <w:hideMark/>
          </w:tcPr>
          <w:p w14:paraId="43E88A73" w14:textId="6680AF96" w:rsidR="00E32089" w:rsidRPr="000B20D5" w:rsidRDefault="004B4946" w:rsidP="00454D06">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MAB391 1</w:t>
            </w:r>
          </w:p>
        </w:tc>
        <w:tc>
          <w:tcPr>
            <w:tcW w:w="3740" w:type="dxa"/>
            <w:tcBorders>
              <w:top w:val="nil"/>
              <w:left w:val="nil"/>
              <w:bottom w:val="nil"/>
              <w:right w:val="nil"/>
            </w:tcBorders>
            <w:shd w:val="clear" w:color="auto" w:fill="auto"/>
            <w:noWrap/>
            <w:vAlign w:val="bottom"/>
            <w:hideMark/>
          </w:tcPr>
          <w:p w14:paraId="4B143226"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445.20</w:t>
            </w:r>
          </w:p>
        </w:tc>
        <w:tc>
          <w:tcPr>
            <w:tcW w:w="1960" w:type="dxa"/>
            <w:tcBorders>
              <w:top w:val="nil"/>
              <w:left w:val="nil"/>
              <w:bottom w:val="nil"/>
              <w:right w:val="nil"/>
            </w:tcBorders>
            <w:shd w:val="clear" w:color="auto" w:fill="auto"/>
            <w:noWrap/>
            <w:vAlign w:val="bottom"/>
            <w:hideMark/>
          </w:tcPr>
          <w:p w14:paraId="60D4AEF9"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2.13</w:t>
            </w:r>
          </w:p>
        </w:tc>
      </w:tr>
      <w:tr w:rsidR="00E32089" w:rsidRPr="000B20D5" w14:paraId="67460815" w14:textId="77777777" w:rsidTr="00F00D71">
        <w:trPr>
          <w:trHeight w:val="300"/>
          <w:jc w:val="center"/>
        </w:trPr>
        <w:tc>
          <w:tcPr>
            <w:tcW w:w="1820" w:type="dxa"/>
            <w:tcBorders>
              <w:top w:val="nil"/>
              <w:left w:val="nil"/>
              <w:bottom w:val="nil"/>
              <w:right w:val="nil"/>
            </w:tcBorders>
            <w:shd w:val="clear" w:color="auto" w:fill="auto"/>
            <w:noWrap/>
            <w:vAlign w:val="bottom"/>
            <w:hideMark/>
          </w:tcPr>
          <w:p w14:paraId="4F922C28" w14:textId="45441B4A" w:rsidR="00E32089" w:rsidRPr="000B20D5" w:rsidRDefault="004B4946" w:rsidP="00454D06">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Control 2</w:t>
            </w:r>
          </w:p>
        </w:tc>
        <w:tc>
          <w:tcPr>
            <w:tcW w:w="3740" w:type="dxa"/>
            <w:tcBorders>
              <w:top w:val="nil"/>
              <w:left w:val="nil"/>
              <w:bottom w:val="nil"/>
              <w:right w:val="nil"/>
            </w:tcBorders>
            <w:shd w:val="clear" w:color="auto" w:fill="auto"/>
            <w:noWrap/>
            <w:vAlign w:val="bottom"/>
            <w:hideMark/>
          </w:tcPr>
          <w:p w14:paraId="35B4CDC7"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245.43</w:t>
            </w:r>
          </w:p>
        </w:tc>
        <w:tc>
          <w:tcPr>
            <w:tcW w:w="1960" w:type="dxa"/>
            <w:tcBorders>
              <w:top w:val="nil"/>
              <w:left w:val="nil"/>
              <w:bottom w:val="nil"/>
              <w:right w:val="nil"/>
            </w:tcBorders>
            <w:shd w:val="clear" w:color="auto" w:fill="auto"/>
            <w:noWrap/>
            <w:vAlign w:val="bottom"/>
            <w:hideMark/>
          </w:tcPr>
          <w:p w14:paraId="74471D90"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2.11</w:t>
            </w:r>
          </w:p>
        </w:tc>
      </w:tr>
      <w:tr w:rsidR="00E32089" w:rsidRPr="000B20D5" w14:paraId="148E3823" w14:textId="77777777" w:rsidTr="00F00D71">
        <w:trPr>
          <w:trHeight w:val="300"/>
          <w:jc w:val="center"/>
        </w:trPr>
        <w:tc>
          <w:tcPr>
            <w:tcW w:w="1820" w:type="dxa"/>
            <w:tcBorders>
              <w:top w:val="nil"/>
              <w:left w:val="nil"/>
              <w:bottom w:val="nil"/>
              <w:right w:val="nil"/>
            </w:tcBorders>
            <w:shd w:val="clear" w:color="auto" w:fill="auto"/>
            <w:noWrap/>
            <w:vAlign w:val="bottom"/>
            <w:hideMark/>
          </w:tcPr>
          <w:p w14:paraId="04B107B1" w14:textId="4F0877B5" w:rsidR="00E32089" w:rsidRPr="000B20D5" w:rsidRDefault="004B4946" w:rsidP="00454D06">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MAB391 2</w:t>
            </w:r>
          </w:p>
        </w:tc>
        <w:tc>
          <w:tcPr>
            <w:tcW w:w="3740" w:type="dxa"/>
            <w:tcBorders>
              <w:top w:val="nil"/>
              <w:left w:val="nil"/>
              <w:bottom w:val="nil"/>
              <w:right w:val="nil"/>
            </w:tcBorders>
            <w:shd w:val="clear" w:color="auto" w:fill="auto"/>
            <w:noWrap/>
            <w:vAlign w:val="bottom"/>
            <w:hideMark/>
          </w:tcPr>
          <w:p w14:paraId="1680C0A9"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364.00</w:t>
            </w:r>
          </w:p>
        </w:tc>
        <w:tc>
          <w:tcPr>
            <w:tcW w:w="1960" w:type="dxa"/>
            <w:tcBorders>
              <w:top w:val="nil"/>
              <w:left w:val="nil"/>
              <w:bottom w:val="nil"/>
              <w:right w:val="nil"/>
            </w:tcBorders>
            <w:shd w:val="clear" w:color="auto" w:fill="auto"/>
            <w:noWrap/>
            <w:vAlign w:val="bottom"/>
            <w:hideMark/>
          </w:tcPr>
          <w:p w14:paraId="646BBF13"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2.11</w:t>
            </w:r>
          </w:p>
        </w:tc>
      </w:tr>
      <w:tr w:rsidR="00E32089" w:rsidRPr="000B20D5" w14:paraId="5C35A72F" w14:textId="77777777" w:rsidTr="00F00D71">
        <w:trPr>
          <w:trHeight w:val="300"/>
          <w:jc w:val="center"/>
        </w:trPr>
        <w:tc>
          <w:tcPr>
            <w:tcW w:w="1820" w:type="dxa"/>
            <w:tcBorders>
              <w:top w:val="nil"/>
              <w:left w:val="nil"/>
              <w:bottom w:val="nil"/>
              <w:right w:val="nil"/>
            </w:tcBorders>
            <w:shd w:val="clear" w:color="auto" w:fill="auto"/>
            <w:noWrap/>
            <w:vAlign w:val="bottom"/>
            <w:hideMark/>
          </w:tcPr>
          <w:p w14:paraId="2F0C5056" w14:textId="35878757" w:rsidR="00E32089" w:rsidRPr="000B20D5" w:rsidRDefault="004B4946" w:rsidP="00454D06">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Control 3</w:t>
            </w:r>
          </w:p>
        </w:tc>
        <w:tc>
          <w:tcPr>
            <w:tcW w:w="3740" w:type="dxa"/>
            <w:tcBorders>
              <w:top w:val="nil"/>
              <w:left w:val="nil"/>
              <w:bottom w:val="nil"/>
              <w:right w:val="nil"/>
            </w:tcBorders>
            <w:shd w:val="clear" w:color="auto" w:fill="auto"/>
            <w:noWrap/>
            <w:vAlign w:val="bottom"/>
            <w:hideMark/>
          </w:tcPr>
          <w:p w14:paraId="0672C0DF"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261.05</w:t>
            </w:r>
          </w:p>
        </w:tc>
        <w:tc>
          <w:tcPr>
            <w:tcW w:w="1960" w:type="dxa"/>
            <w:tcBorders>
              <w:top w:val="nil"/>
              <w:left w:val="nil"/>
              <w:bottom w:val="nil"/>
              <w:right w:val="nil"/>
            </w:tcBorders>
            <w:shd w:val="clear" w:color="auto" w:fill="auto"/>
            <w:noWrap/>
            <w:vAlign w:val="bottom"/>
            <w:hideMark/>
          </w:tcPr>
          <w:p w14:paraId="7B5DE561"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2.08</w:t>
            </w:r>
          </w:p>
        </w:tc>
      </w:tr>
      <w:tr w:rsidR="00E32089" w:rsidRPr="000B20D5" w14:paraId="03F56688" w14:textId="77777777" w:rsidTr="00F00D71">
        <w:trPr>
          <w:trHeight w:val="300"/>
          <w:jc w:val="center"/>
        </w:trPr>
        <w:tc>
          <w:tcPr>
            <w:tcW w:w="1820" w:type="dxa"/>
            <w:tcBorders>
              <w:top w:val="nil"/>
              <w:left w:val="nil"/>
              <w:bottom w:val="nil"/>
              <w:right w:val="nil"/>
            </w:tcBorders>
            <w:shd w:val="clear" w:color="auto" w:fill="auto"/>
            <w:noWrap/>
            <w:vAlign w:val="bottom"/>
            <w:hideMark/>
          </w:tcPr>
          <w:p w14:paraId="115B941D" w14:textId="1A1D7629" w:rsidR="00E32089" w:rsidRPr="000B20D5" w:rsidRDefault="004B4946" w:rsidP="00454D06">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MAB391 3</w:t>
            </w:r>
          </w:p>
        </w:tc>
        <w:tc>
          <w:tcPr>
            <w:tcW w:w="3740" w:type="dxa"/>
            <w:tcBorders>
              <w:top w:val="nil"/>
              <w:left w:val="nil"/>
              <w:bottom w:val="nil"/>
              <w:right w:val="nil"/>
            </w:tcBorders>
            <w:shd w:val="clear" w:color="auto" w:fill="auto"/>
            <w:noWrap/>
            <w:vAlign w:val="bottom"/>
            <w:hideMark/>
          </w:tcPr>
          <w:p w14:paraId="014DCE71"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289.24</w:t>
            </w:r>
          </w:p>
        </w:tc>
        <w:tc>
          <w:tcPr>
            <w:tcW w:w="1960" w:type="dxa"/>
            <w:tcBorders>
              <w:top w:val="nil"/>
              <w:left w:val="nil"/>
              <w:bottom w:val="nil"/>
              <w:right w:val="nil"/>
            </w:tcBorders>
            <w:shd w:val="clear" w:color="auto" w:fill="auto"/>
            <w:noWrap/>
            <w:vAlign w:val="bottom"/>
            <w:hideMark/>
          </w:tcPr>
          <w:p w14:paraId="20F5777B" w14:textId="77777777" w:rsidR="00E32089" w:rsidRPr="000B20D5" w:rsidRDefault="00E32089" w:rsidP="00454D06">
            <w:pPr>
              <w:rPr>
                <w:rFonts w:ascii="Times New Roman" w:eastAsia="Times New Roman" w:hAnsi="Times New Roman" w:cs="Times New Roman"/>
                <w:color w:val="000000"/>
                <w:lang w:val="en-GB"/>
              </w:rPr>
            </w:pPr>
            <w:r w:rsidRPr="000B20D5">
              <w:rPr>
                <w:rFonts w:ascii="Times New Roman" w:eastAsia="Times New Roman" w:hAnsi="Times New Roman" w:cs="Times New Roman"/>
                <w:color w:val="000000"/>
                <w:lang w:val="en-GB"/>
              </w:rPr>
              <w:t>2.05</w:t>
            </w:r>
          </w:p>
        </w:tc>
      </w:tr>
      <w:tr w:rsidR="00E32089" w:rsidRPr="000B20D5" w14:paraId="1C8D8C5B" w14:textId="77777777" w:rsidTr="00F00D71">
        <w:trPr>
          <w:trHeight w:val="300"/>
          <w:jc w:val="center"/>
        </w:trPr>
        <w:tc>
          <w:tcPr>
            <w:tcW w:w="1820" w:type="dxa"/>
            <w:tcBorders>
              <w:top w:val="single" w:sz="4" w:space="0" w:color="auto"/>
              <w:left w:val="nil"/>
              <w:bottom w:val="single" w:sz="4" w:space="0" w:color="auto"/>
              <w:right w:val="nil"/>
            </w:tcBorders>
            <w:shd w:val="clear" w:color="auto" w:fill="auto"/>
            <w:noWrap/>
            <w:vAlign w:val="bottom"/>
            <w:hideMark/>
          </w:tcPr>
          <w:p w14:paraId="786B1AE6" w14:textId="77777777" w:rsidR="00E32089" w:rsidRPr="000B20D5" w:rsidRDefault="00E32089" w:rsidP="00454D06">
            <w:pPr>
              <w:rPr>
                <w:rFonts w:ascii="Times New Roman" w:eastAsia="Times New Roman" w:hAnsi="Times New Roman" w:cs="Times New Roman"/>
                <w:b/>
                <w:bCs/>
                <w:color w:val="000000"/>
                <w:lang w:val="en-GB"/>
              </w:rPr>
            </w:pPr>
            <w:r w:rsidRPr="000B20D5">
              <w:rPr>
                <w:rFonts w:ascii="Times New Roman" w:eastAsia="Times New Roman" w:hAnsi="Times New Roman" w:cs="Times New Roman"/>
                <w:b/>
                <w:bCs/>
                <w:color w:val="000000"/>
                <w:lang w:val="en-GB"/>
              </w:rPr>
              <w:t>Mean ± SD</w:t>
            </w:r>
          </w:p>
        </w:tc>
        <w:tc>
          <w:tcPr>
            <w:tcW w:w="3740" w:type="dxa"/>
            <w:tcBorders>
              <w:top w:val="single" w:sz="4" w:space="0" w:color="auto"/>
              <w:left w:val="nil"/>
              <w:bottom w:val="single" w:sz="4" w:space="0" w:color="auto"/>
              <w:right w:val="nil"/>
            </w:tcBorders>
            <w:shd w:val="clear" w:color="auto" w:fill="auto"/>
            <w:noWrap/>
            <w:vAlign w:val="bottom"/>
            <w:hideMark/>
          </w:tcPr>
          <w:p w14:paraId="3FF3E78C" w14:textId="77777777" w:rsidR="00E32089" w:rsidRPr="000B20D5" w:rsidRDefault="00E32089" w:rsidP="00454D06">
            <w:pPr>
              <w:rPr>
                <w:rFonts w:ascii="Times New Roman" w:eastAsia="Times New Roman" w:hAnsi="Times New Roman" w:cs="Times New Roman"/>
                <w:b/>
                <w:bCs/>
                <w:color w:val="000000"/>
                <w:lang w:val="en-GB"/>
              </w:rPr>
            </w:pPr>
            <w:r w:rsidRPr="000B20D5">
              <w:rPr>
                <w:rFonts w:ascii="Times New Roman" w:eastAsia="Times New Roman" w:hAnsi="Times New Roman" w:cs="Times New Roman"/>
                <w:b/>
                <w:bCs/>
                <w:color w:val="000000"/>
                <w:lang w:val="en-GB"/>
              </w:rPr>
              <w:t>311.48 ± 77.84</w:t>
            </w:r>
          </w:p>
        </w:tc>
        <w:tc>
          <w:tcPr>
            <w:tcW w:w="1960" w:type="dxa"/>
            <w:tcBorders>
              <w:top w:val="single" w:sz="4" w:space="0" w:color="auto"/>
              <w:left w:val="nil"/>
              <w:bottom w:val="single" w:sz="4" w:space="0" w:color="auto"/>
              <w:right w:val="nil"/>
            </w:tcBorders>
            <w:shd w:val="clear" w:color="auto" w:fill="auto"/>
            <w:noWrap/>
            <w:vAlign w:val="bottom"/>
            <w:hideMark/>
          </w:tcPr>
          <w:p w14:paraId="0B06BD01" w14:textId="77777777" w:rsidR="00E32089" w:rsidRPr="000B20D5" w:rsidRDefault="00E32089" w:rsidP="00454D06">
            <w:pPr>
              <w:rPr>
                <w:rFonts w:ascii="Times New Roman" w:eastAsia="Times New Roman" w:hAnsi="Times New Roman" w:cs="Times New Roman"/>
                <w:b/>
                <w:bCs/>
                <w:color w:val="000000"/>
                <w:lang w:val="en-GB"/>
              </w:rPr>
            </w:pPr>
            <w:r w:rsidRPr="000B20D5">
              <w:rPr>
                <w:rFonts w:ascii="Times New Roman" w:eastAsia="Times New Roman" w:hAnsi="Times New Roman" w:cs="Times New Roman"/>
                <w:b/>
                <w:bCs/>
                <w:color w:val="000000"/>
                <w:lang w:val="en-GB"/>
              </w:rPr>
              <w:t>2.11 ± 0.04</w:t>
            </w:r>
          </w:p>
        </w:tc>
      </w:tr>
    </w:tbl>
    <w:p w14:paraId="7D4E5359" w14:textId="77777777" w:rsidR="00E32089" w:rsidRDefault="00E32089" w:rsidP="00E32089">
      <w:pPr>
        <w:rPr>
          <w:rFonts w:ascii="Times New Roman" w:hAnsi="Times New Roman" w:cs="Times New Roman"/>
          <w:b/>
          <w:noProof/>
        </w:rPr>
      </w:pPr>
    </w:p>
    <w:p w14:paraId="40E08ACC" w14:textId="77777777" w:rsidR="00E32089" w:rsidRDefault="00E32089" w:rsidP="00E32089">
      <w:pPr>
        <w:rPr>
          <w:rFonts w:ascii="Times New Roman" w:hAnsi="Times New Roman" w:cs="Times New Roman"/>
          <w:b/>
          <w:noProof/>
        </w:rPr>
      </w:pPr>
    </w:p>
    <w:p w14:paraId="19FF6814" w14:textId="0FEAA31F" w:rsidR="00D51496" w:rsidRDefault="004208EC" w:rsidP="00C63BC1">
      <w:pPr>
        <w:spacing w:line="360" w:lineRule="auto"/>
        <w:jc w:val="both"/>
        <w:rPr>
          <w:rFonts w:ascii="Times New Roman" w:eastAsia="Times New Roman" w:hAnsi="Times New Roman" w:cs="Times New Roman"/>
          <w:bCs/>
          <w:color w:val="000000"/>
          <w:lang w:val="en-GB"/>
        </w:rPr>
      </w:pPr>
      <w:r>
        <w:rPr>
          <w:rFonts w:ascii="Times New Roman" w:eastAsia="Times New Roman" w:hAnsi="Times New Roman" w:cs="Times New Roman"/>
          <w:bCs/>
          <w:color w:val="000000"/>
          <w:lang w:val="en-GB"/>
        </w:rPr>
        <w:t>5.5</w:t>
      </w:r>
      <w:r w:rsidRPr="004208EC">
        <w:rPr>
          <w:rFonts w:ascii="Times New Roman" w:eastAsia="Times New Roman" w:hAnsi="Times New Roman" w:cs="Times New Roman"/>
          <w:bCs/>
          <w:color w:val="000000"/>
          <w:lang w:val="en-GB"/>
        </w:rPr>
        <w:t>μ</w:t>
      </w:r>
      <w:r>
        <w:rPr>
          <w:rFonts w:ascii="Times New Roman" w:eastAsia="Times New Roman" w:hAnsi="Times New Roman" w:cs="Times New Roman"/>
          <w:bCs/>
          <w:color w:val="000000"/>
          <w:lang w:val="en-GB"/>
        </w:rPr>
        <w:t>g of</w:t>
      </w:r>
      <w:r w:rsidR="00A80195" w:rsidRPr="004208EC">
        <w:rPr>
          <w:rFonts w:ascii="Times New Roman" w:eastAsia="Times New Roman" w:hAnsi="Times New Roman" w:cs="Times New Roman"/>
          <w:bCs/>
          <w:color w:val="000000"/>
          <w:lang w:val="en-GB"/>
        </w:rPr>
        <w:t xml:space="preserve"> </w:t>
      </w:r>
      <w:r w:rsidR="00A80195">
        <w:rPr>
          <w:rFonts w:ascii="Times New Roman" w:eastAsia="Times New Roman" w:hAnsi="Times New Roman" w:cs="Times New Roman"/>
          <w:bCs/>
          <w:color w:val="000000"/>
          <w:lang w:val="en-GB"/>
        </w:rPr>
        <w:t xml:space="preserve">purified </w:t>
      </w:r>
      <w:r>
        <w:rPr>
          <w:rFonts w:ascii="Times New Roman" w:eastAsia="Times New Roman" w:hAnsi="Times New Roman" w:cs="Times New Roman"/>
          <w:bCs/>
          <w:color w:val="000000"/>
          <w:lang w:val="en-GB"/>
        </w:rPr>
        <w:t>ss-cDNA</w:t>
      </w:r>
      <w:r w:rsidR="00A80195">
        <w:rPr>
          <w:rFonts w:ascii="Times New Roman" w:eastAsia="Times New Roman" w:hAnsi="Times New Roman" w:cs="Times New Roman"/>
          <w:bCs/>
          <w:color w:val="000000"/>
          <w:lang w:val="en-GB"/>
        </w:rPr>
        <w:t xml:space="preserve"> wa</w:t>
      </w:r>
      <w:r w:rsidR="00EF27FE">
        <w:rPr>
          <w:rFonts w:ascii="Times New Roman" w:eastAsia="Times New Roman" w:hAnsi="Times New Roman" w:cs="Times New Roman"/>
          <w:bCs/>
          <w:color w:val="000000"/>
          <w:lang w:val="en-GB"/>
        </w:rPr>
        <w:t>s fragmented by uracil-DNA glycosylase (UDG)</w:t>
      </w:r>
      <w:r w:rsidR="00317013">
        <w:rPr>
          <w:rFonts w:ascii="Times New Roman" w:eastAsia="Times New Roman" w:hAnsi="Times New Roman" w:cs="Times New Roman"/>
          <w:bCs/>
          <w:color w:val="000000"/>
          <w:lang w:val="en-GB"/>
        </w:rPr>
        <w:t xml:space="preserve"> and apurinic/apyrimidinic endonuclease 1 (APE 1) at the dUTP residues </w:t>
      </w:r>
      <w:r w:rsidR="00882F98">
        <w:rPr>
          <w:rFonts w:ascii="Times New Roman" w:eastAsia="Times New Roman" w:hAnsi="Times New Roman" w:cs="Times New Roman"/>
          <w:bCs/>
          <w:color w:val="000000"/>
          <w:lang w:val="en-GB"/>
        </w:rPr>
        <w:t>to break</w:t>
      </w:r>
      <w:r w:rsidR="00317013">
        <w:rPr>
          <w:rFonts w:ascii="Times New Roman" w:eastAsia="Times New Roman" w:hAnsi="Times New Roman" w:cs="Times New Roman"/>
          <w:bCs/>
          <w:color w:val="000000"/>
          <w:lang w:val="en-GB"/>
        </w:rPr>
        <w:t xml:space="preserve"> the D</w:t>
      </w:r>
      <w:r w:rsidR="00A80195">
        <w:rPr>
          <w:rFonts w:ascii="Times New Roman" w:eastAsia="Times New Roman" w:hAnsi="Times New Roman" w:cs="Times New Roman"/>
          <w:bCs/>
          <w:color w:val="000000"/>
          <w:lang w:val="en-GB"/>
        </w:rPr>
        <w:t>NA strand.</w:t>
      </w:r>
      <w:r w:rsidR="00727FC7">
        <w:rPr>
          <w:rFonts w:ascii="Times New Roman" w:eastAsia="Times New Roman" w:hAnsi="Times New Roman" w:cs="Times New Roman"/>
          <w:bCs/>
          <w:color w:val="000000"/>
          <w:lang w:val="en-GB"/>
        </w:rPr>
        <w:t xml:space="preserve"> </w:t>
      </w:r>
      <w:r w:rsidR="00E32089">
        <w:rPr>
          <w:rFonts w:ascii="Times New Roman" w:eastAsia="Times New Roman" w:hAnsi="Times New Roman" w:cs="Times New Roman"/>
          <w:bCs/>
          <w:color w:val="000000"/>
          <w:lang w:val="en-GB"/>
        </w:rPr>
        <w:t>Fragmentation was confirmed using the Agilent 2100</w:t>
      </w:r>
      <w:r w:rsidR="00A80195">
        <w:rPr>
          <w:rFonts w:ascii="Times New Roman" w:eastAsia="Times New Roman" w:hAnsi="Times New Roman" w:cs="Times New Roman"/>
          <w:bCs/>
          <w:color w:val="000000"/>
          <w:lang w:val="en-GB"/>
        </w:rPr>
        <w:t xml:space="preserve"> </w:t>
      </w:r>
      <w:r w:rsidR="00E32089">
        <w:rPr>
          <w:rFonts w:ascii="Times New Roman" w:eastAsia="Times New Roman" w:hAnsi="Times New Roman" w:cs="Times New Roman"/>
          <w:bCs/>
          <w:color w:val="000000"/>
          <w:lang w:val="en-GB"/>
        </w:rPr>
        <w:t>Bioanalyser (</w:t>
      </w:r>
      <w:r w:rsidR="00E32089" w:rsidRPr="000273AF">
        <w:rPr>
          <w:rFonts w:ascii="Times New Roman" w:eastAsia="Times New Roman" w:hAnsi="Times New Roman" w:cs="Times New Roman"/>
          <w:b/>
          <w:bCs/>
          <w:color w:val="000000"/>
          <w:lang w:val="en-GB"/>
        </w:rPr>
        <w:t xml:space="preserve">figure </w:t>
      </w:r>
      <w:r w:rsidR="009F33F9" w:rsidRPr="000273AF">
        <w:rPr>
          <w:rFonts w:ascii="Times New Roman" w:eastAsia="Times New Roman" w:hAnsi="Times New Roman" w:cs="Times New Roman"/>
          <w:b/>
          <w:bCs/>
          <w:color w:val="000000"/>
          <w:lang w:val="en-GB"/>
        </w:rPr>
        <w:t>5.8</w:t>
      </w:r>
      <w:r w:rsidR="00E32089">
        <w:rPr>
          <w:rFonts w:ascii="Times New Roman" w:eastAsia="Times New Roman" w:hAnsi="Times New Roman" w:cs="Times New Roman"/>
          <w:bCs/>
          <w:color w:val="000000"/>
          <w:lang w:val="en-GB"/>
        </w:rPr>
        <w:t xml:space="preserve">). </w:t>
      </w:r>
      <w:r w:rsidR="00A80195">
        <w:rPr>
          <w:rFonts w:ascii="Times New Roman" w:eastAsia="Times New Roman" w:hAnsi="Times New Roman" w:cs="Times New Roman"/>
          <w:bCs/>
          <w:color w:val="000000"/>
          <w:lang w:val="en-GB"/>
        </w:rPr>
        <w:t>The fragmented cDNA wa</w:t>
      </w:r>
      <w:r w:rsidR="00317013">
        <w:rPr>
          <w:rFonts w:ascii="Times New Roman" w:eastAsia="Times New Roman" w:hAnsi="Times New Roman" w:cs="Times New Roman"/>
          <w:bCs/>
          <w:color w:val="000000"/>
          <w:lang w:val="en-GB"/>
        </w:rPr>
        <w:t>s then labelled</w:t>
      </w:r>
      <w:r w:rsidR="00882F98">
        <w:rPr>
          <w:rFonts w:ascii="Times New Roman" w:eastAsia="Times New Roman" w:hAnsi="Times New Roman" w:cs="Times New Roman"/>
          <w:bCs/>
          <w:color w:val="000000"/>
          <w:lang w:val="en-GB"/>
        </w:rPr>
        <w:t xml:space="preserve"> with biotin</w:t>
      </w:r>
      <w:r w:rsidR="00317013">
        <w:rPr>
          <w:rFonts w:ascii="Times New Roman" w:eastAsia="Times New Roman" w:hAnsi="Times New Roman" w:cs="Times New Roman"/>
          <w:bCs/>
          <w:color w:val="000000"/>
          <w:lang w:val="en-GB"/>
        </w:rPr>
        <w:t xml:space="preserve"> using terminal deoxynucleotidyl transferase (TdT)</w:t>
      </w:r>
      <w:r w:rsidR="00882F98">
        <w:rPr>
          <w:rFonts w:ascii="Times New Roman" w:eastAsia="Times New Roman" w:hAnsi="Times New Roman" w:cs="Times New Roman"/>
          <w:bCs/>
          <w:color w:val="000000"/>
          <w:lang w:val="en-GB"/>
        </w:rPr>
        <w:t xml:space="preserve"> and</w:t>
      </w:r>
      <w:r w:rsidR="00A80195">
        <w:rPr>
          <w:rFonts w:ascii="Times New Roman" w:eastAsia="Times New Roman" w:hAnsi="Times New Roman" w:cs="Times New Roman"/>
          <w:bCs/>
          <w:color w:val="000000"/>
          <w:lang w:val="en-GB"/>
        </w:rPr>
        <w:t xml:space="preserve"> the Affymetrix proprietary DNA labelling reagent that is covalently linked to biotin. A gel-shift assay was used to assess biotin labelling of the cDNA (</w:t>
      </w:r>
      <w:r w:rsidR="00A80195" w:rsidRPr="000273AF">
        <w:rPr>
          <w:rFonts w:ascii="Times New Roman" w:eastAsia="Times New Roman" w:hAnsi="Times New Roman" w:cs="Times New Roman"/>
          <w:b/>
          <w:bCs/>
          <w:color w:val="000000"/>
          <w:lang w:val="en-GB"/>
        </w:rPr>
        <w:t xml:space="preserve">figure </w:t>
      </w:r>
      <w:r w:rsidR="009F33F9" w:rsidRPr="000273AF">
        <w:rPr>
          <w:rFonts w:ascii="Times New Roman" w:eastAsia="Times New Roman" w:hAnsi="Times New Roman" w:cs="Times New Roman"/>
          <w:b/>
          <w:bCs/>
          <w:color w:val="000000"/>
          <w:lang w:val="en-GB"/>
        </w:rPr>
        <w:t>5.9</w:t>
      </w:r>
      <w:r w:rsidR="00A80195">
        <w:rPr>
          <w:rFonts w:ascii="Times New Roman" w:eastAsia="Times New Roman" w:hAnsi="Times New Roman" w:cs="Times New Roman"/>
          <w:bCs/>
          <w:color w:val="000000"/>
          <w:lang w:val="en-GB"/>
        </w:rPr>
        <w:t>) and demonstrated successful labelling of all six samples</w:t>
      </w:r>
      <w:r w:rsidR="0098077B">
        <w:rPr>
          <w:rFonts w:ascii="Times New Roman" w:eastAsia="Times New Roman" w:hAnsi="Times New Roman" w:cs="Times New Roman"/>
          <w:bCs/>
          <w:color w:val="000000"/>
          <w:lang w:val="en-GB"/>
        </w:rPr>
        <w:t xml:space="preserve"> (C1-M3)</w:t>
      </w:r>
      <w:r w:rsidR="00A80195">
        <w:rPr>
          <w:rFonts w:ascii="Times New Roman" w:eastAsia="Times New Roman" w:hAnsi="Times New Roman" w:cs="Times New Roman"/>
          <w:bCs/>
          <w:color w:val="000000"/>
          <w:lang w:val="en-GB"/>
        </w:rPr>
        <w:t xml:space="preserve">. </w:t>
      </w:r>
      <w:r w:rsidR="0098077B">
        <w:rPr>
          <w:rFonts w:ascii="Times New Roman" w:eastAsia="Times New Roman" w:hAnsi="Times New Roman" w:cs="Times New Roman"/>
          <w:bCs/>
          <w:color w:val="000000"/>
          <w:lang w:val="en-GB"/>
        </w:rPr>
        <w:t>This labelling step is important for efficient hybridisatio</w:t>
      </w:r>
      <w:r w:rsidR="00882F98">
        <w:rPr>
          <w:rFonts w:ascii="Times New Roman" w:eastAsia="Times New Roman" w:hAnsi="Times New Roman" w:cs="Times New Roman"/>
          <w:bCs/>
          <w:color w:val="000000"/>
          <w:lang w:val="en-GB"/>
        </w:rPr>
        <w:t xml:space="preserve">n of samples to GeneChip arrays (washing and hybridisation steps </w:t>
      </w:r>
      <w:r w:rsidR="00D35DA9">
        <w:rPr>
          <w:rFonts w:ascii="Times New Roman" w:eastAsia="Times New Roman" w:hAnsi="Times New Roman" w:cs="Times New Roman"/>
          <w:bCs/>
          <w:color w:val="000000"/>
          <w:lang w:val="en-GB"/>
        </w:rPr>
        <w:t>are described</w:t>
      </w:r>
      <w:r w:rsidR="00882F98">
        <w:rPr>
          <w:rFonts w:ascii="Times New Roman" w:eastAsia="Times New Roman" w:hAnsi="Times New Roman" w:cs="Times New Roman"/>
          <w:bCs/>
          <w:color w:val="000000"/>
          <w:lang w:val="en-GB"/>
        </w:rPr>
        <w:t xml:space="preserve"> in chapter 2</w:t>
      </w:r>
      <w:r w:rsidR="008451E8">
        <w:rPr>
          <w:rFonts w:ascii="Times New Roman" w:eastAsia="Times New Roman" w:hAnsi="Times New Roman" w:cs="Times New Roman"/>
          <w:bCs/>
          <w:color w:val="000000"/>
          <w:lang w:val="en-GB"/>
        </w:rPr>
        <w:t>, section 2.2.6</w:t>
      </w:r>
      <w:r w:rsidR="00882F98">
        <w:rPr>
          <w:rFonts w:ascii="Times New Roman" w:eastAsia="Times New Roman" w:hAnsi="Times New Roman" w:cs="Times New Roman"/>
          <w:bCs/>
          <w:color w:val="000000"/>
          <w:lang w:val="en-GB"/>
        </w:rPr>
        <w:t>)</w:t>
      </w:r>
      <w:r w:rsidR="00C63BC1">
        <w:rPr>
          <w:rFonts w:ascii="Times New Roman" w:eastAsia="Times New Roman" w:hAnsi="Times New Roman" w:cs="Times New Roman"/>
          <w:bCs/>
          <w:color w:val="000000"/>
          <w:lang w:val="en-GB"/>
        </w:rPr>
        <w:t>.</w:t>
      </w:r>
    </w:p>
    <w:p w14:paraId="7140EDE1" w14:textId="77777777" w:rsidR="00101A97" w:rsidRPr="00203DD0" w:rsidRDefault="00101A97" w:rsidP="008C0E71">
      <w:pPr>
        <w:spacing w:line="360" w:lineRule="auto"/>
        <w:rPr>
          <w:rFonts w:ascii="Times New Roman" w:hAnsi="Times New Roman" w:cs="Times New Roman"/>
          <w:noProof/>
          <w:color w:val="000000" w:themeColor="text1"/>
        </w:rPr>
      </w:pPr>
    </w:p>
    <w:p w14:paraId="7386B9C6" w14:textId="77777777" w:rsidR="00F03E18" w:rsidRDefault="00F03E18">
      <w:pPr>
        <w:rPr>
          <w:rFonts w:ascii="Times New Roman" w:hAnsi="Times New Roman" w:cs="Times New Roman"/>
          <w:b/>
          <w:noProof/>
        </w:rPr>
      </w:pPr>
    </w:p>
    <w:p w14:paraId="1291D047" w14:textId="77777777" w:rsidR="00F03E18" w:rsidRDefault="00F03E18">
      <w:pPr>
        <w:rPr>
          <w:rFonts w:ascii="Times New Roman" w:hAnsi="Times New Roman" w:cs="Times New Roman"/>
          <w:b/>
          <w:noProof/>
        </w:rPr>
      </w:pPr>
    </w:p>
    <w:p w14:paraId="66420CAF" w14:textId="77777777" w:rsidR="00144EFB" w:rsidRDefault="00144EFB">
      <w:pPr>
        <w:rPr>
          <w:rFonts w:ascii="Times New Roman" w:hAnsi="Times New Roman" w:cs="Times New Roman"/>
          <w:b/>
          <w:noProof/>
        </w:rPr>
      </w:pPr>
    </w:p>
    <w:p w14:paraId="0EED7004" w14:textId="77777777" w:rsidR="00144EFB" w:rsidRDefault="00144EFB">
      <w:pPr>
        <w:rPr>
          <w:rFonts w:ascii="Times New Roman" w:hAnsi="Times New Roman" w:cs="Times New Roman"/>
          <w:b/>
          <w:noProof/>
        </w:rPr>
      </w:pPr>
    </w:p>
    <w:p w14:paraId="7A4CF956" w14:textId="77777777" w:rsidR="00144EFB" w:rsidRDefault="00144EFB">
      <w:pPr>
        <w:rPr>
          <w:rFonts w:ascii="Times New Roman" w:hAnsi="Times New Roman" w:cs="Times New Roman"/>
          <w:b/>
          <w:noProof/>
        </w:rPr>
      </w:pPr>
    </w:p>
    <w:p w14:paraId="76064C15" w14:textId="77777777" w:rsidR="00144EFB" w:rsidRDefault="00144EFB" w:rsidP="000A2A6D">
      <w:pPr>
        <w:spacing w:line="360" w:lineRule="auto"/>
        <w:rPr>
          <w:rFonts w:ascii="Times New Roman" w:hAnsi="Times New Roman" w:cs="Times New Roman"/>
          <w:b/>
          <w:noProof/>
        </w:rPr>
      </w:pPr>
    </w:p>
    <w:p w14:paraId="162EEC07" w14:textId="1FF745B5" w:rsidR="00905643" w:rsidRDefault="00905643">
      <w:pPr>
        <w:rPr>
          <w:rFonts w:ascii="Times New Roman" w:hAnsi="Times New Roman" w:cs="Times New Roman"/>
          <w:b/>
          <w:noProof/>
        </w:rPr>
      </w:pPr>
    </w:p>
    <w:p w14:paraId="088F78AA" w14:textId="5E1FCC44" w:rsidR="009E5564" w:rsidRDefault="00D144D6">
      <w:pPr>
        <w:rPr>
          <w:rFonts w:ascii="Times New Roman" w:hAnsi="Times New Roman" w:cs="Times New Roman"/>
          <w:b/>
          <w:noProof/>
        </w:rPr>
      </w:pPr>
      <w:r>
        <w:rPr>
          <w:rFonts w:ascii="Times New Roman" w:hAnsi="Times New Roman" w:cs="Times New Roman"/>
          <w:b/>
          <w:noProof/>
        </w:rPr>
        <w:t xml:space="preserve">    </w:t>
      </w:r>
      <w:r w:rsidR="00905643">
        <w:rPr>
          <w:rFonts w:ascii="Times New Roman" w:hAnsi="Times New Roman" w:cs="Times New Roman"/>
          <w:b/>
          <w:noProof/>
        </w:rPr>
        <w:t xml:space="preserve">   </w:t>
      </w:r>
      <w:r w:rsidR="004576E1">
        <w:rPr>
          <w:rFonts w:ascii="Times New Roman" w:hAnsi="Times New Roman" w:cs="Times New Roman"/>
          <w:b/>
          <w:noProof/>
        </w:rPr>
        <w:t xml:space="preserve">          </w:t>
      </w:r>
      <w:r w:rsidR="00905643">
        <w:rPr>
          <w:rFonts w:ascii="Times New Roman" w:hAnsi="Times New Roman" w:cs="Times New Roman"/>
          <w:b/>
          <w:noProof/>
        </w:rPr>
        <w:t xml:space="preserve">    </w:t>
      </w:r>
      <w:r w:rsidR="00144EFB">
        <w:rPr>
          <w:rFonts w:ascii="Times New Roman" w:hAnsi="Times New Roman" w:cs="Times New Roman"/>
          <w:b/>
          <w:noProof/>
        </w:rPr>
        <w:drawing>
          <wp:inline distT="0" distB="0" distL="0" distR="0" wp14:anchorId="2ADF5AAC" wp14:editId="6420EC8D">
            <wp:extent cx="3420791" cy="3886200"/>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90">
                      <a:extLst>
                        <a:ext uri="{28A0092B-C50C-407E-A947-70E740481C1C}">
                          <a14:useLocalDpi xmlns:a14="http://schemas.microsoft.com/office/drawing/2010/main" val="0"/>
                        </a:ext>
                      </a:extLst>
                    </a:blip>
                    <a:srcRect l="18700" t="8183" r="22870" b="7258"/>
                    <a:stretch/>
                  </pic:blipFill>
                  <pic:spPr bwMode="auto">
                    <a:xfrm>
                      <a:off x="0" y="0"/>
                      <a:ext cx="3424106" cy="3889966"/>
                    </a:xfrm>
                    <a:prstGeom prst="rect">
                      <a:avLst/>
                    </a:prstGeom>
                    <a:ln>
                      <a:noFill/>
                    </a:ln>
                    <a:extLst>
                      <a:ext uri="{53640926-AAD7-44d8-BBD7-CCE9431645EC}">
                        <a14:shadowObscured xmlns:a14="http://schemas.microsoft.com/office/drawing/2010/main"/>
                      </a:ext>
                    </a:extLst>
                  </pic:spPr>
                </pic:pic>
              </a:graphicData>
            </a:graphic>
          </wp:inline>
        </w:drawing>
      </w:r>
    </w:p>
    <w:p w14:paraId="08F79FFC" w14:textId="77777777" w:rsidR="004C1D27" w:rsidRDefault="002F29B6" w:rsidP="00C664C4">
      <w:pPr>
        <w:pStyle w:val="Caption"/>
        <w:rPr>
          <w:noProof/>
        </w:rPr>
      </w:pPr>
      <w:bookmarkStart w:id="1970" w:name="_Toc333569085"/>
      <w:bookmarkStart w:id="1971" w:name="_Toc333569310"/>
      <w:bookmarkStart w:id="1972" w:name="_Toc333570864"/>
      <w:bookmarkStart w:id="1973" w:name="_Toc333582247"/>
      <w:bookmarkStart w:id="1974" w:name="_Toc333582367"/>
      <w:bookmarkStart w:id="1975" w:name="_Toc333582779"/>
      <w:bookmarkStart w:id="1976" w:name="_Toc333583149"/>
      <w:bookmarkStart w:id="1977" w:name="_Toc333585261"/>
      <w:bookmarkStart w:id="1978" w:name="_Toc333586813"/>
      <w:bookmarkStart w:id="1979" w:name="_Toc333644512"/>
      <w:bookmarkStart w:id="1980" w:name="_Toc333644806"/>
      <w:r>
        <w:rPr>
          <w:noProof/>
        </w:rPr>
        <w:t xml:space="preserve">Figure </w:t>
      </w:r>
      <w:r w:rsidR="009F33F9">
        <w:rPr>
          <w:noProof/>
        </w:rPr>
        <w:t>5.8</w:t>
      </w:r>
      <w:r w:rsidR="0043060F">
        <w:rPr>
          <w:noProof/>
        </w:rPr>
        <w:t>.</w:t>
      </w:r>
      <w:r>
        <w:rPr>
          <w:noProof/>
        </w:rPr>
        <w:t xml:space="preserve"> Assessing fragmentation of ss</w:t>
      </w:r>
      <w:r w:rsidR="004208EC">
        <w:rPr>
          <w:noProof/>
        </w:rPr>
        <w:t>-</w:t>
      </w:r>
      <w:r>
        <w:rPr>
          <w:noProof/>
        </w:rPr>
        <w:t>cDNA</w:t>
      </w:r>
      <w:r w:rsidR="004C1D27">
        <w:rPr>
          <w:noProof/>
        </w:rPr>
        <w:t>.</w:t>
      </w:r>
      <w:bookmarkEnd w:id="1970"/>
      <w:bookmarkEnd w:id="1971"/>
      <w:bookmarkEnd w:id="1972"/>
      <w:bookmarkEnd w:id="1973"/>
      <w:bookmarkEnd w:id="1974"/>
      <w:bookmarkEnd w:id="1975"/>
      <w:bookmarkEnd w:id="1976"/>
      <w:bookmarkEnd w:id="1977"/>
      <w:bookmarkEnd w:id="1978"/>
      <w:bookmarkEnd w:id="1979"/>
      <w:bookmarkEnd w:id="1980"/>
    </w:p>
    <w:p w14:paraId="084B0B30" w14:textId="74495BF4" w:rsidR="002F29B6" w:rsidRPr="000A2A6D" w:rsidRDefault="002F29B6" w:rsidP="00C63BC1">
      <w:pPr>
        <w:spacing w:line="360" w:lineRule="auto"/>
        <w:jc w:val="both"/>
        <w:rPr>
          <w:rFonts w:ascii="Times New Roman" w:hAnsi="Times New Roman" w:cs="Times New Roman"/>
          <w:noProof/>
        </w:rPr>
      </w:pPr>
      <w:r>
        <w:rPr>
          <w:rFonts w:ascii="Times New Roman" w:hAnsi="Times New Roman" w:cs="Times New Roman"/>
          <w:noProof/>
        </w:rPr>
        <w:t>An example electropherogram and corresponding electrophoresis gel produced by the Agilent 2100 Bioanalyzer used to assess fragmentation of ss</w:t>
      </w:r>
      <w:r w:rsidR="00872B86">
        <w:rPr>
          <w:rFonts w:ascii="Times New Roman" w:hAnsi="Times New Roman" w:cs="Times New Roman"/>
          <w:noProof/>
        </w:rPr>
        <w:t>-</w:t>
      </w:r>
      <w:r>
        <w:rPr>
          <w:rFonts w:ascii="Times New Roman" w:hAnsi="Times New Roman" w:cs="Times New Roman"/>
          <w:noProof/>
        </w:rPr>
        <w:t>cDNA. The shift in the peak to the left is indicative of successful fragmentation</w:t>
      </w:r>
      <w:r w:rsidR="004208EC">
        <w:rPr>
          <w:rFonts w:ascii="Times New Roman" w:hAnsi="Times New Roman" w:cs="Times New Roman"/>
          <w:noProof/>
        </w:rPr>
        <w:t>.</w:t>
      </w:r>
      <w:r w:rsidR="00D35DA9">
        <w:rPr>
          <w:rFonts w:ascii="Times New Roman" w:hAnsi="Times New Roman" w:cs="Times New Roman"/>
          <w:noProof/>
        </w:rPr>
        <w:t xml:space="preserve"> </w:t>
      </w:r>
      <w:r w:rsidR="00A0000C">
        <w:rPr>
          <w:rFonts w:ascii="Times New Roman" w:hAnsi="Times New Roman" w:cs="Times New Roman"/>
          <w:noProof/>
        </w:rPr>
        <w:t>(FU=fluorescence unit).</w:t>
      </w:r>
    </w:p>
    <w:p w14:paraId="0D9842E7" w14:textId="77777777" w:rsidR="00905643" w:rsidRDefault="00905643">
      <w:pPr>
        <w:rPr>
          <w:rFonts w:ascii="Times New Roman" w:hAnsi="Times New Roman" w:cs="Times New Roman"/>
          <w:b/>
          <w:noProof/>
        </w:rPr>
      </w:pPr>
    </w:p>
    <w:p w14:paraId="254B4002" w14:textId="36DA1C2A" w:rsidR="00905643" w:rsidRDefault="00E32089">
      <w:pPr>
        <w:rPr>
          <w:rFonts w:ascii="Times New Roman" w:hAnsi="Times New Roman" w:cs="Times New Roman"/>
          <w:b/>
          <w:noProof/>
        </w:rPr>
      </w:pPr>
      <w:r>
        <w:rPr>
          <w:rFonts w:ascii="Times New Roman" w:hAnsi="Times New Roman" w:cs="Times New Roman"/>
          <w:b/>
          <w:noProof/>
        </w:rPr>
        <w:t xml:space="preserve"> </w:t>
      </w:r>
      <w:r w:rsidR="009D0DF8">
        <w:rPr>
          <w:rFonts w:ascii="Times New Roman" w:hAnsi="Times New Roman" w:cs="Times New Roman"/>
          <w:b/>
          <w:noProof/>
        </w:rPr>
        <w:t xml:space="preserve">     </w:t>
      </w:r>
      <w:r w:rsidR="00870F23">
        <w:rPr>
          <w:rFonts w:ascii="Times New Roman" w:hAnsi="Times New Roman" w:cs="Times New Roman"/>
          <w:b/>
          <w:noProof/>
        </w:rPr>
        <w:t xml:space="preserve">     </w:t>
      </w:r>
      <w:r w:rsidR="009D0DF8">
        <w:rPr>
          <w:rFonts w:ascii="Times New Roman" w:hAnsi="Times New Roman" w:cs="Times New Roman"/>
          <w:b/>
          <w:noProof/>
        </w:rPr>
        <w:t xml:space="preserve">    </w:t>
      </w:r>
      <w:r>
        <w:rPr>
          <w:rFonts w:ascii="Times New Roman" w:hAnsi="Times New Roman" w:cs="Times New Roman"/>
          <w:b/>
          <w:noProof/>
        </w:rPr>
        <w:t xml:space="preserve">    </w:t>
      </w:r>
      <w:r w:rsidR="00905643">
        <w:rPr>
          <w:rFonts w:ascii="Times New Roman" w:hAnsi="Times New Roman" w:cs="Times New Roman"/>
          <w:b/>
          <w:noProof/>
        </w:rPr>
        <w:drawing>
          <wp:inline distT="0" distB="0" distL="0" distR="0" wp14:anchorId="4E7BFDC0" wp14:editId="2BB7FBFF">
            <wp:extent cx="3688678" cy="343988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91">
                      <a:extLst>
                        <a:ext uri="{28A0092B-C50C-407E-A947-70E740481C1C}">
                          <a14:useLocalDpi xmlns:a14="http://schemas.microsoft.com/office/drawing/2010/main" val="0"/>
                        </a:ext>
                      </a:extLst>
                    </a:blip>
                    <a:srcRect l="20276" t="8073" r="28094" b="27715"/>
                    <a:stretch/>
                  </pic:blipFill>
                  <pic:spPr bwMode="auto">
                    <a:xfrm>
                      <a:off x="0" y="0"/>
                      <a:ext cx="3689236" cy="3440401"/>
                    </a:xfrm>
                    <a:prstGeom prst="rect">
                      <a:avLst/>
                    </a:prstGeom>
                    <a:ln>
                      <a:noFill/>
                    </a:ln>
                    <a:extLst>
                      <a:ext uri="{53640926-AAD7-44d8-BBD7-CCE9431645EC}">
                        <a14:shadowObscured xmlns:a14="http://schemas.microsoft.com/office/drawing/2010/main"/>
                      </a:ext>
                    </a:extLst>
                  </pic:spPr>
                </pic:pic>
              </a:graphicData>
            </a:graphic>
          </wp:inline>
        </w:drawing>
      </w:r>
    </w:p>
    <w:p w14:paraId="4ABC53C0" w14:textId="77777777" w:rsidR="003E717E" w:rsidRDefault="003E717E">
      <w:pPr>
        <w:rPr>
          <w:rFonts w:ascii="Times New Roman" w:hAnsi="Times New Roman" w:cs="Times New Roman"/>
          <w:b/>
          <w:noProof/>
        </w:rPr>
      </w:pPr>
    </w:p>
    <w:p w14:paraId="35E5CF48" w14:textId="77777777" w:rsidR="003E717E" w:rsidRDefault="003E717E" w:rsidP="00C63BC1">
      <w:pPr>
        <w:jc w:val="both"/>
        <w:rPr>
          <w:rFonts w:ascii="Times New Roman" w:hAnsi="Times New Roman" w:cs="Times New Roman"/>
          <w:b/>
          <w:noProof/>
        </w:rPr>
      </w:pPr>
    </w:p>
    <w:p w14:paraId="4CE7CD69" w14:textId="77777777" w:rsidR="004C1D27" w:rsidRDefault="002F29B6" w:rsidP="00C664C4">
      <w:pPr>
        <w:pStyle w:val="Caption"/>
        <w:rPr>
          <w:noProof/>
        </w:rPr>
      </w:pPr>
      <w:bookmarkStart w:id="1981" w:name="_Toc333569086"/>
      <w:bookmarkStart w:id="1982" w:name="_Toc333569311"/>
      <w:bookmarkStart w:id="1983" w:name="_Toc333570865"/>
      <w:bookmarkStart w:id="1984" w:name="_Toc333582248"/>
      <w:bookmarkStart w:id="1985" w:name="_Toc333582368"/>
      <w:bookmarkStart w:id="1986" w:name="_Toc333582780"/>
      <w:bookmarkStart w:id="1987" w:name="_Toc333583150"/>
      <w:bookmarkStart w:id="1988" w:name="_Toc333585262"/>
      <w:bookmarkStart w:id="1989" w:name="_Toc333586814"/>
      <w:bookmarkStart w:id="1990" w:name="_Toc333644513"/>
      <w:bookmarkStart w:id="1991" w:name="_Toc333644807"/>
      <w:r>
        <w:rPr>
          <w:noProof/>
        </w:rPr>
        <w:t xml:space="preserve">Figure </w:t>
      </w:r>
      <w:r w:rsidR="009F33F9">
        <w:rPr>
          <w:noProof/>
        </w:rPr>
        <w:t>5.9</w:t>
      </w:r>
      <w:r w:rsidR="0043060F">
        <w:rPr>
          <w:noProof/>
        </w:rPr>
        <w:t>.</w:t>
      </w:r>
      <w:r>
        <w:rPr>
          <w:noProof/>
        </w:rPr>
        <w:t xml:space="preserve"> Assessing biotinylation of fragmented ss-cDNA</w:t>
      </w:r>
      <w:r w:rsidR="004208EC">
        <w:rPr>
          <w:noProof/>
        </w:rPr>
        <w:t>.</w:t>
      </w:r>
      <w:bookmarkEnd w:id="1981"/>
      <w:bookmarkEnd w:id="1982"/>
      <w:bookmarkEnd w:id="1983"/>
      <w:bookmarkEnd w:id="1984"/>
      <w:bookmarkEnd w:id="1985"/>
      <w:bookmarkEnd w:id="1986"/>
      <w:bookmarkEnd w:id="1987"/>
      <w:bookmarkEnd w:id="1988"/>
      <w:bookmarkEnd w:id="1989"/>
      <w:bookmarkEnd w:id="1990"/>
      <w:bookmarkEnd w:id="1991"/>
      <w:r w:rsidR="004208EC">
        <w:rPr>
          <w:noProof/>
        </w:rPr>
        <w:t xml:space="preserve"> </w:t>
      </w:r>
    </w:p>
    <w:p w14:paraId="125DB5D4" w14:textId="73C01008" w:rsidR="00B906CF" w:rsidRPr="00D35DA9" w:rsidRDefault="000B1B90" w:rsidP="00C63BC1">
      <w:pPr>
        <w:spacing w:line="360" w:lineRule="auto"/>
        <w:jc w:val="both"/>
        <w:rPr>
          <w:rFonts w:ascii="Times New Roman" w:hAnsi="Times New Roman" w:cs="Times New Roman"/>
          <w:noProof/>
          <w:color w:val="FF0000"/>
        </w:rPr>
      </w:pPr>
      <w:r>
        <w:rPr>
          <w:rFonts w:ascii="Times New Roman" w:hAnsi="Times New Roman" w:cs="Times New Roman"/>
          <w:noProof/>
        </w:rPr>
        <w:t>Fragmented samples were treated with NeutrAvidin or PBS prior to electrophoresis and gels were stained with SYBRgold to stain nucleic acids. The red arrow indicates successful biotinylation across all six NeutrAvidin treated fragmented samples.</w:t>
      </w:r>
      <w:r w:rsidR="00D35DA9">
        <w:rPr>
          <w:rFonts w:ascii="Times New Roman" w:hAnsi="Times New Roman" w:cs="Times New Roman"/>
          <w:noProof/>
        </w:rPr>
        <w:t xml:space="preserve"> </w:t>
      </w:r>
    </w:p>
    <w:p w14:paraId="3EE8AC71" w14:textId="77777777" w:rsidR="00113C92" w:rsidRDefault="00113C92">
      <w:pPr>
        <w:rPr>
          <w:rFonts w:ascii="Times New Roman" w:hAnsi="Times New Roman" w:cs="Times New Roman"/>
          <w:b/>
          <w:noProof/>
        </w:rPr>
      </w:pPr>
    </w:p>
    <w:p w14:paraId="7F2C3FCB" w14:textId="7D2DF3D9" w:rsidR="00113C92" w:rsidRDefault="003256A1" w:rsidP="00395B55">
      <w:pPr>
        <w:pStyle w:val="Heading3"/>
        <w:rPr>
          <w:noProof/>
        </w:rPr>
      </w:pPr>
      <w:bookmarkStart w:id="1992" w:name="_Toc328301195"/>
      <w:bookmarkStart w:id="1993" w:name="_Toc329593486"/>
      <w:bookmarkStart w:id="1994" w:name="_Toc331425985"/>
      <w:bookmarkStart w:id="1995" w:name="_Toc331427166"/>
      <w:bookmarkStart w:id="1996" w:name="_Toc331427538"/>
      <w:bookmarkStart w:id="1997" w:name="_Toc331427680"/>
      <w:bookmarkStart w:id="1998" w:name="_Toc332972685"/>
      <w:bookmarkStart w:id="1999" w:name="_Toc333046964"/>
      <w:bookmarkStart w:id="2000" w:name="_Toc333477311"/>
      <w:bookmarkStart w:id="2001" w:name="_Toc333478081"/>
      <w:bookmarkStart w:id="2002" w:name="_Toc333644981"/>
      <w:r>
        <w:rPr>
          <w:noProof/>
        </w:rPr>
        <w:t xml:space="preserve">5.4.7 </w:t>
      </w:r>
      <w:r w:rsidR="00C5559D">
        <w:rPr>
          <w:noProof/>
        </w:rPr>
        <w:t>Affymetrix</w:t>
      </w:r>
      <w:r w:rsidR="002E6532" w:rsidRPr="002E6532">
        <w:rPr>
          <w:vertAlign w:val="superscript"/>
        </w:rPr>
        <w:t>®</w:t>
      </w:r>
      <w:r w:rsidR="00C5559D">
        <w:rPr>
          <w:noProof/>
        </w:rPr>
        <w:t xml:space="preserve"> Quality Control Metrics</w:t>
      </w:r>
      <w:bookmarkEnd w:id="1992"/>
      <w:bookmarkEnd w:id="1993"/>
      <w:bookmarkEnd w:id="1994"/>
      <w:bookmarkEnd w:id="1995"/>
      <w:bookmarkEnd w:id="1996"/>
      <w:bookmarkEnd w:id="1997"/>
      <w:bookmarkEnd w:id="1998"/>
      <w:bookmarkEnd w:id="1999"/>
      <w:bookmarkEnd w:id="2000"/>
      <w:bookmarkEnd w:id="2001"/>
      <w:bookmarkEnd w:id="2002"/>
    </w:p>
    <w:p w14:paraId="3C1A9EEB" w14:textId="77777777" w:rsidR="002E6532" w:rsidRDefault="002E6532">
      <w:pPr>
        <w:rPr>
          <w:rFonts w:ascii="Times New Roman" w:hAnsi="Times New Roman" w:cs="Times New Roman"/>
          <w:b/>
          <w:noProof/>
          <w:u w:val="single"/>
        </w:rPr>
      </w:pPr>
    </w:p>
    <w:p w14:paraId="644F757C" w14:textId="659086B3" w:rsidR="002E6532" w:rsidRPr="002E6532" w:rsidRDefault="000B372D" w:rsidP="00C63BC1">
      <w:pPr>
        <w:spacing w:line="360" w:lineRule="auto"/>
        <w:jc w:val="both"/>
        <w:rPr>
          <w:rFonts w:ascii="Times New Roman" w:hAnsi="Times New Roman" w:cs="Times New Roman"/>
          <w:noProof/>
        </w:rPr>
      </w:pPr>
      <w:r>
        <w:rPr>
          <w:rFonts w:ascii="Times New Roman" w:hAnsi="Times New Roman" w:cs="Times New Roman"/>
          <w:noProof/>
        </w:rPr>
        <w:t xml:space="preserve">There are several parameters that </w:t>
      </w:r>
      <w:r w:rsidR="00882F98">
        <w:rPr>
          <w:rFonts w:ascii="Times New Roman" w:hAnsi="Times New Roman" w:cs="Times New Roman"/>
          <w:noProof/>
        </w:rPr>
        <w:t>need</w:t>
      </w:r>
      <w:r w:rsidR="004D527F">
        <w:rPr>
          <w:rFonts w:ascii="Times New Roman" w:hAnsi="Times New Roman" w:cs="Times New Roman"/>
          <w:noProof/>
        </w:rPr>
        <w:t xml:space="preserve"> to</w:t>
      </w:r>
      <w:r>
        <w:rPr>
          <w:rFonts w:ascii="Times New Roman" w:hAnsi="Times New Roman" w:cs="Times New Roman"/>
          <w:noProof/>
        </w:rPr>
        <w:t xml:space="preserve"> be che</w:t>
      </w:r>
      <w:r w:rsidR="004D527F">
        <w:rPr>
          <w:rFonts w:ascii="Times New Roman" w:hAnsi="Times New Roman" w:cs="Times New Roman"/>
          <w:noProof/>
        </w:rPr>
        <w:t>cked to ensure reliable data could</w:t>
      </w:r>
      <w:r>
        <w:rPr>
          <w:rFonts w:ascii="Times New Roman" w:hAnsi="Times New Roman" w:cs="Times New Roman"/>
          <w:noProof/>
        </w:rPr>
        <w:t xml:space="preserve"> be retrieved from the arrays. </w:t>
      </w:r>
      <w:r w:rsidR="00C942D7">
        <w:rPr>
          <w:rFonts w:ascii="Times New Roman" w:hAnsi="Times New Roman" w:cs="Times New Roman"/>
          <w:noProof/>
        </w:rPr>
        <w:t>Affymetrix® recommend monitoring hybridisation</w:t>
      </w:r>
      <w:r w:rsidR="008F1DAF">
        <w:rPr>
          <w:rFonts w:ascii="Times New Roman" w:hAnsi="Times New Roman" w:cs="Times New Roman"/>
          <w:noProof/>
        </w:rPr>
        <w:t xml:space="preserve"> and labelling</w:t>
      </w:r>
      <w:r w:rsidR="00C942D7">
        <w:rPr>
          <w:rFonts w:ascii="Times New Roman" w:hAnsi="Times New Roman" w:cs="Times New Roman"/>
          <w:noProof/>
        </w:rPr>
        <w:t>, assessing the positive versus negative area under the curve (pos vs neg AUC), the all probe set mean</w:t>
      </w:r>
      <w:r w:rsidR="00882F98">
        <w:rPr>
          <w:rFonts w:ascii="Times New Roman" w:hAnsi="Times New Roman" w:cs="Times New Roman"/>
          <w:noProof/>
        </w:rPr>
        <w:t xml:space="preserve"> signal intensities</w:t>
      </w:r>
      <w:r w:rsidR="00C942D7">
        <w:rPr>
          <w:rFonts w:ascii="Times New Roman" w:hAnsi="Times New Roman" w:cs="Times New Roman"/>
          <w:noProof/>
        </w:rPr>
        <w:t xml:space="preserve"> and the relative log expression (RLE) mean. By assessing each of these parameters</w:t>
      </w:r>
      <w:r w:rsidR="008F1DAF">
        <w:rPr>
          <w:rFonts w:ascii="Times New Roman" w:hAnsi="Times New Roman" w:cs="Times New Roman"/>
          <w:noProof/>
        </w:rPr>
        <w:t xml:space="preserve"> in turn</w:t>
      </w:r>
      <w:r w:rsidR="00C942D7">
        <w:rPr>
          <w:rFonts w:ascii="Times New Roman" w:hAnsi="Times New Roman" w:cs="Times New Roman"/>
          <w:noProof/>
        </w:rPr>
        <w:t>, any out</w:t>
      </w:r>
      <w:r w:rsidR="00882F98">
        <w:rPr>
          <w:rFonts w:ascii="Times New Roman" w:hAnsi="Times New Roman" w:cs="Times New Roman"/>
          <w:noProof/>
        </w:rPr>
        <w:t>l</w:t>
      </w:r>
      <w:r w:rsidR="00D35DA9">
        <w:rPr>
          <w:rFonts w:ascii="Times New Roman" w:hAnsi="Times New Roman" w:cs="Times New Roman"/>
          <w:noProof/>
        </w:rPr>
        <w:t>ier experiments can be removed at</w:t>
      </w:r>
      <w:r w:rsidR="00C942D7">
        <w:rPr>
          <w:rFonts w:ascii="Times New Roman" w:hAnsi="Times New Roman" w:cs="Times New Roman"/>
          <w:noProof/>
        </w:rPr>
        <w:t xml:space="preserve"> later stages of st</w:t>
      </w:r>
      <w:r w:rsidR="00A024D4">
        <w:rPr>
          <w:rFonts w:ascii="Times New Roman" w:hAnsi="Times New Roman" w:cs="Times New Roman"/>
          <w:noProof/>
        </w:rPr>
        <w:t>atistical analysis. It is also recommended</w:t>
      </w:r>
      <w:r w:rsidR="00C942D7">
        <w:rPr>
          <w:rFonts w:ascii="Times New Roman" w:hAnsi="Times New Roman" w:cs="Times New Roman"/>
          <w:noProof/>
        </w:rPr>
        <w:t xml:space="preserve"> that values should be within 2 standa</w:t>
      </w:r>
      <w:r w:rsidR="00882F98">
        <w:rPr>
          <w:rFonts w:ascii="Times New Roman" w:hAnsi="Times New Roman" w:cs="Times New Roman"/>
          <w:noProof/>
        </w:rPr>
        <w:t>rd deviations of the mean and any sample</w:t>
      </w:r>
      <w:r w:rsidR="00C942D7">
        <w:rPr>
          <w:rFonts w:ascii="Times New Roman" w:hAnsi="Times New Roman" w:cs="Times New Roman"/>
          <w:noProof/>
        </w:rPr>
        <w:t xml:space="preserve"> outside of this value </w:t>
      </w:r>
      <w:r w:rsidR="00A024D4">
        <w:rPr>
          <w:rFonts w:ascii="Times New Roman" w:hAnsi="Times New Roman" w:cs="Times New Roman"/>
          <w:noProof/>
        </w:rPr>
        <w:t xml:space="preserve">should be </w:t>
      </w:r>
      <w:r w:rsidR="00C942D7">
        <w:rPr>
          <w:rFonts w:ascii="Times New Roman" w:hAnsi="Times New Roman" w:cs="Times New Roman"/>
          <w:noProof/>
        </w:rPr>
        <w:t xml:space="preserve">considered an outlier. </w:t>
      </w:r>
      <w:r w:rsidR="00A024D4">
        <w:rPr>
          <w:rFonts w:ascii="Times New Roman" w:hAnsi="Times New Roman" w:cs="Times New Roman"/>
          <w:noProof/>
        </w:rPr>
        <w:t xml:space="preserve">Arrays with </w:t>
      </w:r>
      <w:r w:rsidR="00454D06">
        <w:rPr>
          <w:rFonts w:ascii="Times New Roman" w:hAnsi="Times New Roman" w:cs="Times New Roman"/>
          <w:noProof/>
        </w:rPr>
        <w:t>values that regularl</w:t>
      </w:r>
      <w:r w:rsidR="00C942D7">
        <w:rPr>
          <w:rFonts w:ascii="Times New Roman" w:hAnsi="Times New Roman" w:cs="Times New Roman"/>
          <w:noProof/>
        </w:rPr>
        <w:t>y</w:t>
      </w:r>
      <w:r w:rsidR="00955F73">
        <w:rPr>
          <w:rFonts w:ascii="Times New Roman" w:hAnsi="Times New Roman" w:cs="Times New Roman"/>
          <w:noProof/>
        </w:rPr>
        <w:t xml:space="preserve"> fall</w:t>
      </w:r>
      <w:r w:rsidR="00C942D7">
        <w:rPr>
          <w:rFonts w:ascii="Times New Roman" w:hAnsi="Times New Roman" w:cs="Times New Roman"/>
          <w:noProof/>
        </w:rPr>
        <w:t xml:space="preserve"> outside of</w:t>
      </w:r>
      <w:r w:rsidR="004D527F">
        <w:rPr>
          <w:rFonts w:ascii="Times New Roman" w:hAnsi="Times New Roman" w:cs="Times New Roman"/>
          <w:noProof/>
        </w:rPr>
        <w:t xml:space="preserve"> the standard deviation </w:t>
      </w:r>
      <w:r w:rsidR="00C942D7">
        <w:rPr>
          <w:rFonts w:ascii="Times New Roman" w:hAnsi="Times New Roman" w:cs="Times New Roman"/>
          <w:noProof/>
        </w:rPr>
        <w:t>should be omitted from the study.</w:t>
      </w:r>
    </w:p>
    <w:p w14:paraId="092B4640" w14:textId="77777777" w:rsidR="00EC1D05" w:rsidRDefault="00EC1D05">
      <w:pPr>
        <w:rPr>
          <w:rFonts w:ascii="Times New Roman" w:hAnsi="Times New Roman" w:cs="Times New Roman"/>
          <w:noProof/>
        </w:rPr>
      </w:pPr>
    </w:p>
    <w:p w14:paraId="41951DCF" w14:textId="6E46546C" w:rsidR="00E61002" w:rsidRPr="00BD0907" w:rsidRDefault="00E61002" w:rsidP="00401292">
      <w:pPr>
        <w:pStyle w:val="Heading4"/>
        <w:rPr>
          <w:noProof/>
          <w:u w:val="single"/>
        </w:rPr>
      </w:pPr>
      <w:r w:rsidRPr="00BD0907">
        <w:rPr>
          <w:noProof/>
          <w:u w:val="single"/>
        </w:rPr>
        <w:t xml:space="preserve">Assessment of labelling </w:t>
      </w:r>
      <w:r w:rsidR="00A40CCE" w:rsidRPr="00BD0907">
        <w:rPr>
          <w:noProof/>
          <w:u w:val="single"/>
        </w:rPr>
        <w:t>and hybridisation</w:t>
      </w:r>
    </w:p>
    <w:p w14:paraId="1BD8F5FF" w14:textId="76F0813A" w:rsidR="00E61002" w:rsidRDefault="00E61002" w:rsidP="00C63BC1">
      <w:pPr>
        <w:spacing w:line="360" w:lineRule="auto"/>
        <w:jc w:val="both"/>
        <w:rPr>
          <w:rFonts w:ascii="Times New Roman" w:hAnsi="Times New Roman" w:cs="Times New Roman"/>
          <w:noProof/>
        </w:rPr>
      </w:pPr>
      <w:r>
        <w:rPr>
          <w:rFonts w:ascii="Times New Roman" w:hAnsi="Times New Roman" w:cs="Times New Roman"/>
          <w:noProof/>
        </w:rPr>
        <w:t>Bacterial poly-A transcripts</w:t>
      </w:r>
      <w:r w:rsidR="007F5C51">
        <w:rPr>
          <w:rFonts w:ascii="Times New Roman" w:hAnsi="Times New Roman" w:cs="Times New Roman"/>
          <w:noProof/>
        </w:rPr>
        <w:t xml:space="preserve"> supplied by Affymetrix</w:t>
      </w:r>
      <w:r>
        <w:rPr>
          <w:rFonts w:ascii="Times New Roman" w:hAnsi="Times New Roman" w:cs="Times New Roman"/>
          <w:noProof/>
        </w:rPr>
        <w:t xml:space="preserve"> were spiked in to each sample to monitor </w:t>
      </w:r>
      <w:r w:rsidR="007F5C51">
        <w:rPr>
          <w:rFonts w:ascii="Times New Roman" w:hAnsi="Times New Roman" w:cs="Times New Roman"/>
          <w:noProof/>
        </w:rPr>
        <w:t>the entire target preparation</w:t>
      </w:r>
      <w:r>
        <w:rPr>
          <w:rFonts w:ascii="Times New Roman" w:hAnsi="Times New Roman" w:cs="Times New Roman"/>
          <w:noProof/>
        </w:rPr>
        <w:t xml:space="preserve">, </w:t>
      </w:r>
      <w:r w:rsidR="004A6144">
        <w:rPr>
          <w:rFonts w:ascii="Times New Roman" w:hAnsi="Times New Roman" w:cs="Times New Roman"/>
          <w:noProof/>
        </w:rPr>
        <w:t>irrespective of</w:t>
      </w:r>
      <w:r>
        <w:rPr>
          <w:rFonts w:ascii="Times New Roman" w:hAnsi="Times New Roman" w:cs="Times New Roman"/>
          <w:noProof/>
        </w:rPr>
        <w:t xml:space="preserve"> the starting material quality. </w:t>
      </w:r>
      <w:r w:rsidR="007F5C51">
        <w:rPr>
          <w:rFonts w:ascii="Times New Roman" w:hAnsi="Times New Roman" w:cs="Times New Roman"/>
          <w:noProof/>
        </w:rPr>
        <w:t xml:space="preserve">The eukaryotic Genechip arrays contain probe sets </w:t>
      </w:r>
      <w:r w:rsidR="00286705">
        <w:rPr>
          <w:rFonts w:ascii="Times New Roman" w:hAnsi="Times New Roman" w:cs="Times New Roman"/>
          <w:noProof/>
        </w:rPr>
        <w:t xml:space="preserve">of </w:t>
      </w:r>
      <w:r w:rsidR="007F5C51">
        <w:rPr>
          <w:rFonts w:ascii="Times New Roman" w:hAnsi="Times New Roman" w:cs="Times New Roman"/>
          <w:noProof/>
        </w:rPr>
        <w:t xml:space="preserve">a panel of </w:t>
      </w:r>
      <w:r w:rsidR="00286705">
        <w:rPr>
          <w:rFonts w:ascii="Times New Roman" w:hAnsi="Times New Roman" w:cs="Times New Roman"/>
          <w:i/>
          <w:noProof/>
        </w:rPr>
        <w:t xml:space="preserve">B.subtilis </w:t>
      </w:r>
      <w:r w:rsidR="00286705">
        <w:rPr>
          <w:rFonts w:ascii="Times New Roman" w:hAnsi="Times New Roman" w:cs="Times New Roman"/>
          <w:noProof/>
        </w:rPr>
        <w:t xml:space="preserve">genes that are added to individual samples at different concentrations in the order </w:t>
      </w:r>
      <w:r w:rsidR="004A6144">
        <w:rPr>
          <w:rFonts w:ascii="Times New Roman" w:hAnsi="Times New Roman" w:cs="Times New Roman"/>
          <w:noProof/>
        </w:rPr>
        <w:t>lys, phe, thr and dap (</w:t>
      </w:r>
      <w:r w:rsidR="00C57F13">
        <w:rPr>
          <w:rFonts w:ascii="Times New Roman" w:hAnsi="Times New Roman" w:cs="Times New Roman"/>
          <w:noProof/>
        </w:rPr>
        <w:t>1:100 000, 1:50 000, 1:25 000 and 1:6667</w:t>
      </w:r>
      <w:r w:rsidR="004A6144">
        <w:rPr>
          <w:rFonts w:ascii="Times New Roman" w:hAnsi="Times New Roman" w:cs="Times New Roman"/>
          <w:noProof/>
        </w:rPr>
        <w:t xml:space="preserve">). </w:t>
      </w:r>
      <w:r w:rsidR="00286705">
        <w:rPr>
          <w:rFonts w:ascii="Times New Roman" w:hAnsi="Times New Roman" w:cs="Times New Roman"/>
          <w:noProof/>
        </w:rPr>
        <w:t>By assessing the hybridisation intensities of these poly A controls, the efficiency of the labelling process</w:t>
      </w:r>
      <w:r w:rsidR="004A6144">
        <w:rPr>
          <w:rFonts w:ascii="Times New Roman" w:hAnsi="Times New Roman" w:cs="Times New Roman"/>
          <w:noProof/>
        </w:rPr>
        <w:t xml:space="preserve"> could</w:t>
      </w:r>
      <w:r w:rsidR="00286705">
        <w:rPr>
          <w:rFonts w:ascii="Times New Roman" w:hAnsi="Times New Roman" w:cs="Times New Roman"/>
          <w:noProof/>
        </w:rPr>
        <w:t xml:space="preserve"> be examined. </w:t>
      </w:r>
      <w:r w:rsidR="002802DF">
        <w:rPr>
          <w:rFonts w:ascii="Times New Roman" w:hAnsi="Times New Roman" w:cs="Times New Roman"/>
          <w:noProof/>
        </w:rPr>
        <w:t xml:space="preserve">From </w:t>
      </w:r>
      <w:r w:rsidR="002802DF" w:rsidRPr="000273AF">
        <w:rPr>
          <w:rFonts w:ascii="Times New Roman" w:hAnsi="Times New Roman" w:cs="Times New Roman"/>
          <w:b/>
          <w:noProof/>
        </w:rPr>
        <w:t xml:space="preserve">figure </w:t>
      </w:r>
      <w:r w:rsidR="009F33F9" w:rsidRPr="000273AF">
        <w:rPr>
          <w:rFonts w:ascii="Times New Roman" w:hAnsi="Times New Roman" w:cs="Times New Roman"/>
          <w:b/>
          <w:noProof/>
        </w:rPr>
        <w:t>5.10</w:t>
      </w:r>
      <w:r w:rsidR="002802DF">
        <w:rPr>
          <w:rFonts w:ascii="Times New Roman" w:hAnsi="Times New Roman" w:cs="Times New Roman"/>
          <w:noProof/>
        </w:rPr>
        <w:t xml:space="preserve">, it is evident that the labelling efficiency of samples </w:t>
      </w:r>
      <w:r w:rsidR="00882F98">
        <w:rPr>
          <w:rFonts w:ascii="Times New Roman" w:hAnsi="Times New Roman" w:cs="Times New Roman"/>
          <w:noProof/>
        </w:rPr>
        <w:t>C3 and M3 is lower, particularl</w:t>
      </w:r>
      <w:r w:rsidR="002802DF">
        <w:rPr>
          <w:rFonts w:ascii="Times New Roman" w:hAnsi="Times New Roman" w:cs="Times New Roman"/>
          <w:noProof/>
        </w:rPr>
        <w:t xml:space="preserve">y with regards to the dap and thr poly-A RNA spike-in controls. </w:t>
      </w:r>
      <w:r w:rsidR="001873E1">
        <w:rPr>
          <w:rFonts w:ascii="Times New Roman" w:hAnsi="Times New Roman" w:cs="Times New Roman"/>
          <w:noProof/>
        </w:rPr>
        <w:t xml:space="preserve">The </w:t>
      </w:r>
      <w:r w:rsidR="00A024D4">
        <w:rPr>
          <w:rFonts w:ascii="Times New Roman" w:hAnsi="Times New Roman" w:cs="Times New Roman"/>
          <w:noProof/>
        </w:rPr>
        <w:t xml:space="preserve">signal intensities for the </w:t>
      </w:r>
      <w:r w:rsidR="001873E1">
        <w:rPr>
          <w:rFonts w:ascii="Times New Roman" w:hAnsi="Times New Roman" w:cs="Times New Roman"/>
          <w:noProof/>
        </w:rPr>
        <w:t xml:space="preserve">other samples </w:t>
      </w:r>
      <w:r w:rsidR="004A6144">
        <w:rPr>
          <w:rFonts w:ascii="Times New Roman" w:hAnsi="Times New Roman" w:cs="Times New Roman"/>
          <w:noProof/>
        </w:rPr>
        <w:t xml:space="preserve"> C1, C2, M1 and M2 </w:t>
      </w:r>
      <w:r w:rsidR="00EE150E">
        <w:rPr>
          <w:rFonts w:ascii="Times New Roman" w:hAnsi="Times New Roman" w:cs="Times New Roman"/>
          <w:noProof/>
        </w:rPr>
        <w:t>appear</w:t>
      </w:r>
      <w:r w:rsidR="00BA1B54">
        <w:rPr>
          <w:rFonts w:ascii="Times New Roman" w:hAnsi="Times New Roman" w:cs="Times New Roman"/>
          <w:noProof/>
        </w:rPr>
        <w:t xml:space="preserve"> to have been</w:t>
      </w:r>
      <w:r w:rsidR="001873E1">
        <w:rPr>
          <w:rFonts w:ascii="Times New Roman" w:hAnsi="Times New Roman" w:cs="Times New Roman"/>
          <w:noProof/>
        </w:rPr>
        <w:t xml:space="preserve"> labelled efficiently. </w:t>
      </w:r>
    </w:p>
    <w:p w14:paraId="1710ECC6" w14:textId="025EBD5E" w:rsidR="002E08DC" w:rsidRDefault="002E08DC" w:rsidP="008E7602">
      <w:pPr>
        <w:spacing w:line="360" w:lineRule="auto"/>
        <w:jc w:val="center"/>
        <w:rPr>
          <w:rFonts w:ascii="Times New Roman" w:hAnsi="Times New Roman" w:cs="Times New Roman"/>
          <w:noProof/>
        </w:rPr>
      </w:pPr>
    </w:p>
    <w:p w14:paraId="7F581E2D" w14:textId="079374E0" w:rsidR="002E08DC" w:rsidRDefault="00774252" w:rsidP="008E7602">
      <w:pPr>
        <w:spacing w:line="360" w:lineRule="auto"/>
        <w:jc w:val="center"/>
        <w:rPr>
          <w:rFonts w:ascii="Times New Roman" w:hAnsi="Times New Roman" w:cs="Times New Roman"/>
          <w:noProof/>
        </w:rPr>
      </w:pPr>
      <w:r>
        <w:rPr>
          <w:rFonts w:ascii="Times New Roman" w:hAnsi="Times New Roman" w:cs="Times New Roman"/>
          <w:noProof/>
        </w:rPr>
        <w:drawing>
          <wp:inline distT="0" distB="0" distL="0" distR="0" wp14:anchorId="4D6BB307" wp14:editId="3BFDEB41">
            <wp:extent cx="3855259" cy="2468880"/>
            <wp:effectExtent l="0" t="0" r="571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92">
                      <a:extLst>
                        <a:ext uri="{28A0092B-C50C-407E-A947-70E740481C1C}">
                          <a14:useLocalDpi xmlns:a14="http://schemas.microsoft.com/office/drawing/2010/main" val="0"/>
                        </a:ext>
                      </a:extLst>
                    </a:blip>
                    <a:srcRect l="24005" t="3767" r="24594" b="52335"/>
                    <a:stretch/>
                  </pic:blipFill>
                  <pic:spPr bwMode="auto">
                    <a:xfrm>
                      <a:off x="0" y="0"/>
                      <a:ext cx="3855720" cy="2469175"/>
                    </a:xfrm>
                    <a:prstGeom prst="rect">
                      <a:avLst/>
                    </a:prstGeom>
                    <a:ln>
                      <a:noFill/>
                    </a:ln>
                    <a:extLst>
                      <a:ext uri="{53640926-AAD7-44d8-BBD7-CCE9431645EC}">
                        <a14:shadowObscured xmlns:a14="http://schemas.microsoft.com/office/drawing/2010/main"/>
                      </a:ext>
                    </a:extLst>
                  </pic:spPr>
                </pic:pic>
              </a:graphicData>
            </a:graphic>
          </wp:inline>
        </w:drawing>
      </w:r>
    </w:p>
    <w:p w14:paraId="320A8D11" w14:textId="77777777" w:rsidR="004C1D27" w:rsidRDefault="004C68FE" w:rsidP="00C664C4">
      <w:pPr>
        <w:pStyle w:val="Caption"/>
        <w:rPr>
          <w:noProof/>
        </w:rPr>
      </w:pPr>
      <w:bookmarkStart w:id="2003" w:name="_Toc333569087"/>
      <w:bookmarkStart w:id="2004" w:name="_Toc333569312"/>
      <w:bookmarkStart w:id="2005" w:name="_Toc333570866"/>
      <w:bookmarkStart w:id="2006" w:name="_Toc333582249"/>
      <w:bookmarkStart w:id="2007" w:name="_Toc333582369"/>
      <w:bookmarkStart w:id="2008" w:name="_Toc333582781"/>
      <w:bookmarkStart w:id="2009" w:name="_Toc333583151"/>
      <w:bookmarkStart w:id="2010" w:name="_Toc333585263"/>
      <w:bookmarkStart w:id="2011" w:name="_Toc333586815"/>
      <w:bookmarkStart w:id="2012" w:name="_Toc333644514"/>
      <w:bookmarkStart w:id="2013" w:name="_Toc333644808"/>
      <w:r>
        <w:rPr>
          <w:noProof/>
        </w:rPr>
        <w:t xml:space="preserve">Figure </w:t>
      </w:r>
      <w:r w:rsidR="009F33F9">
        <w:rPr>
          <w:noProof/>
        </w:rPr>
        <w:t>5.10</w:t>
      </w:r>
      <w:r w:rsidR="0043060F">
        <w:rPr>
          <w:noProof/>
        </w:rPr>
        <w:t>.</w:t>
      </w:r>
      <w:r w:rsidR="008F1DAF">
        <w:rPr>
          <w:noProof/>
        </w:rPr>
        <w:t xml:space="preserve"> </w:t>
      </w:r>
      <w:r>
        <w:rPr>
          <w:noProof/>
        </w:rPr>
        <w:t>Assessing the hybridisation intensities of the poly-A RNA spike-in controls on GeneChip arrays.</w:t>
      </w:r>
      <w:bookmarkEnd w:id="2003"/>
      <w:bookmarkEnd w:id="2004"/>
      <w:bookmarkEnd w:id="2005"/>
      <w:bookmarkEnd w:id="2006"/>
      <w:bookmarkEnd w:id="2007"/>
      <w:bookmarkEnd w:id="2008"/>
      <w:bookmarkEnd w:id="2009"/>
      <w:bookmarkEnd w:id="2010"/>
      <w:bookmarkEnd w:id="2011"/>
      <w:bookmarkEnd w:id="2012"/>
      <w:bookmarkEnd w:id="2013"/>
      <w:r>
        <w:rPr>
          <w:noProof/>
        </w:rPr>
        <w:t xml:space="preserve"> </w:t>
      </w:r>
    </w:p>
    <w:p w14:paraId="2D17E7AF" w14:textId="59D2A0E3" w:rsidR="00154A70" w:rsidRDefault="004C68FE" w:rsidP="00C63BC1">
      <w:pPr>
        <w:spacing w:line="360" w:lineRule="auto"/>
        <w:jc w:val="both"/>
        <w:rPr>
          <w:rFonts w:ascii="Times New Roman" w:hAnsi="Times New Roman" w:cs="Times New Roman"/>
          <w:noProof/>
          <w:color w:val="FF0000"/>
        </w:rPr>
      </w:pPr>
      <w:r>
        <w:rPr>
          <w:rFonts w:ascii="Times New Roman" w:hAnsi="Times New Roman" w:cs="Times New Roman"/>
          <w:noProof/>
        </w:rPr>
        <w:t>Signal intensities for the four</w:t>
      </w:r>
      <w:r w:rsidR="00154A70">
        <w:rPr>
          <w:rFonts w:ascii="Times New Roman" w:hAnsi="Times New Roman" w:cs="Times New Roman"/>
          <w:noProof/>
        </w:rPr>
        <w:t xml:space="preserve"> poly-A RNA spike in controls, which were added to individual</w:t>
      </w:r>
      <w:r w:rsidR="003D5882">
        <w:rPr>
          <w:rFonts w:ascii="Times New Roman" w:hAnsi="Times New Roman" w:cs="Times New Roman"/>
          <w:noProof/>
        </w:rPr>
        <w:t xml:space="preserve"> samples </w:t>
      </w:r>
      <w:r w:rsidR="00154A70">
        <w:rPr>
          <w:rFonts w:ascii="Times New Roman" w:hAnsi="Times New Roman" w:cs="Times New Roman"/>
          <w:noProof/>
        </w:rPr>
        <w:t>(</w:t>
      </w:r>
      <w:r w:rsidR="003D5882">
        <w:rPr>
          <w:rFonts w:ascii="Times New Roman" w:hAnsi="Times New Roman" w:cs="Times New Roman"/>
          <w:noProof/>
        </w:rPr>
        <w:t>dap, thr, phe and lys, listed from highest to lowest spike-in concentration</w:t>
      </w:r>
      <w:r w:rsidR="00154A70">
        <w:rPr>
          <w:rFonts w:ascii="Times New Roman" w:hAnsi="Times New Roman" w:cs="Times New Roman"/>
          <w:noProof/>
        </w:rPr>
        <w:t xml:space="preserve">) as an independent assessment of the labelling process. </w:t>
      </w:r>
      <w:r w:rsidR="004B4946">
        <w:rPr>
          <w:rFonts w:ascii="Times New Roman" w:hAnsi="Times New Roman" w:cs="Times New Roman"/>
          <w:noProof/>
        </w:rPr>
        <w:t>(C=control astrocytes and M=MAB391-treated astrocytes and the number indicates the experiment)</w:t>
      </w:r>
    </w:p>
    <w:p w14:paraId="02F0129E" w14:textId="77777777" w:rsidR="003C01E2" w:rsidRDefault="003C01E2" w:rsidP="00E61002">
      <w:pPr>
        <w:spacing w:line="360" w:lineRule="auto"/>
        <w:rPr>
          <w:rFonts w:ascii="Times New Roman" w:hAnsi="Times New Roman" w:cs="Times New Roman"/>
          <w:noProof/>
        </w:rPr>
      </w:pPr>
    </w:p>
    <w:p w14:paraId="765F1AC6" w14:textId="5290700C" w:rsidR="00154A70" w:rsidRDefault="00154A70" w:rsidP="00C63BC1">
      <w:pPr>
        <w:spacing w:line="360" w:lineRule="auto"/>
        <w:jc w:val="both"/>
        <w:rPr>
          <w:rFonts w:ascii="Times New Roman" w:hAnsi="Times New Roman" w:cs="Times New Roman"/>
          <w:noProof/>
        </w:rPr>
      </w:pPr>
      <w:r>
        <w:rPr>
          <w:rFonts w:ascii="Times New Roman" w:hAnsi="Times New Roman" w:cs="Times New Roman"/>
          <w:noProof/>
        </w:rPr>
        <w:t xml:space="preserve">In addition, four spike in controls BioB, BioC, BioD (biosynthesis genes found in </w:t>
      </w:r>
      <w:r>
        <w:rPr>
          <w:rFonts w:ascii="Times New Roman" w:hAnsi="Times New Roman" w:cs="Times New Roman"/>
          <w:i/>
          <w:noProof/>
        </w:rPr>
        <w:t>E.</w:t>
      </w:r>
      <w:r w:rsidRPr="00154A70">
        <w:rPr>
          <w:rFonts w:ascii="Times New Roman" w:hAnsi="Times New Roman" w:cs="Times New Roman"/>
          <w:noProof/>
        </w:rPr>
        <w:t>coli</w:t>
      </w:r>
      <w:r>
        <w:rPr>
          <w:rFonts w:ascii="Times New Roman" w:hAnsi="Times New Roman" w:cs="Times New Roman"/>
          <w:noProof/>
        </w:rPr>
        <w:t xml:space="preserve">) </w:t>
      </w:r>
      <w:r w:rsidRPr="00154A70">
        <w:rPr>
          <w:rFonts w:ascii="Times New Roman" w:hAnsi="Times New Roman" w:cs="Times New Roman"/>
          <w:noProof/>
        </w:rPr>
        <w:t>and</w:t>
      </w:r>
      <w:r w:rsidR="00882F98">
        <w:rPr>
          <w:rFonts w:ascii="Times New Roman" w:hAnsi="Times New Roman" w:cs="Times New Roman"/>
          <w:noProof/>
        </w:rPr>
        <w:t xml:space="preserve"> Cre</w:t>
      </w:r>
      <w:r>
        <w:rPr>
          <w:rFonts w:ascii="Times New Roman" w:hAnsi="Times New Roman" w:cs="Times New Roman"/>
          <w:noProof/>
        </w:rPr>
        <w:t xml:space="preserve"> </w:t>
      </w:r>
      <w:r w:rsidR="00882F98">
        <w:rPr>
          <w:rFonts w:ascii="Times New Roman" w:hAnsi="Times New Roman" w:cs="Times New Roman"/>
          <w:noProof/>
        </w:rPr>
        <w:t>(</w:t>
      </w:r>
      <w:r>
        <w:rPr>
          <w:rFonts w:ascii="Times New Roman" w:hAnsi="Times New Roman" w:cs="Times New Roman"/>
          <w:noProof/>
        </w:rPr>
        <w:t>a recombinase gene found in P1 bacteriophage) were added to the hybridisation master mix at increasing concentrations (1.5, 5, 25 and 100pM).</w:t>
      </w:r>
      <w:r w:rsidR="00ED19BC">
        <w:rPr>
          <w:rFonts w:ascii="Times New Roman" w:hAnsi="Times New Roman" w:cs="Times New Roman"/>
          <w:noProof/>
        </w:rPr>
        <w:t xml:space="preserve"> </w:t>
      </w:r>
      <w:r>
        <w:rPr>
          <w:rFonts w:ascii="Times New Roman" w:hAnsi="Times New Roman" w:cs="Times New Roman"/>
          <w:noProof/>
        </w:rPr>
        <w:t xml:space="preserve">These should not cross-react with the astrocytic derived ss-cDNA and therefore higher concentrations of spike-in controls should produce greater signal intensities. As shown in </w:t>
      </w:r>
      <w:r w:rsidRPr="000273AF">
        <w:rPr>
          <w:rFonts w:ascii="Times New Roman" w:hAnsi="Times New Roman" w:cs="Times New Roman"/>
          <w:b/>
          <w:noProof/>
        </w:rPr>
        <w:t xml:space="preserve">figure </w:t>
      </w:r>
      <w:r w:rsidR="009F33F9" w:rsidRPr="000273AF">
        <w:rPr>
          <w:rFonts w:ascii="Times New Roman" w:hAnsi="Times New Roman" w:cs="Times New Roman"/>
          <w:b/>
          <w:noProof/>
        </w:rPr>
        <w:t>5.11</w:t>
      </w:r>
      <w:r>
        <w:rPr>
          <w:rFonts w:ascii="Times New Roman" w:hAnsi="Times New Roman" w:cs="Times New Roman"/>
          <w:noProof/>
        </w:rPr>
        <w:t xml:space="preserve">, there is a trend towards </w:t>
      </w:r>
      <w:r w:rsidR="00EC3891">
        <w:rPr>
          <w:rFonts w:ascii="Times New Roman" w:hAnsi="Times New Roman" w:cs="Times New Roman"/>
          <w:noProof/>
        </w:rPr>
        <w:t>an increase in signal intensity with higher concentrations of spike in controls</w:t>
      </w:r>
      <w:r w:rsidR="001873E1">
        <w:rPr>
          <w:rFonts w:ascii="Times New Roman" w:hAnsi="Times New Roman" w:cs="Times New Roman"/>
          <w:noProof/>
        </w:rPr>
        <w:t>,</w:t>
      </w:r>
      <w:r w:rsidR="00EC3891">
        <w:rPr>
          <w:rFonts w:ascii="Times New Roman" w:hAnsi="Times New Roman" w:cs="Times New Roman"/>
          <w:noProof/>
        </w:rPr>
        <w:t xml:space="preserve"> in each of the samples C1-M3. </w:t>
      </w:r>
      <w:r w:rsidR="00A024D4">
        <w:rPr>
          <w:rFonts w:ascii="Times New Roman" w:hAnsi="Times New Roman" w:cs="Times New Roman"/>
          <w:noProof/>
        </w:rPr>
        <w:t>S</w:t>
      </w:r>
      <w:r w:rsidR="001873E1">
        <w:rPr>
          <w:rFonts w:ascii="Times New Roman" w:hAnsi="Times New Roman" w:cs="Times New Roman"/>
          <w:noProof/>
        </w:rPr>
        <w:t xml:space="preserve">ensitivity of the assay is displayed by spiking in the </w:t>
      </w:r>
      <w:r w:rsidR="00EC3891">
        <w:rPr>
          <w:rFonts w:ascii="Times New Roman" w:hAnsi="Times New Roman" w:cs="Times New Roman"/>
          <w:noProof/>
        </w:rPr>
        <w:t xml:space="preserve">BioB </w:t>
      </w:r>
      <w:r w:rsidR="001873E1">
        <w:rPr>
          <w:rFonts w:ascii="Times New Roman" w:hAnsi="Times New Roman" w:cs="Times New Roman"/>
          <w:noProof/>
        </w:rPr>
        <w:t>control</w:t>
      </w:r>
      <w:r w:rsidR="00EE150E">
        <w:rPr>
          <w:rFonts w:ascii="Times New Roman" w:hAnsi="Times New Roman" w:cs="Times New Roman"/>
          <w:noProof/>
        </w:rPr>
        <w:t>, which</w:t>
      </w:r>
      <w:r w:rsidR="00EC3891">
        <w:rPr>
          <w:rFonts w:ascii="Times New Roman" w:hAnsi="Times New Roman" w:cs="Times New Roman"/>
          <w:noProof/>
        </w:rPr>
        <w:t xml:space="preserve"> at th</w:t>
      </w:r>
      <w:r w:rsidR="001873E1">
        <w:rPr>
          <w:rFonts w:ascii="Times New Roman" w:hAnsi="Times New Roman" w:cs="Times New Roman"/>
          <w:noProof/>
        </w:rPr>
        <w:t>e</w:t>
      </w:r>
      <w:r w:rsidR="00EE150E">
        <w:rPr>
          <w:rFonts w:ascii="Times New Roman" w:hAnsi="Times New Roman" w:cs="Times New Roman"/>
          <w:noProof/>
        </w:rPr>
        <w:t xml:space="preserve"> concentration of BioB used, is at the</w:t>
      </w:r>
      <w:r w:rsidR="001873E1">
        <w:rPr>
          <w:rFonts w:ascii="Times New Roman" w:hAnsi="Times New Roman" w:cs="Times New Roman"/>
          <w:noProof/>
        </w:rPr>
        <w:t xml:space="preserve"> detection limit of the array</w:t>
      </w:r>
      <w:r w:rsidR="00A024D4">
        <w:rPr>
          <w:rFonts w:ascii="Times New Roman" w:hAnsi="Times New Roman" w:cs="Times New Roman"/>
          <w:noProof/>
        </w:rPr>
        <w:t>. T</w:t>
      </w:r>
      <w:r w:rsidR="00EC3891">
        <w:rPr>
          <w:rFonts w:ascii="Times New Roman" w:hAnsi="Times New Roman" w:cs="Times New Roman"/>
          <w:noProof/>
        </w:rPr>
        <w:t xml:space="preserve">hese results suggest that labelling of samples C3 and M3 </w:t>
      </w:r>
      <w:r w:rsidR="00A024D4">
        <w:rPr>
          <w:rFonts w:ascii="Times New Roman" w:hAnsi="Times New Roman" w:cs="Times New Roman"/>
          <w:noProof/>
        </w:rPr>
        <w:t xml:space="preserve">has not </w:t>
      </w:r>
      <w:r w:rsidR="00EC3891">
        <w:rPr>
          <w:rFonts w:ascii="Times New Roman" w:hAnsi="Times New Roman" w:cs="Times New Roman"/>
          <w:noProof/>
        </w:rPr>
        <w:t>occurred as efficiently as with the other samples but overall</w:t>
      </w:r>
      <w:r w:rsidR="00955F73">
        <w:rPr>
          <w:rFonts w:ascii="Times New Roman" w:hAnsi="Times New Roman" w:cs="Times New Roman"/>
          <w:noProof/>
        </w:rPr>
        <w:t>,</w:t>
      </w:r>
      <w:r w:rsidR="00EC3891">
        <w:rPr>
          <w:rFonts w:ascii="Times New Roman" w:hAnsi="Times New Roman" w:cs="Times New Roman"/>
          <w:noProof/>
        </w:rPr>
        <w:t xml:space="preserve"> hybridisation across samples was successful. </w:t>
      </w:r>
    </w:p>
    <w:p w14:paraId="587138B5" w14:textId="77777777" w:rsidR="00154A70" w:rsidRDefault="00154A70" w:rsidP="00E61002">
      <w:pPr>
        <w:spacing w:line="360" w:lineRule="auto"/>
        <w:rPr>
          <w:rFonts w:ascii="Times New Roman" w:hAnsi="Times New Roman" w:cs="Times New Roman"/>
          <w:noProof/>
        </w:rPr>
      </w:pPr>
    </w:p>
    <w:p w14:paraId="1736F7CE" w14:textId="3993069B" w:rsidR="00ED19BC" w:rsidRDefault="00ED19BC" w:rsidP="00E61002">
      <w:pPr>
        <w:spacing w:line="360" w:lineRule="auto"/>
        <w:rPr>
          <w:rFonts w:ascii="Times New Roman" w:hAnsi="Times New Roman" w:cs="Times New Roman"/>
          <w:noProof/>
        </w:rPr>
      </w:pPr>
      <w:r>
        <w:rPr>
          <w:rFonts w:ascii="Times New Roman" w:hAnsi="Times New Roman" w:cs="Times New Roman"/>
          <w:noProof/>
        </w:rPr>
        <w:t xml:space="preserve">   </w:t>
      </w:r>
      <w:r w:rsidR="007A02A4">
        <w:rPr>
          <w:rFonts w:ascii="Times New Roman" w:hAnsi="Times New Roman" w:cs="Times New Roman"/>
          <w:noProof/>
        </w:rPr>
        <w:t xml:space="preserve">    </w:t>
      </w:r>
      <w:r>
        <w:rPr>
          <w:rFonts w:ascii="Times New Roman" w:hAnsi="Times New Roman" w:cs="Times New Roman"/>
          <w:noProof/>
        </w:rPr>
        <w:t xml:space="preserve">             </w:t>
      </w:r>
      <w:r w:rsidR="007A02A4">
        <w:rPr>
          <w:rFonts w:ascii="Times New Roman" w:hAnsi="Times New Roman" w:cs="Times New Roman"/>
          <w:noProof/>
        </w:rPr>
        <w:drawing>
          <wp:inline distT="0" distB="0" distL="0" distR="0" wp14:anchorId="311D3C2A" wp14:editId="1AEDFE3C">
            <wp:extent cx="3695700" cy="2456801"/>
            <wp:effectExtent l="0" t="0" r="0" b="762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rotWithShape="1">
                    <a:blip r:embed="rId93">
                      <a:extLst>
                        <a:ext uri="{28A0092B-C50C-407E-A947-70E740481C1C}">
                          <a14:useLocalDpi xmlns:a14="http://schemas.microsoft.com/office/drawing/2010/main" val="0"/>
                        </a:ext>
                      </a:extLst>
                    </a:blip>
                    <a:srcRect l="29936" t="29002" r="20358" b="26930"/>
                    <a:stretch/>
                  </pic:blipFill>
                  <pic:spPr bwMode="auto">
                    <a:xfrm>
                      <a:off x="0" y="0"/>
                      <a:ext cx="3695700" cy="2456801"/>
                    </a:xfrm>
                    <a:prstGeom prst="rect">
                      <a:avLst/>
                    </a:prstGeom>
                    <a:ln>
                      <a:noFill/>
                    </a:ln>
                    <a:extLst>
                      <a:ext uri="{53640926-AAD7-44d8-BBD7-CCE9431645EC}">
                        <a14:shadowObscured xmlns:a14="http://schemas.microsoft.com/office/drawing/2010/main"/>
                      </a:ext>
                    </a:extLst>
                  </pic:spPr>
                </pic:pic>
              </a:graphicData>
            </a:graphic>
          </wp:inline>
        </w:drawing>
      </w:r>
    </w:p>
    <w:p w14:paraId="5E8C7095" w14:textId="77777777" w:rsidR="004C1D27" w:rsidRDefault="004F582F" w:rsidP="00C664C4">
      <w:pPr>
        <w:pStyle w:val="Caption"/>
        <w:rPr>
          <w:noProof/>
        </w:rPr>
      </w:pPr>
      <w:bookmarkStart w:id="2014" w:name="_Toc333569088"/>
      <w:bookmarkStart w:id="2015" w:name="_Toc333569313"/>
      <w:bookmarkStart w:id="2016" w:name="_Toc333570867"/>
      <w:bookmarkStart w:id="2017" w:name="_Toc333582250"/>
      <w:bookmarkStart w:id="2018" w:name="_Toc333582370"/>
      <w:bookmarkStart w:id="2019" w:name="_Toc333582782"/>
      <w:bookmarkStart w:id="2020" w:name="_Toc333583152"/>
      <w:bookmarkStart w:id="2021" w:name="_Toc333585264"/>
      <w:bookmarkStart w:id="2022" w:name="_Toc333586816"/>
      <w:bookmarkStart w:id="2023" w:name="_Toc333644515"/>
      <w:bookmarkStart w:id="2024" w:name="_Toc333644809"/>
      <w:r>
        <w:rPr>
          <w:noProof/>
        </w:rPr>
        <w:t xml:space="preserve">Figure </w:t>
      </w:r>
      <w:r w:rsidR="009F33F9">
        <w:rPr>
          <w:noProof/>
        </w:rPr>
        <w:t>5.11</w:t>
      </w:r>
      <w:r w:rsidR="0043060F">
        <w:rPr>
          <w:noProof/>
        </w:rPr>
        <w:t>.</w:t>
      </w:r>
      <w:r>
        <w:rPr>
          <w:noProof/>
        </w:rPr>
        <w:t xml:space="preserve"> Eukaryotic Hybridisation controls for Astrocytes.</w:t>
      </w:r>
      <w:bookmarkEnd w:id="2014"/>
      <w:bookmarkEnd w:id="2015"/>
      <w:bookmarkEnd w:id="2016"/>
      <w:bookmarkEnd w:id="2017"/>
      <w:bookmarkEnd w:id="2018"/>
      <w:bookmarkEnd w:id="2019"/>
      <w:bookmarkEnd w:id="2020"/>
      <w:bookmarkEnd w:id="2021"/>
      <w:bookmarkEnd w:id="2022"/>
      <w:bookmarkEnd w:id="2023"/>
      <w:bookmarkEnd w:id="2024"/>
      <w:r>
        <w:rPr>
          <w:noProof/>
        </w:rPr>
        <w:t xml:space="preserve"> </w:t>
      </w:r>
    </w:p>
    <w:p w14:paraId="49B31690" w14:textId="4CC7DCC5" w:rsidR="004A7C6F" w:rsidRDefault="00464281" w:rsidP="00C63BC1">
      <w:pPr>
        <w:spacing w:line="360" w:lineRule="auto"/>
        <w:jc w:val="both"/>
        <w:rPr>
          <w:rFonts w:ascii="Times New Roman" w:hAnsi="Times New Roman" w:cs="Times New Roman"/>
          <w:noProof/>
          <w:color w:val="FF0000"/>
        </w:rPr>
      </w:pPr>
      <w:r>
        <w:rPr>
          <w:rFonts w:ascii="Times New Roman" w:hAnsi="Times New Roman" w:cs="Times New Roman"/>
          <w:noProof/>
        </w:rPr>
        <w:t>Signal intensit</w:t>
      </w:r>
      <w:r w:rsidR="00BA1B54">
        <w:rPr>
          <w:rFonts w:ascii="Times New Roman" w:hAnsi="Times New Roman" w:cs="Times New Roman"/>
          <w:noProof/>
        </w:rPr>
        <w:t>ies of eukaryotic hybridisation</w:t>
      </w:r>
      <w:r>
        <w:rPr>
          <w:rFonts w:ascii="Times New Roman" w:hAnsi="Times New Roman" w:cs="Times New Roman"/>
          <w:noProof/>
        </w:rPr>
        <w:t xml:space="preserve"> controls (BioB, BioC, BioD and CreX) at increasing concentrations (1.5, 5, 25 and 100pM) in the hybridisation mix of ea</w:t>
      </w:r>
      <w:r w:rsidR="00707549">
        <w:rPr>
          <w:rFonts w:ascii="Times New Roman" w:hAnsi="Times New Roman" w:cs="Times New Roman"/>
          <w:noProof/>
        </w:rPr>
        <w:t xml:space="preserve">ch sample. Measurements taken on the Affymetrix Expression Console. </w:t>
      </w:r>
      <w:r w:rsidR="004B4946">
        <w:rPr>
          <w:rFonts w:ascii="Times New Roman" w:hAnsi="Times New Roman" w:cs="Times New Roman"/>
          <w:noProof/>
        </w:rPr>
        <w:t>(C=control astrocytes and M=MAB391-treated astrocytes and the number indicates the experiment)</w:t>
      </w:r>
      <w:r w:rsidR="00AA21C2">
        <w:rPr>
          <w:rFonts w:ascii="Times New Roman" w:hAnsi="Times New Roman" w:cs="Times New Roman"/>
          <w:noProof/>
        </w:rPr>
        <w:t>.</w:t>
      </w:r>
    </w:p>
    <w:p w14:paraId="0E360AF8" w14:textId="77777777" w:rsidR="00AA21C2" w:rsidRPr="00AA21C2" w:rsidRDefault="00AA21C2" w:rsidP="00C63BC1">
      <w:pPr>
        <w:spacing w:line="360" w:lineRule="auto"/>
        <w:jc w:val="both"/>
        <w:rPr>
          <w:rFonts w:ascii="Times New Roman" w:hAnsi="Times New Roman" w:cs="Times New Roman"/>
          <w:noProof/>
          <w:color w:val="FF0000"/>
        </w:rPr>
      </w:pPr>
    </w:p>
    <w:p w14:paraId="5AE4EE10" w14:textId="3496012A" w:rsidR="00EE150E" w:rsidRPr="00BD0907" w:rsidRDefault="00EE150E" w:rsidP="00C63BC1">
      <w:pPr>
        <w:pStyle w:val="Heading4"/>
        <w:jc w:val="both"/>
        <w:rPr>
          <w:noProof/>
          <w:u w:val="single"/>
        </w:rPr>
      </w:pPr>
      <w:r w:rsidRPr="00BD0907">
        <w:rPr>
          <w:noProof/>
          <w:u w:val="single"/>
        </w:rPr>
        <w:t>Comparing signal intensities between the arrays.</w:t>
      </w:r>
    </w:p>
    <w:p w14:paraId="09EB4AFC" w14:textId="79DCCB65" w:rsidR="004A7C6F" w:rsidRDefault="004A7C6F" w:rsidP="00C63BC1">
      <w:pPr>
        <w:spacing w:line="360" w:lineRule="auto"/>
        <w:jc w:val="both"/>
        <w:rPr>
          <w:rFonts w:ascii="Times New Roman" w:hAnsi="Times New Roman" w:cs="Times New Roman"/>
          <w:noProof/>
        </w:rPr>
      </w:pPr>
      <w:r>
        <w:rPr>
          <w:rFonts w:ascii="Times New Roman" w:hAnsi="Times New Roman" w:cs="Times New Roman"/>
          <w:noProof/>
        </w:rPr>
        <w:t xml:space="preserve">The </w:t>
      </w:r>
      <w:r w:rsidR="00BA1B54" w:rsidRPr="00DA7445">
        <w:rPr>
          <w:rFonts w:ascii="Times New Roman" w:hAnsi="Times New Roman" w:cs="Times New Roman"/>
        </w:rPr>
        <w:t>GeneChip®</w:t>
      </w:r>
      <w:r w:rsidR="00BA1B54">
        <w:rPr>
          <w:rFonts w:ascii="Times New Roman" w:hAnsi="Times New Roman" w:cs="Times New Roman"/>
        </w:rPr>
        <w:t xml:space="preserve"> Human Gene ST (GST) arrays</w:t>
      </w:r>
      <w:r>
        <w:rPr>
          <w:rFonts w:ascii="Times New Roman" w:hAnsi="Times New Roman" w:cs="Times New Roman"/>
          <w:noProof/>
        </w:rPr>
        <w:t xml:space="preserve"> feature 352859 different probe sets. A histogram</w:t>
      </w:r>
      <w:r w:rsidR="009F33F9">
        <w:rPr>
          <w:rFonts w:ascii="Times New Roman" w:hAnsi="Times New Roman" w:cs="Times New Roman"/>
          <w:noProof/>
        </w:rPr>
        <w:t xml:space="preserve"> (</w:t>
      </w:r>
      <w:r w:rsidR="009F33F9" w:rsidRPr="000273AF">
        <w:rPr>
          <w:rFonts w:ascii="Times New Roman" w:hAnsi="Times New Roman" w:cs="Times New Roman"/>
          <w:b/>
          <w:noProof/>
        </w:rPr>
        <w:t>figure 12A</w:t>
      </w:r>
      <w:r w:rsidR="009F33F9">
        <w:rPr>
          <w:rFonts w:ascii="Times New Roman" w:hAnsi="Times New Roman" w:cs="Times New Roman"/>
          <w:noProof/>
        </w:rPr>
        <w:t>)</w:t>
      </w:r>
      <w:r>
        <w:rPr>
          <w:rFonts w:ascii="Times New Roman" w:hAnsi="Times New Roman" w:cs="Times New Roman"/>
          <w:noProof/>
        </w:rPr>
        <w:t xml:space="preserve"> has been used to </w:t>
      </w:r>
      <w:r w:rsidR="003C01E2">
        <w:rPr>
          <w:rFonts w:ascii="Times New Roman" w:hAnsi="Times New Roman" w:cs="Times New Roman"/>
          <w:noProof/>
        </w:rPr>
        <w:t>directly compare</w:t>
      </w:r>
      <w:r>
        <w:rPr>
          <w:rFonts w:ascii="Times New Roman" w:hAnsi="Times New Roman" w:cs="Times New Roman"/>
          <w:noProof/>
        </w:rPr>
        <w:t xml:space="preserve"> the intensity of signal</w:t>
      </w:r>
      <w:r w:rsidR="003C01E2">
        <w:rPr>
          <w:rFonts w:ascii="Times New Roman" w:hAnsi="Times New Roman" w:cs="Times New Roman"/>
          <w:noProof/>
        </w:rPr>
        <w:t xml:space="preserve">s </w:t>
      </w:r>
      <w:r>
        <w:rPr>
          <w:rFonts w:ascii="Times New Roman" w:hAnsi="Times New Roman" w:cs="Times New Roman"/>
          <w:noProof/>
        </w:rPr>
        <w:t xml:space="preserve">of </w:t>
      </w:r>
      <w:r w:rsidR="00BA1B54">
        <w:rPr>
          <w:rFonts w:ascii="Times New Roman" w:hAnsi="Times New Roman" w:cs="Times New Roman"/>
          <w:noProof/>
        </w:rPr>
        <w:t xml:space="preserve">the different </w:t>
      </w:r>
      <w:r>
        <w:rPr>
          <w:rFonts w:ascii="Times New Roman" w:hAnsi="Times New Roman" w:cs="Times New Roman"/>
          <w:noProof/>
        </w:rPr>
        <w:t>probe sets</w:t>
      </w:r>
      <w:r w:rsidR="00BA1B54">
        <w:rPr>
          <w:rFonts w:ascii="Times New Roman" w:hAnsi="Times New Roman" w:cs="Times New Roman"/>
          <w:noProof/>
        </w:rPr>
        <w:t xml:space="preserve"> across the six samples</w:t>
      </w:r>
      <w:r>
        <w:rPr>
          <w:rFonts w:ascii="Times New Roman" w:hAnsi="Times New Roman" w:cs="Times New Roman"/>
          <w:noProof/>
        </w:rPr>
        <w:t>. In theory, the profile of the signal intensities should be the same across the different samples. This is true of all samples apa</w:t>
      </w:r>
      <w:r w:rsidR="00A024D4">
        <w:rPr>
          <w:rFonts w:ascii="Times New Roman" w:hAnsi="Times New Roman" w:cs="Times New Roman"/>
          <w:noProof/>
        </w:rPr>
        <w:t>rt from C3 and M3, and</w:t>
      </w:r>
      <w:r>
        <w:rPr>
          <w:rFonts w:ascii="Times New Roman" w:hAnsi="Times New Roman" w:cs="Times New Roman"/>
          <w:noProof/>
        </w:rPr>
        <w:t xml:space="preserve"> is consistent with earlier findings that the labelling process </w:t>
      </w:r>
      <w:r w:rsidR="003C01E2">
        <w:rPr>
          <w:rFonts w:ascii="Times New Roman" w:hAnsi="Times New Roman" w:cs="Times New Roman"/>
          <w:noProof/>
        </w:rPr>
        <w:t>may also not have worked as effectively in these samples. A P</w:t>
      </w:r>
      <w:r>
        <w:rPr>
          <w:rFonts w:ascii="Times New Roman" w:hAnsi="Times New Roman" w:cs="Times New Roman"/>
          <w:noProof/>
        </w:rPr>
        <w:t>earson’s correlation was carried out (</w:t>
      </w:r>
      <w:r w:rsidRPr="000273AF">
        <w:rPr>
          <w:rFonts w:ascii="Times New Roman" w:hAnsi="Times New Roman" w:cs="Times New Roman"/>
          <w:b/>
          <w:noProof/>
        </w:rPr>
        <w:t xml:space="preserve">figure </w:t>
      </w:r>
      <w:r w:rsidR="009F33F9" w:rsidRPr="000273AF">
        <w:rPr>
          <w:rFonts w:ascii="Times New Roman" w:hAnsi="Times New Roman" w:cs="Times New Roman"/>
          <w:b/>
          <w:noProof/>
        </w:rPr>
        <w:t>12</w:t>
      </w:r>
      <w:r w:rsidR="00A700B6" w:rsidRPr="000273AF">
        <w:rPr>
          <w:rFonts w:ascii="Times New Roman" w:hAnsi="Times New Roman" w:cs="Times New Roman"/>
          <w:b/>
          <w:noProof/>
        </w:rPr>
        <w:t>B</w:t>
      </w:r>
      <w:r>
        <w:rPr>
          <w:rFonts w:ascii="Times New Roman" w:hAnsi="Times New Roman" w:cs="Times New Roman"/>
          <w:noProof/>
        </w:rPr>
        <w:t>) to compare</w:t>
      </w:r>
      <w:r w:rsidR="003C01E2">
        <w:rPr>
          <w:rFonts w:ascii="Times New Roman" w:hAnsi="Times New Roman" w:cs="Times New Roman"/>
          <w:noProof/>
        </w:rPr>
        <w:t xml:space="preserve"> signal intensiti</w:t>
      </w:r>
      <w:r>
        <w:rPr>
          <w:rFonts w:ascii="Times New Roman" w:hAnsi="Times New Roman" w:cs="Times New Roman"/>
          <w:noProof/>
        </w:rPr>
        <w:t xml:space="preserve">es </w:t>
      </w:r>
      <w:r w:rsidR="003C01E2">
        <w:rPr>
          <w:rFonts w:ascii="Times New Roman" w:hAnsi="Times New Roman" w:cs="Times New Roman"/>
          <w:noProof/>
        </w:rPr>
        <w:t xml:space="preserve">for each of the probe sets </w:t>
      </w:r>
      <w:r>
        <w:rPr>
          <w:rFonts w:ascii="Times New Roman" w:hAnsi="Times New Roman" w:cs="Times New Roman"/>
          <w:noProof/>
        </w:rPr>
        <w:t xml:space="preserve">between different samples. </w:t>
      </w:r>
      <w:r w:rsidR="00A024D4">
        <w:rPr>
          <w:rFonts w:ascii="Times New Roman" w:hAnsi="Times New Roman" w:cs="Times New Roman"/>
          <w:noProof/>
        </w:rPr>
        <w:t xml:space="preserve">It is </w:t>
      </w:r>
      <w:r>
        <w:rPr>
          <w:rFonts w:ascii="Times New Roman" w:hAnsi="Times New Roman" w:cs="Times New Roman"/>
          <w:noProof/>
        </w:rPr>
        <w:t xml:space="preserve">clear that </w:t>
      </w:r>
      <w:r w:rsidR="00B24A5E">
        <w:rPr>
          <w:rFonts w:ascii="Times New Roman" w:hAnsi="Times New Roman" w:cs="Times New Roman"/>
          <w:noProof/>
        </w:rPr>
        <w:t>the signal intensit</w:t>
      </w:r>
      <w:r w:rsidR="00A024D4">
        <w:rPr>
          <w:rFonts w:ascii="Times New Roman" w:hAnsi="Times New Roman" w:cs="Times New Roman"/>
          <w:noProof/>
        </w:rPr>
        <w:t xml:space="preserve">ies of C3 and M3 lie outside </w:t>
      </w:r>
      <w:r w:rsidR="00B24A5E">
        <w:rPr>
          <w:rFonts w:ascii="Times New Roman" w:hAnsi="Times New Roman" w:cs="Times New Roman"/>
          <w:noProof/>
        </w:rPr>
        <w:t xml:space="preserve">the range of the other samples in the array. </w:t>
      </w:r>
    </w:p>
    <w:p w14:paraId="09E317B1" w14:textId="77777777" w:rsidR="003C01E2" w:rsidRDefault="003C01E2" w:rsidP="00E61002">
      <w:pPr>
        <w:spacing w:line="360" w:lineRule="auto"/>
        <w:rPr>
          <w:rFonts w:ascii="Times New Roman" w:hAnsi="Times New Roman" w:cs="Times New Roman"/>
          <w:noProof/>
        </w:rPr>
      </w:pPr>
    </w:p>
    <w:p w14:paraId="5A103E93" w14:textId="77777777" w:rsidR="00A024D4" w:rsidRPr="00BD0907" w:rsidRDefault="00A024D4" w:rsidP="00A024D4">
      <w:pPr>
        <w:pStyle w:val="Heading4"/>
        <w:rPr>
          <w:noProof/>
          <w:u w:val="single"/>
        </w:rPr>
      </w:pPr>
      <w:r w:rsidRPr="00BD0907">
        <w:rPr>
          <w:noProof/>
          <w:u w:val="single"/>
        </w:rPr>
        <w:t>Positive vs Negative Area Under the Curve (AUC)</w:t>
      </w:r>
    </w:p>
    <w:p w14:paraId="7D17AC82" w14:textId="64D86CFD" w:rsidR="00BD0907" w:rsidRPr="00AA21C2" w:rsidRDefault="00A024D4" w:rsidP="00C63BC1">
      <w:pPr>
        <w:spacing w:line="360" w:lineRule="auto"/>
        <w:jc w:val="both"/>
        <w:rPr>
          <w:rFonts w:ascii="Times New Roman" w:hAnsi="Times New Roman" w:cs="Times New Roman"/>
          <w:noProof/>
        </w:rPr>
      </w:pPr>
      <w:r>
        <w:rPr>
          <w:rFonts w:ascii="Times New Roman" w:hAnsi="Times New Roman" w:cs="Times New Roman"/>
          <w:noProof/>
        </w:rPr>
        <w:t>Positive versus negative area under the curve is a value assigned to the overall data quality. Essentially it is a measure of the detection of the positive control over a false detection of a negative control and therefore measures how well an array can detect the “true” signal over background noise. AUC values of 1 are a reflection of detecting true signal perfectly over noise. AUC values of 0.5 are indicative of background noise. The mean AUC value for the six arrays is 0.83 (</w:t>
      </w:r>
      <w:r w:rsidRPr="000273AF">
        <w:rPr>
          <w:rFonts w:ascii="Times New Roman" w:hAnsi="Times New Roman" w:cs="Times New Roman"/>
          <w:b/>
          <w:noProof/>
        </w:rPr>
        <w:t>table 5.6</w:t>
      </w:r>
      <w:r>
        <w:rPr>
          <w:rFonts w:ascii="Times New Roman" w:hAnsi="Times New Roman" w:cs="Times New Roman"/>
          <w:noProof/>
        </w:rPr>
        <w:t xml:space="preserve">), which suggests that there is more detection of true signal over noise. AUC values of 0.8 or below should be flagged as potential outliers. The “M3” array has an AUC of 0.77 and therefore should be highlighted as a potential outlier. The “C3” array also has an AUC value that sits closer to 0.8. </w:t>
      </w:r>
      <w:r w:rsidRPr="000273AF">
        <w:rPr>
          <w:rFonts w:ascii="Times New Roman" w:hAnsi="Times New Roman" w:cs="Times New Roman"/>
          <w:b/>
          <w:noProof/>
        </w:rPr>
        <w:t>Figure 5.13</w:t>
      </w:r>
      <w:r>
        <w:rPr>
          <w:rFonts w:ascii="Times New Roman" w:hAnsi="Times New Roman" w:cs="Times New Roman"/>
          <w:noProof/>
        </w:rPr>
        <w:t>, displays these metrics graphically and highlights differences between the C3 and M3 arrays compared with the other four arrays, however the values for these are still within 2 standard deviations of the mean. Therefore although C3 and M3 have lower AUC values, in general there appears to be no signficant differences in the AUC values between the arrays.</w:t>
      </w:r>
    </w:p>
    <w:p w14:paraId="5F50A627" w14:textId="34031297" w:rsidR="003C01E2" w:rsidRPr="003C01E2" w:rsidRDefault="003C01E2" w:rsidP="00E61002">
      <w:pPr>
        <w:spacing w:line="360" w:lineRule="auto"/>
        <w:rPr>
          <w:rFonts w:ascii="Times New Roman" w:hAnsi="Times New Roman" w:cs="Times New Roman"/>
          <w:b/>
          <w:noProof/>
          <w:sz w:val="32"/>
          <w:szCs w:val="32"/>
        </w:rPr>
      </w:pPr>
      <w:r>
        <w:rPr>
          <w:rFonts w:ascii="Times New Roman" w:hAnsi="Times New Roman" w:cs="Times New Roman"/>
          <w:b/>
          <w:noProof/>
          <w:sz w:val="32"/>
          <w:szCs w:val="32"/>
        </w:rPr>
        <w:t>A.</w:t>
      </w:r>
    </w:p>
    <w:p w14:paraId="42E59D54" w14:textId="1F32C81F" w:rsidR="003C01E2" w:rsidRDefault="00870F23">
      <w:pPr>
        <w:rPr>
          <w:rFonts w:ascii="Times New Roman" w:hAnsi="Times New Roman" w:cs="Times New Roman"/>
          <w:noProof/>
          <w:color w:val="FF0000"/>
        </w:rPr>
      </w:pPr>
      <w:r>
        <w:rPr>
          <w:rFonts w:ascii="Times New Roman" w:hAnsi="Times New Roman" w:cs="Times New Roman"/>
          <w:noProof/>
          <w:color w:val="FF0000"/>
        </w:rPr>
        <w:t xml:space="preserve">         </w:t>
      </w:r>
      <w:r w:rsidR="003C01E2">
        <w:rPr>
          <w:rFonts w:ascii="Times New Roman" w:hAnsi="Times New Roman" w:cs="Times New Roman"/>
          <w:noProof/>
          <w:color w:val="FF0000"/>
        </w:rPr>
        <w:t xml:space="preserve">       </w:t>
      </w:r>
      <w:r w:rsidR="00AE376F">
        <w:rPr>
          <w:rFonts w:ascii="Times New Roman" w:hAnsi="Times New Roman" w:cs="Times New Roman"/>
          <w:noProof/>
          <w:color w:val="FF0000"/>
        </w:rPr>
        <w:drawing>
          <wp:inline distT="0" distB="0" distL="0" distR="0" wp14:anchorId="601D0A10" wp14:editId="396F1D0B">
            <wp:extent cx="4304404" cy="2703496"/>
            <wp:effectExtent l="0" t="0" r="0" b="0"/>
            <wp:docPr id="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304877" cy="2703793"/>
                    </a:xfrm>
                    <a:prstGeom prst="rect">
                      <a:avLst/>
                    </a:prstGeom>
                    <a:noFill/>
                    <a:ln>
                      <a:noFill/>
                    </a:ln>
                  </pic:spPr>
                </pic:pic>
              </a:graphicData>
            </a:graphic>
          </wp:inline>
        </w:drawing>
      </w:r>
      <w:r w:rsidR="0061686C">
        <w:rPr>
          <w:rFonts w:ascii="Times New Roman" w:hAnsi="Times New Roman" w:cs="Times New Roman"/>
          <w:noProof/>
          <w:color w:val="FF0000"/>
        </w:rPr>
        <w:t xml:space="preserve">        </w:t>
      </w:r>
    </w:p>
    <w:p w14:paraId="441CA02C" w14:textId="77777777" w:rsidR="003C01E2" w:rsidRDefault="003C01E2">
      <w:pPr>
        <w:rPr>
          <w:rFonts w:ascii="Times New Roman" w:hAnsi="Times New Roman" w:cs="Times New Roman"/>
          <w:noProof/>
          <w:color w:val="FF0000"/>
        </w:rPr>
      </w:pPr>
    </w:p>
    <w:p w14:paraId="08CB19BE" w14:textId="77777777" w:rsidR="003776BA" w:rsidRDefault="003776BA">
      <w:pPr>
        <w:rPr>
          <w:rFonts w:ascii="Times New Roman" w:hAnsi="Times New Roman" w:cs="Times New Roman"/>
          <w:b/>
          <w:noProof/>
          <w:sz w:val="32"/>
          <w:szCs w:val="32"/>
        </w:rPr>
      </w:pPr>
    </w:p>
    <w:p w14:paraId="72A742B2" w14:textId="77777777" w:rsidR="003776BA" w:rsidRDefault="003776BA">
      <w:pPr>
        <w:rPr>
          <w:rFonts w:ascii="Times New Roman" w:hAnsi="Times New Roman" w:cs="Times New Roman"/>
          <w:b/>
          <w:noProof/>
          <w:sz w:val="32"/>
          <w:szCs w:val="32"/>
        </w:rPr>
      </w:pPr>
    </w:p>
    <w:p w14:paraId="15B69B1B" w14:textId="77777777" w:rsidR="003776BA" w:rsidRDefault="003776BA">
      <w:pPr>
        <w:rPr>
          <w:rFonts w:ascii="Times New Roman" w:hAnsi="Times New Roman" w:cs="Times New Roman"/>
          <w:b/>
          <w:noProof/>
          <w:sz w:val="32"/>
          <w:szCs w:val="32"/>
        </w:rPr>
      </w:pPr>
    </w:p>
    <w:p w14:paraId="196918C7" w14:textId="77777777" w:rsidR="003776BA" w:rsidRDefault="003776BA">
      <w:pPr>
        <w:rPr>
          <w:rFonts w:ascii="Times New Roman" w:hAnsi="Times New Roman" w:cs="Times New Roman"/>
          <w:b/>
          <w:noProof/>
          <w:sz w:val="32"/>
          <w:szCs w:val="32"/>
        </w:rPr>
      </w:pPr>
    </w:p>
    <w:p w14:paraId="6FE84615" w14:textId="77777777" w:rsidR="003776BA" w:rsidRDefault="003776BA">
      <w:pPr>
        <w:rPr>
          <w:rFonts w:ascii="Times New Roman" w:hAnsi="Times New Roman" w:cs="Times New Roman"/>
          <w:b/>
          <w:noProof/>
          <w:sz w:val="32"/>
          <w:szCs w:val="32"/>
        </w:rPr>
      </w:pPr>
    </w:p>
    <w:p w14:paraId="3CD591E2" w14:textId="77777777" w:rsidR="003776BA" w:rsidRDefault="003776BA">
      <w:pPr>
        <w:rPr>
          <w:rFonts w:ascii="Times New Roman" w:hAnsi="Times New Roman" w:cs="Times New Roman"/>
          <w:b/>
          <w:noProof/>
          <w:sz w:val="32"/>
          <w:szCs w:val="32"/>
        </w:rPr>
      </w:pPr>
    </w:p>
    <w:p w14:paraId="684A677C" w14:textId="77777777" w:rsidR="003776BA" w:rsidRDefault="003776BA">
      <w:pPr>
        <w:rPr>
          <w:rFonts w:ascii="Times New Roman" w:hAnsi="Times New Roman" w:cs="Times New Roman"/>
          <w:b/>
          <w:noProof/>
          <w:sz w:val="32"/>
          <w:szCs w:val="32"/>
        </w:rPr>
      </w:pPr>
    </w:p>
    <w:p w14:paraId="0970FED4" w14:textId="77777777" w:rsidR="003776BA" w:rsidRDefault="003776BA">
      <w:pPr>
        <w:rPr>
          <w:rFonts w:ascii="Times New Roman" w:hAnsi="Times New Roman" w:cs="Times New Roman"/>
          <w:b/>
          <w:noProof/>
          <w:sz w:val="32"/>
          <w:szCs w:val="32"/>
        </w:rPr>
      </w:pPr>
    </w:p>
    <w:p w14:paraId="4EECCB61" w14:textId="77777777" w:rsidR="003776BA" w:rsidRDefault="003776BA">
      <w:pPr>
        <w:rPr>
          <w:rFonts w:ascii="Times New Roman" w:hAnsi="Times New Roman" w:cs="Times New Roman"/>
          <w:b/>
          <w:noProof/>
          <w:sz w:val="32"/>
          <w:szCs w:val="32"/>
        </w:rPr>
      </w:pPr>
    </w:p>
    <w:p w14:paraId="6D432333" w14:textId="77777777" w:rsidR="003776BA" w:rsidRDefault="003776BA">
      <w:pPr>
        <w:rPr>
          <w:rFonts w:ascii="Times New Roman" w:hAnsi="Times New Roman" w:cs="Times New Roman"/>
          <w:b/>
          <w:noProof/>
          <w:sz w:val="32"/>
          <w:szCs w:val="32"/>
        </w:rPr>
      </w:pPr>
    </w:p>
    <w:p w14:paraId="43AA48FF" w14:textId="77777777" w:rsidR="003776BA" w:rsidRDefault="003776BA">
      <w:pPr>
        <w:rPr>
          <w:rFonts w:ascii="Times New Roman" w:hAnsi="Times New Roman" w:cs="Times New Roman"/>
          <w:b/>
          <w:noProof/>
          <w:sz w:val="32"/>
          <w:szCs w:val="32"/>
        </w:rPr>
      </w:pPr>
    </w:p>
    <w:p w14:paraId="76BF4702" w14:textId="77777777" w:rsidR="003776BA" w:rsidRDefault="003776BA">
      <w:pPr>
        <w:rPr>
          <w:rFonts w:ascii="Times New Roman" w:hAnsi="Times New Roman" w:cs="Times New Roman"/>
          <w:b/>
          <w:noProof/>
          <w:sz w:val="32"/>
          <w:szCs w:val="32"/>
        </w:rPr>
      </w:pPr>
    </w:p>
    <w:p w14:paraId="628E8ED0" w14:textId="23B2D8C5" w:rsidR="003C01E2" w:rsidRPr="003C01E2" w:rsidRDefault="003C01E2">
      <w:pPr>
        <w:rPr>
          <w:rFonts w:ascii="Times New Roman" w:hAnsi="Times New Roman" w:cs="Times New Roman"/>
          <w:b/>
          <w:noProof/>
          <w:sz w:val="32"/>
          <w:szCs w:val="32"/>
        </w:rPr>
      </w:pPr>
      <w:r w:rsidRPr="003C01E2">
        <w:rPr>
          <w:rFonts w:ascii="Times New Roman" w:hAnsi="Times New Roman" w:cs="Times New Roman"/>
          <w:b/>
          <w:noProof/>
          <w:sz w:val="32"/>
          <w:szCs w:val="32"/>
        </w:rPr>
        <w:t>B.</w:t>
      </w:r>
      <w:r>
        <w:rPr>
          <w:rFonts w:ascii="Times New Roman" w:hAnsi="Times New Roman" w:cs="Times New Roman"/>
          <w:b/>
          <w:noProof/>
          <w:sz w:val="32"/>
          <w:szCs w:val="32"/>
        </w:rPr>
        <w:t xml:space="preserve"> </w:t>
      </w:r>
    </w:p>
    <w:p w14:paraId="01B3AC2E" w14:textId="5DDA0C30" w:rsidR="00AE376F" w:rsidRDefault="0061686C">
      <w:pPr>
        <w:rPr>
          <w:rFonts w:ascii="Times New Roman" w:hAnsi="Times New Roman" w:cs="Times New Roman"/>
          <w:noProof/>
          <w:color w:val="FF0000"/>
        </w:rPr>
      </w:pPr>
      <w:r>
        <w:rPr>
          <w:rFonts w:ascii="Times New Roman" w:hAnsi="Times New Roman" w:cs="Times New Roman"/>
          <w:noProof/>
          <w:color w:val="FF0000"/>
        </w:rPr>
        <w:t xml:space="preserve"> </w:t>
      </w:r>
      <w:r w:rsidR="003C01E2">
        <w:rPr>
          <w:rFonts w:ascii="Times New Roman" w:hAnsi="Times New Roman" w:cs="Times New Roman"/>
          <w:noProof/>
          <w:color w:val="FF0000"/>
        </w:rPr>
        <w:t xml:space="preserve">     </w:t>
      </w:r>
      <w:r w:rsidR="00870F23">
        <w:rPr>
          <w:rFonts w:ascii="Times New Roman" w:hAnsi="Times New Roman" w:cs="Times New Roman"/>
          <w:noProof/>
          <w:color w:val="FF0000"/>
        </w:rPr>
        <w:t xml:space="preserve">     </w:t>
      </w:r>
      <w:r w:rsidR="00AA21C2">
        <w:rPr>
          <w:rFonts w:ascii="Times New Roman" w:hAnsi="Times New Roman" w:cs="Times New Roman"/>
          <w:noProof/>
          <w:color w:val="FF0000"/>
        </w:rPr>
        <w:t xml:space="preserve"> </w:t>
      </w:r>
      <w:r w:rsidR="00870F23">
        <w:rPr>
          <w:rFonts w:ascii="Times New Roman" w:hAnsi="Times New Roman" w:cs="Times New Roman"/>
          <w:noProof/>
          <w:color w:val="FF0000"/>
        </w:rPr>
        <w:t xml:space="preserve">  </w:t>
      </w:r>
      <w:r w:rsidR="003C01E2">
        <w:rPr>
          <w:rFonts w:ascii="Times New Roman" w:hAnsi="Times New Roman" w:cs="Times New Roman"/>
          <w:noProof/>
          <w:color w:val="FF0000"/>
        </w:rPr>
        <w:t xml:space="preserve">    </w:t>
      </w:r>
      <w:r>
        <w:rPr>
          <w:rFonts w:ascii="Times New Roman" w:hAnsi="Times New Roman" w:cs="Times New Roman"/>
          <w:noProof/>
          <w:color w:val="FF0000"/>
        </w:rPr>
        <w:t xml:space="preserve">  </w:t>
      </w:r>
      <w:r w:rsidR="00AE376F">
        <w:rPr>
          <w:rFonts w:ascii="Times New Roman" w:hAnsi="Times New Roman" w:cs="Times New Roman"/>
          <w:noProof/>
          <w:color w:val="FF0000"/>
        </w:rPr>
        <w:drawing>
          <wp:inline distT="0" distB="0" distL="0" distR="0" wp14:anchorId="460C2431" wp14:editId="1875CCAF">
            <wp:extent cx="3888818" cy="3189138"/>
            <wp:effectExtent l="0" t="0" r="0" b="11430"/>
            <wp:docPr id="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89399" cy="3189615"/>
                    </a:xfrm>
                    <a:prstGeom prst="rect">
                      <a:avLst/>
                    </a:prstGeom>
                    <a:noFill/>
                    <a:ln>
                      <a:noFill/>
                    </a:ln>
                  </pic:spPr>
                </pic:pic>
              </a:graphicData>
            </a:graphic>
          </wp:inline>
        </w:drawing>
      </w:r>
    </w:p>
    <w:p w14:paraId="22125C8C" w14:textId="56028000" w:rsidR="0037790C" w:rsidRDefault="0037790C">
      <w:pPr>
        <w:rPr>
          <w:rFonts w:ascii="Times New Roman" w:hAnsi="Times New Roman" w:cs="Times New Roman"/>
          <w:b/>
          <w:noProof/>
          <w:color w:val="000000" w:themeColor="text1"/>
        </w:rPr>
      </w:pPr>
    </w:p>
    <w:p w14:paraId="0D274AEE" w14:textId="2830442D" w:rsidR="00C664C4" w:rsidRPr="00C664C4" w:rsidRDefault="00C664C4" w:rsidP="00C664C4">
      <w:pPr>
        <w:pStyle w:val="Caption"/>
      </w:pPr>
      <w:bookmarkStart w:id="2025" w:name="_Toc333585265"/>
      <w:bookmarkStart w:id="2026" w:name="_Toc333586817"/>
      <w:bookmarkStart w:id="2027" w:name="_Toc333644516"/>
      <w:bookmarkStart w:id="2028" w:name="_Toc333644810"/>
      <w:r>
        <w:t>Figure 5.12. A histrogram (A) and Pearson’s correlation (B) performed to compare the signal intensities of the different probe sets between the six samples (C1-M3)</w:t>
      </w:r>
      <w:bookmarkEnd w:id="2025"/>
      <w:bookmarkEnd w:id="2026"/>
      <w:bookmarkEnd w:id="2027"/>
      <w:bookmarkEnd w:id="2028"/>
    </w:p>
    <w:p w14:paraId="34B8FB6D" w14:textId="22EDB35E" w:rsidR="004C0E34" w:rsidRDefault="004B4946" w:rsidP="00C63BC1">
      <w:pPr>
        <w:spacing w:line="360" w:lineRule="auto"/>
        <w:jc w:val="both"/>
        <w:rPr>
          <w:rFonts w:ascii="Times New Roman" w:hAnsi="Times New Roman" w:cs="Times New Roman"/>
          <w:noProof/>
        </w:rPr>
      </w:pPr>
      <w:r>
        <w:rPr>
          <w:rFonts w:ascii="Times New Roman" w:hAnsi="Times New Roman" w:cs="Times New Roman"/>
          <w:noProof/>
        </w:rPr>
        <w:t>(C=control astrocytes and M=MAB391-treated astrocytes and the number indicates the experiment)</w:t>
      </w:r>
      <w:r w:rsidR="00AA21C2">
        <w:rPr>
          <w:rFonts w:ascii="Times New Roman" w:hAnsi="Times New Roman" w:cs="Times New Roman"/>
          <w:noProof/>
        </w:rPr>
        <w:t>.</w:t>
      </w:r>
    </w:p>
    <w:p w14:paraId="20DE96A7" w14:textId="77777777" w:rsidR="00E36700" w:rsidRDefault="00E36700" w:rsidP="00C63BC1">
      <w:pPr>
        <w:spacing w:line="360" w:lineRule="auto"/>
        <w:jc w:val="both"/>
        <w:rPr>
          <w:rFonts w:ascii="Times New Roman" w:hAnsi="Times New Roman" w:cs="Times New Roman"/>
          <w:noProof/>
        </w:rPr>
      </w:pPr>
    </w:p>
    <w:p w14:paraId="16465704" w14:textId="77777777" w:rsidR="00E36700" w:rsidRDefault="00E36700" w:rsidP="00C63BC1">
      <w:pPr>
        <w:spacing w:line="360" w:lineRule="auto"/>
        <w:jc w:val="both"/>
        <w:rPr>
          <w:rFonts w:ascii="Times New Roman" w:hAnsi="Times New Roman" w:cs="Times New Roman"/>
          <w:noProof/>
        </w:rPr>
      </w:pPr>
    </w:p>
    <w:p w14:paraId="2384FFD5" w14:textId="77777777" w:rsidR="00E36700" w:rsidRDefault="00E36700" w:rsidP="00C63BC1">
      <w:pPr>
        <w:spacing w:line="360" w:lineRule="auto"/>
        <w:jc w:val="both"/>
        <w:rPr>
          <w:rFonts w:ascii="Times New Roman" w:hAnsi="Times New Roman" w:cs="Times New Roman"/>
          <w:noProof/>
        </w:rPr>
      </w:pPr>
    </w:p>
    <w:p w14:paraId="40575DE1" w14:textId="77777777" w:rsidR="00E36700" w:rsidRDefault="00E36700" w:rsidP="00C63BC1">
      <w:pPr>
        <w:spacing w:line="360" w:lineRule="auto"/>
        <w:jc w:val="both"/>
        <w:rPr>
          <w:rFonts w:ascii="Times New Roman" w:hAnsi="Times New Roman" w:cs="Times New Roman"/>
          <w:noProof/>
        </w:rPr>
      </w:pPr>
    </w:p>
    <w:p w14:paraId="72B94FDC" w14:textId="77777777" w:rsidR="00E36700" w:rsidRDefault="00E36700" w:rsidP="00C63BC1">
      <w:pPr>
        <w:spacing w:line="360" w:lineRule="auto"/>
        <w:jc w:val="both"/>
        <w:rPr>
          <w:rFonts w:ascii="Times New Roman" w:hAnsi="Times New Roman" w:cs="Times New Roman"/>
          <w:noProof/>
        </w:rPr>
      </w:pPr>
    </w:p>
    <w:p w14:paraId="4A39A3EE" w14:textId="77777777" w:rsidR="00E36700" w:rsidRDefault="00E36700" w:rsidP="00C63BC1">
      <w:pPr>
        <w:spacing w:line="360" w:lineRule="auto"/>
        <w:jc w:val="both"/>
        <w:rPr>
          <w:rFonts w:ascii="Times New Roman" w:hAnsi="Times New Roman" w:cs="Times New Roman"/>
          <w:noProof/>
        </w:rPr>
      </w:pPr>
    </w:p>
    <w:p w14:paraId="2052C8CA" w14:textId="77777777" w:rsidR="00E36700" w:rsidRDefault="00E36700" w:rsidP="00C63BC1">
      <w:pPr>
        <w:spacing w:line="360" w:lineRule="auto"/>
        <w:jc w:val="both"/>
        <w:rPr>
          <w:rFonts w:ascii="Times New Roman" w:hAnsi="Times New Roman" w:cs="Times New Roman"/>
          <w:noProof/>
        </w:rPr>
      </w:pPr>
    </w:p>
    <w:p w14:paraId="111264F5" w14:textId="77777777" w:rsidR="00AA21C2" w:rsidRPr="00870F23" w:rsidRDefault="00AA21C2" w:rsidP="009100D6">
      <w:pPr>
        <w:spacing w:line="360" w:lineRule="auto"/>
        <w:rPr>
          <w:rFonts w:ascii="Times New Roman" w:hAnsi="Times New Roman" w:cs="Times New Roman"/>
          <w:b/>
          <w:noProof/>
          <w:color w:val="FF0000"/>
        </w:rPr>
      </w:pPr>
    </w:p>
    <w:p w14:paraId="3792517A" w14:textId="2F8F31E9" w:rsidR="004C0E34" w:rsidRDefault="004C0E34" w:rsidP="009100D6">
      <w:pPr>
        <w:spacing w:line="360" w:lineRule="auto"/>
        <w:rPr>
          <w:rFonts w:ascii="Times New Roman" w:hAnsi="Times New Roman" w:cs="Times New Roman"/>
          <w:noProof/>
        </w:rPr>
      </w:pPr>
      <w:r>
        <w:rPr>
          <w:rFonts w:ascii="Times New Roman" w:hAnsi="Times New Roman" w:cs="Times New Roman"/>
          <w:noProof/>
        </w:rPr>
        <w:t xml:space="preserve">     </w:t>
      </w:r>
      <w:r w:rsidR="00951877">
        <w:rPr>
          <w:rFonts w:ascii="Times New Roman" w:hAnsi="Times New Roman" w:cs="Times New Roman"/>
          <w:noProof/>
        </w:rPr>
        <w:t xml:space="preserve">           </w:t>
      </w:r>
      <w:r>
        <w:rPr>
          <w:rFonts w:ascii="Times New Roman" w:hAnsi="Times New Roman" w:cs="Times New Roman"/>
          <w:noProof/>
        </w:rPr>
        <w:t xml:space="preserve">    </w:t>
      </w:r>
      <w:r w:rsidR="008633CE">
        <w:rPr>
          <w:noProof/>
        </w:rPr>
        <w:drawing>
          <wp:inline distT="0" distB="0" distL="0" distR="0" wp14:anchorId="237A8A38" wp14:editId="481D45D0">
            <wp:extent cx="3697605" cy="2085975"/>
            <wp:effectExtent l="0" t="0" r="36195" b="22225"/>
            <wp:docPr id="106" name="Chart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00AFD9BF" w14:textId="77777777" w:rsidR="00C178F2" w:rsidRDefault="00C178F2" w:rsidP="009100D6">
      <w:pPr>
        <w:spacing w:line="360" w:lineRule="auto"/>
        <w:rPr>
          <w:rFonts w:ascii="Times New Roman" w:hAnsi="Times New Roman" w:cs="Times New Roman"/>
          <w:b/>
          <w:noProof/>
        </w:rPr>
      </w:pPr>
    </w:p>
    <w:p w14:paraId="5EB42992" w14:textId="42468924" w:rsidR="00C664C4" w:rsidRPr="00C664C4" w:rsidRDefault="00AB1419" w:rsidP="00AB1419">
      <w:pPr>
        <w:pStyle w:val="Caption"/>
      </w:pPr>
      <w:bookmarkStart w:id="2029" w:name="_Toc333585266"/>
      <w:bookmarkStart w:id="2030" w:name="_Toc333586818"/>
      <w:bookmarkStart w:id="2031" w:name="_Toc333644517"/>
      <w:bookmarkStart w:id="2032" w:name="_Toc333644811"/>
      <w:r>
        <w:t>Figure 5.13. A graph to demonstrate the positive versus negative AUC values across the six arrays.</w:t>
      </w:r>
      <w:bookmarkEnd w:id="2029"/>
      <w:bookmarkEnd w:id="2030"/>
      <w:bookmarkEnd w:id="2031"/>
      <w:bookmarkEnd w:id="2032"/>
    </w:p>
    <w:p w14:paraId="68E15D51" w14:textId="503D32FE" w:rsidR="004C0E34" w:rsidRPr="00B24A5E" w:rsidRDefault="00B24A5E" w:rsidP="00C63BC1">
      <w:pPr>
        <w:spacing w:line="360" w:lineRule="auto"/>
        <w:jc w:val="both"/>
        <w:rPr>
          <w:rFonts w:ascii="Times New Roman" w:hAnsi="Times New Roman" w:cs="Times New Roman"/>
          <w:noProof/>
        </w:rPr>
      </w:pPr>
      <w:r>
        <w:rPr>
          <w:rFonts w:ascii="Times New Roman" w:hAnsi="Times New Roman" w:cs="Times New Roman"/>
          <w:noProof/>
        </w:rPr>
        <w:t>AUC is a measure of data quality, which has been displayed graphically for each of the samples C1-M3.</w:t>
      </w:r>
      <w:r w:rsidR="004B4946">
        <w:rPr>
          <w:rFonts w:ascii="Times New Roman" w:hAnsi="Times New Roman" w:cs="Times New Roman"/>
          <w:noProof/>
        </w:rPr>
        <w:t xml:space="preserve"> (C=control astrocytes and M=MAB391-treated astrocytes and the number indicates the experiment)</w:t>
      </w:r>
    </w:p>
    <w:p w14:paraId="3FDEF7E7" w14:textId="77777777" w:rsidR="00951877" w:rsidRDefault="00951877">
      <w:pPr>
        <w:rPr>
          <w:rFonts w:ascii="Times New Roman" w:hAnsi="Times New Roman" w:cs="Times New Roman"/>
          <w:b/>
          <w:noProof/>
        </w:rPr>
      </w:pPr>
    </w:p>
    <w:p w14:paraId="064E1E4D" w14:textId="1B6A860C" w:rsidR="00905643" w:rsidRPr="00BD0907" w:rsidRDefault="0037790C" w:rsidP="00401292">
      <w:pPr>
        <w:pStyle w:val="Heading4"/>
        <w:rPr>
          <w:noProof/>
          <w:u w:val="single"/>
        </w:rPr>
      </w:pPr>
      <w:r w:rsidRPr="00BD0907">
        <w:rPr>
          <w:noProof/>
          <w:u w:val="single"/>
        </w:rPr>
        <w:t>All Probe Set Mean</w:t>
      </w:r>
    </w:p>
    <w:p w14:paraId="6ACF6AF1" w14:textId="34B47CD1" w:rsidR="004D474F" w:rsidRPr="004D474F" w:rsidRDefault="005F1CB5" w:rsidP="004D474F">
      <w:pPr>
        <w:spacing w:line="360" w:lineRule="auto"/>
        <w:jc w:val="both"/>
        <w:rPr>
          <w:rFonts w:ascii="Times New Roman" w:hAnsi="Times New Roman" w:cs="Times New Roman"/>
          <w:noProof/>
        </w:rPr>
      </w:pPr>
      <w:r>
        <w:rPr>
          <w:rFonts w:ascii="Times New Roman" w:hAnsi="Times New Roman" w:cs="Times New Roman"/>
          <w:noProof/>
        </w:rPr>
        <w:t xml:space="preserve">The all probe set mean identifies the level of </w:t>
      </w:r>
      <w:r w:rsidR="00A024D4">
        <w:rPr>
          <w:rFonts w:ascii="Times New Roman" w:hAnsi="Times New Roman" w:cs="Times New Roman"/>
          <w:noProof/>
        </w:rPr>
        <w:t xml:space="preserve">signal of all the probe sets in </w:t>
      </w:r>
      <w:r>
        <w:rPr>
          <w:rFonts w:ascii="Times New Roman" w:hAnsi="Times New Roman" w:cs="Times New Roman"/>
          <w:noProof/>
        </w:rPr>
        <w:t xml:space="preserve">an array and therefore provides a measure of how bright or dim an array is. </w:t>
      </w:r>
      <w:r w:rsidR="0043589B">
        <w:rPr>
          <w:rFonts w:ascii="Times New Roman" w:hAnsi="Times New Roman" w:cs="Times New Roman"/>
          <w:noProof/>
        </w:rPr>
        <w:t>Across all six arrays the all probe set mean is 4.49 ± 0.03 (</w:t>
      </w:r>
      <w:r w:rsidR="0043589B" w:rsidRPr="000273AF">
        <w:rPr>
          <w:rFonts w:ascii="Times New Roman" w:hAnsi="Times New Roman" w:cs="Times New Roman"/>
          <w:b/>
          <w:noProof/>
        </w:rPr>
        <w:t xml:space="preserve">table </w:t>
      </w:r>
      <w:r w:rsidR="00955F73" w:rsidRPr="000273AF">
        <w:rPr>
          <w:rFonts w:ascii="Times New Roman" w:hAnsi="Times New Roman" w:cs="Times New Roman"/>
          <w:b/>
          <w:noProof/>
        </w:rPr>
        <w:t>5.6</w:t>
      </w:r>
      <w:r w:rsidR="0043589B">
        <w:rPr>
          <w:rFonts w:ascii="Times New Roman" w:hAnsi="Times New Roman" w:cs="Times New Roman"/>
          <w:noProof/>
        </w:rPr>
        <w:t>)</w:t>
      </w:r>
      <w:r w:rsidR="007A58CF">
        <w:rPr>
          <w:rFonts w:ascii="Times New Roman" w:hAnsi="Times New Roman" w:cs="Times New Roman"/>
          <w:noProof/>
        </w:rPr>
        <w:t>. The all probe set mean value appears t</w:t>
      </w:r>
      <w:r w:rsidR="00071F1E">
        <w:rPr>
          <w:rFonts w:ascii="Times New Roman" w:hAnsi="Times New Roman" w:cs="Times New Roman"/>
          <w:noProof/>
        </w:rPr>
        <w:t>o be slightly higher in sample M</w:t>
      </w:r>
      <w:r w:rsidR="007A58CF">
        <w:rPr>
          <w:rFonts w:ascii="Times New Roman" w:hAnsi="Times New Roman" w:cs="Times New Roman"/>
          <w:noProof/>
        </w:rPr>
        <w:t xml:space="preserve">3, but this </w:t>
      </w:r>
      <w:r w:rsidR="00A024D4">
        <w:rPr>
          <w:rFonts w:ascii="Times New Roman" w:hAnsi="Times New Roman" w:cs="Times New Roman"/>
          <w:noProof/>
        </w:rPr>
        <w:t>is not</w:t>
      </w:r>
      <w:r w:rsidR="007A58CF">
        <w:rPr>
          <w:rFonts w:ascii="Times New Roman" w:hAnsi="Times New Roman" w:cs="Times New Roman"/>
          <w:noProof/>
        </w:rPr>
        <w:t xml:space="preserve"> more than 2 standard deviations higher</w:t>
      </w:r>
      <w:r w:rsidR="00071F1E">
        <w:rPr>
          <w:rFonts w:ascii="Times New Roman" w:hAnsi="Times New Roman" w:cs="Times New Roman"/>
          <w:noProof/>
        </w:rPr>
        <w:t xml:space="preserve"> than</w:t>
      </w:r>
      <w:r w:rsidR="007A58CF">
        <w:rPr>
          <w:rFonts w:ascii="Times New Roman" w:hAnsi="Times New Roman" w:cs="Times New Roman"/>
          <w:noProof/>
        </w:rPr>
        <w:t xml:space="preserve"> the mean. This suggests that the all probe set mean values across the arrays </w:t>
      </w:r>
      <w:r w:rsidR="00955F73">
        <w:rPr>
          <w:rFonts w:ascii="Times New Roman" w:hAnsi="Times New Roman" w:cs="Times New Roman"/>
          <w:noProof/>
        </w:rPr>
        <w:t>are</w:t>
      </w:r>
      <w:r w:rsidR="007A58CF">
        <w:rPr>
          <w:rFonts w:ascii="Times New Roman" w:hAnsi="Times New Roman" w:cs="Times New Roman"/>
          <w:noProof/>
        </w:rPr>
        <w:t xml:space="preserve"> relatively similar. </w:t>
      </w:r>
    </w:p>
    <w:p w14:paraId="772EC985" w14:textId="77777777" w:rsidR="00E36700" w:rsidRDefault="00E36700" w:rsidP="004D474F">
      <w:pPr>
        <w:pStyle w:val="Heading5"/>
        <w:rPr>
          <w:noProof/>
        </w:rPr>
      </w:pPr>
      <w:bookmarkStart w:id="2033" w:name="_Toc333585974"/>
    </w:p>
    <w:p w14:paraId="58F5F9A9" w14:textId="77777777" w:rsidR="00E36700" w:rsidRDefault="00E36700" w:rsidP="00E36700"/>
    <w:p w14:paraId="6F77BC75" w14:textId="77777777" w:rsidR="00E36700" w:rsidRDefault="00E36700" w:rsidP="00E36700"/>
    <w:p w14:paraId="5F85BC34" w14:textId="77777777" w:rsidR="00E36700" w:rsidRDefault="00E36700" w:rsidP="00E36700"/>
    <w:p w14:paraId="2891FFB8" w14:textId="77777777" w:rsidR="00E36700" w:rsidRDefault="00E36700" w:rsidP="00E36700"/>
    <w:p w14:paraId="040BEDBF" w14:textId="77777777" w:rsidR="00E36700" w:rsidRDefault="00E36700" w:rsidP="00E36700"/>
    <w:p w14:paraId="58AC58D4" w14:textId="77777777" w:rsidR="00E36700" w:rsidRDefault="00E36700" w:rsidP="00E36700"/>
    <w:p w14:paraId="66D8AFCE" w14:textId="77777777" w:rsidR="00E36700" w:rsidRDefault="00E36700" w:rsidP="00E36700"/>
    <w:p w14:paraId="21DD562B" w14:textId="77777777" w:rsidR="00E36700" w:rsidRPr="00E36700" w:rsidRDefault="00E36700" w:rsidP="00E36700"/>
    <w:p w14:paraId="5915702C" w14:textId="2DF6DA3E" w:rsidR="004D474F" w:rsidRDefault="004D474F" w:rsidP="004D474F">
      <w:pPr>
        <w:pStyle w:val="Heading5"/>
        <w:rPr>
          <w:noProof/>
        </w:rPr>
      </w:pPr>
      <w:bookmarkStart w:id="2034" w:name="_Toc333586850"/>
      <w:bookmarkStart w:id="2035" w:name="_Toc333644549"/>
      <w:bookmarkStart w:id="2036" w:name="_Toc333644843"/>
      <w:r>
        <w:rPr>
          <w:noProof/>
        </w:rPr>
        <w:t>Table 5.6. Summary of quality control metrics for control and MAB391 gene arrays.</w:t>
      </w:r>
      <w:bookmarkEnd w:id="2033"/>
      <w:bookmarkEnd w:id="2034"/>
      <w:bookmarkEnd w:id="2035"/>
      <w:bookmarkEnd w:id="2036"/>
    </w:p>
    <w:p w14:paraId="4EBCF273" w14:textId="433F6B6A" w:rsidR="00E36700" w:rsidRPr="005F1CB5" w:rsidRDefault="005F1CB5" w:rsidP="00C63BC1">
      <w:pPr>
        <w:spacing w:line="360" w:lineRule="auto"/>
        <w:jc w:val="both"/>
        <w:rPr>
          <w:rFonts w:ascii="Times New Roman" w:hAnsi="Times New Roman" w:cs="Times New Roman"/>
          <w:noProof/>
        </w:rPr>
      </w:pPr>
      <w:r>
        <w:rPr>
          <w:rFonts w:ascii="Times New Roman" w:hAnsi="Times New Roman" w:cs="Times New Roman"/>
          <w:noProof/>
        </w:rPr>
        <w:t>Displayed are the positive versus negative AUC, all probe set mean and standard deviation and all probe set RLE means and standard deviation. The mean and standard deviations are shown at the bottom of the table for all metrics. Potential outliers are highlighted in yellow.</w:t>
      </w:r>
    </w:p>
    <w:p w14:paraId="1D7747C5" w14:textId="77777777" w:rsidR="0094724C" w:rsidRDefault="0094724C">
      <w:pPr>
        <w:rPr>
          <w:rFonts w:ascii="Times New Roman" w:hAnsi="Times New Roman" w:cs="Times New Roman"/>
          <w:b/>
          <w:noProof/>
        </w:rPr>
      </w:pPr>
    </w:p>
    <w:tbl>
      <w:tblPr>
        <w:tblW w:w="8880" w:type="dxa"/>
        <w:tblInd w:w="93" w:type="dxa"/>
        <w:tblLook w:val="04A0" w:firstRow="1" w:lastRow="0" w:firstColumn="1" w:lastColumn="0" w:noHBand="0" w:noVBand="1"/>
      </w:tblPr>
      <w:tblGrid>
        <w:gridCol w:w="1300"/>
        <w:gridCol w:w="1440"/>
        <w:gridCol w:w="1520"/>
        <w:gridCol w:w="1660"/>
        <w:gridCol w:w="1300"/>
        <w:gridCol w:w="1660"/>
      </w:tblGrid>
      <w:tr w:rsidR="000307BF" w:rsidRPr="000307BF" w14:paraId="0BCDA567" w14:textId="77777777" w:rsidTr="000307BF">
        <w:trPr>
          <w:trHeight w:val="300"/>
        </w:trPr>
        <w:tc>
          <w:tcPr>
            <w:tcW w:w="1300" w:type="dxa"/>
            <w:tcBorders>
              <w:top w:val="single" w:sz="4" w:space="0" w:color="auto"/>
              <w:left w:val="nil"/>
              <w:bottom w:val="single" w:sz="4" w:space="0" w:color="auto"/>
              <w:right w:val="nil"/>
            </w:tcBorders>
            <w:shd w:val="clear" w:color="auto" w:fill="auto"/>
            <w:noWrap/>
            <w:vAlign w:val="bottom"/>
            <w:hideMark/>
          </w:tcPr>
          <w:p w14:paraId="6508B1DA" w14:textId="77777777" w:rsidR="000307BF" w:rsidRPr="000307BF" w:rsidRDefault="000307BF" w:rsidP="00454D06">
            <w:pPr>
              <w:rPr>
                <w:rFonts w:ascii="Times New Roman" w:eastAsia="Times New Roman" w:hAnsi="Times New Roman" w:cs="Times New Roman"/>
                <w:b/>
                <w:bCs/>
                <w:color w:val="000000"/>
                <w:lang w:val="en-GB"/>
              </w:rPr>
            </w:pPr>
            <w:r w:rsidRPr="000307BF">
              <w:rPr>
                <w:rFonts w:ascii="Times New Roman" w:eastAsia="Times New Roman" w:hAnsi="Times New Roman" w:cs="Times New Roman"/>
                <w:b/>
                <w:bCs/>
                <w:color w:val="000000"/>
                <w:lang w:val="en-GB"/>
              </w:rPr>
              <w:t>Sample</w:t>
            </w:r>
          </w:p>
        </w:tc>
        <w:tc>
          <w:tcPr>
            <w:tcW w:w="1440" w:type="dxa"/>
            <w:tcBorders>
              <w:top w:val="single" w:sz="4" w:space="0" w:color="auto"/>
              <w:left w:val="nil"/>
              <w:bottom w:val="single" w:sz="4" w:space="0" w:color="auto"/>
              <w:right w:val="nil"/>
            </w:tcBorders>
            <w:shd w:val="clear" w:color="auto" w:fill="auto"/>
            <w:noWrap/>
            <w:vAlign w:val="bottom"/>
            <w:hideMark/>
          </w:tcPr>
          <w:p w14:paraId="199BEA04" w14:textId="77777777" w:rsidR="000307BF" w:rsidRPr="000307BF" w:rsidRDefault="000307BF" w:rsidP="00454D06">
            <w:pPr>
              <w:rPr>
                <w:rFonts w:ascii="Times New Roman" w:eastAsia="Times New Roman" w:hAnsi="Times New Roman" w:cs="Times New Roman"/>
                <w:b/>
                <w:bCs/>
                <w:color w:val="000000"/>
                <w:lang w:val="en-GB"/>
              </w:rPr>
            </w:pPr>
            <w:r w:rsidRPr="000307BF">
              <w:rPr>
                <w:rFonts w:ascii="Times New Roman" w:eastAsia="Times New Roman" w:hAnsi="Times New Roman" w:cs="Times New Roman"/>
                <w:b/>
                <w:bCs/>
                <w:color w:val="000000"/>
                <w:lang w:val="en-GB"/>
              </w:rPr>
              <w:t>Pos vs Neg AUC</w:t>
            </w:r>
          </w:p>
        </w:tc>
        <w:tc>
          <w:tcPr>
            <w:tcW w:w="1520" w:type="dxa"/>
            <w:tcBorders>
              <w:top w:val="single" w:sz="4" w:space="0" w:color="auto"/>
              <w:left w:val="nil"/>
              <w:bottom w:val="single" w:sz="4" w:space="0" w:color="auto"/>
              <w:right w:val="nil"/>
            </w:tcBorders>
            <w:shd w:val="clear" w:color="auto" w:fill="auto"/>
            <w:noWrap/>
            <w:vAlign w:val="bottom"/>
            <w:hideMark/>
          </w:tcPr>
          <w:p w14:paraId="0D6D4B8F" w14:textId="77777777" w:rsidR="000307BF" w:rsidRPr="000307BF" w:rsidRDefault="000307BF" w:rsidP="00454D06">
            <w:pPr>
              <w:rPr>
                <w:rFonts w:ascii="Times New Roman" w:eastAsia="Times New Roman" w:hAnsi="Times New Roman" w:cs="Times New Roman"/>
                <w:b/>
                <w:bCs/>
                <w:color w:val="000000"/>
                <w:lang w:val="en-GB"/>
              </w:rPr>
            </w:pPr>
            <w:r w:rsidRPr="000307BF">
              <w:rPr>
                <w:rFonts w:ascii="Times New Roman" w:eastAsia="Times New Roman" w:hAnsi="Times New Roman" w:cs="Times New Roman"/>
                <w:b/>
                <w:bCs/>
                <w:color w:val="000000"/>
                <w:lang w:val="en-GB"/>
              </w:rPr>
              <w:t>All probe set mean</w:t>
            </w:r>
          </w:p>
        </w:tc>
        <w:tc>
          <w:tcPr>
            <w:tcW w:w="1660" w:type="dxa"/>
            <w:tcBorders>
              <w:top w:val="single" w:sz="4" w:space="0" w:color="auto"/>
              <w:left w:val="nil"/>
              <w:bottom w:val="single" w:sz="4" w:space="0" w:color="auto"/>
              <w:right w:val="nil"/>
            </w:tcBorders>
            <w:shd w:val="clear" w:color="auto" w:fill="auto"/>
            <w:noWrap/>
            <w:vAlign w:val="bottom"/>
            <w:hideMark/>
          </w:tcPr>
          <w:p w14:paraId="34F877F4" w14:textId="5D533FD7" w:rsidR="000307BF" w:rsidRPr="000307BF" w:rsidRDefault="005F1CB5" w:rsidP="00454D06">
            <w:pPr>
              <w:rPr>
                <w:rFonts w:ascii="Times New Roman" w:eastAsia="Times New Roman" w:hAnsi="Times New Roman" w:cs="Times New Roman"/>
                <w:b/>
                <w:bCs/>
                <w:color w:val="000000"/>
                <w:lang w:val="en-GB"/>
              </w:rPr>
            </w:pPr>
            <w:r>
              <w:rPr>
                <w:rFonts w:ascii="Times New Roman" w:eastAsia="Times New Roman" w:hAnsi="Times New Roman" w:cs="Times New Roman"/>
                <w:b/>
                <w:bCs/>
                <w:color w:val="000000"/>
                <w:lang w:val="en-GB"/>
              </w:rPr>
              <w:t>All probe set St</w:t>
            </w:r>
            <w:r w:rsidR="000307BF" w:rsidRPr="000307BF">
              <w:rPr>
                <w:rFonts w:ascii="Times New Roman" w:eastAsia="Times New Roman" w:hAnsi="Times New Roman" w:cs="Times New Roman"/>
                <w:b/>
                <w:bCs/>
                <w:color w:val="000000"/>
                <w:lang w:val="en-GB"/>
              </w:rPr>
              <w:t>dev</w:t>
            </w:r>
          </w:p>
        </w:tc>
        <w:tc>
          <w:tcPr>
            <w:tcW w:w="1300" w:type="dxa"/>
            <w:tcBorders>
              <w:top w:val="single" w:sz="4" w:space="0" w:color="auto"/>
              <w:left w:val="nil"/>
              <w:bottom w:val="single" w:sz="4" w:space="0" w:color="auto"/>
              <w:right w:val="nil"/>
            </w:tcBorders>
            <w:shd w:val="clear" w:color="auto" w:fill="auto"/>
            <w:noWrap/>
            <w:vAlign w:val="bottom"/>
            <w:hideMark/>
          </w:tcPr>
          <w:p w14:paraId="3B1E9EA9" w14:textId="77777777" w:rsidR="000307BF" w:rsidRPr="000307BF" w:rsidRDefault="000307BF" w:rsidP="00454D06">
            <w:pPr>
              <w:rPr>
                <w:rFonts w:ascii="Times New Roman" w:eastAsia="Times New Roman" w:hAnsi="Times New Roman" w:cs="Times New Roman"/>
                <w:b/>
                <w:bCs/>
                <w:color w:val="000000"/>
                <w:lang w:val="en-GB"/>
              </w:rPr>
            </w:pPr>
            <w:r w:rsidRPr="000307BF">
              <w:rPr>
                <w:rFonts w:ascii="Times New Roman" w:eastAsia="Times New Roman" w:hAnsi="Times New Roman" w:cs="Times New Roman"/>
                <w:b/>
                <w:bCs/>
                <w:color w:val="000000"/>
                <w:lang w:val="en-GB"/>
              </w:rPr>
              <w:t>All probe set RLE mean</w:t>
            </w:r>
          </w:p>
        </w:tc>
        <w:tc>
          <w:tcPr>
            <w:tcW w:w="1660" w:type="dxa"/>
            <w:tcBorders>
              <w:top w:val="single" w:sz="4" w:space="0" w:color="auto"/>
              <w:left w:val="nil"/>
              <w:bottom w:val="single" w:sz="4" w:space="0" w:color="auto"/>
              <w:right w:val="nil"/>
            </w:tcBorders>
            <w:shd w:val="clear" w:color="auto" w:fill="auto"/>
            <w:noWrap/>
            <w:vAlign w:val="bottom"/>
            <w:hideMark/>
          </w:tcPr>
          <w:p w14:paraId="20B99D20" w14:textId="77777777" w:rsidR="000307BF" w:rsidRPr="000307BF" w:rsidRDefault="000307BF" w:rsidP="00454D06">
            <w:pPr>
              <w:rPr>
                <w:rFonts w:ascii="Times New Roman" w:eastAsia="Times New Roman" w:hAnsi="Times New Roman" w:cs="Times New Roman"/>
                <w:b/>
                <w:bCs/>
                <w:color w:val="000000"/>
                <w:lang w:val="en-GB"/>
              </w:rPr>
            </w:pPr>
            <w:r w:rsidRPr="000307BF">
              <w:rPr>
                <w:rFonts w:ascii="Times New Roman" w:eastAsia="Times New Roman" w:hAnsi="Times New Roman" w:cs="Times New Roman"/>
                <w:b/>
                <w:bCs/>
                <w:color w:val="000000"/>
                <w:lang w:val="en-GB"/>
              </w:rPr>
              <w:t>All probe set RLE Stdev</w:t>
            </w:r>
          </w:p>
        </w:tc>
      </w:tr>
      <w:tr w:rsidR="000307BF" w:rsidRPr="000307BF" w14:paraId="1ABD7A7A" w14:textId="77777777" w:rsidTr="000307BF">
        <w:trPr>
          <w:trHeight w:val="300"/>
        </w:trPr>
        <w:tc>
          <w:tcPr>
            <w:tcW w:w="1300" w:type="dxa"/>
            <w:tcBorders>
              <w:top w:val="nil"/>
              <w:left w:val="nil"/>
              <w:bottom w:val="nil"/>
              <w:right w:val="nil"/>
            </w:tcBorders>
            <w:shd w:val="clear" w:color="auto" w:fill="auto"/>
            <w:noWrap/>
            <w:vAlign w:val="bottom"/>
            <w:hideMark/>
          </w:tcPr>
          <w:p w14:paraId="6B4F0C8C" w14:textId="47864A6B" w:rsidR="000307BF" w:rsidRPr="000307BF" w:rsidRDefault="00A024D4" w:rsidP="00454D06">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C</w:t>
            </w:r>
            <w:r w:rsidR="000307BF" w:rsidRPr="000307BF">
              <w:rPr>
                <w:rFonts w:ascii="Times New Roman" w:eastAsia="Times New Roman" w:hAnsi="Times New Roman" w:cs="Times New Roman"/>
                <w:color w:val="000000"/>
                <w:lang w:val="en-GB"/>
              </w:rPr>
              <w:t>1</w:t>
            </w:r>
          </w:p>
        </w:tc>
        <w:tc>
          <w:tcPr>
            <w:tcW w:w="1440" w:type="dxa"/>
            <w:tcBorders>
              <w:top w:val="nil"/>
              <w:left w:val="nil"/>
              <w:bottom w:val="nil"/>
              <w:right w:val="nil"/>
            </w:tcBorders>
            <w:shd w:val="clear" w:color="auto" w:fill="auto"/>
            <w:noWrap/>
            <w:vAlign w:val="bottom"/>
            <w:hideMark/>
          </w:tcPr>
          <w:p w14:paraId="52A15689"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lang w:val="en-GB"/>
              </w:rPr>
              <w:t>0.84</w:t>
            </w:r>
          </w:p>
        </w:tc>
        <w:tc>
          <w:tcPr>
            <w:tcW w:w="1520" w:type="dxa"/>
            <w:tcBorders>
              <w:top w:val="nil"/>
              <w:left w:val="nil"/>
              <w:bottom w:val="nil"/>
              <w:right w:val="nil"/>
            </w:tcBorders>
            <w:shd w:val="clear" w:color="auto" w:fill="auto"/>
            <w:noWrap/>
            <w:vAlign w:val="bottom"/>
            <w:hideMark/>
          </w:tcPr>
          <w:p w14:paraId="1281B365"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lang w:val="en-GB"/>
              </w:rPr>
              <w:t>4.49</w:t>
            </w:r>
          </w:p>
        </w:tc>
        <w:tc>
          <w:tcPr>
            <w:tcW w:w="1660" w:type="dxa"/>
            <w:tcBorders>
              <w:top w:val="nil"/>
              <w:left w:val="nil"/>
              <w:bottom w:val="nil"/>
              <w:right w:val="nil"/>
            </w:tcBorders>
            <w:shd w:val="clear" w:color="auto" w:fill="auto"/>
            <w:noWrap/>
            <w:vAlign w:val="bottom"/>
            <w:hideMark/>
          </w:tcPr>
          <w:p w14:paraId="14CBD334"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lang w:val="en-GB"/>
              </w:rPr>
              <w:t>1.75</w:t>
            </w:r>
          </w:p>
        </w:tc>
        <w:tc>
          <w:tcPr>
            <w:tcW w:w="1300" w:type="dxa"/>
            <w:tcBorders>
              <w:top w:val="nil"/>
              <w:left w:val="nil"/>
              <w:bottom w:val="nil"/>
              <w:right w:val="nil"/>
            </w:tcBorders>
            <w:shd w:val="clear" w:color="auto" w:fill="auto"/>
            <w:noWrap/>
            <w:vAlign w:val="bottom"/>
            <w:hideMark/>
          </w:tcPr>
          <w:p w14:paraId="6A723D7E"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lang w:val="en-GB"/>
              </w:rPr>
              <w:t>0.21</w:t>
            </w:r>
          </w:p>
        </w:tc>
        <w:tc>
          <w:tcPr>
            <w:tcW w:w="1660" w:type="dxa"/>
            <w:tcBorders>
              <w:top w:val="nil"/>
              <w:left w:val="nil"/>
              <w:bottom w:val="nil"/>
              <w:right w:val="nil"/>
            </w:tcBorders>
            <w:shd w:val="clear" w:color="auto" w:fill="auto"/>
            <w:noWrap/>
            <w:vAlign w:val="bottom"/>
            <w:hideMark/>
          </w:tcPr>
          <w:p w14:paraId="3BADEF2E"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lang w:val="en-GB"/>
              </w:rPr>
              <w:t>0.24</w:t>
            </w:r>
          </w:p>
        </w:tc>
      </w:tr>
      <w:tr w:rsidR="000307BF" w:rsidRPr="000307BF" w14:paraId="21F8BC3B" w14:textId="77777777" w:rsidTr="000307BF">
        <w:trPr>
          <w:trHeight w:val="300"/>
        </w:trPr>
        <w:tc>
          <w:tcPr>
            <w:tcW w:w="1300" w:type="dxa"/>
            <w:tcBorders>
              <w:top w:val="nil"/>
              <w:left w:val="nil"/>
              <w:bottom w:val="nil"/>
              <w:right w:val="nil"/>
            </w:tcBorders>
            <w:shd w:val="clear" w:color="auto" w:fill="auto"/>
            <w:noWrap/>
            <w:vAlign w:val="bottom"/>
            <w:hideMark/>
          </w:tcPr>
          <w:p w14:paraId="721047B9" w14:textId="43975105" w:rsidR="000307BF" w:rsidRPr="000307BF" w:rsidRDefault="00A024D4" w:rsidP="00454D06">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C</w:t>
            </w:r>
            <w:r w:rsidR="000307BF" w:rsidRPr="000307BF">
              <w:rPr>
                <w:rFonts w:ascii="Times New Roman" w:eastAsia="Times New Roman" w:hAnsi="Times New Roman" w:cs="Times New Roman"/>
                <w:color w:val="000000"/>
                <w:lang w:val="en-GB"/>
              </w:rPr>
              <w:t>2</w:t>
            </w:r>
          </w:p>
        </w:tc>
        <w:tc>
          <w:tcPr>
            <w:tcW w:w="1440" w:type="dxa"/>
            <w:tcBorders>
              <w:top w:val="nil"/>
              <w:left w:val="nil"/>
              <w:bottom w:val="nil"/>
              <w:right w:val="nil"/>
            </w:tcBorders>
            <w:shd w:val="clear" w:color="auto" w:fill="auto"/>
            <w:noWrap/>
            <w:vAlign w:val="bottom"/>
            <w:hideMark/>
          </w:tcPr>
          <w:p w14:paraId="759C8741"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lang w:val="en-GB"/>
              </w:rPr>
              <w:t>0.84</w:t>
            </w:r>
          </w:p>
        </w:tc>
        <w:tc>
          <w:tcPr>
            <w:tcW w:w="1520" w:type="dxa"/>
            <w:tcBorders>
              <w:top w:val="nil"/>
              <w:left w:val="nil"/>
              <w:bottom w:val="nil"/>
              <w:right w:val="nil"/>
            </w:tcBorders>
            <w:shd w:val="clear" w:color="auto" w:fill="auto"/>
            <w:noWrap/>
            <w:vAlign w:val="bottom"/>
            <w:hideMark/>
          </w:tcPr>
          <w:p w14:paraId="10FDBCFB"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lang w:val="en-GB"/>
              </w:rPr>
              <w:t>4.49</w:t>
            </w:r>
          </w:p>
        </w:tc>
        <w:tc>
          <w:tcPr>
            <w:tcW w:w="1660" w:type="dxa"/>
            <w:tcBorders>
              <w:top w:val="nil"/>
              <w:left w:val="nil"/>
              <w:bottom w:val="nil"/>
              <w:right w:val="nil"/>
            </w:tcBorders>
            <w:shd w:val="clear" w:color="auto" w:fill="auto"/>
            <w:noWrap/>
            <w:vAlign w:val="bottom"/>
            <w:hideMark/>
          </w:tcPr>
          <w:p w14:paraId="7147A01A"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lang w:val="en-GB"/>
              </w:rPr>
              <w:t>1.78</w:t>
            </w:r>
          </w:p>
        </w:tc>
        <w:tc>
          <w:tcPr>
            <w:tcW w:w="1300" w:type="dxa"/>
            <w:tcBorders>
              <w:top w:val="nil"/>
              <w:left w:val="nil"/>
              <w:bottom w:val="nil"/>
              <w:right w:val="nil"/>
            </w:tcBorders>
            <w:shd w:val="clear" w:color="auto" w:fill="auto"/>
            <w:noWrap/>
            <w:vAlign w:val="bottom"/>
            <w:hideMark/>
          </w:tcPr>
          <w:p w14:paraId="63D60B1E"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lang w:val="en-GB"/>
              </w:rPr>
              <w:t>0.21</w:t>
            </w:r>
          </w:p>
        </w:tc>
        <w:tc>
          <w:tcPr>
            <w:tcW w:w="1660" w:type="dxa"/>
            <w:tcBorders>
              <w:top w:val="nil"/>
              <w:left w:val="nil"/>
              <w:bottom w:val="nil"/>
              <w:right w:val="nil"/>
            </w:tcBorders>
            <w:shd w:val="clear" w:color="auto" w:fill="auto"/>
            <w:noWrap/>
            <w:vAlign w:val="bottom"/>
            <w:hideMark/>
          </w:tcPr>
          <w:p w14:paraId="2575598A"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lang w:val="en-GB"/>
              </w:rPr>
              <w:t>0.22</w:t>
            </w:r>
          </w:p>
        </w:tc>
      </w:tr>
      <w:tr w:rsidR="000307BF" w:rsidRPr="000307BF" w14:paraId="2B48F570" w14:textId="77777777" w:rsidTr="000307BF">
        <w:trPr>
          <w:trHeight w:val="300"/>
        </w:trPr>
        <w:tc>
          <w:tcPr>
            <w:tcW w:w="1300" w:type="dxa"/>
            <w:tcBorders>
              <w:top w:val="nil"/>
              <w:left w:val="nil"/>
              <w:bottom w:val="nil"/>
              <w:right w:val="nil"/>
            </w:tcBorders>
            <w:shd w:val="clear" w:color="auto" w:fill="auto"/>
            <w:noWrap/>
            <w:vAlign w:val="bottom"/>
            <w:hideMark/>
          </w:tcPr>
          <w:p w14:paraId="5E59E6A5" w14:textId="29FB1D21" w:rsidR="000307BF" w:rsidRPr="000307BF" w:rsidRDefault="00A024D4" w:rsidP="00454D06">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C</w:t>
            </w:r>
            <w:r w:rsidR="000307BF" w:rsidRPr="000307BF">
              <w:rPr>
                <w:rFonts w:ascii="Times New Roman" w:eastAsia="Times New Roman" w:hAnsi="Times New Roman" w:cs="Times New Roman"/>
                <w:color w:val="000000"/>
                <w:lang w:val="en-GB"/>
              </w:rPr>
              <w:t>3</w:t>
            </w:r>
          </w:p>
        </w:tc>
        <w:tc>
          <w:tcPr>
            <w:tcW w:w="1440" w:type="dxa"/>
            <w:tcBorders>
              <w:top w:val="nil"/>
              <w:left w:val="nil"/>
              <w:bottom w:val="nil"/>
              <w:right w:val="nil"/>
            </w:tcBorders>
            <w:shd w:val="clear" w:color="auto" w:fill="auto"/>
            <w:noWrap/>
            <w:vAlign w:val="bottom"/>
            <w:hideMark/>
          </w:tcPr>
          <w:p w14:paraId="39F21F29"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highlight w:val="yellow"/>
                <w:lang w:val="en-GB"/>
              </w:rPr>
              <w:t>0.81</w:t>
            </w:r>
          </w:p>
        </w:tc>
        <w:tc>
          <w:tcPr>
            <w:tcW w:w="1520" w:type="dxa"/>
            <w:tcBorders>
              <w:top w:val="nil"/>
              <w:left w:val="nil"/>
              <w:bottom w:val="nil"/>
              <w:right w:val="nil"/>
            </w:tcBorders>
            <w:shd w:val="clear" w:color="auto" w:fill="auto"/>
            <w:noWrap/>
            <w:vAlign w:val="bottom"/>
            <w:hideMark/>
          </w:tcPr>
          <w:p w14:paraId="18A22BDB" w14:textId="537D08D6"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highlight w:val="yellow"/>
                <w:lang w:val="en-GB"/>
              </w:rPr>
              <w:t>4.5</w:t>
            </w:r>
            <w:r w:rsidR="007A58CF" w:rsidRPr="009F258F">
              <w:rPr>
                <w:rFonts w:ascii="Times New Roman" w:eastAsia="Times New Roman" w:hAnsi="Times New Roman" w:cs="Times New Roman"/>
                <w:color w:val="000000"/>
                <w:highlight w:val="yellow"/>
                <w:lang w:val="en-GB"/>
              </w:rPr>
              <w:t>0</w:t>
            </w:r>
          </w:p>
        </w:tc>
        <w:tc>
          <w:tcPr>
            <w:tcW w:w="1660" w:type="dxa"/>
            <w:tcBorders>
              <w:top w:val="nil"/>
              <w:left w:val="nil"/>
              <w:bottom w:val="nil"/>
              <w:right w:val="nil"/>
            </w:tcBorders>
            <w:shd w:val="clear" w:color="auto" w:fill="auto"/>
            <w:noWrap/>
            <w:vAlign w:val="bottom"/>
            <w:hideMark/>
          </w:tcPr>
          <w:p w14:paraId="207940BC"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highlight w:val="yellow"/>
                <w:lang w:val="en-GB"/>
              </w:rPr>
              <w:t>1.69</w:t>
            </w:r>
          </w:p>
        </w:tc>
        <w:tc>
          <w:tcPr>
            <w:tcW w:w="1300" w:type="dxa"/>
            <w:tcBorders>
              <w:top w:val="nil"/>
              <w:left w:val="nil"/>
              <w:bottom w:val="nil"/>
              <w:right w:val="nil"/>
            </w:tcBorders>
            <w:shd w:val="clear" w:color="auto" w:fill="auto"/>
            <w:noWrap/>
            <w:vAlign w:val="bottom"/>
            <w:hideMark/>
          </w:tcPr>
          <w:p w14:paraId="66B52D68"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highlight w:val="yellow"/>
                <w:lang w:val="en-GB"/>
              </w:rPr>
              <w:t>0.32</w:t>
            </w:r>
          </w:p>
        </w:tc>
        <w:tc>
          <w:tcPr>
            <w:tcW w:w="1660" w:type="dxa"/>
            <w:tcBorders>
              <w:top w:val="nil"/>
              <w:left w:val="nil"/>
              <w:bottom w:val="nil"/>
              <w:right w:val="nil"/>
            </w:tcBorders>
            <w:shd w:val="clear" w:color="auto" w:fill="auto"/>
            <w:noWrap/>
            <w:vAlign w:val="bottom"/>
            <w:hideMark/>
          </w:tcPr>
          <w:p w14:paraId="4F9BE910"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highlight w:val="yellow"/>
                <w:lang w:val="en-GB"/>
              </w:rPr>
              <w:t>0.36</w:t>
            </w:r>
          </w:p>
        </w:tc>
      </w:tr>
      <w:tr w:rsidR="000307BF" w:rsidRPr="000307BF" w14:paraId="25B1C6E2" w14:textId="77777777" w:rsidTr="000307BF">
        <w:trPr>
          <w:trHeight w:val="300"/>
        </w:trPr>
        <w:tc>
          <w:tcPr>
            <w:tcW w:w="1300" w:type="dxa"/>
            <w:tcBorders>
              <w:top w:val="nil"/>
              <w:left w:val="nil"/>
              <w:bottom w:val="nil"/>
              <w:right w:val="nil"/>
            </w:tcBorders>
            <w:shd w:val="clear" w:color="auto" w:fill="auto"/>
            <w:noWrap/>
            <w:vAlign w:val="bottom"/>
            <w:hideMark/>
          </w:tcPr>
          <w:p w14:paraId="28FC8F5F" w14:textId="1038D322" w:rsidR="000307BF" w:rsidRPr="000307BF" w:rsidRDefault="00A024D4" w:rsidP="00454D06">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M</w:t>
            </w:r>
            <w:r w:rsidR="000307BF" w:rsidRPr="000307BF">
              <w:rPr>
                <w:rFonts w:ascii="Times New Roman" w:eastAsia="Times New Roman" w:hAnsi="Times New Roman" w:cs="Times New Roman"/>
                <w:color w:val="000000"/>
                <w:lang w:val="en-GB"/>
              </w:rPr>
              <w:t>1</w:t>
            </w:r>
          </w:p>
        </w:tc>
        <w:tc>
          <w:tcPr>
            <w:tcW w:w="1440" w:type="dxa"/>
            <w:tcBorders>
              <w:top w:val="nil"/>
              <w:left w:val="nil"/>
              <w:bottom w:val="nil"/>
              <w:right w:val="nil"/>
            </w:tcBorders>
            <w:shd w:val="clear" w:color="auto" w:fill="auto"/>
            <w:noWrap/>
            <w:vAlign w:val="bottom"/>
            <w:hideMark/>
          </w:tcPr>
          <w:p w14:paraId="7C150680"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lang w:val="en-GB"/>
              </w:rPr>
              <w:t>0.86</w:t>
            </w:r>
          </w:p>
        </w:tc>
        <w:tc>
          <w:tcPr>
            <w:tcW w:w="1520" w:type="dxa"/>
            <w:tcBorders>
              <w:top w:val="nil"/>
              <w:left w:val="nil"/>
              <w:bottom w:val="nil"/>
              <w:right w:val="nil"/>
            </w:tcBorders>
            <w:shd w:val="clear" w:color="auto" w:fill="auto"/>
            <w:noWrap/>
            <w:vAlign w:val="bottom"/>
            <w:hideMark/>
          </w:tcPr>
          <w:p w14:paraId="4DA75848"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lang w:val="en-GB"/>
              </w:rPr>
              <w:t>4.46</w:t>
            </w:r>
          </w:p>
        </w:tc>
        <w:tc>
          <w:tcPr>
            <w:tcW w:w="1660" w:type="dxa"/>
            <w:tcBorders>
              <w:top w:val="nil"/>
              <w:left w:val="nil"/>
              <w:bottom w:val="nil"/>
              <w:right w:val="nil"/>
            </w:tcBorders>
            <w:shd w:val="clear" w:color="auto" w:fill="auto"/>
            <w:noWrap/>
            <w:vAlign w:val="bottom"/>
            <w:hideMark/>
          </w:tcPr>
          <w:p w14:paraId="27F29EB2"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lang w:val="en-GB"/>
              </w:rPr>
              <w:t>1.8</w:t>
            </w:r>
          </w:p>
        </w:tc>
        <w:tc>
          <w:tcPr>
            <w:tcW w:w="1300" w:type="dxa"/>
            <w:tcBorders>
              <w:top w:val="nil"/>
              <w:left w:val="nil"/>
              <w:bottom w:val="nil"/>
              <w:right w:val="nil"/>
            </w:tcBorders>
            <w:shd w:val="clear" w:color="auto" w:fill="auto"/>
            <w:noWrap/>
            <w:vAlign w:val="bottom"/>
            <w:hideMark/>
          </w:tcPr>
          <w:p w14:paraId="21BED2A8"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lang w:val="en-GB"/>
              </w:rPr>
              <w:t>0.21</w:t>
            </w:r>
          </w:p>
        </w:tc>
        <w:tc>
          <w:tcPr>
            <w:tcW w:w="1660" w:type="dxa"/>
            <w:tcBorders>
              <w:top w:val="nil"/>
              <w:left w:val="nil"/>
              <w:bottom w:val="nil"/>
              <w:right w:val="nil"/>
            </w:tcBorders>
            <w:shd w:val="clear" w:color="auto" w:fill="auto"/>
            <w:noWrap/>
            <w:vAlign w:val="bottom"/>
            <w:hideMark/>
          </w:tcPr>
          <w:p w14:paraId="30A42F27"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lang w:val="en-GB"/>
              </w:rPr>
              <w:t>0.22</w:t>
            </w:r>
          </w:p>
        </w:tc>
      </w:tr>
      <w:tr w:rsidR="000307BF" w:rsidRPr="000307BF" w14:paraId="782527D9" w14:textId="77777777" w:rsidTr="000307BF">
        <w:trPr>
          <w:trHeight w:val="300"/>
        </w:trPr>
        <w:tc>
          <w:tcPr>
            <w:tcW w:w="1300" w:type="dxa"/>
            <w:tcBorders>
              <w:top w:val="nil"/>
              <w:left w:val="nil"/>
              <w:bottom w:val="nil"/>
              <w:right w:val="nil"/>
            </w:tcBorders>
            <w:shd w:val="clear" w:color="auto" w:fill="auto"/>
            <w:noWrap/>
            <w:vAlign w:val="bottom"/>
            <w:hideMark/>
          </w:tcPr>
          <w:p w14:paraId="30278C2B" w14:textId="33D64D6B" w:rsidR="000307BF" w:rsidRPr="000307BF" w:rsidRDefault="00A024D4" w:rsidP="00454D06">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M</w:t>
            </w:r>
            <w:r w:rsidR="000307BF" w:rsidRPr="000307BF">
              <w:rPr>
                <w:rFonts w:ascii="Times New Roman" w:eastAsia="Times New Roman" w:hAnsi="Times New Roman" w:cs="Times New Roman"/>
                <w:color w:val="000000"/>
                <w:lang w:val="en-GB"/>
              </w:rPr>
              <w:t>2</w:t>
            </w:r>
          </w:p>
        </w:tc>
        <w:tc>
          <w:tcPr>
            <w:tcW w:w="1440" w:type="dxa"/>
            <w:tcBorders>
              <w:top w:val="nil"/>
              <w:left w:val="nil"/>
              <w:bottom w:val="nil"/>
              <w:right w:val="nil"/>
            </w:tcBorders>
            <w:shd w:val="clear" w:color="auto" w:fill="auto"/>
            <w:noWrap/>
            <w:vAlign w:val="bottom"/>
            <w:hideMark/>
          </w:tcPr>
          <w:p w14:paraId="78390CB5"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lang w:val="en-GB"/>
              </w:rPr>
              <w:t>0.85</w:t>
            </w:r>
          </w:p>
        </w:tc>
        <w:tc>
          <w:tcPr>
            <w:tcW w:w="1520" w:type="dxa"/>
            <w:tcBorders>
              <w:top w:val="nil"/>
              <w:left w:val="nil"/>
              <w:bottom w:val="nil"/>
              <w:right w:val="nil"/>
            </w:tcBorders>
            <w:shd w:val="clear" w:color="auto" w:fill="auto"/>
            <w:noWrap/>
            <w:vAlign w:val="bottom"/>
            <w:hideMark/>
          </w:tcPr>
          <w:p w14:paraId="3FA979B5"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lang w:val="en-GB"/>
              </w:rPr>
              <w:t>4.47</w:t>
            </w:r>
          </w:p>
        </w:tc>
        <w:tc>
          <w:tcPr>
            <w:tcW w:w="1660" w:type="dxa"/>
            <w:tcBorders>
              <w:top w:val="nil"/>
              <w:left w:val="nil"/>
              <w:bottom w:val="nil"/>
              <w:right w:val="nil"/>
            </w:tcBorders>
            <w:shd w:val="clear" w:color="auto" w:fill="auto"/>
            <w:noWrap/>
            <w:vAlign w:val="bottom"/>
            <w:hideMark/>
          </w:tcPr>
          <w:p w14:paraId="63AEFBA1"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lang w:val="en-GB"/>
              </w:rPr>
              <w:t>1.79</w:t>
            </w:r>
          </w:p>
        </w:tc>
        <w:tc>
          <w:tcPr>
            <w:tcW w:w="1300" w:type="dxa"/>
            <w:tcBorders>
              <w:top w:val="nil"/>
              <w:left w:val="nil"/>
              <w:bottom w:val="nil"/>
              <w:right w:val="nil"/>
            </w:tcBorders>
            <w:shd w:val="clear" w:color="auto" w:fill="auto"/>
            <w:noWrap/>
            <w:vAlign w:val="bottom"/>
            <w:hideMark/>
          </w:tcPr>
          <w:p w14:paraId="4AF83863"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lang w:val="en-GB"/>
              </w:rPr>
              <w:t>0.19</w:t>
            </w:r>
          </w:p>
        </w:tc>
        <w:tc>
          <w:tcPr>
            <w:tcW w:w="1660" w:type="dxa"/>
            <w:tcBorders>
              <w:top w:val="nil"/>
              <w:left w:val="nil"/>
              <w:bottom w:val="nil"/>
              <w:right w:val="nil"/>
            </w:tcBorders>
            <w:shd w:val="clear" w:color="auto" w:fill="auto"/>
            <w:noWrap/>
            <w:vAlign w:val="bottom"/>
            <w:hideMark/>
          </w:tcPr>
          <w:p w14:paraId="2F981332"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lang w:val="en-GB"/>
              </w:rPr>
              <w:t>0.21</w:t>
            </w:r>
          </w:p>
        </w:tc>
      </w:tr>
      <w:tr w:rsidR="000307BF" w:rsidRPr="000307BF" w14:paraId="0B6A3129" w14:textId="77777777" w:rsidTr="000307BF">
        <w:trPr>
          <w:trHeight w:val="300"/>
        </w:trPr>
        <w:tc>
          <w:tcPr>
            <w:tcW w:w="1300" w:type="dxa"/>
            <w:tcBorders>
              <w:top w:val="nil"/>
              <w:left w:val="nil"/>
              <w:bottom w:val="nil"/>
              <w:right w:val="nil"/>
            </w:tcBorders>
            <w:shd w:val="clear" w:color="auto" w:fill="auto"/>
            <w:noWrap/>
            <w:vAlign w:val="bottom"/>
            <w:hideMark/>
          </w:tcPr>
          <w:p w14:paraId="4476A2FF" w14:textId="1B36A7D4" w:rsidR="000307BF" w:rsidRPr="000307BF" w:rsidRDefault="00A024D4" w:rsidP="00454D06">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M</w:t>
            </w:r>
            <w:r w:rsidR="000307BF" w:rsidRPr="000307BF">
              <w:rPr>
                <w:rFonts w:ascii="Times New Roman" w:eastAsia="Times New Roman" w:hAnsi="Times New Roman" w:cs="Times New Roman"/>
                <w:color w:val="000000"/>
                <w:lang w:val="en-GB"/>
              </w:rPr>
              <w:t>3</w:t>
            </w:r>
          </w:p>
        </w:tc>
        <w:tc>
          <w:tcPr>
            <w:tcW w:w="1440" w:type="dxa"/>
            <w:tcBorders>
              <w:top w:val="nil"/>
              <w:left w:val="nil"/>
              <w:bottom w:val="nil"/>
              <w:right w:val="nil"/>
            </w:tcBorders>
            <w:shd w:val="clear" w:color="auto" w:fill="auto"/>
            <w:noWrap/>
            <w:vAlign w:val="bottom"/>
            <w:hideMark/>
          </w:tcPr>
          <w:p w14:paraId="1657F186"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highlight w:val="yellow"/>
                <w:lang w:val="en-GB"/>
              </w:rPr>
              <w:t>0.77</w:t>
            </w:r>
          </w:p>
        </w:tc>
        <w:tc>
          <w:tcPr>
            <w:tcW w:w="1520" w:type="dxa"/>
            <w:tcBorders>
              <w:top w:val="nil"/>
              <w:left w:val="nil"/>
              <w:bottom w:val="nil"/>
              <w:right w:val="nil"/>
            </w:tcBorders>
            <w:shd w:val="clear" w:color="auto" w:fill="auto"/>
            <w:noWrap/>
            <w:vAlign w:val="bottom"/>
            <w:hideMark/>
          </w:tcPr>
          <w:p w14:paraId="46D94FD6"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highlight w:val="yellow"/>
                <w:lang w:val="en-GB"/>
              </w:rPr>
              <w:t>4.54</w:t>
            </w:r>
          </w:p>
        </w:tc>
        <w:tc>
          <w:tcPr>
            <w:tcW w:w="1660" w:type="dxa"/>
            <w:tcBorders>
              <w:top w:val="nil"/>
              <w:left w:val="nil"/>
              <w:bottom w:val="nil"/>
              <w:right w:val="nil"/>
            </w:tcBorders>
            <w:shd w:val="clear" w:color="auto" w:fill="auto"/>
            <w:noWrap/>
            <w:vAlign w:val="bottom"/>
            <w:hideMark/>
          </w:tcPr>
          <w:p w14:paraId="19D89A63"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highlight w:val="yellow"/>
                <w:lang w:val="en-GB"/>
              </w:rPr>
              <w:t>1.59</w:t>
            </w:r>
          </w:p>
        </w:tc>
        <w:tc>
          <w:tcPr>
            <w:tcW w:w="1300" w:type="dxa"/>
            <w:tcBorders>
              <w:top w:val="nil"/>
              <w:left w:val="nil"/>
              <w:bottom w:val="nil"/>
              <w:right w:val="nil"/>
            </w:tcBorders>
            <w:shd w:val="clear" w:color="auto" w:fill="auto"/>
            <w:noWrap/>
            <w:vAlign w:val="bottom"/>
            <w:hideMark/>
          </w:tcPr>
          <w:p w14:paraId="25A7930C"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highlight w:val="yellow"/>
                <w:lang w:val="en-GB"/>
              </w:rPr>
              <w:t>0.46</w:t>
            </w:r>
          </w:p>
        </w:tc>
        <w:tc>
          <w:tcPr>
            <w:tcW w:w="1660" w:type="dxa"/>
            <w:tcBorders>
              <w:top w:val="nil"/>
              <w:left w:val="nil"/>
              <w:bottom w:val="nil"/>
              <w:right w:val="nil"/>
            </w:tcBorders>
            <w:shd w:val="clear" w:color="auto" w:fill="auto"/>
            <w:noWrap/>
            <w:vAlign w:val="bottom"/>
            <w:hideMark/>
          </w:tcPr>
          <w:p w14:paraId="28C0E6FD" w14:textId="77777777" w:rsidR="000307BF" w:rsidRPr="000307BF" w:rsidRDefault="000307BF" w:rsidP="00454D06">
            <w:pPr>
              <w:rPr>
                <w:rFonts w:ascii="Times New Roman" w:eastAsia="Times New Roman" w:hAnsi="Times New Roman" w:cs="Times New Roman"/>
                <w:color w:val="000000"/>
                <w:lang w:val="en-GB"/>
              </w:rPr>
            </w:pPr>
            <w:r w:rsidRPr="000307BF">
              <w:rPr>
                <w:rFonts w:ascii="Times New Roman" w:eastAsia="Times New Roman" w:hAnsi="Times New Roman" w:cs="Times New Roman"/>
                <w:color w:val="000000"/>
                <w:highlight w:val="yellow"/>
                <w:lang w:val="en-GB"/>
              </w:rPr>
              <w:t>0.49</w:t>
            </w:r>
          </w:p>
        </w:tc>
      </w:tr>
      <w:tr w:rsidR="000307BF" w:rsidRPr="000307BF" w14:paraId="2D404C9B" w14:textId="77777777" w:rsidTr="000307BF">
        <w:trPr>
          <w:trHeight w:val="300"/>
        </w:trPr>
        <w:tc>
          <w:tcPr>
            <w:tcW w:w="1300" w:type="dxa"/>
            <w:tcBorders>
              <w:top w:val="nil"/>
              <w:left w:val="nil"/>
              <w:bottom w:val="nil"/>
              <w:right w:val="nil"/>
            </w:tcBorders>
            <w:shd w:val="clear" w:color="auto" w:fill="auto"/>
            <w:noWrap/>
            <w:vAlign w:val="bottom"/>
            <w:hideMark/>
          </w:tcPr>
          <w:p w14:paraId="03EC9CAF" w14:textId="77777777" w:rsidR="000307BF" w:rsidRPr="000307BF" w:rsidRDefault="000307BF" w:rsidP="00454D06">
            <w:pPr>
              <w:rPr>
                <w:rFonts w:ascii="Times New Roman" w:eastAsia="Times New Roman" w:hAnsi="Times New Roman" w:cs="Times New Roman"/>
                <w:b/>
                <w:bCs/>
                <w:color w:val="000000"/>
                <w:lang w:val="en-GB"/>
              </w:rPr>
            </w:pPr>
            <w:r w:rsidRPr="000307BF">
              <w:rPr>
                <w:rFonts w:ascii="Times New Roman" w:eastAsia="Times New Roman" w:hAnsi="Times New Roman" w:cs="Times New Roman"/>
                <w:b/>
                <w:bCs/>
                <w:color w:val="000000"/>
                <w:lang w:val="en-GB"/>
              </w:rPr>
              <w:t>Mean</w:t>
            </w:r>
          </w:p>
        </w:tc>
        <w:tc>
          <w:tcPr>
            <w:tcW w:w="1440" w:type="dxa"/>
            <w:tcBorders>
              <w:top w:val="nil"/>
              <w:left w:val="nil"/>
              <w:bottom w:val="nil"/>
              <w:right w:val="nil"/>
            </w:tcBorders>
            <w:shd w:val="clear" w:color="auto" w:fill="auto"/>
            <w:noWrap/>
            <w:vAlign w:val="bottom"/>
            <w:hideMark/>
          </w:tcPr>
          <w:p w14:paraId="27438E30" w14:textId="77777777" w:rsidR="000307BF" w:rsidRPr="000307BF" w:rsidRDefault="000307BF" w:rsidP="00454D06">
            <w:pPr>
              <w:rPr>
                <w:rFonts w:ascii="Times New Roman" w:eastAsia="Times New Roman" w:hAnsi="Times New Roman" w:cs="Times New Roman"/>
                <w:b/>
                <w:bCs/>
                <w:color w:val="000000"/>
                <w:lang w:val="en-GB"/>
              </w:rPr>
            </w:pPr>
            <w:r w:rsidRPr="000307BF">
              <w:rPr>
                <w:rFonts w:ascii="Times New Roman" w:eastAsia="Times New Roman" w:hAnsi="Times New Roman" w:cs="Times New Roman"/>
                <w:b/>
                <w:bCs/>
                <w:color w:val="000000"/>
                <w:lang w:val="en-GB"/>
              </w:rPr>
              <w:t>0.83</w:t>
            </w:r>
          </w:p>
        </w:tc>
        <w:tc>
          <w:tcPr>
            <w:tcW w:w="1520" w:type="dxa"/>
            <w:tcBorders>
              <w:top w:val="nil"/>
              <w:left w:val="nil"/>
              <w:bottom w:val="nil"/>
              <w:right w:val="nil"/>
            </w:tcBorders>
            <w:shd w:val="clear" w:color="auto" w:fill="auto"/>
            <w:noWrap/>
            <w:vAlign w:val="bottom"/>
            <w:hideMark/>
          </w:tcPr>
          <w:p w14:paraId="65B28C25" w14:textId="77777777" w:rsidR="000307BF" w:rsidRPr="000307BF" w:rsidRDefault="000307BF" w:rsidP="00454D06">
            <w:pPr>
              <w:rPr>
                <w:rFonts w:ascii="Times New Roman" w:eastAsia="Times New Roman" w:hAnsi="Times New Roman" w:cs="Times New Roman"/>
                <w:b/>
                <w:bCs/>
                <w:color w:val="000000"/>
                <w:lang w:val="en-GB"/>
              </w:rPr>
            </w:pPr>
            <w:r w:rsidRPr="000307BF">
              <w:rPr>
                <w:rFonts w:ascii="Times New Roman" w:eastAsia="Times New Roman" w:hAnsi="Times New Roman" w:cs="Times New Roman"/>
                <w:b/>
                <w:bCs/>
                <w:color w:val="000000"/>
                <w:lang w:val="en-GB"/>
              </w:rPr>
              <w:t>4.49</w:t>
            </w:r>
          </w:p>
        </w:tc>
        <w:tc>
          <w:tcPr>
            <w:tcW w:w="1660" w:type="dxa"/>
            <w:tcBorders>
              <w:top w:val="nil"/>
              <w:left w:val="nil"/>
              <w:bottom w:val="nil"/>
              <w:right w:val="nil"/>
            </w:tcBorders>
            <w:shd w:val="clear" w:color="auto" w:fill="auto"/>
            <w:noWrap/>
            <w:vAlign w:val="bottom"/>
            <w:hideMark/>
          </w:tcPr>
          <w:p w14:paraId="0DB756F0" w14:textId="77777777" w:rsidR="000307BF" w:rsidRPr="000307BF" w:rsidRDefault="000307BF" w:rsidP="00454D06">
            <w:pPr>
              <w:rPr>
                <w:rFonts w:ascii="Times New Roman" w:eastAsia="Times New Roman" w:hAnsi="Times New Roman" w:cs="Times New Roman"/>
                <w:b/>
                <w:bCs/>
                <w:color w:val="000000"/>
                <w:lang w:val="en-GB"/>
              </w:rPr>
            </w:pPr>
            <w:r w:rsidRPr="000307BF">
              <w:rPr>
                <w:rFonts w:ascii="Times New Roman" w:eastAsia="Times New Roman" w:hAnsi="Times New Roman" w:cs="Times New Roman"/>
                <w:b/>
                <w:bCs/>
                <w:color w:val="000000"/>
                <w:lang w:val="en-GB"/>
              </w:rPr>
              <w:t>1.73</w:t>
            </w:r>
          </w:p>
        </w:tc>
        <w:tc>
          <w:tcPr>
            <w:tcW w:w="1300" w:type="dxa"/>
            <w:tcBorders>
              <w:top w:val="nil"/>
              <w:left w:val="nil"/>
              <w:bottom w:val="nil"/>
              <w:right w:val="nil"/>
            </w:tcBorders>
            <w:shd w:val="clear" w:color="auto" w:fill="auto"/>
            <w:noWrap/>
            <w:vAlign w:val="bottom"/>
            <w:hideMark/>
          </w:tcPr>
          <w:p w14:paraId="4D8EF374" w14:textId="77777777" w:rsidR="000307BF" w:rsidRPr="000307BF" w:rsidRDefault="000307BF" w:rsidP="00454D06">
            <w:pPr>
              <w:rPr>
                <w:rFonts w:ascii="Times New Roman" w:eastAsia="Times New Roman" w:hAnsi="Times New Roman" w:cs="Times New Roman"/>
                <w:b/>
                <w:bCs/>
                <w:color w:val="000000"/>
                <w:lang w:val="en-GB"/>
              </w:rPr>
            </w:pPr>
            <w:r w:rsidRPr="000307BF">
              <w:rPr>
                <w:rFonts w:ascii="Times New Roman" w:eastAsia="Times New Roman" w:hAnsi="Times New Roman" w:cs="Times New Roman"/>
                <w:b/>
                <w:bCs/>
                <w:color w:val="000000"/>
                <w:lang w:val="en-GB"/>
              </w:rPr>
              <w:t>0.27</w:t>
            </w:r>
          </w:p>
        </w:tc>
        <w:tc>
          <w:tcPr>
            <w:tcW w:w="1660" w:type="dxa"/>
            <w:tcBorders>
              <w:top w:val="nil"/>
              <w:left w:val="nil"/>
              <w:bottom w:val="nil"/>
              <w:right w:val="nil"/>
            </w:tcBorders>
            <w:shd w:val="clear" w:color="auto" w:fill="auto"/>
            <w:noWrap/>
            <w:vAlign w:val="bottom"/>
            <w:hideMark/>
          </w:tcPr>
          <w:p w14:paraId="001E80D0" w14:textId="77777777" w:rsidR="000307BF" w:rsidRPr="000307BF" w:rsidRDefault="000307BF" w:rsidP="00454D06">
            <w:pPr>
              <w:rPr>
                <w:rFonts w:ascii="Times New Roman" w:eastAsia="Times New Roman" w:hAnsi="Times New Roman" w:cs="Times New Roman"/>
                <w:b/>
                <w:bCs/>
                <w:color w:val="000000"/>
                <w:lang w:val="en-GB"/>
              </w:rPr>
            </w:pPr>
            <w:r w:rsidRPr="000307BF">
              <w:rPr>
                <w:rFonts w:ascii="Times New Roman" w:eastAsia="Times New Roman" w:hAnsi="Times New Roman" w:cs="Times New Roman"/>
                <w:b/>
                <w:bCs/>
                <w:color w:val="000000"/>
                <w:lang w:val="en-GB"/>
              </w:rPr>
              <w:t>0.29</w:t>
            </w:r>
          </w:p>
        </w:tc>
      </w:tr>
      <w:tr w:rsidR="000307BF" w:rsidRPr="000307BF" w14:paraId="382E122E" w14:textId="77777777" w:rsidTr="000307BF">
        <w:trPr>
          <w:trHeight w:val="300"/>
        </w:trPr>
        <w:tc>
          <w:tcPr>
            <w:tcW w:w="1300" w:type="dxa"/>
            <w:tcBorders>
              <w:top w:val="nil"/>
              <w:left w:val="nil"/>
              <w:bottom w:val="nil"/>
              <w:right w:val="nil"/>
            </w:tcBorders>
            <w:shd w:val="clear" w:color="auto" w:fill="auto"/>
            <w:noWrap/>
            <w:vAlign w:val="bottom"/>
            <w:hideMark/>
          </w:tcPr>
          <w:p w14:paraId="16C7B420" w14:textId="77777777" w:rsidR="000307BF" w:rsidRPr="000307BF" w:rsidRDefault="000307BF" w:rsidP="00454D06">
            <w:pPr>
              <w:rPr>
                <w:rFonts w:ascii="Times New Roman" w:eastAsia="Times New Roman" w:hAnsi="Times New Roman" w:cs="Times New Roman"/>
                <w:b/>
                <w:bCs/>
                <w:color w:val="000000"/>
                <w:lang w:val="en-GB"/>
              </w:rPr>
            </w:pPr>
            <w:r w:rsidRPr="000307BF">
              <w:rPr>
                <w:rFonts w:ascii="Times New Roman" w:eastAsia="Times New Roman" w:hAnsi="Times New Roman" w:cs="Times New Roman"/>
                <w:b/>
                <w:bCs/>
                <w:color w:val="000000"/>
                <w:lang w:val="en-GB"/>
              </w:rPr>
              <w:t>Stdev</w:t>
            </w:r>
          </w:p>
        </w:tc>
        <w:tc>
          <w:tcPr>
            <w:tcW w:w="1440" w:type="dxa"/>
            <w:tcBorders>
              <w:top w:val="nil"/>
              <w:left w:val="nil"/>
              <w:bottom w:val="nil"/>
              <w:right w:val="nil"/>
            </w:tcBorders>
            <w:shd w:val="clear" w:color="auto" w:fill="auto"/>
            <w:noWrap/>
            <w:vAlign w:val="bottom"/>
            <w:hideMark/>
          </w:tcPr>
          <w:p w14:paraId="0655DB03" w14:textId="77777777" w:rsidR="000307BF" w:rsidRPr="000307BF" w:rsidRDefault="000307BF" w:rsidP="00454D06">
            <w:pPr>
              <w:rPr>
                <w:rFonts w:ascii="Times New Roman" w:eastAsia="Times New Roman" w:hAnsi="Times New Roman" w:cs="Times New Roman"/>
                <w:b/>
                <w:bCs/>
                <w:color w:val="000000"/>
                <w:lang w:val="en-GB"/>
              </w:rPr>
            </w:pPr>
            <w:r w:rsidRPr="000307BF">
              <w:rPr>
                <w:rFonts w:ascii="Times New Roman" w:eastAsia="Times New Roman" w:hAnsi="Times New Roman" w:cs="Times New Roman"/>
                <w:b/>
                <w:bCs/>
                <w:color w:val="000000"/>
                <w:lang w:val="en-GB"/>
              </w:rPr>
              <w:t>0.03</w:t>
            </w:r>
          </w:p>
        </w:tc>
        <w:tc>
          <w:tcPr>
            <w:tcW w:w="1520" w:type="dxa"/>
            <w:tcBorders>
              <w:top w:val="nil"/>
              <w:left w:val="nil"/>
              <w:bottom w:val="nil"/>
              <w:right w:val="nil"/>
            </w:tcBorders>
            <w:shd w:val="clear" w:color="auto" w:fill="auto"/>
            <w:noWrap/>
            <w:vAlign w:val="bottom"/>
            <w:hideMark/>
          </w:tcPr>
          <w:p w14:paraId="26BFBC16" w14:textId="77777777" w:rsidR="000307BF" w:rsidRPr="000307BF" w:rsidRDefault="000307BF" w:rsidP="00454D06">
            <w:pPr>
              <w:rPr>
                <w:rFonts w:ascii="Times New Roman" w:eastAsia="Times New Roman" w:hAnsi="Times New Roman" w:cs="Times New Roman"/>
                <w:b/>
                <w:bCs/>
                <w:color w:val="000000"/>
                <w:lang w:val="en-GB"/>
              </w:rPr>
            </w:pPr>
            <w:r w:rsidRPr="000307BF">
              <w:rPr>
                <w:rFonts w:ascii="Times New Roman" w:eastAsia="Times New Roman" w:hAnsi="Times New Roman" w:cs="Times New Roman"/>
                <w:b/>
                <w:bCs/>
                <w:color w:val="000000"/>
                <w:lang w:val="en-GB"/>
              </w:rPr>
              <w:t>0.03</w:t>
            </w:r>
          </w:p>
        </w:tc>
        <w:tc>
          <w:tcPr>
            <w:tcW w:w="1660" w:type="dxa"/>
            <w:tcBorders>
              <w:top w:val="nil"/>
              <w:left w:val="nil"/>
              <w:bottom w:val="nil"/>
              <w:right w:val="nil"/>
            </w:tcBorders>
            <w:shd w:val="clear" w:color="auto" w:fill="auto"/>
            <w:noWrap/>
            <w:vAlign w:val="bottom"/>
            <w:hideMark/>
          </w:tcPr>
          <w:p w14:paraId="249F6219" w14:textId="77777777" w:rsidR="000307BF" w:rsidRPr="000307BF" w:rsidRDefault="000307BF" w:rsidP="00454D06">
            <w:pPr>
              <w:rPr>
                <w:rFonts w:ascii="Times New Roman" w:eastAsia="Times New Roman" w:hAnsi="Times New Roman" w:cs="Times New Roman"/>
                <w:b/>
                <w:bCs/>
                <w:color w:val="000000"/>
                <w:lang w:val="en-GB"/>
              </w:rPr>
            </w:pPr>
            <w:r w:rsidRPr="000307BF">
              <w:rPr>
                <w:rFonts w:ascii="Times New Roman" w:eastAsia="Times New Roman" w:hAnsi="Times New Roman" w:cs="Times New Roman"/>
                <w:b/>
                <w:bCs/>
                <w:color w:val="000000"/>
                <w:lang w:val="en-GB"/>
              </w:rPr>
              <w:t>0.08</w:t>
            </w:r>
          </w:p>
        </w:tc>
        <w:tc>
          <w:tcPr>
            <w:tcW w:w="1300" w:type="dxa"/>
            <w:tcBorders>
              <w:top w:val="nil"/>
              <w:left w:val="nil"/>
              <w:bottom w:val="nil"/>
              <w:right w:val="nil"/>
            </w:tcBorders>
            <w:shd w:val="clear" w:color="auto" w:fill="auto"/>
            <w:noWrap/>
            <w:vAlign w:val="bottom"/>
            <w:hideMark/>
          </w:tcPr>
          <w:p w14:paraId="11832536" w14:textId="77777777" w:rsidR="000307BF" w:rsidRPr="000307BF" w:rsidRDefault="000307BF" w:rsidP="00454D06">
            <w:pPr>
              <w:rPr>
                <w:rFonts w:ascii="Times New Roman" w:eastAsia="Times New Roman" w:hAnsi="Times New Roman" w:cs="Times New Roman"/>
                <w:b/>
                <w:bCs/>
                <w:color w:val="000000"/>
                <w:lang w:val="en-GB"/>
              </w:rPr>
            </w:pPr>
            <w:r w:rsidRPr="000307BF">
              <w:rPr>
                <w:rFonts w:ascii="Times New Roman" w:eastAsia="Times New Roman" w:hAnsi="Times New Roman" w:cs="Times New Roman"/>
                <w:b/>
                <w:bCs/>
                <w:color w:val="000000"/>
                <w:lang w:val="en-GB"/>
              </w:rPr>
              <w:t>0.11</w:t>
            </w:r>
          </w:p>
        </w:tc>
        <w:tc>
          <w:tcPr>
            <w:tcW w:w="1660" w:type="dxa"/>
            <w:tcBorders>
              <w:top w:val="nil"/>
              <w:left w:val="nil"/>
              <w:bottom w:val="nil"/>
              <w:right w:val="nil"/>
            </w:tcBorders>
            <w:shd w:val="clear" w:color="auto" w:fill="auto"/>
            <w:noWrap/>
            <w:vAlign w:val="bottom"/>
            <w:hideMark/>
          </w:tcPr>
          <w:p w14:paraId="6F375112" w14:textId="77777777" w:rsidR="000307BF" w:rsidRPr="000307BF" w:rsidRDefault="000307BF" w:rsidP="00454D06">
            <w:pPr>
              <w:rPr>
                <w:rFonts w:ascii="Times New Roman" w:eastAsia="Times New Roman" w:hAnsi="Times New Roman" w:cs="Times New Roman"/>
                <w:b/>
                <w:bCs/>
                <w:color w:val="000000"/>
                <w:lang w:val="en-GB"/>
              </w:rPr>
            </w:pPr>
            <w:r w:rsidRPr="000307BF">
              <w:rPr>
                <w:rFonts w:ascii="Times New Roman" w:eastAsia="Times New Roman" w:hAnsi="Times New Roman" w:cs="Times New Roman"/>
                <w:b/>
                <w:bCs/>
                <w:color w:val="000000"/>
                <w:lang w:val="en-GB"/>
              </w:rPr>
              <w:t>0.11</w:t>
            </w:r>
          </w:p>
        </w:tc>
      </w:tr>
    </w:tbl>
    <w:p w14:paraId="0134126B" w14:textId="77777777" w:rsidR="0037790C" w:rsidRDefault="0037790C">
      <w:pPr>
        <w:rPr>
          <w:rFonts w:ascii="Times New Roman" w:hAnsi="Times New Roman" w:cs="Times New Roman"/>
          <w:b/>
          <w:noProof/>
        </w:rPr>
      </w:pPr>
    </w:p>
    <w:p w14:paraId="0A6FC7DE" w14:textId="231418E8" w:rsidR="0037790C" w:rsidRPr="00BD0907" w:rsidRDefault="0037790C" w:rsidP="00401292">
      <w:pPr>
        <w:pStyle w:val="Heading4"/>
        <w:rPr>
          <w:noProof/>
          <w:u w:val="single"/>
        </w:rPr>
      </w:pPr>
      <w:r w:rsidRPr="00BD0907">
        <w:rPr>
          <w:noProof/>
          <w:u w:val="single"/>
        </w:rPr>
        <w:t>Relative Log Expression (RLE) Signal</w:t>
      </w:r>
    </w:p>
    <w:p w14:paraId="0C2CE369" w14:textId="22CB2D55" w:rsidR="00BA4821" w:rsidRPr="00BA4821" w:rsidRDefault="00BA4821" w:rsidP="00C63BC1">
      <w:pPr>
        <w:spacing w:line="360" w:lineRule="auto"/>
        <w:jc w:val="both"/>
        <w:rPr>
          <w:rFonts w:ascii="Times New Roman" w:hAnsi="Times New Roman" w:cs="Times New Roman"/>
          <w:noProof/>
        </w:rPr>
      </w:pPr>
      <w:r>
        <w:rPr>
          <w:rFonts w:ascii="Times New Roman" w:hAnsi="Times New Roman" w:cs="Times New Roman"/>
          <w:noProof/>
        </w:rPr>
        <w:t xml:space="preserve">The Relative Log Expression (RLE) signal is calculated by comparing the signal intensity of each probe against the median signal value across all arrays in the experiment. The standard deviation of the RLE of all probe sets can be plotted, which provides </w:t>
      </w:r>
      <w:r w:rsidR="00E5662F">
        <w:rPr>
          <w:rFonts w:ascii="Times New Roman" w:hAnsi="Times New Roman" w:cs="Times New Roman"/>
          <w:noProof/>
        </w:rPr>
        <w:t xml:space="preserve">a robust tool to assess data quality across arrays within the same experiment. Poor quality arrays can be identified by a large spread of data and should be highlighted as potential outliers. </w:t>
      </w:r>
      <w:r w:rsidR="00E5662F" w:rsidRPr="000273AF">
        <w:rPr>
          <w:rFonts w:ascii="Times New Roman" w:hAnsi="Times New Roman" w:cs="Times New Roman"/>
          <w:b/>
          <w:noProof/>
        </w:rPr>
        <w:t xml:space="preserve">Figure </w:t>
      </w:r>
      <w:r w:rsidR="009F33F9" w:rsidRPr="000273AF">
        <w:rPr>
          <w:rFonts w:ascii="Times New Roman" w:hAnsi="Times New Roman" w:cs="Times New Roman"/>
          <w:b/>
          <w:noProof/>
        </w:rPr>
        <w:t>5.14</w:t>
      </w:r>
      <w:r w:rsidR="00E5662F">
        <w:rPr>
          <w:rFonts w:ascii="Times New Roman" w:hAnsi="Times New Roman" w:cs="Times New Roman"/>
          <w:noProof/>
        </w:rPr>
        <w:t xml:space="preserve"> shows box plots of the RLE signals across the six different arrays. </w:t>
      </w:r>
      <w:r w:rsidR="00DC1BB6">
        <w:rPr>
          <w:rFonts w:ascii="Times New Roman" w:hAnsi="Times New Roman" w:cs="Times New Roman"/>
          <w:noProof/>
        </w:rPr>
        <w:t>Most of the</w:t>
      </w:r>
      <w:r w:rsidR="00E5662F">
        <w:rPr>
          <w:rFonts w:ascii="Times New Roman" w:hAnsi="Times New Roman" w:cs="Times New Roman"/>
          <w:noProof/>
        </w:rPr>
        <w:t xml:space="preserve"> arrays show a similar spread of RLE signal at the gene level, however </w:t>
      </w:r>
      <w:r w:rsidR="00DC1BB6">
        <w:rPr>
          <w:rFonts w:ascii="Times New Roman" w:hAnsi="Times New Roman" w:cs="Times New Roman"/>
          <w:noProof/>
        </w:rPr>
        <w:t xml:space="preserve">the RLE mean for M3 is outside the range of the standard deviation of </w:t>
      </w:r>
      <w:r w:rsidR="00FD1BDE">
        <w:rPr>
          <w:rFonts w:ascii="Times New Roman" w:hAnsi="Times New Roman" w:cs="Times New Roman"/>
          <w:noProof/>
        </w:rPr>
        <w:t xml:space="preserve">the mean of all the experiments and although this is </w:t>
      </w:r>
      <w:r w:rsidR="00045B8E">
        <w:rPr>
          <w:rFonts w:ascii="Times New Roman" w:hAnsi="Times New Roman" w:cs="Times New Roman"/>
          <w:noProof/>
        </w:rPr>
        <w:t xml:space="preserve">not the case for </w:t>
      </w:r>
      <w:r w:rsidR="0044395C">
        <w:rPr>
          <w:rFonts w:ascii="Times New Roman" w:hAnsi="Times New Roman" w:cs="Times New Roman"/>
          <w:noProof/>
        </w:rPr>
        <w:t>C3, the RLE me</w:t>
      </w:r>
      <w:r w:rsidR="00045B8E">
        <w:rPr>
          <w:rFonts w:ascii="Times New Roman" w:hAnsi="Times New Roman" w:cs="Times New Roman"/>
          <w:noProof/>
        </w:rPr>
        <w:t>an values are noticeably higher. Based</w:t>
      </w:r>
      <w:r w:rsidR="00240784">
        <w:rPr>
          <w:rFonts w:ascii="Times New Roman" w:hAnsi="Times New Roman" w:cs="Times New Roman"/>
          <w:noProof/>
        </w:rPr>
        <w:t xml:space="preserve"> on the RLE mean values alone, </w:t>
      </w:r>
      <w:r w:rsidR="0044395C">
        <w:rPr>
          <w:rFonts w:ascii="Times New Roman" w:hAnsi="Times New Roman" w:cs="Times New Roman"/>
          <w:noProof/>
        </w:rPr>
        <w:t>M3 appears to be an outlier and</w:t>
      </w:r>
      <w:r w:rsidR="00B52CA9">
        <w:rPr>
          <w:rFonts w:ascii="Times New Roman" w:hAnsi="Times New Roman" w:cs="Times New Roman"/>
          <w:noProof/>
        </w:rPr>
        <w:t xml:space="preserve"> C3 shows a similar trend to M3, but is not strictly an outlier.</w:t>
      </w:r>
    </w:p>
    <w:p w14:paraId="7DED2458" w14:textId="16F4DF48" w:rsidR="00905643" w:rsidRDefault="00905643">
      <w:pPr>
        <w:rPr>
          <w:rFonts w:ascii="Times New Roman" w:hAnsi="Times New Roman" w:cs="Times New Roman"/>
          <w:b/>
          <w:noProof/>
        </w:rPr>
      </w:pPr>
    </w:p>
    <w:p w14:paraId="4B267E29" w14:textId="158D9397" w:rsidR="00B906CF" w:rsidRDefault="00870F23">
      <w:pPr>
        <w:rPr>
          <w:rFonts w:ascii="Times New Roman" w:hAnsi="Times New Roman" w:cs="Times New Roman"/>
          <w:b/>
          <w:noProof/>
        </w:rPr>
      </w:pPr>
      <w:r>
        <w:rPr>
          <w:rFonts w:ascii="Times New Roman" w:hAnsi="Times New Roman" w:cs="Times New Roman"/>
          <w:b/>
          <w:noProof/>
        </w:rPr>
        <w:t xml:space="preserve">      </w:t>
      </w:r>
      <w:r w:rsidR="00F038A8">
        <w:rPr>
          <w:rFonts w:ascii="Times New Roman" w:hAnsi="Times New Roman" w:cs="Times New Roman"/>
          <w:b/>
          <w:noProof/>
        </w:rPr>
        <w:t xml:space="preserve">      </w:t>
      </w:r>
      <w:r w:rsidR="004F427E">
        <w:rPr>
          <w:rFonts w:ascii="Times New Roman" w:hAnsi="Times New Roman" w:cs="Times New Roman"/>
          <w:b/>
          <w:noProof/>
        </w:rPr>
        <w:drawing>
          <wp:inline distT="0" distB="0" distL="0" distR="0" wp14:anchorId="232BA1D9" wp14:editId="071396D1">
            <wp:extent cx="4013347" cy="32004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97">
                      <a:extLst>
                        <a:ext uri="{28A0092B-C50C-407E-A947-70E740481C1C}">
                          <a14:useLocalDpi xmlns:a14="http://schemas.microsoft.com/office/drawing/2010/main" val="0"/>
                        </a:ext>
                      </a:extLst>
                    </a:blip>
                    <a:srcRect l="22688" t="24786" r="23200" b="21261"/>
                    <a:stretch/>
                  </pic:blipFill>
                  <pic:spPr bwMode="auto">
                    <a:xfrm>
                      <a:off x="0" y="0"/>
                      <a:ext cx="4016018" cy="3202530"/>
                    </a:xfrm>
                    <a:prstGeom prst="rect">
                      <a:avLst/>
                    </a:prstGeom>
                    <a:ln>
                      <a:noFill/>
                    </a:ln>
                    <a:extLst>
                      <a:ext uri="{53640926-AAD7-44d8-BBD7-CCE9431645EC}">
                        <a14:shadowObscured xmlns:a14="http://schemas.microsoft.com/office/drawing/2010/main"/>
                      </a:ext>
                    </a:extLst>
                  </pic:spPr>
                </pic:pic>
              </a:graphicData>
            </a:graphic>
          </wp:inline>
        </w:drawing>
      </w:r>
    </w:p>
    <w:p w14:paraId="270D95B0" w14:textId="77777777" w:rsidR="005E6C15" w:rsidRDefault="005E6C15" w:rsidP="00C63BC1">
      <w:pPr>
        <w:jc w:val="both"/>
        <w:rPr>
          <w:rFonts w:ascii="Times New Roman" w:hAnsi="Times New Roman" w:cs="Times New Roman"/>
          <w:b/>
          <w:noProof/>
        </w:rPr>
      </w:pPr>
    </w:p>
    <w:p w14:paraId="27080797" w14:textId="7A17F9B4" w:rsidR="00AB1419" w:rsidRPr="00AB1419" w:rsidRDefault="00622177" w:rsidP="00AB1419">
      <w:pPr>
        <w:pStyle w:val="Caption"/>
        <w:rPr>
          <w:noProof/>
        </w:rPr>
      </w:pPr>
      <w:bookmarkStart w:id="2037" w:name="_Toc333569089"/>
      <w:bookmarkStart w:id="2038" w:name="_Toc333569314"/>
      <w:bookmarkStart w:id="2039" w:name="_Toc333570868"/>
      <w:bookmarkStart w:id="2040" w:name="_Toc333582251"/>
      <w:bookmarkStart w:id="2041" w:name="_Toc333582371"/>
      <w:bookmarkStart w:id="2042" w:name="_Toc333582783"/>
      <w:bookmarkStart w:id="2043" w:name="_Toc333583153"/>
      <w:bookmarkStart w:id="2044" w:name="_Toc333585267"/>
      <w:bookmarkStart w:id="2045" w:name="_Toc333586819"/>
      <w:bookmarkStart w:id="2046" w:name="_Toc333644518"/>
      <w:bookmarkStart w:id="2047" w:name="_Toc333644812"/>
      <w:r>
        <w:rPr>
          <w:noProof/>
        </w:rPr>
        <w:t xml:space="preserve">Figure </w:t>
      </w:r>
      <w:r w:rsidR="009F33F9">
        <w:rPr>
          <w:noProof/>
        </w:rPr>
        <w:t>5.14</w:t>
      </w:r>
      <w:r w:rsidR="0043060F">
        <w:rPr>
          <w:noProof/>
        </w:rPr>
        <w:t>.</w:t>
      </w:r>
      <w:r>
        <w:rPr>
          <w:noProof/>
        </w:rPr>
        <w:t xml:space="preserve"> Relative log expression (RLE) box plots for GENE level arrays.</w:t>
      </w:r>
      <w:bookmarkEnd w:id="2037"/>
      <w:bookmarkEnd w:id="2038"/>
      <w:bookmarkEnd w:id="2039"/>
      <w:bookmarkEnd w:id="2040"/>
      <w:bookmarkEnd w:id="2041"/>
      <w:bookmarkEnd w:id="2042"/>
      <w:bookmarkEnd w:id="2043"/>
      <w:bookmarkEnd w:id="2044"/>
      <w:bookmarkEnd w:id="2045"/>
      <w:bookmarkEnd w:id="2046"/>
      <w:bookmarkEnd w:id="2047"/>
      <w:r>
        <w:rPr>
          <w:noProof/>
        </w:rPr>
        <w:t xml:space="preserve"> </w:t>
      </w:r>
    </w:p>
    <w:p w14:paraId="1EC2BCCB" w14:textId="556C2F29" w:rsidR="00B906CF" w:rsidRPr="00622177" w:rsidRDefault="00622177" w:rsidP="00C63BC1">
      <w:pPr>
        <w:spacing w:line="360" w:lineRule="auto"/>
        <w:jc w:val="both"/>
        <w:rPr>
          <w:rFonts w:ascii="Times New Roman" w:hAnsi="Times New Roman" w:cs="Times New Roman"/>
          <w:noProof/>
        </w:rPr>
      </w:pPr>
      <w:r>
        <w:rPr>
          <w:rFonts w:ascii="Times New Roman" w:hAnsi="Times New Roman" w:cs="Times New Roman"/>
          <w:noProof/>
        </w:rPr>
        <w:t>Box plots display the distribution of RLE values for the GENE level arrays</w:t>
      </w:r>
      <w:r w:rsidR="004F427E">
        <w:rPr>
          <w:rFonts w:ascii="Times New Roman" w:hAnsi="Times New Roman" w:cs="Times New Roman"/>
          <w:noProof/>
        </w:rPr>
        <w:t>. Red boxes indicate potential outliers</w:t>
      </w:r>
      <w:r w:rsidR="00240784">
        <w:rPr>
          <w:rFonts w:ascii="Times New Roman" w:hAnsi="Times New Roman" w:cs="Times New Roman"/>
          <w:noProof/>
        </w:rPr>
        <w:t xml:space="preserve"> (C3 and M3)</w:t>
      </w:r>
      <w:r w:rsidR="004F427E">
        <w:rPr>
          <w:rFonts w:ascii="Times New Roman" w:hAnsi="Times New Roman" w:cs="Times New Roman"/>
          <w:noProof/>
        </w:rPr>
        <w:t>.</w:t>
      </w:r>
    </w:p>
    <w:p w14:paraId="2FD17FAE" w14:textId="77777777" w:rsidR="00B906CF" w:rsidRDefault="00B906CF">
      <w:pPr>
        <w:rPr>
          <w:rFonts w:ascii="Times New Roman" w:hAnsi="Times New Roman" w:cs="Times New Roman"/>
          <w:b/>
          <w:noProof/>
        </w:rPr>
      </w:pPr>
    </w:p>
    <w:p w14:paraId="65B60FC8" w14:textId="77777777" w:rsidR="006A0286" w:rsidRDefault="006A0286">
      <w:pPr>
        <w:rPr>
          <w:rFonts w:ascii="Times New Roman" w:hAnsi="Times New Roman" w:cs="Times New Roman"/>
          <w:b/>
          <w:noProof/>
        </w:rPr>
      </w:pPr>
    </w:p>
    <w:p w14:paraId="14886172" w14:textId="6796ED3E" w:rsidR="006A0286" w:rsidRPr="00BD0907" w:rsidRDefault="00CE4069" w:rsidP="00401292">
      <w:pPr>
        <w:pStyle w:val="Heading4"/>
        <w:rPr>
          <w:noProof/>
          <w:u w:val="single"/>
        </w:rPr>
      </w:pPr>
      <w:r w:rsidRPr="00BD0907">
        <w:rPr>
          <w:noProof/>
          <w:u w:val="single"/>
        </w:rPr>
        <w:t>Quality Control Summary</w:t>
      </w:r>
      <w:r w:rsidR="001E3F77" w:rsidRPr="00BD0907">
        <w:rPr>
          <w:noProof/>
          <w:u w:val="single"/>
        </w:rPr>
        <w:t xml:space="preserve"> and justification for exclusion of samples</w:t>
      </w:r>
    </w:p>
    <w:p w14:paraId="1EE88965" w14:textId="24997BA3" w:rsidR="00AA21C2" w:rsidRDefault="00893703" w:rsidP="004D474F">
      <w:pPr>
        <w:spacing w:line="360" w:lineRule="auto"/>
        <w:jc w:val="both"/>
        <w:rPr>
          <w:rFonts w:ascii="Times New Roman" w:hAnsi="Times New Roman" w:cs="Times New Roman"/>
          <w:noProof/>
        </w:rPr>
      </w:pPr>
      <w:r>
        <w:rPr>
          <w:rFonts w:ascii="Times New Roman" w:hAnsi="Times New Roman" w:cs="Times New Roman"/>
          <w:noProof/>
        </w:rPr>
        <w:t>After performing the recommended quality control checks, it was apparent that the “M3” array consistently had metrics that were outside of the trend of the other arrays</w:t>
      </w:r>
      <w:r w:rsidR="00A71EEC">
        <w:rPr>
          <w:rFonts w:ascii="Times New Roman" w:hAnsi="Times New Roman" w:cs="Times New Roman"/>
          <w:noProof/>
        </w:rPr>
        <w:t xml:space="preserve"> and sometimes </w:t>
      </w:r>
      <w:r w:rsidR="00716436">
        <w:rPr>
          <w:rFonts w:ascii="Times New Roman" w:hAnsi="Times New Roman" w:cs="Times New Roman"/>
          <w:noProof/>
        </w:rPr>
        <w:t>had</w:t>
      </w:r>
      <w:r w:rsidR="000A366A">
        <w:rPr>
          <w:rFonts w:ascii="Times New Roman" w:hAnsi="Times New Roman" w:cs="Times New Roman"/>
          <w:noProof/>
        </w:rPr>
        <w:t xml:space="preserve"> values that Affymetrix® recommend not</w:t>
      </w:r>
      <w:r w:rsidR="00EE09C0">
        <w:rPr>
          <w:rFonts w:ascii="Times New Roman" w:hAnsi="Times New Roman" w:cs="Times New Roman"/>
          <w:noProof/>
        </w:rPr>
        <w:t xml:space="preserve"> to</w:t>
      </w:r>
      <w:r w:rsidR="000A366A">
        <w:rPr>
          <w:rFonts w:ascii="Times New Roman" w:hAnsi="Times New Roman" w:cs="Times New Roman"/>
          <w:noProof/>
        </w:rPr>
        <w:t xml:space="preserve"> pursu</w:t>
      </w:r>
      <w:r w:rsidR="00716436">
        <w:rPr>
          <w:rFonts w:ascii="Times New Roman" w:hAnsi="Times New Roman" w:cs="Times New Roman"/>
          <w:noProof/>
        </w:rPr>
        <w:t>e</w:t>
      </w:r>
      <w:r w:rsidR="000A366A">
        <w:rPr>
          <w:rFonts w:ascii="Times New Roman" w:hAnsi="Times New Roman" w:cs="Times New Roman"/>
          <w:noProof/>
        </w:rPr>
        <w:t xml:space="preserve"> further</w:t>
      </w:r>
      <w:r>
        <w:rPr>
          <w:rFonts w:ascii="Times New Roman" w:hAnsi="Times New Roman" w:cs="Times New Roman"/>
          <w:noProof/>
        </w:rPr>
        <w:t>. Array “C3” also had a trend towards values that reflected those in the “M3” array.</w:t>
      </w:r>
      <w:r w:rsidR="00716436">
        <w:rPr>
          <w:rFonts w:ascii="Times New Roman" w:hAnsi="Times New Roman" w:cs="Times New Roman"/>
          <w:noProof/>
        </w:rPr>
        <w:t xml:space="preserve"> </w:t>
      </w:r>
      <w:r>
        <w:rPr>
          <w:rFonts w:ascii="Times New Roman" w:hAnsi="Times New Roman" w:cs="Times New Roman"/>
          <w:noProof/>
        </w:rPr>
        <w:t>Based on this, it was decided that the</w:t>
      </w:r>
      <w:r w:rsidR="00EE09C0">
        <w:rPr>
          <w:rFonts w:ascii="Times New Roman" w:hAnsi="Times New Roman" w:cs="Times New Roman"/>
          <w:noProof/>
        </w:rPr>
        <w:t xml:space="preserve"> parallel experiments</w:t>
      </w:r>
      <w:r w:rsidR="00071F1E">
        <w:rPr>
          <w:rFonts w:ascii="Times New Roman" w:hAnsi="Times New Roman" w:cs="Times New Roman"/>
          <w:noProof/>
        </w:rPr>
        <w:t xml:space="preserve"> “C3” and “M3” would be o</w:t>
      </w:r>
      <w:r>
        <w:rPr>
          <w:rFonts w:ascii="Times New Roman" w:hAnsi="Times New Roman" w:cs="Times New Roman"/>
          <w:noProof/>
        </w:rPr>
        <w:t xml:space="preserve">mitted from the pathway analysis performed in </w:t>
      </w:r>
      <w:r w:rsidR="00F26E57">
        <w:rPr>
          <w:rFonts w:ascii="Times New Roman" w:hAnsi="Times New Roman" w:cs="Times New Roman"/>
          <w:noProof/>
        </w:rPr>
        <w:t xml:space="preserve">section </w:t>
      </w:r>
      <w:r w:rsidR="00716436">
        <w:rPr>
          <w:rFonts w:ascii="Times New Roman" w:hAnsi="Times New Roman" w:cs="Times New Roman"/>
          <w:noProof/>
        </w:rPr>
        <w:t>5.4.8.2 and 5.4.8.3</w:t>
      </w:r>
      <w:r w:rsidR="00EE09C0">
        <w:rPr>
          <w:rFonts w:ascii="Times New Roman" w:hAnsi="Times New Roman" w:cs="Times New Roman"/>
          <w:noProof/>
        </w:rPr>
        <w:t>. However,</w:t>
      </w:r>
      <w:r>
        <w:rPr>
          <w:rFonts w:ascii="Times New Roman" w:hAnsi="Times New Roman" w:cs="Times New Roman"/>
          <w:noProof/>
        </w:rPr>
        <w:t xml:space="preserve"> </w:t>
      </w:r>
      <w:r w:rsidR="00716436">
        <w:rPr>
          <w:rFonts w:ascii="Times New Roman" w:hAnsi="Times New Roman" w:cs="Times New Roman"/>
          <w:noProof/>
        </w:rPr>
        <w:t>signal int</w:t>
      </w:r>
      <w:r w:rsidR="00A024D4">
        <w:rPr>
          <w:rFonts w:ascii="Times New Roman" w:hAnsi="Times New Roman" w:cs="Times New Roman"/>
          <w:noProof/>
        </w:rPr>
        <w:t>ensities from these arrays were</w:t>
      </w:r>
      <w:r w:rsidR="00EE09C0">
        <w:rPr>
          <w:rFonts w:ascii="Times New Roman" w:hAnsi="Times New Roman" w:cs="Times New Roman"/>
          <w:noProof/>
        </w:rPr>
        <w:t xml:space="preserve"> later</w:t>
      </w:r>
      <w:r w:rsidR="00A024D4">
        <w:rPr>
          <w:rFonts w:ascii="Times New Roman" w:hAnsi="Times New Roman" w:cs="Times New Roman"/>
          <w:noProof/>
        </w:rPr>
        <w:t xml:space="preserve"> used</w:t>
      </w:r>
      <w:r>
        <w:rPr>
          <w:rFonts w:ascii="Times New Roman" w:hAnsi="Times New Roman" w:cs="Times New Roman"/>
          <w:noProof/>
        </w:rPr>
        <w:t xml:space="preserve"> as a guide to </w:t>
      </w:r>
      <w:r w:rsidR="00EE09C0">
        <w:rPr>
          <w:rFonts w:ascii="Times New Roman" w:hAnsi="Times New Roman" w:cs="Times New Roman"/>
          <w:noProof/>
        </w:rPr>
        <w:t>select</w:t>
      </w:r>
      <w:r>
        <w:rPr>
          <w:rFonts w:ascii="Times New Roman" w:hAnsi="Times New Roman" w:cs="Times New Roman"/>
          <w:noProof/>
        </w:rPr>
        <w:t xml:space="preserve"> genes </w:t>
      </w:r>
      <w:r w:rsidR="0055498C">
        <w:rPr>
          <w:rFonts w:ascii="Times New Roman" w:hAnsi="Times New Roman" w:cs="Times New Roman"/>
          <w:noProof/>
        </w:rPr>
        <w:t>to</w:t>
      </w:r>
      <w:r>
        <w:rPr>
          <w:rFonts w:ascii="Times New Roman" w:hAnsi="Times New Roman" w:cs="Times New Roman"/>
          <w:noProof/>
        </w:rPr>
        <w:t xml:space="preserve"> validate the </w:t>
      </w:r>
      <w:r w:rsidR="00716436">
        <w:rPr>
          <w:rFonts w:ascii="Times New Roman" w:hAnsi="Times New Roman" w:cs="Times New Roman"/>
          <w:noProof/>
        </w:rPr>
        <w:t>differentially expressed gen</w:t>
      </w:r>
      <w:r w:rsidR="00EE09C0">
        <w:rPr>
          <w:rFonts w:ascii="Times New Roman" w:hAnsi="Times New Roman" w:cs="Times New Roman"/>
          <w:noProof/>
        </w:rPr>
        <w:t>es identified from the comparison of C1 and C2 versus M1 and M2.</w:t>
      </w:r>
      <w:r>
        <w:rPr>
          <w:rFonts w:ascii="Times New Roman" w:hAnsi="Times New Roman" w:cs="Times New Roman"/>
          <w:noProof/>
        </w:rPr>
        <w:t xml:space="preserve"> </w:t>
      </w:r>
      <w:bookmarkStart w:id="2048" w:name="_Toc328301196"/>
      <w:bookmarkStart w:id="2049" w:name="_Toc329593487"/>
    </w:p>
    <w:p w14:paraId="73089965" w14:textId="77777777" w:rsidR="00E36700" w:rsidRDefault="00E36700" w:rsidP="004D474F">
      <w:pPr>
        <w:spacing w:line="360" w:lineRule="auto"/>
        <w:jc w:val="both"/>
        <w:rPr>
          <w:rFonts w:ascii="Times New Roman" w:hAnsi="Times New Roman" w:cs="Times New Roman"/>
          <w:noProof/>
        </w:rPr>
      </w:pPr>
    </w:p>
    <w:p w14:paraId="4616731D" w14:textId="77777777" w:rsidR="00E36700" w:rsidRDefault="00E36700" w:rsidP="004D474F">
      <w:pPr>
        <w:spacing w:line="360" w:lineRule="auto"/>
        <w:jc w:val="both"/>
        <w:rPr>
          <w:rFonts w:ascii="Times New Roman" w:hAnsi="Times New Roman" w:cs="Times New Roman"/>
          <w:noProof/>
        </w:rPr>
      </w:pPr>
    </w:p>
    <w:p w14:paraId="664AE764" w14:textId="77777777" w:rsidR="00E36700" w:rsidRDefault="00E36700" w:rsidP="004D474F">
      <w:pPr>
        <w:spacing w:line="360" w:lineRule="auto"/>
        <w:jc w:val="both"/>
        <w:rPr>
          <w:rFonts w:ascii="Times New Roman" w:hAnsi="Times New Roman" w:cs="Times New Roman"/>
          <w:noProof/>
        </w:rPr>
      </w:pPr>
    </w:p>
    <w:p w14:paraId="629BC895" w14:textId="77777777" w:rsidR="00E36700" w:rsidRPr="004D474F" w:rsidRDefault="00E36700" w:rsidP="004D474F">
      <w:pPr>
        <w:spacing w:line="360" w:lineRule="auto"/>
        <w:jc w:val="both"/>
        <w:rPr>
          <w:rFonts w:ascii="Times New Roman" w:hAnsi="Times New Roman" w:cs="Times New Roman"/>
          <w:noProof/>
        </w:rPr>
      </w:pPr>
    </w:p>
    <w:p w14:paraId="136F29A1" w14:textId="4717D6AC" w:rsidR="00CE4069" w:rsidRDefault="00F26E57" w:rsidP="00401292">
      <w:pPr>
        <w:pStyle w:val="Heading3"/>
        <w:rPr>
          <w:noProof/>
        </w:rPr>
      </w:pPr>
      <w:bookmarkStart w:id="2050" w:name="_Toc331425986"/>
      <w:bookmarkStart w:id="2051" w:name="_Toc331427167"/>
      <w:bookmarkStart w:id="2052" w:name="_Toc331427539"/>
      <w:bookmarkStart w:id="2053" w:name="_Toc331427681"/>
      <w:bookmarkStart w:id="2054" w:name="_Toc332972686"/>
      <w:bookmarkStart w:id="2055" w:name="_Toc333046965"/>
      <w:bookmarkStart w:id="2056" w:name="_Toc333477312"/>
      <w:bookmarkStart w:id="2057" w:name="_Toc333478082"/>
      <w:bookmarkStart w:id="2058" w:name="_Toc333644982"/>
      <w:r>
        <w:rPr>
          <w:noProof/>
        </w:rPr>
        <w:t xml:space="preserve">5.4.8 </w:t>
      </w:r>
      <w:r w:rsidR="00CE4069">
        <w:rPr>
          <w:noProof/>
        </w:rPr>
        <w:t>Data Analysis</w:t>
      </w:r>
      <w:bookmarkEnd w:id="2048"/>
      <w:bookmarkEnd w:id="2049"/>
      <w:bookmarkEnd w:id="2050"/>
      <w:bookmarkEnd w:id="2051"/>
      <w:bookmarkEnd w:id="2052"/>
      <w:bookmarkEnd w:id="2053"/>
      <w:bookmarkEnd w:id="2054"/>
      <w:bookmarkEnd w:id="2055"/>
      <w:bookmarkEnd w:id="2056"/>
      <w:bookmarkEnd w:id="2057"/>
      <w:bookmarkEnd w:id="2058"/>
    </w:p>
    <w:p w14:paraId="2A9CB332" w14:textId="77777777" w:rsidR="00CE4069" w:rsidRDefault="00CE4069">
      <w:pPr>
        <w:rPr>
          <w:rFonts w:ascii="Times New Roman" w:hAnsi="Times New Roman" w:cs="Times New Roman"/>
          <w:b/>
          <w:noProof/>
          <w:u w:val="single"/>
        </w:rPr>
      </w:pPr>
    </w:p>
    <w:p w14:paraId="20203F21" w14:textId="4AF59C74" w:rsidR="006A0286" w:rsidRPr="00BD0907" w:rsidRDefault="008C43C8" w:rsidP="00C63BC1">
      <w:pPr>
        <w:pStyle w:val="Heading4"/>
        <w:spacing w:line="360" w:lineRule="auto"/>
        <w:jc w:val="both"/>
        <w:rPr>
          <w:noProof/>
          <w:u w:val="single"/>
        </w:rPr>
      </w:pPr>
      <w:r w:rsidRPr="00BD0907">
        <w:rPr>
          <w:noProof/>
          <w:u w:val="single"/>
        </w:rPr>
        <w:t xml:space="preserve">i) </w:t>
      </w:r>
      <w:r w:rsidR="006A0286" w:rsidRPr="00BD0907">
        <w:rPr>
          <w:noProof/>
          <w:u w:val="single"/>
        </w:rPr>
        <w:t>Clustering Analysis</w:t>
      </w:r>
      <w:r w:rsidR="00185C42" w:rsidRPr="00BD0907">
        <w:rPr>
          <w:noProof/>
          <w:u w:val="single"/>
        </w:rPr>
        <w:t xml:space="preserve"> performed by Qlucore Omics Explorer to identify differentially expressed genes in</w:t>
      </w:r>
      <w:r w:rsidR="006A0286" w:rsidRPr="00BD0907">
        <w:rPr>
          <w:noProof/>
          <w:u w:val="single"/>
        </w:rPr>
        <w:t xml:space="preserve"> IGF1 signalling impaired astrocytes </w:t>
      </w:r>
    </w:p>
    <w:p w14:paraId="4C4DD186" w14:textId="23EE8200" w:rsidR="003E717E" w:rsidRPr="003E717E" w:rsidRDefault="003E717E" w:rsidP="00C63BC1">
      <w:pPr>
        <w:spacing w:line="360" w:lineRule="auto"/>
        <w:jc w:val="both"/>
        <w:rPr>
          <w:rFonts w:ascii="Times New Roman" w:hAnsi="Times New Roman" w:cs="Times New Roman"/>
          <w:noProof/>
        </w:rPr>
      </w:pPr>
      <w:r>
        <w:rPr>
          <w:rFonts w:ascii="Times New Roman" w:hAnsi="Times New Roman" w:cs="Times New Roman"/>
          <w:noProof/>
        </w:rPr>
        <w:t>All Affymetrix CEL.files were imported into Qlucore Omics Explorer (version 3.0)</w:t>
      </w:r>
      <w:r w:rsidR="00132784">
        <w:rPr>
          <w:rFonts w:ascii="Times New Roman" w:hAnsi="Times New Roman" w:cs="Times New Roman"/>
          <w:noProof/>
        </w:rPr>
        <w:t xml:space="preserve"> for identification of the most significant changes in g</w:t>
      </w:r>
      <w:r w:rsidR="00B80D03">
        <w:rPr>
          <w:rFonts w:ascii="Times New Roman" w:hAnsi="Times New Roman" w:cs="Times New Roman"/>
          <w:noProof/>
        </w:rPr>
        <w:t>enes between control and MAB391-</w:t>
      </w:r>
      <w:r w:rsidR="00132784">
        <w:rPr>
          <w:rFonts w:ascii="Times New Roman" w:hAnsi="Times New Roman" w:cs="Times New Roman"/>
          <w:noProof/>
        </w:rPr>
        <w:t>treated astrocytes</w:t>
      </w:r>
      <w:r>
        <w:rPr>
          <w:rFonts w:ascii="Times New Roman" w:hAnsi="Times New Roman" w:cs="Times New Roman"/>
          <w:noProof/>
        </w:rPr>
        <w:t xml:space="preserve">. The RMA sketch method was used to normalise </w:t>
      </w:r>
      <w:r w:rsidR="00385011">
        <w:rPr>
          <w:rFonts w:ascii="Times New Roman" w:hAnsi="Times New Roman" w:cs="Times New Roman"/>
          <w:noProof/>
        </w:rPr>
        <w:t>the</w:t>
      </w:r>
      <w:r>
        <w:rPr>
          <w:rFonts w:ascii="Times New Roman" w:hAnsi="Times New Roman" w:cs="Times New Roman"/>
          <w:noProof/>
        </w:rPr>
        <w:t xml:space="preserve"> data</w:t>
      </w:r>
      <w:r w:rsidR="00132784">
        <w:rPr>
          <w:rFonts w:ascii="Times New Roman" w:hAnsi="Times New Roman" w:cs="Times New Roman"/>
          <w:noProof/>
        </w:rPr>
        <w:t xml:space="preserve"> and subtract background signal</w:t>
      </w:r>
      <w:r>
        <w:rPr>
          <w:rFonts w:ascii="Times New Roman" w:hAnsi="Times New Roman" w:cs="Times New Roman"/>
          <w:noProof/>
        </w:rPr>
        <w:t>.</w:t>
      </w:r>
      <w:r w:rsidR="00071F1E">
        <w:rPr>
          <w:rFonts w:ascii="Times New Roman" w:hAnsi="Times New Roman" w:cs="Times New Roman"/>
          <w:noProof/>
        </w:rPr>
        <w:t xml:space="preserve"> One of the main criteria</w:t>
      </w:r>
      <w:r w:rsidR="00385011">
        <w:rPr>
          <w:rFonts w:ascii="Times New Roman" w:hAnsi="Times New Roman" w:cs="Times New Roman"/>
          <w:noProof/>
        </w:rPr>
        <w:t xml:space="preserve"> for analysis </w:t>
      </w:r>
      <w:r w:rsidR="00844F12">
        <w:rPr>
          <w:rFonts w:ascii="Times New Roman" w:hAnsi="Times New Roman" w:cs="Times New Roman"/>
          <w:noProof/>
        </w:rPr>
        <w:t xml:space="preserve">performed </w:t>
      </w:r>
      <w:r w:rsidR="00385011">
        <w:rPr>
          <w:rFonts w:ascii="Times New Roman" w:hAnsi="Times New Roman" w:cs="Times New Roman"/>
          <w:noProof/>
        </w:rPr>
        <w:t xml:space="preserve">in Qlucore Omics Explorer is that a sufficient number of differentially expressed transcripts </w:t>
      </w:r>
      <w:r w:rsidR="00844F12">
        <w:rPr>
          <w:rFonts w:ascii="Times New Roman" w:hAnsi="Times New Roman" w:cs="Times New Roman"/>
          <w:noProof/>
        </w:rPr>
        <w:t>are</w:t>
      </w:r>
      <w:r w:rsidR="00385011">
        <w:rPr>
          <w:rFonts w:ascii="Times New Roman" w:hAnsi="Times New Roman" w:cs="Times New Roman"/>
          <w:noProof/>
        </w:rPr>
        <w:t xml:space="preserve"> generated. </w:t>
      </w:r>
      <w:r w:rsidR="00132784">
        <w:rPr>
          <w:rFonts w:ascii="Times New Roman" w:hAnsi="Times New Roman" w:cs="Times New Roman"/>
          <w:noProof/>
        </w:rPr>
        <w:t>To aid prog</w:t>
      </w:r>
      <w:r w:rsidR="00844F12">
        <w:rPr>
          <w:rFonts w:ascii="Times New Roman" w:hAnsi="Times New Roman" w:cs="Times New Roman"/>
          <w:noProof/>
        </w:rPr>
        <w:t>rams such as</w:t>
      </w:r>
      <w:r w:rsidR="002850FF">
        <w:rPr>
          <w:rFonts w:ascii="Times New Roman" w:hAnsi="Times New Roman" w:cs="Times New Roman"/>
          <w:noProof/>
        </w:rPr>
        <w:t xml:space="preserve"> The Database for Annotation, V</w:t>
      </w:r>
      <w:r w:rsidR="004B4946">
        <w:rPr>
          <w:rFonts w:ascii="Times New Roman" w:hAnsi="Times New Roman" w:cs="Times New Roman"/>
          <w:noProof/>
        </w:rPr>
        <w:t>isualisation and</w:t>
      </w:r>
      <w:r w:rsidR="002850FF">
        <w:rPr>
          <w:rFonts w:ascii="Times New Roman" w:hAnsi="Times New Roman" w:cs="Times New Roman"/>
          <w:noProof/>
        </w:rPr>
        <w:t xml:space="preserve"> Integrated D</w:t>
      </w:r>
      <w:r w:rsidR="00DE4557">
        <w:rPr>
          <w:rFonts w:ascii="Times New Roman" w:hAnsi="Times New Roman" w:cs="Times New Roman"/>
          <w:noProof/>
        </w:rPr>
        <w:t>iscover</w:t>
      </w:r>
      <w:r w:rsidR="00844F12">
        <w:rPr>
          <w:rFonts w:ascii="Times New Roman" w:hAnsi="Times New Roman" w:cs="Times New Roman"/>
          <w:noProof/>
        </w:rPr>
        <w:t xml:space="preserve"> </w:t>
      </w:r>
      <w:r w:rsidR="00DE4557">
        <w:rPr>
          <w:rFonts w:ascii="Times New Roman" w:hAnsi="Times New Roman" w:cs="Times New Roman"/>
          <w:noProof/>
        </w:rPr>
        <w:t>(</w:t>
      </w:r>
      <w:r w:rsidR="00844F12">
        <w:rPr>
          <w:rFonts w:ascii="Times New Roman" w:hAnsi="Times New Roman" w:cs="Times New Roman"/>
          <w:noProof/>
        </w:rPr>
        <w:t>DAVID</w:t>
      </w:r>
      <w:r w:rsidR="00DE4557">
        <w:rPr>
          <w:rFonts w:ascii="Times New Roman" w:hAnsi="Times New Roman" w:cs="Times New Roman"/>
          <w:noProof/>
        </w:rPr>
        <w:t>)</w:t>
      </w:r>
      <w:r w:rsidR="00844F12">
        <w:rPr>
          <w:rFonts w:ascii="Times New Roman" w:hAnsi="Times New Roman" w:cs="Times New Roman"/>
          <w:noProof/>
        </w:rPr>
        <w:t xml:space="preserve"> and </w:t>
      </w:r>
      <w:r w:rsidR="002850FF">
        <w:rPr>
          <w:rFonts w:ascii="Times New Roman" w:hAnsi="Times New Roman" w:cs="Times New Roman"/>
          <w:noProof/>
        </w:rPr>
        <w:t>Integrated Molecular Pathway Level A</w:t>
      </w:r>
      <w:r w:rsidR="00DE4557">
        <w:rPr>
          <w:rFonts w:ascii="Times New Roman" w:hAnsi="Times New Roman" w:cs="Times New Roman"/>
          <w:noProof/>
        </w:rPr>
        <w:t>nalysis (</w:t>
      </w:r>
      <w:r w:rsidR="00844F12">
        <w:rPr>
          <w:rFonts w:ascii="Times New Roman" w:hAnsi="Times New Roman" w:cs="Times New Roman"/>
          <w:noProof/>
        </w:rPr>
        <w:t>IMPALA</w:t>
      </w:r>
      <w:r w:rsidR="00DE4557">
        <w:rPr>
          <w:rFonts w:ascii="Times New Roman" w:hAnsi="Times New Roman" w:cs="Times New Roman"/>
          <w:noProof/>
        </w:rPr>
        <w:t>)</w:t>
      </w:r>
      <w:r w:rsidR="00844F12">
        <w:rPr>
          <w:rFonts w:ascii="Times New Roman" w:hAnsi="Times New Roman" w:cs="Times New Roman"/>
          <w:noProof/>
        </w:rPr>
        <w:t>, which are used to</w:t>
      </w:r>
      <w:r w:rsidR="00132784">
        <w:rPr>
          <w:rFonts w:ascii="Times New Roman" w:hAnsi="Times New Roman" w:cs="Times New Roman"/>
          <w:noProof/>
        </w:rPr>
        <w:t xml:space="preserve"> deduce hypothetical pathways that could be </w:t>
      </w:r>
      <w:r w:rsidR="00844F12">
        <w:rPr>
          <w:rFonts w:ascii="Times New Roman" w:hAnsi="Times New Roman" w:cs="Times New Roman"/>
          <w:noProof/>
        </w:rPr>
        <w:t xml:space="preserve">altered between groups, it is important to </w:t>
      </w:r>
      <w:r w:rsidR="002F71B0">
        <w:rPr>
          <w:rFonts w:ascii="Times New Roman" w:hAnsi="Times New Roman" w:cs="Times New Roman"/>
          <w:noProof/>
        </w:rPr>
        <w:t>input</w:t>
      </w:r>
      <w:r w:rsidR="00844F12">
        <w:rPr>
          <w:rFonts w:ascii="Times New Roman" w:hAnsi="Times New Roman" w:cs="Times New Roman"/>
          <w:noProof/>
        </w:rPr>
        <w:t xml:space="preserve"> a comprehensive list of significantly altered genes. </w:t>
      </w:r>
      <w:r w:rsidR="002850FF">
        <w:rPr>
          <w:rFonts w:ascii="Times New Roman" w:hAnsi="Times New Roman" w:cs="Times New Roman"/>
          <w:noProof/>
        </w:rPr>
        <w:t>P</w:t>
      </w:r>
      <w:r w:rsidR="00844F12">
        <w:rPr>
          <w:rFonts w:ascii="Times New Roman" w:hAnsi="Times New Roman" w:cs="Times New Roman"/>
          <w:noProof/>
        </w:rPr>
        <w:t xml:space="preserve">rograms such as DAVID can analyse up to 3000 transcripts. </w:t>
      </w:r>
      <w:r w:rsidR="00A44D81">
        <w:rPr>
          <w:rFonts w:ascii="Times New Roman" w:hAnsi="Times New Roman" w:cs="Times New Roman"/>
          <w:noProof/>
        </w:rPr>
        <w:t>A</w:t>
      </w:r>
      <w:r w:rsidR="00844F12">
        <w:rPr>
          <w:rFonts w:ascii="Times New Roman" w:hAnsi="Times New Roman" w:cs="Times New Roman"/>
          <w:noProof/>
        </w:rPr>
        <w:t xml:space="preserve"> filtering criteria of</w:t>
      </w:r>
      <w:r w:rsidR="003245DC">
        <w:rPr>
          <w:rFonts w:ascii="Times New Roman" w:hAnsi="Times New Roman" w:cs="Times New Roman"/>
          <w:noProof/>
        </w:rPr>
        <w:t xml:space="preserve"> FC</w:t>
      </w:r>
      <w:r w:rsidR="008C43C8">
        <w:rPr>
          <w:rFonts w:ascii="Times New Roman" w:hAnsi="Times New Roman" w:cs="Times New Roman"/>
          <w:noProof/>
        </w:rPr>
        <w:t xml:space="preserve"> (fold change)</w:t>
      </w:r>
      <w:r w:rsidR="003245DC">
        <w:rPr>
          <w:rFonts w:ascii="Times New Roman" w:hAnsi="Times New Roman" w:cs="Times New Roman"/>
          <w:noProof/>
        </w:rPr>
        <w:t xml:space="preserve"> </w:t>
      </w:r>
      <w:r w:rsidR="003245DC" w:rsidRPr="00A44D81">
        <w:rPr>
          <w:rFonts w:ascii="Times New Roman" w:hAnsi="Times New Roman" w:cs="Times New Roman"/>
          <w:noProof/>
        </w:rPr>
        <w:t xml:space="preserve">≤ 1.2 </w:t>
      </w:r>
      <w:r w:rsidR="002850FF">
        <w:rPr>
          <w:rFonts w:ascii="Times New Roman" w:hAnsi="Times New Roman" w:cs="Times New Roman"/>
          <w:noProof/>
        </w:rPr>
        <w:t xml:space="preserve"> </w:t>
      </w:r>
      <w:r w:rsidR="003245DC">
        <w:rPr>
          <w:rFonts w:ascii="Times New Roman" w:hAnsi="Times New Roman" w:cs="Times New Roman"/>
          <w:noProof/>
        </w:rPr>
        <w:t xml:space="preserve">and </w:t>
      </w:r>
      <w:r w:rsidR="00E02DF2">
        <w:rPr>
          <w:rFonts w:ascii="Times New Roman" w:hAnsi="Times New Roman" w:cs="Times New Roman"/>
          <w:noProof/>
        </w:rPr>
        <w:t xml:space="preserve">a significant value of </w:t>
      </w:r>
      <w:r w:rsidR="003245DC">
        <w:rPr>
          <w:rFonts w:ascii="Times New Roman" w:hAnsi="Times New Roman" w:cs="Times New Roman"/>
          <w:noProof/>
        </w:rPr>
        <w:t>P &lt; 0.05 was set, which identified changes in 2815 transcripts between the two groups.</w:t>
      </w:r>
      <w:r w:rsidR="00A44D81">
        <w:rPr>
          <w:rFonts w:ascii="Times New Roman" w:hAnsi="Times New Roman" w:cs="Times New Roman"/>
          <w:noProof/>
        </w:rPr>
        <w:t xml:space="preserve"> A</w:t>
      </w:r>
      <w:r w:rsidR="00057C7B">
        <w:rPr>
          <w:rFonts w:ascii="Times New Roman" w:hAnsi="Times New Roman" w:cs="Times New Roman"/>
          <w:noProof/>
        </w:rPr>
        <w:t>n</w:t>
      </w:r>
      <w:r w:rsidR="00A44D81">
        <w:rPr>
          <w:rFonts w:ascii="Times New Roman" w:hAnsi="Times New Roman" w:cs="Times New Roman"/>
          <w:noProof/>
        </w:rPr>
        <w:t xml:space="preserve"> FC of 1.2 </w:t>
      </w:r>
      <w:r w:rsidR="00057C7B">
        <w:rPr>
          <w:rFonts w:ascii="Times New Roman" w:hAnsi="Times New Roman" w:cs="Times New Roman"/>
          <w:noProof/>
        </w:rPr>
        <w:t xml:space="preserve">was chosen as it meant that more transcripts showing significant differences could be inputted into pathway enrichment analysis and help highlight which biological pathways were altered, if any. </w:t>
      </w:r>
    </w:p>
    <w:p w14:paraId="3DA43983" w14:textId="77777777" w:rsidR="00185C42" w:rsidRDefault="00185C42" w:rsidP="00C63BC1">
      <w:pPr>
        <w:jc w:val="both"/>
        <w:rPr>
          <w:rFonts w:ascii="Times New Roman" w:hAnsi="Times New Roman" w:cs="Times New Roman"/>
          <w:b/>
          <w:noProof/>
          <w:u w:val="single"/>
        </w:rPr>
      </w:pPr>
    </w:p>
    <w:p w14:paraId="0949B795" w14:textId="7989E3CC" w:rsidR="00036FD9" w:rsidRPr="006A0286" w:rsidRDefault="006A0286" w:rsidP="00C63BC1">
      <w:pPr>
        <w:spacing w:line="360" w:lineRule="auto"/>
        <w:jc w:val="both"/>
        <w:rPr>
          <w:rFonts w:ascii="Times New Roman" w:hAnsi="Times New Roman" w:cs="Times New Roman"/>
          <w:noProof/>
        </w:rPr>
      </w:pPr>
      <w:r>
        <w:rPr>
          <w:rFonts w:ascii="Times New Roman" w:hAnsi="Times New Roman" w:cs="Times New Roman"/>
          <w:noProof/>
        </w:rPr>
        <w:t xml:space="preserve">Clustering analysis was </w:t>
      </w:r>
      <w:r w:rsidR="0063310D">
        <w:rPr>
          <w:rFonts w:ascii="Times New Roman" w:hAnsi="Times New Roman" w:cs="Times New Roman"/>
          <w:noProof/>
        </w:rPr>
        <w:t xml:space="preserve">initially </w:t>
      </w:r>
      <w:r>
        <w:rPr>
          <w:rFonts w:ascii="Times New Roman" w:hAnsi="Times New Roman" w:cs="Times New Roman"/>
          <w:noProof/>
        </w:rPr>
        <w:t xml:space="preserve">performed on </w:t>
      </w:r>
      <w:r w:rsidR="00954BCF">
        <w:rPr>
          <w:rFonts w:ascii="Times New Roman" w:hAnsi="Times New Roman" w:cs="Times New Roman"/>
          <w:noProof/>
        </w:rPr>
        <w:t>all six arrays using multi-gro</w:t>
      </w:r>
      <w:r w:rsidR="00F502E9">
        <w:rPr>
          <w:rFonts w:ascii="Times New Roman" w:hAnsi="Times New Roman" w:cs="Times New Roman"/>
          <w:noProof/>
        </w:rPr>
        <w:t>up analysis and a PCA plot was used to display</w:t>
      </w:r>
      <w:r w:rsidR="00954BCF">
        <w:rPr>
          <w:rFonts w:ascii="Times New Roman" w:hAnsi="Times New Roman" w:cs="Times New Roman"/>
          <w:noProof/>
        </w:rPr>
        <w:t xml:space="preserve"> the</w:t>
      </w:r>
      <w:r w:rsidR="0063310D">
        <w:rPr>
          <w:rFonts w:ascii="Times New Roman" w:hAnsi="Times New Roman" w:cs="Times New Roman"/>
          <w:noProof/>
        </w:rPr>
        <w:t>se</w:t>
      </w:r>
      <w:r w:rsidR="00954BCF">
        <w:rPr>
          <w:rFonts w:ascii="Times New Roman" w:hAnsi="Times New Roman" w:cs="Times New Roman"/>
          <w:noProof/>
        </w:rPr>
        <w:t xml:space="preserve"> results (</w:t>
      </w:r>
      <w:r w:rsidR="00954BCF" w:rsidRPr="000273AF">
        <w:rPr>
          <w:rFonts w:ascii="Times New Roman" w:hAnsi="Times New Roman" w:cs="Times New Roman"/>
          <w:b/>
          <w:noProof/>
        </w:rPr>
        <w:t xml:space="preserve">figure </w:t>
      </w:r>
      <w:r w:rsidR="009F33F9" w:rsidRPr="000273AF">
        <w:rPr>
          <w:rFonts w:ascii="Times New Roman" w:hAnsi="Times New Roman" w:cs="Times New Roman"/>
          <w:b/>
          <w:noProof/>
        </w:rPr>
        <w:t>5.15</w:t>
      </w:r>
      <w:r w:rsidR="00954BCF">
        <w:rPr>
          <w:rFonts w:ascii="Times New Roman" w:hAnsi="Times New Roman" w:cs="Times New Roman"/>
          <w:noProof/>
        </w:rPr>
        <w:t>). The PCA plot clearly segregates the control</w:t>
      </w:r>
      <w:r w:rsidR="00F502E9">
        <w:rPr>
          <w:rFonts w:ascii="Times New Roman" w:hAnsi="Times New Roman" w:cs="Times New Roman"/>
          <w:noProof/>
        </w:rPr>
        <w:t xml:space="preserve"> (blue)</w:t>
      </w:r>
      <w:r w:rsidR="00954BCF">
        <w:rPr>
          <w:rFonts w:ascii="Times New Roman" w:hAnsi="Times New Roman" w:cs="Times New Roman"/>
          <w:noProof/>
        </w:rPr>
        <w:t xml:space="preserve"> and MAB391 </w:t>
      </w:r>
      <w:r w:rsidR="00F502E9">
        <w:rPr>
          <w:rFonts w:ascii="Times New Roman" w:hAnsi="Times New Roman" w:cs="Times New Roman"/>
          <w:noProof/>
        </w:rPr>
        <w:t xml:space="preserve">(yellow) </w:t>
      </w:r>
      <w:r w:rsidR="00954BCF">
        <w:rPr>
          <w:rFonts w:ascii="Times New Roman" w:hAnsi="Times New Roman" w:cs="Times New Roman"/>
          <w:noProof/>
        </w:rPr>
        <w:t xml:space="preserve">treated astrocytes into two distinct clusters. </w:t>
      </w:r>
      <w:r w:rsidR="00226FC3">
        <w:rPr>
          <w:rFonts w:ascii="Times New Roman" w:hAnsi="Times New Roman" w:cs="Times New Roman"/>
          <w:noProof/>
        </w:rPr>
        <w:t>The upper blue and yellow circles in the PCA plot are C3 and M3, which are not as well aligned with the other arrays represented on the PCA plot</w:t>
      </w:r>
      <w:r w:rsidR="0063310D">
        <w:rPr>
          <w:rFonts w:ascii="Times New Roman" w:hAnsi="Times New Roman" w:cs="Times New Roman"/>
          <w:noProof/>
        </w:rPr>
        <w:t xml:space="preserve">. </w:t>
      </w:r>
      <w:r w:rsidR="00226FC3">
        <w:rPr>
          <w:rFonts w:ascii="Times New Roman" w:hAnsi="Times New Roman" w:cs="Times New Roman"/>
          <w:noProof/>
        </w:rPr>
        <w:t>This is</w:t>
      </w:r>
      <w:r w:rsidR="00036FD9">
        <w:rPr>
          <w:rFonts w:ascii="Times New Roman" w:hAnsi="Times New Roman" w:cs="Times New Roman"/>
          <w:noProof/>
        </w:rPr>
        <w:t xml:space="preserve"> consistent with earlier quality control checks</w:t>
      </w:r>
      <w:r w:rsidR="00226FC3">
        <w:rPr>
          <w:rFonts w:ascii="Times New Roman" w:hAnsi="Times New Roman" w:cs="Times New Roman"/>
          <w:noProof/>
        </w:rPr>
        <w:t xml:space="preserve"> observed in </w:t>
      </w:r>
      <w:r w:rsidR="0063310D">
        <w:rPr>
          <w:rFonts w:ascii="Times New Roman" w:hAnsi="Times New Roman" w:cs="Times New Roman"/>
          <w:noProof/>
        </w:rPr>
        <w:t>section 5.4.7</w:t>
      </w:r>
      <w:r w:rsidR="00226FC3">
        <w:rPr>
          <w:rFonts w:ascii="Times New Roman" w:hAnsi="Times New Roman" w:cs="Times New Roman"/>
          <w:noProof/>
        </w:rPr>
        <w:t xml:space="preserve">. </w:t>
      </w:r>
      <w:r w:rsidR="00F502E9">
        <w:rPr>
          <w:rFonts w:ascii="Times New Roman" w:hAnsi="Times New Roman" w:cs="Times New Roman"/>
          <w:noProof/>
        </w:rPr>
        <w:t>Hierarchical clus</w:t>
      </w:r>
      <w:r w:rsidR="007B18CE">
        <w:rPr>
          <w:rFonts w:ascii="Times New Roman" w:hAnsi="Times New Roman" w:cs="Times New Roman"/>
          <w:noProof/>
        </w:rPr>
        <w:t xml:space="preserve">tering </w:t>
      </w:r>
      <w:r w:rsidR="00071F1E">
        <w:rPr>
          <w:rFonts w:ascii="Times New Roman" w:hAnsi="Times New Roman" w:cs="Times New Roman"/>
          <w:noProof/>
        </w:rPr>
        <w:t>(S</w:t>
      </w:r>
      <w:r w:rsidR="007B18CE">
        <w:rPr>
          <w:rFonts w:ascii="Times New Roman" w:hAnsi="Times New Roman" w:cs="Times New Roman"/>
          <w:noProof/>
        </w:rPr>
        <w:t>tudent’s</w:t>
      </w:r>
      <w:r w:rsidR="00071F1E">
        <w:rPr>
          <w:rFonts w:ascii="Times New Roman" w:hAnsi="Times New Roman" w:cs="Times New Roman"/>
          <w:noProof/>
        </w:rPr>
        <w:t xml:space="preserve"> t test at p</w:t>
      </w:r>
      <w:r w:rsidR="007B18CE">
        <w:rPr>
          <w:rFonts w:ascii="Times New Roman" w:hAnsi="Times New Roman" w:cs="Times New Roman"/>
          <w:noProof/>
        </w:rPr>
        <w:t>&lt;0.05</w:t>
      </w:r>
      <w:r w:rsidR="00F502E9">
        <w:rPr>
          <w:rFonts w:ascii="Times New Roman" w:hAnsi="Times New Roman" w:cs="Times New Roman"/>
          <w:noProof/>
        </w:rPr>
        <w:t>, FC ≥ 1.2) was also used to visualise differences between the two groups (</w:t>
      </w:r>
      <w:r w:rsidR="00F502E9" w:rsidRPr="000273AF">
        <w:rPr>
          <w:rFonts w:ascii="Times New Roman" w:hAnsi="Times New Roman" w:cs="Times New Roman"/>
          <w:b/>
          <w:noProof/>
        </w:rPr>
        <w:t xml:space="preserve">figure </w:t>
      </w:r>
      <w:r w:rsidR="0063310D" w:rsidRPr="000273AF">
        <w:rPr>
          <w:rFonts w:ascii="Times New Roman" w:hAnsi="Times New Roman" w:cs="Times New Roman"/>
          <w:b/>
          <w:noProof/>
        </w:rPr>
        <w:t>5.1</w:t>
      </w:r>
      <w:r w:rsidR="000273AF">
        <w:rPr>
          <w:rFonts w:ascii="Times New Roman" w:hAnsi="Times New Roman" w:cs="Times New Roman"/>
          <w:b/>
          <w:noProof/>
        </w:rPr>
        <w:t>5</w:t>
      </w:r>
      <w:r w:rsidR="00F502E9">
        <w:rPr>
          <w:rFonts w:ascii="Times New Roman" w:hAnsi="Times New Roman" w:cs="Times New Roman"/>
          <w:noProof/>
        </w:rPr>
        <w:t xml:space="preserve">). This shows a clear difference in the transcriptomic signal </w:t>
      </w:r>
      <w:r w:rsidR="00226FC3">
        <w:rPr>
          <w:rFonts w:ascii="Times New Roman" w:hAnsi="Times New Roman" w:cs="Times New Roman"/>
          <w:noProof/>
        </w:rPr>
        <w:t>between</w:t>
      </w:r>
      <w:r w:rsidR="00F502E9">
        <w:rPr>
          <w:rFonts w:ascii="Times New Roman" w:hAnsi="Times New Roman" w:cs="Times New Roman"/>
          <w:noProof/>
        </w:rPr>
        <w:t xml:space="preserve"> the two groups.</w:t>
      </w:r>
      <w:r w:rsidR="00226FC3">
        <w:rPr>
          <w:rFonts w:ascii="Times New Roman" w:hAnsi="Times New Roman" w:cs="Times New Roman"/>
          <w:noProof/>
        </w:rPr>
        <w:t xml:space="preserve"> Due to the differences observed during assessment of the quality of the arrays, a PCA plot was also performed with exclusion of C3 and M3</w:t>
      </w:r>
      <w:r w:rsidR="00620D28">
        <w:rPr>
          <w:rFonts w:ascii="Times New Roman" w:hAnsi="Times New Roman" w:cs="Times New Roman"/>
          <w:noProof/>
        </w:rPr>
        <w:t xml:space="preserve"> (</w:t>
      </w:r>
      <w:r w:rsidR="00620D28" w:rsidRPr="000273AF">
        <w:rPr>
          <w:rFonts w:ascii="Times New Roman" w:hAnsi="Times New Roman" w:cs="Times New Roman"/>
          <w:b/>
          <w:noProof/>
        </w:rPr>
        <w:t xml:space="preserve">figure </w:t>
      </w:r>
      <w:r w:rsidR="009F33F9" w:rsidRPr="000273AF">
        <w:rPr>
          <w:rFonts w:ascii="Times New Roman" w:hAnsi="Times New Roman" w:cs="Times New Roman"/>
          <w:b/>
          <w:noProof/>
        </w:rPr>
        <w:t>5.16</w:t>
      </w:r>
      <w:r w:rsidR="00641A0C">
        <w:rPr>
          <w:rFonts w:ascii="Times New Roman" w:hAnsi="Times New Roman" w:cs="Times New Roman"/>
          <w:noProof/>
        </w:rPr>
        <w:t xml:space="preserve">) and it is the differentially expressed genes from the comparison of C1-C2 and M1-M2 </w:t>
      </w:r>
      <w:r w:rsidR="00620D28">
        <w:rPr>
          <w:rFonts w:ascii="Times New Roman" w:hAnsi="Times New Roman" w:cs="Times New Roman"/>
          <w:noProof/>
        </w:rPr>
        <w:t>that were incorporated in</w:t>
      </w:r>
      <w:r w:rsidR="00641A0C">
        <w:rPr>
          <w:rFonts w:ascii="Times New Roman" w:hAnsi="Times New Roman" w:cs="Times New Roman"/>
          <w:noProof/>
        </w:rPr>
        <w:t>to</w:t>
      </w:r>
      <w:r w:rsidR="00620D28">
        <w:rPr>
          <w:rFonts w:ascii="Times New Roman" w:hAnsi="Times New Roman" w:cs="Times New Roman"/>
          <w:noProof/>
        </w:rPr>
        <w:t xml:space="preserve"> pathway analysis. </w:t>
      </w:r>
      <w:r w:rsidR="00226FC3">
        <w:rPr>
          <w:rFonts w:ascii="Times New Roman" w:hAnsi="Times New Roman" w:cs="Times New Roman"/>
          <w:noProof/>
        </w:rPr>
        <w:t xml:space="preserve"> </w:t>
      </w:r>
    </w:p>
    <w:p w14:paraId="1022A05F" w14:textId="77777777" w:rsidR="006A0286" w:rsidRDefault="006A0286" w:rsidP="00C63BC1">
      <w:pPr>
        <w:jc w:val="both"/>
        <w:rPr>
          <w:rFonts w:ascii="Times New Roman" w:hAnsi="Times New Roman" w:cs="Times New Roman"/>
          <w:b/>
          <w:noProof/>
        </w:rPr>
      </w:pPr>
    </w:p>
    <w:p w14:paraId="1B6F05A6" w14:textId="77777777" w:rsidR="006A0286" w:rsidRDefault="006A0286" w:rsidP="00C63BC1">
      <w:pPr>
        <w:jc w:val="both"/>
        <w:rPr>
          <w:rFonts w:ascii="Times New Roman" w:hAnsi="Times New Roman" w:cs="Times New Roman"/>
          <w:b/>
          <w:noProof/>
        </w:rPr>
      </w:pPr>
    </w:p>
    <w:p w14:paraId="0D38806F" w14:textId="77777777" w:rsidR="006A0286" w:rsidRDefault="006A0286">
      <w:pPr>
        <w:rPr>
          <w:rFonts w:ascii="Times New Roman" w:hAnsi="Times New Roman" w:cs="Times New Roman"/>
          <w:b/>
          <w:noProof/>
        </w:rPr>
      </w:pPr>
    </w:p>
    <w:p w14:paraId="4BA3CE9B" w14:textId="77777777" w:rsidR="006A0286" w:rsidRDefault="006A0286">
      <w:pPr>
        <w:rPr>
          <w:rFonts w:ascii="Times New Roman" w:hAnsi="Times New Roman" w:cs="Times New Roman"/>
          <w:b/>
          <w:noProof/>
        </w:rPr>
      </w:pPr>
    </w:p>
    <w:p w14:paraId="3BAF2717" w14:textId="77777777" w:rsidR="0065071D" w:rsidRDefault="00B906CF" w:rsidP="001D1BE4">
      <w:pPr>
        <w:rPr>
          <w:rFonts w:ascii="Times New Roman" w:hAnsi="Times New Roman" w:cs="Times New Roman"/>
          <w:b/>
          <w:noProof/>
        </w:rPr>
      </w:pPr>
      <w:r w:rsidRPr="00B906CF">
        <w:rPr>
          <w:rFonts w:ascii="Times New Roman" w:hAnsi="Times New Roman" w:cs="Times New Roman"/>
          <w:b/>
          <w:noProof/>
        </w:rPr>
        <w:drawing>
          <wp:inline distT="0" distB="0" distL="0" distR="0" wp14:anchorId="4E24E003" wp14:editId="77B2BEAF">
            <wp:extent cx="4970614" cy="3469286"/>
            <wp:effectExtent l="0" t="0" r="8255" b="10795"/>
            <wp:docPr id="49" name="Picture 3" descr="HC p0.05 FC 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HC p0.05 FC 1.2.tif"/>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4970614" cy="3469286"/>
                    </a:xfrm>
                    <a:prstGeom prst="rect">
                      <a:avLst/>
                    </a:prstGeom>
                  </pic:spPr>
                </pic:pic>
              </a:graphicData>
            </a:graphic>
          </wp:inline>
        </w:drawing>
      </w:r>
      <w:r w:rsidR="0065071D">
        <w:rPr>
          <w:rFonts w:ascii="Times New Roman" w:hAnsi="Times New Roman" w:cs="Times New Roman"/>
          <w:b/>
          <w:noProof/>
        </w:rPr>
        <w:t xml:space="preserve">     </w:t>
      </w:r>
    </w:p>
    <w:p w14:paraId="1056C0DC" w14:textId="1EEF1DFA" w:rsidR="00D26579" w:rsidRDefault="0065071D" w:rsidP="001D1BE4">
      <w:pPr>
        <w:rPr>
          <w:rFonts w:ascii="Times New Roman" w:hAnsi="Times New Roman" w:cs="Times New Roman"/>
          <w:b/>
          <w:noProof/>
        </w:rPr>
      </w:pPr>
      <w:r>
        <w:rPr>
          <w:rFonts w:ascii="Times New Roman" w:hAnsi="Times New Roman" w:cs="Times New Roman"/>
          <w:b/>
          <w:noProof/>
        </w:rPr>
        <w:t xml:space="preserve">                       </w:t>
      </w:r>
      <w:r w:rsidR="00B906CF" w:rsidRPr="00B906CF">
        <w:rPr>
          <w:rFonts w:ascii="Times New Roman" w:hAnsi="Times New Roman" w:cs="Times New Roman"/>
          <w:b/>
          <w:noProof/>
        </w:rPr>
        <mc:AlternateContent>
          <mc:Choice Requires="wpg">
            <w:drawing>
              <wp:inline distT="0" distB="0" distL="0" distR="0" wp14:anchorId="2CFE3CFB" wp14:editId="485A07F3">
                <wp:extent cx="3542674" cy="3130532"/>
                <wp:effectExtent l="0" t="0" r="0" b="0"/>
                <wp:docPr id="55" name="Group 1"/>
                <wp:cNvGraphicFramePr/>
                <a:graphic xmlns:a="http://schemas.openxmlformats.org/drawingml/2006/main">
                  <a:graphicData uri="http://schemas.microsoft.com/office/word/2010/wordprocessingGroup">
                    <wpg:wgp>
                      <wpg:cNvGrpSpPr/>
                      <wpg:grpSpPr>
                        <a:xfrm>
                          <a:off x="0" y="0"/>
                          <a:ext cx="3542674" cy="3130532"/>
                          <a:chOff x="0" y="0"/>
                          <a:chExt cx="4245629" cy="4245629"/>
                        </a:xfrm>
                      </wpg:grpSpPr>
                      <pic:pic xmlns:pic="http://schemas.openxmlformats.org/drawingml/2006/picture">
                        <pic:nvPicPr>
                          <pic:cNvPr id="56" name="Picture 56" descr="PCA p0.05 FC 1.2.tif"/>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4245629" cy="4245629"/>
                          </a:xfrm>
                          <a:prstGeom prst="rect">
                            <a:avLst/>
                          </a:prstGeom>
                        </pic:spPr>
                      </pic:pic>
                      <wps:wsp>
                        <wps:cNvPr id="57" name="Text Box 57"/>
                        <wps:cNvSpPr txBox="1"/>
                        <wps:spPr>
                          <a:xfrm>
                            <a:off x="3016020" y="2846304"/>
                            <a:ext cx="1057374" cy="435079"/>
                          </a:xfrm>
                          <a:prstGeom prst="rect">
                            <a:avLst/>
                          </a:prstGeom>
                          <a:noFill/>
                        </wps:spPr>
                        <wps:txbx>
                          <w:txbxContent>
                            <w:p w14:paraId="1EEF6CD4" w14:textId="77777777" w:rsidR="00C865FA" w:rsidRDefault="00C865FA" w:rsidP="00B906CF">
                              <w:pPr>
                                <w:pStyle w:val="NormalWeb"/>
                                <w:spacing w:before="0" w:beforeAutospacing="0" w:after="0" w:afterAutospacing="0"/>
                              </w:pPr>
                              <w:r w:rsidRPr="008616F9">
                                <w:rPr>
                                  <w:rFonts w:ascii="Times New Roman" w:hAnsi="Times New Roman"/>
                                  <w:color w:val="000000" w:themeColor="text1"/>
                                  <w:kern w:val="24"/>
                                  <w:sz w:val="32"/>
                                  <w:szCs w:val="32"/>
                                  <w:lang w:val="en-US"/>
                                </w:rPr>
                                <w:t>Control</w:t>
                              </w:r>
                            </w:p>
                          </w:txbxContent>
                        </wps:txbx>
                        <wps:bodyPr wrap="square" rtlCol="0">
                          <a:noAutofit/>
                        </wps:bodyPr>
                      </wps:wsp>
                      <wps:wsp>
                        <wps:cNvPr id="58" name="Text Box 58"/>
                        <wps:cNvSpPr txBox="1"/>
                        <wps:spPr>
                          <a:xfrm>
                            <a:off x="384506" y="2885961"/>
                            <a:ext cx="1046717" cy="435078"/>
                          </a:xfrm>
                          <a:prstGeom prst="rect">
                            <a:avLst/>
                          </a:prstGeom>
                          <a:noFill/>
                        </wps:spPr>
                        <wps:txbx>
                          <w:txbxContent>
                            <w:p w14:paraId="622EBBE8" w14:textId="77777777" w:rsidR="00C865FA" w:rsidRDefault="00C865FA" w:rsidP="00B906CF">
                              <w:pPr>
                                <w:pStyle w:val="NormalWeb"/>
                                <w:spacing w:before="0" w:beforeAutospacing="0" w:after="0" w:afterAutospacing="0"/>
                              </w:pPr>
                              <w:r w:rsidRPr="008616F9">
                                <w:rPr>
                                  <w:rFonts w:ascii="Times New Roman" w:hAnsi="Times New Roman"/>
                                  <w:color w:val="000000" w:themeColor="text1"/>
                                  <w:kern w:val="24"/>
                                  <w:sz w:val="32"/>
                                  <w:szCs w:val="32"/>
                                  <w:lang w:val="en-US"/>
                                </w:rPr>
                                <w:t>Treated</w:t>
                              </w:r>
                            </w:p>
                          </w:txbxContent>
                        </wps:txbx>
                        <wps:bodyPr wrap="square" rtlCol="0">
                          <a:noAutofit/>
                        </wps:bodyPr>
                      </wps:wsp>
                    </wpg:wgp>
                  </a:graphicData>
                </a:graphic>
              </wp:inline>
            </w:drawing>
          </mc:Choice>
          <mc:Fallback>
            <w:pict>
              <v:group id="Group 1" o:spid="_x0000_s1026" style="width:278.95pt;height:246.5pt;mso-position-horizontal-relative:char;mso-position-vertical-relative:line" coordsize="4245629,4245629" o:gfxdata="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27" type="#_x0000_t75" alt="PCA p0.05 FC 1.2.tif" style="position:absolute;width:4245629;height:42456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Zz&#10;gZjFAAAA2wAAAA8AAABkcnMvZG93bnJldi54bWxEj0FrwkAUhO9C/8PyCl6C2VRolDSrSKsgvWl6&#10;aG+P7DOJzb4N2TVJ/323UPA4zMw3TL6dTCsG6l1jWcFTnIAgLq1uuFLwURwWaxDOI2tsLZOCH3Kw&#10;3TzMcsy0HflEw9lXIkDYZaig9r7LpHRlTQZdbDvi4F1sb9AH2VdS9zgGuGnlMklSabDhsFBjR681&#10;ld/nm1GwXx3e/D7pZBR9fer3a7srjrdKqfnjtHsB4Wny9/B/+6gVPKfw9yX8ALn5B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Gc4GYxQAAANsAAAAPAAAAAAAAAAAAAAAAAJwC&#10;AABkcnMvZG93bnJldi54bWxQSwUGAAAAAAQABAD3AAAAjgMAAAAA&#10;">
                  <v:imagedata r:id="rId100" o:title="PCA p0.05 FC 1.2.tif"/>
                  <v:path arrowok="t"/>
                </v:shape>
                <v:shapetype id="_x0000_t202" coordsize="21600,21600" o:spt="202" path="m0,0l0,21600,21600,21600,21600,0xe">
                  <v:stroke joinstyle="miter"/>
                  <v:path gradientshapeok="t" o:connecttype="rect"/>
                </v:shapetype>
                <v:shape id="Text Box 57" o:spid="_x0000_s1028" type="#_x0000_t202" style="position:absolute;left:3016020;top:2846304;width:1057374;height:43507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A/RNwwAA&#10;ANsAAAAPAAAAZHJzL2Rvd25yZXYueG1sRI9Ba8JAFITvBf/D8oTe6q6iVtNsRJRCT4pWBW+P7DMJ&#10;zb4N2a1J/31XKPQ4zMw3TLrqbS3u1PrKsYbxSIEgzp2puNBw+nx/WYDwAdlg7Zg0/JCHVTZ4SjEx&#10;ruMD3Y+hEBHCPkENZQhNIqXPS7LoR64hjt7NtRZDlG0hTYtdhNtaTpSaS4sVx4USG9qUlH8dv62G&#10;8+52vUzVvtjaWdO5Xkm2S6n187Bfv4EI1If/8F/7w2iYvcLjS/wBMvs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A/RNwwAAANsAAAAPAAAAAAAAAAAAAAAAAJcCAABkcnMvZG93&#10;bnJldi54bWxQSwUGAAAAAAQABAD1AAAAhwMAAAAA&#10;" filled="f" stroked="f">
                  <v:textbox>
                    <w:txbxContent>
                      <w:p w14:paraId="1EEF6CD4" w14:textId="77777777" w:rsidR="00CB02CC" w:rsidRDefault="00CB02CC" w:rsidP="00B906CF">
                        <w:pPr>
                          <w:pStyle w:val="NormalWeb"/>
                          <w:spacing w:before="0" w:beforeAutospacing="0" w:after="0" w:afterAutospacing="0"/>
                        </w:pPr>
                        <w:r w:rsidRPr="008616F9">
                          <w:rPr>
                            <w:rFonts w:ascii="Times New Roman" w:hAnsi="Times New Roman"/>
                            <w:color w:val="000000" w:themeColor="text1"/>
                            <w:kern w:val="24"/>
                            <w:sz w:val="32"/>
                            <w:szCs w:val="32"/>
                            <w:lang w:val="en-US"/>
                          </w:rPr>
                          <w:t>Control</w:t>
                        </w:r>
                      </w:p>
                    </w:txbxContent>
                  </v:textbox>
                </v:shape>
                <v:shape id="Text Box 58" o:spid="_x0000_s1029" type="#_x0000_t202" style="position:absolute;left:384506;top:2885961;width:1046717;height:43507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" filled="f" stroked="f">
                  <v:textbox>
                    <w:txbxContent>
                      <w:p w14:paraId="622EBBE8" w14:textId="77777777" w:rsidR="00CB02CC" w:rsidRDefault="00CB02CC" w:rsidP="00B906CF">
                        <w:pPr>
                          <w:pStyle w:val="NormalWeb"/>
                          <w:spacing w:before="0" w:beforeAutospacing="0" w:after="0" w:afterAutospacing="0"/>
                        </w:pPr>
                        <w:r w:rsidRPr="008616F9">
                          <w:rPr>
                            <w:rFonts w:ascii="Times New Roman" w:hAnsi="Times New Roman"/>
                            <w:color w:val="000000" w:themeColor="text1"/>
                            <w:kern w:val="24"/>
                            <w:sz w:val="32"/>
                            <w:szCs w:val="32"/>
                            <w:lang w:val="en-US"/>
                          </w:rPr>
                          <w:t>Treated</w:t>
                        </w:r>
                      </w:p>
                    </w:txbxContent>
                  </v:textbox>
                </v:shape>
                <w10:anchorlock/>
              </v:group>
            </w:pict>
          </mc:Fallback>
        </mc:AlternateContent>
      </w:r>
    </w:p>
    <w:p w14:paraId="3C46ACDB" w14:textId="77777777" w:rsidR="004C1D27" w:rsidRDefault="00E40AC4" w:rsidP="00585472">
      <w:pPr>
        <w:pStyle w:val="Caption"/>
        <w:rPr>
          <w:noProof/>
        </w:rPr>
      </w:pPr>
      <w:bookmarkStart w:id="2059" w:name="_Toc333569090"/>
      <w:bookmarkStart w:id="2060" w:name="_Toc333569315"/>
      <w:bookmarkStart w:id="2061" w:name="_Toc333570869"/>
      <w:bookmarkStart w:id="2062" w:name="_Toc333582252"/>
      <w:bookmarkStart w:id="2063" w:name="_Toc333582372"/>
      <w:bookmarkStart w:id="2064" w:name="_Toc333582784"/>
      <w:bookmarkStart w:id="2065" w:name="_Toc333583154"/>
      <w:bookmarkStart w:id="2066" w:name="_Toc333585268"/>
      <w:bookmarkStart w:id="2067" w:name="_Toc333586820"/>
      <w:bookmarkStart w:id="2068" w:name="_Toc333644519"/>
      <w:bookmarkStart w:id="2069" w:name="_Toc333644813"/>
      <w:r>
        <w:rPr>
          <w:noProof/>
        </w:rPr>
        <w:t xml:space="preserve">Figure </w:t>
      </w:r>
      <w:r w:rsidR="009F33F9">
        <w:rPr>
          <w:noProof/>
        </w:rPr>
        <w:t>5.15</w:t>
      </w:r>
      <w:r w:rsidR="0043060F">
        <w:rPr>
          <w:noProof/>
        </w:rPr>
        <w:t>.</w:t>
      </w:r>
      <w:r>
        <w:rPr>
          <w:noProof/>
        </w:rPr>
        <w:t xml:space="preserve"> Clustering analysis of Untreated astrocytes</w:t>
      </w:r>
      <w:r w:rsidR="001D1BE4">
        <w:rPr>
          <w:noProof/>
        </w:rPr>
        <w:t xml:space="preserve"> (C1-C3)</w:t>
      </w:r>
      <w:r w:rsidR="00B80D03">
        <w:rPr>
          <w:noProof/>
        </w:rPr>
        <w:t xml:space="preserve"> compared with MAB391-</w:t>
      </w:r>
      <w:r>
        <w:rPr>
          <w:noProof/>
        </w:rPr>
        <w:t>treated astrocytes</w:t>
      </w:r>
      <w:r w:rsidR="001D1BE4">
        <w:rPr>
          <w:noProof/>
        </w:rPr>
        <w:t xml:space="preserve"> (M1-M3)</w:t>
      </w:r>
      <w:r>
        <w:rPr>
          <w:noProof/>
        </w:rPr>
        <w:t>.</w:t>
      </w:r>
      <w:bookmarkEnd w:id="2059"/>
      <w:bookmarkEnd w:id="2060"/>
      <w:bookmarkEnd w:id="2061"/>
      <w:bookmarkEnd w:id="2062"/>
      <w:bookmarkEnd w:id="2063"/>
      <w:bookmarkEnd w:id="2064"/>
      <w:bookmarkEnd w:id="2065"/>
      <w:bookmarkEnd w:id="2066"/>
      <w:bookmarkEnd w:id="2067"/>
      <w:bookmarkEnd w:id="2068"/>
      <w:bookmarkEnd w:id="2069"/>
      <w:r>
        <w:rPr>
          <w:noProof/>
        </w:rPr>
        <w:t xml:space="preserve"> </w:t>
      </w:r>
    </w:p>
    <w:p w14:paraId="43F9A6CB" w14:textId="37F6578B" w:rsidR="00573578" w:rsidRDefault="00E40AC4" w:rsidP="00585472">
      <w:pPr>
        <w:spacing w:line="360" w:lineRule="auto"/>
        <w:jc w:val="both"/>
        <w:rPr>
          <w:rFonts w:ascii="Times New Roman" w:hAnsi="Times New Roman" w:cs="Times New Roman"/>
          <w:noProof/>
        </w:rPr>
        <w:sectPr w:rsidR="00573578" w:rsidSect="0065071D">
          <w:pgSz w:w="11900" w:h="16840"/>
          <w:pgMar w:top="1440" w:right="1134" w:bottom="1440" w:left="2268" w:header="709" w:footer="709" w:gutter="0"/>
          <w:cols w:space="708"/>
          <w:docGrid w:linePitch="360"/>
        </w:sectPr>
      </w:pPr>
      <w:r>
        <w:rPr>
          <w:rFonts w:ascii="Times New Roman" w:hAnsi="Times New Roman" w:cs="Times New Roman"/>
          <w:noProof/>
        </w:rPr>
        <w:t xml:space="preserve">Hierarchical clustering heat map of control astrocytes compared with </w:t>
      </w:r>
      <w:r w:rsidR="00E50193">
        <w:rPr>
          <w:rFonts w:ascii="Times New Roman" w:hAnsi="Times New Roman" w:cs="Times New Roman"/>
          <w:noProof/>
        </w:rPr>
        <w:t>MAB391-</w:t>
      </w:r>
      <w:r>
        <w:rPr>
          <w:rFonts w:ascii="Times New Roman" w:hAnsi="Times New Roman" w:cs="Times New Roman"/>
          <w:noProof/>
        </w:rPr>
        <w:t>treated astrocytes</w:t>
      </w:r>
      <w:r w:rsidR="00E705BC">
        <w:rPr>
          <w:rFonts w:ascii="Times New Roman" w:hAnsi="Times New Roman" w:cs="Times New Roman"/>
          <w:noProof/>
        </w:rPr>
        <w:t xml:space="preserve"> to display g</w:t>
      </w:r>
      <w:r w:rsidR="00E50193">
        <w:rPr>
          <w:rFonts w:ascii="Times New Roman" w:hAnsi="Times New Roman" w:cs="Times New Roman"/>
          <w:noProof/>
        </w:rPr>
        <w:t>roups of differentiated genes between</w:t>
      </w:r>
      <w:r w:rsidR="00E705BC">
        <w:rPr>
          <w:rFonts w:ascii="Times New Roman" w:hAnsi="Times New Roman" w:cs="Times New Roman"/>
          <w:noProof/>
        </w:rPr>
        <w:t xml:space="preserve"> the two groups</w:t>
      </w:r>
      <w:r w:rsidR="009D0DF8">
        <w:rPr>
          <w:rFonts w:ascii="Times New Roman" w:hAnsi="Times New Roman" w:cs="Times New Roman"/>
          <w:noProof/>
        </w:rPr>
        <w:t>.</w:t>
      </w:r>
      <w:r w:rsidR="00E50193">
        <w:rPr>
          <w:rFonts w:ascii="Times New Roman" w:hAnsi="Times New Roman" w:cs="Times New Roman"/>
          <w:noProof/>
        </w:rPr>
        <w:t xml:space="preserve"> Red: upregulated genes and green: downregulated genes.</w:t>
      </w:r>
      <w:r w:rsidR="001D1BE4" w:rsidRPr="001D1BE4">
        <w:rPr>
          <w:rFonts w:ascii="Times New Roman" w:hAnsi="Times New Roman" w:cs="Times New Roman"/>
          <w:noProof/>
        </w:rPr>
        <w:t xml:space="preserve"> </w:t>
      </w:r>
      <w:r w:rsidR="001D1BE4">
        <w:rPr>
          <w:rFonts w:ascii="Times New Roman" w:hAnsi="Times New Roman" w:cs="Times New Roman"/>
          <w:noProof/>
        </w:rPr>
        <w:t>PCA plot of control astrocytes (blue) and MAB</w:t>
      </w:r>
      <w:r w:rsidR="00B80D03">
        <w:rPr>
          <w:rFonts w:ascii="Times New Roman" w:hAnsi="Times New Roman" w:cs="Times New Roman"/>
          <w:noProof/>
        </w:rPr>
        <w:t>391-</w:t>
      </w:r>
      <w:r w:rsidR="00E50193">
        <w:rPr>
          <w:rFonts w:ascii="Times New Roman" w:hAnsi="Times New Roman" w:cs="Times New Roman"/>
          <w:noProof/>
        </w:rPr>
        <w:t xml:space="preserve">treated astrocytes (yellow) to display the level of separation of differentially expressed genes between the two groups. </w:t>
      </w:r>
    </w:p>
    <w:p w14:paraId="517E3256" w14:textId="77777777" w:rsidR="001E6641" w:rsidRDefault="001E6641" w:rsidP="00E40AC4">
      <w:pPr>
        <w:spacing w:line="360" w:lineRule="auto"/>
        <w:rPr>
          <w:rFonts w:ascii="Times New Roman" w:hAnsi="Times New Roman" w:cs="Times New Roman"/>
          <w:noProof/>
        </w:rPr>
      </w:pPr>
    </w:p>
    <w:p w14:paraId="2B47F923" w14:textId="43FB5DE9" w:rsidR="00573578" w:rsidRDefault="002F1CA2" w:rsidP="00E40AC4">
      <w:pPr>
        <w:spacing w:line="360" w:lineRule="auto"/>
        <w:rPr>
          <w:rFonts w:ascii="Times New Roman" w:hAnsi="Times New Roman" w:cs="Times New Roman"/>
          <w:b/>
          <w:noProof/>
        </w:rPr>
      </w:pPr>
      <w:r>
        <w:rPr>
          <w:rFonts w:ascii="Times New Roman" w:hAnsi="Times New Roman" w:cs="Times New Roman"/>
          <w:b/>
          <w:noProof/>
        </w:rPr>
        <w:t xml:space="preserve">   </w:t>
      </w:r>
      <w:r w:rsidR="000B161C">
        <w:rPr>
          <w:rFonts w:ascii="Times New Roman" w:hAnsi="Times New Roman" w:cs="Times New Roman"/>
          <w:b/>
          <w:noProof/>
        </w:rPr>
        <w:t xml:space="preserve">        </w:t>
      </w:r>
      <w:r w:rsidR="009D0DF8">
        <w:rPr>
          <w:rFonts w:ascii="Times New Roman" w:hAnsi="Times New Roman" w:cs="Times New Roman"/>
          <w:b/>
          <w:noProof/>
        </w:rPr>
        <w:t xml:space="preserve">   </w:t>
      </w:r>
      <w:r w:rsidR="000B161C">
        <w:rPr>
          <w:rFonts w:ascii="Times New Roman" w:hAnsi="Times New Roman" w:cs="Times New Roman"/>
          <w:b/>
          <w:noProof/>
        </w:rPr>
        <w:t xml:space="preserve">   </w:t>
      </w:r>
      <w:r>
        <w:rPr>
          <w:rFonts w:ascii="Times New Roman" w:hAnsi="Times New Roman" w:cs="Times New Roman"/>
          <w:b/>
          <w:noProof/>
        </w:rPr>
        <w:t xml:space="preserve">      </w:t>
      </w:r>
      <w:r w:rsidR="00573578">
        <w:rPr>
          <w:rFonts w:ascii="Times New Roman" w:hAnsi="Times New Roman" w:cs="Times New Roman"/>
          <w:b/>
          <w:noProof/>
        </w:rPr>
        <w:drawing>
          <wp:inline distT="0" distB="0" distL="0" distR="0" wp14:anchorId="122B0639" wp14:editId="0E2B939C">
            <wp:extent cx="3365500" cy="2910840"/>
            <wp:effectExtent l="0" t="0" r="12700" b="1016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a for 2 vs 2.pdf"/>
                    <pic:cNvPicPr/>
                  </pic:nvPicPr>
                  <pic:blipFill rotWithShape="1">
                    <a:blip r:embed="rId101">
                      <a:extLst>
                        <a:ext uri="{28A0092B-C50C-407E-A947-70E740481C1C}">
                          <a14:useLocalDpi xmlns:a14="http://schemas.microsoft.com/office/drawing/2010/main" val="0"/>
                        </a:ext>
                      </a:extLst>
                    </a:blip>
                    <a:srcRect l="19986" t="27591" r="16992" b="33891"/>
                    <a:stretch/>
                  </pic:blipFill>
                  <pic:spPr bwMode="auto">
                    <a:xfrm>
                      <a:off x="0" y="0"/>
                      <a:ext cx="3368233" cy="2913204"/>
                    </a:xfrm>
                    <a:prstGeom prst="rect">
                      <a:avLst/>
                    </a:prstGeom>
                    <a:ln>
                      <a:noFill/>
                    </a:ln>
                    <a:extLst>
                      <a:ext uri="{53640926-AAD7-44d8-BBD7-CCE9431645EC}">
                        <a14:shadowObscured xmlns:a14="http://schemas.microsoft.com/office/drawing/2010/main"/>
                      </a:ext>
                    </a:extLst>
                  </pic:spPr>
                </pic:pic>
              </a:graphicData>
            </a:graphic>
          </wp:inline>
        </w:drawing>
      </w:r>
    </w:p>
    <w:p w14:paraId="0100982B" w14:textId="77777777" w:rsidR="004C1D27" w:rsidRDefault="00D96E85" w:rsidP="00AB1419">
      <w:pPr>
        <w:pStyle w:val="Caption"/>
        <w:rPr>
          <w:noProof/>
        </w:rPr>
      </w:pPr>
      <w:bookmarkStart w:id="2070" w:name="_Toc333569091"/>
      <w:bookmarkStart w:id="2071" w:name="_Toc333569316"/>
      <w:bookmarkStart w:id="2072" w:name="_Toc333570870"/>
      <w:bookmarkStart w:id="2073" w:name="_Toc333582253"/>
      <w:bookmarkStart w:id="2074" w:name="_Toc333582373"/>
      <w:bookmarkStart w:id="2075" w:name="_Toc333582785"/>
      <w:bookmarkStart w:id="2076" w:name="_Toc333583155"/>
      <w:bookmarkStart w:id="2077" w:name="_Toc333585269"/>
      <w:bookmarkStart w:id="2078" w:name="_Toc333586821"/>
      <w:bookmarkStart w:id="2079" w:name="_Toc333644520"/>
      <w:bookmarkStart w:id="2080" w:name="_Toc333644814"/>
      <w:r>
        <w:rPr>
          <w:noProof/>
        </w:rPr>
        <w:t xml:space="preserve">Figure </w:t>
      </w:r>
      <w:r w:rsidR="009F33F9">
        <w:rPr>
          <w:noProof/>
        </w:rPr>
        <w:t>5.16</w:t>
      </w:r>
      <w:r w:rsidR="0043060F">
        <w:rPr>
          <w:noProof/>
        </w:rPr>
        <w:t>.</w:t>
      </w:r>
      <w:r>
        <w:rPr>
          <w:noProof/>
        </w:rPr>
        <w:t xml:space="preserve"> Clustering analysis of Untreated astrocytes</w:t>
      </w:r>
      <w:r w:rsidR="001D1BE4">
        <w:rPr>
          <w:noProof/>
        </w:rPr>
        <w:t xml:space="preserve"> (C1-C2)</w:t>
      </w:r>
      <w:r>
        <w:rPr>
          <w:noProof/>
        </w:rPr>
        <w:t xml:space="preserve"> compared with MAB</w:t>
      </w:r>
      <w:r w:rsidR="00B80D03">
        <w:rPr>
          <w:noProof/>
        </w:rPr>
        <w:t>391-</w:t>
      </w:r>
      <w:r>
        <w:rPr>
          <w:noProof/>
        </w:rPr>
        <w:t>treated astrocytes</w:t>
      </w:r>
      <w:r w:rsidR="001D1BE4">
        <w:rPr>
          <w:noProof/>
        </w:rPr>
        <w:t xml:space="preserve"> (M1-M2)</w:t>
      </w:r>
      <w:r>
        <w:rPr>
          <w:noProof/>
        </w:rPr>
        <w:t>.</w:t>
      </w:r>
      <w:bookmarkEnd w:id="2070"/>
      <w:bookmarkEnd w:id="2071"/>
      <w:bookmarkEnd w:id="2072"/>
      <w:bookmarkEnd w:id="2073"/>
      <w:bookmarkEnd w:id="2074"/>
      <w:bookmarkEnd w:id="2075"/>
      <w:bookmarkEnd w:id="2076"/>
      <w:bookmarkEnd w:id="2077"/>
      <w:bookmarkEnd w:id="2078"/>
      <w:bookmarkEnd w:id="2079"/>
      <w:bookmarkEnd w:id="2080"/>
      <w:r>
        <w:rPr>
          <w:noProof/>
        </w:rPr>
        <w:t xml:space="preserve"> </w:t>
      </w:r>
    </w:p>
    <w:p w14:paraId="06552D9B" w14:textId="2939EB64" w:rsidR="00D96E85" w:rsidRDefault="00D96E85" w:rsidP="00C63BC1">
      <w:pPr>
        <w:spacing w:line="360" w:lineRule="auto"/>
        <w:jc w:val="both"/>
        <w:rPr>
          <w:rFonts w:ascii="Times New Roman" w:hAnsi="Times New Roman" w:cs="Times New Roman"/>
          <w:noProof/>
        </w:rPr>
      </w:pPr>
      <w:r>
        <w:rPr>
          <w:rFonts w:ascii="Times New Roman" w:hAnsi="Times New Roman" w:cs="Times New Roman"/>
          <w:noProof/>
        </w:rPr>
        <w:t>PCA plot of contr</w:t>
      </w:r>
      <w:r w:rsidR="00B80D03">
        <w:rPr>
          <w:rFonts w:ascii="Times New Roman" w:hAnsi="Times New Roman" w:cs="Times New Roman"/>
          <w:noProof/>
        </w:rPr>
        <w:t>ol astrocytes (blue) and MAB391-</w:t>
      </w:r>
      <w:r>
        <w:rPr>
          <w:rFonts w:ascii="Times New Roman" w:hAnsi="Times New Roman" w:cs="Times New Roman"/>
          <w:noProof/>
        </w:rPr>
        <w:t>treated astrocytes (yellow)</w:t>
      </w:r>
      <w:r w:rsidR="00585472">
        <w:rPr>
          <w:rFonts w:ascii="Times New Roman" w:hAnsi="Times New Roman" w:cs="Times New Roman"/>
          <w:noProof/>
        </w:rPr>
        <w:t xml:space="preserve"> to display the level of separation of differentially expressed genes between the two groups.</w:t>
      </w:r>
    </w:p>
    <w:p w14:paraId="0463005C" w14:textId="77777777" w:rsidR="00573578" w:rsidRDefault="00573578" w:rsidP="00401292">
      <w:pPr>
        <w:pStyle w:val="Heading4"/>
        <w:rPr>
          <w:noProof/>
        </w:rPr>
      </w:pPr>
    </w:p>
    <w:p w14:paraId="0B4BBEEE" w14:textId="1B02AA14" w:rsidR="008C43C8" w:rsidRPr="00E41BF1" w:rsidRDefault="008C43C8" w:rsidP="00303E90">
      <w:pPr>
        <w:pStyle w:val="Heading4"/>
        <w:spacing w:line="360" w:lineRule="auto"/>
        <w:rPr>
          <w:noProof/>
          <w:u w:val="single"/>
        </w:rPr>
      </w:pPr>
      <w:r w:rsidRPr="00BD0907">
        <w:rPr>
          <w:noProof/>
          <w:u w:val="single"/>
        </w:rPr>
        <w:t>ii)</w:t>
      </w:r>
      <w:r w:rsidR="00F26E57" w:rsidRPr="00BD0907">
        <w:rPr>
          <w:noProof/>
          <w:u w:val="single"/>
        </w:rPr>
        <w:t xml:space="preserve"> </w:t>
      </w:r>
      <w:r w:rsidR="006E16D6" w:rsidRPr="00BD0907">
        <w:rPr>
          <w:noProof/>
          <w:u w:val="single"/>
        </w:rPr>
        <w:t>Pathway Enrichment Analysis</w:t>
      </w:r>
    </w:p>
    <w:p w14:paraId="65117149" w14:textId="76266790" w:rsidR="00573578" w:rsidRPr="00303E90" w:rsidRDefault="00960100" w:rsidP="00303E90">
      <w:pPr>
        <w:spacing w:line="360" w:lineRule="auto"/>
        <w:rPr>
          <w:rFonts w:ascii="Times New Roman" w:hAnsi="Times New Roman" w:cs="Times New Roman"/>
          <w:b/>
          <w:noProof/>
          <w:u w:val="single"/>
        </w:rPr>
      </w:pPr>
      <w:bookmarkStart w:id="2081" w:name="_Toc333566208"/>
      <w:bookmarkStart w:id="2082" w:name="_Toc333569092"/>
      <w:r w:rsidRPr="00303E90">
        <w:rPr>
          <w:rFonts w:ascii="Times New Roman" w:hAnsi="Times New Roman" w:cs="Times New Roman"/>
          <w:b/>
          <w:noProof/>
          <w:u w:val="single"/>
        </w:rPr>
        <w:t>DAVID Functional Enrichment Analysis o</w:t>
      </w:r>
      <w:r w:rsidR="00B8782A" w:rsidRPr="00303E90">
        <w:rPr>
          <w:rFonts w:ascii="Times New Roman" w:hAnsi="Times New Roman" w:cs="Times New Roman"/>
          <w:b/>
          <w:noProof/>
          <w:u w:val="single"/>
        </w:rPr>
        <w:t>f IGF1R impaired astrocytes FACS</w:t>
      </w:r>
      <w:r w:rsidRPr="00303E90">
        <w:rPr>
          <w:rFonts w:ascii="Times New Roman" w:hAnsi="Times New Roman" w:cs="Times New Roman"/>
          <w:b/>
          <w:noProof/>
          <w:u w:val="single"/>
        </w:rPr>
        <w:t xml:space="preserve"> sorted from co-culture</w:t>
      </w:r>
      <w:bookmarkEnd w:id="2081"/>
      <w:bookmarkEnd w:id="2082"/>
    </w:p>
    <w:p w14:paraId="20469018" w14:textId="571D32B8" w:rsidR="009E6D3A" w:rsidRPr="009D0DF8" w:rsidRDefault="00960100" w:rsidP="00C63BC1">
      <w:pPr>
        <w:spacing w:line="360" w:lineRule="auto"/>
        <w:jc w:val="both"/>
        <w:rPr>
          <w:rFonts w:ascii="Times New Roman" w:hAnsi="Times New Roman" w:cs="Times New Roman"/>
          <w:noProof/>
        </w:rPr>
      </w:pPr>
      <w:r>
        <w:rPr>
          <w:rFonts w:ascii="Times New Roman" w:hAnsi="Times New Roman" w:cs="Times New Roman"/>
          <w:noProof/>
        </w:rPr>
        <w:t>The official gene symbol</w:t>
      </w:r>
      <w:r w:rsidR="008C43C8">
        <w:rPr>
          <w:rFonts w:ascii="Times New Roman" w:hAnsi="Times New Roman" w:cs="Times New Roman"/>
          <w:noProof/>
        </w:rPr>
        <w:t>s</w:t>
      </w:r>
      <w:r>
        <w:rPr>
          <w:rFonts w:ascii="Times New Roman" w:hAnsi="Times New Roman" w:cs="Times New Roman"/>
          <w:noProof/>
        </w:rPr>
        <w:t xml:space="preserve"> of each of the differentially expressed </w:t>
      </w:r>
      <w:r w:rsidR="00693656">
        <w:rPr>
          <w:rFonts w:ascii="Times New Roman" w:hAnsi="Times New Roman" w:cs="Times New Roman"/>
          <w:noProof/>
        </w:rPr>
        <w:t>transcripts from the comparison of untreated astrocytes</w:t>
      </w:r>
      <w:r w:rsidR="005B4F37">
        <w:rPr>
          <w:rFonts w:ascii="Times New Roman" w:hAnsi="Times New Roman" w:cs="Times New Roman"/>
          <w:noProof/>
        </w:rPr>
        <w:t xml:space="preserve"> (C1-C2)</w:t>
      </w:r>
      <w:r w:rsidR="00693656">
        <w:rPr>
          <w:rFonts w:ascii="Times New Roman" w:hAnsi="Times New Roman" w:cs="Times New Roman"/>
          <w:noProof/>
        </w:rPr>
        <w:t xml:space="preserve"> against IGF1R impaired astrocytes</w:t>
      </w:r>
      <w:r w:rsidR="005B4F37">
        <w:rPr>
          <w:rFonts w:ascii="Times New Roman" w:hAnsi="Times New Roman" w:cs="Times New Roman"/>
          <w:noProof/>
        </w:rPr>
        <w:t xml:space="preserve"> (M1-M2)</w:t>
      </w:r>
      <w:r w:rsidR="00693656">
        <w:rPr>
          <w:rFonts w:ascii="Times New Roman" w:hAnsi="Times New Roman" w:cs="Times New Roman"/>
          <w:noProof/>
        </w:rPr>
        <w:t xml:space="preserve"> were inserted into the functional annotation tool on DAVID Bioinformatics Resources 6.7. </w:t>
      </w:r>
      <w:r w:rsidR="008B38F2">
        <w:rPr>
          <w:rFonts w:ascii="Times New Roman" w:hAnsi="Times New Roman" w:cs="Times New Roman"/>
          <w:noProof/>
        </w:rPr>
        <w:t>Initially, all 2815 transcripts were imported into DAVID’s functional analysis tool (</w:t>
      </w:r>
      <w:r w:rsidR="005B4F37" w:rsidRPr="000273AF">
        <w:rPr>
          <w:rFonts w:ascii="Times New Roman" w:hAnsi="Times New Roman" w:cs="Times New Roman"/>
          <w:b/>
          <w:noProof/>
        </w:rPr>
        <w:t>table 5.7</w:t>
      </w:r>
      <w:r w:rsidR="008B38F2">
        <w:rPr>
          <w:rFonts w:ascii="Times New Roman" w:hAnsi="Times New Roman" w:cs="Times New Roman"/>
          <w:noProof/>
        </w:rPr>
        <w:t xml:space="preserve">). </w:t>
      </w:r>
      <w:r w:rsidR="00693656">
        <w:rPr>
          <w:rFonts w:ascii="Times New Roman" w:hAnsi="Times New Roman" w:cs="Times New Roman"/>
          <w:noProof/>
        </w:rPr>
        <w:t xml:space="preserve">Upregulated and downregulated transcripts were </w:t>
      </w:r>
      <w:r w:rsidR="008B38F2">
        <w:rPr>
          <w:rFonts w:ascii="Times New Roman" w:hAnsi="Times New Roman" w:cs="Times New Roman"/>
          <w:noProof/>
        </w:rPr>
        <w:t xml:space="preserve">also </w:t>
      </w:r>
      <w:r w:rsidR="00693656">
        <w:rPr>
          <w:rFonts w:ascii="Times New Roman" w:hAnsi="Times New Roman" w:cs="Times New Roman"/>
          <w:noProof/>
        </w:rPr>
        <w:t>uploaded separately to specifically assess the pathways</w:t>
      </w:r>
      <w:r w:rsidR="008B38F2">
        <w:rPr>
          <w:rFonts w:ascii="Times New Roman" w:hAnsi="Times New Roman" w:cs="Times New Roman"/>
          <w:noProof/>
        </w:rPr>
        <w:t xml:space="preserve"> changing in the same direction</w:t>
      </w:r>
      <w:r w:rsidR="00693656">
        <w:rPr>
          <w:rFonts w:ascii="Times New Roman" w:hAnsi="Times New Roman" w:cs="Times New Roman"/>
          <w:noProof/>
        </w:rPr>
        <w:t xml:space="preserve"> </w:t>
      </w:r>
      <w:r w:rsidR="008B38F2">
        <w:rPr>
          <w:rFonts w:ascii="Times New Roman" w:hAnsi="Times New Roman" w:cs="Times New Roman"/>
          <w:noProof/>
        </w:rPr>
        <w:t xml:space="preserve"> (</w:t>
      </w:r>
      <w:r w:rsidR="005B4F37" w:rsidRPr="000273AF">
        <w:rPr>
          <w:rFonts w:ascii="Times New Roman" w:hAnsi="Times New Roman" w:cs="Times New Roman"/>
          <w:b/>
          <w:noProof/>
        </w:rPr>
        <w:t xml:space="preserve">table 5.8 </w:t>
      </w:r>
      <w:r w:rsidR="008B38F2" w:rsidRPr="000273AF">
        <w:rPr>
          <w:rFonts w:ascii="Times New Roman" w:hAnsi="Times New Roman" w:cs="Times New Roman"/>
          <w:b/>
          <w:noProof/>
        </w:rPr>
        <w:t xml:space="preserve">and </w:t>
      </w:r>
      <w:r w:rsidR="005B4F37" w:rsidRPr="000273AF">
        <w:rPr>
          <w:rFonts w:ascii="Times New Roman" w:hAnsi="Times New Roman" w:cs="Times New Roman"/>
          <w:b/>
          <w:noProof/>
        </w:rPr>
        <w:t>table 5.9</w:t>
      </w:r>
      <w:r w:rsidR="008B38F2">
        <w:rPr>
          <w:rFonts w:ascii="Times New Roman" w:hAnsi="Times New Roman" w:cs="Times New Roman"/>
          <w:noProof/>
        </w:rPr>
        <w:t>).</w:t>
      </w:r>
      <w:r w:rsidR="00F66F63">
        <w:rPr>
          <w:rFonts w:ascii="Times New Roman" w:hAnsi="Times New Roman" w:cs="Times New Roman"/>
          <w:noProof/>
        </w:rPr>
        <w:t xml:space="preserve"> Functional clusters highlighted by DAVID include Parkinson’s Disease, drug metabolism, ubiquitin mediated proteolysis and o</w:t>
      </w:r>
      <w:r w:rsidR="003461F0">
        <w:rPr>
          <w:rFonts w:ascii="Times New Roman" w:hAnsi="Times New Roman" w:cs="Times New Roman"/>
          <w:noProof/>
        </w:rPr>
        <w:t>xidative phosphorylation. All of the genes listed in the tables were assigned to biological</w:t>
      </w:r>
      <w:r w:rsidR="00F66F63">
        <w:rPr>
          <w:rFonts w:ascii="Times New Roman" w:hAnsi="Times New Roman" w:cs="Times New Roman"/>
          <w:noProof/>
        </w:rPr>
        <w:t xml:space="preserve"> </w:t>
      </w:r>
      <w:r w:rsidR="003461F0">
        <w:rPr>
          <w:rFonts w:ascii="Times New Roman" w:hAnsi="Times New Roman" w:cs="Times New Roman"/>
          <w:noProof/>
        </w:rPr>
        <w:t>pathways emerging from the KEGG_PATHWAY pathway term</w:t>
      </w:r>
      <w:r w:rsidR="009D0DF8">
        <w:rPr>
          <w:rFonts w:ascii="Times New Roman" w:hAnsi="Times New Roman" w:cs="Times New Roman"/>
          <w:noProof/>
        </w:rPr>
        <w:t>.</w:t>
      </w:r>
    </w:p>
    <w:p w14:paraId="352DD0AB" w14:textId="609A1879" w:rsidR="009E6D3A" w:rsidRDefault="009E6D3A" w:rsidP="00E40AC4">
      <w:pPr>
        <w:spacing w:line="360" w:lineRule="auto"/>
        <w:rPr>
          <w:rFonts w:ascii="Times New Roman" w:hAnsi="Times New Roman" w:cs="Times New Roman"/>
          <w:b/>
          <w:noProof/>
        </w:rPr>
        <w:sectPr w:rsidR="009E6D3A" w:rsidSect="00573578">
          <w:pgSz w:w="11900" w:h="16840"/>
          <w:pgMar w:top="1440" w:right="1134" w:bottom="1440" w:left="2268" w:header="709" w:footer="709" w:gutter="0"/>
          <w:cols w:space="708"/>
          <w:docGrid w:linePitch="360"/>
        </w:sectPr>
      </w:pPr>
    </w:p>
    <w:tbl>
      <w:tblPr>
        <w:tblpPr w:leftFromText="180" w:rightFromText="180" w:vertAnchor="text" w:horzAnchor="page" w:tblpXSpec="center" w:tblpY="1080"/>
        <w:tblW w:w="11834" w:type="dxa"/>
        <w:tblLook w:val="04A0" w:firstRow="1" w:lastRow="0" w:firstColumn="1" w:lastColumn="0" w:noHBand="0" w:noVBand="1"/>
      </w:tblPr>
      <w:tblGrid>
        <w:gridCol w:w="4620"/>
        <w:gridCol w:w="1600"/>
        <w:gridCol w:w="3200"/>
        <w:gridCol w:w="1283"/>
        <w:gridCol w:w="1283"/>
      </w:tblGrid>
      <w:tr w:rsidR="009E6D3A" w:rsidRPr="002F1FAE" w14:paraId="0447CB47" w14:textId="77777777" w:rsidTr="008B1A29">
        <w:trPr>
          <w:trHeight w:val="280"/>
        </w:trPr>
        <w:tc>
          <w:tcPr>
            <w:tcW w:w="4620" w:type="dxa"/>
            <w:tcBorders>
              <w:top w:val="single" w:sz="4" w:space="0" w:color="auto"/>
              <w:left w:val="nil"/>
              <w:bottom w:val="single" w:sz="4" w:space="0" w:color="auto"/>
              <w:right w:val="nil"/>
            </w:tcBorders>
            <w:shd w:val="clear" w:color="auto" w:fill="auto"/>
            <w:noWrap/>
            <w:vAlign w:val="bottom"/>
            <w:hideMark/>
          </w:tcPr>
          <w:p w14:paraId="3818F7D2" w14:textId="77777777" w:rsidR="009E6D3A" w:rsidRPr="002F1FAE" w:rsidRDefault="009E6D3A" w:rsidP="00454D06">
            <w:pPr>
              <w:rPr>
                <w:rFonts w:ascii="Times New Roman" w:eastAsia="Times New Roman" w:hAnsi="Times New Roman" w:cs="Times New Roman"/>
                <w:b/>
                <w:bCs/>
                <w:color w:val="000000"/>
                <w:lang w:val="en-GB"/>
              </w:rPr>
            </w:pPr>
            <w:r w:rsidRPr="002F1FAE">
              <w:rPr>
                <w:rFonts w:ascii="Times New Roman" w:eastAsia="Times New Roman" w:hAnsi="Times New Roman" w:cs="Times New Roman"/>
                <w:b/>
                <w:bCs/>
                <w:color w:val="000000"/>
                <w:lang w:val="en-GB"/>
              </w:rPr>
              <w:t>Pathway Name</w:t>
            </w:r>
          </w:p>
        </w:tc>
        <w:tc>
          <w:tcPr>
            <w:tcW w:w="1600" w:type="dxa"/>
            <w:tcBorders>
              <w:top w:val="single" w:sz="4" w:space="0" w:color="auto"/>
              <w:left w:val="nil"/>
              <w:bottom w:val="single" w:sz="4" w:space="0" w:color="auto"/>
              <w:right w:val="nil"/>
            </w:tcBorders>
            <w:shd w:val="clear" w:color="auto" w:fill="auto"/>
            <w:noWrap/>
            <w:vAlign w:val="bottom"/>
            <w:hideMark/>
          </w:tcPr>
          <w:p w14:paraId="30E806C3" w14:textId="77777777" w:rsidR="009E6D3A" w:rsidRPr="002F1FAE" w:rsidRDefault="009E6D3A" w:rsidP="00454D06">
            <w:pPr>
              <w:rPr>
                <w:rFonts w:ascii="Times New Roman" w:eastAsia="Times New Roman" w:hAnsi="Times New Roman" w:cs="Times New Roman"/>
                <w:b/>
                <w:bCs/>
                <w:color w:val="000000"/>
                <w:lang w:val="en-GB"/>
              </w:rPr>
            </w:pPr>
            <w:r w:rsidRPr="002F1FAE">
              <w:rPr>
                <w:rFonts w:ascii="Times New Roman" w:eastAsia="Times New Roman" w:hAnsi="Times New Roman" w:cs="Times New Roman"/>
                <w:b/>
                <w:bCs/>
                <w:color w:val="000000"/>
                <w:lang w:val="en-GB"/>
              </w:rPr>
              <w:t>Pathway source</w:t>
            </w:r>
          </w:p>
        </w:tc>
        <w:tc>
          <w:tcPr>
            <w:tcW w:w="3200" w:type="dxa"/>
            <w:tcBorders>
              <w:top w:val="single" w:sz="4" w:space="0" w:color="auto"/>
              <w:left w:val="nil"/>
              <w:bottom w:val="single" w:sz="4" w:space="0" w:color="auto"/>
              <w:right w:val="nil"/>
            </w:tcBorders>
            <w:shd w:val="clear" w:color="auto" w:fill="auto"/>
            <w:noWrap/>
            <w:vAlign w:val="bottom"/>
            <w:hideMark/>
          </w:tcPr>
          <w:p w14:paraId="505827A7" w14:textId="77777777" w:rsidR="009E6D3A" w:rsidRPr="002F1FAE" w:rsidRDefault="009E6D3A" w:rsidP="00454D06">
            <w:pPr>
              <w:rPr>
                <w:rFonts w:ascii="Times New Roman" w:eastAsia="Times New Roman" w:hAnsi="Times New Roman" w:cs="Times New Roman"/>
                <w:b/>
                <w:bCs/>
                <w:color w:val="000000"/>
                <w:lang w:val="en-GB"/>
              </w:rPr>
            </w:pPr>
            <w:r w:rsidRPr="002F1FAE">
              <w:rPr>
                <w:rFonts w:ascii="Times New Roman" w:eastAsia="Times New Roman" w:hAnsi="Times New Roman" w:cs="Times New Roman"/>
                <w:b/>
                <w:bCs/>
                <w:color w:val="000000"/>
                <w:lang w:val="en-GB"/>
              </w:rPr>
              <w:t>Number of DE genes in pathway</w:t>
            </w:r>
          </w:p>
        </w:tc>
        <w:tc>
          <w:tcPr>
            <w:tcW w:w="1194" w:type="dxa"/>
            <w:tcBorders>
              <w:top w:val="single" w:sz="4" w:space="0" w:color="auto"/>
              <w:left w:val="nil"/>
              <w:bottom w:val="single" w:sz="4" w:space="0" w:color="auto"/>
              <w:right w:val="nil"/>
            </w:tcBorders>
            <w:shd w:val="clear" w:color="auto" w:fill="auto"/>
            <w:noWrap/>
            <w:vAlign w:val="bottom"/>
            <w:hideMark/>
          </w:tcPr>
          <w:p w14:paraId="60F61013" w14:textId="77777777" w:rsidR="009E6D3A" w:rsidRPr="002F1FAE" w:rsidRDefault="009E6D3A" w:rsidP="00454D06">
            <w:pPr>
              <w:rPr>
                <w:rFonts w:ascii="Times New Roman" w:eastAsia="Times New Roman" w:hAnsi="Times New Roman" w:cs="Times New Roman"/>
                <w:b/>
                <w:bCs/>
                <w:color w:val="000000"/>
                <w:lang w:val="en-GB"/>
              </w:rPr>
            </w:pPr>
            <w:r w:rsidRPr="002F1FAE">
              <w:rPr>
                <w:rFonts w:ascii="Times New Roman" w:eastAsia="Times New Roman" w:hAnsi="Times New Roman" w:cs="Times New Roman"/>
                <w:b/>
                <w:bCs/>
                <w:color w:val="000000"/>
                <w:lang w:val="en-GB"/>
              </w:rPr>
              <w:t>P value (most significant term)</w:t>
            </w:r>
          </w:p>
        </w:tc>
        <w:tc>
          <w:tcPr>
            <w:tcW w:w="1220" w:type="dxa"/>
            <w:tcBorders>
              <w:top w:val="single" w:sz="4" w:space="0" w:color="auto"/>
              <w:left w:val="nil"/>
              <w:bottom w:val="single" w:sz="4" w:space="0" w:color="auto"/>
              <w:right w:val="nil"/>
            </w:tcBorders>
            <w:shd w:val="clear" w:color="auto" w:fill="auto"/>
            <w:noWrap/>
            <w:vAlign w:val="bottom"/>
            <w:hideMark/>
          </w:tcPr>
          <w:p w14:paraId="5AD3A402" w14:textId="77777777" w:rsidR="009E6D3A" w:rsidRPr="002F1FAE" w:rsidRDefault="009E6D3A" w:rsidP="00454D06">
            <w:pPr>
              <w:rPr>
                <w:rFonts w:ascii="Times New Roman" w:eastAsia="Times New Roman" w:hAnsi="Times New Roman" w:cs="Times New Roman"/>
                <w:b/>
                <w:bCs/>
                <w:color w:val="000000"/>
                <w:lang w:val="en-GB"/>
              </w:rPr>
            </w:pPr>
            <w:r w:rsidRPr="002F1FAE">
              <w:rPr>
                <w:rFonts w:ascii="Times New Roman" w:eastAsia="Times New Roman" w:hAnsi="Times New Roman" w:cs="Times New Roman"/>
                <w:b/>
                <w:bCs/>
                <w:color w:val="000000"/>
                <w:lang w:val="en-GB"/>
              </w:rPr>
              <w:t>FDR(most significant term)</w:t>
            </w:r>
          </w:p>
        </w:tc>
      </w:tr>
      <w:tr w:rsidR="009E6D3A" w:rsidRPr="002F1FAE" w14:paraId="0ED272EE" w14:textId="77777777" w:rsidTr="008B1A29">
        <w:trPr>
          <w:trHeight w:val="280"/>
        </w:trPr>
        <w:tc>
          <w:tcPr>
            <w:tcW w:w="4620" w:type="dxa"/>
            <w:tcBorders>
              <w:top w:val="nil"/>
              <w:left w:val="nil"/>
              <w:bottom w:val="nil"/>
              <w:right w:val="nil"/>
            </w:tcBorders>
            <w:shd w:val="clear" w:color="auto" w:fill="auto"/>
            <w:noWrap/>
            <w:vAlign w:val="bottom"/>
            <w:hideMark/>
          </w:tcPr>
          <w:p w14:paraId="514E2182"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1. Parkinson's Disease</w:t>
            </w:r>
          </w:p>
        </w:tc>
        <w:tc>
          <w:tcPr>
            <w:tcW w:w="1600" w:type="dxa"/>
            <w:tcBorders>
              <w:top w:val="nil"/>
              <w:left w:val="nil"/>
              <w:bottom w:val="nil"/>
              <w:right w:val="nil"/>
            </w:tcBorders>
            <w:shd w:val="clear" w:color="auto" w:fill="auto"/>
            <w:noWrap/>
            <w:vAlign w:val="bottom"/>
            <w:hideMark/>
          </w:tcPr>
          <w:p w14:paraId="3D685357"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KEGG</w:t>
            </w:r>
          </w:p>
        </w:tc>
        <w:tc>
          <w:tcPr>
            <w:tcW w:w="3200" w:type="dxa"/>
            <w:tcBorders>
              <w:top w:val="nil"/>
              <w:left w:val="nil"/>
              <w:bottom w:val="nil"/>
              <w:right w:val="nil"/>
            </w:tcBorders>
            <w:shd w:val="clear" w:color="auto" w:fill="auto"/>
            <w:noWrap/>
            <w:vAlign w:val="bottom"/>
            <w:hideMark/>
          </w:tcPr>
          <w:p w14:paraId="665205A6"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16</w:t>
            </w:r>
          </w:p>
        </w:tc>
        <w:tc>
          <w:tcPr>
            <w:tcW w:w="1194" w:type="dxa"/>
            <w:tcBorders>
              <w:top w:val="nil"/>
              <w:left w:val="nil"/>
              <w:bottom w:val="nil"/>
              <w:right w:val="nil"/>
            </w:tcBorders>
            <w:shd w:val="clear" w:color="auto" w:fill="auto"/>
            <w:noWrap/>
            <w:vAlign w:val="bottom"/>
            <w:hideMark/>
          </w:tcPr>
          <w:p w14:paraId="73AF915C"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7.08E-03</w:t>
            </w:r>
          </w:p>
        </w:tc>
        <w:tc>
          <w:tcPr>
            <w:tcW w:w="1220" w:type="dxa"/>
            <w:tcBorders>
              <w:top w:val="nil"/>
              <w:left w:val="nil"/>
              <w:bottom w:val="nil"/>
              <w:right w:val="nil"/>
            </w:tcBorders>
            <w:shd w:val="clear" w:color="auto" w:fill="auto"/>
            <w:noWrap/>
            <w:vAlign w:val="bottom"/>
            <w:hideMark/>
          </w:tcPr>
          <w:p w14:paraId="31687161"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6.90E-01</w:t>
            </w:r>
          </w:p>
        </w:tc>
      </w:tr>
      <w:tr w:rsidR="009E6D3A" w:rsidRPr="002F1FAE" w14:paraId="08E8C012" w14:textId="77777777" w:rsidTr="008B1A29">
        <w:trPr>
          <w:trHeight w:val="280"/>
        </w:trPr>
        <w:tc>
          <w:tcPr>
            <w:tcW w:w="4620" w:type="dxa"/>
            <w:tcBorders>
              <w:top w:val="nil"/>
              <w:left w:val="nil"/>
              <w:bottom w:val="nil"/>
              <w:right w:val="nil"/>
            </w:tcBorders>
            <w:shd w:val="clear" w:color="auto" w:fill="auto"/>
            <w:noWrap/>
            <w:vAlign w:val="bottom"/>
            <w:hideMark/>
          </w:tcPr>
          <w:p w14:paraId="3A8FBC06"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2. Ascorbate and aldarate metabolism</w:t>
            </w:r>
          </w:p>
        </w:tc>
        <w:tc>
          <w:tcPr>
            <w:tcW w:w="1600" w:type="dxa"/>
            <w:tcBorders>
              <w:top w:val="nil"/>
              <w:left w:val="nil"/>
              <w:bottom w:val="nil"/>
              <w:right w:val="nil"/>
            </w:tcBorders>
            <w:shd w:val="clear" w:color="auto" w:fill="auto"/>
            <w:noWrap/>
            <w:vAlign w:val="bottom"/>
            <w:hideMark/>
          </w:tcPr>
          <w:p w14:paraId="372D086C"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KEGG</w:t>
            </w:r>
          </w:p>
        </w:tc>
        <w:tc>
          <w:tcPr>
            <w:tcW w:w="3200" w:type="dxa"/>
            <w:tcBorders>
              <w:top w:val="nil"/>
              <w:left w:val="nil"/>
              <w:bottom w:val="nil"/>
              <w:right w:val="nil"/>
            </w:tcBorders>
            <w:shd w:val="clear" w:color="auto" w:fill="auto"/>
            <w:noWrap/>
            <w:vAlign w:val="bottom"/>
            <w:hideMark/>
          </w:tcPr>
          <w:p w14:paraId="55A8F3B2"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5</w:t>
            </w:r>
          </w:p>
        </w:tc>
        <w:tc>
          <w:tcPr>
            <w:tcW w:w="1194" w:type="dxa"/>
            <w:tcBorders>
              <w:top w:val="nil"/>
              <w:left w:val="nil"/>
              <w:bottom w:val="nil"/>
              <w:right w:val="nil"/>
            </w:tcBorders>
            <w:shd w:val="clear" w:color="auto" w:fill="auto"/>
            <w:noWrap/>
            <w:vAlign w:val="bottom"/>
            <w:hideMark/>
          </w:tcPr>
          <w:p w14:paraId="4D99D30C"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1.50E-02</w:t>
            </w:r>
          </w:p>
        </w:tc>
        <w:tc>
          <w:tcPr>
            <w:tcW w:w="1220" w:type="dxa"/>
            <w:tcBorders>
              <w:top w:val="nil"/>
              <w:left w:val="nil"/>
              <w:bottom w:val="nil"/>
              <w:right w:val="nil"/>
            </w:tcBorders>
            <w:shd w:val="clear" w:color="auto" w:fill="auto"/>
            <w:noWrap/>
            <w:vAlign w:val="bottom"/>
            <w:hideMark/>
          </w:tcPr>
          <w:p w14:paraId="214255F8"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7.10E-01</w:t>
            </w:r>
          </w:p>
        </w:tc>
      </w:tr>
      <w:tr w:rsidR="009E6D3A" w:rsidRPr="002F1FAE" w14:paraId="1CDD4798" w14:textId="77777777" w:rsidTr="008B1A29">
        <w:trPr>
          <w:trHeight w:val="280"/>
        </w:trPr>
        <w:tc>
          <w:tcPr>
            <w:tcW w:w="4620" w:type="dxa"/>
            <w:tcBorders>
              <w:top w:val="nil"/>
              <w:left w:val="nil"/>
              <w:bottom w:val="nil"/>
              <w:right w:val="nil"/>
            </w:tcBorders>
            <w:shd w:val="clear" w:color="auto" w:fill="auto"/>
            <w:noWrap/>
            <w:vAlign w:val="bottom"/>
            <w:hideMark/>
          </w:tcPr>
          <w:p w14:paraId="641D361F"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3. Pentose and glucuronate interconversions</w:t>
            </w:r>
          </w:p>
        </w:tc>
        <w:tc>
          <w:tcPr>
            <w:tcW w:w="1600" w:type="dxa"/>
            <w:tcBorders>
              <w:top w:val="nil"/>
              <w:left w:val="nil"/>
              <w:bottom w:val="nil"/>
              <w:right w:val="nil"/>
            </w:tcBorders>
            <w:shd w:val="clear" w:color="auto" w:fill="auto"/>
            <w:noWrap/>
            <w:vAlign w:val="bottom"/>
            <w:hideMark/>
          </w:tcPr>
          <w:p w14:paraId="4FB23D52"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KEGG</w:t>
            </w:r>
          </w:p>
        </w:tc>
        <w:tc>
          <w:tcPr>
            <w:tcW w:w="3200" w:type="dxa"/>
            <w:tcBorders>
              <w:top w:val="nil"/>
              <w:left w:val="nil"/>
              <w:bottom w:val="nil"/>
              <w:right w:val="nil"/>
            </w:tcBorders>
            <w:shd w:val="clear" w:color="auto" w:fill="auto"/>
            <w:noWrap/>
            <w:vAlign w:val="bottom"/>
            <w:hideMark/>
          </w:tcPr>
          <w:p w14:paraId="03E74883"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5</w:t>
            </w:r>
          </w:p>
        </w:tc>
        <w:tc>
          <w:tcPr>
            <w:tcW w:w="1194" w:type="dxa"/>
            <w:tcBorders>
              <w:top w:val="nil"/>
              <w:left w:val="nil"/>
              <w:bottom w:val="nil"/>
              <w:right w:val="nil"/>
            </w:tcBorders>
            <w:shd w:val="clear" w:color="auto" w:fill="auto"/>
            <w:noWrap/>
            <w:vAlign w:val="bottom"/>
            <w:hideMark/>
          </w:tcPr>
          <w:p w14:paraId="5AD57546"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1.80E-02</w:t>
            </w:r>
          </w:p>
        </w:tc>
        <w:tc>
          <w:tcPr>
            <w:tcW w:w="1220" w:type="dxa"/>
            <w:tcBorders>
              <w:top w:val="nil"/>
              <w:left w:val="nil"/>
              <w:bottom w:val="nil"/>
              <w:right w:val="nil"/>
            </w:tcBorders>
            <w:shd w:val="clear" w:color="auto" w:fill="auto"/>
            <w:noWrap/>
            <w:vAlign w:val="bottom"/>
            <w:hideMark/>
          </w:tcPr>
          <w:p w14:paraId="4A00D44C"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6.40E-01</w:t>
            </w:r>
          </w:p>
        </w:tc>
      </w:tr>
      <w:tr w:rsidR="009E6D3A" w:rsidRPr="002F1FAE" w14:paraId="574CB958" w14:textId="77777777" w:rsidTr="008B1A29">
        <w:trPr>
          <w:trHeight w:val="280"/>
        </w:trPr>
        <w:tc>
          <w:tcPr>
            <w:tcW w:w="4620" w:type="dxa"/>
            <w:tcBorders>
              <w:top w:val="nil"/>
              <w:left w:val="nil"/>
              <w:bottom w:val="nil"/>
              <w:right w:val="nil"/>
            </w:tcBorders>
            <w:shd w:val="clear" w:color="auto" w:fill="auto"/>
            <w:noWrap/>
            <w:vAlign w:val="bottom"/>
            <w:hideMark/>
          </w:tcPr>
          <w:p w14:paraId="70105FD8"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4. Drug metabolism</w:t>
            </w:r>
          </w:p>
        </w:tc>
        <w:tc>
          <w:tcPr>
            <w:tcW w:w="1600" w:type="dxa"/>
            <w:tcBorders>
              <w:top w:val="nil"/>
              <w:left w:val="nil"/>
              <w:bottom w:val="nil"/>
              <w:right w:val="nil"/>
            </w:tcBorders>
            <w:shd w:val="clear" w:color="auto" w:fill="auto"/>
            <w:noWrap/>
            <w:vAlign w:val="bottom"/>
            <w:hideMark/>
          </w:tcPr>
          <w:p w14:paraId="3F39C234"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KEGG</w:t>
            </w:r>
          </w:p>
        </w:tc>
        <w:tc>
          <w:tcPr>
            <w:tcW w:w="3200" w:type="dxa"/>
            <w:tcBorders>
              <w:top w:val="nil"/>
              <w:left w:val="nil"/>
              <w:bottom w:val="nil"/>
              <w:right w:val="nil"/>
            </w:tcBorders>
            <w:shd w:val="clear" w:color="auto" w:fill="auto"/>
            <w:noWrap/>
            <w:vAlign w:val="bottom"/>
            <w:hideMark/>
          </w:tcPr>
          <w:p w14:paraId="25DC0B8D"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9</w:t>
            </w:r>
          </w:p>
        </w:tc>
        <w:tc>
          <w:tcPr>
            <w:tcW w:w="1194" w:type="dxa"/>
            <w:tcBorders>
              <w:top w:val="nil"/>
              <w:left w:val="nil"/>
              <w:bottom w:val="nil"/>
              <w:right w:val="nil"/>
            </w:tcBorders>
            <w:shd w:val="clear" w:color="auto" w:fill="auto"/>
            <w:noWrap/>
            <w:vAlign w:val="bottom"/>
            <w:hideMark/>
          </w:tcPr>
          <w:p w14:paraId="05B3DEB7"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2.60E-02</w:t>
            </w:r>
          </w:p>
        </w:tc>
        <w:tc>
          <w:tcPr>
            <w:tcW w:w="1220" w:type="dxa"/>
            <w:tcBorders>
              <w:top w:val="nil"/>
              <w:left w:val="nil"/>
              <w:bottom w:val="nil"/>
              <w:right w:val="nil"/>
            </w:tcBorders>
            <w:shd w:val="clear" w:color="auto" w:fill="auto"/>
            <w:noWrap/>
            <w:vAlign w:val="bottom"/>
            <w:hideMark/>
          </w:tcPr>
          <w:p w14:paraId="6073D8B0"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6.70E-01</w:t>
            </w:r>
          </w:p>
        </w:tc>
      </w:tr>
      <w:tr w:rsidR="009E6D3A" w:rsidRPr="002F1FAE" w14:paraId="0254E449" w14:textId="77777777" w:rsidTr="008B1A29">
        <w:trPr>
          <w:trHeight w:val="280"/>
        </w:trPr>
        <w:tc>
          <w:tcPr>
            <w:tcW w:w="4620" w:type="dxa"/>
            <w:tcBorders>
              <w:top w:val="nil"/>
              <w:left w:val="nil"/>
              <w:bottom w:val="nil"/>
              <w:right w:val="nil"/>
            </w:tcBorders>
            <w:shd w:val="clear" w:color="auto" w:fill="auto"/>
            <w:noWrap/>
            <w:vAlign w:val="bottom"/>
            <w:hideMark/>
          </w:tcPr>
          <w:p w14:paraId="356F43E7"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5. Huntington's Disease</w:t>
            </w:r>
          </w:p>
        </w:tc>
        <w:tc>
          <w:tcPr>
            <w:tcW w:w="1600" w:type="dxa"/>
            <w:tcBorders>
              <w:top w:val="nil"/>
              <w:left w:val="nil"/>
              <w:bottom w:val="nil"/>
              <w:right w:val="nil"/>
            </w:tcBorders>
            <w:shd w:val="clear" w:color="auto" w:fill="auto"/>
            <w:noWrap/>
            <w:vAlign w:val="bottom"/>
            <w:hideMark/>
          </w:tcPr>
          <w:p w14:paraId="088CD415"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KEGG</w:t>
            </w:r>
          </w:p>
        </w:tc>
        <w:tc>
          <w:tcPr>
            <w:tcW w:w="3200" w:type="dxa"/>
            <w:tcBorders>
              <w:top w:val="nil"/>
              <w:left w:val="nil"/>
              <w:bottom w:val="nil"/>
              <w:right w:val="nil"/>
            </w:tcBorders>
            <w:shd w:val="clear" w:color="auto" w:fill="auto"/>
            <w:noWrap/>
            <w:vAlign w:val="bottom"/>
            <w:hideMark/>
          </w:tcPr>
          <w:p w14:paraId="1DB0D0F8"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18</w:t>
            </w:r>
          </w:p>
        </w:tc>
        <w:tc>
          <w:tcPr>
            <w:tcW w:w="1194" w:type="dxa"/>
            <w:tcBorders>
              <w:top w:val="nil"/>
              <w:left w:val="nil"/>
              <w:bottom w:val="nil"/>
              <w:right w:val="nil"/>
            </w:tcBorders>
            <w:shd w:val="clear" w:color="auto" w:fill="auto"/>
            <w:noWrap/>
            <w:vAlign w:val="bottom"/>
            <w:hideMark/>
          </w:tcPr>
          <w:p w14:paraId="234D7B6F"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3.20E-02</w:t>
            </w:r>
          </w:p>
        </w:tc>
        <w:tc>
          <w:tcPr>
            <w:tcW w:w="1220" w:type="dxa"/>
            <w:tcBorders>
              <w:top w:val="nil"/>
              <w:left w:val="nil"/>
              <w:bottom w:val="nil"/>
              <w:right w:val="nil"/>
            </w:tcBorders>
            <w:shd w:val="clear" w:color="auto" w:fill="auto"/>
            <w:noWrap/>
            <w:vAlign w:val="bottom"/>
            <w:hideMark/>
          </w:tcPr>
          <w:p w14:paraId="6E8513C8"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6.60E-01</w:t>
            </w:r>
          </w:p>
        </w:tc>
      </w:tr>
      <w:tr w:rsidR="009E6D3A" w:rsidRPr="002F1FAE" w14:paraId="5C64A1E7" w14:textId="77777777" w:rsidTr="008B1A29">
        <w:trPr>
          <w:trHeight w:val="280"/>
        </w:trPr>
        <w:tc>
          <w:tcPr>
            <w:tcW w:w="4620" w:type="dxa"/>
            <w:tcBorders>
              <w:top w:val="nil"/>
              <w:left w:val="nil"/>
              <w:bottom w:val="nil"/>
              <w:right w:val="nil"/>
            </w:tcBorders>
            <w:shd w:val="clear" w:color="auto" w:fill="auto"/>
            <w:noWrap/>
            <w:vAlign w:val="bottom"/>
            <w:hideMark/>
          </w:tcPr>
          <w:p w14:paraId="0DC6651E"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6. Retinol metabolism</w:t>
            </w:r>
          </w:p>
        </w:tc>
        <w:tc>
          <w:tcPr>
            <w:tcW w:w="1600" w:type="dxa"/>
            <w:tcBorders>
              <w:top w:val="nil"/>
              <w:left w:val="nil"/>
              <w:bottom w:val="nil"/>
              <w:right w:val="nil"/>
            </w:tcBorders>
            <w:shd w:val="clear" w:color="auto" w:fill="auto"/>
            <w:noWrap/>
            <w:vAlign w:val="bottom"/>
            <w:hideMark/>
          </w:tcPr>
          <w:p w14:paraId="0F21E3E8"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KEGG</w:t>
            </w:r>
          </w:p>
        </w:tc>
        <w:tc>
          <w:tcPr>
            <w:tcW w:w="3200" w:type="dxa"/>
            <w:tcBorders>
              <w:top w:val="nil"/>
              <w:left w:val="nil"/>
              <w:bottom w:val="nil"/>
              <w:right w:val="nil"/>
            </w:tcBorders>
            <w:shd w:val="clear" w:color="auto" w:fill="auto"/>
            <w:noWrap/>
            <w:vAlign w:val="bottom"/>
            <w:hideMark/>
          </w:tcPr>
          <w:p w14:paraId="2230E1A6"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8</w:t>
            </w:r>
          </w:p>
        </w:tc>
        <w:tc>
          <w:tcPr>
            <w:tcW w:w="1194" w:type="dxa"/>
            <w:tcBorders>
              <w:top w:val="nil"/>
              <w:left w:val="nil"/>
              <w:bottom w:val="nil"/>
              <w:right w:val="nil"/>
            </w:tcBorders>
            <w:shd w:val="clear" w:color="auto" w:fill="auto"/>
            <w:noWrap/>
            <w:vAlign w:val="bottom"/>
            <w:hideMark/>
          </w:tcPr>
          <w:p w14:paraId="484D50C8"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3.60E-02</w:t>
            </w:r>
          </w:p>
        </w:tc>
        <w:tc>
          <w:tcPr>
            <w:tcW w:w="1220" w:type="dxa"/>
            <w:tcBorders>
              <w:top w:val="nil"/>
              <w:left w:val="nil"/>
              <w:bottom w:val="nil"/>
              <w:right w:val="nil"/>
            </w:tcBorders>
            <w:shd w:val="clear" w:color="auto" w:fill="auto"/>
            <w:noWrap/>
            <w:vAlign w:val="bottom"/>
            <w:hideMark/>
          </w:tcPr>
          <w:p w14:paraId="5920DA54"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6.40E-01</w:t>
            </w:r>
          </w:p>
        </w:tc>
      </w:tr>
      <w:tr w:rsidR="009E6D3A" w:rsidRPr="002F1FAE" w14:paraId="4CE825FD" w14:textId="77777777" w:rsidTr="008B1A29">
        <w:trPr>
          <w:trHeight w:val="280"/>
        </w:trPr>
        <w:tc>
          <w:tcPr>
            <w:tcW w:w="4620" w:type="dxa"/>
            <w:tcBorders>
              <w:top w:val="nil"/>
              <w:left w:val="nil"/>
              <w:bottom w:val="nil"/>
              <w:right w:val="nil"/>
            </w:tcBorders>
            <w:shd w:val="clear" w:color="auto" w:fill="auto"/>
            <w:noWrap/>
            <w:vAlign w:val="bottom"/>
            <w:hideMark/>
          </w:tcPr>
          <w:p w14:paraId="1BA40F82"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7. Ubiquitin mediated proteolysis</w:t>
            </w:r>
          </w:p>
        </w:tc>
        <w:tc>
          <w:tcPr>
            <w:tcW w:w="1600" w:type="dxa"/>
            <w:tcBorders>
              <w:top w:val="nil"/>
              <w:left w:val="nil"/>
              <w:bottom w:val="nil"/>
              <w:right w:val="nil"/>
            </w:tcBorders>
            <w:shd w:val="clear" w:color="auto" w:fill="auto"/>
            <w:noWrap/>
            <w:vAlign w:val="bottom"/>
            <w:hideMark/>
          </w:tcPr>
          <w:p w14:paraId="7FF3B9FA"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KEGG</w:t>
            </w:r>
          </w:p>
        </w:tc>
        <w:tc>
          <w:tcPr>
            <w:tcW w:w="3200" w:type="dxa"/>
            <w:tcBorders>
              <w:top w:val="nil"/>
              <w:left w:val="nil"/>
              <w:bottom w:val="nil"/>
              <w:right w:val="nil"/>
            </w:tcBorders>
            <w:shd w:val="clear" w:color="auto" w:fill="auto"/>
            <w:noWrap/>
            <w:vAlign w:val="bottom"/>
            <w:hideMark/>
          </w:tcPr>
          <w:p w14:paraId="44329E29"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14</w:t>
            </w:r>
          </w:p>
        </w:tc>
        <w:tc>
          <w:tcPr>
            <w:tcW w:w="1194" w:type="dxa"/>
            <w:tcBorders>
              <w:top w:val="nil"/>
              <w:left w:val="nil"/>
              <w:bottom w:val="nil"/>
              <w:right w:val="nil"/>
            </w:tcBorders>
            <w:shd w:val="clear" w:color="auto" w:fill="auto"/>
            <w:noWrap/>
            <w:vAlign w:val="bottom"/>
            <w:hideMark/>
          </w:tcPr>
          <w:p w14:paraId="64EA6BED"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5.40E-02</w:t>
            </w:r>
          </w:p>
        </w:tc>
        <w:tc>
          <w:tcPr>
            <w:tcW w:w="1220" w:type="dxa"/>
            <w:tcBorders>
              <w:top w:val="nil"/>
              <w:left w:val="nil"/>
              <w:bottom w:val="nil"/>
              <w:right w:val="nil"/>
            </w:tcBorders>
            <w:shd w:val="clear" w:color="auto" w:fill="auto"/>
            <w:noWrap/>
            <w:vAlign w:val="bottom"/>
            <w:hideMark/>
          </w:tcPr>
          <w:p w14:paraId="103B458F"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7.40E-01</w:t>
            </w:r>
          </w:p>
        </w:tc>
      </w:tr>
      <w:tr w:rsidR="009E6D3A" w:rsidRPr="002F1FAE" w14:paraId="7EBA3485" w14:textId="77777777" w:rsidTr="008B1A29">
        <w:trPr>
          <w:trHeight w:val="280"/>
        </w:trPr>
        <w:tc>
          <w:tcPr>
            <w:tcW w:w="4620" w:type="dxa"/>
            <w:tcBorders>
              <w:top w:val="nil"/>
              <w:left w:val="nil"/>
              <w:bottom w:val="nil"/>
              <w:right w:val="nil"/>
            </w:tcBorders>
            <w:shd w:val="clear" w:color="auto" w:fill="auto"/>
            <w:noWrap/>
            <w:vAlign w:val="bottom"/>
            <w:hideMark/>
          </w:tcPr>
          <w:p w14:paraId="010626BE"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8. Metabolism of xenobiotics by cytochrome P450</w:t>
            </w:r>
          </w:p>
        </w:tc>
        <w:tc>
          <w:tcPr>
            <w:tcW w:w="1600" w:type="dxa"/>
            <w:tcBorders>
              <w:top w:val="nil"/>
              <w:left w:val="nil"/>
              <w:bottom w:val="nil"/>
              <w:right w:val="nil"/>
            </w:tcBorders>
            <w:shd w:val="clear" w:color="auto" w:fill="auto"/>
            <w:noWrap/>
            <w:vAlign w:val="bottom"/>
            <w:hideMark/>
          </w:tcPr>
          <w:p w14:paraId="6408F39B"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KEGG</w:t>
            </w:r>
          </w:p>
        </w:tc>
        <w:tc>
          <w:tcPr>
            <w:tcW w:w="3200" w:type="dxa"/>
            <w:tcBorders>
              <w:top w:val="nil"/>
              <w:left w:val="nil"/>
              <w:bottom w:val="nil"/>
              <w:right w:val="nil"/>
            </w:tcBorders>
            <w:shd w:val="clear" w:color="auto" w:fill="auto"/>
            <w:noWrap/>
            <w:vAlign w:val="bottom"/>
            <w:hideMark/>
          </w:tcPr>
          <w:p w14:paraId="46765E12"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8</w:t>
            </w:r>
          </w:p>
        </w:tc>
        <w:tc>
          <w:tcPr>
            <w:tcW w:w="1194" w:type="dxa"/>
            <w:tcBorders>
              <w:top w:val="nil"/>
              <w:left w:val="nil"/>
              <w:bottom w:val="nil"/>
              <w:right w:val="nil"/>
            </w:tcBorders>
            <w:shd w:val="clear" w:color="auto" w:fill="auto"/>
            <w:noWrap/>
            <w:vAlign w:val="bottom"/>
            <w:hideMark/>
          </w:tcPr>
          <w:p w14:paraId="4603B8E6"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5.80E-02</w:t>
            </w:r>
          </w:p>
        </w:tc>
        <w:tc>
          <w:tcPr>
            <w:tcW w:w="1220" w:type="dxa"/>
            <w:tcBorders>
              <w:top w:val="nil"/>
              <w:left w:val="nil"/>
              <w:bottom w:val="nil"/>
              <w:right w:val="nil"/>
            </w:tcBorders>
            <w:shd w:val="clear" w:color="auto" w:fill="auto"/>
            <w:noWrap/>
            <w:vAlign w:val="bottom"/>
            <w:hideMark/>
          </w:tcPr>
          <w:p w14:paraId="17D919A9"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7.10E-01</w:t>
            </w:r>
          </w:p>
        </w:tc>
      </w:tr>
      <w:tr w:rsidR="009E6D3A" w:rsidRPr="002F1FAE" w14:paraId="25CBBB36" w14:textId="77777777" w:rsidTr="008B1A29">
        <w:trPr>
          <w:trHeight w:val="280"/>
        </w:trPr>
        <w:tc>
          <w:tcPr>
            <w:tcW w:w="4620" w:type="dxa"/>
            <w:tcBorders>
              <w:top w:val="nil"/>
              <w:left w:val="nil"/>
              <w:bottom w:val="nil"/>
              <w:right w:val="nil"/>
            </w:tcBorders>
            <w:shd w:val="clear" w:color="auto" w:fill="auto"/>
            <w:noWrap/>
            <w:vAlign w:val="bottom"/>
            <w:hideMark/>
          </w:tcPr>
          <w:p w14:paraId="487DC123"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9. Androgen and estrogen metabolism</w:t>
            </w:r>
          </w:p>
        </w:tc>
        <w:tc>
          <w:tcPr>
            <w:tcW w:w="1600" w:type="dxa"/>
            <w:tcBorders>
              <w:top w:val="nil"/>
              <w:left w:val="nil"/>
              <w:bottom w:val="nil"/>
              <w:right w:val="nil"/>
            </w:tcBorders>
            <w:shd w:val="clear" w:color="auto" w:fill="auto"/>
            <w:noWrap/>
            <w:vAlign w:val="bottom"/>
            <w:hideMark/>
          </w:tcPr>
          <w:p w14:paraId="1B672812"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KEGG</w:t>
            </w:r>
          </w:p>
        </w:tc>
        <w:tc>
          <w:tcPr>
            <w:tcW w:w="3200" w:type="dxa"/>
            <w:tcBorders>
              <w:top w:val="nil"/>
              <w:left w:val="nil"/>
              <w:bottom w:val="nil"/>
              <w:right w:val="nil"/>
            </w:tcBorders>
            <w:shd w:val="clear" w:color="auto" w:fill="auto"/>
            <w:noWrap/>
            <w:vAlign w:val="bottom"/>
            <w:hideMark/>
          </w:tcPr>
          <w:p w14:paraId="5F78F189"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6</w:t>
            </w:r>
          </w:p>
        </w:tc>
        <w:tc>
          <w:tcPr>
            <w:tcW w:w="1194" w:type="dxa"/>
            <w:tcBorders>
              <w:top w:val="nil"/>
              <w:left w:val="nil"/>
              <w:bottom w:val="nil"/>
              <w:right w:val="nil"/>
            </w:tcBorders>
            <w:shd w:val="clear" w:color="auto" w:fill="auto"/>
            <w:noWrap/>
            <w:vAlign w:val="bottom"/>
            <w:hideMark/>
          </w:tcPr>
          <w:p w14:paraId="3DD6FB0C"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6.10E-02</w:t>
            </w:r>
          </w:p>
        </w:tc>
        <w:tc>
          <w:tcPr>
            <w:tcW w:w="1220" w:type="dxa"/>
            <w:tcBorders>
              <w:top w:val="nil"/>
              <w:left w:val="nil"/>
              <w:bottom w:val="nil"/>
              <w:right w:val="nil"/>
            </w:tcBorders>
            <w:shd w:val="clear" w:color="auto" w:fill="auto"/>
            <w:noWrap/>
            <w:vAlign w:val="bottom"/>
            <w:hideMark/>
          </w:tcPr>
          <w:p w14:paraId="7B69D2DF"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6.90E-01</w:t>
            </w:r>
          </w:p>
        </w:tc>
      </w:tr>
      <w:tr w:rsidR="009E6D3A" w:rsidRPr="002F1FAE" w14:paraId="1869B9F5" w14:textId="77777777" w:rsidTr="008B1A29">
        <w:trPr>
          <w:trHeight w:val="280"/>
        </w:trPr>
        <w:tc>
          <w:tcPr>
            <w:tcW w:w="4620" w:type="dxa"/>
            <w:tcBorders>
              <w:top w:val="nil"/>
              <w:left w:val="nil"/>
              <w:bottom w:val="nil"/>
              <w:right w:val="nil"/>
            </w:tcBorders>
            <w:shd w:val="clear" w:color="auto" w:fill="auto"/>
            <w:noWrap/>
            <w:vAlign w:val="bottom"/>
            <w:hideMark/>
          </w:tcPr>
          <w:p w14:paraId="13D9C662"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10. Oxidative phosphorylation</w:t>
            </w:r>
          </w:p>
        </w:tc>
        <w:tc>
          <w:tcPr>
            <w:tcW w:w="1600" w:type="dxa"/>
            <w:tcBorders>
              <w:top w:val="nil"/>
              <w:left w:val="nil"/>
              <w:bottom w:val="nil"/>
              <w:right w:val="nil"/>
            </w:tcBorders>
            <w:shd w:val="clear" w:color="auto" w:fill="auto"/>
            <w:noWrap/>
            <w:vAlign w:val="bottom"/>
            <w:hideMark/>
          </w:tcPr>
          <w:p w14:paraId="249C672F"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KEGG</w:t>
            </w:r>
          </w:p>
        </w:tc>
        <w:tc>
          <w:tcPr>
            <w:tcW w:w="3200" w:type="dxa"/>
            <w:tcBorders>
              <w:top w:val="nil"/>
              <w:left w:val="nil"/>
              <w:bottom w:val="nil"/>
              <w:right w:val="nil"/>
            </w:tcBorders>
            <w:shd w:val="clear" w:color="auto" w:fill="auto"/>
            <w:noWrap/>
            <w:vAlign w:val="bottom"/>
            <w:hideMark/>
          </w:tcPr>
          <w:p w14:paraId="1F2F37CA"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13</w:t>
            </w:r>
          </w:p>
        </w:tc>
        <w:tc>
          <w:tcPr>
            <w:tcW w:w="1194" w:type="dxa"/>
            <w:tcBorders>
              <w:top w:val="nil"/>
              <w:left w:val="nil"/>
              <w:bottom w:val="nil"/>
              <w:right w:val="nil"/>
            </w:tcBorders>
            <w:shd w:val="clear" w:color="auto" w:fill="auto"/>
            <w:noWrap/>
            <w:vAlign w:val="bottom"/>
            <w:hideMark/>
          </w:tcPr>
          <w:p w14:paraId="717BFF52"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7.40E-02</w:t>
            </w:r>
          </w:p>
        </w:tc>
        <w:tc>
          <w:tcPr>
            <w:tcW w:w="1220" w:type="dxa"/>
            <w:tcBorders>
              <w:top w:val="nil"/>
              <w:left w:val="nil"/>
              <w:bottom w:val="nil"/>
              <w:right w:val="nil"/>
            </w:tcBorders>
            <w:shd w:val="clear" w:color="auto" w:fill="auto"/>
            <w:noWrap/>
            <w:vAlign w:val="bottom"/>
            <w:hideMark/>
          </w:tcPr>
          <w:p w14:paraId="3CFEDCCF" w14:textId="77777777" w:rsidR="009E6D3A" w:rsidRPr="002F1FAE" w:rsidRDefault="009E6D3A" w:rsidP="00454D06">
            <w:pPr>
              <w:rPr>
                <w:rFonts w:ascii="Times New Roman" w:eastAsia="Times New Roman" w:hAnsi="Times New Roman" w:cs="Times New Roman"/>
                <w:color w:val="000000"/>
                <w:lang w:val="en-GB"/>
              </w:rPr>
            </w:pPr>
            <w:r w:rsidRPr="002F1FAE">
              <w:rPr>
                <w:rFonts w:ascii="Times New Roman" w:eastAsia="Times New Roman" w:hAnsi="Times New Roman" w:cs="Times New Roman"/>
                <w:color w:val="000000"/>
                <w:lang w:val="en-GB"/>
              </w:rPr>
              <w:t>7.30E-01</w:t>
            </w:r>
          </w:p>
        </w:tc>
      </w:tr>
    </w:tbl>
    <w:p w14:paraId="506B6D52" w14:textId="4E5A221F" w:rsidR="003776BA" w:rsidRPr="003776BA" w:rsidRDefault="009E6D3A" w:rsidP="002A4986">
      <w:pPr>
        <w:pStyle w:val="Heading5"/>
        <w:jc w:val="left"/>
        <w:rPr>
          <w:noProof/>
        </w:rPr>
        <w:sectPr w:rsidR="003776BA" w:rsidRPr="003776BA" w:rsidSect="009E6D3A">
          <w:pgSz w:w="16840" w:h="11900" w:orient="landscape"/>
          <w:pgMar w:top="2268" w:right="1440" w:bottom="1134" w:left="1440" w:header="709" w:footer="709" w:gutter="0"/>
          <w:cols w:space="708"/>
          <w:docGrid w:linePitch="360"/>
        </w:sectPr>
      </w:pPr>
      <w:bookmarkStart w:id="2083" w:name="_Toc333569356"/>
      <w:bookmarkStart w:id="2084" w:name="_Toc333570894"/>
      <w:bookmarkStart w:id="2085" w:name="_Toc333585975"/>
      <w:bookmarkStart w:id="2086" w:name="_Toc333586851"/>
      <w:bookmarkStart w:id="2087" w:name="_Toc333644550"/>
      <w:bookmarkStart w:id="2088" w:name="_Toc333644844"/>
      <w:r>
        <w:rPr>
          <w:noProof/>
        </w:rPr>
        <w:t xml:space="preserve">Table </w:t>
      </w:r>
      <w:r w:rsidR="00F26E57">
        <w:rPr>
          <w:noProof/>
        </w:rPr>
        <w:t>5.7</w:t>
      </w:r>
      <w:r w:rsidR="0043060F">
        <w:rPr>
          <w:noProof/>
        </w:rPr>
        <w:t>.</w:t>
      </w:r>
      <w:r>
        <w:rPr>
          <w:noProof/>
        </w:rPr>
        <w:t xml:space="preserve"> DAVID Functional Annotation Clustering Analysis of</w:t>
      </w:r>
      <w:r w:rsidR="00F66F63">
        <w:rPr>
          <w:noProof/>
        </w:rPr>
        <w:t xml:space="preserve"> all</w:t>
      </w:r>
      <w:r>
        <w:rPr>
          <w:noProof/>
        </w:rPr>
        <w:t xml:space="preserve"> </w:t>
      </w:r>
      <w:r w:rsidR="00067290">
        <w:rPr>
          <w:noProof/>
        </w:rPr>
        <w:t xml:space="preserve">2815 </w:t>
      </w:r>
      <w:r w:rsidR="00B80D03">
        <w:rPr>
          <w:noProof/>
        </w:rPr>
        <w:t>transcripts in MAB391-</w:t>
      </w:r>
      <w:r>
        <w:rPr>
          <w:noProof/>
        </w:rPr>
        <w:t>treated astrocytes compared with control treated a</w:t>
      </w:r>
      <w:r w:rsidR="006C487D">
        <w:rPr>
          <w:noProof/>
        </w:rPr>
        <w:t>strocytes with FC≥1.2 and P&lt;0.05</w:t>
      </w:r>
      <w:bookmarkEnd w:id="2083"/>
      <w:r w:rsidR="003776BA">
        <w:rPr>
          <w:noProof/>
        </w:rPr>
        <w:t>.</w:t>
      </w:r>
      <w:bookmarkEnd w:id="2084"/>
      <w:bookmarkEnd w:id="2085"/>
      <w:bookmarkEnd w:id="2086"/>
      <w:bookmarkEnd w:id="2087"/>
      <w:bookmarkEnd w:id="2088"/>
      <w:r w:rsidR="002A4986">
        <w:rPr>
          <w:noProof/>
        </w:rPr>
        <w:t xml:space="preserve"> DE- differentially expressed.</w:t>
      </w:r>
    </w:p>
    <w:p w14:paraId="6574190B" w14:textId="77777777" w:rsidR="009E6D3A" w:rsidRDefault="009E6D3A" w:rsidP="00E40AC4">
      <w:pPr>
        <w:spacing w:line="360" w:lineRule="auto"/>
        <w:rPr>
          <w:rFonts w:ascii="Times New Roman" w:hAnsi="Times New Roman" w:cs="Times New Roman"/>
          <w:b/>
          <w:noProof/>
        </w:rPr>
      </w:pPr>
    </w:p>
    <w:p w14:paraId="2BF965C7" w14:textId="37ACD20B" w:rsidR="000F2FB3" w:rsidRDefault="000F2FB3" w:rsidP="004D474F">
      <w:pPr>
        <w:pStyle w:val="Heading5"/>
        <w:rPr>
          <w:noProof/>
        </w:rPr>
      </w:pPr>
      <w:bookmarkStart w:id="2089" w:name="_Toc333569357"/>
      <w:bookmarkStart w:id="2090" w:name="_Toc333570895"/>
      <w:bookmarkStart w:id="2091" w:name="_Toc333585976"/>
      <w:bookmarkStart w:id="2092" w:name="_Toc333586852"/>
      <w:bookmarkStart w:id="2093" w:name="_Toc333644551"/>
      <w:bookmarkStart w:id="2094" w:name="_Toc333644845"/>
      <w:r>
        <w:rPr>
          <w:noProof/>
        </w:rPr>
        <w:t xml:space="preserve">Table </w:t>
      </w:r>
      <w:r w:rsidR="00F26E57">
        <w:rPr>
          <w:noProof/>
        </w:rPr>
        <w:t>5.8</w:t>
      </w:r>
      <w:r w:rsidR="0043060F">
        <w:rPr>
          <w:noProof/>
        </w:rPr>
        <w:t>.</w:t>
      </w:r>
      <w:r>
        <w:rPr>
          <w:noProof/>
        </w:rPr>
        <w:t xml:space="preserve"> DAVID Functional Annotation Clustering Analysis of 1</w:t>
      </w:r>
      <w:r w:rsidR="009465E5">
        <w:rPr>
          <w:noProof/>
        </w:rPr>
        <w:t>520</w:t>
      </w:r>
      <w:r>
        <w:rPr>
          <w:noProof/>
        </w:rPr>
        <w:t xml:space="preserve"> </w:t>
      </w:r>
      <w:r w:rsidR="00B47B1B">
        <w:rPr>
          <w:noProof/>
          <w:color w:val="FF0000"/>
        </w:rPr>
        <w:t>downregulated</w:t>
      </w:r>
      <w:r w:rsidR="00B80D03">
        <w:rPr>
          <w:noProof/>
        </w:rPr>
        <w:t xml:space="preserve"> transcripts in MAB391-</w:t>
      </w:r>
      <w:r>
        <w:rPr>
          <w:noProof/>
        </w:rPr>
        <w:t xml:space="preserve">treated astrocytes compared with control treated astrocytes with FC≥1.2 and </w:t>
      </w:r>
      <w:r w:rsidR="006C487D">
        <w:rPr>
          <w:noProof/>
        </w:rPr>
        <w:t>P&lt;0.05</w:t>
      </w:r>
      <w:r>
        <w:rPr>
          <w:noProof/>
        </w:rPr>
        <w:t>.</w:t>
      </w:r>
      <w:bookmarkEnd w:id="2089"/>
      <w:bookmarkEnd w:id="2090"/>
      <w:bookmarkEnd w:id="2091"/>
      <w:bookmarkEnd w:id="2092"/>
      <w:bookmarkEnd w:id="2093"/>
      <w:bookmarkEnd w:id="2094"/>
      <w:r w:rsidR="002A4986">
        <w:rPr>
          <w:noProof/>
        </w:rPr>
        <w:t xml:space="preserve"> DE- differentially expressed.</w:t>
      </w:r>
    </w:p>
    <w:p w14:paraId="744789CC" w14:textId="77777777" w:rsidR="003776BA" w:rsidRPr="003776BA" w:rsidRDefault="003776BA" w:rsidP="003776BA"/>
    <w:tbl>
      <w:tblPr>
        <w:tblW w:w="13213" w:type="dxa"/>
        <w:tblInd w:w="93" w:type="dxa"/>
        <w:tblLook w:val="04A0" w:firstRow="1" w:lastRow="0" w:firstColumn="1" w:lastColumn="0" w:noHBand="0" w:noVBand="1"/>
      </w:tblPr>
      <w:tblGrid>
        <w:gridCol w:w="6069"/>
        <w:gridCol w:w="1763"/>
        <w:gridCol w:w="1763"/>
        <w:gridCol w:w="1809"/>
        <w:gridCol w:w="1809"/>
      </w:tblGrid>
      <w:tr w:rsidR="00B47B1B" w:rsidRPr="00B47B1B" w14:paraId="1995A912" w14:textId="77777777" w:rsidTr="00B47B1B">
        <w:trPr>
          <w:trHeight w:val="254"/>
        </w:trPr>
        <w:tc>
          <w:tcPr>
            <w:tcW w:w="6069" w:type="dxa"/>
            <w:tcBorders>
              <w:top w:val="single" w:sz="4" w:space="0" w:color="auto"/>
              <w:left w:val="nil"/>
              <w:bottom w:val="single" w:sz="4" w:space="0" w:color="auto"/>
              <w:right w:val="nil"/>
            </w:tcBorders>
            <w:shd w:val="clear" w:color="auto" w:fill="auto"/>
            <w:noWrap/>
            <w:vAlign w:val="bottom"/>
            <w:hideMark/>
          </w:tcPr>
          <w:p w14:paraId="06EF7325" w14:textId="77777777" w:rsidR="00B47B1B" w:rsidRPr="00B47B1B" w:rsidRDefault="00B47B1B" w:rsidP="00454D06">
            <w:pPr>
              <w:rPr>
                <w:rFonts w:ascii="Times New Roman" w:eastAsia="Times New Roman" w:hAnsi="Times New Roman" w:cs="Times New Roman"/>
                <w:b/>
                <w:bCs/>
                <w:color w:val="000000"/>
                <w:sz w:val="22"/>
                <w:szCs w:val="22"/>
                <w:lang w:val="en-GB"/>
              </w:rPr>
            </w:pPr>
            <w:r w:rsidRPr="00B47B1B">
              <w:rPr>
                <w:rFonts w:ascii="Times New Roman" w:eastAsia="Times New Roman" w:hAnsi="Times New Roman" w:cs="Times New Roman"/>
                <w:b/>
                <w:bCs/>
                <w:color w:val="000000"/>
                <w:sz w:val="22"/>
                <w:szCs w:val="22"/>
                <w:lang w:val="en-GB"/>
              </w:rPr>
              <w:t>Pathway Name</w:t>
            </w:r>
          </w:p>
        </w:tc>
        <w:tc>
          <w:tcPr>
            <w:tcW w:w="1763" w:type="dxa"/>
            <w:tcBorders>
              <w:top w:val="single" w:sz="4" w:space="0" w:color="auto"/>
              <w:left w:val="nil"/>
              <w:bottom w:val="single" w:sz="4" w:space="0" w:color="auto"/>
              <w:right w:val="nil"/>
            </w:tcBorders>
            <w:shd w:val="clear" w:color="auto" w:fill="auto"/>
            <w:noWrap/>
            <w:vAlign w:val="bottom"/>
            <w:hideMark/>
          </w:tcPr>
          <w:p w14:paraId="2B211235" w14:textId="77777777" w:rsidR="00B47B1B" w:rsidRPr="00B47B1B" w:rsidRDefault="00B47B1B" w:rsidP="00454D06">
            <w:pPr>
              <w:rPr>
                <w:rFonts w:ascii="Times New Roman" w:eastAsia="Times New Roman" w:hAnsi="Times New Roman" w:cs="Times New Roman"/>
                <w:b/>
                <w:bCs/>
                <w:color w:val="000000"/>
                <w:sz w:val="22"/>
                <w:szCs w:val="22"/>
                <w:lang w:val="en-GB"/>
              </w:rPr>
            </w:pPr>
            <w:r w:rsidRPr="00B47B1B">
              <w:rPr>
                <w:rFonts w:ascii="Times New Roman" w:eastAsia="Times New Roman" w:hAnsi="Times New Roman" w:cs="Times New Roman"/>
                <w:b/>
                <w:bCs/>
                <w:color w:val="000000"/>
                <w:sz w:val="22"/>
                <w:szCs w:val="22"/>
                <w:lang w:val="en-GB"/>
              </w:rPr>
              <w:t>Pathway source</w:t>
            </w:r>
          </w:p>
        </w:tc>
        <w:tc>
          <w:tcPr>
            <w:tcW w:w="1763" w:type="dxa"/>
            <w:tcBorders>
              <w:top w:val="single" w:sz="4" w:space="0" w:color="auto"/>
              <w:left w:val="nil"/>
              <w:bottom w:val="single" w:sz="4" w:space="0" w:color="auto"/>
              <w:right w:val="nil"/>
            </w:tcBorders>
            <w:shd w:val="clear" w:color="auto" w:fill="auto"/>
            <w:noWrap/>
            <w:vAlign w:val="bottom"/>
            <w:hideMark/>
          </w:tcPr>
          <w:p w14:paraId="2EC444D6" w14:textId="77777777" w:rsidR="00B47B1B" w:rsidRPr="00B47B1B" w:rsidRDefault="00B47B1B" w:rsidP="00454D06">
            <w:pPr>
              <w:rPr>
                <w:rFonts w:ascii="Times New Roman" w:eastAsia="Times New Roman" w:hAnsi="Times New Roman" w:cs="Times New Roman"/>
                <w:b/>
                <w:bCs/>
                <w:color w:val="000000"/>
                <w:sz w:val="22"/>
                <w:szCs w:val="22"/>
                <w:lang w:val="en-GB"/>
              </w:rPr>
            </w:pPr>
            <w:r w:rsidRPr="00B47B1B">
              <w:rPr>
                <w:rFonts w:ascii="Times New Roman" w:eastAsia="Times New Roman" w:hAnsi="Times New Roman" w:cs="Times New Roman"/>
                <w:b/>
                <w:bCs/>
                <w:color w:val="000000"/>
                <w:sz w:val="22"/>
                <w:szCs w:val="22"/>
                <w:lang w:val="en-GB"/>
              </w:rPr>
              <w:t>Number of DE genes in pathway</w:t>
            </w:r>
          </w:p>
        </w:tc>
        <w:tc>
          <w:tcPr>
            <w:tcW w:w="1809" w:type="dxa"/>
            <w:tcBorders>
              <w:top w:val="single" w:sz="4" w:space="0" w:color="auto"/>
              <w:left w:val="nil"/>
              <w:bottom w:val="single" w:sz="4" w:space="0" w:color="auto"/>
              <w:right w:val="nil"/>
            </w:tcBorders>
            <w:shd w:val="clear" w:color="auto" w:fill="auto"/>
            <w:noWrap/>
            <w:vAlign w:val="bottom"/>
            <w:hideMark/>
          </w:tcPr>
          <w:p w14:paraId="3A918774" w14:textId="77777777" w:rsidR="00B47B1B" w:rsidRPr="00B47B1B" w:rsidRDefault="00B47B1B" w:rsidP="00454D06">
            <w:pPr>
              <w:rPr>
                <w:rFonts w:ascii="Times New Roman" w:eastAsia="Times New Roman" w:hAnsi="Times New Roman" w:cs="Times New Roman"/>
                <w:b/>
                <w:bCs/>
                <w:color w:val="000000"/>
                <w:sz w:val="22"/>
                <w:szCs w:val="22"/>
                <w:lang w:val="en-GB"/>
              </w:rPr>
            </w:pPr>
            <w:r w:rsidRPr="00B47B1B">
              <w:rPr>
                <w:rFonts w:ascii="Times New Roman" w:eastAsia="Times New Roman" w:hAnsi="Times New Roman" w:cs="Times New Roman"/>
                <w:b/>
                <w:bCs/>
                <w:color w:val="000000"/>
                <w:sz w:val="22"/>
                <w:szCs w:val="22"/>
                <w:lang w:val="en-GB"/>
              </w:rPr>
              <w:t>P value (most significant term)</w:t>
            </w:r>
          </w:p>
        </w:tc>
        <w:tc>
          <w:tcPr>
            <w:tcW w:w="1809" w:type="dxa"/>
            <w:tcBorders>
              <w:top w:val="single" w:sz="4" w:space="0" w:color="auto"/>
              <w:left w:val="nil"/>
              <w:bottom w:val="single" w:sz="4" w:space="0" w:color="auto"/>
              <w:right w:val="nil"/>
            </w:tcBorders>
            <w:shd w:val="clear" w:color="auto" w:fill="auto"/>
            <w:noWrap/>
            <w:vAlign w:val="bottom"/>
            <w:hideMark/>
          </w:tcPr>
          <w:p w14:paraId="7C065271" w14:textId="77777777" w:rsidR="00B47B1B" w:rsidRPr="00B47B1B" w:rsidRDefault="00B47B1B" w:rsidP="00454D06">
            <w:pPr>
              <w:rPr>
                <w:rFonts w:ascii="Times New Roman" w:eastAsia="Times New Roman" w:hAnsi="Times New Roman" w:cs="Times New Roman"/>
                <w:b/>
                <w:bCs/>
                <w:color w:val="000000"/>
                <w:sz w:val="22"/>
                <w:szCs w:val="22"/>
                <w:lang w:val="en-GB"/>
              </w:rPr>
            </w:pPr>
            <w:r w:rsidRPr="00B47B1B">
              <w:rPr>
                <w:rFonts w:ascii="Times New Roman" w:eastAsia="Times New Roman" w:hAnsi="Times New Roman" w:cs="Times New Roman"/>
                <w:b/>
                <w:bCs/>
                <w:color w:val="000000"/>
                <w:sz w:val="22"/>
                <w:szCs w:val="22"/>
                <w:lang w:val="en-GB"/>
              </w:rPr>
              <w:t>FDR(most significant term)</w:t>
            </w:r>
          </w:p>
        </w:tc>
      </w:tr>
      <w:tr w:rsidR="00B47B1B" w:rsidRPr="00B47B1B" w14:paraId="4BA01123" w14:textId="77777777" w:rsidTr="00B47B1B">
        <w:trPr>
          <w:trHeight w:val="254"/>
        </w:trPr>
        <w:tc>
          <w:tcPr>
            <w:tcW w:w="6069" w:type="dxa"/>
            <w:tcBorders>
              <w:top w:val="nil"/>
              <w:left w:val="nil"/>
              <w:bottom w:val="nil"/>
              <w:right w:val="nil"/>
            </w:tcBorders>
            <w:shd w:val="clear" w:color="auto" w:fill="auto"/>
            <w:noWrap/>
            <w:vAlign w:val="bottom"/>
            <w:hideMark/>
          </w:tcPr>
          <w:p w14:paraId="1D83E04C"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 xml:space="preserve">1. </w:t>
            </w:r>
            <w:r w:rsidRPr="00407CC6">
              <w:rPr>
                <w:rFonts w:ascii="Times New Roman" w:eastAsia="Times New Roman" w:hAnsi="Times New Roman" w:cs="Times New Roman"/>
                <w:color w:val="000000"/>
                <w:sz w:val="22"/>
                <w:szCs w:val="22"/>
                <w:highlight w:val="yellow"/>
                <w:lang w:val="en-GB"/>
              </w:rPr>
              <w:t>Parkinson's disease</w:t>
            </w:r>
          </w:p>
        </w:tc>
        <w:tc>
          <w:tcPr>
            <w:tcW w:w="1763" w:type="dxa"/>
            <w:tcBorders>
              <w:top w:val="nil"/>
              <w:left w:val="nil"/>
              <w:bottom w:val="nil"/>
              <w:right w:val="nil"/>
            </w:tcBorders>
            <w:shd w:val="clear" w:color="auto" w:fill="auto"/>
            <w:noWrap/>
            <w:vAlign w:val="bottom"/>
            <w:hideMark/>
          </w:tcPr>
          <w:p w14:paraId="67408565"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KEGG</w:t>
            </w:r>
          </w:p>
        </w:tc>
        <w:tc>
          <w:tcPr>
            <w:tcW w:w="1763" w:type="dxa"/>
            <w:tcBorders>
              <w:top w:val="nil"/>
              <w:left w:val="nil"/>
              <w:bottom w:val="nil"/>
              <w:right w:val="nil"/>
            </w:tcBorders>
            <w:shd w:val="clear" w:color="auto" w:fill="auto"/>
            <w:noWrap/>
            <w:vAlign w:val="bottom"/>
            <w:hideMark/>
          </w:tcPr>
          <w:p w14:paraId="314A5FF7"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11</w:t>
            </w:r>
          </w:p>
        </w:tc>
        <w:tc>
          <w:tcPr>
            <w:tcW w:w="1809" w:type="dxa"/>
            <w:tcBorders>
              <w:top w:val="nil"/>
              <w:left w:val="nil"/>
              <w:bottom w:val="nil"/>
              <w:right w:val="nil"/>
            </w:tcBorders>
            <w:shd w:val="clear" w:color="auto" w:fill="auto"/>
            <w:noWrap/>
            <w:vAlign w:val="bottom"/>
            <w:hideMark/>
          </w:tcPr>
          <w:p w14:paraId="0D504C44"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1.20E-03</w:t>
            </w:r>
          </w:p>
        </w:tc>
        <w:tc>
          <w:tcPr>
            <w:tcW w:w="1809" w:type="dxa"/>
            <w:tcBorders>
              <w:top w:val="nil"/>
              <w:left w:val="nil"/>
              <w:bottom w:val="nil"/>
              <w:right w:val="nil"/>
            </w:tcBorders>
            <w:shd w:val="clear" w:color="auto" w:fill="auto"/>
            <w:noWrap/>
            <w:vAlign w:val="bottom"/>
            <w:hideMark/>
          </w:tcPr>
          <w:p w14:paraId="5C8A95C2"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1.40E-01</w:t>
            </w:r>
          </w:p>
        </w:tc>
      </w:tr>
      <w:tr w:rsidR="00B47B1B" w:rsidRPr="00B47B1B" w14:paraId="157D6D0A" w14:textId="77777777" w:rsidTr="00B47B1B">
        <w:trPr>
          <w:trHeight w:val="254"/>
        </w:trPr>
        <w:tc>
          <w:tcPr>
            <w:tcW w:w="6069" w:type="dxa"/>
            <w:tcBorders>
              <w:top w:val="nil"/>
              <w:left w:val="nil"/>
              <w:bottom w:val="nil"/>
              <w:right w:val="nil"/>
            </w:tcBorders>
            <w:shd w:val="clear" w:color="auto" w:fill="auto"/>
            <w:noWrap/>
            <w:vAlign w:val="bottom"/>
            <w:hideMark/>
          </w:tcPr>
          <w:p w14:paraId="56BE4780"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 xml:space="preserve">2. </w:t>
            </w:r>
            <w:r w:rsidRPr="00407CC6">
              <w:rPr>
                <w:rFonts w:ascii="Times New Roman" w:eastAsia="Times New Roman" w:hAnsi="Times New Roman" w:cs="Times New Roman"/>
                <w:color w:val="000000"/>
                <w:sz w:val="22"/>
                <w:szCs w:val="22"/>
                <w:highlight w:val="yellow"/>
                <w:lang w:val="en-GB"/>
              </w:rPr>
              <w:t>Ubiquitin mediated proteolysis</w:t>
            </w:r>
          </w:p>
        </w:tc>
        <w:tc>
          <w:tcPr>
            <w:tcW w:w="1763" w:type="dxa"/>
            <w:tcBorders>
              <w:top w:val="nil"/>
              <w:left w:val="nil"/>
              <w:bottom w:val="nil"/>
              <w:right w:val="nil"/>
            </w:tcBorders>
            <w:shd w:val="clear" w:color="auto" w:fill="auto"/>
            <w:noWrap/>
            <w:vAlign w:val="bottom"/>
            <w:hideMark/>
          </w:tcPr>
          <w:p w14:paraId="5CC9E6E5"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KEGG</w:t>
            </w:r>
          </w:p>
        </w:tc>
        <w:tc>
          <w:tcPr>
            <w:tcW w:w="1763" w:type="dxa"/>
            <w:tcBorders>
              <w:top w:val="nil"/>
              <w:left w:val="nil"/>
              <w:bottom w:val="nil"/>
              <w:right w:val="nil"/>
            </w:tcBorders>
            <w:shd w:val="clear" w:color="auto" w:fill="auto"/>
            <w:noWrap/>
            <w:vAlign w:val="bottom"/>
            <w:hideMark/>
          </w:tcPr>
          <w:p w14:paraId="48ABC086"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11</w:t>
            </w:r>
          </w:p>
        </w:tc>
        <w:tc>
          <w:tcPr>
            <w:tcW w:w="1809" w:type="dxa"/>
            <w:tcBorders>
              <w:top w:val="nil"/>
              <w:left w:val="nil"/>
              <w:bottom w:val="nil"/>
              <w:right w:val="nil"/>
            </w:tcBorders>
            <w:shd w:val="clear" w:color="auto" w:fill="auto"/>
            <w:noWrap/>
            <w:vAlign w:val="bottom"/>
            <w:hideMark/>
          </w:tcPr>
          <w:p w14:paraId="0005ACA6"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2.00E-03</w:t>
            </w:r>
          </w:p>
        </w:tc>
        <w:tc>
          <w:tcPr>
            <w:tcW w:w="1809" w:type="dxa"/>
            <w:tcBorders>
              <w:top w:val="nil"/>
              <w:left w:val="nil"/>
              <w:bottom w:val="nil"/>
              <w:right w:val="nil"/>
            </w:tcBorders>
            <w:shd w:val="clear" w:color="auto" w:fill="auto"/>
            <w:noWrap/>
            <w:vAlign w:val="bottom"/>
            <w:hideMark/>
          </w:tcPr>
          <w:p w14:paraId="74BD1938"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1.20E-01</w:t>
            </w:r>
          </w:p>
        </w:tc>
      </w:tr>
      <w:tr w:rsidR="00B47B1B" w:rsidRPr="00B47B1B" w14:paraId="3D5AA977" w14:textId="77777777" w:rsidTr="00B47B1B">
        <w:trPr>
          <w:trHeight w:val="254"/>
        </w:trPr>
        <w:tc>
          <w:tcPr>
            <w:tcW w:w="6069" w:type="dxa"/>
            <w:tcBorders>
              <w:top w:val="nil"/>
              <w:left w:val="nil"/>
              <w:bottom w:val="nil"/>
              <w:right w:val="nil"/>
            </w:tcBorders>
            <w:shd w:val="clear" w:color="auto" w:fill="auto"/>
            <w:noWrap/>
            <w:vAlign w:val="bottom"/>
            <w:hideMark/>
          </w:tcPr>
          <w:p w14:paraId="07CCC512"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3. Ascorbate and aldarate metabolism</w:t>
            </w:r>
          </w:p>
        </w:tc>
        <w:tc>
          <w:tcPr>
            <w:tcW w:w="1763" w:type="dxa"/>
            <w:tcBorders>
              <w:top w:val="nil"/>
              <w:left w:val="nil"/>
              <w:bottom w:val="nil"/>
              <w:right w:val="nil"/>
            </w:tcBorders>
            <w:shd w:val="clear" w:color="auto" w:fill="auto"/>
            <w:noWrap/>
            <w:vAlign w:val="bottom"/>
            <w:hideMark/>
          </w:tcPr>
          <w:p w14:paraId="55B0EC00"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KEGG</w:t>
            </w:r>
          </w:p>
        </w:tc>
        <w:tc>
          <w:tcPr>
            <w:tcW w:w="1763" w:type="dxa"/>
            <w:tcBorders>
              <w:top w:val="nil"/>
              <w:left w:val="nil"/>
              <w:bottom w:val="nil"/>
              <w:right w:val="nil"/>
            </w:tcBorders>
            <w:shd w:val="clear" w:color="auto" w:fill="auto"/>
            <w:noWrap/>
            <w:vAlign w:val="bottom"/>
            <w:hideMark/>
          </w:tcPr>
          <w:p w14:paraId="7F5A9922"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4</w:t>
            </w:r>
          </w:p>
        </w:tc>
        <w:tc>
          <w:tcPr>
            <w:tcW w:w="1809" w:type="dxa"/>
            <w:tcBorders>
              <w:top w:val="nil"/>
              <w:left w:val="nil"/>
              <w:bottom w:val="nil"/>
              <w:right w:val="nil"/>
            </w:tcBorders>
            <w:shd w:val="clear" w:color="auto" w:fill="auto"/>
            <w:noWrap/>
            <w:vAlign w:val="bottom"/>
            <w:hideMark/>
          </w:tcPr>
          <w:p w14:paraId="51B1A516"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7.80E-03</w:t>
            </w:r>
          </w:p>
        </w:tc>
        <w:tc>
          <w:tcPr>
            <w:tcW w:w="1809" w:type="dxa"/>
            <w:tcBorders>
              <w:top w:val="nil"/>
              <w:left w:val="nil"/>
              <w:bottom w:val="nil"/>
              <w:right w:val="nil"/>
            </w:tcBorders>
            <w:shd w:val="clear" w:color="auto" w:fill="auto"/>
            <w:noWrap/>
            <w:vAlign w:val="bottom"/>
            <w:hideMark/>
          </w:tcPr>
          <w:p w14:paraId="27172106"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2.80E-01</w:t>
            </w:r>
          </w:p>
        </w:tc>
      </w:tr>
      <w:tr w:rsidR="00B47B1B" w:rsidRPr="00B47B1B" w14:paraId="16B4A56C" w14:textId="77777777" w:rsidTr="00B47B1B">
        <w:trPr>
          <w:trHeight w:val="254"/>
        </w:trPr>
        <w:tc>
          <w:tcPr>
            <w:tcW w:w="6069" w:type="dxa"/>
            <w:tcBorders>
              <w:top w:val="nil"/>
              <w:left w:val="nil"/>
              <w:bottom w:val="nil"/>
              <w:right w:val="nil"/>
            </w:tcBorders>
            <w:shd w:val="clear" w:color="auto" w:fill="auto"/>
            <w:noWrap/>
            <w:vAlign w:val="bottom"/>
            <w:hideMark/>
          </w:tcPr>
          <w:p w14:paraId="5A23FC3E"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4. Pentose and glucuronate interconversions</w:t>
            </w:r>
          </w:p>
        </w:tc>
        <w:tc>
          <w:tcPr>
            <w:tcW w:w="1763" w:type="dxa"/>
            <w:tcBorders>
              <w:top w:val="nil"/>
              <w:left w:val="nil"/>
              <w:bottom w:val="nil"/>
              <w:right w:val="nil"/>
            </w:tcBorders>
            <w:shd w:val="clear" w:color="auto" w:fill="auto"/>
            <w:noWrap/>
            <w:vAlign w:val="bottom"/>
            <w:hideMark/>
          </w:tcPr>
          <w:p w14:paraId="3190B156"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KEGG</w:t>
            </w:r>
          </w:p>
        </w:tc>
        <w:tc>
          <w:tcPr>
            <w:tcW w:w="1763" w:type="dxa"/>
            <w:tcBorders>
              <w:top w:val="nil"/>
              <w:left w:val="nil"/>
              <w:bottom w:val="nil"/>
              <w:right w:val="nil"/>
            </w:tcBorders>
            <w:shd w:val="clear" w:color="auto" w:fill="auto"/>
            <w:noWrap/>
            <w:vAlign w:val="bottom"/>
            <w:hideMark/>
          </w:tcPr>
          <w:p w14:paraId="16F00FC7"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4</w:t>
            </w:r>
          </w:p>
        </w:tc>
        <w:tc>
          <w:tcPr>
            <w:tcW w:w="1809" w:type="dxa"/>
            <w:tcBorders>
              <w:top w:val="nil"/>
              <w:left w:val="nil"/>
              <w:bottom w:val="nil"/>
              <w:right w:val="nil"/>
            </w:tcBorders>
            <w:shd w:val="clear" w:color="auto" w:fill="auto"/>
            <w:noWrap/>
            <w:vAlign w:val="bottom"/>
            <w:hideMark/>
          </w:tcPr>
          <w:p w14:paraId="129A0F7A"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9.20E-03</w:t>
            </w:r>
          </w:p>
        </w:tc>
        <w:tc>
          <w:tcPr>
            <w:tcW w:w="1809" w:type="dxa"/>
            <w:tcBorders>
              <w:top w:val="nil"/>
              <w:left w:val="nil"/>
              <w:bottom w:val="nil"/>
              <w:right w:val="nil"/>
            </w:tcBorders>
            <w:shd w:val="clear" w:color="auto" w:fill="auto"/>
            <w:noWrap/>
            <w:vAlign w:val="bottom"/>
            <w:hideMark/>
          </w:tcPr>
          <w:p w14:paraId="3B50680E"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2.50E-01</w:t>
            </w:r>
          </w:p>
        </w:tc>
      </w:tr>
      <w:tr w:rsidR="00B47B1B" w:rsidRPr="00B47B1B" w14:paraId="38376D23" w14:textId="77777777" w:rsidTr="00B47B1B">
        <w:trPr>
          <w:trHeight w:val="254"/>
        </w:trPr>
        <w:tc>
          <w:tcPr>
            <w:tcW w:w="6069" w:type="dxa"/>
            <w:tcBorders>
              <w:top w:val="nil"/>
              <w:left w:val="nil"/>
              <w:bottom w:val="nil"/>
              <w:right w:val="nil"/>
            </w:tcBorders>
            <w:shd w:val="clear" w:color="auto" w:fill="auto"/>
            <w:noWrap/>
            <w:vAlign w:val="bottom"/>
            <w:hideMark/>
          </w:tcPr>
          <w:p w14:paraId="2B3AECE3"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5. Retinol metabolism</w:t>
            </w:r>
          </w:p>
        </w:tc>
        <w:tc>
          <w:tcPr>
            <w:tcW w:w="1763" w:type="dxa"/>
            <w:tcBorders>
              <w:top w:val="nil"/>
              <w:left w:val="nil"/>
              <w:bottom w:val="nil"/>
              <w:right w:val="nil"/>
            </w:tcBorders>
            <w:shd w:val="clear" w:color="auto" w:fill="auto"/>
            <w:noWrap/>
            <w:vAlign w:val="bottom"/>
            <w:hideMark/>
          </w:tcPr>
          <w:p w14:paraId="0E9E9357"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KEGG</w:t>
            </w:r>
          </w:p>
        </w:tc>
        <w:tc>
          <w:tcPr>
            <w:tcW w:w="1763" w:type="dxa"/>
            <w:tcBorders>
              <w:top w:val="nil"/>
              <w:left w:val="nil"/>
              <w:bottom w:val="nil"/>
              <w:right w:val="nil"/>
            </w:tcBorders>
            <w:shd w:val="clear" w:color="auto" w:fill="auto"/>
            <w:noWrap/>
            <w:vAlign w:val="bottom"/>
            <w:hideMark/>
          </w:tcPr>
          <w:p w14:paraId="74872008"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6</w:t>
            </w:r>
          </w:p>
        </w:tc>
        <w:tc>
          <w:tcPr>
            <w:tcW w:w="1809" w:type="dxa"/>
            <w:tcBorders>
              <w:top w:val="nil"/>
              <w:left w:val="nil"/>
              <w:bottom w:val="nil"/>
              <w:right w:val="nil"/>
            </w:tcBorders>
            <w:shd w:val="clear" w:color="auto" w:fill="auto"/>
            <w:noWrap/>
            <w:vAlign w:val="bottom"/>
            <w:hideMark/>
          </w:tcPr>
          <w:p w14:paraId="7EE4D248"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1.00E-02</w:t>
            </w:r>
          </w:p>
        </w:tc>
        <w:tc>
          <w:tcPr>
            <w:tcW w:w="1809" w:type="dxa"/>
            <w:tcBorders>
              <w:top w:val="nil"/>
              <w:left w:val="nil"/>
              <w:bottom w:val="nil"/>
              <w:right w:val="nil"/>
            </w:tcBorders>
            <w:shd w:val="clear" w:color="auto" w:fill="auto"/>
            <w:noWrap/>
            <w:vAlign w:val="bottom"/>
            <w:hideMark/>
          </w:tcPr>
          <w:p w14:paraId="2B640C45"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2.30E-01</w:t>
            </w:r>
          </w:p>
        </w:tc>
      </w:tr>
      <w:tr w:rsidR="00B47B1B" w:rsidRPr="00B47B1B" w14:paraId="079DD5A1" w14:textId="77777777" w:rsidTr="00B47B1B">
        <w:trPr>
          <w:trHeight w:val="254"/>
        </w:trPr>
        <w:tc>
          <w:tcPr>
            <w:tcW w:w="6069" w:type="dxa"/>
            <w:tcBorders>
              <w:top w:val="nil"/>
              <w:left w:val="nil"/>
              <w:bottom w:val="nil"/>
              <w:right w:val="nil"/>
            </w:tcBorders>
            <w:shd w:val="clear" w:color="auto" w:fill="auto"/>
            <w:noWrap/>
            <w:vAlign w:val="bottom"/>
            <w:hideMark/>
          </w:tcPr>
          <w:p w14:paraId="4162A8CA" w14:textId="04FCCE2F"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 xml:space="preserve">6. </w:t>
            </w:r>
            <w:r w:rsidR="00AE2BB8">
              <w:rPr>
                <w:rFonts w:ascii="Times New Roman" w:eastAsia="Times New Roman" w:hAnsi="Times New Roman" w:cs="Times New Roman"/>
                <w:color w:val="000000"/>
                <w:sz w:val="22"/>
                <w:szCs w:val="22"/>
                <w:highlight w:val="yellow"/>
                <w:lang w:val="en-GB"/>
              </w:rPr>
              <w:t>Oxidative ph</w:t>
            </w:r>
            <w:r w:rsidRPr="00B47B1B">
              <w:rPr>
                <w:rFonts w:ascii="Times New Roman" w:eastAsia="Times New Roman" w:hAnsi="Times New Roman" w:cs="Times New Roman"/>
                <w:color w:val="000000"/>
                <w:sz w:val="22"/>
                <w:szCs w:val="22"/>
                <w:highlight w:val="yellow"/>
                <w:lang w:val="en-GB"/>
              </w:rPr>
              <w:t>o</w:t>
            </w:r>
            <w:r w:rsidR="00AE2BB8">
              <w:rPr>
                <w:rFonts w:ascii="Times New Roman" w:eastAsia="Times New Roman" w:hAnsi="Times New Roman" w:cs="Times New Roman"/>
                <w:color w:val="000000"/>
                <w:sz w:val="22"/>
                <w:szCs w:val="22"/>
                <w:highlight w:val="yellow"/>
                <w:lang w:val="en-GB"/>
              </w:rPr>
              <w:t>s</w:t>
            </w:r>
            <w:r w:rsidRPr="00B47B1B">
              <w:rPr>
                <w:rFonts w:ascii="Times New Roman" w:eastAsia="Times New Roman" w:hAnsi="Times New Roman" w:cs="Times New Roman"/>
                <w:color w:val="000000"/>
                <w:sz w:val="22"/>
                <w:szCs w:val="22"/>
                <w:highlight w:val="yellow"/>
                <w:lang w:val="en-GB"/>
              </w:rPr>
              <w:t>phorylation</w:t>
            </w:r>
          </w:p>
        </w:tc>
        <w:tc>
          <w:tcPr>
            <w:tcW w:w="1763" w:type="dxa"/>
            <w:tcBorders>
              <w:top w:val="nil"/>
              <w:left w:val="nil"/>
              <w:bottom w:val="nil"/>
              <w:right w:val="nil"/>
            </w:tcBorders>
            <w:shd w:val="clear" w:color="auto" w:fill="auto"/>
            <w:noWrap/>
            <w:vAlign w:val="bottom"/>
            <w:hideMark/>
          </w:tcPr>
          <w:p w14:paraId="00F21565"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KEGG</w:t>
            </w:r>
          </w:p>
        </w:tc>
        <w:tc>
          <w:tcPr>
            <w:tcW w:w="1763" w:type="dxa"/>
            <w:tcBorders>
              <w:top w:val="nil"/>
              <w:left w:val="nil"/>
              <w:bottom w:val="nil"/>
              <w:right w:val="nil"/>
            </w:tcBorders>
            <w:shd w:val="clear" w:color="auto" w:fill="auto"/>
            <w:noWrap/>
            <w:vAlign w:val="bottom"/>
            <w:hideMark/>
          </w:tcPr>
          <w:p w14:paraId="622B6628"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9</w:t>
            </w:r>
          </w:p>
        </w:tc>
        <w:tc>
          <w:tcPr>
            <w:tcW w:w="1809" w:type="dxa"/>
            <w:tcBorders>
              <w:top w:val="nil"/>
              <w:left w:val="nil"/>
              <w:bottom w:val="nil"/>
              <w:right w:val="nil"/>
            </w:tcBorders>
            <w:shd w:val="clear" w:color="auto" w:fill="auto"/>
            <w:noWrap/>
            <w:vAlign w:val="bottom"/>
            <w:hideMark/>
          </w:tcPr>
          <w:p w14:paraId="35FAFBA7"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1.50E-02</w:t>
            </w:r>
          </w:p>
        </w:tc>
        <w:tc>
          <w:tcPr>
            <w:tcW w:w="1809" w:type="dxa"/>
            <w:tcBorders>
              <w:top w:val="nil"/>
              <w:left w:val="nil"/>
              <w:bottom w:val="nil"/>
              <w:right w:val="nil"/>
            </w:tcBorders>
            <w:shd w:val="clear" w:color="auto" w:fill="auto"/>
            <w:noWrap/>
            <w:vAlign w:val="bottom"/>
            <w:hideMark/>
          </w:tcPr>
          <w:p w14:paraId="789502EA"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2.70E-01</w:t>
            </w:r>
          </w:p>
        </w:tc>
      </w:tr>
      <w:tr w:rsidR="00B47B1B" w:rsidRPr="00B47B1B" w14:paraId="1F769BCE" w14:textId="77777777" w:rsidTr="00B47B1B">
        <w:trPr>
          <w:trHeight w:val="254"/>
        </w:trPr>
        <w:tc>
          <w:tcPr>
            <w:tcW w:w="6069" w:type="dxa"/>
            <w:tcBorders>
              <w:top w:val="nil"/>
              <w:left w:val="nil"/>
              <w:bottom w:val="nil"/>
              <w:right w:val="nil"/>
            </w:tcBorders>
            <w:shd w:val="clear" w:color="auto" w:fill="auto"/>
            <w:noWrap/>
            <w:vAlign w:val="bottom"/>
            <w:hideMark/>
          </w:tcPr>
          <w:p w14:paraId="4D193676"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7. Metabolism of xenobiotics by cytochrome P450</w:t>
            </w:r>
          </w:p>
        </w:tc>
        <w:tc>
          <w:tcPr>
            <w:tcW w:w="1763" w:type="dxa"/>
            <w:tcBorders>
              <w:top w:val="nil"/>
              <w:left w:val="nil"/>
              <w:bottom w:val="nil"/>
              <w:right w:val="nil"/>
            </w:tcBorders>
            <w:shd w:val="clear" w:color="auto" w:fill="auto"/>
            <w:noWrap/>
            <w:vAlign w:val="bottom"/>
            <w:hideMark/>
          </w:tcPr>
          <w:p w14:paraId="5B4B36D0"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KEGG</w:t>
            </w:r>
          </w:p>
        </w:tc>
        <w:tc>
          <w:tcPr>
            <w:tcW w:w="1763" w:type="dxa"/>
            <w:tcBorders>
              <w:top w:val="nil"/>
              <w:left w:val="nil"/>
              <w:bottom w:val="nil"/>
              <w:right w:val="nil"/>
            </w:tcBorders>
            <w:shd w:val="clear" w:color="auto" w:fill="auto"/>
            <w:noWrap/>
            <w:vAlign w:val="bottom"/>
            <w:hideMark/>
          </w:tcPr>
          <w:p w14:paraId="6F82C39E"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6</w:t>
            </w:r>
          </w:p>
        </w:tc>
        <w:tc>
          <w:tcPr>
            <w:tcW w:w="1809" w:type="dxa"/>
            <w:tcBorders>
              <w:top w:val="nil"/>
              <w:left w:val="nil"/>
              <w:bottom w:val="nil"/>
              <w:right w:val="nil"/>
            </w:tcBorders>
            <w:shd w:val="clear" w:color="auto" w:fill="auto"/>
            <w:noWrap/>
            <w:vAlign w:val="bottom"/>
            <w:hideMark/>
          </w:tcPr>
          <w:p w14:paraId="0697807C"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1.60E-02</w:t>
            </w:r>
          </w:p>
        </w:tc>
        <w:tc>
          <w:tcPr>
            <w:tcW w:w="1809" w:type="dxa"/>
            <w:tcBorders>
              <w:top w:val="nil"/>
              <w:left w:val="nil"/>
              <w:bottom w:val="nil"/>
              <w:right w:val="nil"/>
            </w:tcBorders>
            <w:shd w:val="clear" w:color="auto" w:fill="auto"/>
            <w:noWrap/>
            <w:vAlign w:val="bottom"/>
            <w:hideMark/>
          </w:tcPr>
          <w:p w14:paraId="7D28C0BA"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2.50E-01</w:t>
            </w:r>
          </w:p>
        </w:tc>
      </w:tr>
      <w:tr w:rsidR="00B47B1B" w:rsidRPr="00B47B1B" w14:paraId="7F984034" w14:textId="77777777" w:rsidTr="00B47B1B">
        <w:trPr>
          <w:trHeight w:val="254"/>
        </w:trPr>
        <w:tc>
          <w:tcPr>
            <w:tcW w:w="6069" w:type="dxa"/>
            <w:tcBorders>
              <w:top w:val="nil"/>
              <w:left w:val="nil"/>
              <w:bottom w:val="nil"/>
              <w:right w:val="nil"/>
            </w:tcBorders>
            <w:shd w:val="clear" w:color="auto" w:fill="auto"/>
            <w:noWrap/>
            <w:vAlign w:val="bottom"/>
            <w:hideMark/>
          </w:tcPr>
          <w:p w14:paraId="2443E79C"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8. Drug metabolism</w:t>
            </w:r>
          </w:p>
        </w:tc>
        <w:tc>
          <w:tcPr>
            <w:tcW w:w="1763" w:type="dxa"/>
            <w:tcBorders>
              <w:top w:val="nil"/>
              <w:left w:val="nil"/>
              <w:bottom w:val="nil"/>
              <w:right w:val="nil"/>
            </w:tcBorders>
            <w:shd w:val="clear" w:color="auto" w:fill="auto"/>
            <w:noWrap/>
            <w:vAlign w:val="bottom"/>
            <w:hideMark/>
          </w:tcPr>
          <w:p w14:paraId="5C1900DF"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KEGG</w:t>
            </w:r>
          </w:p>
        </w:tc>
        <w:tc>
          <w:tcPr>
            <w:tcW w:w="1763" w:type="dxa"/>
            <w:tcBorders>
              <w:top w:val="nil"/>
              <w:left w:val="nil"/>
              <w:bottom w:val="nil"/>
              <w:right w:val="nil"/>
            </w:tcBorders>
            <w:shd w:val="clear" w:color="auto" w:fill="auto"/>
            <w:noWrap/>
            <w:vAlign w:val="bottom"/>
            <w:hideMark/>
          </w:tcPr>
          <w:p w14:paraId="46434381"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6</w:t>
            </w:r>
          </w:p>
        </w:tc>
        <w:tc>
          <w:tcPr>
            <w:tcW w:w="1809" w:type="dxa"/>
            <w:tcBorders>
              <w:top w:val="nil"/>
              <w:left w:val="nil"/>
              <w:bottom w:val="nil"/>
              <w:right w:val="nil"/>
            </w:tcBorders>
            <w:shd w:val="clear" w:color="auto" w:fill="auto"/>
            <w:noWrap/>
            <w:vAlign w:val="bottom"/>
            <w:hideMark/>
          </w:tcPr>
          <w:p w14:paraId="1D817333"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1.80E-02</w:t>
            </w:r>
          </w:p>
        </w:tc>
        <w:tc>
          <w:tcPr>
            <w:tcW w:w="1809" w:type="dxa"/>
            <w:tcBorders>
              <w:top w:val="nil"/>
              <w:left w:val="nil"/>
              <w:bottom w:val="nil"/>
              <w:right w:val="nil"/>
            </w:tcBorders>
            <w:shd w:val="clear" w:color="auto" w:fill="auto"/>
            <w:noWrap/>
            <w:vAlign w:val="bottom"/>
            <w:hideMark/>
          </w:tcPr>
          <w:p w14:paraId="0A2D1C02"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2.50E-01</w:t>
            </w:r>
          </w:p>
        </w:tc>
      </w:tr>
      <w:tr w:rsidR="00B47B1B" w:rsidRPr="00B47B1B" w14:paraId="11E2D9F0" w14:textId="77777777" w:rsidTr="00B47B1B">
        <w:trPr>
          <w:trHeight w:val="254"/>
        </w:trPr>
        <w:tc>
          <w:tcPr>
            <w:tcW w:w="6069" w:type="dxa"/>
            <w:tcBorders>
              <w:top w:val="nil"/>
              <w:left w:val="nil"/>
              <w:bottom w:val="nil"/>
              <w:right w:val="nil"/>
            </w:tcBorders>
            <w:shd w:val="clear" w:color="auto" w:fill="auto"/>
            <w:noWrap/>
            <w:vAlign w:val="bottom"/>
            <w:hideMark/>
          </w:tcPr>
          <w:p w14:paraId="0EE41609"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9. Huntington's disease</w:t>
            </w:r>
          </w:p>
        </w:tc>
        <w:tc>
          <w:tcPr>
            <w:tcW w:w="1763" w:type="dxa"/>
            <w:tcBorders>
              <w:top w:val="nil"/>
              <w:left w:val="nil"/>
              <w:bottom w:val="nil"/>
              <w:right w:val="nil"/>
            </w:tcBorders>
            <w:shd w:val="clear" w:color="auto" w:fill="auto"/>
            <w:noWrap/>
            <w:vAlign w:val="bottom"/>
            <w:hideMark/>
          </w:tcPr>
          <w:p w14:paraId="5F2E1695"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KEGG</w:t>
            </w:r>
          </w:p>
        </w:tc>
        <w:tc>
          <w:tcPr>
            <w:tcW w:w="1763" w:type="dxa"/>
            <w:tcBorders>
              <w:top w:val="nil"/>
              <w:left w:val="nil"/>
              <w:bottom w:val="nil"/>
              <w:right w:val="nil"/>
            </w:tcBorders>
            <w:shd w:val="clear" w:color="auto" w:fill="auto"/>
            <w:noWrap/>
            <w:vAlign w:val="bottom"/>
            <w:hideMark/>
          </w:tcPr>
          <w:p w14:paraId="06253EA1"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10</w:t>
            </w:r>
          </w:p>
        </w:tc>
        <w:tc>
          <w:tcPr>
            <w:tcW w:w="1809" w:type="dxa"/>
            <w:tcBorders>
              <w:top w:val="nil"/>
              <w:left w:val="nil"/>
              <w:bottom w:val="nil"/>
              <w:right w:val="nil"/>
            </w:tcBorders>
            <w:shd w:val="clear" w:color="auto" w:fill="auto"/>
            <w:noWrap/>
            <w:vAlign w:val="bottom"/>
            <w:hideMark/>
          </w:tcPr>
          <w:p w14:paraId="5DE05A90"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3.40E-02</w:t>
            </w:r>
          </w:p>
        </w:tc>
        <w:tc>
          <w:tcPr>
            <w:tcW w:w="1809" w:type="dxa"/>
            <w:tcBorders>
              <w:top w:val="nil"/>
              <w:left w:val="nil"/>
              <w:bottom w:val="nil"/>
              <w:right w:val="nil"/>
            </w:tcBorders>
            <w:shd w:val="clear" w:color="auto" w:fill="auto"/>
            <w:noWrap/>
            <w:vAlign w:val="bottom"/>
            <w:hideMark/>
          </w:tcPr>
          <w:p w14:paraId="02FF295F"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3.80E-01</w:t>
            </w:r>
          </w:p>
        </w:tc>
      </w:tr>
      <w:tr w:rsidR="00B47B1B" w:rsidRPr="00B47B1B" w14:paraId="29B4356E" w14:textId="77777777" w:rsidTr="00B47B1B">
        <w:trPr>
          <w:trHeight w:val="254"/>
        </w:trPr>
        <w:tc>
          <w:tcPr>
            <w:tcW w:w="6069" w:type="dxa"/>
            <w:tcBorders>
              <w:top w:val="nil"/>
              <w:left w:val="nil"/>
              <w:bottom w:val="nil"/>
              <w:right w:val="nil"/>
            </w:tcBorders>
            <w:shd w:val="clear" w:color="auto" w:fill="auto"/>
            <w:noWrap/>
            <w:vAlign w:val="bottom"/>
            <w:hideMark/>
          </w:tcPr>
          <w:p w14:paraId="46CF770C"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10. Olfactory transduction</w:t>
            </w:r>
          </w:p>
        </w:tc>
        <w:tc>
          <w:tcPr>
            <w:tcW w:w="1763" w:type="dxa"/>
            <w:tcBorders>
              <w:top w:val="nil"/>
              <w:left w:val="nil"/>
              <w:bottom w:val="nil"/>
              <w:right w:val="nil"/>
            </w:tcBorders>
            <w:shd w:val="clear" w:color="auto" w:fill="auto"/>
            <w:noWrap/>
            <w:vAlign w:val="bottom"/>
            <w:hideMark/>
          </w:tcPr>
          <w:p w14:paraId="2016F44F"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KEGG</w:t>
            </w:r>
          </w:p>
        </w:tc>
        <w:tc>
          <w:tcPr>
            <w:tcW w:w="1763" w:type="dxa"/>
            <w:tcBorders>
              <w:top w:val="nil"/>
              <w:left w:val="nil"/>
              <w:bottom w:val="nil"/>
              <w:right w:val="nil"/>
            </w:tcBorders>
            <w:shd w:val="clear" w:color="auto" w:fill="auto"/>
            <w:noWrap/>
            <w:vAlign w:val="bottom"/>
            <w:hideMark/>
          </w:tcPr>
          <w:p w14:paraId="2BA73239"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16</w:t>
            </w:r>
          </w:p>
        </w:tc>
        <w:tc>
          <w:tcPr>
            <w:tcW w:w="1809" w:type="dxa"/>
            <w:tcBorders>
              <w:top w:val="nil"/>
              <w:left w:val="nil"/>
              <w:bottom w:val="nil"/>
              <w:right w:val="nil"/>
            </w:tcBorders>
            <w:shd w:val="clear" w:color="auto" w:fill="auto"/>
            <w:noWrap/>
            <w:vAlign w:val="bottom"/>
            <w:hideMark/>
          </w:tcPr>
          <w:p w14:paraId="483E7F09"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4.60E-02</w:t>
            </w:r>
          </w:p>
        </w:tc>
        <w:tc>
          <w:tcPr>
            <w:tcW w:w="1809" w:type="dxa"/>
            <w:tcBorders>
              <w:top w:val="nil"/>
              <w:left w:val="nil"/>
              <w:bottom w:val="nil"/>
              <w:right w:val="nil"/>
            </w:tcBorders>
            <w:shd w:val="clear" w:color="auto" w:fill="auto"/>
            <w:noWrap/>
            <w:vAlign w:val="bottom"/>
            <w:hideMark/>
          </w:tcPr>
          <w:p w14:paraId="209C5D4E" w14:textId="77777777" w:rsidR="00B47B1B" w:rsidRPr="00B47B1B" w:rsidRDefault="00B47B1B" w:rsidP="00454D06">
            <w:pPr>
              <w:rPr>
                <w:rFonts w:ascii="Times New Roman" w:eastAsia="Times New Roman" w:hAnsi="Times New Roman" w:cs="Times New Roman"/>
                <w:color w:val="000000"/>
                <w:sz w:val="22"/>
                <w:szCs w:val="22"/>
                <w:lang w:val="en-GB"/>
              </w:rPr>
            </w:pPr>
            <w:r w:rsidRPr="00B47B1B">
              <w:rPr>
                <w:rFonts w:ascii="Times New Roman" w:eastAsia="Times New Roman" w:hAnsi="Times New Roman" w:cs="Times New Roman"/>
                <w:color w:val="000000"/>
                <w:sz w:val="22"/>
                <w:szCs w:val="22"/>
                <w:lang w:val="en-GB"/>
              </w:rPr>
              <w:t>4.50E-01</w:t>
            </w:r>
          </w:p>
        </w:tc>
      </w:tr>
    </w:tbl>
    <w:p w14:paraId="715DDFCF" w14:textId="77777777" w:rsidR="001E6641" w:rsidRDefault="001E6641" w:rsidP="00E40AC4">
      <w:pPr>
        <w:spacing w:line="360" w:lineRule="auto"/>
        <w:rPr>
          <w:rFonts w:ascii="Times New Roman" w:hAnsi="Times New Roman" w:cs="Times New Roman"/>
          <w:noProof/>
        </w:rPr>
      </w:pPr>
    </w:p>
    <w:p w14:paraId="0081A232" w14:textId="7C02D346" w:rsidR="00F6753D" w:rsidRDefault="000F2FB3" w:rsidP="004D474F">
      <w:pPr>
        <w:pStyle w:val="Heading5"/>
        <w:rPr>
          <w:noProof/>
        </w:rPr>
      </w:pPr>
      <w:bookmarkStart w:id="2095" w:name="_Toc333569358"/>
      <w:bookmarkStart w:id="2096" w:name="_Toc333570896"/>
      <w:bookmarkStart w:id="2097" w:name="_Toc333585977"/>
      <w:bookmarkStart w:id="2098" w:name="_Toc333586853"/>
      <w:bookmarkStart w:id="2099" w:name="_Toc333644552"/>
      <w:bookmarkStart w:id="2100" w:name="_Toc333644846"/>
      <w:r>
        <w:rPr>
          <w:noProof/>
        </w:rPr>
        <w:t xml:space="preserve">Table </w:t>
      </w:r>
      <w:r w:rsidR="00F26E57">
        <w:rPr>
          <w:noProof/>
        </w:rPr>
        <w:t>5.9</w:t>
      </w:r>
      <w:r>
        <w:rPr>
          <w:noProof/>
        </w:rPr>
        <w:t xml:space="preserve"> DAVID Functional Annotation Clustering Analysis of 1</w:t>
      </w:r>
      <w:r w:rsidR="009465E5">
        <w:rPr>
          <w:noProof/>
        </w:rPr>
        <w:t>295</w:t>
      </w:r>
      <w:r>
        <w:rPr>
          <w:noProof/>
        </w:rPr>
        <w:t xml:space="preserve"> </w:t>
      </w:r>
      <w:r w:rsidR="009465E5">
        <w:rPr>
          <w:noProof/>
          <w:color w:val="FF0000"/>
        </w:rPr>
        <w:t>upregulated</w:t>
      </w:r>
      <w:r w:rsidR="00B80D03">
        <w:rPr>
          <w:noProof/>
        </w:rPr>
        <w:t xml:space="preserve"> transcripts in MAB391-</w:t>
      </w:r>
      <w:r>
        <w:rPr>
          <w:noProof/>
        </w:rPr>
        <w:t>treated astrocytes compared with control treated a</w:t>
      </w:r>
      <w:r w:rsidR="006C487D">
        <w:rPr>
          <w:noProof/>
        </w:rPr>
        <w:t>strocytes with FC≥1.2 and P&lt;0.05</w:t>
      </w:r>
      <w:r>
        <w:rPr>
          <w:noProof/>
        </w:rPr>
        <w:t>.</w:t>
      </w:r>
      <w:bookmarkEnd w:id="2095"/>
      <w:bookmarkEnd w:id="2096"/>
      <w:bookmarkEnd w:id="2097"/>
      <w:bookmarkEnd w:id="2098"/>
      <w:bookmarkEnd w:id="2099"/>
      <w:bookmarkEnd w:id="2100"/>
      <w:r w:rsidR="002A4986">
        <w:rPr>
          <w:noProof/>
        </w:rPr>
        <w:t xml:space="preserve"> DE-differentially expressed.</w:t>
      </w:r>
    </w:p>
    <w:p w14:paraId="777E4A1F" w14:textId="77777777" w:rsidR="003776BA" w:rsidRPr="003776BA" w:rsidRDefault="003776BA" w:rsidP="003776BA"/>
    <w:tbl>
      <w:tblPr>
        <w:tblW w:w="13924" w:type="dxa"/>
        <w:jc w:val="center"/>
        <w:tblInd w:w="93" w:type="dxa"/>
        <w:tblLook w:val="04A0" w:firstRow="1" w:lastRow="0" w:firstColumn="1" w:lastColumn="0" w:noHBand="0" w:noVBand="1"/>
      </w:tblPr>
      <w:tblGrid>
        <w:gridCol w:w="4116"/>
        <w:gridCol w:w="1532"/>
        <w:gridCol w:w="2992"/>
        <w:gridCol w:w="2825"/>
        <w:gridCol w:w="1243"/>
        <w:gridCol w:w="1216"/>
      </w:tblGrid>
      <w:tr w:rsidR="00F6753D" w:rsidRPr="00F6753D" w14:paraId="74E12FA4" w14:textId="77777777" w:rsidTr="000F2FB3">
        <w:trPr>
          <w:trHeight w:val="428"/>
          <w:jc w:val="center"/>
        </w:trPr>
        <w:tc>
          <w:tcPr>
            <w:tcW w:w="4116" w:type="dxa"/>
            <w:tcBorders>
              <w:top w:val="single" w:sz="4" w:space="0" w:color="auto"/>
              <w:left w:val="nil"/>
              <w:bottom w:val="single" w:sz="4" w:space="0" w:color="auto"/>
              <w:right w:val="nil"/>
            </w:tcBorders>
            <w:shd w:val="clear" w:color="auto" w:fill="auto"/>
            <w:noWrap/>
            <w:vAlign w:val="bottom"/>
            <w:hideMark/>
          </w:tcPr>
          <w:p w14:paraId="41684651" w14:textId="77777777" w:rsidR="00F6753D" w:rsidRPr="00F6753D" w:rsidRDefault="00F6753D" w:rsidP="00454D06">
            <w:pPr>
              <w:rPr>
                <w:rFonts w:ascii="Times New Roman" w:eastAsia="Times New Roman" w:hAnsi="Times New Roman" w:cs="Times New Roman"/>
                <w:b/>
                <w:bCs/>
                <w:color w:val="000000"/>
                <w:sz w:val="22"/>
                <w:szCs w:val="22"/>
                <w:lang w:val="en-GB"/>
              </w:rPr>
            </w:pPr>
            <w:r w:rsidRPr="00F6753D">
              <w:rPr>
                <w:rFonts w:ascii="Times New Roman" w:eastAsia="Times New Roman" w:hAnsi="Times New Roman" w:cs="Times New Roman"/>
                <w:b/>
                <w:bCs/>
                <w:color w:val="000000"/>
                <w:sz w:val="22"/>
                <w:szCs w:val="22"/>
                <w:lang w:val="en-GB"/>
              </w:rPr>
              <w:t>Pathway Name</w:t>
            </w:r>
          </w:p>
        </w:tc>
        <w:tc>
          <w:tcPr>
            <w:tcW w:w="1532" w:type="dxa"/>
            <w:tcBorders>
              <w:top w:val="single" w:sz="4" w:space="0" w:color="auto"/>
              <w:left w:val="nil"/>
              <w:bottom w:val="single" w:sz="4" w:space="0" w:color="auto"/>
              <w:right w:val="nil"/>
            </w:tcBorders>
            <w:shd w:val="clear" w:color="auto" w:fill="auto"/>
            <w:noWrap/>
            <w:vAlign w:val="bottom"/>
            <w:hideMark/>
          </w:tcPr>
          <w:p w14:paraId="585E76BA" w14:textId="77777777" w:rsidR="00F6753D" w:rsidRPr="00F6753D" w:rsidRDefault="00F6753D" w:rsidP="00454D06">
            <w:pPr>
              <w:rPr>
                <w:rFonts w:ascii="Times New Roman" w:eastAsia="Times New Roman" w:hAnsi="Times New Roman" w:cs="Times New Roman"/>
                <w:b/>
                <w:bCs/>
                <w:color w:val="000000"/>
                <w:sz w:val="22"/>
                <w:szCs w:val="22"/>
                <w:lang w:val="en-GB"/>
              </w:rPr>
            </w:pPr>
            <w:r w:rsidRPr="00F6753D">
              <w:rPr>
                <w:rFonts w:ascii="Times New Roman" w:eastAsia="Times New Roman" w:hAnsi="Times New Roman" w:cs="Times New Roman"/>
                <w:b/>
                <w:bCs/>
                <w:color w:val="000000"/>
                <w:sz w:val="22"/>
                <w:szCs w:val="22"/>
                <w:lang w:val="en-GB"/>
              </w:rPr>
              <w:t>Pathway source</w:t>
            </w:r>
          </w:p>
        </w:tc>
        <w:tc>
          <w:tcPr>
            <w:tcW w:w="2992" w:type="dxa"/>
            <w:tcBorders>
              <w:top w:val="single" w:sz="4" w:space="0" w:color="auto"/>
              <w:left w:val="nil"/>
              <w:bottom w:val="single" w:sz="4" w:space="0" w:color="auto"/>
              <w:right w:val="nil"/>
            </w:tcBorders>
            <w:shd w:val="clear" w:color="auto" w:fill="auto"/>
            <w:noWrap/>
            <w:vAlign w:val="bottom"/>
            <w:hideMark/>
          </w:tcPr>
          <w:p w14:paraId="3AFDAD97" w14:textId="77777777" w:rsidR="00F6753D" w:rsidRPr="00F6753D" w:rsidRDefault="00F6753D" w:rsidP="00454D06">
            <w:pPr>
              <w:rPr>
                <w:rFonts w:ascii="Times New Roman" w:eastAsia="Times New Roman" w:hAnsi="Times New Roman" w:cs="Times New Roman"/>
                <w:b/>
                <w:bCs/>
                <w:color w:val="000000"/>
                <w:sz w:val="22"/>
                <w:szCs w:val="22"/>
                <w:lang w:val="en-GB"/>
              </w:rPr>
            </w:pPr>
            <w:r w:rsidRPr="00F6753D">
              <w:rPr>
                <w:rFonts w:ascii="Times New Roman" w:eastAsia="Times New Roman" w:hAnsi="Times New Roman" w:cs="Times New Roman"/>
                <w:b/>
                <w:bCs/>
                <w:color w:val="000000"/>
                <w:sz w:val="22"/>
                <w:szCs w:val="22"/>
                <w:lang w:val="en-GB"/>
              </w:rPr>
              <w:t>Number of DE genes in pathway</w:t>
            </w:r>
          </w:p>
        </w:tc>
        <w:tc>
          <w:tcPr>
            <w:tcW w:w="2825" w:type="dxa"/>
            <w:tcBorders>
              <w:top w:val="single" w:sz="4" w:space="0" w:color="auto"/>
              <w:left w:val="nil"/>
              <w:bottom w:val="single" w:sz="4" w:space="0" w:color="auto"/>
              <w:right w:val="nil"/>
            </w:tcBorders>
            <w:shd w:val="clear" w:color="auto" w:fill="auto"/>
            <w:noWrap/>
            <w:vAlign w:val="bottom"/>
            <w:hideMark/>
          </w:tcPr>
          <w:p w14:paraId="30F9428A" w14:textId="77777777" w:rsidR="00F6753D" w:rsidRPr="00F6753D" w:rsidRDefault="00F6753D" w:rsidP="00454D06">
            <w:pPr>
              <w:rPr>
                <w:rFonts w:ascii="Times New Roman" w:eastAsia="Times New Roman" w:hAnsi="Times New Roman" w:cs="Times New Roman"/>
                <w:b/>
                <w:bCs/>
                <w:color w:val="000000"/>
                <w:sz w:val="22"/>
                <w:szCs w:val="22"/>
                <w:lang w:val="en-GB"/>
              </w:rPr>
            </w:pPr>
            <w:r w:rsidRPr="00F6753D">
              <w:rPr>
                <w:rFonts w:ascii="Times New Roman" w:eastAsia="Times New Roman" w:hAnsi="Times New Roman" w:cs="Times New Roman"/>
                <w:b/>
                <w:bCs/>
                <w:color w:val="000000"/>
                <w:sz w:val="22"/>
                <w:szCs w:val="22"/>
                <w:lang w:val="en-GB"/>
              </w:rPr>
              <w:t>P value (most significant term)</w:t>
            </w:r>
          </w:p>
        </w:tc>
        <w:tc>
          <w:tcPr>
            <w:tcW w:w="1243" w:type="dxa"/>
            <w:tcBorders>
              <w:top w:val="single" w:sz="4" w:space="0" w:color="auto"/>
              <w:left w:val="nil"/>
              <w:bottom w:val="single" w:sz="4" w:space="0" w:color="auto"/>
              <w:right w:val="nil"/>
            </w:tcBorders>
            <w:shd w:val="clear" w:color="auto" w:fill="auto"/>
            <w:noWrap/>
            <w:vAlign w:val="bottom"/>
            <w:hideMark/>
          </w:tcPr>
          <w:p w14:paraId="657A62F3" w14:textId="77777777" w:rsidR="00F6753D" w:rsidRPr="00F6753D" w:rsidRDefault="00F6753D" w:rsidP="00454D06">
            <w:pPr>
              <w:rPr>
                <w:rFonts w:ascii="Times New Roman" w:eastAsia="Times New Roman" w:hAnsi="Times New Roman" w:cs="Times New Roman"/>
                <w:b/>
                <w:bCs/>
                <w:color w:val="000000"/>
                <w:sz w:val="22"/>
                <w:szCs w:val="22"/>
                <w:lang w:val="en-GB"/>
              </w:rPr>
            </w:pPr>
            <w:r w:rsidRPr="00F6753D">
              <w:rPr>
                <w:rFonts w:ascii="Times New Roman" w:eastAsia="Times New Roman" w:hAnsi="Times New Roman" w:cs="Times New Roman"/>
                <w:b/>
                <w:bCs/>
                <w:color w:val="000000"/>
                <w:sz w:val="22"/>
                <w:szCs w:val="22"/>
                <w:lang w:val="en-GB"/>
              </w:rPr>
              <w:t>FDR(most significant term)</w:t>
            </w:r>
          </w:p>
        </w:tc>
        <w:tc>
          <w:tcPr>
            <w:tcW w:w="1216" w:type="dxa"/>
            <w:tcBorders>
              <w:top w:val="nil"/>
              <w:left w:val="nil"/>
              <w:bottom w:val="nil"/>
              <w:right w:val="nil"/>
            </w:tcBorders>
            <w:shd w:val="clear" w:color="auto" w:fill="auto"/>
            <w:noWrap/>
            <w:vAlign w:val="bottom"/>
            <w:hideMark/>
          </w:tcPr>
          <w:p w14:paraId="2332F4AC" w14:textId="77777777" w:rsidR="00F6753D" w:rsidRPr="00F6753D" w:rsidRDefault="00F6753D" w:rsidP="00F6753D">
            <w:pPr>
              <w:rPr>
                <w:rFonts w:ascii="Times New Roman" w:eastAsia="Times New Roman" w:hAnsi="Times New Roman" w:cs="Times New Roman"/>
                <w:color w:val="000000"/>
                <w:sz w:val="22"/>
                <w:szCs w:val="22"/>
                <w:lang w:val="en-GB"/>
              </w:rPr>
            </w:pPr>
          </w:p>
        </w:tc>
      </w:tr>
      <w:tr w:rsidR="00F6753D" w:rsidRPr="00F6753D" w14:paraId="1387539F" w14:textId="77777777" w:rsidTr="000F2FB3">
        <w:trPr>
          <w:trHeight w:val="428"/>
          <w:jc w:val="center"/>
        </w:trPr>
        <w:tc>
          <w:tcPr>
            <w:tcW w:w="4116" w:type="dxa"/>
            <w:tcBorders>
              <w:top w:val="nil"/>
              <w:left w:val="nil"/>
              <w:bottom w:val="nil"/>
              <w:right w:val="nil"/>
            </w:tcBorders>
            <w:shd w:val="clear" w:color="auto" w:fill="auto"/>
            <w:noWrap/>
            <w:vAlign w:val="bottom"/>
            <w:hideMark/>
          </w:tcPr>
          <w:p w14:paraId="7DED9984" w14:textId="77777777" w:rsidR="00F6753D" w:rsidRPr="00F6753D" w:rsidRDefault="00F6753D" w:rsidP="00454D06">
            <w:pPr>
              <w:rPr>
                <w:rFonts w:ascii="Times New Roman" w:eastAsia="Times New Roman" w:hAnsi="Times New Roman" w:cs="Times New Roman"/>
                <w:color w:val="000000"/>
                <w:sz w:val="22"/>
                <w:szCs w:val="22"/>
                <w:lang w:val="en-GB"/>
              </w:rPr>
            </w:pPr>
            <w:r w:rsidRPr="00F6753D">
              <w:rPr>
                <w:rFonts w:ascii="Times New Roman" w:eastAsia="Times New Roman" w:hAnsi="Times New Roman" w:cs="Times New Roman"/>
                <w:color w:val="000000"/>
                <w:sz w:val="22"/>
                <w:szCs w:val="22"/>
                <w:lang w:val="en-GB"/>
              </w:rPr>
              <w:t>1. Leukocyte transendothelial migration</w:t>
            </w:r>
          </w:p>
        </w:tc>
        <w:tc>
          <w:tcPr>
            <w:tcW w:w="1532" w:type="dxa"/>
            <w:tcBorders>
              <w:top w:val="nil"/>
              <w:left w:val="nil"/>
              <w:bottom w:val="nil"/>
              <w:right w:val="nil"/>
            </w:tcBorders>
            <w:shd w:val="clear" w:color="auto" w:fill="auto"/>
            <w:noWrap/>
            <w:vAlign w:val="bottom"/>
            <w:hideMark/>
          </w:tcPr>
          <w:p w14:paraId="1F274F5F" w14:textId="77777777" w:rsidR="00F6753D" w:rsidRPr="00F6753D" w:rsidRDefault="00F6753D" w:rsidP="00454D06">
            <w:pPr>
              <w:rPr>
                <w:rFonts w:ascii="Times New Roman" w:eastAsia="Times New Roman" w:hAnsi="Times New Roman" w:cs="Times New Roman"/>
                <w:color w:val="000000"/>
                <w:sz w:val="22"/>
                <w:szCs w:val="22"/>
                <w:lang w:val="en-GB"/>
              </w:rPr>
            </w:pPr>
            <w:r w:rsidRPr="00F6753D">
              <w:rPr>
                <w:rFonts w:ascii="Times New Roman" w:eastAsia="Times New Roman" w:hAnsi="Times New Roman" w:cs="Times New Roman"/>
                <w:color w:val="000000"/>
                <w:sz w:val="22"/>
                <w:szCs w:val="22"/>
                <w:lang w:val="en-GB"/>
              </w:rPr>
              <w:t>KEGG</w:t>
            </w:r>
          </w:p>
        </w:tc>
        <w:tc>
          <w:tcPr>
            <w:tcW w:w="2992" w:type="dxa"/>
            <w:tcBorders>
              <w:top w:val="nil"/>
              <w:left w:val="nil"/>
              <w:bottom w:val="nil"/>
              <w:right w:val="nil"/>
            </w:tcBorders>
            <w:shd w:val="clear" w:color="auto" w:fill="auto"/>
            <w:noWrap/>
            <w:vAlign w:val="bottom"/>
            <w:hideMark/>
          </w:tcPr>
          <w:p w14:paraId="421CB113" w14:textId="77777777" w:rsidR="00F6753D" w:rsidRPr="00F6753D" w:rsidRDefault="00F6753D" w:rsidP="00454D06">
            <w:pPr>
              <w:rPr>
                <w:rFonts w:ascii="Times New Roman" w:eastAsia="Times New Roman" w:hAnsi="Times New Roman" w:cs="Times New Roman"/>
                <w:color w:val="000000"/>
                <w:sz w:val="22"/>
                <w:szCs w:val="22"/>
                <w:lang w:val="en-GB"/>
              </w:rPr>
            </w:pPr>
            <w:r w:rsidRPr="00F6753D">
              <w:rPr>
                <w:rFonts w:ascii="Times New Roman" w:eastAsia="Times New Roman" w:hAnsi="Times New Roman" w:cs="Times New Roman"/>
                <w:color w:val="000000"/>
                <w:sz w:val="22"/>
                <w:szCs w:val="22"/>
                <w:lang w:val="en-GB"/>
              </w:rPr>
              <w:t>8</w:t>
            </w:r>
          </w:p>
        </w:tc>
        <w:tc>
          <w:tcPr>
            <w:tcW w:w="2825" w:type="dxa"/>
            <w:tcBorders>
              <w:top w:val="nil"/>
              <w:left w:val="nil"/>
              <w:bottom w:val="nil"/>
              <w:right w:val="nil"/>
            </w:tcBorders>
            <w:shd w:val="clear" w:color="auto" w:fill="auto"/>
            <w:noWrap/>
            <w:vAlign w:val="bottom"/>
            <w:hideMark/>
          </w:tcPr>
          <w:p w14:paraId="61C1FD44" w14:textId="77777777" w:rsidR="00F6753D" w:rsidRPr="00F6753D" w:rsidRDefault="00F6753D" w:rsidP="00454D06">
            <w:pPr>
              <w:rPr>
                <w:rFonts w:ascii="Times New Roman" w:eastAsia="Times New Roman" w:hAnsi="Times New Roman" w:cs="Times New Roman"/>
                <w:color w:val="000000"/>
                <w:sz w:val="22"/>
                <w:szCs w:val="22"/>
                <w:lang w:val="en-GB"/>
              </w:rPr>
            </w:pPr>
            <w:r w:rsidRPr="00F6753D">
              <w:rPr>
                <w:rFonts w:ascii="Times New Roman" w:eastAsia="Times New Roman" w:hAnsi="Times New Roman" w:cs="Times New Roman"/>
                <w:color w:val="000000"/>
                <w:sz w:val="22"/>
                <w:szCs w:val="22"/>
                <w:lang w:val="en-GB"/>
              </w:rPr>
              <w:t>9.70E-02</w:t>
            </w:r>
          </w:p>
        </w:tc>
        <w:tc>
          <w:tcPr>
            <w:tcW w:w="1243" w:type="dxa"/>
            <w:tcBorders>
              <w:top w:val="nil"/>
              <w:left w:val="nil"/>
              <w:bottom w:val="nil"/>
              <w:right w:val="nil"/>
            </w:tcBorders>
            <w:shd w:val="clear" w:color="auto" w:fill="auto"/>
            <w:noWrap/>
            <w:vAlign w:val="bottom"/>
            <w:hideMark/>
          </w:tcPr>
          <w:p w14:paraId="6A1E11F6" w14:textId="77777777" w:rsidR="00F6753D" w:rsidRPr="00F6753D" w:rsidRDefault="00F6753D" w:rsidP="00454D06">
            <w:pPr>
              <w:rPr>
                <w:rFonts w:ascii="Times New Roman" w:eastAsia="Times New Roman" w:hAnsi="Times New Roman" w:cs="Times New Roman"/>
                <w:color w:val="000000"/>
                <w:sz w:val="22"/>
                <w:szCs w:val="22"/>
                <w:lang w:val="en-GB"/>
              </w:rPr>
            </w:pPr>
            <w:r w:rsidRPr="00F6753D">
              <w:rPr>
                <w:rFonts w:ascii="Times New Roman" w:eastAsia="Times New Roman" w:hAnsi="Times New Roman" w:cs="Times New Roman"/>
                <w:color w:val="000000"/>
                <w:sz w:val="22"/>
                <w:szCs w:val="22"/>
                <w:lang w:val="en-GB"/>
              </w:rPr>
              <w:t>1.00E+00</w:t>
            </w:r>
          </w:p>
        </w:tc>
        <w:tc>
          <w:tcPr>
            <w:tcW w:w="1216" w:type="dxa"/>
            <w:tcBorders>
              <w:top w:val="nil"/>
              <w:left w:val="nil"/>
              <w:bottom w:val="nil"/>
              <w:right w:val="nil"/>
            </w:tcBorders>
            <w:shd w:val="clear" w:color="auto" w:fill="auto"/>
            <w:noWrap/>
            <w:vAlign w:val="bottom"/>
            <w:hideMark/>
          </w:tcPr>
          <w:p w14:paraId="1EA3F8AA" w14:textId="77777777" w:rsidR="00F6753D" w:rsidRPr="00F6753D" w:rsidRDefault="00F6753D" w:rsidP="00F6753D">
            <w:pPr>
              <w:rPr>
                <w:rFonts w:ascii="Times New Roman" w:eastAsia="Times New Roman" w:hAnsi="Times New Roman" w:cs="Times New Roman"/>
                <w:color w:val="000000"/>
                <w:sz w:val="22"/>
                <w:szCs w:val="22"/>
                <w:lang w:val="en-GB"/>
              </w:rPr>
            </w:pPr>
          </w:p>
        </w:tc>
      </w:tr>
      <w:tr w:rsidR="00F6753D" w:rsidRPr="00F6753D" w14:paraId="38281090" w14:textId="77777777" w:rsidTr="000F2FB3">
        <w:trPr>
          <w:trHeight w:val="428"/>
          <w:jc w:val="center"/>
        </w:trPr>
        <w:tc>
          <w:tcPr>
            <w:tcW w:w="4116" w:type="dxa"/>
            <w:tcBorders>
              <w:top w:val="nil"/>
              <w:left w:val="nil"/>
              <w:bottom w:val="nil"/>
              <w:right w:val="nil"/>
            </w:tcBorders>
            <w:shd w:val="clear" w:color="auto" w:fill="auto"/>
            <w:noWrap/>
            <w:vAlign w:val="bottom"/>
            <w:hideMark/>
          </w:tcPr>
          <w:p w14:paraId="499FC7A3" w14:textId="77777777" w:rsidR="00F6753D" w:rsidRPr="00F6753D" w:rsidRDefault="00F6753D" w:rsidP="00454D06">
            <w:pPr>
              <w:rPr>
                <w:rFonts w:ascii="Times New Roman" w:eastAsia="Times New Roman" w:hAnsi="Times New Roman" w:cs="Times New Roman"/>
                <w:color w:val="000000"/>
                <w:sz w:val="22"/>
                <w:szCs w:val="22"/>
                <w:lang w:val="en-GB"/>
              </w:rPr>
            </w:pPr>
            <w:r w:rsidRPr="00F6753D">
              <w:rPr>
                <w:rFonts w:ascii="Times New Roman" w:eastAsia="Times New Roman" w:hAnsi="Times New Roman" w:cs="Times New Roman"/>
                <w:color w:val="000000"/>
                <w:sz w:val="22"/>
                <w:szCs w:val="22"/>
                <w:lang w:val="en-GB"/>
              </w:rPr>
              <w:t>2. Notch signalling pathway</w:t>
            </w:r>
          </w:p>
        </w:tc>
        <w:tc>
          <w:tcPr>
            <w:tcW w:w="1532" w:type="dxa"/>
            <w:tcBorders>
              <w:top w:val="nil"/>
              <w:left w:val="nil"/>
              <w:bottom w:val="nil"/>
              <w:right w:val="nil"/>
            </w:tcBorders>
            <w:shd w:val="clear" w:color="auto" w:fill="auto"/>
            <w:noWrap/>
            <w:vAlign w:val="bottom"/>
            <w:hideMark/>
          </w:tcPr>
          <w:p w14:paraId="11BA9FFE" w14:textId="77777777" w:rsidR="00F6753D" w:rsidRPr="00F6753D" w:rsidRDefault="00F6753D" w:rsidP="00454D06">
            <w:pPr>
              <w:rPr>
                <w:rFonts w:ascii="Times New Roman" w:eastAsia="Times New Roman" w:hAnsi="Times New Roman" w:cs="Times New Roman"/>
                <w:color w:val="000000"/>
                <w:sz w:val="22"/>
                <w:szCs w:val="22"/>
                <w:lang w:val="en-GB"/>
              </w:rPr>
            </w:pPr>
            <w:r w:rsidRPr="00F6753D">
              <w:rPr>
                <w:rFonts w:ascii="Times New Roman" w:eastAsia="Times New Roman" w:hAnsi="Times New Roman" w:cs="Times New Roman"/>
                <w:color w:val="000000"/>
                <w:sz w:val="22"/>
                <w:szCs w:val="22"/>
                <w:lang w:val="en-GB"/>
              </w:rPr>
              <w:t>KEGG</w:t>
            </w:r>
          </w:p>
        </w:tc>
        <w:tc>
          <w:tcPr>
            <w:tcW w:w="2992" w:type="dxa"/>
            <w:tcBorders>
              <w:top w:val="nil"/>
              <w:left w:val="nil"/>
              <w:bottom w:val="nil"/>
              <w:right w:val="nil"/>
            </w:tcBorders>
            <w:shd w:val="clear" w:color="auto" w:fill="auto"/>
            <w:noWrap/>
            <w:vAlign w:val="bottom"/>
            <w:hideMark/>
          </w:tcPr>
          <w:p w14:paraId="3F989CB4" w14:textId="77777777" w:rsidR="00F6753D" w:rsidRPr="00F6753D" w:rsidRDefault="00F6753D" w:rsidP="00454D06">
            <w:pPr>
              <w:rPr>
                <w:rFonts w:ascii="Times New Roman" w:eastAsia="Times New Roman" w:hAnsi="Times New Roman" w:cs="Times New Roman"/>
                <w:color w:val="000000"/>
                <w:sz w:val="22"/>
                <w:szCs w:val="22"/>
                <w:lang w:val="en-GB"/>
              </w:rPr>
            </w:pPr>
            <w:r w:rsidRPr="00F6753D">
              <w:rPr>
                <w:rFonts w:ascii="Times New Roman" w:eastAsia="Times New Roman" w:hAnsi="Times New Roman" w:cs="Times New Roman"/>
                <w:color w:val="000000"/>
                <w:sz w:val="22"/>
                <w:szCs w:val="22"/>
                <w:lang w:val="en-GB"/>
              </w:rPr>
              <w:t>6</w:t>
            </w:r>
          </w:p>
        </w:tc>
        <w:tc>
          <w:tcPr>
            <w:tcW w:w="2825" w:type="dxa"/>
            <w:tcBorders>
              <w:top w:val="nil"/>
              <w:left w:val="nil"/>
              <w:bottom w:val="nil"/>
              <w:right w:val="nil"/>
            </w:tcBorders>
            <w:shd w:val="clear" w:color="auto" w:fill="auto"/>
            <w:noWrap/>
            <w:vAlign w:val="bottom"/>
            <w:hideMark/>
          </w:tcPr>
          <w:p w14:paraId="5CC07F87" w14:textId="77777777" w:rsidR="00F6753D" w:rsidRPr="00F6753D" w:rsidRDefault="00F6753D" w:rsidP="00454D06">
            <w:pPr>
              <w:rPr>
                <w:rFonts w:ascii="Times New Roman" w:eastAsia="Times New Roman" w:hAnsi="Times New Roman" w:cs="Times New Roman"/>
                <w:color w:val="000000"/>
                <w:sz w:val="22"/>
                <w:szCs w:val="22"/>
                <w:lang w:val="en-GB"/>
              </w:rPr>
            </w:pPr>
            <w:r w:rsidRPr="00F6753D">
              <w:rPr>
                <w:rFonts w:ascii="Times New Roman" w:eastAsia="Times New Roman" w:hAnsi="Times New Roman" w:cs="Times New Roman"/>
                <w:color w:val="000000"/>
                <w:sz w:val="22"/>
                <w:szCs w:val="22"/>
                <w:lang w:val="en-GB"/>
              </w:rPr>
              <w:t>1.90E-02</w:t>
            </w:r>
          </w:p>
        </w:tc>
        <w:tc>
          <w:tcPr>
            <w:tcW w:w="1243" w:type="dxa"/>
            <w:tcBorders>
              <w:top w:val="nil"/>
              <w:left w:val="nil"/>
              <w:bottom w:val="nil"/>
              <w:right w:val="nil"/>
            </w:tcBorders>
            <w:shd w:val="clear" w:color="auto" w:fill="auto"/>
            <w:noWrap/>
            <w:vAlign w:val="bottom"/>
            <w:hideMark/>
          </w:tcPr>
          <w:p w14:paraId="5FE94B96" w14:textId="77777777" w:rsidR="00F6753D" w:rsidRPr="00F6753D" w:rsidRDefault="00F6753D" w:rsidP="00454D06">
            <w:pPr>
              <w:rPr>
                <w:rFonts w:ascii="Times New Roman" w:eastAsia="Times New Roman" w:hAnsi="Times New Roman" w:cs="Times New Roman"/>
                <w:color w:val="000000"/>
                <w:sz w:val="22"/>
                <w:szCs w:val="22"/>
                <w:lang w:val="en-GB"/>
              </w:rPr>
            </w:pPr>
            <w:r w:rsidRPr="00F6753D">
              <w:rPr>
                <w:rFonts w:ascii="Times New Roman" w:eastAsia="Times New Roman" w:hAnsi="Times New Roman" w:cs="Times New Roman"/>
                <w:color w:val="000000"/>
                <w:sz w:val="22"/>
                <w:szCs w:val="22"/>
                <w:lang w:val="en-GB"/>
              </w:rPr>
              <w:t>9.30E-01</w:t>
            </w:r>
          </w:p>
        </w:tc>
        <w:tc>
          <w:tcPr>
            <w:tcW w:w="1216" w:type="dxa"/>
            <w:tcBorders>
              <w:top w:val="nil"/>
              <w:left w:val="nil"/>
              <w:bottom w:val="nil"/>
              <w:right w:val="nil"/>
            </w:tcBorders>
            <w:shd w:val="clear" w:color="auto" w:fill="auto"/>
            <w:noWrap/>
            <w:vAlign w:val="bottom"/>
            <w:hideMark/>
          </w:tcPr>
          <w:p w14:paraId="1405A8C4" w14:textId="77777777" w:rsidR="00444E16" w:rsidRPr="00F6753D" w:rsidRDefault="00444E16" w:rsidP="00F6753D">
            <w:pPr>
              <w:rPr>
                <w:rFonts w:ascii="Times New Roman" w:eastAsia="Times New Roman" w:hAnsi="Times New Roman" w:cs="Times New Roman"/>
                <w:color w:val="000000"/>
                <w:sz w:val="22"/>
                <w:szCs w:val="22"/>
                <w:lang w:val="en-GB"/>
              </w:rPr>
            </w:pPr>
          </w:p>
        </w:tc>
      </w:tr>
    </w:tbl>
    <w:p w14:paraId="6F335CEB" w14:textId="77777777" w:rsidR="00444E16" w:rsidRDefault="00444E16" w:rsidP="00444E16">
      <w:pPr>
        <w:rPr>
          <w:rFonts w:ascii="Times New Roman" w:eastAsia="Times New Roman" w:hAnsi="Times New Roman" w:cs="Times New Roman"/>
          <w:color w:val="000000"/>
          <w:sz w:val="22"/>
          <w:szCs w:val="22"/>
          <w:lang w:val="en-GB"/>
        </w:rPr>
        <w:sectPr w:rsidR="00444E16" w:rsidSect="00573578">
          <w:pgSz w:w="16840" w:h="11900" w:orient="landscape"/>
          <w:pgMar w:top="2268" w:right="1440" w:bottom="1134" w:left="1440" w:header="709" w:footer="709" w:gutter="0"/>
          <w:cols w:space="708"/>
          <w:docGrid w:linePitch="360"/>
        </w:sectPr>
      </w:pPr>
    </w:p>
    <w:tbl>
      <w:tblPr>
        <w:tblW w:w="4116" w:type="dxa"/>
        <w:jc w:val="center"/>
        <w:tblInd w:w="93" w:type="dxa"/>
        <w:tblLook w:val="04A0" w:firstRow="1" w:lastRow="0" w:firstColumn="1" w:lastColumn="0" w:noHBand="0" w:noVBand="1"/>
      </w:tblPr>
      <w:tblGrid>
        <w:gridCol w:w="4116"/>
      </w:tblGrid>
      <w:tr w:rsidR="00226BC2" w:rsidRPr="00F6753D" w14:paraId="6FA64850" w14:textId="77777777" w:rsidTr="00226BC2">
        <w:trPr>
          <w:trHeight w:val="428"/>
          <w:jc w:val="center"/>
        </w:trPr>
        <w:tc>
          <w:tcPr>
            <w:tcW w:w="4116" w:type="dxa"/>
            <w:tcBorders>
              <w:top w:val="nil"/>
              <w:left w:val="nil"/>
              <w:bottom w:val="nil"/>
              <w:right w:val="nil"/>
            </w:tcBorders>
            <w:shd w:val="clear" w:color="auto" w:fill="auto"/>
            <w:noWrap/>
            <w:vAlign w:val="bottom"/>
          </w:tcPr>
          <w:p w14:paraId="434C62F9" w14:textId="30455750" w:rsidR="00226BC2" w:rsidRPr="00F6753D" w:rsidRDefault="00226BC2" w:rsidP="00444E16">
            <w:pPr>
              <w:rPr>
                <w:rFonts w:ascii="Times New Roman" w:eastAsia="Times New Roman" w:hAnsi="Times New Roman" w:cs="Times New Roman"/>
                <w:color w:val="000000"/>
                <w:sz w:val="22"/>
                <w:szCs w:val="22"/>
                <w:lang w:val="en-GB"/>
              </w:rPr>
            </w:pPr>
          </w:p>
        </w:tc>
      </w:tr>
    </w:tbl>
    <w:p w14:paraId="25B95A9D" w14:textId="74AB07EC" w:rsidR="00806D37" w:rsidRPr="00303E90" w:rsidRDefault="008001A5" w:rsidP="00303E90">
      <w:pPr>
        <w:spacing w:line="360" w:lineRule="auto"/>
        <w:rPr>
          <w:rFonts w:ascii="Times New Roman" w:hAnsi="Times New Roman" w:cs="Times New Roman"/>
          <w:b/>
          <w:noProof/>
          <w:u w:val="single"/>
        </w:rPr>
      </w:pPr>
      <w:bookmarkStart w:id="2101" w:name="_Toc333566209"/>
      <w:bookmarkStart w:id="2102" w:name="_Toc333569093"/>
      <w:r w:rsidRPr="00303E90">
        <w:rPr>
          <w:rFonts w:ascii="Times New Roman" w:hAnsi="Times New Roman" w:cs="Times New Roman"/>
          <w:b/>
          <w:noProof/>
          <w:u w:val="single"/>
        </w:rPr>
        <w:t>IMPALA Pathway enrichment analysis o</w:t>
      </w:r>
      <w:r w:rsidR="00B8782A" w:rsidRPr="00303E90">
        <w:rPr>
          <w:rFonts w:ascii="Times New Roman" w:hAnsi="Times New Roman" w:cs="Times New Roman"/>
          <w:b/>
          <w:noProof/>
          <w:u w:val="single"/>
        </w:rPr>
        <w:t>f IGF1R impaired astrocytes FACS</w:t>
      </w:r>
      <w:r w:rsidRPr="00303E90">
        <w:rPr>
          <w:rFonts w:ascii="Times New Roman" w:hAnsi="Times New Roman" w:cs="Times New Roman"/>
          <w:b/>
          <w:noProof/>
          <w:u w:val="single"/>
        </w:rPr>
        <w:t xml:space="preserve"> sorted from co-culture</w:t>
      </w:r>
      <w:bookmarkEnd w:id="2101"/>
      <w:bookmarkEnd w:id="2102"/>
    </w:p>
    <w:p w14:paraId="44CEB59F" w14:textId="3E6EBEF7" w:rsidR="00806D37" w:rsidRDefault="00806D37" w:rsidP="00C63BC1">
      <w:pPr>
        <w:spacing w:line="360" w:lineRule="auto"/>
        <w:jc w:val="both"/>
        <w:rPr>
          <w:rFonts w:ascii="Times New Roman" w:hAnsi="Times New Roman" w:cs="Times New Roman"/>
          <w:noProof/>
        </w:rPr>
      </w:pPr>
      <w:r>
        <w:rPr>
          <w:rFonts w:ascii="Times New Roman" w:hAnsi="Times New Roman" w:cs="Times New Roman"/>
          <w:noProof/>
        </w:rPr>
        <w:t>The officical gene symbols of each of the differentially expressed transcripts were uploaded into IMPALA version 9 to identify enriched biological pat</w:t>
      </w:r>
      <w:r w:rsidR="00B2758B">
        <w:rPr>
          <w:rFonts w:ascii="Times New Roman" w:hAnsi="Times New Roman" w:cs="Times New Roman"/>
          <w:noProof/>
        </w:rPr>
        <w:t>hways from the microarray data set. The</w:t>
      </w:r>
      <w:r w:rsidR="00860FFE">
        <w:rPr>
          <w:rFonts w:ascii="Times New Roman" w:hAnsi="Times New Roman" w:cs="Times New Roman"/>
          <w:noProof/>
        </w:rPr>
        <w:t xml:space="preserve"> most enriched pathways</w:t>
      </w:r>
      <w:r w:rsidR="000F1A2C">
        <w:rPr>
          <w:rFonts w:ascii="Times New Roman" w:hAnsi="Times New Roman" w:cs="Times New Roman"/>
          <w:noProof/>
        </w:rPr>
        <w:t xml:space="preserve"> from all of the genes input into the analysis include small ligand GPCRs, ubiquitin mediated proteolysis, Parkinson’s Disease and glycolysis (</w:t>
      </w:r>
      <w:r w:rsidR="000F1A2C" w:rsidRPr="000273AF">
        <w:rPr>
          <w:rFonts w:ascii="Times New Roman" w:hAnsi="Times New Roman" w:cs="Times New Roman"/>
          <w:b/>
          <w:noProof/>
        </w:rPr>
        <w:t xml:space="preserve">table </w:t>
      </w:r>
      <w:r w:rsidR="005B4F37" w:rsidRPr="000273AF">
        <w:rPr>
          <w:rFonts w:ascii="Times New Roman" w:hAnsi="Times New Roman" w:cs="Times New Roman"/>
          <w:b/>
          <w:noProof/>
        </w:rPr>
        <w:t>5.10</w:t>
      </w:r>
      <w:r w:rsidR="000F1A2C">
        <w:rPr>
          <w:rFonts w:ascii="Times New Roman" w:hAnsi="Times New Roman" w:cs="Times New Roman"/>
          <w:noProof/>
        </w:rPr>
        <w:t xml:space="preserve">). Analysis of the </w:t>
      </w:r>
      <w:r w:rsidR="006A463B">
        <w:rPr>
          <w:rFonts w:ascii="Times New Roman" w:hAnsi="Times New Roman" w:cs="Times New Roman"/>
          <w:noProof/>
        </w:rPr>
        <w:t xml:space="preserve">1520 </w:t>
      </w:r>
      <w:r w:rsidR="000F1A2C">
        <w:rPr>
          <w:rFonts w:ascii="Times New Roman" w:hAnsi="Times New Roman" w:cs="Times New Roman"/>
          <w:noProof/>
        </w:rPr>
        <w:t xml:space="preserve">downregulated transcripts </w:t>
      </w:r>
      <w:r w:rsidR="006A463B">
        <w:rPr>
          <w:rFonts w:ascii="Times New Roman" w:hAnsi="Times New Roman" w:cs="Times New Roman"/>
          <w:noProof/>
        </w:rPr>
        <w:t>showed</w:t>
      </w:r>
      <w:r w:rsidR="000F1A2C">
        <w:rPr>
          <w:rFonts w:ascii="Times New Roman" w:hAnsi="Times New Roman" w:cs="Times New Roman"/>
          <w:noProof/>
        </w:rPr>
        <w:t xml:space="preserve"> enrichment of</w:t>
      </w:r>
      <w:r w:rsidR="006A463B">
        <w:rPr>
          <w:rFonts w:ascii="Times New Roman" w:hAnsi="Times New Roman" w:cs="Times New Roman"/>
          <w:noProof/>
        </w:rPr>
        <w:t xml:space="preserve"> genes involved in</w:t>
      </w:r>
      <w:r w:rsidR="000F1A2C">
        <w:rPr>
          <w:rFonts w:ascii="Times New Roman" w:hAnsi="Times New Roman" w:cs="Times New Roman"/>
          <w:noProof/>
        </w:rPr>
        <w:t xml:space="preserve"> Parkinson’s Disease, electron transport chain and oxidative phosphorylation pathways</w:t>
      </w:r>
      <w:r w:rsidR="006A463B">
        <w:rPr>
          <w:rFonts w:ascii="Times New Roman" w:hAnsi="Times New Roman" w:cs="Times New Roman"/>
          <w:noProof/>
        </w:rPr>
        <w:t xml:space="preserve"> (</w:t>
      </w:r>
      <w:r w:rsidR="006A463B" w:rsidRPr="000273AF">
        <w:rPr>
          <w:rFonts w:ascii="Times New Roman" w:hAnsi="Times New Roman" w:cs="Times New Roman"/>
          <w:b/>
          <w:noProof/>
        </w:rPr>
        <w:t>table 5.1</w:t>
      </w:r>
      <w:r w:rsidR="000273AF">
        <w:rPr>
          <w:rFonts w:ascii="Times New Roman" w:hAnsi="Times New Roman" w:cs="Times New Roman"/>
          <w:b/>
          <w:noProof/>
        </w:rPr>
        <w:t>1</w:t>
      </w:r>
      <w:r w:rsidR="006A463B">
        <w:rPr>
          <w:rFonts w:ascii="Times New Roman" w:hAnsi="Times New Roman" w:cs="Times New Roman"/>
          <w:noProof/>
        </w:rPr>
        <w:t>)</w:t>
      </w:r>
      <w:r w:rsidR="000F1A2C">
        <w:rPr>
          <w:rFonts w:ascii="Times New Roman" w:hAnsi="Times New Roman" w:cs="Times New Roman"/>
          <w:noProof/>
        </w:rPr>
        <w:t xml:space="preserve">. </w:t>
      </w:r>
      <w:r w:rsidR="000273AF">
        <w:rPr>
          <w:rFonts w:ascii="Times New Roman" w:hAnsi="Times New Roman" w:cs="Times New Roman"/>
          <w:noProof/>
        </w:rPr>
        <w:t>From the 1295 upregulated transcripts, the most enriched pathways include glycolysis, gluconeogene</w:t>
      </w:r>
      <w:r w:rsidR="003A101E">
        <w:rPr>
          <w:rFonts w:ascii="Times New Roman" w:hAnsi="Times New Roman" w:cs="Times New Roman"/>
          <w:noProof/>
        </w:rPr>
        <w:t>s</w:t>
      </w:r>
      <w:r w:rsidR="000273AF">
        <w:rPr>
          <w:rFonts w:ascii="Times New Roman" w:hAnsi="Times New Roman" w:cs="Times New Roman"/>
          <w:noProof/>
        </w:rPr>
        <w:t>is and glycine, serine and threonine metabolism (</w:t>
      </w:r>
      <w:r w:rsidR="000273AF" w:rsidRPr="000273AF">
        <w:rPr>
          <w:rFonts w:ascii="Times New Roman" w:hAnsi="Times New Roman" w:cs="Times New Roman"/>
          <w:b/>
          <w:noProof/>
        </w:rPr>
        <w:t>table 5.1</w:t>
      </w:r>
      <w:r w:rsidR="000273AF">
        <w:rPr>
          <w:rFonts w:ascii="Times New Roman" w:hAnsi="Times New Roman" w:cs="Times New Roman"/>
          <w:b/>
          <w:noProof/>
        </w:rPr>
        <w:t>2</w:t>
      </w:r>
      <w:r w:rsidR="000273AF">
        <w:rPr>
          <w:rFonts w:ascii="Times New Roman" w:hAnsi="Times New Roman" w:cs="Times New Roman"/>
          <w:noProof/>
        </w:rPr>
        <w:t>)</w:t>
      </w:r>
      <w:r w:rsidR="00C63BC1">
        <w:rPr>
          <w:rFonts w:ascii="Times New Roman" w:hAnsi="Times New Roman" w:cs="Times New Roman"/>
          <w:noProof/>
        </w:rPr>
        <w:t>.</w:t>
      </w:r>
    </w:p>
    <w:p w14:paraId="25EF1201" w14:textId="77777777" w:rsidR="00806D37" w:rsidRDefault="00806D37" w:rsidP="008001A5">
      <w:pPr>
        <w:spacing w:line="360" w:lineRule="auto"/>
        <w:rPr>
          <w:rFonts w:ascii="Times New Roman" w:hAnsi="Times New Roman" w:cs="Times New Roman"/>
          <w:noProof/>
        </w:rPr>
      </w:pPr>
    </w:p>
    <w:p w14:paraId="5F927346" w14:textId="77777777" w:rsidR="00806D37" w:rsidRDefault="00806D37" w:rsidP="008001A5">
      <w:pPr>
        <w:spacing w:line="360" w:lineRule="auto"/>
        <w:rPr>
          <w:rFonts w:ascii="Times New Roman" w:hAnsi="Times New Roman" w:cs="Times New Roman"/>
          <w:noProof/>
        </w:rPr>
      </w:pPr>
    </w:p>
    <w:p w14:paraId="105D2624" w14:textId="77777777" w:rsidR="00806D37" w:rsidRDefault="00806D37" w:rsidP="008001A5">
      <w:pPr>
        <w:spacing w:line="360" w:lineRule="auto"/>
        <w:rPr>
          <w:rFonts w:ascii="Times New Roman" w:hAnsi="Times New Roman" w:cs="Times New Roman"/>
          <w:noProof/>
        </w:rPr>
      </w:pPr>
    </w:p>
    <w:p w14:paraId="608CE128" w14:textId="77777777" w:rsidR="00806D37" w:rsidRDefault="00806D37" w:rsidP="008001A5">
      <w:pPr>
        <w:spacing w:line="360" w:lineRule="auto"/>
        <w:rPr>
          <w:rFonts w:ascii="Times New Roman" w:hAnsi="Times New Roman" w:cs="Times New Roman"/>
          <w:noProof/>
        </w:rPr>
      </w:pPr>
    </w:p>
    <w:p w14:paraId="17A6B092" w14:textId="77777777" w:rsidR="00806D37" w:rsidRDefault="00806D37" w:rsidP="008001A5">
      <w:pPr>
        <w:spacing w:line="360" w:lineRule="auto"/>
        <w:rPr>
          <w:rFonts w:ascii="Times New Roman" w:hAnsi="Times New Roman" w:cs="Times New Roman"/>
          <w:noProof/>
        </w:rPr>
      </w:pPr>
    </w:p>
    <w:p w14:paraId="70D0A03C" w14:textId="77777777" w:rsidR="00806D37" w:rsidRDefault="00806D37" w:rsidP="008001A5">
      <w:pPr>
        <w:spacing w:line="360" w:lineRule="auto"/>
        <w:rPr>
          <w:rFonts w:ascii="Times New Roman" w:hAnsi="Times New Roman" w:cs="Times New Roman"/>
          <w:noProof/>
        </w:rPr>
      </w:pPr>
    </w:p>
    <w:p w14:paraId="0EA01DC7" w14:textId="77777777" w:rsidR="00806D37" w:rsidRDefault="00806D37" w:rsidP="008001A5">
      <w:pPr>
        <w:spacing w:line="360" w:lineRule="auto"/>
        <w:rPr>
          <w:rFonts w:ascii="Times New Roman" w:hAnsi="Times New Roman" w:cs="Times New Roman"/>
          <w:noProof/>
        </w:rPr>
      </w:pPr>
    </w:p>
    <w:p w14:paraId="2FA31810" w14:textId="77777777" w:rsidR="00806D37" w:rsidRDefault="00806D37" w:rsidP="008001A5">
      <w:pPr>
        <w:spacing w:line="360" w:lineRule="auto"/>
        <w:rPr>
          <w:rFonts w:ascii="Times New Roman" w:hAnsi="Times New Roman" w:cs="Times New Roman"/>
          <w:noProof/>
        </w:rPr>
      </w:pPr>
    </w:p>
    <w:p w14:paraId="1EDEDD34" w14:textId="77777777" w:rsidR="00806D37" w:rsidRDefault="00806D37" w:rsidP="008001A5">
      <w:pPr>
        <w:spacing w:line="360" w:lineRule="auto"/>
        <w:rPr>
          <w:rFonts w:ascii="Times New Roman" w:hAnsi="Times New Roman" w:cs="Times New Roman"/>
          <w:noProof/>
        </w:rPr>
      </w:pPr>
    </w:p>
    <w:p w14:paraId="66D8E0FD" w14:textId="77777777" w:rsidR="00806D37" w:rsidRDefault="00806D37" w:rsidP="008001A5">
      <w:pPr>
        <w:spacing w:line="360" w:lineRule="auto"/>
        <w:rPr>
          <w:rFonts w:ascii="Times New Roman" w:hAnsi="Times New Roman" w:cs="Times New Roman"/>
          <w:noProof/>
        </w:rPr>
      </w:pPr>
    </w:p>
    <w:p w14:paraId="293C4698" w14:textId="77777777" w:rsidR="00806D37" w:rsidRDefault="00806D37" w:rsidP="008001A5">
      <w:pPr>
        <w:spacing w:line="360" w:lineRule="auto"/>
        <w:rPr>
          <w:rFonts w:ascii="Times New Roman" w:hAnsi="Times New Roman" w:cs="Times New Roman"/>
          <w:noProof/>
        </w:rPr>
      </w:pPr>
    </w:p>
    <w:p w14:paraId="086CF24A" w14:textId="77777777" w:rsidR="00806D37" w:rsidRDefault="00806D37" w:rsidP="008001A5">
      <w:pPr>
        <w:spacing w:line="360" w:lineRule="auto"/>
        <w:rPr>
          <w:rFonts w:ascii="Times New Roman" w:hAnsi="Times New Roman" w:cs="Times New Roman"/>
          <w:noProof/>
        </w:rPr>
      </w:pPr>
    </w:p>
    <w:p w14:paraId="5697B5C8" w14:textId="77777777" w:rsidR="00806D37" w:rsidRDefault="00806D37" w:rsidP="008001A5">
      <w:pPr>
        <w:spacing w:line="360" w:lineRule="auto"/>
        <w:rPr>
          <w:rFonts w:ascii="Times New Roman" w:hAnsi="Times New Roman" w:cs="Times New Roman"/>
          <w:noProof/>
        </w:rPr>
      </w:pPr>
    </w:p>
    <w:p w14:paraId="15259CA4" w14:textId="77777777" w:rsidR="00806D37" w:rsidRDefault="00806D37" w:rsidP="008001A5">
      <w:pPr>
        <w:spacing w:line="360" w:lineRule="auto"/>
        <w:rPr>
          <w:rFonts w:ascii="Times New Roman" w:hAnsi="Times New Roman" w:cs="Times New Roman"/>
          <w:noProof/>
        </w:rPr>
      </w:pPr>
    </w:p>
    <w:p w14:paraId="5EF6F107" w14:textId="77777777" w:rsidR="00806D37" w:rsidRDefault="00806D37" w:rsidP="008001A5">
      <w:pPr>
        <w:spacing w:line="360" w:lineRule="auto"/>
        <w:rPr>
          <w:rFonts w:ascii="Times New Roman" w:hAnsi="Times New Roman" w:cs="Times New Roman"/>
          <w:noProof/>
        </w:rPr>
      </w:pPr>
    </w:p>
    <w:p w14:paraId="42899540" w14:textId="77777777" w:rsidR="00806D37" w:rsidRDefault="00806D37" w:rsidP="008001A5">
      <w:pPr>
        <w:spacing w:line="360" w:lineRule="auto"/>
        <w:rPr>
          <w:rFonts w:ascii="Times New Roman" w:hAnsi="Times New Roman" w:cs="Times New Roman"/>
          <w:noProof/>
        </w:rPr>
      </w:pPr>
    </w:p>
    <w:p w14:paraId="6903B42F" w14:textId="77777777" w:rsidR="00806D37" w:rsidRDefault="00806D37" w:rsidP="008001A5">
      <w:pPr>
        <w:spacing w:line="360" w:lineRule="auto"/>
        <w:rPr>
          <w:rFonts w:ascii="Times New Roman" w:hAnsi="Times New Roman" w:cs="Times New Roman"/>
          <w:noProof/>
        </w:rPr>
      </w:pPr>
    </w:p>
    <w:p w14:paraId="0BDBBCD3" w14:textId="77777777" w:rsidR="006A463B" w:rsidRDefault="006A463B" w:rsidP="008001A5">
      <w:pPr>
        <w:spacing w:line="360" w:lineRule="auto"/>
        <w:rPr>
          <w:rFonts w:ascii="Times New Roman" w:hAnsi="Times New Roman" w:cs="Times New Roman"/>
          <w:noProof/>
        </w:rPr>
        <w:sectPr w:rsidR="006A463B" w:rsidSect="00444E16">
          <w:pgSz w:w="11900" w:h="16840"/>
          <w:pgMar w:top="1440" w:right="1134" w:bottom="1440" w:left="2268" w:header="709" w:footer="709" w:gutter="0"/>
          <w:cols w:space="708"/>
          <w:docGrid w:linePitch="360"/>
        </w:sectPr>
      </w:pPr>
    </w:p>
    <w:p w14:paraId="50E815A8" w14:textId="47919924" w:rsidR="00860A3D" w:rsidRPr="00385B0F" w:rsidRDefault="00860A3D" w:rsidP="004D474F">
      <w:pPr>
        <w:pStyle w:val="Heading5"/>
        <w:rPr>
          <w:noProof/>
          <w:color w:val="FF0000"/>
        </w:rPr>
      </w:pPr>
      <w:bookmarkStart w:id="2103" w:name="_Toc333569359"/>
      <w:bookmarkStart w:id="2104" w:name="_Toc333570897"/>
      <w:bookmarkStart w:id="2105" w:name="_Toc333585978"/>
      <w:bookmarkStart w:id="2106" w:name="_Toc333586854"/>
      <w:bookmarkStart w:id="2107" w:name="_Toc333644553"/>
      <w:bookmarkStart w:id="2108" w:name="_Toc333644847"/>
      <w:r>
        <w:rPr>
          <w:noProof/>
        </w:rPr>
        <w:t>Table 5.10</w:t>
      </w:r>
      <w:r w:rsidR="0043060F">
        <w:rPr>
          <w:noProof/>
        </w:rPr>
        <w:t>.</w:t>
      </w:r>
      <w:r>
        <w:rPr>
          <w:noProof/>
        </w:rPr>
        <w:t xml:space="preserve"> IMPALA Enrichment Pathway analysis for all 2815 transcripts in MAB391 astrocytes compared to untreated a</w:t>
      </w:r>
      <w:r w:rsidR="006C487D">
        <w:rPr>
          <w:noProof/>
        </w:rPr>
        <w:t>strocytes with FC≥1.2 and P&lt;0.05</w:t>
      </w:r>
      <w:bookmarkEnd w:id="2103"/>
      <w:bookmarkEnd w:id="2104"/>
      <w:bookmarkEnd w:id="2105"/>
      <w:bookmarkEnd w:id="2106"/>
      <w:bookmarkEnd w:id="2107"/>
      <w:bookmarkEnd w:id="2108"/>
      <w:r w:rsidR="002A4986">
        <w:rPr>
          <w:noProof/>
        </w:rPr>
        <w:t>. DE- differentially expressed.</w:t>
      </w:r>
      <w:r>
        <w:rPr>
          <w:noProof/>
        </w:rPr>
        <w:t xml:space="preserve">   </w:t>
      </w:r>
    </w:p>
    <w:p w14:paraId="6888E269" w14:textId="04B9DA98" w:rsidR="00806D37" w:rsidRDefault="00806D37" w:rsidP="008001A5">
      <w:pPr>
        <w:spacing w:line="360" w:lineRule="auto"/>
        <w:rPr>
          <w:rFonts w:ascii="Times New Roman" w:hAnsi="Times New Roman" w:cs="Times New Roman"/>
          <w:noProof/>
        </w:rPr>
      </w:pPr>
    </w:p>
    <w:tbl>
      <w:tblPr>
        <w:tblW w:w="12955" w:type="dxa"/>
        <w:jc w:val="center"/>
        <w:tblInd w:w="93" w:type="dxa"/>
        <w:tblLook w:val="04A0" w:firstRow="1" w:lastRow="0" w:firstColumn="1" w:lastColumn="0" w:noHBand="0" w:noVBand="1"/>
      </w:tblPr>
      <w:tblGrid>
        <w:gridCol w:w="5675"/>
        <w:gridCol w:w="1834"/>
        <w:gridCol w:w="1255"/>
        <w:gridCol w:w="1255"/>
        <w:gridCol w:w="1468"/>
        <w:gridCol w:w="1468"/>
      </w:tblGrid>
      <w:tr w:rsidR="00723C14" w:rsidRPr="00723C14" w14:paraId="380AFEFA" w14:textId="77777777" w:rsidTr="006A463B">
        <w:trPr>
          <w:trHeight w:val="294"/>
          <w:jc w:val="center"/>
        </w:trPr>
        <w:tc>
          <w:tcPr>
            <w:tcW w:w="5675" w:type="dxa"/>
            <w:tcBorders>
              <w:top w:val="single" w:sz="4" w:space="0" w:color="auto"/>
              <w:left w:val="nil"/>
              <w:bottom w:val="single" w:sz="4" w:space="0" w:color="auto"/>
              <w:right w:val="nil"/>
            </w:tcBorders>
            <w:shd w:val="clear" w:color="auto" w:fill="auto"/>
            <w:noWrap/>
            <w:vAlign w:val="bottom"/>
            <w:hideMark/>
          </w:tcPr>
          <w:p w14:paraId="2ECEC69C" w14:textId="77777777" w:rsidR="00723C14" w:rsidRPr="00723C14" w:rsidRDefault="00723C14" w:rsidP="00454D06">
            <w:pPr>
              <w:rPr>
                <w:rFonts w:ascii="Times New Roman" w:eastAsia="Times New Roman" w:hAnsi="Times New Roman" w:cs="Times New Roman"/>
                <w:b/>
                <w:bCs/>
                <w:color w:val="000000"/>
                <w:lang w:val="en-GB"/>
              </w:rPr>
            </w:pPr>
            <w:r w:rsidRPr="00723C14">
              <w:rPr>
                <w:rFonts w:ascii="Times New Roman" w:eastAsia="Times New Roman" w:hAnsi="Times New Roman" w:cs="Times New Roman"/>
                <w:b/>
                <w:bCs/>
                <w:color w:val="000000"/>
                <w:lang w:val="en-GB"/>
              </w:rPr>
              <w:t>Pathway Name</w:t>
            </w:r>
          </w:p>
        </w:tc>
        <w:tc>
          <w:tcPr>
            <w:tcW w:w="1834" w:type="dxa"/>
            <w:tcBorders>
              <w:top w:val="single" w:sz="4" w:space="0" w:color="auto"/>
              <w:left w:val="nil"/>
              <w:bottom w:val="single" w:sz="4" w:space="0" w:color="auto"/>
              <w:right w:val="nil"/>
            </w:tcBorders>
            <w:shd w:val="clear" w:color="auto" w:fill="auto"/>
            <w:noWrap/>
            <w:vAlign w:val="bottom"/>
            <w:hideMark/>
          </w:tcPr>
          <w:p w14:paraId="4DA61F25" w14:textId="77777777" w:rsidR="00723C14" w:rsidRPr="00723C14" w:rsidRDefault="00723C14" w:rsidP="00454D06">
            <w:pPr>
              <w:rPr>
                <w:rFonts w:ascii="Times New Roman" w:eastAsia="Times New Roman" w:hAnsi="Times New Roman" w:cs="Times New Roman"/>
                <w:b/>
                <w:bCs/>
                <w:color w:val="000000"/>
                <w:lang w:val="en-GB"/>
              </w:rPr>
            </w:pPr>
            <w:r w:rsidRPr="00723C14">
              <w:rPr>
                <w:rFonts w:ascii="Times New Roman" w:eastAsia="Times New Roman" w:hAnsi="Times New Roman" w:cs="Times New Roman"/>
                <w:b/>
                <w:bCs/>
                <w:color w:val="000000"/>
                <w:lang w:val="en-GB"/>
              </w:rPr>
              <w:t>Pathway source</w:t>
            </w:r>
          </w:p>
        </w:tc>
        <w:tc>
          <w:tcPr>
            <w:tcW w:w="1255" w:type="dxa"/>
            <w:tcBorders>
              <w:top w:val="single" w:sz="4" w:space="0" w:color="auto"/>
              <w:left w:val="nil"/>
              <w:bottom w:val="single" w:sz="4" w:space="0" w:color="auto"/>
              <w:right w:val="nil"/>
            </w:tcBorders>
            <w:shd w:val="clear" w:color="auto" w:fill="auto"/>
            <w:noWrap/>
            <w:vAlign w:val="bottom"/>
            <w:hideMark/>
          </w:tcPr>
          <w:p w14:paraId="7905AB6D" w14:textId="77777777" w:rsidR="00723C14" w:rsidRPr="00723C14" w:rsidRDefault="00723C14" w:rsidP="00454D06">
            <w:pPr>
              <w:rPr>
                <w:rFonts w:ascii="Times New Roman" w:eastAsia="Times New Roman" w:hAnsi="Times New Roman" w:cs="Times New Roman"/>
                <w:b/>
                <w:bCs/>
                <w:color w:val="000000"/>
                <w:lang w:val="en-GB"/>
              </w:rPr>
            </w:pPr>
            <w:r w:rsidRPr="00723C14">
              <w:rPr>
                <w:rFonts w:ascii="Times New Roman" w:eastAsia="Times New Roman" w:hAnsi="Times New Roman" w:cs="Times New Roman"/>
                <w:b/>
                <w:bCs/>
                <w:color w:val="000000"/>
                <w:lang w:val="en-GB"/>
              </w:rPr>
              <w:t>Number of DE genes in the pathway</w:t>
            </w:r>
          </w:p>
        </w:tc>
        <w:tc>
          <w:tcPr>
            <w:tcW w:w="1255" w:type="dxa"/>
            <w:tcBorders>
              <w:top w:val="single" w:sz="4" w:space="0" w:color="auto"/>
              <w:left w:val="nil"/>
              <w:bottom w:val="single" w:sz="4" w:space="0" w:color="auto"/>
              <w:right w:val="nil"/>
            </w:tcBorders>
            <w:shd w:val="clear" w:color="auto" w:fill="auto"/>
            <w:noWrap/>
            <w:vAlign w:val="bottom"/>
            <w:hideMark/>
          </w:tcPr>
          <w:p w14:paraId="698E5E65" w14:textId="77777777" w:rsidR="00723C14" w:rsidRPr="00723C14" w:rsidRDefault="00723C14" w:rsidP="00454D06">
            <w:pPr>
              <w:rPr>
                <w:rFonts w:ascii="Times New Roman" w:eastAsia="Times New Roman" w:hAnsi="Times New Roman" w:cs="Times New Roman"/>
                <w:b/>
                <w:bCs/>
                <w:color w:val="000000"/>
                <w:lang w:val="en-GB"/>
              </w:rPr>
            </w:pPr>
            <w:r w:rsidRPr="00723C14">
              <w:rPr>
                <w:rFonts w:ascii="Times New Roman" w:eastAsia="Times New Roman" w:hAnsi="Times New Roman" w:cs="Times New Roman"/>
                <w:b/>
                <w:bCs/>
                <w:color w:val="000000"/>
                <w:lang w:val="en-GB"/>
              </w:rPr>
              <w:t>Total number of genes in the pathway</w:t>
            </w:r>
          </w:p>
        </w:tc>
        <w:tc>
          <w:tcPr>
            <w:tcW w:w="1468" w:type="dxa"/>
            <w:tcBorders>
              <w:top w:val="single" w:sz="4" w:space="0" w:color="auto"/>
              <w:left w:val="nil"/>
              <w:bottom w:val="single" w:sz="4" w:space="0" w:color="auto"/>
              <w:right w:val="nil"/>
            </w:tcBorders>
            <w:shd w:val="clear" w:color="auto" w:fill="auto"/>
            <w:noWrap/>
            <w:vAlign w:val="bottom"/>
            <w:hideMark/>
          </w:tcPr>
          <w:p w14:paraId="15C834D1" w14:textId="77777777" w:rsidR="00723C14" w:rsidRPr="00723C14" w:rsidRDefault="00723C14" w:rsidP="00454D06">
            <w:pPr>
              <w:rPr>
                <w:rFonts w:ascii="Times New Roman" w:eastAsia="Times New Roman" w:hAnsi="Times New Roman" w:cs="Times New Roman"/>
                <w:b/>
                <w:bCs/>
                <w:color w:val="000000"/>
                <w:lang w:val="en-GB"/>
              </w:rPr>
            </w:pPr>
            <w:r w:rsidRPr="00723C14">
              <w:rPr>
                <w:rFonts w:ascii="Times New Roman" w:eastAsia="Times New Roman" w:hAnsi="Times New Roman" w:cs="Times New Roman"/>
                <w:b/>
                <w:bCs/>
                <w:color w:val="000000"/>
                <w:lang w:val="en-GB"/>
              </w:rPr>
              <w:t>P value (most significant term)</w:t>
            </w:r>
          </w:p>
        </w:tc>
        <w:tc>
          <w:tcPr>
            <w:tcW w:w="1468" w:type="dxa"/>
            <w:tcBorders>
              <w:top w:val="single" w:sz="4" w:space="0" w:color="auto"/>
              <w:left w:val="nil"/>
              <w:bottom w:val="single" w:sz="4" w:space="0" w:color="auto"/>
              <w:right w:val="nil"/>
            </w:tcBorders>
            <w:shd w:val="clear" w:color="auto" w:fill="auto"/>
            <w:noWrap/>
            <w:vAlign w:val="bottom"/>
            <w:hideMark/>
          </w:tcPr>
          <w:p w14:paraId="3C9EED86" w14:textId="77777777" w:rsidR="00723C14" w:rsidRPr="00723C14" w:rsidRDefault="00723C14" w:rsidP="00454D06">
            <w:pPr>
              <w:rPr>
                <w:rFonts w:ascii="Times New Roman" w:eastAsia="Times New Roman" w:hAnsi="Times New Roman" w:cs="Times New Roman"/>
                <w:b/>
                <w:bCs/>
                <w:color w:val="000000"/>
                <w:lang w:val="en-GB"/>
              </w:rPr>
            </w:pPr>
            <w:r w:rsidRPr="00723C14">
              <w:rPr>
                <w:rFonts w:ascii="Times New Roman" w:eastAsia="Times New Roman" w:hAnsi="Times New Roman" w:cs="Times New Roman"/>
                <w:b/>
                <w:bCs/>
                <w:color w:val="000000"/>
                <w:lang w:val="en-GB"/>
              </w:rPr>
              <w:t>FDR (most significant term)</w:t>
            </w:r>
          </w:p>
        </w:tc>
      </w:tr>
      <w:tr w:rsidR="00723C14" w:rsidRPr="00723C14" w14:paraId="0020F185" w14:textId="77777777" w:rsidTr="006A463B">
        <w:trPr>
          <w:trHeight w:val="294"/>
          <w:jc w:val="center"/>
        </w:trPr>
        <w:tc>
          <w:tcPr>
            <w:tcW w:w="5675" w:type="dxa"/>
            <w:tcBorders>
              <w:top w:val="nil"/>
              <w:left w:val="nil"/>
              <w:bottom w:val="nil"/>
              <w:right w:val="nil"/>
            </w:tcBorders>
            <w:shd w:val="clear" w:color="auto" w:fill="auto"/>
            <w:noWrap/>
            <w:vAlign w:val="bottom"/>
            <w:hideMark/>
          </w:tcPr>
          <w:p w14:paraId="18E499BC"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1. Proteoglycan syndecan-mediated signaling events</w:t>
            </w:r>
          </w:p>
        </w:tc>
        <w:tc>
          <w:tcPr>
            <w:tcW w:w="1834" w:type="dxa"/>
            <w:tcBorders>
              <w:top w:val="nil"/>
              <w:left w:val="nil"/>
              <w:bottom w:val="nil"/>
              <w:right w:val="nil"/>
            </w:tcBorders>
            <w:shd w:val="clear" w:color="auto" w:fill="auto"/>
            <w:noWrap/>
            <w:vAlign w:val="bottom"/>
            <w:hideMark/>
          </w:tcPr>
          <w:p w14:paraId="14EA7DC4"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PID</w:t>
            </w:r>
          </w:p>
        </w:tc>
        <w:tc>
          <w:tcPr>
            <w:tcW w:w="1255" w:type="dxa"/>
            <w:tcBorders>
              <w:top w:val="nil"/>
              <w:left w:val="nil"/>
              <w:bottom w:val="nil"/>
              <w:right w:val="nil"/>
            </w:tcBorders>
            <w:shd w:val="clear" w:color="auto" w:fill="auto"/>
            <w:noWrap/>
            <w:vAlign w:val="bottom"/>
            <w:hideMark/>
          </w:tcPr>
          <w:p w14:paraId="02E79216"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3</w:t>
            </w:r>
          </w:p>
        </w:tc>
        <w:tc>
          <w:tcPr>
            <w:tcW w:w="1255" w:type="dxa"/>
            <w:tcBorders>
              <w:top w:val="nil"/>
              <w:left w:val="nil"/>
              <w:bottom w:val="nil"/>
              <w:right w:val="nil"/>
            </w:tcBorders>
            <w:shd w:val="clear" w:color="auto" w:fill="auto"/>
            <w:noWrap/>
            <w:vAlign w:val="bottom"/>
            <w:hideMark/>
          </w:tcPr>
          <w:p w14:paraId="08DC0D38"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4 (4)</w:t>
            </w:r>
          </w:p>
        </w:tc>
        <w:tc>
          <w:tcPr>
            <w:tcW w:w="1468" w:type="dxa"/>
            <w:tcBorders>
              <w:top w:val="nil"/>
              <w:left w:val="nil"/>
              <w:bottom w:val="nil"/>
              <w:right w:val="nil"/>
            </w:tcBorders>
            <w:shd w:val="clear" w:color="auto" w:fill="auto"/>
            <w:noWrap/>
            <w:vAlign w:val="bottom"/>
            <w:hideMark/>
          </w:tcPr>
          <w:p w14:paraId="7CF3CBCC"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0.000382</w:t>
            </w:r>
          </w:p>
        </w:tc>
        <w:tc>
          <w:tcPr>
            <w:tcW w:w="1468" w:type="dxa"/>
            <w:tcBorders>
              <w:top w:val="nil"/>
              <w:left w:val="nil"/>
              <w:bottom w:val="nil"/>
              <w:right w:val="nil"/>
            </w:tcBorders>
            <w:shd w:val="clear" w:color="auto" w:fill="auto"/>
            <w:noWrap/>
            <w:vAlign w:val="bottom"/>
            <w:hideMark/>
          </w:tcPr>
          <w:p w14:paraId="2FDE599F"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0.832</w:t>
            </w:r>
          </w:p>
        </w:tc>
      </w:tr>
      <w:tr w:rsidR="00723C14" w:rsidRPr="00723C14" w14:paraId="4F1320BC" w14:textId="77777777" w:rsidTr="006A463B">
        <w:trPr>
          <w:trHeight w:val="294"/>
          <w:jc w:val="center"/>
        </w:trPr>
        <w:tc>
          <w:tcPr>
            <w:tcW w:w="5675" w:type="dxa"/>
            <w:tcBorders>
              <w:top w:val="nil"/>
              <w:left w:val="nil"/>
              <w:bottom w:val="nil"/>
              <w:right w:val="nil"/>
            </w:tcBorders>
            <w:shd w:val="clear" w:color="auto" w:fill="auto"/>
            <w:noWrap/>
            <w:vAlign w:val="bottom"/>
            <w:hideMark/>
          </w:tcPr>
          <w:p w14:paraId="0ADE3D1B"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2. Small Ligand GPCRs</w:t>
            </w:r>
          </w:p>
        </w:tc>
        <w:tc>
          <w:tcPr>
            <w:tcW w:w="1834" w:type="dxa"/>
            <w:tcBorders>
              <w:top w:val="nil"/>
              <w:left w:val="nil"/>
              <w:bottom w:val="nil"/>
              <w:right w:val="nil"/>
            </w:tcBorders>
            <w:shd w:val="clear" w:color="auto" w:fill="auto"/>
            <w:noWrap/>
            <w:vAlign w:val="bottom"/>
            <w:hideMark/>
          </w:tcPr>
          <w:p w14:paraId="0ADAFAB9"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Wikipathways</w:t>
            </w:r>
          </w:p>
        </w:tc>
        <w:tc>
          <w:tcPr>
            <w:tcW w:w="1255" w:type="dxa"/>
            <w:tcBorders>
              <w:top w:val="nil"/>
              <w:left w:val="nil"/>
              <w:bottom w:val="nil"/>
              <w:right w:val="nil"/>
            </w:tcBorders>
            <w:shd w:val="clear" w:color="auto" w:fill="auto"/>
            <w:noWrap/>
            <w:vAlign w:val="bottom"/>
            <w:hideMark/>
          </w:tcPr>
          <w:p w14:paraId="0DD138C2"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5</w:t>
            </w:r>
          </w:p>
        </w:tc>
        <w:tc>
          <w:tcPr>
            <w:tcW w:w="1255" w:type="dxa"/>
            <w:tcBorders>
              <w:top w:val="nil"/>
              <w:left w:val="nil"/>
              <w:bottom w:val="nil"/>
              <w:right w:val="nil"/>
            </w:tcBorders>
            <w:shd w:val="clear" w:color="auto" w:fill="auto"/>
            <w:noWrap/>
            <w:vAlign w:val="bottom"/>
            <w:hideMark/>
          </w:tcPr>
          <w:p w14:paraId="2E7B1F7B"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15 (19)</w:t>
            </w:r>
          </w:p>
        </w:tc>
        <w:tc>
          <w:tcPr>
            <w:tcW w:w="1468" w:type="dxa"/>
            <w:tcBorders>
              <w:top w:val="nil"/>
              <w:left w:val="nil"/>
              <w:bottom w:val="nil"/>
              <w:right w:val="nil"/>
            </w:tcBorders>
            <w:shd w:val="clear" w:color="auto" w:fill="auto"/>
            <w:noWrap/>
            <w:vAlign w:val="bottom"/>
            <w:hideMark/>
          </w:tcPr>
          <w:p w14:paraId="44737CB0"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0.000426</w:t>
            </w:r>
          </w:p>
        </w:tc>
        <w:tc>
          <w:tcPr>
            <w:tcW w:w="1468" w:type="dxa"/>
            <w:tcBorders>
              <w:top w:val="nil"/>
              <w:left w:val="nil"/>
              <w:bottom w:val="nil"/>
              <w:right w:val="nil"/>
            </w:tcBorders>
            <w:shd w:val="clear" w:color="auto" w:fill="auto"/>
            <w:noWrap/>
            <w:vAlign w:val="bottom"/>
            <w:hideMark/>
          </w:tcPr>
          <w:p w14:paraId="1D833EF6"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0.832</w:t>
            </w:r>
          </w:p>
        </w:tc>
      </w:tr>
      <w:tr w:rsidR="00723C14" w:rsidRPr="00723C14" w14:paraId="60E948DD" w14:textId="77777777" w:rsidTr="006A463B">
        <w:trPr>
          <w:trHeight w:val="294"/>
          <w:jc w:val="center"/>
        </w:trPr>
        <w:tc>
          <w:tcPr>
            <w:tcW w:w="5675" w:type="dxa"/>
            <w:tcBorders>
              <w:top w:val="nil"/>
              <w:left w:val="nil"/>
              <w:bottom w:val="nil"/>
              <w:right w:val="nil"/>
            </w:tcBorders>
            <w:shd w:val="clear" w:color="auto" w:fill="auto"/>
            <w:noWrap/>
            <w:vAlign w:val="bottom"/>
            <w:hideMark/>
          </w:tcPr>
          <w:p w14:paraId="2BDB9D12"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3. Parkin-Ubiquitin Proteasomal System pathway</w:t>
            </w:r>
          </w:p>
        </w:tc>
        <w:tc>
          <w:tcPr>
            <w:tcW w:w="1834" w:type="dxa"/>
            <w:tcBorders>
              <w:top w:val="nil"/>
              <w:left w:val="nil"/>
              <w:bottom w:val="nil"/>
              <w:right w:val="nil"/>
            </w:tcBorders>
            <w:shd w:val="clear" w:color="auto" w:fill="auto"/>
            <w:noWrap/>
            <w:vAlign w:val="bottom"/>
            <w:hideMark/>
          </w:tcPr>
          <w:p w14:paraId="23258E0A"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Wikipathways</w:t>
            </w:r>
          </w:p>
        </w:tc>
        <w:tc>
          <w:tcPr>
            <w:tcW w:w="1255" w:type="dxa"/>
            <w:tcBorders>
              <w:top w:val="nil"/>
              <w:left w:val="nil"/>
              <w:bottom w:val="nil"/>
              <w:right w:val="nil"/>
            </w:tcBorders>
            <w:shd w:val="clear" w:color="auto" w:fill="auto"/>
            <w:noWrap/>
            <w:vAlign w:val="bottom"/>
            <w:hideMark/>
          </w:tcPr>
          <w:p w14:paraId="72C6C895"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10</w:t>
            </w:r>
          </w:p>
        </w:tc>
        <w:tc>
          <w:tcPr>
            <w:tcW w:w="1255" w:type="dxa"/>
            <w:tcBorders>
              <w:top w:val="nil"/>
              <w:left w:val="nil"/>
              <w:bottom w:val="nil"/>
              <w:right w:val="nil"/>
            </w:tcBorders>
            <w:shd w:val="clear" w:color="auto" w:fill="auto"/>
            <w:noWrap/>
            <w:vAlign w:val="bottom"/>
            <w:hideMark/>
          </w:tcPr>
          <w:p w14:paraId="4F09E9C0"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72 (73)</w:t>
            </w:r>
          </w:p>
        </w:tc>
        <w:tc>
          <w:tcPr>
            <w:tcW w:w="1468" w:type="dxa"/>
            <w:tcBorders>
              <w:top w:val="nil"/>
              <w:left w:val="nil"/>
              <w:bottom w:val="nil"/>
              <w:right w:val="nil"/>
            </w:tcBorders>
            <w:shd w:val="clear" w:color="auto" w:fill="auto"/>
            <w:noWrap/>
            <w:vAlign w:val="bottom"/>
            <w:hideMark/>
          </w:tcPr>
          <w:p w14:paraId="4A593AB3"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0.00168</w:t>
            </w:r>
          </w:p>
        </w:tc>
        <w:tc>
          <w:tcPr>
            <w:tcW w:w="1468" w:type="dxa"/>
            <w:tcBorders>
              <w:top w:val="nil"/>
              <w:left w:val="nil"/>
              <w:bottom w:val="nil"/>
              <w:right w:val="nil"/>
            </w:tcBorders>
            <w:shd w:val="clear" w:color="auto" w:fill="auto"/>
            <w:noWrap/>
            <w:vAlign w:val="bottom"/>
            <w:hideMark/>
          </w:tcPr>
          <w:p w14:paraId="5C2DB799"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1</w:t>
            </w:r>
          </w:p>
        </w:tc>
      </w:tr>
      <w:tr w:rsidR="00723C14" w:rsidRPr="00723C14" w14:paraId="0879C2E5" w14:textId="77777777" w:rsidTr="006A463B">
        <w:trPr>
          <w:trHeight w:val="294"/>
          <w:jc w:val="center"/>
        </w:trPr>
        <w:tc>
          <w:tcPr>
            <w:tcW w:w="5675" w:type="dxa"/>
            <w:tcBorders>
              <w:top w:val="nil"/>
              <w:left w:val="nil"/>
              <w:bottom w:val="nil"/>
              <w:right w:val="nil"/>
            </w:tcBorders>
            <w:shd w:val="clear" w:color="auto" w:fill="auto"/>
            <w:noWrap/>
            <w:vAlign w:val="bottom"/>
            <w:hideMark/>
          </w:tcPr>
          <w:p w14:paraId="709D2FC8"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4. Purine salvage</w:t>
            </w:r>
          </w:p>
        </w:tc>
        <w:tc>
          <w:tcPr>
            <w:tcW w:w="1834" w:type="dxa"/>
            <w:tcBorders>
              <w:top w:val="nil"/>
              <w:left w:val="nil"/>
              <w:bottom w:val="nil"/>
              <w:right w:val="nil"/>
            </w:tcBorders>
            <w:shd w:val="clear" w:color="auto" w:fill="auto"/>
            <w:noWrap/>
            <w:vAlign w:val="bottom"/>
            <w:hideMark/>
          </w:tcPr>
          <w:p w14:paraId="593F0244"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Reactome</w:t>
            </w:r>
          </w:p>
        </w:tc>
        <w:tc>
          <w:tcPr>
            <w:tcW w:w="1255" w:type="dxa"/>
            <w:tcBorders>
              <w:top w:val="nil"/>
              <w:left w:val="nil"/>
              <w:bottom w:val="nil"/>
              <w:right w:val="nil"/>
            </w:tcBorders>
            <w:shd w:val="clear" w:color="auto" w:fill="auto"/>
            <w:noWrap/>
            <w:vAlign w:val="bottom"/>
            <w:hideMark/>
          </w:tcPr>
          <w:p w14:paraId="6146D938"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4</w:t>
            </w:r>
          </w:p>
        </w:tc>
        <w:tc>
          <w:tcPr>
            <w:tcW w:w="1255" w:type="dxa"/>
            <w:tcBorders>
              <w:top w:val="nil"/>
              <w:left w:val="nil"/>
              <w:bottom w:val="nil"/>
              <w:right w:val="nil"/>
            </w:tcBorders>
            <w:shd w:val="clear" w:color="auto" w:fill="auto"/>
            <w:noWrap/>
            <w:vAlign w:val="bottom"/>
            <w:hideMark/>
          </w:tcPr>
          <w:p w14:paraId="76083679"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13 (14)</w:t>
            </w:r>
          </w:p>
        </w:tc>
        <w:tc>
          <w:tcPr>
            <w:tcW w:w="1468" w:type="dxa"/>
            <w:tcBorders>
              <w:top w:val="nil"/>
              <w:left w:val="nil"/>
              <w:bottom w:val="nil"/>
              <w:right w:val="nil"/>
            </w:tcBorders>
            <w:shd w:val="clear" w:color="auto" w:fill="auto"/>
            <w:noWrap/>
            <w:vAlign w:val="bottom"/>
            <w:hideMark/>
          </w:tcPr>
          <w:p w14:paraId="341EA6D6"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0.00233</w:t>
            </w:r>
          </w:p>
        </w:tc>
        <w:tc>
          <w:tcPr>
            <w:tcW w:w="1468" w:type="dxa"/>
            <w:tcBorders>
              <w:top w:val="nil"/>
              <w:left w:val="nil"/>
              <w:bottom w:val="nil"/>
              <w:right w:val="nil"/>
            </w:tcBorders>
            <w:shd w:val="clear" w:color="auto" w:fill="auto"/>
            <w:noWrap/>
            <w:vAlign w:val="bottom"/>
            <w:hideMark/>
          </w:tcPr>
          <w:p w14:paraId="16F3225B"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1</w:t>
            </w:r>
          </w:p>
        </w:tc>
      </w:tr>
      <w:tr w:rsidR="00723C14" w:rsidRPr="00723C14" w14:paraId="24E66DCE" w14:textId="77777777" w:rsidTr="006A463B">
        <w:trPr>
          <w:trHeight w:val="294"/>
          <w:jc w:val="center"/>
        </w:trPr>
        <w:tc>
          <w:tcPr>
            <w:tcW w:w="5675" w:type="dxa"/>
            <w:tcBorders>
              <w:top w:val="nil"/>
              <w:left w:val="nil"/>
              <w:bottom w:val="nil"/>
              <w:right w:val="nil"/>
            </w:tcBorders>
            <w:shd w:val="clear" w:color="auto" w:fill="auto"/>
            <w:noWrap/>
            <w:vAlign w:val="bottom"/>
            <w:hideMark/>
          </w:tcPr>
          <w:p w14:paraId="423689C2"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5. Ubiquitin mediated proteolysis - Homo sapiens (human)</w:t>
            </w:r>
          </w:p>
        </w:tc>
        <w:tc>
          <w:tcPr>
            <w:tcW w:w="1834" w:type="dxa"/>
            <w:tcBorders>
              <w:top w:val="nil"/>
              <w:left w:val="nil"/>
              <w:bottom w:val="nil"/>
              <w:right w:val="nil"/>
            </w:tcBorders>
            <w:shd w:val="clear" w:color="auto" w:fill="auto"/>
            <w:noWrap/>
            <w:vAlign w:val="bottom"/>
            <w:hideMark/>
          </w:tcPr>
          <w:p w14:paraId="414FA4A7"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KEGG</w:t>
            </w:r>
          </w:p>
        </w:tc>
        <w:tc>
          <w:tcPr>
            <w:tcW w:w="1255" w:type="dxa"/>
            <w:tcBorders>
              <w:top w:val="nil"/>
              <w:left w:val="nil"/>
              <w:bottom w:val="nil"/>
              <w:right w:val="nil"/>
            </w:tcBorders>
            <w:shd w:val="clear" w:color="auto" w:fill="auto"/>
            <w:noWrap/>
            <w:vAlign w:val="bottom"/>
            <w:hideMark/>
          </w:tcPr>
          <w:p w14:paraId="276C77F5"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14</w:t>
            </w:r>
          </w:p>
        </w:tc>
        <w:tc>
          <w:tcPr>
            <w:tcW w:w="1255" w:type="dxa"/>
            <w:tcBorders>
              <w:top w:val="nil"/>
              <w:left w:val="nil"/>
              <w:bottom w:val="nil"/>
              <w:right w:val="nil"/>
            </w:tcBorders>
            <w:shd w:val="clear" w:color="auto" w:fill="auto"/>
            <w:noWrap/>
            <w:vAlign w:val="bottom"/>
            <w:hideMark/>
          </w:tcPr>
          <w:p w14:paraId="0742AAF4"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132 (137)</w:t>
            </w:r>
          </w:p>
        </w:tc>
        <w:tc>
          <w:tcPr>
            <w:tcW w:w="1468" w:type="dxa"/>
            <w:tcBorders>
              <w:top w:val="nil"/>
              <w:left w:val="nil"/>
              <w:bottom w:val="nil"/>
              <w:right w:val="nil"/>
            </w:tcBorders>
            <w:shd w:val="clear" w:color="auto" w:fill="auto"/>
            <w:noWrap/>
            <w:vAlign w:val="bottom"/>
            <w:hideMark/>
          </w:tcPr>
          <w:p w14:paraId="23A507EB"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0.00316</w:t>
            </w:r>
          </w:p>
        </w:tc>
        <w:tc>
          <w:tcPr>
            <w:tcW w:w="1468" w:type="dxa"/>
            <w:tcBorders>
              <w:top w:val="nil"/>
              <w:left w:val="nil"/>
              <w:bottom w:val="nil"/>
              <w:right w:val="nil"/>
            </w:tcBorders>
            <w:shd w:val="clear" w:color="auto" w:fill="auto"/>
            <w:noWrap/>
            <w:vAlign w:val="bottom"/>
            <w:hideMark/>
          </w:tcPr>
          <w:p w14:paraId="0D2D7B78"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1</w:t>
            </w:r>
          </w:p>
        </w:tc>
      </w:tr>
      <w:tr w:rsidR="00723C14" w:rsidRPr="00723C14" w14:paraId="75B94CBB" w14:textId="77777777" w:rsidTr="006A463B">
        <w:trPr>
          <w:trHeight w:val="294"/>
          <w:jc w:val="center"/>
        </w:trPr>
        <w:tc>
          <w:tcPr>
            <w:tcW w:w="5675" w:type="dxa"/>
            <w:tcBorders>
              <w:top w:val="nil"/>
              <w:left w:val="nil"/>
              <w:bottom w:val="nil"/>
              <w:right w:val="nil"/>
            </w:tcBorders>
            <w:shd w:val="clear" w:color="auto" w:fill="auto"/>
            <w:noWrap/>
            <w:vAlign w:val="bottom"/>
            <w:hideMark/>
          </w:tcPr>
          <w:p w14:paraId="370F4F0E"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6. Glycolysis</w:t>
            </w:r>
          </w:p>
        </w:tc>
        <w:tc>
          <w:tcPr>
            <w:tcW w:w="1834" w:type="dxa"/>
            <w:tcBorders>
              <w:top w:val="nil"/>
              <w:left w:val="nil"/>
              <w:bottom w:val="nil"/>
              <w:right w:val="nil"/>
            </w:tcBorders>
            <w:shd w:val="clear" w:color="auto" w:fill="auto"/>
            <w:noWrap/>
            <w:vAlign w:val="bottom"/>
            <w:hideMark/>
          </w:tcPr>
          <w:p w14:paraId="6158900B"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HumanCyc</w:t>
            </w:r>
          </w:p>
        </w:tc>
        <w:tc>
          <w:tcPr>
            <w:tcW w:w="1255" w:type="dxa"/>
            <w:tcBorders>
              <w:top w:val="nil"/>
              <w:left w:val="nil"/>
              <w:bottom w:val="nil"/>
              <w:right w:val="nil"/>
            </w:tcBorders>
            <w:shd w:val="clear" w:color="auto" w:fill="auto"/>
            <w:noWrap/>
            <w:vAlign w:val="bottom"/>
            <w:hideMark/>
          </w:tcPr>
          <w:p w14:paraId="1D9AEC89"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5</w:t>
            </w:r>
          </w:p>
        </w:tc>
        <w:tc>
          <w:tcPr>
            <w:tcW w:w="1255" w:type="dxa"/>
            <w:tcBorders>
              <w:top w:val="nil"/>
              <w:left w:val="nil"/>
              <w:bottom w:val="nil"/>
              <w:right w:val="nil"/>
            </w:tcBorders>
            <w:shd w:val="clear" w:color="auto" w:fill="auto"/>
            <w:noWrap/>
            <w:vAlign w:val="bottom"/>
            <w:hideMark/>
          </w:tcPr>
          <w:p w14:paraId="5B7104E2"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25 (26)</w:t>
            </w:r>
          </w:p>
        </w:tc>
        <w:tc>
          <w:tcPr>
            <w:tcW w:w="1468" w:type="dxa"/>
            <w:tcBorders>
              <w:top w:val="nil"/>
              <w:left w:val="nil"/>
              <w:bottom w:val="nil"/>
              <w:right w:val="nil"/>
            </w:tcBorders>
            <w:shd w:val="clear" w:color="auto" w:fill="auto"/>
            <w:noWrap/>
            <w:vAlign w:val="bottom"/>
            <w:hideMark/>
          </w:tcPr>
          <w:p w14:paraId="19D52606"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0.00514</w:t>
            </w:r>
          </w:p>
        </w:tc>
        <w:tc>
          <w:tcPr>
            <w:tcW w:w="1468" w:type="dxa"/>
            <w:tcBorders>
              <w:top w:val="nil"/>
              <w:left w:val="nil"/>
              <w:bottom w:val="nil"/>
              <w:right w:val="nil"/>
            </w:tcBorders>
            <w:shd w:val="clear" w:color="auto" w:fill="auto"/>
            <w:noWrap/>
            <w:vAlign w:val="bottom"/>
            <w:hideMark/>
          </w:tcPr>
          <w:p w14:paraId="21207871"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1</w:t>
            </w:r>
          </w:p>
        </w:tc>
      </w:tr>
      <w:tr w:rsidR="00723C14" w:rsidRPr="00723C14" w14:paraId="15F90AB4" w14:textId="77777777" w:rsidTr="006A463B">
        <w:trPr>
          <w:trHeight w:val="294"/>
          <w:jc w:val="center"/>
        </w:trPr>
        <w:tc>
          <w:tcPr>
            <w:tcW w:w="5675" w:type="dxa"/>
            <w:tcBorders>
              <w:top w:val="nil"/>
              <w:left w:val="nil"/>
              <w:bottom w:val="nil"/>
              <w:right w:val="nil"/>
            </w:tcBorders>
            <w:shd w:val="clear" w:color="auto" w:fill="auto"/>
            <w:noWrap/>
            <w:vAlign w:val="bottom"/>
            <w:hideMark/>
          </w:tcPr>
          <w:p w14:paraId="60C19F49"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7. Parkinson's disease - Homo sapiens (human)</w:t>
            </w:r>
          </w:p>
        </w:tc>
        <w:tc>
          <w:tcPr>
            <w:tcW w:w="1834" w:type="dxa"/>
            <w:tcBorders>
              <w:top w:val="nil"/>
              <w:left w:val="nil"/>
              <w:bottom w:val="nil"/>
              <w:right w:val="nil"/>
            </w:tcBorders>
            <w:shd w:val="clear" w:color="auto" w:fill="auto"/>
            <w:noWrap/>
            <w:vAlign w:val="bottom"/>
            <w:hideMark/>
          </w:tcPr>
          <w:p w14:paraId="7F08AF5F"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KEGG</w:t>
            </w:r>
          </w:p>
        </w:tc>
        <w:tc>
          <w:tcPr>
            <w:tcW w:w="1255" w:type="dxa"/>
            <w:tcBorders>
              <w:top w:val="nil"/>
              <w:left w:val="nil"/>
              <w:bottom w:val="nil"/>
              <w:right w:val="nil"/>
            </w:tcBorders>
            <w:shd w:val="clear" w:color="auto" w:fill="auto"/>
            <w:noWrap/>
            <w:vAlign w:val="bottom"/>
            <w:hideMark/>
          </w:tcPr>
          <w:p w14:paraId="0B3CD962"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14</w:t>
            </w:r>
          </w:p>
        </w:tc>
        <w:tc>
          <w:tcPr>
            <w:tcW w:w="1255" w:type="dxa"/>
            <w:tcBorders>
              <w:top w:val="nil"/>
              <w:left w:val="nil"/>
              <w:bottom w:val="nil"/>
              <w:right w:val="nil"/>
            </w:tcBorders>
            <w:shd w:val="clear" w:color="auto" w:fill="auto"/>
            <w:noWrap/>
            <w:vAlign w:val="bottom"/>
            <w:hideMark/>
          </w:tcPr>
          <w:p w14:paraId="386C4078"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141 (143)</w:t>
            </w:r>
          </w:p>
        </w:tc>
        <w:tc>
          <w:tcPr>
            <w:tcW w:w="1468" w:type="dxa"/>
            <w:tcBorders>
              <w:top w:val="nil"/>
              <w:left w:val="nil"/>
              <w:bottom w:val="nil"/>
              <w:right w:val="nil"/>
            </w:tcBorders>
            <w:shd w:val="clear" w:color="auto" w:fill="auto"/>
            <w:noWrap/>
            <w:vAlign w:val="bottom"/>
            <w:hideMark/>
          </w:tcPr>
          <w:p w14:paraId="2BF21A74"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0.00572</w:t>
            </w:r>
          </w:p>
        </w:tc>
        <w:tc>
          <w:tcPr>
            <w:tcW w:w="1468" w:type="dxa"/>
            <w:tcBorders>
              <w:top w:val="nil"/>
              <w:left w:val="nil"/>
              <w:bottom w:val="nil"/>
              <w:right w:val="nil"/>
            </w:tcBorders>
            <w:shd w:val="clear" w:color="auto" w:fill="auto"/>
            <w:noWrap/>
            <w:vAlign w:val="bottom"/>
            <w:hideMark/>
          </w:tcPr>
          <w:p w14:paraId="01EDAC56"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1</w:t>
            </w:r>
          </w:p>
        </w:tc>
      </w:tr>
      <w:tr w:rsidR="00723C14" w:rsidRPr="00723C14" w14:paraId="4B3A7401" w14:textId="77777777" w:rsidTr="006A463B">
        <w:trPr>
          <w:trHeight w:val="294"/>
          <w:jc w:val="center"/>
        </w:trPr>
        <w:tc>
          <w:tcPr>
            <w:tcW w:w="5675" w:type="dxa"/>
            <w:tcBorders>
              <w:top w:val="nil"/>
              <w:left w:val="nil"/>
              <w:bottom w:val="nil"/>
              <w:right w:val="nil"/>
            </w:tcBorders>
            <w:shd w:val="clear" w:color="auto" w:fill="auto"/>
            <w:noWrap/>
            <w:vAlign w:val="bottom"/>
            <w:hideMark/>
          </w:tcPr>
          <w:p w14:paraId="0E1C5C5C"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8. Gluconeogenesis</w:t>
            </w:r>
          </w:p>
        </w:tc>
        <w:tc>
          <w:tcPr>
            <w:tcW w:w="1834" w:type="dxa"/>
            <w:tcBorders>
              <w:top w:val="nil"/>
              <w:left w:val="nil"/>
              <w:bottom w:val="nil"/>
              <w:right w:val="nil"/>
            </w:tcBorders>
            <w:shd w:val="clear" w:color="auto" w:fill="auto"/>
            <w:noWrap/>
            <w:vAlign w:val="bottom"/>
            <w:hideMark/>
          </w:tcPr>
          <w:p w14:paraId="710FEC0B"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HumanCyc</w:t>
            </w:r>
          </w:p>
        </w:tc>
        <w:tc>
          <w:tcPr>
            <w:tcW w:w="1255" w:type="dxa"/>
            <w:tcBorders>
              <w:top w:val="nil"/>
              <w:left w:val="nil"/>
              <w:bottom w:val="nil"/>
              <w:right w:val="nil"/>
            </w:tcBorders>
            <w:shd w:val="clear" w:color="auto" w:fill="auto"/>
            <w:noWrap/>
            <w:vAlign w:val="bottom"/>
            <w:hideMark/>
          </w:tcPr>
          <w:p w14:paraId="0ADF4BCC"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5</w:t>
            </w:r>
          </w:p>
        </w:tc>
        <w:tc>
          <w:tcPr>
            <w:tcW w:w="1255" w:type="dxa"/>
            <w:tcBorders>
              <w:top w:val="nil"/>
              <w:left w:val="nil"/>
              <w:bottom w:val="nil"/>
              <w:right w:val="nil"/>
            </w:tcBorders>
            <w:shd w:val="clear" w:color="auto" w:fill="auto"/>
            <w:noWrap/>
            <w:vAlign w:val="bottom"/>
            <w:hideMark/>
          </w:tcPr>
          <w:p w14:paraId="336B96DE"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26 (27)</w:t>
            </w:r>
          </w:p>
        </w:tc>
        <w:tc>
          <w:tcPr>
            <w:tcW w:w="1468" w:type="dxa"/>
            <w:tcBorders>
              <w:top w:val="nil"/>
              <w:left w:val="nil"/>
              <w:bottom w:val="nil"/>
              <w:right w:val="nil"/>
            </w:tcBorders>
            <w:shd w:val="clear" w:color="auto" w:fill="auto"/>
            <w:noWrap/>
            <w:vAlign w:val="bottom"/>
            <w:hideMark/>
          </w:tcPr>
          <w:p w14:paraId="4187A09C"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0.00613</w:t>
            </w:r>
          </w:p>
        </w:tc>
        <w:tc>
          <w:tcPr>
            <w:tcW w:w="1468" w:type="dxa"/>
            <w:tcBorders>
              <w:top w:val="nil"/>
              <w:left w:val="nil"/>
              <w:bottom w:val="nil"/>
              <w:right w:val="nil"/>
            </w:tcBorders>
            <w:shd w:val="clear" w:color="auto" w:fill="auto"/>
            <w:noWrap/>
            <w:vAlign w:val="bottom"/>
            <w:hideMark/>
          </w:tcPr>
          <w:p w14:paraId="0B2951F9"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1</w:t>
            </w:r>
          </w:p>
        </w:tc>
      </w:tr>
      <w:tr w:rsidR="00723C14" w:rsidRPr="00723C14" w14:paraId="5297E402" w14:textId="77777777" w:rsidTr="006A463B">
        <w:trPr>
          <w:trHeight w:val="294"/>
          <w:jc w:val="center"/>
        </w:trPr>
        <w:tc>
          <w:tcPr>
            <w:tcW w:w="5675" w:type="dxa"/>
            <w:tcBorders>
              <w:top w:val="nil"/>
              <w:left w:val="nil"/>
              <w:bottom w:val="nil"/>
              <w:right w:val="nil"/>
            </w:tcBorders>
            <w:shd w:val="clear" w:color="auto" w:fill="auto"/>
            <w:noWrap/>
            <w:vAlign w:val="bottom"/>
            <w:hideMark/>
          </w:tcPr>
          <w:p w14:paraId="1C812D32"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9. Superpathway of conversion of glucose to acetyl CoA and entry into the TCA cycle</w:t>
            </w:r>
          </w:p>
        </w:tc>
        <w:tc>
          <w:tcPr>
            <w:tcW w:w="1834" w:type="dxa"/>
            <w:tcBorders>
              <w:top w:val="nil"/>
              <w:left w:val="nil"/>
              <w:bottom w:val="nil"/>
              <w:right w:val="nil"/>
            </w:tcBorders>
            <w:shd w:val="clear" w:color="auto" w:fill="auto"/>
            <w:noWrap/>
            <w:vAlign w:val="bottom"/>
            <w:hideMark/>
          </w:tcPr>
          <w:p w14:paraId="22AFA10C"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HumanCyc</w:t>
            </w:r>
          </w:p>
        </w:tc>
        <w:tc>
          <w:tcPr>
            <w:tcW w:w="1255" w:type="dxa"/>
            <w:tcBorders>
              <w:top w:val="nil"/>
              <w:left w:val="nil"/>
              <w:bottom w:val="nil"/>
              <w:right w:val="nil"/>
            </w:tcBorders>
            <w:shd w:val="clear" w:color="auto" w:fill="auto"/>
            <w:noWrap/>
            <w:vAlign w:val="bottom"/>
            <w:hideMark/>
          </w:tcPr>
          <w:p w14:paraId="46C20095"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7</w:t>
            </w:r>
          </w:p>
        </w:tc>
        <w:tc>
          <w:tcPr>
            <w:tcW w:w="1255" w:type="dxa"/>
            <w:tcBorders>
              <w:top w:val="nil"/>
              <w:left w:val="nil"/>
              <w:bottom w:val="nil"/>
              <w:right w:val="nil"/>
            </w:tcBorders>
            <w:shd w:val="clear" w:color="auto" w:fill="auto"/>
            <w:noWrap/>
            <w:vAlign w:val="bottom"/>
            <w:hideMark/>
          </w:tcPr>
          <w:p w14:paraId="1B9D28F3"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48 (52)</w:t>
            </w:r>
          </w:p>
        </w:tc>
        <w:tc>
          <w:tcPr>
            <w:tcW w:w="1468" w:type="dxa"/>
            <w:tcBorders>
              <w:top w:val="nil"/>
              <w:left w:val="nil"/>
              <w:bottom w:val="nil"/>
              <w:right w:val="nil"/>
            </w:tcBorders>
            <w:shd w:val="clear" w:color="auto" w:fill="auto"/>
            <w:noWrap/>
            <w:vAlign w:val="bottom"/>
            <w:hideMark/>
          </w:tcPr>
          <w:p w14:paraId="7738BD6D"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0.00621</w:t>
            </w:r>
          </w:p>
        </w:tc>
        <w:tc>
          <w:tcPr>
            <w:tcW w:w="1468" w:type="dxa"/>
            <w:tcBorders>
              <w:top w:val="nil"/>
              <w:left w:val="nil"/>
              <w:bottom w:val="nil"/>
              <w:right w:val="nil"/>
            </w:tcBorders>
            <w:shd w:val="clear" w:color="auto" w:fill="auto"/>
            <w:noWrap/>
            <w:vAlign w:val="bottom"/>
            <w:hideMark/>
          </w:tcPr>
          <w:p w14:paraId="56C805EB"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1</w:t>
            </w:r>
          </w:p>
        </w:tc>
      </w:tr>
      <w:tr w:rsidR="00723C14" w:rsidRPr="00723C14" w14:paraId="49AC9BFD" w14:textId="77777777" w:rsidTr="006A463B">
        <w:trPr>
          <w:trHeight w:val="294"/>
          <w:jc w:val="center"/>
        </w:trPr>
        <w:tc>
          <w:tcPr>
            <w:tcW w:w="5675" w:type="dxa"/>
            <w:tcBorders>
              <w:top w:val="nil"/>
              <w:left w:val="nil"/>
              <w:bottom w:val="nil"/>
              <w:right w:val="nil"/>
            </w:tcBorders>
            <w:shd w:val="clear" w:color="auto" w:fill="auto"/>
            <w:noWrap/>
            <w:vAlign w:val="bottom"/>
            <w:hideMark/>
          </w:tcPr>
          <w:p w14:paraId="28130030"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10. Urea cycle</w:t>
            </w:r>
          </w:p>
        </w:tc>
        <w:tc>
          <w:tcPr>
            <w:tcW w:w="1834" w:type="dxa"/>
            <w:tcBorders>
              <w:top w:val="nil"/>
              <w:left w:val="nil"/>
              <w:bottom w:val="nil"/>
              <w:right w:val="nil"/>
            </w:tcBorders>
            <w:shd w:val="clear" w:color="auto" w:fill="auto"/>
            <w:noWrap/>
            <w:vAlign w:val="bottom"/>
            <w:hideMark/>
          </w:tcPr>
          <w:p w14:paraId="7BFAF4A5"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Reactome</w:t>
            </w:r>
          </w:p>
        </w:tc>
        <w:tc>
          <w:tcPr>
            <w:tcW w:w="1255" w:type="dxa"/>
            <w:tcBorders>
              <w:top w:val="nil"/>
              <w:left w:val="nil"/>
              <w:bottom w:val="nil"/>
              <w:right w:val="nil"/>
            </w:tcBorders>
            <w:shd w:val="clear" w:color="auto" w:fill="auto"/>
            <w:noWrap/>
            <w:vAlign w:val="bottom"/>
            <w:hideMark/>
          </w:tcPr>
          <w:p w14:paraId="65885B85"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3</w:t>
            </w:r>
          </w:p>
        </w:tc>
        <w:tc>
          <w:tcPr>
            <w:tcW w:w="1255" w:type="dxa"/>
            <w:tcBorders>
              <w:top w:val="nil"/>
              <w:left w:val="nil"/>
              <w:bottom w:val="nil"/>
              <w:right w:val="nil"/>
            </w:tcBorders>
            <w:shd w:val="clear" w:color="auto" w:fill="auto"/>
            <w:noWrap/>
            <w:vAlign w:val="bottom"/>
            <w:hideMark/>
          </w:tcPr>
          <w:p w14:paraId="3B2BE7A4"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9 (10)</w:t>
            </w:r>
          </w:p>
        </w:tc>
        <w:tc>
          <w:tcPr>
            <w:tcW w:w="1468" w:type="dxa"/>
            <w:tcBorders>
              <w:top w:val="nil"/>
              <w:left w:val="nil"/>
              <w:bottom w:val="nil"/>
              <w:right w:val="nil"/>
            </w:tcBorders>
            <w:shd w:val="clear" w:color="auto" w:fill="auto"/>
            <w:noWrap/>
            <w:vAlign w:val="bottom"/>
            <w:hideMark/>
          </w:tcPr>
          <w:p w14:paraId="1E624EC1"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0.00673</w:t>
            </w:r>
          </w:p>
        </w:tc>
        <w:tc>
          <w:tcPr>
            <w:tcW w:w="1468" w:type="dxa"/>
            <w:tcBorders>
              <w:top w:val="nil"/>
              <w:left w:val="nil"/>
              <w:bottom w:val="nil"/>
              <w:right w:val="nil"/>
            </w:tcBorders>
            <w:shd w:val="clear" w:color="auto" w:fill="auto"/>
            <w:noWrap/>
            <w:vAlign w:val="bottom"/>
            <w:hideMark/>
          </w:tcPr>
          <w:p w14:paraId="3C74033A" w14:textId="77777777" w:rsidR="00723C14" w:rsidRPr="00723C14" w:rsidRDefault="00723C14" w:rsidP="00454D06">
            <w:pPr>
              <w:rPr>
                <w:rFonts w:ascii="Times New Roman" w:eastAsia="Times New Roman" w:hAnsi="Times New Roman" w:cs="Times New Roman"/>
                <w:color w:val="000000"/>
                <w:lang w:val="en-GB"/>
              </w:rPr>
            </w:pPr>
            <w:r w:rsidRPr="00723C14">
              <w:rPr>
                <w:rFonts w:ascii="Times New Roman" w:eastAsia="Times New Roman" w:hAnsi="Times New Roman" w:cs="Times New Roman"/>
                <w:color w:val="000000"/>
                <w:lang w:val="en-GB"/>
              </w:rPr>
              <w:t>1</w:t>
            </w:r>
          </w:p>
        </w:tc>
      </w:tr>
    </w:tbl>
    <w:p w14:paraId="6662CACE" w14:textId="77777777" w:rsidR="00806D37" w:rsidRDefault="00806D37" w:rsidP="008001A5">
      <w:pPr>
        <w:spacing w:line="360" w:lineRule="auto"/>
        <w:rPr>
          <w:rFonts w:ascii="Times New Roman" w:hAnsi="Times New Roman" w:cs="Times New Roman"/>
          <w:noProof/>
        </w:rPr>
      </w:pPr>
    </w:p>
    <w:p w14:paraId="770B39EB" w14:textId="77777777" w:rsidR="00806D37" w:rsidRDefault="00806D37" w:rsidP="008001A5">
      <w:pPr>
        <w:spacing w:line="360" w:lineRule="auto"/>
        <w:rPr>
          <w:rFonts w:ascii="Times New Roman" w:hAnsi="Times New Roman" w:cs="Times New Roman"/>
          <w:noProof/>
        </w:rPr>
      </w:pPr>
    </w:p>
    <w:p w14:paraId="3D24E62A" w14:textId="77777777" w:rsidR="00BD34F1" w:rsidRDefault="00BD34F1" w:rsidP="008001A5">
      <w:pPr>
        <w:spacing w:line="360" w:lineRule="auto"/>
        <w:rPr>
          <w:rFonts w:ascii="Times New Roman" w:hAnsi="Times New Roman" w:cs="Times New Roman"/>
          <w:noProof/>
        </w:rPr>
      </w:pPr>
    </w:p>
    <w:p w14:paraId="6D6C1164" w14:textId="77777777" w:rsidR="00BD34F1" w:rsidRDefault="00BD34F1" w:rsidP="008001A5">
      <w:pPr>
        <w:spacing w:line="360" w:lineRule="auto"/>
        <w:rPr>
          <w:rFonts w:ascii="Times New Roman" w:hAnsi="Times New Roman" w:cs="Times New Roman"/>
          <w:noProof/>
        </w:rPr>
      </w:pPr>
    </w:p>
    <w:p w14:paraId="65E40F87" w14:textId="77777777" w:rsidR="00BD34F1" w:rsidRDefault="00BD34F1" w:rsidP="008001A5">
      <w:pPr>
        <w:spacing w:line="360" w:lineRule="auto"/>
        <w:rPr>
          <w:rFonts w:ascii="Times New Roman" w:hAnsi="Times New Roman" w:cs="Times New Roman"/>
          <w:noProof/>
        </w:rPr>
      </w:pPr>
    </w:p>
    <w:p w14:paraId="7934A4F3" w14:textId="77777777" w:rsidR="00BD34F1" w:rsidRDefault="00BD34F1" w:rsidP="008001A5">
      <w:pPr>
        <w:spacing w:line="360" w:lineRule="auto"/>
        <w:rPr>
          <w:rFonts w:ascii="Times New Roman" w:hAnsi="Times New Roman" w:cs="Times New Roman"/>
          <w:noProof/>
        </w:rPr>
      </w:pPr>
    </w:p>
    <w:tbl>
      <w:tblPr>
        <w:tblpPr w:leftFromText="180" w:rightFromText="180" w:vertAnchor="page" w:horzAnchor="page" w:tblpX="1549" w:tblpY="4429"/>
        <w:tblW w:w="14643" w:type="dxa"/>
        <w:tblLook w:val="04A0" w:firstRow="1" w:lastRow="0" w:firstColumn="1" w:lastColumn="0" w:noHBand="0" w:noVBand="1"/>
      </w:tblPr>
      <w:tblGrid>
        <w:gridCol w:w="7200"/>
        <w:gridCol w:w="1740"/>
        <w:gridCol w:w="1023"/>
        <w:gridCol w:w="1300"/>
        <w:gridCol w:w="1920"/>
        <w:gridCol w:w="1460"/>
      </w:tblGrid>
      <w:tr w:rsidR="00BD34F1" w:rsidRPr="00AB6219" w14:paraId="3794A574" w14:textId="77777777" w:rsidTr="00860A3D">
        <w:trPr>
          <w:trHeight w:val="300"/>
        </w:trPr>
        <w:tc>
          <w:tcPr>
            <w:tcW w:w="7200" w:type="dxa"/>
            <w:tcBorders>
              <w:top w:val="single" w:sz="4" w:space="0" w:color="auto"/>
              <w:left w:val="nil"/>
              <w:bottom w:val="single" w:sz="4" w:space="0" w:color="auto"/>
              <w:right w:val="nil"/>
            </w:tcBorders>
            <w:shd w:val="clear" w:color="auto" w:fill="auto"/>
            <w:noWrap/>
            <w:vAlign w:val="bottom"/>
            <w:hideMark/>
          </w:tcPr>
          <w:p w14:paraId="203E6F4B" w14:textId="77777777" w:rsidR="00BD34F1" w:rsidRPr="00AB6219" w:rsidRDefault="00BD34F1" w:rsidP="00454D06">
            <w:pPr>
              <w:rPr>
                <w:rFonts w:ascii="Times New Roman" w:eastAsia="Times New Roman" w:hAnsi="Times New Roman" w:cs="Times New Roman"/>
                <w:b/>
                <w:bCs/>
                <w:color w:val="000000"/>
                <w:sz w:val="22"/>
                <w:szCs w:val="22"/>
                <w:lang w:val="en-GB"/>
              </w:rPr>
            </w:pPr>
            <w:r w:rsidRPr="00AB6219">
              <w:rPr>
                <w:rFonts w:ascii="Times New Roman" w:eastAsia="Times New Roman" w:hAnsi="Times New Roman" w:cs="Times New Roman"/>
                <w:b/>
                <w:bCs/>
                <w:color w:val="000000"/>
                <w:sz w:val="22"/>
                <w:szCs w:val="22"/>
                <w:lang w:val="en-GB"/>
              </w:rPr>
              <w:t>Pathway name</w:t>
            </w:r>
          </w:p>
        </w:tc>
        <w:tc>
          <w:tcPr>
            <w:tcW w:w="1740" w:type="dxa"/>
            <w:tcBorders>
              <w:top w:val="single" w:sz="4" w:space="0" w:color="auto"/>
              <w:left w:val="nil"/>
              <w:bottom w:val="single" w:sz="4" w:space="0" w:color="auto"/>
              <w:right w:val="nil"/>
            </w:tcBorders>
            <w:shd w:val="clear" w:color="auto" w:fill="auto"/>
            <w:noWrap/>
            <w:vAlign w:val="bottom"/>
            <w:hideMark/>
          </w:tcPr>
          <w:p w14:paraId="16405868" w14:textId="77777777" w:rsidR="00BD34F1" w:rsidRPr="00AB6219" w:rsidRDefault="00BD34F1" w:rsidP="00454D06">
            <w:pPr>
              <w:rPr>
                <w:rFonts w:ascii="Times New Roman" w:eastAsia="Times New Roman" w:hAnsi="Times New Roman" w:cs="Times New Roman"/>
                <w:b/>
                <w:bCs/>
                <w:color w:val="000000"/>
                <w:sz w:val="22"/>
                <w:szCs w:val="22"/>
                <w:lang w:val="en-GB"/>
              </w:rPr>
            </w:pPr>
            <w:r w:rsidRPr="00AB6219">
              <w:rPr>
                <w:rFonts w:ascii="Times New Roman" w:eastAsia="Times New Roman" w:hAnsi="Times New Roman" w:cs="Times New Roman"/>
                <w:b/>
                <w:bCs/>
                <w:color w:val="000000"/>
                <w:sz w:val="22"/>
                <w:szCs w:val="22"/>
                <w:lang w:val="en-GB"/>
              </w:rPr>
              <w:t>Pathway source</w:t>
            </w:r>
          </w:p>
        </w:tc>
        <w:tc>
          <w:tcPr>
            <w:tcW w:w="1023" w:type="dxa"/>
            <w:tcBorders>
              <w:top w:val="single" w:sz="4" w:space="0" w:color="auto"/>
              <w:left w:val="nil"/>
              <w:bottom w:val="single" w:sz="4" w:space="0" w:color="auto"/>
              <w:right w:val="nil"/>
            </w:tcBorders>
            <w:shd w:val="clear" w:color="auto" w:fill="auto"/>
            <w:noWrap/>
            <w:vAlign w:val="bottom"/>
            <w:hideMark/>
          </w:tcPr>
          <w:p w14:paraId="3D8C3E2F" w14:textId="77777777" w:rsidR="00BD34F1" w:rsidRPr="00AB6219" w:rsidRDefault="00BD34F1" w:rsidP="00454D06">
            <w:pPr>
              <w:rPr>
                <w:rFonts w:ascii="Times New Roman" w:eastAsia="Times New Roman" w:hAnsi="Times New Roman" w:cs="Times New Roman"/>
                <w:b/>
                <w:bCs/>
                <w:color w:val="000000"/>
                <w:sz w:val="22"/>
                <w:szCs w:val="22"/>
                <w:lang w:val="en-GB"/>
              </w:rPr>
            </w:pPr>
            <w:r w:rsidRPr="00AB6219">
              <w:rPr>
                <w:rFonts w:ascii="Times New Roman" w:eastAsia="Times New Roman" w:hAnsi="Times New Roman" w:cs="Times New Roman"/>
                <w:b/>
                <w:bCs/>
                <w:color w:val="000000"/>
                <w:sz w:val="22"/>
                <w:szCs w:val="22"/>
                <w:lang w:val="en-GB"/>
              </w:rPr>
              <w:t>Number of DE genes in pathway</w:t>
            </w:r>
          </w:p>
        </w:tc>
        <w:tc>
          <w:tcPr>
            <w:tcW w:w="1300" w:type="dxa"/>
            <w:tcBorders>
              <w:top w:val="single" w:sz="4" w:space="0" w:color="auto"/>
              <w:left w:val="nil"/>
              <w:bottom w:val="single" w:sz="4" w:space="0" w:color="auto"/>
              <w:right w:val="nil"/>
            </w:tcBorders>
            <w:shd w:val="clear" w:color="auto" w:fill="auto"/>
            <w:noWrap/>
            <w:vAlign w:val="bottom"/>
            <w:hideMark/>
          </w:tcPr>
          <w:p w14:paraId="483A77F3" w14:textId="77777777" w:rsidR="00BD34F1" w:rsidRPr="00AB6219" w:rsidRDefault="00BD34F1" w:rsidP="00454D06">
            <w:pPr>
              <w:rPr>
                <w:rFonts w:ascii="Times New Roman" w:eastAsia="Times New Roman" w:hAnsi="Times New Roman" w:cs="Times New Roman"/>
                <w:b/>
                <w:bCs/>
                <w:color w:val="000000"/>
                <w:sz w:val="22"/>
                <w:szCs w:val="22"/>
                <w:lang w:val="en-GB"/>
              </w:rPr>
            </w:pPr>
            <w:r w:rsidRPr="00AB6219">
              <w:rPr>
                <w:rFonts w:ascii="Times New Roman" w:eastAsia="Times New Roman" w:hAnsi="Times New Roman" w:cs="Times New Roman"/>
                <w:b/>
                <w:bCs/>
                <w:color w:val="000000"/>
                <w:sz w:val="22"/>
                <w:szCs w:val="22"/>
                <w:lang w:val="en-GB"/>
              </w:rPr>
              <w:t>Total number of genes in pathway</w:t>
            </w:r>
          </w:p>
        </w:tc>
        <w:tc>
          <w:tcPr>
            <w:tcW w:w="1920" w:type="dxa"/>
            <w:tcBorders>
              <w:top w:val="single" w:sz="4" w:space="0" w:color="auto"/>
              <w:left w:val="nil"/>
              <w:bottom w:val="single" w:sz="4" w:space="0" w:color="auto"/>
              <w:right w:val="nil"/>
            </w:tcBorders>
            <w:shd w:val="clear" w:color="auto" w:fill="auto"/>
            <w:noWrap/>
            <w:vAlign w:val="bottom"/>
            <w:hideMark/>
          </w:tcPr>
          <w:p w14:paraId="06188E2E" w14:textId="77777777" w:rsidR="00BD34F1" w:rsidRPr="00AB6219" w:rsidRDefault="00BD34F1" w:rsidP="00454D06">
            <w:pPr>
              <w:rPr>
                <w:rFonts w:ascii="Times New Roman" w:eastAsia="Times New Roman" w:hAnsi="Times New Roman" w:cs="Times New Roman"/>
                <w:b/>
                <w:bCs/>
                <w:color w:val="000000"/>
                <w:sz w:val="22"/>
                <w:szCs w:val="22"/>
                <w:lang w:val="en-GB"/>
              </w:rPr>
            </w:pPr>
            <w:r w:rsidRPr="00AB6219">
              <w:rPr>
                <w:rFonts w:ascii="Times New Roman" w:eastAsia="Times New Roman" w:hAnsi="Times New Roman" w:cs="Times New Roman"/>
                <w:b/>
                <w:bCs/>
                <w:color w:val="000000"/>
                <w:sz w:val="22"/>
                <w:szCs w:val="22"/>
                <w:lang w:val="en-GB"/>
              </w:rPr>
              <w:t>P value (most significant term)</w:t>
            </w:r>
          </w:p>
        </w:tc>
        <w:tc>
          <w:tcPr>
            <w:tcW w:w="1460" w:type="dxa"/>
            <w:tcBorders>
              <w:top w:val="single" w:sz="4" w:space="0" w:color="auto"/>
              <w:left w:val="nil"/>
              <w:bottom w:val="single" w:sz="4" w:space="0" w:color="auto"/>
              <w:right w:val="nil"/>
            </w:tcBorders>
            <w:shd w:val="clear" w:color="auto" w:fill="auto"/>
            <w:noWrap/>
            <w:vAlign w:val="bottom"/>
            <w:hideMark/>
          </w:tcPr>
          <w:p w14:paraId="77133993" w14:textId="77777777" w:rsidR="00BD34F1" w:rsidRPr="00AB6219" w:rsidRDefault="00BD34F1" w:rsidP="00454D06">
            <w:pPr>
              <w:rPr>
                <w:rFonts w:ascii="Times New Roman" w:eastAsia="Times New Roman" w:hAnsi="Times New Roman" w:cs="Times New Roman"/>
                <w:b/>
                <w:bCs/>
                <w:color w:val="000000"/>
                <w:sz w:val="22"/>
                <w:szCs w:val="22"/>
                <w:lang w:val="en-GB"/>
              </w:rPr>
            </w:pPr>
            <w:r w:rsidRPr="00AB6219">
              <w:rPr>
                <w:rFonts w:ascii="Times New Roman" w:eastAsia="Times New Roman" w:hAnsi="Times New Roman" w:cs="Times New Roman"/>
                <w:b/>
                <w:bCs/>
                <w:color w:val="000000"/>
                <w:sz w:val="22"/>
                <w:szCs w:val="22"/>
                <w:lang w:val="en-GB"/>
              </w:rPr>
              <w:t>FDR (most significant term)</w:t>
            </w:r>
          </w:p>
        </w:tc>
      </w:tr>
      <w:tr w:rsidR="00BD34F1" w:rsidRPr="00AB6219" w14:paraId="4F619265" w14:textId="77777777" w:rsidTr="00860A3D">
        <w:trPr>
          <w:trHeight w:val="300"/>
        </w:trPr>
        <w:tc>
          <w:tcPr>
            <w:tcW w:w="7200" w:type="dxa"/>
            <w:tcBorders>
              <w:top w:val="nil"/>
              <w:left w:val="nil"/>
              <w:bottom w:val="nil"/>
              <w:right w:val="nil"/>
            </w:tcBorders>
            <w:shd w:val="clear" w:color="auto" w:fill="auto"/>
            <w:noWrap/>
            <w:vAlign w:val="bottom"/>
            <w:hideMark/>
          </w:tcPr>
          <w:p w14:paraId="5C9C2017" w14:textId="77777777" w:rsidR="00BD34F1" w:rsidRPr="00226BC2" w:rsidRDefault="00BD34F1" w:rsidP="00454D06">
            <w:pPr>
              <w:rPr>
                <w:rFonts w:ascii="Times New Roman" w:eastAsia="Times New Roman" w:hAnsi="Times New Roman" w:cs="Times New Roman"/>
                <w:color w:val="000000"/>
                <w:sz w:val="22"/>
                <w:szCs w:val="22"/>
                <w:highlight w:val="yellow"/>
                <w:lang w:val="en-GB"/>
              </w:rPr>
            </w:pPr>
            <w:r w:rsidRPr="00226BC2">
              <w:rPr>
                <w:rFonts w:ascii="Times New Roman" w:eastAsia="Times New Roman" w:hAnsi="Times New Roman" w:cs="Times New Roman"/>
                <w:color w:val="000000"/>
                <w:sz w:val="22"/>
                <w:szCs w:val="22"/>
                <w:highlight w:val="yellow"/>
                <w:lang w:val="en-GB"/>
              </w:rPr>
              <w:t>1. Parkinsons disease - Homo sapiens (human)</w:t>
            </w:r>
          </w:p>
        </w:tc>
        <w:tc>
          <w:tcPr>
            <w:tcW w:w="1740" w:type="dxa"/>
            <w:tcBorders>
              <w:top w:val="nil"/>
              <w:left w:val="nil"/>
              <w:bottom w:val="nil"/>
              <w:right w:val="nil"/>
            </w:tcBorders>
            <w:shd w:val="clear" w:color="auto" w:fill="auto"/>
            <w:noWrap/>
            <w:vAlign w:val="bottom"/>
            <w:hideMark/>
          </w:tcPr>
          <w:p w14:paraId="6C880119" w14:textId="77777777" w:rsidR="00BD34F1" w:rsidRPr="00226BC2" w:rsidRDefault="00BD34F1" w:rsidP="00454D06">
            <w:pPr>
              <w:rPr>
                <w:rFonts w:ascii="Times New Roman" w:eastAsia="Times New Roman" w:hAnsi="Times New Roman" w:cs="Times New Roman"/>
                <w:color w:val="000000"/>
                <w:sz w:val="22"/>
                <w:szCs w:val="22"/>
                <w:highlight w:val="yellow"/>
                <w:lang w:val="en-GB"/>
              </w:rPr>
            </w:pPr>
            <w:r w:rsidRPr="00226BC2">
              <w:rPr>
                <w:rFonts w:ascii="Times New Roman" w:eastAsia="Times New Roman" w:hAnsi="Times New Roman" w:cs="Times New Roman"/>
                <w:color w:val="000000"/>
                <w:sz w:val="22"/>
                <w:szCs w:val="22"/>
                <w:highlight w:val="yellow"/>
                <w:lang w:val="en-GB"/>
              </w:rPr>
              <w:t>KEGG</w:t>
            </w:r>
          </w:p>
        </w:tc>
        <w:tc>
          <w:tcPr>
            <w:tcW w:w="1023" w:type="dxa"/>
            <w:tcBorders>
              <w:top w:val="nil"/>
              <w:left w:val="nil"/>
              <w:bottom w:val="nil"/>
              <w:right w:val="nil"/>
            </w:tcBorders>
            <w:shd w:val="clear" w:color="auto" w:fill="auto"/>
            <w:noWrap/>
            <w:vAlign w:val="bottom"/>
            <w:hideMark/>
          </w:tcPr>
          <w:p w14:paraId="389F07C1" w14:textId="77777777" w:rsidR="00BD34F1" w:rsidRPr="00226BC2" w:rsidRDefault="00BD34F1" w:rsidP="00454D06">
            <w:pPr>
              <w:rPr>
                <w:rFonts w:ascii="Times New Roman" w:eastAsia="Times New Roman" w:hAnsi="Times New Roman" w:cs="Times New Roman"/>
                <w:color w:val="000000"/>
                <w:sz w:val="22"/>
                <w:szCs w:val="22"/>
                <w:highlight w:val="yellow"/>
                <w:lang w:val="en-GB"/>
              </w:rPr>
            </w:pPr>
            <w:r w:rsidRPr="00226BC2">
              <w:rPr>
                <w:rFonts w:ascii="Times New Roman" w:eastAsia="Times New Roman" w:hAnsi="Times New Roman" w:cs="Times New Roman"/>
                <w:color w:val="000000"/>
                <w:sz w:val="22"/>
                <w:szCs w:val="22"/>
                <w:highlight w:val="yellow"/>
                <w:lang w:val="en-GB"/>
              </w:rPr>
              <w:t>12</w:t>
            </w:r>
          </w:p>
        </w:tc>
        <w:tc>
          <w:tcPr>
            <w:tcW w:w="1300" w:type="dxa"/>
            <w:tcBorders>
              <w:top w:val="nil"/>
              <w:left w:val="nil"/>
              <w:bottom w:val="nil"/>
              <w:right w:val="nil"/>
            </w:tcBorders>
            <w:shd w:val="clear" w:color="auto" w:fill="auto"/>
            <w:noWrap/>
            <w:vAlign w:val="bottom"/>
            <w:hideMark/>
          </w:tcPr>
          <w:p w14:paraId="47F951B4" w14:textId="77777777" w:rsidR="00BD34F1" w:rsidRPr="00226BC2" w:rsidRDefault="00BD34F1" w:rsidP="00454D06">
            <w:pPr>
              <w:rPr>
                <w:rFonts w:ascii="Times New Roman" w:eastAsia="Times New Roman" w:hAnsi="Times New Roman" w:cs="Times New Roman"/>
                <w:color w:val="000000"/>
                <w:sz w:val="22"/>
                <w:szCs w:val="22"/>
                <w:highlight w:val="yellow"/>
                <w:lang w:val="en-GB"/>
              </w:rPr>
            </w:pPr>
            <w:r w:rsidRPr="00226BC2">
              <w:rPr>
                <w:rFonts w:ascii="Times New Roman" w:eastAsia="Times New Roman" w:hAnsi="Times New Roman" w:cs="Times New Roman"/>
                <w:color w:val="000000"/>
                <w:sz w:val="22"/>
                <w:szCs w:val="22"/>
                <w:highlight w:val="yellow"/>
                <w:lang w:val="en-GB"/>
              </w:rPr>
              <w:t>141 (143)</w:t>
            </w:r>
          </w:p>
        </w:tc>
        <w:tc>
          <w:tcPr>
            <w:tcW w:w="1920" w:type="dxa"/>
            <w:tcBorders>
              <w:top w:val="nil"/>
              <w:left w:val="nil"/>
              <w:bottom w:val="nil"/>
              <w:right w:val="nil"/>
            </w:tcBorders>
            <w:shd w:val="clear" w:color="auto" w:fill="auto"/>
            <w:noWrap/>
            <w:vAlign w:val="bottom"/>
            <w:hideMark/>
          </w:tcPr>
          <w:p w14:paraId="42C03105" w14:textId="77777777" w:rsidR="00BD34F1" w:rsidRPr="00226BC2" w:rsidRDefault="00BD34F1" w:rsidP="00454D06">
            <w:pPr>
              <w:rPr>
                <w:rFonts w:ascii="Times New Roman" w:eastAsia="Times New Roman" w:hAnsi="Times New Roman" w:cs="Times New Roman"/>
                <w:color w:val="000000"/>
                <w:sz w:val="22"/>
                <w:szCs w:val="22"/>
                <w:highlight w:val="yellow"/>
                <w:lang w:val="en-GB"/>
              </w:rPr>
            </w:pPr>
            <w:r w:rsidRPr="00226BC2">
              <w:rPr>
                <w:rFonts w:ascii="Times New Roman" w:eastAsia="Times New Roman" w:hAnsi="Times New Roman" w:cs="Times New Roman"/>
                <w:color w:val="000000"/>
                <w:sz w:val="22"/>
                <w:szCs w:val="22"/>
                <w:highlight w:val="yellow"/>
                <w:lang w:val="en-GB"/>
              </w:rPr>
              <w:t>3.35E-05</w:t>
            </w:r>
          </w:p>
        </w:tc>
        <w:tc>
          <w:tcPr>
            <w:tcW w:w="1460" w:type="dxa"/>
            <w:tcBorders>
              <w:top w:val="nil"/>
              <w:left w:val="nil"/>
              <w:bottom w:val="nil"/>
              <w:right w:val="nil"/>
            </w:tcBorders>
            <w:shd w:val="clear" w:color="auto" w:fill="auto"/>
            <w:noWrap/>
            <w:vAlign w:val="bottom"/>
            <w:hideMark/>
          </w:tcPr>
          <w:p w14:paraId="6225635B" w14:textId="77777777" w:rsidR="00BD34F1" w:rsidRPr="00226BC2" w:rsidRDefault="00BD34F1" w:rsidP="00454D06">
            <w:pPr>
              <w:rPr>
                <w:rFonts w:ascii="Times New Roman" w:eastAsia="Times New Roman" w:hAnsi="Times New Roman" w:cs="Times New Roman"/>
                <w:color w:val="000000"/>
                <w:sz w:val="22"/>
                <w:szCs w:val="22"/>
                <w:highlight w:val="yellow"/>
                <w:lang w:val="en-GB"/>
              </w:rPr>
            </w:pPr>
            <w:r w:rsidRPr="00226BC2">
              <w:rPr>
                <w:rFonts w:ascii="Times New Roman" w:eastAsia="Times New Roman" w:hAnsi="Times New Roman" w:cs="Times New Roman"/>
                <w:color w:val="000000"/>
                <w:sz w:val="22"/>
                <w:szCs w:val="22"/>
                <w:highlight w:val="yellow"/>
                <w:lang w:val="en-GB"/>
              </w:rPr>
              <w:t>0.131</w:t>
            </w:r>
          </w:p>
        </w:tc>
      </w:tr>
      <w:tr w:rsidR="00BD34F1" w:rsidRPr="00AB6219" w14:paraId="0E9E94FB" w14:textId="77777777" w:rsidTr="00860A3D">
        <w:trPr>
          <w:trHeight w:val="300"/>
        </w:trPr>
        <w:tc>
          <w:tcPr>
            <w:tcW w:w="7200" w:type="dxa"/>
            <w:tcBorders>
              <w:top w:val="nil"/>
              <w:left w:val="nil"/>
              <w:bottom w:val="nil"/>
              <w:right w:val="nil"/>
            </w:tcBorders>
            <w:shd w:val="clear" w:color="auto" w:fill="auto"/>
            <w:noWrap/>
            <w:vAlign w:val="bottom"/>
            <w:hideMark/>
          </w:tcPr>
          <w:p w14:paraId="6D39FB97" w14:textId="77777777" w:rsidR="00BD34F1" w:rsidRPr="00AB6219" w:rsidRDefault="00BD34F1" w:rsidP="00454D06">
            <w:pPr>
              <w:rPr>
                <w:rFonts w:ascii="Times New Roman" w:eastAsia="Times New Roman" w:hAnsi="Times New Roman" w:cs="Times New Roman"/>
                <w:color w:val="000000"/>
                <w:sz w:val="22"/>
                <w:szCs w:val="22"/>
                <w:lang w:val="en-GB"/>
              </w:rPr>
            </w:pPr>
            <w:r>
              <w:rPr>
                <w:rFonts w:ascii="Times New Roman" w:eastAsia="Times New Roman" w:hAnsi="Times New Roman" w:cs="Times New Roman"/>
                <w:color w:val="000000"/>
                <w:sz w:val="22"/>
                <w:szCs w:val="22"/>
                <w:lang w:val="en-GB"/>
              </w:rPr>
              <w:t xml:space="preserve">2. </w:t>
            </w:r>
            <w:r w:rsidRPr="00AB6219">
              <w:rPr>
                <w:rFonts w:ascii="Times New Roman" w:eastAsia="Times New Roman" w:hAnsi="Times New Roman" w:cs="Times New Roman"/>
                <w:color w:val="000000"/>
                <w:sz w:val="22"/>
                <w:szCs w:val="22"/>
                <w:lang w:val="en-GB"/>
              </w:rPr>
              <w:t>Ubiquitin mediated proteolysis - Homo sapiens (human)</w:t>
            </w:r>
          </w:p>
        </w:tc>
        <w:tc>
          <w:tcPr>
            <w:tcW w:w="1740" w:type="dxa"/>
            <w:tcBorders>
              <w:top w:val="nil"/>
              <w:left w:val="nil"/>
              <w:bottom w:val="nil"/>
              <w:right w:val="nil"/>
            </w:tcBorders>
            <w:shd w:val="clear" w:color="auto" w:fill="auto"/>
            <w:noWrap/>
            <w:vAlign w:val="bottom"/>
            <w:hideMark/>
          </w:tcPr>
          <w:p w14:paraId="6475B3F5" w14:textId="77777777" w:rsidR="00BD34F1" w:rsidRPr="00AB6219" w:rsidRDefault="00BD34F1" w:rsidP="00454D06">
            <w:pPr>
              <w:rPr>
                <w:rFonts w:ascii="Times New Roman" w:eastAsia="Times New Roman" w:hAnsi="Times New Roman" w:cs="Times New Roman"/>
                <w:color w:val="000000"/>
                <w:sz w:val="22"/>
                <w:szCs w:val="22"/>
                <w:lang w:val="en-GB"/>
              </w:rPr>
            </w:pPr>
            <w:r w:rsidRPr="00AB6219">
              <w:rPr>
                <w:rFonts w:ascii="Times New Roman" w:eastAsia="Times New Roman" w:hAnsi="Times New Roman" w:cs="Times New Roman"/>
                <w:color w:val="000000"/>
                <w:sz w:val="22"/>
                <w:szCs w:val="22"/>
                <w:lang w:val="en-GB"/>
              </w:rPr>
              <w:t>KEGG</w:t>
            </w:r>
          </w:p>
        </w:tc>
        <w:tc>
          <w:tcPr>
            <w:tcW w:w="1023" w:type="dxa"/>
            <w:tcBorders>
              <w:top w:val="nil"/>
              <w:left w:val="nil"/>
              <w:bottom w:val="nil"/>
              <w:right w:val="nil"/>
            </w:tcBorders>
            <w:shd w:val="clear" w:color="auto" w:fill="auto"/>
            <w:noWrap/>
            <w:vAlign w:val="bottom"/>
            <w:hideMark/>
          </w:tcPr>
          <w:p w14:paraId="1285B19F" w14:textId="77777777" w:rsidR="00BD34F1" w:rsidRPr="00AB6219" w:rsidRDefault="00BD34F1" w:rsidP="00454D06">
            <w:pPr>
              <w:rPr>
                <w:rFonts w:ascii="Times New Roman" w:eastAsia="Times New Roman" w:hAnsi="Times New Roman" w:cs="Times New Roman"/>
                <w:color w:val="000000"/>
                <w:sz w:val="22"/>
                <w:szCs w:val="22"/>
                <w:lang w:val="en-GB"/>
              </w:rPr>
            </w:pPr>
            <w:r w:rsidRPr="00AB6219">
              <w:rPr>
                <w:rFonts w:ascii="Times New Roman" w:eastAsia="Times New Roman" w:hAnsi="Times New Roman" w:cs="Times New Roman"/>
                <w:color w:val="000000"/>
                <w:sz w:val="22"/>
                <w:szCs w:val="22"/>
                <w:lang w:val="en-GB"/>
              </w:rPr>
              <w:t>11</w:t>
            </w:r>
          </w:p>
        </w:tc>
        <w:tc>
          <w:tcPr>
            <w:tcW w:w="1300" w:type="dxa"/>
            <w:tcBorders>
              <w:top w:val="nil"/>
              <w:left w:val="nil"/>
              <w:bottom w:val="nil"/>
              <w:right w:val="nil"/>
            </w:tcBorders>
            <w:shd w:val="clear" w:color="auto" w:fill="auto"/>
            <w:noWrap/>
            <w:vAlign w:val="bottom"/>
            <w:hideMark/>
          </w:tcPr>
          <w:p w14:paraId="2DFBDEA7" w14:textId="77777777" w:rsidR="00BD34F1" w:rsidRPr="00AB6219" w:rsidRDefault="00BD34F1" w:rsidP="00454D06">
            <w:pPr>
              <w:rPr>
                <w:rFonts w:ascii="Times New Roman" w:eastAsia="Times New Roman" w:hAnsi="Times New Roman" w:cs="Times New Roman"/>
                <w:color w:val="000000"/>
                <w:sz w:val="22"/>
                <w:szCs w:val="22"/>
                <w:lang w:val="en-GB"/>
              </w:rPr>
            </w:pPr>
            <w:r w:rsidRPr="00AB6219">
              <w:rPr>
                <w:rFonts w:ascii="Times New Roman" w:eastAsia="Times New Roman" w:hAnsi="Times New Roman" w:cs="Times New Roman"/>
                <w:color w:val="000000"/>
                <w:sz w:val="22"/>
                <w:szCs w:val="22"/>
                <w:lang w:val="en-GB"/>
              </w:rPr>
              <w:t>132 (137)</w:t>
            </w:r>
          </w:p>
        </w:tc>
        <w:tc>
          <w:tcPr>
            <w:tcW w:w="1920" w:type="dxa"/>
            <w:tcBorders>
              <w:top w:val="nil"/>
              <w:left w:val="nil"/>
              <w:bottom w:val="nil"/>
              <w:right w:val="nil"/>
            </w:tcBorders>
            <w:shd w:val="clear" w:color="auto" w:fill="auto"/>
            <w:noWrap/>
            <w:vAlign w:val="bottom"/>
            <w:hideMark/>
          </w:tcPr>
          <w:p w14:paraId="329987DB" w14:textId="77777777" w:rsidR="00BD34F1" w:rsidRPr="00AB6219" w:rsidRDefault="00BD34F1" w:rsidP="00454D06">
            <w:pPr>
              <w:rPr>
                <w:rFonts w:ascii="Times New Roman" w:eastAsia="Times New Roman" w:hAnsi="Times New Roman" w:cs="Times New Roman"/>
                <w:color w:val="000000"/>
                <w:sz w:val="22"/>
                <w:szCs w:val="22"/>
                <w:lang w:val="en-GB"/>
              </w:rPr>
            </w:pPr>
            <w:r w:rsidRPr="00AB6219">
              <w:rPr>
                <w:rFonts w:ascii="Times New Roman" w:eastAsia="Times New Roman" w:hAnsi="Times New Roman" w:cs="Times New Roman"/>
                <w:color w:val="000000"/>
                <w:sz w:val="22"/>
                <w:szCs w:val="22"/>
                <w:lang w:val="en-GB"/>
              </w:rPr>
              <w:t>8.64E-05</w:t>
            </w:r>
          </w:p>
        </w:tc>
        <w:tc>
          <w:tcPr>
            <w:tcW w:w="1460" w:type="dxa"/>
            <w:tcBorders>
              <w:top w:val="nil"/>
              <w:left w:val="nil"/>
              <w:bottom w:val="nil"/>
              <w:right w:val="nil"/>
            </w:tcBorders>
            <w:shd w:val="clear" w:color="auto" w:fill="auto"/>
            <w:noWrap/>
            <w:vAlign w:val="bottom"/>
            <w:hideMark/>
          </w:tcPr>
          <w:p w14:paraId="46FDB892" w14:textId="77777777" w:rsidR="00BD34F1" w:rsidRPr="00AB6219" w:rsidRDefault="00BD34F1" w:rsidP="00454D06">
            <w:pPr>
              <w:rPr>
                <w:rFonts w:ascii="Times New Roman" w:eastAsia="Times New Roman" w:hAnsi="Times New Roman" w:cs="Times New Roman"/>
                <w:color w:val="000000"/>
                <w:sz w:val="22"/>
                <w:szCs w:val="22"/>
                <w:lang w:val="en-GB"/>
              </w:rPr>
            </w:pPr>
            <w:r w:rsidRPr="00AB6219">
              <w:rPr>
                <w:rFonts w:ascii="Times New Roman" w:eastAsia="Times New Roman" w:hAnsi="Times New Roman" w:cs="Times New Roman"/>
                <w:color w:val="000000"/>
                <w:sz w:val="22"/>
                <w:szCs w:val="22"/>
                <w:lang w:val="en-GB"/>
              </w:rPr>
              <w:t>0.169</w:t>
            </w:r>
          </w:p>
        </w:tc>
      </w:tr>
      <w:tr w:rsidR="00BD34F1" w:rsidRPr="00AB6219" w14:paraId="23B3040B" w14:textId="77777777" w:rsidTr="00860A3D">
        <w:trPr>
          <w:trHeight w:val="300"/>
        </w:trPr>
        <w:tc>
          <w:tcPr>
            <w:tcW w:w="7200" w:type="dxa"/>
            <w:tcBorders>
              <w:top w:val="nil"/>
              <w:left w:val="nil"/>
              <w:bottom w:val="nil"/>
              <w:right w:val="nil"/>
            </w:tcBorders>
            <w:shd w:val="clear" w:color="auto" w:fill="auto"/>
            <w:noWrap/>
            <w:vAlign w:val="bottom"/>
            <w:hideMark/>
          </w:tcPr>
          <w:p w14:paraId="74C60FC9" w14:textId="77777777" w:rsidR="00BD34F1" w:rsidRPr="00AB6219" w:rsidRDefault="00BD34F1" w:rsidP="00454D06">
            <w:pPr>
              <w:rPr>
                <w:rFonts w:ascii="Times New Roman" w:eastAsia="Times New Roman" w:hAnsi="Times New Roman" w:cs="Times New Roman"/>
                <w:color w:val="000000"/>
                <w:sz w:val="22"/>
                <w:szCs w:val="22"/>
                <w:lang w:val="en-GB"/>
              </w:rPr>
            </w:pPr>
            <w:r w:rsidRPr="00226BC2">
              <w:rPr>
                <w:rFonts w:ascii="Times New Roman" w:eastAsia="Times New Roman" w:hAnsi="Times New Roman" w:cs="Times New Roman"/>
                <w:color w:val="000000"/>
                <w:sz w:val="22"/>
                <w:szCs w:val="22"/>
                <w:highlight w:val="yellow"/>
                <w:lang w:val="en-GB"/>
              </w:rPr>
              <w:t>3. The citric acid (TCA) cycle and respiratory electron transport</w:t>
            </w:r>
          </w:p>
        </w:tc>
        <w:tc>
          <w:tcPr>
            <w:tcW w:w="1740" w:type="dxa"/>
            <w:tcBorders>
              <w:top w:val="nil"/>
              <w:left w:val="nil"/>
              <w:bottom w:val="nil"/>
              <w:right w:val="nil"/>
            </w:tcBorders>
            <w:shd w:val="clear" w:color="auto" w:fill="auto"/>
            <w:noWrap/>
            <w:vAlign w:val="bottom"/>
            <w:hideMark/>
          </w:tcPr>
          <w:p w14:paraId="6D589178" w14:textId="77777777" w:rsidR="00BD34F1" w:rsidRPr="00226BC2" w:rsidRDefault="00BD34F1" w:rsidP="00454D06">
            <w:pPr>
              <w:rPr>
                <w:rFonts w:ascii="Times New Roman" w:eastAsia="Times New Roman" w:hAnsi="Times New Roman" w:cs="Times New Roman"/>
                <w:color w:val="000000"/>
                <w:sz w:val="22"/>
                <w:szCs w:val="22"/>
                <w:highlight w:val="yellow"/>
                <w:lang w:val="en-GB"/>
              </w:rPr>
            </w:pPr>
            <w:r w:rsidRPr="00226BC2">
              <w:rPr>
                <w:rFonts w:ascii="Times New Roman" w:eastAsia="Times New Roman" w:hAnsi="Times New Roman" w:cs="Times New Roman"/>
                <w:color w:val="000000"/>
                <w:sz w:val="22"/>
                <w:szCs w:val="22"/>
                <w:highlight w:val="yellow"/>
                <w:lang w:val="en-GB"/>
              </w:rPr>
              <w:t>Reactome</w:t>
            </w:r>
          </w:p>
        </w:tc>
        <w:tc>
          <w:tcPr>
            <w:tcW w:w="1023" w:type="dxa"/>
            <w:tcBorders>
              <w:top w:val="nil"/>
              <w:left w:val="nil"/>
              <w:bottom w:val="nil"/>
              <w:right w:val="nil"/>
            </w:tcBorders>
            <w:shd w:val="clear" w:color="auto" w:fill="auto"/>
            <w:noWrap/>
            <w:vAlign w:val="bottom"/>
            <w:hideMark/>
          </w:tcPr>
          <w:p w14:paraId="79D1A7BE" w14:textId="77777777" w:rsidR="00BD34F1" w:rsidRPr="00226BC2" w:rsidRDefault="00BD34F1" w:rsidP="00454D06">
            <w:pPr>
              <w:rPr>
                <w:rFonts w:ascii="Times New Roman" w:eastAsia="Times New Roman" w:hAnsi="Times New Roman" w:cs="Times New Roman"/>
                <w:color w:val="000000"/>
                <w:sz w:val="22"/>
                <w:szCs w:val="22"/>
                <w:highlight w:val="yellow"/>
                <w:lang w:val="en-GB"/>
              </w:rPr>
            </w:pPr>
            <w:r w:rsidRPr="00226BC2">
              <w:rPr>
                <w:rFonts w:ascii="Times New Roman" w:eastAsia="Times New Roman" w:hAnsi="Times New Roman" w:cs="Times New Roman"/>
                <w:color w:val="000000"/>
                <w:sz w:val="22"/>
                <w:szCs w:val="22"/>
                <w:highlight w:val="yellow"/>
                <w:lang w:val="en-GB"/>
              </w:rPr>
              <w:t>11</w:t>
            </w:r>
          </w:p>
        </w:tc>
        <w:tc>
          <w:tcPr>
            <w:tcW w:w="1300" w:type="dxa"/>
            <w:tcBorders>
              <w:top w:val="nil"/>
              <w:left w:val="nil"/>
              <w:bottom w:val="nil"/>
              <w:right w:val="nil"/>
            </w:tcBorders>
            <w:shd w:val="clear" w:color="auto" w:fill="auto"/>
            <w:noWrap/>
            <w:vAlign w:val="bottom"/>
            <w:hideMark/>
          </w:tcPr>
          <w:p w14:paraId="7B1D2DAA" w14:textId="77777777" w:rsidR="00BD34F1" w:rsidRPr="00226BC2" w:rsidRDefault="00BD34F1" w:rsidP="00454D06">
            <w:pPr>
              <w:rPr>
                <w:rFonts w:ascii="Times New Roman" w:eastAsia="Times New Roman" w:hAnsi="Times New Roman" w:cs="Times New Roman"/>
                <w:color w:val="000000"/>
                <w:sz w:val="22"/>
                <w:szCs w:val="22"/>
                <w:highlight w:val="yellow"/>
                <w:lang w:val="en-GB"/>
              </w:rPr>
            </w:pPr>
            <w:r w:rsidRPr="00226BC2">
              <w:rPr>
                <w:rFonts w:ascii="Times New Roman" w:eastAsia="Times New Roman" w:hAnsi="Times New Roman" w:cs="Times New Roman"/>
                <w:color w:val="000000"/>
                <w:sz w:val="22"/>
                <w:szCs w:val="22"/>
                <w:highlight w:val="yellow"/>
                <w:lang w:val="en-GB"/>
              </w:rPr>
              <w:t>147 (156)</w:t>
            </w:r>
          </w:p>
        </w:tc>
        <w:tc>
          <w:tcPr>
            <w:tcW w:w="1920" w:type="dxa"/>
            <w:tcBorders>
              <w:top w:val="nil"/>
              <w:left w:val="nil"/>
              <w:bottom w:val="nil"/>
              <w:right w:val="nil"/>
            </w:tcBorders>
            <w:shd w:val="clear" w:color="auto" w:fill="auto"/>
            <w:noWrap/>
            <w:vAlign w:val="bottom"/>
            <w:hideMark/>
          </w:tcPr>
          <w:p w14:paraId="296DC686" w14:textId="77777777" w:rsidR="00BD34F1" w:rsidRPr="00226BC2" w:rsidRDefault="00BD34F1" w:rsidP="00454D06">
            <w:pPr>
              <w:rPr>
                <w:rFonts w:ascii="Times New Roman" w:eastAsia="Times New Roman" w:hAnsi="Times New Roman" w:cs="Times New Roman"/>
                <w:color w:val="000000"/>
                <w:sz w:val="22"/>
                <w:szCs w:val="22"/>
                <w:highlight w:val="yellow"/>
                <w:lang w:val="en-GB"/>
              </w:rPr>
            </w:pPr>
            <w:r w:rsidRPr="00226BC2">
              <w:rPr>
                <w:rFonts w:ascii="Times New Roman" w:eastAsia="Times New Roman" w:hAnsi="Times New Roman" w:cs="Times New Roman"/>
                <w:color w:val="000000"/>
                <w:sz w:val="22"/>
                <w:szCs w:val="22"/>
                <w:highlight w:val="yellow"/>
                <w:lang w:val="en-GB"/>
              </w:rPr>
              <w:t>0.000225</w:t>
            </w:r>
          </w:p>
        </w:tc>
        <w:tc>
          <w:tcPr>
            <w:tcW w:w="1460" w:type="dxa"/>
            <w:tcBorders>
              <w:top w:val="nil"/>
              <w:left w:val="nil"/>
              <w:bottom w:val="nil"/>
              <w:right w:val="nil"/>
            </w:tcBorders>
            <w:shd w:val="clear" w:color="auto" w:fill="auto"/>
            <w:noWrap/>
            <w:vAlign w:val="bottom"/>
            <w:hideMark/>
          </w:tcPr>
          <w:p w14:paraId="7365CE94" w14:textId="77777777" w:rsidR="00BD34F1" w:rsidRPr="00226BC2" w:rsidRDefault="00BD34F1" w:rsidP="00454D06">
            <w:pPr>
              <w:rPr>
                <w:rFonts w:ascii="Times New Roman" w:eastAsia="Times New Roman" w:hAnsi="Times New Roman" w:cs="Times New Roman"/>
                <w:color w:val="000000"/>
                <w:sz w:val="22"/>
                <w:szCs w:val="22"/>
                <w:highlight w:val="yellow"/>
                <w:lang w:val="en-GB"/>
              </w:rPr>
            </w:pPr>
            <w:r w:rsidRPr="00226BC2">
              <w:rPr>
                <w:rFonts w:ascii="Times New Roman" w:eastAsia="Times New Roman" w:hAnsi="Times New Roman" w:cs="Times New Roman"/>
                <w:color w:val="000000"/>
                <w:sz w:val="22"/>
                <w:szCs w:val="22"/>
                <w:highlight w:val="yellow"/>
                <w:lang w:val="en-GB"/>
              </w:rPr>
              <w:t>0.249</w:t>
            </w:r>
          </w:p>
        </w:tc>
      </w:tr>
      <w:tr w:rsidR="00BD34F1" w:rsidRPr="00AB6219" w14:paraId="04E8B5AD" w14:textId="77777777" w:rsidTr="00860A3D">
        <w:trPr>
          <w:trHeight w:val="300"/>
        </w:trPr>
        <w:tc>
          <w:tcPr>
            <w:tcW w:w="7200" w:type="dxa"/>
            <w:tcBorders>
              <w:top w:val="nil"/>
              <w:left w:val="nil"/>
              <w:bottom w:val="nil"/>
              <w:right w:val="nil"/>
            </w:tcBorders>
            <w:shd w:val="clear" w:color="auto" w:fill="auto"/>
            <w:noWrap/>
            <w:vAlign w:val="bottom"/>
            <w:hideMark/>
          </w:tcPr>
          <w:p w14:paraId="25AEF2A3" w14:textId="77777777" w:rsidR="00BD34F1" w:rsidRPr="002B562E" w:rsidRDefault="00BD34F1" w:rsidP="00454D06">
            <w:pPr>
              <w:rPr>
                <w:rFonts w:ascii="Times New Roman" w:eastAsia="Times New Roman" w:hAnsi="Times New Roman" w:cs="Times New Roman"/>
                <w:color w:val="000000"/>
                <w:sz w:val="22"/>
                <w:szCs w:val="22"/>
                <w:highlight w:val="yellow"/>
                <w:lang w:val="en-GB"/>
              </w:rPr>
            </w:pPr>
            <w:r w:rsidRPr="002B562E">
              <w:rPr>
                <w:rFonts w:ascii="Times New Roman" w:eastAsia="Times New Roman" w:hAnsi="Times New Roman" w:cs="Times New Roman"/>
                <w:color w:val="000000"/>
                <w:sz w:val="22"/>
                <w:szCs w:val="22"/>
                <w:highlight w:val="yellow"/>
                <w:lang w:val="en-GB"/>
              </w:rPr>
              <w:t>4. Electron Transport Chain</w:t>
            </w:r>
          </w:p>
        </w:tc>
        <w:tc>
          <w:tcPr>
            <w:tcW w:w="1740" w:type="dxa"/>
            <w:tcBorders>
              <w:top w:val="nil"/>
              <w:left w:val="nil"/>
              <w:bottom w:val="nil"/>
              <w:right w:val="nil"/>
            </w:tcBorders>
            <w:shd w:val="clear" w:color="auto" w:fill="auto"/>
            <w:noWrap/>
            <w:vAlign w:val="bottom"/>
            <w:hideMark/>
          </w:tcPr>
          <w:p w14:paraId="439F2C7C" w14:textId="77777777" w:rsidR="00BD34F1" w:rsidRPr="00226BC2" w:rsidRDefault="00BD34F1" w:rsidP="00454D06">
            <w:pPr>
              <w:rPr>
                <w:rFonts w:ascii="Times New Roman" w:eastAsia="Times New Roman" w:hAnsi="Times New Roman" w:cs="Times New Roman"/>
                <w:color w:val="000000"/>
                <w:sz w:val="22"/>
                <w:szCs w:val="22"/>
                <w:highlight w:val="yellow"/>
                <w:lang w:val="en-GB"/>
              </w:rPr>
            </w:pPr>
            <w:r w:rsidRPr="00226BC2">
              <w:rPr>
                <w:rFonts w:ascii="Times New Roman" w:eastAsia="Times New Roman" w:hAnsi="Times New Roman" w:cs="Times New Roman"/>
                <w:color w:val="000000"/>
                <w:sz w:val="22"/>
                <w:szCs w:val="22"/>
                <w:highlight w:val="yellow"/>
                <w:lang w:val="en-GB"/>
              </w:rPr>
              <w:t>Wikipathways</w:t>
            </w:r>
          </w:p>
        </w:tc>
        <w:tc>
          <w:tcPr>
            <w:tcW w:w="1023" w:type="dxa"/>
            <w:tcBorders>
              <w:top w:val="nil"/>
              <w:left w:val="nil"/>
              <w:bottom w:val="nil"/>
              <w:right w:val="nil"/>
            </w:tcBorders>
            <w:shd w:val="clear" w:color="auto" w:fill="auto"/>
            <w:noWrap/>
            <w:vAlign w:val="bottom"/>
            <w:hideMark/>
          </w:tcPr>
          <w:p w14:paraId="4C7A5FA5" w14:textId="77777777" w:rsidR="00BD34F1" w:rsidRPr="00226BC2" w:rsidRDefault="00BD34F1" w:rsidP="00454D06">
            <w:pPr>
              <w:rPr>
                <w:rFonts w:ascii="Times New Roman" w:eastAsia="Times New Roman" w:hAnsi="Times New Roman" w:cs="Times New Roman"/>
                <w:color w:val="000000"/>
                <w:sz w:val="22"/>
                <w:szCs w:val="22"/>
                <w:highlight w:val="yellow"/>
                <w:lang w:val="en-GB"/>
              </w:rPr>
            </w:pPr>
            <w:r w:rsidRPr="00226BC2">
              <w:rPr>
                <w:rFonts w:ascii="Times New Roman" w:eastAsia="Times New Roman" w:hAnsi="Times New Roman" w:cs="Times New Roman"/>
                <w:color w:val="000000"/>
                <w:sz w:val="22"/>
                <w:szCs w:val="22"/>
                <w:highlight w:val="yellow"/>
                <w:lang w:val="en-GB"/>
              </w:rPr>
              <w:t>9</w:t>
            </w:r>
          </w:p>
        </w:tc>
        <w:tc>
          <w:tcPr>
            <w:tcW w:w="1300" w:type="dxa"/>
            <w:tcBorders>
              <w:top w:val="nil"/>
              <w:left w:val="nil"/>
              <w:bottom w:val="nil"/>
              <w:right w:val="nil"/>
            </w:tcBorders>
            <w:shd w:val="clear" w:color="auto" w:fill="auto"/>
            <w:noWrap/>
            <w:vAlign w:val="bottom"/>
            <w:hideMark/>
          </w:tcPr>
          <w:p w14:paraId="0DB42B8A" w14:textId="77777777" w:rsidR="00BD34F1" w:rsidRPr="00226BC2" w:rsidRDefault="00BD34F1" w:rsidP="00454D06">
            <w:pPr>
              <w:rPr>
                <w:rFonts w:ascii="Times New Roman" w:eastAsia="Times New Roman" w:hAnsi="Times New Roman" w:cs="Times New Roman"/>
                <w:color w:val="000000"/>
                <w:sz w:val="22"/>
                <w:szCs w:val="22"/>
                <w:highlight w:val="yellow"/>
                <w:lang w:val="en-GB"/>
              </w:rPr>
            </w:pPr>
            <w:r w:rsidRPr="00226BC2">
              <w:rPr>
                <w:rFonts w:ascii="Times New Roman" w:eastAsia="Times New Roman" w:hAnsi="Times New Roman" w:cs="Times New Roman"/>
                <w:color w:val="000000"/>
                <w:sz w:val="22"/>
                <w:szCs w:val="22"/>
                <w:highlight w:val="yellow"/>
                <w:lang w:val="en-GB"/>
              </w:rPr>
              <w:t>103 (103)</w:t>
            </w:r>
          </w:p>
        </w:tc>
        <w:tc>
          <w:tcPr>
            <w:tcW w:w="1920" w:type="dxa"/>
            <w:tcBorders>
              <w:top w:val="nil"/>
              <w:left w:val="nil"/>
              <w:bottom w:val="nil"/>
              <w:right w:val="nil"/>
            </w:tcBorders>
            <w:shd w:val="clear" w:color="auto" w:fill="auto"/>
            <w:noWrap/>
            <w:vAlign w:val="bottom"/>
            <w:hideMark/>
          </w:tcPr>
          <w:p w14:paraId="53F70481" w14:textId="77777777" w:rsidR="00BD34F1" w:rsidRPr="00226BC2" w:rsidRDefault="00BD34F1" w:rsidP="00454D06">
            <w:pPr>
              <w:rPr>
                <w:rFonts w:ascii="Times New Roman" w:eastAsia="Times New Roman" w:hAnsi="Times New Roman" w:cs="Times New Roman"/>
                <w:color w:val="000000"/>
                <w:sz w:val="22"/>
                <w:szCs w:val="22"/>
                <w:highlight w:val="yellow"/>
                <w:lang w:val="en-GB"/>
              </w:rPr>
            </w:pPr>
            <w:r w:rsidRPr="00226BC2">
              <w:rPr>
                <w:rFonts w:ascii="Times New Roman" w:eastAsia="Times New Roman" w:hAnsi="Times New Roman" w:cs="Times New Roman"/>
                <w:color w:val="000000"/>
                <w:sz w:val="22"/>
                <w:szCs w:val="22"/>
                <w:highlight w:val="yellow"/>
                <w:lang w:val="en-GB"/>
              </w:rPr>
              <w:t>0.000267</w:t>
            </w:r>
          </w:p>
        </w:tc>
        <w:tc>
          <w:tcPr>
            <w:tcW w:w="1460" w:type="dxa"/>
            <w:tcBorders>
              <w:top w:val="nil"/>
              <w:left w:val="nil"/>
              <w:bottom w:val="nil"/>
              <w:right w:val="nil"/>
            </w:tcBorders>
            <w:shd w:val="clear" w:color="auto" w:fill="auto"/>
            <w:noWrap/>
            <w:vAlign w:val="bottom"/>
            <w:hideMark/>
          </w:tcPr>
          <w:p w14:paraId="4674AB9E" w14:textId="77777777" w:rsidR="00BD34F1" w:rsidRPr="00226BC2" w:rsidRDefault="00BD34F1" w:rsidP="00454D06">
            <w:pPr>
              <w:rPr>
                <w:rFonts w:ascii="Times New Roman" w:eastAsia="Times New Roman" w:hAnsi="Times New Roman" w:cs="Times New Roman"/>
                <w:color w:val="000000"/>
                <w:sz w:val="22"/>
                <w:szCs w:val="22"/>
                <w:highlight w:val="yellow"/>
                <w:lang w:val="en-GB"/>
              </w:rPr>
            </w:pPr>
            <w:r w:rsidRPr="00226BC2">
              <w:rPr>
                <w:rFonts w:ascii="Times New Roman" w:eastAsia="Times New Roman" w:hAnsi="Times New Roman" w:cs="Times New Roman"/>
                <w:color w:val="000000"/>
                <w:sz w:val="22"/>
                <w:szCs w:val="22"/>
                <w:highlight w:val="yellow"/>
                <w:lang w:val="en-GB"/>
              </w:rPr>
              <w:t>0.249</w:t>
            </w:r>
          </w:p>
        </w:tc>
      </w:tr>
      <w:tr w:rsidR="00BD34F1" w:rsidRPr="00AB6219" w14:paraId="5D10A0F0" w14:textId="77777777" w:rsidTr="00860A3D">
        <w:trPr>
          <w:trHeight w:val="300"/>
        </w:trPr>
        <w:tc>
          <w:tcPr>
            <w:tcW w:w="7200" w:type="dxa"/>
            <w:tcBorders>
              <w:top w:val="nil"/>
              <w:left w:val="nil"/>
              <w:bottom w:val="nil"/>
              <w:right w:val="nil"/>
            </w:tcBorders>
            <w:shd w:val="clear" w:color="auto" w:fill="auto"/>
            <w:noWrap/>
            <w:vAlign w:val="bottom"/>
            <w:hideMark/>
          </w:tcPr>
          <w:p w14:paraId="6E8E6930" w14:textId="77777777" w:rsidR="00BD34F1" w:rsidRPr="002B562E" w:rsidRDefault="00BD34F1" w:rsidP="00454D06">
            <w:pPr>
              <w:rPr>
                <w:rFonts w:ascii="Times New Roman" w:eastAsia="Times New Roman" w:hAnsi="Times New Roman" w:cs="Times New Roman"/>
                <w:color w:val="000000"/>
                <w:sz w:val="22"/>
                <w:szCs w:val="22"/>
                <w:highlight w:val="yellow"/>
                <w:lang w:val="en-GB"/>
              </w:rPr>
            </w:pPr>
            <w:r w:rsidRPr="002B562E">
              <w:rPr>
                <w:rFonts w:ascii="Times New Roman" w:eastAsia="Times New Roman" w:hAnsi="Times New Roman" w:cs="Times New Roman"/>
                <w:color w:val="000000"/>
                <w:sz w:val="22"/>
                <w:szCs w:val="22"/>
                <w:highlight w:val="yellow"/>
                <w:lang w:val="en-GB"/>
              </w:rPr>
              <w:t>5. Respiratory electron transport_ ATP synthesis by chemiosmotic coupling</w:t>
            </w:r>
          </w:p>
        </w:tc>
        <w:tc>
          <w:tcPr>
            <w:tcW w:w="1740" w:type="dxa"/>
            <w:tcBorders>
              <w:top w:val="nil"/>
              <w:left w:val="nil"/>
              <w:bottom w:val="nil"/>
              <w:right w:val="nil"/>
            </w:tcBorders>
            <w:shd w:val="clear" w:color="auto" w:fill="auto"/>
            <w:noWrap/>
            <w:vAlign w:val="bottom"/>
            <w:hideMark/>
          </w:tcPr>
          <w:p w14:paraId="6866513E" w14:textId="77777777" w:rsidR="00BD34F1" w:rsidRPr="002B562E" w:rsidRDefault="00BD34F1" w:rsidP="00454D06">
            <w:pPr>
              <w:rPr>
                <w:rFonts w:ascii="Times New Roman" w:eastAsia="Times New Roman" w:hAnsi="Times New Roman" w:cs="Times New Roman"/>
                <w:color w:val="000000"/>
                <w:sz w:val="22"/>
                <w:szCs w:val="22"/>
                <w:highlight w:val="yellow"/>
                <w:lang w:val="en-GB"/>
              </w:rPr>
            </w:pPr>
            <w:r w:rsidRPr="002B562E">
              <w:rPr>
                <w:rFonts w:ascii="Times New Roman" w:eastAsia="Times New Roman" w:hAnsi="Times New Roman" w:cs="Times New Roman"/>
                <w:color w:val="000000"/>
                <w:sz w:val="22"/>
                <w:szCs w:val="22"/>
                <w:highlight w:val="yellow"/>
                <w:lang w:val="en-GB"/>
              </w:rPr>
              <w:t>Reactome</w:t>
            </w:r>
          </w:p>
        </w:tc>
        <w:tc>
          <w:tcPr>
            <w:tcW w:w="1023" w:type="dxa"/>
            <w:tcBorders>
              <w:top w:val="nil"/>
              <w:left w:val="nil"/>
              <w:bottom w:val="nil"/>
              <w:right w:val="nil"/>
            </w:tcBorders>
            <w:shd w:val="clear" w:color="auto" w:fill="auto"/>
            <w:noWrap/>
            <w:vAlign w:val="bottom"/>
            <w:hideMark/>
          </w:tcPr>
          <w:p w14:paraId="3847ACA3" w14:textId="77777777" w:rsidR="00BD34F1" w:rsidRPr="002B562E" w:rsidRDefault="00BD34F1" w:rsidP="00454D06">
            <w:pPr>
              <w:rPr>
                <w:rFonts w:ascii="Times New Roman" w:eastAsia="Times New Roman" w:hAnsi="Times New Roman" w:cs="Times New Roman"/>
                <w:color w:val="000000"/>
                <w:sz w:val="22"/>
                <w:szCs w:val="22"/>
                <w:highlight w:val="yellow"/>
                <w:lang w:val="en-GB"/>
              </w:rPr>
            </w:pPr>
            <w:r w:rsidRPr="002B562E">
              <w:rPr>
                <w:rFonts w:ascii="Times New Roman" w:eastAsia="Times New Roman" w:hAnsi="Times New Roman" w:cs="Times New Roman"/>
                <w:color w:val="000000"/>
                <w:sz w:val="22"/>
                <w:szCs w:val="22"/>
                <w:highlight w:val="yellow"/>
                <w:lang w:val="en-GB"/>
              </w:rPr>
              <w:t>9</w:t>
            </w:r>
          </w:p>
        </w:tc>
        <w:tc>
          <w:tcPr>
            <w:tcW w:w="1300" w:type="dxa"/>
            <w:tcBorders>
              <w:top w:val="nil"/>
              <w:left w:val="nil"/>
              <w:bottom w:val="nil"/>
              <w:right w:val="nil"/>
            </w:tcBorders>
            <w:shd w:val="clear" w:color="auto" w:fill="auto"/>
            <w:noWrap/>
            <w:vAlign w:val="bottom"/>
            <w:hideMark/>
          </w:tcPr>
          <w:p w14:paraId="30B6BF62" w14:textId="77777777" w:rsidR="00BD34F1" w:rsidRPr="002B562E" w:rsidRDefault="00BD34F1" w:rsidP="00454D06">
            <w:pPr>
              <w:rPr>
                <w:rFonts w:ascii="Times New Roman" w:eastAsia="Times New Roman" w:hAnsi="Times New Roman" w:cs="Times New Roman"/>
                <w:color w:val="000000"/>
                <w:sz w:val="22"/>
                <w:szCs w:val="22"/>
                <w:highlight w:val="yellow"/>
                <w:lang w:val="en-GB"/>
              </w:rPr>
            </w:pPr>
            <w:r w:rsidRPr="002B562E">
              <w:rPr>
                <w:rFonts w:ascii="Times New Roman" w:eastAsia="Times New Roman" w:hAnsi="Times New Roman" w:cs="Times New Roman"/>
                <w:color w:val="000000"/>
                <w:sz w:val="22"/>
                <w:szCs w:val="22"/>
                <w:highlight w:val="yellow"/>
                <w:lang w:val="en-GB"/>
              </w:rPr>
              <w:t>107 (113)</w:t>
            </w:r>
          </w:p>
        </w:tc>
        <w:tc>
          <w:tcPr>
            <w:tcW w:w="1920" w:type="dxa"/>
            <w:tcBorders>
              <w:top w:val="nil"/>
              <w:left w:val="nil"/>
              <w:bottom w:val="nil"/>
              <w:right w:val="nil"/>
            </w:tcBorders>
            <w:shd w:val="clear" w:color="auto" w:fill="auto"/>
            <w:noWrap/>
            <w:vAlign w:val="bottom"/>
            <w:hideMark/>
          </w:tcPr>
          <w:p w14:paraId="6DD8E818" w14:textId="77777777" w:rsidR="00BD34F1" w:rsidRPr="002B562E" w:rsidRDefault="00BD34F1" w:rsidP="00454D06">
            <w:pPr>
              <w:rPr>
                <w:rFonts w:ascii="Times New Roman" w:eastAsia="Times New Roman" w:hAnsi="Times New Roman" w:cs="Times New Roman"/>
                <w:color w:val="000000"/>
                <w:sz w:val="22"/>
                <w:szCs w:val="22"/>
                <w:highlight w:val="yellow"/>
                <w:lang w:val="en-GB"/>
              </w:rPr>
            </w:pPr>
            <w:r w:rsidRPr="002B562E">
              <w:rPr>
                <w:rFonts w:ascii="Times New Roman" w:eastAsia="Times New Roman" w:hAnsi="Times New Roman" w:cs="Times New Roman"/>
                <w:color w:val="000000"/>
                <w:sz w:val="22"/>
                <w:szCs w:val="22"/>
                <w:highlight w:val="yellow"/>
                <w:lang w:val="en-GB"/>
              </w:rPr>
              <w:t>0.000355</w:t>
            </w:r>
          </w:p>
        </w:tc>
        <w:tc>
          <w:tcPr>
            <w:tcW w:w="1460" w:type="dxa"/>
            <w:tcBorders>
              <w:top w:val="nil"/>
              <w:left w:val="nil"/>
              <w:bottom w:val="nil"/>
              <w:right w:val="nil"/>
            </w:tcBorders>
            <w:shd w:val="clear" w:color="auto" w:fill="auto"/>
            <w:noWrap/>
            <w:vAlign w:val="bottom"/>
            <w:hideMark/>
          </w:tcPr>
          <w:p w14:paraId="354CC439" w14:textId="77777777" w:rsidR="00BD34F1" w:rsidRPr="002B562E" w:rsidRDefault="00BD34F1" w:rsidP="00454D06">
            <w:pPr>
              <w:rPr>
                <w:rFonts w:ascii="Times New Roman" w:eastAsia="Times New Roman" w:hAnsi="Times New Roman" w:cs="Times New Roman"/>
                <w:color w:val="000000"/>
                <w:sz w:val="22"/>
                <w:szCs w:val="22"/>
                <w:highlight w:val="yellow"/>
                <w:lang w:val="en-GB"/>
              </w:rPr>
            </w:pPr>
            <w:r w:rsidRPr="002B562E">
              <w:rPr>
                <w:rFonts w:ascii="Times New Roman" w:eastAsia="Times New Roman" w:hAnsi="Times New Roman" w:cs="Times New Roman"/>
                <w:color w:val="000000"/>
                <w:sz w:val="22"/>
                <w:szCs w:val="22"/>
                <w:highlight w:val="yellow"/>
                <w:lang w:val="en-GB"/>
              </w:rPr>
              <w:t>0.249</w:t>
            </w:r>
          </w:p>
        </w:tc>
      </w:tr>
      <w:tr w:rsidR="00BD34F1" w:rsidRPr="00AB6219" w14:paraId="243B8C48" w14:textId="77777777" w:rsidTr="00860A3D">
        <w:trPr>
          <w:trHeight w:val="300"/>
        </w:trPr>
        <w:tc>
          <w:tcPr>
            <w:tcW w:w="7200" w:type="dxa"/>
            <w:tcBorders>
              <w:top w:val="nil"/>
              <w:left w:val="nil"/>
              <w:bottom w:val="nil"/>
              <w:right w:val="nil"/>
            </w:tcBorders>
            <w:shd w:val="clear" w:color="auto" w:fill="auto"/>
            <w:noWrap/>
            <w:vAlign w:val="bottom"/>
            <w:hideMark/>
          </w:tcPr>
          <w:p w14:paraId="61FAF60C" w14:textId="77777777" w:rsidR="00BD34F1" w:rsidRPr="002B562E" w:rsidRDefault="00BD34F1" w:rsidP="00454D06">
            <w:pPr>
              <w:rPr>
                <w:rFonts w:ascii="Times New Roman" w:eastAsia="Times New Roman" w:hAnsi="Times New Roman" w:cs="Times New Roman"/>
                <w:color w:val="000000"/>
                <w:sz w:val="22"/>
                <w:szCs w:val="22"/>
                <w:highlight w:val="yellow"/>
                <w:lang w:val="en-GB"/>
              </w:rPr>
            </w:pPr>
            <w:r w:rsidRPr="002B562E">
              <w:rPr>
                <w:rFonts w:ascii="Times New Roman" w:eastAsia="Times New Roman" w:hAnsi="Times New Roman" w:cs="Times New Roman"/>
                <w:color w:val="000000"/>
                <w:sz w:val="22"/>
                <w:szCs w:val="22"/>
                <w:highlight w:val="yellow"/>
                <w:lang w:val="en-GB"/>
              </w:rPr>
              <w:t>6. Respiratory electron transport</w:t>
            </w:r>
          </w:p>
        </w:tc>
        <w:tc>
          <w:tcPr>
            <w:tcW w:w="1740" w:type="dxa"/>
            <w:tcBorders>
              <w:top w:val="nil"/>
              <w:left w:val="nil"/>
              <w:bottom w:val="nil"/>
              <w:right w:val="nil"/>
            </w:tcBorders>
            <w:shd w:val="clear" w:color="auto" w:fill="auto"/>
            <w:noWrap/>
            <w:vAlign w:val="bottom"/>
            <w:hideMark/>
          </w:tcPr>
          <w:p w14:paraId="73BE028C" w14:textId="77777777" w:rsidR="00BD34F1" w:rsidRPr="002B562E" w:rsidRDefault="00BD34F1" w:rsidP="00454D06">
            <w:pPr>
              <w:rPr>
                <w:rFonts w:ascii="Times New Roman" w:eastAsia="Times New Roman" w:hAnsi="Times New Roman" w:cs="Times New Roman"/>
                <w:color w:val="000000"/>
                <w:sz w:val="22"/>
                <w:szCs w:val="22"/>
                <w:highlight w:val="yellow"/>
                <w:lang w:val="en-GB"/>
              </w:rPr>
            </w:pPr>
            <w:r w:rsidRPr="002B562E">
              <w:rPr>
                <w:rFonts w:ascii="Times New Roman" w:eastAsia="Times New Roman" w:hAnsi="Times New Roman" w:cs="Times New Roman"/>
                <w:color w:val="000000"/>
                <w:sz w:val="22"/>
                <w:szCs w:val="22"/>
                <w:highlight w:val="yellow"/>
                <w:lang w:val="en-GB"/>
              </w:rPr>
              <w:t>Reactome</w:t>
            </w:r>
          </w:p>
        </w:tc>
        <w:tc>
          <w:tcPr>
            <w:tcW w:w="1023" w:type="dxa"/>
            <w:tcBorders>
              <w:top w:val="nil"/>
              <w:left w:val="nil"/>
              <w:bottom w:val="nil"/>
              <w:right w:val="nil"/>
            </w:tcBorders>
            <w:shd w:val="clear" w:color="auto" w:fill="auto"/>
            <w:noWrap/>
            <w:vAlign w:val="bottom"/>
            <w:hideMark/>
          </w:tcPr>
          <w:p w14:paraId="5B74AD0B" w14:textId="77777777" w:rsidR="00BD34F1" w:rsidRPr="002B562E" w:rsidRDefault="00BD34F1" w:rsidP="00454D06">
            <w:pPr>
              <w:rPr>
                <w:rFonts w:ascii="Times New Roman" w:eastAsia="Times New Roman" w:hAnsi="Times New Roman" w:cs="Times New Roman"/>
                <w:color w:val="000000"/>
                <w:sz w:val="22"/>
                <w:szCs w:val="22"/>
                <w:highlight w:val="yellow"/>
                <w:lang w:val="en-GB"/>
              </w:rPr>
            </w:pPr>
            <w:r w:rsidRPr="002B562E">
              <w:rPr>
                <w:rFonts w:ascii="Times New Roman" w:eastAsia="Times New Roman" w:hAnsi="Times New Roman" w:cs="Times New Roman"/>
                <w:color w:val="000000"/>
                <w:sz w:val="22"/>
                <w:szCs w:val="22"/>
                <w:highlight w:val="yellow"/>
                <w:lang w:val="en-GB"/>
              </w:rPr>
              <w:t>8</w:t>
            </w:r>
          </w:p>
        </w:tc>
        <w:tc>
          <w:tcPr>
            <w:tcW w:w="1300" w:type="dxa"/>
            <w:tcBorders>
              <w:top w:val="nil"/>
              <w:left w:val="nil"/>
              <w:bottom w:val="nil"/>
              <w:right w:val="nil"/>
            </w:tcBorders>
            <w:shd w:val="clear" w:color="auto" w:fill="auto"/>
            <w:noWrap/>
            <w:vAlign w:val="bottom"/>
            <w:hideMark/>
          </w:tcPr>
          <w:p w14:paraId="261F6653" w14:textId="77777777" w:rsidR="00BD34F1" w:rsidRPr="002B562E" w:rsidRDefault="00BD34F1" w:rsidP="00454D06">
            <w:pPr>
              <w:rPr>
                <w:rFonts w:ascii="Times New Roman" w:eastAsia="Times New Roman" w:hAnsi="Times New Roman" w:cs="Times New Roman"/>
                <w:color w:val="000000"/>
                <w:sz w:val="22"/>
                <w:szCs w:val="22"/>
                <w:highlight w:val="yellow"/>
                <w:lang w:val="en-GB"/>
              </w:rPr>
            </w:pPr>
            <w:r w:rsidRPr="002B562E">
              <w:rPr>
                <w:rFonts w:ascii="Times New Roman" w:eastAsia="Times New Roman" w:hAnsi="Times New Roman" w:cs="Times New Roman"/>
                <w:color w:val="000000"/>
                <w:sz w:val="22"/>
                <w:szCs w:val="22"/>
                <w:highlight w:val="yellow"/>
                <w:lang w:val="en-GB"/>
              </w:rPr>
              <w:t>86 (92)</w:t>
            </w:r>
          </w:p>
        </w:tc>
        <w:tc>
          <w:tcPr>
            <w:tcW w:w="1920" w:type="dxa"/>
            <w:tcBorders>
              <w:top w:val="nil"/>
              <w:left w:val="nil"/>
              <w:bottom w:val="nil"/>
              <w:right w:val="nil"/>
            </w:tcBorders>
            <w:shd w:val="clear" w:color="auto" w:fill="auto"/>
            <w:noWrap/>
            <w:vAlign w:val="bottom"/>
            <w:hideMark/>
          </w:tcPr>
          <w:p w14:paraId="1DA54423" w14:textId="77777777" w:rsidR="00BD34F1" w:rsidRPr="002B562E" w:rsidRDefault="00BD34F1" w:rsidP="00454D06">
            <w:pPr>
              <w:rPr>
                <w:rFonts w:ascii="Times New Roman" w:eastAsia="Times New Roman" w:hAnsi="Times New Roman" w:cs="Times New Roman"/>
                <w:color w:val="000000"/>
                <w:sz w:val="22"/>
                <w:szCs w:val="22"/>
                <w:highlight w:val="yellow"/>
                <w:lang w:val="en-GB"/>
              </w:rPr>
            </w:pPr>
            <w:r w:rsidRPr="002B562E">
              <w:rPr>
                <w:rFonts w:ascii="Times New Roman" w:eastAsia="Times New Roman" w:hAnsi="Times New Roman" w:cs="Times New Roman"/>
                <w:color w:val="000000"/>
                <w:sz w:val="22"/>
                <w:szCs w:val="22"/>
                <w:highlight w:val="yellow"/>
                <w:lang w:val="en-GB"/>
              </w:rPr>
              <w:t>0.000382</w:t>
            </w:r>
          </w:p>
        </w:tc>
        <w:tc>
          <w:tcPr>
            <w:tcW w:w="1460" w:type="dxa"/>
            <w:tcBorders>
              <w:top w:val="nil"/>
              <w:left w:val="nil"/>
              <w:bottom w:val="nil"/>
              <w:right w:val="nil"/>
            </w:tcBorders>
            <w:shd w:val="clear" w:color="auto" w:fill="auto"/>
            <w:noWrap/>
            <w:vAlign w:val="bottom"/>
            <w:hideMark/>
          </w:tcPr>
          <w:p w14:paraId="6833BF37" w14:textId="77777777" w:rsidR="00BD34F1" w:rsidRPr="002B562E" w:rsidRDefault="00BD34F1" w:rsidP="00454D06">
            <w:pPr>
              <w:rPr>
                <w:rFonts w:ascii="Times New Roman" w:eastAsia="Times New Roman" w:hAnsi="Times New Roman" w:cs="Times New Roman"/>
                <w:color w:val="000000"/>
                <w:sz w:val="22"/>
                <w:szCs w:val="22"/>
                <w:highlight w:val="yellow"/>
                <w:lang w:val="en-GB"/>
              </w:rPr>
            </w:pPr>
            <w:r w:rsidRPr="002B562E">
              <w:rPr>
                <w:rFonts w:ascii="Times New Roman" w:eastAsia="Times New Roman" w:hAnsi="Times New Roman" w:cs="Times New Roman"/>
                <w:color w:val="000000"/>
                <w:sz w:val="22"/>
                <w:szCs w:val="22"/>
                <w:highlight w:val="yellow"/>
                <w:lang w:val="en-GB"/>
              </w:rPr>
              <w:t>0.249</w:t>
            </w:r>
          </w:p>
        </w:tc>
      </w:tr>
      <w:tr w:rsidR="00BD34F1" w:rsidRPr="00AB6219" w14:paraId="09FC71B8" w14:textId="77777777" w:rsidTr="00860A3D">
        <w:trPr>
          <w:trHeight w:val="300"/>
        </w:trPr>
        <w:tc>
          <w:tcPr>
            <w:tcW w:w="7200" w:type="dxa"/>
            <w:tcBorders>
              <w:top w:val="nil"/>
              <w:left w:val="nil"/>
              <w:bottom w:val="nil"/>
              <w:right w:val="nil"/>
            </w:tcBorders>
            <w:shd w:val="clear" w:color="auto" w:fill="auto"/>
            <w:noWrap/>
            <w:vAlign w:val="bottom"/>
            <w:hideMark/>
          </w:tcPr>
          <w:p w14:paraId="1B815DD5" w14:textId="77777777" w:rsidR="00BD34F1" w:rsidRPr="002B562E" w:rsidRDefault="00BD34F1" w:rsidP="00454D06">
            <w:pPr>
              <w:rPr>
                <w:rFonts w:ascii="Times New Roman" w:eastAsia="Times New Roman" w:hAnsi="Times New Roman" w:cs="Times New Roman"/>
                <w:color w:val="000000"/>
                <w:sz w:val="22"/>
                <w:szCs w:val="22"/>
                <w:highlight w:val="yellow"/>
                <w:lang w:val="en-GB"/>
              </w:rPr>
            </w:pPr>
            <w:r w:rsidRPr="002B562E">
              <w:rPr>
                <w:rFonts w:ascii="Times New Roman" w:eastAsia="Times New Roman" w:hAnsi="Times New Roman" w:cs="Times New Roman"/>
                <w:color w:val="000000"/>
                <w:sz w:val="22"/>
                <w:szCs w:val="22"/>
                <w:highlight w:val="yellow"/>
                <w:lang w:val="en-GB"/>
              </w:rPr>
              <w:t>7. Oxidative phosphorylation - Homo sapiens (human)</w:t>
            </w:r>
          </w:p>
        </w:tc>
        <w:tc>
          <w:tcPr>
            <w:tcW w:w="1740" w:type="dxa"/>
            <w:tcBorders>
              <w:top w:val="nil"/>
              <w:left w:val="nil"/>
              <w:bottom w:val="nil"/>
              <w:right w:val="nil"/>
            </w:tcBorders>
            <w:shd w:val="clear" w:color="auto" w:fill="auto"/>
            <w:noWrap/>
            <w:vAlign w:val="bottom"/>
            <w:hideMark/>
          </w:tcPr>
          <w:p w14:paraId="4CF96648" w14:textId="77777777" w:rsidR="00BD34F1" w:rsidRPr="002B562E" w:rsidRDefault="00BD34F1" w:rsidP="00454D06">
            <w:pPr>
              <w:rPr>
                <w:rFonts w:ascii="Times New Roman" w:eastAsia="Times New Roman" w:hAnsi="Times New Roman" w:cs="Times New Roman"/>
                <w:color w:val="000000"/>
                <w:sz w:val="22"/>
                <w:szCs w:val="22"/>
                <w:highlight w:val="yellow"/>
                <w:lang w:val="en-GB"/>
              </w:rPr>
            </w:pPr>
            <w:r w:rsidRPr="002B562E">
              <w:rPr>
                <w:rFonts w:ascii="Times New Roman" w:eastAsia="Times New Roman" w:hAnsi="Times New Roman" w:cs="Times New Roman"/>
                <w:color w:val="000000"/>
                <w:sz w:val="22"/>
                <w:szCs w:val="22"/>
                <w:highlight w:val="yellow"/>
                <w:lang w:val="en-GB"/>
              </w:rPr>
              <w:t>KEGG</w:t>
            </w:r>
          </w:p>
        </w:tc>
        <w:tc>
          <w:tcPr>
            <w:tcW w:w="1023" w:type="dxa"/>
            <w:tcBorders>
              <w:top w:val="nil"/>
              <w:left w:val="nil"/>
              <w:bottom w:val="nil"/>
              <w:right w:val="nil"/>
            </w:tcBorders>
            <w:shd w:val="clear" w:color="auto" w:fill="auto"/>
            <w:noWrap/>
            <w:vAlign w:val="bottom"/>
            <w:hideMark/>
          </w:tcPr>
          <w:p w14:paraId="16D5B0F3" w14:textId="77777777" w:rsidR="00BD34F1" w:rsidRPr="002B562E" w:rsidRDefault="00BD34F1" w:rsidP="00454D06">
            <w:pPr>
              <w:rPr>
                <w:rFonts w:ascii="Times New Roman" w:eastAsia="Times New Roman" w:hAnsi="Times New Roman" w:cs="Times New Roman"/>
                <w:color w:val="000000"/>
                <w:sz w:val="22"/>
                <w:szCs w:val="22"/>
                <w:highlight w:val="yellow"/>
                <w:lang w:val="en-GB"/>
              </w:rPr>
            </w:pPr>
            <w:r w:rsidRPr="002B562E">
              <w:rPr>
                <w:rFonts w:ascii="Times New Roman" w:eastAsia="Times New Roman" w:hAnsi="Times New Roman" w:cs="Times New Roman"/>
                <w:color w:val="000000"/>
                <w:sz w:val="22"/>
                <w:szCs w:val="22"/>
                <w:highlight w:val="yellow"/>
                <w:lang w:val="en-GB"/>
              </w:rPr>
              <w:t>8</w:t>
            </w:r>
          </w:p>
        </w:tc>
        <w:tc>
          <w:tcPr>
            <w:tcW w:w="1300" w:type="dxa"/>
            <w:tcBorders>
              <w:top w:val="nil"/>
              <w:left w:val="nil"/>
              <w:bottom w:val="nil"/>
              <w:right w:val="nil"/>
            </w:tcBorders>
            <w:shd w:val="clear" w:color="auto" w:fill="auto"/>
            <w:noWrap/>
            <w:vAlign w:val="bottom"/>
            <w:hideMark/>
          </w:tcPr>
          <w:p w14:paraId="1EF2171F" w14:textId="77777777" w:rsidR="00BD34F1" w:rsidRPr="002B562E" w:rsidRDefault="00BD34F1" w:rsidP="00454D06">
            <w:pPr>
              <w:rPr>
                <w:rFonts w:ascii="Times New Roman" w:eastAsia="Times New Roman" w:hAnsi="Times New Roman" w:cs="Times New Roman"/>
                <w:color w:val="000000"/>
                <w:sz w:val="22"/>
                <w:szCs w:val="22"/>
                <w:highlight w:val="yellow"/>
                <w:lang w:val="en-GB"/>
              </w:rPr>
            </w:pPr>
            <w:r w:rsidRPr="002B562E">
              <w:rPr>
                <w:rFonts w:ascii="Times New Roman" w:eastAsia="Times New Roman" w:hAnsi="Times New Roman" w:cs="Times New Roman"/>
                <w:color w:val="000000"/>
                <w:sz w:val="22"/>
                <w:szCs w:val="22"/>
                <w:highlight w:val="yellow"/>
                <w:lang w:val="en-GB"/>
              </w:rPr>
              <w:t>132 (133)</w:t>
            </w:r>
          </w:p>
        </w:tc>
        <w:tc>
          <w:tcPr>
            <w:tcW w:w="1920" w:type="dxa"/>
            <w:tcBorders>
              <w:top w:val="nil"/>
              <w:left w:val="nil"/>
              <w:bottom w:val="nil"/>
              <w:right w:val="nil"/>
            </w:tcBorders>
            <w:shd w:val="clear" w:color="auto" w:fill="auto"/>
            <w:noWrap/>
            <w:vAlign w:val="bottom"/>
            <w:hideMark/>
          </w:tcPr>
          <w:p w14:paraId="486DC69F" w14:textId="77777777" w:rsidR="00BD34F1" w:rsidRPr="002B562E" w:rsidRDefault="00BD34F1" w:rsidP="00454D06">
            <w:pPr>
              <w:rPr>
                <w:rFonts w:ascii="Times New Roman" w:eastAsia="Times New Roman" w:hAnsi="Times New Roman" w:cs="Times New Roman"/>
                <w:color w:val="000000"/>
                <w:sz w:val="22"/>
                <w:szCs w:val="22"/>
                <w:highlight w:val="yellow"/>
                <w:lang w:val="en-GB"/>
              </w:rPr>
            </w:pPr>
            <w:r w:rsidRPr="002B562E">
              <w:rPr>
                <w:rFonts w:ascii="Times New Roman" w:eastAsia="Times New Roman" w:hAnsi="Times New Roman" w:cs="Times New Roman"/>
                <w:color w:val="000000"/>
                <w:sz w:val="22"/>
                <w:szCs w:val="22"/>
                <w:highlight w:val="yellow"/>
                <w:lang w:val="en-GB"/>
              </w:rPr>
              <w:t>0.00593</w:t>
            </w:r>
          </w:p>
        </w:tc>
        <w:tc>
          <w:tcPr>
            <w:tcW w:w="1460" w:type="dxa"/>
            <w:tcBorders>
              <w:top w:val="nil"/>
              <w:left w:val="nil"/>
              <w:bottom w:val="nil"/>
              <w:right w:val="nil"/>
            </w:tcBorders>
            <w:shd w:val="clear" w:color="auto" w:fill="auto"/>
            <w:noWrap/>
            <w:vAlign w:val="bottom"/>
            <w:hideMark/>
          </w:tcPr>
          <w:p w14:paraId="36698ABE" w14:textId="77777777" w:rsidR="00BD34F1" w:rsidRPr="002B562E" w:rsidRDefault="00BD34F1" w:rsidP="00454D06">
            <w:pPr>
              <w:rPr>
                <w:rFonts w:ascii="Times New Roman" w:eastAsia="Times New Roman" w:hAnsi="Times New Roman" w:cs="Times New Roman"/>
                <w:color w:val="000000"/>
                <w:sz w:val="22"/>
                <w:szCs w:val="22"/>
                <w:highlight w:val="yellow"/>
                <w:lang w:val="en-GB"/>
              </w:rPr>
            </w:pPr>
            <w:r w:rsidRPr="002B562E">
              <w:rPr>
                <w:rFonts w:ascii="Times New Roman" w:eastAsia="Times New Roman" w:hAnsi="Times New Roman" w:cs="Times New Roman"/>
                <w:color w:val="000000"/>
                <w:sz w:val="22"/>
                <w:szCs w:val="22"/>
                <w:highlight w:val="yellow"/>
                <w:lang w:val="en-GB"/>
              </w:rPr>
              <w:t>1</w:t>
            </w:r>
          </w:p>
        </w:tc>
      </w:tr>
      <w:tr w:rsidR="00BD34F1" w:rsidRPr="00AB6219" w14:paraId="1D3C382C" w14:textId="77777777" w:rsidTr="00860A3D">
        <w:trPr>
          <w:trHeight w:val="300"/>
        </w:trPr>
        <w:tc>
          <w:tcPr>
            <w:tcW w:w="7200" w:type="dxa"/>
            <w:tcBorders>
              <w:top w:val="nil"/>
              <w:left w:val="nil"/>
              <w:bottom w:val="nil"/>
              <w:right w:val="nil"/>
            </w:tcBorders>
            <w:shd w:val="clear" w:color="auto" w:fill="auto"/>
            <w:noWrap/>
            <w:vAlign w:val="bottom"/>
            <w:hideMark/>
          </w:tcPr>
          <w:p w14:paraId="34A35964" w14:textId="00403533" w:rsidR="00BD34F1" w:rsidRPr="00AB6219" w:rsidRDefault="00BD34F1" w:rsidP="00454D06">
            <w:pPr>
              <w:rPr>
                <w:rFonts w:ascii="Times New Roman" w:eastAsia="Times New Roman" w:hAnsi="Times New Roman" w:cs="Times New Roman"/>
                <w:color w:val="000000"/>
                <w:sz w:val="22"/>
                <w:szCs w:val="22"/>
                <w:lang w:val="en-GB"/>
              </w:rPr>
            </w:pPr>
            <w:r>
              <w:rPr>
                <w:rFonts w:ascii="Times New Roman" w:eastAsia="Times New Roman" w:hAnsi="Times New Roman" w:cs="Times New Roman"/>
                <w:color w:val="000000"/>
                <w:sz w:val="22"/>
                <w:szCs w:val="22"/>
                <w:lang w:val="en-GB"/>
              </w:rPr>
              <w:t xml:space="preserve">8. </w:t>
            </w:r>
            <w:r w:rsidR="00407CC6">
              <w:rPr>
                <w:rFonts w:ascii="Times New Roman" w:eastAsia="Times New Roman" w:hAnsi="Times New Roman" w:cs="Times New Roman"/>
                <w:color w:val="000000"/>
                <w:sz w:val="22"/>
                <w:szCs w:val="22"/>
                <w:lang w:val="en-GB"/>
              </w:rPr>
              <w:t>Huntington’</w:t>
            </w:r>
            <w:r w:rsidRPr="00AB6219">
              <w:rPr>
                <w:rFonts w:ascii="Times New Roman" w:eastAsia="Times New Roman" w:hAnsi="Times New Roman" w:cs="Times New Roman"/>
                <w:color w:val="000000"/>
                <w:sz w:val="22"/>
                <w:szCs w:val="22"/>
                <w:lang w:val="en-GB"/>
              </w:rPr>
              <w:t>s disease - Homo sapiens (human)</w:t>
            </w:r>
          </w:p>
        </w:tc>
        <w:tc>
          <w:tcPr>
            <w:tcW w:w="1740" w:type="dxa"/>
            <w:tcBorders>
              <w:top w:val="nil"/>
              <w:left w:val="nil"/>
              <w:bottom w:val="nil"/>
              <w:right w:val="nil"/>
            </w:tcBorders>
            <w:shd w:val="clear" w:color="auto" w:fill="auto"/>
            <w:noWrap/>
            <w:vAlign w:val="bottom"/>
            <w:hideMark/>
          </w:tcPr>
          <w:p w14:paraId="79A917FB" w14:textId="77777777" w:rsidR="00BD34F1" w:rsidRPr="00AB6219" w:rsidRDefault="00BD34F1" w:rsidP="00454D06">
            <w:pPr>
              <w:rPr>
                <w:rFonts w:ascii="Times New Roman" w:eastAsia="Times New Roman" w:hAnsi="Times New Roman" w:cs="Times New Roman"/>
                <w:color w:val="000000"/>
                <w:sz w:val="22"/>
                <w:szCs w:val="22"/>
                <w:lang w:val="en-GB"/>
              </w:rPr>
            </w:pPr>
            <w:r w:rsidRPr="00AB6219">
              <w:rPr>
                <w:rFonts w:ascii="Times New Roman" w:eastAsia="Times New Roman" w:hAnsi="Times New Roman" w:cs="Times New Roman"/>
                <w:color w:val="000000"/>
                <w:sz w:val="22"/>
                <w:szCs w:val="22"/>
                <w:lang w:val="en-GB"/>
              </w:rPr>
              <w:t>KEGG</w:t>
            </w:r>
          </w:p>
        </w:tc>
        <w:tc>
          <w:tcPr>
            <w:tcW w:w="1023" w:type="dxa"/>
            <w:tcBorders>
              <w:top w:val="nil"/>
              <w:left w:val="nil"/>
              <w:bottom w:val="nil"/>
              <w:right w:val="nil"/>
            </w:tcBorders>
            <w:shd w:val="clear" w:color="auto" w:fill="auto"/>
            <w:noWrap/>
            <w:vAlign w:val="bottom"/>
            <w:hideMark/>
          </w:tcPr>
          <w:p w14:paraId="670A0366" w14:textId="77777777" w:rsidR="00BD34F1" w:rsidRPr="00AB6219" w:rsidRDefault="00BD34F1" w:rsidP="00454D06">
            <w:pPr>
              <w:rPr>
                <w:rFonts w:ascii="Times New Roman" w:eastAsia="Times New Roman" w:hAnsi="Times New Roman" w:cs="Times New Roman"/>
                <w:color w:val="000000"/>
                <w:sz w:val="22"/>
                <w:szCs w:val="22"/>
                <w:lang w:val="en-GB"/>
              </w:rPr>
            </w:pPr>
            <w:r w:rsidRPr="00AB6219">
              <w:rPr>
                <w:rFonts w:ascii="Times New Roman" w:eastAsia="Times New Roman" w:hAnsi="Times New Roman" w:cs="Times New Roman"/>
                <w:color w:val="000000"/>
                <w:sz w:val="22"/>
                <w:szCs w:val="22"/>
                <w:lang w:val="en-GB"/>
              </w:rPr>
              <w:t>10</w:t>
            </w:r>
          </w:p>
        </w:tc>
        <w:tc>
          <w:tcPr>
            <w:tcW w:w="1300" w:type="dxa"/>
            <w:tcBorders>
              <w:top w:val="nil"/>
              <w:left w:val="nil"/>
              <w:bottom w:val="nil"/>
              <w:right w:val="nil"/>
            </w:tcBorders>
            <w:shd w:val="clear" w:color="auto" w:fill="auto"/>
            <w:noWrap/>
            <w:vAlign w:val="bottom"/>
            <w:hideMark/>
          </w:tcPr>
          <w:p w14:paraId="06314CC8" w14:textId="77777777" w:rsidR="00BD34F1" w:rsidRPr="00AB6219" w:rsidRDefault="00BD34F1" w:rsidP="00454D06">
            <w:pPr>
              <w:rPr>
                <w:rFonts w:ascii="Times New Roman" w:eastAsia="Times New Roman" w:hAnsi="Times New Roman" w:cs="Times New Roman"/>
                <w:color w:val="000000"/>
                <w:sz w:val="22"/>
                <w:szCs w:val="22"/>
                <w:lang w:val="en-GB"/>
              </w:rPr>
            </w:pPr>
            <w:r w:rsidRPr="00AB6219">
              <w:rPr>
                <w:rFonts w:ascii="Times New Roman" w:eastAsia="Times New Roman" w:hAnsi="Times New Roman" w:cs="Times New Roman"/>
                <w:color w:val="000000"/>
                <w:sz w:val="22"/>
                <w:szCs w:val="22"/>
                <w:lang w:val="en-GB"/>
              </w:rPr>
              <w:t>190 (193)</w:t>
            </w:r>
          </w:p>
        </w:tc>
        <w:tc>
          <w:tcPr>
            <w:tcW w:w="1920" w:type="dxa"/>
            <w:tcBorders>
              <w:top w:val="nil"/>
              <w:left w:val="nil"/>
              <w:bottom w:val="nil"/>
              <w:right w:val="nil"/>
            </w:tcBorders>
            <w:shd w:val="clear" w:color="auto" w:fill="auto"/>
            <w:noWrap/>
            <w:vAlign w:val="bottom"/>
            <w:hideMark/>
          </w:tcPr>
          <w:p w14:paraId="2C5B3746" w14:textId="77777777" w:rsidR="00BD34F1" w:rsidRPr="00AB6219" w:rsidRDefault="00BD34F1" w:rsidP="00454D06">
            <w:pPr>
              <w:rPr>
                <w:rFonts w:ascii="Times New Roman" w:eastAsia="Times New Roman" w:hAnsi="Times New Roman" w:cs="Times New Roman"/>
                <w:color w:val="000000"/>
                <w:sz w:val="22"/>
                <w:szCs w:val="22"/>
                <w:lang w:val="en-GB"/>
              </w:rPr>
            </w:pPr>
            <w:r w:rsidRPr="00AB6219">
              <w:rPr>
                <w:rFonts w:ascii="Times New Roman" w:eastAsia="Times New Roman" w:hAnsi="Times New Roman" w:cs="Times New Roman"/>
                <w:color w:val="000000"/>
                <w:sz w:val="22"/>
                <w:szCs w:val="22"/>
                <w:lang w:val="en-GB"/>
              </w:rPr>
              <w:t>0.00597</w:t>
            </w:r>
          </w:p>
        </w:tc>
        <w:tc>
          <w:tcPr>
            <w:tcW w:w="1460" w:type="dxa"/>
            <w:tcBorders>
              <w:top w:val="nil"/>
              <w:left w:val="nil"/>
              <w:bottom w:val="nil"/>
              <w:right w:val="nil"/>
            </w:tcBorders>
            <w:shd w:val="clear" w:color="auto" w:fill="auto"/>
            <w:noWrap/>
            <w:vAlign w:val="bottom"/>
            <w:hideMark/>
          </w:tcPr>
          <w:p w14:paraId="42644F1F" w14:textId="77777777" w:rsidR="00BD34F1" w:rsidRPr="00AB6219" w:rsidRDefault="00BD34F1" w:rsidP="00454D06">
            <w:pPr>
              <w:rPr>
                <w:rFonts w:ascii="Times New Roman" w:eastAsia="Times New Roman" w:hAnsi="Times New Roman" w:cs="Times New Roman"/>
                <w:color w:val="000000"/>
                <w:sz w:val="22"/>
                <w:szCs w:val="22"/>
                <w:lang w:val="en-GB"/>
              </w:rPr>
            </w:pPr>
            <w:r w:rsidRPr="00AB6219">
              <w:rPr>
                <w:rFonts w:ascii="Times New Roman" w:eastAsia="Times New Roman" w:hAnsi="Times New Roman" w:cs="Times New Roman"/>
                <w:color w:val="000000"/>
                <w:sz w:val="22"/>
                <w:szCs w:val="22"/>
                <w:lang w:val="en-GB"/>
              </w:rPr>
              <w:t>1</w:t>
            </w:r>
          </w:p>
        </w:tc>
      </w:tr>
      <w:tr w:rsidR="00BD34F1" w:rsidRPr="00AB6219" w14:paraId="77036CA2" w14:textId="77777777" w:rsidTr="00860A3D">
        <w:trPr>
          <w:trHeight w:val="300"/>
        </w:trPr>
        <w:tc>
          <w:tcPr>
            <w:tcW w:w="7200" w:type="dxa"/>
            <w:tcBorders>
              <w:top w:val="nil"/>
              <w:left w:val="nil"/>
              <w:bottom w:val="nil"/>
              <w:right w:val="nil"/>
            </w:tcBorders>
            <w:shd w:val="clear" w:color="auto" w:fill="auto"/>
            <w:noWrap/>
            <w:vAlign w:val="bottom"/>
            <w:hideMark/>
          </w:tcPr>
          <w:p w14:paraId="2A43B6A5" w14:textId="77777777" w:rsidR="00BD34F1" w:rsidRPr="003B12F5" w:rsidRDefault="00BD34F1" w:rsidP="00454D06">
            <w:pPr>
              <w:rPr>
                <w:rFonts w:ascii="Times New Roman" w:eastAsia="Times New Roman" w:hAnsi="Times New Roman" w:cs="Times New Roman"/>
                <w:color w:val="000000"/>
                <w:sz w:val="22"/>
                <w:szCs w:val="22"/>
                <w:highlight w:val="yellow"/>
                <w:lang w:val="en-GB"/>
              </w:rPr>
            </w:pPr>
            <w:r w:rsidRPr="003B12F5">
              <w:rPr>
                <w:rFonts w:ascii="Times New Roman" w:eastAsia="Times New Roman" w:hAnsi="Times New Roman" w:cs="Times New Roman"/>
                <w:color w:val="000000"/>
                <w:sz w:val="22"/>
                <w:szCs w:val="22"/>
                <w:highlight w:val="yellow"/>
                <w:lang w:val="en-GB"/>
              </w:rPr>
              <w:t>9. Mitochondrial Electron Transport Chain</w:t>
            </w:r>
          </w:p>
        </w:tc>
        <w:tc>
          <w:tcPr>
            <w:tcW w:w="1740" w:type="dxa"/>
            <w:tcBorders>
              <w:top w:val="nil"/>
              <w:left w:val="nil"/>
              <w:bottom w:val="nil"/>
              <w:right w:val="nil"/>
            </w:tcBorders>
            <w:shd w:val="clear" w:color="auto" w:fill="auto"/>
            <w:noWrap/>
            <w:vAlign w:val="bottom"/>
            <w:hideMark/>
          </w:tcPr>
          <w:p w14:paraId="02C29670" w14:textId="77777777" w:rsidR="00BD34F1" w:rsidRPr="003B12F5" w:rsidRDefault="00BD34F1" w:rsidP="00454D06">
            <w:pPr>
              <w:rPr>
                <w:rFonts w:ascii="Times New Roman" w:eastAsia="Times New Roman" w:hAnsi="Times New Roman" w:cs="Times New Roman"/>
                <w:color w:val="000000"/>
                <w:sz w:val="22"/>
                <w:szCs w:val="22"/>
                <w:highlight w:val="yellow"/>
                <w:lang w:val="en-GB"/>
              </w:rPr>
            </w:pPr>
            <w:r w:rsidRPr="003B12F5">
              <w:rPr>
                <w:rFonts w:ascii="Times New Roman" w:eastAsia="Times New Roman" w:hAnsi="Times New Roman" w:cs="Times New Roman"/>
                <w:color w:val="000000"/>
                <w:sz w:val="22"/>
                <w:szCs w:val="22"/>
                <w:highlight w:val="yellow"/>
                <w:lang w:val="en-GB"/>
              </w:rPr>
              <w:t>SMPDB</w:t>
            </w:r>
          </w:p>
        </w:tc>
        <w:tc>
          <w:tcPr>
            <w:tcW w:w="1023" w:type="dxa"/>
            <w:tcBorders>
              <w:top w:val="nil"/>
              <w:left w:val="nil"/>
              <w:bottom w:val="nil"/>
              <w:right w:val="nil"/>
            </w:tcBorders>
            <w:shd w:val="clear" w:color="auto" w:fill="auto"/>
            <w:noWrap/>
            <w:vAlign w:val="bottom"/>
            <w:hideMark/>
          </w:tcPr>
          <w:p w14:paraId="7E11E687" w14:textId="77777777" w:rsidR="00BD34F1" w:rsidRPr="003B12F5" w:rsidRDefault="00BD34F1" w:rsidP="00454D06">
            <w:pPr>
              <w:rPr>
                <w:rFonts w:ascii="Times New Roman" w:eastAsia="Times New Roman" w:hAnsi="Times New Roman" w:cs="Times New Roman"/>
                <w:color w:val="000000"/>
                <w:sz w:val="22"/>
                <w:szCs w:val="22"/>
                <w:highlight w:val="yellow"/>
                <w:lang w:val="en-GB"/>
              </w:rPr>
            </w:pPr>
            <w:r w:rsidRPr="003B12F5">
              <w:rPr>
                <w:rFonts w:ascii="Times New Roman" w:eastAsia="Times New Roman" w:hAnsi="Times New Roman" w:cs="Times New Roman"/>
                <w:color w:val="000000"/>
                <w:sz w:val="22"/>
                <w:szCs w:val="22"/>
                <w:highlight w:val="yellow"/>
                <w:lang w:val="en-GB"/>
              </w:rPr>
              <w:t>3</w:t>
            </w:r>
          </w:p>
        </w:tc>
        <w:tc>
          <w:tcPr>
            <w:tcW w:w="1300" w:type="dxa"/>
            <w:tcBorders>
              <w:top w:val="nil"/>
              <w:left w:val="nil"/>
              <w:bottom w:val="nil"/>
              <w:right w:val="nil"/>
            </w:tcBorders>
            <w:shd w:val="clear" w:color="auto" w:fill="auto"/>
            <w:noWrap/>
            <w:vAlign w:val="bottom"/>
            <w:hideMark/>
          </w:tcPr>
          <w:p w14:paraId="0FC5D0D2" w14:textId="77777777" w:rsidR="00BD34F1" w:rsidRPr="003B12F5" w:rsidRDefault="00BD34F1" w:rsidP="00454D06">
            <w:pPr>
              <w:rPr>
                <w:rFonts w:ascii="Times New Roman" w:eastAsia="Times New Roman" w:hAnsi="Times New Roman" w:cs="Times New Roman"/>
                <w:color w:val="000000"/>
                <w:sz w:val="22"/>
                <w:szCs w:val="22"/>
                <w:highlight w:val="yellow"/>
                <w:lang w:val="en-GB"/>
              </w:rPr>
            </w:pPr>
            <w:r w:rsidRPr="003B12F5">
              <w:rPr>
                <w:rFonts w:ascii="Times New Roman" w:eastAsia="Times New Roman" w:hAnsi="Times New Roman" w:cs="Times New Roman"/>
                <w:color w:val="000000"/>
                <w:sz w:val="22"/>
                <w:szCs w:val="22"/>
                <w:highlight w:val="yellow"/>
                <w:lang w:val="en-GB"/>
              </w:rPr>
              <w:t>19 (20)</w:t>
            </w:r>
          </w:p>
        </w:tc>
        <w:tc>
          <w:tcPr>
            <w:tcW w:w="1920" w:type="dxa"/>
            <w:tcBorders>
              <w:top w:val="nil"/>
              <w:left w:val="nil"/>
              <w:bottom w:val="nil"/>
              <w:right w:val="nil"/>
            </w:tcBorders>
            <w:shd w:val="clear" w:color="auto" w:fill="auto"/>
            <w:noWrap/>
            <w:vAlign w:val="bottom"/>
            <w:hideMark/>
          </w:tcPr>
          <w:p w14:paraId="32E8B193" w14:textId="77777777" w:rsidR="00BD34F1" w:rsidRPr="003B12F5" w:rsidRDefault="00BD34F1" w:rsidP="00454D06">
            <w:pPr>
              <w:rPr>
                <w:rFonts w:ascii="Times New Roman" w:eastAsia="Times New Roman" w:hAnsi="Times New Roman" w:cs="Times New Roman"/>
                <w:color w:val="000000"/>
                <w:sz w:val="22"/>
                <w:szCs w:val="22"/>
                <w:highlight w:val="yellow"/>
                <w:lang w:val="en-GB"/>
              </w:rPr>
            </w:pPr>
            <w:r w:rsidRPr="003B12F5">
              <w:rPr>
                <w:rFonts w:ascii="Times New Roman" w:eastAsia="Times New Roman" w:hAnsi="Times New Roman" w:cs="Times New Roman"/>
                <w:color w:val="000000"/>
                <w:sz w:val="22"/>
                <w:szCs w:val="22"/>
                <w:highlight w:val="yellow"/>
                <w:lang w:val="en-GB"/>
              </w:rPr>
              <w:t>0.00656</w:t>
            </w:r>
          </w:p>
        </w:tc>
        <w:tc>
          <w:tcPr>
            <w:tcW w:w="1460" w:type="dxa"/>
            <w:tcBorders>
              <w:top w:val="nil"/>
              <w:left w:val="nil"/>
              <w:bottom w:val="nil"/>
              <w:right w:val="nil"/>
            </w:tcBorders>
            <w:shd w:val="clear" w:color="auto" w:fill="auto"/>
            <w:noWrap/>
            <w:vAlign w:val="bottom"/>
            <w:hideMark/>
          </w:tcPr>
          <w:p w14:paraId="23F13177" w14:textId="77777777" w:rsidR="00BD34F1" w:rsidRPr="003B12F5" w:rsidRDefault="00BD34F1" w:rsidP="00454D06">
            <w:pPr>
              <w:rPr>
                <w:rFonts w:ascii="Times New Roman" w:eastAsia="Times New Roman" w:hAnsi="Times New Roman" w:cs="Times New Roman"/>
                <w:color w:val="000000"/>
                <w:sz w:val="22"/>
                <w:szCs w:val="22"/>
                <w:highlight w:val="yellow"/>
                <w:lang w:val="en-GB"/>
              </w:rPr>
            </w:pPr>
            <w:r w:rsidRPr="003B12F5">
              <w:rPr>
                <w:rFonts w:ascii="Times New Roman" w:eastAsia="Times New Roman" w:hAnsi="Times New Roman" w:cs="Times New Roman"/>
                <w:color w:val="000000"/>
                <w:sz w:val="22"/>
                <w:szCs w:val="22"/>
                <w:highlight w:val="yellow"/>
                <w:lang w:val="en-GB"/>
              </w:rPr>
              <w:t>1</w:t>
            </w:r>
          </w:p>
        </w:tc>
      </w:tr>
      <w:tr w:rsidR="00BD34F1" w:rsidRPr="00AB6219" w14:paraId="34E5C2B9" w14:textId="77777777" w:rsidTr="00860A3D">
        <w:trPr>
          <w:trHeight w:val="300"/>
        </w:trPr>
        <w:tc>
          <w:tcPr>
            <w:tcW w:w="7200" w:type="dxa"/>
            <w:tcBorders>
              <w:top w:val="nil"/>
              <w:left w:val="nil"/>
              <w:bottom w:val="nil"/>
              <w:right w:val="nil"/>
            </w:tcBorders>
            <w:shd w:val="clear" w:color="auto" w:fill="auto"/>
            <w:noWrap/>
            <w:vAlign w:val="bottom"/>
            <w:hideMark/>
          </w:tcPr>
          <w:p w14:paraId="596B6ADA" w14:textId="77777777" w:rsidR="00BD34F1" w:rsidRPr="00AB6219" w:rsidRDefault="00BD34F1" w:rsidP="00454D06">
            <w:pPr>
              <w:rPr>
                <w:rFonts w:ascii="Times New Roman" w:eastAsia="Times New Roman" w:hAnsi="Times New Roman" w:cs="Times New Roman"/>
                <w:color w:val="000000"/>
                <w:sz w:val="22"/>
                <w:szCs w:val="22"/>
                <w:lang w:val="en-GB"/>
              </w:rPr>
            </w:pPr>
            <w:r>
              <w:rPr>
                <w:rFonts w:ascii="Times New Roman" w:eastAsia="Times New Roman" w:hAnsi="Times New Roman" w:cs="Times New Roman"/>
                <w:color w:val="000000"/>
                <w:sz w:val="22"/>
                <w:szCs w:val="22"/>
                <w:lang w:val="en-GB"/>
              </w:rPr>
              <w:t xml:space="preserve">10. </w:t>
            </w:r>
            <w:r w:rsidRPr="00AB6219">
              <w:rPr>
                <w:rFonts w:ascii="Times New Roman" w:eastAsia="Times New Roman" w:hAnsi="Times New Roman" w:cs="Times New Roman"/>
                <w:color w:val="000000"/>
                <w:sz w:val="22"/>
                <w:szCs w:val="22"/>
                <w:lang w:val="en-GB"/>
              </w:rPr>
              <w:t>Antigen processing: Ubiquitination &amp; Proteasome degradation</w:t>
            </w:r>
          </w:p>
        </w:tc>
        <w:tc>
          <w:tcPr>
            <w:tcW w:w="1740" w:type="dxa"/>
            <w:tcBorders>
              <w:top w:val="nil"/>
              <w:left w:val="nil"/>
              <w:bottom w:val="nil"/>
              <w:right w:val="nil"/>
            </w:tcBorders>
            <w:shd w:val="clear" w:color="auto" w:fill="auto"/>
            <w:noWrap/>
            <w:vAlign w:val="bottom"/>
            <w:hideMark/>
          </w:tcPr>
          <w:p w14:paraId="08EF0B89" w14:textId="77777777" w:rsidR="00BD34F1" w:rsidRPr="00AB6219" w:rsidRDefault="00BD34F1" w:rsidP="00454D06">
            <w:pPr>
              <w:rPr>
                <w:rFonts w:ascii="Times New Roman" w:eastAsia="Times New Roman" w:hAnsi="Times New Roman" w:cs="Times New Roman"/>
                <w:color w:val="000000"/>
                <w:sz w:val="22"/>
                <w:szCs w:val="22"/>
                <w:lang w:val="en-GB"/>
              </w:rPr>
            </w:pPr>
            <w:r w:rsidRPr="00AB6219">
              <w:rPr>
                <w:rFonts w:ascii="Times New Roman" w:eastAsia="Times New Roman" w:hAnsi="Times New Roman" w:cs="Times New Roman"/>
                <w:color w:val="000000"/>
                <w:sz w:val="22"/>
                <w:szCs w:val="22"/>
                <w:lang w:val="en-GB"/>
              </w:rPr>
              <w:t>Reactome</w:t>
            </w:r>
          </w:p>
        </w:tc>
        <w:tc>
          <w:tcPr>
            <w:tcW w:w="1023" w:type="dxa"/>
            <w:tcBorders>
              <w:top w:val="nil"/>
              <w:left w:val="nil"/>
              <w:bottom w:val="nil"/>
              <w:right w:val="nil"/>
            </w:tcBorders>
            <w:shd w:val="clear" w:color="auto" w:fill="auto"/>
            <w:noWrap/>
            <w:vAlign w:val="bottom"/>
            <w:hideMark/>
          </w:tcPr>
          <w:p w14:paraId="559A2E2E" w14:textId="77777777" w:rsidR="00BD34F1" w:rsidRPr="00AB6219" w:rsidRDefault="00BD34F1" w:rsidP="00454D06">
            <w:pPr>
              <w:rPr>
                <w:rFonts w:ascii="Times New Roman" w:eastAsia="Times New Roman" w:hAnsi="Times New Roman" w:cs="Times New Roman"/>
                <w:color w:val="000000"/>
                <w:sz w:val="22"/>
                <w:szCs w:val="22"/>
                <w:lang w:val="en-GB"/>
              </w:rPr>
            </w:pPr>
            <w:r w:rsidRPr="00AB6219">
              <w:rPr>
                <w:rFonts w:ascii="Times New Roman" w:eastAsia="Times New Roman" w:hAnsi="Times New Roman" w:cs="Times New Roman"/>
                <w:color w:val="000000"/>
                <w:sz w:val="22"/>
                <w:szCs w:val="22"/>
                <w:lang w:val="en-GB"/>
              </w:rPr>
              <w:t>9</w:t>
            </w:r>
          </w:p>
        </w:tc>
        <w:tc>
          <w:tcPr>
            <w:tcW w:w="1300" w:type="dxa"/>
            <w:tcBorders>
              <w:top w:val="nil"/>
              <w:left w:val="nil"/>
              <w:bottom w:val="nil"/>
              <w:right w:val="nil"/>
            </w:tcBorders>
            <w:shd w:val="clear" w:color="auto" w:fill="auto"/>
            <w:noWrap/>
            <w:vAlign w:val="bottom"/>
            <w:hideMark/>
          </w:tcPr>
          <w:p w14:paraId="16EA8962" w14:textId="77777777" w:rsidR="00BD34F1" w:rsidRPr="00AB6219" w:rsidRDefault="00BD34F1" w:rsidP="00454D06">
            <w:pPr>
              <w:rPr>
                <w:rFonts w:ascii="Times New Roman" w:eastAsia="Times New Roman" w:hAnsi="Times New Roman" w:cs="Times New Roman"/>
                <w:color w:val="000000"/>
                <w:sz w:val="22"/>
                <w:szCs w:val="22"/>
                <w:lang w:val="en-GB"/>
              </w:rPr>
            </w:pPr>
            <w:r w:rsidRPr="00AB6219">
              <w:rPr>
                <w:rFonts w:ascii="Times New Roman" w:eastAsia="Times New Roman" w:hAnsi="Times New Roman" w:cs="Times New Roman"/>
                <w:color w:val="000000"/>
                <w:sz w:val="22"/>
                <w:szCs w:val="22"/>
                <w:lang w:val="en-GB"/>
              </w:rPr>
              <w:t>163 (178)</w:t>
            </w:r>
          </w:p>
        </w:tc>
        <w:tc>
          <w:tcPr>
            <w:tcW w:w="1920" w:type="dxa"/>
            <w:tcBorders>
              <w:top w:val="nil"/>
              <w:left w:val="nil"/>
              <w:bottom w:val="nil"/>
              <w:right w:val="nil"/>
            </w:tcBorders>
            <w:shd w:val="clear" w:color="auto" w:fill="auto"/>
            <w:noWrap/>
            <w:vAlign w:val="bottom"/>
            <w:hideMark/>
          </w:tcPr>
          <w:p w14:paraId="3EA532F1" w14:textId="77777777" w:rsidR="00BD34F1" w:rsidRPr="00AB6219" w:rsidRDefault="00BD34F1" w:rsidP="00454D06">
            <w:pPr>
              <w:rPr>
                <w:rFonts w:ascii="Times New Roman" w:eastAsia="Times New Roman" w:hAnsi="Times New Roman" w:cs="Times New Roman"/>
                <w:color w:val="000000"/>
                <w:sz w:val="22"/>
                <w:szCs w:val="22"/>
                <w:lang w:val="en-GB"/>
              </w:rPr>
            </w:pPr>
            <w:r w:rsidRPr="00AB6219">
              <w:rPr>
                <w:rFonts w:ascii="Times New Roman" w:eastAsia="Times New Roman" w:hAnsi="Times New Roman" w:cs="Times New Roman"/>
                <w:color w:val="000000"/>
                <w:sz w:val="22"/>
                <w:szCs w:val="22"/>
                <w:lang w:val="en-GB"/>
              </w:rPr>
              <w:t>0.00659</w:t>
            </w:r>
          </w:p>
        </w:tc>
        <w:tc>
          <w:tcPr>
            <w:tcW w:w="1460" w:type="dxa"/>
            <w:tcBorders>
              <w:top w:val="nil"/>
              <w:left w:val="nil"/>
              <w:bottom w:val="nil"/>
              <w:right w:val="nil"/>
            </w:tcBorders>
            <w:shd w:val="clear" w:color="auto" w:fill="auto"/>
            <w:noWrap/>
            <w:vAlign w:val="bottom"/>
            <w:hideMark/>
          </w:tcPr>
          <w:p w14:paraId="62A0262F" w14:textId="77777777" w:rsidR="00BD34F1" w:rsidRPr="00AB6219" w:rsidRDefault="00BD34F1" w:rsidP="00454D06">
            <w:pPr>
              <w:rPr>
                <w:rFonts w:ascii="Times New Roman" w:eastAsia="Times New Roman" w:hAnsi="Times New Roman" w:cs="Times New Roman"/>
                <w:color w:val="000000"/>
                <w:sz w:val="22"/>
                <w:szCs w:val="22"/>
                <w:lang w:val="en-GB"/>
              </w:rPr>
            </w:pPr>
            <w:r w:rsidRPr="00AB6219">
              <w:rPr>
                <w:rFonts w:ascii="Times New Roman" w:eastAsia="Times New Roman" w:hAnsi="Times New Roman" w:cs="Times New Roman"/>
                <w:color w:val="000000"/>
                <w:sz w:val="22"/>
                <w:szCs w:val="22"/>
                <w:lang w:val="en-GB"/>
              </w:rPr>
              <w:t>1</w:t>
            </w:r>
          </w:p>
        </w:tc>
      </w:tr>
    </w:tbl>
    <w:p w14:paraId="5551C181" w14:textId="57A09C1B" w:rsidR="00BD34F1" w:rsidRPr="002A4986" w:rsidRDefault="000273AF" w:rsidP="002A4986">
      <w:pPr>
        <w:pStyle w:val="Heading5"/>
        <w:rPr>
          <w:noProof/>
        </w:rPr>
        <w:sectPr w:rsidR="00BD34F1" w:rsidRPr="002A4986" w:rsidSect="00806D37">
          <w:pgSz w:w="16840" w:h="11900" w:orient="landscape"/>
          <w:pgMar w:top="2268" w:right="1440" w:bottom="1134" w:left="1440" w:header="709" w:footer="709" w:gutter="0"/>
          <w:cols w:space="708"/>
          <w:docGrid w:linePitch="360"/>
        </w:sectPr>
      </w:pPr>
      <w:bookmarkStart w:id="2109" w:name="_Toc333569360"/>
      <w:bookmarkStart w:id="2110" w:name="_Toc333570898"/>
      <w:bookmarkStart w:id="2111" w:name="_Toc333585979"/>
      <w:bookmarkStart w:id="2112" w:name="_Toc333586855"/>
      <w:bookmarkStart w:id="2113" w:name="_Toc333644554"/>
      <w:bookmarkStart w:id="2114" w:name="_Toc333644848"/>
      <w:r>
        <w:rPr>
          <w:noProof/>
        </w:rPr>
        <w:t>Table 5.11</w:t>
      </w:r>
      <w:r w:rsidR="0043060F">
        <w:rPr>
          <w:noProof/>
        </w:rPr>
        <w:t>.</w:t>
      </w:r>
      <w:r w:rsidR="00BD34F1">
        <w:rPr>
          <w:noProof/>
        </w:rPr>
        <w:t xml:space="preserve"> IMPALA Enrichment Pathway analysis for 1520 </w:t>
      </w:r>
      <w:r w:rsidR="00BD34F1" w:rsidRPr="00DE3B94">
        <w:rPr>
          <w:noProof/>
          <w:color w:val="FF0000"/>
        </w:rPr>
        <w:t xml:space="preserve">downregulated </w:t>
      </w:r>
      <w:r w:rsidR="00BD34F1">
        <w:rPr>
          <w:noProof/>
        </w:rPr>
        <w:t>transcripts in MAB391 astrocytes compared to untreated astrocytes with FC≥1.2</w:t>
      </w:r>
      <w:r w:rsidR="006C487D">
        <w:rPr>
          <w:noProof/>
        </w:rPr>
        <w:t xml:space="preserve"> and P&lt;0.05</w:t>
      </w:r>
      <w:r w:rsidR="003B12F5">
        <w:rPr>
          <w:noProof/>
        </w:rPr>
        <w:t>. Highlighted in yellow are pathways with a similar theme.</w:t>
      </w:r>
      <w:bookmarkEnd w:id="2109"/>
      <w:bookmarkEnd w:id="2110"/>
      <w:bookmarkEnd w:id="2111"/>
      <w:bookmarkEnd w:id="2112"/>
      <w:bookmarkEnd w:id="2113"/>
      <w:bookmarkEnd w:id="2114"/>
      <w:r w:rsidR="002A4986">
        <w:rPr>
          <w:noProof/>
        </w:rPr>
        <w:t xml:space="preserve"> DE-differentially expressed.</w:t>
      </w:r>
    </w:p>
    <w:tbl>
      <w:tblPr>
        <w:tblpPr w:leftFromText="180" w:rightFromText="180" w:vertAnchor="page" w:horzAnchor="page" w:tblpX="1729" w:tblpY="3889"/>
        <w:tblW w:w="14182" w:type="dxa"/>
        <w:tblLook w:val="04A0" w:firstRow="1" w:lastRow="0" w:firstColumn="1" w:lastColumn="0" w:noHBand="0" w:noVBand="1"/>
      </w:tblPr>
      <w:tblGrid>
        <w:gridCol w:w="2035"/>
        <w:gridCol w:w="1549"/>
        <w:gridCol w:w="1065"/>
        <w:gridCol w:w="6044"/>
        <w:gridCol w:w="1065"/>
        <w:gridCol w:w="1244"/>
        <w:gridCol w:w="1180"/>
      </w:tblGrid>
      <w:tr w:rsidR="004C1D27" w:rsidRPr="00CF1513" w14:paraId="1A580980" w14:textId="77777777" w:rsidTr="004C1D27">
        <w:trPr>
          <w:trHeight w:val="227"/>
        </w:trPr>
        <w:tc>
          <w:tcPr>
            <w:tcW w:w="2035" w:type="dxa"/>
            <w:tcBorders>
              <w:top w:val="single" w:sz="4" w:space="0" w:color="auto"/>
              <w:left w:val="nil"/>
              <w:bottom w:val="single" w:sz="4" w:space="0" w:color="auto"/>
              <w:right w:val="nil"/>
            </w:tcBorders>
            <w:shd w:val="clear" w:color="auto" w:fill="auto"/>
            <w:noWrap/>
            <w:vAlign w:val="bottom"/>
            <w:hideMark/>
          </w:tcPr>
          <w:p w14:paraId="536F161D" w14:textId="77777777" w:rsidR="00CF1513" w:rsidRPr="00CF1513" w:rsidRDefault="00CF1513" w:rsidP="00454D06">
            <w:pPr>
              <w:rPr>
                <w:rFonts w:ascii="Times New Roman" w:eastAsia="Times New Roman" w:hAnsi="Times New Roman" w:cs="Times New Roman"/>
                <w:b/>
                <w:bCs/>
                <w:color w:val="000000"/>
                <w:sz w:val="22"/>
                <w:szCs w:val="22"/>
              </w:rPr>
            </w:pPr>
            <w:r w:rsidRPr="00CF1513">
              <w:rPr>
                <w:rFonts w:ascii="Times New Roman" w:eastAsia="Times New Roman" w:hAnsi="Times New Roman" w:cs="Times New Roman"/>
                <w:b/>
                <w:bCs/>
                <w:color w:val="000000"/>
                <w:sz w:val="22"/>
                <w:szCs w:val="22"/>
              </w:rPr>
              <w:t>Pathway name</w:t>
            </w:r>
          </w:p>
        </w:tc>
        <w:tc>
          <w:tcPr>
            <w:tcW w:w="1549" w:type="dxa"/>
            <w:tcBorders>
              <w:top w:val="single" w:sz="4" w:space="0" w:color="auto"/>
              <w:left w:val="nil"/>
              <w:bottom w:val="single" w:sz="4" w:space="0" w:color="auto"/>
              <w:right w:val="nil"/>
            </w:tcBorders>
            <w:shd w:val="clear" w:color="auto" w:fill="auto"/>
            <w:noWrap/>
            <w:vAlign w:val="bottom"/>
            <w:hideMark/>
          </w:tcPr>
          <w:p w14:paraId="67B03432" w14:textId="77777777" w:rsidR="00CF1513" w:rsidRPr="00CF1513" w:rsidRDefault="00CF1513" w:rsidP="00454D06">
            <w:pPr>
              <w:rPr>
                <w:rFonts w:ascii="Times New Roman" w:eastAsia="Times New Roman" w:hAnsi="Times New Roman" w:cs="Times New Roman"/>
                <w:b/>
                <w:bCs/>
                <w:color w:val="000000"/>
                <w:sz w:val="22"/>
                <w:szCs w:val="22"/>
              </w:rPr>
            </w:pPr>
            <w:r w:rsidRPr="00CF1513">
              <w:rPr>
                <w:rFonts w:ascii="Times New Roman" w:eastAsia="Times New Roman" w:hAnsi="Times New Roman" w:cs="Times New Roman"/>
                <w:b/>
                <w:bCs/>
                <w:color w:val="000000"/>
                <w:sz w:val="22"/>
                <w:szCs w:val="22"/>
              </w:rPr>
              <w:t>Pathway source</w:t>
            </w:r>
          </w:p>
        </w:tc>
        <w:tc>
          <w:tcPr>
            <w:tcW w:w="1065" w:type="dxa"/>
            <w:tcBorders>
              <w:top w:val="single" w:sz="4" w:space="0" w:color="auto"/>
              <w:left w:val="nil"/>
              <w:bottom w:val="single" w:sz="4" w:space="0" w:color="auto"/>
              <w:right w:val="nil"/>
            </w:tcBorders>
            <w:shd w:val="clear" w:color="auto" w:fill="auto"/>
            <w:noWrap/>
            <w:vAlign w:val="bottom"/>
            <w:hideMark/>
          </w:tcPr>
          <w:p w14:paraId="6DCF3DF3" w14:textId="77777777" w:rsidR="00CF1513" w:rsidRPr="00CF1513" w:rsidRDefault="00CF1513" w:rsidP="00454D06">
            <w:pPr>
              <w:rPr>
                <w:rFonts w:ascii="Times New Roman" w:eastAsia="Times New Roman" w:hAnsi="Times New Roman" w:cs="Times New Roman"/>
                <w:b/>
                <w:bCs/>
                <w:color w:val="000000"/>
                <w:sz w:val="22"/>
                <w:szCs w:val="22"/>
              </w:rPr>
            </w:pPr>
            <w:r w:rsidRPr="00CF1513">
              <w:rPr>
                <w:rFonts w:ascii="Times New Roman" w:eastAsia="Times New Roman" w:hAnsi="Times New Roman" w:cs="Times New Roman"/>
                <w:b/>
                <w:bCs/>
                <w:color w:val="000000"/>
                <w:sz w:val="22"/>
                <w:szCs w:val="22"/>
              </w:rPr>
              <w:t>Number of DE genes in pathway</w:t>
            </w:r>
          </w:p>
        </w:tc>
        <w:tc>
          <w:tcPr>
            <w:tcW w:w="6044" w:type="dxa"/>
            <w:tcBorders>
              <w:top w:val="single" w:sz="4" w:space="0" w:color="auto"/>
              <w:left w:val="nil"/>
              <w:bottom w:val="single" w:sz="4" w:space="0" w:color="auto"/>
              <w:right w:val="nil"/>
            </w:tcBorders>
            <w:shd w:val="clear" w:color="auto" w:fill="auto"/>
            <w:noWrap/>
            <w:vAlign w:val="bottom"/>
            <w:hideMark/>
          </w:tcPr>
          <w:p w14:paraId="428880AC" w14:textId="77777777" w:rsidR="00CF1513" w:rsidRPr="00CF1513" w:rsidRDefault="00CF1513" w:rsidP="00454D06">
            <w:pPr>
              <w:rPr>
                <w:rFonts w:ascii="Times New Roman" w:eastAsia="Times New Roman" w:hAnsi="Times New Roman" w:cs="Times New Roman"/>
                <w:b/>
                <w:bCs/>
                <w:color w:val="000000"/>
                <w:sz w:val="22"/>
                <w:szCs w:val="22"/>
              </w:rPr>
            </w:pPr>
            <w:r w:rsidRPr="00CF1513">
              <w:rPr>
                <w:rFonts w:ascii="Times New Roman" w:eastAsia="Times New Roman" w:hAnsi="Times New Roman" w:cs="Times New Roman"/>
                <w:b/>
                <w:bCs/>
                <w:color w:val="000000"/>
                <w:sz w:val="22"/>
                <w:szCs w:val="22"/>
              </w:rPr>
              <w:t>Overlapping genes</w:t>
            </w:r>
          </w:p>
        </w:tc>
        <w:tc>
          <w:tcPr>
            <w:tcW w:w="1065" w:type="dxa"/>
            <w:tcBorders>
              <w:top w:val="single" w:sz="4" w:space="0" w:color="auto"/>
              <w:left w:val="nil"/>
              <w:bottom w:val="single" w:sz="4" w:space="0" w:color="auto"/>
              <w:right w:val="nil"/>
            </w:tcBorders>
            <w:shd w:val="clear" w:color="auto" w:fill="auto"/>
            <w:noWrap/>
            <w:vAlign w:val="bottom"/>
            <w:hideMark/>
          </w:tcPr>
          <w:p w14:paraId="09BD27D2" w14:textId="77777777" w:rsidR="00CF1513" w:rsidRPr="00CF1513" w:rsidRDefault="00CF1513" w:rsidP="00454D06">
            <w:pPr>
              <w:rPr>
                <w:rFonts w:ascii="Times New Roman" w:eastAsia="Times New Roman" w:hAnsi="Times New Roman" w:cs="Times New Roman"/>
                <w:b/>
                <w:bCs/>
                <w:color w:val="000000"/>
                <w:sz w:val="22"/>
                <w:szCs w:val="22"/>
              </w:rPr>
            </w:pPr>
            <w:r w:rsidRPr="00CF1513">
              <w:rPr>
                <w:rFonts w:ascii="Times New Roman" w:eastAsia="Times New Roman" w:hAnsi="Times New Roman" w:cs="Times New Roman"/>
                <w:b/>
                <w:bCs/>
                <w:color w:val="000000"/>
                <w:sz w:val="22"/>
                <w:szCs w:val="22"/>
              </w:rPr>
              <w:t>Total number of genes in pathway</w:t>
            </w:r>
          </w:p>
        </w:tc>
        <w:tc>
          <w:tcPr>
            <w:tcW w:w="1244" w:type="dxa"/>
            <w:tcBorders>
              <w:top w:val="single" w:sz="4" w:space="0" w:color="auto"/>
              <w:left w:val="nil"/>
              <w:bottom w:val="single" w:sz="4" w:space="0" w:color="auto"/>
              <w:right w:val="nil"/>
            </w:tcBorders>
            <w:shd w:val="clear" w:color="auto" w:fill="auto"/>
            <w:noWrap/>
            <w:vAlign w:val="bottom"/>
            <w:hideMark/>
          </w:tcPr>
          <w:p w14:paraId="38AD54E4" w14:textId="77777777" w:rsidR="00CF1513" w:rsidRPr="00CF1513" w:rsidRDefault="00CF1513" w:rsidP="00454D06">
            <w:pPr>
              <w:rPr>
                <w:rFonts w:ascii="Times New Roman" w:eastAsia="Times New Roman" w:hAnsi="Times New Roman" w:cs="Times New Roman"/>
                <w:b/>
                <w:bCs/>
                <w:color w:val="000000"/>
                <w:sz w:val="22"/>
                <w:szCs w:val="22"/>
              </w:rPr>
            </w:pPr>
            <w:r w:rsidRPr="00CF1513">
              <w:rPr>
                <w:rFonts w:ascii="Times New Roman" w:eastAsia="Times New Roman" w:hAnsi="Times New Roman" w:cs="Times New Roman"/>
                <w:b/>
                <w:bCs/>
                <w:color w:val="000000"/>
                <w:sz w:val="22"/>
                <w:szCs w:val="22"/>
              </w:rPr>
              <w:t>P value (most signifciant term)</w:t>
            </w:r>
          </w:p>
        </w:tc>
        <w:tc>
          <w:tcPr>
            <w:tcW w:w="1180" w:type="dxa"/>
            <w:tcBorders>
              <w:top w:val="single" w:sz="4" w:space="0" w:color="auto"/>
              <w:left w:val="nil"/>
              <w:bottom w:val="single" w:sz="4" w:space="0" w:color="auto"/>
              <w:right w:val="nil"/>
            </w:tcBorders>
            <w:shd w:val="clear" w:color="auto" w:fill="auto"/>
            <w:noWrap/>
            <w:vAlign w:val="bottom"/>
            <w:hideMark/>
          </w:tcPr>
          <w:p w14:paraId="6C9E921B" w14:textId="77777777" w:rsidR="00CF1513" w:rsidRPr="00CF1513" w:rsidRDefault="00CF1513" w:rsidP="00454D06">
            <w:pPr>
              <w:rPr>
                <w:rFonts w:ascii="Times New Roman" w:eastAsia="Times New Roman" w:hAnsi="Times New Roman" w:cs="Times New Roman"/>
                <w:b/>
                <w:bCs/>
                <w:color w:val="000000"/>
                <w:sz w:val="22"/>
                <w:szCs w:val="22"/>
              </w:rPr>
            </w:pPr>
            <w:r w:rsidRPr="00CF1513">
              <w:rPr>
                <w:rFonts w:ascii="Times New Roman" w:eastAsia="Times New Roman" w:hAnsi="Times New Roman" w:cs="Times New Roman"/>
                <w:b/>
                <w:bCs/>
                <w:color w:val="000000"/>
                <w:sz w:val="22"/>
                <w:szCs w:val="22"/>
              </w:rPr>
              <w:t>FDR (most signifcant term)</w:t>
            </w:r>
          </w:p>
        </w:tc>
      </w:tr>
      <w:tr w:rsidR="004C1D27" w:rsidRPr="00CF1513" w14:paraId="7179FBD0" w14:textId="77777777" w:rsidTr="004C1D27">
        <w:trPr>
          <w:trHeight w:val="227"/>
        </w:trPr>
        <w:tc>
          <w:tcPr>
            <w:tcW w:w="2035" w:type="dxa"/>
            <w:tcBorders>
              <w:top w:val="nil"/>
              <w:left w:val="nil"/>
              <w:bottom w:val="nil"/>
              <w:right w:val="nil"/>
            </w:tcBorders>
            <w:shd w:val="clear" w:color="auto" w:fill="auto"/>
            <w:noWrap/>
            <w:vAlign w:val="bottom"/>
            <w:hideMark/>
          </w:tcPr>
          <w:p w14:paraId="3E71385C" w14:textId="2AB0FEE9" w:rsidR="00CF1513" w:rsidRPr="00CF1513" w:rsidRDefault="00AB6219" w:rsidP="00454D06">
            <w:pP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 xml:space="preserve">1. </w:t>
            </w:r>
            <w:r w:rsidR="00CF1513" w:rsidRPr="00CF1513">
              <w:rPr>
                <w:rFonts w:ascii="Times New Roman" w:eastAsia="Times New Roman" w:hAnsi="Times New Roman" w:cs="Times New Roman"/>
                <w:color w:val="000000"/>
                <w:sz w:val="22"/>
                <w:szCs w:val="22"/>
              </w:rPr>
              <w:t>Small Ligand GPCRs</w:t>
            </w:r>
          </w:p>
        </w:tc>
        <w:tc>
          <w:tcPr>
            <w:tcW w:w="1549" w:type="dxa"/>
            <w:tcBorders>
              <w:top w:val="nil"/>
              <w:left w:val="nil"/>
              <w:bottom w:val="nil"/>
              <w:right w:val="nil"/>
            </w:tcBorders>
            <w:shd w:val="clear" w:color="auto" w:fill="auto"/>
            <w:noWrap/>
            <w:vAlign w:val="bottom"/>
            <w:hideMark/>
          </w:tcPr>
          <w:p w14:paraId="188BF87E"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Wikipathways</w:t>
            </w:r>
          </w:p>
        </w:tc>
        <w:tc>
          <w:tcPr>
            <w:tcW w:w="1065" w:type="dxa"/>
            <w:tcBorders>
              <w:top w:val="nil"/>
              <w:left w:val="nil"/>
              <w:bottom w:val="nil"/>
              <w:right w:val="nil"/>
            </w:tcBorders>
            <w:shd w:val="clear" w:color="auto" w:fill="auto"/>
            <w:noWrap/>
            <w:vAlign w:val="bottom"/>
            <w:hideMark/>
          </w:tcPr>
          <w:p w14:paraId="4CC8AFCC"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5</w:t>
            </w:r>
          </w:p>
        </w:tc>
        <w:tc>
          <w:tcPr>
            <w:tcW w:w="6044" w:type="dxa"/>
            <w:tcBorders>
              <w:top w:val="nil"/>
              <w:left w:val="nil"/>
              <w:bottom w:val="nil"/>
              <w:right w:val="nil"/>
            </w:tcBorders>
            <w:shd w:val="clear" w:color="auto" w:fill="auto"/>
            <w:noWrap/>
            <w:vAlign w:val="bottom"/>
            <w:hideMark/>
          </w:tcPr>
          <w:p w14:paraId="4A0CFD86"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PTGER2;S1PR4;PTAFR;S1PR1;MTNR1A</w:t>
            </w:r>
          </w:p>
        </w:tc>
        <w:tc>
          <w:tcPr>
            <w:tcW w:w="1065" w:type="dxa"/>
            <w:tcBorders>
              <w:top w:val="nil"/>
              <w:left w:val="nil"/>
              <w:bottom w:val="nil"/>
              <w:right w:val="nil"/>
            </w:tcBorders>
            <w:shd w:val="clear" w:color="auto" w:fill="auto"/>
            <w:noWrap/>
            <w:vAlign w:val="bottom"/>
            <w:hideMark/>
          </w:tcPr>
          <w:p w14:paraId="6F66E467"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15 (19)</w:t>
            </w:r>
          </w:p>
        </w:tc>
        <w:tc>
          <w:tcPr>
            <w:tcW w:w="1244" w:type="dxa"/>
            <w:tcBorders>
              <w:top w:val="nil"/>
              <w:left w:val="nil"/>
              <w:bottom w:val="nil"/>
              <w:right w:val="nil"/>
            </w:tcBorders>
            <w:shd w:val="clear" w:color="auto" w:fill="auto"/>
            <w:noWrap/>
            <w:vAlign w:val="bottom"/>
            <w:hideMark/>
          </w:tcPr>
          <w:p w14:paraId="595544BE"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2.68E-05</w:t>
            </w:r>
          </w:p>
        </w:tc>
        <w:tc>
          <w:tcPr>
            <w:tcW w:w="1180" w:type="dxa"/>
            <w:tcBorders>
              <w:top w:val="nil"/>
              <w:left w:val="nil"/>
              <w:bottom w:val="nil"/>
              <w:right w:val="nil"/>
            </w:tcBorders>
            <w:shd w:val="clear" w:color="auto" w:fill="auto"/>
            <w:noWrap/>
            <w:vAlign w:val="bottom"/>
            <w:hideMark/>
          </w:tcPr>
          <w:p w14:paraId="373B1AA5"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0.105</w:t>
            </w:r>
          </w:p>
        </w:tc>
      </w:tr>
      <w:tr w:rsidR="004C1D27" w:rsidRPr="00CF1513" w14:paraId="1D099E87" w14:textId="77777777" w:rsidTr="004C1D27">
        <w:trPr>
          <w:trHeight w:val="227"/>
        </w:trPr>
        <w:tc>
          <w:tcPr>
            <w:tcW w:w="2035" w:type="dxa"/>
            <w:tcBorders>
              <w:top w:val="nil"/>
              <w:left w:val="nil"/>
              <w:bottom w:val="nil"/>
              <w:right w:val="nil"/>
            </w:tcBorders>
            <w:shd w:val="clear" w:color="auto" w:fill="auto"/>
            <w:noWrap/>
            <w:vAlign w:val="bottom"/>
            <w:hideMark/>
          </w:tcPr>
          <w:p w14:paraId="6FBE4C87" w14:textId="6330005E" w:rsidR="00CF1513" w:rsidRPr="002B562E" w:rsidRDefault="00AB6219" w:rsidP="00454D06">
            <w:pPr>
              <w:rPr>
                <w:rFonts w:ascii="Times New Roman" w:eastAsia="Times New Roman" w:hAnsi="Times New Roman" w:cs="Times New Roman"/>
                <w:color w:val="000000"/>
                <w:sz w:val="22"/>
                <w:szCs w:val="22"/>
                <w:highlight w:val="yellow"/>
              </w:rPr>
            </w:pPr>
            <w:r w:rsidRPr="002B562E">
              <w:rPr>
                <w:rFonts w:ascii="Times New Roman" w:eastAsia="Times New Roman" w:hAnsi="Times New Roman" w:cs="Times New Roman"/>
                <w:color w:val="000000"/>
                <w:sz w:val="22"/>
                <w:szCs w:val="22"/>
                <w:highlight w:val="yellow"/>
              </w:rPr>
              <w:t xml:space="preserve">2. </w:t>
            </w:r>
            <w:r w:rsidR="00CF1513" w:rsidRPr="002B562E">
              <w:rPr>
                <w:rFonts w:ascii="Times New Roman" w:eastAsia="Times New Roman" w:hAnsi="Times New Roman" w:cs="Times New Roman"/>
                <w:color w:val="000000"/>
                <w:sz w:val="22"/>
                <w:szCs w:val="22"/>
                <w:highlight w:val="yellow"/>
              </w:rPr>
              <w:t>glycolysis</w:t>
            </w:r>
          </w:p>
        </w:tc>
        <w:tc>
          <w:tcPr>
            <w:tcW w:w="1549" w:type="dxa"/>
            <w:tcBorders>
              <w:top w:val="nil"/>
              <w:left w:val="nil"/>
              <w:bottom w:val="nil"/>
              <w:right w:val="nil"/>
            </w:tcBorders>
            <w:shd w:val="clear" w:color="auto" w:fill="auto"/>
            <w:noWrap/>
            <w:vAlign w:val="bottom"/>
            <w:hideMark/>
          </w:tcPr>
          <w:p w14:paraId="728ABB85" w14:textId="77777777" w:rsidR="00CF1513" w:rsidRPr="002B562E" w:rsidRDefault="00CF1513" w:rsidP="00454D06">
            <w:pPr>
              <w:rPr>
                <w:rFonts w:ascii="Times New Roman" w:eastAsia="Times New Roman" w:hAnsi="Times New Roman" w:cs="Times New Roman"/>
                <w:color w:val="000000"/>
                <w:sz w:val="22"/>
                <w:szCs w:val="22"/>
                <w:highlight w:val="yellow"/>
              </w:rPr>
            </w:pPr>
            <w:r w:rsidRPr="002B562E">
              <w:rPr>
                <w:rFonts w:ascii="Times New Roman" w:eastAsia="Times New Roman" w:hAnsi="Times New Roman" w:cs="Times New Roman"/>
                <w:color w:val="000000"/>
                <w:sz w:val="22"/>
                <w:szCs w:val="22"/>
                <w:highlight w:val="yellow"/>
              </w:rPr>
              <w:t>HumanCyc</w:t>
            </w:r>
          </w:p>
        </w:tc>
        <w:tc>
          <w:tcPr>
            <w:tcW w:w="1065" w:type="dxa"/>
            <w:tcBorders>
              <w:top w:val="nil"/>
              <w:left w:val="nil"/>
              <w:bottom w:val="nil"/>
              <w:right w:val="nil"/>
            </w:tcBorders>
            <w:shd w:val="clear" w:color="auto" w:fill="auto"/>
            <w:noWrap/>
            <w:vAlign w:val="bottom"/>
            <w:hideMark/>
          </w:tcPr>
          <w:p w14:paraId="4F48CD7C" w14:textId="77777777" w:rsidR="00CF1513" w:rsidRPr="002B562E" w:rsidRDefault="00CF1513" w:rsidP="00454D06">
            <w:pPr>
              <w:rPr>
                <w:rFonts w:ascii="Times New Roman" w:eastAsia="Times New Roman" w:hAnsi="Times New Roman" w:cs="Times New Roman"/>
                <w:color w:val="000000"/>
                <w:sz w:val="22"/>
                <w:szCs w:val="22"/>
                <w:highlight w:val="yellow"/>
              </w:rPr>
            </w:pPr>
            <w:r w:rsidRPr="002B562E">
              <w:rPr>
                <w:rFonts w:ascii="Times New Roman" w:eastAsia="Times New Roman" w:hAnsi="Times New Roman" w:cs="Times New Roman"/>
                <w:color w:val="000000"/>
                <w:sz w:val="22"/>
                <w:szCs w:val="22"/>
                <w:highlight w:val="yellow"/>
              </w:rPr>
              <w:t>5</w:t>
            </w:r>
          </w:p>
        </w:tc>
        <w:tc>
          <w:tcPr>
            <w:tcW w:w="6044" w:type="dxa"/>
            <w:tcBorders>
              <w:top w:val="nil"/>
              <w:left w:val="nil"/>
              <w:bottom w:val="nil"/>
              <w:right w:val="nil"/>
            </w:tcBorders>
            <w:shd w:val="clear" w:color="auto" w:fill="auto"/>
            <w:noWrap/>
            <w:vAlign w:val="bottom"/>
            <w:hideMark/>
          </w:tcPr>
          <w:p w14:paraId="36FFE4BD" w14:textId="77777777" w:rsidR="00CF1513" w:rsidRPr="002B562E" w:rsidRDefault="00CF1513" w:rsidP="00454D06">
            <w:pPr>
              <w:rPr>
                <w:rFonts w:ascii="Times New Roman" w:eastAsia="Times New Roman" w:hAnsi="Times New Roman" w:cs="Times New Roman"/>
                <w:color w:val="000000"/>
                <w:sz w:val="22"/>
                <w:szCs w:val="22"/>
                <w:highlight w:val="yellow"/>
              </w:rPr>
            </w:pPr>
            <w:r w:rsidRPr="002B562E">
              <w:rPr>
                <w:rFonts w:ascii="Times New Roman" w:eastAsia="Times New Roman" w:hAnsi="Times New Roman" w:cs="Times New Roman"/>
                <w:color w:val="000000"/>
                <w:sz w:val="22"/>
                <w:szCs w:val="22"/>
                <w:highlight w:val="yellow"/>
              </w:rPr>
              <w:t>TPI1;PGAM2;ENO2;PGAM4;ENO1</w:t>
            </w:r>
          </w:p>
        </w:tc>
        <w:tc>
          <w:tcPr>
            <w:tcW w:w="1065" w:type="dxa"/>
            <w:tcBorders>
              <w:top w:val="nil"/>
              <w:left w:val="nil"/>
              <w:bottom w:val="nil"/>
              <w:right w:val="nil"/>
            </w:tcBorders>
            <w:shd w:val="clear" w:color="auto" w:fill="auto"/>
            <w:noWrap/>
            <w:vAlign w:val="bottom"/>
            <w:hideMark/>
          </w:tcPr>
          <w:p w14:paraId="11F70692" w14:textId="77777777" w:rsidR="00CF1513" w:rsidRPr="002B562E" w:rsidRDefault="00CF1513" w:rsidP="00454D06">
            <w:pPr>
              <w:rPr>
                <w:rFonts w:ascii="Times New Roman" w:eastAsia="Times New Roman" w:hAnsi="Times New Roman" w:cs="Times New Roman"/>
                <w:color w:val="000000"/>
                <w:sz w:val="22"/>
                <w:szCs w:val="22"/>
                <w:highlight w:val="yellow"/>
              </w:rPr>
            </w:pPr>
            <w:r w:rsidRPr="002B562E">
              <w:rPr>
                <w:rFonts w:ascii="Times New Roman" w:eastAsia="Times New Roman" w:hAnsi="Times New Roman" w:cs="Times New Roman"/>
                <w:color w:val="000000"/>
                <w:sz w:val="22"/>
                <w:szCs w:val="22"/>
                <w:highlight w:val="yellow"/>
              </w:rPr>
              <w:t>25 (26)</w:t>
            </w:r>
          </w:p>
        </w:tc>
        <w:tc>
          <w:tcPr>
            <w:tcW w:w="1244" w:type="dxa"/>
            <w:tcBorders>
              <w:top w:val="nil"/>
              <w:left w:val="nil"/>
              <w:bottom w:val="nil"/>
              <w:right w:val="nil"/>
            </w:tcBorders>
            <w:shd w:val="clear" w:color="auto" w:fill="auto"/>
            <w:noWrap/>
            <w:vAlign w:val="bottom"/>
            <w:hideMark/>
          </w:tcPr>
          <w:p w14:paraId="4CC3D5B2" w14:textId="77777777" w:rsidR="00CF1513" w:rsidRPr="002B562E" w:rsidRDefault="00CF1513" w:rsidP="00454D06">
            <w:pPr>
              <w:rPr>
                <w:rFonts w:ascii="Times New Roman" w:eastAsia="Times New Roman" w:hAnsi="Times New Roman" w:cs="Times New Roman"/>
                <w:color w:val="000000"/>
                <w:sz w:val="22"/>
                <w:szCs w:val="22"/>
                <w:highlight w:val="yellow"/>
              </w:rPr>
            </w:pPr>
            <w:r w:rsidRPr="002B562E">
              <w:rPr>
                <w:rFonts w:ascii="Times New Roman" w:eastAsia="Times New Roman" w:hAnsi="Times New Roman" w:cs="Times New Roman"/>
                <w:color w:val="000000"/>
                <w:sz w:val="22"/>
                <w:szCs w:val="22"/>
                <w:highlight w:val="yellow"/>
              </w:rPr>
              <w:t>0.000384</w:t>
            </w:r>
          </w:p>
        </w:tc>
        <w:tc>
          <w:tcPr>
            <w:tcW w:w="1180" w:type="dxa"/>
            <w:tcBorders>
              <w:top w:val="nil"/>
              <w:left w:val="nil"/>
              <w:bottom w:val="nil"/>
              <w:right w:val="nil"/>
            </w:tcBorders>
            <w:shd w:val="clear" w:color="auto" w:fill="auto"/>
            <w:noWrap/>
            <w:vAlign w:val="bottom"/>
            <w:hideMark/>
          </w:tcPr>
          <w:p w14:paraId="0FE9F285" w14:textId="77777777" w:rsidR="00CF1513" w:rsidRPr="002B562E" w:rsidRDefault="00CF1513" w:rsidP="00454D06">
            <w:pPr>
              <w:rPr>
                <w:rFonts w:ascii="Times New Roman" w:eastAsia="Times New Roman" w:hAnsi="Times New Roman" w:cs="Times New Roman"/>
                <w:color w:val="000000"/>
                <w:sz w:val="22"/>
                <w:szCs w:val="22"/>
                <w:highlight w:val="yellow"/>
              </w:rPr>
            </w:pPr>
            <w:r w:rsidRPr="002B562E">
              <w:rPr>
                <w:rFonts w:ascii="Times New Roman" w:eastAsia="Times New Roman" w:hAnsi="Times New Roman" w:cs="Times New Roman"/>
                <w:color w:val="000000"/>
                <w:sz w:val="22"/>
                <w:szCs w:val="22"/>
                <w:highlight w:val="yellow"/>
              </w:rPr>
              <w:t>0.606</w:t>
            </w:r>
          </w:p>
        </w:tc>
      </w:tr>
      <w:tr w:rsidR="004C1D27" w:rsidRPr="00CF1513" w14:paraId="384A608D" w14:textId="77777777" w:rsidTr="004C1D27">
        <w:trPr>
          <w:trHeight w:val="227"/>
        </w:trPr>
        <w:tc>
          <w:tcPr>
            <w:tcW w:w="2035" w:type="dxa"/>
            <w:tcBorders>
              <w:top w:val="nil"/>
              <w:left w:val="nil"/>
              <w:bottom w:val="nil"/>
              <w:right w:val="nil"/>
            </w:tcBorders>
            <w:shd w:val="clear" w:color="auto" w:fill="auto"/>
            <w:noWrap/>
            <w:vAlign w:val="bottom"/>
            <w:hideMark/>
          </w:tcPr>
          <w:p w14:paraId="15135C17" w14:textId="438AFA2E" w:rsidR="00CF1513" w:rsidRPr="00226BC2" w:rsidRDefault="00AB6219" w:rsidP="00454D06">
            <w:pPr>
              <w:rPr>
                <w:rFonts w:ascii="Times New Roman" w:eastAsia="Times New Roman" w:hAnsi="Times New Roman" w:cs="Times New Roman"/>
                <w:color w:val="000000"/>
                <w:sz w:val="22"/>
                <w:szCs w:val="22"/>
                <w:highlight w:val="yellow"/>
              </w:rPr>
            </w:pPr>
            <w:r w:rsidRPr="00226BC2">
              <w:rPr>
                <w:rFonts w:ascii="Times New Roman" w:eastAsia="Times New Roman" w:hAnsi="Times New Roman" w:cs="Times New Roman"/>
                <w:color w:val="000000"/>
                <w:sz w:val="22"/>
                <w:szCs w:val="22"/>
                <w:highlight w:val="yellow"/>
              </w:rPr>
              <w:t>3.</w:t>
            </w:r>
            <w:r w:rsidR="00CF1513" w:rsidRPr="00226BC2">
              <w:rPr>
                <w:rFonts w:ascii="Times New Roman" w:eastAsia="Times New Roman" w:hAnsi="Times New Roman" w:cs="Times New Roman"/>
                <w:color w:val="000000"/>
                <w:sz w:val="22"/>
                <w:szCs w:val="22"/>
                <w:highlight w:val="yellow"/>
              </w:rPr>
              <w:t>gluconeogenesis</w:t>
            </w:r>
          </w:p>
        </w:tc>
        <w:tc>
          <w:tcPr>
            <w:tcW w:w="1549" w:type="dxa"/>
            <w:tcBorders>
              <w:top w:val="nil"/>
              <w:left w:val="nil"/>
              <w:bottom w:val="nil"/>
              <w:right w:val="nil"/>
            </w:tcBorders>
            <w:shd w:val="clear" w:color="auto" w:fill="auto"/>
            <w:noWrap/>
            <w:vAlign w:val="bottom"/>
            <w:hideMark/>
          </w:tcPr>
          <w:p w14:paraId="22C096EE" w14:textId="77777777" w:rsidR="00CF1513" w:rsidRPr="00226BC2" w:rsidRDefault="00CF1513" w:rsidP="00454D06">
            <w:pPr>
              <w:rPr>
                <w:rFonts w:ascii="Times New Roman" w:eastAsia="Times New Roman" w:hAnsi="Times New Roman" w:cs="Times New Roman"/>
                <w:color w:val="000000"/>
                <w:sz w:val="22"/>
                <w:szCs w:val="22"/>
                <w:highlight w:val="yellow"/>
              </w:rPr>
            </w:pPr>
            <w:r w:rsidRPr="00226BC2">
              <w:rPr>
                <w:rFonts w:ascii="Times New Roman" w:eastAsia="Times New Roman" w:hAnsi="Times New Roman" w:cs="Times New Roman"/>
                <w:color w:val="000000"/>
                <w:sz w:val="22"/>
                <w:szCs w:val="22"/>
                <w:highlight w:val="yellow"/>
              </w:rPr>
              <w:t>HumanCyc</w:t>
            </w:r>
          </w:p>
        </w:tc>
        <w:tc>
          <w:tcPr>
            <w:tcW w:w="1065" w:type="dxa"/>
            <w:tcBorders>
              <w:top w:val="nil"/>
              <w:left w:val="nil"/>
              <w:bottom w:val="nil"/>
              <w:right w:val="nil"/>
            </w:tcBorders>
            <w:shd w:val="clear" w:color="auto" w:fill="auto"/>
            <w:noWrap/>
            <w:vAlign w:val="bottom"/>
            <w:hideMark/>
          </w:tcPr>
          <w:p w14:paraId="516AE141" w14:textId="77777777" w:rsidR="00CF1513" w:rsidRPr="00226BC2" w:rsidRDefault="00CF1513" w:rsidP="00454D06">
            <w:pPr>
              <w:rPr>
                <w:rFonts w:ascii="Times New Roman" w:eastAsia="Times New Roman" w:hAnsi="Times New Roman" w:cs="Times New Roman"/>
                <w:color w:val="000000"/>
                <w:sz w:val="22"/>
                <w:szCs w:val="22"/>
                <w:highlight w:val="yellow"/>
              </w:rPr>
            </w:pPr>
            <w:r w:rsidRPr="00226BC2">
              <w:rPr>
                <w:rFonts w:ascii="Times New Roman" w:eastAsia="Times New Roman" w:hAnsi="Times New Roman" w:cs="Times New Roman"/>
                <w:color w:val="000000"/>
                <w:sz w:val="22"/>
                <w:szCs w:val="22"/>
                <w:highlight w:val="yellow"/>
              </w:rPr>
              <w:t>5</w:t>
            </w:r>
          </w:p>
        </w:tc>
        <w:tc>
          <w:tcPr>
            <w:tcW w:w="6044" w:type="dxa"/>
            <w:tcBorders>
              <w:top w:val="nil"/>
              <w:left w:val="nil"/>
              <w:bottom w:val="nil"/>
              <w:right w:val="nil"/>
            </w:tcBorders>
            <w:shd w:val="clear" w:color="auto" w:fill="auto"/>
            <w:noWrap/>
            <w:vAlign w:val="bottom"/>
            <w:hideMark/>
          </w:tcPr>
          <w:p w14:paraId="0C506EAE" w14:textId="77777777" w:rsidR="00CF1513" w:rsidRPr="00226BC2" w:rsidRDefault="00CF1513" w:rsidP="00454D06">
            <w:pPr>
              <w:rPr>
                <w:rFonts w:ascii="Times New Roman" w:eastAsia="Times New Roman" w:hAnsi="Times New Roman" w:cs="Times New Roman"/>
                <w:color w:val="000000"/>
                <w:sz w:val="22"/>
                <w:szCs w:val="22"/>
                <w:highlight w:val="yellow"/>
              </w:rPr>
            </w:pPr>
            <w:r w:rsidRPr="00226BC2">
              <w:rPr>
                <w:rFonts w:ascii="Times New Roman" w:eastAsia="Times New Roman" w:hAnsi="Times New Roman" w:cs="Times New Roman"/>
                <w:color w:val="000000"/>
                <w:sz w:val="22"/>
                <w:szCs w:val="22"/>
                <w:highlight w:val="yellow"/>
              </w:rPr>
              <w:t>TPI1;PGAM2;ENO2;PGAM4;ENO1</w:t>
            </w:r>
          </w:p>
        </w:tc>
        <w:tc>
          <w:tcPr>
            <w:tcW w:w="1065" w:type="dxa"/>
            <w:tcBorders>
              <w:top w:val="nil"/>
              <w:left w:val="nil"/>
              <w:bottom w:val="nil"/>
              <w:right w:val="nil"/>
            </w:tcBorders>
            <w:shd w:val="clear" w:color="auto" w:fill="auto"/>
            <w:noWrap/>
            <w:vAlign w:val="bottom"/>
            <w:hideMark/>
          </w:tcPr>
          <w:p w14:paraId="04B2CA8D" w14:textId="77777777" w:rsidR="00CF1513" w:rsidRPr="00226BC2" w:rsidRDefault="00CF1513" w:rsidP="00454D06">
            <w:pPr>
              <w:rPr>
                <w:rFonts w:ascii="Times New Roman" w:eastAsia="Times New Roman" w:hAnsi="Times New Roman" w:cs="Times New Roman"/>
                <w:color w:val="000000"/>
                <w:sz w:val="22"/>
                <w:szCs w:val="22"/>
                <w:highlight w:val="yellow"/>
              </w:rPr>
            </w:pPr>
            <w:r w:rsidRPr="00226BC2">
              <w:rPr>
                <w:rFonts w:ascii="Times New Roman" w:eastAsia="Times New Roman" w:hAnsi="Times New Roman" w:cs="Times New Roman"/>
                <w:color w:val="000000"/>
                <w:sz w:val="22"/>
                <w:szCs w:val="22"/>
                <w:highlight w:val="yellow"/>
              </w:rPr>
              <w:t>26 (27)</w:t>
            </w:r>
          </w:p>
        </w:tc>
        <w:tc>
          <w:tcPr>
            <w:tcW w:w="1244" w:type="dxa"/>
            <w:tcBorders>
              <w:top w:val="nil"/>
              <w:left w:val="nil"/>
              <w:bottom w:val="nil"/>
              <w:right w:val="nil"/>
            </w:tcBorders>
            <w:shd w:val="clear" w:color="auto" w:fill="auto"/>
            <w:noWrap/>
            <w:vAlign w:val="bottom"/>
            <w:hideMark/>
          </w:tcPr>
          <w:p w14:paraId="5A1145AF" w14:textId="77777777" w:rsidR="00CF1513" w:rsidRPr="00226BC2" w:rsidRDefault="00CF1513" w:rsidP="00454D06">
            <w:pPr>
              <w:rPr>
                <w:rFonts w:ascii="Times New Roman" w:eastAsia="Times New Roman" w:hAnsi="Times New Roman" w:cs="Times New Roman"/>
                <w:color w:val="000000"/>
                <w:sz w:val="22"/>
                <w:szCs w:val="22"/>
                <w:highlight w:val="yellow"/>
              </w:rPr>
            </w:pPr>
            <w:r w:rsidRPr="00226BC2">
              <w:rPr>
                <w:rFonts w:ascii="Times New Roman" w:eastAsia="Times New Roman" w:hAnsi="Times New Roman" w:cs="Times New Roman"/>
                <w:color w:val="000000"/>
                <w:sz w:val="22"/>
                <w:szCs w:val="22"/>
                <w:highlight w:val="yellow"/>
              </w:rPr>
              <w:t>0.000465</w:t>
            </w:r>
          </w:p>
        </w:tc>
        <w:tc>
          <w:tcPr>
            <w:tcW w:w="1180" w:type="dxa"/>
            <w:tcBorders>
              <w:top w:val="nil"/>
              <w:left w:val="nil"/>
              <w:bottom w:val="nil"/>
              <w:right w:val="nil"/>
            </w:tcBorders>
            <w:shd w:val="clear" w:color="auto" w:fill="auto"/>
            <w:noWrap/>
            <w:vAlign w:val="bottom"/>
            <w:hideMark/>
          </w:tcPr>
          <w:p w14:paraId="63AB28D5" w14:textId="77777777" w:rsidR="00CF1513" w:rsidRPr="00226BC2" w:rsidRDefault="00CF1513" w:rsidP="00454D06">
            <w:pPr>
              <w:rPr>
                <w:rFonts w:ascii="Times New Roman" w:eastAsia="Times New Roman" w:hAnsi="Times New Roman" w:cs="Times New Roman"/>
                <w:color w:val="000000"/>
                <w:sz w:val="22"/>
                <w:szCs w:val="22"/>
                <w:highlight w:val="yellow"/>
              </w:rPr>
            </w:pPr>
            <w:r w:rsidRPr="00226BC2">
              <w:rPr>
                <w:rFonts w:ascii="Times New Roman" w:eastAsia="Times New Roman" w:hAnsi="Times New Roman" w:cs="Times New Roman"/>
                <w:color w:val="000000"/>
                <w:sz w:val="22"/>
                <w:szCs w:val="22"/>
                <w:highlight w:val="yellow"/>
              </w:rPr>
              <w:t>0.606</w:t>
            </w:r>
          </w:p>
        </w:tc>
      </w:tr>
      <w:tr w:rsidR="004C1D27" w:rsidRPr="00CF1513" w14:paraId="34042C7C" w14:textId="77777777" w:rsidTr="004C1D27">
        <w:trPr>
          <w:trHeight w:val="227"/>
        </w:trPr>
        <w:tc>
          <w:tcPr>
            <w:tcW w:w="2035" w:type="dxa"/>
            <w:tcBorders>
              <w:top w:val="nil"/>
              <w:left w:val="nil"/>
              <w:bottom w:val="nil"/>
              <w:right w:val="nil"/>
            </w:tcBorders>
            <w:shd w:val="clear" w:color="auto" w:fill="auto"/>
            <w:noWrap/>
            <w:vAlign w:val="bottom"/>
            <w:hideMark/>
          </w:tcPr>
          <w:p w14:paraId="1866CDA7" w14:textId="45AC7CFE" w:rsidR="00CF1513" w:rsidRPr="00226BC2" w:rsidRDefault="00AB6219" w:rsidP="00454D06">
            <w:pPr>
              <w:rPr>
                <w:rFonts w:ascii="Times New Roman" w:eastAsia="Times New Roman" w:hAnsi="Times New Roman" w:cs="Times New Roman"/>
                <w:color w:val="000000"/>
                <w:sz w:val="22"/>
                <w:szCs w:val="22"/>
                <w:highlight w:val="yellow"/>
              </w:rPr>
            </w:pPr>
            <w:r w:rsidRPr="00226BC2">
              <w:rPr>
                <w:rFonts w:ascii="Times New Roman" w:eastAsia="Times New Roman" w:hAnsi="Times New Roman" w:cs="Times New Roman"/>
                <w:color w:val="000000"/>
                <w:sz w:val="22"/>
                <w:szCs w:val="22"/>
                <w:highlight w:val="yellow"/>
              </w:rPr>
              <w:t xml:space="preserve">4. </w:t>
            </w:r>
            <w:r w:rsidR="00CF1513" w:rsidRPr="00226BC2">
              <w:rPr>
                <w:rFonts w:ascii="Times New Roman" w:eastAsia="Times New Roman" w:hAnsi="Times New Roman" w:cs="Times New Roman"/>
                <w:color w:val="000000"/>
                <w:sz w:val="22"/>
                <w:szCs w:val="22"/>
                <w:highlight w:val="yellow"/>
              </w:rPr>
              <w:t>Glycolysis</w:t>
            </w:r>
          </w:p>
        </w:tc>
        <w:tc>
          <w:tcPr>
            <w:tcW w:w="1549" w:type="dxa"/>
            <w:tcBorders>
              <w:top w:val="nil"/>
              <w:left w:val="nil"/>
              <w:bottom w:val="nil"/>
              <w:right w:val="nil"/>
            </w:tcBorders>
            <w:shd w:val="clear" w:color="auto" w:fill="auto"/>
            <w:noWrap/>
            <w:vAlign w:val="bottom"/>
            <w:hideMark/>
          </w:tcPr>
          <w:p w14:paraId="3AEC3DA2" w14:textId="77777777" w:rsidR="00CF1513" w:rsidRPr="00226BC2" w:rsidRDefault="00CF1513" w:rsidP="00454D06">
            <w:pPr>
              <w:rPr>
                <w:rFonts w:ascii="Times New Roman" w:eastAsia="Times New Roman" w:hAnsi="Times New Roman" w:cs="Times New Roman"/>
                <w:color w:val="000000"/>
                <w:sz w:val="22"/>
                <w:szCs w:val="22"/>
                <w:highlight w:val="yellow"/>
              </w:rPr>
            </w:pPr>
            <w:r w:rsidRPr="00226BC2">
              <w:rPr>
                <w:rFonts w:ascii="Times New Roman" w:eastAsia="Times New Roman" w:hAnsi="Times New Roman" w:cs="Times New Roman"/>
                <w:color w:val="000000"/>
                <w:sz w:val="22"/>
                <w:szCs w:val="22"/>
                <w:highlight w:val="yellow"/>
              </w:rPr>
              <w:t>Reactome</w:t>
            </w:r>
          </w:p>
        </w:tc>
        <w:tc>
          <w:tcPr>
            <w:tcW w:w="1065" w:type="dxa"/>
            <w:tcBorders>
              <w:top w:val="nil"/>
              <w:left w:val="nil"/>
              <w:bottom w:val="nil"/>
              <w:right w:val="nil"/>
            </w:tcBorders>
            <w:shd w:val="clear" w:color="auto" w:fill="auto"/>
            <w:noWrap/>
            <w:vAlign w:val="bottom"/>
            <w:hideMark/>
          </w:tcPr>
          <w:p w14:paraId="14055203" w14:textId="77777777" w:rsidR="00CF1513" w:rsidRPr="00226BC2" w:rsidRDefault="00CF1513" w:rsidP="00454D06">
            <w:pPr>
              <w:rPr>
                <w:rFonts w:ascii="Times New Roman" w:eastAsia="Times New Roman" w:hAnsi="Times New Roman" w:cs="Times New Roman"/>
                <w:color w:val="000000"/>
                <w:sz w:val="22"/>
                <w:szCs w:val="22"/>
                <w:highlight w:val="yellow"/>
              </w:rPr>
            </w:pPr>
            <w:r w:rsidRPr="00226BC2">
              <w:rPr>
                <w:rFonts w:ascii="Times New Roman" w:eastAsia="Times New Roman" w:hAnsi="Times New Roman" w:cs="Times New Roman"/>
                <w:color w:val="000000"/>
                <w:sz w:val="22"/>
                <w:szCs w:val="22"/>
                <w:highlight w:val="yellow"/>
              </w:rPr>
              <w:t>5</w:t>
            </w:r>
          </w:p>
        </w:tc>
        <w:tc>
          <w:tcPr>
            <w:tcW w:w="6044" w:type="dxa"/>
            <w:tcBorders>
              <w:top w:val="nil"/>
              <w:left w:val="nil"/>
              <w:bottom w:val="nil"/>
              <w:right w:val="nil"/>
            </w:tcBorders>
            <w:shd w:val="clear" w:color="auto" w:fill="auto"/>
            <w:noWrap/>
            <w:vAlign w:val="bottom"/>
            <w:hideMark/>
          </w:tcPr>
          <w:p w14:paraId="2B27EE9E" w14:textId="77777777" w:rsidR="00CF1513" w:rsidRPr="00226BC2" w:rsidRDefault="00CF1513" w:rsidP="00454D06">
            <w:pPr>
              <w:rPr>
                <w:rFonts w:ascii="Times New Roman" w:eastAsia="Times New Roman" w:hAnsi="Times New Roman" w:cs="Times New Roman"/>
                <w:color w:val="000000"/>
                <w:sz w:val="22"/>
                <w:szCs w:val="22"/>
                <w:highlight w:val="yellow"/>
              </w:rPr>
            </w:pPr>
            <w:r w:rsidRPr="00226BC2">
              <w:rPr>
                <w:rFonts w:ascii="Times New Roman" w:eastAsia="Times New Roman" w:hAnsi="Times New Roman" w:cs="Times New Roman"/>
                <w:color w:val="000000"/>
                <w:sz w:val="22"/>
                <w:szCs w:val="22"/>
                <w:highlight w:val="yellow"/>
              </w:rPr>
              <w:t>TPI1;PGAM2;ENO2;PGAM4;ENO1</w:t>
            </w:r>
          </w:p>
        </w:tc>
        <w:tc>
          <w:tcPr>
            <w:tcW w:w="1065" w:type="dxa"/>
            <w:tcBorders>
              <w:top w:val="nil"/>
              <w:left w:val="nil"/>
              <w:bottom w:val="nil"/>
              <w:right w:val="nil"/>
            </w:tcBorders>
            <w:shd w:val="clear" w:color="auto" w:fill="auto"/>
            <w:noWrap/>
            <w:vAlign w:val="bottom"/>
            <w:hideMark/>
          </w:tcPr>
          <w:p w14:paraId="35F9FFB6" w14:textId="77777777" w:rsidR="00CF1513" w:rsidRPr="00226BC2" w:rsidRDefault="00CF1513" w:rsidP="00454D06">
            <w:pPr>
              <w:rPr>
                <w:rFonts w:ascii="Times New Roman" w:eastAsia="Times New Roman" w:hAnsi="Times New Roman" w:cs="Times New Roman"/>
                <w:color w:val="000000"/>
                <w:sz w:val="22"/>
                <w:szCs w:val="22"/>
                <w:highlight w:val="yellow"/>
              </w:rPr>
            </w:pPr>
            <w:r w:rsidRPr="00226BC2">
              <w:rPr>
                <w:rFonts w:ascii="Times New Roman" w:eastAsia="Times New Roman" w:hAnsi="Times New Roman" w:cs="Times New Roman"/>
                <w:color w:val="000000"/>
                <w:sz w:val="22"/>
                <w:szCs w:val="22"/>
                <w:highlight w:val="yellow"/>
              </w:rPr>
              <w:t>28 (29)</w:t>
            </w:r>
          </w:p>
        </w:tc>
        <w:tc>
          <w:tcPr>
            <w:tcW w:w="1244" w:type="dxa"/>
            <w:tcBorders>
              <w:top w:val="nil"/>
              <w:left w:val="nil"/>
              <w:bottom w:val="nil"/>
              <w:right w:val="nil"/>
            </w:tcBorders>
            <w:shd w:val="clear" w:color="auto" w:fill="auto"/>
            <w:noWrap/>
            <w:vAlign w:val="bottom"/>
            <w:hideMark/>
          </w:tcPr>
          <w:p w14:paraId="52D3BA90" w14:textId="77777777" w:rsidR="00CF1513" w:rsidRPr="00226BC2" w:rsidRDefault="00CF1513" w:rsidP="00454D06">
            <w:pPr>
              <w:rPr>
                <w:rFonts w:ascii="Times New Roman" w:eastAsia="Times New Roman" w:hAnsi="Times New Roman" w:cs="Times New Roman"/>
                <w:color w:val="000000"/>
                <w:sz w:val="22"/>
                <w:szCs w:val="22"/>
                <w:highlight w:val="yellow"/>
              </w:rPr>
            </w:pPr>
            <w:r w:rsidRPr="00226BC2">
              <w:rPr>
                <w:rFonts w:ascii="Times New Roman" w:eastAsia="Times New Roman" w:hAnsi="Times New Roman" w:cs="Times New Roman"/>
                <w:color w:val="000000"/>
                <w:sz w:val="22"/>
                <w:szCs w:val="22"/>
                <w:highlight w:val="yellow"/>
              </w:rPr>
              <w:t>0.000666</w:t>
            </w:r>
          </w:p>
        </w:tc>
        <w:tc>
          <w:tcPr>
            <w:tcW w:w="1180" w:type="dxa"/>
            <w:tcBorders>
              <w:top w:val="nil"/>
              <w:left w:val="nil"/>
              <w:bottom w:val="nil"/>
              <w:right w:val="nil"/>
            </w:tcBorders>
            <w:shd w:val="clear" w:color="auto" w:fill="auto"/>
            <w:noWrap/>
            <w:vAlign w:val="bottom"/>
            <w:hideMark/>
          </w:tcPr>
          <w:p w14:paraId="1FA9112A" w14:textId="77777777" w:rsidR="00CF1513" w:rsidRPr="00226BC2" w:rsidRDefault="00CF1513" w:rsidP="00454D06">
            <w:pPr>
              <w:rPr>
                <w:rFonts w:ascii="Times New Roman" w:eastAsia="Times New Roman" w:hAnsi="Times New Roman" w:cs="Times New Roman"/>
                <w:color w:val="000000"/>
                <w:sz w:val="22"/>
                <w:szCs w:val="22"/>
                <w:highlight w:val="yellow"/>
              </w:rPr>
            </w:pPr>
            <w:r w:rsidRPr="00226BC2">
              <w:rPr>
                <w:rFonts w:ascii="Times New Roman" w:eastAsia="Times New Roman" w:hAnsi="Times New Roman" w:cs="Times New Roman"/>
                <w:color w:val="000000"/>
                <w:sz w:val="22"/>
                <w:szCs w:val="22"/>
                <w:highlight w:val="yellow"/>
              </w:rPr>
              <w:t>0.651</w:t>
            </w:r>
          </w:p>
        </w:tc>
      </w:tr>
      <w:tr w:rsidR="004C1D27" w:rsidRPr="00CF1513" w14:paraId="158DDFCA" w14:textId="77777777" w:rsidTr="004C1D27">
        <w:trPr>
          <w:trHeight w:val="227"/>
        </w:trPr>
        <w:tc>
          <w:tcPr>
            <w:tcW w:w="2035" w:type="dxa"/>
            <w:tcBorders>
              <w:top w:val="nil"/>
              <w:left w:val="nil"/>
              <w:bottom w:val="nil"/>
              <w:right w:val="nil"/>
            </w:tcBorders>
            <w:shd w:val="clear" w:color="auto" w:fill="auto"/>
            <w:noWrap/>
            <w:vAlign w:val="bottom"/>
            <w:hideMark/>
          </w:tcPr>
          <w:p w14:paraId="1F2B5BAE" w14:textId="054404A7" w:rsidR="00CF1513" w:rsidRPr="00226BC2" w:rsidRDefault="00AB6219" w:rsidP="00454D06">
            <w:pPr>
              <w:rPr>
                <w:rFonts w:ascii="Times New Roman" w:eastAsia="Times New Roman" w:hAnsi="Times New Roman" w:cs="Times New Roman"/>
                <w:color w:val="000000"/>
                <w:sz w:val="22"/>
                <w:szCs w:val="22"/>
                <w:highlight w:val="yellow"/>
              </w:rPr>
            </w:pPr>
            <w:r w:rsidRPr="00226BC2">
              <w:rPr>
                <w:rFonts w:ascii="Times New Roman" w:eastAsia="Times New Roman" w:hAnsi="Times New Roman" w:cs="Times New Roman"/>
                <w:color w:val="000000"/>
                <w:sz w:val="22"/>
                <w:szCs w:val="22"/>
                <w:highlight w:val="yellow"/>
              </w:rPr>
              <w:t xml:space="preserve">5. </w:t>
            </w:r>
            <w:r w:rsidR="00CF1513" w:rsidRPr="00226BC2">
              <w:rPr>
                <w:rFonts w:ascii="Times New Roman" w:eastAsia="Times New Roman" w:hAnsi="Times New Roman" w:cs="Times New Roman"/>
                <w:color w:val="000000"/>
                <w:sz w:val="22"/>
                <w:szCs w:val="22"/>
                <w:highlight w:val="yellow"/>
              </w:rPr>
              <w:t>Gluconeogenesis</w:t>
            </w:r>
          </w:p>
        </w:tc>
        <w:tc>
          <w:tcPr>
            <w:tcW w:w="1549" w:type="dxa"/>
            <w:tcBorders>
              <w:top w:val="nil"/>
              <w:left w:val="nil"/>
              <w:bottom w:val="nil"/>
              <w:right w:val="nil"/>
            </w:tcBorders>
            <w:shd w:val="clear" w:color="auto" w:fill="auto"/>
            <w:noWrap/>
            <w:vAlign w:val="bottom"/>
            <w:hideMark/>
          </w:tcPr>
          <w:p w14:paraId="5D68D263" w14:textId="77777777" w:rsidR="00CF1513" w:rsidRPr="00226BC2" w:rsidRDefault="00CF1513" w:rsidP="00454D06">
            <w:pPr>
              <w:rPr>
                <w:rFonts w:ascii="Times New Roman" w:eastAsia="Times New Roman" w:hAnsi="Times New Roman" w:cs="Times New Roman"/>
                <w:color w:val="000000"/>
                <w:sz w:val="22"/>
                <w:szCs w:val="22"/>
                <w:highlight w:val="yellow"/>
              </w:rPr>
            </w:pPr>
            <w:r w:rsidRPr="00226BC2">
              <w:rPr>
                <w:rFonts w:ascii="Times New Roman" w:eastAsia="Times New Roman" w:hAnsi="Times New Roman" w:cs="Times New Roman"/>
                <w:color w:val="000000"/>
                <w:sz w:val="22"/>
                <w:szCs w:val="22"/>
                <w:highlight w:val="yellow"/>
              </w:rPr>
              <w:t>Reactome</w:t>
            </w:r>
          </w:p>
        </w:tc>
        <w:tc>
          <w:tcPr>
            <w:tcW w:w="1065" w:type="dxa"/>
            <w:tcBorders>
              <w:top w:val="nil"/>
              <w:left w:val="nil"/>
              <w:bottom w:val="nil"/>
              <w:right w:val="nil"/>
            </w:tcBorders>
            <w:shd w:val="clear" w:color="auto" w:fill="auto"/>
            <w:noWrap/>
            <w:vAlign w:val="bottom"/>
            <w:hideMark/>
          </w:tcPr>
          <w:p w14:paraId="195C184D" w14:textId="77777777" w:rsidR="00CF1513" w:rsidRPr="00226BC2" w:rsidRDefault="00CF1513" w:rsidP="00454D06">
            <w:pPr>
              <w:rPr>
                <w:rFonts w:ascii="Times New Roman" w:eastAsia="Times New Roman" w:hAnsi="Times New Roman" w:cs="Times New Roman"/>
                <w:color w:val="000000"/>
                <w:sz w:val="22"/>
                <w:szCs w:val="22"/>
                <w:highlight w:val="yellow"/>
              </w:rPr>
            </w:pPr>
            <w:r w:rsidRPr="00226BC2">
              <w:rPr>
                <w:rFonts w:ascii="Times New Roman" w:eastAsia="Times New Roman" w:hAnsi="Times New Roman" w:cs="Times New Roman"/>
                <w:color w:val="000000"/>
                <w:sz w:val="22"/>
                <w:szCs w:val="22"/>
                <w:highlight w:val="yellow"/>
              </w:rPr>
              <w:t>5</w:t>
            </w:r>
          </w:p>
        </w:tc>
        <w:tc>
          <w:tcPr>
            <w:tcW w:w="6044" w:type="dxa"/>
            <w:tcBorders>
              <w:top w:val="nil"/>
              <w:left w:val="nil"/>
              <w:bottom w:val="nil"/>
              <w:right w:val="nil"/>
            </w:tcBorders>
            <w:shd w:val="clear" w:color="auto" w:fill="auto"/>
            <w:noWrap/>
            <w:vAlign w:val="bottom"/>
            <w:hideMark/>
          </w:tcPr>
          <w:p w14:paraId="7D1D10DE" w14:textId="77777777" w:rsidR="00CF1513" w:rsidRPr="00226BC2" w:rsidRDefault="00CF1513" w:rsidP="00454D06">
            <w:pPr>
              <w:rPr>
                <w:rFonts w:ascii="Times New Roman" w:eastAsia="Times New Roman" w:hAnsi="Times New Roman" w:cs="Times New Roman"/>
                <w:color w:val="000000"/>
                <w:sz w:val="22"/>
                <w:szCs w:val="22"/>
                <w:highlight w:val="yellow"/>
              </w:rPr>
            </w:pPr>
            <w:r w:rsidRPr="00226BC2">
              <w:rPr>
                <w:rFonts w:ascii="Times New Roman" w:eastAsia="Times New Roman" w:hAnsi="Times New Roman" w:cs="Times New Roman"/>
                <w:color w:val="000000"/>
                <w:sz w:val="22"/>
                <w:szCs w:val="22"/>
                <w:highlight w:val="yellow"/>
              </w:rPr>
              <w:t>TPI1;PGAM2;ENO2;PGAM4;ENO1</w:t>
            </w:r>
          </w:p>
        </w:tc>
        <w:tc>
          <w:tcPr>
            <w:tcW w:w="1065" w:type="dxa"/>
            <w:tcBorders>
              <w:top w:val="nil"/>
              <w:left w:val="nil"/>
              <w:bottom w:val="nil"/>
              <w:right w:val="nil"/>
            </w:tcBorders>
            <w:shd w:val="clear" w:color="auto" w:fill="auto"/>
            <w:noWrap/>
            <w:vAlign w:val="bottom"/>
            <w:hideMark/>
          </w:tcPr>
          <w:p w14:paraId="5F1D1F1D" w14:textId="77777777" w:rsidR="00CF1513" w:rsidRPr="00226BC2" w:rsidRDefault="00CF1513" w:rsidP="00454D06">
            <w:pPr>
              <w:rPr>
                <w:rFonts w:ascii="Times New Roman" w:eastAsia="Times New Roman" w:hAnsi="Times New Roman" w:cs="Times New Roman"/>
                <w:color w:val="000000"/>
                <w:sz w:val="22"/>
                <w:szCs w:val="22"/>
                <w:highlight w:val="yellow"/>
              </w:rPr>
            </w:pPr>
            <w:r w:rsidRPr="00226BC2">
              <w:rPr>
                <w:rFonts w:ascii="Times New Roman" w:eastAsia="Times New Roman" w:hAnsi="Times New Roman" w:cs="Times New Roman"/>
                <w:color w:val="000000"/>
                <w:sz w:val="22"/>
                <w:szCs w:val="22"/>
                <w:highlight w:val="yellow"/>
              </w:rPr>
              <w:t>32 (33)</w:t>
            </w:r>
          </w:p>
        </w:tc>
        <w:tc>
          <w:tcPr>
            <w:tcW w:w="1244" w:type="dxa"/>
            <w:tcBorders>
              <w:top w:val="nil"/>
              <w:left w:val="nil"/>
              <w:bottom w:val="nil"/>
              <w:right w:val="nil"/>
            </w:tcBorders>
            <w:shd w:val="clear" w:color="auto" w:fill="auto"/>
            <w:noWrap/>
            <w:vAlign w:val="bottom"/>
            <w:hideMark/>
          </w:tcPr>
          <w:p w14:paraId="7B3F8F25" w14:textId="77777777" w:rsidR="00CF1513" w:rsidRPr="00226BC2" w:rsidRDefault="00CF1513" w:rsidP="00454D06">
            <w:pPr>
              <w:rPr>
                <w:rFonts w:ascii="Times New Roman" w:eastAsia="Times New Roman" w:hAnsi="Times New Roman" w:cs="Times New Roman"/>
                <w:color w:val="000000"/>
                <w:sz w:val="22"/>
                <w:szCs w:val="22"/>
                <w:highlight w:val="yellow"/>
              </w:rPr>
            </w:pPr>
            <w:r w:rsidRPr="00226BC2">
              <w:rPr>
                <w:rFonts w:ascii="Times New Roman" w:eastAsia="Times New Roman" w:hAnsi="Times New Roman" w:cs="Times New Roman"/>
                <w:color w:val="000000"/>
                <w:sz w:val="22"/>
                <w:szCs w:val="22"/>
                <w:highlight w:val="yellow"/>
              </w:rPr>
              <w:t>0.00126</w:t>
            </w:r>
          </w:p>
        </w:tc>
        <w:tc>
          <w:tcPr>
            <w:tcW w:w="1180" w:type="dxa"/>
            <w:tcBorders>
              <w:top w:val="nil"/>
              <w:left w:val="nil"/>
              <w:bottom w:val="nil"/>
              <w:right w:val="nil"/>
            </w:tcBorders>
            <w:shd w:val="clear" w:color="auto" w:fill="auto"/>
            <w:noWrap/>
            <w:vAlign w:val="bottom"/>
            <w:hideMark/>
          </w:tcPr>
          <w:p w14:paraId="5063890F" w14:textId="77777777" w:rsidR="00CF1513" w:rsidRPr="00226BC2" w:rsidRDefault="00CF1513" w:rsidP="00454D06">
            <w:pPr>
              <w:rPr>
                <w:rFonts w:ascii="Times New Roman" w:eastAsia="Times New Roman" w:hAnsi="Times New Roman" w:cs="Times New Roman"/>
                <w:color w:val="000000"/>
                <w:sz w:val="22"/>
                <w:szCs w:val="22"/>
                <w:highlight w:val="yellow"/>
              </w:rPr>
            </w:pPr>
            <w:r w:rsidRPr="00226BC2">
              <w:rPr>
                <w:rFonts w:ascii="Times New Roman" w:eastAsia="Times New Roman" w:hAnsi="Times New Roman" w:cs="Times New Roman"/>
                <w:color w:val="000000"/>
                <w:sz w:val="22"/>
                <w:szCs w:val="22"/>
                <w:highlight w:val="yellow"/>
              </w:rPr>
              <w:t>0.828</w:t>
            </w:r>
          </w:p>
        </w:tc>
      </w:tr>
      <w:tr w:rsidR="004C1D27" w:rsidRPr="00CF1513" w14:paraId="1D39F792" w14:textId="77777777" w:rsidTr="004C1D27">
        <w:trPr>
          <w:trHeight w:val="227"/>
        </w:trPr>
        <w:tc>
          <w:tcPr>
            <w:tcW w:w="2035" w:type="dxa"/>
            <w:tcBorders>
              <w:top w:val="nil"/>
              <w:left w:val="nil"/>
              <w:bottom w:val="nil"/>
              <w:right w:val="nil"/>
            </w:tcBorders>
            <w:shd w:val="clear" w:color="auto" w:fill="auto"/>
            <w:noWrap/>
            <w:vAlign w:val="bottom"/>
            <w:hideMark/>
          </w:tcPr>
          <w:p w14:paraId="7ECF0BF7" w14:textId="1D732F1F" w:rsidR="00CF1513" w:rsidRPr="00CF1513" w:rsidRDefault="00AB6219" w:rsidP="00454D06">
            <w:pP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 xml:space="preserve">6.  </w:t>
            </w:r>
            <w:r w:rsidR="00CF1513" w:rsidRPr="00CF1513">
              <w:rPr>
                <w:rFonts w:ascii="Times New Roman" w:eastAsia="Times New Roman" w:hAnsi="Times New Roman" w:cs="Times New Roman"/>
                <w:color w:val="000000"/>
                <w:sz w:val="22"/>
                <w:szCs w:val="22"/>
              </w:rPr>
              <w:t>Lysosphingolipid and LPA receptors</w:t>
            </w:r>
          </w:p>
        </w:tc>
        <w:tc>
          <w:tcPr>
            <w:tcW w:w="1549" w:type="dxa"/>
            <w:tcBorders>
              <w:top w:val="nil"/>
              <w:left w:val="nil"/>
              <w:bottom w:val="nil"/>
              <w:right w:val="nil"/>
            </w:tcBorders>
            <w:shd w:val="clear" w:color="auto" w:fill="auto"/>
            <w:noWrap/>
            <w:vAlign w:val="bottom"/>
            <w:hideMark/>
          </w:tcPr>
          <w:p w14:paraId="680AFCC9"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Reactome</w:t>
            </w:r>
          </w:p>
        </w:tc>
        <w:tc>
          <w:tcPr>
            <w:tcW w:w="1065" w:type="dxa"/>
            <w:tcBorders>
              <w:top w:val="nil"/>
              <w:left w:val="nil"/>
              <w:bottom w:val="nil"/>
              <w:right w:val="nil"/>
            </w:tcBorders>
            <w:shd w:val="clear" w:color="auto" w:fill="auto"/>
            <w:noWrap/>
            <w:vAlign w:val="bottom"/>
            <w:hideMark/>
          </w:tcPr>
          <w:p w14:paraId="0890A72E"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3</w:t>
            </w:r>
          </w:p>
        </w:tc>
        <w:tc>
          <w:tcPr>
            <w:tcW w:w="6044" w:type="dxa"/>
            <w:tcBorders>
              <w:top w:val="nil"/>
              <w:left w:val="nil"/>
              <w:bottom w:val="nil"/>
              <w:right w:val="nil"/>
            </w:tcBorders>
            <w:shd w:val="clear" w:color="auto" w:fill="auto"/>
            <w:noWrap/>
            <w:vAlign w:val="bottom"/>
            <w:hideMark/>
          </w:tcPr>
          <w:p w14:paraId="306A425D"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S1PR4;S1PR1;LPAR3</w:t>
            </w:r>
          </w:p>
        </w:tc>
        <w:tc>
          <w:tcPr>
            <w:tcW w:w="1065" w:type="dxa"/>
            <w:tcBorders>
              <w:top w:val="nil"/>
              <w:left w:val="nil"/>
              <w:bottom w:val="nil"/>
              <w:right w:val="nil"/>
            </w:tcBorders>
            <w:shd w:val="clear" w:color="auto" w:fill="auto"/>
            <w:noWrap/>
            <w:vAlign w:val="bottom"/>
            <w:hideMark/>
          </w:tcPr>
          <w:p w14:paraId="7780BB87"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9 (9)</w:t>
            </w:r>
          </w:p>
        </w:tc>
        <w:tc>
          <w:tcPr>
            <w:tcW w:w="1244" w:type="dxa"/>
            <w:tcBorders>
              <w:top w:val="nil"/>
              <w:left w:val="nil"/>
              <w:bottom w:val="nil"/>
              <w:right w:val="nil"/>
            </w:tcBorders>
            <w:shd w:val="clear" w:color="auto" w:fill="auto"/>
            <w:noWrap/>
            <w:vAlign w:val="bottom"/>
            <w:hideMark/>
          </w:tcPr>
          <w:p w14:paraId="20A730C4"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0.00127</w:t>
            </w:r>
          </w:p>
        </w:tc>
        <w:tc>
          <w:tcPr>
            <w:tcW w:w="1180" w:type="dxa"/>
            <w:tcBorders>
              <w:top w:val="nil"/>
              <w:left w:val="nil"/>
              <w:bottom w:val="nil"/>
              <w:right w:val="nil"/>
            </w:tcBorders>
            <w:shd w:val="clear" w:color="auto" w:fill="auto"/>
            <w:noWrap/>
            <w:vAlign w:val="bottom"/>
            <w:hideMark/>
          </w:tcPr>
          <w:p w14:paraId="49069975"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0.828</w:t>
            </w:r>
          </w:p>
        </w:tc>
      </w:tr>
      <w:tr w:rsidR="004C1D27" w:rsidRPr="00CF1513" w14:paraId="26E0442A" w14:textId="77777777" w:rsidTr="004C1D27">
        <w:trPr>
          <w:trHeight w:val="227"/>
        </w:trPr>
        <w:tc>
          <w:tcPr>
            <w:tcW w:w="2035" w:type="dxa"/>
            <w:tcBorders>
              <w:top w:val="nil"/>
              <w:left w:val="nil"/>
              <w:bottom w:val="nil"/>
              <w:right w:val="nil"/>
            </w:tcBorders>
            <w:shd w:val="clear" w:color="auto" w:fill="auto"/>
            <w:noWrap/>
            <w:vAlign w:val="bottom"/>
            <w:hideMark/>
          </w:tcPr>
          <w:p w14:paraId="53DB5C40" w14:textId="66E3716E" w:rsidR="00CF1513" w:rsidRPr="00CF1513" w:rsidRDefault="00AB6219" w:rsidP="00454D06">
            <w:pP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 xml:space="preserve">7. </w:t>
            </w:r>
            <w:r w:rsidR="00CF1513" w:rsidRPr="00CF1513">
              <w:rPr>
                <w:rFonts w:ascii="Times New Roman" w:eastAsia="Times New Roman" w:hAnsi="Times New Roman" w:cs="Times New Roman"/>
                <w:color w:val="000000"/>
                <w:sz w:val="22"/>
                <w:szCs w:val="22"/>
              </w:rPr>
              <w:t>Parkin-Ubiquitin Proteasomal System pathway</w:t>
            </w:r>
          </w:p>
        </w:tc>
        <w:tc>
          <w:tcPr>
            <w:tcW w:w="1549" w:type="dxa"/>
            <w:tcBorders>
              <w:top w:val="nil"/>
              <w:left w:val="nil"/>
              <w:bottom w:val="nil"/>
              <w:right w:val="nil"/>
            </w:tcBorders>
            <w:shd w:val="clear" w:color="auto" w:fill="auto"/>
            <w:noWrap/>
            <w:vAlign w:val="bottom"/>
            <w:hideMark/>
          </w:tcPr>
          <w:p w14:paraId="216EF6A4"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Wikipathways</w:t>
            </w:r>
          </w:p>
        </w:tc>
        <w:tc>
          <w:tcPr>
            <w:tcW w:w="1065" w:type="dxa"/>
            <w:tcBorders>
              <w:top w:val="nil"/>
              <w:left w:val="nil"/>
              <w:bottom w:val="nil"/>
              <w:right w:val="nil"/>
            </w:tcBorders>
            <w:shd w:val="clear" w:color="auto" w:fill="auto"/>
            <w:noWrap/>
            <w:vAlign w:val="bottom"/>
            <w:hideMark/>
          </w:tcPr>
          <w:p w14:paraId="38F8C0EE"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7</w:t>
            </w:r>
          </w:p>
        </w:tc>
        <w:tc>
          <w:tcPr>
            <w:tcW w:w="6044" w:type="dxa"/>
            <w:tcBorders>
              <w:top w:val="nil"/>
              <w:left w:val="nil"/>
              <w:bottom w:val="nil"/>
              <w:right w:val="nil"/>
            </w:tcBorders>
            <w:shd w:val="clear" w:color="auto" w:fill="auto"/>
            <w:noWrap/>
            <w:vAlign w:val="bottom"/>
            <w:hideMark/>
          </w:tcPr>
          <w:p w14:paraId="3A0E2BA6"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UBA1;PSMD2;PSMD9;PSMD11;TUBA4B;TUBA8;TUBB2B</w:t>
            </w:r>
          </w:p>
        </w:tc>
        <w:tc>
          <w:tcPr>
            <w:tcW w:w="1065" w:type="dxa"/>
            <w:tcBorders>
              <w:top w:val="nil"/>
              <w:left w:val="nil"/>
              <w:bottom w:val="nil"/>
              <w:right w:val="nil"/>
            </w:tcBorders>
            <w:shd w:val="clear" w:color="auto" w:fill="auto"/>
            <w:noWrap/>
            <w:vAlign w:val="bottom"/>
            <w:hideMark/>
          </w:tcPr>
          <w:p w14:paraId="4CAD5A31"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72 (73)</w:t>
            </w:r>
          </w:p>
        </w:tc>
        <w:tc>
          <w:tcPr>
            <w:tcW w:w="1244" w:type="dxa"/>
            <w:tcBorders>
              <w:top w:val="nil"/>
              <w:left w:val="nil"/>
              <w:bottom w:val="nil"/>
              <w:right w:val="nil"/>
            </w:tcBorders>
            <w:shd w:val="clear" w:color="auto" w:fill="auto"/>
            <w:noWrap/>
            <w:vAlign w:val="bottom"/>
            <w:hideMark/>
          </w:tcPr>
          <w:p w14:paraId="3169F04E"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0.00249</w:t>
            </w:r>
          </w:p>
        </w:tc>
        <w:tc>
          <w:tcPr>
            <w:tcW w:w="1180" w:type="dxa"/>
            <w:tcBorders>
              <w:top w:val="nil"/>
              <w:left w:val="nil"/>
              <w:bottom w:val="nil"/>
              <w:right w:val="nil"/>
            </w:tcBorders>
            <w:shd w:val="clear" w:color="auto" w:fill="auto"/>
            <w:noWrap/>
            <w:vAlign w:val="bottom"/>
            <w:hideMark/>
          </w:tcPr>
          <w:p w14:paraId="4834A665"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1</w:t>
            </w:r>
          </w:p>
        </w:tc>
      </w:tr>
      <w:tr w:rsidR="004C1D27" w:rsidRPr="00CF1513" w14:paraId="6A6C1736" w14:textId="77777777" w:rsidTr="004C1D27">
        <w:trPr>
          <w:trHeight w:val="227"/>
        </w:trPr>
        <w:tc>
          <w:tcPr>
            <w:tcW w:w="2035" w:type="dxa"/>
            <w:tcBorders>
              <w:top w:val="nil"/>
              <w:left w:val="nil"/>
              <w:bottom w:val="nil"/>
              <w:right w:val="nil"/>
            </w:tcBorders>
            <w:shd w:val="clear" w:color="auto" w:fill="auto"/>
            <w:noWrap/>
            <w:vAlign w:val="bottom"/>
            <w:hideMark/>
          </w:tcPr>
          <w:p w14:paraId="04A3C013" w14:textId="2838CDB4" w:rsidR="00CF1513" w:rsidRPr="00CF1513" w:rsidRDefault="008254D8" w:rsidP="00454D06">
            <w:pP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 xml:space="preserve">8. </w:t>
            </w:r>
            <w:r w:rsidR="00CF1513" w:rsidRPr="00CF1513">
              <w:rPr>
                <w:rFonts w:ascii="Times New Roman" w:eastAsia="Times New Roman" w:hAnsi="Times New Roman" w:cs="Times New Roman"/>
                <w:color w:val="000000"/>
                <w:sz w:val="22"/>
                <w:szCs w:val="22"/>
              </w:rPr>
              <w:t>Glycine_ serine and threonine metabolism - Homo sapiens (human)</w:t>
            </w:r>
          </w:p>
        </w:tc>
        <w:tc>
          <w:tcPr>
            <w:tcW w:w="1549" w:type="dxa"/>
            <w:tcBorders>
              <w:top w:val="nil"/>
              <w:left w:val="nil"/>
              <w:bottom w:val="nil"/>
              <w:right w:val="nil"/>
            </w:tcBorders>
            <w:shd w:val="clear" w:color="auto" w:fill="auto"/>
            <w:noWrap/>
            <w:vAlign w:val="bottom"/>
            <w:hideMark/>
          </w:tcPr>
          <w:p w14:paraId="190C50F4"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KEGG</w:t>
            </w:r>
          </w:p>
        </w:tc>
        <w:tc>
          <w:tcPr>
            <w:tcW w:w="1065" w:type="dxa"/>
            <w:tcBorders>
              <w:top w:val="nil"/>
              <w:left w:val="nil"/>
              <w:bottom w:val="nil"/>
              <w:right w:val="nil"/>
            </w:tcBorders>
            <w:shd w:val="clear" w:color="auto" w:fill="auto"/>
            <w:noWrap/>
            <w:vAlign w:val="bottom"/>
            <w:hideMark/>
          </w:tcPr>
          <w:p w14:paraId="088A4F06"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5</w:t>
            </w:r>
          </w:p>
        </w:tc>
        <w:tc>
          <w:tcPr>
            <w:tcW w:w="6044" w:type="dxa"/>
            <w:tcBorders>
              <w:top w:val="nil"/>
              <w:left w:val="nil"/>
              <w:bottom w:val="nil"/>
              <w:right w:val="nil"/>
            </w:tcBorders>
            <w:shd w:val="clear" w:color="auto" w:fill="auto"/>
            <w:noWrap/>
            <w:vAlign w:val="bottom"/>
            <w:hideMark/>
          </w:tcPr>
          <w:p w14:paraId="3D065D5D"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GCAT;GNMT;PGAM4;PGAM2;CBS</w:t>
            </w:r>
          </w:p>
        </w:tc>
        <w:tc>
          <w:tcPr>
            <w:tcW w:w="1065" w:type="dxa"/>
            <w:tcBorders>
              <w:top w:val="nil"/>
              <w:left w:val="nil"/>
              <w:bottom w:val="nil"/>
              <w:right w:val="nil"/>
            </w:tcBorders>
            <w:shd w:val="clear" w:color="auto" w:fill="auto"/>
            <w:noWrap/>
            <w:vAlign w:val="bottom"/>
            <w:hideMark/>
          </w:tcPr>
          <w:p w14:paraId="38389DDD"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39 (40)</w:t>
            </w:r>
          </w:p>
        </w:tc>
        <w:tc>
          <w:tcPr>
            <w:tcW w:w="1244" w:type="dxa"/>
            <w:tcBorders>
              <w:top w:val="nil"/>
              <w:left w:val="nil"/>
              <w:bottom w:val="nil"/>
              <w:right w:val="nil"/>
            </w:tcBorders>
            <w:shd w:val="clear" w:color="auto" w:fill="auto"/>
            <w:noWrap/>
            <w:vAlign w:val="bottom"/>
            <w:hideMark/>
          </w:tcPr>
          <w:p w14:paraId="6F0D0265"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0.0031</w:t>
            </w:r>
          </w:p>
        </w:tc>
        <w:tc>
          <w:tcPr>
            <w:tcW w:w="1180" w:type="dxa"/>
            <w:tcBorders>
              <w:top w:val="nil"/>
              <w:left w:val="nil"/>
              <w:bottom w:val="nil"/>
              <w:right w:val="nil"/>
            </w:tcBorders>
            <w:shd w:val="clear" w:color="auto" w:fill="auto"/>
            <w:noWrap/>
            <w:vAlign w:val="bottom"/>
            <w:hideMark/>
          </w:tcPr>
          <w:p w14:paraId="6121D819"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1</w:t>
            </w:r>
          </w:p>
        </w:tc>
      </w:tr>
      <w:tr w:rsidR="004C1D27" w:rsidRPr="00CF1513" w14:paraId="0221FFD0" w14:textId="77777777" w:rsidTr="004C1D27">
        <w:trPr>
          <w:trHeight w:val="227"/>
        </w:trPr>
        <w:tc>
          <w:tcPr>
            <w:tcW w:w="2035" w:type="dxa"/>
            <w:tcBorders>
              <w:top w:val="nil"/>
              <w:left w:val="nil"/>
              <w:bottom w:val="nil"/>
              <w:right w:val="nil"/>
            </w:tcBorders>
            <w:shd w:val="clear" w:color="auto" w:fill="auto"/>
            <w:noWrap/>
            <w:vAlign w:val="bottom"/>
            <w:hideMark/>
          </w:tcPr>
          <w:p w14:paraId="4FC3748B" w14:textId="26383F0B" w:rsidR="00CF1513" w:rsidRPr="00CF1513" w:rsidRDefault="008254D8" w:rsidP="00454D06">
            <w:pP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 xml:space="preserve">9. </w:t>
            </w:r>
            <w:r w:rsidR="00CF1513" w:rsidRPr="00CF1513">
              <w:rPr>
                <w:rFonts w:ascii="Times New Roman" w:eastAsia="Times New Roman" w:hAnsi="Times New Roman" w:cs="Times New Roman"/>
                <w:color w:val="000000"/>
                <w:sz w:val="22"/>
                <w:szCs w:val="22"/>
              </w:rPr>
              <w:t>Rapoport-Luebering glycolytic shunt</w:t>
            </w:r>
          </w:p>
        </w:tc>
        <w:tc>
          <w:tcPr>
            <w:tcW w:w="1549" w:type="dxa"/>
            <w:tcBorders>
              <w:top w:val="nil"/>
              <w:left w:val="nil"/>
              <w:bottom w:val="nil"/>
              <w:right w:val="nil"/>
            </w:tcBorders>
            <w:shd w:val="clear" w:color="auto" w:fill="auto"/>
            <w:noWrap/>
            <w:vAlign w:val="bottom"/>
            <w:hideMark/>
          </w:tcPr>
          <w:p w14:paraId="185AD0FD"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HumanCyc</w:t>
            </w:r>
          </w:p>
        </w:tc>
        <w:tc>
          <w:tcPr>
            <w:tcW w:w="1065" w:type="dxa"/>
            <w:tcBorders>
              <w:top w:val="nil"/>
              <w:left w:val="nil"/>
              <w:bottom w:val="nil"/>
              <w:right w:val="nil"/>
            </w:tcBorders>
            <w:shd w:val="clear" w:color="auto" w:fill="auto"/>
            <w:noWrap/>
            <w:vAlign w:val="bottom"/>
            <w:hideMark/>
          </w:tcPr>
          <w:p w14:paraId="6F10413D"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2</w:t>
            </w:r>
          </w:p>
        </w:tc>
        <w:tc>
          <w:tcPr>
            <w:tcW w:w="6044" w:type="dxa"/>
            <w:tcBorders>
              <w:top w:val="nil"/>
              <w:left w:val="nil"/>
              <w:bottom w:val="nil"/>
              <w:right w:val="nil"/>
            </w:tcBorders>
            <w:shd w:val="clear" w:color="auto" w:fill="auto"/>
            <w:noWrap/>
            <w:vAlign w:val="bottom"/>
            <w:hideMark/>
          </w:tcPr>
          <w:p w14:paraId="5DA3BE5D"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PGAM2;PGAM4</w:t>
            </w:r>
          </w:p>
        </w:tc>
        <w:tc>
          <w:tcPr>
            <w:tcW w:w="1065" w:type="dxa"/>
            <w:tcBorders>
              <w:top w:val="nil"/>
              <w:left w:val="nil"/>
              <w:bottom w:val="nil"/>
              <w:right w:val="nil"/>
            </w:tcBorders>
            <w:shd w:val="clear" w:color="auto" w:fill="auto"/>
            <w:noWrap/>
            <w:vAlign w:val="bottom"/>
            <w:hideMark/>
          </w:tcPr>
          <w:p w14:paraId="6DCAE3B4"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4 (6)</w:t>
            </w:r>
          </w:p>
        </w:tc>
        <w:tc>
          <w:tcPr>
            <w:tcW w:w="1244" w:type="dxa"/>
            <w:tcBorders>
              <w:top w:val="nil"/>
              <w:left w:val="nil"/>
              <w:bottom w:val="nil"/>
              <w:right w:val="nil"/>
            </w:tcBorders>
            <w:shd w:val="clear" w:color="auto" w:fill="auto"/>
            <w:noWrap/>
            <w:vAlign w:val="bottom"/>
            <w:hideMark/>
          </w:tcPr>
          <w:p w14:paraId="1B8E5C24"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0.00385</w:t>
            </w:r>
          </w:p>
        </w:tc>
        <w:tc>
          <w:tcPr>
            <w:tcW w:w="1180" w:type="dxa"/>
            <w:tcBorders>
              <w:top w:val="nil"/>
              <w:left w:val="nil"/>
              <w:bottom w:val="nil"/>
              <w:right w:val="nil"/>
            </w:tcBorders>
            <w:shd w:val="clear" w:color="auto" w:fill="auto"/>
            <w:noWrap/>
            <w:vAlign w:val="bottom"/>
            <w:hideMark/>
          </w:tcPr>
          <w:p w14:paraId="3F718C59"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1</w:t>
            </w:r>
          </w:p>
        </w:tc>
      </w:tr>
      <w:tr w:rsidR="004C1D27" w:rsidRPr="00CF1513" w14:paraId="6DFE6D16" w14:textId="77777777" w:rsidTr="004C1D27">
        <w:trPr>
          <w:trHeight w:val="227"/>
        </w:trPr>
        <w:tc>
          <w:tcPr>
            <w:tcW w:w="2035" w:type="dxa"/>
            <w:tcBorders>
              <w:top w:val="nil"/>
              <w:left w:val="nil"/>
              <w:bottom w:val="nil"/>
              <w:right w:val="nil"/>
            </w:tcBorders>
            <w:shd w:val="clear" w:color="auto" w:fill="auto"/>
            <w:noWrap/>
            <w:vAlign w:val="bottom"/>
            <w:hideMark/>
          </w:tcPr>
          <w:p w14:paraId="6D5F7AFE" w14:textId="56D75BDE" w:rsidR="00CF1513" w:rsidRPr="00CF1513" w:rsidRDefault="008254D8" w:rsidP="00454D06">
            <w:pP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 xml:space="preserve">10. </w:t>
            </w:r>
            <w:r w:rsidR="00CF1513" w:rsidRPr="00CF1513">
              <w:rPr>
                <w:rFonts w:ascii="Times New Roman" w:eastAsia="Times New Roman" w:hAnsi="Times New Roman" w:cs="Times New Roman"/>
                <w:color w:val="000000"/>
                <w:sz w:val="22"/>
                <w:szCs w:val="22"/>
              </w:rPr>
              <w:t>catecholamine biosynthesis</w:t>
            </w:r>
          </w:p>
        </w:tc>
        <w:tc>
          <w:tcPr>
            <w:tcW w:w="1549" w:type="dxa"/>
            <w:tcBorders>
              <w:top w:val="nil"/>
              <w:left w:val="nil"/>
              <w:bottom w:val="nil"/>
              <w:right w:val="nil"/>
            </w:tcBorders>
            <w:shd w:val="clear" w:color="auto" w:fill="auto"/>
            <w:noWrap/>
            <w:vAlign w:val="bottom"/>
            <w:hideMark/>
          </w:tcPr>
          <w:p w14:paraId="02FE5778"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HumanCyc</w:t>
            </w:r>
          </w:p>
        </w:tc>
        <w:tc>
          <w:tcPr>
            <w:tcW w:w="1065" w:type="dxa"/>
            <w:tcBorders>
              <w:top w:val="nil"/>
              <w:left w:val="nil"/>
              <w:bottom w:val="nil"/>
              <w:right w:val="nil"/>
            </w:tcBorders>
            <w:shd w:val="clear" w:color="auto" w:fill="auto"/>
            <w:noWrap/>
            <w:vAlign w:val="bottom"/>
            <w:hideMark/>
          </w:tcPr>
          <w:p w14:paraId="726E3E14"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2</w:t>
            </w:r>
          </w:p>
        </w:tc>
        <w:tc>
          <w:tcPr>
            <w:tcW w:w="6044" w:type="dxa"/>
            <w:tcBorders>
              <w:top w:val="nil"/>
              <w:left w:val="nil"/>
              <w:bottom w:val="nil"/>
              <w:right w:val="nil"/>
            </w:tcBorders>
            <w:shd w:val="clear" w:color="auto" w:fill="auto"/>
            <w:noWrap/>
            <w:vAlign w:val="bottom"/>
            <w:hideMark/>
          </w:tcPr>
          <w:p w14:paraId="0A507AE9"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PNMT;DBH</w:t>
            </w:r>
          </w:p>
        </w:tc>
        <w:tc>
          <w:tcPr>
            <w:tcW w:w="1065" w:type="dxa"/>
            <w:tcBorders>
              <w:top w:val="nil"/>
              <w:left w:val="nil"/>
              <w:bottom w:val="nil"/>
              <w:right w:val="nil"/>
            </w:tcBorders>
            <w:shd w:val="clear" w:color="auto" w:fill="auto"/>
            <w:noWrap/>
            <w:vAlign w:val="bottom"/>
            <w:hideMark/>
          </w:tcPr>
          <w:p w14:paraId="4C87E794"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4 (4)</w:t>
            </w:r>
          </w:p>
        </w:tc>
        <w:tc>
          <w:tcPr>
            <w:tcW w:w="1244" w:type="dxa"/>
            <w:tcBorders>
              <w:top w:val="nil"/>
              <w:left w:val="nil"/>
              <w:bottom w:val="nil"/>
              <w:right w:val="nil"/>
            </w:tcBorders>
            <w:shd w:val="clear" w:color="auto" w:fill="auto"/>
            <w:noWrap/>
            <w:vAlign w:val="bottom"/>
            <w:hideMark/>
          </w:tcPr>
          <w:p w14:paraId="14CBF5AE"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0.00385</w:t>
            </w:r>
          </w:p>
        </w:tc>
        <w:tc>
          <w:tcPr>
            <w:tcW w:w="1180" w:type="dxa"/>
            <w:tcBorders>
              <w:top w:val="nil"/>
              <w:left w:val="nil"/>
              <w:bottom w:val="nil"/>
              <w:right w:val="nil"/>
            </w:tcBorders>
            <w:shd w:val="clear" w:color="auto" w:fill="auto"/>
            <w:noWrap/>
            <w:vAlign w:val="bottom"/>
            <w:hideMark/>
          </w:tcPr>
          <w:p w14:paraId="6F9CD0AD" w14:textId="77777777" w:rsidR="00CF1513" w:rsidRPr="00CF1513" w:rsidRDefault="00CF1513" w:rsidP="00454D06">
            <w:pPr>
              <w:rPr>
                <w:rFonts w:ascii="Times New Roman" w:eastAsia="Times New Roman" w:hAnsi="Times New Roman" w:cs="Times New Roman"/>
                <w:color w:val="000000"/>
                <w:sz w:val="22"/>
                <w:szCs w:val="22"/>
              </w:rPr>
            </w:pPr>
            <w:r w:rsidRPr="00CF1513">
              <w:rPr>
                <w:rFonts w:ascii="Times New Roman" w:eastAsia="Times New Roman" w:hAnsi="Times New Roman" w:cs="Times New Roman"/>
                <w:color w:val="000000"/>
                <w:sz w:val="22"/>
                <w:szCs w:val="22"/>
              </w:rPr>
              <w:t>1</w:t>
            </w:r>
          </w:p>
        </w:tc>
      </w:tr>
    </w:tbl>
    <w:p w14:paraId="6074B03F" w14:textId="1370181F" w:rsidR="004C1D27" w:rsidRDefault="004C1D27" w:rsidP="004D474F">
      <w:pPr>
        <w:pStyle w:val="Heading5"/>
        <w:rPr>
          <w:noProof/>
        </w:rPr>
      </w:pPr>
      <w:bookmarkStart w:id="2115" w:name="_Toc333569361"/>
      <w:bookmarkStart w:id="2116" w:name="_Toc333570899"/>
      <w:bookmarkStart w:id="2117" w:name="_Toc333585980"/>
      <w:bookmarkStart w:id="2118" w:name="_Toc333586856"/>
      <w:bookmarkStart w:id="2119" w:name="_Toc333644555"/>
      <w:bookmarkStart w:id="2120" w:name="_Toc333644849"/>
      <w:r>
        <w:rPr>
          <w:noProof/>
        </w:rPr>
        <w:t xml:space="preserve">Table 5.12. IMPALA Enrichment Pathway analysis for 1295 </w:t>
      </w:r>
      <w:r w:rsidRPr="00DE3B94">
        <w:rPr>
          <w:noProof/>
          <w:color w:val="FF0000"/>
        </w:rPr>
        <w:t>upregulated</w:t>
      </w:r>
      <w:r>
        <w:rPr>
          <w:noProof/>
        </w:rPr>
        <w:t xml:space="preserve"> transcripts in MAB391 astrocytes compared to untreated astrocytes with FC≥1.2 and P&lt;0.05. Highlighted in yellow are pathways with a similar theme.</w:t>
      </w:r>
      <w:bookmarkEnd w:id="2115"/>
      <w:bookmarkEnd w:id="2116"/>
      <w:bookmarkEnd w:id="2117"/>
      <w:bookmarkEnd w:id="2118"/>
      <w:bookmarkEnd w:id="2119"/>
      <w:bookmarkEnd w:id="2120"/>
      <w:r w:rsidR="002A4986">
        <w:rPr>
          <w:noProof/>
        </w:rPr>
        <w:t xml:space="preserve"> DE- differentially expressed.</w:t>
      </w:r>
    </w:p>
    <w:p w14:paraId="36B2A8B8" w14:textId="54808094" w:rsidR="00D26579" w:rsidRDefault="00D26579" w:rsidP="008B1A29">
      <w:pPr>
        <w:jc w:val="center"/>
        <w:rPr>
          <w:rFonts w:ascii="Times New Roman" w:hAnsi="Times New Roman" w:cs="Times New Roman"/>
          <w:b/>
          <w:noProof/>
        </w:rPr>
      </w:pPr>
    </w:p>
    <w:p w14:paraId="1EEC2972" w14:textId="77777777" w:rsidR="008254D8" w:rsidRDefault="008254D8">
      <w:pPr>
        <w:rPr>
          <w:rFonts w:ascii="Times New Roman" w:hAnsi="Times New Roman" w:cs="Times New Roman"/>
          <w:b/>
          <w:noProof/>
        </w:rPr>
      </w:pPr>
    </w:p>
    <w:p w14:paraId="6594F380" w14:textId="77777777" w:rsidR="00F55CFB" w:rsidRDefault="00F55CFB">
      <w:pPr>
        <w:rPr>
          <w:rFonts w:ascii="Times New Roman" w:hAnsi="Times New Roman" w:cs="Times New Roman"/>
          <w:b/>
          <w:noProof/>
        </w:rPr>
        <w:sectPr w:rsidR="00F55CFB" w:rsidSect="007F550B">
          <w:pgSz w:w="16840" w:h="11900" w:orient="landscape"/>
          <w:pgMar w:top="2268" w:right="1440" w:bottom="1134" w:left="1440" w:header="709" w:footer="709" w:gutter="0"/>
          <w:cols w:space="708"/>
          <w:docGrid w:linePitch="360"/>
        </w:sectPr>
      </w:pPr>
    </w:p>
    <w:p w14:paraId="434B48DB" w14:textId="58DE274B" w:rsidR="00F55CFB" w:rsidRPr="00DE3B94" w:rsidRDefault="007D21B3" w:rsidP="00C63BC1">
      <w:pPr>
        <w:pStyle w:val="Heading3"/>
        <w:jc w:val="both"/>
        <w:rPr>
          <w:noProof/>
        </w:rPr>
      </w:pPr>
      <w:bookmarkStart w:id="2121" w:name="_Toc328301197"/>
      <w:bookmarkStart w:id="2122" w:name="_Toc329593488"/>
      <w:bookmarkStart w:id="2123" w:name="_Toc331425987"/>
      <w:bookmarkStart w:id="2124" w:name="_Toc331427168"/>
      <w:bookmarkStart w:id="2125" w:name="_Toc331427540"/>
      <w:bookmarkStart w:id="2126" w:name="_Toc331427682"/>
      <w:bookmarkStart w:id="2127" w:name="_Toc332972687"/>
      <w:bookmarkStart w:id="2128" w:name="_Toc333046966"/>
      <w:bookmarkStart w:id="2129" w:name="_Toc333477313"/>
      <w:bookmarkStart w:id="2130" w:name="_Toc333478083"/>
      <w:bookmarkStart w:id="2131" w:name="_Toc333644983"/>
      <w:r>
        <w:rPr>
          <w:noProof/>
        </w:rPr>
        <w:t>5.4.9</w:t>
      </w:r>
      <w:r w:rsidR="00554BB2">
        <w:rPr>
          <w:noProof/>
        </w:rPr>
        <w:t xml:space="preserve"> </w:t>
      </w:r>
      <w:r w:rsidR="00F55CFB" w:rsidRPr="00DE3B94">
        <w:rPr>
          <w:noProof/>
        </w:rPr>
        <w:t>Biological Pathways of Interest</w:t>
      </w:r>
      <w:bookmarkEnd w:id="2121"/>
      <w:bookmarkEnd w:id="2122"/>
      <w:bookmarkEnd w:id="2123"/>
      <w:bookmarkEnd w:id="2124"/>
      <w:bookmarkEnd w:id="2125"/>
      <w:bookmarkEnd w:id="2126"/>
      <w:bookmarkEnd w:id="2127"/>
      <w:bookmarkEnd w:id="2128"/>
      <w:bookmarkEnd w:id="2129"/>
      <w:bookmarkEnd w:id="2130"/>
      <w:bookmarkEnd w:id="2131"/>
    </w:p>
    <w:p w14:paraId="0C6243D9" w14:textId="77777777" w:rsidR="00D85567" w:rsidRDefault="00D85567" w:rsidP="00C63BC1">
      <w:pPr>
        <w:jc w:val="both"/>
        <w:rPr>
          <w:rFonts w:ascii="Times New Roman" w:hAnsi="Times New Roman" w:cs="Times New Roman"/>
          <w:b/>
          <w:noProof/>
        </w:rPr>
      </w:pPr>
    </w:p>
    <w:p w14:paraId="6B9DC1F7" w14:textId="5CCFED4C" w:rsidR="00D85567" w:rsidRDefault="00BA75E2" w:rsidP="00C63BC1">
      <w:pPr>
        <w:spacing w:line="360" w:lineRule="auto"/>
        <w:jc w:val="both"/>
        <w:rPr>
          <w:rFonts w:ascii="Times New Roman" w:hAnsi="Times New Roman" w:cs="Times New Roman"/>
          <w:noProof/>
        </w:rPr>
      </w:pPr>
      <w:r>
        <w:rPr>
          <w:rFonts w:ascii="Times New Roman" w:hAnsi="Times New Roman" w:cs="Times New Roman"/>
          <w:noProof/>
        </w:rPr>
        <w:t>From the functional annotation analysis performed in DAVID and IMPALA, there were several common pathways that e</w:t>
      </w:r>
      <w:r w:rsidR="00454D06">
        <w:rPr>
          <w:rFonts w:ascii="Times New Roman" w:hAnsi="Times New Roman" w:cs="Times New Roman"/>
          <w:noProof/>
        </w:rPr>
        <w:t xml:space="preserve">merged that were altered in </w:t>
      </w:r>
      <w:r w:rsidR="00B80D03">
        <w:rPr>
          <w:rFonts w:ascii="Times New Roman" w:hAnsi="Times New Roman" w:cs="Times New Roman"/>
          <w:noProof/>
        </w:rPr>
        <w:t>MAB391-</w:t>
      </w:r>
      <w:r w:rsidR="004A788E">
        <w:rPr>
          <w:rFonts w:ascii="Times New Roman" w:hAnsi="Times New Roman" w:cs="Times New Roman"/>
          <w:noProof/>
        </w:rPr>
        <w:t xml:space="preserve">treated astrocytes. </w:t>
      </w:r>
      <w:r w:rsidR="00407CC6">
        <w:rPr>
          <w:rFonts w:ascii="Times New Roman" w:hAnsi="Times New Roman" w:cs="Times New Roman"/>
          <w:noProof/>
        </w:rPr>
        <w:t xml:space="preserve">Both pathway enrichment programs suggest </w:t>
      </w:r>
      <w:r w:rsidR="00B47E4F">
        <w:rPr>
          <w:rFonts w:ascii="Times New Roman" w:hAnsi="Times New Roman" w:cs="Times New Roman"/>
          <w:noProof/>
        </w:rPr>
        <w:t xml:space="preserve">transcriptomic </w:t>
      </w:r>
      <w:r w:rsidR="00407CC6">
        <w:rPr>
          <w:rFonts w:ascii="Times New Roman" w:hAnsi="Times New Roman" w:cs="Times New Roman"/>
          <w:noProof/>
        </w:rPr>
        <w:t>changes in the energy metabolis</w:t>
      </w:r>
      <w:r w:rsidR="007D21B3">
        <w:rPr>
          <w:rFonts w:ascii="Times New Roman" w:hAnsi="Times New Roman" w:cs="Times New Roman"/>
          <w:noProof/>
        </w:rPr>
        <w:t>m of IGF1</w:t>
      </w:r>
      <w:r w:rsidR="00B47E4F">
        <w:rPr>
          <w:rFonts w:ascii="Times New Roman" w:hAnsi="Times New Roman" w:cs="Times New Roman"/>
          <w:noProof/>
        </w:rPr>
        <w:t xml:space="preserve"> impaired astrocytes compared with untreated astrocytes</w:t>
      </w:r>
      <w:r w:rsidR="00407CC6">
        <w:rPr>
          <w:rFonts w:ascii="Times New Roman" w:hAnsi="Times New Roman" w:cs="Times New Roman"/>
          <w:noProof/>
        </w:rPr>
        <w:t>. In particular, there is an agreement be</w:t>
      </w:r>
      <w:r w:rsidR="00B47E4F">
        <w:rPr>
          <w:rFonts w:ascii="Times New Roman" w:hAnsi="Times New Roman" w:cs="Times New Roman"/>
          <w:noProof/>
        </w:rPr>
        <w:t>tween the two programs</w:t>
      </w:r>
      <w:r w:rsidR="00407CC6">
        <w:rPr>
          <w:rFonts w:ascii="Times New Roman" w:hAnsi="Times New Roman" w:cs="Times New Roman"/>
          <w:noProof/>
        </w:rPr>
        <w:t xml:space="preserve"> that there is a signifcant downregulation of genes involved in oxidative phosphorylation (using DAVID p</w:t>
      </w:r>
      <w:r w:rsidR="00B47E4F">
        <w:rPr>
          <w:rFonts w:ascii="Times New Roman" w:hAnsi="Times New Roman" w:cs="Times New Roman"/>
          <w:noProof/>
        </w:rPr>
        <w:t xml:space="preserve">=0.015 and in IMPALA p=0.00593). </w:t>
      </w:r>
      <w:r w:rsidR="00034E01">
        <w:rPr>
          <w:rFonts w:ascii="Times New Roman" w:hAnsi="Times New Roman" w:cs="Times New Roman"/>
          <w:noProof/>
        </w:rPr>
        <w:t>In addition, a</w:t>
      </w:r>
      <w:r w:rsidR="00B47E4F">
        <w:rPr>
          <w:rFonts w:ascii="Times New Roman" w:hAnsi="Times New Roman" w:cs="Times New Roman"/>
          <w:noProof/>
        </w:rPr>
        <w:t xml:space="preserve">nalysis performed in IMPALA </w:t>
      </w:r>
      <w:r w:rsidR="007D21B3">
        <w:rPr>
          <w:rFonts w:ascii="Times New Roman" w:hAnsi="Times New Roman" w:cs="Times New Roman"/>
          <w:noProof/>
        </w:rPr>
        <w:t xml:space="preserve">suggested upregulation </w:t>
      </w:r>
      <w:r w:rsidR="00487CF3">
        <w:rPr>
          <w:rFonts w:ascii="Times New Roman" w:hAnsi="Times New Roman" w:cs="Times New Roman"/>
          <w:noProof/>
        </w:rPr>
        <w:t xml:space="preserve">of a number of pathways in IGF1 </w:t>
      </w:r>
      <w:r w:rsidR="007D21B3">
        <w:rPr>
          <w:rFonts w:ascii="Times New Roman" w:hAnsi="Times New Roman" w:cs="Times New Roman"/>
          <w:noProof/>
        </w:rPr>
        <w:t>impaired astrocytes.</w:t>
      </w:r>
      <w:r w:rsidR="00407CC6">
        <w:rPr>
          <w:rFonts w:ascii="Times New Roman" w:hAnsi="Times New Roman" w:cs="Times New Roman"/>
          <w:noProof/>
        </w:rPr>
        <w:t xml:space="preserve"> </w:t>
      </w:r>
      <w:r w:rsidR="00027C1C">
        <w:rPr>
          <w:rFonts w:ascii="Times New Roman" w:hAnsi="Times New Roman" w:cs="Times New Roman"/>
          <w:noProof/>
        </w:rPr>
        <w:t xml:space="preserve">One of these was upregulation of genes involved in </w:t>
      </w:r>
      <w:r w:rsidR="007430FB">
        <w:rPr>
          <w:rFonts w:ascii="Times New Roman" w:hAnsi="Times New Roman" w:cs="Times New Roman"/>
          <w:noProof/>
        </w:rPr>
        <w:t>glycol</w:t>
      </w:r>
      <w:r w:rsidR="00027C1C">
        <w:rPr>
          <w:rFonts w:ascii="Times New Roman" w:hAnsi="Times New Roman" w:cs="Times New Roman"/>
          <w:noProof/>
        </w:rPr>
        <w:t xml:space="preserve">ysis, </w:t>
      </w:r>
      <w:r w:rsidR="00AF6CCE">
        <w:rPr>
          <w:rFonts w:ascii="Times New Roman" w:hAnsi="Times New Roman" w:cs="Times New Roman"/>
          <w:noProof/>
        </w:rPr>
        <w:t>which</w:t>
      </w:r>
      <w:r w:rsidR="007D21B3">
        <w:rPr>
          <w:rFonts w:ascii="Times New Roman" w:hAnsi="Times New Roman" w:cs="Times New Roman"/>
          <w:noProof/>
        </w:rPr>
        <w:t xml:space="preserve"> might indicate a compensatory mechanism since </w:t>
      </w:r>
      <w:r w:rsidR="00AF6CCE">
        <w:rPr>
          <w:rFonts w:ascii="Times New Roman" w:hAnsi="Times New Roman" w:cs="Times New Roman"/>
          <w:noProof/>
        </w:rPr>
        <w:t>oxidative phosphorylation</w:t>
      </w:r>
      <w:r w:rsidR="007D21B3">
        <w:rPr>
          <w:rFonts w:ascii="Times New Roman" w:hAnsi="Times New Roman" w:cs="Times New Roman"/>
          <w:noProof/>
        </w:rPr>
        <w:t xml:space="preserve"> was downregulated</w:t>
      </w:r>
      <w:r w:rsidR="00AF6CCE">
        <w:rPr>
          <w:rFonts w:ascii="Times New Roman" w:hAnsi="Times New Roman" w:cs="Times New Roman"/>
          <w:noProof/>
        </w:rPr>
        <w:t>.</w:t>
      </w:r>
      <w:r w:rsidR="004A788E">
        <w:rPr>
          <w:rFonts w:ascii="Times New Roman" w:hAnsi="Times New Roman" w:cs="Times New Roman"/>
          <w:noProof/>
        </w:rPr>
        <w:t xml:space="preserve"> </w:t>
      </w:r>
      <w:r w:rsidR="007D21B3">
        <w:rPr>
          <w:rFonts w:ascii="Times New Roman" w:hAnsi="Times New Roman" w:cs="Times New Roman"/>
          <w:noProof/>
        </w:rPr>
        <w:t>C</w:t>
      </w:r>
      <w:r w:rsidR="004A788E">
        <w:rPr>
          <w:rFonts w:ascii="Times New Roman" w:hAnsi="Times New Roman" w:cs="Times New Roman"/>
          <w:noProof/>
        </w:rPr>
        <w:t>loser inspection of the gene expression profile data</w:t>
      </w:r>
      <w:r w:rsidR="00AF6CCE">
        <w:rPr>
          <w:rFonts w:ascii="Times New Roman" w:hAnsi="Times New Roman" w:cs="Times New Roman"/>
          <w:noProof/>
        </w:rPr>
        <w:t xml:space="preserve"> revealed</w:t>
      </w:r>
      <w:r w:rsidR="004A788E">
        <w:rPr>
          <w:rFonts w:ascii="Times New Roman" w:hAnsi="Times New Roman" w:cs="Times New Roman"/>
          <w:noProof/>
        </w:rPr>
        <w:t xml:space="preserve"> </w:t>
      </w:r>
      <w:r w:rsidR="007D21B3">
        <w:rPr>
          <w:rFonts w:ascii="Times New Roman" w:hAnsi="Times New Roman" w:cs="Times New Roman"/>
          <w:noProof/>
        </w:rPr>
        <w:t>that a number of genes involved in synaptic support and antioxidant capacity were</w:t>
      </w:r>
      <w:r w:rsidR="004A788E">
        <w:rPr>
          <w:rFonts w:ascii="Times New Roman" w:hAnsi="Times New Roman" w:cs="Times New Roman"/>
          <w:noProof/>
        </w:rPr>
        <w:t xml:space="preserve"> altered in</w:t>
      </w:r>
      <w:r w:rsidR="00B80D03">
        <w:rPr>
          <w:rFonts w:ascii="Times New Roman" w:hAnsi="Times New Roman" w:cs="Times New Roman"/>
          <w:noProof/>
        </w:rPr>
        <w:t xml:space="preserve"> the MAB391-</w:t>
      </w:r>
      <w:r w:rsidR="00AF6CCE">
        <w:rPr>
          <w:rFonts w:ascii="Times New Roman" w:hAnsi="Times New Roman" w:cs="Times New Roman"/>
          <w:noProof/>
        </w:rPr>
        <w:t>treated astrocytes.</w:t>
      </w:r>
      <w:r w:rsidR="007D21B3">
        <w:rPr>
          <w:rFonts w:ascii="Times New Roman" w:hAnsi="Times New Roman" w:cs="Times New Roman"/>
          <w:noProof/>
        </w:rPr>
        <w:t xml:space="preserve"> These changes are discussed in more detail below.</w:t>
      </w:r>
    </w:p>
    <w:p w14:paraId="15853773" w14:textId="77777777" w:rsidR="007D21B3" w:rsidRDefault="007D21B3" w:rsidP="00401292">
      <w:pPr>
        <w:pStyle w:val="Heading3"/>
        <w:rPr>
          <w:rFonts w:eastAsiaTheme="minorEastAsia"/>
          <w:b w:val="0"/>
          <w:bCs w:val="0"/>
          <w:noProof/>
        </w:rPr>
      </w:pPr>
      <w:bookmarkStart w:id="2132" w:name="_Toc328301198"/>
      <w:bookmarkStart w:id="2133" w:name="_Toc329593489"/>
    </w:p>
    <w:p w14:paraId="071997BE" w14:textId="38F79995" w:rsidR="00964163" w:rsidRPr="00F92407" w:rsidRDefault="00964163" w:rsidP="00F92407">
      <w:pPr>
        <w:rPr>
          <w:rFonts w:ascii="Times New Roman" w:hAnsi="Times New Roman" w:cs="Times New Roman"/>
          <w:b/>
          <w:i/>
          <w:noProof/>
          <w:u w:val="single"/>
        </w:rPr>
      </w:pPr>
      <w:bookmarkStart w:id="2134" w:name="_Toc331425988"/>
      <w:r w:rsidRPr="00F92407">
        <w:rPr>
          <w:rFonts w:ascii="Times New Roman" w:hAnsi="Times New Roman" w:cs="Times New Roman"/>
          <w:b/>
          <w:i/>
          <w:noProof/>
          <w:u w:val="single"/>
        </w:rPr>
        <w:t>Oxidative Phosphorylation</w:t>
      </w:r>
      <w:bookmarkEnd w:id="2132"/>
      <w:bookmarkEnd w:id="2133"/>
      <w:bookmarkEnd w:id="2134"/>
    </w:p>
    <w:p w14:paraId="7BDEFD02" w14:textId="77777777" w:rsidR="00964163" w:rsidRDefault="00964163" w:rsidP="00C63BC1">
      <w:pPr>
        <w:spacing w:line="360" w:lineRule="auto"/>
        <w:jc w:val="both"/>
        <w:rPr>
          <w:rFonts w:ascii="Times New Roman" w:hAnsi="Times New Roman" w:cs="Times New Roman"/>
          <w:b/>
          <w:noProof/>
          <w:u w:val="single"/>
        </w:rPr>
      </w:pPr>
    </w:p>
    <w:p w14:paraId="5FF6D3F6" w14:textId="5CA7FD95" w:rsidR="0059021A" w:rsidRPr="002850FF" w:rsidRDefault="00964163" w:rsidP="00C63BC1">
      <w:pPr>
        <w:spacing w:line="360" w:lineRule="auto"/>
        <w:jc w:val="both"/>
        <w:rPr>
          <w:rFonts w:ascii="Times New Roman" w:hAnsi="Times New Roman" w:cs="Times New Roman"/>
          <w:noProof/>
          <w:color w:val="FF0000"/>
        </w:rPr>
      </w:pPr>
      <w:r>
        <w:rPr>
          <w:rFonts w:ascii="Times New Roman" w:hAnsi="Times New Roman" w:cs="Times New Roman"/>
          <w:noProof/>
        </w:rPr>
        <w:t xml:space="preserve">Both DAVID and IMPALA enrichment analysis identified </w:t>
      </w:r>
      <w:r w:rsidR="00343336">
        <w:rPr>
          <w:rFonts w:ascii="Times New Roman" w:hAnsi="Times New Roman" w:cs="Times New Roman"/>
          <w:noProof/>
        </w:rPr>
        <w:t xml:space="preserve">the downregulation of genes involved in </w:t>
      </w:r>
      <w:r>
        <w:rPr>
          <w:rFonts w:ascii="Times New Roman" w:hAnsi="Times New Roman" w:cs="Times New Roman"/>
          <w:noProof/>
        </w:rPr>
        <w:t>oxi</w:t>
      </w:r>
      <w:r w:rsidR="007D21B3">
        <w:rPr>
          <w:rFonts w:ascii="Times New Roman" w:hAnsi="Times New Roman" w:cs="Times New Roman"/>
          <w:noProof/>
        </w:rPr>
        <w:t>dative phosphorylation in IGF1-</w:t>
      </w:r>
      <w:r>
        <w:rPr>
          <w:rFonts w:ascii="Times New Roman" w:hAnsi="Times New Roman" w:cs="Times New Roman"/>
          <w:noProof/>
        </w:rPr>
        <w:t xml:space="preserve">impaired astrocytes. </w:t>
      </w:r>
      <w:r w:rsidR="007D21B3">
        <w:rPr>
          <w:rFonts w:ascii="Times New Roman" w:hAnsi="Times New Roman" w:cs="Times New Roman"/>
          <w:noProof/>
        </w:rPr>
        <w:t>Eight genes involved in oxidative phosphorylation were dif</w:t>
      </w:r>
      <w:r w:rsidR="00B80D03">
        <w:rPr>
          <w:rFonts w:ascii="Times New Roman" w:hAnsi="Times New Roman" w:cs="Times New Roman"/>
          <w:noProof/>
        </w:rPr>
        <w:t>ferentially expressed in MAB391-</w:t>
      </w:r>
      <w:r w:rsidR="007D21B3">
        <w:rPr>
          <w:rFonts w:ascii="Times New Roman" w:hAnsi="Times New Roman" w:cs="Times New Roman"/>
          <w:noProof/>
        </w:rPr>
        <w:t>treated astrocytes and these are listed in</w:t>
      </w:r>
      <w:r>
        <w:rPr>
          <w:rFonts w:ascii="Times New Roman" w:hAnsi="Times New Roman" w:cs="Times New Roman"/>
          <w:noProof/>
        </w:rPr>
        <w:t xml:space="preserve"> </w:t>
      </w:r>
      <w:r w:rsidRPr="000273AF">
        <w:rPr>
          <w:rFonts w:ascii="Times New Roman" w:hAnsi="Times New Roman" w:cs="Times New Roman"/>
          <w:b/>
          <w:noProof/>
        </w:rPr>
        <w:t>table 5.1</w:t>
      </w:r>
      <w:r w:rsidR="00F469B0">
        <w:rPr>
          <w:rFonts w:ascii="Times New Roman" w:hAnsi="Times New Roman" w:cs="Times New Roman"/>
          <w:b/>
          <w:noProof/>
        </w:rPr>
        <w:t>3</w:t>
      </w:r>
      <w:r w:rsidR="00BA0C83">
        <w:rPr>
          <w:rFonts w:ascii="Times New Roman" w:hAnsi="Times New Roman" w:cs="Times New Roman"/>
          <w:noProof/>
        </w:rPr>
        <w:t xml:space="preserve">. </w:t>
      </w:r>
      <w:r>
        <w:rPr>
          <w:rFonts w:ascii="Times New Roman" w:hAnsi="Times New Roman" w:cs="Times New Roman"/>
          <w:noProof/>
        </w:rPr>
        <w:t>Five of the</w:t>
      </w:r>
      <w:r w:rsidR="00BA0C83">
        <w:rPr>
          <w:rFonts w:ascii="Times New Roman" w:hAnsi="Times New Roman" w:cs="Times New Roman"/>
          <w:noProof/>
        </w:rPr>
        <w:t>se</w:t>
      </w:r>
      <w:r>
        <w:rPr>
          <w:rFonts w:ascii="Times New Roman" w:hAnsi="Times New Roman" w:cs="Times New Roman"/>
          <w:noProof/>
        </w:rPr>
        <w:t xml:space="preserve"> eight genes listed encode subu</w:t>
      </w:r>
      <w:r w:rsidR="0065456C">
        <w:rPr>
          <w:rFonts w:ascii="Times New Roman" w:hAnsi="Times New Roman" w:cs="Times New Roman"/>
          <w:noProof/>
        </w:rPr>
        <w:t>nits that form part of complex I</w:t>
      </w:r>
      <w:r>
        <w:rPr>
          <w:rFonts w:ascii="Times New Roman" w:hAnsi="Times New Roman" w:cs="Times New Roman"/>
          <w:noProof/>
        </w:rPr>
        <w:t xml:space="preserve"> of the </w:t>
      </w:r>
      <w:r w:rsidR="00343336">
        <w:rPr>
          <w:rFonts w:ascii="Times New Roman" w:hAnsi="Times New Roman" w:cs="Times New Roman"/>
          <w:noProof/>
        </w:rPr>
        <w:t>mitochondrial respiratory chain</w:t>
      </w:r>
      <w:r w:rsidR="0059021A">
        <w:rPr>
          <w:rFonts w:ascii="Times New Roman" w:hAnsi="Times New Roman" w:cs="Times New Roman"/>
          <w:noProof/>
        </w:rPr>
        <w:t xml:space="preserve"> </w:t>
      </w:r>
      <w:r>
        <w:rPr>
          <w:rFonts w:ascii="Times New Roman" w:hAnsi="Times New Roman" w:cs="Times New Roman"/>
          <w:noProof/>
        </w:rPr>
        <w:t>(NDUFA2, NDUFB3, NDUFAB1, NDUFA1</w:t>
      </w:r>
      <w:r w:rsidR="00343336">
        <w:rPr>
          <w:rFonts w:ascii="Times New Roman" w:hAnsi="Times New Roman" w:cs="Times New Roman"/>
          <w:noProof/>
        </w:rPr>
        <w:t xml:space="preserve">, NDUFB6), </w:t>
      </w:r>
      <w:r>
        <w:rPr>
          <w:rFonts w:ascii="Times New Roman" w:hAnsi="Times New Roman" w:cs="Times New Roman"/>
          <w:noProof/>
        </w:rPr>
        <w:t xml:space="preserve">which is known to form ROS if not functioning properly </w:t>
      </w:r>
      <w:r w:rsidR="002F71B0">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"10.1042/bse0470053", "ISSN" : "1744-1358", "PMID" : "20533900", "abstract" : "Mitochondrial proton and electron leak have a major impact on mitochondrial coupling efficiency and production of reactive oxygen species. In the first part of this chapter, we address the molecular nature of the basal and inducible proton leak pathways, and their physiological importance. The basal leak is unregulated, and a major proportion can be attributed to mitochondrial anion carriers, whereas the proton leak through the lipid bilayer appears to be minor. The basal proton leak is cell-type specific and correlates with metabolic rate. The inducible leak through the ANT (adenine nucleotide translocase) and UCPs (uncoupling proteins) can be activated by fatty acids, superoxide or lipid peroxidation products. The physiological role of inducible leak through UCP1 in mammalian brown adipose tissue is heat production, whereas the roles of non-mammalian UCP1 and its paralogous proteins, in particular UCP2 and UCP3, are not yet resolved. The second part of the chapter focuses on the electron leak that occurs in the mitochondrial electron transport chain. Exit of electrons prior to the reduction of oxygen to water at cytochrome c oxidase causes superoxide production. As the mechanisms of electron leak are crucial to understanding their physiological relevance, we summarize the mechanisms and topology of electron leak from complexes I and III in studies using isolated mitochondria. We also highlight recent progress and challenges of assessing electron leak in the living cell. Finally, we emphasize the importance of proton and electron leak as therapeutic targets in body mass regulation and insulin secretion.", "author" : [ { "dropping-particle" : "", "family" : "Jastroch", "given" : "Martin", "non-dropping-particle" : "", "parse-names" : false, "suffix" : "" }, { "dropping-particle" : "", "family" : "Divakaruni", "given" : "Ajit S", "non-dropping-particle" : "", "parse-names" : false, "suffix" : "" }, { "dropping-particle" : "", "family" : "Mookerjee", "given" : "Shona", "non-dropping-particle" : "", "parse-names" : false, "suffix" : "" }, { "dropping-particle" : "", "family" : "Treberg", "given" : "Jason R", "non-dropping-particle" : "", "parse-names" : false, "suffix" : "" }, { "dropping-particle" : "", "family" : "Brand", "given" : "Martin D", "non-dropping-particle" : "", "parse-names" : false, "suffix" : "" } ], "container-title" : "Essays in biochemistry", "id" : "ITEM-1", "issued" : { "date-parts" : [ [ "2010", "1" ] ] }, "page" : "53-67", "title" : "Mitochondrial proton and electron leaks.", "type" : "article-journal", "volume" : "47" }, "uris" : [ "http://www.mendeley.com/documents/?uuid=f00faa7e-4916-4e44-a07a-e6832b915f73" ] } ], "mendeley" : { "formattedCitation" : "(Jastroch et al. 2010)", "plainTextFormattedCitation" : "(Jastroch et al. 2010)", "previouslyFormattedCitation" : "(Jastroch et al. 2010)" }, "properties" : { "noteIndex" : 0 }, "schema" : "https://github.com/citation-style-language/schema/raw/master/csl-citation.json" }</w:instrText>
      </w:r>
      <w:r w:rsidR="002F71B0">
        <w:rPr>
          <w:rFonts w:ascii="Times New Roman" w:hAnsi="Times New Roman" w:cs="Times New Roman"/>
          <w:noProof/>
        </w:rPr>
        <w:fldChar w:fldCharType="separate"/>
      </w:r>
      <w:r w:rsidR="00C148FC" w:rsidRPr="00C148FC">
        <w:rPr>
          <w:rFonts w:ascii="Times New Roman" w:hAnsi="Times New Roman" w:cs="Times New Roman"/>
          <w:noProof/>
        </w:rPr>
        <w:t>(Jastroch et al. 2010)</w:t>
      </w:r>
      <w:r w:rsidR="002F71B0">
        <w:rPr>
          <w:rFonts w:ascii="Times New Roman" w:hAnsi="Times New Roman" w:cs="Times New Roman"/>
          <w:noProof/>
        </w:rPr>
        <w:fldChar w:fldCharType="end"/>
      </w:r>
      <w:r>
        <w:rPr>
          <w:rFonts w:ascii="Times New Roman" w:hAnsi="Times New Roman" w:cs="Times New Roman"/>
          <w:noProof/>
        </w:rPr>
        <w:t xml:space="preserve">. </w:t>
      </w:r>
      <w:r w:rsidR="00343336">
        <w:rPr>
          <w:rFonts w:ascii="Times New Roman" w:hAnsi="Times New Roman" w:cs="Times New Roman"/>
          <w:noProof/>
        </w:rPr>
        <w:t>The</w:t>
      </w:r>
      <w:r w:rsidR="00BA0C83">
        <w:rPr>
          <w:rFonts w:ascii="Times New Roman" w:hAnsi="Times New Roman" w:cs="Times New Roman"/>
          <w:noProof/>
        </w:rPr>
        <w:t>se</w:t>
      </w:r>
      <w:r w:rsidR="00343336">
        <w:rPr>
          <w:rFonts w:ascii="Times New Roman" w:hAnsi="Times New Roman" w:cs="Times New Roman"/>
          <w:noProof/>
        </w:rPr>
        <w:t xml:space="preserve"> downregulated genes have also been marked with a red star in a KEGG pathway</w:t>
      </w:r>
      <w:r w:rsidR="008872CD">
        <w:rPr>
          <w:rFonts w:ascii="Times New Roman" w:hAnsi="Times New Roman" w:cs="Times New Roman"/>
          <w:noProof/>
        </w:rPr>
        <w:t xml:space="preserve"> diagram of oxidat</w:t>
      </w:r>
      <w:r w:rsidR="009F33F9">
        <w:rPr>
          <w:rFonts w:ascii="Times New Roman" w:hAnsi="Times New Roman" w:cs="Times New Roman"/>
          <w:noProof/>
        </w:rPr>
        <w:t>ive phosphorylation (</w:t>
      </w:r>
      <w:r w:rsidR="009F33F9" w:rsidRPr="000273AF">
        <w:rPr>
          <w:rFonts w:ascii="Times New Roman" w:hAnsi="Times New Roman" w:cs="Times New Roman"/>
          <w:b/>
          <w:noProof/>
        </w:rPr>
        <w:t>figure 5.17</w:t>
      </w:r>
      <w:r w:rsidR="008872CD">
        <w:rPr>
          <w:rFonts w:ascii="Times New Roman" w:hAnsi="Times New Roman" w:cs="Times New Roman"/>
          <w:noProof/>
        </w:rPr>
        <w:t>).</w:t>
      </w:r>
      <w:r w:rsidR="00BA0C83">
        <w:rPr>
          <w:rFonts w:ascii="Times New Roman" w:hAnsi="Times New Roman" w:cs="Times New Roman"/>
          <w:noProof/>
        </w:rPr>
        <w:t xml:space="preserve"> C</w:t>
      </w:r>
      <w:r w:rsidR="001753BA">
        <w:rPr>
          <w:rFonts w:ascii="Times New Roman" w:hAnsi="Times New Roman" w:cs="Times New Roman"/>
          <w:noProof/>
        </w:rPr>
        <w:t>loser inspection of the clustering a</w:t>
      </w:r>
      <w:r w:rsidR="00BA0C83">
        <w:rPr>
          <w:rFonts w:ascii="Times New Roman" w:hAnsi="Times New Roman" w:cs="Times New Roman"/>
          <w:noProof/>
        </w:rPr>
        <w:t xml:space="preserve">nalysis performed by DAVID </w:t>
      </w:r>
      <w:r w:rsidR="001753BA">
        <w:rPr>
          <w:rFonts w:ascii="Times New Roman" w:hAnsi="Times New Roman" w:cs="Times New Roman"/>
          <w:noProof/>
        </w:rPr>
        <w:t xml:space="preserve">revealed 33 genes involved in mitochondrial function </w:t>
      </w:r>
      <w:r w:rsidR="00BA0C83">
        <w:rPr>
          <w:rFonts w:ascii="Times New Roman" w:hAnsi="Times New Roman" w:cs="Times New Roman"/>
          <w:noProof/>
        </w:rPr>
        <w:t xml:space="preserve">were </w:t>
      </w:r>
      <w:r w:rsidR="001753BA">
        <w:rPr>
          <w:rFonts w:ascii="Times New Roman" w:hAnsi="Times New Roman" w:cs="Times New Roman"/>
          <w:noProof/>
        </w:rPr>
        <w:t>downregulated</w:t>
      </w:r>
      <w:r w:rsidR="00BA0C83">
        <w:rPr>
          <w:rFonts w:ascii="Times New Roman" w:hAnsi="Times New Roman" w:cs="Times New Roman"/>
          <w:noProof/>
        </w:rPr>
        <w:t xml:space="preserve"> in IGF1-impaired astrocytes</w:t>
      </w:r>
      <w:r w:rsidR="001753BA">
        <w:rPr>
          <w:rFonts w:ascii="Times New Roman" w:hAnsi="Times New Roman" w:cs="Times New Roman"/>
          <w:noProof/>
        </w:rPr>
        <w:t xml:space="preserve"> (</w:t>
      </w:r>
      <w:r w:rsidR="001753BA" w:rsidRPr="000273AF">
        <w:rPr>
          <w:rFonts w:ascii="Times New Roman" w:hAnsi="Times New Roman" w:cs="Times New Roman"/>
          <w:b/>
          <w:noProof/>
        </w:rPr>
        <w:t xml:space="preserve">table </w:t>
      </w:r>
      <w:r w:rsidR="0059021A" w:rsidRPr="000273AF">
        <w:rPr>
          <w:rFonts w:ascii="Times New Roman" w:hAnsi="Times New Roman" w:cs="Times New Roman"/>
          <w:b/>
          <w:noProof/>
        </w:rPr>
        <w:t>5.1</w:t>
      </w:r>
      <w:r w:rsidR="00F469B0">
        <w:rPr>
          <w:rFonts w:ascii="Times New Roman" w:hAnsi="Times New Roman" w:cs="Times New Roman"/>
          <w:b/>
          <w:noProof/>
        </w:rPr>
        <w:t>4</w:t>
      </w:r>
      <w:r w:rsidR="001753BA">
        <w:rPr>
          <w:rFonts w:ascii="Times New Roman" w:hAnsi="Times New Roman" w:cs="Times New Roman"/>
          <w:noProof/>
        </w:rPr>
        <w:t>)</w:t>
      </w:r>
      <w:r w:rsidR="0059021A">
        <w:rPr>
          <w:rFonts w:ascii="Times New Roman" w:hAnsi="Times New Roman" w:cs="Times New Roman"/>
          <w:noProof/>
        </w:rPr>
        <w:t xml:space="preserve">. Together these results </w:t>
      </w:r>
      <w:r w:rsidR="00BA0C83">
        <w:rPr>
          <w:rFonts w:ascii="Times New Roman" w:hAnsi="Times New Roman" w:cs="Times New Roman"/>
          <w:noProof/>
        </w:rPr>
        <w:t xml:space="preserve">suggest loss of </w:t>
      </w:r>
      <w:r w:rsidR="002850FF">
        <w:rPr>
          <w:rFonts w:ascii="Times New Roman" w:hAnsi="Times New Roman" w:cs="Times New Roman"/>
          <w:noProof/>
        </w:rPr>
        <w:t>IGF1R results in</w:t>
      </w:r>
      <w:r w:rsidR="0059021A">
        <w:rPr>
          <w:rFonts w:ascii="Times New Roman" w:hAnsi="Times New Roman" w:cs="Times New Roman"/>
          <w:noProof/>
        </w:rPr>
        <w:t xml:space="preserve"> mitochondrial </w:t>
      </w:r>
      <w:r w:rsidR="00BA0C83">
        <w:rPr>
          <w:rFonts w:ascii="Times New Roman" w:hAnsi="Times New Roman" w:cs="Times New Roman"/>
          <w:noProof/>
        </w:rPr>
        <w:t>dys</w:t>
      </w:r>
      <w:r w:rsidR="002850FF">
        <w:rPr>
          <w:rFonts w:ascii="Times New Roman" w:hAnsi="Times New Roman" w:cs="Times New Roman"/>
          <w:noProof/>
        </w:rPr>
        <w:t>function</w:t>
      </w:r>
      <w:r w:rsidR="003A101E">
        <w:rPr>
          <w:rFonts w:ascii="Times New Roman" w:hAnsi="Times New Roman" w:cs="Times New Roman"/>
          <w:noProof/>
        </w:rPr>
        <w:t xml:space="preserve"> at the transcript level</w:t>
      </w:r>
      <w:r w:rsidR="002850FF">
        <w:rPr>
          <w:rFonts w:ascii="Times New Roman" w:hAnsi="Times New Roman" w:cs="Times New Roman"/>
          <w:noProof/>
        </w:rPr>
        <w:t>, particular</w:t>
      </w:r>
      <w:r w:rsidR="0059021A">
        <w:rPr>
          <w:rFonts w:ascii="Times New Roman" w:hAnsi="Times New Roman" w:cs="Times New Roman"/>
          <w:noProof/>
        </w:rPr>
        <w:t xml:space="preserve">ly </w:t>
      </w:r>
      <w:r w:rsidR="003A101E">
        <w:rPr>
          <w:rFonts w:ascii="Times New Roman" w:hAnsi="Times New Roman" w:cs="Times New Roman"/>
          <w:noProof/>
        </w:rPr>
        <w:t>in the</w:t>
      </w:r>
      <w:r w:rsidR="002850FF">
        <w:rPr>
          <w:rFonts w:ascii="Times New Roman" w:hAnsi="Times New Roman" w:cs="Times New Roman"/>
          <w:noProof/>
        </w:rPr>
        <w:t xml:space="preserve"> oxidative phosphorylation</w:t>
      </w:r>
      <w:r w:rsidR="003A101E">
        <w:rPr>
          <w:rFonts w:ascii="Times New Roman" w:hAnsi="Times New Roman" w:cs="Times New Roman"/>
          <w:noProof/>
        </w:rPr>
        <w:t xml:space="preserve"> pathway</w:t>
      </w:r>
      <w:r w:rsidR="0065071D">
        <w:rPr>
          <w:rFonts w:ascii="Times New Roman" w:hAnsi="Times New Roman" w:cs="Times New Roman"/>
          <w:noProof/>
        </w:rPr>
        <w:t xml:space="preserve">. </w:t>
      </w:r>
      <w:r w:rsidR="002850FF">
        <w:rPr>
          <w:rFonts w:ascii="Times New Roman" w:hAnsi="Times New Roman" w:cs="Times New Roman"/>
          <w:noProof/>
        </w:rPr>
        <w:t xml:space="preserve"> </w:t>
      </w:r>
    </w:p>
    <w:p w14:paraId="07468255" w14:textId="77777777" w:rsidR="001753BA" w:rsidRDefault="001753BA" w:rsidP="00964163">
      <w:pPr>
        <w:spacing w:line="360" w:lineRule="auto"/>
        <w:rPr>
          <w:rFonts w:ascii="Times New Roman" w:hAnsi="Times New Roman" w:cs="Times New Roman"/>
          <w:b/>
          <w:noProof/>
        </w:rPr>
      </w:pPr>
    </w:p>
    <w:p w14:paraId="1E4354B7" w14:textId="77777777" w:rsidR="00F92407" w:rsidRDefault="00F92407" w:rsidP="00964163">
      <w:pPr>
        <w:spacing w:line="360" w:lineRule="auto"/>
        <w:rPr>
          <w:rFonts w:ascii="Times New Roman" w:hAnsi="Times New Roman" w:cs="Times New Roman"/>
          <w:b/>
          <w:noProof/>
        </w:rPr>
      </w:pPr>
    </w:p>
    <w:p w14:paraId="4C7EF76C" w14:textId="77777777" w:rsidR="004C1D27" w:rsidRDefault="00A3722E" w:rsidP="004D474F">
      <w:pPr>
        <w:pStyle w:val="Heading5"/>
        <w:rPr>
          <w:noProof/>
        </w:rPr>
      </w:pPr>
      <w:bookmarkStart w:id="2135" w:name="_Toc333569362"/>
      <w:bookmarkStart w:id="2136" w:name="_Toc333570900"/>
      <w:bookmarkStart w:id="2137" w:name="_Toc333585981"/>
      <w:bookmarkStart w:id="2138" w:name="_Toc333586857"/>
      <w:bookmarkStart w:id="2139" w:name="_Toc333644556"/>
      <w:bookmarkStart w:id="2140" w:name="_Toc333644850"/>
      <w:r>
        <w:rPr>
          <w:noProof/>
        </w:rPr>
        <w:t>Table 5.13</w:t>
      </w:r>
      <w:r w:rsidR="0043060F">
        <w:rPr>
          <w:noProof/>
        </w:rPr>
        <w:t>.</w:t>
      </w:r>
      <w:r w:rsidR="00964163">
        <w:rPr>
          <w:noProof/>
        </w:rPr>
        <w:t xml:space="preserve"> Transcripts involved in oxidative phosphorylation dysregulated in IGF1R impaired astrocytes.</w:t>
      </w:r>
      <w:bookmarkEnd w:id="2135"/>
      <w:bookmarkEnd w:id="2136"/>
      <w:bookmarkEnd w:id="2137"/>
      <w:bookmarkEnd w:id="2138"/>
      <w:bookmarkEnd w:id="2139"/>
      <w:bookmarkEnd w:id="2140"/>
      <w:r w:rsidR="00964163">
        <w:rPr>
          <w:noProof/>
        </w:rPr>
        <w:t xml:space="preserve"> </w:t>
      </w:r>
    </w:p>
    <w:p w14:paraId="67FC3C23" w14:textId="47D04E5B" w:rsidR="00964163" w:rsidRDefault="00CB5A1F" w:rsidP="00C63BC1">
      <w:pPr>
        <w:spacing w:line="360" w:lineRule="auto"/>
        <w:jc w:val="both"/>
        <w:rPr>
          <w:rFonts w:ascii="Times New Roman" w:hAnsi="Times New Roman" w:cs="Times New Roman"/>
          <w:noProof/>
        </w:rPr>
      </w:pPr>
      <w:r>
        <w:rPr>
          <w:rFonts w:ascii="Times New Roman" w:hAnsi="Times New Roman" w:cs="Times New Roman"/>
          <w:noProof/>
        </w:rPr>
        <w:t>There are 8</w:t>
      </w:r>
      <w:r w:rsidR="00964163">
        <w:rPr>
          <w:rFonts w:ascii="Times New Roman" w:hAnsi="Times New Roman" w:cs="Times New Roman"/>
          <w:noProof/>
        </w:rPr>
        <w:t xml:space="preserve"> genes involved in oxidative phosphorylation that are differentially expressed in IGF1R impaired astrocytes compared with untreated astrocytes. </w:t>
      </w:r>
      <w:r w:rsidR="00973453">
        <w:rPr>
          <w:rFonts w:ascii="Times New Roman" w:hAnsi="Times New Roman" w:cs="Times New Roman"/>
          <w:noProof/>
        </w:rPr>
        <w:t>Fold change (FC) and P-values are also shown.</w:t>
      </w:r>
    </w:p>
    <w:p w14:paraId="529BF111" w14:textId="77777777" w:rsidR="00964163" w:rsidRDefault="00964163" w:rsidP="00964163">
      <w:pPr>
        <w:rPr>
          <w:rFonts w:ascii="Times New Roman" w:hAnsi="Times New Roman" w:cs="Times New Roman"/>
          <w:b/>
          <w:noProof/>
        </w:rPr>
      </w:pPr>
    </w:p>
    <w:tbl>
      <w:tblPr>
        <w:tblW w:w="9220" w:type="dxa"/>
        <w:tblInd w:w="93" w:type="dxa"/>
        <w:tblLook w:val="04A0" w:firstRow="1" w:lastRow="0" w:firstColumn="1" w:lastColumn="0" w:noHBand="0" w:noVBand="1"/>
      </w:tblPr>
      <w:tblGrid>
        <w:gridCol w:w="1460"/>
        <w:gridCol w:w="5960"/>
        <w:gridCol w:w="800"/>
        <w:gridCol w:w="1000"/>
      </w:tblGrid>
      <w:tr w:rsidR="00964163" w:rsidRPr="00AA23EB" w14:paraId="74C079FD" w14:textId="77777777" w:rsidTr="00343336">
        <w:trPr>
          <w:trHeight w:val="280"/>
        </w:trPr>
        <w:tc>
          <w:tcPr>
            <w:tcW w:w="1460" w:type="dxa"/>
            <w:tcBorders>
              <w:top w:val="single" w:sz="4" w:space="0" w:color="auto"/>
              <w:left w:val="nil"/>
              <w:bottom w:val="single" w:sz="4" w:space="0" w:color="auto"/>
              <w:right w:val="nil"/>
            </w:tcBorders>
            <w:shd w:val="clear" w:color="auto" w:fill="auto"/>
            <w:noWrap/>
            <w:vAlign w:val="bottom"/>
            <w:hideMark/>
          </w:tcPr>
          <w:p w14:paraId="437BF7A9" w14:textId="77777777" w:rsidR="00964163" w:rsidRPr="00AA23EB" w:rsidRDefault="00964163" w:rsidP="00454D06">
            <w:pPr>
              <w:rPr>
                <w:rFonts w:ascii="Times New Roman" w:eastAsia="Times New Roman" w:hAnsi="Times New Roman" w:cs="Times New Roman"/>
                <w:b/>
                <w:bCs/>
                <w:color w:val="000000"/>
                <w:sz w:val="22"/>
                <w:szCs w:val="22"/>
                <w:lang w:val="en-GB"/>
              </w:rPr>
            </w:pPr>
            <w:r w:rsidRPr="00AA23EB">
              <w:rPr>
                <w:rFonts w:ascii="Times New Roman" w:eastAsia="Times New Roman" w:hAnsi="Times New Roman" w:cs="Times New Roman"/>
                <w:b/>
                <w:bCs/>
                <w:color w:val="000000"/>
                <w:sz w:val="22"/>
                <w:szCs w:val="22"/>
                <w:lang w:val="en-GB"/>
              </w:rPr>
              <w:t>Gene symbol</w:t>
            </w:r>
          </w:p>
        </w:tc>
        <w:tc>
          <w:tcPr>
            <w:tcW w:w="5960" w:type="dxa"/>
            <w:tcBorders>
              <w:top w:val="single" w:sz="4" w:space="0" w:color="auto"/>
              <w:left w:val="nil"/>
              <w:bottom w:val="single" w:sz="4" w:space="0" w:color="auto"/>
              <w:right w:val="nil"/>
            </w:tcBorders>
            <w:shd w:val="clear" w:color="auto" w:fill="auto"/>
            <w:noWrap/>
            <w:vAlign w:val="bottom"/>
            <w:hideMark/>
          </w:tcPr>
          <w:p w14:paraId="05D8EA1C" w14:textId="77777777" w:rsidR="00964163" w:rsidRPr="00AA23EB" w:rsidRDefault="00964163" w:rsidP="00454D06">
            <w:pPr>
              <w:rPr>
                <w:rFonts w:ascii="Times New Roman" w:eastAsia="Times New Roman" w:hAnsi="Times New Roman" w:cs="Times New Roman"/>
                <w:b/>
                <w:bCs/>
                <w:color w:val="000000"/>
                <w:sz w:val="22"/>
                <w:szCs w:val="22"/>
                <w:lang w:val="en-GB"/>
              </w:rPr>
            </w:pPr>
            <w:r w:rsidRPr="00AA23EB">
              <w:rPr>
                <w:rFonts w:ascii="Times New Roman" w:eastAsia="Times New Roman" w:hAnsi="Times New Roman" w:cs="Times New Roman"/>
                <w:b/>
                <w:bCs/>
                <w:color w:val="000000"/>
                <w:sz w:val="22"/>
                <w:szCs w:val="22"/>
                <w:lang w:val="en-GB"/>
              </w:rPr>
              <w:t>Gene Name</w:t>
            </w:r>
          </w:p>
        </w:tc>
        <w:tc>
          <w:tcPr>
            <w:tcW w:w="800" w:type="dxa"/>
            <w:tcBorders>
              <w:top w:val="single" w:sz="4" w:space="0" w:color="auto"/>
              <w:left w:val="nil"/>
              <w:bottom w:val="single" w:sz="4" w:space="0" w:color="auto"/>
              <w:right w:val="nil"/>
            </w:tcBorders>
            <w:shd w:val="clear" w:color="auto" w:fill="auto"/>
            <w:noWrap/>
            <w:vAlign w:val="bottom"/>
            <w:hideMark/>
          </w:tcPr>
          <w:p w14:paraId="6D99F43C" w14:textId="77777777" w:rsidR="00964163" w:rsidRPr="00AA23EB" w:rsidRDefault="00964163" w:rsidP="00454D06">
            <w:pPr>
              <w:rPr>
                <w:rFonts w:ascii="Times New Roman" w:eastAsia="Times New Roman" w:hAnsi="Times New Roman" w:cs="Times New Roman"/>
                <w:b/>
                <w:bCs/>
                <w:color w:val="000000"/>
                <w:sz w:val="22"/>
                <w:szCs w:val="22"/>
                <w:lang w:val="en-GB"/>
              </w:rPr>
            </w:pPr>
            <w:r w:rsidRPr="00AA23EB">
              <w:rPr>
                <w:rFonts w:ascii="Times New Roman" w:eastAsia="Times New Roman" w:hAnsi="Times New Roman" w:cs="Times New Roman"/>
                <w:b/>
                <w:bCs/>
                <w:color w:val="000000"/>
                <w:sz w:val="22"/>
                <w:szCs w:val="22"/>
                <w:lang w:val="en-GB"/>
              </w:rPr>
              <w:t>FC</w:t>
            </w:r>
          </w:p>
        </w:tc>
        <w:tc>
          <w:tcPr>
            <w:tcW w:w="1000" w:type="dxa"/>
            <w:tcBorders>
              <w:top w:val="single" w:sz="4" w:space="0" w:color="auto"/>
              <w:left w:val="nil"/>
              <w:bottom w:val="single" w:sz="4" w:space="0" w:color="auto"/>
              <w:right w:val="nil"/>
            </w:tcBorders>
            <w:shd w:val="clear" w:color="auto" w:fill="auto"/>
            <w:noWrap/>
            <w:vAlign w:val="bottom"/>
            <w:hideMark/>
          </w:tcPr>
          <w:p w14:paraId="463B8740" w14:textId="77777777" w:rsidR="00964163" w:rsidRPr="00AA23EB" w:rsidRDefault="00964163" w:rsidP="00454D06">
            <w:pPr>
              <w:rPr>
                <w:rFonts w:ascii="Times New Roman" w:eastAsia="Times New Roman" w:hAnsi="Times New Roman" w:cs="Times New Roman"/>
                <w:b/>
                <w:bCs/>
                <w:color w:val="000000"/>
                <w:sz w:val="22"/>
                <w:szCs w:val="22"/>
                <w:lang w:val="en-GB"/>
              </w:rPr>
            </w:pPr>
            <w:r w:rsidRPr="00AA23EB">
              <w:rPr>
                <w:rFonts w:ascii="Times New Roman" w:eastAsia="Times New Roman" w:hAnsi="Times New Roman" w:cs="Times New Roman"/>
                <w:b/>
                <w:bCs/>
                <w:color w:val="000000"/>
                <w:sz w:val="22"/>
                <w:szCs w:val="22"/>
                <w:lang w:val="en-GB"/>
              </w:rPr>
              <w:t>P-value</w:t>
            </w:r>
          </w:p>
        </w:tc>
      </w:tr>
      <w:tr w:rsidR="00964163" w:rsidRPr="00AA23EB" w14:paraId="18BB0967" w14:textId="77777777" w:rsidTr="00343336">
        <w:trPr>
          <w:trHeight w:val="280"/>
        </w:trPr>
        <w:tc>
          <w:tcPr>
            <w:tcW w:w="1460" w:type="dxa"/>
            <w:tcBorders>
              <w:top w:val="nil"/>
              <w:left w:val="nil"/>
              <w:bottom w:val="nil"/>
              <w:right w:val="nil"/>
            </w:tcBorders>
            <w:shd w:val="clear" w:color="000000" w:fill="FF0000"/>
            <w:noWrap/>
            <w:vAlign w:val="bottom"/>
            <w:hideMark/>
          </w:tcPr>
          <w:p w14:paraId="1714D3A7"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ATP5C1</w:t>
            </w:r>
          </w:p>
        </w:tc>
        <w:tc>
          <w:tcPr>
            <w:tcW w:w="5960" w:type="dxa"/>
            <w:tcBorders>
              <w:top w:val="nil"/>
              <w:left w:val="nil"/>
              <w:bottom w:val="nil"/>
              <w:right w:val="nil"/>
            </w:tcBorders>
            <w:shd w:val="clear" w:color="auto" w:fill="auto"/>
            <w:noWrap/>
            <w:vAlign w:val="bottom"/>
            <w:hideMark/>
          </w:tcPr>
          <w:p w14:paraId="15086126"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ATP synthase, mitochondrial F1 complex, gamma polypeptide</w:t>
            </w:r>
          </w:p>
        </w:tc>
        <w:tc>
          <w:tcPr>
            <w:tcW w:w="800" w:type="dxa"/>
            <w:tcBorders>
              <w:top w:val="nil"/>
              <w:left w:val="nil"/>
              <w:bottom w:val="nil"/>
              <w:right w:val="nil"/>
            </w:tcBorders>
            <w:shd w:val="clear" w:color="auto" w:fill="auto"/>
            <w:noWrap/>
            <w:vAlign w:val="bottom"/>
            <w:hideMark/>
          </w:tcPr>
          <w:p w14:paraId="7D839A1C"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0.72</w:t>
            </w:r>
          </w:p>
        </w:tc>
        <w:tc>
          <w:tcPr>
            <w:tcW w:w="1000" w:type="dxa"/>
            <w:tcBorders>
              <w:top w:val="nil"/>
              <w:left w:val="nil"/>
              <w:bottom w:val="nil"/>
              <w:right w:val="nil"/>
            </w:tcBorders>
            <w:shd w:val="clear" w:color="auto" w:fill="auto"/>
            <w:noWrap/>
            <w:vAlign w:val="bottom"/>
            <w:hideMark/>
          </w:tcPr>
          <w:p w14:paraId="3CBC23ED"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0.050</w:t>
            </w:r>
          </w:p>
        </w:tc>
      </w:tr>
      <w:tr w:rsidR="00964163" w:rsidRPr="00AA23EB" w14:paraId="363443A3" w14:textId="77777777" w:rsidTr="00343336">
        <w:trPr>
          <w:trHeight w:val="280"/>
        </w:trPr>
        <w:tc>
          <w:tcPr>
            <w:tcW w:w="1460" w:type="dxa"/>
            <w:tcBorders>
              <w:top w:val="nil"/>
              <w:left w:val="nil"/>
              <w:bottom w:val="nil"/>
              <w:right w:val="nil"/>
            </w:tcBorders>
            <w:shd w:val="clear" w:color="000000" w:fill="FF0000"/>
            <w:noWrap/>
            <w:vAlign w:val="bottom"/>
            <w:hideMark/>
          </w:tcPr>
          <w:p w14:paraId="2D4F8989"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NDUFA1</w:t>
            </w:r>
          </w:p>
        </w:tc>
        <w:tc>
          <w:tcPr>
            <w:tcW w:w="5960" w:type="dxa"/>
            <w:tcBorders>
              <w:top w:val="nil"/>
              <w:left w:val="nil"/>
              <w:bottom w:val="nil"/>
              <w:right w:val="nil"/>
            </w:tcBorders>
            <w:shd w:val="clear" w:color="auto" w:fill="auto"/>
            <w:noWrap/>
            <w:vAlign w:val="bottom"/>
            <w:hideMark/>
          </w:tcPr>
          <w:p w14:paraId="5F5C1766"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NADH: ubiquinone oxidoreductase alpha subcomplex subunit A1</w:t>
            </w:r>
          </w:p>
        </w:tc>
        <w:tc>
          <w:tcPr>
            <w:tcW w:w="800" w:type="dxa"/>
            <w:tcBorders>
              <w:top w:val="nil"/>
              <w:left w:val="nil"/>
              <w:bottom w:val="nil"/>
              <w:right w:val="nil"/>
            </w:tcBorders>
            <w:shd w:val="clear" w:color="auto" w:fill="auto"/>
            <w:noWrap/>
            <w:vAlign w:val="bottom"/>
            <w:hideMark/>
          </w:tcPr>
          <w:p w14:paraId="6AFA7A98"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0.65</w:t>
            </w:r>
          </w:p>
        </w:tc>
        <w:tc>
          <w:tcPr>
            <w:tcW w:w="1000" w:type="dxa"/>
            <w:tcBorders>
              <w:top w:val="nil"/>
              <w:left w:val="nil"/>
              <w:bottom w:val="nil"/>
              <w:right w:val="nil"/>
            </w:tcBorders>
            <w:shd w:val="clear" w:color="auto" w:fill="auto"/>
            <w:noWrap/>
            <w:vAlign w:val="bottom"/>
            <w:hideMark/>
          </w:tcPr>
          <w:p w14:paraId="263E118E"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0.030</w:t>
            </w:r>
          </w:p>
        </w:tc>
      </w:tr>
      <w:tr w:rsidR="00964163" w:rsidRPr="00AA23EB" w14:paraId="36F0F963" w14:textId="77777777" w:rsidTr="00343336">
        <w:trPr>
          <w:trHeight w:val="280"/>
        </w:trPr>
        <w:tc>
          <w:tcPr>
            <w:tcW w:w="1460" w:type="dxa"/>
            <w:tcBorders>
              <w:top w:val="nil"/>
              <w:left w:val="nil"/>
              <w:bottom w:val="nil"/>
              <w:right w:val="nil"/>
            </w:tcBorders>
            <w:shd w:val="clear" w:color="000000" w:fill="FF0000"/>
            <w:noWrap/>
            <w:vAlign w:val="bottom"/>
            <w:hideMark/>
          </w:tcPr>
          <w:p w14:paraId="0E138FE5"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NDUFA2</w:t>
            </w:r>
          </w:p>
        </w:tc>
        <w:tc>
          <w:tcPr>
            <w:tcW w:w="5960" w:type="dxa"/>
            <w:tcBorders>
              <w:top w:val="nil"/>
              <w:left w:val="nil"/>
              <w:bottom w:val="nil"/>
              <w:right w:val="nil"/>
            </w:tcBorders>
            <w:shd w:val="clear" w:color="auto" w:fill="auto"/>
            <w:noWrap/>
            <w:vAlign w:val="bottom"/>
            <w:hideMark/>
          </w:tcPr>
          <w:p w14:paraId="1F840934"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NADH: ubiquinone oxidoreductase subunit 2</w:t>
            </w:r>
          </w:p>
        </w:tc>
        <w:tc>
          <w:tcPr>
            <w:tcW w:w="800" w:type="dxa"/>
            <w:tcBorders>
              <w:top w:val="nil"/>
              <w:left w:val="nil"/>
              <w:bottom w:val="nil"/>
              <w:right w:val="nil"/>
            </w:tcBorders>
            <w:shd w:val="clear" w:color="auto" w:fill="auto"/>
            <w:noWrap/>
            <w:vAlign w:val="bottom"/>
            <w:hideMark/>
          </w:tcPr>
          <w:p w14:paraId="2761CE88"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0.71</w:t>
            </w:r>
          </w:p>
        </w:tc>
        <w:tc>
          <w:tcPr>
            <w:tcW w:w="1000" w:type="dxa"/>
            <w:tcBorders>
              <w:top w:val="nil"/>
              <w:left w:val="nil"/>
              <w:bottom w:val="nil"/>
              <w:right w:val="nil"/>
            </w:tcBorders>
            <w:shd w:val="clear" w:color="auto" w:fill="auto"/>
            <w:noWrap/>
            <w:vAlign w:val="bottom"/>
            <w:hideMark/>
          </w:tcPr>
          <w:p w14:paraId="6E3D0B8C"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0.004</w:t>
            </w:r>
          </w:p>
        </w:tc>
      </w:tr>
      <w:tr w:rsidR="00964163" w:rsidRPr="00AA23EB" w14:paraId="3AA08A66" w14:textId="77777777" w:rsidTr="00343336">
        <w:trPr>
          <w:trHeight w:val="280"/>
        </w:trPr>
        <w:tc>
          <w:tcPr>
            <w:tcW w:w="1460" w:type="dxa"/>
            <w:tcBorders>
              <w:top w:val="nil"/>
              <w:left w:val="nil"/>
              <w:bottom w:val="nil"/>
              <w:right w:val="nil"/>
            </w:tcBorders>
            <w:shd w:val="clear" w:color="000000" w:fill="FF0000"/>
            <w:noWrap/>
            <w:vAlign w:val="bottom"/>
            <w:hideMark/>
          </w:tcPr>
          <w:p w14:paraId="559C2ACC"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NDUFAB1</w:t>
            </w:r>
          </w:p>
        </w:tc>
        <w:tc>
          <w:tcPr>
            <w:tcW w:w="5960" w:type="dxa"/>
            <w:tcBorders>
              <w:top w:val="nil"/>
              <w:left w:val="nil"/>
              <w:bottom w:val="nil"/>
              <w:right w:val="nil"/>
            </w:tcBorders>
            <w:shd w:val="clear" w:color="auto" w:fill="auto"/>
            <w:noWrap/>
            <w:vAlign w:val="bottom"/>
            <w:hideMark/>
          </w:tcPr>
          <w:p w14:paraId="6322BA29"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NADH: ubiquinone oxidoreductase subunit AB1</w:t>
            </w:r>
          </w:p>
        </w:tc>
        <w:tc>
          <w:tcPr>
            <w:tcW w:w="800" w:type="dxa"/>
            <w:tcBorders>
              <w:top w:val="nil"/>
              <w:left w:val="nil"/>
              <w:bottom w:val="nil"/>
              <w:right w:val="nil"/>
            </w:tcBorders>
            <w:shd w:val="clear" w:color="auto" w:fill="auto"/>
            <w:noWrap/>
            <w:vAlign w:val="bottom"/>
            <w:hideMark/>
          </w:tcPr>
          <w:p w14:paraId="464C9FDE"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0.77</w:t>
            </w:r>
          </w:p>
        </w:tc>
        <w:tc>
          <w:tcPr>
            <w:tcW w:w="1000" w:type="dxa"/>
            <w:tcBorders>
              <w:top w:val="nil"/>
              <w:left w:val="nil"/>
              <w:bottom w:val="nil"/>
              <w:right w:val="nil"/>
            </w:tcBorders>
            <w:shd w:val="clear" w:color="auto" w:fill="auto"/>
            <w:noWrap/>
            <w:vAlign w:val="bottom"/>
            <w:hideMark/>
          </w:tcPr>
          <w:p w14:paraId="049DF3D9"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0.001</w:t>
            </w:r>
          </w:p>
        </w:tc>
      </w:tr>
      <w:tr w:rsidR="00964163" w:rsidRPr="00AA23EB" w14:paraId="7340834B" w14:textId="77777777" w:rsidTr="00343336">
        <w:trPr>
          <w:trHeight w:val="280"/>
        </w:trPr>
        <w:tc>
          <w:tcPr>
            <w:tcW w:w="1460" w:type="dxa"/>
            <w:tcBorders>
              <w:top w:val="nil"/>
              <w:left w:val="nil"/>
              <w:bottom w:val="nil"/>
              <w:right w:val="nil"/>
            </w:tcBorders>
            <w:shd w:val="clear" w:color="000000" w:fill="FF0000"/>
            <w:noWrap/>
            <w:vAlign w:val="bottom"/>
            <w:hideMark/>
          </w:tcPr>
          <w:p w14:paraId="3BEA383B"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NDUFB3</w:t>
            </w:r>
          </w:p>
        </w:tc>
        <w:tc>
          <w:tcPr>
            <w:tcW w:w="5960" w:type="dxa"/>
            <w:tcBorders>
              <w:top w:val="nil"/>
              <w:left w:val="nil"/>
              <w:bottom w:val="nil"/>
              <w:right w:val="nil"/>
            </w:tcBorders>
            <w:shd w:val="clear" w:color="auto" w:fill="auto"/>
            <w:noWrap/>
            <w:vAlign w:val="bottom"/>
            <w:hideMark/>
          </w:tcPr>
          <w:p w14:paraId="237C0CB9"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NADH: ubiquinone oxidoreductase subunit B3</w:t>
            </w:r>
          </w:p>
        </w:tc>
        <w:tc>
          <w:tcPr>
            <w:tcW w:w="800" w:type="dxa"/>
            <w:tcBorders>
              <w:top w:val="nil"/>
              <w:left w:val="nil"/>
              <w:bottom w:val="nil"/>
              <w:right w:val="nil"/>
            </w:tcBorders>
            <w:shd w:val="clear" w:color="auto" w:fill="auto"/>
            <w:noWrap/>
            <w:vAlign w:val="bottom"/>
            <w:hideMark/>
          </w:tcPr>
          <w:p w14:paraId="6900CE26"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0.73</w:t>
            </w:r>
          </w:p>
        </w:tc>
        <w:tc>
          <w:tcPr>
            <w:tcW w:w="1000" w:type="dxa"/>
            <w:tcBorders>
              <w:top w:val="nil"/>
              <w:left w:val="nil"/>
              <w:bottom w:val="nil"/>
              <w:right w:val="nil"/>
            </w:tcBorders>
            <w:shd w:val="clear" w:color="auto" w:fill="auto"/>
            <w:noWrap/>
            <w:vAlign w:val="bottom"/>
            <w:hideMark/>
          </w:tcPr>
          <w:p w14:paraId="5EF189CE"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0.030</w:t>
            </w:r>
          </w:p>
        </w:tc>
      </w:tr>
      <w:tr w:rsidR="00964163" w:rsidRPr="00AA23EB" w14:paraId="7E334459" w14:textId="77777777" w:rsidTr="00343336">
        <w:trPr>
          <w:trHeight w:val="280"/>
        </w:trPr>
        <w:tc>
          <w:tcPr>
            <w:tcW w:w="1460" w:type="dxa"/>
            <w:tcBorders>
              <w:top w:val="nil"/>
              <w:left w:val="nil"/>
              <w:bottom w:val="nil"/>
              <w:right w:val="nil"/>
            </w:tcBorders>
            <w:shd w:val="clear" w:color="000000" w:fill="FF0000"/>
            <w:noWrap/>
            <w:vAlign w:val="bottom"/>
            <w:hideMark/>
          </w:tcPr>
          <w:p w14:paraId="0CF9BDD3"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NDUFB6</w:t>
            </w:r>
          </w:p>
        </w:tc>
        <w:tc>
          <w:tcPr>
            <w:tcW w:w="5960" w:type="dxa"/>
            <w:tcBorders>
              <w:top w:val="nil"/>
              <w:left w:val="nil"/>
              <w:bottom w:val="nil"/>
              <w:right w:val="nil"/>
            </w:tcBorders>
            <w:shd w:val="clear" w:color="auto" w:fill="auto"/>
            <w:noWrap/>
            <w:vAlign w:val="bottom"/>
            <w:hideMark/>
          </w:tcPr>
          <w:p w14:paraId="63F3F894"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NADH: ubiquinone oxidoreductase subunit B6</w:t>
            </w:r>
          </w:p>
        </w:tc>
        <w:tc>
          <w:tcPr>
            <w:tcW w:w="800" w:type="dxa"/>
            <w:tcBorders>
              <w:top w:val="nil"/>
              <w:left w:val="nil"/>
              <w:bottom w:val="nil"/>
              <w:right w:val="nil"/>
            </w:tcBorders>
            <w:shd w:val="clear" w:color="auto" w:fill="auto"/>
            <w:noWrap/>
            <w:vAlign w:val="bottom"/>
            <w:hideMark/>
          </w:tcPr>
          <w:p w14:paraId="2194370F"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0.53</w:t>
            </w:r>
          </w:p>
        </w:tc>
        <w:tc>
          <w:tcPr>
            <w:tcW w:w="1000" w:type="dxa"/>
            <w:tcBorders>
              <w:top w:val="nil"/>
              <w:left w:val="nil"/>
              <w:bottom w:val="nil"/>
              <w:right w:val="nil"/>
            </w:tcBorders>
            <w:shd w:val="clear" w:color="auto" w:fill="auto"/>
            <w:noWrap/>
            <w:vAlign w:val="bottom"/>
            <w:hideMark/>
          </w:tcPr>
          <w:p w14:paraId="4E110680"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0.003</w:t>
            </w:r>
          </w:p>
        </w:tc>
      </w:tr>
      <w:tr w:rsidR="00964163" w:rsidRPr="00AA23EB" w14:paraId="6BC01377" w14:textId="77777777" w:rsidTr="00343336">
        <w:trPr>
          <w:trHeight w:val="280"/>
        </w:trPr>
        <w:tc>
          <w:tcPr>
            <w:tcW w:w="1460" w:type="dxa"/>
            <w:tcBorders>
              <w:top w:val="nil"/>
              <w:left w:val="nil"/>
              <w:bottom w:val="nil"/>
              <w:right w:val="nil"/>
            </w:tcBorders>
            <w:shd w:val="clear" w:color="000000" w:fill="FF0000"/>
            <w:noWrap/>
            <w:vAlign w:val="bottom"/>
            <w:hideMark/>
          </w:tcPr>
          <w:p w14:paraId="18F63AFF"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SDHB</w:t>
            </w:r>
          </w:p>
        </w:tc>
        <w:tc>
          <w:tcPr>
            <w:tcW w:w="5960" w:type="dxa"/>
            <w:tcBorders>
              <w:top w:val="nil"/>
              <w:left w:val="nil"/>
              <w:bottom w:val="nil"/>
              <w:right w:val="nil"/>
            </w:tcBorders>
            <w:shd w:val="clear" w:color="auto" w:fill="auto"/>
            <w:noWrap/>
            <w:vAlign w:val="bottom"/>
            <w:hideMark/>
          </w:tcPr>
          <w:p w14:paraId="39420F12"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Succinate dehydrogenase complex, subunit B</w:t>
            </w:r>
          </w:p>
        </w:tc>
        <w:tc>
          <w:tcPr>
            <w:tcW w:w="800" w:type="dxa"/>
            <w:tcBorders>
              <w:top w:val="nil"/>
              <w:left w:val="nil"/>
              <w:bottom w:val="nil"/>
              <w:right w:val="nil"/>
            </w:tcBorders>
            <w:shd w:val="clear" w:color="auto" w:fill="auto"/>
            <w:noWrap/>
            <w:vAlign w:val="bottom"/>
            <w:hideMark/>
          </w:tcPr>
          <w:p w14:paraId="3648F57D"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0.76</w:t>
            </w:r>
          </w:p>
        </w:tc>
        <w:tc>
          <w:tcPr>
            <w:tcW w:w="1000" w:type="dxa"/>
            <w:tcBorders>
              <w:top w:val="nil"/>
              <w:left w:val="nil"/>
              <w:bottom w:val="nil"/>
              <w:right w:val="nil"/>
            </w:tcBorders>
            <w:shd w:val="clear" w:color="auto" w:fill="auto"/>
            <w:noWrap/>
            <w:vAlign w:val="bottom"/>
            <w:hideMark/>
          </w:tcPr>
          <w:p w14:paraId="27FE8EFC"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0.010</w:t>
            </w:r>
          </w:p>
        </w:tc>
      </w:tr>
      <w:tr w:rsidR="00964163" w:rsidRPr="00AA23EB" w14:paraId="0B953AD4" w14:textId="77777777" w:rsidTr="00343336">
        <w:trPr>
          <w:trHeight w:val="280"/>
        </w:trPr>
        <w:tc>
          <w:tcPr>
            <w:tcW w:w="1460" w:type="dxa"/>
            <w:tcBorders>
              <w:top w:val="nil"/>
              <w:left w:val="nil"/>
              <w:bottom w:val="nil"/>
              <w:right w:val="nil"/>
            </w:tcBorders>
            <w:shd w:val="clear" w:color="000000" w:fill="FF0000"/>
            <w:noWrap/>
            <w:vAlign w:val="bottom"/>
            <w:hideMark/>
          </w:tcPr>
          <w:p w14:paraId="213FBB1E"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UQCRB</w:t>
            </w:r>
          </w:p>
        </w:tc>
        <w:tc>
          <w:tcPr>
            <w:tcW w:w="5960" w:type="dxa"/>
            <w:tcBorders>
              <w:top w:val="nil"/>
              <w:left w:val="nil"/>
              <w:bottom w:val="nil"/>
              <w:right w:val="nil"/>
            </w:tcBorders>
            <w:shd w:val="clear" w:color="auto" w:fill="auto"/>
            <w:noWrap/>
            <w:vAlign w:val="bottom"/>
            <w:hideMark/>
          </w:tcPr>
          <w:p w14:paraId="24FA3049"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Ubiquinol cytochrome c reductase binding protein</w:t>
            </w:r>
          </w:p>
        </w:tc>
        <w:tc>
          <w:tcPr>
            <w:tcW w:w="800" w:type="dxa"/>
            <w:tcBorders>
              <w:top w:val="nil"/>
              <w:left w:val="nil"/>
              <w:bottom w:val="nil"/>
              <w:right w:val="nil"/>
            </w:tcBorders>
            <w:shd w:val="clear" w:color="auto" w:fill="auto"/>
            <w:noWrap/>
            <w:vAlign w:val="bottom"/>
            <w:hideMark/>
          </w:tcPr>
          <w:p w14:paraId="2D1B37D0"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0.60</w:t>
            </w:r>
          </w:p>
        </w:tc>
        <w:tc>
          <w:tcPr>
            <w:tcW w:w="1000" w:type="dxa"/>
            <w:tcBorders>
              <w:top w:val="nil"/>
              <w:left w:val="nil"/>
              <w:bottom w:val="nil"/>
              <w:right w:val="nil"/>
            </w:tcBorders>
            <w:shd w:val="clear" w:color="auto" w:fill="auto"/>
            <w:noWrap/>
            <w:vAlign w:val="bottom"/>
            <w:hideMark/>
          </w:tcPr>
          <w:p w14:paraId="0838F17F" w14:textId="77777777" w:rsidR="00964163" w:rsidRPr="00AA23EB" w:rsidRDefault="00964163"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0.006</w:t>
            </w:r>
          </w:p>
        </w:tc>
      </w:tr>
    </w:tbl>
    <w:p w14:paraId="76FE9880" w14:textId="77777777" w:rsidR="00964163" w:rsidRDefault="00964163" w:rsidP="00964163">
      <w:pPr>
        <w:rPr>
          <w:rFonts w:ascii="Times New Roman" w:hAnsi="Times New Roman" w:cs="Times New Roman"/>
          <w:b/>
          <w:noProof/>
        </w:rPr>
      </w:pPr>
    </w:p>
    <w:p w14:paraId="202D5D43" w14:textId="77777777" w:rsidR="00964163" w:rsidRDefault="00964163" w:rsidP="00964163">
      <w:pPr>
        <w:spacing w:line="360" w:lineRule="auto"/>
        <w:rPr>
          <w:rFonts w:ascii="Times New Roman" w:hAnsi="Times New Roman" w:cs="Times New Roman"/>
          <w:b/>
          <w:noProof/>
        </w:rPr>
      </w:pPr>
    </w:p>
    <w:p w14:paraId="2C674043" w14:textId="77777777" w:rsidR="00964163" w:rsidRDefault="00964163" w:rsidP="00964163">
      <w:pPr>
        <w:rPr>
          <w:rFonts w:ascii="Times New Roman" w:hAnsi="Times New Roman" w:cs="Times New Roman"/>
          <w:b/>
          <w:noProof/>
        </w:rPr>
      </w:pPr>
    </w:p>
    <w:p w14:paraId="1019265B" w14:textId="77777777" w:rsidR="00964163" w:rsidRDefault="00964163" w:rsidP="00964163">
      <w:pPr>
        <w:rPr>
          <w:rFonts w:ascii="Times New Roman" w:hAnsi="Times New Roman" w:cs="Times New Roman"/>
          <w:b/>
          <w:noProof/>
        </w:rPr>
      </w:pPr>
    </w:p>
    <w:p w14:paraId="2FE126A2" w14:textId="77777777" w:rsidR="00964163" w:rsidRDefault="00964163" w:rsidP="00964163">
      <w:pPr>
        <w:rPr>
          <w:rFonts w:ascii="Times New Roman" w:hAnsi="Times New Roman" w:cs="Times New Roman"/>
          <w:b/>
          <w:noProof/>
        </w:rPr>
      </w:pPr>
    </w:p>
    <w:p w14:paraId="6B93E9D1" w14:textId="77777777" w:rsidR="00964163" w:rsidRDefault="00964163" w:rsidP="00964163">
      <w:pPr>
        <w:rPr>
          <w:rFonts w:ascii="Times New Roman" w:hAnsi="Times New Roman" w:cs="Times New Roman"/>
          <w:b/>
          <w:noProof/>
        </w:rPr>
      </w:pPr>
    </w:p>
    <w:p w14:paraId="247DF661" w14:textId="77777777" w:rsidR="00964163" w:rsidRDefault="00964163" w:rsidP="00964163">
      <w:pPr>
        <w:rPr>
          <w:rFonts w:ascii="Times New Roman" w:hAnsi="Times New Roman" w:cs="Times New Roman"/>
          <w:b/>
          <w:noProof/>
        </w:rPr>
      </w:pPr>
    </w:p>
    <w:p w14:paraId="0F61C008" w14:textId="77777777" w:rsidR="00964163" w:rsidRDefault="00964163" w:rsidP="00964163">
      <w:pPr>
        <w:rPr>
          <w:rFonts w:ascii="Times New Roman" w:hAnsi="Times New Roman" w:cs="Times New Roman"/>
          <w:b/>
          <w:noProof/>
        </w:rPr>
      </w:pPr>
    </w:p>
    <w:p w14:paraId="3410AFC0" w14:textId="77777777" w:rsidR="00964163" w:rsidRDefault="00964163" w:rsidP="00964163">
      <w:pPr>
        <w:rPr>
          <w:rFonts w:ascii="Times New Roman" w:hAnsi="Times New Roman" w:cs="Times New Roman"/>
          <w:b/>
          <w:noProof/>
        </w:rPr>
      </w:pPr>
    </w:p>
    <w:p w14:paraId="05EE041B" w14:textId="77777777" w:rsidR="00075AEE" w:rsidRDefault="00075AEE" w:rsidP="00964163">
      <w:pPr>
        <w:rPr>
          <w:rFonts w:ascii="Times New Roman" w:hAnsi="Times New Roman" w:cs="Times New Roman"/>
          <w:b/>
          <w:noProof/>
        </w:rPr>
        <w:sectPr w:rsidR="00075AEE" w:rsidSect="00C41BD8">
          <w:pgSz w:w="11900" w:h="16840"/>
          <w:pgMar w:top="1440" w:right="1134" w:bottom="1440" w:left="2268" w:header="709" w:footer="709" w:gutter="0"/>
          <w:cols w:space="708"/>
          <w:docGrid w:linePitch="360"/>
        </w:sectPr>
      </w:pPr>
    </w:p>
    <w:p w14:paraId="609963AE" w14:textId="77777777" w:rsidR="00075AEE" w:rsidRDefault="00075AEE" w:rsidP="00075AEE">
      <w:pPr>
        <w:spacing w:line="360" w:lineRule="auto"/>
        <w:rPr>
          <w:rFonts w:ascii="Times New Roman" w:hAnsi="Times New Roman" w:cs="Times New Roman"/>
          <w:b/>
          <w:noProof/>
        </w:rPr>
      </w:pPr>
      <w:r>
        <w:rPr>
          <w:rFonts w:ascii="Times New Roman" w:hAnsi="Times New Roman" w:cs="Times New Roman"/>
          <w:b/>
          <w:noProof/>
        </w:rPr>
        <w:t xml:space="preserve">                   </w:t>
      </w:r>
      <w:r w:rsidRPr="00075AEE">
        <w:rPr>
          <w:rFonts w:ascii="Times New Roman" w:hAnsi="Times New Roman" w:cs="Times New Roman"/>
          <w:b/>
          <w:noProof/>
        </w:rPr>
        <w:drawing>
          <wp:inline distT="0" distB="0" distL="0" distR="0" wp14:anchorId="607E54EE" wp14:editId="698D0A78">
            <wp:extent cx="7297177" cy="3996891"/>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102">
                      <a:extLst>
                        <a:ext uri="{28A0092B-C50C-407E-A947-70E740481C1C}">
                          <a14:useLocalDpi xmlns:a14="http://schemas.microsoft.com/office/drawing/2010/main" val="0"/>
                        </a:ext>
                      </a:extLst>
                    </a:blip>
                    <a:srcRect t="9980" r="4062" b="18036"/>
                    <a:stretch/>
                  </pic:blipFill>
                  <pic:spPr bwMode="auto">
                    <a:xfrm>
                      <a:off x="0" y="0"/>
                      <a:ext cx="7299522" cy="3998175"/>
                    </a:xfrm>
                    <a:prstGeom prst="rect">
                      <a:avLst/>
                    </a:prstGeom>
                    <a:ln>
                      <a:noFill/>
                    </a:ln>
                    <a:extLst>
                      <a:ext uri="{53640926-AAD7-44d8-BBD7-CCE9431645EC}">
                        <a14:shadowObscured xmlns:a14="http://schemas.microsoft.com/office/drawing/2010/main"/>
                      </a:ext>
                    </a:extLst>
                  </pic:spPr>
                </pic:pic>
              </a:graphicData>
            </a:graphic>
          </wp:inline>
        </w:drawing>
      </w:r>
      <w:r w:rsidRPr="00075AEE">
        <w:rPr>
          <w:rFonts w:ascii="Times New Roman" w:hAnsi="Times New Roman" w:cs="Times New Roman"/>
          <w:b/>
          <w:noProof/>
        </w:rPr>
        <w:t xml:space="preserve"> </w:t>
      </w:r>
    </w:p>
    <w:p w14:paraId="33233A65" w14:textId="77777777" w:rsidR="004C1D27" w:rsidRDefault="00075AEE" w:rsidP="00AB1419">
      <w:pPr>
        <w:pStyle w:val="Caption"/>
        <w:rPr>
          <w:noProof/>
        </w:rPr>
      </w:pPr>
      <w:bookmarkStart w:id="2141" w:name="_Toc333569094"/>
      <w:bookmarkStart w:id="2142" w:name="_Toc333569317"/>
      <w:bookmarkStart w:id="2143" w:name="_Toc333570871"/>
      <w:bookmarkStart w:id="2144" w:name="_Toc333582254"/>
      <w:bookmarkStart w:id="2145" w:name="_Toc333582374"/>
      <w:bookmarkStart w:id="2146" w:name="_Toc333582786"/>
      <w:bookmarkStart w:id="2147" w:name="_Toc333583156"/>
      <w:bookmarkStart w:id="2148" w:name="_Toc333585270"/>
      <w:bookmarkStart w:id="2149" w:name="_Toc333586822"/>
      <w:bookmarkStart w:id="2150" w:name="_Toc333644521"/>
      <w:bookmarkStart w:id="2151" w:name="_Toc333644815"/>
      <w:r>
        <w:rPr>
          <w:noProof/>
        </w:rPr>
        <w:t>Figure 5.17</w:t>
      </w:r>
      <w:r w:rsidR="0043060F">
        <w:rPr>
          <w:noProof/>
        </w:rPr>
        <w:t>.</w:t>
      </w:r>
      <w:r>
        <w:rPr>
          <w:noProof/>
        </w:rPr>
        <w:t xml:space="preserve"> Downregulated genes in the oxidative phosphorylation pathway (KEGG).</w:t>
      </w:r>
      <w:bookmarkEnd w:id="2141"/>
      <w:bookmarkEnd w:id="2142"/>
      <w:bookmarkEnd w:id="2143"/>
      <w:bookmarkEnd w:id="2144"/>
      <w:bookmarkEnd w:id="2145"/>
      <w:bookmarkEnd w:id="2146"/>
      <w:bookmarkEnd w:id="2147"/>
      <w:bookmarkEnd w:id="2148"/>
      <w:bookmarkEnd w:id="2149"/>
      <w:bookmarkEnd w:id="2150"/>
      <w:bookmarkEnd w:id="2151"/>
      <w:r>
        <w:rPr>
          <w:noProof/>
        </w:rPr>
        <w:t xml:space="preserve"> </w:t>
      </w:r>
    </w:p>
    <w:p w14:paraId="3EDE4410" w14:textId="69841486" w:rsidR="00075AEE" w:rsidRPr="006C487D" w:rsidRDefault="00075AEE" w:rsidP="00C63BC1">
      <w:pPr>
        <w:spacing w:line="360" w:lineRule="auto"/>
        <w:jc w:val="both"/>
        <w:rPr>
          <w:rFonts w:ascii="Times New Roman" w:hAnsi="Times New Roman" w:cs="Times New Roman"/>
          <w:noProof/>
        </w:rPr>
      </w:pPr>
      <w:r>
        <w:rPr>
          <w:rFonts w:ascii="Times New Roman" w:hAnsi="Times New Roman" w:cs="Times New Roman"/>
          <w:noProof/>
        </w:rPr>
        <w:t>The oxidative phosphorylation pathway is critical for sustaining ATP production for the cell. Red stars highlight particular genes downregulated in IGF1R impaired astrocytes. The red arrow</w:t>
      </w:r>
      <w:r w:rsidR="003A101E">
        <w:rPr>
          <w:rFonts w:ascii="Times New Roman" w:hAnsi="Times New Roman" w:cs="Times New Roman"/>
          <w:noProof/>
        </w:rPr>
        <w:t xml:space="preserve">s indicate the </w:t>
      </w:r>
      <w:r>
        <w:rPr>
          <w:rFonts w:ascii="Times New Roman" w:hAnsi="Times New Roman" w:cs="Times New Roman"/>
          <w:noProof/>
        </w:rPr>
        <w:t xml:space="preserve">complexes in the mitochondrial respiratory chain in which the downregulated genes are found. (Diagram was taken from </w:t>
      </w:r>
      <w:r w:rsidRPr="00075AEE">
        <w:rPr>
          <w:rFonts w:ascii="Times New Roman" w:hAnsi="Times New Roman" w:cs="Times New Roman"/>
          <w:noProof/>
        </w:rPr>
        <w:t>http://www.genome.jp/kegg/pathway/map/map00190.html</w:t>
      </w:r>
      <w:r>
        <w:rPr>
          <w:rFonts w:ascii="Times New Roman" w:hAnsi="Times New Roman" w:cs="Times New Roman"/>
          <w:noProof/>
        </w:rPr>
        <w:t>.)</w:t>
      </w:r>
    </w:p>
    <w:p w14:paraId="4B53528F" w14:textId="62D79FE4" w:rsidR="00075AEE" w:rsidRDefault="00075AEE" w:rsidP="00964163">
      <w:pPr>
        <w:rPr>
          <w:rFonts w:ascii="Times New Roman" w:hAnsi="Times New Roman" w:cs="Times New Roman"/>
          <w:b/>
          <w:noProof/>
        </w:rPr>
        <w:sectPr w:rsidR="00075AEE" w:rsidSect="00075AEE">
          <w:pgSz w:w="16840" w:h="11900" w:orient="landscape"/>
          <w:pgMar w:top="2268" w:right="1440" w:bottom="1134" w:left="1440" w:header="709" w:footer="709" w:gutter="0"/>
          <w:cols w:space="708"/>
          <w:docGrid w:linePitch="360"/>
        </w:sectPr>
      </w:pPr>
    </w:p>
    <w:p w14:paraId="0FAE3181" w14:textId="77777777" w:rsidR="004C1D27" w:rsidRDefault="00A3722E" w:rsidP="004D474F">
      <w:pPr>
        <w:pStyle w:val="Heading5"/>
        <w:rPr>
          <w:noProof/>
        </w:rPr>
      </w:pPr>
      <w:bookmarkStart w:id="2152" w:name="_Toc333569363"/>
      <w:bookmarkStart w:id="2153" w:name="_Toc333570901"/>
      <w:bookmarkStart w:id="2154" w:name="_Toc333585982"/>
      <w:bookmarkStart w:id="2155" w:name="_Toc333586858"/>
      <w:bookmarkStart w:id="2156" w:name="_Toc333644557"/>
      <w:bookmarkStart w:id="2157" w:name="_Toc333644851"/>
      <w:r>
        <w:rPr>
          <w:noProof/>
        </w:rPr>
        <w:t>Table 5.14</w:t>
      </w:r>
      <w:r w:rsidR="0043060F">
        <w:rPr>
          <w:noProof/>
        </w:rPr>
        <w:t>.</w:t>
      </w:r>
      <w:r w:rsidR="00964163">
        <w:rPr>
          <w:noProof/>
        </w:rPr>
        <w:t xml:space="preserve"> </w:t>
      </w:r>
      <w:r w:rsidR="00027E47">
        <w:rPr>
          <w:noProof/>
        </w:rPr>
        <w:t>T</w:t>
      </w:r>
      <w:r w:rsidR="00964163">
        <w:rPr>
          <w:noProof/>
        </w:rPr>
        <w:t>ranscripts involved in mitochondrial function that are dysregulated in IGF1R impaired astrocytes.</w:t>
      </w:r>
      <w:bookmarkEnd w:id="2152"/>
      <w:bookmarkEnd w:id="2153"/>
      <w:bookmarkEnd w:id="2154"/>
      <w:bookmarkEnd w:id="2155"/>
      <w:bookmarkEnd w:id="2156"/>
      <w:bookmarkEnd w:id="2157"/>
      <w:r w:rsidR="00685805">
        <w:rPr>
          <w:noProof/>
        </w:rPr>
        <w:t xml:space="preserve"> </w:t>
      </w:r>
    </w:p>
    <w:p w14:paraId="060EC88A" w14:textId="28ADDFC1" w:rsidR="00964163" w:rsidRDefault="00685805" w:rsidP="00C63BC1">
      <w:pPr>
        <w:spacing w:line="360" w:lineRule="auto"/>
        <w:jc w:val="both"/>
        <w:rPr>
          <w:rFonts w:ascii="Times New Roman" w:hAnsi="Times New Roman" w:cs="Times New Roman"/>
          <w:noProof/>
        </w:rPr>
      </w:pPr>
      <w:r>
        <w:rPr>
          <w:rFonts w:ascii="Times New Roman" w:hAnsi="Times New Roman" w:cs="Times New Roman"/>
          <w:noProof/>
        </w:rPr>
        <w:t>A list of 33 g</w:t>
      </w:r>
      <w:r w:rsidR="00964163">
        <w:rPr>
          <w:rFonts w:ascii="Times New Roman" w:hAnsi="Times New Roman" w:cs="Times New Roman"/>
          <w:noProof/>
        </w:rPr>
        <w:t xml:space="preserve">enes involved in mitochondrial function that are </w:t>
      </w:r>
      <w:r w:rsidR="00027E47">
        <w:rPr>
          <w:rFonts w:ascii="Times New Roman" w:hAnsi="Times New Roman" w:cs="Times New Roman"/>
          <w:noProof/>
        </w:rPr>
        <w:t>downregulated</w:t>
      </w:r>
      <w:r w:rsidR="00964163">
        <w:rPr>
          <w:rFonts w:ascii="Times New Roman" w:hAnsi="Times New Roman" w:cs="Times New Roman"/>
          <w:noProof/>
        </w:rPr>
        <w:t xml:space="preserve"> in IGF1R impaired astrocytes compared with untreated astrocytes. Fold change (FC) and P-values are also shown. </w:t>
      </w:r>
    </w:p>
    <w:p w14:paraId="003015FA" w14:textId="77777777" w:rsidR="00964163" w:rsidRDefault="00964163" w:rsidP="00964163">
      <w:pPr>
        <w:spacing w:line="360" w:lineRule="auto"/>
        <w:rPr>
          <w:rFonts w:ascii="Times New Roman" w:hAnsi="Times New Roman" w:cs="Times New Roman"/>
          <w:noProof/>
        </w:rPr>
      </w:pPr>
    </w:p>
    <w:tbl>
      <w:tblPr>
        <w:tblW w:w="8670" w:type="dxa"/>
        <w:tblInd w:w="93" w:type="dxa"/>
        <w:tblLook w:val="04A0" w:firstRow="1" w:lastRow="0" w:firstColumn="1" w:lastColumn="0" w:noHBand="0" w:noVBand="1"/>
      </w:tblPr>
      <w:tblGrid>
        <w:gridCol w:w="1231"/>
        <w:gridCol w:w="5966"/>
        <w:gridCol w:w="648"/>
        <w:gridCol w:w="1077"/>
      </w:tblGrid>
      <w:tr w:rsidR="00027E47" w:rsidRPr="00027E47" w14:paraId="21C8838F" w14:textId="77777777" w:rsidTr="00027E47">
        <w:trPr>
          <w:trHeight w:val="280"/>
        </w:trPr>
        <w:tc>
          <w:tcPr>
            <w:tcW w:w="979" w:type="dxa"/>
            <w:tcBorders>
              <w:top w:val="single" w:sz="4" w:space="0" w:color="auto"/>
              <w:left w:val="nil"/>
              <w:bottom w:val="single" w:sz="4" w:space="0" w:color="auto"/>
              <w:right w:val="nil"/>
            </w:tcBorders>
            <w:shd w:val="clear" w:color="auto" w:fill="auto"/>
            <w:noWrap/>
            <w:vAlign w:val="bottom"/>
            <w:hideMark/>
          </w:tcPr>
          <w:p w14:paraId="6AF6D27C" w14:textId="77777777" w:rsidR="00027E47" w:rsidRPr="00027E47" w:rsidRDefault="00027E47" w:rsidP="00454D06">
            <w:pPr>
              <w:rPr>
                <w:rFonts w:ascii="Times New Roman" w:eastAsia="Times New Roman" w:hAnsi="Times New Roman" w:cs="Times New Roman"/>
                <w:b/>
                <w:bCs/>
                <w:color w:val="000000"/>
                <w:sz w:val="22"/>
                <w:szCs w:val="22"/>
                <w:lang w:val="en-GB"/>
              </w:rPr>
            </w:pPr>
            <w:r w:rsidRPr="00027E47">
              <w:rPr>
                <w:rFonts w:ascii="Times New Roman" w:eastAsia="Times New Roman" w:hAnsi="Times New Roman" w:cs="Times New Roman"/>
                <w:b/>
                <w:bCs/>
                <w:color w:val="000000"/>
                <w:sz w:val="22"/>
                <w:szCs w:val="22"/>
                <w:lang w:val="en-GB"/>
              </w:rPr>
              <w:t>Gene Symbol</w:t>
            </w:r>
          </w:p>
        </w:tc>
        <w:tc>
          <w:tcPr>
            <w:tcW w:w="5966" w:type="dxa"/>
            <w:tcBorders>
              <w:top w:val="single" w:sz="4" w:space="0" w:color="auto"/>
              <w:left w:val="nil"/>
              <w:bottom w:val="single" w:sz="4" w:space="0" w:color="auto"/>
              <w:right w:val="nil"/>
            </w:tcBorders>
            <w:shd w:val="clear" w:color="auto" w:fill="auto"/>
            <w:noWrap/>
            <w:vAlign w:val="bottom"/>
            <w:hideMark/>
          </w:tcPr>
          <w:p w14:paraId="19F5D1D7" w14:textId="77777777" w:rsidR="00027E47" w:rsidRPr="00027E47" w:rsidRDefault="00027E47" w:rsidP="00454D06">
            <w:pPr>
              <w:rPr>
                <w:rFonts w:ascii="Times New Roman" w:eastAsia="Times New Roman" w:hAnsi="Times New Roman" w:cs="Times New Roman"/>
                <w:b/>
                <w:bCs/>
                <w:color w:val="000000"/>
                <w:sz w:val="22"/>
                <w:szCs w:val="22"/>
                <w:lang w:val="en-GB"/>
              </w:rPr>
            </w:pPr>
            <w:r w:rsidRPr="00027E47">
              <w:rPr>
                <w:rFonts w:ascii="Times New Roman" w:eastAsia="Times New Roman" w:hAnsi="Times New Roman" w:cs="Times New Roman"/>
                <w:b/>
                <w:bCs/>
                <w:color w:val="000000"/>
                <w:sz w:val="22"/>
                <w:szCs w:val="22"/>
                <w:lang w:val="en-GB"/>
              </w:rPr>
              <w:t>Gene Name</w:t>
            </w:r>
          </w:p>
        </w:tc>
        <w:tc>
          <w:tcPr>
            <w:tcW w:w="648" w:type="dxa"/>
            <w:tcBorders>
              <w:top w:val="single" w:sz="4" w:space="0" w:color="auto"/>
              <w:left w:val="nil"/>
              <w:bottom w:val="single" w:sz="4" w:space="0" w:color="auto"/>
              <w:right w:val="nil"/>
            </w:tcBorders>
            <w:shd w:val="clear" w:color="auto" w:fill="auto"/>
            <w:noWrap/>
            <w:vAlign w:val="bottom"/>
            <w:hideMark/>
          </w:tcPr>
          <w:p w14:paraId="067FE313" w14:textId="77777777" w:rsidR="00027E47" w:rsidRPr="00027E47" w:rsidRDefault="00027E47" w:rsidP="00454D06">
            <w:pPr>
              <w:rPr>
                <w:rFonts w:ascii="Times New Roman" w:eastAsia="Times New Roman" w:hAnsi="Times New Roman" w:cs="Times New Roman"/>
                <w:b/>
                <w:bCs/>
                <w:color w:val="000000"/>
                <w:sz w:val="22"/>
                <w:szCs w:val="22"/>
                <w:lang w:val="en-GB"/>
              </w:rPr>
            </w:pPr>
            <w:r w:rsidRPr="00027E47">
              <w:rPr>
                <w:rFonts w:ascii="Times New Roman" w:eastAsia="Times New Roman" w:hAnsi="Times New Roman" w:cs="Times New Roman"/>
                <w:b/>
                <w:bCs/>
                <w:color w:val="000000"/>
                <w:sz w:val="22"/>
                <w:szCs w:val="22"/>
                <w:lang w:val="en-GB"/>
              </w:rPr>
              <w:t>FC</w:t>
            </w:r>
          </w:p>
        </w:tc>
        <w:tc>
          <w:tcPr>
            <w:tcW w:w="1077" w:type="dxa"/>
            <w:tcBorders>
              <w:top w:val="single" w:sz="4" w:space="0" w:color="auto"/>
              <w:left w:val="nil"/>
              <w:bottom w:val="single" w:sz="4" w:space="0" w:color="auto"/>
              <w:right w:val="nil"/>
            </w:tcBorders>
            <w:shd w:val="clear" w:color="auto" w:fill="auto"/>
            <w:noWrap/>
            <w:vAlign w:val="bottom"/>
            <w:hideMark/>
          </w:tcPr>
          <w:p w14:paraId="73370BB1" w14:textId="77777777" w:rsidR="00027E47" w:rsidRPr="00027E47" w:rsidRDefault="00027E47" w:rsidP="00454D06">
            <w:pPr>
              <w:rPr>
                <w:rFonts w:ascii="Times New Roman" w:eastAsia="Times New Roman" w:hAnsi="Times New Roman" w:cs="Times New Roman"/>
                <w:b/>
                <w:bCs/>
                <w:color w:val="000000"/>
                <w:sz w:val="22"/>
                <w:szCs w:val="22"/>
                <w:lang w:val="en-GB"/>
              </w:rPr>
            </w:pPr>
            <w:r w:rsidRPr="00027E47">
              <w:rPr>
                <w:rFonts w:ascii="Times New Roman" w:eastAsia="Times New Roman" w:hAnsi="Times New Roman" w:cs="Times New Roman"/>
                <w:b/>
                <w:bCs/>
                <w:color w:val="000000"/>
                <w:sz w:val="22"/>
                <w:szCs w:val="22"/>
                <w:lang w:val="en-GB"/>
              </w:rPr>
              <w:t>P-value</w:t>
            </w:r>
          </w:p>
        </w:tc>
      </w:tr>
      <w:tr w:rsidR="00027E47" w:rsidRPr="00027E47" w14:paraId="10F6553C" w14:textId="77777777" w:rsidTr="00027E47">
        <w:trPr>
          <w:trHeight w:val="280"/>
        </w:trPr>
        <w:tc>
          <w:tcPr>
            <w:tcW w:w="979" w:type="dxa"/>
            <w:tcBorders>
              <w:top w:val="nil"/>
              <w:left w:val="nil"/>
              <w:bottom w:val="nil"/>
              <w:right w:val="nil"/>
            </w:tcBorders>
            <w:shd w:val="clear" w:color="000000" w:fill="FF0000"/>
            <w:noWrap/>
            <w:vAlign w:val="bottom"/>
            <w:hideMark/>
          </w:tcPr>
          <w:p w14:paraId="246BBAF9"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ATP5C1</w:t>
            </w:r>
          </w:p>
        </w:tc>
        <w:tc>
          <w:tcPr>
            <w:tcW w:w="5966" w:type="dxa"/>
            <w:tcBorders>
              <w:top w:val="nil"/>
              <w:left w:val="nil"/>
              <w:bottom w:val="nil"/>
              <w:right w:val="nil"/>
            </w:tcBorders>
            <w:shd w:val="clear" w:color="auto" w:fill="auto"/>
            <w:noWrap/>
            <w:vAlign w:val="bottom"/>
            <w:hideMark/>
          </w:tcPr>
          <w:p w14:paraId="53F0BADF"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ATP synthase, H+ transporting, mitochondrial F1 complex, gamma polypeptide 1</w:t>
            </w:r>
          </w:p>
        </w:tc>
        <w:tc>
          <w:tcPr>
            <w:tcW w:w="648" w:type="dxa"/>
            <w:tcBorders>
              <w:top w:val="nil"/>
              <w:left w:val="nil"/>
              <w:bottom w:val="nil"/>
              <w:right w:val="nil"/>
            </w:tcBorders>
            <w:shd w:val="clear" w:color="auto" w:fill="auto"/>
            <w:noWrap/>
            <w:vAlign w:val="bottom"/>
            <w:hideMark/>
          </w:tcPr>
          <w:p w14:paraId="553DE3BD"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0.72</w:t>
            </w:r>
          </w:p>
        </w:tc>
        <w:tc>
          <w:tcPr>
            <w:tcW w:w="1077" w:type="dxa"/>
            <w:tcBorders>
              <w:top w:val="nil"/>
              <w:left w:val="nil"/>
              <w:bottom w:val="nil"/>
              <w:right w:val="nil"/>
            </w:tcBorders>
            <w:shd w:val="clear" w:color="auto" w:fill="auto"/>
            <w:noWrap/>
            <w:vAlign w:val="bottom"/>
            <w:hideMark/>
          </w:tcPr>
          <w:p w14:paraId="4256A4A0"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5.0E-02</w:t>
            </w:r>
          </w:p>
        </w:tc>
      </w:tr>
      <w:tr w:rsidR="00027E47" w:rsidRPr="00027E47" w14:paraId="32D84210" w14:textId="77777777" w:rsidTr="00027E47">
        <w:trPr>
          <w:trHeight w:val="280"/>
        </w:trPr>
        <w:tc>
          <w:tcPr>
            <w:tcW w:w="979" w:type="dxa"/>
            <w:tcBorders>
              <w:top w:val="nil"/>
              <w:left w:val="nil"/>
              <w:bottom w:val="nil"/>
              <w:right w:val="nil"/>
            </w:tcBorders>
            <w:shd w:val="clear" w:color="000000" w:fill="FF0000"/>
            <w:noWrap/>
            <w:vAlign w:val="bottom"/>
            <w:hideMark/>
          </w:tcPr>
          <w:p w14:paraId="5530A0BC"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NDUFA1</w:t>
            </w:r>
          </w:p>
        </w:tc>
        <w:tc>
          <w:tcPr>
            <w:tcW w:w="5966" w:type="dxa"/>
            <w:tcBorders>
              <w:top w:val="nil"/>
              <w:left w:val="nil"/>
              <w:bottom w:val="nil"/>
              <w:right w:val="nil"/>
            </w:tcBorders>
            <w:shd w:val="clear" w:color="auto" w:fill="auto"/>
            <w:noWrap/>
            <w:vAlign w:val="bottom"/>
            <w:hideMark/>
          </w:tcPr>
          <w:p w14:paraId="45932024"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NADH dehydrogenase (ubiquinone) 1 alpha subcomplex, 1</w:t>
            </w:r>
          </w:p>
        </w:tc>
        <w:tc>
          <w:tcPr>
            <w:tcW w:w="648" w:type="dxa"/>
            <w:tcBorders>
              <w:top w:val="nil"/>
              <w:left w:val="nil"/>
              <w:bottom w:val="nil"/>
              <w:right w:val="nil"/>
            </w:tcBorders>
            <w:shd w:val="clear" w:color="auto" w:fill="auto"/>
            <w:noWrap/>
            <w:vAlign w:val="bottom"/>
            <w:hideMark/>
          </w:tcPr>
          <w:p w14:paraId="3844E8BC"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0.65</w:t>
            </w:r>
          </w:p>
        </w:tc>
        <w:tc>
          <w:tcPr>
            <w:tcW w:w="1077" w:type="dxa"/>
            <w:tcBorders>
              <w:top w:val="nil"/>
              <w:left w:val="nil"/>
              <w:bottom w:val="nil"/>
              <w:right w:val="nil"/>
            </w:tcBorders>
            <w:shd w:val="clear" w:color="auto" w:fill="auto"/>
            <w:noWrap/>
            <w:vAlign w:val="bottom"/>
            <w:hideMark/>
          </w:tcPr>
          <w:p w14:paraId="46A13E1A"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3.0E-02</w:t>
            </w:r>
          </w:p>
        </w:tc>
      </w:tr>
      <w:tr w:rsidR="00027E47" w:rsidRPr="00027E47" w14:paraId="39E6789C" w14:textId="77777777" w:rsidTr="00027E47">
        <w:trPr>
          <w:trHeight w:val="280"/>
        </w:trPr>
        <w:tc>
          <w:tcPr>
            <w:tcW w:w="979" w:type="dxa"/>
            <w:tcBorders>
              <w:top w:val="nil"/>
              <w:left w:val="nil"/>
              <w:bottom w:val="nil"/>
              <w:right w:val="nil"/>
            </w:tcBorders>
            <w:shd w:val="clear" w:color="000000" w:fill="FF0000"/>
            <w:noWrap/>
            <w:vAlign w:val="bottom"/>
            <w:hideMark/>
          </w:tcPr>
          <w:p w14:paraId="2D6B38C1"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NDUFA2</w:t>
            </w:r>
          </w:p>
        </w:tc>
        <w:tc>
          <w:tcPr>
            <w:tcW w:w="5966" w:type="dxa"/>
            <w:tcBorders>
              <w:top w:val="nil"/>
              <w:left w:val="nil"/>
              <w:bottom w:val="nil"/>
              <w:right w:val="nil"/>
            </w:tcBorders>
            <w:shd w:val="clear" w:color="auto" w:fill="auto"/>
            <w:noWrap/>
            <w:vAlign w:val="bottom"/>
            <w:hideMark/>
          </w:tcPr>
          <w:p w14:paraId="056D0EE5"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NADH dehydrogenase (ubiquinone) 1 alpha subcomplex, 2</w:t>
            </w:r>
          </w:p>
        </w:tc>
        <w:tc>
          <w:tcPr>
            <w:tcW w:w="648" w:type="dxa"/>
            <w:tcBorders>
              <w:top w:val="nil"/>
              <w:left w:val="nil"/>
              <w:bottom w:val="nil"/>
              <w:right w:val="nil"/>
            </w:tcBorders>
            <w:shd w:val="clear" w:color="auto" w:fill="auto"/>
            <w:noWrap/>
            <w:vAlign w:val="bottom"/>
            <w:hideMark/>
          </w:tcPr>
          <w:p w14:paraId="43E1254F"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0.71</w:t>
            </w:r>
          </w:p>
        </w:tc>
        <w:tc>
          <w:tcPr>
            <w:tcW w:w="1077" w:type="dxa"/>
            <w:tcBorders>
              <w:top w:val="nil"/>
              <w:left w:val="nil"/>
              <w:bottom w:val="nil"/>
              <w:right w:val="nil"/>
            </w:tcBorders>
            <w:shd w:val="clear" w:color="auto" w:fill="auto"/>
            <w:noWrap/>
            <w:vAlign w:val="bottom"/>
            <w:hideMark/>
          </w:tcPr>
          <w:p w14:paraId="2F61116E"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4.0E-03</w:t>
            </w:r>
          </w:p>
        </w:tc>
      </w:tr>
      <w:tr w:rsidR="00027E47" w:rsidRPr="00027E47" w14:paraId="3DD40D84" w14:textId="77777777" w:rsidTr="00027E47">
        <w:trPr>
          <w:trHeight w:val="280"/>
        </w:trPr>
        <w:tc>
          <w:tcPr>
            <w:tcW w:w="979" w:type="dxa"/>
            <w:tcBorders>
              <w:top w:val="nil"/>
              <w:left w:val="nil"/>
              <w:bottom w:val="nil"/>
              <w:right w:val="nil"/>
            </w:tcBorders>
            <w:shd w:val="clear" w:color="000000" w:fill="FF0000"/>
            <w:noWrap/>
            <w:vAlign w:val="bottom"/>
            <w:hideMark/>
          </w:tcPr>
          <w:p w14:paraId="59ADD5BB"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NDUFB3</w:t>
            </w:r>
          </w:p>
        </w:tc>
        <w:tc>
          <w:tcPr>
            <w:tcW w:w="5966" w:type="dxa"/>
            <w:tcBorders>
              <w:top w:val="nil"/>
              <w:left w:val="nil"/>
              <w:bottom w:val="nil"/>
              <w:right w:val="nil"/>
            </w:tcBorders>
            <w:shd w:val="clear" w:color="auto" w:fill="auto"/>
            <w:noWrap/>
            <w:vAlign w:val="bottom"/>
            <w:hideMark/>
          </w:tcPr>
          <w:p w14:paraId="7CED57B3"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NADH dehydrogenase (ubiquinone) 1 alpha subcomplex, 3</w:t>
            </w:r>
          </w:p>
        </w:tc>
        <w:tc>
          <w:tcPr>
            <w:tcW w:w="648" w:type="dxa"/>
            <w:tcBorders>
              <w:top w:val="nil"/>
              <w:left w:val="nil"/>
              <w:bottom w:val="nil"/>
              <w:right w:val="nil"/>
            </w:tcBorders>
            <w:shd w:val="clear" w:color="auto" w:fill="auto"/>
            <w:noWrap/>
            <w:vAlign w:val="bottom"/>
            <w:hideMark/>
          </w:tcPr>
          <w:p w14:paraId="384A5607"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0.73</w:t>
            </w:r>
          </w:p>
        </w:tc>
        <w:tc>
          <w:tcPr>
            <w:tcW w:w="1077" w:type="dxa"/>
            <w:tcBorders>
              <w:top w:val="nil"/>
              <w:left w:val="nil"/>
              <w:bottom w:val="nil"/>
              <w:right w:val="nil"/>
            </w:tcBorders>
            <w:shd w:val="clear" w:color="auto" w:fill="auto"/>
            <w:noWrap/>
            <w:vAlign w:val="bottom"/>
            <w:hideMark/>
          </w:tcPr>
          <w:p w14:paraId="16D328E1"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3.0E-02</w:t>
            </w:r>
          </w:p>
        </w:tc>
      </w:tr>
      <w:tr w:rsidR="00027E47" w:rsidRPr="00027E47" w14:paraId="4BC83F15" w14:textId="77777777" w:rsidTr="00027E47">
        <w:trPr>
          <w:trHeight w:val="280"/>
        </w:trPr>
        <w:tc>
          <w:tcPr>
            <w:tcW w:w="979" w:type="dxa"/>
            <w:tcBorders>
              <w:top w:val="nil"/>
              <w:left w:val="nil"/>
              <w:bottom w:val="nil"/>
              <w:right w:val="nil"/>
            </w:tcBorders>
            <w:shd w:val="clear" w:color="000000" w:fill="FF0000"/>
            <w:noWrap/>
            <w:vAlign w:val="bottom"/>
            <w:hideMark/>
          </w:tcPr>
          <w:p w14:paraId="0B174943"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NDUFB6</w:t>
            </w:r>
          </w:p>
        </w:tc>
        <w:tc>
          <w:tcPr>
            <w:tcW w:w="5966" w:type="dxa"/>
            <w:tcBorders>
              <w:top w:val="nil"/>
              <w:left w:val="nil"/>
              <w:bottom w:val="nil"/>
              <w:right w:val="nil"/>
            </w:tcBorders>
            <w:shd w:val="clear" w:color="auto" w:fill="auto"/>
            <w:noWrap/>
            <w:vAlign w:val="bottom"/>
            <w:hideMark/>
          </w:tcPr>
          <w:p w14:paraId="17624DAF"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NADH dehydrogenase (ubiquinone) 1 alpha subcomplex, 6</w:t>
            </w:r>
          </w:p>
        </w:tc>
        <w:tc>
          <w:tcPr>
            <w:tcW w:w="648" w:type="dxa"/>
            <w:tcBorders>
              <w:top w:val="nil"/>
              <w:left w:val="nil"/>
              <w:bottom w:val="nil"/>
              <w:right w:val="nil"/>
            </w:tcBorders>
            <w:shd w:val="clear" w:color="auto" w:fill="auto"/>
            <w:noWrap/>
            <w:vAlign w:val="bottom"/>
            <w:hideMark/>
          </w:tcPr>
          <w:p w14:paraId="314AEAD9"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0.53</w:t>
            </w:r>
          </w:p>
        </w:tc>
        <w:tc>
          <w:tcPr>
            <w:tcW w:w="1077" w:type="dxa"/>
            <w:tcBorders>
              <w:top w:val="nil"/>
              <w:left w:val="nil"/>
              <w:bottom w:val="nil"/>
              <w:right w:val="nil"/>
            </w:tcBorders>
            <w:shd w:val="clear" w:color="auto" w:fill="auto"/>
            <w:noWrap/>
            <w:vAlign w:val="bottom"/>
            <w:hideMark/>
          </w:tcPr>
          <w:p w14:paraId="22204A1F"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3.0E-03</w:t>
            </w:r>
          </w:p>
        </w:tc>
      </w:tr>
      <w:tr w:rsidR="00027E47" w:rsidRPr="00027E47" w14:paraId="617E4A8D" w14:textId="77777777" w:rsidTr="00027E47">
        <w:trPr>
          <w:trHeight w:val="280"/>
        </w:trPr>
        <w:tc>
          <w:tcPr>
            <w:tcW w:w="979" w:type="dxa"/>
            <w:tcBorders>
              <w:top w:val="nil"/>
              <w:left w:val="nil"/>
              <w:bottom w:val="nil"/>
              <w:right w:val="nil"/>
            </w:tcBorders>
            <w:shd w:val="clear" w:color="000000" w:fill="FF0000"/>
            <w:noWrap/>
            <w:vAlign w:val="bottom"/>
            <w:hideMark/>
          </w:tcPr>
          <w:p w14:paraId="5C28EED4"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NDUFAB1</w:t>
            </w:r>
          </w:p>
        </w:tc>
        <w:tc>
          <w:tcPr>
            <w:tcW w:w="5966" w:type="dxa"/>
            <w:tcBorders>
              <w:top w:val="nil"/>
              <w:left w:val="nil"/>
              <w:bottom w:val="nil"/>
              <w:right w:val="nil"/>
            </w:tcBorders>
            <w:shd w:val="clear" w:color="auto" w:fill="auto"/>
            <w:noWrap/>
            <w:vAlign w:val="bottom"/>
            <w:hideMark/>
          </w:tcPr>
          <w:p w14:paraId="295F31EE"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NADH dehydrogenase (ubiquinone) 1 alpha/beta subcomplex, 1</w:t>
            </w:r>
          </w:p>
        </w:tc>
        <w:tc>
          <w:tcPr>
            <w:tcW w:w="648" w:type="dxa"/>
            <w:tcBorders>
              <w:top w:val="nil"/>
              <w:left w:val="nil"/>
              <w:bottom w:val="nil"/>
              <w:right w:val="nil"/>
            </w:tcBorders>
            <w:shd w:val="clear" w:color="auto" w:fill="auto"/>
            <w:noWrap/>
            <w:vAlign w:val="bottom"/>
            <w:hideMark/>
          </w:tcPr>
          <w:p w14:paraId="440B350D"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0.77</w:t>
            </w:r>
          </w:p>
        </w:tc>
        <w:tc>
          <w:tcPr>
            <w:tcW w:w="1077" w:type="dxa"/>
            <w:tcBorders>
              <w:top w:val="nil"/>
              <w:left w:val="nil"/>
              <w:bottom w:val="nil"/>
              <w:right w:val="nil"/>
            </w:tcBorders>
            <w:shd w:val="clear" w:color="auto" w:fill="auto"/>
            <w:noWrap/>
            <w:vAlign w:val="bottom"/>
            <w:hideMark/>
          </w:tcPr>
          <w:p w14:paraId="7CFF1966"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1.0E-03</w:t>
            </w:r>
          </w:p>
        </w:tc>
      </w:tr>
      <w:tr w:rsidR="00027E47" w:rsidRPr="00027E47" w14:paraId="5E5EFF2D" w14:textId="77777777" w:rsidTr="00027E47">
        <w:trPr>
          <w:trHeight w:val="280"/>
        </w:trPr>
        <w:tc>
          <w:tcPr>
            <w:tcW w:w="979" w:type="dxa"/>
            <w:tcBorders>
              <w:top w:val="nil"/>
              <w:left w:val="nil"/>
              <w:bottom w:val="nil"/>
              <w:right w:val="nil"/>
            </w:tcBorders>
            <w:shd w:val="clear" w:color="000000" w:fill="FF0000"/>
            <w:noWrap/>
            <w:vAlign w:val="bottom"/>
            <w:hideMark/>
          </w:tcPr>
          <w:p w14:paraId="44FEDDA9"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YME1L1</w:t>
            </w:r>
          </w:p>
        </w:tc>
        <w:tc>
          <w:tcPr>
            <w:tcW w:w="5966" w:type="dxa"/>
            <w:tcBorders>
              <w:top w:val="nil"/>
              <w:left w:val="nil"/>
              <w:bottom w:val="nil"/>
              <w:right w:val="nil"/>
            </w:tcBorders>
            <w:shd w:val="clear" w:color="auto" w:fill="auto"/>
            <w:noWrap/>
            <w:vAlign w:val="bottom"/>
            <w:hideMark/>
          </w:tcPr>
          <w:p w14:paraId="008A7F74"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YME1-like 1</w:t>
            </w:r>
          </w:p>
        </w:tc>
        <w:tc>
          <w:tcPr>
            <w:tcW w:w="648" w:type="dxa"/>
            <w:tcBorders>
              <w:top w:val="nil"/>
              <w:left w:val="nil"/>
              <w:bottom w:val="nil"/>
              <w:right w:val="nil"/>
            </w:tcBorders>
            <w:shd w:val="clear" w:color="auto" w:fill="auto"/>
            <w:noWrap/>
            <w:vAlign w:val="bottom"/>
            <w:hideMark/>
          </w:tcPr>
          <w:p w14:paraId="5C483D8F"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0.58</w:t>
            </w:r>
          </w:p>
        </w:tc>
        <w:tc>
          <w:tcPr>
            <w:tcW w:w="1077" w:type="dxa"/>
            <w:tcBorders>
              <w:top w:val="nil"/>
              <w:left w:val="nil"/>
              <w:bottom w:val="nil"/>
              <w:right w:val="nil"/>
            </w:tcBorders>
            <w:shd w:val="clear" w:color="auto" w:fill="auto"/>
            <w:noWrap/>
            <w:vAlign w:val="bottom"/>
            <w:hideMark/>
          </w:tcPr>
          <w:p w14:paraId="5A6E8E89"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1.0E-03</w:t>
            </w:r>
          </w:p>
        </w:tc>
      </w:tr>
      <w:tr w:rsidR="00027E47" w:rsidRPr="00027E47" w14:paraId="4E0AF9C2" w14:textId="77777777" w:rsidTr="00027E47">
        <w:trPr>
          <w:trHeight w:val="280"/>
        </w:trPr>
        <w:tc>
          <w:tcPr>
            <w:tcW w:w="979" w:type="dxa"/>
            <w:tcBorders>
              <w:top w:val="nil"/>
              <w:left w:val="nil"/>
              <w:bottom w:val="nil"/>
              <w:right w:val="nil"/>
            </w:tcBorders>
            <w:shd w:val="clear" w:color="000000" w:fill="FF0000"/>
            <w:noWrap/>
            <w:vAlign w:val="bottom"/>
            <w:hideMark/>
          </w:tcPr>
          <w:p w14:paraId="7D704047"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ARG2</w:t>
            </w:r>
          </w:p>
        </w:tc>
        <w:tc>
          <w:tcPr>
            <w:tcW w:w="5966" w:type="dxa"/>
            <w:tcBorders>
              <w:top w:val="nil"/>
              <w:left w:val="nil"/>
              <w:bottom w:val="nil"/>
              <w:right w:val="nil"/>
            </w:tcBorders>
            <w:shd w:val="clear" w:color="auto" w:fill="auto"/>
            <w:noWrap/>
            <w:vAlign w:val="bottom"/>
            <w:hideMark/>
          </w:tcPr>
          <w:p w14:paraId="565EE950"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Arginase, type II</w:t>
            </w:r>
          </w:p>
        </w:tc>
        <w:tc>
          <w:tcPr>
            <w:tcW w:w="648" w:type="dxa"/>
            <w:tcBorders>
              <w:top w:val="nil"/>
              <w:left w:val="nil"/>
              <w:bottom w:val="nil"/>
              <w:right w:val="nil"/>
            </w:tcBorders>
            <w:shd w:val="clear" w:color="auto" w:fill="auto"/>
            <w:noWrap/>
            <w:vAlign w:val="bottom"/>
            <w:hideMark/>
          </w:tcPr>
          <w:p w14:paraId="12299648"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0.76</w:t>
            </w:r>
          </w:p>
        </w:tc>
        <w:tc>
          <w:tcPr>
            <w:tcW w:w="1077" w:type="dxa"/>
            <w:tcBorders>
              <w:top w:val="nil"/>
              <w:left w:val="nil"/>
              <w:bottom w:val="nil"/>
              <w:right w:val="nil"/>
            </w:tcBorders>
            <w:shd w:val="clear" w:color="auto" w:fill="auto"/>
            <w:noWrap/>
            <w:vAlign w:val="bottom"/>
            <w:hideMark/>
          </w:tcPr>
          <w:p w14:paraId="6076F111"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4.0E-03</w:t>
            </w:r>
          </w:p>
        </w:tc>
      </w:tr>
      <w:tr w:rsidR="00027E47" w:rsidRPr="00027E47" w14:paraId="4CA16549" w14:textId="77777777" w:rsidTr="00027E47">
        <w:trPr>
          <w:trHeight w:val="280"/>
        </w:trPr>
        <w:tc>
          <w:tcPr>
            <w:tcW w:w="979" w:type="dxa"/>
            <w:tcBorders>
              <w:top w:val="nil"/>
              <w:left w:val="nil"/>
              <w:bottom w:val="nil"/>
              <w:right w:val="nil"/>
            </w:tcBorders>
            <w:shd w:val="clear" w:color="000000" w:fill="FF0000"/>
            <w:noWrap/>
            <w:vAlign w:val="bottom"/>
            <w:hideMark/>
          </w:tcPr>
          <w:p w14:paraId="161C667D"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ETFA</w:t>
            </w:r>
          </w:p>
        </w:tc>
        <w:tc>
          <w:tcPr>
            <w:tcW w:w="5966" w:type="dxa"/>
            <w:tcBorders>
              <w:top w:val="nil"/>
              <w:left w:val="nil"/>
              <w:bottom w:val="nil"/>
              <w:right w:val="nil"/>
            </w:tcBorders>
            <w:shd w:val="clear" w:color="auto" w:fill="auto"/>
            <w:noWrap/>
            <w:vAlign w:val="bottom"/>
            <w:hideMark/>
          </w:tcPr>
          <w:p w14:paraId="5A94892C"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Electron-transfer-flavoprotein, alpha polypeptide</w:t>
            </w:r>
          </w:p>
        </w:tc>
        <w:tc>
          <w:tcPr>
            <w:tcW w:w="648" w:type="dxa"/>
            <w:tcBorders>
              <w:top w:val="nil"/>
              <w:left w:val="nil"/>
              <w:bottom w:val="nil"/>
              <w:right w:val="nil"/>
            </w:tcBorders>
            <w:shd w:val="clear" w:color="auto" w:fill="auto"/>
            <w:noWrap/>
            <w:vAlign w:val="bottom"/>
            <w:hideMark/>
          </w:tcPr>
          <w:p w14:paraId="0F5F4CEE"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0.71</w:t>
            </w:r>
          </w:p>
        </w:tc>
        <w:tc>
          <w:tcPr>
            <w:tcW w:w="1077" w:type="dxa"/>
            <w:tcBorders>
              <w:top w:val="nil"/>
              <w:left w:val="nil"/>
              <w:bottom w:val="nil"/>
              <w:right w:val="nil"/>
            </w:tcBorders>
            <w:shd w:val="clear" w:color="auto" w:fill="auto"/>
            <w:noWrap/>
            <w:vAlign w:val="bottom"/>
            <w:hideMark/>
          </w:tcPr>
          <w:p w14:paraId="5617082C"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4.0E-03</w:t>
            </w:r>
          </w:p>
        </w:tc>
      </w:tr>
      <w:tr w:rsidR="00027E47" w:rsidRPr="00027E47" w14:paraId="323B0E08" w14:textId="77777777" w:rsidTr="00027E47">
        <w:trPr>
          <w:trHeight w:val="280"/>
        </w:trPr>
        <w:tc>
          <w:tcPr>
            <w:tcW w:w="979" w:type="dxa"/>
            <w:tcBorders>
              <w:top w:val="nil"/>
              <w:left w:val="nil"/>
              <w:bottom w:val="nil"/>
              <w:right w:val="nil"/>
            </w:tcBorders>
            <w:shd w:val="clear" w:color="000000" w:fill="FF0000"/>
            <w:noWrap/>
            <w:vAlign w:val="bottom"/>
            <w:hideMark/>
          </w:tcPr>
          <w:p w14:paraId="66B79189"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GOLPH3</w:t>
            </w:r>
          </w:p>
        </w:tc>
        <w:tc>
          <w:tcPr>
            <w:tcW w:w="5966" w:type="dxa"/>
            <w:tcBorders>
              <w:top w:val="nil"/>
              <w:left w:val="nil"/>
              <w:bottom w:val="nil"/>
              <w:right w:val="nil"/>
            </w:tcBorders>
            <w:shd w:val="clear" w:color="auto" w:fill="auto"/>
            <w:noWrap/>
            <w:vAlign w:val="bottom"/>
            <w:hideMark/>
          </w:tcPr>
          <w:p w14:paraId="2B5723D1"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Golgi phosphoprotein 3</w:t>
            </w:r>
          </w:p>
        </w:tc>
        <w:tc>
          <w:tcPr>
            <w:tcW w:w="648" w:type="dxa"/>
            <w:tcBorders>
              <w:top w:val="nil"/>
              <w:left w:val="nil"/>
              <w:bottom w:val="nil"/>
              <w:right w:val="nil"/>
            </w:tcBorders>
            <w:shd w:val="clear" w:color="auto" w:fill="auto"/>
            <w:noWrap/>
            <w:vAlign w:val="bottom"/>
            <w:hideMark/>
          </w:tcPr>
          <w:p w14:paraId="4905C3BF"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0.82</w:t>
            </w:r>
          </w:p>
        </w:tc>
        <w:tc>
          <w:tcPr>
            <w:tcW w:w="1077" w:type="dxa"/>
            <w:tcBorders>
              <w:top w:val="nil"/>
              <w:left w:val="nil"/>
              <w:bottom w:val="nil"/>
              <w:right w:val="nil"/>
            </w:tcBorders>
            <w:shd w:val="clear" w:color="auto" w:fill="auto"/>
            <w:noWrap/>
            <w:vAlign w:val="bottom"/>
            <w:hideMark/>
          </w:tcPr>
          <w:p w14:paraId="7D33406A"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3.0E-02</w:t>
            </w:r>
          </w:p>
        </w:tc>
      </w:tr>
      <w:tr w:rsidR="00027E47" w:rsidRPr="00027E47" w14:paraId="11B05490" w14:textId="77777777" w:rsidTr="00027E47">
        <w:trPr>
          <w:trHeight w:val="280"/>
        </w:trPr>
        <w:tc>
          <w:tcPr>
            <w:tcW w:w="979" w:type="dxa"/>
            <w:tcBorders>
              <w:top w:val="nil"/>
              <w:left w:val="nil"/>
              <w:bottom w:val="nil"/>
              <w:right w:val="nil"/>
            </w:tcBorders>
            <w:shd w:val="clear" w:color="000000" w:fill="FF0000"/>
            <w:noWrap/>
            <w:vAlign w:val="bottom"/>
            <w:hideMark/>
          </w:tcPr>
          <w:p w14:paraId="1E96158F"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MMADHC</w:t>
            </w:r>
          </w:p>
        </w:tc>
        <w:tc>
          <w:tcPr>
            <w:tcW w:w="5966" w:type="dxa"/>
            <w:tcBorders>
              <w:top w:val="nil"/>
              <w:left w:val="nil"/>
              <w:bottom w:val="nil"/>
              <w:right w:val="nil"/>
            </w:tcBorders>
            <w:shd w:val="clear" w:color="auto" w:fill="auto"/>
            <w:noWrap/>
            <w:vAlign w:val="bottom"/>
            <w:hideMark/>
          </w:tcPr>
          <w:p w14:paraId="7EC5E1D1"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Methylmalonic aciduria</w:t>
            </w:r>
          </w:p>
        </w:tc>
        <w:tc>
          <w:tcPr>
            <w:tcW w:w="648" w:type="dxa"/>
            <w:tcBorders>
              <w:top w:val="nil"/>
              <w:left w:val="nil"/>
              <w:bottom w:val="nil"/>
              <w:right w:val="nil"/>
            </w:tcBorders>
            <w:shd w:val="clear" w:color="auto" w:fill="auto"/>
            <w:noWrap/>
            <w:vAlign w:val="bottom"/>
            <w:hideMark/>
          </w:tcPr>
          <w:p w14:paraId="08750B16"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0.71</w:t>
            </w:r>
          </w:p>
        </w:tc>
        <w:tc>
          <w:tcPr>
            <w:tcW w:w="1077" w:type="dxa"/>
            <w:tcBorders>
              <w:top w:val="nil"/>
              <w:left w:val="nil"/>
              <w:bottom w:val="nil"/>
              <w:right w:val="nil"/>
            </w:tcBorders>
            <w:shd w:val="clear" w:color="auto" w:fill="auto"/>
            <w:noWrap/>
            <w:vAlign w:val="bottom"/>
            <w:hideMark/>
          </w:tcPr>
          <w:p w14:paraId="0D36FDB9"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3.0E-04</w:t>
            </w:r>
          </w:p>
        </w:tc>
      </w:tr>
      <w:tr w:rsidR="00027E47" w:rsidRPr="00027E47" w14:paraId="2A7BE06C" w14:textId="77777777" w:rsidTr="00027E47">
        <w:trPr>
          <w:trHeight w:val="280"/>
        </w:trPr>
        <w:tc>
          <w:tcPr>
            <w:tcW w:w="979" w:type="dxa"/>
            <w:tcBorders>
              <w:top w:val="nil"/>
              <w:left w:val="nil"/>
              <w:bottom w:val="nil"/>
              <w:right w:val="nil"/>
            </w:tcBorders>
            <w:shd w:val="clear" w:color="000000" w:fill="FF0000"/>
            <w:noWrap/>
            <w:vAlign w:val="bottom"/>
            <w:hideMark/>
          </w:tcPr>
          <w:p w14:paraId="34A8CE30"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MGST1</w:t>
            </w:r>
          </w:p>
        </w:tc>
        <w:tc>
          <w:tcPr>
            <w:tcW w:w="5966" w:type="dxa"/>
            <w:tcBorders>
              <w:top w:val="nil"/>
              <w:left w:val="nil"/>
              <w:bottom w:val="nil"/>
              <w:right w:val="nil"/>
            </w:tcBorders>
            <w:shd w:val="clear" w:color="auto" w:fill="auto"/>
            <w:noWrap/>
            <w:vAlign w:val="bottom"/>
            <w:hideMark/>
          </w:tcPr>
          <w:p w14:paraId="4AFAD1EA"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Microsomal glutathione S-transferase 1</w:t>
            </w:r>
          </w:p>
        </w:tc>
        <w:tc>
          <w:tcPr>
            <w:tcW w:w="648" w:type="dxa"/>
            <w:tcBorders>
              <w:top w:val="nil"/>
              <w:left w:val="nil"/>
              <w:bottom w:val="nil"/>
              <w:right w:val="nil"/>
            </w:tcBorders>
            <w:shd w:val="clear" w:color="auto" w:fill="auto"/>
            <w:noWrap/>
            <w:vAlign w:val="bottom"/>
            <w:hideMark/>
          </w:tcPr>
          <w:p w14:paraId="1353ECFB"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0.77</w:t>
            </w:r>
          </w:p>
        </w:tc>
        <w:tc>
          <w:tcPr>
            <w:tcW w:w="1077" w:type="dxa"/>
            <w:tcBorders>
              <w:top w:val="nil"/>
              <w:left w:val="nil"/>
              <w:bottom w:val="nil"/>
              <w:right w:val="nil"/>
            </w:tcBorders>
            <w:shd w:val="clear" w:color="auto" w:fill="auto"/>
            <w:noWrap/>
            <w:vAlign w:val="bottom"/>
            <w:hideMark/>
          </w:tcPr>
          <w:p w14:paraId="15B70D09"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2.0E-02</w:t>
            </w:r>
          </w:p>
        </w:tc>
      </w:tr>
      <w:tr w:rsidR="00027E47" w:rsidRPr="00027E47" w14:paraId="1A77BF6A" w14:textId="77777777" w:rsidTr="00027E47">
        <w:trPr>
          <w:trHeight w:val="280"/>
        </w:trPr>
        <w:tc>
          <w:tcPr>
            <w:tcW w:w="979" w:type="dxa"/>
            <w:tcBorders>
              <w:top w:val="nil"/>
              <w:left w:val="nil"/>
              <w:bottom w:val="nil"/>
              <w:right w:val="nil"/>
            </w:tcBorders>
            <w:shd w:val="clear" w:color="000000" w:fill="FF0000"/>
            <w:noWrap/>
            <w:vAlign w:val="bottom"/>
            <w:hideMark/>
          </w:tcPr>
          <w:p w14:paraId="6D5D5404"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MRPL3</w:t>
            </w:r>
          </w:p>
        </w:tc>
        <w:tc>
          <w:tcPr>
            <w:tcW w:w="5966" w:type="dxa"/>
            <w:tcBorders>
              <w:top w:val="nil"/>
              <w:left w:val="nil"/>
              <w:bottom w:val="nil"/>
              <w:right w:val="nil"/>
            </w:tcBorders>
            <w:shd w:val="clear" w:color="auto" w:fill="auto"/>
            <w:noWrap/>
            <w:vAlign w:val="bottom"/>
            <w:hideMark/>
          </w:tcPr>
          <w:p w14:paraId="306D13EB"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Mitochondrial ribosomal protein L3</w:t>
            </w:r>
          </w:p>
        </w:tc>
        <w:tc>
          <w:tcPr>
            <w:tcW w:w="648" w:type="dxa"/>
            <w:tcBorders>
              <w:top w:val="nil"/>
              <w:left w:val="nil"/>
              <w:bottom w:val="nil"/>
              <w:right w:val="nil"/>
            </w:tcBorders>
            <w:shd w:val="clear" w:color="auto" w:fill="auto"/>
            <w:noWrap/>
            <w:vAlign w:val="bottom"/>
            <w:hideMark/>
          </w:tcPr>
          <w:p w14:paraId="63A1D897"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0.76</w:t>
            </w:r>
          </w:p>
        </w:tc>
        <w:tc>
          <w:tcPr>
            <w:tcW w:w="1077" w:type="dxa"/>
            <w:tcBorders>
              <w:top w:val="nil"/>
              <w:left w:val="nil"/>
              <w:bottom w:val="nil"/>
              <w:right w:val="nil"/>
            </w:tcBorders>
            <w:shd w:val="clear" w:color="auto" w:fill="auto"/>
            <w:noWrap/>
            <w:vAlign w:val="bottom"/>
            <w:hideMark/>
          </w:tcPr>
          <w:p w14:paraId="52FEF7DD"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2.0E-02</w:t>
            </w:r>
          </w:p>
        </w:tc>
      </w:tr>
      <w:tr w:rsidR="00027E47" w:rsidRPr="00027E47" w14:paraId="7541902C" w14:textId="77777777" w:rsidTr="00027E47">
        <w:trPr>
          <w:trHeight w:val="280"/>
        </w:trPr>
        <w:tc>
          <w:tcPr>
            <w:tcW w:w="979" w:type="dxa"/>
            <w:tcBorders>
              <w:top w:val="nil"/>
              <w:left w:val="nil"/>
              <w:bottom w:val="nil"/>
              <w:right w:val="nil"/>
            </w:tcBorders>
            <w:shd w:val="clear" w:color="000000" w:fill="FF0000"/>
            <w:noWrap/>
            <w:vAlign w:val="bottom"/>
            <w:hideMark/>
          </w:tcPr>
          <w:p w14:paraId="7EF70F15"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MRPL32</w:t>
            </w:r>
          </w:p>
        </w:tc>
        <w:tc>
          <w:tcPr>
            <w:tcW w:w="5966" w:type="dxa"/>
            <w:tcBorders>
              <w:top w:val="nil"/>
              <w:left w:val="nil"/>
              <w:bottom w:val="nil"/>
              <w:right w:val="nil"/>
            </w:tcBorders>
            <w:shd w:val="clear" w:color="auto" w:fill="auto"/>
            <w:noWrap/>
            <w:vAlign w:val="bottom"/>
            <w:hideMark/>
          </w:tcPr>
          <w:p w14:paraId="670AA711"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Mitochondrial ribosomal protein L32</w:t>
            </w:r>
          </w:p>
        </w:tc>
        <w:tc>
          <w:tcPr>
            <w:tcW w:w="648" w:type="dxa"/>
            <w:tcBorders>
              <w:top w:val="nil"/>
              <w:left w:val="nil"/>
              <w:bottom w:val="nil"/>
              <w:right w:val="nil"/>
            </w:tcBorders>
            <w:shd w:val="clear" w:color="auto" w:fill="auto"/>
            <w:noWrap/>
            <w:vAlign w:val="bottom"/>
            <w:hideMark/>
          </w:tcPr>
          <w:p w14:paraId="1EB81C8E"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0.80</w:t>
            </w:r>
          </w:p>
        </w:tc>
        <w:tc>
          <w:tcPr>
            <w:tcW w:w="1077" w:type="dxa"/>
            <w:tcBorders>
              <w:top w:val="nil"/>
              <w:left w:val="nil"/>
              <w:bottom w:val="nil"/>
              <w:right w:val="nil"/>
            </w:tcBorders>
            <w:shd w:val="clear" w:color="auto" w:fill="auto"/>
            <w:noWrap/>
            <w:vAlign w:val="bottom"/>
            <w:hideMark/>
          </w:tcPr>
          <w:p w14:paraId="182C4436"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2.0E-02</w:t>
            </w:r>
          </w:p>
        </w:tc>
      </w:tr>
      <w:tr w:rsidR="00027E47" w:rsidRPr="00027E47" w14:paraId="6E96DF30" w14:textId="77777777" w:rsidTr="00027E47">
        <w:trPr>
          <w:trHeight w:val="280"/>
        </w:trPr>
        <w:tc>
          <w:tcPr>
            <w:tcW w:w="979" w:type="dxa"/>
            <w:tcBorders>
              <w:top w:val="nil"/>
              <w:left w:val="nil"/>
              <w:bottom w:val="nil"/>
              <w:right w:val="nil"/>
            </w:tcBorders>
            <w:shd w:val="clear" w:color="000000" w:fill="FF0000"/>
            <w:noWrap/>
            <w:vAlign w:val="bottom"/>
            <w:hideMark/>
          </w:tcPr>
          <w:p w14:paraId="6F44EFE7"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MRPL46</w:t>
            </w:r>
          </w:p>
        </w:tc>
        <w:tc>
          <w:tcPr>
            <w:tcW w:w="5966" w:type="dxa"/>
            <w:tcBorders>
              <w:top w:val="nil"/>
              <w:left w:val="nil"/>
              <w:bottom w:val="nil"/>
              <w:right w:val="nil"/>
            </w:tcBorders>
            <w:shd w:val="clear" w:color="auto" w:fill="auto"/>
            <w:noWrap/>
            <w:vAlign w:val="bottom"/>
            <w:hideMark/>
          </w:tcPr>
          <w:p w14:paraId="42B45DF0"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Mitochondrial ribosomal protein L46</w:t>
            </w:r>
          </w:p>
        </w:tc>
        <w:tc>
          <w:tcPr>
            <w:tcW w:w="648" w:type="dxa"/>
            <w:tcBorders>
              <w:top w:val="nil"/>
              <w:left w:val="nil"/>
              <w:bottom w:val="nil"/>
              <w:right w:val="nil"/>
            </w:tcBorders>
            <w:shd w:val="clear" w:color="auto" w:fill="auto"/>
            <w:noWrap/>
            <w:vAlign w:val="bottom"/>
            <w:hideMark/>
          </w:tcPr>
          <w:p w14:paraId="1C84A51E"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0.64</w:t>
            </w:r>
          </w:p>
        </w:tc>
        <w:tc>
          <w:tcPr>
            <w:tcW w:w="1077" w:type="dxa"/>
            <w:tcBorders>
              <w:top w:val="nil"/>
              <w:left w:val="nil"/>
              <w:bottom w:val="nil"/>
              <w:right w:val="nil"/>
            </w:tcBorders>
            <w:shd w:val="clear" w:color="auto" w:fill="auto"/>
            <w:noWrap/>
            <w:vAlign w:val="bottom"/>
            <w:hideMark/>
          </w:tcPr>
          <w:p w14:paraId="27BF3D14"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3.0E-02</w:t>
            </w:r>
          </w:p>
        </w:tc>
      </w:tr>
      <w:tr w:rsidR="00027E47" w:rsidRPr="00027E47" w14:paraId="23E8F1AD" w14:textId="77777777" w:rsidTr="00027E47">
        <w:trPr>
          <w:trHeight w:val="280"/>
        </w:trPr>
        <w:tc>
          <w:tcPr>
            <w:tcW w:w="979" w:type="dxa"/>
            <w:tcBorders>
              <w:top w:val="nil"/>
              <w:left w:val="nil"/>
              <w:bottom w:val="nil"/>
              <w:right w:val="nil"/>
            </w:tcBorders>
            <w:shd w:val="clear" w:color="000000" w:fill="FF0000"/>
            <w:noWrap/>
            <w:vAlign w:val="bottom"/>
            <w:hideMark/>
          </w:tcPr>
          <w:p w14:paraId="2CFD13BF"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MRPS18A</w:t>
            </w:r>
          </w:p>
        </w:tc>
        <w:tc>
          <w:tcPr>
            <w:tcW w:w="5966" w:type="dxa"/>
            <w:tcBorders>
              <w:top w:val="nil"/>
              <w:left w:val="nil"/>
              <w:bottom w:val="nil"/>
              <w:right w:val="nil"/>
            </w:tcBorders>
            <w:shd w:val="clear" w:color="auto" w:fill="auto"/>
            <w:noWrap/>
            <w:vAlign w:val="bottom"/>
            <w:hideMark/>
          </w:tcPr>
          <w:p w14:paraId="03EB6207"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Mitochondrial ribosomal protein S18A</w:t>
            </w:r>
          </w:p>
        </w:tc>
        <w:tc>
          <w:tcPr>
            <w:tcW w:w="648" w:type="dxa"/>
            <w:tcBorders>
              <w:top w:val="nil"/>
              <w:left w:val="nil"/>
              <w:bottom w:val="nil"/>
              <w:right w:val="nil"/>
            </w:tcBorders>
            <w:shd w:val="clear" w:color="auto" w:fill="auto"/>
            <w:noWrap/>
            <w:vAlign w:val="bottom"/>
            <w:hideMark/>
          </w:tcPr>
          <w:p w14:paraId="781C5FA3"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0.82</w:t>
            </w:r>
          </w:p>
        </w:tc>
        <w:tc>
          <w:tcPr>
            <w:tcW w:w="1077" w:type="dxa"/>
            <w:tcBorders>
              <w:top w:val="nil"/>
              <w:left w:val="nil"/>
              <w:bottom w:val="nil"/>
              <w:right w:val="nil"/>
            </w:tcBorders>
            <w:shd w:val="clear" w:color="auto" w:fill="auto"/>
            <w:noWrap/>
            <w:vAlign w:val="bottom"/>
            <w:hideMark/>
          </w:tcPr>
          <w:p w14:paraId="738DD9C9"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3.0E-02</w:t>
            </w:r>
          </w:p>
        </w:tc>
      </w:tr>
      <w:tr w:rsidR="00027E47" w:rsidRPr="00027E47" w14:paraId="1029DE7A" w14:textId="77777777" w:rsidTr="00027E47">
        <w:trPr>
          <w:trHeight w:val="280"/>
        </w:trPr>
        <w:tc>
          <w:tcPr>
            <w:tcW w:w="979" w:type="dxa"/>
            <w:tcBorders>
              <w:top w:val="nil"/>
              <w:left w:val="nil"/>
              <w:bottom w:val="nil"/>
              <w:right w:val="nil"/>
            </w:tcBorders>
            <w:shd w:val="clear" w:color="000000" w:fill="FF0000"/>
            <w:noWrap/>
            <w:vAlign w:val="bottom"/>
            <w:hideMark/>
          </w:tcPr>
          <w:p w14:paraId="3A8C44DA"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NLN</w:t>
            </w:r>
          </w:p>
        </w:tc>
        <w:tc>
          <w:tcPr>
            <w:tcW w:w="5966" w:type="dxa"/>
            <w:tcBorders>
              <w:top w:val="nil"/>
              <w:left w:val="nil"/>
              <w:bottom w:val="nil"/>
              <w:right w:val="nil"/>
            </w:tcBorders>
            <w:shd w:val="clear" w:color="auto" w:fill="auto"/>
            <w:noWrap/>
            <w:vAlign w:val="bottom"/>
            <w:hideMark/>
          </w:tcPr>
          <w:p w14:paraId="323A3238"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Neurolysin</w:t>
            </w:r>
          </w:p>
        </w:tc>
        <w:tc>
          <w:tcPr>
            <w:tcW w:w="648" w:type="dxa"/>
            <w:tcBorders>
              <w:top w:val="nil"/>
              <w:left w:val="nil"/>
              <w:bottom w:val="nil"/>
              <w:right w:val="nil"/>
            </w:tcBorders>
            <w:shd w:val="clear" w:color="auto" w:fill="auto"/>
            <w:noWrap/>
            <w:vAlign w:val="bottom"/>
            <w:hideMark/>
          </w:tcPr>
          <w:p w14:paraId="7DA54BB5"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0.69</w:t>
            </w:r>
          </w:p>
        </w:tc>
        <w:tc>
          <w:tcPr>
            <w:tcW w:w="1077" w:type="dxa"/>
            <w:tcBorders>
              <w:top w:val="nil"/>
              <w:left w:val="nil"/>
              <w:bottom w:val="nil"/>
              <w:right w:val="nil"/>
            </w:tcBorders>
            <w:shd w:val="clear" w:color="auto" w:fill="auto"/>
            <w:noWrap/>
            <w:vAlign w:val="bottom"/>
            <w:hideMark/>
          </w:tcPr>
          <w:p w14:paraId="495655E4"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2.0E-02</w:t>
            </w:r>
          </w:p>
        </w:tc>
      </w:tr>
      <w:tr w:rsidR="00027E47" w:rsidRPr="00027E47" w14:paraId="77B0115E" w14:textId="77777777" w:rsidTr="00027E47">
        <w:trPr>
          <w:trHeight w:val="280"/>
        </w:trPr>
        <w:tc>
          <w:tcPr>
            <w:tcW w:w="979" w:type="dxa"/>
            <w:tcBorders>
              <w:top w:val="nil"/>
              <w:left w:val="nil"/>
              <w:bottom w:val="nil"/>
              <w:right w:val="nil"/>
            </w:tcBorders>
            <w:shd w:val="clear" w:color="000000" w:fill="FF0000"/>
            <w:noWrap/>
            <w:vAlign w:val="bottom"/>
            <w:hideMark/>
          </w:tcPr>
          <w:p w14:paraId="3148AF36"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NMNAT3</w:t>
            </w:r>
          </w:p>
        </w:tc>
        <w:tc>
          <w:tcPr>
            <w:tcW w:w="5966" w:type="dxa"/>
            <w:tcBorders>
              <w:top w:val="nil"/>
              <w:left w:val="nil"/>
              <w:bottom w:val="nil"/>
              <w:right w:val="nil"/>
            </w:tcBorders>
            <w:shd w:val="clear" w:color="auto" w:fill="auto"/>
            <w:noWrap/>
            <w:vAlign w:val="bottom"/>
            <w:hideMark/>
          </w:tcPr>
          <w:p w14:paraId="4C7669A2"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Nicotinamide nucleotide adenylyltransferase 3</w:t>
            </w:r>
          </w:p>
        </w:tc>
        <w:tc>
          <w:tcPr>
            <w:tcW w:w="648" w:type="dxa"/>
            <w:tcBorders>
              <w:top w:val="nil"/>
              <w:left w:val="nil"/>
              <w:bottom w:val="nil"/>
              <w:right w:val="nil"/>
            </w:tcBorders>
            <w:shd w:val="clear" w:color="auto" w:fill="auto"/>
            <w:noWrap/>
            <w:vAlign w:val="bottom"/>
            <w:hideMark/>
          </w:tcPr>
          <w:p w14:paraId="75BF3C79"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0.77</w:t>
            </w:r>
          </w:p>
        </w:tc>
        <w:tc>
          <w:tcPr>
            <w:tcW w:w="1077" w:type="dxa"/>
            <w:tcBorders>
              <w:top w:val="nil"/>
              <w:left w:val="nil"/>
              <w:bottom w:val="nil"/>
              <w:right w:val="nil"/>
            </w:tcBorders>
            <w:shd w:val="clear" w:color="auto" w:fill="auto"/>
            <w:noWrap/>
            <w:vAlign w:val="bottom"/>
            <w:hideMark/>
          </w:tcPr>
          <w:p w14:paraId="447FD8E1"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3.0E-02</w:t>
            </w:r>
          </w:p>
        </w:tc>
      </w:tr>
      <w:tr w:rsidR="00027E47" w:rsidRPr="00027E47" w14:paraId="791951B1" w14:textId="77777777" w:rsidTr="00027E47">
        <w:trPr>
          <w:trHeight w:val="280"/>
        </w:trPr>
        <w:tc>
          <w:tcPr>
            <w:tcW w:w="979" w:type="dxa"/>
            <w:tcBorders>
              <w:top w:val="nil"/>
              <w:left w:val="nil"/>
              <w:bottom w:val="nil"/>
              <w:right w:val="nil"/>
            </w:tcBorders>
            <w:shd w:val="clear" w:color="000000" w:fill="FF0000"/>
            <w:noWrap/>
            <w:vAlign w:val="bottom"/>
            <w:hideMark/>
          </w:tcPr>
          <w:p w14:paraId="389736FD"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OGDHL</w:t>
            </w:r>
          </w:p>
        </w:tc>
        <w:tc>
          <w:tcPr>
            <w:tcW w:w="5966" w:type="dxa"/>
            <w:tcBorders>
              <w:top w:val="nil"/>
              <w:left w:val="nil"/>
              <w:bottom w:val="nil"/>
              <w:right w:val="nil"/>
            </w:tcBorders>
            <w:shd w:val="clear" w:color="auto" w:fill="auto"/>
            <w:noWrap/>
            <w:vAlign w:val="bottom"/>
            <w:hideMark/>
          </w:tcPr>
          <w:p w14:paraId="1C255ADC"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Oxoglutarate dehydrogenase-like</w:t>
            </w:r>
          </w:p>
        </w:tc>
        <w:tc>
          <w:tcPr>
            <w:tcW w:w="648" w:type="dxa"/>
            <w:tcBorders>
              <w:top w:val="nil"/>
              <w:left w:val="nil"/>
              <w:bottom w:val="nil"/>
              <w:right w:val="nil"/>
            </w:tcBorders>
            <w:shd w:val="clear" w:color="auto" w:fill="auto"/>
            <w:noWrap/>
            <w:vAlign w:val="bottom"/>
            <w:hideMark/>
          </w:tcPr>
          <w:p w14:paraId="601B6051"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0.82</w:t>
            </w:r>
          </w:p>
        </w:tc>
        <w:tc>
          <w:tcPr>
            <w:tcW w:w="1077" w:type="dxa"/>
            <w:tcBorders>
              <w:top w:val="nil"/>
              <w:left w:val="nil"/>
              <w:bottom w:val="nil"/>
              <w:right w:val="nil"/>
            </w:tcBorders>
            <w:shd w:val="clear" w:color="auto" w:fill="auto"/>
            <w:noWrap/>
            <w:vAlign w:val="bottom"/>
            <w:hideMark/>
          </w:tcPr>
          <w:p w14:paraId="154AFEB0"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2.0E-02</w:t>
            </w:r>
          </w:p>
        </w:tc>
      </w:tr>
      <w:tr w:rsidR="00027E47" w:rsidRPr="00027E47" w14:paraId="29B0F8FA" w14:textId="77777777" w:rsidTr="00027E47">
        <w:trPr>
          <w:trHeight w:val="280"/>
        </w:trPr>
        <w:tc>
          <w:tcPr>
            <w:tcW w:w="979" w:type="dxa"/>
            <w:tcBorders>
              <w:top w:val="nil"/>
              <w:left w:val="nil"/>
              <w:bottom w:val="nil"/>
              <w:right w:val="nil"/>
            </w:tcBorders>
            <w:shd w:val="clear" w:color="000000" w:fill="FF0000"/>
            <w:noWrap/>
            <w:vAlign w:val="bottom"/>
            <w:hideMark/>
          </w:tcPr>
          <w:p w14:paraId="5B5FF680"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PMPCB</w:t>
            </w:r>
          </w:p>
        </w:tc>
        <w:tc>
          <w:tcPr>
            <w:tcW w:w="5966" w:type="dxa"/>
            <w:tcBorders>
              <w:top w:val="nil"/>
              <w:left w:val="nil"/>
              <w:bottom w:val="nil"/>
              <w:right w:val="nil"/>
            </w:tcBorders>
            <w:shd w:val="clear" w:color="auto" w:fill="auto"/>
            <w:noWrap/>
            <w:vAlign w:val="bottom"/>
            <w:hideMark/>
          </w:tcPr>
          <w:p w14:paraId="0B806871"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Peptidase (mitochondrial processing) beta</w:t>
            </w:r>
          </w:p>
        </w:tc>
        <w:tc>
          <w:tcPr>
            <w:tcW w:w="648" w:type="dxa"/>
            <w:tcBorders>
              <w:top w:val="nil"/>
              <w:left w:val="nil"/>
              <w:bottom w:val="nil"/>
              <w:right w:val="nil"/>
            </w:tcBorders>
            <w:shd w:val="clear" w:color="auto" w:fill="auto"/>
            <w:noWrap/>
            <w:vAlign w:val="bottom"/>
            <w:hideMark/>
          </w:tcPr>
          <w:p w14:paraId="583365A8"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0.75</w:t>
            </w:r>
          </w:p>
        </w:tc>
        <w:tc>
          <w:tcPr>
            <w:tcW w:w="1077" w:type="dxa"/>
            <w:tcBorders>
              <w:top w:val="nil"/>
              <w:left w:val="nil"/>
              <w:bottom w:val="nil"/>
              <w:right w:val="nil"/>
            </w:tcBorders>
            <w:shd w:val="clear" w:color="auto" w:fill="auto"/>
            <w:noWrap/>
            <w:vAlign w:val="bottom"/>
            <w:hideMark/>
          </w:tcPr>
          <w:p w14:paraId="46CFB71F"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4.0E-02</w:t>
            </w:r>
          </w:p>
        </w:tc>
      </w:tr>
      <w:tr w:rsidR="00027E47" w:rsidRPr="00027E47" w14:paraId="478CAB7A" w14:textId="77777777" w:rsidTr="00027E47">
        <w:trPr>
          <w:trHeight w:val="280"/>
        </w:trPr>
        <w:tc>
          <w:tcPr>
            <w:tcW w:w="979" w:type="dxa"/>
            <w:tcBorders>
              <w:top w:val="nil"/>
              <w:left w:val="nil"/>
              <w:bottom w:val="nil"/>
              <w:right w:val="nil"/>
            </w:tcBorders>
            <w:shd w:val="clear" w:color="000000" w:fill="FF0000"/>
            <w:noWrap/>
            <w:vAlign w:val="bottom"/>
            <w:hideMark/>
          </w:tcPr>
          <w:p w14:paraId="054C6B10"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PRDX3</w:t>
            </w:r>
          </w:p>
        </w:tc>
        <w:tc>
          <w:tcPr>
            <w:tcW w:w="5966" w:type="dxa"/>
            <w:tcBorders>
              <w:top w:val="nil"/>
              <w:left w:val="nil"/>
              <w:bottom w:val="nil"/>
              <w:right w:val="nil"/>
            </w:tcBorders>
            <w:shd w:val="clear" w:color="auto" w:fill="auto"/>
            <w:noWrap/>
            <w:vAlign w:val="bottom"/>
            <w:hideMark/>
          </w:tcPr>
          <w:p w14:paraId="5FB3E8ED"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Peroxiredoxin 3</w:t>
            </w:r>
          </w:p>
        </w:tc>
        <w:tc>
          <w:tcPr>
            <w:tcW w:w="648" w:type="dxa"/>
            <w:tcBorders>
              <w:top w:val="nil"/>
              <w:left w:val="nil"/>
              <w:bottom w:val="nil"/>
              <w:right w:val="nil"/>
            </w:tcBorders>
            <w:shd w:val="clear" w:color="auto" w:fill="auto"/>
            <w:noWrap/>
            <w:vAlign w:val="bottom"/>
            <w:hideMark/>
          </w:tcPr>
          <w:p w14:paraId="13FBBB12"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0.72</w:t>
            </w:r>
          </w:p>
        </w:tc>
        <w:tc>
          <w:tcPr>
            <w:tcW w:w="1077" w:type="dxa"/>
            <w:tcBorders>
              <w:top w:val="nil"/>
              <w:left w:val="nil"/>
              <w:bottom w:val="nil"/>
              <w:right w:val="nil"/>
            </w:tcBorders>
            <w:shd w:val="clear" w:color="auto" w:fill="auto"/>
            <w:noWrap/>
            <w:vAlign w:val="bottom"/>
            <w:hideMark/>
          </w:tcPr>
          <w:p w14:paraId="3B445564"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2.0E-03</w:t>
            </w:r>
          </w:p>
        </w:tc>
      </w:tr>
      <w:tr w:rsidR="00027E47" w:rsidRPr="00027E47" w14:paraId="2B54C04D" w14:textId="77777777" w:rsidTr="00027E47">
        <w:trPr>
          <w:trHeight w:val="280"/>
        </w:trPr>
        <w:tc>
          <w:tcPr>
            <w:tcW w:w="979" w:type="dxa"/>
            <w:tcBorders>
              <w:top w:val="nil"/>
              <w:left w:val="nil"/>
              <w:bottom w:val="nil"/>
              <w:right w:val="nil"/>
            </w:tcBorders>
            <w:shd w:val="clear" w:color="000000" w:fill="FF0000"/>
            <w:noWrap/>
            <w:vAlign w:val="bottom"/>
            <w:hideMark/>
          </w:tcPr>
          <w:p w14:paraId="7A9B5277"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PPP2R2B</w:t>
            </w:r>
          </w:p>
        </w:tc>
        <w:tc>
          <w:tcPr>
            <w:tcW w:w="5966" w:type="dxa"/>
            <w:tcBorders>
              <w:top w:val="nil"/>
              <w:left w:val="nil"/>
              <w:bottom w:val="nil"/>
              <w:right w:val="nil"/>
            </w:tcBorders>
            <w:shd w:val="clear" w:color="auto" w:fill="auto"/>
            <w:noWrap/>
            <w:vAlign w:val="bottom"/>
            <w:hideMark/>
          </w:tcPr>
          <w:p w14:paraId="33B795B1"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Protein phosphatase 2 (formerly 2A) regulatory subunit B, beta isoform</w:t>
            </w:r>
          </w:p>
        </w:tc>
        <w:tc>
          <w:tcPr>
            <w:tcW w:w="648" w:type="dxa"/>
            <w:tcBorders>
              <w:top w:val="nil"/>
              <w:left w:val="nil"/>
              <w:bottom w:val="nil"/>
              <w:right w:val="nil"/>
            </w:tcBorders>
            <w:shd w:val="clear" w:color="auto" w:fill="auto"/>
            <w:noWrap/>
            <w:vAlign w:val="bottom"/>
            <w:hideMark/>
          </w:tcPr>
          <w:p w14:paraId="24F687E3"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0.61</w:t>
            </w:r>
          </w:p>
        </w:tc>
        <w:tc>
          <w:tcPr>
            <w:tcW w:w="1077" w:type="dxa"/>
            <w:tcBorders>
              <w:top w:val="nil"/>
              <w:left w:val="nil"/>
              <w:bottom w:val="nil"/>
              <w:right w:val="nil"/>
            </w:tcBorders>
            <w:shd w:val="clear" w:color="auto" w:fill="auto"/>
            <w:noWrap/>
            <w:vAlign w:val="bottom"/>
            <w:hideMark/>
          </w:tcPr>
          <w:p w14:paraId="20C7C81D"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2.0E-03</w:t>
            </w:r>
          </w:p>
        </w:tc>
      </w:tr>
      <w:tr w:rsidR="00027E47" w:rsidRPr="00027E47" w14:paraId="1BCC1655" w14:textId="77777777" w:rsidTr="00027E47">
        <w:trPr>
          <w:trHeight w:val="280"/>
        </w:trPr>
        <w:tc>
          <w:tcPr>
            <w:tcW w:w="979" w:type="dxa"/>
            <w:tcBorders>
              <w:top w:val="nil"/>
              <w:left w:val="nil"/>
              <w:bottom w:val="nil"/>
              <w:right w:val="nil"/>
            </w:tcBorders>
            <w:shd w:val="clear" w:color="000000" w:fill="FF0000"/>
            <w:noWrap/>
            <w:vAlign w:val="bottom"/>
            <w:hideMark/>
          </w:tcPr>
          <w:p w14:paraId="6D62138D"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PDK3</w:t>
            </w:r>
          </w:p>
        </w:tc>
        <w:tc>
          <w:tcPr>
            <w:tcW w:w="5966" w:type="dxa"/>
            <w:tcBorders>
              <w:top w:val="nil"/>
              <w:left w:val="nil"/>
              <w:bottom w:val="nil"/>
              <w:right w:val="nil"/>
            </w:tcBorders>
            <w:shd w:val="clear" w:color="auto" w:fill="auto"/>
            <w:noWrap/>
            <w:vAlign w:val="bottom"/>
            <w:hideMark/>
          </w:tcPr>
          <w:p w14:paraId="6694F04C"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Pyruvate dehydrogenase kinase, isozyme 3</w:t>
            </w:r>
          </w:p>
        </w:tc>
        <w:tc>
          <w:tcPr>
            <w:tcW w:w="648" w:type="dxa"/>
            <w:tcBorders>
              <w:top w:val="nil"/>
              <w:left w:val="nil"/>
              <w:bottom w:val="nil"/>
              <w:right w:val="nil"/>
            </w:tcBorders>
            <w:shd w:val="clear" w:color="auto" w:fill="auto"/>
            <w:noWrap/>
            <w:vAlign w:val="bottom"/>
            <w:hideMark/>
          </w:tcPr>
          <w:p w14:paraId="7AD378FC"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0.58</w:t>
            </w:r>
          </w:p>
        </w:tc>
        <w:tc>
          <w:tcPr>
            <w:tcW w:w="1077" w:type="dxa"/>
            <w:tcBorders>
              <w:top w:val="nil"/>
              <w:left w:val="nil"/>
              <w:bottom w:val="nil"/>
              <w:right w:val="nil"/>
            </w:tcBorders>
            <w:shd w:val="clear" w:color="auto" w:fill="auto"/>
            <w:noWrap/>
            <w:vAlign w:val="bottom"/>
            <w:hideMark/>
          </w:tcPr>
          <w:p w14:paraId="1DD55289"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5.0E-02</w:t>
            </w:r>
          </w:p>
        </w:tc>
      </w:tr>
      <w:tr w:rsidR="00027E47" w:rsidRPr="00027E47" w14:paraId="664314E3" w14:textId="77777777" w:rsidTr="00027E47">
        <w:trPr>
          <w:trHeight w:val="280"/>
        </w:trPr>
        <w:tc>
          <w:tcPr>
            <w:tcW w:w="979" w:type="dxa"/>
            <w:tcBorders>
              <w:top w:val="nil"/>
              <w:left w:val="nil"/>
              <w:bottom w:val="nil"/>
              <w:right w:val="nil"/>
            </w:tcBorders>
            <w:shd w:val="clear" w:color="000000" w:fill="FF0000"/>
            <w:noWrap/>
            <w:vAlign w:val="bottom"/>
            <w:hideMark/>
          </w:tcPr>
          <w:p w14:paraId="7F817612"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ROMO1</w:t>
            </w:r>
          </w:p>
        </w:tc>
        <w:tc>
          <w:tcPr>
            <w:tcW w:w="5966" w:type="dxa"/>
            <w:tcBorders>
              <w:top w:val="nil"/>
              <w:left w:val="nil"/>
              <w:bottom w:val="nil"/>
              <w:right w:val="nil"/>
            </w:tcBorders>
            <w:shd w:val="clear" w:color="auto" w:fill="auto"/>
            <w:noWrap/>
            <w:vAlign w:val="bottom"/>
            <w:hideMark/>
          </w:tcPr>
          <w:p w14:paraId="249B7D69"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Reactive oxygen species modulator 1</w:t>
            </w:r>
          </w:p>
        </w:tc>
        <w:tc>
          <w:tcPr>
            <w:tcW w:w="648" w:type="dxa"/>
            <w:tcBorders>
              <w:top w:val="nil"/>
              <w:left w:val="nil"/>
              <w:bottom w:val="nil"/>
              <w:right w:val="nil"/>
            </w:tcBorders>
            <w:shd w:val="clear" w:color="auto" w:fill="auto"/>
            <w:noWrap/>
            <w:vAlign w:val="bottom"/>
            <w:hideMark/>
          </w:tcPr>
          <w:p w14:paraId="7C26FC22"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0.61</w:t>
            </w:r>
          </w:p>
        </w:tc>
        <w:tc>
          <w:tcPr>
            <w:tcW w:w="1077" w:type="dxa"/>
            <w:tcBorders>
              <w:top w:val="nil"/>
              <w:left w:val="nil"/>
              <w:bottom w:val="nil"/>
              <w:right w:val="nil"/>
            </w:tcBorders>
            <w:shd w:val="clear" w:color="auto" w:fill="auto"/>
            <w:noWrap/>
            <w:vAlign w:val="bottom"/>
            <w:hideMark/>
          </w:tcPr>
          <w:p w14:paraId="7EA3A021"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1.0E-04</w:t>
            </w:r>
          </w:p>
        </w:tc>
      </w:tr>
      <w:tr w:rsidR="00027E47" w:rsidRPr="00027E47" w14:paraId="4E20085E" w14:textId="77777777" w:rsidTr="00027E47">
        <w:trPr>
          <w:trHeight w:val="280"/>
        </w:trPr>
        <w:tc>
          <w:tcPr>
            <w:tcW w:w="979" w:type="dxa"/>
            <w:tcBorders>
              <w:top w:val="nil"/>
              <w:left w:val="nil"/>
              <w:bottom w:val="nil"/>
              <w:right w:val="nil"/>
            </w:tcBorders>
            <w:shd w:val="clear" w:color="000000" w:fill="FF0000"/>
            <w:noWrap/>
            <w:vAlign w:val="bottom"/>
            <w:hideMark/>
          </w:tcPr>
          <w:p w14:paraId="36852EE5"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SFXN4</w:t>
            </w:r>
          </w:p>
        </w:tc>
        <w:tc>
          <w:tcPr>
            <w:tcW w:w="5966" w:type="dxa"/>
            <w:tcBorders>
              <w:top w:val="nil"/>
              <w:left w:val="nil"/>
              <w:bottom w:val="nil"/>
              <w:right w:val="nil"/>
            </w:tcBorders>
            <w:shd w:val="clear" w:color="auto" w:fill="auto"/>
            <w:noWrap/>
            <w:vAlign w:val="bottom"/>
            <w:hideMark/>
          </w:tcPr>
          <w:p w14:paraId="2E64C648"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Sideroflexin 4</w:t>
            </w:r>
          </w:p>
        </w:tc>
        <w:tc>
          <w:tcPr>
            <w:tcW w:w="648" w:type="dxa"/>
            <w:tcBorders>
              <w:top w:val="nil"/>
              <w:left w:val="nil"/>
              <w:bottom w:val="nil"/>
              <w:right w:val="nil"/>
            </w:tcBorders>
            <w:shd w:val="clear" w:color="auto" w:fill="auto"/>
            <w:noWrap/>
            <w:vAlign w:val="bottom"/>
            <w:hideMark/>
          </w:tcPr>
          <w:p w14:paraId="6B178FBF"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0.80</w:t>
            </w:r>
          </w:p>
        </w:tc>
        <w:tc>
          <w:tcPr>
            <w:tcW w:w="1077" w:type="dxa"/>
            <w:tcBorders>
              <w:top w:val="nil"/>
              <w:left w:val="nil"/>
              <w:bottom w:val="nil"/>
              <w:right w:val="nil"/>
            </w:tcBorders>
            <w:shd w:val="clear" w:color="auto" w:fill="auto"/>
            <w:noWrap/>
            <w:vAlign w:val="bottom"/>
            <w:hideMark/>
          </w:tcPr>
          <w:p w14:paraId="01F27931"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2.0E-02</w:t>
            </w:r>
          </w:p>
        </w:tc>
      </w:tr>
      <w:tr w:rsidR="00027E47" w:rsidRPr="00027E47" w14:paraId="681DA2C0" w14:textId="77777777" w:rsidTr="00027E47">
        <w:trPr>
          <w:trHeight w:val="280"/>
        </w:trPr>
        <w:tc>
          <w:tcPr>
            <w:tcW w:w="979" w:type="dxa"/>
            <w:tcBorders>
              <w:top w:val="nil"/>
              <w:left w:val="nil"/>
              <w:bottom w:val="nil"/>
              <w:right w:val="nil"/>
            </w:tcBorders>
            <w:shd w:val="clear" w:color="000000" w:fill="FF0000"/>
            <w:noWrap/>
            <w:vAlign w:val="bottom"/>
            <w:hideMark/>
          </w:tcPr>
          <w:p w14:paraId="3DEDE780"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UQCRB</w:t>
            </w:r>
          </w:p>
        </w:tc>
        <w:tc>
          <w:tcPr>
            <w:tcW w:w="5966" w:type="dxa"/>
            <w:tcBorders>
              <w:top w:val="nil"/>
              <w:left w:val="nil"/>
              <w:bottom w:val="nil"/>
              <w:right w:val="nil"/>
            </w:tcBorders>
            <w:shd w:val="clear" w:color="auto" w:fill="auto"/>
            <w:noWrap/>
            <w:vAlign w:val="bottom"/>
            <w:hideMark/>
          </w:tcPr>
          <w:p w14:paraId="6AD6F2D0"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 xml:space="preserve">Ubiquinol-cytochrome C reductase binding protein </w:t>
            </w:r>
          </w:p>
        </w:tc>
        <w:tc>
          <w:tcPr>
            <w:tcW w:w="648" w:type="dxa"/>
            <w:tcBorders>
              <w:top w:val="nil"/>
              <w:left w:val="nil"/>
              <w:bottom w:val="nil"/>
              <w:right w:val="nil"/>
            </w:tcBorders>
            <w:shd w:val="clear" w:color="auto" w:fill="auto"/>
            <w:noWrap/>
            <w:vAlign w:val="bottom"/>
            <w:hideMark/>
          </w:tcPr>
          <w:p w14:paraId="532E032F"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0.66</w:t>
            </w:r>
          </w:p>
        </w:tc>
        <w:tc>
          <w:tcPr>
            <w:tcW w:w="1077" w:type="dxa"/>
            <w:tcBorders>
              <w:top w:val="nil"/>
              <w:left w:val="nil"/>
              <w:bottom w:val="nil"/>
              <w:right w:val="nil"/>
            </w:tcBorders>
            <w:shd w:val="clear" w:color="auto" w:fill="auto"/>
            <w:noWrap/>
            <w:vAlign w:val="bottom"/>
            <w:hideMark/>
          </w:tcPr>
          <w:p w14:paraId="273CF206"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6.0E-03</w:t>
            </w:r>
          </w:p>
        </w:tc>
      </w:tr>
      <w:tr w:rsidR="00027E47" w:rsidRPr="00027E47" w14:paraId="6F54ADB5" w14:textId="77777777" w:rsidTr="00027E47">
        <w:trPr>
          <w:trHeight w:val="280"/>
        </w:trPr>
        <w:tc>
          <w:tcPr>
            <w:tcW w:w="979" w:type="dxa"/>
            <w:tcBorders>
              <w:top w:val="nil"/>
              <w:left w:val="nil"/>
              <w:bottom w:val="nil"/>
              <w:right w:val="nil"/>
            </w:tcBorders>
            <w:shd w:val="clear" w:color="000000" w:fill="FF0000"/>
            <w:noWrap/>
            <w:vAlign w:val="bottom"/>
            <w:hideMark/>
          </w:tcPr>
          <w:p w14:paraId="53F98008"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SSBP1</w:t>
            </w:r>
          </w:p>
        </w:tc>
        <w:tc>
          <w:tcPr>
            <w:tcW w:w="5966" w:type="dxa"/>
            <w:tcBorders>
              <w:top w:val="nil"/>
              <w:left w:val="nil"/>
              <w:bottom w:val="nil"/>
              <w:right w:val="nil"/>
            </w:tcBorders>
            <w:shd w:val="clear" w:color="auto" w:fill="auto"/>
            <w:noWrap/>
            <w:vAlign w:val="bottom"/>
            <w:hideMark/>
          </w:tcPr>
          <w:p w14:paraId="25B19C68"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Single-stranded DNA binding protein 1</w:t>
            </w:r>
          </w:p>
        </w:tc>
        <w:tc>
          <w:tcPr>
            <w:tcW w:w="648" w:type="dxa"/>
            <w:tcBorders>
              <w:top w:val="nil"/>
              <w:left w:val="nil"/>
              <w:bottom w:val="nil"/>
              <w:right w:val="nil"/>
            </w:tcBorders>
            <w:shd w:val="clear" w:color="auto" w:fill="auto"/>
            <w:noWrap/>
            <w:vAlign w:val="bottom"/>
            <w:hideMark/>
          </w:tcPr>
          <w:p w14:paraId="29CA1208"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0.68</w:t>
            </w:r>
          </w:p>
        </w:tc>
        <w:tc>
          <w:tcPr>
            <w:tcW w:w="1077" w:type="dxa"/>
            <w:tcBorders>
              <w:top w:val="nil"/>
              <w:left w:val="nil"/>
              <w:bottom w:val="nil"/>
              <w:right w:val="nil"/>
            </w:tcBorders>
            <w:shd w:val="clear" w:color="auto" w:fill="auto"/>
            <w:noWrap/>
            <w:vAlign w:val="bottom"/>
            <w:hideMark/>
          </w:tcPr>
          <w:p w14:paraId="482284FD"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5.0E-02</w:t>
            </w:r>
          </w:p>
        </w:tc>
      </w:tr>
      <w:tr w:rsidR="00027E47" w:rsidRPr="00027E47" w14:paraId="64B40C5D" w14:textId="77777777" w:rsidTr="00027E47">
        <w:trPr>
          <w:trHeight w:val="280"/>
        </w:trPr>
        <w:tc>
          <w:tcPr>
            <w:tcW w:w="979" w:type="dxa"/>
            <w:tcBorders>
              <w:top w:val="nil"/>
              <w:left w:val="nil"/>
              <w:bottom w:val="nil"/>
              <w:right w:val="nil"/>
            </w:tcBorders>
            <w:shd w:val="clear" w:color="000000" w:fill="FF0000"/>
            <w:noWrap/>
            <w:vAlign w:val="bottom"/>
            <w:hideMark/>
          </w:tcPr>
          <w:p w14:paraId="1E98E3C1"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SLC25A14</w:t>
            </w:r>
          </w:p>
        </w:tc>
        <w:tc>
          <w:tcPr>
            <w:tcW w:w="5966" w:type="dxa"/>
            <w:tcBorders>
              <w:top w:val="nil"/>
              <w:left w:val="nil"/>
              <w:bottom w:val="nil"/>
              <w:right w:val="nil"/>
            </w:tcBorders>
            <w:shd w:val="clear" w:color="auto" w:fill="auto"/>
            <w:noWrap/>
            <w:vAlign w:val="bottom"/>
            <w:hideMark/>
          </w:tcPr>
          <w:p w14:paraId="6A662546"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Solute carrier 25 (mitochondrial carrier, brain)</w:t>
            </w:r>
          </w:p>
        </w:tc>
        <w:tc>
          <w:tcPr>
            <w:tcW w:w="648" w:type="dxa"/>
            <w:tcBorders>
              <w:top w:val="nil"/>
              <w:left w:val="nil"/>
              <w:bottom w:val="nil"/>
              <w:right w:val="nil"/>
            </w:tcBorders>
            <w:shd w:val="clear" w:color="auto" w:fill="auto"/>
            <w:noWrap/>
            <w:vAlign w:val="bottom"/>
            <w:hideMark/>
          </w:tcPr>
          <w:p w14:paraId="6BB0D72D"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0.79</w:t>
            </w:r>
          </w:p>
        </w:tc>
        <w:tc>
          <w:tcPr>
            <w:tcW w:w="1077" w:type="dxa"/>
            <w:tcBorders>
              <w:top w:val="nil"/>
              <w:left w:val="nil"/>
              <w:bottom w:val="nil"/>
              <w:right w:val="nil"/>
            </w:tcBorders>
            <w:shd w:val="clear" w:color="auto" w:fill="auto"/>
            <w:noWrap/>
            <w:vAlign w:val="bottom"/>
            <w:hideMark/>
          </w:tcPr>
          <w:p w14:paraId="7A3BD700"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2.0E-02</w:t>
            </w:r>
          </w:p>
        </w:tc>
      </w:tr>
      <w:tr w:rsidR="00027E47" w:rsidRPr="00027E47" w14:paraId="14F46C0B" w14:textId="77777777" w:rsidTr="00027E47">
        <w:trPr>
          <w:trHeight w:val="280"/>
        </w:trPr>
        <w:tc>
          <w:tcPr>
            <w:tcW w:w="979" w:type="dxa"/>
            <w:tcBorders>
              <w:top w:val="nil"/>
              <w:left w:val="nil"/>
              <w:bottom w:val="nil"/>
              <w:right w:val="nil"/>
            </w:tcBorders>
            <w:shd w:val="clear" w:color="000000" w:fill="FF0000"/>
            <w:noWrap/>
            <w:vAlign w:val="bottom"/>
            <w:hideMark/>
          </w:tcPr>
          <w:p w14:paraId="6A4B453E"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SDHB</w:t>
            </w:r>
          </w:p>
        </w:tc>
        <w:tc>
          <w:tcPr>
            <w:tcW w:w="5966" w:type="dxa"/>
            <w:tcBorders>
              <w:top w:val="nil"/>
              <w:left w:val="nil"/>
              <w:bottom w:val="nil"/>
              <w:right w:val="nil"/>
            </w:tcBorders>
            <w:shd w:val="clear" w:color="auto" w:fill="auto"/>
            <w:noWrap/>
            <w:vAlign w:val="bottom"/>
            <w:hideMark/>
          </w:tcPr>
          <w:p w14:paraId="64AC4638"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Succinate dehydrogenase complex, subunit B</w:t>
            </w:r>
          </w:p>
        </w:tc>
        <w:tc>
          <w:tcPr>
            <w:tcW w:w="648" w:type="dxa"/>
            <w:tcBorders>
              <w:top w:val="nil"/>
              <w:left w:val="nil"/>
              <w:bottom w:val="nil"/>
              <w:right w:val="nil"/>
            </w:tcBorders>
            <w:shd w:val="clear" w:color="auto" w:fill="auto"/>
            <w:noWrap/>
            <w:vAlign w:val="bottom"/>
            <w:hideMark/>
          </w:tcPr>
          <w:p w14:paraId="400EC55C"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0.76</w:t>
            </w:r>
          </w:p>
        </w:tc>
        <w:tc>
          <w:tcPr>
            <w:tcW w:w="1077" w:type="dxa"/>
            <w:tcBorders>
              <w:top w:val="nil"/>
              <w:left w:val="nil"/>
              <w:bottom w:val="nil"/>
              <w:right w:val="nil"/>
            </w:tcBorders>
            <w:shd w:val="clear" w:color="auto" w:fill="auto"/>
            <w:noWrap/>
            <w:vAlign w:val="bottom"/>
            <w:hideMark/>
          </w:tcPr>
          <w:p w14:paraId="11B62D4C"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1.0E-02</w:t>
            </w:r>
          </w:p>
        </w:tc>
      </w:tr>
      <w:tr w:rsidR="00027E47" w:rsidRPr="00027E47" w14:paraId="33A02E77" w14:textId="77777777" w:rsidTr="00027E47">
        <w:trPr>
          <w:trHeight w:val="280"/>
        </w:trPr>
        <w:tc>
          <w:tcPr>
            <w:tcW w:w="979" w:type="dxa"/>
            <w:tcBorders>
              <w:top w:val="nil"/>
              <w:left w:val="nil"/>
              <w:bottom w:val="nil"/>
              <w:right w:val="nil"/>
            </w:tcBorders>
            <w:shd w:val="clear" w:color="000000" w:fill="FF0000"/>
            <w:noWrap/>
            <w:vAlign w:val="bottom"/>
            <w:hideMark/>
          </w:tcPr>
          <w:p w14:paraId="7FE194A5"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SUCLA2</w:t>
            </w:r>
          </w:p>
        </w:tc>
        <w:tc>
          <w:tcPr>
            <w:tcW w:w="5966" w:type="dxa"/>
            <w:tcBorders>
              <w:top w:val="nil"/>
              <w:left w:val="nil"/>
              <w:bottom w:val="nil"/>
              <w:right w:val="nil"/>
            </w:tcBorders>
            <w:shd w:val="clear" w:color="auto" w:fill="auto"/>
            <w:noWrap/>
            <w:vAlign w:val="bottom"/>
            <w:hideMark/>
          </w:tcPr>
          <w:p w14:paraId="0C10760E"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Succinate-coA ligase, ADP forming, beta subunit</w:t>
            </w:r>
          </w:p>
        </w:tc>
        <w:tc>
          <w:tcPr>
            <w:tcW w:w="648" w:type="dxa"/>
            <w:tcBorders>
              <w:top w:val="nil"/>
              <w:left w:val="nil"/>
              <w:bottom w:val="nil"/>
              <w:right w:val="nil"/>
            </w:tcBorders>
            <w:shd w:val="clear" w:color="auto" w:fill="auto"/>
            <w:noWrap/>
            <w:vAlign w:val="bottom"/>
            <w:hideMark/>
          </w:tcPr>
          <w:p w14:paraId="6E8DB127"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0.76</w:t>
            </w:r>
          </w:p>
        </w:tc>
        <w:tc>
          <w:tcPr>
            <w:tcW w:w="1077" w:type="dxa"/>
            <w:tcBorders>
              <w:top w:val="nil"/>
              <w:left w:val="nil"/>
              <w:bottom w:val="nil"/>
              <w:right w:val="nil"/>
            </w:tcBorders>
            <w:shd w:val="clear" w:color="auto" w:fill="auto"/>
            <w:noWrap/>
            <w:vAlign w:val="bottom"/>
            <w:hideMark/>
          </w:tcPr>
          <w:p w14:paraId="4CD21C9A"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4.0E-02</w:t>
            </w:r>
          </w:p>
        </w:tc>
      </w:tr>
      <w:tr w:rsidR="00027E47" w:rsidRPr="00027E47" w14:paraId="59619243" w14:textId="77777777" w:rsidTr="00027E47">
        <w:trPr>
          <w:trHeight w:val="280"/>
        </w:trPr>
        <w:tc>
          <w:tcPr>
            <w:tcW w:w="979" w:type="dxa"/>
            <w:tcBorders>
              <w:top w:val="nil"/>
              <w:left w:val="nil"/>
              <w:bottom w:val="nil"/>
              <w:right w:val="nil"/>
            </w:tcBorders>
            <w:shd w:val="clear" w:color="000000" w:fill="FF0000"/>
            <w:noWrap/>
            <w:vAlign w:val="bottom"/>
            <w:hideMark/>
          </w:tcPr>
          <w:p w14:paraId="23236200"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TXNDC12</w:t>
            </w:r>
          </w:p>
        </w:tc>
        <w:tc>
          <w:tcPr>
            <w:tcW w:w="5966" w:type="dxa"/>
            <w:tcBorders>
              <w:top w:val="nil"/>
              <w:left w:val="nil"/>
              <w:bottom w:val="nil"/>
              <w:right w:val="nil"/>
            </w:tcBorders>
            <w:shd w:val="clear" w:color="auto" w:fill="auto"/>
            <w:noWrap/>
            <w:vAlign w:val="bottom"/>
            <w:hideMark/>
          </w:tcPr>
          <w:p w14:paraId="1F735A84"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Thioredoxin domain containing 12</w:t>
            </w:r>
          </w:p>
        </w:tc>
        <w:tc>
          <w:tcPr>
            <w:tcW w:w="648" w:type="dxa"/>
            <w:tcBorders>
              <w:top w:val="nil"/>
              <w:left w:val="nil"/>
              <w:bottom w:val="nil"/>
              <w:right w:val="nil"/>
            </w:tcBorders>
            <w:shd w:val="clear" w:color="auto" w:fill="auto"/>
            <w:noWrap/>
            <w:vAlign w:val="bottom"/>
            <w:hideMark/>
          </w:tcPr>
          <w:p w14:paraId="27643C7E"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0.77</w:t>
            </w:r>
          </w:p>
        </w:tc>
        <w:tc>
          <w:tcPr>
            <w:tcW w:w="1077" w:type="dxa"/>
            <w:tcBorders>
              <w:top w:val="nil"/>
              <w:left w:val="nil"/>
              <w:bottom w:val="nil"/>
              <w:right w:val="nil"/>
            </w:tcBorders>
            <w:shd w:val="clear" w:color="auto" w:fill="auto"/>
            <w:noWrap/>
            <w:vAlign w:val="bottom"/>
            <w:hideMark/>
          </w:tcPr>
          <w:p w14:paraId="4B716CA3"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6.0E-03</w:t>
            </w:r>
          </w:p>
        </w:tc>
      </w:tr>
      <w:tr w:rsidR="00027E47" w:rsidRPr="00027E47" w14:paraId="437BAA7A" w14:textId="77777777" w:rsidTr="00027E47">
        <w:trPr>
          <w:trHeight w:val="280"/>
        </w:trPr>
        <w:tc>
          <w:tcPr>
            <w:tcW w:w="979" w:type="dxa"/>
            <w:tcBorders>
              <w:top w:val="nil"/>
              <w:left w:val="nil"/>
              <w:bottom w:val="nil"/>
              <w:right w:val="nil"/>
            </w:tcBorders>
            <w:shd w:val="clear" w:color="000000" w:fill="FF0000"/>
            <w:noWrap/>
            <w:vAlign w:val="bottom"/>
            <w:hideMark/>
          </w:tcPr>
          <w:p w14:paraId="0F350782"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TIMM9</w:t>
            </w:r>
          </w:p>
        </w:tc>
        <w:tc>
          <w:tcPr>
            <w:tcW w:w="5966" w:type="dxa"/>
            <w:tcBorders>
              <w:top w:val="nil"/>
              <w:left w:val="nil"/>
              <w:bottom w:val="nil"/>
              <w:right w:val="nil"/>
            </w:tcBorders>
            <w:shd w:val="clear" w:color="auto" w:fill="auto"/>
            <w:noWrap/>
            <w:vAlign w:val="bottom"/>
            <w:hideMark/>
          </w:tcPr>
          <w:p w14:paraId="006DC0AD"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Translocase of inner mitochondrial membrane 9</w:t>
            </w:r>
          </w:p>
        </w:tc>
        <w:tc>
          <w:tcPr>
            <w:tcW w:w="648" w:type="dxa"/>
            <w:tcBorders>
              <w:top w:val="nil"/>
              <w:left w:val="nil"/>
              <w:bottom w:val="nil"/>
              <w:right w:val="nil"/>
            </w:tcBorders>
            <w:shd w:val="clear" w:color="auto" w:fill="auto"/>
            <w:noWrap/>
            <w:vAlign w:val="bottom"/>
            <w:hideMark/>
          </w:tcPr>
          <w:p w14:paraId="0D85540A"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0.76</w:t>
            </w:r>
          </w:p>
        </w:tc>
        <w:tc>
          <w:tcPr>
            <w:tcW w:w="1077" w:type="dxa"/>
            <w:tcBorders>
              <w:top w:val="nil"/>
              <w:left w:val="nil"/>
              <w:bottom w:val="nil"/>
              <w:right w:val="nil"/>
            </w:tcBorders>
            <w:shd w:val="clear" w:color="auto" w:fill="auto"/>
            <w:noWrap/>
            <w:vAlign w:val="bottom"/>
            <w:hideMark/>
          </w:tcPr>
          <w:p w14:paraId="4EF5B709"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3.0E-02</w:t>
            </w:r>
          </w:p>
        </w:tc>
      </w:tr>
      <w:tr w:rsidR="00027E47" w:rsidRPr="00027E47" w14:paraId="57F7DDB0" w14:textId="77777777" w:rsidTr="00027E47">
        <w:trPr>
          <w:trHeight w:val="280"/>
        </w:trPr>
        <w:tc>
          <w:tcPr>
            <w:tcW w:w="979" w:type="dxa"/>
            <w:tcBorders>
              <w:top w:val="nil"/>
              <w:left w:val="nil"/>
              <w:bottom w:val="nil"/>
              <w:right w:val="nil"/>
            </w:tcBorders>
            <w:shd w:val="clear" w:color="000000" w:fill="FF0000"/>
            <w:noWrap/>
            <w:vAlign w:val="bottom"/>
            <w:hideMark/>
          </w:tcPr>
          <w:p w14:paraId="7A47D026" w14:textId="77777777" w:rsidR="00027E47" w:rsidRPr="00027E47" w:rsidRDefault="00027E47" w:rsidP="00454D06">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TOMM6</w:t>
            </w:r>
          </w:p>
        </w:tc>
        <w:tc>
          <w:tcPr>
            <w:tcW w:w="5966" w:type="dxa"/>
            <w:tcBorders>
              <w:top w:val="nil"/>
              <w:left w:val="nil"/>
              <w:bottom w:val="nil"/>
              <w:right w:val="nil"/>
            </w:tcBorders>
            <w:shd w:val="clear" w:color="auto" w:fill="auto"/>
            <w:noWrap/>
            <w:vAlign w:val="bottom"/>
            <w:hideMark/>
          </w:tcPr>
          <w:p w14:paraId="30094D19"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Translocase of outer mitochondrial membrane 6</w:t>
            </w:r>
          </w:p>
        </w:tc>
        <w:tc>
          <w:tcPr>
            <w:tcW w:w="648" w:type="dxa"/>
            <w:tcBorders>
              <w:top w:val="nil"/>
              <w:left w:val="nil"/>
              <w:bottom w:val="nil"/>
              <w:right w:val="nil"/>
            </w:tcBorders>
            <w:shd w:val="clear" w:color="auto" w:fill="auto"/>
            <w:noWrap/>
            <w:vAlign w:val="bottom"/>
            <w:hideMark/>
          </w:tcPr>
          <w:p w14:paraId="6FDF8555"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0.69</w:t>
            </w:r>
          </w:p>
        </w:tc>
        <w:tc>
          <w:tcPr>
            <w:tcW w:w="1077" w:type="dxa"/>
            <w:tcBorders>
              <w:top w:val="nil"/>
              <w:left w:val="nil"/>
              <w:bottom w:val="nil"/>
              <w:right w:val="nil"/>
            </w:tcBorders>
            <w:shd w:val="clear" w:color="auto" w:fill="auto"/>
            <w:noWrap/>
            <w:vAlign w:val="bottom"/>
            <w:hideMark/>
          </w:tcPr>
          <w:p w14:paraId="6D0AF221" w14:textId="77777777" w:rsidR="00027E47" w:rsidRPr="00027E47" w:rsidRDefault="00027E47" w:rsidP="006E5323">
            <w:pPr>
              <w:rPr>
                <w:rFonts w:ascii="Times New Roman" w:eastAsia="Times New Roman" w:hAnsi="Times New Roman" w:cs="Times New Roman"/>
                <w:color w:val="000000"/>
                <w:sz w:val="22"/>
                <w:szCs w:val="22"/>
                <w:lang w:val="en-GB"/>
              </w:rPr>
            </w:pPr>
            <w:r w:rsidRPr="00027E47">
              <w:rPr>
                <w:rFonts w:ascii="Times New Roman" w:eastAsia="Times New Roman" w:hAnsi="Times New Roman" w:cs="Times New Roman"/>
                <w:color w:val="000000"/>
                <w:sz w:val="22"/>
                <w:szCs w:val="22"/>
                <w:lang w:val="en-GB"/>
              </w:rPr>
              <w:t>1.0E-02</w:t>
            </w:r>
          </w:p>
        </w:tc>
      </w:tr>
    </w:tbl>
    <w:p w14:paraId="307A6CC9" w14:textId="77777777" w:rsidR="00964163" w:rsidRDefault="00964163" w:rsidP="00964163">
      <w:pPr>
        <w:spacing w:line="360" w:lineRule="auto"/>
        <w:rPr>
          <w:rFonts w:ascii="Times New Roman" w:hAnsi="Times New Roman" w:cs="Times New Roman"/>
          <w:noProof/>
        </w:rPr>
      </w:pPr>
    </w:p>
    <w:p w14:paraId="63AC28DE" w14:textId="77777777" w:rsidR="00964163" w:rsidRDefault="00964163" w:rsidP="00964163">
      <w:pPr>
        <w:spacing w:line="360" w:lineRule="auto"/>
        <w:rPr>
          <w:rFonts w:ascii="Times New Roman" w:hAnsi="Times New Roman" w:cs="Times New Roman"/>
          <w:noProof/>
        </w:rPr>
      </w:pPr>
    </w:p>
    <w:p w14:paraId="61BC0A1A" w14:textId="77777777" w:rsidR="00075AEE" w:rsidRDefault="00075AEE" w:rsidP="00F92407">
      <w:pPr>
        <w:rPr>
          <w:rFonts w:ascii="Times New Roman" w:hAnsi="Times New Roman" w:cs="Times New Roman"/>
          <w:b/>
          <w:i/>
          <w:noProof/>
          <w:u w:val="single"/>
        </w:rPr>
      </w:pPr>
      <w:bookmarkStart w:id="2158" w:name="_Toc328301199"/>
      <w:bookmarkStart w:id="2159" w:name="_Toc329593490"/>
      <w:bookmarkStart w:id="2160" w:name="_Toc331425989"/>
    </w:p>
    <w:p w14:paraId="797C69EF" w14:textId="29E722E9" w:rsidR="00013859" w:rsidRPr="00F92407" w:rsidRDefault="00D85567" w:rsidP="00C63BC1">
      <w:pPr>
        <w:jc w:val="both"/>
        <w:rPr>
          <w:rFonts w:ascii="Times New Roman" w:hAnsi="Times New Roman" w:cs="Times New Roman"/>
          <w:b/>
          <w:i/>
          <w:noProof/>
          <w:u w:val="single"/>
        </w:rPr>
      </w:pPr>
      <w:r w:rsidRPr="00F92407">
        <w:rPr>
          <w:rFonts w:ascii="Times New Roman" w:hAnsi="Times New Roman" w:cs="Times New Roman"/>
          <w:b/>
          <w:i/>
          <w:noProof/>
          <w:u w:val="single"/>
        </w:rPr>
        <w:t>Glycolysis</w:t>
      </w:r>
      <w:bookmarkEnd w:id="2158"/>
      <w:bookmarkEnd w:id="2159"/>
      <w:bookmarkEnd w:id="2160"/>
    </w:p>
    <w:p w14:paraId="182362A7" w14:textId="77777777" w:rsidR="004F2AAD" w:rsidRDefault="0067772D" w:rsidP="00C63BC1">
      <w:pPr>
        <w:spacing w:line="360" w:lineRule="auto"/>
        <w:jc w:val="both"/>
        <w:rPr>
          <w:rFonts w:ascii="Times New Roman" w:hAnsi="Times New Roman" w:cs="Times New Roman"/>
          <w:noProof/>
        </w:rPr>
      </w:pPr>
      <w:r>
        <w:rPr>
          <w:rFonts w:ascii="Times New Roman" w:hAnsi="Times New Roman" w:cs="Times New Roman"/>
          <w:noProof/>
        </w:rPr>
        <w:t xml:space="preserve">The glycolysis pathway was highlighted </w:t>
      </w:r>
      <w:r w:rsidR="004F2AAD">
        <w:rPr>
          <w:rFonts w:ascii="Times New Roman" w:hAnsi="Times New Roman" w:cs="Times New Roman"/>
          <w:noProof/>
        </w:rPr>
        <w:t>in</w:t>
      </w:r>
      <w:r>
        <w:rPr>
          <w:rFonts w:ascii="Times New Roman" w:hAnsi="Times New Roman" w:cs="Times New Roman"/>
          <w:noProof/>
        </w:rPr>
        <w:t xml:space="preserve"> the IMPALA analysis as a key pathway </w:t>
      </w:r>
    </w:p>
    <w:p w14:paraId="7ED692B0" w14:textId="79DC335F" w:rsidR="00AD1880" w:rsidRPr="00B165F5" w:rsidRDefault="0067772D" w:rsidP="00C63BC1">
      <w:pPr>
        <w:spacing w:line="360" w:lineRule="auto"/>
        <w:jc w:val="both"/>
        <w:rPr>
          <w:rFonts w:ascii="Times New Roman" w:hAnsi="Times New Roman" w:cs="Times New Roman"/>
          <w:noProof/>
        </w:rPr>
      </w:pPr>
      <w:r>
        <w:rPr>
          <w:rFonts w:ascii="Times New Roman" w:hAnsi="Times New Roman" w:cs="Times New Roman"/>
          <w:noProof/>
        </w:rPr>
        <w:t xml:space="preserve">upregulated following MAB391 treatment of astrocytes. </w:t>
      </w:r>
      <w:r w:rsidR="0059616F">
        <w:rPr>
          <w:rFonts w:ascii="Times New Roman" w:hAnsi="Times New Roman" w:cs="Times New Roman"/>
          <w:noProof/>
        </w:rPr>
        <w:t xml:space="preserve">The glycolysis and gluconeogenesis pathway use the same enzymes and generate the same </w:t>
      </w:r>
      <w:r w:rsidR="00FD6759">
        <w:rPr>
          <w:rFonts w:ascii="Times New Roman" w:hAnsi="Times New Roman" w:cs="Times New Roman"/>
          <w:noProof/>
        </w:rPr>
        <w:t xml:space="preserve">intermediate </w:t>
      </w:r>
      <w:r w:rsidR="0059616F">
        <w:rPr>
          <w:rFonts w:ascii="Times New Roman" w:hAnsi="Times New Roman" w:cs="Times New Roman"/>
          <w:noProof/>
        </w:rPr>
        <w:t xml:space="preserve">molecules, therefore it is </w:t>
      </w:r>
      <w:r w:rsidR="004F2AAD">
        <w:rPr>
          <w:rFonts w:ascii="Times New Roman" w:hAnsi="Times New Roman" w:cs="Times New Roman"/>
          <w:noProof/>
        </w:rPr>
        <w:t xml:space="preserve">also </w:t>
      </w:r>
      <w:r w:rsidR="0059616F">
        <w:rPr>
          <w:rFonts w:ascii="Times New Roman" w:hAnsi="Times New Roman" w:cs="Times New Roman"/>
          <w:noProof/>
        </w:rPr>
        <w:t xml:space="preserve">possible that the IMPALA analysis </w:t>
      </w:r>
      <w:r w:rsidR="00071F1E">
        <w:rPr>
          <w:rFonts w:ascii="Times New Roman" w:hAnsi="Times New Roman" w:cs="Times New Roman"/>
          <w:noProof/>
        </w:rPr>
        <w:t xml:space="preserve">is indicative of </w:t>
      </w:r>
      <w:r w:rsidR="004F2AAD">
        <w:rPr>
          <w:rFonts w:ascii="Times New Roman" w:hAnsi="Times New Roman" w:cs="Times New Roman"/>
          <w:noProof/>
        </w:rPr>
        <w:t>upregulation of gluconeogenesis, which</w:t>
      </w:r>
      <w:r w:rsidR="0059616F">
        <w:rPr>
          <w:rFonts w:ascii="Times New Roman" w:hAnsi="Times New Roman" w:cs="Times New Roman"/>
          <w:noProof/>
        </w:rPr>
        <w:t xml:space="preserve"> drive</w:t>
      </w:r>
      <w:r w:rsidR="004F2AAD">
        <w:rPr>
          <w:rFonts w:ascii="Times New Roman" w:hAnsi="Times New Roman" w:cs="Times New Roman"/>
          <w:noProof/>
        </w:rPr>
        <w:t xml:space="preserve">s </w:t>
      </w:r>
      <w:r w:rsidR="00071F1E">
        <w:rPr>
          <w:rFonts w:ascii="Times New Roman" w:hAnsi="Times New Roman" w:cs="Times New Roman"/>
          <w:noProof/>
        </w:rPr>
        <w:t xml:space="preserve">the cell </w:t>
      </w:r>
      <w:r w:rsidR="004F2AAD">
        <w:rPr>
          <w:rFonts w:ascii="Times New Roman" w:hAnsi="Times New Roman" w:cs="Times New Roman"/>
          <w:noProof/>
        </w:rPr>
        <w:t xml:space="preserve">toward </w:t>
      </w:r>
      <w:r w:rsidR="0059616F">
        <w:rPr>
          <w:rFonts w:ascii="Times New Roman" w:hAnsi="Times New Roman" w:cs="Times New Roman"/>
          <w:noProof/>
        </w:rPr>
        <w:t xml:space="preserve">glucose rather than pyruvate production. </w:t>
      </w:r>
      <w:r w:rsidR="00856E76">
        <w:rPr>
          <w:rFonts w:ascii="Times New Roman" w:hAnsi="Times New Roman" w:cs="Times New Roman"/>
          <w:noProof/>
        </w:rPr>
        <w:t>However, since the five genes</w:t>
      </w:r>
      <w:r w:rsidR="00B165F5">
        <w:rPr>
          <w:rFonts w:ascii="Times New Roman" w:hAnsi="Times New Roman" w:cs="Times New Roman"/>
          <w:noProof/>
        </w:rPr>
        <w:t xml:space="preserve"> specifically involved in this pathway</w:t>
      </w:r>
      <w:r w:rsidR="00856E76">
        <w:rPr>
          <w:rFonts w:ascii="Times New Roman" w:hAnsi="Times New Roman" w:cs="Times New Roman"/>
          <w:noProof/>
        </w:rPr>
        <w:t xml:space="preserve"> (</w:t>
      </w:r>
      <w:r w:rsidR="00856E76" w:rsidRPr="004A24B9">
        <w:rPr>
          <w:rFonts w:ascii="Times New Roman" w:hAnsi="Times New Roman" w:cs="Times New Roman"/>
          <w:b/>
          <w:noProof/>
        </w:rPr>
        <w:t xml:space="preserve">table </w:t>
      </w:r>
      <w:r w:rsidR="005C551A" w:rsidRPr="004A24B9">
        <w:rPr>
          <w:rFonts w:ascii="Times New Roman" w:hAnsi="Times New Roman" w:cs="Times New Roman"/>
          <w:b/>
          <w:noProof/>
        </w:rPr>
        <w:t>5.1</w:t>
      </w:r>
      <w:r w:rsidR="00F469B0">
        <w:rPr>
          <w:rFonts w:ascii="Times New Roman" w:hAnsi="Times New Roman" w:cs="Times New Roman"/>
          <w:b/>
          <w:noProof/>
        </w:rPr>
        <w:t>5</w:t>
      </w:r>
      <w:r w:rsidR="00B165F5">
        <w:rPr>
          <w:rFonts w:ascii="Times New Roman" w:hAnsi="Times New Roman" w:cs="Times New Roman"/>
          <w:noProof/>
        </w:rPr>
        <w:t xml:space="preserve">, excluding SLC16A3) </w:t>
      </w:r>
      <w:r w:rsidR="00856E76">
        <w:rPr>
          <w:rFonts w:ascii="Times New Roman" w:hAnsi="Times New Roman" w:cs="Times New Roman"/>
          <w:noProof/>
        </w:rPr>
        <w:t>are found in the lower half of the glycolys</w:t>
      </w:r>
      <w:r w:rsidR="00A4202F">
        <w:rPr>
          <w:rFonts w:ascii="Times New Roman" w:hAnsi="Times New Roman" w:cs="Times New Roman"/>
          <w:noProof/>
        </w:rPr>
        <w:t>is pathway (</w:t>
      </w:r>
      <w:r w:rsidR="00A4202F" w:rsidRPr="004A24B9">
        <w:rPr>
          <w:rFonts w:ascii="Times New Roman" w:hAnsi="Times New Roman" w:cs="Times New Roman"/>
          <w:b/>
          <w:noProof/>
        </w:rPr>
        <w:t xml:space="preserve">figure </w:t>
      </w:r>
      <w:r w:rsidR="009F33F9" w:rsidRPr="004A24B9">
        <w:rPr>
          <w:rFonts w:ascii="Times New Roman" w:hAnsi="Times New Roman" w:cs="Times New Roman"/>
          <w:b/>
          <w:noProof/>
        </w:rPr>
        <w:t>5.18</w:t>
      </w:r>
      <w:r w:rsidR="00A4202F">
        <w:rPr>
          <w:rFonts w:ascii="Times New Roman" w:hAnsi="Times New Roman" w:cs="Times New Roman"/>
          <w:noProof/>
        </w:rPr>
        <w:t xml:space="preserve">), it might be hypothesised </w:t>
      </w:r>
      <w:r w:rsidR="00856E76">
        <w:rPr>
          <w:rFonts w:ascii="Times New Roman" w:hAnsi="Times New Roman" w:cs="Times New Roman"/>
          <w:noProof/>
        </w:rPr>
        <w:t xml:space="preserve">that </w:t>
      </w:r>
      <w:r w:rsidR="00B165F5">
        <w:rPr>
          <w:rFonts w:ascii="Times New Roman" w:hAnsi="Times New Roman" w:cs="Times New Roman"/>
          <w:noProof/>
        </w:rPr>
        <w:t>IGF1R impaired astrocytes are upregulating glycolysis rather than gluconeogenesis.</w:t>
      </w:r>
      <w:r w:rsidR="00856E76">
        <w:rPr>
          <w:rFonts w:ascii="Times New Roman" w:hAnsi="Times New Roman" w:cs="Times New Roman"/>
          <w:noProof/>
        </w:rPr>
        <w:t xml:space="preserve"> In addition, close inspection of the microarray </w:t>
      </w:r>
      <w:r w:rsidR="00A8509A">
        <w:rPr>
          <w:rFonts w:ascii="Times New Roman" w:hAnsi="Times New Roman" w:cs="Times New Roman"/>
          <w:noProof/>
        </w:rPr>
        <w:t>data shows upregulation of a gene</w:t>
      </w:r>
      <w:r w:rsidR="00856E76">
        <w:rPr>
          <w:rFonts w:ascii="Times New Roman" w:hAnsi="Times New Roman" w:cs="Times New Roman"/>
          <w:noProof/>
        </w:rPr>
        <w:t xml:space="preserve"> </w:t>
      </w:r>
      <w:r w:rsidR="00A8509A">
        <w:rPr>
          <w:rFonts w:ascii="Times New Roman" w:hAnsi="Times New Roman" w:cs="Times New Roman"/>
          <w:noProof/>
        </w:rPr>
        <w:t>encoding a monocarboxylate transporter</w:t>
      </w:r>
      <w:r w:rsidR="00FD6759">
        <w:rPr>
          <w:rFonts w:ascii="Times New Roman" w:hAnsi="Times New Roman" w:cs="Times New Roman"/>
          <w:noProof/>
        </w:rPr>
        <w:t>, which is</w:t>
      </w:r>
      <w:r w:rsidR="00856E76">
        <w:rPr>
          <w:rFonts w:ascii="Times New Roman" w:hAnsi="Times New Roman" w:cs="Times New Roman"/>
          <w:noProof/>
        </w:rPr>
        <w:t xml:space="preserve"> used to rapidly shuttle monocarboxylates such as lactate and pyruvate across the plasma membrane (</w:t>
      </w:r>
      <w:r w:rsidR="00A8509A">
        <w:rPr>
          <w:rFonts w:ascii="Times New Roman" w:hAnsi="Times New Roman" w:cs="Times New Roman"/>
          <w:noProof/>
        </w:rPr>
        <w:t>SLC16A3).</w:t>
      </w:r>
      <w:r w:rsidR="006B2C78">
        <w:rPr>
          <w:rFonts w:ascii="Times New Roman" w:hAnsi="Times New Roman" w:cs="Times New Roman"/>
          <w:noProof/>
        </w:rPr>
        <w:t xml:space="preserve"> </w:t>
      </w:r>
      <w:r w:rsidR="00EB5EF9">
        <w:rPr>
          <w:rFonts w:ascii="Times New Roman" w:hAnsi="Times New Roman" w:cs="Times New Roman"/>
          <w:noProof/>
        </w:rPr>
        <w:t>Pyruvate dehydrogenase kinase (PDK) was also signif</w:t>
      </w:r>
      <w:r w:rsidR="00B80D03">
        <w:rPr>
          <w:rFonts w:ascii="Times New Roman" w:hAnsi="Times New Roman" w:cs="Times New Roman"/>
          <w:noProof/>
        </w:rPr>
        <w:t>icantly downregulated in MAB391-</w:t>
      </w:r>
      <w:r w:rsidR="00EB5EF9">
        <w:rPr>
          <w:rFonts w:ascii="Times New Roman" w:hAnsi="Times New Roman" w:cs="Times New Roman"/>
          <w:noProof/>
        </w:rPr>
        <w:t>treated astrocytes</w:t>
      </w:r>
      <w:r w:rsidR="007E2115">
        <w:rPr>
          <w:rFonts w:ascii="Times New Roman" w:hAnsi="Times New Roman" w:cs="Times New Roman"/>
          <w:noProof/>
        </w:rPr>
        <w:t xml:space="preserve"> (FC = 0.58, P-value = 0.05)</w:t>
      </w:r>
      <w:r w:rsidR="00EB5EF9">
        <w:rPr>
          <w:rFonts w:ascii="Times New Roman" w:hAnsi="Times New Roman" w:cs="Times New Roman"/>
          <w:noProof/>
        </w:rPr>
        <w:t>. This enzyme is required in conjunction with pyruvate dehydrogenas</w:t>
      </w:r>
      <w:r w:rsidR="009E76BB">
        <w:rPr>
          <w:rFonts w:ascii="Times New Roman" w:hAnsi="Times New Roman" w:cs="Times New Roman"/>
          <w:noProof/>
        </w:rPr>
        <w:t>e to convert pyruvate to acetyl</w:t>
      </w:r>
      <w:r w:rsidR="00EB5EF9">
        <w:rPr>
          <w:rFonts w:ascii="Times New Roman" w:hAnsi="Times New Roman" w:cs="Times New Roman"/>
          <w:noProof/>
        </w:rPr>
        <w:t>-coA</w:t>
      </w:r>
      <w:r w:rsidR="008F7AC1">
        <w:rPr>
          <w:rFonts w:ascii="Times New Roman" w:hAnsi="Times New Roman" w:cs="Times New Roman"/>
          <w:noProof/>
        </w:rPr>
        <w:t xml:space="preserve"> for entry into the TCA cycle</w:t>
      </w:r>
      <w:r w:rsidR="00EB5EF9">
        <w:rPr>
          <w:rFonts w:ascii="Times New Roman" w:hAnsi="Times New Roman" w:cs="Times New Roman"/>
          <w:noProof/>
        </w:rPr>
        <w:t>. However, since the levels of PDK are reduced in tandem with</w:t>
      </w:r>
      <w:r w:rsidR="00FD6759">
        <w:rPr>
          <w:rFonts w:ascii="Times New Roman" w:hAnsi="Times New Roman" w:cs="Times New Roman"/>
          <w:noProof/>
        </w:rPr>
        <w:t xml:space="preserve"> i</w:t>
      </w:r>
      <w:r w:rsidR="00DD02EA">
        <w:rPr>
          <w:rFonts w:ascii="Times New Roman" w:hAnsi="Times New Roman" w:cs="Times New Roman"/>
          <w:noProof/>
        </w:rPr>
        <w:t xml:space="preserve">ncreased SLC16A3, it is likely that glycolysis is upregulated. </w:t>
      </w:r>
    </w:p>
    <w:p w14:paraId="08C66F3D" w14:textId="77777777" w:rsidR="00AD1880" w:rsidRDefault="00AD1880" w:rsidP="00727955">
      <w:pPr>
        <w:spacing w:line="360" w:lineRule="auto"/>
        <w:rPr>
          <w:rFonts w:ascii="Times New Roman" w:hAnsi="Times New Roman" w:cs="Times New Roman"/>
          <w:b/>
          <w:noProof/>
        </w:rPr>
      </w:pPr>
    </w:p>
    <w:p w14:paraId="169EAE8C" w14:textId="77777777" w:rsidR="004C1D27" w:rsidRDefault="00727955" w:rsidP="004D474F">
      <w:pPr>
        <w:pStyle w:val="Heading5"/>
        <w:rPr>
          <w:noProof/>
        </w:rPr>
      </w:pPr>
      <w:bookmarkStart w:id="2161" w:name="_Toc333569364"/>
      <w:bookmarkStart w:id="2162" w:name="_Toc333570902"/>
      <w:bookmarkStart w:id="2163" w:name="_Toc333585983"/>
      <w:bookmarkStart w:id="2164" w:name="_Toc333586859"/>
      <w:bookmarkStart w:id="2165" w:name="_Toc333644558"/>
      <w:bookmarkStart w:id="2166" w:name="_Toc333644852"/>
      <w:r>
        <w:rPr>
          <w:noProof/>
        </w:rPr>
        <w:t xml:space="preserve">Table </w:t>
      </w:r>
      <w:r w:rsidR="00A3722E">
        <w:rPr>
          <w:noProof/>
        </w:rPr>
        <w:t>5.15</w:t>
      </w:r>
      <w:r w:rsidR="0043060F">
        <w:rPr>
          <w:noProof/>
        </w:rPr>
        <w:t>.</w:t>
      </w:r>
      <w:r>
        <w:rPr>
          <w:noProof/>
        </w:rPr>
        <w:t xml:space="preserve"> Transcripts </w:t>
      </w:r>
      <w:r w:rsidR="00EB5EF9">
        <w:rPr>
          <w:noProof/>
        </w:rPr>
        <w:t>involved glycolysis</w:t>
      </w:r>
      <w:r w:rsidR="00A8509A">
        <w:rPr>
          <w:noProof/>
        </w:rPr>
        <w:t xml:space="preserve"> that are </w:t>
      </w:r>
      <w:r>
        <w:rPr>
          <w:noProof/>
        </w:rPr>
        <w:t>dysregulated in IGF1R impaired astrocytes.</w:t>
      </w:r>
      <w:bookmarkEnd w:id="2161"/>
      <w:bookmarkEnd w:id="2162"/>
      <w:bookmarkEnd w:id="2163"/>
      <w:bookmarkEnd w:id="2164"/>
      <w:bookmarkEnd w:id="2165"/>
      <w:bookmarkEnd w:id="2166"/>
      <w:r>
        <w:rPr>
          <w:noProof/>
        </w:rPr>
        <w:t xml:space="preserve"> </w:t>
      </w:r>
    </w:p>
    <w:p w14:paraId="3FA63008" w14:textId="609AE336" w:rsidR="00AD1880" w:rsidRPr="00727955" w:rsidRDefault="00727955" w:rsidP="00C63BC1">
      <w:pPr>
        <w:spacing w:line="360" w:lineRule="auto"/>
        <w:jc w:val="both"/>
        <w:rPr>
          <w:rFonts w:ascii="Times New Roman" w:hAnsi="Times New Roman" w:cs="Times New Roman"/>
          <w:noProof/>
        </w:rPr>
      </w:pPr>
      <w:r>
        <w:rPr>
          <w:rFonts w:ascii="Times New Roman" w:hAnsi="Times New Roman" w:cs="Times New Roman"/>
          <w:noProof/>
        </w:rPr>
        <w:t>Genes involved in the glycolysis pathway that are differentially expressed in IGF1R impaired astrocytes compared with untreated astrocytes.</w:t>
      </w:r>
      <w:r w:rsidR="00EB5EF9" w:rsidRPr="00EB5EF9">
        <w:rPr>
          <w:rFonts w:ascii="Times New Roman" w:hAnsi="Times New Roman" w:cs="Times New Roman"/>
          <w:noProof/>
        </w:rPr>
        <w:t xml:space="preserve"> </w:t>
      </w:r>
      <w:r w:rsidR="00EB5EF9">
        <w:rPr>
          <w:rFonts w:ascii="Times New Roman" w:hAnsi="Times New Roman" w:cs="Times New Roman"/>
          <w:noProof/>
        </w:rPr>
        <w:t>Fold change (FC) and P-values are also shown.</w:t>
      </w:r>
    </w:p>
    <w:p w14:paraId="2F1C15BD" w14:textId="77777777" w:rsidR="007E1C85" w:rsidRDefault="007E1C85">
      <w:pPr>
        <w:rPr>
          <w:rFonts w:ascii="Times New Roman" w:hAnsi="Times New Roman" w:cs="Times New Roman"/>
          <w:b/>
          <w:noProof/>
        </w:rPr>
      </w:pPr>
    </w:p>
    <w:tbl>
      <w:tblPr>
        <w:tblW w:w="8420" w:type="dxa"/>
        <w:tblInd w:w="93" w:type="dxa"/>
        <w:tblLook w:val="04A0" w:firstRow="1" w:lastRow="0" w:firstColumn="1" w:lastColumn="0" w:noHBand="0" w:noVBand="1"/>
      </w:tblPr>
      <w:tblGrid>
        <w:gridCol w:w="1780"/>
        <w:gridCol w:w="4160"/>
        <w:gridCol w:w="1320"/>
        <w:gridCol w:w="1160"/>
      </w:tblGrid>
      <w:tr w:rsidR="00AA23EB" w:rsidRPr="00AA23EB" w14:paraId="1AF75875" w14:textId="77777777" w:rsidTr="00AA23EB">
        <w:trPr>
          <w:trHeight w:val="280"/>
        </w:trPr>
        <w:tc>
          <w:tcPr>
            <w:tcW w:w="1780" w:type="dxa"/>
            <w:tcBorders>
              <w:top w:val="single" w:sz="4" w:space="0" w:color="auto"/>
              <w:left w:val="nil"/>
              <w:bottom w:val="single" w:sz="4" w:space="0" w:color="auto"/>
              <w:right w:val="nil"/>
            </w:tcBorders>
            <w:shd w:val="clear" w:color="auto" w:fill="auto"/>
            <w:noWrap/>
            <w:vAlign w:val="bottom"/>
            <w:hideMark/>
          </w:tcPr>
          <w:p w14:paraId="5E810B0E" w14:textId="77777777" w:rsidR="00AA23EB" w:rsidRPr="00AA23EB" w:rsidRDefault="00AA23EB" w:rsidP="00454D06">
            <w:pPr>
              <w:rPr>
                <w:rFonts w:ascii="Times New Roman" w:eastAsia="Times New Roman" w:hAnsi="Times New Roman" w:cs="Times New Roman"/>
                <w:b/>
                <w:bCs/>
                <w:color w:val="000000"/>
                <w:sz w:val="22"/>
                <w:szCs w:val="22"/>
                <w:lang w:val="en-GB"/>
              </w:rPr>
            </w:pPr>
            <w:r w:rsidRPr="00AA23EB">
              <w:rPr>
                <w:rFonts w:ascii="Times New Roman" w:eastAsia="Times New Roman" w:hAnsi="Times New Roman" w:cs="Times New Roman"/>
                <w:b/>
                <w:bCs/>
                <w:color w:val="000000"/>
                <w:sz w:val="22"/>
                <w:szCs w:val="22"/>
                <w:lang w:val="en-GB"/>
              </w:rPr>
              <w:t>Gene symbol</w:t>
            </w:r>
          </w:p>
        </w:tc>
        <w:tc>
          <w:tcPr>
            <w:tcW w:w="4160" w:type="dxa"/>
            <w:tcBorders>
              <w:top w:val="single" w:sz="4" w:space="0" w:color="auto"/>
              <w:left w:val="nil"/>
              <w:bottom w:val="single" w:sz="4" w:space="0" w:color="auto"/>
              <w:right w:val="nil"/>
            </w:tcBorders>
            <w:shd w:val="clear" w:color="auto" w:fill="auto"/>
            <w:noWrap/>
            <w:vAlign w:val="bottom"/>
            <w:hideMark/>
          </w:tcPr>
          <w:p w14:paraId="17920DBA" w14:textId="77777777" w:rsidR="00AA23EB" w:rsidRPr="00AA23EB" w:rsidRDefault="00AA23EB" w:rsidP="00454D06">
            <w:pPr>
              <w:rPr>
                <w:rFonts w:ascii="Times New Roman" w:eastAsia="Times New Roman" w:hAnsi="Times New Roman" w:cs="Times New Roman"/>
                <w:b/>
                <w:bCs/>
                <w:color w:val="000000"/>
                <w:sz w:val="22"/>
                <w:szCs w:val="22"/>
                <w:lang w:val="en-GB"/>
              </w:rPr>
            </w:pPr>
            <w:r w:rsidRPr="00AA23EB">
              <w:rPr>
                <w:rFonts w:ascii="Times New Roman" w:eastAsia="Times New Roman" w:hAnsi="Times New Roman" w:cs="Times New Roman"/>
                <w:b/>
                <w:bCs/>
                <w:color w:val="000000"/>
                <w:sz w:val="22"/>
                <w:szCs w:val="22"/>
                <w:lang w:val="en-GB"/>
              </w:rPr>
              <w:t>Gene Name</w:t>
            </w:r>
          </w:p>
        </w:tc>
        <w:tc>
          <w:tcPr>
            <w:tcW w:w="1320" w:type="dxa"/>
            <w:tcBorders>
              <w:top w:val="single" w:sz="4" w:space="0" w:color="auto"/>
              <w:left w:val="nil"/>
              <w:bottom w:val="single" w:sz="4" w:space="0" w:color="auto"/>
              <w:right w:val="nil"/>
            </w:tcBorders>
            <w:shd w:val="clear" w:color="auto" w:fill="auto"/>
            <w:noWrap/>
            <w:vAlign w:val="bottom"/>
            <w:hideMark/>
          </w:tcPr>
          <w:p w14:paraId="592552CA" w14:textId="77777777" w:rsidR="00AA23EB" w:rsidRPr="00AA23EB" w:rsidRDefault="00AA23EB" w:rsidP="00454D06">
            <w:pPr>
              <w:rPr>
                <w:rFonts w:ascii="Times New Roman" w:eastAsia="Times New Roman" w:hAnsi="Times New Roman" w:cs="Times New Roman"/>
                <w:b/>
                <w:bCs/>
                <w:color w:val="000000"/>
                <w:sz w:val="22"/>
                <w:szCs w:val="22"/>
                <w:lang w:val="en-GB"/>
              </w:rPr>
            </w:pPr>
            <w:r w:rsidRPr="00AA23EB">
              <w:rPr>
                <w:rFonts w:ascii="Times New Roman" w:eastAsia="Times New Roman" w:hAnsi="Times New Roman" w:cs="Times New Roman"/>
                <w:b/>
                <w:bCs/>
                <w:color w:val="000000"/>
                <w:sz w:val="22"/>
                <w:szCs w:val="22"/>
                <w:lang w:val="en-GB"/>
              </w:rPr>
              <w:t>FC</w:t>
            </w:r>
          </w:p>
        </w:tc>
        <w:tc>
          <w:tcPr>
            <w:tcW w:w="1160" w:type="dxa"/>
            <w:tcBorders>
              <w:top w:val="single" w:sz="4" w:space="0" w:color="auto"/>
              <w:left w:val="nil"/>
              <w:bottom w:val="single" w:sz="4" w:space="0" w:color="auto"/>
              <w:right w:val="nil"/>
            </w:tcBorders>
            <w:shd w:val="clear" w:color="auto" w:fill="auto"/>
            <w:noWrap/>
            <w:vAlign w:val="bottom"/>
            <w:hideMark/>
          </w:tcPr>
          <w:p w14:paraId="07E5EE65" w14:textId="77777777" w:rsidR="00AA23EB" w:rsidRPr="00AA23EB" w:rsidRDefault="00AA23EB" w:rsidP="00454D06">
            <w:pPr>
              <w:rPr>
                <w:rFonts w:ascii="Times New Roman" w:eastAsia="Times New Roman" w:hAnsi="Times New Roman" w:cs="Times New Roman"/>
                <w:b/>
                <w:bCs/>
                <w:color w:val="000000"/>
                <w:sz w:val="22"/>
                <w:szCs w:val="22"/>
                <w:lang w:val="en-GB"/>
              </w:rPr>
            </w:pPr>
            <w:r w:rsidRPr="00AA23EB">
              <w:rPr>
                <w:rFonts w:ascii="Times New Roman" w:eastAsia="Times New Roman" w:hAnsi="Times New Roman" w:cs="Times New Roman"/>
                <w:b/>
                <w:bCs/>
                <w:color w:val="000000"/>
                <w:sz w:val="22"/>
                <w:szCs w:val="22"/>
                <w:lang w:val="en-GB"/>
              </w:rPr>
              <w:t>P-value</w:t>
            </w:r>
          </w:p>
        </w:tc>
      </w:tr>
      <w:tr w:rsidR="00AA23EB" w:rsidRPr="00AA23EB" w14:paraId="01F9E98C" w14:textId="77777777" w:rsidTr="00AA23EB">
        <w:trPr>
          <w:trHeight w:val="280"/>
        </w:trPr>
        <w:tc>
          <w:tcPr>
            <w:tcW w:w="1780" w:type="dxa"/>
            <w:tcBorders>
              <w:top w:val="nil"/>
              <w:left w:val="nil"/>
              <w:bottom w:val="nil"/>
              <w:right w:val="nil"/>
            </w:tcBorders>
            <w:shd w:val="clear" w:color="000000" w:fill="008000"/>
            <w:noWrap/>
            <w:vAlign w:val="bottom"/>
            <w:hideMark/>
          </w:tcPr>
          <w:p w14:paraId="1E094A16"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ENO1</w:t>
            </w:r>
          </w:p>
        </w:tc>
        <w:tc>
          <w:tcPr>
            <w:tcW w:w="4160" w:type="dxa"/>
            <w:tcBorders>
              <w:top w:val="nil"/>
              <w:left w:val="nil"/>
              <w:bottom w:val="nil"/>
              <w:right w:val="nil"/>
            </w:tcBorders>
            <w:shd w:val="clear" w:color="auto" w:fill="auto"/>
            <w:noWrap/>
            <w:vAlign w:val="bottom"/>
            <w:hideMark/>
          </w:tcPr>
          <w:p w14:paraId="656BEFB4"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Enolase 1</w:t>
            </w:r>
          </w:p>
        </w:tc>
        <w:tc>
          <w:tcPr>
            <w:tcW w:w="1320" w:type="dxa"/>
            <w:tcBorders>
              <w:top w:val="nil"/>
              <w:left w:val="nil"/>
              <w:bottom w:val="nil"/>
              <w:right w:val="nil"/>
            </w:tcBorders>
            <w:shd w:val="clear" w:color="auto" w:fill="auto"/>
            <w:noWrap/>
            <w:vAlign w:val="bottom"/>
            <w:hideMark/>
          </w:tcPr>
          <w:p w14:paraId="78D7B1B1"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1.23</w:t>
            </w:r>
          </w:p>
        </w:tc>
        <w:tc>
          <w:tcPr>
            <w:tcW w:w="1160" w:type="dxa"/>
            <w:tcBorders>
              <w:top w:val="nil"/>
              <w:left w:val="nil"/>
              <w:bottom w:val="nil"/>
              <w:right w:val="nil"/>
            </w:tcBorders>
            <w:shd w:val="clear" w:color="auto" w:fill="auto"/>
            <w:noWrap/>
            <w:vAlign w:val="bottom"/>
            <w:hideMark/>
          </w:tcPr>
          <w:p w14:paraId="05C8C353"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0.0400</w:t>
            </w:r>
          </w:p>
        </w:tc>
      </w:tr>
      <w:tr w:rsidR="00AA23EB" w:rsidRPr="00AA23EB" w14:paraId="43A29DD2" w14:textId="77777777" w:rsidTr="00AA23EB">
        <w:trPr>
          <w:trHeight w:val="280"/>
        </w:trPr>
        <w:tc>
          <w:tcPr>
            <w:tcW w:w="1780" w:type="dxa"/>
            <w:tcBorders>
              <w:top w:val="nil"/>
              <w:left w:val="nil"/>
              <w:bottom w:val="nil"/>
              <w:right w:val="nil"/>
            </w:tcBorders>
            <w:shd w:val="clear" w:color="000000" w:fill="008000"/>
            <w:noWrap/>
            <w:vAlign w:val="bottom"/>
            <w:hideMark/>
          </w:tcPr>
          <w:p w14:paraId="6B8161A5"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ENO1-AS</w:t>
            </w:r>
          </w:p>
        </w:tc>
        <w:tc>
          <w:tcPr>
            <w:tcW w:w="4160" w:type="dxa"/>
            <w:tcBorders>
              <w:top w:val="nil"/>
              <w:left w:val="nil"/>
              <w:bottom w:val="nil"/>
              <w:right w:val="nil"/>
            </w:tcBorders>
            <w:shd w:val="clear" w:color="auto" w:fill="auto"/>
            <w:noWrap/>
            <w:vAlign w:val="bottom"/>
            <w:hideMark/>
          </w:tcPr>
          <w:p w14:paraId="5D8BE337"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Enolase 1-alpha</w:t>
            </w:r>
          </w:p>
        </w:tc>
        <w:tc>
          <w:tcPr>
            <w:tcW w:w="1320" w:type="dxa"/>
            <w:tcBorders>
              <w:top w:val="nil"/>
              <w:left w:val="nil"/>
              <w:bottom w:val="nil"/>
              <w:right w:val="nil"/>
            </w:tcBorders>
            <w:shd w:val="clear" w:color="auto" w:fill="auto"/>
            <w:noWrap/>
            <w:vAlign w:val="bottom"/>
            <w:hideMark/>
          </w:tcPr>
          <w:p w14:paraId="5A989184"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1.85</w:t>
            </w:r>
          </w:p>
        </w:tc>
        <w:tc>
          <w:tcPr>
            <w:tcW w:w="1160" w:type="dxa"/>
            <w:tcBorders>
              <w:top w:val="nil"/>
              <w:left w:val="nil"/>
              <w:bottom w:val="nil"/>
              <w:right w:val="nil"/>
            </w:tcBorders>
            <w:shd w:val="clear" w:color="auto" w:fill="auto"/>
            <w:noWrap/>
            <w:vAlign w:val="bottom"/>
            <w:hideMark/>
          </w:tcPr>
          <w:p w14:paraId="2A135B4F"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0.0030</w:t>
            </w:r>
          </w:p>
        </w:tc>
      </w:tr>
      <w:tr w:rsidR="00AA23EB" w:rsidRPr="00AA23EB" w14:paraId="75BB03DC" w14:textId="77777777" w:rsidTr="00AA23EB">
        <w:trPr>
          <w:trHeight w:val="280"/>
        </w:trPr>
        <w:tc>
          <w:tcPr>
            <w:tcW w:w="1780" w:type="dxa"/>
            <w:tcBorders>
              <w:top w:val="nil"/>
              <w:left w:val="nil"/>
              <w:bottom w:val="nil"/>
              <w:right w:val="nil"/>
            </w:tcBorders>
            <w:shd w:val="clear" w:color="000000" w:fill="008000"/>
            <w:noWrap/>
            <w:vAlign w:val="bottom"/>
            <w:hideMark/>
          </w:tcPr>
          <w:p w14:paraId="508D5D00"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ENO2</w:t>
            </w:r>
          </w:p>
        </w:tc>
        <w:tc>
          <w:tcPr>
            <w:tcW w:w="4160" w:type="dxa"/>
            <w:tcBorders>
              <w:top w:val="nil"/>
              <w:left w:val="nil"/>
              <w:bottom w:val="nil"/>
              <w:right w:val="nil"/>
            </w:tcBorders>
            <w:shd w:val="clear" w:color="auto" w:fill="auto"/>
            <w:noWrap/>
            <w:vAlign w:val="bottom"/>
            <w:hideMark/>
          </w:tcPr>
          <w:p w14:paraId="5A35AF6D"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Enolase 2</w:t>
            </w:r>
          </w:p>
        </w:tc>
        <w:tc>
          <w:tcPr>
            <w:tcW w:w="1320" w:type="dxa"/>
            <w:tcBorders>
              <w:top w:val="nil"/>
              <w:left w:val="nil"/>
              <w:bottom w:val="nil"/>
              <w:right w:val="nil"/>
            </w:tcBorders>
            <w:shd w:val="clear" w:color="auto" w:fill="auto"/>
            <w:noWrap/>
            <w:vAlign w:val="bottom"/>
            <w:hideMark/>
          </w:tcPr>
          <w:p w14:paraId="5897CE0D"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1.46</w:t>
            </w:r>
          </w:p>
        </w:tc>
        <w:tc>
          <w:tcPr>
            <w:tcW w:w="1160" w:type="dxa"/>
            <w:tcBorders>
              <w:top w:val="nil"/>
              <w:left w:val="nil"/>
              <w:bottom w:val="nil"/>
              <w:right w:val="nil"/>
            </w:tcBorders>
            <w:shd w:val="clear" w:color="auto" w:fill="auto"/>
            <w:noWrap/>
            <w:vAlign w:val="bottom"/>
            <w:hideMark/>
          </w:tcPr>
          <w:p w14:paraId="52C8A050"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0.0100</w:t>
            </w:r>
          </w:p>
        </w:tc>
      </w:tr>
      <w:tr w:rsidR="00AA23EB" w:rsidRPr="00AA23EB" w14:paraId="6EE7E071" w14:textId="77777777" w:rsidTr="00AA23EB">
        <w:trPr>
          <w:trHeight w:val="280"/>
        </w:trPr>
        <w:tc>
          <w:tcPr>
            <w:tcW w:w="1780" w:type="dxa"/>
            <w:tcBorders>
              <w:top w:val="nil"/>
              <w:left w:val="nil"/>
              <w:bottom w:val="nil"/>
              <w:right w:val="nil"/>
            </w:tcBorders>
            <w:shd w:val="clear" w:color="000000" w:fill="008000"/>
            <w:noWrap/>
            <w:vAlign w:val="bottom"/>
            <w:hideMark/>
          </w:tcPr>
          <w:p w14:paraId="215A86E5"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PGAM2</w:t>
            </w:r>
          </w:p>
        </w:tc>
        <w:tc>
          <w:tcPr>
            <w:tcW w:w="4160" w:type="dxa"/>
            <w:tcBorders>
              <w:top w:val="nil"/>
              <w:left w:val="nil"/>
              <w:bottom w:val="nil"/>
              <w:right w:val="nil"/>
            </w:tcBorders>
            <w:shd w:val="clear" w:color="auto" w:fill="auto"/>
            <w:noWrap/>
            <w:vAlign w:val="bottom"/>
            <w:hideMark/>
          </w:tcPr>
          <w:p w14:paraId="28F5D5F6"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Phosphoglycerate mutase 2</w:t>
            </w:r>
          </w:p>
        </w:tc>
        <w:tc>
          <w:tcPr>
            <w:tcW w:w="1320" w:type="dxa"/>
            <w:tcBorders>
              <w:top w:val="nil"/>
              <w:left w:val="nil"/>
              <w:bottom w:val="nil"/>
              <w:right w:val="nil"/>
            </w:tcBorders>
            <w:shd w:val="clear" w:color="auto" w:fill="auto"/>
            <w:noWrap/>
            <w:vAlign w:val="bottom"/>
            <w:hideMark/>
          </w:tcPr>
          <w:p w14:paraId="7A1DFEE1"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1.42</w:t>
            </w:r>
          </w:p>
        </w:tc>
        <w:tc>
          <w:tcPr>
            <w:tcW w:w="1160" w:type="dxa"/>
            <w:tcBorders>
              <w:top w:val="nil"/>
              <w:left w:val="nil"/>
              <w:bottom w:val="nil"/>
              <w:right w:val="nil"/>
            </w:tcBorders>
            <w:shd w:val="clear" w:color="auto" w:fill="auto"/>
            <w:noWrap/>
            <w:vAlign w:val="bottom"/>
            <w:hideMark/>
          </w:tcPr>
          <w:p w14:paraId="6BC7E6A3"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0.0006</w:t>
            </w:r>
          </w:p>
        </w:tc>
      </w:tr>
      <w:tr w:rsidR="00AA23EB" w:rsidRPr="00AA23EB" w14:paraId="2E9B5C51" w14:textId="77777777" w:rsidTr="00AA23EB">
        <w:trPr>
          <w:trHeight w:val="280"/>
        </w:trPr>
        <w:tc>
          <w:tcPr>
            <w:tcW w:w="1780" w:type="dxa"/>
            <w:tcBorders>
              <w:top w:val="nil"/>
              <w:left w:val="nil"/>
              <w:bottom w:val="nil"/>
              <w:right w:val="nil"/>
            </w:tcBorders>
            <w:shd w:val="clear" w:color="000000" w:fill="008000"/>
            <w:noWrap/>
            <w:vAlign w:val="bottom"/>
            <w:hideMark/>
          </w:tcPr>
          <w:p w14:paraId="509A382D"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SLC16A3</w:t>
            </w:r>
          </w:p>
        </w:tc>
        <w:tc>
          <w:tcPr>
            <w:tcW w:w="4160" w:type="dxa"/>
            <w:tcBorders>
              <w:top w:val="nil"/>
              <w:left w:val="nil"/>
              <w:bottom w:val="nil"/>
              <w:right w:val="nil"/>
            </w:tcBorders>
            <w:shd w:val="clear" w:color="auto" w:fill="auto"/>
            <w:noWrap/>
            <w:vAlign w:val="bottom"/>
            <w:hideMark/>
          </w:tcPr>
          <w:p w14:paraId="4769EA31"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Solute Carrier Family 16, Member 3</w:t>
            </w:r>
          </w:p>
        </w:tc>
        <w:tc>
          <w:tcPr>
            <w:tcW w:w="1320" w:type="dxa"/>
            <w:tcBorders>
              <w:top w:val="nil"/>
              <w:left w:val="nil"/>
              <w:bottom w:val="nil"/>
              <w:right w:val="nil"/>
            </w:tcBorders>
            <w:shd w:val="clear" w:color="auto" w:fill="auto"/>
            <w:noWrap/>
            <w:vAlign w:val="bottom"/>
            <w:hideMark/>
          </w:tcPr>
          <w:p w14:paraId="454A3D75"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2.04</w:t>
            </w:r>
          </w:p>
        </w:tc>
        <w:tc>
          <w:tcPr>
            <w:tcW w:w="1160" w:type="dxa"/>
            <w:tcBorders>
              <w:top w:val="nil"/>
              <w:left w:val="nil"/>
              <w:bottom w:val="nil"/>
              <w:right w:val="nil"/>
            </w:tcBorders>
            <w:shd w:val="clear" w:color="auto" w:fill="auto"/>
            <w:noWrap/>
            <w:vAlign w:val="bottom"/>
            <w:hideMark/>
          </w:tcPr>
          <w:p w14:paraId="4C247B4F"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0.0200</w:t>
            </w:r>
          </w:p>
        </w:tc>
      </w:tr>
      <w:tr w:rsidR="00AA23EB" w:rsidRPr="00AA23EB" w14:paraId="6DFB82C8" w14:textId="77777777" w:rsidTr="00AA23EB">
        <w:trPr>
          <w:trHeight w:val="280"/>
        </w:trPr>
        <w:tc>
          <w:tcPr>
            <w:tcW w:w="1780" w:type="dxa"/>
            <w:tcBorders>
              <w:top w:val="nil"/>
              <w:left w:val="nil"/>
              <w:bottom w:val="nil"/>
              <w:right w:val="nil"/>
            </w:tcBorders>
            <w:shd w:val="clear" w:color="000000" w:fill="008000"/>
            <w:noWrap/>
            <w:vAlign w:val="bottom"/>
            <w:hideMark/>
          </w:tcPr>
          <w:p w14:paraId="1931685E"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TPI1</w:t>
            </w:r>
          </w:p>
        </w:tc>
        <w:tc>
          <w:tcPr>
            <w:tcW w:w="4160" w:type="dxa"/>
            <w:tcBorders>
              <w:top w:val="nil"/>
              <w:left w:val="nil"/>
              <w:bottom w:val="nil"/>
              <w:right w:val="nil"/>
            </w:tcBorders>
            <w:shd w:val="clear" w:color="auto" w:fill="auto"/>
            <w:noWrap/>
            <w:vAlign w:val="bottom"/>
            <w:hideMark/>
          </w:tcPr>
          <w:p w14:paraId="177DA8EE"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Triosephosphate isomerase 1</w:t>
            </w:r>
          </w:p>
        </w:tc>
        <w:tc>
          <w:tcPr>
            <w:tcW w:w="1320" w:type="dxa"/>
            <w:tcBorders>
              <w:top w:val="nil"/>
              <w:left w:val="nil"/>
              <w:bottom w:val="nil"/>
              <w:right w:val="nil"/>
            </w:tcBorders>
            <w:shd w:val="clear" w:color="auto" w:fill="auto"/>
            <w:noWrap/>
            <w:vAlign w:val="bottom"/>
            <w:hideMark/>
          </w:tcPr>
          <w:p w14:paraId="4AC67093"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1.59</w:t>
            </w:r>
          </w:p>
        </w:tc>
        <w:tc>
          <w:tcPr>
            <w:tcW w:w="1160" w:type="dxa"/>
            <w:tcBorders>
              <w:top w:val="nil"/>
              <w:left w:val="nil"/>
              <w:bottom w:val="nil"/>
              <w:right w:val="nil"/>
            </w:tcBorders>
            <w:shd w:val="clear" w:color="auto" w:fill="auto"/>
            <w:noWrap/>
            <w:vAlign w:val="bottom"/>
            <w:hideMark/>
          </w:tcPr>
          <w:p w14:paraId="39D9A77F" w14:textId="77777777" w:rsidR="00AA23EB" w:rsidRPr="00AA23EB" w:rsidRDefault="00AA23EB" w:rsidP="00454D06">
            <w:pPr>
              <w:rPr>
                <w:rFonts w:ascii="Times New Roman" w:eastAsia="Times New Roman" w:hAnsi="Times New Roman" w:cs="Times New Roman"/>
                <w:color w:val="000000"/>
                <w:sz w:val="22"/>
                <w:szCs w:val="22"/>
                <w:lang w:val="en-GB"/>
              </w:rPr>
            </w:pPr>
            <w:r w:rsidRPr="00AA23EB">
              <w:rPr>
                <w:rFonts w:ascii="Times New Roman" w:eastAsia="Times New Roman" w:hAnsi="Times New Roman" w:cs="Times New Roman"/>
                <w:color w:val="000000"/>
                <w:sz w:val="22"/>
                <w:szCs w:val="22"/>
                <w:lang w:val="en-GB"/>
              </w:rPr>
              <w:t>0.0300</w:t>
            </w:r>
          </w:p>
        </w:tc>
      </w:tr>
    </w:tbl>
    <w:p w14:paraId="637ACD4F" w14:textId="77777777" w:rsidR="007E1C85" w:rsidRDefault="007E1C85">
      <w:pPr>
        <w:rPr>
          <w:rFonts w:ascii="Times New Roman" w:hAnsi="Times New Roman" w:cs="Times New Roman"/>
          <w:b/>
          <w:noProof/>
        </w:rPr>
      </w:pPr>
    </w:p>
    <w:p w14:paraId="4B2ECC5F" w14:textId="77777777" w:rsidR="009D2975" w:rsidRDefault="009D2975">
      <w:pPr>
        <w:rPr>
          <w:rFonts w:ascii="Times New Roman" w:hAnsi="Times New Roman" w:cs="Times New Roman"/>
          <w:b/>
          <w:noProof/>
        </w:rPr>
      </w:pPr>
    </w:p>
    <w:p w14:paraId="7923497E" w14:textId="14D782AE" w:rsidR="007E1C85" w:rsidRDefault="00F47A49">
      <w:pPr>
        <w:rPr>
          <w:rFonts w:ascii="Times New Roman" w:hAnsi="Times New Roman" w:cs="Times New Roman"/>
          <w:b/>
          <w:noProof/>
        </w:rPr>
      </w:pPr>
      <w:r>
        <w:rPr>
          <w:rFonts w:ascii="Times New Roman" w:hAnsi="Times New Roman" w:cs="Times New Roman"/>
          <w:b/>
          <w:noProof/>
        </w:rPr>
        <w:t xml:space="preserve">     </w:t>
      </w:r>
      <w:r w:rsidR="008B3EF1">
        <w:rPr>
          <w:rFonts w:ascii="Times New Roman" w:hAnsi="Times New Roman" w:cs="Times New Roman"/>
          <w:b/>
          <w:noProof/>
        </w:rPr>
        <w:drawing>
          <wp:inline distT="0" distB="0" distL="0" distR="0" wp14:anchorId="2ABD0CFA" wp14:editId="2BFE4895">
            <wp:extent cx="4727986" cy="48813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103">
                      <a:extLst>
                        <a:ext uri="{28A0092B-C50C-407E-A947-70E740481C1C}">
                          <a14:useLocalDpi xmlns:a14="http://schemas.microsoft.com/office/drawing/2010/main" val="0"/>
                        </a:ext>
                      </a:extLst>
                    </a:blip>
                    <a:srcRect l="23083" t="12858" r="22578" b="12322"/>
                    <a:stretch/>
                  </pic:blipFill>
                  <pic:spPr bwMode="auto">
                    <a:xfrm>
                      <a:off x="0" y="0"/>
                      <a:ext cx="4729973" cy="4883417"/>
                    </a:xfrm>
                    <a:prstGeom prst="rect">
                      <a:avLst/>
                    </a:prstGeom>
                    <a:ln>
                      <a:noFill/>
                    </a:ln>
                    <a:extLst>
                      <a:ext uri="{53640926-AAD7-44d8-BBD7-CCE9431645EC}">
                        <a14:shadowObscured xmlns:a14="http://schemas.microsoft.com/office/drawing/2010/main"/>
                      </a:ext>
                    </a:extLst>
                  </pic:spPr>
                </pic:pic>
              </a:graphicData>
            </a:graphic>
          </wp:inline>
        </w:drawing>
      </w:r>
    </w:p>
    <w:p w14:paraId="796563E1" w14:textId="5B6564FC" w:rsidR="00013859" w:rsidRDefault="00013859">
      <w:pPr>
        <w:rPr>
          <w:rFonts w:ascii="Times New Roman" w:hAnsi="Times New Roman" w:cs="Times New Roman"/>
          <w:b/>
          <w:noProof/>
        </w:rPr>
      </w:pPr>
    </w:p>
    <w:p w14:paraId="56E69506" w14:textId="77777777" w:rsidR="004C1D27" w:rsidRDefault="00F82659" w:rsidP="00AB1419">
      <w:pPr>
        <w:pStyle w:val="Caption"/>
        <w:rPr>
          <w:noProof/>
        </w:rPr>
      </w:pPr>
      <w:bookmarkStart w:id="2167" w:name="_Toc333569095"/>
      <w:bookmarkStart w:id="2168" w:name="_Toc333569318"/>
      <w:bookmarkStart w:id="2169" w:name="_Toc333570872"/>
      <w:bookmarkStart w:id="2170" w:name="_Toc333582255"/>
      <w:bookmarkStart w:id="2171" w:name="_Toc333582375"/>
      <w:bookmarkStart w:id="2172" w:name="_Toc333582787"/>
      <w:bookmarkStart w:id="2173" w:name="_Toc333583157"/>
      <w:bookmarkStart w:id="2174" w:name="_Toc333585271"/>
      <w:bookmarkStart w:id="2175" w:name="_Toc333586823"/>
      <w:bookmarkStart w:id="2176" w:name="_Toc333644522"/>
      <w:bookmarkStart w:id="2177" w:name="_Toc333644816"/>
      <w:r>
        <w:rPr>
          <w:noProof/>
        </w:rPr>
        <w:t xml:space="preserve">Figure </w:t>
      </w:r>
      <w:r w:rsidR="009F33F9">
        <w:rPr>
          <w:noProof/>
        </w:rPr>
        <w:t>5.18</w:t>
      </w:r>
      <w:r w:rsidR="0043060F">
        <w:rPr>
          <w:noProof/>
        </w:rPr>
        <w:t>.</w:t>
      </w:r>
      <w:r>
        <w:rPr>
          <w:noProof/>
        </w:rPr>
        <w:t xml:space="preserve"> Altered transcripts in gene expression profiling of IGF1 signalling impaired astrocytes found in the glycolysis pathway.</w:t>
      </w:r>
      <w:bookmarkEnd w:id="2167"/>
      <w:bookmarkEnd w:id="2168"/>
      <w:bookmarkEnd w:id="2169"/>
      <w:bookmarkEnd w:id="2170"/>
      <w:bookmarkEnd w:id="2171"/>
      <w:bookmarkEnd w:id="2172"/>
      <w:bookmarkEnd w:id="2173"/>
      <w:bookmarkEnd w:id="2174"/>
      <w:bookmarkEnd w:id="2175"/>
      <w:bookmarkEnd w:id="2176"/>
      <w:bookmarkEnd w:id="2177"/>
      <w:r>
        <w:rPr>
          <w:noProof/>
        </w:rPr>
        <w:t xml:space="preserve"> </w:t>
      </w:r>
    </w:p>
    <w:p w14:paraId="6EFF091A" w14:textId="66EFF253" w:rsidR="00F82659" w:rsidRDefault="00F82659" w:rsidP="00C63BC1">
      <w:pPr>
        <w:spacing w:line="360" w:lineRule="auto"/>
        <w:jc w:val="both"/>
        <w:rPr>
          <w:rFonts w:ascii="Times New Roman" w:hAnsi="Times New Roman" w:cs="Times New Roman"/>
          <w:noProof/>
        </w:rPr>
      </w:pPr>
      <w:r>
        <w:rPr>
          <w:rFonts w:ascii="Times New Roman" w:hAnsi="Times New Roman" w:cs="Times New Roman"/>
          <w:noProof/>
        </w:rPr>
        <w:t>The enzymes found in yellow boxes are representative of the genes upregulated in IGF1 signalling impaired astrocytes.</w:t>
      </w:r>
      <w:r w:rsidRPr="00AA23EB">
        <w:rPr>
          <w:rFonts w:ascii="Times New Roman" w:hAnsi="Times New Roman" w:cs="Times New Roman"/>
          <w:noProof/>
        </w:rPr>
        <w:t xml:space="preserve"> </w:t>
      </w:r>
      <w:r>
        <w:rPr>
          <w:rFonts w:ascii="Times New Roman" w:hAnsi="Times New Roman" w:cs="Times New Roman"/>
          <w:noProof/>
        </w:rPr>
        <w:t xml:space="preserve">The </w:t>
      </w:r>
      <w:r w:rsidR="00DD02EA">
        <w:rPr>
          <w:rFonts w:ascii="Times New Roman" w:hAnsi="Times New Roman" w:cs="Times New Roman"/>
          <w:noProof/>
        </w:rPr>
        <w:t>four genes</w:t>
      </w:r>
      <w:r>
        <w:rPr>
          <w:rFonts w:ascii="Times New Roman" w:hAnsi="Times New Roman" w:cs="Times New Roman"/>
          <w:noProof/>
        </w:rPr>
        <w:t xml:space="preserve"> </w:t>
      </w:r>
      <w:r w:rsidR="009E76BB">
        <w:rPr>
          <w:rFonts w:ascii="Times New Roman" w:hAnsi="Times New Roman" w:cs="Times New Roman"/>
          <w:noProof/>
        </w:rPr>
        <w:t>(triosephosphate isomerase, phosphoglycerate mutase, enolase 1 and enolase 2)</w:t>
      </w:r>
      <w:r>
        <w:rPr>
          <w:rFonts w:ascii="Times New Roman" w:hAnsi="Times New Roman" w:cs="Times New Roman"/>
          <w:noProof/>
        </w:rPr>
        <w:t xml:space="preserve"> feature in the lower half of the glycolysis pathway and likely reflect a drive towards increased glycolysis rather than glycogenesis.</w:t>
      </w:r>
    </w:p>
    <w:p w14:paraId="45F39E11" w14:textId="77777777" w:rsidR="00E15C65" w:rsidRPr="009D2975" w:rsidRDefault="00E15C65" w:rsidP="00F82659">
      <w:pPr>
        <w:spacing w:line="360" w:lineRule="auto"/>
        <w:rPr>
          <w:rFonts w:ascii="Times New Roman" w:hAnsi="Times New Roman" w:cs="Times New Roman"/>
          <w:noProof/>
        </w:rPr>
      </w:pPr>
    </w:p>
    <w:p w14:paraId="333E7AE5" w14:textId="77777777" w:rsidR="002A4F13" w:rsidRDefault="002A4F13">
      <w:pPr>
        <w:rPr>
          <w:rFonts w:ascii="Times New Roman" w:hAnsi="Times New Roman" w:cs="Times New Roman"/>
          <w:b/>
          <w:noProof/>
        </w:rPr>
        <w:sectPr w:rsidR="002A4F13" w:rsidSect="00E96744">
          <w:pgSz w:w="11900" w:h="16840"/>
          <w:pgMar w:top="1440" w:right="1134" w:bottom="1440" w:left="2268" w:header="709" w:footer="709" w:gutter="0"/>
          <w:cols w:space="708"/>
          <w:docGrid w:linePitch="360"/>
        </w:sectPr>
      </w:pPr>
    </w:p>
    <w:p w14:paraId="6E40E84D" w14:textId="78764BA0" w:rsidR="00DE3B94" w:rsidRPr="00F92407" w:rsidRDefault="00DE3B94" w:rsidP="00C63BC1">
      <w:pPr>
        <w:jc w:val="both"/>
        <w:rPr>
          <w:rFonts w:ascii="Times New Roman" w:hAnsi="Times New Roman" w:cs="Times New Roman"/>
          <w:b/>
          <w:i/>
          <w:noProof/>
          <w:u w:val="single"/>
        </w:rPr>
      </w:pPr>
      <w:bookmarkStart w:id="2178" w:name="_Toc328301200"/>
      <w:bookmarkStart w:id="2179" w:name="_Toc329593491"/>
      <w:bookmarkStart w:id="2180" w:name="_Toc331425990"/>
      <w:r w:rsidRPr="00F92407">
        <w:rPr>
          <w:rFonts w:ascii="Times New Roman" w:hAnsi="Times New Roman" w:cs="Times New Roman"/>
          <w:b/>
          <w:i/>
          <w:noProof/>
          <w:u w:val="single"/>
        </w:rPr>
        <w:t>Antioxidant pathway</w:t>
      </w:r>
      <w:bookmarkEnd w:id="2178"/>
      <w:bookmarkEnd w:id="2179"/>
      <w:bookmarkEnd w:id="2180"/>
    </w:p>
    <w:p w14:paraId="1C51CA67" w14:textId="4C380CF3" w:rsidR="00306323" w:rsidRPr="00361B45" w:rsidRDefault="005B1F16" w:rsidP="00C63BC1">
      <w:pPr>
        <w:spacing w:line="360" w:lineRule="auto"/>
        <w:jc w:val="both"/>
        <w:rPr>
          <w:rFonts w:ascii="Times New Roman" w:hAnsi="Times New Roman" w:cs="Times New Roman"/>
          <w:noProof/>
          <w:color w:val="FF0000"/>
        </w:rPr>
      </w:pPr>
      <w:r>
        <w:rPr>
          <w:rFonts w:ascii="Times New Roman" w:hAnsi="Times New Roman" w:cs="Times New Roman"/>
          <w:noProof/>
        </w:rPr>
        <w:t>In total, 11</w:t>
      </w:r>
      <w:r w:rsidR="005C3EBA">
        <w:rPr>
          <w:rFonts w:ascii="Times New Roman" w:hAnsi="Times New Roman" w:cs="Times New Roman"/>
          <w:noProof/>
        </w:rPr>
        <w:t xml:space="preserve"> genes </w:t>
      </w:r>
      <w:r>
        <w:rPr>
          <w:rFonts w:ascii="Times New Roman" w:hAnsi="Times New Roman" w:cs="Times New Roman"/>
          <w:noProof/>
        </w:rPr>
        <w:t>associated with antioxidant capacity of astrocytes</w:t>
      </w:r>
      <w:r w:rsidR="005C3EBA">
        <w:rPr>
          <w:rFonts w:ascii="Times New Roman" w:hAnsi="Times New Roman" w:cs="Times New Roman"/>
          <w:noProof/>
        </w:rPr>
        <w:t xml:space="preserve"> were dif</w:t>
      </w:r>
      <w:r w:rsidR="00B80D03">
        <w:rPr>
          <w:rFonts w:ascii="Times New Roman" w:hAnsi="Times New Roman" w:cs="Times New Roman"/>
          <w:noProof/>
        </w:rPr>
        <w:t>ferentially expressed in MAB391-</w:t>
      </w:r>
      <w:r w:rsidR="005C3EBA">
        <w:rPr>
          <w:rFonts w:ascii="Times New Roman" w:hAnsi="Times New Roman" w:cs="Times New Roman"/>
          <w:noProof/>
        </w:rPr>
        <w:t>treated astrocytes</w:t>
      </w:r>
      <w:r w:rsidR="005C551A">
        <w:rPr>
          <w:rFonts w:ascii="Times New Roman" w:hAnsi="Times New Roman" w:cs="Times New Roman"/>
          <w:noProof/>
        </w:rPr>
        <w:t xml:space="preserve"> (</w:t>
      </w:r>
      <w:r w:rsidR="005C551A" w:rsidRPr="004A24B9">
        <w:rPr>
          <w:rFonts w:ascii="Times New Roman" w:hAnsi="Times New Roman" w:cs="Times New Roman"/>
          <w:b/>
          <w:noProof/>
        </w:rPr>
        <w:t>table 5.1</w:t>
      </w:r>
      <w:r w:rsidR="00F469B0">
        <w:rPr>
          <w:rFonts w:ascii="Times New Roman" w:hAnsi="Times New Roman" w:cs="Times New Roman"/>
          <w:b/>
          <w:noProof/>
        </w:rPr>
        <w:t>6</w:t>
      </w:r>
      <w:r w:rsidR="007F6AF5">
        <w:rPr>
          <w:rFonts w:ascii="Times New Roman" w:hAnsi="Times New Roman" w:cs="Times New Roman"/>
          <w:noProof/>
        </w:rPr>
        <w:t>)</w:t>
      </w:r>
      <w:r w:rsidR="005C3EBA">
        <w:rPr>
          <w:rFonts w:ascii="Times New Roman" w:hAnsi="Times New Roman" w:cs="Times New Roman"/>
          <w:noProof/>
        </w:rPr>
        <w:t xml:space="preserve">. </w:t>
      </w:r>
      <w:r w:rsidR="0030772D">
        <w:rPr>
          <w:rFonts w:ascii="Times New Roman" w:hAnsi="Times New Roman" w:cs="Times New Roman"/>
          <w:noProof/>
        </w:rPr>
        <w:t>The</w:t>
      </w:r>
      <w:r w:rsidR="00071F1E">
        <w:rPr>
          <w:rFonts w:ascii="Times New Roman" w:hAnsi="Times New Roman" w:cs="Times New Roman"/>
          <w:noProof/>
        </w:rPr>
        <w:t xml:space="preserve"> mRNA</w:t>
      </w:r>
      <w:r w:rsidR="00E42BBF">
        <w:rPr>
          <w:rFonts w:ascii="Times New Roman" w:hAnsi="Times New Roman" w:cs="Times New Roman"/>
          <w:noProof/>
        </w:rPr>
        <w:t xml:space="preserve"> of</w:t>
      </w:r>
      <w:r w:rsidR="0030772D">
        <w:rPr>
          <w:rFonts w:ascii="Times New Roman" w:hAnsi="Times New Roman" w:cs="Times New Roman"/>
          <w:noProof/>
        </w:rPr>
        <w:t xml:space="preserve"> several</w:t>
      </w:r>
      <w:r w:rsidR="00E42BBF">
        <w:rPr>
          <w:rFonts w:ascii="Times New Roman" w:hAnsi="Times New Roman" w:cs="Times New Roman"/>
          <w:noProof/>
        </w:rPr>
        <w:t xml:space="preserve"> enzymes involved in reducing oxidised glutathione are downregulated (GLRX3, TXNL1, TXNDC12, PRDX3, MGST1) and other </w:t>
      </w:r>
      <w:r w:rsidR="00071F1E">
        <w:rPr>
          <w:rFonts w:ascii="Times New Roman" w:hAnsi="Times New Roman" w:cs="Times New Roman"/>
          <w:noProof/>
        </w:rPr>
        <w:t>mRNA</w:t>
      </w:r>
      <w:r w:rsidR="00E42BBF">
        <w:rPr>
          <w:rFonts w:ascii="Times New Roman" w:hAnsi="Times New Roman" w:cs="Times New Roman"/>
          <w:noProof/>
        </w:rPr>
        <w:t xml:space="preserve"> involved in glutathionylating proteins to protect</w:t>
      </w:r>
      <w:r w:rsidR="00355BBD">
        <w:rPr>
          <w:rFonts w:ascii="Times New Roman" w:hAnsi="Times New Roman" w:cs="Times New Roman"/>
          <w:noProof/>
        </w:rPr>
        <w:t xml:space="preserve"> them</w:t>
      </w:r>
      <w:r w:rsidR="00E42BBF">
        <w:rPr>
          <w:rFonts w:ascii="Times New Roman" w:hAnsi="Times New Roman" w:cs="Times New Roman"/>
          <w:noProof/>
        </w:rPr>
        <w:t xml:space="preserve"> from further oxidation (GSTA3) are increased. </w:t>
      </w:r>
      <w:r w:rsidR="0030772D">
        <w:rPr>
          <w:rFonts w:ascii="Times New Roman" w:hAnsi="Times New Roman" w:cs="Times New Roman"/>
          <w:noProof/>
        </w:rPr>
        <w:t>mRNA for GGT1, ABCC5, NOXA1 were also upregulated; GGT1 breaks down GSH in order to</w:t>
      </w:r>
      <w:r w:rsidR="00E42BBF">
        <w:rPr>
          <w:rFonts w:ascii="Times New Roman" w:hAnsi="Times New Roman" w:cs="Times New Roman"/>
          <w:noProof/>
        </w:rPr>
        <w:t xml:space="preserve"> supply the more accessibl</w:t>
      </w:r>
      <w:r w:rsidR="0030772D">
        <w:rPr>
          <w:rFonts w:ascii="Times New Roman" w:hAnsi="Times New Roman" w:cs="Times New Roman"/>
          <w:noProof/>
        </w:rPr>
        <w:t xml:space="preserve">e glutamine form to the neurons; </w:t>
      </w:r>
      <w:r w:rsidR="00E42BBF">
        <w:rPr>
          <w:rFonts w:ascii="Times New Roman" w:hAnsi="Times New Roman" w:cs="Times New Roman"/>
          <w:noProof/>
        </w:rPr>
        <w:t>ABCC5</w:t>
      </w:r>
      <w:r w:rsidR="005C551A">
        <w:rPr>
          <w:rFonts w:ascii="Times New Roman" w:hAnsi="Times New Roman" w:cs="Times New Roman"/>
          <w:noProof/>
        </w:rPr>
        <w:t xml:space="preserve"> </w:t>
      </w:r>
      <w:r w:rsidR="0030772D">
        <w:rPr>
          <w:rFonts w:ascii="Times New Roman" w:hAnsi="Times New Roman" w:cs="Times New Roman"/>
          <w:noProof/>
        </w:rPr>
        <w:t xml:space="preserve">exports glutathione from cells and NOXA1 </w:t>
      </w:r>
      <w:r>
        <w:rPr>
          <w:rFonts w:ascii="Times New Roman" w:hAnsi="Times New Roman" w:cs="Times New Roman"/>
          <w:noProof/>
        </w:rPr>
        <w:t xml:space="preserve">is involved in activating NOX1, a superoxide-producing NADPH oxidase. </w:t>
      </w:r>
    </w:p>
    <w:p w14:paraId="27882A3C" w14:textId="77777777" w:rsidR="005C3EBA" w:rsidRPr="00095220" w:rsidRDefault="005C3EBA" w:rsidP="002A4F13">
      <w:pPr>
        <w:spacing w:line="360" w:lineRule="auto"/>
        <w:rPr>
          <w:rFonts w:ascii="Times New Roman" w:hAnsi="Times New Roman" w:cs="Times New Roman"/>
          <w:noProof/>
        </w:rPr>
      </w:pPr>
    </w:p>
    <w:p w14:paraId="39400AD6" w14:textId="77777777" w:rsidR="00303E90" w:rsidRDefault="002A4F13" w:rsidP="004D474F">
      <w:pPr>
        <w:pStyle w:val="Heading5"/>
        <w:rPr>
          <w:noProof/>
        </w:rPr>
      </w:pPr>
      <w:bookmarkStart w:id="2181" w:name="_Toc333569365"/>
      <w:bookmarkStart w:id="2182" w:name="_Toc333570903"/>
      <w:bookmarkStart w:id="2183" w:name="_Toc333585984"/>
      <w:bookmarkStart w:id="2184" w:name="_Toc333586860"/>
      <w:bookmarkStart w:id="2185" w:name="_Toc333644559"/>
      <w:bookmarkStart w:id="2186" w:name="_Toc333644853"/>
      <w:r>
        <w:rPr>
          <w:noProof/>
        </w:rPr>
        <w:t>Table</w:t>
      </w:r>
      <w:r w:rsidR="00A3722E">
        <w:rPr>
          <w:noProof/>
        </w:rPr>
        <w:t xml:space="preserve"> 5.16</w:t>
      </w:r>
      <w:r w:rsidR="0043060F">
        <w:rPr>
          <w:noProof/>
        </w:rPr>
        <w:t>.</w:t>
      </w:r>
      <w:r>
        <w:rPr>
          <w:noProof/>
        </w:rPr>
        <w:t xml:space="preserve"> Antioxidant-related transcripts dysregulated in IGF1R impaired astrocytes.</w:t>
      </w:r>
      <w:bookmarkEnd w:id="2181"/>
      <w:bookmarkEnd w:id="2182"/>
      <w:bookmarkEnd w:id="2183"/>
      <w:bookmarkEnd w:id="2184"/>
      <w:bookmarkEnd w:id="2185"/>
      <w:bookmarkEnd w:id="2186"/>
      <w:r>
        <w:rPr>
          <w:noProof/>
        </w:rPr>
        <w:t xml:space="preserve"> </w:t>
      </w:r>
    </w:p>
    <w:p w14:paraId="682AE178" w14:textId="68EC7C45" w:rsidR="002A4F13" w:rsidRDefault="002A4F13" w:rsidP="00C63BC1">
      <w:pPr>
        <w:spacing w:line="360" w:lineRule="auto"/>
        <w:jc w:val="both"/>
        <w:rPr>
          <w:rFonts w:ascii="Times New Roman" w:hAnsi="Times New Roman" w:cs="Times New Roman"/>
          <w:noProof/>
        </w:rPr>
      </w:pPr>
      <w:r>
        <w:rPr>
          <w:rFonts w:ascii="Times New Roman" w:hAnsi="Times New Roman" w:cs="Times New Roman"/>
          <w:noProof/>
        </w:rPr>
        <w:t>Genes involved in</w:t>
      </w:r>
      <w:r w:rsidR="00236FC5">
        <w:rPr>
          <w:rFonts w:ascii="Times New Roman" w:hAnsi="Times New Roman" w:cs="Times New Roman"/>
          <w:noProof/>
        </w:rPr>
        <w:t xml:space="preserve"> the antioxidant</w:t>
      </w:r>
      <w:r>
        <w:rPr>
          <w:rFonts w:ascii="Times New Roman" w:hAnsi="Times New Roman" w:cs="Times New Roman"/>
          <w:noProof/>
        </w:rPr>
        <w:t xml:space="preserve"> pathway that are differentially expressed in IGF1R impaired astrocytes compared with untreated astrocytes.</w:t>
      </w:r>
      <w:r w:rsidR="006C5E8D">
        <w:rPr>
          <w:rFonts w:ascii="Times New Roman" w:hAnsi="Times New Roman" w:cs="Times New Roman"/>
          <w:noProof/>
        </w:rPr>
        <w:t xml:space="preserve"> Highlighted in red are downregulated genes and in green are upregulated genes. </w:t>
      </w:r>
      <w:r w:rsidR="003A101E">
        <w:rPr>
          <w:rFonts w:ascii="Times New Roman" w:hAnsi="Times New Roman" w:cs="Times New Roman"/>
          <w:noProof/>
        </w:rPr>
        <w:t>Fold change (FC) and P-values are also shown.</w:t>
      </w:r>
    </w:p>
    <w:p w14:paraId="1997C239" w14:textId="09198636" w:rsidR="002A4F13" w:rsidRDefault="002A4F13">
      <w:pPr>
        <w:rPr>
          <w:rFonts w:ascii="Times New Roman" w:hAnsi="Times New Roman" w:cs="Times New Roman"/>
          <w:b/>
          <w:noProof/>
        </w:rPr>
      </w:pPr>
    </w:p>
    <w:tbl>
      <w:tblPr>
        <w:tblW w:w="7792" w:type="dxa"/>
        <w:tblInd w:w="93" w:type="dxa"/>
        <w:tblLook w:val="04A0" w:firstRow="1" w:lastRow="0" w:firstColumn="1" w:lastColumn="0" w:noHBand="0" w:noVBand="1"/>
      </w:tblPr>
      <w:tblGrid>
        <w:gridCol w:w="1280"/>
        <w:gridCol w:w="4032"/>
        <w:gridCol w:w="1320"/>
        <w:gridCol w:w="1160"/>
      </w:tblGrid>
      <w:tr w:rsidR="005B1F16" w:rsidRPr="005B1F16" w14:paraId="5883BEE5" w14:textId="77777777" w:rsidTr="005B1F16">
        <w:trPr>
          <w:trHeight w:val="280"/>
        </w:trPr>
        <w:tc>
          <w:tcPr>
            <w:tcW w:w="1280" w:type="dxa"/>
            <w:tcBorders>
              <w:top w:val="single" w:sz="4" w:space="0" w:color="auto"/>
              <w:left w:val="nil"/>
              <w:bottom w:val="single" w:sz="4" w:space="0" w:color="auto"/>
              <w:right w:val="nil"/>
            </w:tcBorders>
            <w:shd w:val="clear" w:color="auto" w:fill="auto"/>
            <w:noWrap/>
            <w:vAlign w:val="bottom"/>
            <w:hideMark/>
          </w:tcPr>
          <w:p w14:paraId="0D8A2A1C" w14:textId="77777777" w:rsidR="005B1F16" w:rsidRPr="005B1F16" w:rsidRDefault="005B1F16" w:rsidP="00454D06">
            <w:pPr>
              <w:rPr>
                <w:rFonts w:ascii="Times New Roman" w:eastAsia="Times New Roman" w:hAnsi="Times New Roman" w:cs="Times New Roman"/>
                <w:b/>
                <w:bCs/>
                <w:color w:val="000000"/>
                <w:sz w:val="22"/>
                <w:szCs w:val="22"/>
                <w:lang w:val="en-GB"/>
              </w:rPr>
            </w:pPr>
            <w:r w:rsidRPr="005B1F16">
              <w:rPr>
                <w:rFonts w:ascii="Times New Roman" w:eastAsia="Times New Roman" w:hAnsi="Times New Roman" w:cs="Times New Roman"/>
                <w:b/>
                <w:bCs/>
                <w:color w:val="000000"/>
                <w:sz w:val="22"/>
                <w:szCs w:val="22"/>
                <w:lang w:val="en-GB"/>
              </w:rPr>
              <w:t>Gene symbol</w:t>
            </w:r>
          </w:p>
        </w:tc>
        <w:tc>
          <w:tcPr>
            <w:tcW w:w="4032" w:type="dxa"/>
            <w:tcBorders>
              <w:top w:val="single" w:sz="4" w:space="0" w:color="auto"/>
              <w:left w:val="nil"/>
              <w:bottom w:val="single" w:sz="4" w:space="0" w:color="auto"/>
              <w:right w:val="nil"/>
            </w:tcBorders>
            <w:shd w:val="clear" w:color="auto" w:fill="auto"/>
            <w:noWrap/>
            <w:vAlign w:val="bottom"/>
            <w:hideMark/>
          </w:tcPr>
          <w:p w14:paraId="087E2C72" w14:textId="77777777" w:rsidR="005B1F16" w:rsidRPr="005B1F16" w:rsidRDefault="005B1F16" w:rsidP="00454D06">
            <w:pPr>
              <w:rPr>
                <w:rFonts w:ascii="Times New Roman" w:eastAsia="Times New Roman" w:hAnsi="Times New Roman" w:cs="Times New Roman"/>
                <w:b/>
                <w:bCs/>
                <w:color w:val="000000"/>
                <w:sz w:val="22"/>
                <w:szCs w:val="22"/>
                <w:lang w:val="en-GB"/>
              </w:rPr>
            </w:pPr>
            <w:r w:rsidRPr="005B1F16">
              <w:rPr>
                <w:rFonts w:ascii="Times New Roman" w:eastAsia="Times New Roman" w:hAnsi="Times New Roman" w:cs="Times New Roman"/>
                <w:b/>
                <w:bCs/>
                <w:color w:val="000000"/>
                <w:sz w:val="22"/>
                <w:szCs w:val="22"/>
                <w:lang w:val="en-GB"/>
              </w:rPr>
              <w:t>Gene Name</w:t>
            </w:r>
          </w:p>
        </w:tc>
        <w:tc>
          <w:tcPr>
            <w:tcW w:w="1320" w:type="dxa"/>
            <w:tcBorders>
              <w:top w:val="single" w:sz="4" w:space="0" w:color="auto"/>
              <w:left w:val="nil"/>
              <w:bottom w:val="single" w:sz="4" w:space="0" w:color="auto"/>
              <w:right w:val="nil"/>
            </w:tcBorders>
            <w:shd w:val="clear" w:color="auto" w:fill="auto"/>
            <w:noWrap/>
            <w:vAlign w:val="bottom"/>
            <w:hideMark/>
          </w:tcPr>
          <w:p w14:paraId="6B7BD4B3" w14:textId="77777777" w:rsidR="005B1F16" w:rsidRPr="005B1F16" w:rsidRDefault="005B1F16" w:rsidP="00454D06">
            <w:pPr>
              <w:rPr>
                <w:rFonts w:ascii="Times New Roman" w:eastAsia="Times New Roman" w:hAnsi="Times New Roman" w:cs="Times New Roman"/>
                <w:b/>
                <w:bCs/>
                <w:color w:val="000000"/>
                <w:sz w:val="22"/>
                <w:szCs w:val="22"/>
                <w:lang w:val="en-GB"/>
              </w:rPr>
            </w:pPr>
            <w:r w:rsidRPr="005B1F16">
              <w:rPr>
                <w:rFonts w:ascii="Times New Roman" w:eastAsia="Times New Roman" w:hAnsi="Times New Roman" w:cs="Times New Roman"/>
                <w:b/>
                <w:bCs/>
                <w:color w:val="000000"/>
                <w:sz w:val="22"/>
                <w:szCs w:val="22"/>
                <w:lang w:val="en-GB"/>
              </w:rPr>
              <w:t>FC</w:t>
            </w:r>
          </w:p>
        </w:tc>
        <w:tc>
          <w:tcPr>
            <w:tcW w:w="1160" w:type="dxa"/>
            <w:tcBorders>
              <w:top w:val="single" w:sz="4" w:space="0" w:color="auto"/>
              <w:left w:val="nil"/>
              <w:bottom w:val="single" w:sz="4" w:space="0" w:color="auto"/>
              <w:right w:val="nil"/>
            </w:tcBorders>
            <w:shd w:val="clear" w:color="auto" w:fill="auto"/>
            <w:noWrap/>
            <w:vAlign w:val="bottom"/>
            <w:hideMark/>
          </w:tcPr>
          <w:p w14:paraId="089BB537" w14:textId="77777777" w:rsidR="005B1F16" w:rsidRPr="005B1F16" w:rsidRDefault="005B1F16" w:rsidP="00454D06">
            <w:pPr>
              <w:rPr>
                <w:rFonts w:ascii="Times New Roman" w:eastAsia="Times New Roman" w:hAnsi="Times New Roman" w:cs="Times New Roman"/>
                <w:b/>
                <w:bCs/>
                <w:color w:val="000000"/>
                <w:sz w:val="22"/>
                <w:szCs w:val="22"/>
                <w:lang w:val="en-GB"/>
              </w:rPr>
            </w:pPr>
            <w:r w:rsidRPr="005B1F16">
              <w:rPr>
                <w:rFonts w:ascii="Times New Roman" w:eastAsia="Times New Roman" w:hAnsi="Times New Roman" w:cs="Times New Roman"/>
                <w:b/>
                <w:bCs/>
                <w:color w:val="000000"/>
                <w:sz w:val="22"/>
                <w:szCs w:val="22"/>
                <w:lang w:val="en-GB"/>
              </w:rPr>
              <w:t>P-value</w:t>
            </w:r>
          </w:p>
        </w:tc>
      </w:tr>
      <w:tr w:rsidR="005B1F16" w:rsidRPr="005B1F16" w14:paraId="79313987" w14:textId="77777777" w:rsidTr="005B1F16">
        <w:trPr>
          <w:trHeight w:val="280"/>
        </w:trPr>
        <w:tc>
          <w:tcPr>
            <w:tcW w:w="1280" w:type="dxa"/>
            <w:tcBorders>
              <w:top w:val="nil"/>
              <w:left w:val="nil"/>
              <w:bottom w:val="nil"/>
              <w:right w:val="nil"/>
            </w:tcBorders>
            <w:shd w:val="clear" w:color="000000" w:fill="008000"/>
            <w:noWrap/>
            <w:vAlign w:val="bottom"/>
            <w:hideMark/>
          </w:tcPr>
          <w:p w14:paraId="513F2EB5"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ABCC5</w:t>
            </w:r>
          </w:p>
        </w:tc>
        <w:tc>
          <w:tcPr>
            <w:tcW w:w="4032" w:type="dxa"/>
            <w:tcBorders>
              <w:top w:val="nil"/>
              <w:left w:val="nil"/>
              <w:bottom w:val="nil"/>
              <w:right w:val="nil"/>
            </w:tcBorders>
            <w:shd w:val="clear" w:color="auto" w:fill="auto"/>
            <w:noWrap/>
            <w:vAlign w:val="bottom"/>
            <w:hideMark/>
          </w:tcPr>
          <w:p w14:paraId="7FEFB595"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ATP binding cassette subfamily C member 5</w:t>
            </w:r>
          </w:p>
        </w:tc>
        <w:tc>
          <w:tcPr>
            <w:tcW w:w="1320" w:type="dxa"/>
            <w:tcBorders>
              <w:top w:val="nil"/>
              <w:left w:val="nil"/>
              <w:bottom w:val="nil"/>
              <w:right w:val="nil"/>
            </w:tcBorders>
            <w:shd w:val="clear" w:color="auto" w:fill="auto"/>
            <w:noWrap/>
            <w:vAlign w:val="bottom"/>
            <w:hideMark/>
          </w:tcPr>
          <w:p w14:paraId="2A16218C"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1.21</w:t>
            </w:r>
          </w:p>
        </w:tc>
        <w:tc>
          <w:tcPr>
            <w:tcW w:w="1160" w:type="dxa"/>
            <w:tcBorders>
              <w:top w:val="nil"/>
              <w:left w:val="nil"/>
              <w:bottom w:val="nil"/>
              <w:right w:val="nil"/>
            </w:tcBorders>
            <w:shd w:val="clear" w:color="auto" w:fill="auto"/>
            <w:noWrap/>
            <w:vAlign w:val="bottom"/>
            <w:hideMark/>
          </w:tcPr>
          <w:p w14:paraId="2E11BA9F"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0.050</w:t>
            </w:r>
          </w:p>
        </w:tc>
      </w:tr>
      <w:tr w:rsidR="005B1F16" w:rsidRPr="005B1F16" w14:paraId="188F5D1F" w14:textId="77777777" w:rsidTr="005B1F16">
        <w:trPr>
          <w:trHeight w:val="280"/>
        </w:trPr>
        <w:tc>
          <w:tcPr>
            <w:tcW w:w="1280" w:type="dxa"/>
            <w:tcBorders>
              <w:top w:val="nil"/>
              <w:left w:val="nil"/>
              <w:bottom w:val="nil"/>
              <w:right w:val="nil"/>
            </w:tcBorders>
            <w:shd w:val="clear" w:color="000000" w:fill="008000"/>
            <w:noWrap/>
            <w:vAlign w:val="bottom"/>
            <w:hideMark/>
          </w:tcPr>
          <w:p w14:paraId="7078F317"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GGT1</w:t>
            </w:r>
          </w:p>
        </w:tc>
        <w:tc>
          <w:tcPr>
            <w:tcW w:w="4032" w:type="dxa"/>
            <w:tcBorders>
              <w:top w:val="nil"/>
              <w:left w:val="nil"/>
              <w:bottom w:val="nil"/>
              <w:right w:val="nil"/>
            </w:tcBorders>
            <w:shd w:val="clear" w:color="auto" w:fill="auto"/>
            <w:noWrap/>
            <w:vAlign w:val="bottom"/>
            <w:hideMark/>
          </w:tcPr>
          <w:p w14:paraId="6B12ADB8"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Gamma-glutamyltransferase 1</w:t>
            </w:r>
          </w:p>
        </w:tc>
        <w:tc>
          <w:tcPr>
            <w:tcW w:w="1320" w:type="dxa"/>
            <w:tcBorders>
              <w:top w:val="nil"/>
              <w:left w:val="nil"/>
              <w:bottom w:val="nil"/>
              <w:right w:val="nil"/>
            </w:tcBorders>
            <w:shd w:val="clear" w:color="auto" w:fill="auto"/>
            <w:noWrap/>
            <w:vAlign w:val="bottom"/>
            <w:hideMark/>
          </w:tcPr>
          <w:p w14:paraId="469F4921"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1.41</w:t>
            </w:r>
          </w:p>
        </w:tc>
        <w:tc>
          <w:tcPr>
            <w:tcW w:w="1160" w:type="dxa"/>
            <w:tcBorders>
              <w:top w:val="nil"/>
              <w:left w:val="nil"/>
              <w:bottom w:val="nil"/>
              <w:right w:val="nil"/>
            </w:tcBorders>
            <w:shd w:val="clear" w:color="auto" w:fill="auto"/>
            <w:noWrap/>
            <w:vAlign w:val="bottom"/>
            <w:hideMark/>
          </w:tcPr>
          <w:p w14:paraId="67C5565F"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0.030</w:t>
            </w:r>
          </w:p>
        </w:tc>
      </w:tr>
      <w:tr w:rsidR="005B1F16" w:rsidRPr="005B1F16" w14:paraId="21E7B861" w14:textId="77777777" w:rsidTr="005B1F16">
        <w:trPr>
          <w:trHeight w:val="280"/>
        </w:trPr>
        <w:tc>
          <w:tcPr>
            <w:tcW w:w="1280" w:type="dxa"/>
            <w:tcBorders>
              <w:top w:val="nil"/>
              <w:left w:val="nil"/>
              <w:bottom w:val="nil"/>
              <w:right w:val="nil"/>
            </w:tcBorders>
            <w:shd w:val="clear" w:color="000000" w:fill="FF0000"/>
            <w:noWrap/>
            <w:vAlign w:val="bottom"/>
            <w:hideMark/>
          </w:tcPr>
          <w:p w14:paraId="4EF4233C"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GLRX 3</w:t>
            </w:r>
          </w:p>
        </w:tc>
        <w:tc>
          <w:tcPr>
            <w:tcW w:w="4032" w:type="dxa"/>
            <w:tcBorders>
              <w:top w:val="nil"/>
              <w:left w:val="nil"/>
              <w:bottom w:val="nil"/>
              <w:right w:val="nil"/>
            </w:tcBorders>
            <w:shd w:val="clear" w:color="auto" w:fill="auto"/>
            <w:noWrap/>
            <w:vAlign w:val="bottom"/>
            <w:hideMark/>
          </w:tcPr>
          <w:p w14:paraId="06F89EC0"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Glutaredoxin 3</w:t>
            </w:r>
          </w:p>
        </w:tc>
        <w:tc>
          <w:tcPr>
            <w:tcW w:w="1320" w:type="dxa"/>
            <w:tcBorders>
              <w:top w:val="nil"/>
              <w:left w:val="nil"/>
              <w:bottom w:val="nil"/>
              <w:right w:val="nil"/>
            </w:tcBorders>
            <w:shd w:val="clear" w:color="auto" w:fill="auto"/>
            <w:noWrap/>
            <w:vAlign w:val="bottom"/>
            <w:hideMark/>
          </w:tcPr>
          <w:p w14:paraId="0AEED916"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0.69</w:t>
            </w:r>
          </w:p>
        </w:tc>
        <w:tc>
          <w:tcPr>
            <w:tcW w:w="1160" w:type="dxa"/>
            <w:tcBorders>
              <w:top w:val="nil"/>
              <w:left w:val="nil"/>
              <w:bottom w:val="nil"/>
              <w:right w:val="nil"/>
            </w:tcBorders>
            <w:shd w:val="clear" w:color="auto" w:fill="auto"/>
            <w:noWrap/>
            <w:vAlign w:val="bottom"/>
            <w:hideMark/>
          </w:tcPr>
          <w:p w14:paraId="080AD05A"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0.010</w:t>
            </w:r>
          </w:p>
        </w:tc>
      </w:tr>
      <w:tr w:rsidR="005B1F16" w:rsidRPr="005B1F16" w14:paraId="5265FF78" w14:textId="77777777" w:rsidTr="005B1F16">
        <w:trPr>
          <w:trHeight w:val="280"/>
        </w:trPr>
        <w:tc>
          <w:tcPr>
            <w:tcW w:w="1280" w:type="dxa"/>
            <w:tcBorders>
              <w:top w:val="nil"/>
              <w:left w:val="nil"/>
              <w:bottom w:val="nil"/>
              <w:right w:val="nil"/>
            </w:tcBorders>
            <w:shd w:val="clear" w:color="000000" w:fill="008000"/>
            <w:noWrap/>
            <w:vAlign w:val="bottom"/>
            <w:hideMark/>
          </w:tcPr>
          <w:p w14:paraId="5199371B"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GSTA3</w:t>
            </w:r>
          </w:p>
        </w:tc>
        <w:tc>
          <w:tcPr>
            <w:tcW w:w="4032" w:type="dxa"/>
            <w:tcBorders>
              <w:top w:val="nil"/>
              <w:left w:val="nil"/>
              <w:bottom w:val="nil"/>
              <w:right w:val="nil"/>
            </w:tcBorders>
            <w:shd w:val="clear" w:color="auto" w:fill="auto"/>
            <w:noWrap/>
            <w:vAlign w:val="bottom"/>
            <w:hideMark/>
          </w:tcPr>
          <w:p w14:paraId="7DE3E6CA"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Glutathione-S-transferase alpha 3</w:t>
            </w:r>
          </w:p>
        </w:tc>
        <w:tc>
          <w:tcPr>
            <w:tcW w:w="1320" w:type="dxa"/>
            <w:tcBorders>
              <w:top w:val="nil"/>
              <w:left w:val="nil"/>
              <w:bottom w:val="nil"/>
              <w:right w:val="nil"/>
            </w:tcBorders>
            <w:shd w:val="clear" w:color="auto" w:fill="auto"/>
            <w:noWrap/>
            <w:vAlign w:val="bottom"/>
            <w:hideMark/>
          </w:tcPr>
          <w:p w14:paraId="2B19C760"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1.66</w:t>
            </w:r>
          </w:p>
        </w:tc>
        <w:tc>
          <w:tcPr>
            <w:tcW w:w="1160" w:type="dxa"/>
            <w:tcBorders>
              <w:top w:val="nil"/>
              <w:left w:val="nil"/>
              <w:bottom w:val="nil"/>
              <w:right w:val="nil"/>
            </w:tcBorders>
            <w:shd w:val="clear" w:color="auto" w:fill="auto"/>
            <w:noWrap/>
            <w:vAlign w:val="bottom"/>
            <w:hideMark/>
          </w:tcPr>
          <w:p w14:paraId="1702683F"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0.009</w:t>
            </w:r>
          </w:p>
        </w:tc>
      </w:tr>
      <w:tr w:rsidR="005B1F16" w:rsidRPr="005B1F16" w14:paraId="615EB83E" w14:textId="77777777" w:rsidTr="005B1F16">
        <w:trPr>
          <w:trHeight w:val="280"/>
        </w:trPr>
        <w:tc>
          <w:tcPr>
            <w:tcW w:w="1280" w:type="dxa"/>
            <w:tcBorders>
              <w:top w:val="nil"/>
              <w:left w:val="nil"/>
              <w:bottom w:val="nil"/>
              <w:right w:val="nil"/>
            </w:tcBorders>
            <w:shd w:val="clear" w:color="000000" w:fill="FF0000"/>
            <w:noWrap/>
            <w:vAlign w:val="bottom"/>
            <w:hideMark/>
          </w:tcPr>
          <w:p w14:paraId="2E067C7B"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GSTTP1</w:t>
            </w:r>
          </w:p>
        </w:tc>
        <w:tc>
          <w:tcPr>
            <w:tcW w:w="4032" w:type="dxa"/>
            <w:tcBorders>
              <w:top w:val="nil"/>
              <w:left w:val="nil"/>
              <w:bottom w:val="nil"/>
              <w:right w:val="nil"/>
            </w:tcBorders>
            <w:shd w:val="clear" w:color="auto" w:fill="auto"/>
            <w:noWrap/>
            <w:vAlign w:val="bottom"/>
            <w:hideMark/>
          </w:tcPr>
          <w:p w14:paraId="49E24503"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Glutathione-S-transferase theta pseudogene 1</w:t>
            </w:r>
          </w:p>
        </w:tc>
        <w:tc>
          <w:tcPr>
            <w:tcW w:w="1320" w:type="dxa"/>
            <w:tcBorders>
              <w:top w:val="nil"/>
              <w:left w:val="nil"/>
              <w:bottom w:val="nil"/>
              <w:right w:val="nil"/>
            </w:tcBorders>
            <w:shd w:val="clear" w:color="auto" w:fill="auto"/>
            <w:noWrap/>
            <w:vAlign w:val="bottom"/>
            <w:hideMark/>
          </w:tcPr>
          <w:p w14:paraId="087E6520"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0.70</w:t>
            </w:r>
          </w:p>
        </w:tc>
        <w:tc>
          <w:tcPr>
            <w:tcW w:w="1160" w:type="dxa"/>
            <w:tcBorders>
              <w:top w:val="nil"/>
              <w:left w:val="nil"/>
              <w:bottom w:val="nil"/>
              <w:right w:val="nil"/>
            </w:tcBorders>
            <w:shd w:val="clear" w:color="auto" w:fill="auto"/>
            <w:noWrap/>
            <w:vAlign w:val="bottom"/>
            <w:hideMark/>
          </w:tcPr>
          <w:p w14:paraId="73FA38B7"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0.008</w:t>
            </w:r>
          </w:p>
        </w:tc>
      </w:tr>
      <w:tr w:rsidR="005B1F16" w:rsidRPr="005B1F16" w14:paraId="4CCC03EA" w14:textId="77777777" w:rsidTr="005B1F16">
        <w:trPr>
          <w:trHeight w:val="280"/>
        </w:trPr>
        <w:tc>
          <w:tcPr>
            <w:tcW w:w="1280" w:type="dxa"/>
            <w:tcBorders>
              <w:top w:val="nil"/>
              <w:left w:val="nil"/>
              <w:bottom w:val="nil"/>
              <w:right w:val="nil"/>
            </w:tcBorders>
            <w:shd w:val="clear" w:color="000000" w:fill="FF0000"/>
            <w:noWrap/>
            <w:vAlign w:val="bottom"/>
            <w:hideMark/>
          </w:tcPr>
          <w:p w14:paraId="09CF14CB"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MGST1</w:t>
            </w:r>
          </w:p>
        </w:tc>
        <w:tc>
          <w:tcPr>
            <w:tcW w:w="4032" w:type="dxa"/>
            <w:tcBorders>
              <w:top w:val="nil"/>
              <w:left w:val="nil"/>
              <w:bottom w:val="nil"/>
              <w:right w:val="nil"/>
            </w:tcBorders>
            <w:shd w:val="clear" w:color="auto" w:fill="auto"/>
            <w:noWrap/>
            <w:vAlign w:val="bottom"/>
            <w:hideMark/>
          </w:tcPr>
          <w:p w14:paraId="685D634B"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Microsomal glutathione-s-transferase 1</w:t>
            </w:r>
          </w:p>
        </w:tc>
        <w:tc>
          <w:tcPr>
            <w:tcW w:w="1320" w:type="dxa"/>
            <w:tcBorders>
              <w:top w:val="nil"/>
              <w:left w:val="nil"/>
              <w:bottom w:val="nil"/>
              <w:right w:val="nil"/>
            </w:tcBorders>
            <w:shd w:val="clear" w:color="auto" w:fill="auto"/>
            <w:noWrap/>
            <w:vAlign w:val="bottom"/>
            <w:hideMark/>
          </w:tcPr>
          <w:p w14:paraId="61B7333F"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0.77</w:t>
            </w:r>
          </w:p>
        </w:tc>
        <w:tc>
          <w:tcPr>
            <w:tcW w:w="1160" w:type="dxa"/>
            <w:tcBorders>
              <w:top w:val="nil"/>
              <w:left w:val="nil"/>
              <w:bottom w:val="nil"/>
              <w:right w:val="nil"/>
            </w:tcBorders>
            <w:shd w:val="clear" w:color="auto" w:fill="auto"/>
            <w:noWrap/>
            <w:vAlign w:val="bottom"/>
            <w:hideMark/>
          </w:tcPr>
          <w:p w14:paraId="4C35F385"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0.020</w:t>
            </w:r>
          </w:p>
        </w:tc>
      </w:tr>
      <w:tr w:rsidR="005B1F16" w:rsidRPr="005B1F16" w14:paraId="5AAC2912" w14:textId="77777777" w:rsidTr="005B1F16">
        <w:trPr>
          <w:trHeight w:val="280"/>
        </w:trPr>
        <w:tc>
          <w:tcPr>
            <w:tcW w:w="1280" w:type="dxa"/>
            <w:tcBorders>
              <w:top w:val="nil"/>
              <w:left w:val="nil"/>
              <w:bottom w:val="nil"/>
              <w:right w:val="nil"/>
            </w:tcBorders>
            <w:shd w:val="clear" w:color="000000" w:fill="008000"/>
            <w:noWrap/>
            <w:vAlign w:val="bottom"/>
            <w:hideMark/>
          </w:tcPr>
          <w:p w14:paraId="49BF169A"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NOXA1</w:t>
            </w:r>
          </w:p>
        </w:tc>
        <w:tc>
          <w:tcPr>
            <w:tcW w:w="4032" w:type="dxa"/>
            <w:tcBorders>
              <w:top w:val="nil"/>
              <w:left w:val="nil"/>
              <w:bottom w:val="nil"/>
              <w:right w:val="nil"/>
            </w:tcBorders>
            <w:shd w:val="clear" w:color="auto" w:fill="auto"/>
            <w:noWrap/>
            <w:vAlign w:val="bottom"/>
            <w:hideMark/>
          </w:tcPr>
          <w:p w14:paraId="42D2EFAE"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NADPH oxidase activator 1</w:t>
            </w:r>
          </w:p>
        </w:tc>
        <w:tc>
          <w:tcPr>
            <w:tcW w:w="1320" w:type="dxa"/>
            <w:tcBorders>
              <w:top w:val="nil"/>
              <w:left w:val="nil"/>
              <w:bottom w:val="nil"/>
              <w:right w:val="nil"/>
            </w:tcBorders>
            <w:shd w:val="clear" w:color="auto" w:fill="auto"/>
            <w:noWrap/>
            <w:vAlign w:val="bottom"/>
            <w:hideMark/>
          </w:tcPr>
          <w:p w14:paraId="3141C8F8"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1.27</w:t>
            </w:r>
          </w:p>
        </w:tc>
        <w:tc>
          <w:tcPr>
            <w:tcW w:w="1160" w:type="dxa"/>
            <w:tcBorders>
              <w:top w:val="nil"/>
              <w:left w:val="nil"/>
              <w:bottom w:val="nil"/>
              <w:right w:val="nil"/>
            </w:tcBorders>
            <w:shd w:val="clear" w:color="auto" w:fill="auto"/>
            <w:noWrap/>
            <w:vAlign w:val="bottom"/>
            <w:hideMark/>
          </w:tcPr>
          <w:p w14:paraId="43C79501"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0.050</w:t>
            </w:r>
          </w:p>
        </w:tc>
      </w:tr>
      <w:tr w:rsidR="005B1F16" w:rsidRPr="005B1F16" w14:paraId="2E625353" w14:textId="77777777" w:rsidTr="005B1F16">
        <w:trPr>
          <w:trHeight w:val="280"/>
        </w:trPr>
        <w:tc>
          <w:tcPr>
            <w:tcW w:w="1280" w:type="dxa"/>
            <w:tcBorders>
              <w:top w:val="nil"/>
              <w:left w:val="nil"/>
              <w:bottom w:val="nil"/>
              <w:right w:val="nil"/>
            </w:tcBorders>
            <w:shd w:val="clear" w:color="000000" w:fill="FF0000"/>
            <w:noWrap/>
            <w:vAlign w:val="bottom"/>
            <w:hideMark/>
          </w:tcPr>
          <w:p w14:paraId="19B06BFC"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PRDX3</w:t>
            </w:r>
          </w:p>
        </w:tc>
        <w:tc>
          <w:tcPr>
            <w:tcW w:w="4032" w:type="dxa"/>
            <w:tcBorders>
              <w:top w:val="nil"/>
              <w:left w:val="nil"/>
              <w:bottom w:val="nil"/>
              <w:right w:val="nil"/>
            </w:tcBorders>
            <w:shd w:val="clear" w:color="auto" w:fill="auto"/>
            <w:noWrap/>
            <w:vAlign w:val="bottom"/>
            <w:hideMark/>
          </w:tcPr>
          <w:p w14:paraId="202B7139"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Peroxiredoxin 3</w:t>
            </w:r>
          </w:p>
        </w:tc>
        <w:tc>
          <w:tcPr>
            <w:tcW w:w="1320" w:type="dxa"/>
            <w:tcBorders>
              <w:top w:val="nil"/>
              <w:left w:val="nil"/>
              <w:bottom w:val="nil"/>
              <w:right w:val="nil"/>
            </w:tcBorders>
            <w:shd w:val="clear" w:color="auto" w:fill="auto"/>
            <w:noWrap/>
            <w:vAlign w:val="bottom"/>
            <w:hideMark/>
          </w:tcPr>
          <w:p w14:paraId="3DA366E8"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0.72</w:t>
            </w:r>
          </w:p>
        </w:tc>
        <w:tc>
          <w:tcPr>
            <w:tcW w:w="1160" w:type="dxa"/>
            <w:tcBorders>
              <w:top w:val="nil"/>
              <w:left w:val="nil"/>
              <w:bottom w:val="nil"/>
              <w:right w:val="nil"/>
            </w:tcBorders>
            <w:shd w:val="clear" w:color="auto" w:fill="auto"/>
            <w:noWrap/>
            <w:vAlign w:val="bottom"/>
            <w:hideMark/>
          </w:tcPr>
          <w:p w14:paraId="40AFABE5"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0.002</w:t>
            </w:r>
          </w:p>
        </w:tc>
      </w:tr>
      <w:tr w:rsidR="005B1F16" w:rsidRPr="005B1F16" w14:paraId="67B0C6CF" w14:textId="77777777" w:rsidTr="005B1F16">
        <w:trPr>
          <w:trHeight w:val="280"/>
        </w:trPr>
        <w:tc>
          <w:tcPr>
            <w:tcW w:w="1280" w:type="dxa"/>
            <w:tcBorders>
              <w:top w:val="nil"/>
              <w:left w:val="nil"/>
              <w:bottom w:val="nil"/>
              <w:right w:val="nil"/>
            </w:tcBorders>
            <w:shd w:val="clear" w:color="000000" w:fill="FF0000"/>
            <w:noWrap/>
            <w:vAlign w:val="bottom"/>
            <w:hideMark/>
          </w:tcPr>
          <w:p w14:paraId="0D23568C"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TXNDC12</w:t>
            </w:r>
          </w:p>
        </w:tc>
        <w:tc>
          <w:tcPr>
            <w:tcW w:w="4032" w:type="dxa"/>
            <w:tcBorders>
              <w:top w:val="nil"/>
              <w:left w:val="nil"/>
              <w:bottom w:val="nil"/>
              <w:right w:val="nil"/>
            </w:tcBorders>
            <w:shd w:val="clear" w:color="auto" w:fill="auto"/>
            <w:noWrap/>
            <w:vAlign w:val="bottom"/>
            <w:hideMark/>
          </w:tcPr>
          <w:p w14:paraId="1FBBDF99"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Thioredoxin domain-containing 12</w:t>
            </w:r>
          </w:p>
        </w:tc>
        <w:tc>
          <w:tcPr>
            <w:tcW w:w="1320" w:type="dxa"/>
            <w:tcBorders>
              <w:top w:val="nil"/>
              <w:left w:val="nil"/>
              <w:bottom w:val="nil"/>
              <w:right w:val="nil"/>
            </w:tcBorders>
            <w:shd w:val="clear" w:color="auto" w:fill="auto"/>
            <w:noWrap/>
            <w:vAlign w:val="bottom"/>
            <w:hideMark/>
          </w:tcPr>
          <w:p w14:paraId="057DC6E7"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0.77</w:t>
            </w:r>
          </w:p>
        </w:tc>
        <w:tc>
          <w:tcPr>
            <w:tcW w:w="1160" w:type="dxa"/>
            <w:tcBorders>
              <w:top w:val="nil"/>
              <w:left w:val="nil"/>
              <w:bottom w:val="nil"/>
              <w:right w:val="nil"/>
            </w:tcBorders>
            <w:shd w:val="clear" w:color="auto" w:fill="auto"/>
            <w:noWrap/>
            <w:vAlign w:val="bottom"/>
            <w:hideMark/>
          </w:tcPr>
          <w:p w14:paraId="454448FC"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0.006</w:t>
            </w:r>
          </w:p>
        </w:tc>
      </w:tr>
      <w:tr w:rsidR="005B1F16" w:rsidRPr="005B1F16" w14:paraId="58D85CE1" w14:textId="77777777" w:rsidTr="005B1F16">
        <w:trPr>
          <w:trHeight w:val="280"/>
        </w:trPr>
        <w:tc>
          <w:tcPr>
            <w:tcW w:w="1280" w:type="dxa"/>
            <w:tcBorders>
              <w:top w:val="nil"/>
              <w:left w:val="nil"/>
              <w:bottom w:val="nil"/>
              <w:right w:val="nil"/>
            </w:tcBorders>
            <w:shd w:val="clear" w:color="000000" w:fill="FF0000"/>
            <w:noWrap/>
            <w:vAlign w:val="bottom"/>
            <w:hideMark/>
          </w:tcPr>
          <w:p w14:paraId="03C7D62F"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TXNL1</w:t>
            </w:r>
          </w:p>
        </w:tc>
        <w:tc>
          <w:tcPr>
            <w:tcW w:w="4032" w:type="dxa"/>
            <w:tcBorders>
              <w:top w:val="nil"/>
              <w:left w:val="nil"/>
              <w:bottom w:val="nil"/>
              <w:right w:val="nil"/>
            </w:tcBorders>
            <w:shd w:val="clear" w:color="auto" w:fill="auto"/>
            <w:noWrap/>
            <w:vAlign w:val="bottom"/>
            <w:hideMark/>
          </w:tcPr>
          <w:p w14:paraId="24707A87"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Thioredoxin-like 1</w:t>
            </w:r>
          </w:p>
        </w:tc>
        <w:tc>
          <w:tcPr>
            <w:tcW w:w="1320" w:type="dxa"/>
            <w:tcBorders>
              <w:top w:val="nil"/>
              <w:left w:val="nil"/>
              <w:bottom w:val="nil"/>
              <w:right w:val="nil"/>
            </w:tcBorders>
            <w:shd w:val="clear" w:color="auto" w:fill="auto"/>
            <w:noWrap/>
            <w:vAlign w:val="bottom"/>
            <w:hideMark/>
          </w:tcPr>
          <w:p w14:paraId="0A196264"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0.83</w:t>
            </w:r>
          </w:p>
        </w:tc>
        <w:tc>
          <w:tcPr>
            <w:tcW w:w="1160" w:type="dxa"/>
            <w:tcBorders>
              <w:top w:val="nil"/>
              <w:left w:val="nil"/>
              <w:bottom w:val="nil"/>
              <w:right w:val="nil"/>
            </w:tcBorders>
            <w:shd w:val="clear" w:color="auto" w:fill="auto"/>
            <w:noWrap/>
            <w:vAlign w:val="bottom"/>
            <w:hideMark/>
          </w:tcPr>
          <w:p w14:paraId="0AE04589"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0.009</w:t>
            </w:r>
          </w:p>
        </w:tc>
      </w:tr>
      <w:tr w:rsidR="005B1F16" w:rsidRPr="005B1F16" w14:paraId="7E5F3E72" w14:textId="77777777" w:rsidTr="005B1F16">
        <w:trPr>
          <w:trHeight w:val="280"/>
        </w:trPr>
        <w:tc>
          <w:tcPr>
            <w:tcW w:w="1280" w:type="dxa"/>
            <w:tcBorders>
              <w:top w:val="nil"/>
              <w:left w:val="nil"/>
              <w:bottom w:val="nil"/>
              <w:right w:val="nil"/>
            </w:tcBorders>
            <w:shd w:val="clear" w:color="000000" w:fill="008000"/>
            <w:noWrap/>
            <w:vAlign w:val="bottom"/>
            <w:hideMark/>
          </w:tcPr>
          <w:p w14:paraId="7F7001D8"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TXNRD2</w:t>
            </w:r>
          </w:p>
        </w:tc>
        <w:tc>
          <w:tcPr>
            <w:tcW w:w="4032" w:type="dxa"/>
            <w:tcBorders>
              <w:top w:val="nil"/>
              <w:left w:val="nil"/>
              <w:bottom w:val="nil"/>
              <w:right w:val="nil"/>
            </w:tcBorders>
            <w:shd w:val="clear" w:color="auto" w:fill="auto"/>
            <w:noWrap/>
            <w:vAlign w:val="bottom"/>
            <w:hideMark/>
          </w:tcPr>
          <w:p w14:paraId="0703C112"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Thioredoxin reductase 2</w:t>
            </w:r>
          </w:p>
        </w:tc>
        <w:tc>
          <w:tcPr>
            <w:tcW w:w="1320" w:type="dxa"/>
            <w:tcBorders>
              <w:top w:val="nil"/>
              <w:left w:val="nil"/>
              <w:bottom w:val="nil"/>
              <w:right w:val="nil"/>
            </w:tcBorders>
            <w:shd w:val="clear" w:color="auto" w:fill="auto"/>
            <w:noWrap/>
            <w:vAlign w:val="bottom"/>
            <w:hideMark/>
          </w:tcPr>
          <w:p w14:paraId="36127DEC" w14:textId="77777777" w:rsidR="005B1F16" w:rsidRPr="005B1F16" w:rsidRDefault="005B1F16" w:rsidP="006E5323">
            <w:pPr>
              <w:rPr>
                <w:rFonts w:ascii="Times New Roman" w:eastAsia="Times New Roman" w:hAnsi="Times New Roman" w:cs="Times New Roman"/>
                <w:color w:val="000000"/>
                <w:sz w:val="22"/>
                <w:szCs w:val="22"/>
                <w:lang w:val="en-GB"/>
              </w:rPr>
            </w:pPr>
            <w:r w:rsidRPr="005B1F16">
              <w:rPr>
                <w:rFonts w:ascii="Times New Roman" w:eastAsia="Times New Roman" w:hAnsi="Times New Roman" w:cs="Times New Roman"/>
                <w:color w:val="000000"/>
                <w:sz w:val="22"/>
                <w:szCs w:val="22"/>
                <w:lang w:val="en-GB"/>
              </w:rPr>
              <w:t>1.41</w:t>
            </w:r>
          </w:p>
        </w:tc>
        <w:tc>
          <w:tcPr>
            <w:tcW w:w="1160" w:type="dxa"/>
            <w:tcBorders>
              <w:top w:val="nil"/>
              <w:left w:val="nil"/>
              <w:bottom w:val="nil"/>
              <w:right w:val="nil"/>
            </w:tcBorders>
            <w:shd w:val="clear" w:color="auto" w:fill="auto"/>
            <w:noWrap/>
            <w:vAlign w:val="bottom"/>
            <w:hideMark/>
          </w:tcPr>
          <w:p w14:paraId="7E758AEA" w14:textId="77777777" w:rsidR="005B1F16" w:rsidRPr="005B1F16" w:rsidRDefault="005B1F16" w:rsidP="006E5323">
            <w:pPr>
              <w:rPr>
                <w:rFonts w:ascii="Calibri" w:eastAsia="Times New Roman" w:hAnsi="Calibri" w:cs="Times New Roman"/>
                <w:color w:val="000000"/>
                <w:sz w:val="22"/>
                <w:szCs w:val="22"/>
                <w:lang w:val="en-GB"/>
              </w:rPr>
            </w:pPr>
            <w:r w:rsidRPr="005B1F16">
              <w:rPr>
                <w:rFonts w:ascii="Calibri" w:eastAsia="Times New Roman" w:hAnsi="Calibri" w:cs="Times New Roman"/>
                <w:color w:val="000000"/>
                <w:sz w:val="22"/>
                <w:szCs w:val="22"/>
                <w:lang w:val="en-GB"/>
              </w:rPr>
              <w:t>0.030</w:t>
            </w:r>
          </w:p>
        </w:tc>
      </w:tr>
    </w:tbl>
    <w:p w14:paraId="6E02C092" w14:textId="77777777" w:rsidR="002A4F13" w:rsidRDefault="002A4F13">
      <w:pPr>
        <w:rPr>
          <w:rFonts w:ascii="Times New Roman" w:hAnsi="Times New Roman" w:cs="Times New Roman"/>
          <w:b/>
          <w:noProof/>
        </w:rPr>
      </w:pPr>
    </w:p>
    <w:p w14:paraId="4D38DB2A" w14:textId="77777777" w:rsidR="00270FC9" w:rsidRDefault="00270FC9" w:rsidP="005C6765">
      <w:pPr>
        <w:spacing w:line="360" w:lineRule="auto"/>
        <w:rPr>
          <w:rFonts w:ascii="Times New Roman" w:hAnsi="Times New Roman" w:cs="Times New Roman"/>
          <w:b/>
          <w:noProof/>
        </w:rPr>
      </w:pPr>
      <w:r>
        <w:rPr>
          <w:rFonts w:ascii="Times New Roman" w:hAnsi="Times New Roman" w:cs="Times New Roman"/>
          <w:b/>
          <w:noProof/>
        </w:rPr>
        <w:t xml:space="preserve">   </w:t>
      </w:r>
    </w:p>
    <w:p w14:paraId="78EC9962" w14:textId="7E53F252" w:rsidR="00560BE3" w:rsidRPr="00F92407" w:rsidRDefault="00560BE3" w:rsidP="00C63BC1">
      <w:pPr>
        <w:jc w:val="both"/>
        <w:rPr>
          <w:rFonts w:ascii="Times New Roman" w:hAnsi="Times New Roman" w:cs="Times New Roman"/>
          <w:b/>
          <w:i/>
          <w:noProof/>
          <w:u w:val="single"/>
        </w:rPr>
      </w:pPr>
      <w:bookmarkStart w:id="2187" w:name="_Toc328301201"/>
      <w:bookmarkStart w:id="2188" w:name="_Toc329593492"/>
      <w:bookmarkStart w:id="2189" w:name="_Toc331425991"/>
      <w:r w:rsidRPr="00F92407">
        <w:rPr>
          <w:rFonts w:ascii="Times New Roman" w:hAnsi="Times New Roman" w:cs="Times New Roman"/>
          <w:b/>
          <w:i/>
          <w:noProof/>
          <w:u w:val="single"/>
        </w:rPr>
        <w:t>Synaptic support</w:t>
      </w:r>
      <w:bookmarkEnd w:id="2187"/>
      <w:bookmarkEnd w:id="2188"/>
      <w:bookmarkEnd w:id="2189"/>
    </w:p>
    <w:p w14:paraId="679F6F0E" w14:textId="712148FF" w:rsidR="007D3A54" w:rsidRDefault="001A2FDC" w:rsidP="00C63BC1">
      <w:pPr>
        <w:spacing w:line="360" w:lineRule="auto"/>
        <w:jc w:val="both"/>
        <w:rPr>
          <w:rFonts w:ascii="Times New Roman" w:hAnsi="Times New Roman" w:cs="Times New Roman"/>
          <w:noProof/>
        </w:rPr>
      </w:pPr>
      <w:r>
        <w:rPr>
          <w:rFonts w:ascii="Times New Roman" w:hAnsi="Times New Roman" w:cs="Times New Roman"/>
          <w:noProof/>
        </w:rPr>
        <w:t xml:space="preserve">Analysis of the gene expression profile data also revealed </w:t>
      </w:r>
      <w:r w:rsidR="000F1498">
        <w:rPr>
          <w:rFonts w:ascii="Times New Roman" w:hAnsi="Times New Roman" w:cs="Times New Roman"/>
          <w:noProof/>
        </w:rPr>
        <w:t xml:space="preserve">genes involved in </w:t>
      </w:r>
      <w:r w:rsidR="005C6765">
        <w:rPr>
          <w:rFonts w:ascii="Times New Roman" w:hAnsi="Times New Roman" w:cs="Times New Roman"/>
          <w:noProof/>
        </w:rPr>
        <w:t>astrocytic support for neuronal synapses (</w:t>
      </w:r>
      <w:r w:rsidR="0024473D" w:rsidRPr="004A24B9">
        <w:rPr>
          <w:rFonts w:ascii="Times New Roman" w:hAnsi="Times New Roman" w:cs="Times New Roman"/>
          <w:b/>
          <w:noProof/>
        </w:rPr>
        <w:t>table</w:t>
      </w:r>
      <w:r w:rsidR="005C6765" w:rsidRPr="004A24B9">
        <w:rPr>
          <w:rFonts w:ascii="Times New Roman" w:hAnsi="Times New Roman" w:cs="Times New Roman"/>
          <w:b/>
          <w:noProof/>
        </w:rPr>
        <w:t xml:space="preserve"> </w:t>
      </w:r>
      <w:r w:rsidR="00702722" w:rsidRPr="004A24B9">
        <w:rPr>
          <w:rFonts w:ascii="Times New Roman" w:hAnsi="Times New Roman" w:cs="Times New Roman"/>
          <w:b/>
          <w:noProof/>
        </w:rPr>
        <w:t>5.1</w:t>
      </w:r>
      <w:r w:rsidR="00F469B0">
        <w:rPr>
          <w:rFonts w:ascii="Times New Roman" w:hAnsi="Times New Roman" w:cs="Times New Roman"/>
          <w:b/>
          <w:noProof/>
        </w:rPr>
        <w:t>7</w:t>
      </w:r>
      <w:r w:rsidR="005C6765">
        <w:rPr>
          <w:rFonts w:ascii="Times New Roman" w:hAnsi="Times New Roman" w:cs="Times New Roman"/>
          <w:noProof/>
        </w:rPr>
        <w:t>)</w:t>
      </w:r>
      <w:r>
        <w:rPr>
          <w:rFonts w:ascii="Times New Roman" w:hAnsi="Times New Roman" w:cs="Times New Roman"/>
          <w:noProof/>
        </w:rPr>
        <w:t xml:space="preserve"> were altered. In IGF1-impaired astrocytes there was increased</w:t>
      </w:r>
      <w:r w:rsidR="00071F1E">
        <w:rPr>
          <w:rFonts w:ascii="Times New Roman" w:hAnsi="Times New Roman" w:cs="Times New Roman"/>
          <w:noProof/>
        </w:rPr>
        <w:t xml:space="preserve"> expression of </w:t>
      </w:r>
      <w:r w:rsidR="005C6765">
        <w:rPr>
          <w:rFonts w:ascii="Times New Roman" w:hAnsi="Times New Roman" w:cs="Times New Roman"/>
          <w:noProof/>
        </w:rPr>
        <w:t xml:space="preserve">several genes involved in responding to neurotransmitter (GABRB1 and GRM6) </w:t>
      </w:r>
      <w:r>
        <w:rPr>
          <w:rFonts w:ascii="Times New Roman" w:hAnsi="Times New Roman" w:cs="Times New Roman"/>
          <w:noProof/>
        </w:rPr>
        <w:t>and</w:t>
      </w:r>
      <w:r w:rsidR="005C6765">
        <w:rPr>
          <w:rFonts w:ascii="Times New Roman" w:hAnsi="Times New Roman" w:cs="Times New Roman"/>
          <w:noProof/>
        </w:rPr>
        <w:t xml:space="preserve"> downregulation of </w:t>
      </w:r>
      <w:r w:rsidR="00071F1E">
        <w:rPr>
          <w:rFonts w:ascii="Times New Roman" w:hAnsi="Times New Roman" w:cs="Times New Roman"/>
          <w:noProof/>
        </w:rPr>
        <w:t xml:space="preserve">expression of </w:t>
      </w:r>
      <w:r w:rsidR="005C6765">
        <w:rPr>
          <w:rFonts w:ascii="Times New Roman" w:hAnsi="Times New Roman" w:cs="Times New Roman"/>
          <w:noProof/>
        </w:rPr>
        <w:t xml:space="preserve">genes involved in axonal growth and development of synaptic </w:t>
      </w:r>
      <w:r w:rsidR="0024473D">
        <w:rPr>
          <w:rFonts w:ascii="Times New Roman" w:hAnsi="Times New Roman" w:cs="Times New Roman"/>
          <w:noProof/>
        </w:rPr>
        <w:t>plasticity (SERPINI1 and SYT12).</w:t>
      </w:r>
    </w:p>
    <w:p w14:paraId="40014097" w14:textId="77777777" w:rsidR="00860A3D" w:rsidRPr="00144013" w:rsidRDefault="00860A3D" w:rsidP="005C6765">
      <w:pPr>
        <w:spacing w:line="360" w:lineRule="auto"/>
        <w:rPr>
          <w:rFonts w:ascii="Times New Roman" w:hAnsi="Times New Roman" w:cs="Times New Roman"/>
          <w:noProof/>
        </w:rPr>
      </w:pPr>
    </w:p>
    <w:tbl>
      <w:tblPr>
        <w:tblpPr w:leftFromText="180" w:rightFromText="180" w:vertAnchor="page" w:horzAnchor="page" w:tblpX="2557" w:tblpY="5941"/>
        <w:tblW w:w="8164" w:type="dxa"/>
        <w:tblLook w:val="04A0" w:firstRow="1" w:lastRow="0" w:firstColumn="1" w:lastColumn="0" w:noHBand="0" w:noVBand="1"/>
      </w:tblPr>
      <w:tblGrid>
        <w:gridCol w:w="1280"/>
        <w:gridCol w:w="4404"/>
        <w:gridCol w:w="1320"/>
        <w:gridCol w:w="1160"/>
      </w:tblGrid>
      <w:tr w:rsidR="00F92407" w:rsidRPr="0079261C" w14:paraId="1E3EED08" w14:textId="77777777" w:rsidTr="00303E90">
        <w:trPr>
          <w:trHeight w:val="300"/>
        </w:trPr>
        <w:tc>
          <w:tcPr>
            <w:tcW w:w="1280" w:type="dxa"/>
            <w:tcBorders>
              <w:top w:val="single" w:sz="4" w:space="0" w:color="auto"/>
              <w:left w:val="nil"/>
              <w:bottom w:val="single" w:sz="4" w:space="0" w:color="auto"/>
              <w:right w:val="nil"/>
            </w:tcBorders>
            <w:shd w:val="clear" w:color="auto" w:fill="auto"/>
            <w:noWrap/>
            <w:vAlign w:val="bottom"/>
            <w:hideMark/>
          </w:tcPr>
          <w:p w14:paraId="74B725A2" w14:textId="77777777" w:rsidR="00F92407" w:rsidRPr="0079261C" w:rsidRDefault="00F92407" w:rsidP="00303E90">
            <w:pPr>
              <w:rPr>
                <w:rFonts w:ascii="Times New Roman" w:eastAsia="Times New Roman" w:hAnsi="Times New Roman" w:cs="Times New Roman"/>
                <w:b/>
                <w:bCs/>
                <w:color w:val="000000"/>
                <w:sz w:val="22"/>
                <w:szCs w:val="22"/>
                <w:lang w:val="en-GB"/>
              </w:rPr>
            </w:pPr>
            <w:r w:rsidRPr="0079261C">
              <w:rPr>
                <w:rFonts w:ascii="Times New Roman" w:eastAsia="Times New Roman" w:hAnsi="Times New Roman" w:cs="Times New Roman"/>
                <w:b/>
                <w:bCs/>
                <w:color w:val="000000"/>
                <w:sz w:val="22"/>
                <w:szCs w:val="22"/>
                <w:lang w:val="en-GB"/>
              </w:rPr>
              <w:t>Gene symbol</w:t>
            </w:r>
          </w:p>
        </w:tc>
        <w:tc>
          <w:tcPr>
            <w:tcW w:w="4404" w:type="dxa"/>
            <w:tcBorders>
              <w:top w:val="single" w:sz="4" w:space="0" w:color="auto"/>
              <w:left w:val="nil"/>
              <w:bottom w:val="single" w:sz="4" w:space="0" w:color="auto"/>
              <w:right w:val="nil"/>
            </w:tcBorders>
            <w:shd w:val="clear" w:color="auto" w:fill="auto"/>
            <w:noWrap/>
            <w:vAlign w:val="bottom"/>
            <w:hideMark/>
          </w:tcPr>
          <w:p w14:paraId="312BA014" w14:textId="77777777" w:rsidR="00F92407" w:rsidRPr="0079261C" w:rsidRDefault="00F92407" w:rsidP="00303E90">
            <w:pPr>
              <w:rPr>
                <w:rFonts w:ascii="Times New Roman" w:eastAsia="Times New Roman" w:hAnsi="Times New Roman" w:cs="Times New Roman"/>
                <w:b/>
                <w:bCs/>
                <w:color w:val="000000"/>
                <w:sz w:val="22"/>
                <w:szCs w:val="22"/>
                <w:lang w:val="en-GB"/>
              </w:rPr>
            </w:pPr>
            <w:r w:rsidRPr="0079261C">
              <w:rPr>
                <w:rFonts w:ascii="Times New Roman" w:eastAsia="Times New Roman" w:hAnsi="Times New Roman" w:cs="Times New Roman"/>
                <w:b/>
                <w:bCs/>
                <w:color w:val="000000"/>
                <w:sz w:val="22"/>
                <w:szCs w:val="22"/>
                <w:lang w:val="en-GB"/>
              </w:rPr>
              <w:t>Gene Name</w:t>
            </w:r>
          </w:p>
        </w:tc>
        <w:tc>
          <w:tcPr>
            <w:tcW w:w="1320" w:type="dxa"/>
            <w:tcBorders>
              <w:top w:val="single" w:sz="4" w:space="0" w:color="auto"/>
              <w:left w:val="nil"/>
              <w:bottom w:val="single" w:sz="4" w:space="0" w:color="auto"/>
              <w:right w:val="nil"/>
            </w:tcBorders>
            <w:shd w:val="clear" w:color="auto" w:fill="auto"/>
            <w:noWrap/>
            <w:vAlign w:val="bottom"/>
            <w:hideMark/>
          </w:tcPr>
          <w:p w14:paraId="71A8EC37" w14:textId="77777777" w:rsidR="00F92407" w:rsidRPr="0079261C" w:rsidRDefault="00F92407" w:rsidP="00303E90">
            <w:pPr>
              <w:rPr>
                <w:rFonts w:ascii="Times New Roman" w:eastAsia="Times New Roman" w:hAnsi="Times New Roman" w:cs="Times New Roman"/>
                <w:b/>
                <w:bCs/>
                <w:color w:val="000000"/>
                <w:sz w:val="22"/>
                <w:szCs w:val="22"/>
                <w:lang w:val="en-GB"/>
              </w:rPr>
            </w:pPr>
            <w:r w:rsidRPr="0079261C">
              <w:rPr>
                <w:rFonts w:ascii="Times New Roman" w:eastAsia="Times New Roman" w:hAnsi="Times New Roman" w:cs="Times New Roman"/>
                <w:b/>
                <w:bCs/>
                <w:color w:val="000000"/>
                <w:sz w:val="22"/>
                <w:szCs w:val="22"/>
                <w:lang w:val="en-GB"/>
              </w:rPr>
              <w:t>FC</w:t>
            </w:r>
          </w:p>
        </w:tc>
        <w:tc>
          <w:tcPr>
            <w:tcW w:w="1160" w:type="dxa"/>
            <w:tcBorders>
              <w:top w:val="single" w:sz="4" w:space="0" w:color="auto"/>
              <w:left w:val="nil"/>
              <w:bottom w:val="single" w:sz="4" w:space="0" w:color="auto"/>
              <w:right w:val="nil"/>
            </w:tcBorders>
            <w:shd w:val="clear" w:color="auto" w:fill="auto"/>
            <w:noWrap/>
            <w:vAlign w:val="bottom"/>
            <w:hideMark/>
          </w:tcPr>
          <w:p w14:paraId="787AE8B9" w14:textId="77777777" w:rsidR="00F92407" w:rsidRPr="0079261C" w:rsidRDefault="00F92407" w:rsidP="00303E90">
            <w:pPr>
              <w:rPr>
                <w:rFonts w:ascii="Times New Roman" w:eastAsia="Times New Roman" w:hAnsi="Times New Roman" w:cs="Times New Roman"/>
                <w:b/>
                <w:bCs/>
                <w:color w:val="000000"/>
                <w:sz w:val="22"/>
                <w:szCs w:val="22"/>
                <w:lang w:val="en-GB"/>
              </w:rPr>
            </w:pPr>
            <w:r w:rsidRPr="0079261C">
              <w:rPr>
                <w:rFonts w:ascii="Times New Roman" w:eastAsia="Times New Roman" w:hAnsi="Times New Roman" w:cs="Times New Roman"/>
                <w:b/>
                <w:bCs/>
                <w:color w:val="000000"/>
                <w:sz w:val="22"/>
                <w:szCs w:val="22"/>
                <w:lang w:val="en-GB"/>
              </w:rPr>
              <w:t>P-value</w:t>
            </w:r>
          </w:p>
        </w:tc>
      </w:tr>
      <w:tr w:rsidR="00F92407" w:rsidRPr="0079261C" w14:paraId="379DF3D0" w14:textId="77777777" w:rsidTr="00303E90">
        <w:trPr>
          <w:trHeight w:val="300"/>
        </w:trPr>
        <w:tc>
          <w:tcPr>
            <w:tcW w:w="1280" w:type="dxa"/>
            <w:tcBorders>
              <w:top w:val="nil"/>
              <w:left w:val="nil"/>
              <w:bottom w:val="nil"/>
              <w:right w:val="nil"/>
            </w:tcBorders>
            <w:shd w:val="clear" w:color="000000" w:fill="FF0000"/>
            <w:noWrap/>
            <w:vAlign w:val="bottom"/>
            <w:hideMark/>
          </w:tcPr>
          <w:p w14:paraId="6F180E11"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CNR1</w:t>
            </w:r>
          </w:p>
        </w:tc>
        <w:tc>
          <w:tcPr>
            <w:tcW w:w="4404" w:type="dxa"/>
            <w:tcBorders>
              <w:top w:val="nil"/>
              <w:left w:val="nil"/>
              <w:bottom w:val="nil"/>
              <w:right w:val="nil"/>
            </w:tcBorders>
            <w:shd w:val="clear" w:color="auto" w:fill="auto"/>
            <w:noWrap/>
            <w:vAlign w:val="bottom"/>
            <w:hideMark/>
          </w:tcPr>
          <w:p w14:paraId="08E08AEE"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Cannabinoid receptor 1</w:t>
            </w:r>
          </w:p>
        </w:tc>
        <w:tc>
          <w:tcPr>
            <w:tcW w:w="1320" w:type="dxa"/>
            <w:tcBorders>
              <w:top w:val="nil"/>
              <w:left w:val="nil"/>
              <w:bottom w:val="nil"/>
              <w:right w:val="nil"/>
            </w:tcBorders>
            <w:shd w:val="clear" w:color="auto" w:fill="auto"/>
            <w:noWrap/>
            <w:vAlign w:val="bottom"/>
            <w:hideMark/>
          </w:tcPr>
          <w:p w14:paraId="293E7D8A"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0.64</w:t>
            </w:r>
          </w:p>
        </w:tc>
        <w:tc>
          <w:tcPr>
            <w:tcW w:w="1160" w:type="dxa"/>
            <w:tcBorders>
              <w:top w:val="nil"/>
              <w:left w:val="nil"/>
              <w:bottom w:val="nil"/>
              <w:right w:val="nil"/>
            </w:tcBorders>
            <w:shd w:val="clear" w:color="auto" w:fill="auto"/>
            <w:noWrap/>
            <w:vAlign w:val="bottom"/>
            <w:hideMark/>
          </w:tcPr>
          <w:p w14:paraId="5D62EFFF"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0.030</w:t>
            </w:r>
          </w:p>
        </w:tc>
      </w:tr>
      <w:tr w:rsidR="00F92407" w:rsidRPr="0079261C" w14:paraId="0B961E8F" w14:textId="77777777" w:rsidTr="00303E90">
        <w:trPr>
          <w:trHeight w:val="300"/>
        </w:trPr>
        <w:tc>
          <w:tcPr>
            <w:tcW w:w="1280" w:type="dxa"/>
            <w:tcBorders>
              <w:top w:val="nil"/>
              <w:left w:val="nil"/>
              <w:bottom w:val="nil"/>
              <w:right w:val="nil"/>
            </w:tcBorders>
            <w:shd w:val="clear" w:color="000000" w:fill="008000"/>
            <w:noWrap/>
            <w:vAlign w:val="bottom"/>
            <w:hideMark/>
          </w:tcPr>
          <w:p w14:paraId="419F34CD"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GABRB1</w:t>
            </w:r>
          </w:p>
        </w:tc>
        <w:tc>
          <w:tcPr>
            <w:tcW w:w="4404" w:type="dxa"/>
            <w:tcBorders>
              <w:top w:val="nil"/>
              <w:left w:val="nil"/>
              <w:bottom w:val="nil"/>
              <w:right w:val="nil"/>
            </w:tcBorders>
            <w:shd w:val="clear" w:color="auto" w:fill="auto"/>
            <w:noWrap/>
            <w:vAlign w:val="bottom"/>
            <w:hideMark/>
          </w:tcPr>
          <w:p w14:paraId="13B965D5"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Gamma-aminobutyric acid type A receptor beta 1</w:t>
            </w:r>
          </w:p>
        </w:tc>
        <w:tc>
          <w:tcPr>
            <w:tcW w:w="1320" w:type="dxa"/>
            <w:tcBorders>
              <w:top w:val="nil"/>
              <w:left w:val="nil"/>
              <w:bottom w:val="nil"/>
              <w:right w:val="nil"/>
            </w:tcBorders>
            <w:shd w:val="clear" w:color="auto" w:fill="auto"/>
            <w:noWrap/>
            <w:vAlign w:val="bottom"/>
            <w:hideMark/>
          </w:tcPr>
          <w:p w14:paraId="4A844930"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1.26</w:t>
            </w:r>
          </w:p>
        </w:tc>
        <w:tc>
          <w:tcPr>
            <w:tcW w:w="1160" w:type="dxa"/>
            <w:tcBorders>
              <w:top w:val="nil"/>
              <w:left w:val="nil"/>
              <w:bottom w:val="nil"/>
              <w:right w:val="nil"/>
            </w:tcBorders>
            <w:shd w:val="clear" w:color="auto" w:fill="auto"/>
            <w:noWrap/>
            <w:vAlign w:val="bottom"/>
            <w:hideMark/>
          </w:tcPr>
          <w:p w14:paraId="4FF881BD"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0.030</w:t>
            </w:r>
          </w:p>
        </w:tc>
      </w:tr>
      <w:tr w:rsidR="00F92407" w:rsidRPr="0079261C" w14:paraId="337C3137" w14:textId="77777777" w:rsidTr="00303E90">
        <w:trPr>
          <w:trHeight w:val="300"/>
        </w:trPr>
        <w:tc>
          <w:tcPr>
            <w:tcW w:w="1280" w:type="dxa"/>
            <w:tcBorders>
              <w:top w:val="nil"/>
              <w:left w:val="nil"/>
              <w:bottom w:val="nil"/>
              <w:right w:val="nil"/>
            </w:tcBorders>
            <w:shd w:val="clear" w:color="000000" w:fill="008000"/>
            <w:noWrap/>
            <w:vAlign w:val="bottom"/>
            <w:hideMark/>
          </w:tcPr>
          <w:p w14:paraId="191F00D5"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GRM6</w:t>
            </w:r>
          </w:p>
        </w:tc>
        <w:tc>
          <w:tcPr>
            <w:tcW w:w="4404" w:type="dxa"/>
            <w:tcBorders>
              <w:top w:val="nil"/>
              <w:left w:val="nil"/>
              <w:bottom w:val="nil"/>
              <w:right w:val="nil"/>
            </w:tcBorders>
            <w:shd w:val="clear" w:color="auto" w:fill="auto"/>
            <w:noWrap/>
            <w:vAlign w:val="bottom"/>
            <w:hideMark/>
          </w:tcPr>
          <w:p w14:paraId="556FBDA6"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Glutamate receptor, metabotropic 6</w:t>
            </w:r>
          </w:p>
        </w:tc>
        <w:tc>
          <w:tcPr>
            <w:tcW w:w="1320" w:type="dxa"/>
            <w:tcBorders>
              <w:top w:val="nil"/>
              <w:left w:val="nil"/>
              <w:bottom w:val="nil"/>
              <w:right w:val="nil"/>
            </w:tcBorders>
            <w:shd w:val="clear" w:color="auto" w:fill="auto"/>
            <w:noWrap/>
            <w:vAlign w:val="bottom"/>
            <w:hideMark/>
          </w:tcPr>
          <w:p w14:paraId="3ACB7414"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1.50</w:t>
            </w:r>
          </w:p>
        </w:tc>
        <w:tc>
          <w:tcPr>
            <w:tcW w:w="1160" w:type="dxa"/>
            <w:tcBorders>
              <w:top w:val="nil"/>
              <w:left w:val="nil"/>
              <w:bottom w:val="nil"/>
              <w:right w:val="nil"/>
            </w:tcBorders>
            <w:shd w:val="clear" w:color="auto" w:fill="auto"/>
            <w:noWrap/>
            <w:vAlign w:val="bottom"/>
            <w:hideMark/>
          </w:tcPr>
          <w:p w14:paraId="2A30F6E3"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0.040</w:t>
            </w:r>
          </w:p>
        </w:tc>
      </w:tr>
      <w:tr w:rsidR="00F92407" w:rsidRPr="0079261C" w14:paraId="338E6310" w14:textId="77777777" w:rsidTr="00303E90">
        <w:trPr>
          <w:trHeight w:val="300"/>
        </w:trPr>
        <w:tc>
          <w:tcPr>
            <w:tcW w:w="1280" w:type="dxa"/>
            <w:tcBorders>
              <w:top w:val="nil"/>
              <w:left w:val="nil"/>
              <w:bottom w:val="nil"/>
              <w:right w:val="nil"/>
            </w:tcBorders>
            <w:shd w:val="clear" w:color="000000" w:fill="FF0000"/>
            <w:noWrap/>
            <w:vAlign w:val="bottom"/>
            <w:hideMark/>
          </w:tcPr>
          <w:p w14:paraId="3E78E126"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ITGB3BP</w:t>
            </w:r>
          </w:p>
        </w:tc>
        <w:tc>
          <w:tcPr>
            <w:tcW w:w="4404" w:type="dxa"/>
            <w:tcBorders>
              <w:top w:val="nil"/>
              <w:left w:val="nil"/>
              <w:bottom w:val="nil"/>
              <w:right w:val="nil"/>
            </w:tcBorders>
            <w:shd w:val="clear" w:color="auto" w:fill="auto"/>
            <w:noWrap/>
            <w:vAlign w:val="bottom"/>
            <w:hideMark/>
          </w:tcPr>
          <w:p w14:paraId="3E62444C"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Integrin subunit beta 3 binding protein</w:t>
            </w:r>
          </w:p>
        </w:tc>
        <w:tc>
          <w:tcPr>
            <w:tcW w:w="1320" w:type="dxa"/>
            <w:tcBorders>
              <w:top w:val="nil"/>
              <w:left w:val="nil"/>
              <w:bottom w:val="nil"/>
              <w:right w:val="nil"/>
            </w:tcBorders>
            <w:shd w:val="clear" w:color="auto" w:fill="auto"/>
            <w:noWrap/>
            <w:vAlign w:val="bottom"/>
            <w:hideMark/>
          </w:tcPr>
          <w:p w14:paraId="5AE2FB1D"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0.82</w:t>
            </w:r>
          </w:p>
        </w:tc>
        <w:tc>
          <w:tcPr>
            <w:tcW w:w="1160" w:type="dxa"/>
            <w:tcBorders>
              <w:top w:val="nil"/>
              <w:left w:val="nil"/>
              <w:bottom w:val="nil"/>
              <w:right w:val="nil"/>
            </w:tcBorders>
            <w:shd w:val="clear" w:color="auto" w:fill="auto"/>
            <w:noWrap/>
            <w:vAlign w:val="bottom"/>
            <w:hideMark/>
          </w:tcPr>
          <w:p w14:paraId="50C869C4"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0.030</w:t>
            </w:r>
          </w:p>
        </w:tc>
      </w:tr>
      <w:tr w:rsidR="00F92407" w:rsidRPr="0079261C" w14:paraId="4E769C12" w14:textId="77777777" w:rsidTr="00303E90">
        <w:trPr>
          <w:trHeight w:val="280"/>
        </w:trPr>
        <w:tc>
          <w:tcPr>
            <w:tcW w:w="1280" w:type="dxa"/>
            <w:tcBorders>
              <w:top w:val="nil"/>
              <w:left w:val="nil"/>
              <w:bottom w:val="nil"/>
              <w:right w:val="nil"/>
            </w:tcBorders>
            <w:shd w:val="clear" w:color="000000" w:fill="008000"/>
            <w:noWrap/>
            <w:vAlign w:val="bottom"/>
            <w:hideMark/>
          </w:tcPr>
          <w:p w14:paraId="787B3500"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KCND1</w:t>
            </w:r>
          </w:p>
        </w:tc>
        <w:tc>
          <w:tcPr>
            <w:tcW w:w="4404" w:type="dxa"/>
            <w:tcBorders>
              <w:top w:val="nil"/>
              <w:left w:val="nil"/>
              <w:bottom w:val="nil"/>
              <w:right w:val="nil"/>
            </w:tcBorders>
            <w:shd w:val="clear" w:color="auto" w:fill="auto"/>
            <w:noWrap/>
            <w:vAlign w:val="bottom"/>
            <w:hideMark/>
          </w:tcPr>
          <w:p w14:paraId="29AD3930"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Potassium voltage gated channel, subfamily D</w:t>
            </w:r>
          </w:p>
        </w:tc>
        <w:tc>
          <w:tcPr>
            <w:tcW w:w="1320" w:type="dxa"/>
            <w:tcBorders>
              <w:top w:val="nil"/>
              <w:left w:val="nil"/>
              <w:bottom w:val="nil"/>
              <w:right w:val="nil"/>
            </w:tcBorders>
            <w:shd w:val="clear" w:color="auto" w:fill="auto"/>
            <w:noWrap/>
            <w:vAlign w:val="bottom"/>
            <w:hideMark/>
          </w:tcPr>
          <w:p w14:paraId="7577A766"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1.22</w:t>
            </w:r>
          </w:p>
        </w:tc>
        <w:tc>
          <w:tcPr>
            <w:tcW w:w="1160" w:type="dxa"/>
            <w:tcBorders>
              <w:top w:val="nil"/>
              <w:left w:val="nil"/>
              <w:bottom w:val="nil"/>
              <w:right w:val="nil"/>
            </w:tcBorders>
            <w:shd w:val="clear" w:color="auto" w:fill="auto"/>
            <w:noWrap/>
            <w:vAlign w:val="bottom"/>
            <w:hideMark/>
          </w:tcPr>
          <w:p w14:paraId="0A5DE068"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0.030</w:t>
            </w:r>
          </w:p>
        </w:tc>
      </w:tr>
      <w:tr w:rsidR="00F92407" w:rsidRPr="0079261C" w14:paraId="2C111F93" w14:textId="77777777" w:rsidTr="00303E90">
        <w:trPr>
          <w:trHeight w:val="280"/>
        </w:trPr>
        <w:tc>
          <w:tcPr>
            <w:tcW w:w="1280" w:type="dxa"/>
            <w:tcBorders>
              <w:top w:val="nil"/>
              <w:left w:val="nil"/>
              <w:bottom w:val="nil"/>
              <w:right w:val="nil"/>
            </w:tcBorders>
            <w:shd w:val="clear" w:color="000000" w:fill="008000"/>
            <w:noWrap/>
            <w:vAlign w:val="bottom"/>
            <w:hideMark/>
          </w:tcPr>
          <w:p w14:paraId="374E3169"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KCNK6</w:t>
            </w:r>
          </w:p>
        </w:tc>
        <w:tc>
          <w:tcPr>
            <w:tcW w:w="4404" w:type="dxa"/>
            <w:tcBorders>
              <w:top w:val="nil"/>
              <w:left w:val="nil"/>
              <w:bottom w:val="nil"/>
              <w:right w:val="nil"/>
            </w:tcBorders>
            <w:shd w:val="clear" w:color="auto" w:fill="auto"/>
            <w:noWrap/>
            <w:vAlign w:val="bottom"/>
            <w:hideMark/>
          </w:tcPr>
          <w:p w14:paraId="4DCA5EF0"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Potassium voltage gated channel, subfamily K</w:t>
            </w:r>
          </w:p>
        </w:tc>
        <w:tc>
          <w:tcPr>
            <w:tcW w:w="1320" w:type="dxa"/>
            <w:tcBorders>
              <w:top w:val="nil"/>
              <w:left w:val="nil"/>
              <w:bottom w:val="nil"/>
              <w:right w:val="nil"/>
            </w:tcBorders>
            <w:shd w:val="clear" w:color="auto" w:fill="auto"/>
            <w:noWrap/>
            <w:vAlign w:val="bottom"/>
            <w:hideMark/>
          </w:tcPr>
          <w:p w14:paraId="67A8F633"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1.49</w:t>
            </w:r>
          </w:p>
        </w:tc>
        <w:tc>
          <w:tcPr>
            <w:tcW w:w="1160" w:type="dxa"/>
            <w:tcBorders>
              <w:top w:val="nil"/>
              <w:left w:val="nil"/>
              <w:bottom w:val="nil"/>
              <w:right w:val="nil"/>
            </w:tcBorders>
            <w:shd w:val="clear" w:color="auto" w:fill="auto"/>
            <w:noWrap/>
            <w:vAlign w:val="bottom"/>
            <w:hideMark/>
          </w:tcPr>
          <w:p w14:paraId="57F9FAA3"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0.010</w:t>
            </w:r>
          </w:p>
        </w:tc>
      </w:tr>
      <w:tr w:rsidR="00F92407" w:rsidRPr="0079261C" w14:paraId="67DB3A36" w14:textId="77777777" w:rsidTr="00303E90">
        <w:trPr>
          <w:trHeight w:val="300"/>
        </w:trPr>
        <w:tc>
          <w:tcPr>
            <w:tcW w:w="1280" w:type="dxa"/>
            <w:tcBorders>
              <w:top w:val="nil"/>
              <w:left w:val="nil"/>
              <w:bottom w:val="nil"/>
              <w:right w:val="nil"/>
            </w:tcBorders>
            <w:shd w:val="clear" w:color="000000" w:fill="008000"/>
            <w:noWrap/>
            <w:vAlign w:val="bottom"/>
            <w:hideMark/>
          </w:tcPr>
          <w:p w14:paraId="27F51482"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KCNQ2</w:t>
            </w:r>
          </w:p>
        </w:tc>
        <w:tc>
          <w:tcPr>
            <w:tcW w:w="4404" w:type="dxa"/>
            <w:tcBorders>
              <w:top w:val="nil"/>
              <w:left w:val="nil"/>
              <w:bottom w:val="nil"/>
              <w:right w:val="nil"/>
            </w:tcBorders>
            <w:shd w:val="clear" w:color="auto" w:fill="auto"/>
            <w:noWrap/>
            <w:vAlign w:val="bottom"/>
            <w:hideMark/>
          </w:tcPr>
          <w:p w14:paraId="00208B5C"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Potassium voltage gated channel, subfamily Q</w:t>
            </w:r>
          </w:p>
        </w:tc>
        <w:tc>
          <w:tcPr>
            <w:tcW w:w="1320" w:type="dxa"/>
            <w:tcBorders>
              <w:top w:val="nil"/>
              <w:left w:val="nil"/>
              <w:bottom w:val="nil"/>
              <w:right w:val="nil"/>
            </w:tcBorders>
            <w:shd w:val="clear" w:color="auto" w:fill="auto"/>
            <w:noWrap/>
            <w:vAlign w:val="bottom"/>
            <w:hideMark/>
          </w:tcPr>
          <w:p w14:paraId="7B8EEA83"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1.29</w:t>
            </w:r>
          </w:p>
        </w:tc>
        <w:tc>
          <w:tcPr>
            <w:tcW w:w="1160" w:type="dxa"/>
            <w:tcBorders>
              <w:top w:val="nil"/>
              <w:left w:val="nil"/>
              <w:bottom w:val="nil"/>
              <w:right w:val="nil"/>
            </w:tcBorders>
            <w:shd w:val="clear" w:color="auto" w:fill="auto"/>
            <w:noWrap/>
            <w:vAlign w:val="bottom"/>
            <w:hideMark/>
          </w:tcPr>
          <w:p w14:paraId="34C7963C"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0.002</w:t>
            </w:r>
          </w:p>
        </w:tc>
      </w:tr>
      <w:tr w:rsidR="00F92407" w:rsidRPr="0079261C" w14:paraId="2BE44927" w14:textId="77777777" w:rsidTr="00303E90">
        <w:trPr>
          <w:trHeight w:val="280"/>
        </w:trPr>
        <w:tc>
          <w:tcPr>
            <w:tcW w:w="1280" w:type="dxa"/>
            <w:tcBorders>
              <w:top w:val="nil"/>
              <w:left w:val="nil"/>
              <w:bottom w:val="nil"/>
              <w:right w:val="nil"/>
            </w:tcBorders>
            <w:shd w:val="clear" w:color="000000" w:fill="008000"/>
            <w:noWrap/>
            <w:vAlign w:val="bottom"/>
            <w:hideMark/>
          </w:tcPr>
          <w:p w14:paraId="60550F38"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LAMB1</w:t>
            </w:r>
          </w:p>
        </w:tc>
        <w:tc>
          <w:tcPr>
            <w:tcW w:w="4404" w:type="dxa"/>
            <w:tcBorders>
              <w:top w:val="nil"/>
              <w:left w:val="nil"/>
              <w:bottom w:val="nil"/>
              <w:right w:val="nil"/>
            </w:tcBorders>
            <w:shd w:val="clear" w:color="auto" w:fill="auto"/>
            <w:noWrap/>
            <w:vAlign w:val="bottom"/>
            <w:hideMark/>
          </w:tcPr>
          <w:p w14:paraId="3A35BCDF"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Laminin subunit beta 1</w:t>
            </w:r>
          </w:p>
        </w:tc>
        <w:tc>
          <w:tcPr>
            <w:tcW w:w="1320" w:type="dxa"/>
            <w:tcBorders>
              <w:top w:val="nil"/>
              <w:left w:val="nil"/>
              <w:bottom w:val="nil"/>
              <w:right w:val="nil"/>
            </w:tcBorders>
            <w:shd w:val="clear" w:color="auto" w:fill="auto"/>
            <w:noWrap/>
            <w:vAlign w:val="bottom"/>
            <w:hideMark/>
          </w:tcPr>
          <w:p w14:paraId="3A9B9592"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1.33</w:t>
            </w:r>
          </w:p>
        </w:tc>
        <w:tc>
          <w:tcPr>
            <w:tcW w:w="1160" w:type="dxa"/>
            <w:tcBorders>
              <w:top w:val="nil"/>
              <w:left w:val="nil"/>
              <w:bottom w:val="nil"/>
              <w:right w:val="nil"/>
            </w:tcBorders>
            <w:shd w:val="clear" w:color="auto" w:fill="auto"/>
            <w:noWrap/>
            <w:vAlign w:val="bottom"/>
            <w:hideMark/>
          </w:tcPr>
          <w:p w14:paraId="7DC5E4B7"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0.030</w:t>
            </w:r>
          </w:p>
        </w:tc>
      </w:tr>
      <w:tr w:rsidR="00F92407" w:rsidRPr="0079261C" w14:paraId="56CEB760" w14:textId="77777777" w:rsidTr="00303E90">
        <w:trPr>
          <w:trHeight w:val="300"/>
        </w:trPr>
        <w:tc>
          <w:tcPr>
            <w:tcW w:w="1280" w:type="dxa"/>
            <w:tcBorders>
              <w:top w:val="nil"/>
              <w:left w:val="nil"/>
              <w:bottom w:val="nil"/>
              <w:right w:val="nil"/>
            </w:tcBorders>
            <w:shd w:val="clear" w:color="000000" w:fill="FF0000"/>
            <w:noWrap/>
            <w:vAlign w:val="bottom"/>
            <w:hideMark/>
          </w:tcPr>
          <w:p w14:paraId="6FD71CA1" w14:textId="77777777" w:rsidR="00F92407" w:rsidRPr="0079261C" w:rsidRDefault="00F92407" w:rsidP="00303E90">
            <w:pPr>
              <w:rPr>
                <w:rFonts w:ascii="Times New Roman" w:eastAsia="Times New Roman" w:hAnsi="Times New Roman" w:cs="Times New Roman"/>
                <w:sz w:val="22"/>
                <w:szCs w:val="22"/>
                <w:lang w:val="en-GB"/>
              </w:rPr>
            </w:pPr>
            <w:r w:rsidRPr="0079261C">
              <w:rPr>
                <w:rFonts w:ascii="Times New Roman" w:eastAsia="Times New Roman" w:hAnsi="Times New Roman" w:cs="Times New Roman"/>
                <w:sz w:val="22"/>
                <w:szCs w:val="22"/>
                <w:lang w:val="en-GB"/>
              </w:rPr>
              <w:t>NRXN1</w:t>
            </w:r>
          </w:p>
        </w:tc>
        <w:tc>
          <w:tcPr>
            <w:tcW w:w="4404" w:type="dxa"/>
            <w:tcBorders>
              <w:top w:val="nil"/>
              <w:left w:val="nil"/>
              <w:bottom w:val="nil"/>
              <w:right w:val="nil"/>
            </w:tcBorders>
            <w:shd w:val="clear" w:color="auto" w:fill="auto"/>
            <w:noWrap/>
            <w:vAlign w:val="bottom"/>
            <w:hideMark/>
          </w:tcPr>
          <w:p w14:paraId="2A7246EC"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Neurexin 1</w:t>
            </w:r>
          </w:p>
        </w:tc>
        <w:tc>
          <w:tcPr>
            <w:tcW w:w="1320" w:type="dxa"/>
            <w:tcBorders>
              <w:top w:val="nil"/>
              <w:left w:val="nil"/>
              <w:bottom w:val="nil"/>
              <w:right w:val="nil"/>
            </w:tcBorders>
            <w:shd w:val="clear" w:color="auto" w:fill="auto"/>
            <w:noWrap/>
            <w:vAlign w:val="bottom"/>
            <w:hideMark/>
          </w:tcPr>
          <w:p w14:paraId="7D179E14"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0.67</w:t>
            </w:r>
          </w:p>
        </w:tc>
        <w:tc>
          <w:tcPr>
            <w:tcW w:w="1160" w:type="dxa"/>
            <w:tcBorders>
              <w:top w:val="nil"/>
              <w:left w:val="nil"/>
              <w:bottom w:val="nil"/>
              <w:right w:val="nil"/>
            </w:tcBorders>
            <w:shd w:val="clear" w:color="auto" w:fill="auto"/>
            <w:noWrap/>
            <w:vAlign w:val="bottom"/>
            <w:hideMark/>
          </w:tcPr>
          <w:p w14:paraId="0E185703"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0.040</w:t>
            </w:r>
          </w:p>
        </w:tc>
      </w:tr>
      <w:tr w:rsidR="00F92407" w:rsidRPr="0079261C" w14:paraId="7C2618F7" w14:textId="77777777" w:rsidTr="00303E90">
        <w:trPr>
          <w:trHeight w:val="300"/>
        </w:trPr>
        <w:tc>
          <w:tcPr>
            <w:tcW w:w="1280" w:type="dxa"/>
            <w:tcBorders>
              <w:top w:val="nil"/>
              <w:left w:val="nil"/>
              <w:bottom w:val="nil"/>
              <w:right w:val="nil"/>
            </w:tcBorders>
            <w:shd w:val="clear" w:color="000000" w:fill="008000"/>
            <w:noWrap/>
            <w:vAlign w:val="bottom"/>
            <w:hideMark/>
          </w:tcPr>
          <w:p w14:paraId="535DBAEF"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OXTR</w:t>
            </w:r>
          </w:p>
        </w:tc>
        <w:tc>
          <w:tcPr>
            <w:tcW w:w="4404" w:type="dxa"/>
            <w:tcBorders>
              <w:top w:val="nil"/>
              <w:left w:val="nil"/>
              <w:bottom w:val="nil"/>
              <w:right w:val="nil"/>
            </w:tcBorders>
            <w:shd w:val="clear" w:color="auto" w:fill="auto"/>
            <w:noWrap/>
            <w:vAlign w:val="bottom"/>
            <w:hideMark/>
          </w:tcPr>
          <w:p w14:paraId="4DD95397"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Oxytocin Receptor</w:t>
            </w:r>
          </w:p>
        </w:tc>
        <w:tc>
          <w:tcPr>
            <w:tcW w:w="1320" w:type="dxa"/>
            <w:tcBorders>
              <w:top w:val="nil"/>
              <w:left w:val="nil"/>
              <w:bottom w:val="nil"/>
              <w:right w:val="nil"/>
            </w:tcBorders>
            <w:shd w:val="clear" w:color="auto" w:fill="auto"/>
            <w:noWrap/>
            <w:vAlign w:val="bottom"/>
            <w:hideMark/>
          </w:tcPr>
          <w:p w14:paraId="2568AFDC"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1.64</w:t>
            </w:r>
          </w:p>
        </w:tc>
        <w:tc>
          <w:tcPr>
            <w:tcW w:w="1160" w:type="dxa"/>
            <w:tcBorders>
              <w:top w:val="nil"/>
              <w:left w:val="nil"/>
              <w:bottom w:val="nil"/>
              <w:right w:val="nil"/>
            </w:tcBorders>
            <w:shd w:val="clear" w:color="auto" w:fill="auto"/>
            <w:noWrap/>
            <w:vAlign w:val="bottom"/>
            <w:hideMark/>
          </w:tcPr>
          <w:p w14:paraId="3C2F42E5"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0.020</w:t>
            </w:r>
          </w:p>
        </w:tc>
      </w:tr>
      <w:tr w:rsidR="00F92407" w:rsidRPr="0079261C" w14:paraId="7E4A59AC" w14:textId="77777777" w:rsidTr="00303E90">
        <w:trPr>
          <w:trHeight w:val="300"/>
        </w:trPr>
        <w:tc>
          <w:tcPr>
            <w:tcW w:w="1280" w:type="dxa"/>
            <w:tcBorders>
              <w:top w:val="nil"/>
              <w:left w:val="nil"/>
              <w:bottom w:val="nil"/>
              <w:right w:val="nil"/>
            </w:tcBorders>
            <w:shd w:val="clear" w:color="000000" w:fill="FF0000"/>
            <w:noWrap/>
            <w:vAlign w:val="bottom"/>
            <w:hideMark/>
          </w:tcPr>
          <w:p w14:paraId="5C98AA66"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P2RY13</w:t>
            </w:r>
          </w:p>
        </w:tc>
        <w:tc>
          <w:tcPr>
            <w:tcW w:w="4404" w:type="dxa"/>
            <w:tcBorders>
              <w:top w:val="nil"/>
              <w:left w:val="nil"/>
              <w:bottom w:val="nil"/>
              <w:right w:val="nil"/>
            </w:tcBorders>
            <w:shd w:val="clear" w:color="auto" w:fill="auto"/>
            <w:noWrap/>
            <w:vAlign w:val="bottom"/>
            <w:hideMark/>
          </w:tcPr>
          <w:p w14:paraId="67CDEFD5"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Purinergic receptor P27, G-protein coupled 13</w:t>
            </w:r>
          </w:p>
        </w:tc>
        <w:tc>
          <w:tcPr>
            <w:tcW w:w="1320" w:type="dxa"/>
            <w:tcBorders>
              <w:top w:val="nil"/>
              <w:left w:val="nil"/>
              <w:bottom w:val="nil"/>
              <w:right w:val="nil"/>
            </w:tcBorders>
            <w:shd w:val="clear" w:color="auto" w:fill="auto"/>
            <w:noWrap/>
            <w:vAlign w:val="bottom"/>
            <w:hideMark/>
          </w:tcPr>
          <w:p w14:paraId="6276A3FB"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0.68</w:t>
            </w:r>
          </w:p>
        </w:tc>
        <w:tc>
          <w:tcPr>
            <w:tcW w:w="1160" w:type="dxa"/>
            <w:tcBorders>
              <w:top w:val="nil"/>
              <w:left w:val="nil"/>
              <w:bottom w:val="nil"/>
              <w:right w:val="nil"/>
            </w:tcBorders>
            <w:shd w:val="clear" w:color="auto" w:fill="auto"/>
            <w:noWrap/>
            <w:vAlign w:val="bottom"/>
            <w:hideMark/>
          </w:tcPr>
          <w:p w14:paraId="7C7DB9B5"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0.040</w:t>
            </w:r>
          </w:p>
        </w:tc>
      </w:tr>
      <w:tr w:rsidR="00F92407" w:rsidRPr="0079261C" w14:paraId="33CEFDDE" w14:textId="77777777" w:rsidTr="00303E90">
        <w:trPr>
          <w:trHeight w:val="300"/>
        </w:trPr>
        <w:tc>
          <w:tcPr>
            <w:tcW w:w="1280" w:type="dxa"/>
            <w:tcBorders>
              <w:top w:val="nil"/>
              <w:left w:val="nil"/>
              <w:bottom w:val="nil"/>
              <w:right w:val="nil"/>
            </w:tcBorders>
            <w:shd w:val="clear" w:color="000000" w:fill="008000"/>
            <w:noWrap/>
            <w:vAlign w:val="bottom"/>
            <w:hideMark/>
          </w:tcPr>
          <w:p w14:paraId="055F24AF"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P2RY6</w:t>
            </w:r>
          </w:p>
        </w:tc>
        <w:tc>
          <w:tcPr>
            <w:tcW w:w="4404" w:type="dxa"/>
            <w:tcBorders>
              <w:top w:val="nil"/>
              <w:left w:val="nil"/>
              <w:bottom w:val="nil"/>
              <w:right w:val="nil"/>
            </w:tcBorders>
            <w:shd w:val="clear" w:color="auto" w:fill="auto"/>
            <w:noWrap/>
            <w:vAlign w:val="bottom"/>
            <w:hideMark/>
          </w:tcPr>
          <w:p w14:paraId="2E0EF12B"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Purinergic receptor P27, G-protein coupled 6</w:t>
            </w:r>
          </w:p>
        </w:tc>
        <w:tc>
          <w:tcPr>
            <w:tcW w:w="1320" w:type="dxa"/>
            <w:tcBorders>
              <w:top w:val="nil"/>
              <w:left w:val="nil"/>
              <w:bottom w:val="nil"/>
              <w:right w:val="nil"/>
            </w:tcBorders>
            <w:shd w:val="clear" w:color="auto" w:fill="auto"/>
            <w:noWrap/>
            <w:vAlign w:val="bottom"/>
            <w:hideMark/>
          </w:tcPr>
          <w:p w14:paraId="0E46BCD1"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1.37</w:t>
            </w:r>
          </w:p>
        </w:tc>
        <w:tc>
          <w:tcPr>
            <w:tcW w:w="1160" w:type="dxa"/>
            <w:tcBorders>
              <w:top w:val="nil"/>
              <w:left w:val="nil"/>
              <w:bottom w:val="nil"/>
              <w:right w:val="nil"/>
            </w:tcBorders>
            <w:shd w:val="clear" w:color="auto" w:fill="auto"/>
            <w:noWrap/>
            <w:vAlign w:val="bottom"/>
            <w:hideMark/>
          </w:tcPr>
          <w:p w14:paraId="4AC64843"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0.040</w:t>
            </w:r>
          </w:p>
        </w:tc>
      </w:tr>
      <w:tr w:rsidR="00F92407" w:rsidRPr="0079261C" w14:paraId="51F41876" w14:textId="77777777" w:rsidTr="00303E90">
        <w:trPr>
          <w:trHeight w:val="300"/>
        </w:trPr>
        <w:tc>
          <w:tcPr>
            <w:tcW w:w="1280" w:type="dxa"/>
            <w:tcBorders>
              <w:top w:val="nil"/>
              <w:left w:val="nil"/>
              <w:bottom w:val="nil"/>
              <w:right w:val="nil"/>
            </w:tcBorders>
            <w:shd w:val="clear" w:color="000000" w:fill="FF0000"/>
            <w:noWrap/>
            <w:vAlign w:val="bottom"/>
            <w:hideMark/>
          </w:tcPr>
          <w:p w14:paraId="26EE0B16"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SERPINI1</w:t>
            </w:r>
          </w:p>
        </w:tc>
        <w:tc>
          <w:tcPr>
            <w:tcW w:w="4404" w:type="dxa"/>
            <w:tcBorders>
              <w:top w:val="nil"/>
              <w:left w:val="nil"/>
              <w:bottom w:val="nil"/>
              <w:right w:val="nil"/>
            </w:tcBorders>
            <w:shd w:val="clear" w:color="auto" w:fill="auto"/>
            <w:noWrap/>
            <w:vAlign w:val="bottom"/>
            <w:hideMark/>
          </w:tcPr>
          <w:p w14:paraId="152C11E1"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Serpin peptidase inhibitor, clade 1</w:t>
            </w:r>
          </w:p>
        </w:tc>
        <w:tc>
          <w:tcPr>
            <w:tcW w:w="1320" w:type="dxa"/>
            <w:tcBorders>
              <w:top w:val="nil"/>
              <w:left w:val="nil"/>
              <w:bottom w:val="nil"/>
              <w:right w:val="nil"/>
            </w:tcBorders>
            <w:shd w:val="clear" w:color="auto" w:fill="auto"/>
            <w:noWrap/>
            <w:vAlign w:val="bottom"/>
            <w:hideMark/>
          </w:tcPr>
          <w:p w14:paraId="56B691C5"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0.41</w:t>
            </w:r>
          </w:p>
        </w:tc>
        <w:tc>
          <w:tcPr>
            <w:tcW w:w="1160" w:type="dxa"/>
            <w:tcBorders>
              <w:top w:val="nil"/>
              <w:left w:val="nil"/>
              <w:bottom w:val="nil"/>
              <w:right w:val="nil"/>
            </w:tcBorders>
            <w:shd w:val="clear" w:color="auto" w:fill="auto"/>
            <w:noWrap/>
            <w:vAlign w:val="bottom"/>
            <w:hideMark/>
          </w:tcPr>
          <w:p w14:paraId="350312C6"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0.001</w:t>
            </w:r>
          </w:p>
        </w:tc>
      </w:tr>
      <w:tr w:rsidR="00F92407" w:rsidRPr="0079261C" w14:paraId="031F8B89" w14:textId="77777777" w:rsidTr="00303E90">
        <w:trPr>
          <w:trHeight w:val="300"/>
        </w:trPr>
        <w:tc>
          <w:tcPr>
            <w:tcW w:w="1280" w:type="dxa"/>
            <w:tcBorders>
              <w:top w:val="nil"/>
              <w:left w:val="nil"/>
              <w:bottom w:val="nil"/>
              <w:right w:val="nil"/>
            </w:tcBorders>
            <w:shd w:val="clear" w:color="000000" w:fill="FF0000"/>
            <w:noWrap/>
            <w:vAlign w:val="bottom"/>
            <w:hideMark/>
          </w:tcPr>
          <w:p w14:paraId="1C5B3B3D"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STXBP4</w:t>
            </w:r>
          </w:p>
        </w:tc>
        <w:tc>
          <w:tcPr>
            <w:tcW w:w="4404" w:type="dxa"/>
            <w:tcBorders>
              <w:top w:val="nil"/>
              <w:left w:val="nil"/>
              <w:bottom w:val="nil"/>
              <w:right w:val="nil"/>
            </w:tcBorders>
            <w:shd w:val="clear" w:color="auto" w:fill="auto"/>
            <w:noWrap/>
            <w:vAlign w:val="bottom"/>
            <w:hideMark/>
          </w:tcPr>
          <w:p w14:paraId="72FC5ADD"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Syntaxin binding protein 4</w:t>
            </w:r>
          </w:p>
        </w:tc>
        <w:tc>
          <w:tcPr>
            <w:tcW w:w="1320" w:type="dxa"/>
            <w:tcBorders>
              <w:top w:val="nil"/>
              <w:left w:val="nil"/>
              <w:bottom w:val="nil"/>
              <w:right w:val="nil"/>
            </w:tcBorders>
            <w:shd w:val="clear" w:color="auto" w:fill="auto"/>
            <w:noWrap/>
            <w:vAlign w:val="bottom"/>
            <w:hideMark/>
          </w:tcPr>
          <w:p w14:paraId="5636C9F8"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0.79</w:t>
            </w:r>
          </w:p>
        </w:tc>
        <w:tc>
          <w:tcPr>
            <w:tcW w:w="1160" w:type="dxa"/>
            <w:tcBorders>
              <w:top w:val="nil"/>
              <w:left w:val="nil"/>
              <w:bottom w:val="nil"/>
              <w:right w:val="nil"/>
            </w:tcBorders>
            <w:shd w:val="clear" w:color="auto" w:fill="auto"/>
            <w:noWrap/>
            <w:vAlign w:val="bottom"/>
            <w:hideMark/>
          </w:tcPr>
          <w:p w14:paraId="0EEF0856"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0.001</w:t>
            </w:r>
          </w:p>
        </w:tc>
      </w:tr>
      <w:tr w:rsidR="00F92407" w:rsidRPr="0079261C" w14:paraId="44A97CAD" w14:textId="77777777" w:rsidTr="00303E90">
        <w:trPr>
          <w:trHeight w:val="300"/>
        </w:trPr>
        <w:tc>
          <w:tcPr>
            <w:tcW w:w="1280" w:type="dxa"/>
            <w:tcBorders>
              <w:top w:val="nil"/>
              <w:left w:val="nil"/>
              <w:bottom w:val="nil"/>
              <w:right w:val="nil"/>
            </w:tcBorders>
            <w:shd w:val="clear" w:color="000000" w:fill="FF0000"/>
            <w:noWrap/>
            <w:vAlign w:val="bottom"/>
            <w:hideMark/>
          </w:tcPr>
          <w:p w14:paraId="6C38B466"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SYT12</w:t>
            </w:r>
          </w:p>
        </w:tc>
        <w:tc>
          <w:tcPr>
            <w:tcW w:w="4404" w:type="dxa"/>
            <w:tcBorders>
              <w:top w:val="nil"/>
              <w:left w:val="nil"/>
              <w:bottom w:val="nil"/>
              <w:right w:val="nil"/>
            </w:tcBorders>
            <w:shd w:val="clear" w:color="auto" w:fill="auto"/>
            <w:noWrap/>
            <w:vAlign w:val="bottom"/>
            <w:hideMark/>
          </w:tcPr>
          <w:p w14:paraId="566D9EA6"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Synaptotagmin 12</w:t>
            </w:r>
          </w:p>
        </w:tc>
        <w:tc>
          <w:tcPr>
            <w:tcW w:w="1320" w:type="dxa"/>
            <w:tcBorders>
              <w:top w:val="nil"/>
              <w:left w:val="nil"/>
              <w:bottom w:val="nil"/>
              <w:right w:val="nil"/>
            </w:tcBorders>
            <w:shd w:val="clear" w:color="auto" w:fill="auto"/>
            <w:noWrap/>
            <w:vAlign w:val="bottom"/>
            <w:hideMark/>
          </w:tcPr>
          <w:p w14:paraId="466C1EF2"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0.79</w:t>
            </w:r>
          </w:p>
        </w:tc>
        <w:tc>
          <w:tcPr>
            <w:tcW w:w="1160" w:type="dxa"/>
            <w:tcBorders>
              <w:top w:val="nil"/>
              <w:left w:val="nil"/>
              <w:bottom w:val="nil"/>
              <w:right w:val="nil"/>
            </w:tcBorders>
            <w:shd w:val="clear" w:color="auto" w:fill="auto"/>
            <w:noWrap/>
            <w:vAlign w:val="bottom"/>
            <w:hideMark/>
          </w:tcPr>
          <w:p w14:paraId="3CEBFF2F" w14:textId="77777777" w:rsidR="00F92407" w:rsidRPr="0079261C" w:rsidRDefault="00F92407" w:rsidP="00303E90">
            <w:pPr>
              <w:rPr>
                <w:rFonts w:ascii="Times New Roman" w:eastAsia="Times New Roman" w:hAnsi="Times New Roman" w:cs="Times New Roman"/>
                <w:color w:val="000000"/>
                <w:sz w:val="22"/>
                <w:szCs w:val="22"/>
                <w:lang w:val="en-GB"/>
              </w:rPr>
            </w:pPr>
            <w:r w:rsidRPr="0079261C">
              <w:rPr>
                <w:rFonts w:ascii="Times New Roman" w:eastAsia="Times New Roman" w:hAnsi="Times New Roman" w:cs="Times New Roman"/>
                <w:color w:val="000000"/>
                <w:sz w:val="22"/>
                <w:szCs w:val="22"/>
                <w:lang w:val="en-GB"/>
              </w:rPr>
              <w:t>0.001</w:t>
            </w:r>
          </w:p>
        </w:tc>
      </w:tr>
    </w:tbl>
    <w:p w14:paraId="7454148E" w14:textId="77777777" w:rsidR="00303E90" w:rsidRDefault="00A3722E" w:rsidP="004D474F">
      <w:pPr>
        <w:pStyle w:val="Heading5"/>
        <w:rPr>
          <w:noProof/>
        </w:rPr>
      </w:pPr>
      <w:bookmarkStart w:id="2190" w:name="_Toc333569366"/>
      <w:bookmarkStart w:id="2191" w:name="_Toc333570904"/>
      <w:bookmarkStart w:id="2192" w:name="_Toc333585985"/>
      <w:bookmarkStart w:id="2193" w:name="_Toc333586861"/>
      <w:bookmarkStart w:id="2194" w:name="_Toc333644560"/>
      <w:bookmarkStart w:id="2195" w:name="_Toc333644854"/>
      <w:r>
        <w:rPr>
          <w:noProof/>
        </w:rPr>
        <w:t>Table 5.17</w:t>
      </w:r>
      <w:r w:rsidR="0043060F">
        <w:rPr>
          <w:noProof/>
        </w:rPr>
        <w:t>.</w:t>
      </w:r>
      <w:r w:rsidR="00860A3D">
        <w:rPr>
          <w:noProof/>
        </w:rPr>
        <w:t xml:space="preserve"> Transcripts involved in as</w:t>
      </w:r>
      <w:r w:rsidR="00B8782A">
        <w:rPr>
          <w:noProof/>
        </w:rPr>
        <w:t xml:space="preserve">trocyte-neuron interactions, </w:t>
      </w:r>
      <w:r w:rsidR="00860A3D">
        <w:rPr>
          <w:noProof/>
        </w:rPr>
        <w:t>neuronal synapse formation and signalling that are dysregulated in IGF1R impaired astrocytes.</w:t>
      </w:r>
      <w:bookmarkEnd w:id="2190"/>
      <w:bookmarkEnd w:id="2191"/>
      <w:bookmarkEnd w:id="2192"/>
      <w:bookmarkEnd w:id="2193"/>
      <w:bookmarkEnd w:id="2194"/>
      <w:bookmarkEnd w:id="2195"/>
      <w:r w:rsidR="00860A3D">
        <w:rPr>
          <w:noProof/>
        </w:rPr>
        <w:t xml:space="preserve"> </w:t>
      </w:r>
    </w:p>
    <w:p w14:paraId="54DF6132" w14:textId="58A58831" w:rsidR="00860A3D" w:rsidRPr="006C5E8D" w:rsidRDefault="00860A3D" w:rsidP="00860A3D">
      <w:pPr>
        <w:spacing w:line="360" w:lineRule="auto"/>
        <w:rPr>
          <w:rFonts w:ascii="Times New Roman" w:hAnsi="Times New Roman" w:cs="Times New Roman"/>
          <w:noProof/>
        </w:rPr>
        <w:sectPr w:rsidR="00860A3D" w:rsidRPr="006C5E8D" w:rsidSect="00D611BE">
          <w:pgSz w:w="11900" w:h="16840"/>
          <w:pgMar w:top="1440" w:right="1134" w:bottom="1440" w:left="2268" w:header="709" w:footer="709" w:gutter="0"/>
          <w:cols w:space="708"/>
          <w:docGrid w:linePitch="360"/>
        </w:sectPr>
      </w:pPr>
      <w:r>
        <w:rPr>
          <w:rFonts w:ascii="Times New Roman" w:hAnsi="Times New Roman" w:cs="Times New Roman"/>
          <w:noProof/>
        </w:rPr>
        <w:t>Genes involved in the antioxidant pathway that are differentially expressed in IGF1R impaired astrocytes compared with untreated astrocytes. Highlighted in red are downregulated genes an</w:t>
      </w:r>
      <w:r w:rsidR="00AA21C2">
        <w:rPr>
          <w:rFonts w:ascii="Times New Roman" w:hAnsi="Times New Roman" w:cs="Times New Roman"/>
          <w:noProof/>
        </w:rPr>
        <w:t>d in green are upregulated gene.</w:t>
      </w:r>
      <w:r w:rsidR="00B8782A" w:rsidRPr="00B8782A">
        <w:rPr>
          <w:rFonts w:ascii="Times New Roman" w:hAnsi="Times New Roman" w:cs="Times New Roman"/>
          <w:noProof/>
        </w:rPr>
        <w:t xml:space="preserve"> </w:t>
      </w:r>
      <w:r w:rsidR="00B8782A">
        <w:rPr>
          <w:rFonts w:ascii="Times New Roman" w:hAnsi="Times New Roman" w:cs="Times New Roman"/>
          <w:noProof/>
        </w:rPr>
        <w:t>Fold change (FC) and P-values are also shown.</w:t>
      </w:r>
    </w:p>
    <w:p w14:paraId="16681147" w14:textId="59A0D6A8" w:rsidR="0061217D" w:rsidRPr="00F92407" w:rsidRDefault="00F93E72" w:rsidP="00F92407">
      <w:pPr>
        <w:rPr>
          <w:rFonts w:ascii="Times New Roman" w:hAnsi="Times New Roman" w:cs="Times New Roman"/>
          <w:b/>
          <w:i/>
          <w:noProof/>
          <w:u w:val="single"/>
        </w:rPr>
      </w:pPr>
      <w:bookmarkStart w:id="2196" w:name="_Toc328301202"/>
      <w:bookmarkStart w:id="2197" w:name="_Toc329593493"/>
      <w:bookmarkStart w:id="2198" w:name="_Toc331425992"/>
      <w:r w:rsidRPr="00F92407">
        <w:rPr>
          <w:rFonts w:ascii="Times New Roman" w:hAnsi="Times New Roman" w:cs="Times New Roman"/>
          <w:b/>
          <w:i/>
          <w:noProof/>
          <w:u w:val="single"/>
        </w:rPr>
        <w:t>Inflammatory response</w:t>
      </w:r>
      <w:bookmarkEnd w:id="2196"/>
      <w:bookmarkEnd w:id="2197"/>
      <w:bookmarkEnd w:id="2198"/>
    </w:p>
    <w:p w14:paraId="5BA63FE4" w14:textId="2855DE22" w:rsidR="00031AB3" w:rsidRDefault="00031AB3" w:rsidP="00C63BC1">
      <w:pPr>
        <w:spacing w:line="360" w:lineRule="auto"/>
        <w:jc w:val="both"/>
        <w:rPr>
          <w:rFonts w:ascii="Times New Roman" w:hAnsi="Times New Roman" w:cs="Times New Roman"/>
          <w:noProof/>
        </w:rPr>
      </w:pPr>
      <w:r>
        <w:rPr>
          <w:rFonts w:ascii="Times New Roman" w:hAnsi="Times New Roman" w:cs="Times New Roman"/>
          <w:noProof/>
        </w:rPr>
        <w:t xml:space="preserve">As the method used to downregulate IGF1R </w:t>
      </w:r>
      <w:r w:rsidR="00393AED">
        <w:rPr>
          <w:rFonts w:ascii="Times New Roman" w:hAnsi="Times New Roman" w:cs="Times New Roman"/>
          <w:noProof/>
        </w:rPr>
        <w:t>involved</w:t>
      </w:r>
      <w:r>
        <w:rPr>
          <w:rFonts w:ascii="Times New Roman" w:hAnsi="Times New Roman" w:cs="Times New Roman"/>
          <w:noProof/>
        </w:rPr>
        <w:t xml:space="preserve"> treatment with a </w:t>
      </w:r>
      <w:r w:rsidR="0036608C">
        <w:rPr>
          <w:rFonts w:ascii="Times New Roman" w:hAnsi="Times New Roman" w:cs="Times New Roman"/>
          <w:noProof/>
        </w:rPr>
        <w:t xml:space="preserve">mouse </w:t>
      </w:r>
      <w:r>
        <w:rPr>
          <w:rFonts w:ascii="Times New Roman" w:hAnsi="Times New Roman" w:cs="Times New Roman"/>
          <w:noProof/>
        </w:rPr>
        <w:t xml:space="preserve">monoclonal IgG antibody, the array data was interrogated for differences in the expression of genes that could be involved in an immune-like response. There were 18 genes differentially expressed </w:t>
      </w:r>
      <w:r w:rsidR="00576433">
        <w:rPr>
          <w:rFonts w:ascii="Times New Roman" w:hAnsi="Times New Roman" w:cs="Times New Roman"/>
          <w:noProof/>
        </w:rPr>
        <w:t xml:space="preserve">genes </w:t>
      </w:r>
      <w:r>
        <w:rPr>
          <w:rFonts w:ascii="Times New Roman" w:hAnsi="Times New Roman" w:cs="Times New Roman"/>
          <w:noProof/>
        </w:rPr>
        <w:t>following treatment with MAB391</w:t>
      </w:r>
      <w:r w:rsidR="00EB38F3">
        <w:rPr>
          <w:rFonts w:ascii="Times New Roman" w:hAnsi="Times New Roman" w:cs="Times New Roman"/>
          <w:noProof/>
        </w:rPr>
        <w:t xml:space="preserve"> (</w:t>
      </w:r>
      <w:r w:rsidR="00EB38F3">
        <w:rPr>
          <w:rFonts w:ascii="Times New Roman" w:hAnsi="Times New Roman" w:cs="Times New Roman"/>
          <w:b/>
          <w:noProof/>
        </w:rPr>
        <w:t>table 5.18</w:t>
      </w:r>
      <w:r w:rsidR="00EB38F3">
        <w:rPr>
          <w:rFonts w:ascii="Times New Roman" w:hAnsi="Times New Roman" w:cs="Times New Roman"/>
          <w:noProof/>
        </w:rPr>
        <w:t>)</w:t>
      </w:r>
      <w:r>
        <w:rPr>
          <w:rFonts w:ascii="Times New Roman" w:hAnsi="Times New Roman" w:cs="Times New Roman"/>
          <w:noProof/>
        </w:rPr>
        <w:t xml:space="preserve">, which </w:t>
      </w:r>
      <w:r w:rsidR="00576433">
        <w:rPr>
          <w:rFonts w:ascii="Times New Roman" w:hAnsi="Times New Roman" w:cs="Times New Roman"/>
          <w:noProof/>
        </w:rPr>
        <w:t>might be attributed to</w:t>
      </w:r>
      <w:r w:rsidR="003A101E">
        <w:rPr>
          <w:rFonts w:ascii="Times New Roman" w:hAnsi="Times New Roman" w:cs="Times New Roman"/>
          <w:noProof/>
        </w:rPr>
        <w:t xml:space="preserve"> the</w:t>
      </w:r>
      <w:r w:rsidR="00576433">
        <w:rPr>
          <w:rFonts w:ascii="Times New Roman" w:hAnsi="Times New Roman" w:cs="Times New Roman"/>
          <w:noProof/>
        </w:rPr>
        <w:t xml:space="preserve"> Fc</w:t>
      </w:r>
      <w:r w:rsidR="00393AED">
        <w:rPr>
          <w:rFonts w:ascii="Times New Roman" w:hAnsi="Times New Roman" w:cs="Times New Roman"/>
          <w:noProof/>
        </w:rPr>
        <w:t xml:space="preserve"> fragment of the antibody binding to Fc receptors on the surface of the astrocytes.</w:t>
      </w:r>
      <w:r w:rsidR="00491B7D">
        <w:rPr>
          <w:rFonts w:ascii="Times New Roman" w:hAnsi="Times New Roman" w:cs="Times New Roman"/>
          <w:noProof/>
        </w:rPr>
        <w:t xml:space="preserve"> Despite the treatment involving use of a</w:t>
      </w:r>
      <w:r w:rsidR="00454D06">
        <w:rPr>
          <w:rFonts w:ascii="Times New Roman" w:hAnsi="Times New Roman" w:cs="Times New Roman"/>
          <w:noProof/>
        </w:rPr>
        <w:t xml:space="preserve"> mouse IgG antibody, it is</w:t>
      </w:r>
      <w:r w:rsidR="00491B7D">
        <w:rPr>
          <w:rFonts w:ascii="Times New Roman" w:hAnsi="Times New Roman" w:cs="Times New Roman"/>
          <w:noProof/>
        </w:rPr>
        <w:t xml:space="preserve"> possible that human Fc receptors could </w:t>
      </w:r>
      <w:r w:rsidR="00454D06">
        <w:rPr>
          <w:rFonts w:ascii="Times New Roman" w:hAnsi="Times New Roman" w:cs="Times New Roman"/>
          <w:noProof/>
        </w:rPr>
        <w:t>bind</w:t>
      </w:r>
      <w:r w:rsidR="00C429F0">
        <w:rPr>
          <w:rFonts w:ascii="Times New Roman" w:hAnsi="Times New Roman" w:cs="Times New Roman"/>
          <w:noProof/>
        </w:rPr>
        <w:t xml:space="preserve"> with high affinity</w:t>
      </w:r>
      <w:r w:rsidR="00491B7D">
        <w:rPr>
          <w:rFonts w:ascii="Times New Roman" w:hAnsi="Times New Roman" w:cs="Times New Roman"/>
          <w:noProof/>
        </w:rPr>
        <w:t xml:space="preserve"> and associated pathways activated </w:t>
      </w:r>
      <w:r w:rsidR="00C429F0">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"ISSN" : "0022-1767", "PMID" : "3159790", "abstract" : "The use of murine monoclonal antibodies in the immunotherapy of human disease has prompted interest in the interactions of murine IgG with Fc receptors (FcR) expressed on human effector cells. We examined the heterocytophilic interactions between monomeric murine IgG subclass proteins and the FcR expressed on human monocytic cells (peripheral blood monocytes and interferon (IFN)-gamma-induced U937 cells). All four murine IgG2a antibodies and both murine IgG3 antibodies that were tested bound to human monocyte FcR with high affinity (10(8) to 10(9) M-1). By contrast, the affinities of four murine IgG1 and four IgG2b monomers were 100-fold to 1000-fold lower than the affinity of the human IgG1-FcR interaction. A 68,000 to 72,000 dalton protein was isolated by affinity chromatography from blood monocytes and from IFN-gamma-induced U937 cells on murine IgG2a, IgG3, and human IgG immunoadsorbents. In binding assays with IFN-stimulated U937 cells, murine IgG2a and IgG3 antibodies showed complete cross-blocking with a human IgG1 myeloma protein, indicating that murine and human IgG interact with the same population of Fc-binding proteins. No evidence for heterogeneity of cross-reactive FcR was observed. The ability of murine IgG2a and IgG3 monomers to compete with human IgG1 monomers for binding to human monocyte FcR suggests the potential usefulness of antibodies of these isotypes in the immunotherapy of diseases in which monocyte- or macrophage-mediated, antibody-dependent cellular cytotoxicity may play a role in the modification or remission of disease.", "author" : [ { "dropping-particle" : "", "family" : "Lubeck", "given" : "M D", "non-dropping-particle" : "", "parse-names" : false, "suffix" : "" }, { "dropping-particle" : "", "family" : "Steplewski", "given" : "Z", "non-dropping-particle" : "", "parse-names" : false, "suffix" : "" }, { "dropping-particle" : "", "family" : "Baglia", "given" : "F", "non-dropping-particle" : "", "parse-names" : false, "suffix" : "" }, { "dropping-particle" : "", "family" : "Klein", "given" : "M H", "non-dropping-particle" : "", "parse-names" : false, "suffix" : "" }, { "dropping-particle" : "", "family" : "Dorrington", "given" : "K J", "non-dropping-particle" : "", "parse-names" : false, "suffix" : "" }, { "dropping-particle" : "", "family" : "Koprowski", "given" : "H", "non-dropping-particle" : "", "parse-names" : false, "suffix" : "" } ], "container-title" : "Journal of immunology (Baltimore, Md. : 1950)", "id" : "ITEM-1", "issue" : "2", "issued" : { "date-parts" : [ [ "1985", "8" ] ] }, "page" : "1299-304", "title" : "The interaction of murine IgG subclass proteins with human monocyte Fc receptors.", "type" : "article-journal", "volume" : "135" }, "uris" : [ "http://www.mendeley.com/documents/?uuid=7ed7db81-b789-4a0a-99ce-fc2d8d8ed534" ] } ], "mendeley" : { "formattedCitation" : "(Lubeck et al. 1985)", "plainTextFormattedCitation" : "(Lubeck et al. 1985)", "previouslyFormattedCitation" : "(Lubeck et al. 1985)" }, "properties" : { "noteIndex" : 0 }, "schema" : "https://github.com/citation-style-language/schema/raw/master/csl-citation.json" }</w:instrText>
      </w:r>
      <w:r w:rsidR="00C429F0">
        <w:rPr>
          <w:rFonts w:ascii="Times New Roman" w:hAnsi="Times New Roman" w:cs="Times New Roman"/>
          <w:noProof/>
        </w:rPr>
        <w:fldChar w:fldCharType="separate"/>
      </w:r>
      <w:r w:rsidR="00C148FC" w:rsidRPr="00C148FC">
        <w:rPr>
          <w:rFonts w:ascii="Times New Roman" w:hAnsi="Times New Roman" w:cs="Times New Roman"/>
          <w:noProof/>
        </w:rPr>
        <w:t>(Lubeck et al. 1985)</w:t>
      </w:r>
      <w:r w:rsidR="00C429F0">
        <w:rPr>
          <w:rFonts w:ascii="Times New Roman" w:hAnsi="Times New Roman" w:cs="Times New Roman"/>
          <w:noProof/>
        </w:rPr>
        <w:fldChar w:fldCharType="end"/>
      </w:r>
      <w:r w:rsidR="00C429F0">
        <w:rPr>
          <w:rFonts w:ascii="Times New Roman" w:hAnsi="Times New Roman" w:cs="Times New Roman"/>
          <w:noProof/>
        </w:rPr>
        <w:t>.</w:t>
      </w:r>
      <w:r w:rsidR="00454D06">
        <w:rPr>
          <w:rFonts w:ascii="Times New Roman" w:hAnsi="Times New Roman" w:cs="Times New Roman"/>
          <w:noProof/>
        </w:rPr>
        <w:t xml:space="preserve"> </w:t>
      </w:r>
      <w:r w:rsidR="00393AED">
        <w:rPr>
          <w:rFonts w:ascii="Times New Roman" w:hAnsi="Times New Roman" w:cs="Times New Roman"/>
          <w:noProof/>
        </w:rPr>
        <w:t xml:space="preserve">12 of the 18 differentially expressed genes </w:t>
      </w:r>
      <w:r w:rsidR="00576433">
        <w:rPr>
          <w:rFonts w:ascii="Times New Roman" w:hAnsi="Times New Roman" w:cs="Times New Roman"/>
          <w:noProof/>
        </w:rPr>
        <w:t>involved in an</w:t>
      </w:r>
      <w:r w:rsidR="00393AED">
        <w:rPr>
          <w:rFonts w:ascii="Times New Roman" w:hAnsi="Times New Roman" w:cs="Times New Roman"/>
          <w:noProof/>
        </w:rPr>
        <w:t xml:space="preserve"> immune response were upregulated, this includes upregulation of genes involved in cytokine production such as IL15 and IL23A. Downregulated genes include FCGR1B, which is a fragment to whic</w:t>
      </w:r>
      <w:r w:rsidR="00576433">
        <w:rPr>
          <w:rFonts w:ascii="Times New Roman" w:hAnsi="Times New Roman" w:cs="Times New Roman"/>
          <w:noProof/>
        </w:rPr>
        <w:t xml:space="preserve">h the Fc portion of the MAB391 </w:t>
      </w:r>
      <w:r w:rsidR="003A101E">
        <w:rPr>
          <w:rFonts w:ascii="Times New Roman" w:hAnsi="Times New Roman" w:cs="Times New Roman"/>
          <w:noProof/>
        </w:rPr>
        <w:t xml:space="preserve">may </w:t>
      </w:r>
      <w:r w:rsidR="00393AED">
        <w:rPr>
          <w:rFonts w:ascii="Times New Roman" w:hAnsi="Times New Roman" w:cs="Times New Roman"/>
          <w:noProof/>
        </w:rPr>
        <w:t>bind</w:t>
      </w:r>
      <w:r w:rsidR="00576433">
        <w:rPr>
          <w:rFonts w:ascii="Times New Roman" w:hAnsi="Times New Roman" w:cs="Times New Roman"/>
          <w:noProof/>
        </w:rPr>
        <w:t xml:space="preserve"> and mi</w:t>
      </w:r>
      <w:r w:rsidR="003A101E">
        <w:rPr>
          <w:rFonts w:ascii="Times New Roman" w:hAnsi="Times New Roman" w:cs="Times New Roman"/>
          <w:noProof/>
        </w:rPr>
        <w:t>ght indicate an attempt to downregulate</w:t>
      </w:r>
      <w:r w:rsidR="00576433">
        <w:rPr>
          <w:rFonts w:ascii="Times New Roman" w:hAnsi="Times New Roman" w:cs="Times New Roman"/>
          <w:noProof/>
        </w:rPr>
        <w:t xml:space="preserve"> the immune response</w:t>
      </w:r>
      <w:r w:rsidR="00393AED">
        <w:rPr>
          <w:rFonts w:ascii="Times New Roman" w:hAnsi="Times New Roman" w:cs="Times New Roman"/>
          <w:noProof/>
        </w:rPr>
        <w:t xml:space="preserve">. </w:t>
      </w:r>
    </w:p>
    <w:p w14:paraId="420702DF" w14:textId="77777777" w:rsidR="00303E90" w:rsidRDefault="00A3722E" w:rsidP="004D474F">
      <w:pPr>
        <w:pStyle w:val="Heading5"/>
        <w:rPr>
          <w:noProof/>
        </w:rPr>
      </w:pPr>
      <w:bookmarkStart w:id="2199" w:name="_Toc333569367"/>
      <w:bookmarkStart w:id="2200" w:name="_Toc333570905"/>
      <w:bookmarkStart w:id="2201" w:name="_Toc333585986"/>
      <w:bookmarkStart w:id="2202" w:name="_Toc333586862"/>
      <w:bookmarkStart w:id="2203" w:name="_Toc333644561"/>
      <w:bookmarkStart w:id="2204" w:name="_Toc333644855"/>
      <w:r>
        <w:rPr>
          <w:noProof/>
        </w:rPr>
        <w:t>Table 5.18</w:t>
      </w:r>
      <w:r w:rsidR="0043060F">
        <w:rPr>
          <w:noProof/>
        </w:rPr>
        <w:t>.</w:t>
      </w:r>
      <w:r w:rsidR="00860A3D">
        <w:rPr>
          <w:noProof/>
        </w:rPr>
        <w:t xml:space="preserve"> Transcripts involved in an immune-like response dif</w:t>
      </w:r>
      <w:r w:rsidR="00B80D03">
        <w:rPr>
          <w:noProof/>
        </w:rPr>
        <w:t>ferentially regulated in MAB391-</w:t>
      </w:r>
      <w:r w:rsidR="00860A3D">
        <w:rPr>
          <w:noProof/>
        </w:rPr>
        <w:t>treated astrocytes.</w:t>
      </w:r>
      <w:bookmarkEnd w:id="2199"/>
      <w:bookmarkEnd w:id="2200"/>
      <w:bookmarkEnd w:id="2201"/>
      <w:bookmarkEnd w:id="2202"/>
      <w:bookmarkEnd w:id="2203"/>
      <w:bookmarkEnd w:id="2204"/>
      <w:r w:rsidR="00860A3D" w:rsidRPr="00730DE4">
        <w:rPr>
          <w:noProof/>
        </w:rPr>
        <w:t xml:space="preserve"> </w:t>
      </w:r>
    </w:p>
    <w:p w14:paraId="2FEB578B" w14:textId="22060A77" w:rsidR="00860A3D" w:rsidRPr="00AA21C2" w:rsidRDefault="00860A3D" w:rsidP="00C63BC1">
      <w:pPr>
        <w:spacing w:line="360" w:lineRule="auto"/>
        <w:jc w:val="both"/>
        <w:rPr>
          <w:rFonts w:ascii="Times New Roman" w:hAnsi="Times New Roman" w:cs="Times New Roman"/>
          <w:b/>
          <w:noProof/>
          <w:u w:val="single"/>
        </w:rPr>
      </w:pPr>
      <w:r>
        <w:rPr>
          <w:rFonts w:ascii="Times New Roman" w:hAnsi="Times New Roman" w:cs="Times New Roman"/>
          <w:noProof/>
        </w:rPr>
        <w:t>Genes involved in the inflammatory pathway that are differentially expressed in IGF1R impaired astrocytes compared with untreated astrocytes. Highlighted in red are downregulated genes and in green are upregulated genes.</w:t>
      </w:r>
      <w:r w:rsidR="00B8782A" w:rsidRPr="00B8782A">
        <w:rPr>
          <w:rFonts w:ascii="Times New Roman" w:hAnsi="Times New Roman" w:cs="Times New Roman"/>
          <w:noProof/>
        </w:rPr>
        <w:t xml:space="preserve"> </w:t>
      </w:r>
      <w:r w:rsidR="00B8782A">
        <w:rPr>
          <w:rFonts w:ascii="Times New Roman" w:hAnsi="Times New Roman" w:cs="Times New Roman"/>
          <w:noProof/>
        </w:rPr>
        <w:t>Fold change (FC) and P-values are also shown.</w:t>
      </w:r>
    </w:p>
    <w:p w14:paraId="6DB2F011" w14:textId="77777777" w:rsidR="00F93E72" w:rsidRDefault="00F93E72" w:rsidP="00C12D9C">
      <w:pPr>
        <w:rPr>
          <w:rFonts w:ascii="Times New Roman" w:hAnsi="Times New Roman" w:cs="Times New Roman"/>
          <w:b/>
          <w:noProof/>
          <w:u w:val="single"/>
        </w:rPr>
      </w:pPr>
    </w:p>
    <w:tbl>
      <w:tblPr>
        <w:tblW w:w="9026" w:type="dxa"/>
        <w:tblInd w:w="93" w:type="dxa"/>
        <w:tblLook w:val="04A0" w:firstRow="1" w:lastRow="0" w:firstColumn="1" w:lastColumn="0" w:noHBand="0" w:noVBand="1"/>
      </w:tblPr>
      <w:tblGrid>
        <w:gridCol w:w="1452"/>
        <w:gridCol w:w="5400"/>
        <w:gridCol w:w="815"/>
        <w:gridCol w:w="1359"/>
      </w:tblGrid>
      <w:tr w:rsidR="00393AED" w:rsidRPr="00393AED" w14:paraId="4F3AB449" w14:textId="77777777" w:rsidTr="00393AED">
        <w:trPr>
          <w:trHeight w:val="276"/>
        </w:trPr>
        <w:tc>
          <w:tcPr>
            <w:tcW w:w="1452" w:type="dxa"/>
            <w:tcBorders>
              <w:top w:val="single" w:sz="4" w:space="0" w:color="auto"/>
              <w:left w:val="nil"/>
              <w:bottom w:val="single" w:sz="4" w:space="0" w:color="auto"/>
              <w:right w:val="nil"/>
            </w:tcBorders>
            <w:shd w:val="clear" w:color="auto" w:fill="auto"/>
            <w:noWrap/>
            <w:vAlign w:val="bottom"/>
            <w:hideMark/>
          </w:tcPr>
          <w:p w14:paraId="67F5EA28" w14:textId="77777777" w:rsidR="00393AED" w:rsidRPr="00393AED" w:rsidRDefault="00393AED" w:rsidP="00454D06">
            <w:pPr>
              <w:rPr>
                <w:rFonts w:ascii="Times New Roman" w:eastAsia="Times New Roman" w:hAnsi="Times New Roman" w:cs="Times New Roman"/>
                <w:b/>
                <w:bCs/>
                <w:color w:val="000000"/>
                <w:sz w:val="22"/>
                <w:szCs w:val="22"/>
                <w:lang w:val="en-GB"/>
              </w:rPr>
            </w:pPr>
            <w:r w:rsidRPr="00393AED">
              <w:rPr>
                <w:rFonts w:ascii="Times New Roman" w:eastAsia="Times New Roman" w:hAnsi="Times New Roman" w:cs="Times New Roman"/>
                <w:b/>
                <w:bCs/>
                <w:color w:val="000000"/>
                <w:sz w:val="22"/>
                <w:szCs w:val="22"/>
                <w:lang w:val="en-GB"/>
              </w:rPr>
              <w:t>Gene Symbol</w:t>
            </w:r>
          </w:p>
        </w:tc>
        <w:tc>
          <w:tcPr>
            <w:tcW w:w="5400" w:type="dxa"/>
            <w:tcBorders>
              <w:top w:val="single" w:sz="4" w:space="0" w:color="auto"/>
              <w:left w:val="nil"/>
              <w:bottom w:val="single" w:sz="4" w:space="0" w:color="auto"/>
              <w:right w:val="nil"/>
            </w:tcBorders>
            <w:shd w:val="clear" w:color="auto" w:fill="auto"/>
            <w:noWrap/>
            <w:vAlign w:val="bottom"/>
            <w:hideMark/>
          </w:tcPr>
          <w:p w14:paraId="6024F0D9" w14:textId="77777777" w:rsidR="00393AED" w:rsidRPr="00393AED" w:rsidRDefault="00393AED" w:rsidP="00454D06">
            <w:pPr>
              <w:rPr>
                <w:rFonts w:ascii="Times New Roman" w:eastAsia="Times New Roman" w:hAnsi="Times New Roman" w:cs="Times New Roman"/>
                <w:b/>
                <w:bCs/>
                <w:color w:val="000000"/>
                <w:sz w:val="22"/>
                <w:szCs w:val="22"/>
                <w:lang w:val="en-GB"/>
              </w:rPr>
            </w:pPr>
            <w:r w:rsidRPr="00393AED">
              <w:rPr>
                <w:rFonts w:ascii="Times New Roman" w:eastAsia="Times New Roman" w:hAnsi="Times New Roman" w:cs="Times New Roman"/>
                <w:b/>
                <w:bCs/>
                <w:color w:val="000000"/>
                <w:sz w:val="22"/>
                <w:szCs w:val="22"/>
                <w:lang w:val="en-GB"/>
              </w:rPr>
              <w:t>Gene Name</w:t>
            </w:r>
          </w:p>
        </w:tc>
        <w:tc>
          <w:tcPr>
            <w:tcW w:w="815" w:type="dxa"/>
            <w:tcBorders>
              <w:top w:val="single" w:sz="4" w:space="0" w:color="auto"/>
              <w:left w:val="nil"/>
              <w:bottom w:val="single" w:sz="4" w:space="0" w:color="auto"/>
              <w:right w:val="nil"/>
            </w:tcBorders>
            <w:shd w:val="clear" w:color="auto" w:fill="auto"/>
            <w:noWrap/>
            <w:vAlign w:val="bottom"/>
            <w:hideMark/>
          </w:tcPr>
          <w:p w14:paraId="04389964" w14:textId="77777777" w:rsidR="00393AED" w:rsidRPr="00393AED" w:rsidRDefault="00393AED" w:rsidP="00454D06">
            <w:pPr>
              <w:rPr>
                <w:rFonts w:ascii="Times New Roman" w:eastAsia="Times New Roman" w:hAnsi="Times New Roman" w:cs="Times New Roman"/>
                <w:b/>
                <w:bCs/>
                <w:color w:val="000000"/>
                <w:sz w:val="22"/>
                <w:szCs w:val="22"/>
                <w:lang w:val="en-GB"/>
              </w:rPr>
            </w:pPr>
            <w:r w:rsidRPr="00393AED">
              <w:rPr>
                <w:rFonts w:ascii="Times New Roman" w:eastAsia="Times New Roman" w:hAnsi="Times New Roman" w:cs="Times New Roman"/>
                <w:b/>
                <w:bCs/>
                <w:color w:val="000000"/>
                <w:sz w:val="22"/>
                <w:szCs w:val="22"/>
                <w:lang w:val="en-GB"/>
              </w:rPr>
              <w:t>FC</w:t>
            </w:r>
          </w:p>
        </w:tc>
        <w:tc>
          <w:tcPr>
            <w:tcW w:w="1359" w:type="dxa"/>
            <w:tcBorders>
              <w:top w:val="single" w:sz="4" w:space="0" w:color="auto"/>
              <w:left w:val="nil"/>
              <w:bottom w:val="single" w:sz="4" w:space="0" w:color="auto"/>
              <w:right w:val="nil"/>
            </w:tcBorders>
            <w:shd w:val="clear" w:color="auto" w:fill="auto"/>
            <w:noWrap/>
            <w:vAlign w:val="bottom"/>
            <w:hideMark/>
          </w:tcPr>
          <w:p w14:paraId="0A613BAB" w14:textId="77777777" w:rsidR="00393AED" w:rsidRPr="00393AED" w:rsidRDefault="00393AED" w:rsidP="00454D06">
            <w:pPr>
              <w:rPr>
                <w:rFonts w:ascii="Times New Roman" w:eastAsia="Times New Roman" w:hAnsi="Times New Roman" w:cs="Times New Roman"/>
                <w:b/>
                <w:bCs/>
                <w:color w:val="000000"/>
                <w:sz w:val="22"/>
                <w:szCs w:val="22"/>
                <w:lang w:val="en-GB"/>
              </w:rPr>
            </w:pPr>
            <w:r w:rsidRPr="00393AED">
              <w:rPr>
                <w:rFonts w:ascii="Times New Roman" w:eastAsia="Times New Roman" w:hAnsi="Times New Roman" w:cs="Times New Roman"/>
                <w:b/>
                <w:bCs/>
                <w:color w:val="000000"/>
                <w:sz w:val="22"/>
                <w:szCs w:val="22"/>
                <w:lang w:val="en-GB"/>
              </w:rPr>
              <w:t>P-value</w:t>
            </w:r>
          </w:p>
        </w:tc>
      </w:tr>
      <w:tr w:rsidR="00393AED" w:rsidRPr="00393AED" w14:paraId="765C8D84" w14:textId="77777777" w:rsidTr="00393AED">
        <w:trPr>
          <w:trHeight w:val="276"/>
        </w:trPr>
        <w:tc>
          <w:tcPr>
            <w:tcW w:w="1452" w:type="dxa"/>
            <w:tcBorders>
              <w:top w:val="nil"/>
              <w:left w:val="nil"/>
              <w:bottom w:val="nil"/>
              <w:right w:val="nil"/>
            </w:tcBorders>
            <w:shd w:val="clear" w:color="000000" w:fill="FF0000"/>
            <w:noWrap/>
            <w:vAlign w:val="bottom"/>
            <w:hideMark/>
          </w:tcPr>
          <w:p w14:paraId="1A2331F5"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IL21</w:t>
            </w:r>
          </w:p>
        </w:tc>
        <w:tc>
          <w:tcPr>
            <w:tcW w:w="5400" w:type="dxa"/>
            <w:tcBorders>
              <w:top w:val="nil"/>
              <w:left w:val="nil"/>
              <w:bottom w:val="nil"/>
              <w:right w:val="nil"/>
            </w:tcBorders>
            <w:shd w:val="clear" w:color="auto" w:fill="auto"/>
            <w:noWrap/>
            <w:vAlign w:val="bottom"/>
            <w:hideMark/>
          </w:tcPr>
          <w:p w14:paraId="53404AE3"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Interleukin 21</w:t>
            </w:r>
          </w:p>
        </w:tc>
        <w:tc>
          <w:tcPr>
            <w:tcW w:w="815" w:type="dxa"/>
            <w:tcBorders>
              <w:top w:val="nil"/>
              <w:left w:val="nil"/>
              <w:bottom w:val="nil"/>
              <w:right w:val="nil"/>
            </w:tcBorders>
            <w:shd w:val="clear" w:color="auto" w:fill="auto"/>
            <w:noWrap/>
            <w:vAlign w:val="bottom"/>
            <w:hideMark/>
          </w:tcPr>
          <w:p w14:paraId="6485B9DC"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0.71</w:t>
            </w:r>
          </w:p>
        </w:tc>
        <w:tc>
          <w:tcPr>
            <w:tcW w:w="1359" w:type="dxa"/>
            <w:tcBorders>
              <w:top w:val="nil"/>
              <w:left w:val="nil"/>
              <w:bottom w:val="nil"/>
              <w:right w:val="nil"/>
            </w:tcBorders>
            <w:shd w:val="clear" w:color="auto" w:fill="auto"/>
            <w:noWrap/>
            <w:vAlign w:val="bottom"/>
            <w:hideMark/>
          </w:tcPr>
          <w:p w14:paraId="79380D20"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0.020</w:t>
            </w:r>
          </w:p>
        </w:tc>
      </w:tr>
      <w:tr w:rsidR="00393AED" w:rsidRPr="00393AED" w14:paraId="56EA15FD" w14:textId="77777777" w:rsidTr="00393AED">
        <w:trPr>
          <w:trHeight w:val="276"/>
        </w:trPr>
        <w:tc>
          <w:tcPr>
            <w:tcW w:w="1452" w:type="dxa"/>
            <w:tcBorders>
              <w:top w:val="nil"/>
              <w:left w:val="nil"/>
              <w:bottom w:val="nil"/>
              <w:right w:val="nil"/>
            </w:tcBorders>
            <w:shd w:val="clear" w:color="000000" w:fill="FF0000"/>
            <w:noWrap/>
            <w:vAlign w:val="bottom"/>
            <w:hideMark/>
          </w:tcPr>
          <w:p w14:paraId="57ADFBC2"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IGHG1</w:t>
            </w:r>
          </w:p>
        </w:tc>
        <w:tc>
          <w:tcPr>
            <w:tcW w:w="5400" w:type="dxa"/>
            <w:tcBorders>
              <w:top w:val="nil"/>
              <w:left w:val="nil"/>
              <w:bottom w:val="nil"/>
              <w:right w:val="nil"/>
            </w:tcBorders>
            <w:shd w:val="clear" w:color="auto" w:fill="auto"/>
            <w:noWrap/>
            <w:vAlign w:val="bottom"/>
            <w:hideMark/>
          </w:tcPr>
          <w:p w14:paraId="48A03697"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Immunoglobulin heavy constant gamma 1</w:t>
            </w:r>
          </w:p>
        </w:tc>
        <w:tc>
          <w:tcPr>
            <w:tcW w:w="815" w:type="dxa"/>
            <w:tcBorders>
              <w:top w:val="nil"/>
              <w:left w:val="nil"/>
              <w:bottom w:val="nil"/>
              <w:right w:val="nil"/>
            </w:tcBorders>
            <w:shd w:val="clear" w:color="auto" w:fill="auto"/>
            <w:noWrap/>
            <w:vAlign w:val="bottom"/>
            <w:hideMark/>
          </w:tcPr>
          <w:p w14:paraId="455B1506"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0.50</w:t>
            </w:r>
          </w:p>
        </w:tc>
        <w:tc>
          <w:tcPr>
            <w:tcW w:w="1359" w:type="dxa"/>
            <w:tcBorders>
              <w:top w:val="nil"/>
              <w:left w:val="nil"/>
              <w:bottom w:val="nil"/>
              <w:right w:val="nil"/>
            </w:tcBorders>
            <w:shd w:val="clear" w:color="auto" w:fill="auto"/>
            <w:noWrap/>
            <w:vAlign w:val="bottom"/>
            <w:hideMark/>
          </w:tcPr>
          <w:p w14:paraId="52425CAC"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0.010</w:t>
            </w:r>
          </w:p>
        </w:tc>
      </w:tr>
      <w:tr w:rsidR="00393AED" w:rsidRPr="00393AED" w14:paraId="0094DC90" w14:textId="77777777" w:rsidTr="00393AED">
        <w:trPr>
          <w:trHeight w:val="276"/>
        </w:trPr>
        <w:tc>
          <w:tcPr>
            <w:tcW w:w="1452" w:type="dxa"/>
            <w:tcBorders>
              <w:top w:val="nil"/>
              <w:left w:val="nil"/>
              <w:bottom w:val="nil"/>
              <w:right w:val="nil"/>
            </w:tcBorders>
            <w:shd w:val="clear" w:color="000000" w:fill="FF0000"/>
            <w:noWrap/>
            <w:vAlign w:val="bottom"/>
            <w:hideMark/>
          </w:tcPr>
          <w:p w14:paraId="6D5A6D24"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IGHV3-23</w:t>
            </w:r>
          </w:p>
        </w:tc>
        <w:tc>
          <w:tcPr>
            <w:tcW w:w="5400" w:type="dxa"/>
            <w:tcBorders>
              <w:top w:val="nil"/>
              <w:left w:val="nil"/>
              <w:bottom w:val="nil"/>
              <w:right w:val="nil"/>
            </w:tcBorders>
            <w:shd w:val="clear" w:color="auto" w:fill="auto"/>
            <w:noWrap/>
            <w:vAlign w:val="bottom"/>
            <w:hideMark/>
          </w:tcPr>
          <w:p w14:paraId="4119DCF0"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Immunoglobulin heavy variable 3-23</w:t>
            </w:r>
          </w:p>
        </w:tc>
        <w:tc>
          <w:tcPr>
            <w:tcW w:w="815" w:type="dxa"/>
            <w:tcBorders>
              <w:top w:val="nil"/>
              <w:left w:val="nil"/>
              <w:bottom w:val="nil"/>
              <w:right w:val="nil"/>
            </w:tcBorders>
            <w:shd w:val="clear" w:color="auto" w:fill="auto"/>
            <w:noWrap/>
            <w:vAlign w:val="bottom"/>
            <w:hideMark/>
          </w:tcPr>
          <w:p w14:paraId="183DBB88"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0.53</w:t>
            </w:r>
          </w:p>
        </w:tc>
        <w:tc>
          <w:tcPr>
            <w:tcW w:w="1359" w:type="dxa"/>
            <w:tcBorders>
              <w:top w:val="nil"/>
              <w:left w:val="nil"/>
              <w:bottom w:val="nil"/>
              <w:right w:val="nil"/>
            </w:tcBorders>
            <w:shd w:val="clear" w:color="auto" w:fill="auto"/>
            <w:noWrap/>
            <w:vAlign w:val="bottom"/>
            <w:hideMark/>
          </w:tcPr>
          <w:p w14:paraId="135009CE"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0.010</w:t>
            </w:r>
          </w:p>
        </w:tc>
      </w:tr>
      <w:tr w:rsidR="00393AED" w:rsidRPr="00393AED" w14:paraId="11B19ECB" w14:textId="77777777" w:rsidTr="00393AED">
        <w:trPr>
          <w:trHeight w:val="276"/>
        </w:trPr>
        <w:tc>
          <w:tcPr>
            <w:tcW w:w="1452" w:type="dxa"/>
            <w:tcBorders>
              <w:top w:val="nil"/>
              <w:left w:val="nil"/>
              <w:bottom w:val="nil"/>
              <w:right w:val="nil"/>
            </w:tcBorders>
            <w:shd w:val="clear" w:color="000000" w:fill="FF0000"/>
            <w:noWrap/>
            <w:vAlign w:val="bottom"/>
            <w:hideMark/>
          </w:tcPr>
          <w:p w14:paraId="69DE20AE"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IGHV3-64</w:t>
            </w:r>
          </w:p>
        </w:tc>
        <w:tc>
          <w:tcPr>
            <w:tcW w:w="5400" w:type="dxa"/>
            <w:tcBorders>
              <w:top w:val="nil"/>
              <w:left w:val="nil"/>
              <w:bottom w:val="nil"/>
              <w:right w:val="nil"/>
            </w:tcBorders>
            <w:shd w:val="clear" w:color="auto" w:fill="auto"/>
            <w:noWrap/>
            <w:vAlign w:val="bottom"/>
            <w:hideMark/>
          </w:tcPr>
          <w:p w14:paraId="09989F0A"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Immunoglobulin heavy variable 3-64</w:t>
            </w:r>
          </w:p>
        </w:tc>
        <w:tc>
          <w:tcPr>
            <w:tcW w:w="815" w:type="dxa"/>
            <w:tcBorders>
              <w:top w:val="nil"/>
              <w:left w:val="nil"/>
              <w:bottom w:val="nil"/>
              <w:right w:val="nil"/>
            </w:tcBorders>
            <w:shd w:val="clear" w:color="auto" w:fill="auto"/>
            <w:noWrap/>
            <w:vAlign w:val="bottom"/>
            <w:hideMark/>
          </w:tcPr>
          <w:p w14:paraId="3F19E9D2"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0.69</w:t>
            </w:r>
          </w:p>
        </w:tc>
        <w:tc>
          <w:tcPr>
            <w:tcW w:w="1359" w:type="dxa"/>
            <w:tcBorders>
              <w:top w:val="nil"/>
              <w:left w:val="nil"/>
              <w:bottom w:val="nil"/>
              <w:right w:val="nil"/>
            </w:tcBorders>
            <w:shd w:val="clear" w:color="auto" w:fill="auto"/>
            <w:noWrap/>
            <w:vAlign w:val="bottom"/>
            <w:hideMark/>
          </w:tcPr>
          <w:p w14:paraId="602BF70D"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0.010</w:t>
            </w:r>
          </w:p>
        </w:tc>
      </w:tr>
      <w:tr w:rsidR="00393AED" w:rsidRPr="00393AED" w14:paraId="7DF93A4F" w14:textId="77777777" w:rsidTr="00393AED">
        <w:trPr>
          <w:trHeight w:val="276"/>
        </w:trPr>
        <w:tc>
          <w:tcPr>
            <w:tcW w:w="1452" w:type="dxa"/>
            <w:tcBorders>
              <w:top w:val="nil"/>
              <w:left w:val="nil"/>
              <w:bottom w:val="nil"/>
              <w:right w:val="nil"/>
            </w:tcBorders>
            <w:shd w:val="clear" w:color="000000" w:fill="FF0000"/>
            <w:noWrap/>
            <w:vAlign w:val="bottom"/>
            <w:hideMark/>
          </w:tcPr>
          <w:p w14:paraId="662588E4"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FCGR1B</w:t>
            </w:r>
          </w:p>
        </w:tc>
        <w:tc>
          <w:tcPr>
            <w:tcW w:w="5400" w:type="dxa"/>
            <w:tcBorders>
              <w:top w:val="nil"/>
              <w:left w:val="nil"/>
              <w:bottom w:val="nil"/>
              <w:right w:val="nil"/>
            </w:tcBorders>
            <w:shd w:val="clear" w:color="auto" w:fill="auto"/>
            <w:noWrap/>
            <w:vAlign w:val="bottom"/>
            <w:hideMark/>
          </w:tcPr>
          <w:p w14:paraId="4901870B"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Fc fragment of IgG receptor B</w:t>
            </w:r>
          </w:p>
        </w:tc>
        <w:tc>
          <w:tcPr>
            <w:tcW w:w="815" w:type="dxa"/>
            <w:tcBorders>
              <w:top w:val="nil"/>
              <w:left w:val="nil"/>
              <w:bottom w:val="nil"/>
              <w:right w:val="nil"/>
            </w:tcBorders>
            <w:shd w:val="clear" w:color="auto" w:fill="auto"/>
            <w:noWrap/>
            <w:vAlign w:val="bottom"/>
            <w:hideMark/>
          </w:tcPr>
          <w:p w14:paraId="5AA68045"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0.68</w:t>
            </w:r>
          </w:p>
        </w:tc>
        <w:tc>
          <w:tcPr>
            <w:tcW w:w="1359" w:type="dxa"/>
            <w:tcBorders>
              <w:top w:val="nil"/>
              <w:left w:val="nil"/>
              <w:bottom w:val="nil"/>
              <w:right w:val="nil"/>
            </w:tcBorders>
            <w:shd w:val="clear" w:color="auto" w:fill="auto"/>
            <w:noWrap/>
            <w:vAlign w:val="bottom"/>
            <w:hideMark/>
          </w:tcPr>
          <w:p w14:paraId="4093B7A6"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0.009</w:t>
            </w:r>
          </w:p>
        </w:tc>
      </w:tr>
      <w:tr w:rsidR="00393AED" w:rsidRPr="00393AED" w14:paraId="0B1BAD02" w14:textId="77777777" w:rsidTr="00393AED">
        <w:trPr>
          <w:trHeight w:val="276"/>
        </w:trPr>
        <w:tc>
          <w:tcPr>
            <w:tcW w:w="1452" w:type="dxa"/>
            <w:tcBorders>
              <w:top w:val="nil"/>
              <w:left w:val="nil"/>
              <w:bottom w:val="nil"/>
              <w:right w:val="nil"/>
            </w:tcBorders>
            <w:shd w:val="clear" w:color="000000" w:fill="008000"/>
            <w:noWrap/>
            <w:vAlign w:val="bottom"/>
            <w:hideMark/>
          </w:tcPr>
          <w:p w14:paraId="5D3EF530"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IGH</w:t>
            </w:r>
          </w:p>
        </w:tc>
        <w:tc>
          <w:tcPr>
            <w:tcW w:w="5400" w:type="dxa"/>
            <w:tcBorders>
              <w:top w:val="nil"/>
              <w:left w:val="nil"/>
              <w:bottom w:val="nil"/>
              <w:right w:val="nil"/>
            </w:tcBorders>
            <w:shd w:val="clear" w:color="auto" w:fill="auto"/>
            <w:noWrap/>
            <w:vAlign w:val="bottom"/>
            <w:hideMark/>
          </w:tcPr>
          <w:p w14:paraId="53512274"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Immunglobulin heavy locus</w:t>
            </w:r>
          </w:p>
        </w:tc>
        <w:tc>
          <w:tcPr>
            <w:tcW w:w="815" w:type="dxa"/>
            <w:tcBorders>
              <w:top w:val="nil"/>
              <w:left w:val="nil"/>
              <w:bottom w:val="nil"/>
              <w:right w:val="nil"/>
            </w:tcBorders>
            <w:shd w:val="clear" w:color="auto" w:fill="auto"/>
            <w:noWrap/>
            <w:vAlign w:val="bottom"/>
            <w:hideMark/>
          </w:tcPr>
          <w:p w14:paraId="6AA3AB2F"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1.20</w:t>
            </w:r>
          </w:p>
        </w:tc>
        <w:tc>
          <w:tcPr>
            <w:tcW w:w="1359" w:type="dxa"/>
            <w:tcBorders>
              <w:top w:val="nil"/>
              <w:left w:val="nil"/>
              <w:bottom w:val="nil"/>
              <w:right w:val="nil"/>
            </w:tcBorders>
            <w:shd w:val="clear" w:color="auto" w:fill="auto"/>
            <w:noWrap/>
            <w:vAlign w:val="bottom"/>
            <w:hideMark/>
          </w:tcPr>
          <w:p w14:paraId="23EB0B42"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0.003</w:t>
            </w:r>
          </w:p>
        </w:tc>
      </w:tr>
      <w:tr w:rsidR="00393AED" w:rsidRPr="00393AED" w14:paraId="3F78193C" w14:textId="77777777" w:rsidTr="00393AED">
        <w:trPr>
          <w:trHeight w:val="276"/>
        </w:trPr>
        <w:tc>
          <w:tcPr>
            <w:tcW w:w="1452" w:type="dxa"/>
            <w:tcBorders>
              <w:top w:val="nil"/>
              <w:left w:val="nil"/>
              <w:bottom w:val="nil"/>
              <w:right w:val="nil"/>
            </w:tcBorders>
            <w:shd w:val="clear" w:color="000000" w:fill="008000"/>
            <w:noWrap/>
            <w:vAlign w:val="bottom"/>
            <w:hideMark/>
          </w:tcPr>
          <w:p w14:paraId="3FC8EAE3"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IGSF9</w:t>
            </w:r>
          </w:p>
        </w:tc>
        <w:tc>
          <w:tcPr>
            <w:tcW w:w="5400" w:type="dxa"/>
            <w:tcBorders>
              <w:top w:val="nil"/>
              <w:left w:val="nil"/>
              <w:bottom w:val="nil"/>
              <w:right w:val="nil"/>
            </w:tcBorders>
            <w:shd w:val="clear" w:color="auto" w:fill="auto"/>
            <w:noWrap/>
            <w:vAlign w:val="bottom"/>
            <w:hideMark/>
          </w:tcPr>
          <w:p w14:paraId="19E7D30B"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Immunglobulin superfamily, member 9</w:t>
            </w:r>
          </w:p>
        </w:tc>
        <w:tc>
          <w:tcPr>
            <w:tcW w:w="815" w:type="dxa"/>
            <w:tcBorders>
              <w:top w:val="nil"/>
              <w:left w:val="nil"/>
              <w:bottom w:val="nil"/>
              <w:right w:val="nil"/>
            </w:tcBorders>
            <w:shd w:val="clear" w:color="auto" w:fill="auto"/>
            <w:noWrap/>
            <w:vAlign w:val="bottom"/>
            <w:hideMark/>
          </w:tcPr>
          <w:p w14:paraId="6D9818E5"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1.36</w:t>
            </w:r>
          </w:p>
        </w:tc>
        <w:tc>
          <w:tcPr>
            <w:tcW w:w="1359" w:type="dxa"/>
            <w:tcBorders>
              <w:top w:val="nil"/>
              <w:left w:val="nil"/>
              <w:bottom w:val="nil"/>
              <w:right w:val="nil"/>
            </w:tcBorders>
            <w:shd w:val="clear" w:color="auto" w:fill="auto"/>
            <w:noWrap/>
            <w:vAlign w:val="bottom"/>
            <w:hideMark/>
          </w:tcPr>
          <w:p w14:paraId="7F000977"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0.030</w:t>
            </w:r>
          </w:p>
        </w:tc>
      </w:tr>
      <w:tr w:rsidR="00393AED" w:rsidRPr="00393AED" w14:paraId="56316E6A" w14:textId="77777777" w:rsidTr="00393AED">
        <w:trPr>
          <w:trHeight w:val="276"/>
        </w:trPr>
        <w:tc>
          <w:tcPr>
            <w:tcW w:w="1452" w:type="dxa"/>
            <w:tcBorders>
              <w:top w:val="nil"/>
              <w:left w:val="nil"/>
              <w:bottom w:val="nil"/>
              <w:right w:val="nil"/>
            </w:tcBorders>
            <w:shd w:val="clear" w:color="000000" w:fill="008000"/>
            <w:noWrap/>
            <w:vAlign w:val="bottom"/>
            <w:hideMark/>
          </w:tcPr>
          <w:p w14:paraId="7D6CE823"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IGSF9B</w:t>
            </w:r>
          </w:p>
        </w:tc>
        <w:tc>
          <w:tcPr>
            <w:tcW w:w="5400" w:type="dxa"/>
            <w:tcBorders>
              <w:top w:val="nil"/>
              <w:left w:val="nil"/>
              <w:bottom w:val="nil"/>
              <w:right w:val="nil"/>
            </w:tcBorders>
            <w:shd w:val="clear" w:color="auto" w:fill="auto"/>
            <w:noWrap/>
            <w:vAlign w:val="bottom"/>
            <w:hideMark/>
          </w:tcPr>
          <w:p w14:paraId="561282A5"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Immunglobulin superfamily, member 9B</w:t>
            </w:r>
          </w:p>
        </w:tc>
        <w:tc>
          <w:tcPr>
            <w:tcW w:w="815" w:type="dxa"/>
            <w:tcBorders>
              <w:top w:val="nil"/>
              <w:left w:val="nil"/>
              <w:bottom w:val="nil"/>
              <w:right w:val="nil"/>
            </w:tcBorders>
            <w:shd w:val="clear" w:color="auto" w:fill="auto"/>
            <w:noWrap/>
            <w:vAlign w:val="bottom"/>
            <w:hideMark/>
          </w:tcPr>
          <w:p w14:paraId="1F2ADE91"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1.39</w:t>
            </w:r>
          </w:p>
        </w:tc>
        <w:tc>
          <w:tcPr>
            <w:tcW w:w="1359" w:type="dxa"/>
            <w:tcBorders>
              <w:top w:val="nil"/>
              <w:left w:val="nil"/>
              <w:bottom w:val="nil"/>
              <w:right w:val="nil"/>
            </w:tcBorders>
            <w:shd w:val="clear" w:color="auto" w:fill="auto"/>
            <w:noWrap/>
            <w:vAlign w:val="bottom"/>
            <w:hideMark/>
          </w:tcPr>
          <w:p w14:paraId="4AA9265C"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0.030</w:t>
            </w:r>
          </w:p>
        </w:tc>
      </w:tr>
      <w:tr w:rsidR="00393AED" w:rsidRPr="00393AED" w14:paraId="37B0D554" w14:textId="77777777" w:rsidTr="00393AED">
        <w:trPr>
          <w:trHeight w:val="276"/>
        </w:trPr>
        <w:tc>
          <w:tcPr>
            <w:tcW w:w="1452" w:type="dxa"/>
            <w:tcBorders>
              <w:top w:val="nil"/>
              <w:left w:val="nil"/>
              <w:bottom w:val="nil"/>
              <w:right w:val="nil"/>
            </w:tcBorders>
            <w:shd w:val="clear" w:color="000000" w:fill="008000"/>
            <w:noWrap/>
            <w:vAlign w:val="bottom"/>
            <w:hideMark/>
          </w:tcPr>
          <w:p w14:paraId="4165ADED"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IGLV2-23</w:t>
            </w:r>
          </w:p>
        </w:tc>
        <w:tc>
          <w:tcPr>
            <w:tcW w:w="5400" w:type="dxa"/>
            <w:tcBorders>
              <w:top w:val="nil"/>
              <w:left w:val="nil"/>
              <w:bottom w:val="nil"/>
              <w:right w:val="nil"/>
            </w:tcBorders>
            <w:shd w:val="clear" w:color="auto" w:fill="auto"/>
            <w:noWrap/>
            <w:vAlign w:val="bottom"/>
            <w:hideMark/>
          </w:tcPr>
          <w:p w14:paraId="74CE39A2"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Immunoglobulin light variable 2-23</w:t>
            </w:r>
          </w:p>
        </w:tc>
        <w:tc>
          <w:tcPr>
            <w:tcW w:w="815" w:type="dxa"/>
            <w:tcBorders>
              <w:top w:val="nil"/>
              <w:left w:val="nil"/>
              <w:bottom w:val="nil"/>
              <w:right w:val="nil"/>
            </w:tcBorders>
            <w:shd w:val="clear" w:color="auto" w:fill="auto"/>
            <w:noWrap/>
            <w:vAlign w:val="bottom"/>
            <w:hideMark/>
          </w:tcPr>
          <w:p w14:paraId="2685E235"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1.55</w:t>
            </w:r>
          </w:p>
        </w:tc>
        <w:tc>
          <w:tcPr>
            <w:tcW w:w="1359" w:type="dxa"/>
            <w:tcBorders>
              <w:top w:val="nil"/>
              <w:left w:val="nil"/>
              <w:bottom w:val="nil"/>
              <w:right w:val="nil"/>
            </w:tcBorders>
            <w:shd w:val="clear" w:color="auto" w:fill="auto"/>
            <w:noWrap/>
            <w:vAlign w:val="bottom"/>
            <w:hideMark/>
          </w:tcPr>
          <w:p w14:paraId="7943C386"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0.030</w:t>
            </w:r>
          </w:p>
        </w:tc>
      </w:tr>
      <w:tr w:rsidR="00393AED" w:rsidRPr="00393AED" w14:paraId="7C0430FF" w14:textId="77777777" w:rsidTr="00393AED">
        <w:trPr>
          <w:trHeight w:val="276"/>
        </w:trPr>
        <w:tc>
          <w:tcPr>
            <w:tcW w:w="1452" w:type="dxa"/>
            <w:tcBorders>
              <w:top w:val="nil"/>
              <w:left w:val="nil"/>
              <w:bottom w:val="nil"/>
              <w:right w:val="nil"/>
            </w:tcBorders>
            <w:shd w:val="clear" w:color="000000" w:fill="008000"/>
            <w:noWrap/>
            <w:vAlign w:val="bottom"/>
            <w:hideMark/>
          </w:tcPr>
          <w:p w14:paraId="15F4D5DA"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IGLV2-8</w:t>
            </w:r>
          </w:p>
        </w:tc>
        <w:tc>
          <w:tcPr>
            <w:tcW w:w="5400" w:type="dxa"/>
            <w:tcBorders>
              <w:top w:val="nil"/>
              <w:left w:val="nil"/>
              <w:bottom w:val="nil"/>
              <w:right w:val="nil"/>
            </w:tcBorders>
            <w:shd w:val="clear" w:color="auto" w:fill="auto"/>
            <w:noWrap/>
            <w:vAlign w:val="bottom"/>
            <w:hideMark/>
          </w:tcPr>
          <w:p w14:paraId="6CBCD9F8"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Immunoglobulin light variable 2-8</w:t>
            </w:r>
          </w:p>
        </w:tc>
        <w:tc>
          <w:tcPr>
            <w:tcW w:w="815" w:type="dxa"/>
            <w:tcBorders>
              <w:top w:val="nil"/>
              <w:left w:val="nil"/>
              <w:bottom w:val="nil"/>
              <w:right w:val="nil"/>
            </w:tcBorders>
            <w:shd w:val="clear" w:color="auto" w:fill="auto"/>
            <w:noWrap/>
            <w:vAlign w:val="bottom"/>
            <w:hideMark/>
          </w:tcPr>
          <w:p w14:paraId="2402EDC4"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1.58</w:t>
            </w:r>
          </w:p>
        </w:tc>
        <w:tc>
          <w:tcPr>
            <w:tcW w:w="1359" w:type="dxa"/>
            <w:tcBorders>
              <w:top w:val="nil"/>
              <w:left w:val="nil"/>
              <w:bottom w:val="nil"/>
              <w:right w:val="nil"/>
            </w:tcBorders>
            <w:shd w:val="clear" w:color="auto" w:fill="auto"/>
            <w:noWrap/>
            <w:vAlign w:val="bottom"/>
            <w:hideMark/>
          </w:tcPr>
          <w:p w14:paraId="1F68369F"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0.030</w:t>
            </w:r>
          </w:p>
        </w:tc>
      </w:tr>
      <w:tr w:rsidR="00393AED" w:rsidRPr="00393AED" w14:paraId="6F0492FD" w14:textId="77777777" w:rsidTr="00393AED">
        <w:trPr>
          <w:trHeight w:val="276"/>
        </w:trPr>
        <w:tc>
          <w:tcPr>
            <w:tcW w:w="1452" w:type="dxa"/>
            <w:tcBorders>
              <w:top w:val="nil"/>
              <w:left w:val="nil"/>
              <w:bottom w:val="nil"/>
              <w:right w:val="nil"/>
            </w:tcBorders>
            <w:shd w:val="clear" w:color="000000" w:fill="008000"/>
            <w:noWrap/>
            <w:vAlign w:val="bottom"/>
            <w:hideMark/>
          </w:tcPr>
          <w:p w14:paraId="47D8B287"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IL15</w:t>
            </w:r>
          </w:p>
        </w:tc>
        <w:tc>
          <w:tcPr>
            <w:tcW w:w="5400" w:type="dxa"/>
            <w:tcBorders>
              <w:top w:val="nil"/>
              <w:left w:val="nil"/>
              <w:bottom w:val="nil"/>
              <w:right w:val="nil"/>
            </w:tcBorders>
            <w:shd w:val="clear" w:color="auto" w:fill="auto"/>
            <w:noWrap/>
            <w:vAlign w:val="bottom"/>
            <w:hideMark/>
          </w:tcPr>
          <w:p w14:paraId="5F45C3AD"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Interleukin 15</w:t>
            </w:r>
          </w:p>
        </w:tc>
        <w:tc>
          <w:tcPr>
            <w:tcW w:w="815" w:type="dxa"/>
            <w:tcBorders>
              <w:top w:val="nil"/>
              <w:left w:val="nil"/>
              <w:bottom w:val="nil"/>
              <w:right w:val="nil"/>
            </w:tcBorders>
            <w:shd w:val="clear" w:color="auto" w:fill="auto"/>
            <w:noWrap/>
            <w:vAlign w:val="bottom"/>
            <w:hideMark/>
          </w:tcPr>
          <w:p w14:paraId="1270AD80"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1.23</w:t>
            </w:r>
          </w:p>
        </w:tc>
        <w:tc>
          <w:tcPr>
            <w:tcW w:w="1359" w:type="dxa"/>
            <w:tcBorders>
              <w:top w:val="nil"/>
              <w:left w:val="nil"/>
              <w:bottom w:val="nil"/>
              <w:right w:val="nil"/>
            </w:tcBorders>
            <w:shd w:val="clear" w:color="auto" w:fill="auto"/>
            <w:noWrap/>
            <w:vAlign w:val="bottom"/>
            <w:hideMark/>
          </w:tcPr>
          <w:p w14:paraId="07BCBF53"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0.010</w:t>
            </w:r>
          </w:p>
        </w:tc>
      </w:tr>
      <w:tr w:rsidR="00393AED" w:rsidRPr="00393AED" w14:paraId="070E5AD4" w14:textId="77777777" w:rsidTr="00393AED">
        <w:trPr>
          <w:trHeight w:val="276"/>
        </w:trPr>
        <w:tc>
          <w:tcPr>
            <w:tcW w:w="1452" w:type="dxa"/>
            <w:tcBorders>
              <w:top w:val="nil"/>
              <w:left w:val="nil"/>
              <w:bottom w:val="nil"/>
              <w:right w:val="nil"/>
            </w:tcBorders>
            <w:shd w:val="clear" w:color="000000" w:fill="008000"/>
            <w:noWrap/>
            <w:vAlign w:val="bottom"/>
            <w:hideMark/>
          </w:tcPr>
          <w:p w14:paraId="1D87EAD3"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IL17RA</w:t>
            </w:r>
          </w:p>
        </w:tc>
        <w:tc>
          <w:tcPr>
            <w:tcW w:w="5400" w:type="dxa"/>
            <w:tcBorders>
              <w:top w:val="nil"/>
              <w:left w:val="nil"/>
              <w:bottom w:val="nil"/>
              <w:right w:val="nil"/>
            </w:tcBorders>
            <w:shd w:val="clear" w:color="auto" w:fill="auto"/>
            <w:noWrap/>
            <w:vAlign w:val="bottom"/>
            <w:hideMark/>
          </w:tcPr>
          <w:p w14:paraId="02485E53"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Interleukin receptor 17A</w:t>
            </w:r>
          </w:p>
        </w:tc>
        <w:tc>
          <w:tcPr>
            <w:tcW w:w="815" w:type="dxa"/>
            <w:tcBorders>
              <w:top w:val="nil"/>
              <w:left w:val="nil"/>
              <w:bottom w:val="nil"/>
              <w:right w:val="nil"/>
            </w:tcBorders>
            <w:shd w:val="clear" w:color="auto" w:fill="auto"/>
            <w:noWrap/>
            <w:vAlign w:val="bottom"/>
            <w:hideMark/>
          </w:tcPr>
          <w:p w14:paraId="2D573613"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1.30</w:t>
            </w:r>
          </w:p>
        </w:tc>
        <w:tc>
          <w:tcPr>
            <w:tcW w:w="1359" w:type="dxa"/>
            <w:tcBorders>
              <w:top w:val="nil"/>
              <w:left w:val="nil"/>
              <w:bottom w:val="nil"/>
              <w:right w:val="nil"/>
            </w:tcBorders>
            <w:shd w:val="clear" w:color="auto" w:fill="auto"/>
            <w:noWrap/>
            <w:vAlign w:val="bottom"/>
            <w:hideMark/>
          </w:tcPr>
          <w:p w14:paraId="05C238EC"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0.030</w:t>
            </w:r>
          </w:p>
        </w:tc>
      </w:tr>
      <w:tr w:rsidR="00393AED" w:rsidRPr="00393AED" w14:paraId="66F8D5F6" w14:textId="77777777" w:rsidTr="00393AED">
        <w:trPr>
          <w:trHeight w:val="276"/>
        </w:trPr>
        <w:tc>
          <w:tcPr>
            <w:tcW w:w="1452" w:type="dxa"/>
            <w:tcBorders>
              <w:top w:val="nil"/>
              <w:left w:val="nil"/>
              <w:bottom w:val="nil"/>
              <w:right w:val="nil"/>
            </w:tcBorders>
            <w:shd w:val="clear" w:color="000000" w:fill="008000"/>
            <w:noWrap/>
            <w:vAlign w:val="bottom"/>
            <w:hideMark/>
          </w:tcPr>
          <w:p w14:paraId="4CBF271F"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IL23A</w:t>
            </w:r>
          </w:p>
        </w:tc>
        <w:tc>
          <w:tcPr>
            <w:tcW w:w="5400" w:type="dxa"/>
            <w:tcBorders>
              <w:top w:val="nil"/>
              <w:left w:val="nil"/>
              <w:bottom w:val="nil"/>
              <w:right w:val="nil"/>
            </w:tcBorders>
            <w:shd w:val="clear" w:color="auto" w:fill="auto"/>
            <w:noWrap/>
            <w:vAlign w:val="bottom"/>
            <w:hideMark/>
          </w:tcPr>
          <w:p w14:paraId="5C4C9B43" w14:textId="3789611D" w:rsidR="00393AED" w:rsidRPr="00393AED" w:rsidRDefault="00393AED" w:rsidP="00454D06">
            <w:pPr>
              <w:rPr>
                <w:rFonts w:ascii="Times New Roman" w:eastAsia="Times New Roman" w:hAnsi="Times New Roman" w:cs="Times New Roman"/>
                <w:color w:val="000000"/>
                <w:sz w:val="22"/>
                <w:szCs w:val="22"/>
                <w:lang w:val="en-GB"/>
              </w:rPr>
            </w:pPr>
            <w:r>
              <w:rPr>
                <w:rFonts w:ascii="Times New Roman" w:eastAsia="Times New Roman" w:hAnsi="Times New Roman" w:cs="Times New Roman"/>
                <w:color w:val="000000"/>
                <w:sz w:val="22"/>
                <w:szCs w:val="22"/>
                <w:lang w:val="en-GB"/>
              </w:rPr>
              <w:t xml:space="preserve">Interleukin </w:t>
            </w:r>
            <w:r w:rsidRPr="00393AED">
              <w:rPr>
                <w:rFonts w:ascii="Times New Roman" w:eastAsia="Times New Roman" w:hAnsi="Times New Roman" w:cs="Times New Roman"/>
                <w:color w:val="000000"/>
                <w:sz w:val="22"/>
                <w:szCs w:val="22"/>
                <w:lang w:val="en-GB"/>
              </w:rPr>
              <w:t>23A</w:t>
            </w:r>
          </w:p>
        </w:tc>
        <w:tc>
          <w:tcPr>
            <w:tcW w:w="815" w:type="dxa"/>
            <w:tcBorders>
              <w:top w:val="nil"/>
              <w:left w:val="nil"/>
              <w:bottom w:val="nil"/>
              <w:right w:val="nil"/>
            </w:tcBorders>
            <w:shd w:val="clear" w:color="auto" w:fill="auto"/>
            <w:noWrap/>
            <w:vAlign w:val="bottom"/>
            <w:hideMark/>
          </w:tcPr>
          <w:p w14:paraId="01ED52BA"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1.70</w:t>
            </w:r>
          </w:p>
        </w:tc>
        <w:tc>
          <w:tcPr>
            <w:tcW w:w="1359" w:type="dxa"/>
            <w:tcBorders>
              <w:top w:val="nil"/>
              <w:left w:val="nil"/>
              <w:bottom w:val="nil"/>
              <w:right w:val="nil"/>
            </w:tcBorders>
            <w:shd w:val="clear" w:color="auto" w:fill="auto"/>
            <w:noWrap/>
            <w:vAlign w:val="bottom"/>
            <w:hideMark/>
          </w:tcPr>
          <w:p w14:paraId="088B66F1"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0.030</w:t>
            </w:r>
          </w:p>
        </w:tc>
      </w:tr>
      <w:tr w:rsidR="00393AED" w:rsidRPr="00393AED" w14:paraId="2A0FE9FC" w14:textId="77777777" w:rsidTr="00393AED">
        <w:trPr>
          <w:trHeight w:val="276"/>
        </w:trPr>
        <w:tc>
          <w:tcPr>
            <w:tcW w:w="1452" w:type="dxa"/>
            <w:tcBorders>
              <w:top w:val="nil"/>
              <w:left w:val="nil"/>
              <w:bottom w:val="nil"/>
              <w:right w:val="nil"/>
            </w:tcBorders>
            <w:shd w:val="clear" w:color="000000" w:fill="008000"/>
            <w:noWrap/>
            <w:vAlign w:val="bottom"/>
            <w:hideMark/>
          </w:tcPr>
          <w:p w14:paraId="733527DB"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TRBJ2</w:t>
            </w:r>
          </w:p>
        </w:tc>
        <w:tc>
          <w:tcPr>
            <w:tcW w:w="5400" w:type="dxa"/>
            <w:tcBorders>
              <w:top w:val="nil"/>
              <w:left w:val="nil"/>
              <w:bottom w:val="nil"/>
              <w:right w:val="nil"/>
            </w:tcBorders>
            <w:shd w:val="clear" w:color="auto" w:fill="auto"/>
            <w:noWrap/>
            <w:vAlign w:val="bottom"/>
            <w:hideMark/>
          </w:tcPr>
          <w:p w14:paraId="5946E3E2" w14:textId="2CEA820D"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T-Cel</w:t>
            </w:r>
            <w:r>
              <w:rPr>
                <w:rFonts w:ascii="Times New Roman" w:eastAsia="Times New Roman" w:hAnsi="Times New Roman" w:cs="Times New Roman"/>
                <w:color w:val="000000"/>
                <w:sz w:val="22"/>
                <w:szCs w:val="22"/>
                <w:lang w:val="en-GB"/>
              </w:rPr>
              <w:t>l</w:t>
            </w:r>
            <w:r w:rsidRPr="00393AED">
              <w:rPr>
                <w:rFonts w:ascii="Times New Roman" w:eastAsia="Times New Roman" w:hAnsi="Times New Roman" w:cs="Times New Roman"/>
                <w:color w:val="000000"/>
                <w:sz w:val="22"/>
                <w:szCs w:val="22"/>
                <w:lang w:val="en-GB"/>
              </w:rPr>
              <w:t xml:space="preserve"> receptor beta joining 2</w:t>
            </w:r>
          </w:p>
        </w:tc>
        <w:tc>
          <w:tcPr>
            <w:tcW w:w="815" w:type="dxa"/>
            <w:tcBorders>
              <w:top w:val="nil"/>
              <w:left w:val="nil"/>
              <w:bottom w:val="nil"/>
              <w:right w:val="nil"/>
            </w:tcBorders>
            <w:shd w:val="clear" w:color="auto" w:fill="auto"/>
            <w:noWrap/>
            <w:vAlign w:val="bottom"/>
            <w:hideMark/>
          </w:tcPr>
          <w:p w14:paraId="0FA14187"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2.37</w:t>
            </w:r>
          </w:p>
        </w:tc>
        <w:tc>
          <w:tcPr>
            <w:tcW w:w="1359" w:type="dxa"/>
            <w:tcBorders>
              <w:top w:val="nil"/>
              <w:left w:val="nil"/>
              <w:bottom w:val="nil"/>
              <w:right w:val="nil"/>
            </w:tcBorders>
            <w:shd w:val="clear" w:color="auto" w:fill="auto"/>
            <w:noWrap/>
            <w:vAlign w:val="bottom"/>
            <w:hideMark/>
          </w:tcPr>
          <w:p w14:paraId="385B8527"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0.006</w:t>
            </w:r>
          </w:p>
        </w:tc>
      </w:tr>
      <w:tr w:rsidR="00393AED" w:rsidRPr="00393AED" w14:paraId="2854EB2F" w14:textId="77777777" w:rsidTr="00393AED">
        <w:trPr>
          <w:trHeight w:val="276"/>
        </w:trPr>
        <w:tc>
          <w:tcPr>
            <w:tcW w:w="1452" w:type="dxa"/>
            <w:tcBorders>
              <w:top w:val="nil"/>
              <w:left w:val="nil"/>
              <w:bottom w:val="nil"/>
              <w:right w:val="nil"/>
            </w:tcBorders>
            <w:shd w:val="clear" w:color="000000" w:fill="008000"/>
            <w:noWrap/>
            <w:vAlign w:val="bottom"/>
            <w:hideMark/>
          </w:tcPr>
          <w:p w14:paraId="3F902098"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TNFRSF10C</w:t>
            </w:r>
          </w:p>
        </w:tc>
        <w:tc>
          <w:tcPr>
            <w:tcW w:w="5400" w:type="dxa"/>
            <w:tcBorders>
              <w:top w:val="nil"/>
              <w:left w:val="nil"/>
              <w:bottom w:val="nil"/>
              <w:right w:val="nil"/>
            </w:tcBorders>
            <w:shd w:val="clear" w:color="auto" w:fill="auto"/>
            <w:noWrap/>
            <w:vAlign w:val="bottom"/>
            <w:hideMark/>
          </w:tcPr>
          <w:p w14:paraId="173F3BF7"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Tumour necrosis factor receptor superfamily, member 10c</w:t>
            </w:r>
          </w:p>
        </w:tc>
        <w:tc>
          <w:tcPr>
            <w:tcW w:w="815" w:type="dxa"/>
            <w:tcBorders>
              <w:top w:val="nil"/>
              <w:left w:val="nil"/>
              <w:bottom w:val="nil"/>
              <w:right w:val="nil"/>
            </w:tcBorders>
            <w:shd w:val="clear" w:color="auto" w:fill="auto"/>
            <w:noWrap/>
            <w:vAlign w:val="bottom"/>
            <w:hideMark/>
          </w:tcPr>
          <w:p w14:paraId="6FEC36EA"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1.20</w:t>
            </w:r>
          </w:p>
        </w:tc>
        <w:tc>
          <w:tcPr>
            <w:tcW w:w="1359" w:type="dxa"/>
            <w:tcBorders>
              <w:top w:val="nil"/>
              <w:left w:val="nil"/>
              <w:bottom w:val="nil"/>
              <w:right w:val="nil"/>
            </w:tcBorders>
            <w:shd w:val="clear" w:color="auto" w:fill="auto"/>
            <w:noWrap/>
            <w:vAlign w:val="bottom"/>
            <w:hideMark/>
          </w:tcPr>
          <w:p w14:paraId="54039416"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0.005</w:t>
            </w:r>
          </w:p>
        </w:tc>
      </w:tr>
      <w:tr w:rsidR="00393AED" w:rsidRPr="00393AED" w14:paraId="2AA78F83" w14:textId="77777777" w:rsidTr="00393AED">
        <w:trPr>
          <w:trHeight w:val="276"/>
        </w:trPr>
        <w:tc>
          <w:tcPr>
            <w:tcW w:w="1452" w:type="dxa"/>
            <w:tcBorders>
              <w:top w:val="nil"/>
              <w:left w:val="nil"/>
              <w:bottom w:val="nil"/>
              <w:right w:val="nil"/>
            </w:tcBorders>
            <w:shd w:val="clear" w:color="000000" w:fill="008000"/>
            <w:noWrap/>
            <w:vAlign w:val="bottom"/>
            <w:hideMark/>
          </w:tcPr>
          <w:p w14:paraId="5CCF1FB9"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TNFSF13</w:t>
            </w:r>
          </w:p>
        </w:tc>
        <w:tc>
          <w:tcPr>
            <w:tcW w:w="5400" w:type="dxa"/>
            <w:tcBorders>
              <w:top w:val="nil"/>
              <w:left w:val="nil"/>
              <w:bottom w:val="nil"/>
              <w:right w:val="nil"/>
            </w:tcBorders>
            <w:shd w:val="clear" w:color="auto" w:fill="auto"/>
            <w:noWrap/>
            <w:vAlign w:val="bottom"/>
            <w:hideMark/>
          </w:tcPr>
          <w:p w14:paraId="1100D826"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Tumour necrosis factor superfamily, member 13</w:t>
            </w:r>
          </w:p>
        </w:tc>
        <w:tc>
          <w:tcPr>
            <w:tcW w:w="815" w:type="dxa"/>
            <w:tcBorders>
              <w:top w:val="nil"/>
              <w:left w:val="nil"/>
              <w:bottom w:val="nil"/>
              <w:right w:val="nil"/>
            </w:tcBorders>
            <w:shd w:val="clear" w:color="auto" w:fill="auto"/>
            <w:noWrap/>
            <w:vAlign w:val="bottom"/>
            <w:hideMark/>
          </w:tcPr>
          <w:p w14:paraId="6870D868"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1.32</w:t>
            </w:r>
          </w:p>
        </w:tc>
        <w:tc>
          <w:tcPr>
            <w:tcW w:w="1359" w:type="dxa"/>
            <w:tcBorders>
              <w:top w:val="nil"/>
              <w:left w:val="nil"/>
              <w:bottom w:val="nil"/>
              <w:right w:val="nil"/>
            </w:tcBorders>
            <w:shd w:val="clear" w:color="auto" w:fill="auto"/>
            <w:noWrap/>
            <w:vAlign w:val="bottom"/>
            <w:hideMark/>
          </w:tcPr>
          <w:p w14:paraId="4C2B0D3C"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0.008</w:t>
            </w:r>
          </w:p>
        </w:tc>
      </w:tr>
      <w:tr w:rsidR="00393AED" w:rsidRPr="00393AED" w14:paraId="390D7818" w14:textId="77777777" w:rsidTr="00393AED">
        <w:trPr>
          <w:trHeight w:val="276"/>
        </w:trPr>
        <w:tc>
          <w:tcPr>
            <w:tcW w:w="1452" w:type="dxa"/>
            <w:tcBorders>
              <w:top w:val="nil"/>
              <w:left w:val="nil"/>
              <w:bottom w:val="nil"/>
              <w:right w:val="nil"/>
            </w:tcBorders>
            <w:shd w:val="clear" w:color="000000" w:fill="008000"/>
            <w:noWrap/>
            <w:vAlign w:val="bottom"/>
            <w:hideMark/>
          </w:tcPr>
          <w:p w14:paraId="793970D3"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C1QTNF1</w:t>
            </w:r>
          </w:p>
        </w:tc>
        <w:tc>
          <w:tcPr>
            <w:tcW w:w="5400" w:type="dxa"/>
            <w:tcBorders>
              <w:top w:val="nil"/>
              <w:left w:val="nil"/>
              <w:bottom w:val="nil"/>
              <w:right w:val="nil"/>
            </w:tcBorders>
            <w:shd w:val="clear" w:color="auto" w:fill="auto"/>
            <w:noWrap/>
            <w:vAlign w:val="bottom"/>
            <w:hideMark/>
          </w:tcPr>
          <w:p w14:paraId="2BAA3F7F"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C1q and tumour necrosis factor-related protein 1</w:t>
            </w:r>
          </w:p>
        </w:tc>
        <w:tc>
          <w:tcPr>
            <w:tcW w:w="815" w:type="dxa"/>
            <w:tcBorders>
              <w:top w:val="nil"/>
              <w:left w:val="nil"/>
              <w:bottom w:val="nil"/>
              <w:right w:val="nil"/>
            </w:tcBorders>
            <w:shd w:val="clear" w:color="auto" w:fill="auto"/>
            <w:noWrap/>
            <w:vAlign w:val="bottom"/>
            <w:hideMark/>
          </w:tcPr>
          <w:p w14:paraId="3D52B3E5"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1.70</w:t>
            </w:r>
          </w:p>
        </w:tc>
        <w:tc>
          <w:tcPr>
            <w:tcW w:w="1359" w:type="dxa"/>
            <w:tcBorders>
              <w:top w:val="nil"/>
              <w:left w:val="nil"/>
              <w:bottom w:val="nil"/>
              <w:right w:val="nil"/>
            </w:tcBorders>
            <w:shd w:val="clear" w:color="auto" w:fill="auto"/>
            <w:noWrap/>
            <w:vAlign w:val="bottom"/>
            <w:hideMark/>
          </w:tcPr>
          <w:p w14:paraId="28CC19FB"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0.043</w:t>
            </w:r>
          </w:p>
        </w:tc>
      </w:tr>
      <w:tr w:rsidR="00393AED" w:rsidRPr="00393AED" w14:paraId="5150EFAA" w14:textId="77777777" w:rsidTr="00393AED">
        <w:trPr>
          <w:trHeight w:val="276"/>
        </w:trPr>
        <w:tc>
          <w:tcPr>
            <w:tcW w:w="1452" w:type="dxa"/>
            <w:tcBorders>
              <w:top w:val="nil"/>
              <w:left w:val="nil"/>
              <w:bottom w:val="nil"/>
              <w:right w:val="nil"/>
            </w:tcBorders>
            <w:shd w:val="clear" w:color="000000" w:fill="008000"/>
            <w:noWrap/>
            <w:vAlign w:val="bottom"/>
            <w:hideMark/>
          </w:tcPr>
          <w:p w14:paraId="6378EBBE"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IGHV3-38</w:t>
            </w:r>
          </w:p>
        </w:tc>
        <w:tc>
          <w:tcPr>
            <w:tcW w:w="5400" w:type="dxa"/>
            <w:tcBorders>
              <w:top w:val="nil"/>
              <w:left w:val="nil"/>
              <w:bottom w:val="nil"/>
              <w:right w:val="nil"/>
            </w:tcBorders>
            <w:shd w:val="clear" w:color="auto" w:fill="auto"/>
            <w:noWrap/>
            <w:vAlign w:val="bottom"/>
            <w:hideMark/>
          </w:tcPr>
          <w:p w14:paraId="30F8D65B"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Immunoglobulin heavy variable 3-38</w:t>
            </w:r>
          </w:p>
        </w:tc>
        <w:tc>
          <w:tcPr>
            <w:tcW w:w="815" w:type="dxa"/>
            <w:tcBorders>
              <w:top w:val="nil"/>
              <w:left w:val="nil"/>
              <w:bottom w:val="nil"/>
              <w:right w:val="nil"/>
            </w:tcBorders>
            <w:shd w:val="clear" w:color="auto" w:fill="auto"/>
            <w:noWrap/>
            <w:vAlign w:val="bottom"/>
            <w:hideMark/>
          </w:tcPr>
          <w:p w14:paraId="55441DF9"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1.62</w:t>
            </w:r>
          </w:p>
        </w:tc>
        <w:tc>
          <w:tcPr>
            <w:tcW w:w="1359" w:type="dxa"/>
            <w:tcBorders>
              <w:top w:val="nil"/>
              <w:left w:val="nil"/>
              <w:bottom w:val="nil"/>
              <w:right w:val="nil"/>
            </w:tcBorders>
            <w:shd w:val="clear" w:color="auto" w:fill="auto"/>
            <w:noWrap/>
            <w:vAlign w:val="bottom"/>
            <w:hideMark/>
          </w:tcPr>
          <w:p w14:paraId="313ECD26" w14:textId="77777777" w:rsidR="00393AED" w:rsidRPr="00393AED" w:rsidRDefault="00393AED" w:rsidP="00454D06">
            <w:pPr>
              <w:rPr>
                <w:rFonts w:ascii="Times New Roman" w:eastAsia="Times New Roman" w:hAnsi="Times New Roman" w:cs="Times New Roman"/>
                <w:color w:val="000000"/>
                <w:sz w:val="22"/>
                <w:szCs w:val="22"/>
                <w:lang w:val="en-GB"/>
              </w:rPr>
            </w:pPr>
            <w:r w:rsidRPr="00393AED">
              <w:rPr>
                <w:rFonts w:ascii="Times New Roman" w:eastAsia="Times New Roman" w:hAnsi="Times New Roman" w:cs="Times New Roman"/>
                <w:color w:val="000000"/>
                <w:sz w:val="22"/>
                <w:szCs w:val="22"/>
                <w:lang w:val="en-GB"/>
              </w:rPr>
              <w:t>0.040</w:t>
            </w:r>
          </w:p>
        </w:tc>
      </w:tr>
    </w:tbl>
    <w:p w14:paraId="503B6ED1" w14:textId="06DA5870" w:rsidR="00C12D9C" w:rsidRDefault="00576433" w:rsidP="00401292">
      <w:pPr>
        <w:pStyle w:val="Heading3"/>
        <w:rPr>
          <w:noProof/>
        </w:rPr>
      </w:pPr>
      <w:bookmarkStart w:id="2205" w:name="_Toc328301204"/>
      <w:bookmarkStart w:id="2206" w:name="_Toc329593495"/>
      <w:bookmarkStart w:id="2207" w:name="_Toc331425993"/>
      <w:bookmarkStart w:id="2208" w:name="_Toc331427169"/>
      <w:bookmarkStart w:id="2209" w:name="_Toc331427541"/>
      <w:bookmarkStart w:id="2210" w:name="_Toc331427683"/>
      <w:bookmarkStart w:id="2211" w:name="_Toc332972688"/>
      <w:bookmarkStart w:id="2212" w:name="_Toc333046967"/>
      <w:bookmarkStart w:id="2213" w:name="_Toc333477314"/>
      <w:bookmarkStart w:id="2214" w:name="_Toc333478084"/>
      <w:bookmarkStart w:id="2215" w:name="_Toc333644984"/>
      <w:r>
        <w:rPr>
          <w:noProof/>
        </w:rPr>
        <w:t>5.4.10</w:t>
      </w:r>
      <w:r w:rsidR="00554BB2">
        <w:rPr>
          <w:noProof/>
        </w:rPr>
        <w:t xml:space="preserve"> </w:t>
      </w:r>
      <w:r w:rsidR="00C12D9C" w:rsidRPr="00D907F0">
        <w:rPr>
          <w:noProof/>
        </w:rPr>
        <w:t>Validation</w:t>
      </w:r>
      <w:r>
        <w:rPr>
          <w:noProof/>
        </w:rPr>
        <w:t xml:space="preserve"> of genes selected from the m</w:t>
      </w:r>
      <w:r w:rsidR="00C12D9C">
        <w:rPr>
          <w:noProof/>
        </w:rPr>
        <w:t>icroarray</w:t>
      </w:r>
      <w:bookmarkEnd w:id="2205"/>
      <w:bookmarkEnd w:id="2206"/>
      <w:r w:rsidR="00967133">
        <w:rPr>
          <w:noProof/>
        </w:rPr>
        <w:t xml:space="preserve"> using q</w:t>
      </w:r>
      <w:r>
        <w:rPr>
          <w:noProof/>
        </w:rPr>
        <w:t>RT-PCR</w:t>
      </w:r>
      <w:bookmarkEnd w:id="2207"/>
      <w:bookmarkEnd w:id="2208"/>
      <w:bookmarkEnd w:id="2209"/>
      <w:bookmarkEnd w:id="2210"/>
      <w:bookmarkEnd w:id="2211"/>
      <w:bookmarkEnd w:id="2212"/>
      <w:bookmarkEnd w:id="2213"/>
      <w:bookmarkEnd w:id="2214"/>
      <w:bookmarkEnd w:id="2215"/>
    </w:p>
    <w:p w14:paraId="4B2FBA75" w14:textId="77777777" w:rsidR="00454D06" w:rsidRDefault="00454D06" w:rsidP="00C63BC1">
      <w:pPr>
        <w:spacing w:line="360" w:lineRule="auto"/>
        <w:jc w:val="both"/>
        <w:rPr>
          <w:rFonts w:ascii="Times New Roman" w:hAnsi="Times New Roman" w:cs="Times New Roman"/>
          <w:b/>
          <w:noProof/>
        </w:rPr>
      </w:pPr>
    </w:p>
    <w:p w14:paraId="30776A43" w14:textId="12EBACFB" w:rsidR="00913175" w:rsidRDefault="00576433" w:rsidP="00C63BC1">
      <w:pPr>
        <w:spacing w:line="360" w:lineRule="auto"/>
        <w:jc w:val="both"/>
        <w:rPr>
          <w:rFonts w:ascii="Times New Roman" w:hAnsi="Times New Roman" w:cs="Times New Roman"/>
          <w:noProof/>
        </w:rPr>
      </w:pPr>
      <w:r>
        <w:rPr>
          <w:rFonts w:ascii="Times New Roman" w:hAnsi="Times New Roman" w:cs="Times New Roman"/>
          <w:noProof/>
        </w:rPr>
        <w:t>Overall, the microarray data</w:t>
      </w:r>
      <w:r w:rsidR="00D40B57">
        <w:rPr>
          <w:rFonts w:ascii="Times New Roman" w:hAnsi="Times New Roman" w:cs="Times New Roman"/>
          <w:noProof/>
        </w:rPr>
        <w:t xml:space="preserve"> suggest</w:t>
      </w:r>
      <w:r>
        <w:rPr>
          <w:rFonts w:ascii="Times New Roman" w:hAnsi="Times New Roman" w:cs="Times New Roman"/>
          <w:noProof/>
        </w:rPr>
        <w:t>s</w:t>
      </w:r>
      <w:r w:rsidR="00D40B57">
        <w:rPr>
          <w:rFonts w:ascii="Times New Roman" w:hAnsi="Times New Roman" w:cs="Times New Roman"/>
          <w:noProof/>
        </w:rPr>
        <w:t xml:space="preserve"> dysregulation of genes involved in energy metabolism in IGF1R impaired astrocytes. In particular, </w:t>
      </w:r>
      <w:r w:rsidR="00DD02EA">
        <w:rPr>
          <w:rFonts w:ascii="Times New Roman" w:hAnsi="Times New Roman" w:cs="Times New Roman"/>
          <w:noProof/>
        </w:rPr>
        <w:t xml:space="preserve">there are indications that </w:t>
      </w:r>
      <w:r w:rsidR="00D40B57">
        <w:rPr>
          <w:rFonts w:ascii="Times New Roman" w:hAnsi="Times New Roman" w:cs="Times New Roman"/>
          <w:noProof/>
        </w:rPr>
        <w:t>genes involved in glycolysis</w:t>
      </w:r>
      <w:r w:rsidR="00DD02EA">
        <w:rPr>
          <w:rFonts w:ascii="Times New Roman" w:hAnsi="Times New Roman" w:cs="Times New Roman"/>
          <w:noProof/>
        </w:rPr>
        <w:t xml:space="preserve"> are upregulated whilst genes involved in oxidative phosphorylation are downregulated, </w:t>
      </w:r>
      <w:r w:rsidR="00D40B57">
        <w:rPr>
          <w:rFonts w:ascii="Times New Roman" w:hAnsi="Times New Roman" w:cs="Times New Roman"/>
          <w:noProof/>
        </w:rPr>
        <w:t>especially within complex I</w:t>
      </w:r>
      <w:r w:rsidR="002E7FD5">
        <w:rPr>
          <w:rFonts w:ascii="Times New Roman" w:hAnsi="Times New Roman" w:cs="Times New Roman"/>
          <w:noProof/>
        </w:rPr>
        <w:t xml:space="preserve"> of the mitochondrial respiratory chain</w:t>
      </w:r>
      <w:r w:rsidR="00D40B57">
        <w:rPr>
          <w:rFonts w:ascii="Times New Roman" w:hAnsi="Times New Roman" w:cs="Times New Roman"/>
          <w:noProof/>
        </w:rPr>
        <w:t>. Therefore, g</w:t>
      </w:r>
      <w:r w:rsidR="009277B3">
        <w:rPr>
          <w:rFonts w:ascii="Times New Roman" w:hAnsi="Times New Roman" w:cs="Times New Roman"/>
          <w:noProof/>
        </w:rPr>
        <w:t>enes were</w:t>
      </w:r>
      <w:r w:rsidR="009D2368">
        <w:rPr>
          <w:rFonts w:ascii="Times New Roman" w:hAnsi="Times New Roman" w:cs="Times New Roman"/>
          <w:noProof/>
        </w:rPr>
        <w:t xml:space="preserve"> selected from</w:t>
      </w:r>
      <w:r w:rsidR="009277B3">
        <w:rPr>
          <w:rFonts w:ascii="Times New Roman" w:hAnsi="Times New Roman" w:cs="Times New Roman"/>
          <w:noProof/>
        </w:rPr>
        <w:t xml:space="preserve"> both of these pathways that were</w:t>
      </w:r>
      <w:r w:rsidR="009D2368">
        <w:rPr>
          <w:rFonts w:ascii="Times New Roman" w:hAnsi="Times New Roman" w:cs="Times New Roman"/>
          <w:noProof/>
        </w:rPr>
        <w:t xml:space="preserve"> differentially expressed across all three sets of untreated </w:t>
      </w:r>
      <w:r w:rsidR="00D40B57">
        <w:rPr>
          <w:rFonts w:ascii="Times New Roman" w:hAnsi="Times New Roman" w:cs="Times New Roman"/>
          <w:noProof/>
        </w:rPr>
        <w:t xml:space="preserve">(C1-C3) </w:t>
      </w:r>
      <w:r w:rsidR="009D2368">
        <w:rPr>
          <w:rFonts w:ascii="Times New Roman" w:hAnsi="Times New Roman" w:cs="Times New Roman"/>
          <w:noProof/>
        </w:rPr>
        <w:t xml:space="preserve">and MAB391 </w:t>
      </w:r>
      <w:r w:rsidR="00D40B57">
        <w:rPr>
          <w:rFonts w:ascii="Times New Roman" w:hAnsi="Times New Roman" w:cs="Times New Roman"/>
          <w:noProof/>
        </w:rPr>
        <w:t xml:space="preserve">(M1-M3) </w:t>
      </w:r>
      <w:r w:rsidR="002E7FD5">
        <w:rPr>
          <w:rFonts w:ascii="Times New Roman" w:hAnsi="Times New Roman" w:cs="Times New Roman"/>
          <w:noProof/>
        </w:rPr>
        <w:t>treated astrocytes (list of candidate genes and signal intensities across the six individual arra</w:t>
      </w:r>
      <w:r w:rsidR="004A24B9">
        <w:rPr>
          <w:rFonts w:ascii="Times New Roman" w:hAnsi="Times New Roman" w:cs="Times New Roman"/>
          <w:noProof/>
        </w:rPr>
        <w:t xml:space="preserve">ys, </w:t>
      </w:r>
      <w:r w:rsidR="00EB38F3">
        <w:rPr>
          <w:rFonts w:ascii="Times New Roman" w:hAnsi="Times New Roman" w:cs="Times New Roman"/>
          <w:b/>
          <w:noProof/>
        </w:rPr>
        <w:t>table 5.19</w:t>
      </w:r>
      <w:r w:rsidR="002E7FD5">
        <w:rPr>
          <w:rFonts w:ascii="Times New Roman" w:hAnsi="Times New Roman" w:cs="Times New Roman"/>
          <w:noProof/>
        </w:rPr>
        <w:t>).</w:t>
      </w:r>
    </w:p>
    <w:p w14:paraId="3B98364D" w14:textId="77777777" w:rsidR="00576433" w:rsidRDefault="00576433" w:rsidP="006C5E8D">
      <w:pPr>
        <w:spacing w:line="360" w:lineRule="auto"/>
        <w:rPr>
          <w:rFonts w:ascii="Times New Roman" w:hAnsi="Times New Roman" w:cs="Times New Roman"/>
          <w:noProof/>
        </w:rPr>
      </w:pPr>
    </w:p>
    <w:p w14:paraId="5FA74CA2" w14:textId="3FF8F1DE" w:rsidR="00C76A54" w:rsidRPr="002E7FD5" w:rsidRDefault="005370BD" w:rsidP="00C63BC1">
      <w:pPr>
        <w:spacing w:line="360" w:lineRule="auto"/>
        <w:jc w:val="both"/>
        <w:rPr>
          <w:rFonts w:ascii="Times New Roman" w:eastAsia="Times New Roman" w:hAnsi="Times New Roman" w:cs="Times New Roman"/>
          <w:color w:val="000000"/>
          <w:lang w:val="en-GB"/>
        </w:rPr>
      </w:pPr>
      <w:r>
        <w:rPr>
          <w:rFonts w:ascii="Times New Roman" w:hAnsi="Times New Roman" w:cs="Times New Roman"/>
          <w:noProof/>
        </w:rPr>
        <w:t>To validate downregulatio</w:t>
      </w:r>
      <w:r w:rsidR="00B8782A">
        <w:rPr>
          <w:rFonts w:ascii="Times New Roman" w:hAnsi="Times New Roman" w:cs="Times New Roman"/>
          <w:noProof/>
        </w:rPr>
        <w:t>n of genes involved in complex I</w:t>
      </w:r>
      <w:r>
        <w:rPr>
          <w:rFonts w:ascii="Times New Roman" w:hAnsi="Times New Roman" w:cs="Times New Roman"/>
          <w:noProof/>
        </w:rPr>
        <w:t xml:space="preserve"> of the mitochondrial respiratory chain, changes in the expression of </w:t>
      </w:r>
      <w:r w:rsidR="00075E77">
        <w:rPr>
          <w:rFonts w:ascii="Times New Roman" w:hAnsi="Times New Roman" w:cs="Times New Roman"/>
          <w:noProof/>
        </w:rPr>
        <w:t>NDUFA2 (</w:t>
      </w:r>
      <w:r w:rsidR="00075E77" w:rsidRPr="00075E77">
        <w:rPr>
          <w:rFonts w:ascii="Times New Roman" w:eastAsia="Times New Roman" w:hAnsi="Times New Roman" w:cs="Times New Roman"/>
          <w:color w:val="000000"/>
          <w:lang w:val="en-GB"/>
        </w:rPr>
        <w:t>NADH: ubiquinone oxidoreductase subunit 2</w:t>
      </w:r>
      <w:r w:rsidR="009277B3">
        <w:rPr>
          <w:rFonts w:ascii="Times New Roman" w:eastAsia="Times New Roman" w:hAnsi="Times New Roman" w:cs="Times New Roman"/>
          <w:color w:val="000000"/>
          <w:lang w:val="en-GB"/>
        </w:rPr>
        <w:t xml:space="preserve">) and NDUFB6 </w:t>
      </w:r>
      <w:r w:rsidR="00913175">
        <w:rPr>
          <w:rFonts w:ascii="Times New Roman" w:eastAsia="Times New Roman" w:hAnsi="Times New Roman" w:cs="Times New Roman"/>
          <w:color w:val="000000"/>
          <w:lang w:val="en-GB"/>
        </w:rPr>
        <w:t>(</w:t>
      </w:r>
      <w:r w:rsidR="002E7FD5" w:rsidRPr="00075E77">
        <w:rPr>
          <w:rFonts w:ascii="Times New Roman" w:eastAsia="Times New Roman" w:hAnsi="Times New Roman" w:cs="Times New Roman"/>
          <w:color w:val="000000"/>
          <w:lang w:val="en-GB"/>
        </w:rPr>
        <w:t xml:space="preserve">NADH: ubiquinone oxidoreductase </w:t>
      </w:r>
      <w:r w:rsidR="002E7FD5">
        <w:rPr>
          <w:rFonts w:ascii="Times New Roman" w:eastAsia="Times New Roman" w:hAnsi="Times New Roman" w:cs="Times New Roman"/>
          <w:color w:val="000000"/>
          <w:lang w:val="en-GB"/>
        </w:rPr>
        <w:t>beta subcomplex subunit 6</w:t>
      </w:r>
      <w:r w:rsidR="00913175">
        <w:rPr>
          <w:rFonts w:ascii="Times New Roman" w:eastAsia="Times New Roman" w:hAnsi="Times New Roman" w:cs="Times New Roman"/>
          <w:color w:val="000000"/>
          <w:lang w:val="en-GB"/>
        </w:rPr>
        <w:t xml:space="preserve">) </w:t>
      </w:r>
      <w:r>
        <w:rPr>
          <w:rFonts w:ascii="Times New Roman" w:eastAsia="Times New Roman" w:hAnsi="Times New Roman" w:cs="Times New Roman"/>
          <w:color w:val="000000"/>
          <w:lang w:val="en-GB"/>
        </w:rPr>
        <w:t>were</w:t>
      </w:r>
      <w:r w:rsidR="00071F1E">
        <w:rPr>
          <w:rFonts w:ascii="Times New Roman" w:eastAsia="Times New Roman" w:hAnsi="Times New Roman" w:cs="Times New Roman"/>
          <w:color w:val="000000"/>
          <w:lang w:val="en-GB"/>
        </w:rPr>
        <w:t xml:space="preserve"> further</w:t>
      </w:r>
      <w:r>
        <w:rPr>
          <w:rFonts w:ascii="Times New Roman" w:eastAsia="Times New Roman" w:hAnsi="Times New Roman" w:cs="Times New Roman"/>
          <w:color w:val="000000"/>
          <w:lang w:val="en-GB"/>
        </w:rPr>
        <w:t xml:space="preserve"> investigated </w:t>
      </w:r>
      <w:r w:rsidR="00DD02EA">
        <w:rPr>
          <w:rFonts w:ascii="Times New Roman" w:eastAsia="Times New Roman" w:hAnsi="Times New Roman" w:cs="Times New Roman"/>
          <w:color w:val="000000"/>
          <w:lang w:val="en-GB"/>
        </w:rPr>
        <w:t>at the RNA level.</w:t>
      </w:r>
      <w:r w:rsidR="002E7FD5">
        <w:rPr>
          <w:rFonts w:ascii="Times New Roman" w:eastAsia="Times New Roman" w:hAnsi="Times New Roman" w:cs="Times New Roman"/>
          <w:color w:val="000000"/>
          <w:lang w:val="en-GB"/>
        </w:rPr>
        <w:t xml:space="preserve"> TPI1 (t</w:t>
      </w:r>
      <w:r w:rsidR="002E7FD5" w:rsidRPr="00075E77">
        <w:rPr>
          <w:rFonts w:ascii="Times New Roman" w:eastAsia="Times New Roman" w:hAnsi="Times New Roman" w:cs="Times New Roman"/>
          <w:color w:val="000000"/>
          <w:lang w:val="en-GB"/>
        </w:rPr>
        <w:t>riosephosphate isomerase 1</w:t>
      </w:r>
      <w:r w:rsidR="002E7FD5">
        <w:rPr>
          <w:rFonts w:ascii="Times New Roman" w:eastAsia="Times New Roman" w:hAnsi="Times New Roman" w:cs="Times New Roman"/>
          <w:color w:val="000000"/>
          <w:lang w:val="en-GB"/>
        </w:rPr>
        <w:t xml:space="preserve">) and ENO2 (Enolase 2) were selected for validating upregulation of the glycolytic pathway. </w:t>
      </w:r>
      <w:r w:rsidR="00913175">
        <w:rPr>
          <w:rFonts w:ascii="Times New Roman" w:eastAsia="Times New Roman" w:hAnsi="Times New Roman" w:cs="Times New Roman"/>
          <w:color w:val="000000"/>
          <w:lang w:val="en-GB"/>
        </w:rPr>
        <w:t xml:space="preserve">To explore changes in the </w:t>
      </w:r>
      <w:r w:rsidR="0046471F">
        <w:rPr>
          <w:rFonts w:ascii="Times New Roman" w:eastAsia="Times New Roman" w:hAnsi="Times New Roman" w:cs="Times New Roman"/>
          <w:color w:val="000000"/>
          <w:lang w:val="en-GB"/>
        </w:rPr>
        <w:t xml:space="preserve">antioxidant capacity of astrocytes </w:t>
      </w:r>
      <w:r w:rsidR="0024473D">
        <w:rPr>
          <w:rFonts w:ascii="Times New Roman" w:eastAsia="Times New Roman" w:hAnsi="Times New Roman" w:cs="Times New Roman"/>
          <w:color w:val="000000"/>
          <w:lang w:val="en-GB"/>
        </w:rPr>
        <w:t xml:space="preserve">and to link </w:t>
      </w:r>
      <w:r w:rsidR="002E7FD5">
        <w:rPr>
          <w:rFonts w:ascii="Times New Roman" w:eastAsia="Times New Roman" w:hAnsi="Times New Roman" w:cs="Times New Roman"/>
          <w:color w:val="000000"/>
          <w:lang w:val="en-GB"/>
        </w:rPr>
        <w:t>back to the results in chapter 4</w:t>
      </w:r>
      <w:r w:rsidR="0024473D">
        <w:rPr>
          <w:rFonts w:ascii="Times New Roman" w:eastAsia="Times New Roman" w:hAnsi="Times New Roman" w:cs="Times New Roman"/>
          <w:color w:val="000000"/>
          <w:lang w:val="en-GB"/>
        </w:rPr>
        <w:t xml:space="preserve">, a panel of </w:t>
      </w:r>
      <w:r w:rsidR="0046471F">
        <w:rPr>
          <w:rFonts w:ascii="Times New Roman" w:eastAsia="Times New Roman" w:hAnsi="Times New Roman" w:cs="Times New Roman"/>
          <w:color w:val="000000"/>
          <w:lang w:val="en-GB"/>
        </w:rPr>
        <w:t xml:space="preserve">antioxidant genes were selected: </w:t>
      </w:r>
      <w:r w:rsidR="00FA1F1B">
        <w:rPr>
          <w:rFonts w:ascii="Times New Roman" w:eastAsia="Times New Roman" w:hAnsi="Times New Roman" w:cs="Times New Roman"/>
          <w:color w:val="000000"/>
          <w:lang w:val="en-GB"/>
        </w:rPr>
        <w:t>GLRX3 (</w:t>
      </w:r>
      <w:r w:rsidR="00FA1F1B" w:rsidRPr="00FA1F1B">
        <w:rPr>
          <w:rFonts w:ascii="Times New Roman" w:eastAsia="Times New Roman" w:hAnsi="Times New Roman" w:cs="Times New Roman"/>
          <w:color w:val="000000"/>
          <w:lang w:val="en-GB"/>
        </w:rPr>
        <w:t>Glutaredoxin 3</w:t>
      </w:r>
      <w:r w:rsidR="00FA1F1B">
        <w:rPr>
          <w:rFonts w:ascii="Times New Roman" w:eastAsia="Times New Roman" w:hAnsi="Times New Roman" w:cs="Times New Roman"/>
          <w:color w:val="000000"/>
          <w:sz w:val="22"/>
          <w:szCs w:val="22"/>
          <w:lang w:val="en-GB"/>
        </w:rPr>
        <w:t>)</w:t>
      </w:r>
      <w:r w:rsidR="00FA1F1B">
        <w:rPr>
          <w:rFonts w:ascii="Times New Roman" w:eastAsia="Times New Roman" w:hAnsi="Times New Roman" w:cs="Times New Roman"/>
          <w:color w:val="000000"/>
          <w:lang w:val="en-GB"/>
        </w:rPr>
        <w:t>, PRDX3 (</w:t>
      </w:r>
      <w:r w:rsidR="00FA1F1B" w:rsidRPr="00FA1F1B">
        <w:rPr>
          <w:rFonts w:ascii="Times New Roman" w:eastAsia="Times New Roman" w:hAnsi="Times New Roman" w:cs="Times New Roman"/>
          <w:color w:val="000000"/>
          <w:lang w:val="en-GB"/>
        </w:rPr>
        <w:t>Peroxiredoxin 3</w:t>
      </w:r>
      <w:r w:rsidR="00FA1F1B">
        <w:rPr>
          <w:rFonts w:ascii="Times New Roman" w:eastAsia="Times New Roman" w:hAnsi="Times New Roman" w:cs="Times New Roman"/>
          <w:color w:val="000000"/>
          <w:sz w:val="22"/>
          <w:szCs w:val="22"/>
          <w:lang w:val="en-GB"/>
        </w:rPr>
        <w:t>)</w:t>
      </w:r>
      <w:r w:rsidR="009277B3">
        <w:rPr>
          <w:rFonts w:ascii="Times New Roman" w:eastAsia="Times New Roman" w:hAnsi="Times New Roman" w:cs="Times New Roman"/>
          <w:color w:val="000000"/>
          <w:lang w:val="en-GB"/>
        </w:rPr>
        <w:t xml:space="preserve"> </w:t>
      </w:r>
      <w:r w:rsidR="009277B3" w:rsidRPr="0046471F">
        <w:rPr>
          <w:rFonts w:ascii="Times New Roman" w:eastAsia="Times New Roman" w:hAnsi="Times New Roman" w:cs="Times New Roman"/>
          <w:color w:val="000000"/>
          <w:lang w:val="en-GB"/>
        </w:rPr>
        <w:t>and MGST1 (microsomal glutathione-S-transferase</w:t>
      </w:r>
      <w:r w:rsidR="002E7FD5">
        <w:rPr>
          <w:rFonts w:ascii="Times New Roman" w:eastAsia="Times New Roman" w:hAnsi="Times New Roman" w:cs="Times New Roman"/>
          <w:color w:val="000000"/>
          <w:lang w:val="en-GB"/>
        </w:rPr>
        <w:t>)</w:t>
      </w:r>
      <w:r w:rsidR="00DF6CDF" w:rsidRPr="0046471F">
        <w:rPr>
          <w:rFonts w:ascii="Times New Roman" w:eastAsia="Times New Roman" w:hAnsi="Times New Roman" w:cs="Times New Roman"/>
          <w:color w:val="000000"/>
          <w:lang w:val="en-GB"/>
        </w:rPr>
        <w:t>.</w:t>
      </w:r>
      <w:r w:rsidR="00DF6CDF">
        <w:rPr>
          <w:rFonts w:ascii="Times New Roman" w:eastAsia="Times New Roman" w:hAnsi="Times New Roman" w:cs="Times New Roman"/>
          <w:color w:val="000000"/>
          <w:sz w:val="22"/>
          <w:szCs w:val="22"/>
          <w:lang w:val="en-GB"/>
        </w:rPr>
        <w:t xml:space="preserve"> </w:t>
      </w:r>
    </w:p>
    <w:p w14:paraId="328A4916" w14:textId="77777777" w:rsidR="00576433" w:rsidRDefault="00576433" w:rsidP="00C63BC1">
      <w:pPr>
        <w:spacing w:line="360" w:lineRule="auto"/>
        <w:jc w:val="both"/>
        <w:rPr>
          <w:rFonts w:ascii="Times New Roman" w:hAnsi="Times New Roman" w:cs="Times New Roman"/>
          <w:noProof/>
        </w:rPr>
      </w:pPr>
    </w:p>
    <w:p w14:paraId="3411882E" w14:textId="728CA20C" w:rsidR="00A258A0" w:rsidRDefault="001F1778" w:rsidP="00C63BC1">
      <w:pPr>
        <w:spacing w:line="360" w:lineRule="auto"/>
        <w:jc w:val="both"/>
        <w:rPr>
          <w:rFonts w:ascii="Times New Roman" w:hAnsi="Times New Roman" w:cs="Times New Roman"/>
          <w:noProof/>
        </w:rPr>
      </w:pPr>
      <w:r>
        <w:rPr>
          <w:rFonts w:ascii="Times New Roman" w:hAnsi="Times New Roman" w:cs="Times New Roman"/>
          <w:noProof/>
        </w:rPr>
        <w:t xml:space="preserve">To </w:t>
      </w:r>
      <w:r w:rsidR="002E7FD5">
        <w:rPr>
          <w:rFonts w:ascii="Times New Roman" w:hAnsi="Times New Roman" w:cs="Times New Roman"/>
          <w:noProof/>
        </w:rPr>
        <w:t>validate the</w:t>
      </w:r>
      <w:r>
        <w:rPr>
          <w:rFonts w:ascii="Times New Roman" w:hAnsi="Times New Roman" w:cs="Times New Roman"/>
          <w:noProof/>
        </w:rPr>
        <w:t xml:space="preserve"> selecte</w:t>
      </w:r>
      <w:r w:rsidR="00576433">
        <w:rPr>
          <w:rFonts w:ascii="Times New Roman" w:hAnsi="Times New Roman" w:cs="Times New Roman"/>
          <w:noProof/>
        </w:rPr>
        <w:t>d genes, co-cultures were setup</w:t>
      </w:r>
      <w:r w:rsidR="00B8782A">
        <w:rPr>
          <w:rFonts w:ascii="Times New Roman" w:hAnsi="Times New Roman" w:cs="Times New Roman"/>
          <w:noProof/>
        </w:rPr>
        <w:t xml:space="preserve"> to</w:t>
      </w:r>
      <w:r w:rsidR="00A33FBF">
        <w:rPr>
          <w:rFonts w:ascii="Times New Roman" w:hAnsi="Times New Roman" w:cs="Times New Roman"/>
          <w:noProof/>
        </w:rPr>
        <w:t xml:space="preserve"> replicate a</w:t>
      </w:r>
      <w:r w:rsidR="00576433">
        <w:rPr>
          <w:rFonts w:ascii="Times New Roman" w:hAnsi="Times New Roman" w:cs="Times New Roman"/>
          <w:noProof/>
        </w:rPr>
        <w:t xml:space="preserve">ll conditions used previously; passage numbers for astrocytes and </w:t>
      </w:r>
      <w:r w:rsidR="002E7FD5">
        <w:rPr>
          <w:rFonts w:ascii="Times New Roman" w:hAnsi="Times New Roman" w:cs="Times New Roman"/>
          <w:noProof/>
        </w:rPr>
        <w:t xml:space="preserve">GFP LUHMES were </w:t>
      </w:r>
      <w:r w:rsidR="00A33FBF">
        <w:rPr>
          <w:rFonts w:ascii="Times New Roman" w:hAnsi="Times New Roman" w:cs="Times New Roman"/>
          <w:noProof/>
        </w:rPr>
        <w:t>match</w:t>
      </w:r>
      <w:r w:rsidR="00576433">
        <w:rPr>
          <w:rFonts w:ascii="Times New Roman" w:hAnsi="Times New Roman" w:cs="Times New Roman"/>
          <w:noProof/>
        </w:rPr>
        <w:t xml:space="preserve">ed as were </w:t>
      </w:r>
      <w:r w:rsidR="002E7FD5">
        <w:rPr>
          <w:rFonts w:ascii="Times New Roman" w:hAnsi="Times New Roman" w:cs="Times New Roman"/>
          <w:noProof/>
        </w:rPr>
        <w:t xml:space="preserve">plating densities </w:t>
      </w:r>
      <w:r w:rsidR="00576433">
        <w:rPr>
          <w:rFonts w:ascii="Times New Roman" w:hAnsi="Times New Roman" w:cs="Times New Roman"/>
          <w:noProof/>
        </w:rPr>
        <w:t>and FACS sorting</w:t>
      </w:r>
      <w:r w:rsidR="00A33FBF">
        <w:rPr>
          <w:rFonts w:ascii="Times New Roman" w:hAnsi="Times New Roman" w:cs="Times New Roman"/>
          <w:noProof/>
        </w:rPr>
        <w:t>.</w:t>
      </w:r>
      <w:r w:rsidR="00C325CF">
        <w:rPr>
          <w:rFonts w:ascii="Times New Roman" w:hAnsi="Times New Roman" w:cs="Times New Roman"/>
          <w:noProof/>
        </w:rPr>
        <w:t xml:space="preserve"> IgG-</w:t>
      </w:r>
      <w:r w:rsidR="00B9757A">
        <w:rPr>
          <w:rFonts w:ascii="Times New Roman" w:hAnsi="Times New Roman" w:cs="Times New Roman"/>
          <w:noProof/>
        </w:rPr>
        <w:t xml:space="preserve">treated astrocytes </w:t>
      </w:r>
      <w:r w:rsidR="0024473D">
        <w:rPr>
          <w:rFonts w:ascii="Times New Roman" w:hAnsi="Times New Roman" w:cs="Times New Roman"/>
          <w:noProof/>
        </w:rPr>
        <w:t>separated from</w:t>
      </w:r>
      <w:r w:rsidR="00B9757A">
        <w:rPr>
          <w:rFonts w:ascii="Times New Roman" w:hAnsi="Times New Roman" w:cs="Times New Roman"/>
          <w:noProof/>
        </w:rPr>
        <w:t xml:space="preserve"> GFP LUHMES </w:t>
      </w:r>
      <w:r w:rsidR="00576433">
        <w:rPr>
          <w:rFonts w:ascii="Times New Roman" w:hAnsi="Times New Roman" w:cs="Times New Roman"/>
          <w:noProof/>
        </w:rPr>
        <w:t xml:space="preserve">were </w:t>
      </w:r>
      <w:r w:rsidR="0024473D">
        <w:rPr>
          <w:rFonts w:ascii="Times New Roman" w:hAnsi="Times New Roman" w:cs="Times New Roman"/>
          <w:noProof/>
        </w:rPr>
        <w:t xml:space="preserve">included in the validation step </w:t>
      </w:r>
      <w:r w:rsidR="00B9757A">
        <w:rPr>
          <w:rFonts w:ascii="Times New Roman" w:hAnsi="Times New Roman" w:cs="Times New Roman"/>
          <w:noProof/>
        </w:rPr>
        <w:t xml:space="preserve">to demonstrate that observations seen in the gene expression profiling were unique to IGF1 signalling impairment and not an effect of the antibody itself. </w:t>
      </w:r>
    </w:p>
    <w:p w14:paraId="2C131D76" w14:textId="77777777" w:rsidR="0046471F" w:rsidRPr="009277B3" w:rsidRDefault="0046471F" w:rsidP="00A258A0">
      <w:pPr>
        <w:spacing w:line="360" w:lineRule="auto"/>
        <w:rPr>
          <w:rFonts w:ascii="Times New Roman" w:hAnsi="Times New Roman" w:cs="Times New Roman"/>
          <w:noProof/>
        </w:rPr>
      </w:pPr>
    </w:p>
    <w:p w14:paraId="490E8C93" w14:textId="77777777" w:rsidR="00281614" w:rsidRDefault="00281614" w:rsidP="002E7FD5">
      <w:pPr>
        <w:spacing w:line="360" w:lineRule="auto"/>
        <w:rPr>
          <w:rFonts w:ascii="Times New Roman" w:hAnsi="Times New Roman" w:cs="Times New Roman"/>
          <w:b/>
          <w:noProof/>
        </w:rPr>
      </w:pPr>
    </w:p>
    <w:p w14:paraId="4E33ACAF" w14:textId="77777777" w:rsidR="00281614" w:rsidRDefault="00281614" w:rsidP="002E7FD5">
      <w:pPr>
        <w:spacing w:line="360" w:lineRule="auto"/>
        <w:rPr>
          <w:rFonts w:ascii="Times New Roman" w:hAnsi="Times New Roman" w:cs="Times New Roman"/>
          <w:b/>
          <w:noProof/>
        </w:rPr>
      </w:pPr>
    </w:p>
    <w:p w14:paraId="055F7EF9" w14:textId="77777777" w:rsidR="00F65C3A" w:rsidRDefault="00F65C3A" w:rsidP="002E7FD5">
      <w:pPr>
        <w:spacing w:line="360" w:lineRule="auto"/>
        <w:rPr>
          <w:rFonts w:ascii="Times New Roman" w:hAnsi="Times New Roman" w:cs="Times New Roman"/>
          <w:b/>
          <w:noProof/>
        </w:rPr>
      </w:pPr>
    </w:p>
    <w:p w14:paraId="2658DFC8" w14:textId="77777777" w:rsidR="00AA21C2" w:rsidRDefault="00AA21C2" w:rsidP="002E7FD5">
      <w:pPr>
        <w:spacing w:line="360" w:lineRule="auto"/>
        <w:rPr>
          <w:rFonts w:ascii="Times New Roman" w:hAnsi="Times New Roman" w:cs="Times New Roman"/>
          <w:b/>
          <w:noProof/>
        </w:rPr>
      </w:pPr>
    </w:p>
    <w:p w14:paraId="2C277F7A" w14:textId="77777777" w:rsidR="00303E90" w:rsidRDefault="00236FC5" w:rsidP="004D474F">
      <w:pPr>
        <w:pStyle w:val="Heading5"/>
        <w:rPr>
          <w:noProof/>
        </w:rPr>
      </w:pPr>
      <w:bookmarkStart w:id="2216" w:name="_Toc333569368"/>
      <w:bookmarkStart w:id="2217" w:name="_Toc333570906"/>
      <w:bookmarkStart w:id="2218" w:name="_Toc333585987"/>
      <w:bookmarkStart w:id="2219" w:name="_Toc333586863"/>
      <w:bookmarkStart w:id="2220" w:name="_Toc333644562"/>
      <w:bookmarkStart w:id="2221" w:name="_Toc333644856"/>
      <w:r>
        <w:rPr>
          <w:noProof/>
        </w:rPr>
        <w:t xml:space="preserve">Table </w:t>
      </w:r>
      <w:r w:rsidR="00A3722E">
        <w:rPr>
          <w:noProof/>
        </w:rPr>
        <w:t>5.19</w:t>
      </w:r>
      <w:r w:rsidR="0043060F">
        <w:rPr>
          <w:noProof/>
        </w:rPr>
        <w:t>.</w:t>
      </w:r>
      <w:r>
        <w:rPr>
          <w:noProof/>
        </w:rPr>
        <w:t xml:space="preserve"> </w:t>
      </w:r>
      <w:r w:rsidR="00A33FBF">
        <w:rPr>
          <w:noProof/>
        </w:rPr>
        <w:t>List of g</w:t>
      </w:r>
      <w:r>
        <w:rPr>
          <w:noProof/>
        </w:rPr>
        <w:t>enes selected for validation</w:t>
      </w:r>
      <w:r w:rsidR="00A33FBF">
        <w:rPr>
          <w:noProof/>
        </w:rPr>
        <w:t>.</w:t>
      </w:r>
      <w:bookmarkEnd w:id="2216"/>
      <w:bookmarkEnd w:id="2217"/>
      <w:bookmarkEnd w:id="2218"/>
      <w:bookmarkEnd w:id="2219"/>
      <w:bookmarkEnd w:id="2220"/>
      <w:bookmarkEnd w:id="2221"/>
      <w:r w:rsidR="00A33FBF">
        <w:rPr>
          <w:noProof/>
        </w:rPr>
        <w:t xml:space="preserve"> </w:t>
      </w:r>
    </w:p>
    <w:p w14:paraId="03D270D7" w14:textId="02522339" w:rsidR="00D907F0" w:rsidRPr="002E7FD5" w:rsidRDefault="00A33FBF" w:rsidP="00C63BC1">
      <w:pPr>
        <w:spacing w:line="360" w:lineRule="auto"/>
        <w:jc w:val="both"/>
        <w:rPr>
          <w:rFonts w:ascii="Times New Roman" w:hAnsi="Times New Roman" w:cs="Times New Roman"/>
          <w:noProof/>
        </w:rPr>
      </w:pPr>
      <w:r>
        <w:rPr>
          <w:rFonts w:ascii="Times New Roman" w:hAnsi="Times New Roman" w:cs="Times New Roman"/>
          <w:noProof/>
        </w:rPr>
        <w:t xml:space="preserve">Numbers in the table represent relative signal intensities from each of the samples </w:t>
      </w:r>
      <w:r w:rsidR="00A258A0">
        <w:rPr>
          <w:rFonts w:ascii="Times New Roman" w:hAnsi="Times New Roman" w:cs="Times New Roman"/>
          <w:noProof/>
        </w:rPr>
        <w:t>used in the arrays. Genes</w:t>
      </w:r>
      <w:r w:rsidR="00281614">
        <w:rPr>
          <w:rFonts w:ascii="Times New Roman" w:hAnsi="Times New Roman" w:cs="Times New Roman"/>
          <w:noProof/>
        </w:rPr>
        <w:t xml:space="preserve"> selected for validation were chosen based on C3 and M3 having signal intensities that showed a trend towards the results from the Qlucore Omics analysis. </w:t>
      </w:r>
    </w:p>
    <w:p w14:paraId="192557BB" w14:textId="77777777" w:rsidR="003B4CF5" w:rsidRDefault="003B4CF5">
      <w:pPr>
        <w:rPr>
          <w:rFonts w:ascii="Times New Roman" w:hAnsi="Times New Roman" w:cs="Times New Roman"/>
          <w:b/>
          <w:noProof/>
        </w:rPr>
      </w:pPr>
    </w:p>
    <w:tbl>
      <w:tblPr>
        <w:tblpPr w:leftFromText="180" w:rightFromText="180" w:vertAnchor="text" w:horzAnchor="page" w:tblpX="2377" w:tblpY="80"/>
        <w:tblW w:w="8613" w:type="dxa"/>
        <w:tblLayout w:type="fixed"/>
        <w:tblLook w:val="04A0" w:firstRow="1" w:lastRow="0" w:firstColumn="1" w:lastColumn="0" w:noHBand="0" w:noVBand="1"/>
      </w:tblPr>
      <w:tblGrid>
        <w:gridCol w:w="1101"/>
        <w:gridCol w:w="1275"/>
        <w:gridCol w:w="1276"/>
        <w:gridCol w:w="1134"/>
        <w:gridCol w:w="1276"/>
        <w:gridCol w:w="1276"/>
        <w:gridCol w:w="1275"/>
      </w:tblGrid>
      <w:tr w:rsidR="00A07B54" w:rsidRPr="00D41678" w14:paraId="2400FB7B" w14:textId="77777777" w:rsidTr="00A07B54">
        <w:trPr>
          <w:trHeight w:val="280"/>
        </w:trPr>
        <w:tc>
          <w:tcPr>
            <w:tcW w:w="1101" w:type="dxa"/>
            <w:tcBorders>
              <w:top w:val="single" w:sz="4" w:space="0" w:color="auto"/>
              <w:left w:val="nil"/>
              <w:bottom w:val="single" w:sz="4" w:space="0" w:color="auto"/>
              <w:right w:val="nil"/>
            </w:tcBorders>
            <w:shd w:val="clear" w:color="auto" w:fill="auto"/>
            <w:noWrap/>
            <w:vAlign w:val="bottom"/>
            <w:hideMark/>
          </w:tcPr>
          <w:p w14:paraId="4F04F42B" w14:textId="77777777" w:rsidR="00D41678" w:rsidRPr="00D41678" w:rsidRDefault="00D41678" w:rsidP="00454D06">
            <w:pPr>
              <w:rPr>
                <w:rFonts w:ascii="Times New Roman" w:eastAsia="Times New Roman" w:hAnsi="Times New Roman" w:cs="Times New Roman"/>
                <w:b/>
                <w:bCs/>
                <w:color w:val="000000"/>
                <w:sz w:val="22"/>
                <w:szCs w:val="22"/>
                <w:lang w:val="en-GB"/>
              </w:rPr>
            </w:pPr>
            <w:r w:rsidRPr="00D41678">
              <w:rPr>
                <w:rFonts w:ascii="Times New Roman" w:eastAsia="Times New Roman" w:hAnsi="Times New Roman" w:cs="Times New Roman"/>
                <w:b/>
                <w:bCs/>
                <w:color w:val="000000"/>
                <w:sz w:val="22"/>
                <w:szCs w:val="22"/>
                <w:lang w:val="en-GB"/>
              </w:rPr>
              <w:t>Gene</w:t>
            </w:r>
          </w:p>
        </w:tc>
        <w:tc>
          <w:tcPr>
            <w:tcW w:w="1275" w:type="dxa"/>
            <w:tcBorders>
              <w:top w:val="single" w:sz="4" w:space="0" w:color="auto"/>
              <w:left w:val="nil"/>
              <w:bottom w:val="single" w:sz="4" w:space="0" w:color="auto"/>
              <w:right w:val="nil"/>
            </w:tcBorders>
            <w:shd w:val="clear" w:color="auto" w:fill="auto"/>
            <w:noWrap/>
            <w:vAlign w:val="bottom"/>
            <w:hideMark/>
          </w:tcPr>
          <w:p w14:paraId="0C17E80C" w14:textId="77777777" w:rsidR="00D41678" w:rsidRPr="00D41678" w:rsidRDefault="00D41678" w:rsidP="00454D06">
            <w:pPr>
              <w:rPr>
                <w:rFonts w:ascii="Times New Roman" w:eastAsia="Times New Roman" w:hAnsi="Times New Roman" w:cs="Times New Roman"/>
                <w:b/>
                <w:bCs/>
                <w:color w:val="000000"/>
                <w:sz w:val="22"/>
                <w:szCs w:val="22"/>
                <w:lang w:val="en-GB"/>
              </w:rPr>
            </w:pPr>
            <w:r w:rsidRPr="00D41678">
              <w:rPr>
                <w:rFonts w:ascii="Times New Roman" w:eastAsia="Times New Roman" w:hAnsi="Times New Roman" w:cs="Times New Roman"/>
                <w:b/>
                <w:bCs/>
                <w:color w:val="000000"/>
                <w:sz w:val="22"/>
                <w:szCs w:val="22"/>
                <w:lang w:val="en-GB"/>
              </w:rPr>
              <w:t>Control 1</w:t>
            </w:r>
          </w:p>
        </w:tc>
        <w:tc>
          <w:tcPr>
            <w:tcW w:w="1276" w:type="dxa"/>
            <w:tcBorders>
              <w:top w:val="single" w:sz="4" w:space="0" w:color="auto"/>
              <w:left w:val="nil"/>
              <w:bottom w:val="single" w:sz="4" w:space="0" w:color="auto"/>
              <w:right w:val="nil"/>
            </w:tcBorders>
            <w:shd w:val="clear" w:color="auto" w:fill="auto"/>
            <w:noWrap/>
            <w:vAlign w:val="bottom"/>
            <w:hideMark/>
          </w:tcPr>
          <w:p w14:paraId="0C2DC059" w14:textId="77777777" w:rsidR="00D41678" w:rsidRPr="00D41678" w:rsidRDefault="00D41678" w:rsidP="00454D06">
            <w:pPr>
              <w:rPr>
                <w:rFonts w:ascii="Times New Roman" w:eastAsia="Times New Roman" w:hAnsi="Times New Roman" w:cs="Times New Roman"/>
                <w:b/>
                <w:bCs/>
                <w:color w:val="000000"/>
                <w:sz w:val="22"/>
                <w:szCs w:val="22"/>
                <w:lang w:val="en-GB"/>
              </w:rPr>
            </w:pPr>
            <w:r w:rsidRPr="00D41678">
              <w:rPr>
                <w:rFonts w:ascii="Times New Roman" w:eastAsia="Times New Roman" w:hAnsi="Times New Roman" w:cs="Times New Roman"/>
                <w:b/>
                <w:bCs/>
                <w:color w:val="000000"/>
                <w:sz w:val="22"/>
                <w:szCs w:val="22"/>
                <w:lang w:val="en-GB"/>
              </w:rPr>
              <w:t>Control 2</w:t>
            </w:r>
          </w:p>
        </w:tc>
        <w:tc>
          <w:tcPr>
            <w:tcW w:w="1134" w:type="dxa"/>
            <w:tcBorders>
              <w:top w:val="single" w:sz="4" w:space="0" w:color="auto"/>
              <w:left w:val="nil"/>
              <w:bottom w:val="single" w:sz="4" w:space="0" w:color="auto"/>
              <w:right w:val="nil"/>
            </w:tcBorders>
            <w:shd w:val="clear" w:color="auto" w:fill="auto"/>
            <w:noWrap/>
            <w:vAlign w:val="bottom"/>
            <w:hideMark/>
          </w:tcPr>
          <w:p w14:paraId="5238BB59" w14:textId="60D1976A" w:rsidR="00D41678" w:rsidRPr="00D41678" w:rsidRDefault="00D41678" w:rsidP="00454D06">
            <w:pPr>
              <w:rPr>
                <w:rFonts w:ascii="Times New Roman" w:eastAsia="Times New Roman" w:hAnsi="Times New Roman" w:cs="Times New Roman"/>
                <w:b/>
                <w:bCs/>
                <w:color w:val="000000"/>
                <w:sz w:val="22"/>
                <w:szCs w:val="22"/>
                <w:lang w:val="en-GB"/>
              </w:rPr>
            </w:pPr>
            <w:r w:rsidRPr="00D41678">
              <w:rPr>
                <w:rFonts w:ascii="Times New Roman" w:eastAsia="Times New Roman" w:hAnsi="Times New Roman" w:cs="Times New Roman"/>
                <w:b/>
                <w:bCs/>
                <w:color w:val="000000"/>
                <w:sz w:val="22"/>
                <w:szCs w:val="22"/>
                <w:lang w:val="en-GB"/>
              </w:rPr>
              <w:t>Control 3</w:t>
            </w:r>
          </w:p>
        </w:tc>
        <w:tc>
          <w:tcPr>
            <w:tcW w:w="1276" w:type="dxa"/>
            <w:tcBorders>
              <w:top w:val="single" w:sz="4" w:space="0" w:color="auto"/>
              <w:left w:val="nil"/>
              <w:bottom w:val="single" w:sz="4" w:space="0" w:color="auto"/>
              <w:right w:val="nil"/>
            </w:tcBorders>
            <w:shd w:val="clear" w:color="auto" w:fill="auto"/>
            <w:noWrap/>
            <w:vAlign w:val="bottom"/>
            <w:hideMark/>
          </w:tcPr>
          <w:p w14:paraId="657814D4" w14:textId="77777777" w:rsidR="00D41678" w:rsidRPr="00D41678" w:rsidRDefault="00D41678" w:rsidP="00454D06">
            <w:pPr>
              <w:rPr>
                <w:rFonts w:ascii="Times New Roman" w:eastAsia="Times New Roman" w:hAnsi="Times New Roman" w:cs="Times New Roman"/>
                <w:b/>
                <w:bCs/>
                <w:color w:val="000000"/>
                <w:sz w:val="22"/>
                <w:szCs w:val="22"/>
                <w:lang w:val="en-GB"/>
              </w:rPr>
            </w:pPr>
            <w:r w:rsidRPr="00D41678">
              <w:rPr>
                <w:rFonts w:ascii="Times New Roman" w:eastAsia="Times New Roman" w:hAnsi="Times New Roman" w:cs="Times New Roman"/>
                <w:b/>
                <w:bCs/>
                <w:color w:val="000000"/>
                <w:sz w:val="22"/>
                <w:szCs w:val="22"/>
                <w:lang w:val="en-GB"/>
              </w:rPr>
              <w:t>MAB391 1</w:t>
            </w:r>
          </w:p>
        </w:tc>
        <w:tc>
          <w:tcPr>
            <w:tcW w:w="1276" w:type="dxa"/>
            <w:tcBorders>
              <w:top w:val="single" w:sz="4" w:space="0" w:color="auto"/>
              <w:left w:val="nil"/>
              <w:bottom w:val="single" w:sz="4" w:space="0" w:color="auto"/>
              <w:right w:val="nil"/>
            </w:tcBorders>
            <w:shd w:val="clear" w:color="auto" w:fill="auto"/>
            <w:noWrap/>
            <w:vAlign w:val="bottom"/>
            <w:hideMark/>
          </w:tcPr>
          <w:p w14:paraId="4AC3FE81" w14:textId="77777777" w:rsidR="00D41678" w:rsidRPr="00D41678" w:rsidRDefault="00D41678" w:rsidP="00454D06">
            <w:pPr>
              <w:rPr>
                <w:rFonts w:ascii="Times New Roman" w:eastAsia="Times New Roman" w:hAnsi="Times New Roman" w:cs="Times New Roman"/>
                <w:b/>
                <w:bCs/>
                <w:color w:val="000000"/>
                <w:sz w:val="22"/>
                <w:szCs w:val="22"/>
                <w:lang w:val="en-GB"/>
              </w:rPr>
            </w:pPr>
            <w:r w:rsidRPr="00D41678">
              <w:rPr>
                <w:rFonts w:ascii="Times New Roman" w:eastAsia="Times New Roman" w:hAnsi="Times New Roman" w:cs="Times New Roman"/>
                <w:b/>
                <w:bCs/>
                <w:color w:val="000000"/>
                <w:sz w:val="22"/>
                <w:szCs w:val="22"/>
                <w:lang w:val="en-GB"/>
              </w:rPr>
              <w:t>MAB391 2</w:t>
            </w:r>
          </w:p>
        </w:tc>
        <w:tc>
          <w:tcPr>
            <w:tcW w:w="1275" w:type="dxa"/>
            <w:tcBorders>
              <w:top w:val="single" w:sz="4" w:space="0" w:color="auto"/>
              <w:left w:val="nil"/>
              <w:bottom w:val="single" w:sz="4" w:space="0" w:color="auto"/>
              <w:right w:val="nil"/>
            </w:tcBorders>
            <w:shd w:val="clear" w:color="auto" w:fill="auto"/>
            <w:noWrap/>
            <w:vAlign w:val="bottom"/>
            <w:hideMark/>
          </w:tcPr>
          <w:p w14:paraId="5C076D82" w14:textId="77777777" w:rsidR="00D41678" w:rsidRPr="00D41678" w:rsidRDefault="00D41678" w:rsidP="00454D06">
            <w:pPr>
              <w:rPr>
                <w:rFonts w:ascii="Times New Roman" w:eastAsia="Times New Roman" w:hAnsi="Times New Roman" w:cs="Times New Roman"/>
                <w:b/>
                <w:bCs/>
                <w:color w:val="000000"/>
                <w:sz w:val="22"/>
                <w:szCs w:val="22"/>
                <w:lang w:val="en-GB"/>
              </w:rPr>
            </w:pPr>
            <w:r w:rsidRPr="00D41678">
              <w:rPr>
                <w:rFonts w:ascii="Times New Roman" w:eastAsia="Times New Roman" w:hAnsi="Times New Roman" w:cs="Times New Roman"/>
                <w:b/>
                <w:bCs/>
                <w:color w:val="000000"/>
                <w:sz w:val="22"/>
                <w:szCs w:val="22"/>
                <w:lang w:val="en-GB"/>
              </w:rPr>
              <w:t>MAB391 3</w:t>
            </w:r>
          </w:p>
        </w:tc>
      </w:tr>
      <w:tr w:rsidR="00A07B54" w:rsidRPr="00D41678" w14:paraId="375C82EE" w14:textId="77777777" w:rsidTr="00A07B54">
        <w:trPr>
          <w:trHeight w:val="280"/>
        </w:trPr>
        <w:tc>
          <w:tcPr>
            <w:tcW w:w="1101" w:type="dxa"/>
            <w:tcBorders>
              <w:top w:val="nil"/>
              <w:left w:val="nil"/>
              <w:bottom w:val="nil"/>
              <w:right w:val="nil"/>
            </w:tcBorders>
            <w:shd w:val="clear" w:color="000000" w:fill="FF0000"/>
            <w:noWrap/>
            <w:vAlign w:val="bottom"/>
            <w:hideMark/>
          </w:tcPr>
          <w:p w14:paraId="54BC5CB3"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PRDX3</w:t>
            </w:r>
          </w:p>
        </w:tc>
        <w:tc>
          <w:tcPr>
            <w:tcW w:w="1275" w:type="dxa"/>
            <w:tcBorders>
              <w:top w:val="nil"/>
              <w:left w:val="nil"/>
              <w:bottom w:val="nil"/>
              <w:right w:val="nil"/>
            </w:tcBorders>
            <w:shd w:val="clear" w:color="auto" w:fill="auto"/>
            <w:noWrap/>
            <w:vAlign w:val="bottom"/>
            <w:hideMark/>
          </w:tcPr>
          <w:p w14:paraId="593D0FA6"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9.38</w:t>
            </w:r>
          </w:p>
        </w:tc>
        <w:tc>
          <w:tcPr>
            <w:tcW w:w="1276" w:type="dxa"/>
            <w:tcBorders>
              <w:top w:val="nil"/>
              <w:left w:val="nil"/>
              <w:bottom w:val="nil"/>
              <w:right w:val="nil"/>
            </w:tcBorders>
            <w:shd w:val="clear" w:color="auto" w:fill="auto"/>
            <w:noWrap/>
            <w:vAlign w:val="bottom"/>
            <w:hideMark/>
          </w:tcPr>
          <w:p w14:paraId="168E3E3B"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9.42</w:t>
            </w:r>
          </w:p>
        </w:tc>
        <w:tc>
          <w:tcPr>
            <w:tcW w:w="1134" w:type="dxa"/>
            <w:tcBorders>
              <w:top w:val="nil"/>
              <w:left w:val="nil"/>
              <w:bottom w:val="nil"/>
              <w:right w:val="nil"/>
            </w:tcBorders>
            <w:shd w:val="clear" w:color="auto" w:fill="auto"/>
            <w:noWrap/>
            <w:vAlign w:val="bottom"/>
            <w:hideMark/>
          </w:tcPr>
          <w:p w14:paraId="69F618A0"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8.81</w:t>
            </w:r>
          </w:p>
        </w:tc>
        <w:tc>
          <w:tcPr>
            <w:tcW w:w="1276" w:type="dxa"/>
            <w:tcBorders>
              <w:top w:val="nil"/>
              <w:left w:val="nil"/>
              <w:bottom w:val="nil"/>
              <w:right w:val="nil"/>
            </w:tcBorders>
            <w:shd w:val="clear" w:color="auto" w:fill="auto"/>
            <w:noWrap/>
            <w:vAlign w:val="bottom"/>
            <w:hideMark/>
          </w:tcPr>
          <w:p w14:paraId="211B9EFF"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8.87</w:t>
            </w:r>
          </w:p>
        </w:tc>
        <w:tc>
          <w:tcPr>
            <w:tcW w:w="1276" w:type="dxa"/>
            <w:tcBorders>
              <w:top w:val="nil"/>
              <w:left w:val="nil"/>
              <w:bottom w:val="nil"/>
              <w:right w:val="nil"/>
            </w:tcBorders>
            <w:shd w:val="clear" w:color="auto" w:fill="auto"/>
            <w:noWrap/>
            <w:vAlign w:val="bottom"/>
            <w:hideMark/>
          </w:tcPr>
          <w:p w14:paraId="3BAF738E"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8.98</w:t>
            </w:r>
          </w:p>
        </w:tc>
        <w:tc>
          <w:tcPr>
            <w:tcW w:w="1275" w:type="dxa"/>
            <w:tcBorders>
              <w:top w:val="nil"/>
              <w:left w:val="nil"/>
              <w:bottom w:val="nil"/>
              <w:right w:val="nil"/>
            </w:tcBorders>
            <w:shd w:val="clear" w:color="auto" w:fill="auto"/>
            <w:noWrap/>
            <w:vAlign w:val="bottom"/>
            <w:hideMark/>
          </w:tcPr>
          <w:p w14:paraId="54F0DD09"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7.75</w:t>
            </w:r>
          </w:p>
        </w:tc>
      </w:tr>
      <w:tr w:rsidR="00A07B54" w:rsidRPr="00D41678" w14:paraId="049B4936" w14:textId="77777777" w:rsidTr="00A07B54">
        <w:trPr>
          <w:trHeight w:val="280"/>
        </w:trPr>
        <w:tc>
          <w:tcPr>
            <w:tcW w:w="1101" w:type="dxa"/>
            <w:tcBorders>
              <w:top w:val="nil"/>
              <w:left w:val="nil"/>
              <w:bottom w:val="nil"/>
              <w:right w:val="nil"/>
            </w:tcBorders>
            <w:shd w:val="clear" w:color="000000" w:fill="FF0000"/>
            <w:noWrap/>
            <w:vAlign w:val="bottom"/>
            <w:hideMark/>
          </w:tcPr>
          <w:p w14:paraId="7317A413"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GLRX3</w:t>
            </w:r>
          </w:p>
        </w:tc>
        <w:tc>
          <w:tcPr>
            <w:tcW w:w="1275" w:type="dxa"/>
            <w:tcBorders>
              <w:top w:val="nil"/>
              <w:left w:val="nil"/>
              <w:bottom w:val="nil"/>
              <w:right w:val="nil"/>
            </w:tcBorders>
            <w:shd w:val="clear" w:color="auto" w:fill="auto"/>
            <w:noWrap/>
            <w:vAlign w:val="bottom"/>
            <w:hideMark/>
          </w:tcPr>
          <w:p w14:paraId="6CFE4EE8"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6.91</w:t>
            </w:r>
          </w:p>
        </w:tc>
        <w:tc>
          <w:tcPr>
            <w:tcW w:w="1276" w:type="dxa"/>
            <w:tcBorders>
              <w:top w:val="nil"/>
              <w:left w:val="nil"/>
              <w:bottom w:val="nil"/>
              <w:right w:val="nil"/>
            </w:tcBorders>
            <w:shd w:val="clear" w:color="auto" w:fill="auto"/>
            <w:noWrap/>
            <w:vAlign w:val="bottom"/>
            <w:hideMark/>
          </w:tcPr>
          <w:p w14:paraId="73260A99"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6.97</w:t>
            </w:r>
          </w:p>
        </w:tc>
        <w:tc>
          <w:tcPr>
            <w:tcW w:w="1134" w:type="dxa"/>
            <w:tcBorders>
              <w:top w:val="nil"/>
              <w:left w:val="nil"/>
              <w:bottom w:val="nil"/>
              <w:right w:val="nil"/>
            </w:tcBorders>
            <w:shd w:val="clear" w:color="auto" w:fill="auto"/>
            <w:noWrap/>
            <w:vAlign w:val="bottom"/>
            <w:hideMark/>
          </w:tcPr>
          <w:p w14:paraId="15717437"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7.25</w:t>
            </w:r>
          </w:p>
        </w:tc>
        <w:tc>
          <w:tcPr>
            <w:tcW w:w="1276" w:type="dxa"/>
            <w:tcBorders>
              <w:top w:val="nil"/>
              <w:left w:val="nil"/>
              <w:bottom w:val="nil"/>
              <w:right w:val="nil"/>
            </w:tcBorders>
            <w:shd w:val="clear" w:color="auto" w:fill="auto"/>
            <w:noWrap/>
            <w:vAlign w:val="bottom"/>
            <w:hideMark/>
          </w:tcPr>
          <w:p w14:paraId="3C84135C"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6.58</w:t>
            </w:r>
          </w:p>
        </w:tc>
        <w:tc>
          <w:tcPr>
            <w:tcW w:w="1276" w:type="dxa"/>
            <w:tcBorders>
              <w:top w:val="nil"/>
              <w:left w:val="nil"/>
              <w:bottom w:val="nil"/>
              <w:right w:val="nil"/>
            </w:tcBorders>
            <w:shd w:val="clear" w:color="auto" w:fill="auto"/>
            <w:noWrap/>
            <w:vAlign w:val="bottom"/>
            <w:hideMark/>
          </w:tcPr>
          <w:p w14:paraId="31E77ECC"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6.50</w:t>
            </w:r>
          </w:p>
        </w:tc>
        <w:tc>
          <w:tcPr>
            <w:tcW w:w="1275" w:type="dxa"/>
            <w:tcBorders>
              <w:top w:val="nil"/>
              <w:left w:val="nil"/>
              <w:bottom w:val="nil"/>
              <w:right w:val="nil"/>
            </w:tcBorders>
            <w:shd w:val="clear" w:color="auto" w:fill="auto"/>
            <w:noWrap/>
            <w:vAlign w:val="bottom"/>
            <w:hideMark/>
          </w:tcPr>
          <w:p w14:paraId="18F831CD"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7.09</w:t>
            </w:r>
          </w:p>
        </w:tc>
      </w:tr>
      <w:tr w:rsidR="00A07B54" w:rsidRPr="00D41678" w14:paraId="2BF06761" w14:textId="77777777" w:rsidTr="00A07B54">
        <w:trPr>
          <w:trHeight w:val="280"/>
        </w:trPr>
        <w:tc>
          <w:tcPr>
            <w:tcW w:w="1101" w:type="dxa"/>
            <w:tcBorders>
              <w:top w:val="nil"/>
              <w:left w:val="nil"/>
              <w:bottom w:val="nil"/>
              <w:right w:val="nil"/>
            </w:tcBorders>
            <w:shd w:val="clear" w:color="000000" w:fill="FF0000"/>
            <w:noWrap/>
            <w:vAlign w:val="bottom"/>
            <w:hideMark/>
          </w:tcPr>
          <w:p w14:paraId="545457E2"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NDUFA2</w:t>
            </w:r>
          </w:p>
        </w:tc>
        <w:tc>
          <w:tcPr>
            <w:tcW w:w="1275" w:type="dxa"/>
            <w:tcBorders>
              <w:top w:val="nil"/>
              <w:left w:val="nil"/>
              <w:bottom w:val="nil"/>
              <w:right w:val="nil"/>
            </w:tcBorders>
            <w:shd w:val="clear" w:color="auto" w:fill="auto"/>
            <w:noWrap/>
            <w:vAlign w:val="bottom"/>
            <w:hideMark/>
          </w:tcPr>
          <w:p w14:paraId="42BC6CF1"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6.76</w:t>
            </w:r>
          </w:p>
        </w:tc>
        <w:tc>
          <w:tcPr>
            <w:tcW w:w="1276" w:type="dxa"/>
            <w:tcBorders>
              <w:top w:val="nil"/>
              <w:left w:val="nil"/>
              <w:bottom w:val="nil"/>
              <w:right w:val="nil"/>
            </w:tcBorders>
            <w:shd w:val="clear" w:color="auto" w:fill="auto"/>
            <w:noWrap/>
            <w:vAlign w:val="bottom"/>
            <w:hideMark/>
          </w:tcPr>
          <w:p w14:paraId="51AC2C59"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6.96</w:t>
            </w:r>
          </w:p>
        </w:tc>
        <w:tc>
          <w:tcPr>
            <w:tcW w:w="1134" w:type="dxa"/>
            <w:tcBorders>
              <w:top w:val="nil"/>
              <w:left w:val="nil"/>
              <w:bottom w:val="nil"/>
              <w:right w:val="nil"/>
            </w:tcBorders>
            <w:shd w:val="clear" w:color="auto" w:fill="auto"/>
            <w:noWrap/>
            <w:vAlign w:val="bottom"/>
            <w:hideMark/>
          </w:tcPr>
          <w:p w14:paraId="552E2128"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6.42</w:t>
            </w:r>
          </w:p>
        </w:tc>
        <w:tc>
          <w:tcPr>
            <w:tcW w:w="1276" w:type="dxa"/>
            <w:tcBorders>
              <w:top w:val="nil"/>
              <w:left w:val="nil"/>
              <w:bottom w:val="nil"/>
              <w:right w:val="nil"/>
            </w:tcBorders>
            <w:shd w:val="clear" w:color="auto" w:fill="auto"/>
            <w:noWrap/>
            <w:vAlign w:val="bottom"/>
            <w:hideMark/>
          </w:tcPr>
          <w:p w14:paraId="65BAD8AA"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6.30</w:t>
            </w:r>
          </w:p>
        </w:tc>
        <w:tc>
          <w:tcPr>
            <w:tcW w:w="1276" w:type="dxa"/>
            <w:tcBorders>
              <w:top w:val="nil"/>
              <w:left w:val="nil"/>
              <w:bottom w:val="nil"/>
              <w:right w:val="nil"/>
            </w:tcBorders>
            <w:shd w:val="clear" w:color="auto" w:fill="auto"/>
            <w:noWrap/>
            <w:vAlign w:val="bottom"/>
            <w:hideMark/>
          </w:tcPr>
          <w:p w14:paraId="4C16E97E"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6.27</w:t>
            </w:r>
          </w:p>
        </w:tc>
        <w:tc>
          <w:tcPr>
            <w:tcW w:w="1275" w:type="dxa"/>
            <w:tcBorders>
              <w:top w:val="nil"/>
              <w:left w:val="nil"/>
              <w:bottom w:val="nil"/>
              <w:right w:val="nil"/>
            </w:tcBorders>
            <w:shd w:val="clear" w:color="auto" w:fill="auto"/>
            <w:noWrap/>
            <w:vAlign w:val="bottom"/>
            <w:hideMark/>
          </w:tcPr>
          <w:p w14:paraId="26086AA8"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6.34</w:t>
            </w:r>
          </w:p>
        </w:tc>
      </w:tr>
      <w:tr w:rsidR="00A07B54" w:rsidRPr="00D41678" w14:paraId="102480C9" w14:textId="77777777" w:rsidTr="00A07B54">
        <w:trPr>
          <w:trHeight w:val="280"/>
        </w:trPr>
        <w:tc>
          <w:tcPr>
            <w:tcW w:w="1101" w:type="dxa"/>
            <w:tcBorders>
              <w:top w:val="nil"/>
              <w:left w:val="nil"/>
              <w:bottom w:val="nil"/>
              <w:right w:val="nil"/>
            </w:tcBorders>
            <w:shd w:val="clear" w:color="000000" w:fill="FF0000"/>
            <w:noWrap/>
            <w:vAlign w:val="bottom"/>
            <w:hideMark/>
          </w:tcPr>
          <w:p w14:paraId="40BABE7E"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NDUFB6</w:t>
            </w:r>
          </w:p>
        </w:tc>
        <w:tc>
          <w:tcPr>
            <w:tcW w:w="1275" w:type="dxa"/>
            <w:tcBorders>
              <w:top w:val="nil"/>
              <w:left w:val="nil"/>
              <w:bottom w:val="nil"/>
              <w:right w:val="nil"/>
            </w:tcBorders>
            <w:shd w:val="clear" w:color="auto" w:fill="auto"/>
            <w:noWrap/>
            <w:vAlign w:val="bottom"/>
            <w:hideMark/>
          </w:tcPr>
          <w:p w14:paraId="572AC1D6"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6.86</w:t>
            </w:r>
          </w:p>
        </w:tc>
        <w:tc>
          <w:tcPr>
            <w:tcW w:w="1276" w:type="dxa"/>
            <w:tcBorders>
              <w:top w:val="nil"/>
              <w:left w:val="nil"/>
              <w:bottom w:val="nil"/>
              <w:right w:val="nil"/>
            </w:tcBorders>
            <w:shd w:val="clear" w:color="auto" w:fill="auto"/>
            <w:noWrap/>
            <w:vAlign w:val="bottom"/>
            <w:hideMark/>
          </w:tcPr>
          <w:p w14:paraId="1E5B1552"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6.83</w:t>
            </w:r>
          </w:p>
        </w:tc>
        <w:tc>
          <w:tcPr>
            <w:tcW w:w="1134" w:type="dxa"/>
            <w:tcBorders>
              <w:top w:val="nil"/>
              <w:left w:val="nil"/>
              <w:bottom w:val="nil"/>
              <w:right w:val="nil"/>
            </w:tcBorders>
            <w:shd w:val="clear" w:color="auto" w:fill="auto"/>
            <w:noWrap/>
            <w:vAlign w:val="bottom"/>
            <w:hideMark/>
          </w:tcPr>
          <w:p w14:paraId="274DB7D1"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7.10</w:t>
            </w:r>
          </w:p>
        </w:tc>
        <w:tc>
          <w:tcPr>
            <w:tcW w:w="1276" w:type="dxa"/>
            <w:tcBorders>
              <w:top w:val="nil"/>
              <w:left w:val="nil"/>
              <w:bottom w:val="nil"/>
              <w:right w:val="nil"/>
            </w:tcBorders>
            <w:shd w:val="clear" w:color="auto" w:fill="auto"/>
            <w:noWrap/>
            <w:vAlign w:val="bottom"/>
            <w:hideMark/>
          </w:tcPr>
          <w:p w14:paraId="6B919C46"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6.24</w:t>
            </w:r>
          </w:p>
        </w:tc>
        <w:tc>
          <w:tcPr>
            <w:tcW w:w="1276" w:type="dxa"/>
            <w:tcBorders>
              <w:top w:val="nil"/>
              <w:left w:val="nil"/>
              <w:bottom w:val="nil"/>
              <w:right w:val="nil"/>
            </w:tcBorders>
            <w:shd w:val="clear" w:color="auto" w:fill="auto"/>
            <w:noWrap/>
            <w:vAlign w:val="bottom"/>
            <w:hideMark/>
          </w:tcPr>
          <w:p w14:paraId="4C2510FB"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6.04</w:t>
            </w:r>
          </w:p>
        </w:tc>
        <w:tc>
          <w:tcPr>
            <w:tcW w:w="1275" w:type="dxa"/>
            <w:tcBorders>
              <w:top w:val="nil"/>
              <w:left w:val="nil"/>
              <w:bottom w:val="nil"/>
              <w:right w:val="nil"/>
            </w:tcBorders>
            <w:shd w:val="clear" w:color="auto" w:fill="auto"/>
            <w:noWrap/>
            <w:vAlign w:val="bottom"/>
            <w:hideMark/>
          </w:tcPr>
          <w:p w14:paraId="45094839"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7.25</w:t>
            </w:r>
          </w:p>
        </w:tc>
      </w:tr>
      <w:tr w:rsidR="00A07B54" w:rsidRPr="00D41678" w14:paraId="51F13195" w14:textId="77777777" w:rsidTr="00A07B54">
        <w:trPr>
          <w:trHeight w:val="280"/>
        </w:trPr>
        <w:tc>
          <w:tcPr>
            <w:tcW w:w="1101" w:type="dxa"/>
            <w:tcBorders>
              <w:top w:val="nil"/>
              <w:left w:val="nil"/>
              <w:bottom w:val="nil"/>
              <w:right w:val="nil"/>
            </w:tcBorders>
            <w:shd w:val="clear" w:color="000000" w:fill="FF0000"/>
            <w:noWrap/>
            <w:vAlign w:val="bottom"/>
            <w:hideMark/>
          </w:tcPr>
          <w:p w14:paraId="636D5CD5"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MGST1</w:t>
            </w:r>
          </w:p>
        </w:tc>
        <w:tc>
          <w:tcPr>
            <w:tcW w:w="1275" w:type="dxa"/>
            <w:tcBorders>
              <w:top w:val="nil"/>
              <w:left w:val="nil"/>
              <w:bottom w:val="nil"/>
              <w:right w:val="nil"/>
            </w:tcBorders>
            <w:shd w:val="clear" w:color="auto" w:fill="auto"/>
            <w:noWrap/>
            <w:vAlign w:val="bottom"/>
            <w:hideMark/>
          </w:tcPr>
          <w:p w14:paraId="758F51F5"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4.34</w:t>
            </w:r>
          </w:p>
        </w:tc>
        <w:tc>
          <w:tcPr>
            <w:tcW w:w="1276" w:type="dxa"/>
            <w:tcBorders>
              <w:top w:val="nil"/>
              <w:left w:val="nil"/>
              <w:bottom w:val="nil"/>
              <w:right w:val="nil"/>
            </w:tcBorders>
            <w:shd w:val="clear" w:color="auto" w:fill="auto"/>
            <w:noWrap/>
            <w:vAlign w:val="bottom"/>
            <w:hideMark/>
          </w:tcPr>
          <w:p w14:paraId="16482A81"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4.25</w:t>
            </w:r>
          </w:p>
        </w:tc>
        <w:tc>
          <w:tcPr>
            <w:tcW w:w="1134" w:type="dxa"/>
            <w:tcBorders>
              <w:top w:val="nil"/>
              <w:left w:val="nil"/>
              <w:bottom w:val="nil"/>
              <w:right w:val="nil"/>
            </w:tcBorders>
            <w:shd w:val="clear" w:color="auto" w:fill="auto"/>
            <w:noWrap/>
            <w:vAlign w:val="bottom"/>
            <w:hideMark/>
          </w:tcPr>
          <w:p w14:paraId="69934C23"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4.13</w:t>
            </w:r>
          </w:p>
        </w:tc>
        <w:tc>
          <w:tcPr>
            <w:tcW w:w="1276" w:type="dxa"/>
            <w:tcBorders>
              <w:top w:val="nil"/>
              <w:left w:val="nil"/>
              <w:bottom w:val="nil"/>
              <w:right w:val="nil"/>
            </w:tcBorders>
            <w:shd w:val="clear" w:color="auto" w:fill="auto"/>
            <w:noWrap/>
            <w:vAlign w:val="bottom"/>
            <w:hideMark/>
          </w:tcPr>
          <w:p w14:paraId="52DCBA2C"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3.90</w:t>
            </w:r>
          </w:p>
        </w:tc>
        <w:tc>
          <w:tcPr>
            <w:tcW w:w="1276" w:type="dxa"/>
            <w:tcBorders>
              <w:top w:val="nil"/>
              <w:left w:val="nil"/>
              <w:bottom w:val="nil"/>
              <w:right w:val="nil"/>
            </w:tcBorders>
            <w:shd w:val="clear" w:color="auto" w:fill="auto"/>
            <w:noWrap/>
            <w:vAlign w:val="bottom"/>
            <w:hideMark/>
          </w:tcPr>
          <w:p w14:paraId="78DF138E"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4.58</w:t>
            </w:r>
          </w:p>
        </w:tc>
        <w:tc>
          <w:tcPr>
            <w:tcW w:w="1275" w:type="dxa"/>
            <w:tcBorders>
              <w:top w:val="nil"/>
              <w:left w:val="nil"/>
              <w:bottom w:val="nil"/>
              <w:right w:val="nil"/>
            </w:tcBorders>
            <w:shd w:val="clear" w:color="auto" w:fill="auto"/>
            <w:noWrap/>
            <w:vAlign w:val="bottom"/>
            <w:hideMark/>
          </w:tcPr>
          <w:p w14:paraId="20FE2C2B"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4.01</w:t>
            </w:r>
          </w:p>
        </w:tc>
      </w:tr>
      <w:tr w:rsidR="00A07B54" w:rsidRPr="00D41678" w14:paraId="632428AB" w14:textId="77777777" w:rsidTr="00A07B54">
        <w:trPr>
          <w:trHeight w:val="280"/>
        </w:trPr>
        <w:tc>
          <w:tcPr>
            <w:tcW w:w="1101" w:type="dxa"/>
            <w:tcBorders>
              <w:top w:val="nil"/>
              <w:left w:val="nil"/>
              <w:bottom w:val="nil"/>
              <w:right w:val="nil"/>
            </w:tcBorders>
            <w:shd w:val="clear" w:color="000000" w:fill="008000"/>
            <w:noWrap/>
            <w:vAlign w:val="bottom"/>
            <w:hideMark/>
          </w:tcPr>
          <w:p w14:paraId="2D07F14E"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TPI1</w:t>
            </w:r>
          </w:p>
        </w:tc>
        <w:tc>
          <w:tcPr>
            <w:tcW w:w="1275" w:type="dxa"/>
            <w:tcBorders>
              <w:top w:val="nil"/>
              <w:left w:val="nil"/>
              <w:bottom w:val="nil"/>
              <w:right w:val="nil"/>
            </w:tcBorders>
            <w:shd w:val="clear" w:color="auto" w:fill="auto"/>
            <w:noWrap/>
            <w:vAlign w:val="bottom"/>
            <w:hideMark/>
          </w:tcPr>
          <w:p w14:paraId="24C0FE73"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5.07</w:t>
            </w:r>
          </w:p>
        </w:tc>
        <w:tc>
          <w:tcPr>
            <w:tcW w:w="1276" w:type="dxa"/>
            <w:tcBorders>
              <w:top w:val="nil"/>
              <w:left w:val="nil"/>
              <w:bottom w:val="nil"/>
              <w:right w:val="nil"/>
            </w:tcBorders>
            <w:shd w:val="clear" w:color="auto" w:fill="auto"/>
            <w:noWrap/>
            <w:vAlign w:val="bottom"/>
            <w:hideMark/>
          </w:tcPr>
          <w:p w14:paraId="1AEE55B3"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4.71</w:t>
            </w:r>
          </w:p>
        </w:tc>
        <w:tc>
          <w:tcPr>
            <w:tcW w:w="1134" w:type="dxa"/>
            <w:tcBorders>
              <w:top w:val="nil"/>
              <w:left w:val="nil"/>
              <w:bottom w:val="nil"/>
              <w:right w:val="nil"/>
            </w:tcBorders>
            <w:shd w:val="clear" w:color="auto" w:fill="auto"/>
            <w:noWrap/>
            <w:vAlign w:val="bottom"/>
            <w:hideMark/>
          </w:tcPr>
          <w:p w14:paraId="445A7849"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5.17</w:t>
            </w:r>
          </w:p>
        </w:tc>
        <w:tc>
          <w:tcPr>
            <w:tcW w:w="1276" w:type="dxa"/>
            <w:tcBorders>
              <w:top w:val="nil"/>
              <w:left w:val="nil"/>
              <w:bottom w:val="nil"/>
              <w:right w:val="nil"/>
            </w:tcBorders>
            <w:shd w:val="clear" w:color="auto" w:fill="auto"/>
            <w:noWrap/>
            <w:vAlign w:val="bottom"/>
            <w:hideMark/>
          </w:tcPr>
          <w:p w14:paraId="5DC57491"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5.40</w:t>
            </w:r>
          </w:p>
        </w:tc>
        <w:tc>
          <w:tcPr>
            <w:tcW w:w="1276" w:type="dxa"/>
            <w:tcBorders>
              <w:top w:val="nil"/>
              <w:left w:val="nil"/>
              <w:bottom w:val="nil"/>
              <w:right w:val="nil"/>
            </w:tcBorders>
            <w:shd w:val="clear" w:color="auto" w:fill="auto"/>
            <w:noWrap/>
            <w:vAlign w:val="bottom"/>
            <w:hideMark/>
          </w:tcPr>
          <w:p w14:paraId="7B15B5AA"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5.56</w:t>
            </w:r>
          </w:p>
        </w:tc>
        <w:tc>
          <w:tcPr>
            <w:tcW w:w="1275" w:type="dxa"/>
            <w:tcBorders>
              <w:top w:val="nil"/>
              <w:left w:val="nil"/>
              <w:bottom w:val="nil"/>
              <w:right w:val="nil"/>
            </w:tcBorders>
            <w:shd w:val="clear" w:color="auto" w:fill="auto"/>
            <w:noWrap/>
            <w:vAlign w:val="bottom"/>
            <w:hideMark/>
          </w:tcPr>
          <w:p w14:paraId="0AE7368B"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5.63</w:t>
            </w:r>
          </w:p>
        </w:tc>
      </w:tr>
      <w:tr w:rsidR="00A07B54" w:rsidRPr="00D41678" w14:paraId="57D851A6" w14:textId="77777777" w:rsidTr="00A07B54">
        <w:trPr>
          <w:trHeight w:val="280"/>
        </w:trPr>
        <w:tc>
          <w:tcPr>
            <w:tcW w:w="1101" w:type="dxa"/>
            <w:tcBorders>
              <w:top w:val="nil"/>
              <w:left w:val="nil"/>
              <w:bottom w:val="nil"/>
              <w:right w:val="nil"/>
            </w:tcBorders>
            <w:shd w:val="clear" w:color="000000" w:fill="008000"/>
            <w:noWrap/>
            <w:vAlign w:val="bottom"/>
            <w:hideMark/>
          </w:tcPr>
          <w:p w14:paraId="7D390E78"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EN02</w:t>
            </w:r>
          </w:p>
        </w:tc>
        <w:tc>
          <w:tcPr>
            <w:tcW w:w="1275" w:type="dxa"/>
            <w:tcBorders>
              <w:top w:val="nil"/>
              <w:left w:val="nil"/>
              <w:bottom w:val="nil"/>
              <w:right w:val="nil"/>
            </w:tcBorders>
            <w:shd w:val="clear" w:color="auto" w:fill="auto"/>
            <w:noWrap/>
            <w:vAlign w:val="bottom"/>
            <w:hideMark/>
          </w:tcPr>
          <w:p w14:paraId="10ED1672"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4.72</w:t>
            </w:r>
          </w:p>
        </w:tc>
        <w:tc>
          <w:tcPr>
            <w:tcW w:w="1276" w:type="dxa"/>
            <w:tcBorders>
              <w:top w:val="nil"/>
              <w:left w:val="nil"/>
              <w:bottom w:val="nil"/>
              <w:right w:val="nil"/>
            </w:tcBorders>
            <w:shd w:val="clear" w:color="auto" w:fill="auto"/>
            <w:noWrap/>
            <w:vAlign w:val="bottom"/>
            <w:hideMark/>
          </w:tcPr>
          <w:p w14:paraId="7282C8D6"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4.90</w:t>
            </w:r>
          </w:p>
        </w:tc>
        <w:tc>
          <w:tcPr>
            <w:tcW w:w="1134" w:type="dxa"/>
            <w:tcBorders>
              <w:top w:val="nil"/>
              <w:left w:val="nil"/>
              <w:bottom w:val="nil"/>
              <w:right w:val="nil"/>
            </w:tcBorders>
            <w:shd w:val="clear" w:color="auto" w:fill="auto"/>
            <w:noWrap/>
            <w:vAlign w:val="bottom"/>
            <w:hideMark/>
          </w:tcPr>
          <w:p w14:paraId="1E5FA724"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4.61</w:t>
            </w:r>
          </w:p>
        </w:tc>
        <w:tc>
          <w:tcPr>
            <w:tcW w:w="1276" w:type="dxa"/>
            <w:tcBorders>
              <w:top w:val="nil"/>
              <w:left w:val="nil"/>
              <w:bottom w:val="nil"/>
              <w:right w:val="nil"/>
            </w:tcBorders>
            <w:shd w:val="clear" w:color="auto" w:fill="auto"/>
            <w:noWrap/>
            <w:vAlign w:val="bottom"/>
            <w:hideMark/>
          </w:tcPr>
          <w:p w14:paraId="569BCB0C"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4.99</w:t>
            </w:r>
          </w:p>
        </w:tc>
        <w:tc>
          <w:tcPr>
            <w:tcW w:w="1276" w:type="dxa"/>
            <w:tcBorders>
              <w:top w:val="nil"/>
              <w:left w:val="nil"/>
              <w:bottom w:val="nil"/>
              <w:right w:val="nil"/>
            </w:tcBorders>
            <w:shd w:val="clear" w:color="auto" w:fill="auto"/>
            <w:noWrap/>
            <w:vAlign w:val="bottom"/>
            <w:hideMark/>
          </w:tcPr>
          <w:p w14:paraId="31C96354"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5.16</w:t>
            </w:r>
          </w:p>
        </w:tc>
        <w:tc>
          <w:tcPr>
            <w:tcW w:w="1275" w:type="dxa"/>
            <w:tcBorders>
              <w:top w:val="nil"/>
              <w:left w:val="nil"/>
              <w:bottom w:val="nil"/>
              <w:right w:val="nil"/>
            </w:tcBorders>
            <w:shd w:val="clear" w:color="auto" w:fill="auto"/>
            <w:noWrap/>
            <w:vAlign w:val="bottom"/>
            <w:hideMark/>
          </w:tcPr>
          <w:p w14:paraId="15F44A6F" w14:textId="77777777" w:rsidR="00D41678" w:rsidRPr="00D41678" w:rsidRDefault="00D41678" w:rsidP="00454D06">
            <w:pPr>
              <w:rPr>
                <w:rFonts w:ascii="Times New Roman" w:eastAsia="Times New Roman" w:hAnsi="Times New Roman" w:cs="Times New Roman"/>
                <w:color w:val="000000"/>
                <w:sz w:val="22"/>
                <w:szCs w:val="22"/>
                <w:lang w:val="en-GB"/>
              </w:rPr>
            </w:pPr>
            <w:r w:rsidRPr="00D41678">
              <w:rPr>
                <w:rFonts w:ascii="Times New Roman" w:eastAsia="Times New Roman" w:hAnsi="Times New Roman" w:cs="Times New Roman"/>
                <w:color w:val="000000"/>
                <w:sz w:val="22"/>
                <w:szCs w:val="22"/>
                <w:lang w:val="en-GB"/>
              </w:rPr>
              <w:t>4.87</w:t>
            </w:r>
          </w:p>
        </w:tc>
      </w:tr>
    </w:tbl>
    <w:p w14:paraId="5613C985" w14:textId="77777777" w:rsidR="00BC4F4F" w:rsidRDefault="00BC4F4F">
      <w:pPr>
        <w:rPr>
          <w:rFonts w:ascii="Times New Roman" w:hAnsi="Times New Roman" w:cs="Times New Roman"/>
          <w:b/>
          <w:noProof/>
          <w:u w:val="single"/>
        </w:rPr>
      </w:pPr>
    </w:p>
    <w:p w14:paraId="0B57FBFB" w14:textId="77777777" w:rsidR="00A07B54" w:rsidRDefault="00A07B54">
      <w:pPr>
        <w:rPr>
          <w:rFonts w:ascii="Times New Roman" w:hAnsi="Times New Roman" w:cs="Times New Roman"/>
          <w:b/>
          <w:noProof/>
          <w:u w:val="single"/>
        </w:rPr>
      </w:pPr>
    </w:p>
    <w:p w14:paraId="20A13416" w14:textId="77777777" w:rsidR="00D80C07" w:rsidRDefault="00D80C07">
      <w:pPr>
        <w:rPr>
          <w:rFonts w:ascii="Times New Roman" w:hAnsi="Times New Roman" w:cs="Times New Roman"/>
          <w:b/>
          <w:noProof/>
          <w:u w:val="single"/>
        </w:rPr>
      </w:pPr>
    </w:p>
    <w:p w14:paraId="133CB1C2" w14:textId="0FCC55A0" w:rsidR="00225C5C" w:rsidRPr="00F92407" w:rsidRDefault="00967133" w:rsidP="00F92407">
      <w:pPr>
        <w:rPr>
          <w:rFonts w:ascii="Times New Roman" w:hAnsi="Times New Roman" w:cs="Times New Roman"/>
          <w:b/>
          <w:i/>
          <w:noProof/>
          <w:u w:val="single"/>
        </w:rPr>
      </w:pPr>
      <w:bookmarkStart w:id="2222" w:name="_Toc328301205"/>
      <w:bookmarkStart w:id="2223" w:name="_Toc329593496"/>
      <w:bookmarkStart w:id="2224" w:name="_Toc331425994"/>
      <w:r>
        <w:rPr>
          <w:rFonts w:ascii="Times New Roman" w:hAnsi="Times New Roman" w:cs="Times New Roman"/>
          <w:b/>
          <w:i/>
          <w:noProof/>
          <w:u w:val="single"/>
        </w:rPr>
        <w:t>Acquisition of cDNA for q</w:t>
      </w:r>
      <w:r w:rsidR="003854B1" w:rsidRPr="00F92407">
        <w:rPr>
          <w:rFonts w:ascii="Times New Roman" w:hAnsi="Times New Roman" w:cs="Times New Roman"/>
          <w:b/>
          <w:i/>
          <w:noProof/>
          <w:u w:val="single"/>
        </w:rPr>
        <w:t>RT-PCR validation</w:t>
      </w:r>
      <w:bookmarkEnd w:id="2222"/>
      <w:bookmarkEnd w:id="2223"/>
      <w:bookmarkEnd w:id="2224"/>
    </w:p>
    <w:p w14:paraId="236ADB14" w14:textId="1C770E44" w:rsidR="00B22052" w:rsidRDefault="00336A39" w:rsidP="00C63BC1">
      <w:pPr>
        <w:spacing w:line="360" w:lineRule="auto"/>
        <w:jc w:val="both"/>
        <w:rPr>
          <w:rFonts w:ascii="Times New Roman" w:hAnsi="Times New Roman" w:cs="Times New Roman"/>
          <w:noProof/>
        </w:rPr>
      </w:pPr>
      <w:r>
        <w:rPr>
          <w:rFonts w:ascii="Times New Roman" w:hAnsi="Times New Roman" w:cs="Times New Roman"/>
          <w:noProof/>
        </w:rPr>
        <w:t>Astrocytes treated with</w:t>
      </w:r>
      <w:r w:rsidR="00181E7B">
        <w:rPr>
          <w:rFonts w:ascii="Times New Roman" w:hAnsi="Times New Roman" w:cs="Times New Roman"/>
          <w:noProof/>
        </w:rPr>
        <w:t xml:space="preserve"> IgG/MAB391 and untreated astrocytes</w:t>
      </w:r>
      <w:r>
        <w:rPr>
          <w:rFonts w:ascii="Times New Roman" w:hAnsi="Times New Roman" w:cs="Times New Roman"/>
          <w:noProof/>
        </w:rPr>
        <w:t xml:space="preserve"> were co-cultured with LUHMES for </w:t>
      </w:r>
      <w:r w:rsidR="00B8782A">
        <w:rPr>
          <w:rFonts w:ascii="Times New Roman" w:hAnsi="Times New Roman" w:cs="Times New Roman"/>
          <w:noProof/>
        </w:rPr>
        <w:t>72 hours before FACS</w:t>
      </w:r>
      <w:r w:rsidR="0089659D">
        <w:rPr>
          <w:rFonts w:ascii="Times New Roman" w:hAnsi="Times New Roman" w:cs="Times New Roman"/>
          <w:noProof/>
        </w:rPr>
        <w:t xml:space="preserve"> sorting. </w:t>
      </w:r>
      <w:r w:rsidR="00DA4DEC" w:rsidRPr="004A24B9">
        <w:rPr>
          <w:rFonts w:ascii="Times New Roman" w:hAnsi="Times New Roman" w:cs="Times New Roman"/>
          <w:b/>
          <w:noProof/>
        </w:rPr>
        <w:t xml:space="preserve">Table </w:t>
      </w:r>
      <w:r w:rsidR="00097832" w:rsidRPr="004A24B9">
        <w:rPr>
          <w:rFonts w:ascii="Times New Roman" w:hAnsi="Times New Roman" w:cs="Times New Roman"/>
          <w:b/>
          <w:noProof/>
        </w:rPr>
        <w:t>5.2</w:t>
      </w:r>
      <w:r w:rsidR="00EB38F3">
        <w:rPr>
          <w:rFonts w:ascii="Times New Roman" w:hAnsi="Times New Roman" w:cs="Times New Roman"/>
          <w:b/>
          <w:noProof/>
        </w:rPr>
        <w:t>0</w:t>
      </w:r>
      <w:r w:rsidR="00DA4DEC">
        <w:rPr>
          <w:rFonts w:ascii="Times New Roman" w:hAnsi="Times New Roman" w:cs="Times New Roman"/>
          <w:noProof/>
        </w:rPr>
        <w:t xml:space="preserve"> sho</w:t>
      </w:r>
      <w:r w:rsidR="00A660F4">
        <w:rPr>
          <w:rFonts w:ascii="Times New Roman" w:hAnsi="Times New Roman" w:cs="Times New Roman"/>
          <w:noProof/>
        </w:rPr>
        <w:t>ws the amount of cells collected during the</w:t>
      </w:r>
      <w:r w:rsidR="00B8782A">
        <w:rPr>
          <w:rFonts w:ascii="Times New Roman" w:hAnsi="Times New Roman" w:cs="Times New Roman"/>
          <w:noProof/>
        </w:rPr>
        <w:t xml:space="preserve"> FACS </w:t>
      </w:r>
      <w:r w:rsidR="00DA4DEC">
        <w:rPr>
          <w:rFonts w:ascii="Times New Roman" w:hAnsi="Times New Roman" w:cs="Times New Roman"/>
          <w:noProof/>
        </w:rPr>
        <w:t>sort, with an average of 52</w:t>
      </w:r>
      <w:r w:rsidR="00487CF3">
        <w:rPr>
          <w:rFonts w:ascii="Times New Roman" w:hAnsi="Times New Roman" w:cs="Times New Roman"/>
          <w:noProof/>
        </w:rPr>
        <w:t xml:space="preserve"> </w:t>
      </w:r>
      <w:r w:rsidR="00DA4DEC">
        <w:rPr>
          <w:rFonts w:ascii="Times New Roman" w:hAnsi="Times New Roman" w:cs="Times New Roman"/>
          <w:noProof/>
        </w:rPr>
        <w:t>628 astrocytes and 241</w:t>
      </w:r>
      <w:r w:rsidR="00487CF3">
        <w:rPr>
          <w:rFonts w:ascii="Times New Roman" w:hAnsi="Times New Roman" w:cs="Times New Roman"/>
          <w:noProof/>
        </w:rPr>
        <w:t xml:space="preserve"> </w:t>
      </w:r>
      <w:r w:rsidR="00DA4DEC">
        <w:rPr>
          <w:rFonts w:ascii="Times New Roman" w:hAnsi="Times New Roman" w:cs="Times New Roman"/>
          <w:noProof/>
        </w:rPr>
        <w:t xml:space="preserve">000 neurons collected during this procedure. </w:t>
      </w:r>
      <w:r w:rsidR="0089659D">
        <w:rPr>
          <w:rFonts w:ascii="Times New Roman" w:hAnsi="Times New Roman" w:cs="Times New Roman"/>
          <w:noProof/>
        </w:rPr>
        <w:t>In an attempt to</w:t>
      </w:r>
      <w:r>
        <w:rPr>
          <w:rFonts w:ascii="Times New Roman" w:hAnsi="Times New Roman" w:cs="Times New Roman"/>
          <w:noProof/>
        </w:rPr>
        <w:t xml:space="preserve"> improve RNA quality, astrocytes were sorted directly into 200μl of Tr</w:t>
      </w:r>
      <w:r w:rsidR="00181E7B">
        <w:rPr>
          <w:rFonts w:ascii="Times New Roman" w:hAnsi="Times New Roman" w:cs="Times New Roman"/>
          <w:noProof/>
        </w:rPr>
        <w:t>izol®.</w:t>
      </w:r>
      <w:r w:rsidR="00DA4DEC">
        <w:rPr>
          <w:rFonts w:ascii="Times New Roman" w:hAnsi="Times New Roman" w:cs="Times New Roman"/>
          <w:noProof/>
        </w:rPr>
        <w:t xml:space="preserve"> RNA was isolated from astrocytes </w:t>
      </w:r>
      <w:r w:rsidR="00A660F4">
        <w:rPr>
          <w:rFonts w:ascii="Times New Roman" w:hAnsi="Times New Roman" w:cs="Times New Roman"/>
          <w:noProof/>
        </w:rPr>
        <w:t>using the Zymo</w:t>
      </w:r>
      <w:r w:rsidR="00B93CAF">
        <w:rPr>
          <w:rFonts w:ascii="Times New Roman" w:hAnsi="Times New Roman" w:cs="Times New Roman"/>
          <w:noProof/>
        </w:rPr>
        <w:t xml:space="preserve"> RNA</w:t>
      </w:r>
      <w:r w:rsidR="00A660F4">
        <w:rPr>
          <w:rFonts w:ascii="Times New Roman" w:hAnsi="Times New Roman" w:cs="Times New Roman"/>
          <w:noProof/>
        </w:rPr>
        <w:t xml:space="preserve"> extraction kit </w:t>
      </w:r>
      <w:r w:rsidR="00DA4DEC">
        <w:rPr>
          <w:rFonts w:ascii="Times New Roman" w:hAnsi="Times New Roman" w:cs="Times New Roman"/>
          <w:noProof/>
        </w:rPr>
        <w:t xml:space="preserve">and measured on the </w:t>
      </w:r>
      <w:r w:rsidR="00DA4DEC">
        <w:rPr>
          <w:rFonts w:ascii="Times New Roman" w:eastAsia="Times New Roman" w:hAnsi="Times New Roman" w:cs="Times New Roman"/>
          <w:bCs/>
          <w:color w:val="000000"/>
          <w:lang w:val="en-GB"/>
        </w:rPr>
        <w:t xml:space="preserve">NanoDrop </w:t>
      </w:r>
      <w:r w:rsidR="00F768E6">
        <w:rPr>
          <w:rFonts w:ascii="Times New Roman" w:eastAsia="Times New Roman" w:hAnsi="Times New Roman" w:cs="Times New Roman"/>
          <w:bCs/>
          <w:color w:val="000000"/>
          <w:lang w:val="en-GB"/>
        </w:rPr>
        <w:t>10</w:t>
      </w:r>
      <w:r w:rsidR="00097832">
        <w:rPr>
          <w:rFonts w:ascii="Times New Roman" w:eastAsia="Times New Roman" w:hAnsi="Times New Roman" w:cs="Times New Roman"/>
          <w:bCs/>
          <w:color w:val="000000"/>
          <w:lang w:val="en-GB"/>
        </w:rPr>
        <w:t xml:space="preserve">00 spectrophotometer. </w:t>
      </w:r>
      <w:r w:rsidR="00097832" w:rsidRPr="004A24B9">
        <w:rPr>
          <w:rFonts w:ascii="Times New Roman" w:eastAsia="Times New Roman" w:hAnsi="Times New Roman" w:cs="Times New Roman"/>
          <w:b/>
          <w:bCs/>
          <w:color w:val="000000"/>
          <w:lang w:val="en-GB"/>
        </w:rPr>
        <w:t>Table 5.2</w:t>
      </w:r>
      <w:r w:rsidR="00EB38F3">
        <w:rPr>
          <w:rFonts w:ascii="Times New Roman" w:eastAsia="Times New Roman" w:hAnsi="Times New Roman" w:cs="Times New Roman"/>
          <w:b/>
          <w:bCs/>
          <w:color w:val="000000"/>
          <w:lang w:val="en-GB"/>
        </w:rPr>
        <w:t>1</w:t>
      </w:r>
      <w:r w:rsidR="00004C0A">
        <w:rPr>
          <w:rFonts w:ascii="Times New Roman" w:eastAsia="Times New Roman" w:hAnsi="Times New Roman" w:cs="Times New Roman"/>
          <w:bCs/>
          <w:color w:val="000000"/>
          <w:lang w:val="en-GB"/>
        </w:rPr>
        <w:t xml:space="preserve"> shows</w:t>
      </w:r>
      <w:r w:rsidR="00DA4DEC">
        <w:rPr>
          <w:rFonts w:ascii="Times New Roman" w:eastAsia="Times New Roman" w:hAnsi="Times New Roman" w:cs="Times New Roman"/>
          <w:bCs/>
          <w:color w:val="000000"/>
          <w:lang w:val="en-GB"/>
        </w:rPr>
        <w:t xml:space="preserve"> less RNA was extracted than in previous </w:t>
      </w:r>
      <w:r w:rsidR="001903D5">
        <w:rPr>
          <w:rFonts w:ascii="Times New Roman" w:eastAsia="Times New Roman" w:hAnsi="Times New Roman" w:cs="Times New Roman"/>
          <w:bCs/>
          <w:color w:val="000000"/>
          <w:lang w:val="en-GB"/>
        </w:rPr>
        <w:t>cell sorts (</w:t>
      </w:r>
      <w:r w:rsidR="001903D5" w:rsidRPr="004A24B9">
        <w:rPr>
          <w:rFonts w:ascii="Times New Roman" w:eastAsia="Times New Roman" w:hAnsi="Times New Roman" w:cs="Times New Roman"/>
          <w:b/>
          <w:bCs/>
          <w:color w:val="000000"/>
          <w:lang w:val="en-GB"/>
        </w:rPr>
        <w:t>table 5.2</w:t>
      </w:r>
      <w:r w:rsidR="00D16325">
        <w:rPr>
          <w:rFonts w:ascii="Times New Roman" w:eastAsia="Times New Roman" w:hAnsi="Times New Roman" w:cs="Times New Roman"/>
          <w:bCs/>
          <w:color w:val="000000"/>
          <w:lang w:val="en-GB"/>
        </w:rPr>
        <w:t xml:space="preserve">) but 260/280 and 260/230 ratios were more consistent and closer to </w:t>
      </w:r>
      <w:r w:rsidR="00B93CAF">
        <w:rPr>
          <w:rFonts w:ascii="Times New Roman" w:eastAsia="Times New Roman" w:hAnsi="Times New Roman" w:cs="Times New Roman"/>
          <w:bCs/>
          <w:color w:val="000000"/>
          <w:lang w:val="en-GB"/>
        </w:rPr>
        <w:t xml:space="preserve">a ratio of </w:t>
      </w:r>
      <w:r w:rsidR="00D16325">
        <w:rPr>
          <w:rFonts w:ascii="Times New Roman" w:eastAsia="Times New Roman" w:hAnsi="Times New Roman" w:cs="Times New Roman"/>
          <w:bCs/>
          <w:color w:val="000000"/>
          <w:lang w:val="en-GB"/>
        </w:rPr>
        <w:t xml:space="preserve">2 than </w:t>
      </w:r>
      <w:r w:rsidR="00004C0A">
        <w:rPr>
          <w:rFonts w:ascii="Times New Roman" w:eastAsia="Times New Roman" w:hAnsi="Times New Roman" w:cs="Times New Roman"/>
          <w:bCs/>
          <w:color w:val="000000"/>
          <w:lang w:val="en-GB"/>
        </w:rPr>
        <w:t>previously</w:t>
      </w:r>
      <w:r w:rsidR="00D16325">
        <w:rPr>
          <w:rFonts w:ascii="Times New Roman" w:eastAsia="Times New Roman" w:hAnsi="Times New Roman" w:cs="Times New Roman"/>
          <w:bCs/>
          <w:color w:val="000000"/>
          <w:lang w:val="en-GB"/>
        </w:rPr>
        <w:t>.</w:t>
      </w:r>
      <w:r w:rsidR="00071F1E">
        <w:rPr>
          <w:rFonts w:ascii="Times New Roman" w:eastAsia="Times New Roman" w:hAnsi="Times New Roman" w:cs="Times New Roman"/>
          <w:bCs/>
          <w:color w:val="000000"/>
          <w:lang w:val="en-GB"/>
        </w:rPr>
        <w:t xml:space="preserve"> Owing</w:t>
      </w:r>
      <w:r w:rsidR="00A660F4">
        <w:rPr>
          <w:rFonts w:ascii="Times New Roman" w:eastAsia="Times New Roman" w:hAnsi="Times New Roman" w:cs="Times New Roman"/>
          <w:bCs/>
          <w:color w:val="000000"/>
          <w:lang w:val="en-GB"/>
        </w:rPr>
        <w:t xml:space="preserve"> to limited availability of RNA material and to maximise </w:t>
      </w:r>
      <w:r w:rsidR="00B93CAF">
        <w:rPr>
          <w:rFonts w:ascii="Times New Roman" w:eastAsia="Times New Roman" w:hAnsi="Times New Roman" w:cs="Times New Roman"/>
          <w:bCs/>
          <w:color w:val="000000"/>
          <w:lang w:val="en-GB"/>
        </w:rPr>
        <w:t>the number of target genes that could be</w:t>
      </w:r>
      <w:r w:rsidR="00967133">
        <w:rPr>
          <w:rFonts w:ascii="Times New Roman" w:eastAsia="Times New Roman" w:hAnsi="Times New Roman" w:cs="Times New Roman"/>
          <w:bCs/>
          <w:color w:val="000000"/>
          <w:lang w:val="en-GB"/>
        </w:rPr>
        <w:t xml:space="preserve"> validated by q</w:t>
      </w:r>
      <w:r w:rsidR="00A660F4">
        <w:rPr>
          <w:rFonts w:ascii="Times New Roman" w:eastAsia="Times New Roman" w:hAnsi="Times New Roman" w:cs="Times New Roman"/>
          <w:bCs/>
          <w:color w:val="000000"/>
          <w:lang w:val="en-GB"/>
        </w:rPr>
        <w:t>RT-PCR, a QuantiTect® Whole Transcriptome</w:t>
      </w:r>
      <w:r w:rsidR="00DE1E5B">
        <w:rPr>
          <w:rFonts w:ascii="Times New Roman" w:eastAsia="Times New Roman" w:hAnsi="Times New Roman" w:cs="Times New Roman"/>
          <w:bCs/>
          <w:color w:val="000000"/>
          <w:lang w:val="en-GB"/>
        </w:rPr>
        <w:t xml:space="preserve"> amplification kit was used </w:t>
      </w:r>
      <w:r w:rsidR="00D97F5F">
        <w:rPr>
          <w:rFonts w:ascii="Times New Roman" w:eastAsia="Times New Roman" w:hAnsi="Times New Roman" w:cs="Times New Roman"/>
          <w:bCs/>
          <w:color w:val="000000"/>
          <w:lang w:val="en-GB"/>
        </w:rPr>
        <w:t>to increase th</w:t>
      </w:r>
      <w:r w:rsidR="00004C0A">
        <w:rPr>
          <w:rFonts w:ascii="Times New Roman" w:eastAsia="Times New Roman" w:hAnsi="Times New Roman" w:cs="Times New Roman"/>
          <w:bCs/>
          <w:color w:val="000000"/>
          <w:lang w:val="en-GB"/>
        </w:rPr>
        <w:t xml:space="preserve">e amount of </w:t>
      </w:r>
      <w:r w:rsidR="00B93CAF">
        <w:rPr>
          <w:rFonts w:ascii="Times New Roman" w:eastAsia="Times New Roman" w:hAnsi="Times New Roman" w:cs="Times New Roman"/>
          <w:bCs/>
          <w:color w:val="000000"/>
          <w:lang w:val="en-GB"/>
        </w:rPr>
        <w:t>cDNA material</w:t>
      </w:r>
      <w:r w:rsidR="00D97F5F">
        <w:rPr>
          <w:rFonts w:ascii="Times New Roman" w:eastAsia="Times New Roman" w:hAnsi="Times New Roman" w:cs="Times New Roman"/>
          <w:bCs/>
          <w:color w:val="000000"/>
          <w:lang w:val="en-GB"/>
        </w:rPr>
        <w:t>. 40ng of RNA was incorporated into the amplification reactions and after reverse transcription and subsequent amplification</w:t>
      </w:r>
      <w:r w:rsidR="00004C0A">
        <w:rPr>
          <w:rFonts w:ascii="Times New Roman" w:eastAsia="Times New Roman" w:hAnsi="Times New Roman" w:cs="Times New Roman"/>
          <w:bCs/>
          <w:color w:val="000000"/>
          <w:lang w:val="en-GB"/>
        </w:rPr>
        <w:t xml:space="preserve"> this</w:t>
      </w:r>
      <w:r w:rsidR="00D97F5F">
        <w:rPr>
          <w:rFonts w:ascii="Times New Roman" w:eastAsia="Times New Roman" w:hAnsi="Times New Roman" w:cs="Times New Roman"/>
          <w:bCs/>
          <w:color w:val="000000"/>
          <w:lang w:val="en-GB"/>
        </w:rPr>
        <w:t xml:space="preserve"> resulted in </w:t>
      </w:r>
      <w:r w:rsidR="00B93CAF">
        <w:rPr>
          <w:rFonts w:ascii="Times New Roman" w:eastAsia="Times New Roman" w:hAnsi="Times New Roman" w:cs="Times New Roman"/>
          <w:bCs/>
          <w:color w:val="000000"/>
          <w:lang w:val="en-GB"/>
        </w:rPr>
        <w:t xml:space="preserve">the synthesis of </w:t>
      </w:r>
      <w:r w:rsidR="00D97F5F">
        <w:rPr>
          <w:rFonts w:ascii="Times New Roman" w:eastAsia="Times New Roman" w:hAnsi="Times New Roman" w:cs="Times New Roman"/>
          <w:bCs/>
          <w:color w:val="000000"/>
          <w:lang w:val="en-GB"/>
        </w:rPr>
        <w:t>approximately 9μg of cDNA</w:t>
      </w:r>
      <w:r w:rsidR="004A24B9">
        <w:rPr>
          <w:rFonts w:ascii="Times New Roman" w:eastAsia="Times New Roman" w:hAnsi="Times New Roman" w:cs="Times New Roman"/>
          <w:bCs/>
          <w:color w:val="000000"/>
          <w:lang w:val="en-GB"/>
        </w:rPr>
        <w:t xml:space="preserve"> (</w:t>
      </w:r>
      <w:r w:rsidR="004A24B9" w:rsidRPr="004A24B9">
        <w:rPr>
          <w:rFonts w:ascii="Times New Roman" w:eastAsia="Times New Roman" w:hAnsi="Times New Roman" w:cs="Times New Roman"/>
          <w:b/>
          <w:bCs/>
          <w:color w:val="000000"/>
          <w:lang w:val="en-GB"/>
        </w:rPr>
        <w:t>table 5.2</w:t>
      </w:r>
      <w:r w:rsidR="00EB38F3">
        <w:rPr>
          <w:rFonts w:ascii="Times New Roman" w:eastAsia="Times New Roman" w:hAnsi="Times New Roman" w:cs="Times New Roman"/>
          <w:b/>
          <w:bCs/>
          <w:color w:val="000000"/>
          <w:lang w:val="en-GB"/>
        </w:rPr>
        <w:t>2</w:t>
      </w:r>
      <w:r w:rsidR="00B93CAF">
        <w:rPr>
          <w:rFonts w:ascii="Times New Roman" w:eastAsia="Times New Roman" w:hAnsi="Times New Roman" w:cs="Times New Roman"/>
          <w:bCs/>
          <w:color w:val="000000"/>
          <w:lang w:val="en-GB"/>
        </w:rPr>
        <w:t xml:space="preserve">), as measured by the Qubit fluorometer. </w:t>
      </w:r>
    </w:p>
    <w:p w14:paraId="7B647D44" w14:textId="77777777" w:rsidR="00D97F5F" w:rsidRDefault="00D97F5F" w:rsidP="0089659D">
      <w:pPr>
        <w:spacing w:line="360" w:lineRule="auto"/>
        <w:rPr>
          <w:rFonts w:ascii="Times New Roman" w:hAnsi="Times New Roman" w:cs="Times New Roman"/>
          <w:noProof/>
        </w:rPr>
      </w:pPr>
    </w:p>
    <w:p w14:paraId="0216818E" w14:textId="77777777" w:rsidR="00F768E6" w:rsidRDefault="00F768E6" w:rsidP="0089659D">
      <w:pPr>
        <w:spacing w:line="360" w:lineRule="auto"/>
        <w:rPr>
          <w:rFonts w:ascii="Times New Roman" w:hAnsi="Times New Roman" w:cs="Times New Roman"/>
          <w:b/>
          <w:noProof/>
        </w:rPr>
      </w:pPr>
    </w:p>
    <w:p w14:paraId="3474DAD6" w14:textId="77777777" w:rsidR="00F768E6" w:rsidRDefault="00F768E6" w:rsidP="0089659D">
      <w:pPr>
        <w:spacing w:line="360" w:lineRule="auto"/>
        <w:rPr>
          <w:rFonts w:ascii="Times New Roman" w:hAnsi="Times New Roman" w:cs="Times New Roman"/>
          <w:b/>
          <w:noProof/>
        </w:rPr>
      </w:pPr>
    </w:p>
    <w:p w14:paraId="01FC0AB5" w14:textId="77777777" w:rsidR="00F768E6" w:rsidRDefault="00F768E6" w:rsidP="0089659D">
      <w:pPr>
        <w:spacing w:line="360" w:lineRule="auto"/>
        <w:rPr>
          <w:rFonts w:ascii="Times New Roman" w:hAnsi="Times New Roman" w:cs="Times New Roman"/>
          <w:b/>
          <w:noProof/>
        </w:rPr>
      </w:pPr>
    </w:p>
    <w:p w14:paraId="3A8DBC05" w14:textId="77777777" w:rsidR="00AA21C2" w:rsidRDefault="00AA21C2" w:rsidP="0089659D">
      <w:pPr>
        <w:spacing w:line="360" w:lineRule="auto"/>
        <w:rPr>
          <w:rFonts w:ascii="Times New Roman" w:hAnsi="Times New Roman" w:cs="Times New Roman"/>
          <w:b/>
          <w:noProof/>
        </w:rPr>
      </w:pPr>
    </w:p>
    <w:p w14:paraId="6A72E6C7" w14:textId="77777777" w:rsidR="00AA21C2" w:rsidRDefault="00AA21C2" w:rsidP="0089659D">
      <w:pPr>
        <w:spacing w:line="360" w:lineRule="auto"/>
        <w:rPr>
          <w:rFonts w:ascii="Times New Roman" w:hAnsi="Times New Roman" w:cs="Times New Roman"/>
          <w:b/>
          <w:noProof/>
        </w:rPr>
      </w:pPr>
    </w:p>
    <w:p w14:paraId="3520C114" w14:textId="77777777" w:rsidR="00F92407" w:rsidRDefault="00F92407" w:rsidP="00303E90">
      <w:pPr>
        <w:pStyle w:val="Heading6"/>
        <w:rPr>
          <w:noProof/>
        </w:rPr>
      </w:pPr>
    </w:p>
    <w:p w14:paraId="0AE41E15" w14:textId="25F1DE5F" w:rsidR="00D16325" w:rsidRDefault="00D16325" w:rsidP="004D474F">
      <w:pPr>
        <w:pStyle w:val="Heading5"/>
        <w:rPr>
          <w:noProof/>
        </w:rPr>
      </w:pPr>
      <w:bookmarkStart w:id="2225" w:name="_Toc333569369"/>
      <w:bookmarkStart w:id="2226" w:name="_Toc333570907"/>
      <w:bookmarkStart w:id="2227" w:name="_Toc333585988"/>
      <w:bookmarkStart w:id="2228" w:name="_Toc333586864"/>
      <w:bookmarkStart w:id="2229" w:name="_Toc333644563"/>
      <w:bookmarkStart w:id="2230" w:name="_Toc333644857"/>
      <w:r>
        <w:rPr>
          <w:noProof/>
        </w:rPr>
        <w:t xml:space="preserve">Table </w:t>
      </w:r>
      <w:r w:rsidR="00A3722E">
        <w:rPr>
          <w:noProof/>
        </w:rPr>
        <w:t>5.20</w:t>
      </w:r>
      <w:r w:rsidR="0043060F">
        <w:rPr>
          <w:noProof/>
        </w:rPr>
        <w:t>.</w:t>
      </w:r>
      <w:r>
        <w:rPr>
          <w:noProof/>
        </w:rPr>
        <w:t xml:space="preserve"> Amount of astrocytes and neurons collected by FACS</w:t>
      </w:r>
      <w:bookmarkEnd w:id="2225"/>
      <w:bookmarkEnd w:id="2226"/>
      <w:bookmarkEnd w:id="2227"/>
      <w:bookmarkEnd w:id="2228"/>
      <w:bookmarkEnd w:id="2229"/>
      <w:bookmarkEnd w:id="2230"/>
    </w:p>
    <w:p w14:paraId="6C62B2D0" w14:textId="77777777" w:rsidR="00D16325" w:rsidRPr="00D16325" w:rsidRDefault="00D16325" w:rsidP="0089659D">
      <w:pPr>
        <w:spacing w:line="360" w:lineRule="auto"/>
        <w:rPr>
          <w:rFonts w:ascii="Times New Roman" w:hAnsi="Times New Roman" w:cs="Times New Roman"/>
          <w:b/>
          <w:noProof/>
        </w:rPr>
      </w:pPr>
    </w:p>
    <w:tbl>
      <w:tblPr>
        <w:tblW w:w="5557" w:type="dxa"/>
        <w:jc w:val="center"/>
        <w:tblInd w:w="108" w:type="dxa"/>
        <w:tblLook w:val="04A0" w:firstRow="1" w:lastRow="0" w:firstColumn="1" w:lastColumn="0" w:noHBand="0" w:noVBand="1"/>
      </w:tblPr>
      <w:tblGrid>
        <w:gridCol w:w="1417"/>
        <w:gridCol w:w="2100"/>
        <w:gridCol w:w="2040"/>
      </w:tblGrid>
      <w:tr w:rsidR="00BF793F" w:rsidRPr="00BF793F" w14:paraId="7BF3E8E8" w14:textId="77777777" w:rsidTr="00D97F5F">
        <w:trPr>
          <w:trHeight w:val="300"/>
          <w:jc w:val="center"/>
        </w:trPr>
        <w:tc>
          <w:tcPr>
            <w:tcW w:w="1417" w:type="dxa"/>
            <w:tcBorders>
              <w:top w:val="single" w:sz="4" w:space="0" w:color="auto"/>
              <w:left w:val="nil"/>
              <w:bottom w:val="single" w:sz="4" w:space="0" w:color="auto"/>
              <w:right w:val="nil"/>
            </w:tcBorders>
            <w:shd w:val="clear" w:color="auto" w:fill="auto"/>
            <w:noWrap/>
            <w:vAlign w:val="bottom"/>
            <w:hideMark/>
          </w:tcPr>
          <w:p w14:paraId="4245F589" w14:textId="77777777" w:rsidR="00BF793F" w:rsidRPr="00BF793F" w:rsidRDefault="00BF793F" w:rsidP="00454D06">
            <w:pPr>
              <w:rPr>
                <w:rFonts w:ascii="Times New Roman" w:eastAsia="Times New Roman" w:hAnsi="Times New Roman" w:cs="Times New Roman"/>
                <w:b/>
                <w:bCs/>
                <w:color w:val="000000"/>
                <w:lang w:val="en-GB"/>
              </w:rPr>
            </w:pPr>
            <w:r w:rsidRPr="00BF793F">
              <w:rPr>
                <w:rFonts w:ascii="Times New Roman" w:eastAsia="Times New Roman" w:hAnsi="Times New Roman" w:cs="Times New Roman"/>
                <w:b/>
                <w:bCs/>
                <w:color w:val="000000"/>
                <w:lang w:val="en-GB"/>
              </w:rPr>
              <w:t>Sample</w:t>
            </w:r>
          </w:p>
        </w:tc>
        <w:tc>
          <w:tcPr>
            <w:tcW w:w="2100" w:type="dxa"/>
            <w:tcBorders>
              <w:top w:val="single" w:sz="4" w:space="0" w:color="auto"/>
              <w:left w:val="nil"/>
              <w:bottom w:val="single" w:sz="4" w:space="0" w:color="auto"/>
              <w:right w:val="nil"/>
            </w:tcBorders>
            <w:shd w:val="clear" w:color="auto" w:fill="auto"/>
            <w:noWrap/>
            <w:vAlign w:val="bottom"/>
            <w:hideMark/>
          </w:tcPr>
          <w:p w14:paraId="10E94FBB" w14:textId="77777777" w:rsidR="00BF793F" w:rsidRPr="00BF793F" w:rsidRDefault="00BF793F" w:rsidP="00454D06">
            <w:pPr>
              <w:rPr>
                <w:rFonts w:ascii="Times New Roman" w:eastAsia="Times New Roman" w:hAnsi="Times New Roman" w:cs="Times New Roman"/>
                <w:b/>
                <w:bCs/>
                <w:color w:val="000000"/>
                <w:lang w:val="en-GB"/>
              </w:rPr>
            </w:pPr>
            <w:r w:rsidRPr="00BF793F">
              <w:rPr>
                <w:rFonts w:ascii="Times New Roman" w:eastAsia="Times New Roman" w:hAnsi="Times New Roman" w:cs="Times New Roman"/>
                <w:b/>
                <w:bCs/>
                <w:color w:val="000000"/>
                <w:lang w:val="en-GB"/>
              </w:rPr>
              <w:t>Astrocytes collected</w:t>
            </w:r>
          </w:p>
        </w:tc>
        <w:tc>
          <w:tcPr>
            <w:tcW w:w="2040" w:type="dxa"/>
            <w:tcBorders>
              <w:top w:val="single" w:sz="4" w:space="0" w:color="auto"/>
              <w:left w:val="nil"/>
              <w:bottom w:val="single" w:sz="4" w:space="0" w:color="auto"/>
              <w:right w:val="nil"/>
            </w:tcBorders>
            <w:shd w:val="clear" w:color="auto" w:fill="auto"/>
            <w:noWrap/>
            <w:vAlign w:val="bottom"/>
            <w:hideMark/>
          </w:tcPr>
          <w:p w14:paraId="61A46CEF" w14:textId="77777777" w:rsidR="00BF793F" w:rsidRPr="00BF793F" w:rsidRDefault="00BF793F" w:rsidP="00454D06">
            <w:pPr>
              <w:rPr>
                <w:rFonts w:ascii="Times New Roman" w:eastAsia="Times New Roman" w:hAnsi="Times New Roman" w:cs="Times New Roman"/>
                <w:b/>
                <w:bCs/>
                <w:color w:val="000000"/>
                <w:lang w:val="en-GB"/>
              </w:rPr>
            </w:pPr>
            <w:r w:rsidRPr="00BF793F">
              <w:rPr>
                <w:rFonts w:ascii="Times New Roman" w:eastAsia="Times New Roman" w:hAnsi="Times New Roman" w:cs="Times New Roman"/>
                <w:b/>
                <w:bCs/>
                <w:color w:val="000000"/>
                <w:lang w:val="en-GB"/>
              </w:rPr>
              <w:t>Neurons Collected</w:t>
            </w:r>
          </w:p>
        </w:tc>
      </w:tr>
      <w:tr w:rsidR="00BF793F" w:rsidRPr="00BF793F" w14:paraId="555B428E" w14:textId="77777777" w:rsidTr="00D97F5F">
        <w:trPr>
          <w:trHeight w:val="300"/>
          <w:jc w:val="center"/>
        </w:trPr>
        <w:tc>
          <w:tcPr>
            <w:tcW w:w="1417" w:type="dxa"/>
            <w:tcBorders>
              <w:top w:val="nil"/>
              <w:left w:val="nil"/>
              <w:bottom w:val="nil"/>
              <w:right w:val="nil"/>
            </w:tcBorders>
            <w:shd w:val="clear" w:color="auto" w:fill="auto"/>
            <w:noWrap/>
            <w:vAlign w:val="bottom"/>
            <w:hideMark/>
          </w:tcPr>
          <w:p w14:paraId="573B158C" w14:textId="77777777" w:rsidR="00BF793F" w:rsidRPr="00BF793F" w:rsidRDefault="00BF793F" w:rsidP="00454D06">
            <w:pPr>
              <w:rPr>
                <w:rFonts w:ascii="Times New Roman" w:eastAsia="Times New Roman" w:hAnsi="Times New Roman" w:cs="Times New Roman"/>
                <w:color w:val="000000"/>
                <w:lang w:val="en-GB"/>
              </w:rPr>
            </w:pPr>
            <w:r w:rsidRPr="00BF793F">
              <w:rPr>
                <w:rFonts w:ascii="Times New Roman" w:eastAsia="Times New Roman" w:hAnsi="Times New Roman" w:cs="Times New Roman"/>
                <w:color w:val="000000"/>
                <w:lang w:val="en-GB"/>
              </w:rPr>
              <w:t>Control</w:t>
            </w:r>
          </w:p>
        </w:tc>
        <w:tc>
          <w:tcPr>
            <w:tcW w:w="2100" w:type="dxa"/>
            <w:tcBorders>
              <w:top w:val="nil"/>
              <w:left w:val="nil"/>
              <w:bottom w:val="nil"/>
              <w:right w:val="nil"/>
            </w:tcBorders>
            <w:shd w:val="clear" w:color="auto" w:fill="auto"/>
            <w:noWrap/>
            <w:vAlign w:val="bottom"/>
            <w:hideMark/>
          </w:tcPr>
          <w:p w14:paraId="10B69313" w14:textId="77777777" w:rsidR="00BF793F" w:rsidRPr="00BF793F" w:rsidRDefault="00BF793F" w:rsidP="00454D06">
            <w:pPr>
              <w:rPr>
                <w:rFonts w:ascii="Times New Roman" w:eastAsia="Times New Roman" w:hAnsi="Times New Roman" w:cs="Times New Roman"/>
                <w:color w:val="000000"/>
                <w:lang w:val="en-GB"/>
              </w:rPr>
            </w:pPr>
            <w:r w:rsidRPr="00BF793F">
              <w:rPr>
                <w:rFonts w:ascii="Times New Roman" w:eastAsia="Times New Roman" w:hAnsi="Times New Roman" w:cs="Times New Roman"/>
                <w:color w:val="000000"/>
                <w:lang w:val="en-GB"/>
              </w:rPr>
              <w:t>56000</w:t>
            </w:r>
          </w:p>
        </w:tc>
        <w:tc>
          <w:tcPr>
            <w:tcW w:w="2040" w:type="dxa"/>
            <w:tcBorders>
              <w:top w:val="nil"/>
              <w:left w:val="nil"/>
              <w:bottom w:val="nil"/>
              <w:right w:val="nil"/>
            </w:tcBorders>
            <w:shd w:val="clear" w:color="auto" w:fill="auto"/>
            <w:noWrap/>
            <w:vAlign w:val="bottom"/>
            <w:hideMark/>
          </w:tcPr>
          <w:p w14:paraId="4734F301" w14:textId="77777777" w:rsidR="00BF793F" w:rsidRPr="00BF793F" w:rsidRDefault="00BF793F" w:rsidP="00454D06">
            <w:pPr>
              <w:rPr>
                <w:rFonts w:ascii="Times New Roman" w:eastAsia="Times New Roman" w:hAnsi="Times New Roman" w:cs="Times New Roman"/>
                <w:color w:val="000000"/>
                <w:lang w:val="en-GB"/>
              </w:rPr>
            </w:pPr>
            <w:r w:rsidRPr="00BF793F">
              <w:rPr>
                <w:rFonts w:ascii="Times New Roman" w:eastAsia="Times New Roman" w:hAnsi="Times New Roman" w:cs="Times New Roman"/>
                <w:color w:val="000000"/>
                <w:lang w:val="en-GB"/>
              </w:rPr>
              <w:t>180000</w:t>
            </w:r>
          </w:p>
        </w:tc>
      </w:tr>
      <w:tr w:rsidR="00BF793F" w:rsidRPr="00BF793F" w14:paraId="4F0B3346" w14:textId="77777777" w:rsidTr="00D97F5F">
        <w:trPr>
          <w:trHeight w:val="300"/>
          <w:jc w:val="center"/>
        </w:trPr>
        <w:tc>
          <w:tcPr>
            <w:tcW w:w="1417" w:type="dxa"/>
            <w:tcBorders>
              <w:top w:val="nil"/>
              <w:left w:val="nil"/>
              <w:bottom w:val="nil"/>
              <w:right w:val="nil"/>
            </w:tcBorders>
            <w:shd w:val="clear" w:color="auto" w:fill="auto"/>
            <w:noWrap/>
            <w:vAlign w:val="bottom"/>
            <w:hideMark/>
          </w:tcPr>
          <w:p w14:paraId="29152F95" w14:textId="77777777" w:rsidR="00BF793F" w:rsidRPr="00BF793F" w:rsidRDefault="00BF793F" w:rsidP="00454D06">
            <w:pPr>
              <w:rPr>
                <w:rFonts w:ascii="Times New Roman" w:eastAsia="Times New Roman" w:hAnsi="Times New Roman" w:cs="Times New Roman"/>
                <w:color w:val="000000"/>
                <w:lang w:val="en-GB"/>
              </w:rPr>
            </w:pPr>
            <w:r w:rsidRPr="00BF793F">
              <w:rPr>
                <w:rFonts w:ascii="Times New Roman" w:eastAsia="Times New Roman" w:hAnsi="Times New Roman" w:cs="Times New Roman"/>
                <w:color w:val="000000"/>
                <w:lang w:val="en-GB"/>
              </w:rPr>
              <w:t>IgG</w:t>
            </w:r>
          </w:p>
        </w:tc>
        <w:tc>
          <w:tcPr>
            <w:tcW w:w="2100" w:type="dxa"/>
            <w:tcBorders>
              <w:top w:val="nil"/>
              <w:left w:val="nil"/>
              <w:bottom w:val="nil"/>
              <w:right w:val="nil"/>
            </w:tcBorders>
            <w:shd w:val="clear" w:color="auto" w:fill="auto"/>
            <w:noWrap/>
            <w:vAlign w:val="bottom"/>
            <w:hideMark/>
          </w:tcPr>
          <w:p w14:paraId="2CCF337B" w14:textId="77777777" w:rsidR="00BF793F" w:rsidRPr="00BF793F" w:rsidRDefault="00BF793F" w:rsidP="00454D06">
            <w:pPr>
              <w:rPr>
                <w:rFonts w:ascii="Times New Roman" w:eastAsia="Times New Roman" w:hAnsi="Times New Roman" w:cs="Times New Roman"/>
                <w:color w:val="000000"/>
                <w:lang w:val="en-GB"/>
              </w:rPr>
            </w:pPr>
            <w:r w:rsidRPr="00BF793F">
              <w:rPr>
                <w:rFonts w:ascii="Times New Roman" w:eastAsia="Times New Roman" w:hAnsi="Times New Roman" w:cs="Times New Roman"/>
                <w:color w:val="000000"/>
                <w:lang w:val="en-GB"/>
              </w:rPr>
              <w:t>56915</w:t>
            </w:r>
          </w:p>
        </w:tc>
        <w:tc>
          <w:tcPr>
            <w:tcW w:w="2040" w:type="dxa"/>
            <w:tcBorders>
              <w:top w:val="nil"/>
              <w:left w:val="nil"/>
              <w:bottom w:val="nil"/>
              <w:right w:val="nil"/>
            </w:tcBorders>
            <w:shd w:val="clear" w:color="auto" w:fill="auto"/>
            <w:noWrap/>
            <w:vAlign w:val="bottom"/>
            <w:hideMark/>
          </w:tcPr>
          <w:p w14:paraId="23F6D30C" w14:textId="77777777" w:rsidR="00BF793F" w:rsidRPr="00BF793F" w:rsidRDefault="00BF793F" w:rsidP="00454D06">
            <w:pPr>
              <w:rPr>
                <w:rFonts w:ascii="Times New Roman" w:eastAsia="Times New Roman" w:hAnsi="Times New Roman" w:cs="Times New Roman"/>
                <w:color w:val="000000"/>
                <w:lang w:val="en-GB"/>
              </w:rPr>
            </w:pPr>
            <w:r w:rsidRPr="00BF793F">
              <w:rPr>
                <w:rFonts w:ascii="Times New Roman" w:eastAsia="Times New Roman" w:hAnsi="Times New Roman" w:cs="Times New Roman"/>
                <w:color w:val="000000"/>
                <w:lang w:val="en-GB"/>
              </w:rPr>
              <w:t>255000</w:t>
            </w:r>
          </w:p>
        </w:tc>
      </w:tr>
      <w:tr w:rsidR="00BF793F" w:rsidRPr="00BF793F" w14:paraId="471DA488" w14:textId="77777777" w:rsidTr="00D97F5F">
        <w:trPr>
          <w:trHeight w:val="300"/>
          <w:jc w:val="center"/>
        </w:trPr>
        <w:tc>
          <w:tcPr>
            <w:tcW w:w="1417" w:type="dxa"/>
            <w:tcBorders>
              <w:top w:val="nil"/>
              <w:left w:val="nil"/>
              <w:bottom w:val="nil"/>
              <w:right w:val="nil"/>
            </w:tcBorders>
            <w:shd w:val="clear" w:color="auto" w:fill="auto"/>
            <w:noWrap/>
            <w:vAlign w:val="bottom"/>
            <w:hideMark/>
          </w:tcPr>
          <w:p w14:paraId="7BBADBF1" w14:textId="77777777" w:rsidR="00BF793F" w:rsidRPr="00BF793F" w:rsidRDefault="00BF793F" w:rsidP="00454D06">
            <w:pPr>
              <w:rPr>
                <w:rFonts w:ascii="Times New Roman" w:eastAsia="Times New Roman" w:hAnsi="Times New Roman" w:cs="Times New Roman"/>
                <w:color w:val="000000"/>
                <w:lang w:val="en-GB"/>
              </w:rPr>
            </w:pPr>
            <w:r w:rsidRPr="00BF793F">
              <w:rPr>
                <w:rFonts w:ascii="Times New Roman" w:eastAsia="Times New Roman" w:hAnsi="Times New Roman" w:cs="Times New Roman"/>
                <w:color w:val="000000"/>
                <w:lang w:val="en-GB"/>
              </w:rPr>
              <w:t>MAB391</w:t>
            </w:r>
          </w:p>
        </w:tc>
        <w:tc>
          <w:tcPr>
            <w:tcW w:w="2100" w:type="dxa"/>
            <w:tcBorders>
              <w:top w:val="nil"/>
              <w:left w:val="nil"/>
              <w:bottom w:val="nil"/>
              <w:right w:val="nil"/>
            </w:tcBorders>
            <w:shd w:val="clear" w:color="auto" w:fill="auto"/>
            <w:noWrap/>
            <w:vAlign w:val="bottom"/>
            <w:hideMark/>
          </w:tcPr>
          <w:p w14:paraId="4A94B2BF" w14:textId="77777777" w:rsidR="00BF793F" w:rsidRPr="00BF793F" w:rsidRDefault="00BF793F" w:rsidP="00454D06">
            <w:pPr>
              <w:rPr>
                <w:rFonts w:ascii="Times New Roman" w:eastAsia="Times New Roman" w:hAnsi="Times New Roman" w:cs="Times New Roman"/>
                <w:color w:val="000000"/>
                <w:lang w:val="en-GB"/>
              </w:rPr>
            </w:pPr>
            <w:r w:rsidRPr="00BF793F">
              <w:rPr>
                <w:rFonts w:ascii="Times New Roman" w:eastAsia="Times New Roman" w:hAnsi="Times New Roman" w:cs="Times New Roman"/>
                <w:color w:val="000000"/>
                <w:lang w:val="en-GB"/>
              </w:rPr>
              <w:t>45000</w:t>
            </w:r>
          </w:p>
        </w:tc>
        <w:tc>
          <w:tcPr>
            <w:tcW w:w="2040" w:type="dxa"/>
            <w:tcBorders>
              <w:top w:val="nil"/>
              <w:left w:val="nil"/>
              <w:bottom w:val="nil"/>
              <w:right w:val="nil"/>
            </w:tcBorders>
            <w:shd w:val="clear" w:color="auto" w:fill="auto"/>
            <w:noWrap/>
            <w:vAlign w:val="bottom"/>
            <w:hideMark/>
          </w:tcPr>
          <w:p w14:paraId="459A2F84" w14:textId="77777777" w:rsidR="00BF793F" w:rsidRPr="00BF793F" w:rsidRDefault="00BF793F" w:rsidP="00454D06">
            <w:pPr>
              <w:rPr>
                <w:rFonts w:ascii="Times New Roman" w:eastAsia="Times New Roman" w:hAnsi="Times New Roman" w:cs="Times New Roman"/>
                <w:color w:val="000000"/>
                <w:lang w:val="en-GB"/>
              </w:rPr>
            </w:pPr>
            <w:r w:rsidRPr="00BF793F">
              <w:rPr>
                <w:rFonts w:ascii="Times New Roman" w:eastAsia="Times New Roman" w:hAnsi="Times New Roman" w:cs="Times New Roman"/>
                <w:color w:val="000000"/>
                <w:lang w:val="en-GB"/>
              </w:rPr>
              <w:t>288000</w:t>
            </w:r>
          </w:p>
        </w:tc>
      </w:tr>
      <w:tr w:rsidR="00BF793F" w:rsidRPr="00BF793F" w14:paraId="0BDC066F" w14:textId="77777777" w:rsidTr="00D97F5F">
        <w:trPr>
          <w:trHeight w:val="300"/>
          <w:jc w:val="center"/>
        </w:trPr>
        <w:tc>
          <w:tcPr>
            <w:tcW w:w="1417" w:type="dxa"/>
            <w:tcBorders>
              <w:top w:val="single" w:sz="4" w:space="0" w:color="auto"/>
              <w:left w:val="nil"/>
              <w:bottom w:val="single" w:sz="4" w:space="0" w:color="auto"/>
              <w:right w:val="nil"/>
            </w:tcBorders>
            <w:shd w:val="clear" w:color="auto" w:fill="auto"/>
            <w:noWrap/>
            <w:vAlign w:val="bottom"/>
            <w:hideMark/>
          </w:tcPr>
          <w:p w14:paraId="573DDD7B" w14:textId="77777777" w:rsidR="00BF793F" w:rsidRPr="00BF793F" w:rsidRDefault="00BF793F" w:rsidP="00454D06">
            <w:pPr>
              <w:rPr>
                <w:rFonts w:ascii="Times New Roman" w:eastAsia="Times New Roman" w:hAnsi="Times New Roman" w:cs="Times New Roman"/>
                <w:b/>
                <w:bCs/>
                <w:color w:val="000000"/>
                <w:lang w:val="en-GB"/>
              </w:rPr>
            </w:pPr>
            <w:r w:rsidRPr="00BF793F">
              <w:rPr>
                <w:rFonts w:ascii="Times New Roman" w:eastAsia="Times New Roman" w:hAnsi="Times New Roman" w:cs="Times New Roman"/>
                <w:b/>
                <w:bCs/>
                <w:color w:val="000000"/>
                <w:lang w:val="en-GB"/>
              </w:rPr>
              <w:t>AVERAGE</w:t>
            </w:r>
          </w:p>
        </w:tc>
        <w:tc>
          <w:tcPr>
            <w:tcW w:w="2100" w:type="dxa"/>
            <w:tcBorders>
              <w:top w:val="single" w:sz="4" w:space="0" w:color="auto"/>
              <w:left w:val="nil"/>
              <w:bottom w:val="single" w:sz="4" w:space="0" w:color="auto"/>
              <w:right w:val="nil"/>
            </w:tcBorders>
            <w:shd w:val="clear" w:color="auto" w:fill="auto"/>
            <w:noWrap/>
            <w:vAlign w:val="bottom"/>
            <w:hideMark/>
          </w:tcPr>
          <w:p w14:paraId="7B669CFC" w14:textId="77777777" w:rsidR="00BF793F" w:rsidRPr="00BF793F" w:rsidRDefault="00BF793F" w:rsidP="00454D06">
            <w:pPr>
              <w:rPr>
                <w:rFonts w:ascii="Times New Roman" w:eastAsia="Times New Roman" w:hAnsi="Times New Roman" w:cs="Times New Roman"/>
                <w:b/>
                <w:bCs/>
                <w:color w:val="000000"/>
                <w:lang w:val="en-GB"/>
              </w:rPr>
            </w:pPr>
            <w:r w:rsidRPr="00BF793F">
              <w:rPr>
                <w:rFonts w:ascii="Times New Roman" w:eastAsia="Times New Roman" w:hAnsi="Times New Roman" w:cs="Times New Roman"/>
                <w:b/>
                <w:bCs/>
                <w:color w:val="000000"/>
                <w:lang w:val="en-GB"/>
              </w:rPr>
              <w:t>52638</w:t>
            </w:r>
          </w:p>
        </w:tc>
        <w:tc>
          <w:tcPr>
            <w:tcW w:w="2040" w:type="dxa"/>
            <w:tcBorders>
              <w:top w:val="single" w:sz="4" w:space="0" w:color="auto"/>
              <w:left w:val="nil"/>
              <w:bottom w:val="single" w:sz="4" w:space="0" w:color="auto"/>
              <w:right w:val="nil"/>
            </w:tcBorders>
            <w:shd w:val="clear" w:color="auto" w:fill="auto"/>
            <w:noWrap/>
            <w:vAlign w:val="bottom"/>
            <w:hideMark/>
          </w:tcPr>
          <w:p w14:paraId="2AA15F91" w14:textId="77777777" w:rsidR="00BF793F" w:rsidRPr="00BF793F" w:rsidRDefault="00BF793F" w:rsidP="00454D06">
            <w:pPr>
              <w:rPr>
                <w:rFonts w:ascii="Times New Roman" w:eastAsia="Times New Roman" w:hAnsi="Times New Roman" w:cs="Times New Roman"/>
                <w:b/>
                <w:bCs/>
                <w:color w:val="000000"/>
                <w:lang w:val="en-GB"/>
              </w:rPr>
            </w:pPr>
            <w:r w:rsidRPr="00BF793F">
              <w:rPr>
                <w:rFonts w:ascii="Times New Roman" w:eastAsia="Times New Roman" w:hAnsi="Times New Roman" w:cs="Times New Roman"/>
                <w:b/>
                <w:bCs/>
                <w:color w:val="000000"/>
                <w:lang w:val="en-GB"/>
              </w:rPr>
              <w:t>241000</w:t>
            </w:r>
          </w:p>
        </w:tc>
      </w:tr>
    </w:tbl>
    <w:p w14:paraId="3E0B8D2F" w14:textId="77777777" w:rsidR="00D97F5F" w:rsidRDefault="00D97F5F">
      <w:pPr>
        <w:rPr>
          <w:rFonts w:ascii="Times New Roman" w:hAnsi="Times New Roman" w:cs="Times New Roman"/>
          <w:b/>
          <w:noProof/>
        </w:rPr>
      </w:pPr>
    </w:p>
    <w:p w14:paraId="5C341E5D" w14:textId="77777777" w:rsidR="00D97F5F" w:rsidRDefault="00D97F5F" w:rsidP="00C63BC1">
      <w:pPr>
        <w:jc w:val="both"/>
        <w:rPr>
          <w:rFonts w:ascii="Times New Roman" w:hAnsi="Times New Roman" w:cs="Times New Roman"/>
          <w:b/>
          <w:noProof/>
        </w:rPr>
      </w:pPr>
    </w:p>
    <w:p w14:paraId="7AAAAFC6" w14:textId="77777777" w:rsidR="00303E90" w:rsidRDefault="00D97F5F" w:rsidP="004D474F">
      <w:pPr>
        <w:pStyle w:val="Heading5"/>
        <w:rPr>
          <w:noProof/>
        </w:rPr>
      </w:pPr>
      <w:bookmarkStart w:id="2231" w:name="_Toc333569370"/>
      <w:bookmarkStart w:id="2232" w:name="_Toc333570908"/>
      <w:bookmarkStart w:id="2233" w:name="_Toc333585989"/>
      <w:bookmarkStart w:id="2234" w:name="_Toc333586865"/>
      <w:bookmarkStart w:id="2235" w:name="_Toc333644564"/>
      <w:bookmarkStart w:id="2236" w:name="_Toc333644858"/>
      <w:r>
        <w:rPr>
          <w:noProof/>
        </w:rPr>
        <w:t xml:space="preserve">Table </w:t>
      </w:r>
      <w:r w:rsidR="00A3722E">
        <w:rPr>
          <w:noProof/>
        </w:rPr>
        <w:t>5.21</w:t>
      </w:r>
      <w:r w:rsidR="0043060F">
        <w:rPr>
          <w:noProof/>
        </w:rPr>
        <w:t>.</w:t>
      </w:r>
      <w:r>
        <w:rPr>
          <w:noProof/>
        </w:rPr>
        <w:t xml:space="preserve"> Yield of RNA extracted from cont</w:t>
      </w:r>
      <w:r w:rsidR="00B80D03">
        <w:rPr>
          <w:noProof/>
        </w:rPr>
        <w:t>rol (untreated), IgG- and MAB391-</w:t>
      </w:r>
      <w:r>
        <w:rPr>
          <w:noProof/>
        </w:rPr>
        <w:t>treated astrocytes.</w:t>
      </w:r>
      <w:bookmarkEnd w:id="2231"/>
      <w:bookmarkEnd w:id="2232"/>
      <w:bookmarkEnd w:id="2233"/>
      <w:bookmarkEnd w:id="2234"/>
      <w:bookmarkEnd w:id="2235"/>
      <w:bookmarkEnd w:id="2236"/>
      <w:r>
        <w:rPr>
          <w:noProof/>
        </w:rPr>
        <w:t xml:space="preserve"> </w:t>
      </w:r>
    </w:p>
    <w:p w14:paraId="1187340A" w14:textId="01264189" w:rsidR="00D16325" w:rsidRDefault="00D97F5F" w:rsidP="00C63BC1">
      <w:pPr>
        <w:spacing w:line="360" w:lineRule="auto"/>
        <w:jc w:val="both"/>
        <w:rPr>
          <w:rFonts w:ascii="Times New Roman" w:hAnsi="Times New Roman" w:cs="Times New Roman"/>
          <w:noProof/>
        </w:rPr>
      </w:pPr>
      <w:r>
        <w:rPr>
          <w:rFonts w:ascii="Times New Roman" w:hAnsi="Times New Roman" w:cs="Times New Roman"/>
          <w:noProof/>
        </w:rPr>
        <w:t>A Nanodrop™ 1000 spectrophotometer was used to measure the concentration and quality of RNA extracted from</w:t>
      </w:r>
      <w:r>
        <w:rPr>
          <w:rFonts w:ascii="Times New Roman" w:hAnsi="Times New Roman" w:cs="Times New Roman"/>
          <w:b/>
          <w:noProof/>
        </w:rPr>
        <w:t xml:space="preserve"> </w:t>
      </w:r>
      <w:r w:rsidR="00B80D03">
        <w:rPr>
          <w:rFonts w:ascii="Times New Roman" w:hAnsi="Times New Roman" w:cs="Times New Roman"/>
          <w:noProof/>
        </w:rPr>
        <w:t>control and MAB391-</w:t>
      </w:r>
      <w:r w:rsidRPr="00E9370B">
        <w:rPr>
          <w:rFonts w:ascii="Times New Roman" w:hAnsi="Times New Roman" w:cs="Times New Roman"/>
          <w:noProof/>
        </w:rPr>
        <w:t>treated astrocytes</w:t>
      </w:r>
      <w:r>
        <w:rPr>
          <w:rFonts w:ascii="Times New Roman" w:hAnsi="Times New Roman" w:cs="Times New Roman"/>
          <w:noProof/>
        </w:rPr>
        <w:t>. Quality of RNA was defined by using the ratio of A260/280 and A 260/230</w:t>
      </w:r>
      <w:r w:rsidR="00C63BC1">
        <w:rPr>
          <w:rFonts w:ascii="Times New Roman" w:hAnsi="Times New Roman" w:cs="Times New Roman"/>
          <w:noProof/>
        </w:rPr>
        <w:t>.</w:t>
      </w:r>
    </w:p>
    <w:p w14:paraId="2BE32372" w14:textId="77777777" w:rsidR="00D97F5F" w:rsidRPr="00D97F5F" w:rsidRDefault="00D97F5F">
      <w:pPr>
        <w:rPr>
          <w:rFonts w:ascii="Times New Roman" w:hAnsi="Times New Roman" w:cs="Times New Roman"/>
          <w:b/>
          <w:noProof/>
        </w:rPr>
      </w:pPr>
    </w:p>
    <w:p w14:paraId="669FE216" w14:textId="77777777" w:rsidR="00DA4DEC" w:rsidRDefault="00DA4DEC">
      <w:pPr>
        <w:rPr>
          <w:rFonts w:ascii="Times New Roman" w:hAnsi="Times New Roman" w:cs="Times New Roman"/>
          <w:b/>
          <w:noProof/>
          <w:u w:val="single"/>
        </w:rPr>
      </w:pPr>
    </w:p>
    <w:tbl>
      <w:tblPr>
        <w:tblpPr w:leftFromText="180" w:rightFromText="180" w:vertAnchor="text" w:horzAnchor="page" w:tblpX="3637" w:tblpY="-226"/>
        <w:tblW w:w="5760" w:type="dxa"/>
        <w:tblLook w:val="04A0" w:firstRow="1" w:lastRow="0" w:firstColumn="1" w:lastColumn="0" w:noHBand="0" w:noVBand="1"/>
      </w:tblPr>
      <w:tblGrid>
        <w:gridCol w:w="1180"/>
        <w:gridCol w:w="1240"/>
        <w:gridCol w:w="1220"/>
        <w:gridCol w:w="2120"/>
      </w:tblGrid>
      <w:tr w:rsidR="009D0DF8" w:rsidRPr="0088328D" w14:paraId="30627BBA" w14:textId="77777777" w:rsidTr="009D0DF8">
        <w:trPr>
          <w:trHeight w:val="300"/>
        </w:trPr>
        <w:tc>
          <w:tcPr>
            <w:tcW w:w="1180" w:type="dxa"/>
            <w:tcBorders>
              <w:top w:val="single" w:sz="4" w:space="0" w:color="auto"/>
              <w:left w:val="nil"/>
              <w:bottom w:val="single" w:sz="4" w:space="0" w:color="auto"/>
              <w:right w:val="nil"/>
            </w:tcBorders>
            <w:shd w:val="clear" w:color="auto" w:fill="auto"/>
            <w:noWrap/>
            <w:vAlign w:val="bottom"/>
            <w:hideMark/>
          </w:tcPr>
          <w:p w14:paraId="33C61765" w14:textId="77777777" w:rsidR="009D0DF8" w:rsidRPr="0088328D" w:rsidRDefault="009D0DF8" w:rsidP="00454D06">
            <w:pPr>
              <w:rPr>
                <w:rFonts w:ascii="Times New Roman" w:eastAsia="Times New Roman" w:hAnsi="Times New Roman" w:cs="Times New Roman"/>
                <w:b/>
                <w:bCs/>
                <w:color w:val="000000"/>
                <w:lang w:val="en-GB"/>
              </w:rPr>
            </w:pPr>
            <w:r w:rsidRPr="0088328D">
              <w:rPr>
                <w:rFonts w:ascii="Times New Roman" w:eastAsia="Times New Roman" w:hAnsi="Times New Roman" w:cs="Times New Roman"/>
                <w:b/>
                <w:bCs/>
                <w:color w:val="000000"/>
                <w:lang w:val="en-GB"/>
              </w:rPr>
              <w:t>Sample</w:t>
            </w:r>
          </w:p>
        </w:tc>
        <w:tc>
          <w:tcPr>
            <w:tcW w:w="1240" w:type="dxa"/>
            <w:tcBorders>
              <w:top w:val="single" w:sz="4" w:space="0" w:color="auto"/>
              <w:left w:val="nil"/>
              <w:bottom w:val="single" w:sz="4" w:space="0" w:color="auto"/>
              <w:right w:val="nil"/>
            </w:tcBorders>
            <w:shd w:val="clear" w:color="auto" w:fill="auto"/>
            <w:noWrap/>
            <w:vAlign w:val="bottom"/>
            <w:hideMark/>
          </w:tcPr>
          <w:p w14:paraId="517C43C0" w14:textId="77777777" w:rsidR="009D0DF8" w:rsidRPr="0088328D" w:rsidRDefault="009D0DF8" w:rsidP="00454D06">
            <w:pPr>
              <w:rPr>
                <w:rFonts w:ascii="Times New Roman" w:eastAsia="Times New Roman" w:hAnsi="Times New Roman" w:cs="Times New Roman"/>
                <w:b/>
                <w:bCs/>
                <w:color w:val="000000"/>
                <w:lang w:val="en-GB"/>
              </w:rPr>
            </w:pPr>
            <w:r w:rsidRPr="0088328D">
              <w:rPr>
                <w:rFonts w:ascii="Times New Roman" w:eastAsia="Times New Roman" w:hAnsi="Times New Roman" w:cs="Times New Roman"/>
                <w:b/>
                <w:bCs/>
                <w:color w:val="000000"/>
                <w:lang w:val="en-GB"/>
              </w:rPr>
              <w:t>RNA yield (ng/μl)</w:t>
            </w:r>
          </w:p>
        </w:tc>
        <w:tc>
          <w:tcPr>
            <w:tcW w:w="1220" w:type="dxa"/>
            <w:tcBorders>
              <w:top w:val="single" w:sz="4" w:space="0" w:color="auto"/>
              <w:left w:val="nil"/>
              <w:bottom w:val="single" w:sz="4" w:space="0" w:color="auto"/>
              <w:right w:val="nil"/>
            </w:tcBorders>
            <w:shd w:val="clear" w:color="auto" w:fill="auto"/>
            <w:noWrap/>
            <w:vAlign w:val="bottom"/>
            <w:hideMark/>
          </w:tcPr>
          <w:p w14:paraId="273FF039" w14:textId="77777777" w:rsidR="009D0DF8" w:rsidRPr="0088328D" w:rsidRDefault="009D0DF8" w:rsidP="00454D06">
            <w:pPr>
              <w:rPr>
                <w:rFonts w:ascii="Times New Roman" w:eastAsia="Times New Roman" w:hAnsi="Times New Roman" w:cs="Times New Roman"/>
                <w:b/>
                <w:bCs/>
                <w:color w:val="000000"/>
                <w:lang w:val="en-GB"/>
              </w:rPr>
            </w:pPr>
            <w:r w:rsidRPr="0088328D">
              <w:rPr>
                <w:rFonts w:ascii="Times New Roman" w:eastAsia="Times New Roman" w:hAnsi="Times New Roman" w:cs="Times New Roman"/>
                <w:b/>
                <w:bCs/>
                <w:color w:val="000000"/>
                <w:lang w:val="en-GB"/>
              </w:rPr>
              <w:t>A260/280</w:t>
            </w:r>
          </w:p>
        </w:tc>
        <w:tc>
          <w:tcPr>
            <w:tcW w:w="2120" w:type="dxa"/>
            <w:tcBorders>
              <w:top w:val="single" w:sz="4" w:space="0" w:color="auto"/>
              <w:left w:val="nil"/>
              <w:bottom w:val="single" w:sz="4" w:space="0" w:color="auto"/>
              <w:right w:val="nil"/>
            </w:tcBorders>
            <w:shd w:val="clear" w:color="auto" w:fill="auto"/>
            <w:noWrap/>
            <w:vAlign w:val="bottom"/>
            <w:hideMark/>
          </w:tcPr>
          <w:p w14:paraId="5AEF7B85" w14:textId="77777777" w:rsidR="009D0DF8" w:rsidRPr="0088328D" w:rsidRDefault="009D0DF8" w:rsidP="00454D06">
            <w:pPr>
              <w:rPr>
                <w:rFonts w:ascii="Times New Roman" w:eastAsia="Times New Roman" w:hAnsi="Times New Roman" w:cs="Times New Roman"/>
                <w:b/>
                <w:bCs/>
                <w:color w:val="000000"/>
                <w:lang w:val="en-GB"/>
              </w:rPr>
            </w:pPr>
            <w:r w:rsidRPr="0088328D">
              <w:rPr>
                <w:rFonts w:ascii="Times New Roman" w:eastAsia="Times New Roman" w:hAnsi="Times New Roman" w:cs="Times New Roman"/>
                <w:b/>
                <w:bCs/>
                <w:color w:val="000000"/>
                <w:lang w:val="en-GB"/>
              </w:rPr>
              <w:t>A260/230</w:t>
            </w:r>
          </w:p>
        </w:tc>
      </w:tr>
      <w:tr w:rsidR="009D0DF8" w:rsidRPr="0088328D" w14:paraId="5D967633" w14:textId="77777777" w:rsidTr="009D0DF8">
        <w:trPr>
          <w:trHeight w:val="300"/>
        </w:trPr>
        <w:tc>
          <w:tcPr>
            <w:tcW w:w="1180" w:type="dxa"/>
            <w:tcBorders>
              <w:top w:val="nil"/>
              <w:left w:val="nil"/>
              <w:bottom w:val="nil"/>
              <w:right w:val="nil"/>
            </w:tcBorders>
            <w:shd w:val="clear" w:color="auto" w:fill="auto"/>
            <w:noWrap/>
            <w:vAlign w:val="bottom"/>
            <w:hideMark/>
          </w:tcPr>
          <w:p w14:paraId="4D316350" w14:textId="77777777" w:rsidR="009D0DF8" w:rsidRPr="00004C0A" w:rsidRDefault="009D0DF8" w:rsidP="00454D06">
            <w:pPr>
              <w:rPr>
                <w:rFonts w:ascii="Times New Roman" w:eastAsia="Times New Roman" w:hAnsi="Times New Roman" w:cs="Times New Roman"/>
                <w:color w:val="000000"/>
                <w:lang w:val="en-GB"/>
              </w:rPr>
            </w:pPr>
            <w:r w:rsidRPr="00004C0A">
              <w:rPr>
                <w:rFonts w:ascii="Times New Roman" w:eastAsia="Times New Roman" w:hAnsi="Times New Roman" w:cs="Times New Roman"/>
                <w:color w:val="000000"/>
                <w:lang w:val="en-GB"/>
              </w:rPr>
              <w:t>Control</w:t>
            </w:r>
          </w:p>
        </w:tc>
        <w:tc>
          <w:tcPr>
            <w:tcW w:w="1240" w:type="dxa"/>
            <w:tcBorders>
              <w:top w:val="nil"/>
              <w:left w:val="nil"/>
              <w:bottom w:val="nil"/>
              <w:right w:val="nil"/>
            </w:tcBorders>
            <w:shd w:val="clear" w:color="auto" w:fill="auto"/>
            <w:noWrap/>
            <w:vAlign w:val="bottom"/>
            <w:hideMark/>
          </w:tcPr>
          <w:p w14:paraId="7ABBDE9B" w14:textId="77777777" w:rsidR="009D0DF8" w:rsidRPr="00004C0A" w:rsidRDefault="009D0DF8" w:rsidP="00454D06">
            <w:pPr>
              <w:rPr>
                <w:rFonts w:ascii="Times New Roman" w:eastAsia="Times New Roman" w:hAnsi="Times New Roman" w:cs="Times New Roman"/>
                <w:color w:val="000000"/>
                <w:lang w:val="en-GB"/>
              </w:rPr>
            </w:pPr>
            <w:r w:rsidRPr="00004C0A">
              <w:rPr>
                <w:rFonts w:ascii="Times New Roman" w:eastAsia="Times New Roman" w:hAnsi="Times New Roman" w:cs="Times New Roman"/>
                <w:color w:val="000000"/>
                <w:lang w:val="en-GB"/>
              </w:rPr>
              <w:t>24.08</w:t>
            </w:r>
          </w:p>
        </w:tc>
        <w:tc>
          <w:tcPr>
            <w:tcW w:w="1220" w:type="dxa"/>
            <w:tcBorders>
              <w:top w:val="nil"/>
              <w:left w:val="nil"/>
              <w:bottom w:val="nil"/>
              <w:right w:val="nil"/>
            </w:tcBorders>
            <w:shd w:val="clear" w:color="auto" w:fill="auto"/>
            <w:noWrap/>
            <w:vAlign w:val="bottom"/>
            <w:hideMark/>
          </w:tcPr>
          <w:p w14:paraId="1457EBC1" w14:textId="77777777" w:rsidR="009D0DF8" w:rsidRPr="00004C0A" w:rsidRDefault="009D0DF8" w:rsidP="00454D06">
            <w:pPr>
              <w:rPr>
                <w:rFonts w:ascii="Times New Roman" w:eastAsia="Times New Roman" w:hAnsi="Times New Roman" w:cs="Times New Roman"/>
                <w:color w:val="000000"/>
                <w:lang w:val="en-GB"/>
              </w:rPr>
            </w:pPr>
            <w:r w:rsidRPr="00004C0A">
              <w:rPr>
                <w:rFonts w:ascii="Times New Roman" w:eastAsia="Times New Roman" w:hAnsi="Times New Roman" w:cs="Times New Roman"/>
                <w:color w:val="000000"/>
                <w:lang w:val="en-GB"/>
              </w:rPr>
              <w:t>2.02</w:t>
            </w:r>
          </w:p>
        </w:tc>
        <w:tc>
          <w:tcPr>
            <w:tcW w:w="2120" w:type="dxa"/>
            <w:tcBorders>
              <w:top w:val="nil"/>
              <w:left w:val="nil"/>
              <w:bottom w:val="nil"/>
              <w:right w:val="nil"/>
            </w:tcBorders>
            <w:shd w:val="clear" w:color="auto" w:fill="auto"/>
            <w:noWrap/>
            <w:vAlign w:val="bottom"/>
            <w:hideMark/>
          </w:tcPr>
          <w:p w14:paraId="0BFBFFF1" w14:textId="77777777" w:rsidR="009D0DF8" w:rsidRPr="00004C0A" w:rsidRDefault="009D0DF8" w:rsidP="00454D06">
            <w:pPr>
              <w:rPr>
                <w:rFonts w:ascii="Times New Roman" w:eastAsia="Times New Roman" w:hAnsi="Times New Roman" w:cs="Times New Roman"/>
                <w:color w:val="000000"/>
                <w:lang w:val="en-GB"/>
              </w:rPr>
            </w:pPr>
            <w:r w:rsidRPr="00004C0A">
              <w:rPr>
                <w:rFonts w:ascii="Times New Roman" w:eastAsia="Times New Roman" w:hAnsi="Times New Roman" w:cs="Times New Roman"/>
                <w:color w:val="000000"/>
                <w:lang w:val="en-GB"/>
              </w:rPr>
              <w:t>2.31</w:t>
            </w:r>
          </w:p>
        </w:tc>
      </w:tr>
      <w:tr w:rsidR="009D0DF8" w:rsidRPr="0088328D" w14:paraId="32BEEB8E" w14:textId="77777777" w:rsidTr="009D0DF8">
        <w:trPr>
          <w:trHeight w:val="300"/>
        </w:trPr>
        <w:tc>
          <w:tcPr>
            <w:tcW w:w="1180" w:type="dxa"/>
            <w:tcBorders>
              <w:top w:val="nil"/>
              <w:left w:val="nil"/>
              <w:bottom w:val="nil"/>
              <w:right w:val="nil"/>
            </w:tcBorders>
            <w:shd w:val="clear" w:color="auto" w:fill="auto"/>
            <w:noWrap/>
            <w:vAlign w:val="bottom"/>
            <w:hideMark/>
          </w:tcPr>
          <w:p w14:paraId="70415E76" w14:textId="77777777" w:rsidR="009D0DF8" w:rsidRPr="00004C0A" w:rsidRDefault="009D0DF8" w:rsidP="00454D06">
            <w:pPr>
              <w:rPr>
                <w:rFonts w:ascii="Times New Roman" w:eastAsia="Times New Roman" w:hAnsi="Times New Roman" w:cs="Times New Roman"/>
                <w:color w:val="000000"/>
                <w:lang w:val="en-GB"/>
              </w:rPr>
            </w:pPr>
            <w:r w:rsidRPr="00004C0A">
              <w:rPr>
                <w:rFonts w:ascii="Times New Roman" w:eastAsia="Times New Roman" w:hAnsi="Times New Roman" w:cs="Times New Roman"/>
                <w:color w:val="000000"/>
                <w:lang w:val="en-GB"/>
              </w:rPr>
              <w:t>IgG</w:t>
            </w:r>
          </w:p>
        </w:tc>
        <w:tc>
          <w:tcPr>
            <w:tcW w:w="1240" w:type="dxa"/>
            <w:tcBorders>
              <w:top w:val="nil"/>
              <w:left w:val="nil"/>
              <w:bottom w:val="nil"/>
              <w:right w:val="nil"/>
            </w:tcBorders>
            <w:shd w:val="clear" w:color="auto" w:fill="auto"/>
            <w:noWrap/>
            <w:vAlign w:val="bottom"/>
            <w:hideMark/>
          </w:tcPr>
          <w:p w14:paraId="16D1D034" w14:textId="77777777" w:rsidR="009D0DF8" w:rsidRPr="00004C0A" w:rsidRDefault="009D0DF8" w:rsidP="00454D06">
            <w:pPr>
              <w:rPr>
                <w:rFonts w:ascii="Times New Roman" w:eastAsia="Times New Roman" w:hAnsi="Times New Roman" w:cs="Times New Roman"/>
                <w:color w:val="000000"/>
                <w:lang w:val="en-GB"/>
              </w:rPr>
            </w:pPr>
            <w:r w:rsidRPr="00004C0A">
              <w:rPr>
                <w:rFonts w:ascii="Times New Roman" w:eastAsia="Times New Roman" w:hAnsi="Times New Roman" w:cs="Times New Roman"/>
                <w:color w:val="000000"/>
                <w:lang w:val="en-GB"/>
              </w:rPr>
              <w:t>17.56</w:t>
            </w:r>
          </w:p>
        </w:tc>
        <w:tc>
          <w:tcPr>
            <w:tcW w:w="1220" w:type="dxa"/>
            <w:tcBorders>
              <w:top w:val="nil"/>
              <w:left w:val="nil"/>
              <w:bottom w:val="nil"/>
              <w:right w:val="nil"/>
            </w:tcBorders>
            <w:shd w:val="clear" w:color="auto" w:fill="auto"/>
            <w:noWrap/>
            <w:vAlign w:val="bottom"/>
            <w:hideMark/>
          </w:tcPr>
          <w:p w14:paraId="0A2D0DC5" w14:textId="77777777" w:rsidR="009D0DF8" w:rsidRPr="00004C0A" w:rsidRDefault="009D0DF8" w:rsidP="00454D06">
            <w:pPr>
              <w:rPr>
                <w:rFonts w:ascii="Times New Roman" w:eastAsia="Times New Roman" w:hAnsi="Times New Roman" w:cs="Times New Roman"/>
                <w:color w:val="000000"/>
                <w:lang w:val="en-GB"/>
              </w:rPr>
            </w:pPr>
            <w:r w:rsidRPr="00004C0A">
              <w:rPr>
                <w:rFonts w:ascii="Times New Roman" w:eastAsia="Times New Roman" w:hAnsi="Times New Roman" w:cs="Times New Roman"/>
                <w:color w:val="000000"/>
                <w:lang w:val="en-GB"/>
              </w:rPr>
              <w:t>2.05</w:t>
            </w:r>
          </w:p>
        </w:tc>
        <w:tc>
          <w:tcPr>
            <w:tcW w:w="2120" w:type="dxa"/>
            <w:tcBorders>
              <w:top w:val="nil"/>
              <w:left w:val="nil"/>
              <w:bottom w:val="nil"/>
              <w:right w:val="nil"/>
            </w:tcBorders>
            <w:shd w:val="clear" w:color="auto" w:fill="auto"/>
            <w:noWrap/>
            <w:vAlign w:val="bottom"/>
            <w:hideMark/>
          </w:tcPr>
          <w:p w14:paraId="7D75FEDA" w14:textId="77777777" w:rsidR="009D0DF8" w:rsidRPr="00004C0A" w:rsidRDefault="009D0DF8" w:rsidP="00454D06">
            <w:pPr>
              <w:rPr>
                <w:rFonts w:ascii="Times New Roman" w:eastAsia="Times New Roman" w:hAnsi="Times New Roman" w:cs="Times New Roman"/>
                <w:color w:val="000000"/>
                <w:lang w:val="en-GB"/>
              </w:rPr>
            </w:pPr>
            <w:r w:rsidRPr="00004C0A">
              <w:rPr>
                <w:rFonts w:ascii="Times New Roman" w:eastAsia="Times New Roman" w:hAnsi="Times New Roman" w:cs="Times New Roman"/>
                <w:color w:val="000000"/>
                <w:lang w:val="en-GB"/>
              </w:rPr>
              <w:t>1.85</w:t>
            </w:r>
          </w:p>
        </w:tc>
      </w:tr>
      <w:tr w:rsidR="009D0DF8" w:rsidRPr="0088328D" w14:paraId="0234CD1B" w14:textId="77777777" w:rsidTr="009D0DF8">
        <w:trPr>
          <w:trHeight w:val="300"/>
        </w:trPr>
        <w:tc>
          <w:tcPr>
            <w:tcW w:w="1180" w:type="dxa"/>
            <w:tcBorders>
              <w:top w:val="nil"/>
              <w:left w:val="nil"/>
              <w:bottom w:val="nil"/>
              <w:right w:val="nil"/>
            </w:tcBorders>
            <w:shd w:val="clear" w:color="auto" w:fill="auto"/>
            <w:noWrap/>
            <w:vAlign w:val="bottom"/>
            <w:hideMark/>
          </w:tcPr>
          <w:p w14:paraId="615F71E3" w14:textId="77777777" w:rsidR="009D0DF8" w:rsidRPr="00004C0A" w:rsidRDefault="009D0DF8" w:rsidP="00454D06">
            <w:pPr>
              <w:rPr>
                <w:rFonts w:ascii="Times New Roman" w:eastAsia="Times New Roman" w:hAnsi="Times New Roman" w:cs="Times New Roman"/>
                <w:color w:val="000000"/>
                <w:lang w:val="en-GB"/>
              </w:rPr>
            </w:pPr>
            <w:r w:rsidRPr="00004C0A">
              <w:rPr>
                <w:rFonts w:ascii="Times New Roman" w:eastAsia="Times New Roman" w:hAnsi="Times New Roman" w:cs="Times New Roman"/>
                <w:color w:val="000000"/>
                <w:lang w:val="en-GB"/>
              </w:rPr>
              <w:t>MAB391</w:t>
            </w:r>
          </w:p>
        </w:tc>
        <w:tc>
          <w:tcPr>
            <w:tcW w:w="1240" w:type="dxa"/>
            <w:tcBorders>
              <w:top w:val="nil"/>
              <w:left w:val="nil"/>
              <w:bottom w:val="nil"/>
              <w:right w:val="nil"/>
            </w:tcBorders>
            <w:shd w:val="clear" w:color="auto" w:fill="auto"/>
            <w:noWrap/>
            <w:vAlign w:val="bottom"/>
            <w:hideMark/>
          </w:tcPr>
          <w:p w14:paraId="25A1005C" w14:textId="77777777" w:rsidR="009D0DF8" w:rsidRPr="00004C0A" w:rsidRDefault="009D0DF8" w:rsidP="00454D06">
            <w:pPr>
              <w:rPr>
                <w:rFonts w:ascii="Times New Roman" w:eastAsia="Times New Roman" w:hAnsi="Times New Roman" w:cs="Times New Roman"/>
                <w:color w:val="000000"/>
                <w:lang w:val="en-GB"/>
              </w:rPr>
            </w:pPr>
            <w:r w:rsidRPr="00004C0A">
              <w:rPr>
                <w:rFonts w:ascii="Times New Roman" w:eastAsia="Times New Roman" w:hAnsi="Times New Roman" w:cs="Times New Roman"/>
                <w:color w:val="000000"/>
                <w:lang w:val="en-GB"/>
              </w:rPr>
              <w:t>20.65</w:t>
            </w:r>
          </w:p>
        </w:tc>
        <w:tc>
          <w:tcPr>
            <w:tcW w:w="1220" w:type="dxa"/>
            <w:tcBorders>
              <w:top w:val="nil"/>
              <w:left w:val="nil"/>
              <w:bottom w:val="nil"/>
              <w:right w:val="nil"/>
            </w:tcBorders>
            <w:shd w:val="clear" w:color="auto" w:fill="auto"/>
            <w:noWrap/>
            <w:vAlign w:val="bottom"/>
            <w:hideMark/>
          </w:tcPr>
          <w:p w14:paraId="2C979CAB" w14:textId="77777777" w:rsidR="009D0DF8" w:rsidRPr="00004C0A" w:rsidRDefault="009D0DF8" w:rsidP="00454D06">
            <w:pPr>
              <w:rPr>
                <w:rFonts w:ascii="Times New Roman" w:eastAsia="Times New Roman" w:hAnsi="Times New Roman" w:cs="Times New Roman"/>
                <w:color w:val="000000"/>
                <w:lang w:val="en-GB"/>
              </w:rPr>
            </w:pPr>
            <w:r w:rsidRPr="00004C0A">
              <w:rPr>
                <w:rFonts w:ascii="Times New Roman" w:eastAsia="Times New Roman" w:hAnsi="Times New Roman" w:cs="Times New Roman"/>
                <w:color w:val="000000"/>
                <w:lang w:val="en-GB"/>
              </w:rPr>
              <w:t>2.11</w:t>
            </w:r>
          </w:p>
        </w:tc>
        <w:tc>
          <w:tcPr>
            <w:tcW w:w="2120" w:type="dxa"/>
            <w:tcBorders>
              <w:top w:val="nil"/>
              <w:left w:val="nil"/>
              <w:bottom w:val="nil"/>
              <w:right w:val="nil"/>
            </w:tcBorders>
            <w:shd w:val="clear" w:color="auto" w:fill="auto"/>
            <w:noWrap/>
            <w:vAlign w:val="bottom"/>
            <w:hideMark/>
          </w:tcPr>
          <w:p w14:paraId="4F621E64" w14:textId="77777777" w:rsidR="009D0DF8" w:rsidRPr="00004C0A" w:rsidRDefault="009D0DF8" w:rsidP="00454D06">
            <w:pPr>
              <w:rPr>
                <w:rFonts w:ascii="Times New Roman" w:eastAsia="Times New Roman" w:hAnsi="Times New Roman" w:cs="Times New Roman"/>
                <w:color w:val="000000"/>
                <w:lang w:val="en-GB"/>
              </w:rPr>
            </w:pPr>
            <w:r w:rsidRPr="00004C0A">
              <w:rPr>
                <w:rFonts w:ascii="Times New Roman" w:eastAsia="Times New Roman" w:hAnsi="Times New Roman" w:cs="Times New Roman"/>
                <w:color w:val="000000"/>
                <w:lang w:val="en-GB"/>
              </w:rPr>
              <w:t>1.85</w:t>
            </w:r>
          </w:p>
        </w:tc>
      </w:tr>
    </w:tbl>
    <w:p w14:paraId="1EB14EAB" w14:textId="77777777" w:rsidR="00DA4DEC" w:rsidRDefault="00DA4DEC">
      <w:pPr>
        <w:rPr>
          <w:rFonts w:ascii="Times New Roman" w:hAnsi="Times New Roman" w:cs="Times New Roman"/>
          <w:b/>
          <w:noProof/>
          <w:u w:val="single"/>
        </w:rPr>
      </w:pPr>
    </w:p>
    <w:p w14:paraId="246032C8" w14:textId="77777777" w:rsidR="00225C5C" w:rsidRDefault="00225C5C">
      <w:pPr>
        <w:rPr>
          <w:rFonts w:ascii="Times New Roman" w:hAnsi="Times New Roman" w:cs="Times New Roman"/>
          <w:b/>
          <w:noProof/>
          <w:u w:val="single"/>
        </w:rPr>
      </w:pPr>
    </w:p>
    <w:p w14:paraId="27315E1F" w14:textId="77777777" w:rsidR="00714054" w:rsidRDefault="00714054">
      <w:pPr>
        <w:rPr>
          <w:rFonts w:ascii="Times New Roman" w:hAnsi="Times New Roman" w:cs="Times New Roman"/>
          <w:b/>
          <w:noProof/>
          <w:u w:val="single"/>
        </w:rPr>
      </w:pPr>
    </w:p>
    <w:p w14:paraId="0E243BAC" w14:textId="77777777" w:rsidR="0088328D" w:rsidRDefault="0088328D">
      <w:pPr>
        <w:rPr>
          <w:rFonts w:ascii="Times New Roman" w:hAnsi="Times New Roman" w:cs="Times New Roman"/>
          <w:b/>
          <w:noProof/>
          <w:u w:val="single"/>
        </w:rPr>
      </w:pPr>
    </w:p>
    <w:p w14:paraId="1F11EC42" w14:textId="7BAA7954" w:rsidR="0088328D" w:rsidRDefault="0088328D">
      <w:pPr>
        <w:rPr>
          <w:rFonts w:ascii="Times New Roman" w:hAnsi="Times New Roman" w:cs="Times New Roman"/>
          <w:b/>
          <w:noProof/>
          <w:u w:val="single"/>
        </w:rPr>
      </w:pPr>
      <w:r>
        <w:rPr>
          <w:rFonts w:ascii="Times New Roman" w:hAnsi="Times New Roman" w:cs="Times New Roman"/>
          <w:b/>
          <w:noProof/>
          <w:u w:val="single"/>
        </w:rPr>
        <w:t xml:space="preserve">   </w:t>
      </w:r>
    </w:p>
    <w:p w14:paraId="1988E3EC" w14:textId="77777777" w:rsidR="00225C5C" w:rsidRDefault="00225C5C">
      <w:pPr>
        <w:rPr>
          <w:rFonts w:ascii="Times New Roman" w:hAnsi="Times New Roman" w:cs="Times New Roman"/>
          <w:b/>
          <w:noProof/>
          <w:u w:val="single"/>
        </w:rPr>
      </w:pPr>
    </w:p>
    <w:p w14:paraId="339C903B" w14:textId="411B31D7" w:rsidR="00225C5C" w:rsidRDefault="00D97F5F">
      <w:pPr>
        <w:rPr>
          <w:rFonts w:ascii="Times New Roman" w:hAnsi="Times New Roman" w:cs="Times New Roman"/>
          <w:b/>
          <w:noProof/>
          <w:u w:val="single"/>
        </w:rPr>
      </w:pPr>
      <w:r>
        <w:rPr>
          <w:rFonts w:ascii="Times New Roman" w:hAnsi="Times New Roman" w:cs="Times New Roman"/>
          <w:b/>
          <w:noProof/>
          <w:u w:val="single"/>
        </w:rPr>
        <w:t xml:space="preserve"> </w:t>
      </w:r>
    </w:p>
    <w:p w14:paraId="57B4C01B" w14:textId="5425FD13" w:rsidR="0046471F" w:rsidRDefault="00D97F5F" w:rsidP="0046471F">
      <w:pPr>
        <w:rPr>
          <w:rFonts w:ascii="Times New Roman" w:hAnsi="Times New Roman" w:cs="Times New Roman"/>
          <w:b/>
          <w:noProof/>
          <w:u w:val="single"/>
        </w:rPr>
      </w:pPr>
      <w:r>
        <w:rPr>
          <w:rFonts w:ascii="Times New Roman" w:hAnsi="Times New Roman" w:cs="Times New Roman"/>
          <w:b/>
          <w:noProof/>
          <w:u w:val="single"/>
        </w:rPr>
        <w:t xml:space="preserve">    </w:t>
      </w:r>
    </w:p>
    <w:tbl>
      <w:tblPr>
        <w:tblpPr w:leftFromText="180" w:rightFromText="180" w:vertAnchor="page" w:horzAnchor="page" w:tblpX="2557" w:tblpY="12781"/>
        <w:tblW w:w="8098" w:type="dxa"/>
        <w:tblLook w:val="04A0" w:firstRow="1" w:lastRow="0" w:firstColumn="1" w:lastColumn="0" w:noHBand="0" w:noVBand="1"/>
      </w:tblPr>
      <w:tblGrid>
        <w:gridCol w:w="1360"/>
        <w:gridCol w:w="2427"/>
        <w:gridCol w:w="2072"/>
        <w:gridCol w:w="2239"/>
      </w:tblGrid>
      <w:tr w:rsidR="001903D5" w:rsidRPr="003D2997" w14:paraId="358D188A" w14:textId="77777777" w:rsidTr="00303E90">
        <w:trPr>
          <w:trHeight w:val="103"/>
        </w:trPr>
        <w:tc>
          <w:tcPr>
            <w:tcW w:w="1360" w:type="dxa"/>
            <w:tcBorders>
              <w:top w:val="single" w:sz="4" w:space="0" w:color="auto"/>
              <w:left w:val="nil"/>
              <w:bottom w:val="single" w:sz="4" w:space="0" w:color="auto"/>
              <w:right w:val="nil"/>
            </w:tcBorders>
            <w:shd w:val="clear" w:color="auto" w:fill="auto"/>
            <w:noWrap/>
            <w:vAlign w:val="bottom"/>
            <w:hideMark/>
          </w:tcPr>
          <w:p w14:paraId="7D1AC57C" w14:textId="77777777" w:rsidR="001903D5" w:rsidRPr="003D2997" w:rsidRDefault="001903D5" w:rsidP="00303E90">
            <w:pPr>
              <w:rPr>
                <w:rFonts w:ascii="Times New Roman" w:eastAsia="Times New Roman" w:hAnsi="Times New Roman" w:cs="Times New Roman"/>
                <w:b/>
                <w:bCs/>
                <w:color w:val="000000"/>
                <w:lang w:val="en-GB"/>
              </w:rPr>
            </w:pPr>
            <w:r w:rsidRPr="003D2997">
              <w:rPr>
                <w:rFonts w:ascii="Times New Roman" w:eastAsia="Times New Roman" w:hAnsi="Times New Roman" w:cs="Times New Roman"/>
                <w:b/>
                <w:bCs/>
                <w:color w:val="000000"/>
                <w:lang w:val="en-GB"/>
              </w:rPr>
              <w:t>Sample</w:t>
            </w:r>
          </w:p>
        </w:tc>
        <w:tc>
          <w:tcPr>
            <w:tcW w:w="2427" w:type="dxa"/>
            <w:tcBorders>
              <w:top w:val="single" w:sz="4" w:space="0" w:color="auto"/>
              <w:left w:val="nil"/>
              <w:bottom w:val="single" w:sz="4" w:space="0" w:color="auto"/>
              <w:right w:val="nil"/>
            </w:tcBorders>
            <w:shd w:val="clear" w:color="auto" w:fill="auto"/>
            <w:noWrap/>
            <w:vAlign w:val="bottom"/>
            <w:hideMark/>
          </w:tcPr>
          <w:p w14:paraId="071715EB" w14:textId="77777777" w:rsidR="001903D5" w:rsidRPr="003D2997" w:rsidRDefault="001903D5" w:rsidP="00303E90">
            <w:pPr>
              <w:rPr>
                <w:rFonts w:ascii="Times New Roman" w:eastAsia="Times New Roman" w:hAnsi="Times New Roman" w:cs="Times New Roman"/>
                <w:b/>
                <w:bCs/>
                <w:color w:val="000000"/>
                <w:lang w:val="en-GB"/>
              </w:rPr>
            </w:pPr>
            <w:r w:rsidRPr="003D2997">
              <w:rPr>
                <w:rFonts w:ascii="Times New Roman" w:eastAsia="Times New Roman" w:hAnsi="Times New Roman" w:cs="Times New Roman"/>
                <w:b/>
                <w:bCs/>
                <w:color w:val="000000"/>
                <w:lang w:val="en-GB"/>
              </w:rPr>
              <w:t>Initial concentration ng/μl</w:t>
            </w:r>
          </w:p>
        </w:tc>
        <w:tc>
          <w:tcPr>
            <w:tcW w:w="2072" w:type="dxa"/>
            <w:tcBorders>
              <w:top w:val="single" w:sz="4" w:space="0" w:color="auto"/>
              <w:left w:val="nil"/>
              <w:bottom w:val="single" w:sz="4" w:space="0" w:color="auto"/>
              <w:right w:val="nil"/>
            </w:tcBorders>
            <w:shd w:val="clear" w:color="auto" w:fill="auto"/>
            <w:noWrap/>
            <w:vAlign w:val="bottom"/>
            <w:hideMark/>
          </w:tcPr>
          <w:p w14:paraId="1BB09331" w14:textId="77777777" w:rsidR="001903D5" w:rsidRPr="003D2997" w:rsidRDefault="001903D5" w:rsidP="00303E90">
            <w:pPr>
              <w:rPr>
                <w:rFonts w:ascii="Times New Roman" w:eastAsia="Times New Roman" w:hAnsi="Times New Roman" w:cs="Times New Roman"/>
                <w:b/>
                <w:bCs/>
                <w:color w:val="000000"/>
                <w:lang w:val="en-GB"/>
              </w:rPr>
            </w:pPr>
            <w:r w:rsidRPr="003D2997">
              <w:rPr>
                <w:rFonts w:ascii="Times New Roman" w:eastAsia="Times New Roman" w:hAnsi="Times New Roman" w:cs="Times New Roman"/>
                <w:b/>
                <w:bCs/>
                <w:color w:val="000000"/>
                <w:lang w:val="en-GB"/>
              </w:rPr>
              <w:t>Final concentration ng/μl</w:t>
            </w:r>
          </w:p>
        </w:tc>
        <w:tc>
          <w:tcPr>
            <w:tcW w:w="2239" w:type="dxa"/>
            <w:tcBorders>
              <w:top w:val="single" w:sz="4" w:space="0" w:color="auto"/>
              <w:left w:val="nil"/>
              <w:bottom w:val="single" w:sz="4" w:space="0" w:color="auto"/>
              <w:right w:val="nil"/>
            </w:tcBorders>
            <w:shd w:val="clear" w:color="auto" w:fill="auto"/>
            <w:noWrap/>
            <w:vAlign w:val="bottom"/>
            <w:hideMark/>
          </w:tcPr>
          <w:p w14:paraId="600B88D4" w14:textId="77777777" w:rsidR="001903D5" w:rsidRPr="003D2997" w:rsidRDefault="001903D5" w:rsidP="00303E90">
            <w:pPr>
              <w:rPr>
                <w:rFonts w:ascii="Times New Roman" w:eastAsia="Times New Roman" w:hAnsi="Times New Roman" w:cs="Times New Roman"/>
                <w:b/>
                <w:bCs/>
                <w:color w:val="000000"/>
                <w:lang w:val="en-GB"/>
              </w:rPr>
            </w:pPr>
            <w:r>
              <w:rPr>
                <w:rFonts w:ascii="Times New Roman" w:eastAsia="Times New Roman" w:hAnsi="Times New Roman" w:cs="Times New Roman"/>
                <w:b/>
                <w:bCs/>
                <w:color w:val="000000"/>
                <w:lang w:val="en-GB"/>
              </w:rPr>
              <w:t>Total concentration (μg)</w:t>
            </w:r>
            <w:r w:rsidRPr="003D2997">
              <w:rPr>
                <w:rFonts w:ascii="Times New Roman" w:eastAsia="Times New Roman" w:hAnsi="Times New Roman" w:cs="Times New Roman"/>
                <w:b/>
                <w:bCs/>
                <w:color w:val="000000"/>
                <w:lang w:val="en-GB"/>
              </w:rPr>
              <w:t xml:space="preserve"> in 48μl</w:t>
            </w:r>
          </w:p>
        </w:tc>
      </w:tr>
      <w:tr w:rsidR="001903D5" w:rsidRPr="003D2997" w14:paraId="05CD0BD3" w14:textId="77777777" w:rsidTr="00303E90">
        <w:trPr>
          <w:trHeight w:val="103"/>
        </w:trPr>
        <w:tc>
          <w:tcPr>
            <w:tcW w:w="1360" w:type="dxa"/>
            <w:tcBorders>
              <w:top w:val="nil"/>
              <w:left w:val="nil"/>
              <w:bottom w:val="nil"/>
              <w:right w:val="nil"/>
            </w:tcBorders>
            <w:shd w:val="clear" w:color="auto" w:fill="auto"/>
            <w:noWrap/>
            <w:vAlign w:val="bottom"/>
            <w:hideMark/>
          </w:tcPr>
          <w:p w14:paraId="00F332B7" w14:textId="77777777" w:rsidR="001903D5" w:rsidRPr="003D2997" w:rsidRDefault="001903D5" w:rsidP="00303E90">
            <w:pPr>
              <w:rPr>
                <w:rFonts w:ascii="Times New Roman" w:eastAsia="Times New Roman" w:hAnsi="Times New Roman" w:cs="Times New Roman"/>
                <w:color w:val="000000"/>
                <w:lang w:val="en-GB"/>
              </w:rPr>
            </w:pPr>
            <w:r w:rsidRPr="003D2997">
              <w:rPr>
                <w:rFonts w:ascii="Times New Roman" w:eastAsia="Times New Roman" w:hAnsi="Times New Roman" w:cs="Times New Roman"/>
                <w:color w:val="000000"/>
                <w:lang w:val="en-GB"/>
              </w:rPr>
              <w:t>Control</w:t>
            </w:r>
          </w:p>
        </w:tc>
        <w:tc>
          <w:tcPr>
            <w:tcW w:w="2427" w:type="dxa"/>
            <w:tcBorders>
              <w:top w:val="nil"/>
              <w:left w:val="nil"/>
              <w:bottom w:val="nil"/>
              <w:right w:val="nil"/>
            </w:tcBorders>
            <w:shd w:val="clear" w:color="auto" w:fill="auto"/>
            <w:noWrap/>
            <w:vAlign w:val="bottom"/>
            <w:hideMark/>
          </w:tcPr>
          <w:p w14:paraId="0CED3C06" w14:textId="77777777" w:rsidR="001903D5" w:rsidRPr="003D2997" w:rsidRDefault="001903D5" w:rsidP="00303E90">
            <w:pPr>
              <w:rPr>
                <w:rFonts w:ascii="Times New Roman" w:eastAsia="Times New Roman" w:hAnsi="Times New Roman" w:cs="Times New Roman"/>
                <w:color w:val="000000"/>
                <w:lang w:val="en-GB"/>
              </w:rPr>
            </w:pPr>
            <w:r>
              <w:rPr>
                <w:rFonts w:ascii="Times New Roman" w:eastAsia="Times New Roman" w:hAnsi="Times New Roman" w:cs="Times New Roman"/>
                <w:color w:val="000000"/>
                <w:lang w:val="en-GB"/>
              </w:rPr>
              <w:t>40</w:t>
            </w:r>
          </w:p>
        </w:tc>
        <w:tc>
          <w:tcPr>
            <w:tcW w:w="2072" w:type="dxa"/>
            <w:tcBorders>
              <w:top w:val="nil"/>
              <w:left w:val="nil"/>
              <w:bottom w:val="nil"/>
              <w:right w:val="nil"/>
            </w:tcBorders>
            <w:shd w:val="clear" w:color="auto" w:fill="auto"/>
            <w:noWrap/>
            <w:vAlign w:val="bottom"/>
            <w:hideMark/>
          </w:tcPr>
          <w:p w14:paraId="042465BC" w14:textId="77777777" w:rsidR="001903D5" w:rsidRPr="003D2997" w:rsidRDefault="001903D5" w:rsidP="00303E90">
            <w:pPr>
              <w:rPr>
                <w:rFonts w:ascii="Times New Roman" w:eastAsia="Times New Roman" w:hAnsi="Times New Roman" w:cs="Times New Roman"/>
                <w:color w:val="000000"/>
                <w:lang w:val="en-GB"/>
              </w:rPr>
            </w:pPr>
            <w:r w:rsidRPr="003D2997">
              <w:rPr>
                <w:rFonts w:ascii="Times New Roman" w:eastAsia="Times New Roman" w:hAnsi="Times New Roman" w:cs="Times New Roman"/>
                <w:color w:val="000000"/>
                <w:lang w:val="en-GB"/>
              </w:rPr>
              <w:t>178</w:t>
            </w:r>
          </w:p>
        </w:tc>
        <w:tc>
          <w:tcPr>
            <w:tcW w:w="2239" w:type="dxa"/>
            <w:tcBorders>
              <w:top w:val="nil"/>
              <w:left w:val="nil"/>
              <w:bottom w:val="nil"/>
              <w:right w:val="nil"/>
            </w:tcBorders>
            <w:shd w:val="clear" w:color="auto" w:fill="auto"/>
            <w:noWrap/>
            <w:vAlign w:val="bottom"/>
            <w:hideMark/>
          </w:tcPr>
          <w:p w14:paraId="035F9B14" w14:textId="77777777" w:rsidR="001903D5" w:rsidRPr="003D2997" w:rsidRDefault="001903D5" w:rsidP="00303E90">
            <w:pPr>
              <w:rPr>
                <w:rFonts w:ascii="Times New Roman" w:eastAsia="Times New Roman" w:hAnsi="Times New Roman" w:cs="Times New Roman"/>
                <w:color w:val="000000"/>
                <w:lang w:val="en-GB"/>
              </w:rPr>
            </w:pPr>
            <w:r w:rsidRPr="003D2997">
              <w:rPr>
                <w:rFonts w:ascii="Times New Roman" w:eastAsia="Times New Roman" w:hAnsi="Times New Roman" w:cs="Times New Roman"/>
                <w:color w:val="000000"/>
                <w:lang w:val="en-GB"/>
              </w:rPr>
              <w:t>8.5</w:t>
            </w:r>
          </w:p>
        </w:tc>
      </w:tr>
      <w:tr w:rsidR="001903D5" w:rsidRPr="003D2997" w14:paraId="404C40DB" w14:textId="77777777" w:rsidTr="00303E90">
        <w:trPr>
          <w:trHeight w:val="103"/>
        </w:trPr>
        <w:tc>
          <w:tcPr>
            <w:tcW w:w="1360" w:type="dxa"/>
            <w:tcBorders>
              <w:top w:val="nil"/>
              <w:left w:val="nil"/>
              <w:bottom w:val="nil"/>
              <w:right w:val="nil"/>
            </w:tcBorders>
            <w:shd w:val="clear" w:color="auto" w:fill="auto"/>
            <w:noWrap/>
            <w:vAlign w:val="bottom"/>
            <w:hideMark/>
          </w:tcPr>
          <w:p w14:paraId="264B464E" w14:textId="77777777" w:rsidR="001903D5" w:rsidRPr="003D2997" w:rsidRDefault="001903D5" w:rsidP="00303E90">
            <w:pPr>
              <w:rPr>
                <w:rFonts w:ascii="Times New Roman" w:eastAsia="Times New Roman" w:hAnsi="Times New Roman" w:cs="Times New Roman"/>
                <w:color w:val="000000"/>
                <w:lang w:val="en-GB"/>
              </w:rPr>
            </w:pPr>
            <w:r w:rsidRPr="003D2997">
              <w:rPr>
                <w:rFonts w:ascii="Times New Roman" w:eastAsia="Times New Roman" w:hAnsi="Times New Roman" w:cs="Times New Roman"/>
                <w:color w:val="000000"/>
                <w:lang w:val="en-GB"/>
              </w:rPr>
              <w:t>IgG</w:t>
            </w:r>
          </w:p>
        </w:tc>
        <w:tc>
          <w:tcPr>
            <w:tcW w:w="2427" w:type="dxa"/>
            <w:tcBorders>
              <w:top w:val="nil"/>
              <w:left w:val="nil"/>
              <w:bottom w:val="nil"/>
              <w:right w:val="nil"/>
            </w:tcBorders>
            <w:shd w:val="clear" w:color="auto" w:fill="auto"/>
            <w:noWrap/>
            <w:vAlign w:val="bottom"/>
            <w:hideMark/>
          </w:tcPr>
          <w:p w14:paraId="30D4D359" w14:textId="77777777" w:rsidR="001903D5" w:rsidRPr="003D2997" w:rsidRDefault="001903D5" w:rsidP="00303E90">
            <w:pPr>
              <w:rPr>
                <w:rFonts w:ascii="Times New Roman" w:eastAsia="Times New Roman" w:hAnsi="Times New Roman" w:cs="Times New Roman"/>
                <w:color w:val="000000"/>
                <w:lang w:val="en-GB"/>
              </w:rPr>
            </w:pPr>
            <w:r w:rsidRPr="003D2997">
              <w:rPr>
                <w:rFonts w:ascii="Times New Roman" w:eastAsia="Times New Roman" w:hAnsi="Times New Roman" w:cs="Times New Roman"/>
                <w:color w:val="000000"/>
                <w:lang w:val="en-GB"/>
              </w:rPr>
              <w:t>40</w:t>
            </w:r>
          </w:p>
        </w:tc>
        <w:tc>
          <w:tcPr>
            <w:tcW w:w="2072" w:type="dxa"/>
            <w:tcBorders>
              <w:top w:val="nil"/>
              <w:left w:val="nil"/>
              <w:bottom w:val="nil"/>
              <w:right w:val="nil"/>
            </w:tcBorders>
            <w:shd w:val="clear" w:color="auto" w:fill="auto"/>
            <w:noWrap/>
            <w:vAlign w:val="bottom"/>
            <w:hideMark/>
          </w:tcPr>
          <w:p w14:paraId="6FBCD795" w14:textId="77777777" w:rsidR="001903D5" w:rsidRPr="003D2997" w:rsidRDefault="001903D5" w:rsidP="00303E90">
            <w:pPr>
              <w:rPr>
                <w:rFonts w:ascii="Times New Roman" w:eastAsia="Times New Roman" w:hAnsi="Times New Roman" w:cs="Times New Roman"/>
                <w:color w:val="000000"/>
                <w:lang w:val="en-GB"/>
              </w:rPr>
            </w:pPr>
            <w:r w:rsidRPr="003D2997">
              <w:rPr>
                <w:rFonts w:ascii="Times New Roman" w:eastAsia="Times New Roman" w:hAnsi="Times New Roman" w:cs="Times New Roman"/>
                <w:color w:val="000000"/>
                <w:lang w:val="en-GB"/>
              </w:rPr>
              <w:t>239</w:t>
            </w:r>
          </w:p>
        </w:tc>
        <w:tc>
          <w:tcPr>
            <w:tcW w:w="2239" w:type="dxa"/>
            <w:tcBorders>
              <w:top w:val="nil"/>
              <w:left w:val="nil"/>
              <w:bottom w:val="nil"/>
              <w:right w:val="nil"/>
            </w:tcBorders>
            <w:shd w:val="clear" w:color="auto" w:fill="auto"/>
            <w:noWrap/>
            <w:vAlign w:val="bottom"/>
            <w:hideMark/>
          </w:tcPr>
          <w:p w14:paraId="3AA753F2" w14:textId="77777777" w:rsidR="001903D5" w:rsidRPr="003D2997" w:rsidRDefault="001903D5" w:rsidP="00303E90">
            <w:pPr>
              <w:rPr>
                <w:rFonts w:ascii="Times New Roman" w:eastAsia="Times New Roman" w:hAnsi="Times New Roman" w:cs="Times New Roman"/>
                <w:color w:val="000000"/>
                <w:lang w:val="en-GB"/>
              </w:rPr>
            </w:pPr>
            <w:r w:rsidRPr="003D2997">
              <w:rPr>
                <w:rFonts w:ascii="Times New Roman" w:eastAsia="Times New Roman" w:hAnsi="Times New Roman" w:cs="Times New Roman"/>
                <w:color w:val="000000"/>
                <w:lang w:val="en-GB"/>
              </w:rPr>
              <w:t>11.5</w:t>
            </w:r>
          </w:p>
        </w:tc>
      </w:tr>
      <w:tr w:rsidR="001903D5" w:rsidRPr="003D2997" w14:paraId="6DDDC08B" w14:textId="77777777" w:rsidTr="00303E90">
        <w:trPr>
          <w:trHeight w:val="103"/>
        </w:trPr>
        <w:tc>
          <w:tcPr>
            <w:tcW w:w="1360" w:type="dxa"/>
            <w:tcBorders>
              <w:top w:val="nil"/>
              <w:left w:val="nil"/>
              <w:bottom w:val="nil"/>
              <w:right w:val="nil"/>
            </w:tcBorders>
            <w:shd w:val="clear" w:color="auto" w:fill="auto"/>
            <w:noWrap/>
            <w:vAlign w:val="bottom"/>
            <w:hideMark/>
          </w:tcPr>
          <w:p w14:paraId="4860F883" w14:textId="77777777" w:rsidR="001903D5" w:rsidRPr="003D2997" w:rsidRDefault="001903D5" w:rsidP="00303E90">
            <w:pPr>
              <w:rPr>
                <w:rFonts w:ascii="Times New Roman" w:eastAsia="Times New Roman" w:hAnsi="Times New Roman" w:cs="Times New Roman"/>
                <w:color w:val="000000"/>
                <w:lang w:val="en-GB"/>
              </w:rPr>
            </w:pPr>
            <w:r w:rsidRPr="003D2997">
              <w:rPr>
                <w:rFonts w:ascii="Times New Roman" w:eastAsia="Times New Roman" w:hAnsi="Times New Roman" w:cs="Times New Roman"/>
                <w:color w:val="000000"/>
                <w:lang w:val="en-GB"/>
              </w:rPr>
              <w:t>MAB391</w:t>
            </w:r>
          </w:p>
        </w:tc>
        <w:tc>
          <w:tcPr>
            <w:tcW w:w="2427" w:type="dxa"/>
            <w:tcBorders>
              <w:top w:val="nil"/>
              <w:left w:val="nil"/>
              <w:bottom w:val="nil"/>
              <w:right w:val="nil"/>
            </w:tcBorders>
            <w:shd w:val="clear" w:color="auto" w:fill="auto"/>
            <w:noWrap/>
            <w:vAlign w:val="bottom"/>
            <w:hideMark/>
          </w:tcPr>
          <w:p w14:paraId="4B2A8318" w14:textId="77777777" w:rsidR="001903D5" w:rsidRPr="003D2997" w:rsidRDefault="001903D5" w:rsidP="00303E90">
            <w:pPr>
              <w:rPr>
                <w:rFonts w:ascii="Times New Roman" w:eastAsia="Times New Roman" w:hAnsi="Times New Roman" w:cs="Times New Roman"/>
                <w:color w:val="000000"/>
                <w:lang w:val="en-GB"/>
              </w:rPr>
            </w:pPr>
            <w:r w:rsidRPr="003D2997">
              <w:rPr>
                <w:rFonts w:ascii="Times New Roman" w:eastAsia="Times New Roman" w:hAnsi="Times New Roman" w:cs="Times New Roman"/>
                <w:color w:val="000000"/>
                <w:lang w:val="en-GB"/>
              </w:rPr>
              <w:t>40</w:t>
            </w:r>
          </w:p>
        </w:tc>
        <w:tc>
          <w:tcPr>
            <w:tcW w:w="2072" w:type="dxa"/>
            <w:tcBorders>
              <w:top w:val="nil"/>
              <w:left w:val="nil"/>
              <w:bottom w:val="nil"/>
              <w:right w:val="nil"/>
            </w:tcBorders>
            <w:shd w:val="clear" w:color="auto" w:fill="auto"/>
            <w:noWrap/>
            <w:vAlign w:val="bottom"/>
            <w:hideMark/>
          </w:tcPr>
          <w:p w14:paraId="38F410D4" w14:textId="77777777" w:rsidR="001903D5" w:rsidRPr="003D2997" w:rsidRDefault="001903D5" w:rsidP="00303E90">
            <w:pPr>
              <w:rPr>
                <w:rFonts w:ascii="Times New Roman" w:eastAsia="Times New Roman" w:hAnsi="Times New Roman" w:cs="Times New Roman"/>
                <w:color w:val="000000"/>
                <w:lang w:val="en-GB"/>
              </w:rPr>
            </w:pPr>
            <w:r w:rsidRPr="003D2997">
              <w:rPr>
                <w:rFonts w:ascii="Times New Roman" w:eastAsia="Times New Roman" w:hAnsi="Times New Roman" w:cs="Times New Roman"/>
                <w:color w:val="000000"/>
                <w:lang w:val="en-GB"/>
              </w:rPr>
              <w:t>163</w:t>
            </w:r>
          </w:p>
        </w:tc>
        <w:tc>
          <w:tcPr>
            <w:tcW w:w="2239" w:type="dxa"/>
            <w:tcBorders>
              <w:top w:val="nil"/>
              <w:left w:val="nil"/>
              <w:bottom w:val="nil"/>
              <w:right w:val="nil"/>
            </w:tcBorders>
            <w:shd w:val="clear" w:color="auto" w:fill="auto"/>
            <w:noWrap/>
            <w:vAlign w:val="bottom"/>
            <w:hideMark/>
          </w:tcPr>
          <w:p w14:paraId="06365815" w14:textId="77777777" w:rsidR="001903D5" w:rsidRPr="003D2997" w:rsidRDefault="001903D5" w:rsidP="00303E90">
            <w:pPr>
              <w:rPr>
                <w:rFonts w:ascii="Times New Roman" w:eastAsia="Times New Roman" w:hAnsi="Times New Roman" w:cs="Times New Roman"/>
                <w:color w:val="000000"/>
                <w:lang w:val="en-GB"/>
              </w:rPr>
            </w:pPr>
            <w:r w:rsidRPr="003D2997">
              <w:rPr>
                <w:rFonts w:ascii="Times New Roman" w:eastAsia="Times New Roman" w:hAnsi="Times New Roman" w:cs="Times New Roman"/>
                <w:color w:val="000000"/>
                <w:lang w:val="en-GB"/>
              </w:rPr>
              <w:t>7.8</w:t>
            </w:r>
          </w:p>
        </w:tc>
      </w:tr>
    </w:tbl>
    <w:p w14:paraId="41DF1209" w14:textId="77777777" w:rsidR="00303E90" w:rsidRDefault="00D97F5F" w:rsidP="004D474F">
      <w:pPr>
        <w:pStyle w:val="Heading5"/>
        <w:rPr>
          <w:noProof/>
        </w:rPr>
      </w:pPr>
      <w:bookmarkStart w:id="2237" w:name="_Toc333569371"/>
      <w:bookmarkStart w:id="2238" w:name="_Toc333570909"/>
      <w:bookmarkStart w:id="2239" w:name="_Toc333585990"/>
      <w:bookmarkStart w:id="2240" w:name="_Toc333586866"/>
      <w:bookmarkStart w:id="2241" w:name="_Toc333644565"/>
      <w:bookmarkStart w:id="2242" w:name="_Toc333644859"/>
      <w:r>
        <w:rPr>
          <w:noProof/>
        </w:rPr>
        <w:t xml:space="preserve">Table </w:t>
      </w:r>
      <w:r w:rsidR="00A3722E">
        <w:rPr>
          <w:noProof/>
        </w:rPr>
        <w:t>5.22</w:t>
      </w:r>
      <w:r w:rsidR="0043060F">
        <w:rPr>
          <w:noProof/>
        </w:rPr>
        <w:t>.</w:t>
      </w:r>
      <w:r>
        <w:rPr>
          <w:noProof/>
        </w:rPr>
        <w:t xml:space="preserve"> Yield of cDNA from contr</w:t>
      </w:r>
      <w:r w:rsidR="00B80D03">
        <w:rPr>
          <w:noProof/>
        </w:rPr>
        <w:t>ol (untreated), IgG- and MAB391-t</w:t>
      </w:r>
      <w:r>
        <w:rPr>
          <w:noProof/>
        </w:rPr>
        <w:t>reated astrocytes following amplification.</w:t>
      </w:r>
      <w:bookmarkEnd w:id="2237"/>
      <w:bookmarkEnd w:id="2238"/>
      <w:bookmarkEnd w:id="2239"/>
      <w:bookmarkEnd w:id="2240"/>
      <w:bookmarkEnd w:id="2241"/>
      <w:bookmarkEnd w:id="2242"/>
      <w:r w:rsidR="00CF7183">
        <w:rPr>
          <w:noProof/>
        </w:rPr>
        <w:t xml:space="preserve"> </w:t>
      </w:r>
    </w:p>
    <w:p w14:paraId="13847DC1" w14:textId="25C3C19B" w:rsidR="00D97F5F" w:rsidRPr="0046471F" w:rsidRDefault="00CF7183" w:rsidP="00C63BC1">
      <w:pPr>
        <w:spacing w:line="360" w:lineRule="auto"/>
        <w:jc w:val="both"/>
        <w:rPr>
          <w:rFonts w:ascii="Times New Roman" w:hAnsi="Times New Roman" w:cs="Times New Roman"/>
          <w:noProof/>
          <w:u w:val="single"/>
        </w:rPr>
      </w:pPr>
      <w:r>
        <w:rPr>
          <w:rFonts w:ascii="Times New Roman" w:hAnsi="Times New Roman" w:cs="Times New Roman"/>
          <w:noProof/>
        </w:rPr>
        <w:t xml:space="preserve">A QuantiTect® Whole Transcriptome RNA amplifcation kit was used to reverse transcribe RNA and amplify to improve yields of cDNA </w:t>
      </w:r>
      <w:r w:rsidR="00967133">
        <w:rPr>
          <w:rFonts w:ascii="Times New Roman" w:hAnsi="Times New Roman" w:cs="Times New Roman"/>
          <w:noProof/>
        </w:rPr>
        <w:t>for q</w:t>
      </w:r>
      <w:r>
        <w:rPr>
          <w:rFonts w:ascii="Times New Roman" w:hAnsi="Times New Roman" w:cs="Times New Roman"/>
          <w:noProof/>
        </w:rPr>
        <w:t>RT-PCR validation of target genes</w:t>
      </w:r>
      <w:r w:rsidR="00C63BC1">
        <w:rPr>
          <w:rFonts w:ascii="Times New Roman" w:hAnsi="Times New Roman" w:cs="Times New Roman"/>
          <w:noProof/>
        </w:rPr>
        <w:t>.</w:t>
      </w:r>
    </w:p>
    <w:p w14:paraId="5CD90644" w14:textId="77777777" w:rsidR="00D97F5F" w:rsidRDefault="00D97F5F">
      <w:pPr>
        <w:rPr>
          <w:rFonts w:ascii="Times New Roman" w:hAnsi="Times New Roman" w:cs="Times New Roman"/>
          <w:b/>
          <w:noProof/>
          <w:u w:val="single"/>
        </w:rPr>
      </w:pPr>
    </w:p>
    <w:p w14:paraId="0CD23E8A" w14:textId="77777777" w:rsidR="00D97F5F" w:rsidRDefault="00D97F5F">
      <w:pPr>
        <w:rPr>
          <w:rFonts w:ascii="Times New Roman" w:hAnsi="Times New Roman" w:cs="Times New Roman"/>
          <w:b/>
          <w:noProof/>
          <w:u w:val="single"/>
        </w:rPr>
      </w:pPr>
    </w:p>
    <w:p w14:paraId="78B5F3D2" w14:textId="77777777" w:rsidR="00D97F5F" w:rsidRDefault="00D97F5F">
      <w:pPr>
        <w:rPr>
          <w:rFonts w:ascii="Times New Roman" w:hAnsi="Times New Roman" w:cs="Times New Roman"/>
          <w:b/>
          <w:noProof/>
          <w:u w:val="single"/>
        </w:rPr>
      </w:pPr>
    </w:p>
    <w:p w14:paraId="6F30870F" w14:textId="77777777" w:rsidR="001903D5" w:rsidRDefault="001903D5">
      <w:pPr>
        <w:rPr>
          <w:rFonts w:ascii="Times New Roman" w:hAnsi="Times New Roman" w:cs="Times New Roman"/>
          <w:b/>
          <w:noProof/>
          <w:u w:val="single"/>
        </w:rPr>
      </w:pPr>
    </w:p>
    <w:p w14:paraId="59030FCC" w14:textId="73FB3C9C" w:rsidR="00D45CE7" w:rsidRPr="00F92407" w:rsidRDefault="00D45CE7" w:rsidP="00585472">
      <w:pPr>
        <w:jc w:val="both"/>
        <w:rPr>
          <w:rFonts w:ascii="Times New Roman" w:hAnsi="Times New Roman" w:cs="Times New Roman"/>
          <w:b/>
          <w:i/>
          <w:noProof/>
          <w:u w:val="single"/>
        </w:rPr>
      </w:pPr>
      <w:r w:rsidRPr="00F92407">
        <w:rPr>
          <w:rFonts w:ascii="Times New Roman" w:hAnsi="Times New Roman" w:cs="Times New Roman"/>
          <w:b/>
          <w:i/>
          <w:noProof/>
          <w:u w:val="single"/>
        </w:rPr>
        <w:t>Validating Oxidative phosphorylation genes</w:t>
      </w:r>
    </w:p>
    <w:p w14:paraId="0AA67324" w14:textId="2C53E6FC" w:rsidR="00DD02EA" w:rsidRDefault="00D45CE7" w:rsidP="00585472">
      <w:pPr>
        <w:spacing w:line="360" w:lineRule="auto"/>
        <w:jc w:val="both"/>
        <w:rPr>
          <w:rFonts w:ascii="Times New Roman" w:hAnsi="Times New Roman" w:cs="Times New Roman"/>
          <w:noProof/>
        </w:rPr>
      </w:pPr>
      <w:r>
        <w:rPr>
          <w:rFonts w:ascii="Times New Roman" w:hAnsi="Times New Roman" w:cs="Times New Roman"/>
          <w:noProof/>
        </w:rPr>
        <w:t>qRT-PCR showed a signficant decrease (p&lt;0.05) in NDUF</w:t>
      </w:r>
      <w:r w:rsidR="00F317DC">
        <w:rPr>
          <w:rFonts w:ascii="Times New Roman" w:hAnsi="Times New Roman" w:cs="Times New Roman"/>
          <w:noProof/>
        </w:rPr>
        <w:t>A2 levels with MAB391 treatment</w:t>
      </w:r>
      <w:r w:rsidR="009B6025">
        <w:rPr>
          <w:rFonts w:ascii="Times New Roman" w:hAnsi="Times New Roman" w:cs="Times New Roman"/>
          <w:noProof/>
        </w:rPr>
        <w:t xml:space="preserve"> </w:t>
      </w:r>
      <w:r>
        <w:rPr>
          <w:rFonts w:ascii="Times New Roman" w:hAnsi="Times New Roman" w:cs="Times New Roman"/>
          <w:noProof/>
        </w:rPr>
        <w:t>compa</w:t>
      </w:r>
      <w:r w:rsidR="00F317DC">
        <w:rPr>
          <w:rFonts w:ascii="Times New Roman" w:hAnsi="Times New Roman" w:cs="Times New Roman"/>
          <w:noProof/>
        </w:rPr>
        <w:t>red with control and IgG treatment</w:t>
      </w:r>
      <w:r w:rsidR="009F33F9">
        <w:rPr>
          <w:rFonts w:ascii="Times New Roman" w:hAnsi="Times New Roman" w:cs="Times New Roman"/>
          <w:noProof/>
        </w:rPr>
        <w:t xml:space="preserve"> (</w:t>
      </w:r>
      <w:r w:rsidR="009F33F9" w:rsidRPr="004A24B9">
        <w:rPr>
          <w:rFonts w:ascii="Times New Roman" w:hAnsi="Times New Roman" w:cs="Times New Roman"/>
          <w:b/>
          <w:noProof/>
        </w:rPr>
        <w:t>figure 5.</w:t>
      </w:r>
      <w:r w:rsidR="00EB38F3">
        <w:rPr>
          <w:rFonts w:ascii="Times New Roman" w:hAnsi="Times New Roman" w:cs="Times New Roman"/>
          <w:b/>
          <w:noProof/>
        </w:rPr>
        <w:t>19</w:t>
      </w:r>
      <w:r w:rsidR="009F33F9">
        <w:rPr>
          <w:rFonts w:ascii="Times New Roman" w:hAnsi="Times New Roman" w:cs="Times New Roman"/>
          <w:noProof/>
        </w:rPr>
        <w:t>)</w:t>
      </w:r>
      <w:r>
        <w:rPr>
          <w:rFonts w:ascii="Times New Roman" w:hAnsi="Times New Roman" w:cs="Times New Roman"/>
          <w:noProof/>
        </w:rPr>
        <w:t xml:space="preserve"> There is a trend towards a decrease in NDUFB6 levels with MAB391 treatment compared with </w:t>
      </w:r>
      <w:r w:rsidR="009B6025">
        <w:rPr>
          <w:rFonts w:ascii="Times New Roman" w:hAnsi="Times New Roman" w:cs="Times New Roman"/>
          <w:noProof/>
        </w:rPr>
        <w:t xml:space="preserve">control. When compared with </w:t>
      </w:r>
      <w:r>
        <w:rPr>
          <w:rFonts w:ascii="Times New Roman" w:hAnsi="Times New Roman" w:cs="Times New Roman"/>
          <w:noProof/>
        </w:rPr>
        <w:t xml:space="preserve">IgG treatment, there is a significant difference resulting from MAB391 treatment (p&lt;0.05). However, the results suggest that there is an antibody effect that increases NDUFB6, which can be reduced after MAB391 treatment. </w:t>
      </w:r>
    </w:p>
    <w:p w14:paraId="3767BA74" w14:textId="17755CE4" w:rsidR="00F317DC" w:rsidRDefault="00F317DC" w:rsidP="00585472">
      <w:pPr>
        <w:spacing w:line="360" w:lineRule="auto"/>
        <w:jc w:val="both"/>
        <w:rPr>
          <w:rFonts w:ascii="Times New Roman" w:hAnsi="Times New Roman" w:cs="Times New Roman"/>
          <w:noProof/>
        </w:rPr>
      </w:pPr>
      <w:r>
        <w:rPr>
          <w:rFonts w:ascii="Times New Roman" w:hAnsi="Times New Roman" w:cs="Times New Roman"/>
          <w:noProof/>
        </w:rPr>
        <w:t xml:space="preserve">These results validate downregulation of </w:t>
      </w:r>
      <w:r w:rsidR="00004C0A">
        <w:rPr>
          <w:rFonts w:ascii="Times New Roman" w:hAnsi="Times New Roman" w:cs="Times New Roman"/>
          <w:noProof/>
        </w:rPr>
        <w:t xml:space="preserve">complex I genes </w:t>
      </w:r>
      <w:r>
        <w:rPr>
          <w:rFonts w:ascii="Times New Roman" w:hAnsi="Times New Roman" w:cs="Times New Roman"/>
          <w:noProof/>
        </w:rPr>
        <w:t>observed in the microarray</w:t>
      </w:r>
      <w:r w:rsidR="00004C0A">
        <w:rPr>
          <w:rFonts w:ascii="Times New Roman" w:hAnsi="Times New Roman" w:cs="Times New Roman"/>
          <w:noProof/>
        </w:rPr>
        <w:t xml:space="preserve"> analysis</w:t>
      </w:r>
      <w:r>
        <w:rPr>
          <w:rFonts w:ascii="Times New Roman" w:hAnsi="Times New Roman" w:cs="Times New Roman"/>
          <w:noProof/>
        </w:rPr>
        <w:t>.</w:t>
      </w:r>
    </w:p>
    <w:p w14:paraId="6B4CDB13" w14:textId="77777777" w:rsidR="00E508B2" w:rsidRDefault="00E508B2" w:rsidP="00D45CE7">
      <w:pPr>
        <w:spacing w:line="360" w:lineRule="auto"/>
        <w:rPr>
          <w:rFonts w:ascii="Times New Roman" w:hAnsi="Times New Roman" w:cs="Times New Roman"/>
          <w:noProof/>
        </w:rPr>
      </w:pPr>
    </w:p>
    <w:p w14:paraId="493EEC34" w14:textId="550C4DC3" w:rsidR="00D45CE7" w:rsidRPr="00AA21C2" w:rsidRDefault="00870F23" w:rsidP="00AA21C2">
      <w:pPr>
        <w:spacing w:line="360" w:lineRule="auto"/>
        <w:rPr>
          <w:rFonts w:ascii="Times New Roman" w:hAnsi="Times New Roman" w:cs="Times New Roman"/>
          <w:noProof/>
        </w:rPr>
      </w:pPr>
      <w:r>
        <w:rPr>
          <w:rFonts w:ascii="Times New Roman" w:hAnsi="Times New Roman" w:cs="Times New Roman"/>
          <w:noProof/>
        </w:rPr>
        <w:t xml:space="preserve">         </w:t>
      </w:r>
      <w:r w:rsidR="00E508B2">
        <w:rPr>
          <w:rFonts w:ascii="Times New Roman" w:hAnsi="Times New Roman" w:cs="Times New Roman"/>
          <w:noProof/>
        </w:rPr>
        <w:drawing>
          <wp:inline distT="0" distB="0" distL="0" distR="0" wp14:anchorId="1CFAF0A1" wp14:editId="4EABCB30">
            <wp:extent cx="4801945" cy="2161583"/>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104">
                      <a:extLst>
                        <a:ext uri="{28A0092B-C50C-407E-A947-70E740481C1C}">
                          <a14:useLocalDpi xmlns:a14="http://schemas.microsoft.com/office/drawing/2010/main" val="0"/>
                        </a:ext>
                      </a:extLst>
                    </a:blip>
                    <a:srcRect l="11297" t="23729" r="10190" b="27683"/>
                    <a:stretch/>
                  </pic:blipFill>
                  <pic:spPr bwMode="auto">
                    <a:xfrm>
                      <a:off x="0" y="0"/>
                      <a:ext cx="4803284" cy="2162186"/>
                    </a:xfrm>
                    <a:prstGeom prst="rect">
                      <a:avLst/>
                    </a:prstGeom>
                    <a:ln>
                      <a:noFill/>
                    </a:ln>
                    <a:extLst>
                      <a:ext uri="{53640926-AAD7-44d8-BBD7-CCE9431645EC}">
                        <a14:shadowObscured xmlns:a14="http://schemas.microsoft.com/office/drawing/2010/main"/>
                      </a:ext>
                    </a:extLst>
                  </pic:spPr>
                </pic:pic>
              </a:graphicData>
            </a:graphic>
          </wp:inline>
        </w:drawing>
      </w:r>
      <w:r w:rsidR="00D45CE7">
        <w:rPr>
          <w:rFonts w:ascii="Times New Roman" w:hAnsi="Times New Roman" w:cs="Times New Roman"/>
          <w:b/>
          <w:noProof/>
        </w:rPr>
        <w:drawing>
          <wp:inline distT="0" distB="0" distL="0" distR="0" wp14:anchorId="6DB0A144" wp14:editId="01F9830C">
            <wp:extent cx="5431409" cy="970066"/>
            <wp:effectExtent l="0" t="0" r="444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rotWithShape="1">
                    <a:blip r:embed="rId105">
                      <a:extLst>
                        <a:ext uri="{28A0092B-C50C-407E-A947-70E740481C1C}">
                          <a14:useLocalDpi xmlns:a14="http://schemas.microsoft.com/office/drawing/2010/main" val="0"/>
                        </a:ext>
                      </a:extLst>
                    </a:blip>
                    <a:srcRect l="18189" t="62118" r="20257" b="23220"/>
                    <a:stretch/>
                  </pic:blipFill>
                  <pic:spPr bwMode="auto">
                    <a:xfrm>
                      <a:off x="0" y="0"/>
                      <a:ext cx="5435889" cy="970866"/>
                    </a:xfrm>
                    <a:prstGeom prst="rect">
                      <a:avLst/>
                    </a:prstGeom>
                    <a:ln>
                      <a:noFill/>
                    </a:ln>
                    <a:extLst>
                      <a:ext uri="{53640926-AAD7-44d8-BBD7-CCE9431645EC}">
                        <a14:shadowObscured xmlns:a14="http://schemas.microsoft.com/office/drawing/2010/main"/>
                      </a:ext>
                    </a:extLst>
                  </pic:spPr>
                </pic:pic>
              </a:graphicData>
            </a:graphic>
          </wp:inline>
        </w:drawing>
      </w:r>
    </w:p>
    <w:p w14:paraId="2F724664" w14:textId="77777777" w:rsidR="00303E90" w:rsidRDefault="00A3722E" w:rsidP="00585472">
      <w:pPr>
        <w:pStyle w:val="Caption"/>
        <w:rPr>
          <w:noProof/>
        </w:rPr>
      </w:pPr>
      <w:bookmarkStart w:id="2243" w:name="_Toc333569096"/>
      <w:bookmarkStart w:id="2244" w:name="_Toc333569319"/>
      <w:bookmarkStart w:id="2245" w:name="_Toc333570873"/>
      <w:bookmarkStart w:id="2246" w:name="_Toc333582256"/>
      <w:bookmarkStart w:id="2247" w:name="_Toc333582376"/>
      <w:bookmarkStart w:id="2248" w:name="_Toc333582788"/>
      <w:bookmarkStart w:id="2249" w:name="_Toc333583158"/>
      <w:bookmarkStart w:id="2250" w:name="_Toc333585272"/>
      <w:bookmarkStart w:id="2251" w:name="_Toc333586824"/>
      <w:bookmarkStart w:id="2252" w:name="_Toc333644523"/>
      <w:bookmarkStart w:id="2253" w:name="_Toc333644817"/>
      <w:r>
        <w:rPr>
          <w:noProof/>
        </w:rPr>
        <w:t>Figure 5.19</w:t>
      </w:r>
      <w:r w:rsidR="0043060F">
        <w:rPr>
          <w:noProof/>
        </w:rPr>
        <w:t>.</w:t>
      </w:r>
      <w:r w:rsidR="00D45CE7">
        <w:rPr>
          <w:noProof/>
        </w:rPr>
        <w:t xml:space="preserve"> qRT-PCR Validation of NDUFA2 and NDUFB6 levels.</w:t>
      </w:r>
      <w:bookmarkEnd w:id="2243"/>
      <w:bookmarkEnd w:id="2244"/>
      <w:bookmarkEnd w:id="2245"/>
      <w:bookmarkEnd w:id="2246"/>
      <w:bookmarkEnd w:id="2247"/>
      <w:bookmarkEnd w:id="2248"/>
      <w:bookmarkEnd w:id="2249"/>
      <w:bookmarkEnd w:id="2250"/>
      <w:bookmarkEnd w:id="2251"/>
      <w:bookmarkEnd w:id="2252"/>
      <w:bookmarkEnd w:id="2253"/>
      <w:r w:rsidR="00D45CE7">
        <w:rPr>
          <w:noProof/>
        </w:rPr>
        <w:t xml:space="preserve"> </w:t>
      </w:r>
    </w:p>
    <w:p w14:paraId="0ED71E43" w14:textId="4E03291E" w:rsidR="00D45CE7" w:rsidRDefault="00D45CE7" w:rsidP="00585472">
      <w:pPr>
        <w:spacing w:line="360" w:lineRule="auto"/>
        <w:jc w:val="both"/>
        <w:rPr>
          <w:rFonts w:ascii="Times New Roman" w:hAnsi="Times New Roman" w:cs="Times New Roman"/>
        </w:rPr>
      </w:pPr>
      <w:r>
        <w:rPr>
          <w:rFonts w:ascii="Times New Roman" w:hAnsi="Times New Roman" w:cs="Times New Roman"/>
          <w:noProof/>
        </w:rPr>
        <w:t>Astrocytes were treated with and without IgG/MAB391 for 24 hours and co-cultured with GFP LUHMES for 72</w:t>
      </w:r>
      <w:r w:rsidR="009B6025">
        <w:rPr>
          <w:rFonts w:ascii="Times New Roman" w:hAnsi="Times New Roman" w:cs="Times New Roman"/>
          <w:noProof/>
        </w:rPr>
        <w:t xml:space="preserve"> </w:t>
      </w:r>
      <w:r>
        <w:rPr>
          <w:rFonts w:ascii="Times New Roman" w:hAnsi="Times New Roman" w:cs="Times New Roman"/>
          <w:noProof/>
        </w:rPr>
        <w:t xml:space="preserve">hours prior to FACS sorting to isolate astrocytes. qRT-PCR was performed on NDUFA2 and NDUFB6 and normalised to GAPDH (One-way ANOVA; Data </w:t>
      </w:r>
      <w:r w:rsidRPr="00260FCA">
        <w:rPr>
          <w:rFonts w:ascii="Times New Roman" w:hAnsi="Times New Roman" w:cs="Times New Roman"/>
          <w:noProof/>
        </w:rPr>
        <w:t xml:space="preserve">are means </w:t>
      </w:r>
      <w:r w:rsidRPr="00260FCA">
        <w:rPr>
          <w:rFonts w:ascii="Times New Roman" w:hAnsi="Times New Roman" w:cs="Times New Roman"/>
        </w:rPr>
        <w:t>± SEM; n=1 in duplicate).</w:t>
      </w:r>
    </w:p>
    <w:p w14:paraId="2541FC84" w14:textId="77777777" w:rsidR="005631BE" w:rsidRDefault="005631BE" w:rsidP="00585472">
      <w:pPr>
        <w:jc w:val="both"/>
        <w:rPr>
          <w:rFonts w:ascii="Times New Roman" w:hAnsi="Times New Roman" w:cs="Times New Roman"/>
          <w:b/>
          <w:noProof/>
          <w:u w:val="single"/>
        </w:rPr>
      </w:pPr>
    </w:p>
    <w:p w14:paraId="01F70A50" w14:textId="0C794B22" w:rsidR="00D144D6" w:rsidRPr="00F92407" w:rsidRDefault="0099158A" w:rsidP="00585472">
      <w:pPr>
        <w:jc w:val="both"/>
        <w:rPr>
          <w:rFonts w:ascii="Times New Roman" w:hAnsi="Times New Roman" w:cs="Times New Roman"/>
          <w:b/>
          <w:i/>
          <w:noProof/>
          <w:u w:val="single"/>
        </w:rPr>
      </w:pPr>
      <w:r w:rsidRPr="00F92407">
        <w:rPr>
          <w:rFonts w:ascii="Times New Roman" w:hAnsi="Times New Roman" w:cs="Times New Roman"/>
          <w:b/>
          <w:i/>
          <w:noProof/>
          <w:u w:val="single"/>
        </w:rPr>
        <w:t xml:space="preserve">Validating </w:t>
      </w:r>
      <w:r w:rsidR="00D144D6" w:rsidRPr="00F92407">
        <w:rPr>
          <w:rFonts w:ascii="Times New Roman" w:hAnsi="Times New Roman" w:cs="Times New Roman"/>
          <w:b/>
          <w:i/>
          <w:noProof/>
          <w:u w:val="single"/>
        </w:rPr>
        <w:t>Antioxidant genes</w:t>
      </w:r>
    </w:p>
    <w:p w14:paraId="78849D1F" w14:textId="4FDD0364" w:rsidR="00004C0A" w:rsidRDefault="00004C0A" w:rsidP="00585472">
      <w:pPr>
        <w:spacing w:line="360" w:lineRule="auto"/>
        <w:jc w:val="both"/>
        <w:rPr>
          <w:rFonts w:ascii="Times New Roman" w:hAnsi="Times New Roman" w:cs="Times New Roman"/>
          <w:noProof/>
        </w:rPr>
      </w:pPr>
      <w:r>
        <w:rPr>
          <w:rFonts w:ascii="Times New Roman" w:hAnsi="Times New Roman" w:cs="Times New Roman"/>
          <w:noProof/>
        </w:rPr>
        <w:t>Five</w:t>
      </w:r>
      <w:r w:rsidR="00510CA6">
        <w:rPr>
          <w:rFonts w:ascii="Times New Roman" w:hAnsi="Times New Roman" w:cs="Times New Roman"/>
          <w:noProof/>
        </w:rPr>
        <w:t xml:space="preserve"> </w:t>
      </w:r>
      <w:r w:rsidR="003B2549">
        <w:rPr>
          <w:rFonts w:ascii="Times New Roman" w:hAnsi="Times New Roman" w:cs="Times New Roman"/>
          <w:noProof/>
        </w:rPr>
        <w:t>genes were chosen</w:t>
      </w:r>
      <w:r w:rsidR="00003C48">
        <w:rPr>
          <w:rFonts w:ascii="Times New Roman" w:hAnsi="Times New Roman" w:cs="Times New Roman"/>
          <w:noProof/>
        </w:rPr>
        <w:t xml:space="preserve"> for validation:</w:t>
      </w:r>
      <w:r>
        <w:rPr>
          <w:rFonts w:ascii="Times New Roman" w:hAnsi="Times New Roman" w:cs="Times New Roman"/>
          <w:noProof/>
        </w:rPr>
        <w:t xml:space="preserve"> GLRX3, PRDX3, MGST1,</w:t>
      </w:r>
      <w:r w:rsidR="003B2549">
        <w:rPr>
          <w:rFonts w:ascii="Times New Roman" w:hAnsi="Times New Roman" w:cs="Times New Roman"/>
          <w:noProof/>
        </w:rPr>
        <w:t xml:space="preserve"> </w:t>
      </w:r>
      <w:r w:rsidR="00003C48">
        <w:rPr>
          <w:rFonts w:ascii="Times New Roman" w:hAnsi="Times New Roman" w:cs="Times New Roman"/>
          <w:noProof/>
        </w:rPr>
        <w:t>GST3α and GGT1</w:t>
      </w:r>
      <w:r>
        <w:rPr>
          <w:rFonts w:ascii="Times New Roman" w:hAnsi="Times New Roman" w:cs="Times New Roman"/>
          <w:noProof/>
        </w:rPr>
        <w:t>, however the primers for GST3α and GGT1 did not work and validation of these targets was not pursued further</w:t>
      </w:r>
      <w:r w:rsidR="00003C48">
        <w:rPr>
          <w:rFonts w:ascii="Times New Roman" w:hAnsi="Times New Roman" w:cs="Times New Roman"/>
          <w:noProof/>
        </w:rPr>
        <w:t xml:space="preserve">. </w:t>
      </w:r>
      <w:r w:rsidR="00DD02EA">
        <w:rPr>
          <w:rFonts w:ascii="Times New Roman" w:hAnsi="Times New Roman" w:cs="Times New Roman"/>
          <w:noProof/>
        </w:rPr>
        <w:t xml:space="preserve">qRT-PCR analysis revealed there were </w:t>
      </w:r>
      <w:r w:rsidR="00003C48">
        <w:rPr>
          <w:rFonts w:ascii="Times New Roman" w:hAnsi="Times New Roman" w:cs="Times New Roman"/>
          <w:noProof/>
        </w:rPr>
        <w:t>no significant difference</w:t>
      </w:r>
      <w:r w:rsidR="00DD02EA">
        <w:rPr>
          <w:rFonts w:ascii="Times New Roman" w:hAnsi="Times New Roman" w:cs="Times New Roman"/>
          <w:noProof/>
        </w:rPr>
        <w:t>s</w:t>
      </w:r>
      <w:r w:rsidR="00003C48">
        <w:rPr>
          <w:rFonts w:ascii="Times New Roman" w:hAnsi="Times New Roman" w:cs="Times New Roman"/>
          <w:noProof/>
        </w:rPr>
        <w:t xml:space="preserve"> in GLRX3 </w:t>
      </w:r>
      <w:r w:rsidR="00DD02EA">
        <w:rPr>
          <w:rFonts w:ascii="Times New Roman" w:hAnsi="Times New Roman" w:cs="Times New Roman"/>
          <w:noProof/>
        </w:rPr>
        <w:t xml:space="preserve">levels </w:t>
      </w:r>
      <w:r w:rsidR="00003C48">
        <w:rPr>
          <w:rFonts w:ascii="Times New Roman" w:hAnsi="Times New Roman" w:cs="Times New Roman"/>
          <w:noProof/>
        </w:rPr>
        <w:t>between</w:t>
      </w:r>
      <w:r w:rsidR="00B80D03">
        <w:rPr>
          <w:rFonts w:ascii="Times New Roman" w:hAnsi="Times New Roman" w:cs="Times New Roman"/>
          <w:noProof/>
        </w:rPr>
        <w:t xml:space="preserve"> MAB391-</w:t>
      </w:r>
      <w:r>
        <w:rPr>
          <w:rFonts w:ascii="Times New Roman" w:hAnsi="Times New Roman" w:cs="Times New Roman"/>
          <w:noProof/>
        </w:rPr>
        <w:t xml:space="preserve">treated astrocytes and a signifcant </w:t>
      </w:r>
      <w:r w:rsidR="00487CF3">
        <w:rPr>
          <w:rFonts w:ascii="Times New Roman" w:hAnsi="Times New Roman" w:cs="Times New Roman"/>
          <w:noProof/>
        </w:rPr>
        <w:t>decrease in MAB391 versus IgG</w:t>
      </w:r>
      <w:r w:rsidR="00B80D03">
        <w:rPr>
          <w:rFonts w:ascii="Times New Roman" w:hAnsi="Times New Roman" w:cs="Times New Roman"/>
          <w:noProof/>
        </w:rPr>
        <w:t>-</w:t>
      </w:r>
      <w:r>
        <w:rPr>
          <w:rFonts w:ascii="Times New Roman" w:hAnsi="Times New Roman" w:cs="Times New Roman"/>
          <w:noProof/>
        </w:rPr>
        <w:t>treated astrocytes</w:t>
      </w:r>
      <w:r w:rsidR="009277B3">
        <w:rPr>
          <w:rFonts w:ascii="Times New Roman" w:hAnsi="Times New Roman" w:cs="Times New Roman"/>
          <w:noProof/>
        </w:rPr>
        <w:t xml:space="preserve"> (p&lt;0.01)</w:t>
      </w:r>
      <w:r w:rsidR="00003C48">
        <w:rPr>
          <w:rFonts w:ascii="Times New Roman" w:hAnsi="Times New Roman" w:cs="Times New Roman"/>
          <w:noProof/>
        </w:rPr>
        <w:t>. MGST1</w:t>
      </w:r>
      <w:r>
        <w:rPr>
          <w:rFonts w:ascii="Times New Roman" w:hAnsi="Times New Roman" w:cs="Times New Roman"/>
          <w:noProof/>
        </w:rPr>
        <w:t xml:space="preserve"> levels we</w:t>
      </w:r>
      <w:r w:rsidR="00A855C8">
        <w:rPr>
          <w:rFonts w:ascii="Times New Roman" w:hAnsi="Times New Roman" w:cs="Times New Roman"/>
          <w:noProof/>
        </w:rPr>
        <w:t xml:space="preserve">re </w:t>
      </w:r>
      <w:r>
        <w:rPr>
          <w:rFonts w:ascii="Times New Roman" w:hAnsi="Times New Roman" w:cs="Times New Roman"/>
          <w:noProof/>
        </w:rPr>
        <w:t xml:space="preserve">signifcantly </w:t>
      </w:r>
      <w:r w:rsidR="00A855C8">
        <w:rPr>
          <w:rFonts w:ascii="Times New Roman" w:hAnsi="Times New Roman" w:cs="Times New Roman"/>
          <w:noProof/>
        </w:rPr>
        <w:t xml:space="preserve">downregulated following IgG treatment </w:t>
      </w:r>
      <w:r>
        <w:rPr>
          <w:rFonts w:ascii="Times New Roman" w:hAnsi="Times New Roman" w:cs="Times New Roman"/>
          <w:noProof/>
        </w:rPr>
        <w:t xml:space="preserve">whereas </w:t>
      </w:r>
      <w:r w:rsidR="00A855C8">
        <w:rPr>
          <w:rFonts w:ascii="Times New Roman" w:hAnsi="Times New Roman" w:cs="Times New Roman"/>
          <w:noProof/>
        </w:rPr>
        <w:t xml:space="preserve">MAB391 treatment </w:t>
      </w:r>
      <w:r>
        <w:rPr>
          <w:rFonts w:ascii="Times New Roman" w:hAnsi="Times New Roman" w:cs="Times New Roman"/>
          <w:noProof/>
        </w:rPr>
        <w:t>resulted in a significant increase in MGST1 lev</w:t>
      </w:r>
      <w:r w:rsidR="00C325CF">
        <w:rPr>
          <w:rFonts w:ascii="Times New Roman" w:hAnsi="Times New Roman" w:cs="Times New Roman"/>
          <w:noProof/>
        </w:rPr>
        <w:t>els compared to control and IgG-</w:t>
      </w:r>
      <w:r>
        <w:rPr>
          <w:rFonts w:ascii="Times New Roman" w:hAnsi="Times New Roman" w:cs="Times New Roman"/>
          <w:noProof/>
        </w:rPr>
        <w:t>treated astrocytes. The reduction in PRDX3 validated the findings of the microarray analysis, althought this was only significan</w:t>
      </w:r>
      <w:r w:rsidR="00C325CF">
        <w:rPr>
          <w:rFonts w:ascii="Times New Roman" w:hAnsi="Times New Roman" w:cs="Times New Roman"/>
          <w:noProof/>
        </w:rPr>
        <w:t>t when compared against the IgG-</w:t>
      </w:r>
      <w:r>
        <w:rPr>
          <w:rFonts w:ascii="Times New Roman" w:hAnsi="Times New Roman" w:cs="Times New Roman"/>
          <w:noProof/>
        </w:rPr>
        <w:t>treated astrocytes</w:t>
      </w:r>
    </w:p>
    <w:p w14:paraId="5DDD75C9" w14:textId="3086739F" w:rsidR="009B6025" w:rsidRDefault="009B6025" w:rsidP="00585472">
      <w:pPr>
        <w:spacing w:line="360" w:lineRule="auto"/>
        <w:jc w:val="both"/>
        <w:rPr>
          <w:rFonts w:ascii="Times New Roman" w:hAnsi="Times New Roman" w:cs="Times New Roman"/>
          <w:noProof/>
        </w:rPr>
      </w:pPr>
      <w:r>
        <w:rPr>
          <w:rFonts w:ascii="Times New Roman" w:hAnsi="Times New Roman" w:cs="Times New Roman"/>
          <w:noProof/>
        </w:rPr>
        <w:t>(</w:t>
      </w:r>
      <w:r w:rsidRPr="004A24B9">
        <w:rPr>
          <w:rFonts w:ascii="Times New Roman" w:hAnsi="Times New Roman" w:cs="Times New Roman"/>
          <w:b/>
          <w:noProof/>
        </w:rPr>
        <w:t>f</w:t>
      </w:r>
      <w:r w:rsidR="009F33F9" w:rsidRPr="004A24B9">
        <w:rPr>
          <w:rFonts w:ascii="Times New Roman" w:hAnsi="Times New Roman" w:cs="Times New Roman"/>
          <w:b/>
          <w:noProof/>
        </w:rPr>
        <w:t>igure 5.2</w:t>
      </w:r>
      <w:r w:rsidR="00EB38F3">
        <w:rPr>
          <w:rFonts w:ascii="Times New Roman" w:hAnsi="Times New Roman" w:cs="Times New Roman"/>
          <w:b/>
          <w:noProof/>
        </w:rPr>
        <w:t>0</w:t>
      </w:r>
      <w:r>
        <w:rPr>
          <w:rFonts w:ascii="Times New Roman" w:hAnsi="Times New Roman" w:cs="Times New Roman"/>
          <w:noProof/>
        </w:rPr>
        <w:t>).</w:t>
      </w:r>
      <w:r w:rsidR="00004C0A">
        <w:rPr>
          <w:rFonts w:ascii="Times New Roman" w:hAnsi="Times New Roman" w:cs="Times New Roman"/>
          <w:noProof/>
        </w:rPr>
        <w:t xml:space="preserve"> GLRX3 and MGST1 did not validate the findings in the microarray analysis.</w:t>
      </w:r>
    </w:p>
    <w:p w14:paraId="5EA65164" w14:textId="77777777" w:rsidR="009B6025" w:rsidRPr="005631BE" w:rsidRDefault="009B6025" w:rsidP="003B2549">
      <w:pPr>
        <w:spacing w:line="360" w:lineRule="auto"/>
        <w:rPr>
          <w:rFonts w:ascii="Times New Roman" w:hAnsi="Times New Roman" w:cs="Times New Roman"/>
          <w:noProof/>
        </w:rPr>
      </w:pPr>
    </w:p>
    <w:p w14:paraId="6F32FF32" w14:textId="566C00EF" w:rsidR="007D3A54" w:rsidRDefault="00870F23" w:rsidP="003B2549">
      <w:pPr>
        <w:spacing w:line="360" w:lineRule="auto"/>
        <w:rPr>
          <w:rFonts w:ascii="Times New Roman" w:hAnsi="Times New Roman" w:cs="Times New Roman"/>
          <w:b/>
          <w:noProof/>
        </w:rPr>
      </w:pPr>
      <w:r>
        <w:rPr>
          <w:rFonts w:ascii="Times New Roman" w:hAnsi="Times New Roman" w:cs="Times New Roman"/>
          <w:b/>
          <w:noProof/>
        </w:rPr>
        <w:t xml:space="preserve">   </w:t>
      </w:r>
      <w:r w:rsidR="00A6433B">
        <w:rPr>
          <w:rFonts w:ascii="Times New Roman" w:hAnsi="Times New Roman" w:cs="Times New Roman"/>
          <w:b/>
          <w:noProof/>
        </w:rPr>
        <w:t xml:space="preserve">    </w:t>
      </w:r>
      <w:r w:rsidR="00D44045">
        <w:rPr>
          <w:rFonts w:ascii="Times New Roman" w:hAnsi="Times New Roman" w:cs="Times New Roman"/>
          <w:b/>
          <w:noProof/>
        </w:rPr>
        <w:t xml:space="preserve"> </w:t>
      </w:r>
      <w:r w:rsidR="000079C5">
        <w:rPr>
          <w:rFonts w:ascii="Times New Roman" w:hAnsi="Times New Roman" w:cs="Times New Roman"/>
          <w:b/>
          <w:noProof/>
        </w:rPr>
        <w:drawing>
          <wp:inline distT="0" distB="0" distL="0" distR="0" wp14:anchorId="6620B682" wp14:editId="1A5C8361">
            <wp:extent cx="4573345" cy="4680849"/>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106">
                      <a:extLst>
                        <a:ext uri="{28A0092B-C50C-407E-A947-70E740481C1C}">
                          <a14:useLocalDpi xmlns:a14="http://schemas.microsoft.com/office/drawing/2010/main" val="0"/>
                        </a:ext>
                      </a:extLst>
                    </a:blip>
                    <a:srcRect l="16199" t="8025" r="23675" b="8149"/>
                    <a:stretch/>
                  </pic:blipFill>
                  <pic:spPr bwMode="auto">
                    <a:xfrm>
                      <a:off x="0" y="0"/>
                      <a:ext cx="4577355" cy="4684953"/>
                    </a:xfrm>
                    <a:prstGeom prst="rect">
                      <a:avLst/>
                    </a:prstGeom>
                    <a:ln>
                      <a:noFill/>
                    </a:ln>
                    <a:extLst>
                      <a:ext uri="{53640926-AAD7-44d8-BBD7-CCE9431645EC}">
                        <a14:shadowObscured xmlns:a14="http://schemas.microsoft.com/office/drawing/2010/main"/>
                      </a:ext>
                    </a:extLst>
                  </pic:spPr>
                </pic:pic>
              </a:graphicData>
            </a:graphic>
          </wp:inline>
        </w:drawing>
      </w:r>
    </w:p>
    <w:p w14:paraId="37F44EE3" w14:textId="6C0D81F1" w:rsidR="00AB1419" w:rsidRPr="00AB1419" w:rsidRDefault="00AB1419" w:rsidP="00585472">
      <w:pPr>
        <w:pStyle w:val="Caption"/>
      </w:pPr>
      <w:bookmarkStart w:id="2254" w:name="_Toc333585273"/>
      <w:bookmarkStart w:id="2255" w:name="_Toc333586825"/>
      <w:bookmarkStart w:id="2256" w:name="_Toc333644524"/>
      <w:bookmarkStart w:id="2257" w:name="_Toc333644818"/>
      <w:r>
        <w:t>Figure 5.20. qRT-PCR Validation of GLRX3, PRDX3 and MGST1 levels.</w:t>
      </w:r>
      <w:bookmarkEnd w:id="2254"/>
      <w:bookmarkEnd w:id="2255"/>
      <w:bookmarkEnd w:id="2256"/>
      <w:bookmarkEnd w:id="2257"/>
    </w:p>
    <w:p w14:paraId="2444C3B9" w14:textId="3CB14147" w:rsidR="00D144D6" w:rsidRPr="00AB1419" w:rsidRDefault="0081383B" w:rsidP="00585472">
      <w:pPr>
        <w:spacing w:line="360" w:lineRule="auto"/>
        <w:jc w:val="both"/>
        <w:rPr>
          <w:rFonts w:ascii="Times New Roman" w:hAnsi="Times New Roman" w:cs="Times New Roman"/>
          <w:noProof/>
        </w:rPr>
      </w:pPr>
      <w:r w:rsidRPr="00AB1419">
        <w:rPr>
          <w:rFonts w:ascii="Times New Roman" w:hAnsi="Times New Roman" w:cs="Times New Roman"/>
          <w:noProof/>
        </w:rPr>
        <w:t>Astrocytes were treated with and without IgG/MAB391 for 24 hours and co-cultured with GFP LUHMES for 72</w:t>
      </w:r>
      <w:r w:rsidR="00BC0D0D" w:rsidRPr="00AB1419">
        <w:rPr>
          <w:rFonts w:ascii="Times New Roman" w:hAnsi="Times New Roman" w:cs="Times New Roman"/>
          <w:noProof/>
        </w:rPr>
        <w:t xml:space="preserve"> </w:t>
      </w:r>
      <w:r w:rsidRPr="00AB1419">
        <w:rPr>
          <w:rFonts w:ascii="Times New Roman" w:hAnsi="Times New Roman" w:cs="Times New Roman"/>
          <w:noProof/>
        </w:rPr>
        <w:t>hours prior to FACS sorting</w:t>
      </w:r>
      <w:r w:rsidR="00260FCA" w:rsidRPr="00AB1419">
        <w:rPr>
          <w:rFonts w:ascii="Times New Roman" w:hAnsi="Times New Roman" w:cs="Times New Roman"/>
          <w:noProof/>
        </w:rPr>
        <w:t xml:space="preserve"> to isolate astrocytes</w:t>
      </w:r>
      <w:r w:rsidRPr="00AB1419">
        <w:rPr>
          <w:rFonts w:ascii="Times New Roman" w:hAnsi="Times New Roman" w:cs="Times New Roman"/>
          <w:noProof/>
        </w:rPr>
        <w:t xml:space="preserve">. qRT-PCR was performed on GLRX3, PRDX3 and MGST1 and normalised to GAPDH (One-way ANOVA; Data are means </w:t>
      </w:r>
      <w:r w:rsidRPr="00AB1419">
        <w:rPr>
          <w:rFonts w:ascii="Times New Roman" w:hAnsi="Times New Roman" w:cs="Times New Roman"/>
        </w:rPr>
        <w:t>± SEM; n=1 in duplicate).</w:t>
      </w:r>
    </w:p>
    <w:p w14:paraId="24E6603D" w14:textId="77777777" w:rsidR="000854D4" w:rsidRDefault="000854D4">
      <w:pPr>
        <w:rPr>
          <w:rFonts w:ascii="Times New Roman" w:hAnsi="Times New Roman" w:cs="Times New Roman"/>
          <w:b/>
          <w:noProof/>
          <w:u w:val="single"/>
        </w:rPr>
      </w:pPr>
    </w:p>
    <w:p w14:paraId="05DC6F86" w14:textId="77777777" w:rsidR="00075AEE" w:rsidRDefault="00075AEE" w:rsidP="00F92407">
      <w:pPr>
        <w:rPr>
          <w:rFonts w:ascii="Times New Roman" w:hAnsi="Times New Roman" w:cs="Times New Roman"/>
          <w:b/>
          <w:i/>
          <w:noProof/>
          <w:u w:val="single"/>
        </w:rPr>
      </w:pPr>
    </w:p>
    <w:p w14:paraId="2D4AB0A1" w14:textId="77777777" w:rsidR="00075AEE" w:rsidRDefault="00075AEE" w:rsidP="00F92407">
      <w:pPr>
        <w:rPr>
          <w:rFonts w:ascii="Times New Roman" w:hAnsi="Times New Roman" w:cs="Times New Roman"/>
          <w:b/>
          <w:i/>
          <w:noProof/>
          <w:u w:val="single"/>
        </w:rPr>
      </w:pPr>
    </w:p>
    <w:p w14:paraId="425904BB" w14:textId="7B2C38F7" w:rsidR="00D144D6" w:rsidRPr="00F92407" w:rsidRDefault="00D144D6" w:rsidP="00F92407">
      <w:pPr>
        <w:rPr>
          <w:rFonts w:ascii="Times New Roman" w:hAnsi="Times New Roman" w:cs="Times New Roman"/>
          <w:b/>
          <w:i/>
          <w:noProof/>
          <w:u w:val="single"/>
        </w:rPr>
      </w:pPr>
      <w:r w:rsidRPr="00F92407">
        <w:rPr>
          <w:rFonts w:ascii="Times New Roman" w:hAnsi="Times New Roman" w:cs="Times New Roman"/>
          <w:b/>
          <w:i/>
          <w:noProof/>
          <w:u w:val="single"/>
        </w:rPr>
        <w:t>Validating Glycolysis genes</w:t>
      </w:r>
    </w:p>
    <w:p w14:paraId="769FD8F1" w14:textId="624A9B3C" w:rsidR="00E508B2" w:rsidRPr="002412F8" w:rsidRDefault="00A72E06" w:rsidP="00C63BC1">
      <w:pPr>
        <w:spacing w:line="360" w:lineRule="auto"/>
        <w:jc w:val="both"/>
        <w:rPr>
          <w:rFonts w:ascii="Times New Roman" w:hAnsi="Times New Roman" w:cs="Times New Roman"/>
          <w:noProof/>
          <w:color w:val="FF0000"/>
        </w:rPr>
      </w:pPr>
      <w:r>
        <w:rPr>
          <w:rFonts w:ascii="Times New Roman" w:hAnsi="Times New Roman" w:cs="Times New Roman"/>
          <w:noProof/>
        </w:rPr>
        <w:t xml:space="preserve">TPI1 and ENO2 were selected as gene targets to validate </w:t>
      </w:r>
      <w:r w:rsidR="00194CB1">
        <w:rPr>
          <w:rFonts w:ascii="Times New Roman" w:hAnsi="Times New Roman" w:cs="Times New Roman"/>
          <w:noProof/>
        </w:rPr>
        <w:t xml:space="preserve">upregulation of glycolysis observed in the array. </w:t>
      </w:r>
      <w:r w:rsidR="004E3F13">
        <w:rPr>
          <w:rFonts w:ascii="Times New Roman" w:hAnsi="Times New Roman" w:cs="Times New Roman"/>
          <w:noProof/>
        </w:rPr>
        <w:t xml:space="preserve">ENO2 levels significantly increase with IgG treatment compared with control and also have a trend towards an increase with MAB391, which is consistent with the array data. However, this difference was not significant due to the large increase resulting from IgG treatment </w:t>
      </w:r>
      <w:r w:rsidR="009F33F9">
        <w:rPr>
          <w:rFonts w:ascii="Times New Roman" w:hAnsi="Times New Roman" w:cs="Times New Roman"/>
          <w:noProof/>
        </w:rPr>
        <w:t>(</w:t>
      </w:r>
      <w:r w:rsidR="009F33F9" w:rsidRPr="004A24B9">
        <w:rPr>
          <w:rFonts w:ascii="Times New Roman" w:hAnsi="Times New Roman" w:cs="Times New Roman"/>
          <w:b/>
          <w:noProof/>
        </w:rPr>
        <w:t>figure 5.2</w:t>
      </w:r>
      <w:r w:rsidR="00EB38F3">
        <w:rPr>
          <w:rFonts w:ascii="Times New Roman" w:hAnsi="Times New Roman" w:cs="Times New Roman"/>
          <w:b/>
          <w:noProof/>
        </w:rPr>
        <w:t>1</w:t>
      </w:r>
      <w:r w:rsidR="009F33F9">
        <w:rPr>
          <w:rFonts w:ascii="Times New Roman" w:hAnsi="Times New Roman" w:cs="Times New Roman"/>
          <w:noProof/>
        </w:rPr>
        <w:t>).</w:t>
      </w:r>
      <w:r w:rsidR="004E3F13">
        <w:rPr>
          <w:rFonts w:ascii="Times New Roman" w:hAnsi="Times New Roman" w:cs="Times New Roman"/>
          <w:noProof/>
        </w:rPr>
        <w:t xml:space="preserve"> There is a signifcant red</w:t>
      </w:r>
      <w:r w:rsidR="00B80D03">
        <w:rPr>
          <w:rFonts w:ascii="Times New Roman" w:hAnsi="Times New Roman" w:cs="Times New Roman"/>
          <w:noProof/>
        </w:rPr>
        <w:t>uction in TPI1 levels in MAB391-</w:t>
      </w:r>
      <w:r w:rsidR="004E3F13">
        <w:rPr>
          <w:rFonts w:ascii="Times New Roman" w:hAnsi="Times New Roman" w:cs="Times New Roman"/>
          <w:noProof/>
        </w:rPr>
        <w:t>treated astrocytes</w:t>
      </w:r>
      <w:r w:rsidR="00E41BF1">
        <w:rPr>
          <w:rFonts w:ascii="Times New Roman" w:hAnsi="Times New Roman" w:cs="Times New Roman"/>
          <w:noProof/>
        </w:rPr>
        <w:t xml:space="preserve"> (p&lt;0.05)</w:t>
      </w:r>
      <w:r w:rsidR="004E3F13">
        <w:rPr>
          <w:rFonts w:ascii="Times New Roman" w:hAnsi="Times New Roman" w:cs="Times New Roman"/>
          <w:noProof/>
        </w:rPr>
        <w:t xml:space="preserve"> but this was also observed after IgG treatment </w:t>
      </w:r>
      <w:r w:rsidR="00E41BF1">
        <w:rPr>
          <w:rFonts w:ascii="Times New Roman" w:hAnsi="Times New Roman" w:cs="Times New Roman"/>
          <w:noProof/>
        </w:rPr>
        <w:t xml:space="preserve">(p&lt;0.05) </w:t>
      </w:r>
      <w:r w:rsidR="004E3F13">
        <w:rPr>
          <w:rFonts w:ascii="Times New Roman" w:hAnsi="Times New Roman" w:cs="Times New Roman"/>
          <w:noProof/>
        </w:rPr>
        <w:t xml:space="preserve">and is the opposite of what was observed in the microarray analysis. </w:t>
      </w:r>
    </w:p>
    <w:p w14:paraId="6D5294DA" w14:textId="5CFC9F6E" w:rsidR="00E508B2" w:rsidRPr="00A72E06" w:rsidRDefault="00870F23" w:rsidP="00A72E06">
      <w:pPr>
        <w:spacing w:line="360" w:lineRule="auto"/>
        <w:rPr>
          <w:rFonts w:ascii="Times New Roman" w:hAnsi="Times New Roman" w:cs="Times New Roman"/>
          <w:noProof/>
        </w:rPr>
      </w:pPr>
      <w:r>
        <w:rPr>
          <w:rFonts w:ascii="Times New Roman" w:hAnsi="Times New Roman" w:cs="Times New Roman"/>
          <w:noProof/>
        </w:rPr>
        <w:t xml:space="preserve">    </w:t>
      </w:r>
      <w:r w:rsidR="00E508B2">
        <w:rPr>
          <w:rFonts w:ascii="Times New Roman" w:hAnsi="Times New Roman" w:cs="Times New Roman"/>
          <w:noProof/>
        </w:rPr>
        <w:drawing>
          <wp:inline distT="0" distB="0" distL="0" distR="0" wp14:anchorId="37F0A2BD" wp14:editId="38438F7F">
            <wp:extent cx="4573345" cy="2208671"/>
            <wp:effectExtent l="0" t="0" r="0" b="127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107">
                      <a:extLst>
                        <a:ext uri="{28A0092B-C50C-407E-A947-70E740481C1C}">
                          <a14:useLocalDpi xmlns:a14="http://schemas.microsoft.com/office/drawing/2010/main" val="0"/>
                        </a:ext>
                      </a:extLst>
                    </a:blip>
                    <a:srcRect l="8191" t="19209" r="8496" b="28813"/>
                    <a:stretch/>
                  </pic:blipFill>
                  <pic:spPr bwMode="auto">
                    <a:xfrm>
                      <a:off x="0" y="0"/>
                      <a:ext cx="4576450" cy="2210170"/>
                    </a:xfrm>
                    <a:prstGeom prst="rect">
                      <a:avLst/>
                    </a:prstGeom>
                    <a:ln>
                      <a:noFill/>
                    </a:ln>
                    <a:extLst>
                      <a:ext uri="{53640926-AAD7-44d8-BBD7-CCE9431645EC}">
                        <a14:shadowObscured xmlns:a14="http://schemas.microsoft.com/office/drawing/2010/main"/>
                      </a:ext>
                    </a:extLst>
                  </pic:spPr>
                </pic:pic>
              </a:graphicData>
            </a:graphic>
          </wp:inline>
        </w:drawing>
      </w:r>
    </w:p>
    <w:p w14:paraId="166A483C" w14:textId="0F3E5961" w:rsidR="00764D93" w:rsidRDefault="00FC0BD3">
      <w:pPr>
        <w:rPr>
          <w:rFonts w:ascii="Times New Roman" w:hAnsi="Times New Roman" w:cs="Times New Roman"/>
          <w:b/>
          <w:noProof/>
        </w:rPr>
      </w:pPr>
      <w:r>
        <w:rPr>
          <w:rFonts w:ascii="Times New Roman" w:hAnsi="Times New Roman" w:cs="Times New Roman"/>
          <w:b/>
          <w:noProof/>
        </w:rPr>
        <w:drawing>
          <wp:inline distT="0" distB="0" distL="0" distR="0" wp14:anchorId="65F797B5" wp14:editId="0931F7D0">
            <wp:extent cx="5030545" cy="700587"/>
            <wp:effectExtent l="0" t="0" r="0" b="1079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rotWithShape="1">
                    <a:blip r:embed="rId108">
                      <a:extLst>
                        <a:ext uri="{28A0092B-C50C-407E-A947-70E740481C1C}">
                          <a14:useLocalDpi xmlns:a14="http://schemas.microsoft.com/office/drawing/2010/main" val="0"/>
                        </a:ext>
                      </a:extLst>
                    </a:blip>
                    <a:srcRect l="16199" t="58607" r="20960" b="29401"/>
                    <a:stretch/>
                  </pic:blipFill>
                  <pic:spPr bwMode="auto">
                    <a:xfrm>
                      <a:off x="0" y="0"/>
                      <a:ext cx="5034205" cy="701097"/>
                    </a:xfrm>
                    <a:prstGeom prst="rect">
                      <a:avLst/>
                    </a:prstGeom>
                    <a:ln>
                      <a:noFill/>
                    </a:ln>
                    <a:extLst>
                      <a:ext uri="{53640926-AAD7-44d8-BBD7-CCE9431645EC}">
                        <a14:shadowObscured xmlns:a14="http://schemas.microsoft.com/office/drawing/2010/main"/>
                      </a:ext>
                    </a:extLst>
                  </pic:spPr>
                </pic:pic>
              </a:graphicData>
            </a:graphic>
          </wp:inline>
        </w:drawing>
      </w:r>
    </w:p>
    <w:p w14:paraId="7B0D2FFA" w14:textId="77777777" w:rsidR="00D144D6" w:rsidRDefault="00D144D6">
      <w:pPr>
        <w:rPr>
          <w:rFonts w:ascii="Times New Roman" w:hAnsi="Times New Roman" w:cs="Times New Roman"/>
          <w:b/>
          <w:noProof/>
        </w:rPr>
      </w:pPr>
    </w:p>
    <w:p w14:paraId="24774BBD" w14:textId="77777777" w:rsidR="00303E90" w:rsidRDefault="00260FCA" w:rsidP="00AB1419">
      <w:pPr>
        <w:pStyle w:val="Caption"/>
        <w:rPr>
          <w:noProof/>
        </w:rPr>
      </w:pPr>
      <w:bookmarkStart w:id="2258" w:name="_Toc333569097"/>
      <w:bookmarkStart w:id="2259" w:name="_Toc333569320"/>
      <w:bookmarkStart w:id="2260" w:name="_Toc333570874"/>
      <w:bookmarkStart w:id="2261" w:name="_Toc333582257"/>
      <w:bookmarkStart w:id="2262" w:name="_Toc333582377"/>
      <w:bookmarkStart w:id="2263" w:name="_Toc333582789"/>
      <w:bookmarkStart w:id="2264" w:name="_Toc333583159"/>
      <w:bookmarkStart w:id="2265" w:name="_Toc333585274"/>
      <w:bookmarkStart w:id="2266" w:name="_Toc333586826"/>
      <w:bookmarkStart w:id="2267" w:name="_Toc333644525"/>
      <w:bookmarkStart w:id="2268" w:name="_Toc333644819"/>
      <w:r>
        <w:rPr>
          <w:noProof/>
        </w:rPr>
        <w:t xml:space="preserve">Figure </w:t>
      </w:r>
      <w:r w:rsidR="00A3722E">
        <w:rPr>
          <w:noProof/>
        </w:rPr>
        <w:t>5.21</w:t>
      </w:r>
      <w:r w:rsidR="0043060F">
        <w:rPr>
          <w:noProof/>
        </w:rPr>
        <w:t>.</w:t>
      </w:r>
      <w:r>
        <w:rPr>
          <w:noProof/>
        </w:rPr>
        <w:t xml:space="preserve"> qRT-PCR Validation of TPI1 and ENO2 levels.</w:t>
      </w:r>
      <w:bookmarkEnd w:id="2258"/>
      <w:bookmarkEnd w:id="2259"/>
      <w:bookmarkEnd w:id="2260"/>
      <w:bookmarkEnd w:id="2261"/>
      <w:bookmarkEnd w:id="2262"/>
      <w:bookmarkEnd w:id="2263"/>
      <w:bookmarkEnd w:id="2264"/>
      <w:bookmarkEnd w:id="2265"/>
      <w:bookmarkEnd w:id="2266"/>
      <w:bookmarkEnd w:id="2267"/>
      <w:bookmarkEnd w:id="2268"/>
    </w:p>
    <w:p w14:paraId="06CB3965" w14:textId="0FA16881" w:rsidR="00260FCA" w:rsidRDefault="00260FCA" w:rsidP="00C63BC1">
      <w:pPr>
        <w:spacing w:line="360" w:lineRule="auto"/>
        <w:jc w:val="both"/>
        <w:rPr>
          <w:rFonts w:ascii="Times New Roman" w:hAnsi="Times New Roman" w:cs="Times New Roman"/>
        </w:rPr>
      </w:pPr>
      <w:r>
        <w:rPr>
          <w:rFonts w:ascii="Times New Roman" w:hAnsi="Times New Roman" w:cs="Times New Roman"/>
          <w:b/>
          <w:noProof/>
        </w:rPr>
        <w:t xml:space="preserve"> </w:t>
      </w:r>
      <w:r>
        <w:rPr>
          <w:rFonts w:ascii="Times New Roman" w:hAnsi="Times New Roman" w:cs="Times New Roman"/>
          <w:noProof/>
        </w:rPr>
        <w:t>Astrocytes were treated with and without IgG/</w:t>
      </w:r>
      <w:r w:rsidR="00F317DC">
        <w:rPr>
          <w:rFonts w:ascii="Times New Roman" w:hAnsi="Times New Roman" w:cs="Times New Roman"/>
          <w:noProof/>
        </w:rPr>
        <w:t xml:space="preserve"> </w:t>
      </w:r>
      <w:r>
        <w:rPr>
          <w:rFonts w:ascii="Times New Roman" w:hAnsi="Times New Roman" w:cs="Times New Roman"/>
          <w:noProof/>
        </w:rPr>
        <w:t>MAB391 for 24 hours and co-cultured with GFP LUHMES for 72</w:t>
      </w:r>
      <w:r w:rsidR="005D1301">
        <w:rPr>
          <w:rFonts w:ascii="Times New Roman" w:hAnsi="Times New Roman" w:cs="Times New Roman"/>
          <w:noProof/>
        </w:rPr>
        <w:t xml:space="preserve"> </w:t>
      </w:r>
      <w:r>
        <w:rPr>
          <w:rFonts w:ascii="Times New Roman" w:hAnsi="Times New Roman" w:cs="Times New Roman"/>
          <w:noProof/>
        </w:rPr>
        <w:t xml:space="preserve">hours prior to FACS sorting to isolate astrocytes. qRT-PCR was performed on TPI1 and ENO2 and normalised to GAPDH (One-way ANOVA; Data </w:t>
      </w:r>
      <w:r w:rsidRPr="00260FCA">
        <w:rPr>
          <w:rFonts w:ascii="Times New Roman" w:hAnsi="Times New Roman" w:cs="Times New Roman"/>
          <w:noProof/>
        </w:rPr>
        <w:t xml:space="preserve">are means </w:t>
      </w:r>
      <w:r w:rsidRPr="00260FCA">
        <w:rPr>
          <w:rFonts w:ascii="Times New Roman" w:hAnsi="Times New Roman" w:cs="Times New Roman"/>
        </w:rPr>
        <w:t>± SEM; n=1 in duplicate).</w:t>
      </w:r>
    </w:p>
    <w:p w14:paraId="23D6B170" w14:textId="77777777" w:rsidR="002412F8" w:rsidRDefault="002412F8" w:rsidP="00401292">
      <w:pPr>
        <w:pStyle w:val="Heading3"/>
        <w:rPr>
          <w:rFonts w:eastAsiaTheme="minorEastAsia"/>
          <w:b w:val="0"/>
          <w:bCs w:val="0"/>
          <w:noProof/>
        </w:rPr>
      </w:pPr>
      <w:bookmarkStart w:id="2269" w:name="_Toc328301207"/>
      <w:bookmarkStart w:id="2270" w:name="_Toc329593498"/>
    </w:p>
    <w:p w14:paraId="7A954859" w14:textId="77777777" w:rsidR="002412F8" w:rsidRDefault="002412F8" w:rsidP="00401292">
      <w:pPr>
        <w:pStyle w:val="Heading3"/>
        <w:rPr>
          <w:rFonts w:eastAsiaTheme="minorEastAsia"/>
          <w:b w:val="0"/>
          <w:bCs w:val="0"/>
          <w:noProof/>
        </w:rPr>
      </w:pPr>
    </w:p>
    <w:p w14:paraId="4C057DA3" w14:textId="77777777" w:rsidR="002412F8" w:rsidRDefault="002412F8" w:rsidP="002412F8"/>
    <w:p w14:paraId="09B1A112" w14:textId="77777777" w:rsidR="002412F8" w:rsidRDefault="002412F8" w:rsidP="002412F8"/>
    <w:p w14:paraId="7E7CF49F" w14:textId="77777777" w:rsidR="002412F8" w:rsidRDefault="002412F8" w:rsidP="002412F8"/>
    <w:p w14:paraId="1AC163BC" w14:textId="77777777" w:rsidR="002412F8" w:rsidRDefault="002412F8" w:rsidP="002412F8"/>
    <w:p w14:paraId="081BF366" w14:textId="77777777" w:rsidR="002412F8" w:rsidRDefault="002412F8" w:rsidP="002412F8"/>
    <w:p w14:paraId="33554A33" w14:textId="77777777" w:rsidR="002412F8" w:rsidRPr="002412F8" w:rsidRDefault="002412F8" w:rsidP="002412F8"/>
    <w:p w14:paraId="688A3C40" w14:textId="7D33707F" w:rsidR="009D0DF8" w:rsidRDefault="004E3F13" w:rsidP="00401292">
      <w:pPr>
        <w:pStyle w:val="Heading3"/>
        <w:rPr>
          <w:noProof/>
        </w:rPr>
      </w:pPr>
      <w:bookmarkStart w:id="2271" w:name="_Toc331425995"/>
      <w:bookmarkStart w:id="2272" w:name="_Toc331427170"/>
      <w:bookmarkStart w:id="2273" w:name="_Toc331427542"/>
      <w:bookmarkStart w:id="2274" w:name="_Toc331427684"/>
      <w:bookmarkStart w:id="2275" w:name="_Toc332972689"/>
      <w:bookmarkStart w:id="2276" w:name="_Toc333046968"/>
      <w:bookmarkStart w:id="2277" w:name="_Toc333477315"/>
      <w:bookmarkStart w:id="2278" w:name="_Toc333478085"/>
      <w:bookmarkStart w:id="2279" w:name="_Toc333644985"/>
      <w:r>
        <w:rPr>
          <w:noProof/>
        </w:rPr>
        <w:t>5.4.11</w:t>
      </w:r>
      <w:r w:rsidR="00153424">
        <w:rPr>
          <w:noProof/>
        </w:rPr>
        <w:t xml:space="preserve"> </w:t>
      </w:r>
      <w:r w:rsidR="008E4ACC">
        <w:rPr>
          <w:noProof/>
        </w:rPr>
        <w:t xml:space="preserve">Validation </w:t>
      </w:r>
      <w:r w:rsidR="008D1D22">
        <w:rPr>
          <w:noProof/>
        </w:rPr>
        <w:t>of Gene Expression Profiling Data using F</w:t>
      </w:r>
      <w:r w:rsidR="008E4ACC">
        <w:rPr>
          <w:noProof/>
        </w:rPr>
        <w:t>unctional Asssays</w:t>
      </w:r>
      <w:bookmarkEnd w:id="2269"/>
      <w:bookmarkEnd w:id="2270"/>
      <w:bookmarkEnd w:id="2271"/>
      <w:bookmarkEnd w:id="2272"/>
      <w:bookmarkEnd w:id="2273"/>
      <w:bookmarkEnd w:id="2274"/>
      <w:bookmarkEnd w:id="2275"/>
      <w:bookmarkEnd w:id="2276"/>
      <w:bookmarkEnd w:id="2277"/>
      <w:bookmarkEnd w:id="2278"/>
      <w:bookmarkEnd w:id="2279"/>
    </w:p>
    <w:p w14:paraId="725013A5" w14:textId="77777777" w:rsidR="00A05BF8" w:rsidRDefault="00A05BF8">
      <w:pPr>
        <w:rPr>
          <w:rFonts w:ascii="Times New Roman" w:hAnsi="Times New Roman" w:cs="Times New Roman"/>
          <w:b/>
          <w:noProof/>
          <w:color w:val="FF0000"/>
          <w:u w:val="single"/>
        </w:rPr>
      </w:pPr>
    </w:p>
    <w:p w14:paraId="20102ADB" w14:textId="77777777" w:rsidR="00E25D0A" w:rsidRPr="00F92407" w:rsidRDefault="00E25D0A" w:rsidP="00F92407">
      <w:pPr>
        <w:rPr>
          <w:rFonts w:ascii="Times New Roman" w:hAnsi="Times New Roman" w:cs="Times New Roman"/>
          <w:b/>
          <w:i/>
          <w:noProof/>
          <w:u w:val="single"/>
        </w:rPr>
      </w:pPr>
      <w:bookmarkStart w:id="2280" w:name="_Toc328301209"/>
      <w:bookmarkStart w:id="2281" w:name="_Toc329593500"/>
      <w:bookmarkStart w:id="2282" w:name="_Toc331425996"/>
      <w:r w:rsidRPr="00F92407">
        <w:rPr>
          <w:rFonts w:ascii="Times New Roman" w:hAnsi="Times New Roman" w:cs="Times New Roman"/>
          <w:b/>
          <w:i/>
          <w:noProof/>
          <w:u w:val="single"/>
        </w:rPr>
        <w:t>Complex I Assay</w:t>
      </w:r>
      <w:bookmarkEnd w:id="2280"/>
      <w:bookmarkEnd w:id="2281"/>
      <w:bookmarkEnd w:id="2282"/>
    </w:p>
    <w:p w14:paraId="2748D0A1" w14:textId="2CE2BA56" w:rsidR="00E25D0A" w:rsidRDefault="00E25D0A" w:rsidP="00C63BC1">
      <w:pPr>
        <w:spacing w:line="360" w:lineRule="auto"/>
        <w:jc w:val="both"/>
        <w:rPr>
          <w:rFonts w:ascii="Times New Roman" w:hAnsi="Times New Roman" w:cs="Times New Roman"/>
        </w:rPr>
      </w:pPr>
      <w:r>
        <w:rPr>
          <w:rFonts w:ascii="Times New Roman" w:hAnsi="Times New Roman" w:cs="Times New Roman"/>
        </w:rPr>
        <w:t>To validate altered expression of complex I genes in IGF1R impaired astrocytes a complex I assay was performed. This assay measures the NADH-dependent activity of complex I. The gene expression profiling data showed downregulation of several genes involved in complex I ass</w:t>
      </w:r>
      <w:r w:rsidR="00967133">
        <w:rPr>
          <w:rFonts w:ascii="Times New Roman" w:hAnsi="Times New Roman" w:cs="Times New Roman"/>
        </w:rPr>
        <w:t>embly, which were validated by q</w:t>
      </w:r>
      <w:r>
        <w:rPr>
          <w:rFonts w:ascii="Times New Roman" w:hAnsi="Times New Roman" w:cs="Times New Roman"/>
        </w:rPr>
        <w:t xml:space="preserve">RT-PCR. Therefore it was predicted that the activity of complex I would be reduced following treatment with MAB391. </w:t>
      </w:r>
    </w:p>
    <w:p w14:paraId="02564F15" w14:textId="77777777" w:rsidR="00E25D0A" w:rsidRDefault="00E25D0A" w:rsidP="00C63BC1">
      <w:pPr>
        <w:spacing w:line="360" w:lineRule="auto"/>
        <w:jc w:val="both"/>
        <w:rPr>
          <w:rFonts w:ascii="Times New Roman" w:hAnsi="Times New Roman" w:cs="Times New Roman"/>
        </w:rPr>
      </w:pPr>
    </w:p>
    <w:p w14:paraId="2F786564" w14:textId="3256606F" w:rsidR="00E25D0A" w:rsidRPr="002020DB" w:rsidRDefault="00E25D0A" w:rsidP="00C63BC1">
      <w:pPr>
        <w:spacing w:line="360" w:lineRule="auto"/>
        <w:jc w:val="both"/>
        <w:rPr>
          <w:rFonts w:ascii="Times New Roman" w:hAnsi="Times New Roman" w:cs="Times New Roman"/>
        </w:rPr>
      </w:pPr>
      <w:r>
        <w:rPr>
          <w:rFonts w:ascii="Times New Roman" w:hAnsi="Times New Roman" w:cs="Times New Roman"/>
        </w:rPr>
        <w:t>Since the levels of protein that can be extracte</w:t>
      </w:r>
      <w:r w:rsidR="00B8782A">
        <w:rPr>
          <w:rFonts w:ascii="Times New Roman" w:hAnsi="Times New Roman" w:cs="Times New Roman"/>
        </w:rPr>
        <w:t>d from astrocytes following FACS</w:t>
      </w:r>
      <w:r>
        <w:rPr>
          <w:rFonts w:ascii="Times New Roman" w:hAnsi="Times New Roman" w:cs="Times New Roman"/>
        </w:rPr>
        <w:t xml:space="preserve"> sorting of astrocyte-neuron co-cultures is low, the complex I assay was conducted on co-cultures. Pretreatment of astrocytes with MAB391 causes a significant impairment in complex I activity in astrocyte-neuron co-cultures compared with untreated </w:t>
      </w:r>
      <w:r w:rsidR="006D165D">
        <w:rPr>
          <w:rFonts w:ascii="Times New Roman" w:hAnsi="Times New Roman" w:cs="Times New Roman"/>
        </w:rPr>
        <w:t xml:space="preserve">(p&lt;0.0001) </w:t>
      </w:r>
      <w:r w:rsidR="00C325CF">
        <w:rPr>
          <w:rFonts w:ascii="Times New Roman" w:hAnsi="Times New Roman" w:cs="Times New Roman"/>
        </w:rPr>
        <w:t>and IgG-</w:t>
      </w:r>
      <w:r>
        <w:rPr>
          <w:rFonts w:ascii="Times New Roman" w:hAnsi="Times New Roman" w:cs="Times New Roman"/>
        </w:rPr>
        <w:t>treated controls (p&lt;0.0001)</w:t>
      </w:r>
      <w:r w:rsidR="00EB38F3">
        <w:rPr>
          <w:rFonts w:ascii="Times New Roman" w:hAnsi="Times New Roman" w:cs="Times New Roman"/>
        </w:rPr>
        <w:t xml:space="preserve"> (</w:t>
      </w:r>
      <w:r w:rsidR="00EB38F3">
        <w:rPr>
          <w:rFonts w:ascii="Times New Roman" w:hAnsi="Times New Roman" w:cs="Times New Roman"/>
          <w:b/>
        </w:rPr>
        <w:t>figure 5.22</w:t>
      </w:r>
      <w:r w:rsidR="00EB38F3">
        <w:rPr>
          <w:rFonts w:ascii="Times New Roman" w:hAnsi="Times New Roman" w:cs="Times New Roman"/>
        </w:rPr>
        <w:t>)</w:t>
      </w:r>
      <w:r>
        <w:rPr>
          <w:rFonts w:ascii="Times New Roman" w:hAnsi="Times New Roman" w:cs="Times New Roman"/>
        </w:rPr>
        <w:t>. This supports the changes in complex I associated genes identifi</w:t>
      </w:r>
      <w:r w:rsidR="00967133">
        <w:rPr>
          <w:rFonts w:ascii="Times New Roman" w:hAnsi="Times New Roman" w:cs="Times New Roman"/>
        </w:rPr>
        <w:t>ed and validated by q</w:t>
      </w:r>
      <w:r>
        <w:rPr>
          <w:rFonts w:ascii="Times New Roman" w:hAnsi="Times New Roman" w:cs="Times New Roman"/>
        </w:rPr>
        <w:t xml:space="preserve">RT-PCR. </w:t>
      </w:r>
    </w:p>
    <w:p w14:paraId="38D669F2" w14:textId="77777777" w:rsidR="00E25D0A" w:rsidRDefault="00E25D0A" w:rsidP="00E25D0A">
      <w:pPr>
        <w:spacing w:line="360" w:lineRule="auto"/>
        <w:rPr>
          <w:rFonts w:ascii="Times New Roman" w:hAnsi="Times New Roman" w:cs="Times New Roman"/>
          <w:b/>
          <w:noProof/>
          <w:u w:val="single"/>
        </w:rPr>
      </w:pPr>
    </w:p>
    <w:p w14:paraId="14AB40BC" w14:textId="0AF548B6" w:rsidR="00E25D0A" w:rsidRDefault="00E25D0A" w:rsidP="00E25D0A">
      <w:pPr>
        <w:spacing w:line="360" w:lineRule="auto"/>
        <w:rPr>
          <w:rFonts w:ascii="Times New Roman" w:hAnsi="Times New Roman" w:cs="Times New Roman"/>
          <w:b/>
          <w:noProof/>
        </w:rPr>
      </w:pPr>
      <w:r>
        <w:rPr>
          <w:rFonts w:ascii="Times New Roman" w:hAnsi="Times New Roman" w:cs="Times New Roman"/>
          <w:b/>
          <w:noProof/>
        </w:rPr>
        <w:t xml:space="preserve">              </w:t>
      </w:r>
      <w:r w:rsidR="00441B8F">
        <w:rPr>
          <w:rFonts w:ascii="Times New Roman" w:hAnsi="Times New Roman" w:cs="Times New Roman"/>
          <w:b/>
          <w:noProof/>
        </w:rPr>
        <w:t xml:space="preserve">    </w:t>
      </w:r>
      <w:r>
        <w:rPr>
          <w:rFonts w:ascii="Times New Roman" w:hAnsi="Times New Roman" w:cs="Times New Roman"/>
          <w:b/>
          <w:noProof/>
        </w:rPr>
        <w:t xml:space="preserve">          </w:t>
      </w:r>
      <w:r>
        <w:rPr>
          <w:rFonts w:ascii="Times New Roman" w:hAnsi="Times New Roman" w:cs="Times New Roman"/>
          <w:b/>
          <w:noProof/>
        </w:rPr>
        <w:drawing>
          <wp:inline distT="0" distB="0" distL="0" distR="0" wp14:anchorId="7226485C" wp14:editId="602873F4">
            <wp:extent cx="2883444" cy="2813661"/>
            <wp:effectExtent l="0" t="0" r="0" b="6350"/>
            <wp:docPr id="1073741836" name="Picture 107374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109">
                      <a:extLst>
                        <a:ext uri="{28A0092B-C50C-407E-A947-70E740481C1C}">
                          <a14:useLocalDpi xmlns:a14="http://schemas.microsoft.com/office/drawing/2010/main" val="0"/>
                        </a:ext>
                      </a:extLst>
                    </a:blip>
                    <a:srcRect l="26589" t="23768" r="32804" b="27912"/>
                    <a:stretch/>
                  </pic:blipFill>
                  <pic:spPr bwMode="auto">
                    <a:xfrm>
                      <a:off x="0" y="0"/>
                      <a:ext cx="2885624" cy="2815788"/>
                    </a:xfrm>
                    <a:prstGeom prst="rect">
                      <a:avLst/>
                    </a:prstGeom>
                    <a:ln>
                      <a:noFill/>
                    </a:ln>
                    <a:extLst>
                      <a:ext uri="{53640926-AAD7-44d8-BBD7-CCE9431645EC}">
                        <a14:shadowObscured xmlns:a14="http://schemas.microsoft.com/office/drawing/2010/main"/>
                      </a:ext>
                    </a:extLst>
                  </pic:spPr>
                </pic:pic>
              </a:graphicData>
            </a:graphic>
          </wp:inline>
        </w:drawing>
      </w:r>
    </w:p>
    <w:p w14:paraId="7D9003E2" w14:textId="77777777" w:rsidR="00303E90" w:rsidRDefault="00A3722E" w:rsidP="00AB1419">
      <w:pPr>
        <w:pStyle w:val="Caption"/>
        <w:rPr>
          <w:noProof/>
        </w:rPr>
      </w:pPr>
      <w:bookmarkStart w:id="2283" w:name="_Toc333569098"/>
      <w:bookmarkStart w:id="2284" w:name="_Toc333569321"/>
      <w:bookmarkStart w:id="2285" w:name="_Toc333570875"/>
      <w:bookmarkStart w:id="2286" w:name="_Toc333582258"/>
      <w:bookmarkStart w:id="2287" w:name="_Toc333582378"/>
      <w:bookmarkStart w:id="2288" w:name="_Toc333582790"/>
      <w:bookmarkStart w:id="2289" w:name="_Toc333583160"/>
      <w:bookmarkStart w:id="2290" w:name="_Toc333585275"/>
      <w:bookmarkStart w:id="2291" w:name="_Toc333586827"/>
      <w:bookmarkStart w:id="2292" w:name="_Toc333644526"/>
      <w:bookmarkStart w:id="2293" w:name="_Toc333644820"/>
      <w:r>
        <w:rPr>
          <w:noProof/>
        </w:rPr>
        <w:t>Figure 5.22</w:t>
      </w:r>
      <w:r w:rsidR="0043060F">
        <w:rPr>
          <w:noProof/>
        </w:rPr>
        <w:t>.</w:t>
      </w:r>
      <w:r w:rsidR="00E25D0A">
        <w:rPr>
          <w:noProof/>
        </w:rPr>
        <w:t xml:space="preserve"> Loss of IGF1R in astrocytes causes impairment in complex I activity in astrocyte-neuron co-cultures.</w:t>
      </w:r>
      <w:bookmarkEnd w:id="2283"/>
      <w:bookmarkEnd w:id="2284"/>
      <w:bookmarkEnd w:id="2285"/>
      <w:bookmarkEnd w:id="2286"/>
      <w:bookmarkEnd w:id="2287"/>
      <w:bookmarkEnd w:id="2288"/>
      <w:bookmarkEnd w:id="2289"/>
      <w:bookmarkEnd w:id="2290"/>
      <w:bookmarkEnd w:id="2291"/>
      <w:bookmarkEnd w:id="2292"/>
      <w:bookmarkEnd w:id="2293"/>
      <w:r w:rsidR="00E25D0A" w:rsidRPr="005D1301">
        <w:rPr>
          <w:noProof/>
        </w:rPr>
        <w:t xml:space="preserve"> </w:t>
      </w:r>
    </w:p>
    <w:p w14:paraId="08DF1B48" w14:textId="18F1E69F" w:rsidR="00E25D0A" w:rsidRDefault="00E25D0A" w:rsidP="00C63BC1">
      <w:pPr>
        <w:spacing w:line="360" w:lineRule="auto"/>
        <w:jc w:val="both"/>
        <w:rPr>
          <w:rFonts w:ascii="Times New Roman" w:hAnsi="Times New Roman" w:cs="Times New Roman"/>
        </w:rPr>
      </w:pPr>
      <w:r>
        <w:rPr>
          <w:rFonts w:ascii="Times New Roman" w:hAnsi="Times New Roman" w:cs="Times New Roman"/>
          <w:noProof/>
        </w:rPr>
        <w:t>NADH-dependent complex I activity measured in astrocyte-neuron co-cultures following pretreatment of astrocytes with or without IgG/MAB391.</w:t>
      </w:r>
      <w:r w:rsidRPr="00C26FE6">
        <w:rPr>
          <w:rFonts w:ascii="Times New Roman" w:hAnsi="Times New Roman" w:cs="Times New Roman"/>
          <w:noProof/>
        </w:rPr>
        <w:t xml:space="preserve"> </w:t>
      </w:r>
      <w:r w:rsidRPr="0042169F">
        <w:rPr>
          <w:rFonts w:ascii="Times New Roman" w:hAnsi="Times New Roman" w:cs="Times New Roman"/>
        </w:rPr>
        <w:t>Graphs are representati</w:t>
      </w:r>
      <w:r>
        <w:rPr>
          <w:rFonts w:ascii="Times New Roman" w:hAnsi="Times New Roman" w:cs="Times New Roman"/>
        </w:rPr>
        <w:t xml:space="preserve">ve of n=3 </w:t>
      </w:r>
      <w:r>
        <w:rPr>
          <w:rFonts w:ascii="Times New Roman" w:hAnsi="Times New Roman" w:cs="Times New Roman"/>
          <w:noProof/>
        </w:rPr>
        <w:t xml:space="preserve">(One-way ANOVA; Data </w:t>
      </w:r>
      <w:r w:rsidRPr="00260FCA">
        <w:rPr>
          <w:rFonts w:ascii="Times New Roman" w:hAnsi="Times New Roman" w:cs="Times New Roman"/>
          <w:noProof/>
        </w:rPr>
        <w:t xml:space="preserve">are means </w:t>
      </w:r>
      <w:r w:rsidRPr="00260FCA">
        <w:rPr>
          <w:rFonts w:ascii="Times New Roman" w:hAnsi="Times New Roman" w:cs="Times New Roman"/>
        </w:rPr>
        <w:t>± SEM</w:t>
      </w:r>
      <w:r>
        <w:rPr>
          <w:rFonts w:ascii="Times New Roman" w:hAnsi="Times New Roman" w:cs="Times New Roman"/>
        </w:rPr>
        <w:t>).</w:t>
      </w:r>
    </w:p>
    <w:p w14:paraId="68FA8F1C" w14:textId="77777777" w:rsidR="00AC7BB4" w:rsidRDefault="00AC7BB4" w:rsidP="00AC7BB4">
      <w:pPr>
        <w:rPr>
          <w:rFonts w:ascii="Times New Roman" w:hAnsi="Times New Roman" w:cs="Times New Roman"/>
          <w:b/>
          <w:i/>
          <w:noProof/>
          <w:u w:val="single"/>
        </w:rPr>
      </w:pPr>
      <w:bookmarkStart w:id="2294" w:name="_Toc328301208"/>
      <w:bookmarkStart w:id="2295" w:name="_Toc329593499"/>
      <w:bookmarkStart w:id="2296" w:name="_Toc331425997"/>
    </w:p>
    <w:p w14:paraId="2A4BE3A0" w14:textId="082250CF" w:rsidR="00153424" w:rsidRPr="00AC7BB4" w:rsidRDefault="00556949" w:rsidP="00AC7BB4">
      <w:pPr>
        <w:rPr>
          <w:rFonts w:ascii="Times New Roman" w:hAnsi="Times New Roman" w:cs="Times New Roman"/>
          <w:b/>
          <w:i/>
          <w:noProof/>
          <w:u w:val="single"/>
        </w:rPr>
      </w:pPr>
      <w:r w:rsidRPr="00AC7BB4">
        <w:rPr>
          <w:rFonts w:ascii="Times New Roman" w:hAnsi="Times New Roman" w:cs="Times New Roman"/>
          <w:b/>
          <w:i/>
          <w:noProof/>
          <w:u w:val="single"/>
        </w:rPr>
        <w:t>Lactate Assay</w:t>
      </w:r>
      <w:bookmarkEnd w:id="2294"/>
      <w:bookmarkEnd w:id="2295"/>
      <w:bookmarkEnd w:id="2296"/>
    </w:p>
    <w:p w14:paraId="41ABF0E7" w14:textId="0710B1CC" w:rsidR="004E3F13" w:rsidRDefault="006A7256" w:rsidP="00C63BC1">
      <w:pPr>
        <w:spacing w:line="360" w:lineRule="auto"/>
        <w:jc w:val="both"/>
        <w:rPr>
          <w:rFonts w:ascii="Times New Roman" w:hAnsi="Times New Roman" w:cs="Times New Roman"/>
          <w:noProof/>
        </w:rPr>
      </w:pPr>
      <w:r>
        <w:rPr>
          <w:rFonts w:ascii="Times New Roman" w:hAnsi="Times New Roman" w:cs="Times New Roman"/>
          <w:noProof/>
        </w:rPr>
        <w:t xml:space="preserve">Based on the gene expression profiling data it was predicted </w:t>
      </w:r>
      <w:r w:rsidR="00AF1A13">
        <w:rPr>
          <w:rFonts w:ascii="Times New Roman" w:hAnsi="Times New Roman" w:cs="Times New Roman"/>
          <w:noProof/>
        </w:rPr>
        <w:t xml:space="preserve">that lactate production </w:t>
      </w:r>
      <w:r w:rsidR="004E3F13">
        <w:rPr>
          <w:rFonts w:ascii="Times New Roman" w:hAnsi="Times New Roman" w:cs="Times New Roman"/>
          <w:noProof/>
        </w:rPr>
        <w:t>might</w:t>
      </w:r>
      <w:r w:rsidR="00AF1A13">
        <w:rPr>
          <w:rFonts w:ascii="Times New Roman" w:hAnsi="Times New Roman" w:cs="Times New Roman"/>
          <w:noProof/>
        </w:rPr>
        <w:t xml:space="preserve"> increase following IGF1R loss in astrocytes. This is due to two main findings:  a) T</w:t>
      </w:r>
      <w:r>
        <w:rPr>
          <w:rFonts w:ascii="Times New Roman" w:hAnsi="Times New Roman" w:cs="Times New Roman"/>
          <w:noProof/>
        </w:rPr>
        <w:t>here was an increase in the expression of genes involved in glycolysis</w:t>
      </w:r>
      <w:r w:rsidR="00AF1A13">
        <w:rPr>
          <w:rFonts w:ascii="Times New Roman" w:hAnsi="Times New Roman" w:cs="Times New Roman"/>
          <w:noProof/>
        </w:rPr>
        <w:t xml:space="preserve"> and a pyruvate/lactate transporter</w:t>
      </w:r>
      <w:r>
        <w:rPr>
          <w:rFonts w:ascii="Times New Roman" w:hAnsi="Times New Roman" w:cs="Times New Roman"/>
          <w:noProof/>
        </w:rPr>
        <w:t xml:space="preserve"> following </w:t>
      </w:r>
      <w:r w:rsidR="004E3F13">
        <w:rPr>
          <w:rFonts w:ascii="Times New Roman" w:hAnsi="Times New Roman" w:cs="Times New Roman"/>
          <w:noProof/>
        </w:rPr>
        <w:t xml:space="preserve">MAB391 treatment </w:t>
      </w:r>
      <w:r w:rsidR="00AF1A13">
        <w:rPr>
          <w:rFonts w:ascii="Times New Roman" w:hAnsi="Times New Roman" w:cs="Times New Roman"/>
          <w:noProof/>
        </w:rPr>
        <w:t>b) Lactate production has been demonstrated to increase following impairment of oxidative phosphorylation in astrocytes</w:t>
      </w:r>
      <w:r w:rsidR="00C87B8A">
        <w:rPr>
          <w:rFonts w:ascii="Times New Roman" w:hAnsi="Times New Roman" w:cs="Times New Roman"/>
          <w:noProof/>
        </w:rPr>
        <w:t xml:space="preserve"> </w:t>
      </w:r>
      <w:r w:rsidR="002F3B70">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"10.1073/pnas.261560998", "ISSN" : "0027-8424", "PMID" : "11742096", "abstract" : "It was recently proposed that in Jurkat cells, after inhibition of respiration by NO, glycolytically generated ATP plays a critical role in preventing the collapse of mitochondrial membrane potential (Deltapsi(m)) and thus apoptotic cell death. We have investigated this observation further in primary cultures of rat cortical neurons and astrocytes-cell types that differ greatly in their glycolytic capacity. Continuous and significant ( approximately 85%) inhibition of respiration by NO (1.4 microM at 175 microM O(2)) generated by [(z)-1-[2-aminoethyl]-N-[2-ammonioethyl]amino]diazen-1-ium-1,2 diolate (DETA-NO) initially (10 min) depleted ATP concentrations by approximately 25% in both cell types and increased the rate of glycolysis in astrocytes but not in neurons. Activation of glycolysis in astrocytes, as judged by lactate production, prevented further ATP depletion, whereas in neurons, which do not invoke this mechanism, there was a progressive decrease in ATP concentrations over the next 60 min. During this time, there was a persistent mitochondrial hyperpolarization and absence of apoptotic cell death in astrocytes, whereas in the neurons there was a progressive fall in Deltapsi(m) and increased apoptosis. After glucose deprivation or treatment with inhibitors of the F(1)F(0)-ATPase and adenine nucleotide translocase, astrocytes responded to NO with a fall in Deltapsi(m) and apoptotic cell death similar to the response in neurons. Finally, although treatment of astrocytes with NO partially prevented staurosporin-induced collapse in Deltapsi(m) and cell death, NO and staurosporin synergized in decreasing Deltapsi(m) and inducing apoptosis in neurons. These results demonstrate that although inhibition of cellular respiration by NO leads to neurotoxicity, it may also result in initial neuroprotection, depending on the glycolytic capacity of the particular cell.", "author" : [ { "dropping-particle" : "", "family" : "Almeida", "given" : "A", "non-dropping-particle" : "", "parse-names" : false, "suffix" : "" }, { "dropping-particle" : "", "family" : "Almeida", "given" : "J", "non-dropping-particle" : "", "parse-names" : false, "suffix" : "" }, { "dropping-particle" : "", "family" : "Bola\u00f1os", "given" : "J P", "non-dropping-particle" : "", "parse-names" : false, "suffix" : "" }, { "dropping-particle" : "", "family" : "Moncada", "given" : "S", "non-dropping-particle" : "", "parse-names" : false, "suffix" : "" } ], "container-title" : "Proceedings of the National Academy of Sciences of the United States of America", "id" : "ITEM-1", "issue" : "26", "issued" : { "date-parts" : [ [ "2001", "12", "18" ] ] }, "page" : "15294-9", "title" : "Different responses of astrocytes and neurons to nitric oxide: the role of glycolytically generated ATP in astrocyte protection.", "type" : "article-journal", "volume" : "98" }, "uris" : [ "http://www.mendeley.com/documents/?uuid=f524b441-21ff-4c70-a803-52909491fe9f" ] } ], "mendeley" : { "formattedCitation" : "(Almeida et al. 2001)", "plainTextFormattedCitation" : "(Almeida et al. 2001)", "previouslyFormattedCitation" : "(Almeida et al. 2001)" }, "properties" : { "noteIndex" : 0 }, "schema" : "https://github.com/citation-style-language/schema/raw/master/csl-citation.json" }</w:instrText>
      </w:r>
      <w:r w:rsidR="002F3B70">
        <w:rPr>
          <w:rFonts w:ascii="Times New Roman" w:hAnsi="Times New Roman" w:cs="Times New Roman"/>
          <w:noProof/>
        </w:rPr>
        <w:fldChar w:fldCharType="separate"/>
      </w:r>
      <w:r w:rsidR="00C148FC" w:rsidRPr="00C148FC">
        <w:rPr>
          <w:rFonts w:ascii="Times New Roman" w:hAnsi="Times New Roman" w:cs="Times New Roman"/>
          <w:noProof/>
        </w:rPr>
        <w:t>(Almeida et al. 2001)</w:t>
      </w:r>
      <w:r w:rsidR="002F3B70">
        <w:rPr>
          <w:rFonts w:ascii="Times New Roman" w:hAnsi="Times New Roman" w:cs="Times New Roman"/>
          <w:noProof/>
        </w:rPr>
        <w:fldChar w:fldCharType="end"/>
      </w:r>
      <w:r w:rsidR="002F3B70">
        <w:rPr>
          <w:rFonts w:ascii="Times New Roman" w:hAnsi="Times New Roman" w:cs="Times New Roman"/>
          <w:noProof/>
        </w:rPr>
        <w:t xml:space="preserve">, </w:t>
      </w:r>
      <w:r w:rsidR="00AF1A13">
        <w:rPr>
          <w:rFonts w:ascii="Times New Roman" w:hAnsi="Times New Roman" w:cs="Times New Roman"/>
          <w:noProof/>
        </w:rPr>
        <w:t>which was also suggested in the array data. Therefore astrocytes may be increasing lactate production to resolve the imbalance in</w:t>
      </w:r>
      <w:r>
        <w:rPr>
          <w:rFonts w:ascii="Times New Roman" w:hAnsi="Times New Roman" w:cs="Times New Roman"/>
          <w:noProof/>
        </w:rPr>
        <w:t xml:space="preserve"> energy homeostasis </w:t>
      </w:r>
      <w:r w:rsidR="00AF1A13">
        <w:rPr>
          <w:rFonts w:ascii="Times New Roman" w:hAnsi="Times New Roman" w:cs="Times New Roman"/>
          <w:noProof/>
        </w:rPr>
        <w:t>following IGF1R loss.</w:t>
      </w:r>
    </w:p>
    <w:p w14:paraId="1502A904" w14:textId="77777777" w:rsidR="004E3F13" w:rsidRDefault="004E3F13" w:rsidP="006A7256">
      <w:pPr>
        <w:spacing w:line="360" w:lineRule="auto"/>
        <w:rPr>
          <w:rFonts w:ascii="Times New Roman" w:hAnsi="Times New Roman" w:cs="Times New Roman"/>
          <w:noProof/>
        </w:rPr>
      </w:pPr>
    </w:p>
    <w:p w14:paraId="3DCFC2B1" w14:textId="1E3C7FB8" w:rsidR="00153424" w:rsidRPr="002412F8" w:rsidRDefault="006A7256" w:rsidP="00C63BC1">
      <w:pPr>
        <w:spacing w:line="360" w:lineRule="auto"/>
        <w:jc w:val="both"/>
        <w:rPr>
          <w:rFonts w:ascii="Times New Roman" w:hAnsi="Times New Roman" w:cs="Times New Roman"/>
          <w:noProof/>
        </w:rPr>
      </w:pPr>
      <w:r>
        <w:rPr>
          <w:rFonts w:ascii="Times New Roman" w:hAnsi="Times New Roman" w:cs="Times New Roman"/>
          <w:noProof/>
        </w:rPr>
        <w:t>A lactate assay</w:t>
      </w:r>
      <w:r w:rsidR="00B27BE4">
        <w:rPr>
          <w:rFonts w:ascii="Times New Roman" w:hAnsi="Times New Roman" w:cs="Times New Roman"/>
          <w:noProof/>
        </w:rPr>
        <w:t xml:space="preserve"> </w:t>
      </w:r>
      <w:r w:rsidR="004E3F13">
        <w:rPr>
          <w:rFonts w:ascii="Times New Roman" w:hAnsi="Times New Roman" w:cs="Times New Roman"/>
          <w:noProof/>
        </w:rPr>
        <w:t>(</w:t>
      </w:r>
      <w:r w:rsidR="00062138">
        <w:rPr>
          <w:rFonts w:ascii="Times New Roman" w:hAnsi="Times New Roman" w:cs="Times New Roman"/>
          <w:noProof/>
        </w:rPr>
        <w:t>using a kit</w:t>
      </w:r>
      <w:r w:rsidR="00B27BE4">
        <w:rPr>
          <w:rFonts w:ascii="Times New Roman" w:hAnsi="Times New Roman" w:cs="Times New Roman"/>
          <w:noProof/>
        </w:rPr>
        <w:t xml:space="preserve"> purchased from Abnova</w:t>
      </w:r>
      <w:r w:rsidR="00062138">
        <w:rPr>
          <w:rFonts w:ascii="Times New Roman" w:hAnsi="Times New Roman" w:cs="Times New Roman"/>
          <w:noProof/>
        </w:rPr>
        <w:t>)</w:t>
      </w:r>
      <w:r>
        <w:rPr>
          <w:rFonts w:ascii="Times New Roman" w:hAnsi="Times New Roman" w:cs="Times New Roman"/>
          <w:noProof/>
        </w:rPr>
        <w:t xml:space="preserve"> was performed to assess the lactate content of media</w:t>
      </w:r>
      <w:r w:rsidR="00487CF3">
        <w:rPr>
          <w:rFonts w:ascii="Times New Roman" w:hAnsi="Times New Roman" w:cs="Times New Roman"/>
          <w:noProof/>
        </w:rPr>
        <w:t xml:space="preserve"> in which untreated IgG</w:t>
      </w:r>
      <w:r w:rsidR="00B80D03">
        <w:rPr>
          <w:rFonts w:ascii="Times New Roman" w:hAnsi="Times New Roman" w:cs="Times New Roman"/>
          <w:noProof/>
        </w:rPr>
        <w:t>-</w:t>
      </w:r>
      <w:r w:rsidR="004E3F13">
        <w:rPr>
          <w:rFonts w:ascii="Times New Roman" w:hAnsi="Times New Roman" w:cs="Times New Roman"/>
          <w:noProof/>
        </w:rPr>
        <w:t xml:space="preserve">and </w:t>
      </w:r>
      <w:r w:rsidR="00B27BE4">
        <w:rPr>
          <w:rFonts w:ascii="Times New Roman" w:hAnsi="Times New Roman" w:cs="Times New Roman"/>
          <w:noProof/>
        </w:rPr>
        <w:t>MAB391</w:t>
      </w:r>
      <w:r w:rsidR="00B80D03">
        <w:rPr>
          <w:rFonts w:ascii="Times New Roman" w:hAnsi="Times New Roman" w:cs="Times New Roman"/>
          <w:noProof/>
        </w:rPr>
        <w:t>-</w:t>
      </w:r>
      <w:r w:rsidR="00B27BE4">
        <w:rPr>
          <w:rFonts w:ascii="Times New Roman" w:hAnsi="Times New Roman" w:cs="Times New Roman"/>
          <w:noProof/>
        </w:rPr>
        <w:t>treated astr</w:t>
      </w:r>
      <w:r w:rsidR="00062138">
        <w:rPr>
          <w:rFonts w:ascii="Times New Roman" w:hAnsi="Times New Roman" w:cs="Times New Roman"/>
          <w:noProof/>
        </w:rPr>
        <w:t>ocytes were grown with neurons for 72 hours. There were no changes in lactate content of the media as a result of IgG/MAB391 treatment of astrocytes</w:t>
      </w:r>
      <w:r w:rsidR="00F60B4E">
        <w:rPr>
          <w:rFonts w:ascii="Times New Roman" w:hAnsi="Times New Roman" w:cs="Times New Roman"/>
          <w:noProof/>
        </w:rPr>
        <w:t xml:space="preserve"> (</w:t>
      </w:r>
      <w:r w:rsidR="00F60B4E" w:rsidRPr="004A24B9">
        <w:rPr>
          <w:rFonts w:ascii="Times New Roman" w:hAnsi="Times New Roman" w:cs="Times New Roman"/>
          <w:b/>
          <w:noProof/>
        </w:rPr>
        <w:t>figure 5.23</w:t>
      </w:r>
      <w:r w:rsidR="00F60B4E">
        <w:rPr>
          <w:rFonts w:ascii="Times New Roman" w:hAnsi="Times New Roman" w:cs="Times New Roman"/>
          <w:noProof/>
        </w:rPr>
        <w:t>)</w:t>
      </w:r>
      <w:r w:rsidR="00062138">
        <w:rPr>
          <w:rFonts w:ascii="Times New Roman" w:hAnsi="Times New Roman" w:cs="Times New Roman"/>
          <w:noProof/>
        </w:rPr>
        <w:t xml:space="preserve">. </w:t>
      </w:r>
      <w:r w:rsidR="00E4721B">
        <w:rPr>
          <w:rFonts w:ascii="Times New Roman" w:hAnsi="Times New Roman" w:cs="Times New Roman"/>
          <w:noProof/>
        </w:rPr>
        <w:t>This</w:t>
      </w:r>
      <w:r w:rsidR="004E3F13">
        <w:rPr>
          <w:rFonts w:ascii="Times New Roman" w:hAnsi="Times New Roman" w:cs="Times New Roman"/>
          <w:noProof/>
        </w:rPr>
        <w:t xml:space="preserve"> might suggest</w:t>
      </w:r>
      <w:r w:rsidR="00E4721B">
        <w:rPr>
          <w:rFonts w:ascii="Times New Roman" w:hAnsi="Times New Roman" w:cs="Times New Roman"/>
          <w:noProof/>
        </w:rPr>
        <w:t xml:space="preserve"> an upregulation of glycolysis, as implied by the array data, </w:t>
      </w:r>
      <w:r w:rsidR="00C87B8A">
        <w:rPr>
          <w:rFonts w:ascii="Times New Roman" w:hAnsi="Times New Roman" w:cs="Times New Roman"/>
          <w:noProof/>
        </w:rPr>
        <w:t>does not increa</w:t>
      </w:r>
      <w:r w:rsidR="004E3F13">
        <w:rPr>
          <w:rFonts w:ascii="Times New Roman" w:hAnsi="Times New Roman" w:cs="Times New Roman"/>
          <w:noProof/>
        </w:rPr>
        <w:t>se lactate production.</w:t>
      </w:r>
    </w:p>
    <w:p w14:paraId="73B6E3A1" w14:textId="515C00FD" w:rsidR="008E4ACC" w:rsidRDefault="006A7256">
      <w:pPr>
        <w:rPr>
          <w:rFonts w:ascii="Times New Roman" w:hAnsi="Times New Roman" w:cs="Times New Roman"/>
          <w:b/>
          <w:noProof/>
        </w:rPr>
      </w:pPr>
      <w:r>
        <w:rPr>
          <w:rFonts w:ascii="Times New Roman" w:hAnsi="Times New Roman" w:cs="Times New Roman"/>
          <w:b/>
          <w:noProof/>
        </w:rPr>
        <w:t xml:space="preserve">           </w:t>
      </w:r>
      <w:r w:rsidR="002412F8">
        <w:rPr>
          <w:rFonts w:ascii="Times New Roman" w:hAnsi="Times New Roman" w:cs="Times New Roman"/>
          <w:b/>
          <w:noProof/>
        </w:rPr>
        <w:t xml:space="preserve">    </w:t>
      </w:r>
      <w:r>
        <w:rPr>
          <w:rFonts w:ascii="Times New Roman" w:hAnsi="Times New Roman" w:cs="Times New Roman"/>
          <w:b/>
          <w:noProof/>
        </w:rPr>
        <w:t xml:space="preserve">    </w:t>
      </w:r>
      <w:r w:rsidR="00F60B4E">
        <w:rPr>
          <w:rFonts w:ascii="Times New Roman" w:hAnsi="Times New Roman" w:cs="Times New Roman"/>
          <w:b/>
          <w:noProof/>
        </w:rPr>
        <w:t xml:space="preserve">     </w:t>
      </w:r>
      <w:r>
        <w:rPr>
          <w:rFonts w:ascii="Times New Roman" w:hAnsi="Times New Roman" w:cs="Times New Roman"/>
          <w:b/>
          <w:noProof/>
        </w:rPr>
        <w:t xml:space="preserve">     </w:t>
      </w:r>
      <w:r w:rsidR="00F60B4E" w:rsidRPr="00F60B4E">
        <w:rPr>
          <w:rFonts w:ascii="Times New Roman" w:hAnsi="Times New Roman" w:cs="Times New Roman"/>
          <w:b/>
          <w:noProof/>
        </w:rPr>
        <w:drawing>
          <wp:inline distT="0" distB="0" distL="0" distR="0" wp14:anchorId="5D99121C" wp14:editId="233F603E">
            <wp:extent cx="2660518" cy="2871216"/>
            <wp:effectExtent l="0" t="0" r="6985" b="0"/>
            <wp:docPr id="1073741832" name="Picture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110">
                      <a:extLst>
                        <a:ext uri="{28A0092B-C50C-407E-A947-70E740481C1C}">
                          <a14:useLocalDpi xmlns:a14="http://schemas.microsoft.com/office/drawing/2010/main" val="0"/>
                        </a:ext>
                      </a:extLst>
                    </a:blip>
                    <a:srcRect l="28428" t="21506" r="30033" b="18709"/>
                    <a:stretch/>
                  </pic:blipFill>
                  <pic:spPr bwMode="auto">
                    <a:xfrm>
                      <a:off x="0" y="0"/>
                      <a:ext cx="2664013" cy="2874988"/>
                    </a:xfrm>
                    <a:prstGeom prst="rect">
                      <a:avLst/>
                    </a:prstGeom>
                    <a:ln>
                      <a:noFill/>
                    </a:ln>
                    <a:extLst>
                      <a:ext uri="{53640926-AAD7-44d8-BBD7-CCE9431645EC}">
                        <a14:shadowObscured xmlns:a14="http://schemas.microsoft.com/office/drawing/2010/main"/>
                      </a:ext>
                    </a:extLst>
                  </pic:spPr>
                </pic:pic>
              </a:graphicData>
            </a:graphic>
          </wp:inline>
        </w:drawing>
      </w:r>
    </w:p>
    <w:p w14:paraId="13CA8CD7" w14:textId="77777777" w:rsidR="00FF5F2A" w:rsidRDefault="00FF5F2A">
      <w:pPr>
        <w:rPr>
          <w:rFonts w:ascii="Times New Roman" w:hAnsi="Times New Roman" w:cs="Times New Roman"/>
          <w:b/>
          <w:noProof/>
        </w:rPr>
      </w:pPr>
    </w:p>
    <w:p w14:paraId="46DAF3EC" w14:textId="77777777" w:rsidR="00303E90" w:rsidRDefault="00F60B4E" w:rsidP="00AB1419">
      <w:pPr>
        <w:pStyle w:val="Caption"/>
        <w:rPr>
          <w:noProof/>
        </w:rPr>
      </w:pPr>
      <w:bookmarkStart w:id="2297" w:name="_Toc333569099"/>
      <w:bookmarkStart w:id="2298" w:name="_Toc333569322"/>
      <w:bookmarkStart w:id="2299" w:name="_Toc333570876"/>
      <w:bookmarkStart w:id="2300" w:name="_Toc333582259"/>
      <w:bookmarkStart w:id="2301" w:name="_Toc333582379"/>
      <w:bookmarkStart w:id="2302" w:name="_Toc333582791"/>
      <w:bookmarkStart w:id="2303" w:name="_Toc333583161"/>
      <w:bookmarkStart w:id="2304" w:name="_Toc333585276"/>
      <w:bookmarkStart w:id="2305" w:name="_Toc333586828"/>
      <w:bookmarkStart w:id="2306" w:name="_Toc333644527"/>
      <w:bookmarkStart w:id="2307" w:name="_Toc333644821"/>
      <w:r>
        <w:rPr>
          <w:noProof/>
        </w:rPr>
        <w:t>Figure 5.23</w:t>
      </w:r>
      <w:r w:rsidR="0043060F">
        <w:rPr>
          <w:noProof/>
        </w:rPr>
        <w:t>.</w:t>
      </w:r>
      <w:r>
        <w:rPr>
          <w:noProof/>
        </w:rPr>
        <w:t xml:space="preserve"> </w:t>
      </w:r>
      <w:r w:rsidRPr="005D1301">
        <w:rPr>
          <w:noProof/>
        </w:rPr>
        <w:t>Loss of IGF1R in astrocytes co-cultured with neurons does not alter lactate levels in the media</w:t>
      </w:r>
      <w:r>
        <w:rPr>
          <w:noProof/>
        </w:rPr>
        <w:t>.</w:t>
      </w:r>
      <w:bookmarkEnd w:id="2297"/>
      <w:bookmarkEnd w:id="2298"/>
      <w:bookmarkEnd w:id="2299"/>
      <w:bookmarkEnd w:id="2300"/>
      <w:bookmarkEnd w:id="2301"/>
      <w:bookmarkEnd w:id="2302"/>
      <w:bookmarkEnd w:id="2303"/>
      <w:bookmarkEnd w:id="2304"/>
      <w:bookmarkEnd w:id="2305"/>
      <w:bookmarkEnd w:id="2306"/>
      <w:bookmarkEnd w:id="2307"/>
    </w:p>
    <w:p w14:paraId="0958E78A" w14:textId="221F4873" w:rsidR="00F60B4E" w:rsidRDefault="00A7401B" w:rsidP="00C63BC1">
      <w:pPr>
        <w:spacing w:line="360" w:lineRule="auto"/>
        <w:jc w:val="both"/>
        <w:rPr>
          <w:rFonts w:ascii="Times New Roman" w:hAnsi="Times New Roman" w:cs="Times New Roman"/>
          <w:noProof/>
        </w:rPr>
      </w:pPr>
      <w:r>
        <w:rPr>
          <w:rFonts w:ascii="Times New Roman" w:hAnsi="Times New Roman" w:cs="Times New Roman"/>
          <w:noProof/>
        </w:rPr>
        <w:t>Lactate levels measured in the media of astrocyte-neuron co-cultures following pretreatment of astrocytes with or without IgG/MAB391.</w:t>
      </w:r>
      <w:r w:rsidR="00C26FE6" w:rsidRPr="00C26FE6">
        <w:rPr>
          <w:rFonts w:ascii="Times New Roman" w:hAnsi="Times New Roman" w:cs="Times New Roman"/>
          <w:noProof/>
        </w:rPr>
        <w:t xml:space="preserve"> </w:t>
      </w:r>
      <w:r w:rsidR="00B0079E" w:rsidRPr="0042169F">
        <w:rPr>
          <w:rFonts w:ascii="Times New Roman" w:hAnsi="Times New Roman" w:cs="Times New Roman"/>
        </w:rPr>
        <w:t>Graphs are representative of n=3, 3 experiments/replicate</w:t>
      </w:r>
      <w:r w:rsidR="00B0079E">
        <w:rPr>
          <w:rFonts w:ascii="Times New Roman" w:hAnsi="Times New Roman" w:cs="Times New Roman"/>
        </w:rPr>
        <w:t xml:space="preserve"> pooled together </w:t>
      </w:r>
      <w:r w:rsidR="00C26FE6">
        <w:rPr>
          <w:rFonts w:ascii="Times New Roman" w:hAnsi="Times New Roman" w:cs="Times New Roman"/>
          <w:noProof/>
        </w:rPr>
        <w:t xml:space="preserve">(One-way ANOVA; Data </w:t>
      </w:r>
      <w:r w:rsidR="00C26FE6" w:rsidRPr="00260FCA">
        <w:rPr>
          <w:rFonts w:ascii="Times New Roman" w:hAnsi="Times New Roman" w:cs="Times New Roman"/>
          <w:noProof/>
        </w:rPr>
        <w:t xml:space="preserve">are means </w:t>
      </w:r>
      <w:r w:rsidR="00C26FE6" w:rsidRPr="00260FCA">
        <w:rPr>
          <w:rFonts w:ascii="Times New Roman" w:hAnsi="Times New Roman" w:cs="Times New Roman"/>
        </w:rPr>
        <w:t>± SEM</w:t>
      </w:r>
      <w:r w:rsidR="00B0079E">
        <w:rPr>
          <w:rFonts w:ascii="Times New Roman" w:hAnsi="Times New Roman" w:cs="Times New Roman"/>
        </w:rPr>
        <w:t>).</w:t>
      </w:r>
    </w:p>
    <w:p w14:paraId="46A19F4B" w14:textId="1F3C4A89" w:rsidR="00576433" w:rsidRDefault="006D165D" w:rsidP="00576433">
      <w:pPr>
        <w:pStyle w:val="Heading3"/>
        <w:spacing w:line="360" w:lineRule="auto"/>
        <w:rPr>
          <w:noProof/>
        </w:rPr>
      </w:pPr>
      <w:bookmarkStart w:id="2308" w:name="_Toc328301203"/>
      <w:bookmarkStart w:id="2309" w:name="_Toc329593494"/>
      <w:bookmarkStart w:id="2310" w:name="_Toc331425998"/>
      <w:bookmarkStart w:id="2311" w:name="_Toc331427171"/>
      <w:bookmarkStart w:id="2312" w:name="_Toc331427543"/>
      <w:bookmarkStart w:id="2313" w:name="_Toc331427685"/>
      <w:bookmarkStart w:id="2314" w:name="_Toc332972690"/>
      <w:bookmarkStart w:id="2315" w:name="_Toc333046969"/>
      <w:bookmarkStart w:id="2316" w:name="_Toc333477316"/>
      <w:bookmarkStart w:id="2317" w:name="_Toc333478086"/>
      <w:bookmarkStart w:id="2318" w:name="_Toc333644986"/>
      <w:r>
        <w:rPr>
          <w:noProof/>
        </w:rPr>
        <w:t>5.4.12</w:t>
      </w:r>
      <w:r w:rsidR="00576433">
        <w:rPr>
          <w:noProof/>
        </w:rPr>
        <w:t xml:space="preserve"> Comparison of transcriptomic analysis on Astocytes isolated from ageing Alzheimer’s brain with IGF1 signalling impaired astrocytes in culture</w:t>
      </w:r>
      <w:bookmarkEnd w:id="2308"/>
      <w:bookmarkEnd w:id="2309"/>
      <w:bookmarkEnd w:id="2310"/>
      <w:bookmarkEnd w:id="2311"/>
      <w:bookmarkEnd w:id="2312"/>
      <w:bookmarkEnd w:id="2313"/>
      <w:bookmarkEnd w:id="2314"/>
      <w:bookmarkEnd w:id="2315"/>
      <w:bookmarkEnd w:id="2316"/>
      <w:bookmarkEnd w:id="2317"/>
      <w:bookmarkEnd w:id="2318"/>
    </w:p>
    <w:p w14:paraId="4168D13E" w14:textId="77777777" w:rsidR="00576433" w:rsidRDefault="00576433" w:rsidP="00576433">
      <w:pPr>
        <w:spacing w:line="360" w:lineRule="auto"/>
      </w:pPr>
    </w:p>
    <w:p w14:paraId="6D301EEC" w14:textId="288CE743" w:rsidR="00576433" w:rsidRDefault="002850FF" w:rsidP="0052651A">
      <w:pPr>
        <w:spacing w:line="360" w:lineRule="auto"/>
        <w:jc w:val="both"/>
        <w:rPr>
          <w:rFonts w:ascii="Times New Roman" w:hAnsi="Times New Roman" w:cs="Times New Roman"/>
        </w:rPr>
      </w:pPr>
      <w:r>
        <w:rPr>
          <w:rFonts w:ascii="Times New Roman" w:hAnsi="Times New Roman" w:cs="Times New Roman"/>
        </w:rPr>
        <w:t>An assessment was made of</w:t>
      </w:r>
      <w:r w:rsidR="00576433">
        <w:rPr>
          <w:rFonts w:ascii="Times New Roman" w:hAnsi="Times New Roman" w:cs="Times New Roman"/>
        </w:rPr>
        <w:t xml:space="preserve"> whether the transciptomic changes in IGF1 signalling impaired human astrocytes in culture mirror any changes in transcripts in astrocytes isolated from the ageing Alzheimer’s brain. To do this, the lists of differentially expressed genes from this study and those from the original comparison of astrocytes isolated from the temporal cortex of brain with low and high Braak pathology </w:t>
      </w:r>
      <w:r w:rsidR="00576433">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"10.1016/j.neurobiolaging.2011.04.013", "ISSN" : "1558-1497", "PMID" : "21705112", "abstract" : "Astrocytes contribute to a variety of functions in the brain, including homeostasis, synapse formation, plasticity, and metabolism. Astrocyte dysfunction may disrupt their normal role, including neuronal support, thereby contributing to neurodegenerative pathologies, including Alzheimer's disease (AD). To understand the role of astrocytes in the pathogenesis of age-related disorders, we isolated astrocytes by laser capture microdissection, using glial fibrillary acidic protein (GFAP) as a marker, and characterized the astrocyte transcriptome at different Braak neurofibrillary tangle stages in postmortem temporal cortex samples derived from the Medical Research Council Cognitive Function and Ageing Study (MRC CFAS) cohort, using microarray analysis. The largest number of significant, differentially expressed genes were identified when the expression profile of astrocytes from isocortical stages of neurofibrillary tangle pathology (Braak stages V-VI) were compared with entorhinal stages (Braak stages I-II). Dysregulation of genes associated with the actin cytoskeleton, proliferation, apoptosis, and ubiquitin-mediated proteolysis occurred at low Braak stages, while altered regulation of intracellular signaling pathways, including insulin, phosphatidylinositol 3-kinase (PI3K)/Akt, and mitogen-activated protein kinase (MAPK) pathways were primarily associated with high levels of Alzheimer-type pathology, and occurred at lower Braak stages in individuals with the APOE\u03b54 allele. Our findings implicate astrocyte dysfunction in the pathogenesis of neurodegenerative pathology in the aging brain, and provide a basis for future candidate studies based on specific pathways.", "author" : [ { "dropping-particle" : "", "family" : "Simpson", "given" : "Julie E", "non-dropping-particle" : "", "parse-names" : false, "suffix" : "" }, { "dropping-particle" : "", "family" : "Ince", "given" : "Paul G", "non-dropping-particle" : "", "parse-names" : false, "suffix" : "" }, { "dropping-particle" : "", "family" : "Shaw", "given" : "Pamela J", "non-dropping-particle" : "", "parse-names" : false, "suffix" : "" }, { "dropping-particle" : "", "family" : "Heath", "given" : "Paul R", "non-dropping-particle" : "", "parse-names" : false, "suffix" : "" }, { "dropping-particle" : "", "family" : "Raman", "given" : "Rohini", "non-dropping-particle" : "", "parse-names" : false, "suffix" : "" }, { "dropping-particle" : "", "family" : "Garwood", "given" : "Claire J", "non-dropping-particle" : "", "parse-names" : false, "suffix" : "" }, { "dropping-particle" : "", "family" : "Gelsthorpe", "given" : "Catherine", "non-dropping-particle" : "", "parse-names" : false, "suffix" : "" }, { "dropping-particle" : "", "family" : "Baxter", "given" : "Lynne", "non-dropping-particle" : "", "parse-names" : false, "suffix" : "" }, { "dropping-particle" : "", "family" : "Forster", "given" : "Gillian", "non-dropping-particle" : "", "parse-names" : false, "suffix" : "" }, { "dropping-particle" : "", "family" : "Matthews", "given" : "Fiona E", "non-dropping-particle" : "", "parse-names" : false, "suffix" : "" }, { "dropping-particle" : "", "family" : "Brayne", "given" : "Carol", "non-dropping-particle" : "", "parse-names" : false, "suffix" : "" }, { "dropping-particle" : "", "family" : "Wharton", "given" : "Stephen B", "non-dropping-particle" : "", "parse-names" : false, "suffix" : "" } ], "container-title" : "Neurobiology of aging", "id" : "ITEM-1", "issue" : "10", "issued" : { "date-parts" : [ [ "2011", "10" ] ] }, "page" : "1795-807", "title" : "Microarray analysis of the astrocyte transcriptome in the aging brain: relationship to Alzheimer's pathology and APOE genotype.", "type" : "article-journal", "volume" : "32" }, "uris" : [ "http://www.mendeley.com/documents/?uuid=181521a1-c6ce-4312-8031-143f5a245149" ] } ], "mendeley" : { "formattedCitation" : "(Simpson et al. 2011)", "plainTextFormattedCitation" : "(Simpson et al. 2011)", "previouslyFormattedCitation" : "(Simpson et al. 2011)" }, "properties" : { "noteIndex" : 0 }, "schema" : "https://github.com/citation-style-language/schema/raw/master/csl-citation.json" }</w:instrText>
      </w:r>
      <w:r w:rsidR="00576433">
        <w:rPr>
          <w:rFonts w:ascii="Times New Roman" w:hAnsi="Times New Roman" w:cs="Times New Roman"/>
        </w:rPr>
        <w:fldChar w:fldCharType="separate"/>
      </w:r>
      <w:r w:rsidR="00C148FC" w:rsidRPr="00C148FC">
        <w:rPr>
          <w:rFonts w:ascii="Times New Roman" w:hAnsi="Times New Roman" w:cs="Times New Roman"/>
          <w:noProof/>
        </w:rPr>
        <w:t>(Simpson et al. 2011)</w:t>
      </w:r>
      <w:r w:rsidR="00576433">
        <w:rPr>
          <w:rFonts w:ascii="Times New Roman" w:hAnsi="Times New Roman" w:cs="Times New Roman"/>
        </w:rPr>
        <w:fldChar w:fldCharType="end"/>
      </w:r>
      <w:r w:rsidR="00454D06">
        <w:rPr>
          <w:rFonts w:ascii="Times New Roman" w:hAnsi="Times New Roman" w:cs="Times New Roman"/>
        </w:rPr>
        <w:t xml:space="preserve"> were input</w:t>
      </w:r>
      <w:r w:rsidR="00576433">
        <w:rPr>
          <w:rFonts w:ascii="Times New Roman" w:hAnsi="Times New Roman" w:cs="Times New Roman"/>
        </w:rPr>
        <w:t xml:space="preserve"> into the software Venny 2.1.0. A comparison of all differentially expressed genes between the two data sets</w:t>
      </w:r>
      <w:r w:rsidR="00454D06">
        <w:rPr>
          <w:rFonts w:ascii="Times New Roman" w:hAnsi="Times New Roman" w:cs="Times New Roman"/>
        </w:rPr>
        <w:t xml:space="preserve"> was performed</w:t>
      </w:r>
      <w:r w:rsidR="00576433">
        <w:rPr>
          <w:rFonts w:ascii="Times New Roman" w:hAnsi="Times New Roman" w:cs="Times New Roman"/>
        </w:rPr>
        <w:t xml:space="preserve"> and then separated into lists of genes that were commonly up- and downregulated (</w:t>
      </w:r>
      <w:r w:rsidR="00576433">
        <w:rPr>
          <w:rFonts w:ascii="Times New Roman" w:hAnsi="Times New Roman" w:cs="Times New Roman"/>
          <w:b/>
        </w:rPr>
        <w:t>figure 5.</w:t>
      </w:r>
      <w:r w:rsidR="00EB38F3">
        <w:rPr>
          <w:rFonts w:ascii="Times New Roman" w:hAnsi="Times New Roman" w:cs="Times New Roman"/>
          <w:b/>
        </w:rPr>
        <w:t>24</w:t>
      </w:r>
      <w:r w:rsidR="00576433">
        <w:rPr>
          <w:rFonts w:ascii="Times New Roman" w:hAnsi="Times New Roman" w:cs="Times New Roman"/>
        </w:rPr>
        <w:t xml:space="preserve">). </w:t>
      </w:r>
    </w:p>
    <w:p w14:paraId="556A315E" w14:textId="77777777" w:rsidR="00F03FF0" w:rsidRDefault="00F03FF0" w:rsidP="0052651A">
      <w:pPr>
        <w:spacing w:line="360" w:lineRule="auto"/>
        <w:jc w:val="both"/>
        <w:rPr>
          <w:rFonts w:ascii="Times New Roman" w:hAnsi="Times New Roman" w:cs="Times New Roman"/>
        </w:rPr>
      </w:pPr>
      <w:r>
        <w:rPr>
          <w:rFonts w:ascii="Times New Roman" w:hAnsi="Times New Roman" w:cs="Times New Roman"/>
        </w:rPr>
        <w:t xml:space="preserve"> </w:t>
      </w:r>
    </w:p>
    <w:p w14:paraId="6A1F370C" w14:textId="65F4C873" w:rsidR="00576433" w:rsidRDefault="00576433" w:rsidP="0052651A">
      <w:pPr>
        <w:spacing w:line="360" w:lineRule="auto"/>
        <w:jc w:val="both"/>
        <w:rPr>
          <w:rFonts w:ascii="Times New Roman" w:hAnsi="Times New Roman" w:cs="Times New Roman"/>
        </w:rPr>
      </w:pPr>
      <w:r>
        <w:rPr>
          <w:rFonts w:ascii="Times New Roman" w:hAnsi="Times New Roman" w:cs="Times New Roman"/>
        </w:rPr>
        <w:t xml:space="preserve">When comparing the entire lists of differentially expressed genes, there were 81 altered transcripts shared by both lists. There were no common genes shared by the lists of upregulated genes, whereas 34 differentially expressed genes were shared by both data sets. This could demonstrate that the altered transcripts in astrocytes in the ageing Alzheimer brain may in part be the result of IGF1 signalling impairment. </w:t>
      </w:r>
    </w:p>
    <w:p w14:paraId="2E44971F" w14:textId="77777777" w:rsidR="00086871" w:rsidRDefault="00086871" w:rsidP="0052651A">
      <w:pPr>
        <w:spacing w:line="360" w:lineRule="auto"/>
        <w:jc w:val="both"/>
        <w:rPr>
          <w:rFonts w:ascii="Times New Roman" w:hAnsi="Times New Roman" w:cs="Times New Roman"/>
        </w:rPr>
      </w:pPr>
    </w:p>
    <w:p w14:paraId="4A8FB62E" w14:textId="7C6A6D99" w:rsidR="00576433" w:rsidRDefault="00576433" w:rsidP="0052651A">
      <w:pPr>
        <w:spacing w:line="360" w:lineRule="auto"/>
        <w:jc w:val="both"/>
        <w:rPr>
          <w:rFonts w:ascii="Times New Roman" w:hAnsi="Times New Roman" w:cs="Times New Roman"/>
        </w:rPr>
      </w:pPr>
      <w:r>
        <w:rPr>
          <w:rFonts w:ascii="Times New Roman" w:hAnsi="Times New Roman" w:cs="Times New Roman"/>
        </w:rPr>
        <w:t>The 81 genes shared by both data set</w:t>
      </w:r>
      <w:r w:rsidR="00454D06">
        <w:rPr>
          <w:rFonts w:ascii="Times New Roman" w:hAnsi="Times New Roman" w:cs="Times New Roman"/>
        </w:rPr>
        <w:t>s were analysed in IMPALA to</w:t>
      </w:r>
      <w:r>
        <w:rPr>
          <w:rFonts w:ascii="Times New Roman" w:hAnsi="Times New Roman" w:cs="Times New Roman"/>
        </w:rPr>
        <w:t xml:space="preserve"> assess which pathways they were involved in. In general, the genes listed in </w:t>
      </w:r>
      <w:r w:rsidRPr="004A24B9">
        <w:rPr>
          <w:rFonts w:ascii="Times New Roman" w:hAnsi="Times New Roman" w:cs="Times New Roman"/>
          <w:b/>
        </w:rPr>
        <w:t>table 5.2</w:t>
      </w:r>
      <w:r w:rsidR="00EB38F3">
        <w:rPr>
          <w:rFonts w:ascii="Times New Roman" w:hAnsi="Times New Roman" w:cs="Times New Roman"/>
          <w:b/>
        </w:rPr>
        <w:t>3</w:t>
      </w:r>
      <w:r>
        <w:rPr>
          <w:rFonts w:ascii="Times New Roman" w:hAnsi="Times New Roman" w:cs="Times New Roman"/>
        </w:rPr>
        <w:t xml:space="preserve"> are involved in regulating mitochondrial biogenesis, protein degradation and calcium signalling. </w:t>
      </w:r>
    </w:p>
    <w:p w14:paraId="064CCEFE" w14:textId="77777777" w:rsidR="00576433" w:rsidRDefault="00576433" w:rsidP="00576433">
      <w:pPr>
        <w:spacing w:line="360" w:lineRule="auto"/>
        <w:rPr>
          <w:rFonts w:ascii="Times New Roman" w:hAnsi="Times New Roman" w:cs="Times New Roman"/>
        </w:rPr>
      </w:pPr>
    </w:p>
    <w:p w14:paraId="1238D307" w14:textId="77777777" w:rsidR="00576433" w:rsidRDefault="00576433" w:rsidP="00576433">
      <w:pPr>
        <w:spacing w:line="360" w:lineRule="auto"/>
        <w:rPr>
          <w:rFonts w:ascii="Times New Roman" w:hAnsi="Times New Roman" w:cs="Times New Roman"/>
        </w:rPr>
      </w:pPr>
    </w:p>
    <w:p w14:paraId="2904617A" w14:textId="77777777" w:rsidR="00576433" w:rsidRPr="00A60089" w:rsidRDefault="00576433" w:rsidP="00576433"/>
    <w:p w14:paraId="67BFBCB1" w14:textId="77777777" w:rsidR="002412F8" w:rsidRDefault="002412F8" w:rsidP="00576433">
      <w:pPr>
        <w:spacing w:line="360" w:lineRule="auto"/>
        <w:rPr>
          <w:rFonts w:ascii="Times New Roman" w:hAnsi="Times New Roman" w:cs="Times New Roman"/>
          <w:b/>
          <w:noProof/>
        </w:rPr>
      </w:pPr>
    </w:p>
    <w:p w14:paraId="41B6B6B4" w14:textId="77777777" w:rsidR="002412F8" w:rsidRDefault="002412F8" w:rsidP="00576433">
      <w:pPr>
        <w:spacing w:line="360" w:lineRule="auto"/>
        <w:rPr>
          <w:rFonts w:ascii="Times New Roman" w:hAnsi="Times New Roman" w:cs="Times New Roman"/>
          <w:b/>
          <w:noProof/>
        </w:rPr>
      </w:pPr>
    </w:p>
    <w:p w14:paraId="321178C2" w14:textId="77777777" w:rsidR="00484F10" w:rsidRDefault="00484F10" w:rsidP="00576433">
      <w:pPr>
        <w:spacing w:line="360" w:lineRule="auto"/>
        <w:rPr>
          <w:rFonts w:ascii="Times New Roman" w:hAnsi="Times New Roman" w:cs="Times New Roman"/>
          <w:b/>
          <w:noProof/>
        </w:rPr>
      </w:pPr>
    </w:p>
    <w:p w14:paraId="215E0F39" w14:textId="77777777" w:rsidR="00651CC1" w:rsidRDefault="00651CC1" w:rsidP="00576433">
      <w:pPr>
        <w:spacing w:line="360" w:lineRule="auto"/>
        <w:rPr>
          <w:rFonts w:ascii="Times New Roman" w:hAnsi="Times New Roman" w:cs="Times New Roman"/>
          <w:b/>
          <w:noProof/>
        </w:rPr>
      </w:pPr>
    </w:p>
    <w:p w14:paraId="307AD3F3" w14:textId="77777777" w:rsidR="00651CC1" w:rsidRDefault="00651CC1" w:rsidP="00576433">
      <w:pPr>
        <w:spacing w:line="360" w:lineRule="auto"/>
        <w:rPr>
          <w:rFonts w:ascii="Times New Roman" w:hAnsi="Times New Roman" w:cs="Times New Roman"/>
          <w:b/>
          <w:noProof/>
        </w:rPr>
      </w:pPr>
    </w:p>
    <w:p w14:paraId="7321EDBC" w14:textId="77777777" w:rsidR="00651CC1" w:rsidRDefault="00651CC1" w:rsidP="00576433">
      <w:pPr>
        <w:spacing w:line="360" w:lineRule="auto"/>
        <w:rPr>
          <w:rFonts w:ascii="Times New Roman" w:hAnsi="Times New Roman" w:cs="Times New Roman"/>
          <w:b/>
          <w:noProof/>
        </w:rPr>
      </w:pPr>
    </w:p>
    <w:p w14:paraId="281C460F" w14:textId="5F5A8CEC" w:rsidR="00576433" w:rsidRPr="00F65C3A" w:rsidRDefault="00A3722E" w:rsidP="004D474F">
      <w:pPr>
        <w:pStyle w:val="Heading5"/>
        <w:rPr>
          <w:noProof/>
        </w:rPr>
      </w:pPr>
      <w:bookmarkStart w:id="2319" w:name="_Toc333569372"/>
      <w:bookmarkStart w:id="2320" w:name="_Toc333570910"/>
      <w:bookmarkStart w:id="2321" w:name="_Toc333585991"/>
      <w:bookmarkStart w:id="2322" w:name="_Toc333586867"/>
      <w:bookmarkStart w:id="2323" w:name="_Toc333644566"/>
      <w:bookmarkStart w:id="2324" w:name="_Toc333644860"/>
      <w:r>
        <w:rPr>
          <w:noProof/>
        </w:rPr>
        <w:t>Table 5.23</w:t>
      </w:r>
      <w:r w:rsidR="0043060F">
        <w:rPr>
          <w:noProof/>
        </w:rPr>
        <w:t>.</w:t>
      </w:r>
      <w:r w:rsidR="00576433">
        <w:rPr>
          <w:noProof/>
        </w:rPr>
        <w:t xml:space="preserve"> A list of the top ten pathways altered from the 81 genes shared between </w:t>
      </w:r>
      <w:r w:rsidR="00576433">
        <w:rPr>
          <w:i/>
          <w:noProof/>
        </w:rPr>
        <w:t xml:space="preserve">in </w:t>
      </w:r>
      <w:r w:rsidR="00576433" w:rsidRPr="00D812CA">
        <w:rPr>
          <w:noProof/>
        </w:rPr>
        <w:t>vitro</w:t>
      </w:r>
      <w:r w:rsidR="00576433">
        <w:rPr>
          <w:noProof/>
        </w:rPr>
        <w:t xml:space="preserve"> IGF1 signalling impaired astrocytes and an </w:t>
      </w:r>
      <w:r w:rsidR="00576433">
        <w:rPr>
          <w:i/>
          <w:noProof/>
        </w:rPr>
        <w:t xml:space="preserve">in vivo </w:t>
      </w:r>
      <w:r w:rsidR="00576433">
        <w:rPr>
          <w:noProof/>
        </w:rPr>
        <w:t>study of astrocytes isolated from the ageing, Alzheimer brain.</w:t>
      </w:r>
      <w:bookmarkEnd w:id="2319"/>
      <w:bookmarkEnd w:id="2320"/>
      <w:bookmarkEnd w:id="2321"/>
      <w:bookmarkEnd w:id="2322"/>
      <w:bookmarkEnd w:id="2323"/>
      <w:bookmarkEnd w:id="2324"/>
    </w:p>
    <w:p w14:paraId="5FB884E4" w14:textId="77777777" w:rsidR="00576433" w:rsidRPr="00F13FED" w:rsidRDefault="00576433" w:rsidP="00576433"/>
    <w:tbl>
      <w:tblPr>
        <w:tblW w:w="9446" w:type="dxa"/>
        <w:tblInd w:w="93" w:type="dxa"/>
        <w:tblLook w:val="04A0" w:firstRow="1" w:lastRow="0" w:firstColumn="1" w:lastColumn="0" w:noHBand="0" w:noVBand="1"/>
      </w:tblPr>
      <w:tblGrid>
        <w:gridCol w:w="3791"/>
        <w:gridCol w:w="1300"/>
        <w:gridCol w:w="3395"/>
        <w:gridCol w:w="960"/>
      </w:tblGrid>
      <w:tr w:rsidR="00576433" w:rsidRPr="00F13FED" w14:paraId="300F2F95" w14:textId="77777777" w:rsidTr="00576433">
        <w:trPr>
          <w:trHeight w:val="300"/>
        </w:trPr>
        <w:tc>
          <w:tcPr>
            <w:tcW w:w="3791" w:type="dxa"/>
            <w:tcBorders>
              <w:top w:val="single" w:sz="4" w:space="0" w:color="auto"/>
              <w:left w:val="nil"/>
              <w:bottom w:val="single" w:sz="4" w:space="0" w:color="auto"/>
              <w:right w:val="nil"/>
            </w:tcBorders>
            <w:shd w:val="clear" w:color="auto" w:fill="auto"/>
            <w:noWrap/>
            <w:vAlign w:val="bottom"/>
            <w:hideMark/>
          </w:tcPr>
          <w:p w14:paraId="44CEF7B1" w14:textId="77777777" w:rsidR="00576433" w:rsidRPr="00F13FED" w:rsidRDefault="00576433" w:rsidP="00454D06">
            <w:pPr>
              <w:rPr>
                <w:rFonts w:ascii="Times New Roman" w:eastAsia="Times New Roman" w:hAnsi="Times New Roman" w:cs="Times New Roman"/>
                <w:b/>
                <w:bCs/>
                <w:color w:val="000000"/>
                <w:sz w:val="22"/>
                <w:szCs w:val="22"/>
                <w:lang w:val="en-GB"/>
              </w:rPr>
            </w:pPr>
            <w:r w:rsidRPr="00F13FED">
              <w:rPr>
                <w:rFonts w:ascii="Times New Roman" w:eastAsia="Times New Roman" w:hAnsi="Times New Roman" w:cs="Times New Roman"/>
                <w:b/>
                <w:bCs/>
                <w:color w:val="000000"/>
                <w:sz w:val="22"/>
                <w:szCs w:val="22"/>
                <w:lang w:val="en-GB"/>
              </w:rPr>
              <w:t>Pathway Name</w:t>
            </w:r>
          </w:p>
        </w:tc>
        <w:tc>
          <w:tcPr>
            <w:tcW w:w="1300" w:type="dxa"/>
            <w:tcBorders>
              <w:top w:val="single" w:sz="4" w:space="0" w:color="auto"/>
              <w:left w:val="nil"/>
              <w:bottom w:val="single" w:sz="4" w:space="0" w:color="auto"/>
              <w:right w:val="nil"/>
            </w:tcBorders>
            <w:shd w:val="clear" w:color="auto" w:fill="auto"/>
            <w:noWrap/>
            <w:vAlign w:val="bottom"/>
            <w:hideMark/>
          </w:tcPr>
          <w:p w14:paraId="53012B79" w14:textId="77777777" w:rsidR="00576433" w:rsidRPr="00F13FED" w:rsidRDefault="00576433" w:rsidP="00454D06">
            <w:pPr>
              <w:rPr>
                <w:rFonts w:ascii="Times New Roman" w:eastAsia="Times New Roman" w:hAnsi="Times New Roman" w:cs="Times New Roman"/>
                <w:b/>
                <w:bCs/>
                <w:color w:val="000000"/>
                <w:sz w:val="22"/>
                <w:szCs w:val="22"/>
                <w:lang w:val="en-GB"/>
              </w:rPr>
            </w:pPr>
            <w:r w:rsidRPr="00F13FED">
              <w:rPr>
                <w:rFonts w:ascii="Times New Roman" w:eastAsia="Times New Roman" w:hAnsi="Times New Roman" w:cs="Times New Roman"/>
                <w:b/>
                <w:bCs/>
                <w:color w:val="000000"/>
                <w:sz w:val="22"/>
                <w:szCs w:val="22"/>
                <w:lang w:val="en-GB"/>
              </w:rPr>
              <w:t>No. transcripts</w:t>
            </w:r>
          </w:p>
        </w:tc>
        <w:tc>
          <w:tcPr>
            <w:tcW w:w="3395" w:type="dxa"/>
            <w:tcBorders>
              <w:top w:val="single" w:sz="4" w:space="0" w:color="auto"/>
              <w:left w:val="nil"/>
              <w:bottom w:val="single" w:sz="4" w:space="0" w:color="auto"/>
              <w:right w:val="nil"/>
            </w:tcBorders>
            <w:shd w:val="clear" w:color="auto" w:fill="auto"/>
            <w:noWrap/>
            <w:vAlign w:val="bottom"/>
            <w:hideMark/>
          </w:tcPr>
          <w:p w14:paraId="6EEDA98E" w14:textId="77777777" w:rsidR="00576433" w:rsidRPr="00F13FED" w:rsidRDefault="00576433" w:rsidP="00454D06">
            <w:pPr>
              <w:rPr>
                <w:rFonts w:ascii="Times New Roman" w:eastAsia="Times New Roman" w:hAnsi="Times New Roman" w:cs="Times New Roman"/>
                <w:b/>
                <w:bCs/>
                <w:color w:val="000000"/>
                <w:sz w:val="22"/>
                <w:szCs w:val="22"/>
                <w:lang w:val="en-GB"/>
              </w:rPr>
            </w:pPr>
            <w:r w:rsidRPr="00F13FED">
              <w:rPr>
                <w:rFonts w:ascii="Times New Roman" w:eastAsia="Times New Roman" w:hAnsi="Times New Roman" w:cs="Times New Roman"/>
                <w:b/>
                <w:bCs/>
                <w:color w:val="000000"/>
                <w:sz w:val="22"/>
                <w:szCs w:val="22"/>
                <w:lang w:val="en-GB"/>
              </w:rPr>
              <w:t>Transcript</w:t>
            </w:r>
          </w:p>
        </w:tc>
        <w:tc>
          <w:tcPr>
            <w:tcW w:w="960" w:type="dxa"/>
            <w:tcBorders>
              <w:top w:val="single" w:sz="4" w:space="0" w:color="auto"/>
              <w:left w:val="nil"/>
              <w:bottom w:val="single" w:sz="4" w:space="0" w:color="auto"/>
              <w:right w:val="nil"/>
            </w:tcBorders>
            <w:shd w:val="clear" w:color="auto" w:fill="auto"/>
            <w:noWrap/>
            <w:vAlign w:val="bottom"/>
            <w:hideMark/>
          </w:tcPr>
          <w:p w14:paraId="2E8E9C4E" w14:textId="77777777" w:rsidR="00576433" w:rsidRPr="00F13FED" w:rsidRDefault="00576433" w:rsidP="00454D06">
            <w:pPr>
              <w:rPr>
                <w:rFonts w:ascii="Times New Roman" w:eastAsia="Times New Roman" w:hAnsi="Times New Roman" w:cs="Times New Roman"/>
                <w:b/>
                <w:bCs/>
                <w:color w:val="000000"/>
                <w:sz w:val="22"/>
                <w:szCs w:val="22"/>
                <w:lang w:val="en-GB"/>
              </w:rPr>
            </w:pPr>
            <w:r w:rsidRPr="00F13FED">
              <w:rPr>
                <w:rFonts w:ascii="Times New Roman" w:eastAsia="Times New Roman" w:hAnsi="Times New Roman" w:cs="Times New Roman"/>
                <w:b/>
                <w:bCs/>
                <w:color w:val="000000"/>
                <w:sz w:val="22"/>
                <w:szCs w:val="22"/>
                <w:lang w:val="en-GB"/>
              </w:rPr>
              <w:t>P value</w:t>
            </w:r>
          </w:p>
        </w:tc>
      </w:tr>
      <w:tr w:rsidR="00576433" w:rsidRPr="00F13FED" w14:paraId="63A928E5" w14:textId="77777777" w:rsidTr="00576433">
        <w:trPr>
          <w:trHeight w:val="300"/>
        </w:trPr>
        <w:tc>
          <w:tcPr>
            <w:tcW w:w="3791" w:type="dxa"/>
            <w:tcBorders>
              <w:top w:val="nil"/>
              <w:left w:val="nil"/>
              <w:bottom w:val="nil"/>
              <w:right w:val="nil"/>
            </w:tcBorders>
            <w:shd w:val="clear" w:color="auto" w:fill="auto"/>
            <w:noWrap/>
            <w:vAlign w:val="bottom"/>
            <w:hideMark/>
          </w:tcPr>
          <w:p w14:paraId="51A13966"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RAC1 signaling pathway</w:t>
            </w:r>
          </w:p>
        </w:tc>
        <w:tc>
          <w:tcPr>
            <w:tcW w:w="1300" w:type="dxa"/>
            <w:tcBorders>
              <w:top w:val="nil"/>
              <w:left w:val="nil"/>
              <w:bottom w:val="nil"/>
              <w:right w:val="nil"/>
            </w:tcBorders>
            <w:shd w:val="clear" w:color="auto" w:fill="auto"/>
            <w:noWrap/>
            <w:vAlign w:val="bottom"/>
            <w:hideMark/>
          </w:tcPr>
          <w:p w14:paraId="3123E8D4"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3</w:t>
            </w:r>
          </w:p>
        </w:tc>
        <w:tc>
          <w:tcPr>
            <w:tcW w:w="3395" w:type="dxa"/>
            <w:tcBorders>
              <w:top w:val="nil"/>
              <w:left w:val="nil"/>
              <w:bottom w:val="nil"/>
              <w:right w:val="nil"/>
            </w:tcBorders>
            <w:shd w:val="clear" w:color="auto" w:fill="auto"/>
            <w:noWrap/>
            <w:vAlign w:val="bottom"/>
            <w:hideMark/>
          </w:tcPr>
          <w:p w14:paraId="49A7E0A3"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LIMK1;BAIAP2;NOXA1</w:t>
            </w:r>
          </w:p>
        </w:tc>
        <w:tc>
          <w:tcPr>
            <w:tcW w:w="960" w:type="dxa"/>
            <w:tcBorders>
              <w:top w:val="nil"/>
              <w:left w:val="nil"/>
              <w:bottom w:val="nil"/>
              <w:right w:val="nil"/>
            </w:tcBorders>
            <w:shd w:val="clear" w:color="auto" w:fill="auto"/>
            <w:noWrap/>
            <w:vAlign w:val="bottom"/>
            <w:hideMark/>
          </w:tcPr>
          <w:p w14:paraId="48619BF7"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0.00119</w:t>
            </w:r>
          </w:p>
        </w:tc>
      </w:tr>
      <w:tr w:rsidR="00576433" w:rsidRPr="00F13FED" w14:paraId="5F61819F" w14:textId="77777777" w:rsidTr="00576433">
        <w:trPr>
          <w:trHeight w:val="300"/>
        </w:trPr>
        <w:tc>
          <w:tcPr>
            <w:tcW w:w="3791" w:type="dxa"/>
            <w:tcBorders>
              <w:top w:val="nil"/>
              <w:left w:val="nil"/>
              <w:bottom w:val="nil"/>
              <w:right w:val="nil"/>
            </w:tcBorders>
            <w:shd w:val="clear" w:color="auto" w:fill="auto"/>
            <w:noWrap/>
            <w:vAlign w:val="bottom"/>
            <w:hideMark/>
          </w:tcPr>
          <w:p w14:paraId="6B92D50C"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Parkin-Ubiquitin Proteasomal System pathway</w:t>
            </w:r>
          </w:p>
        </w:tc>
        <w:tc>
          <w:tcPr>
            <w:tcW w:w="1300" w:type="dxa"/>
            <w:tcBorders>
              <w:top w:val="nil"/>
              <w:left w:val="nil"/>
              <w:bottom w:val="nil"/>
              <w:right w:val="nil"/>
            </w:tcBorders>
            <w:shd w:val="clear" w:color="auto" w:fill="auto"/>
            <w:noWrap/>
            <w:vAlign w:val="bottom"/>
            <w:hideMark/>
          </w:tcPr>
          <w:p w14:paraId="7B0410DC"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3</w:t>
            </w:r>
          </w:p>
        </w:tc>
        <w:tc>
          <w:tcPr>
            <w:tcW w:w="3395" w:type="dxa"/>
            <w:tcBorders>
              <w:top w:val="nil"/>
              <w:left w:val="nil"/>
              <w:bottom w:val="nil"/>
              <w:right w:val="nil"/>
            </w:tcBorders>
            <w:shd w:val="clear" w:color="auto" w:fill="auto"/>
            <w:noWrap/>
            <w:vAlign w:val="bottom"/>
            <w:hideMark/>
          </w:tcPr>
          <w:p w14:paraId="6607D084"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SIAH1;UBE2G1;PSMD11</w:t>
            </w:r>
          </w:p>
        </w:tc>
        <w:tc>
          <w:tcPr>
            <w:tcW w:w="960" w:type="dxa"/>
            <w:tcBorders>
              <w:top w:val="nil"/>
              <w:left w:val="nil"/>
              <w:bottom w:val="nil"/>
              <w:right w:val="nil"/>
            </w:tcBorders>
            <w:shd w:val="clear" w:color="auto" w:fill="auto"/>
            <w:noWrap/>
            <w:vAlign w:val="bottom"/>
            <w:hideMark/>
          </w:tcPr>
          <w:p w14:paraId="54D736E3"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0.00273</w:t>
            </w:r>
          </w:p>
        </w:tc>
      </w:tr>
      <w:tr w:rsidR="00576433" w:rsidRPr="00F13FED" w14:paraId="2145DF93" w14:textId="77777777" w:rsidTr="00576433">
        <w:trPr>
          <w:trHeight w:val="300"/>
        </w:trPr>
        <w:tc>
          <w:tcPr>
            <w:tcW w:w="3791" w:type="dxa"/>
            <w:tcBorders>
              <w:top w:val="nil"/>
              <w:left w:val="nil"/>
              <w:bottom w:val="nil"/>
              <w:right w:val="nil"/>
            </w:tcBorders>
            <w:shd w:val="clear" w:color="auto" w:fill="auto"/>
            <w:noWrap/>
            <w:vAlign w:val="bottom"/>
            <w:hideMark/>
          </w:tcPr>
          <w:p w14:paraId="3AB6A4D4"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regulation of pgc-1a</w:t>
            </w:r>
          </w:p>
        </w:tc>
        <w:tc>
          <w:tcPr>
            <w:tcW w:w="1300" w:type="dxa"/>
            <w:tcBorders>
              <w:top w:val="nil"/>
              <w:left w:val="nil"/>
              <w:bottom w:val="nil"/>
              <w:right w:val="nil"/>
            </w:tcBorders>
            <w:shd w:val="clear" w:color="auto" w:fill="auto"/>
            <w:noWrap/>
            <w:vAlign w:val="bottom"/>
            <w:hideMark/>
          </w:tcPr>
          <w:p w14:paraId="0BDE1A5B"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2</w:t>
            </w:r>
          </w:p>
        </w:tc>
        <w:tc>
          <w:tcPr>
            <w:tcW w:w="3395" w:type="dxa"/>
            <w:tcBorders>
              <w:top w:val="nil"/>
              <w:left w:val="nil"/>
              <w:bottom w:val="nil"/>
              <w:right w:val="nil"/>
            </w:tcBorders>
            <w:shd w:val="clear" w:color="auto" w:fill="auto"/>
            <w:noWrap/>
            <w:vAlign w:val="bottom"/>
            <w:hideMark/>
          </w:tcPr>
          <w:p w14:paraId="62A5D785"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MEF2D;PPP3CC</w:t>
            </w:r>
          </w:p>
        </w:tc>
        <w:tc>
          <w:tcPr>
            <w:tcW w:w="960" w:type="dxa"/>
            <w:tcBorders>
              <w:top w:val="nil"/>
              <w:left w:val="nil"/>
              <w:bottom w:val="nil"/>
              <w:right w:val="nil"/>
            </w:tcBorders>
            <w:shd w:val="clear" w:color="auto" w:fill="auto"/>
            <w:noWrap/>
            <w:vAlign w:val="bottom"/>
            <w:hideMark/>
          </w:tcPr>
          <w:p w14:paraId="0F49E794"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0.00297</w:t>
            </w:r>
          </w:p>
        </w:tc>
      </w:tr>
      <w:tr w:rsidR="00576433" w:rsidRPr="00F13FED" w14:paraId="742B0043" w14:textId="77777777" w:rsidTr="00576433">
        <w:trPr>
          <w:trHeight w:val="300"/>
        </w:trPr>
        <w:tc>
          <w:tcPr>
            <w:tcW w:w="3791" w:type="dxa"/>
            <w:tcBorders>
              <w:top w:val="nil"/>
              <w:left w:val="nil"/>
              <w:bottom w:val="nil"/>
              <w:right w:val="nil"/>
            </w:tcBorders>
            <w:shd w:val="clear" w:color="auto" w:fill="auto"/>
            <w:noWrap/>
            <w:vAlign w:val="bottom"/>
            <w:hideMark/>
          </w:tcPr>
          <w:p w14:paraId="109ED6D5"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 xml:space="preserve">cGMP-PKG signaling pathway </w:t>
            </w:r>
          </w:p>
        </w:tc>
        <w:tc>
          <w:tcPr>
            <w:tcW w:w="1300" w:type="dxa"/>
            <w:tcBorders>
              <w:top w:val="nil"/>
              <w:left w:val="nil"/>
              <w:bottom w:val="nil"/>
              <w:right w:val="nil"/>
            </w:tcBorders>
            <w:shd w:val="clear" w:color="auto" w:fill="auto"/>
            <w:noWrap/>
            <w:vAlign w:val="bottom"/>
            <w:hideMark/>
          </w:tcPr>
          <w:p w14:paraId="38A46758"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4</w:t>
            </w:r>
          </w:p>
        </w:tc>
        <w:tc>
          <w:tcPr>
            <w:tcW w:w="3395" w:type="dxa"/>
            <w:tcBorders>
              <w:top w:val="nil"/>
              <w:left w:val="nil"/>
              <w:bottom w:val="nil"/>
              <w:right w:val="nil"/>
            </w:tcBorders>
            <w:shd w:val="clear" w:color="auto" w:fill="auto"/>
            <w:noWrap/>
            <w:vAlign w:val="bottom"/>
            <w:hideMark/>
          </w:tcPr>
          <w:p w14:paraId="161D7D21"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MEF2D;ATP2B1;PPP3CC;ADRB1</w:t>
            </w:r>
          </w:p>
        </w:tc>
        <w:tc>
          <w:tcPr>
            <w:tcW w:w="960" w:type="dxa"/>
            <w:tcBorders>
              <w:top w:val="nil"/>
              <w:left w:val="nil"/>
              <w:bottom w:val="nil"/>
              <w:right w:val="nil"/>
            </w:tcBorders>
            <w:shd w:val="clear" w:color="auto" w:fill="auto"/>
            <w:noWrap/>
            <w:vAlign w:val="bottom"/>
            <w:hideMark/>
          </w:tcPr>
          <w:p w14:paraId="04560C85"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0.00361</w:t>
            </w:r>
          </w:p>
        </w:tc>
      </w:tr>
      <w:tr w:rsidR="00576433" w:rsidRPr="00F13FED" w14:paraId="5EFEEE0D" w14:textId="77777777" w:rsidTr="00576433">
        <w:trPr>
          <w:trHeight w:val="300"/>
        </w:trPr>
        <w:tc>
          <w:tcPr>
            <w:tcW w:w="3791" w:type="dxa"/>
            <w:tcBorders>
              <w:top w:val="nil"/>
              <w:left w:val="nil"/>
              <w:bottom w:val="nil"/>
              <w:right w:val="nil"/>
            </w:tcBorders>
            <w:shd w:val="clear" w:color="auto" w:fill="auto"/>
            <w:noWrap/>
            <w:vAlign w:val="bottom"/>
            <w:hideMark/>
          </w:tcPr>
          <w:p w14:paraId="30B60227"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Hyaluronan biosynthesis and export</w:t>
            </w:r>
          </w:p>
        </w:tc>
        <w:tc>
          <w:tcPr>
            <w:tcW w:w="1300" w:type="dxa"/>
            <w:tcBorders>
              <w:top w:val="nil"/>
              <w:left w:val="nil"/>
              <w:bottom w:val="nil"/>
              <w:right w:val="nil"/>
            </w:tcBorders>
            <w:shd w:val="clear" w:color="auto" w:fill="auto"/>
            <w:noWrap/>
            <w:vAlign w:val="bottom"/>
            <w:hideMark/>
          </w:tcPr>
          <w:p w14:paraId="517D56BA"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1</w:t>
            </w:r>
          </w:p>
        </w:tc>
        <w:tc>
          <w:tcPr>
            <w:tcW w:w="3395" w:type="dxa"/>
            <w:tcBorders>
              <w:top w:val="nil"/>
              <w:left w:val="nil"/>
              <w:bottom w:val="nil"/>
              <w:right w:val="nil"/>
            </w:tcBorders>
            <w:shd w:val="clear" w:color="auto" w:fill="auto"/>
            <w:noWrap/>
            <w:vAlign w:val="bottom"/>
            <w:hideMark/>
          </w:tcPr>
          <w:p w14:paraId="5074FF20"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ABCC5</w:t>
            </w:r>
          </w:p>
        </w:tc>
        <w:tc>
          <w:tcPr>
            <w:tcW w:w="960" w:type="dxa"/>
            <w:tcBorders>
              <w:top w:val="nil"/>
              <w:left w:val="nil"/>
              <w:bottom w:val="nil"/>
              <w:right w:val="nil"/>
            </w:tcBorders>
            <w:shd w:val="clear" w:color="auto" w:fill="auto"/>
            <w:noWrap/>
            <w:vAlign w:val="bottom"/>
            <w:hideMark/>
          </w:tcPr>
          <w:p w14:paraId="336C5B7F"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0.00390</w:t>
            </w:r>
          </w:p>
        </w:tc>
      </w:tr>
      <w:tr w:rsidR="00576433" w:rsidRPr="00F13FED" w14:paraId="213D46E2" w14:textId="77777777" w:rsidTr="00576433">
        <w:trPr>
          <w:trHeight w:val="300"/>
        </w:trPr>
        <w:tc>
          <w:tcPr>
            <w:tcW w:w="3791" w:type="dxa"/>
            <w:tcBorders>
              <w:top w:val="nil"/>
              <w:left w:val="nil"/>
              <w:bottom w:val="nil"/>
              <w:right w:val="nil"/>
            </w:tcBorders>
            <w:shd w:val="clear" w:color="auto" w:fill="auto"/>
            <w:noWrap/>
            <w:vAlign w:val="bottom"/>
            <w:hideMark/>
          </w:tcPr>
          <w:p w14:paraId="74FF5D88"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 xml:space="preserve">Calcium signaling pathway </w:t>
            </w:r>
          </w:p>
        </w:tc>
        <w:tc>
          <w:tcPr>
            <w:tcW w:w="1300" w:type="dxa"/>
            <w:tcBorders>
              <w:top w:val="nil"/>
              <w:left w:val="nil"/>
              <w:bottom w:val="nil"/>
              <w:right w:val="nil"/>
            </w:tcBorders>
            <w:shd w:val="clear" w:color="auto" w:fill="auto"/>
            <w:noWrap/>
            <w:vAlign w:val="bottom"/>
            <w:hideMark/>
          </w:tcPr>
          <w:p w14:paraId="03B4316E"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4</w:t>
            </w:r>
          </w:p>
        </w:tc>
        <w:tc>
          <w:tcPr>
            <w:tcW w:w="3395" w:type="dxa"/>
            <w:tcBorders>
              <w:top w:val="nil"/>
              <w:left w:val="nil"/>
              <w:bottom w:val="nil"/>
              <w:right w:val="nil"/>
            </w:tcBorders>
            <w:shd w:val="clear" w:color="auto" w:fill="auto"/>
            <w:noWrap/>
            <w:vAlign w:val="bottom"/>
            <w:hideMark/>
          </w:tcPr>
          <w:p w14:paraId="32D908BA"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ADRB1;ATP2B1;HTR2A;PPP3CC</w:t>
            </w:r>
          </w:p>
        </w:tc>
        <w:tc>
          <w:tcPr>
            <w:tcW w:w="960" w:type="dxa"/>
            <w:tcBorders>
              <w:top w:val="nil"/>
              <w:left w:val="nil"/>
              <w:bottom w:val="nil"/>
              <w:right w:val="nil"/>
            </w:tcBorders>
            <w:shd w:val="clear" w:color="auto" w:fill="auto"/>
            <w:noWrap/>
            <w:vAlign w:val="bottom"/>
            <w:hideMark/>
          </w:tcPr>
          <w:p w14:paraId="4B309126"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0.00394</w:t>
            </w:r>
          </w:p>
        </w:tc>
      </w:tr>
      <w:tr w:rsidR="00576433" w:rsidRPr="00F13FED" w14:paraId="39B3F9B9" w14:textId="77777777" w:rsidTr="00576433">
        <w:trPr>
          <w:trHeight w:val="300"/>
        </w:trPr>
        <w:tc>
          <w:tcPr>
            <w:tcW w:w="3791" w:type="dxa"/>
            <w:tcBorders>
              <w:top w:val="nil"/>
              <w:left w:val="nil"/>
              <w:bottom w:val="nil"/>
              <w:right w:val="nil"/>
            </w:tcBorders>
            <w:shd w:val="clear" w:color="auto" w:fill="auto"/>
            <w:noWrap/>
            <w:vAlign w:val="bottom"/>
            <w:hideMark/>
          </w:tcPr>
          <w:p w14:paraId="46D50B0B"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role of mef2d in t-cell apoptosis</w:t>
            </w:r>
          </w:p>
        </w:tc>
        <w:tc>
          <w:tcPr>
            <w:tcW w:w="1300" w:type="dxa"/>
            <w:tcBorders>
              <w:top w:val="nil"/>
              <w:left w:val="nil"/>
              <w:bottom w:val="nil"/>
              <w:right w:val="nil"/>
            </w:tcBorders>
            <w:shd w:val="clear" w:color="auto" w:fill="auto"/>
            <w:noWrap/>
            <w:vAlign w:val="bottom"/>
            <w:hideMark/>
          </w:tcPr>
          <w:p w14:paraId="76156EA6"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2</w:t>
            </w:r>
          </w:p>
        </w:tc>
        <w:tc>
          <w:tcPr>
            <w:tcW w:w="3395" w:type="dxa"/>
            <w:tcBorders>
              <w:top w:val="nil"/>
              <w:left w:val="nil"/>
              <w:bottom w:val="nil"/>
              <w:right w:val="nil"/>
            </w:tcBorders>
            <w:shd w:val="clear" w:color="auto" w:fill="auto"/>
            <w:noWrap/>
            <w:vAlign w:val="bottom"/>
            <w:hideMark/>
          </w:tcPr>
          <w:p w14:paraId="2F42C55A"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MEF2D;PPP3CC</w:t>
            </w:r>
          </w:p>
        </w:tc>
        <w:tc>
          <w:tcPr>
            <w:tcW w:w="960" w:type="dxa"/>
            <w:tcBorders>
              <w:top w:val="nil"/>
              <w:left w:val="nil"/>
              <w:bottom w:val="nil"/>
              <w:right w:val="nil"/>
            </w:tcBorders>
            <w:shd w:val="clear" w:color="auto" w:fill="auto"/>
            <w:noWrap/>
            <w:vAlign w:val="bottom"/>
            <w:hideMark/>
          </w:tcPr>
          <w:p w14:paraId="2F99C8AA"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0.00526</w:t>
            </w:r>
          </w:p>
        </w:tc>
      </w:tr>
      <w:tr w:rsidR="00576433" w:rsidRPr="00F13FED" w14:paraId="3EC494DC" w14:textId="77777777" w:rsidTr="00576433">
        <w:trPr>
          <w:trHeight w:val="300"/>
        </w:trPr>
        <w:tc>
          <w:tcPr>
            <w:tcW w:w="3791" w:type="dxa"/>
            <w:tcBorders>
              <w:top w:val="nil"/>
              <w:left w:val="nil"/>
              <w:bottom w:val="nil"/>
              <w:right w:val="nil"/>
            </w:tcBorders>
            <w:shd w:val="clear" w:color="auto" w:fill="auto"/>
            <w:noWrap/>
            <w:vAlign w:val="bottom"/>
            <w:hideMark/>
          </w:tcPr>
          <w:p w14:paraId="4880117D"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Monoamine GPCRs</w:t>
            </w:r>
          </w:p>
        </w:tc>
        <w:tc>
          <w:tcPr>
            <w:tcW w:w="1300" w:type="dxa"/>
            <w:tcBorders>
              <w:top w:val="nil"/>
              <w:left w:val="nil"/>
              <w:bottom w:val="nil"/>
              <w:right w:val="nil"/>
            </w:tcBorders>
            <w:shd w:val="clear" w:color="auto" w:fill="auto"/>
            <w:noWrap/>
            <w:vAlign w:val="bottom"/>
            <w:hideMark/>
          </w:tcPr>
          <w:p w14:paraId="742BB5BC"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2</w:t>
            </w:r>
          </w:p>
        </w:tc>
        <w:tc>
          <w:tcPr>
            <w:tcW w:w="3395" w:type="dxa"/>
            <w:tcBorders>
              <w:top w:val="nil"/>
              <w:left w:val="nil"/>
              <w:bottom w:val="nil"/>
              <w:right w:val="nil"/>
            </w:tcBorders>
            <w:shd w:val="clear" w:color="auto" w:fill="auto"/>
            <w:noWrap/>
            <w:vAlign w:val="bottom"/>
            <w:hideMark/>
          </w:tcPr>
          <w:p w14:paraId="4BE7D885"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ADRB1;HTR2A</w:t>
            </w:r>
          </w:p>
        </w:tc>
        <w:tc>
          <w:tcPr>
            <w:tcW w:w="960" w:type="dxa"/>
            <w:tcBorders>
              <w:top w:val="nil"/>
              <w:left w:val="nil"/>
              <w:bottom w:val="nil"/>
              <w:right w:val="nil"/>
            </w:tcBorders>
            <w:shd w:val="clear" w:color="auto" w:fill="auto"/>
            <w:noWrap/>
            <w:vAlign w:val="bottom"/>
            <w:hideMark/>
          </w:tcPr>
          <w:p w14:paraId="186A3D76"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0.00602</w:t>
            </w:r>
          </w:p>
        </w:tc>
      </w:tr>
      <w:tr w:rsidR="00576433" w:rsidRPr="00F13FED" w14:paraId="4830C697" w14:textId="77777777" w:rsidTr="00576433">
        <w:trPr>
          <w:trHeight w:val="300"/>
        </w:trPr>
        <w:tc>
          <w:tcPr>
            <w:tcW w:w="3791" w:type="dxa"/>
            <w:tcBorders>
              <w:top w:val="nil"/>
              <w:left w:val="nil"/>
              <w:bottom w:val="nil"/>
              <w:right w:val="nil"/>
            </w:tcBorders>
            <w:shd w:val="clear" w:color="auto" w:fill="auto"/>
            <w:noWrap/>
            <w:vAlign w:val="bottom"/>
            <w:hideMark/>
          </w:tcPr>
          <w:p w14:paraId="168F9038"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Thiopurine Pathway</w:t>
            </w:r>
          </w:p>
        </w:tc>
        <w:tc>
          <w:tcPr>
            <w:tcW w:w="1300" w:type="dxa"/>
            <w:tcBorders>
              <w:top w:val="nil"/>
              <w:left w:val="nil"/>
              <w:bottom w:val="nil"/>
              <w:right w:val="nil"/>
            </w:tcBorders>
            <w:shd w:val="clear" w:color="auto" w:fill="auto"/>
            <w:noWrap/>
            <w:vAlign w:val="bottom"/>
            <w:hideMark/>
          </w:tcPr>
          <w:p w14:paraId="1C9C7516"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2</w:t>
            </w:r>
          </w:p>
        </w:tc>
        <w:tc>
          <w:tcPr>
            <w:tcW w:w="3395" w:type="dxa"/>
            <w:tcBorders>
              <w:top w:val="nil"/>
              <w:left w:val="nil"/>
              <w:bottom w:val="nil"/>
              <w:right w:val="nil"/>
            </w:tcBorders>
            <w:shd w:val="clear" w:color="auto" w:fill="auto"/>
            <w:noWrap/>
            <w:vAlign w:val="bottom"/>
            <w:hideMark/>
          </w:tcPr>
          <w:p w14:paraId="39447E12"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ABCC5;CBS</w:t>
            </w:r>
          </w:p>
        </w:tc>
        <w:tc>
          <w:tcPr>
            <w:tcW w:w="960" w:type="dxa"/>
            <w:tcBorders>
              <w:top w:val="nil"/>
              <w:left w:val="nil"/>
              <w:bottom w:val="nil"/>
              <w:right w:val="nil"/>
            </w:tcBorders>
            <w:shd w:val="clear" w:color="auto" w:fill="auto"/>
            <w:noWrap/>
            <w:vAlign w:val="bottom"/>
            <w:hideMark/>
          </w:tcPr>
          <w:p w14:paraId="13A55168"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0.00683</w:t>
            </w:r>
          </w:p>
        </w:tc>
      </w:tr>
      <w:tr w:rsidR="00576433" w:rsidRPr="00F13FED" w14:paraId="423E21C9" w14:textId="77777777" w:rsidTr="00576433">
        <w:trPr>
          <w:trHeight w:val="300"/>
        </w:trPr>
        <w:tc>
          <w:tcPr>
            <w:tcW w:w="3791" w:type="dxa"/>
            <w:tcBorders>
              <w:top w:val="nil"/>
              <w:left w:val="nil"/>
              <w:bottom w:val="nil"/>
              <w:right w:val="nil"/>
            </w:tcBorders>
            <w:shd w:val="clear" w:color="auto" w:fill="auto"/>
            <w:noWrap/>
            <w:vAlign w:val="bottom"/>
            <w:hideMark/>
          </w:tcPr>
          <w:p w14:paraId="123F7775"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ATM pathway</w:t>
            </w:r>
          </w:p>
        </w:tc>
        <w:tc>
          <w:tcPr>
            <w:tcW w:w="1300" w:type="dxa"/>
            <w:tcBorders>
              <w:top w:val="nil"/>
              <w:left w:val="nil"/>
              <w:bottom w:val="nil"/>
              <w:right w:val="nil"/>
            </w:tcBorders>
            <w:shd w:val="clear" w:color="auto" w:fill="auto"/>
            <w:noWrap/>
            <w:vAlign w:val="bottom"/>
            <w:hideMark/>
          </w:tcPr>
          <w:p w14:paraId="27D68CDC"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2</w:t>
            </w:r>
          </w:p>
        </w:tc>
        <w:tc>
          <w:tcPr>
            <w:tcW w:w="3395" w:type="dxa"/>
            <w:tcBorders>
              <w:top w:val="nil"/>
              <w:left w:val="nil"/>
              <w:bottom w:val="nil"/>
              <w:right w:val="nil"/>
            </w:tcBorders>
            <w:shd w:val="clear" w:color="auto" w:fill="auto"/>
            <w:noWrap/>
            <w:vAlign w:val="bottom"/>
            <w:hideMark/>
          </w:tcPr>
          <w:p w14:paraId="6CE6A717"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UBE2NL;CTBP1</w:t>
            </w:r>
          </w:p>
        </w:tc>
        <w:tc>
          <w:tcPr>
            <w:tcW w:w="960" w:type="dxa"/>
            <w:tcBorders>
              <w:top w:val="nil"/>
              <w:left w:val="nil"/>
              <w:bottom w:val="nil"/>
              <w:right w:val="nil"/>
            </w:tcBorders>
            <w:shd w:val="clear" w:color="auto" w:fill="auto"/>
            <w:noWrap/>
            <w:vAlign w:val="bottom"/>
            <w:hideMark/>
          </w:tcPr>
          <w:p w14:paraId="67A50F05" w14:textId="77777777" w:rsidR="00576433" w:rsidRPr="00F13FED" w:rsidRDefault="00576433" w:rsidP="00454D06">
            <w:pPr>
              <w:rPr>
                <w:rFonts w:ascii="Times New Roman" w:eastAsia="Times New Roman" w:hAnsi="Times New Roman" w:cs="Times New Roman"/>
                <w:color w:val="000000"/>
                <w:sz w:val="22"/>
                <w:szCs w:val="22"/>
                <w:lang w:val="en-GB"/>
              </w:rPr>
            </w:pPr>
            <w:r w:rsidRPr="00F13FED">
              <w:rPr>
                <w:rFonts w:ascii="Times New Roman" w:eastAsia="Times New Roman" w:hAnsi="Times New Roman" w:cs="Times New Roman"/>
                <w:color w:val="000000"/>
                <w:sz w:val="22"/>
                <w:szCs w:val="22"/>
                <w:lang w:val="en-GB"/>
              </w:rPr>
              <w:t>0.00769</w:t>
            </w:r>
          </w:p>
        </w:tc>
      </w:tr>
    </w:tbl>
    <w:p w14:paraId="64A2F63B" w14:textId="77777777" w:rsidR="00576433" w:rsidRDefault="00576433" w:rsidP="00576433">
      <w:pPr>
        <w:spacing w:line="360" w:lineRule="auto"/>
        <w:rPr>
          <w:rFonts w:ascii="Times New Roman" w:hAnsi="Times New Roman" w:cs="Times New Roman"/>
          <w:b/>
          <w:noProof/>
        </w:rPr>
      </w:pPr>
    </w:p>
    <w:p w14:paraId="5ACD29F2" w14:textId="098C2A63" w:rsidR="00576433" w:rsidRDefault="002412F8" w:rsidP="00576433">
      <w:pPr>
        <w:rPr>
          <w:rFonts w:ascii="Times New Roman" w:eastAsia="Times New Roman" w:hAnsi="Times New Roman" w:cs="Times New Roman"/>
          <w:color w:val="000000"/>
          <w:sz w:val="22"/>
          <w:szCs w:val="22"/>
          <w:lang w:val="en-GB"/>
        </w:rPr>
      </w:pPr>
      <w:r>
        <w:rPr>
          <w:rFonts w:ascii="Times New Roman" w:eastAsia="Times New Roman" w:hAnsi="Times New Roman" w:cs="Times New Roman"/>
          <w:color w:val="000000"/>
          <w:sz w:val="22"/>
          <w:szCs w:val="22"/>
          <w:lang w:val="en-GB"/>
        </w:rPr>
        <w:t xml:space="preserve">         </w:t>
      </w:r>
      <w:r>
        <w:rPr>
          <w:rFonts w:ascii="Times New Roman" w:eastAsia="Times New Roman" w:hAnsi="Times New Roman" w:cs="Times New Roman"/>
          <w:noProof/>
          <w:color w:val="000000"/>
          <w:sz w:val="22"/>
          <w:szCs w:val="22"/>
        </w:rPr>
        <w:drawing>
          <wp:inline distT="0" distB="0" distL="0" distR="0" wp14:anchorId="19786C37" wp14:editId="3BDC328D">
            <wp:extent cx="4357956" cy="3131820"/>
            <wp:effectExtent l="0" t="0" r="11430" b="0"/>
            <wp:docPr id="1073741838" name="Picture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111">
                      <a:extLst>
                        <a:ext uri="{28A0092B-C50C-407E-A947-70E740481C1C}">
                          <a14:useLocalDpi xmlns:a14="http://schemas.microsoft.com/office/drawing/2010/main" val="0"/>
                        </a:ext>
                      </a:extLst>
                    </a:blip>
                    <a:srcRect l="10853" t="6354" r="11056" b="18805"/>
                    <a:stretch/>
                  </pic:blipFill>
                  <pic:spPr bwMode="auto">
                    <a:xfrm>
                      <a:off x="0" y="0"/>
                      <a:ext cx="4358727" cy="3132374"/>
                    </a:xfrm>
                    <a:prstGeom prst="rect">
                      <a:avLst/>
                    </a:prstGeom>
                    <a:ln>
                      <a:noFill/>
                    </a:ln>
                    <a:extLst>
                      <a:ext uri="{53640926-AAD7-44d8-BBD7-CCE9431645EC}">
                        <a14:shadowObscured xmlns:a14="http://schemas.microsoft.com/office/drawing/2010/main"/>
                      </a:ext>
                    </a:extLst>
                  </pic:spPr>
                </pic:pic>
              </a:graphicData>
            </a:graphic>
          </wp:inline>
        </w:drawing>
      </w:r>
    </w:p>
    <w:p w14:paraId="590285BA" w14:textId="77777777" w:rsidR="002412F8" w:rsidRDefault="002412F8" w:rsidP="00576433">
      <w:pPr>
        <w:rPr>
          <w:rFonts w:ascii="Times New Roman" w:eastAsia="Times New Roman" w:hAnsi="Times New Roman" w:cs="Times New Roman"/>
          <w:color w:val="000000"/>
          <w:sz w:val="22"/>
          <w:szCs w:val="22"/>
          <w:lang w:val="en-GB"/>
        </w:rPr>
      </w:pPr>
    </w:p>
    <w:p w14:paraId="4F808566" w14:textId="3372B2B4" w:rsidR="00AB1419" w:rsidRPr="00AB1419" w:rsidRDefault="00AB1419" w:rsidP="00AB1419">
      <w:pPr>
        <w:pStyle w:val="Caption"/>
      </w:pPr>
      <w:bookmarkStart w:id="2325" w:name="_Toc333585277"/>
      <w:bookmarkStart w:id="2326" w:name="_Toc333586829"/>
      <w:bookmarkStart w:id="2327" w:name="_Toc333644528"/>
      <w:bookmarkStart w:id="2328" w:name="_Toc333644822"/>
      <w:r>
        <w:t xml:space="preserve">Figure 5.24. Venn diagrams showing the differentially expressed genes shared by an </w:t>
      </w:r>
      <w:r>
        <w:rPr>
          <w:i/>
        </w:rPr>
        <w:t>in vitro</w:t>
      </w:r>
      <w:r>
        <w:t xml:space="preserve"> study of human astrocytes with impaired IGF1 signalling (blue) and astrocytes isolated from human ageing, Alzheimer brain (yellow).</w:t>
      </w:r>
      <w:bookmarkEnd w:id="2325"/>
      <w:bookmarkEnd w:id="2326"/>
      <w:bookmarkEnd w:id="2327"/>
      <w:bookmarkEnd w:id="2328"/>
    </w:p>
    <w:p w14:paraId="010D12DA" w14:textId="54899F62" w:rsidR="002412F8" w:rsidRPr="004E4FC8" w:rsidRDefault="002412F8" w:rsidP="002412F8">
      <w:pPr>
        <w:spacing w:line="360" w:lineRule="auto"/>
        <w:rPr>
          <w:rFonts w:ascii="Times New Roman" w:eastAsia="Times New Roman" w:hAnsi="Times New Roman" w:cs="Times New Roman"/>
          <w:color w:val="000000"/>
          <w:lang w:val="en-GB"/>
        </w:rPr>
        <w:sectPr w:rsidR="002412F8" w:rsidRPr="004E4FC8" w:rsidSect="001433F4">
          <w:pgSz w:w="11900" w:h="16840"/>
          <w:pgMar w:top="1440" w:right="1134" w:bottom="1440" w:left="2268" w:header="709" w:footer="709" w:gutter="0"/>
          <w:cols w:space="708"/>
          <w:docGrid w:linePitch="360"/>
        </w:sectPr>
      </w:pPr>
      <w:r w:rsidRPr="004E4FC8">
        <w:rPr>
          <w:rFonts w:ascii="Times New Roman" w:eastAsia="Times New Roman" w:hAnsi="Times New Roman" w:cs="Times New Roman"/>
          <w:color w:val="000000"/>
          <w:lang w:val="en-GB"/>
        </w:rPr>
        <w:t>All lists of</w:t>
      </w:r>
      <w:r w:rsidR="00441B8F">
        <w:rPr>
          <w:rFonts w:ascii="Times New Roman" w:eastAsia="Times New Roman" w:hAnsi="Times New Roman" w:cs="Times New Roman"/>
          <w:color w:val="000000"/>
          <w:lang w:val="en-GB"/>
        </w:rPr>
        <w:t xml:space="preserve"> differentially expressed</w:t>
      </w:r>
      <w:r w:rsidRPr="004E4FC8">
        <w:rPr>
          <w:rFonts w:ascii="Times New Roman" w:eastAsia="Times New Roman" w:hAnsi="Times New Roman" w:cs="Times New Roman"/>
          <w:color w:val="000000"/>
          <w:lang w:val="en-GB"/>
        </w:rPr>
        <w:t xml:space="preserve"> genes were compared, lists of differentially upre</w:t>
      </w:r>
      <w:r>
        <w:rPr>
          <w:rFonts w:ascii="Times New Roman" w:eastAsia="Times New Roman" w:hAnsi="Times New Roman" w:cs="Times New Roman"/>
          <w:color w:val="000000"/>
          <w:lang w:val="en-GB"/>
        </w:rPr>
        <w:t>gulated and downregulated genes</w:t>
      </w:r>
      <w:r w:rsidR="00441B8F">
        <w:rPr>
          <w:rFonts w:ascii="Times New Roman" w:eastAsia="Times New Roman" w:hAnsi="Times New Roman" w:cs="Times New Roman"/>
          <w:color w:val="000000"/>
          <w:lang w:val="en-GB"/>
        </w:rPr>
        <w:t xml:space="preserve"> were also compared.</w:t>
      </w:r>
    </w:p>
    <w:p w14:paraId="12750BDD" w14:textId="26DC894A" w:rsidR="007D3A54" w:rsidRDefault="006D165D" w:rsidP="00401292">
      <w:pPr>
        <w:pStyle w:val="Heading2"/>
        <w:rPr>
          <w:noProof/>
        </w:rPr>
      </w:pPr>
      <w:bookmarkStart w:id="2329" w:name="_Toc328301210"/>
      <w:bookmarkStart w:id="2330" w:name="_Toc329593501"/>
      <w:bookmarkStart w:id="2331" w:name="_Toc331425999"/>
      <w:bookmarkStart w:id="2332" w:name="_Toc331427172"/>
      <w:bookmarkStart w:id="2333" w:name="_Toc331427544"/>
      <w:bookmarkStart w:id="2334" w:name="_Toc331427686"/>
      <w:bookmarkStart w:id="2335" w:name="_Toc332972691"/>
      <w:bookmarkStart w:id="2336" w:name="_Toc333046970"/>
      <w:bookmarkStart w:id="2337" w:name="_Toc333477317"/>
      <w:bookmarkStart w:id="2338" w:name="_Toc333478087"/>
      <w:bookmarkStart w:id="2339" w:name="_Toc333644987"/>
      <w:r>
        <w:rPr>
          <w:noProof/>
        </w:rPr>
        <w:t>5.5</w:t>
      </w:r>
      <w:r w:rsidR="00554BB2" w:rsidRPr="00AA3E4D">
        <w:rPr>
          <w:noProof/>
        </w:rPr>
        <w:t xml:space="preserve"> </w:t>
      </w:r>
      <w:r w:rsidR="00401292">
        <w:rPr>
          <w:noProof/>
        </w:rPr>
        <w:t>Discussion</w:t>
      </w:r>
      <w:bookmarkEnd w:id="2329"/>
      <w:bookmarkEnd w:id="2330"/>
      <w:bookmarkEnd w:id="2331"/>
      <w:bookmarkEnd w:id="2332"/>
      <w:bookmarkEnd w:id="2333"/>
      <w:bookmarkEnd w:id="2334"/>
      <w:bookmarkEnd w:id="2335"/>
      <w:bookmarkEnd w:id="2336"/>
      <w:bookmarkEnd w:id="2337"/>
      <w:bookmarkEnd w:id="2338"/>
      <w:bookmarkEnd w:id="2339"/>
    </w:p>
    <w:p w14:paraId="50BC11F3" w14:textId="77777777" w:rsidR="00AC7BB4" w:rsidRPr="00AC7BB4" w:rsidRDefault="00AC7BB4" w:rsidP="00AC7BB4"/>
    <w:p w14:paraId="327BF6E1" w14:textId="1AF9C51F" w:rsidR="00995BB7" w:rsidRPr="00AC7BB4" w:rsidRDefault="00995BB7" w:rsidP="0052651A">
      <w:pPr>
        <w:spacing w:line="360" w:lineRule="auto"/>
        <w:jc w:val="both"/>
        <w:rPr>
          <w:rFonts w:ascii="Times New Roman" w:hAnsi="Times New Roman" w:cs="Times New Roman"/>
          <w:noProof/>
        </w:rPr>
      </w:pPr>
      <w:bookmarkStart w:id="2340" w:name="_Toc331426000"/>
      <w:bookmarkStart w:id="2341" w:name="_Toc328301211"/>
      <w:bookmarkStart w:id="2342" w:name="_Toc329593502"/>
      <w:r w:rsidRPr="00AC7BB4">
        <w:rPr>
          <w:rFonts w:ascii="Times New Roman" w:hAnsi="Times New Roman" w:cs="Times New Roman"/>
          <w:noProof/>
        </w:rPr>
        <w:t>In this chapte</w:t>
      </w:r>
      <w:r w:rsidR="00B80D03">
        <w:rPr>
          <w:rFonts w:ascii="Times New Roman" w:hAnsi="Times New Roman" w:cs="Times New Roman"/>
          <w:noProof/>
        </w:rPr>
        <w:t>r microarray analysis of MAB391-</w:t>
      </w:r>
      <w:r w:rsidRPr="00AC7BB4">
        <w:rPr>
          <w:rFonts w:ascii="Times New Roman" w:hAnsi="Times New Roman" w:cs="Times New Roman"/>
          <w:noProof/>
        </w:rPr>
        <w:t>treated co-cultured astrocytes was performed in order to identify the mechanisms that might underlie the reduction in astrocytic support described in Chapter 4. FACS analysis was used to separate cell populations followed by microarray analysis of the astrocyte transcriptome. Pathway analysis revealed that genes involved in oxidative phosphorylation, glycolysis and antioxidant capacity were preferentially dysregulated. A subset of genes from each of the groups was then validated using qRT</w:t>
      </w:r>
      <w:r w:rsidR="002D1598">
        <w:rPr>
          <w:rFonts w:ascii="Times New Roman" w:hAnsi="Times New Roman" w:cs="Times New Roman"/>
          <w:noProof/>
        </w:rPr>
        <w:t>-</w:t>
      </w:r>
      <w:r w:rsidRPr="00AC7BB4">
        <w:rPr>
          <w:rFonts w:ascii="Times New Roman" w:hAnsi="Times New Roman" w:cs="Times New Roman"/>
          <w:noProof/>
        </w:rPr>
        <w:t xml:space="preserve">PCR and functional analysis was also carried out. Overall, </w:t>
      </w:r>
      <w:r w:rsidR="00FB2318" w:rsidRPr="00AC7BB4">
        <w:rPr>
          <w:rFonts w:ascii="Times New Roman" w:hAnsi="Times New Roman" w:cs="Times New Roman"/>
          <w:noProof/>
        </w:rPr>
        <w:t xml:space="preserve">these experiments suggest that impaired IGF1 signalling in astrocytes results in mitochondrial </w:t>
      </w:r>
      <w:r w:rsidR="00F03FF0">
        <w:rPr>
          <w:rFonts w:ascii="Times New Roman" w:hAnsi="Times New Roman" w:cs="Times New Roman"/>
          <w:noProof/>
        </w:rPr>
        <w:t xml:space="preserve">complex I </w:t>
      </w:r>
      <w:r w:rsidR="00FB2318" w:rsidRPr="00AC7BB4">
        <w:rPr>
          <w:rFonts w:ascii="Times New Roman" w:hAnsi="Times New Roman" w:cs="Times New Roman"/>
          <w:noProof/>
        </w:rPr>
        <w:t>dysfunction.</w:t>
      </w:r>
      <w:bookmarkEnd w:id="2340"/>
      <w:r w:rsidR="00FB2318" w:rsidRPr="00AC7BB4">
        <w:rPr>
          <w:rFonts w:ascii="Times New Roman" w:hAnsi="Times New Roman" w:cs="Times New Roman"/>
          <w:noProof/>
        </w:rPr>
        <w:t xml:space="preserve"> </w:t>
      </w:r>
    </w:p>
    <w:p w14:paraId="50C43E83" w14:textId="77777777" w:rsidR="00990CEF" w:rsidRPr="00990CEF" w:rsidRDefault="00990CEF" w:rsidP="00990CEF"/>
    <w:p w14:paraId="1A6C0EAF" w14:textId="1B90D413" w:rsidR="005D76CE" w:rsidRDefault="006D165D" w:rsidP="00401292">
      <w:pPr>
        <w:pStyle w:val="Heading3"/>
        <w:rPr>
          <w:noProof/>
        </w:rPr>
      </w:pPr>
      <w:bookmarkStart w:id="2343" w:name="_Toc331426001"/>
      <w:bookmarkStart w:id="2344" w:name="_Toc331427173"/>
      <w:bookmarkStart w:id="2345" w:name="_Toc331427545"/>
      <w:bookmarkStart w:id="2346" w:name="_Toc331427687"/>
      <w:bookmarkStart w:id="2347" w:name="_Toc332972692"/>
      <w:bookmarkStart w:id="2348" w:name="_Toc333046971"/>
      <w:bookmarkStart w:id="2349" w:name="_Toc333477318"/>
      <w:bookmarkStart w:id="2350" w:name="_Toc333478088"/>
      <w:bookmarkStart w:id="2351" w:name="_Toc333644988"/>
      <w:r>
        <w:rPr>
          <w:noProof/>
        </w:rPr>
        <w:t>5.5</w:t>
      </w:r>
      <w:r w:rsidR="00554BB2">
        <w:rPr>
          <w:noProof/>
        </w:rPr>
        <w:t xml:space="preserve">.1 </w:t>
      </w:r>
      <w:bookmarkEnd w:id="2341"/>
      <w:bookmarkEnd w:id="2342"/>
      <w:r w:rsidR="00617920">
        <w:rPr>
          <w:noProof/>
        </w:rPr>
        <w:t>Separation of co-cultured cells</w:t>
      </w:r>
      <w:bookmarkEnd w:id="2343"/>
      <w:bookmarkEnd w:id="2344"/>
      <w:bookmarkEnd w:id="2345"/>
      <w:bookmarkEnd w:id="2346"/>
      <w:bookmarkEnd w:id="2347"/>
      <w:bookmarkEnd w:id="2348"/>
      <w:bookmarkEnd w:id="2349"/>
      <w:bookmarkEnd w:id="2350"/>
      <w:bookmarkEnd w:id="2351"/>
      <w:r w:rsidR="00A973F3">
        <w:rPr>
          <w:noProof/>
        </w:rPr>
        <w:t xml:space="preserve"> </w:t>
      </w:r>
    </w:p>
    <w:p w14:paraId="6AD8BA3E" w14:textId="77777777" w:rsidR="00A973F3" w:rsidRDefault="00A973F3" w:rsidP="009E5F8C">
      <w:pPr>
        <w:spacing w:line="360" w:lineRule="auto"/>
        <w:rPr>
          <w:rFonts w:ascii="Times New Roman" w:hAnsi="Times New Roman" w:cs="Times New Roman"/>
          <w:noProof/>
        </w:rPr>
      </w:pPr>
    </w:p>
    <w:p w14:paraId="714A9FEF" w14:textId="123E12E8" w:rsidR="00AB765A" w:rsidRDefault="00AB765A" w:rsidP="0052651A">
      <w:pPr>
        <w:spacing w:line="360" w:lineRule="auto"/>
        <w:jc w:val="both"/>
        <w:rPr>
          <w:rFonts w:ascii="Times New Roman" w:hAnsi="Times New Roman" w:cs="Times New Roman"/>
          <w:noProof/>
        </w:rPr>
      </w:pPr>
      <w:r>
        <w:rPr>
          <w:rFonts w:ascii="Times New Roman" w:hAnsi="Times New Roman" w:cs="Times New Roman"/>
          <w:noProof/>
        </w:rPr>
        <w:t>To investigate c</w:t>
      </w:r>
      <w:r w:rsidR="00487CF3">
        <w:rPr>
          <w:rFonts w:ascii="Times New Roman" w:hAnsi="Times New Roman" w:cs="Times New Roman"/>
          <w:noProof/>
        </w:rPr>
        <w:t>h</w:t>
      </w:r>
      <w:r w:rsidR="00B80D03">
        <w:rPr>
          <w:rFonts w:ascii="Times New Roman" w:hAnsi="Times New Roman" w:cs="Times New Roman"/>
          <w:noProof/>
        </w:rPr>
        <w:t>anges occuring in MAB391-</w:t>
      </w:r>
      <w:r>
        <w:rPr>
          <w:rFonts w:ascii="Times New Roman" w:hAnsi="Times New Roman" w:cs="Times New Roman"/>
          <w:noProof/>
        </w:rPr>
        <w:t xml:space="preserve">treated co-cultured astrocytes </w:t>
      </w:r>
      <w:r w:rsidR="00081B76">
        <w:rPr>
          <w:rFonts w:ascii="Times New Roman" w:hAnsi="Times New Roman" w:cs="Times New Roman"/>
          <w:noProof/>
        </w:rPr>
        <w:t xml:space="preserve">a method to separate astrocytes from LUHMES </w:t>
      </w:r>
      <w:r>
        <w:rPr>
          <w:rFonts w:ascii="Times New Roman" w:hAnsi="Times New Roman" w:cs="Times New Roman"/>
          <w:noProof/>
        </w:rPr>
        <w:t>was optimised</w:t>
      </w:r>
      <w:r w:rsidR="00081B76">
        <w:rPr>
          <w:rFonts w:ascii="Times New Roman" w:hAnsi="Times New Roman" w:cs="Times New Roman"/>
          <w:noProof/>
        </w:rPr>
        <w:t>.</w:t>
      </w:r>
      <w:r w:rsidR="00C8383B">
        <w:rPr>
          <w:rFonts w:ascii="Times New Roman" w:hAnsi="Times New Roman" w:cs="Times New Roman"/>
          <w:noProof/>
        </w:rPr>
        <w:t xml:space="preserve"> Most</w:t>
      </w:r>
      <w:r w:rsidR="00651E03">
        <w:rPr>
          <w:rFonts w:ascii="Times New Roman" w:hAnsi="Times New Roman" w:cs="Times New Roman"/>
          <w:noProof/>
        </w:rPr>
        <w:t xml:space="preserve"> of the</w:t>
      </w:r>
      <w:r w:rsidR="00C8383B">
        <w:rPr>
          <w:rFonts w:ascii="Times New Roman" w:hAnsi="Times New Roman" w:cs="Times New Roman"/>
          <w:noProof/>
        </w:rPr>
        <w:t xml:space="preserve"> </w:t>
      </w:r>
      <w:r w:rsidR="002F2B09">
        <w:rPr>
          <w:rFonts w:ascii="Times New Roman" w:hAnsi="Times New Roman" w:cs="Times New Roman"/>
          <w:noProof/>
        </w:rPr>
        <w:t xml:space="preserve">reported astrocyte and neuronal </w:t>
      </w:r>
      <w:r w:rsidR="00C8383B">
        <w:rPr>
          <w:rFonts w:ascii="Times New Roman" w:hAnsi="Times New Roman" w:cs="Times New Roman"/>
          <w:noProof/>
        </w:rPr>
        <w:t>co-cultures in the literature do not require separation since neurons are often cultured in transwells ove</w:t>
      </w:r>
      <w:r w:rsidR="0020472A">
        <w:rPr>
          <w:rFonts w:ascii="Times New Roman" w:hAnsi="Times New Roman" w:cs="Times New Roman"/>
          <w:noProof/>
        </w:rPr>
        <w:t>r a feeder layer of astrocytes or in different compartments in microfluidic chambers.</w:t>
      </w:r>
      <w:r>
        <w:rPr>
          <w:rFonts w:ascii="Times New Roman" w:hAnsi="Times New Roman" w:cs="Times New Roman"/>
          <w:noProof/>
        </w:rPr>
        <w:t xml:space="preserve"> Here, separation of the two cell populations was required as astrocyte support, in the form of enhanced neurite outgrowth, was reliant upon direct contact between the cells (Chapter 4,</w:t>
      </w:r>
      <w:r w:rsidR="00990CEF">
        <w:rPr>
          <w:rFonts w:ascii="Times New Roman" w:hAnsi="Times New Roman" w:cs="Times New Roman"/>
          <w:noProof/>
        </w:rPr>
        <w:t xml:space="preserve"> section 4.4.8</w:t>
      </w:r>
      <w:r>
        <w:rPr>
          <w:rFonts w:ascii="Times New Roman" w:hAnsi="Times New Roman" w:cs="Times New Roman"/>
          <w:noProof/>
        </w:rPr>
        <w:t>).</w:t>
      </w:r>
      <w:r w:rsidR="0020472A">
        <w:rPr>
          <w:rFonts w:ascii="Times New Roman" w:hAnsi="Times New Roman" w:cs="Times New Roman"/>
          <w:noProof/>
        </w:rPr>
        <w:t xml:space="preserve"> </w:t>
      </w:r>
    </w:p>
    <w:p w14:paraId="5D347A84" w14:textId="77777777" w:rsidR="00AB765A" w:rsidRDefault="00AB765A" w:rsidP="0052651A">
      <w:pPr>
        <w:spacing w:line="360" w:lineRule="auto"/>
        <w:jc w:val="both"/>
        <w:rPr>
          <w:rFonts w:ascii="Times New Roman" w:hAnsi="Times New Roman" w:cs="Times New Roman"/>
          <w:noProof/>
        </w:rPr>
      </w:pPr>
    </w:p>
    <w:p w14:paraId="4B8B3D15" w14:textId="505BD38F" w:rsidR="00C34231" w:rsidRDefault="00AB765A" w:rsidP="0052651A">
      <w:pPr>
        <w:spacing w:line="360" w:lineRule="auto"/>
        <w:jc w:val="both"/>
        <w:rPr>
          <w:rFonts w:ascii="Times New Roman" w:hAnsi="Times New Roman" w:cs="Times New Roman"/>
          <w:noProof/>
        </w:rPr>
      </w:pPr>
      <w:r>
        <w:rPr>
          <w:rFonts w:ascii="Times New Roman" w:hAnsi="Times New Roman" w:cs="Times New Roman"/>
          <w:noProof/>
        </w:rPr>
        <w:t>Astrocyte-neuron</w:t>
      </w:r>
      <w:r w:rsidR="00E4320A">
        <w:rPr>
          <w:rFonts w:ascii="Times New Roman" w:hAnsi="Times New Roman" w:cs="Times New Roman"/>
          <w:noProof/>
        </w:rPr>
        <w:t xml:space="preserve"> co-cultures </w:t>
      </w:r>
      <w:r>
        <w:rPr>
          <w:rFonts w:ascii="Times New Roman" w:hAnsi="Times New Roman" w:cs="Times New Roman"/>
          <w:noProof/>
        </w:rPr>
        <w:t>can be separated using</w:t>
      </w:r>
      <w:r w:rsidR="00647202">
        <w:rPr>
          <w:rFonts w:ascii="Times New Roman" w:hAnsi="Times New Roman" w:cs="Times New Roman"/>
          <w:noProof/>
        </w:rPr>
        <w:t xml:space="preserve"> cold</w:t>
      </w:r>
      <w:r>
        <w:rPr>
          <w:rFonts w:ascii="Times New Roman" w:hAnsi="Times New Roman" w:cs="Times New Roman"/>
          <w:noProof/>
        </w:rPr>
        <w:t xml:space="preserve"> </w:t>
      </w:r>
      <w:r w:rsidR="00E4320A">
        <w:rPr>
          <w:rFonts w:ascii="Times New Roman" w:hAnsi="Times New Roman" w:cs="Times New Roman"/>
          <w:noProof/>
        </w:rPr>
        <w:t xml:space="preserve">PBS-jet wash separation, acutase treatment </w:t>
      </w:r>
      <w:r w:rsidR="002850FF">
        <w:rPr>
          <w:rFonts w:ascii="Times New Roman" w:hAnsi="Times New Roman" w:cs="Times New Roman"/>
          <w:noProof/>
        </w:rPr>
        <w:t>or</w:t>
      </w:r>
      <w:r w:rsidR="00E4320A">
        <w:rPr>
          <w:rFonts w:ascii="Times New Roman" w:hAnsi="Times New Roman" w:cs="Times New Roman"/>
          <w:noProof/>
        </w:rPr>
        <w:t xml:space="preserve"> FACS sorting</w:t>
      </w:r>
      <w:r>
        <w:rPr>
          <w:rFonts w:ascii="Times New Roman" w:hAnsi="Times New Roman" w:cs="Times New Roman"/>
          <w:noProof/>
        </w:rPr>
        <w:t xml:space="preserve"> </w:t>
      </w:r>
      <w:r w:rsidR="00990CEF">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"10.3389/fncel.2014.00012", "ISSN" : "1662-5102", "PMID" : "24523672", "abstract" : "Over the last decade, the importance of astrocyte-neuron communication in neuronal development and synaptic plasticity has become increasingly clear. Since neuron-astrocyte interactions represent highly dynamic and reciprocal processes, we hypothesized that many astrocyte genes may be regulated as a consequence of their interactions with maturing neurons. In order to identify such neuron-responsive astrocyte genes in vitro, we sought to establish an expedited technique for separation of neurons from co-cultured astrocytes. Our newly established method makes use of cold jet, which exploits different adhesion characteristics of subpopulations of cells (Jirsova etal., 1997), and is rapid, performed under ice-cold conditions and avoids protease-mediated isolation of astrocytes or time-consuming centrifugation, yielding intact astrocyte mRNA with approximately 90% of neuronal RNA removed. Using this purification method, we executed genome-wide profiling in which RNA derived from astrocyte-only cultures was compared with astrocyte RNA derived from differentiating neuron-astrocyte co-cultures. Data analysis determined that many astrocytic mRNAs and biological processes are regulated by neuronal interaction. Our results validate the cold jet as an efficient method to separate astrocytes from neurons in co-culture, and reveals that neurons induce robust gene-expression changes in co-cultured astrocytes.", "author" : [ { "dropping-particle" : "", "family" : "Goudriaan", "given" : "Andrea", "non-dropping-particle" : "", "parse-names" : false, "suffix" : "" }, { "dropping-particle" : "", "family" : "Camargo", "given" : "Nutabi", "non-dropping-particle" : "", "parse-names" : false, "suffix" : "" }, { "dropping-particle" : "", "family" : "Carney", "given" : "Karen E", "non-dropping-particle" : "", "parse-names" : false, "suffix" : "" }, { "dropping-particle" : "", "family" : "Oliet", "given" : "St\u00e9phane H R", "non-dropping-particle" : "", "parse-names" : false, "suffix" : "" }, { "dropping-particle" : "", "family" : "Smit", "given" : "August B", "non-dropping-particle" : "", "parse-names" : false, "suffix" : "" }, { "dropping-particle" : "", "family" : "Verheijen", "given" : "Mark H G", "non-dropping-particle" : "", "parse-names" : false, "suffix" : "" } ], "container-title" : "Frontiers in cellular neuroscience", "id" : "ITEM-1", "issued" : { "date-parts" : [ [ "2014", "1", "30" ] ] }, "language" : "English", "page" : "12", "publisher" : "Frontiers", "title" : "Novel cell separation method for molecular analysis of neuron-astrocyte co-cultures.", "type" : "article-journal", "volume" : "8" }, "uris" : [ "http://www.mendeley.com/documents/?uuid=8b0c08f1-fbc3-47dd-ac12-a31970da9103" ] }, { "id" : "ITEM-2", "itemData" : { "DOI" : "10.1523/JNEUROSCI.3817-03.2004", "ISSN" : "1529-2401", "PMID" : "14762128", "abstract" : "Binding of the transcription factor nuclear factor E2-related factor 2 (Nrf2) to the antioxidant response element (ARE) in neural cells results in the induction of a battery of genes that can coordinate a protective response against a variety of oxidative stressors. In this study, tert-butylhydroquinone (tBHQ) and sulforaphane were used as activators of this pathway. Consistent with previous studies, treatment of primary cortical cultures from ARE reporter mice revealed selective promoter activity in astrocytes. This activation protected neurons from hydrogen peroxide and nonexcitotoxic glutamate toxicity. tBHQ treatment of cultures from Nrf2 knock-out animals resulted in neither ARE activation nor neuroprotection. By reintroducing Nrf2 via infection with a replication-deficient adenovirus (ad), both the genetic response and neuroprotection were rescued. Conversely, infection with adenovirus encoding dominant-negative (DN) Nrf2 (ad-DN-Nrf2) or pretreatment with the selective phosphatidylinositol-3 kinase inhibitor LY294002 inhibited the tBHQ-mediated promoter response and corresponding neuroprotection. Interestingly, the adenoviral infection showed a high selectivity for astrocytes over neurons. In an attempt to reveal some of the cell type-specific changes resulting from ARE activation, cultures were infected with adenovirus encoding green fluorescent protein (GFP) (ad-GFP) or ad-DN-Nrf2 (containing GFP) before tBHQ treatment. A glia-enriched population of GFP-infected cells was then isolated from a population of uninfected neurons using cell-sorting technology. Microarray analysis was used to evaluate potential glial versus neuron-specific contributions to the neuroprotective effects of ARE activation and Nrf2 dependence. Strikingly, the change in neuronal gene expression after tBHQ treatment was dependent on Nrf2 activity in the astrocytes. This suggests that Nrf2-dependent genetic changes alter neuron-glia interactions resulting in neuroprotection.", "author" : [ { "dropping-particle" : "", "family" : "Kraft", "given" : "Andrew D", "non-dropping-particle" : "", "parse-names" : false, "suffix" : "" }, { "dropping-particle" : "", "family" : "Johnson", "given" : "Delinda A", "non-dropping-particle" : "", "parse-names" : false, "suffix" : "" }, { "dropping-particle" : "", "family" : "Johnson", "given" : "Jeffrey A", "non-dropping-particle" : "", "parse-names" : false, "suffix" : "" } ], "container-title" : "The Journal of neuroscience : the official journal of the Society for Neuroscience", "id" : "ITEM-2", "issue" : "5", "issued" : { "date-parts" : [ [ "2004", "2", "4" ] ] }, "page" : "1101-12", "title" : "Nuclear factor E2-related factor 2-dependent antioxidant response element activation by tert-butylhydroquinone and sulforaphane occurring preferentially in astrocytes conditions neurons against oxidative insult.", "type" : "article-journal", "volume" : "24" }, "uris" : [ "http://www.mendeley.com/documents/?uuid=271abe84-7f6c-41e1-b85d-4766cf09296f" ] }, { "id" : "ITEM-3", "itemData" : { "DOI" : "10.1523/JNEUROSCI.3404-07.2007", "ISSN" : "1529-2401", "PMID" : "17989291", "abstract" : "Protoplasmic astrocytes are critically important to energy metabolism in the CNS. Our current understanding of the metabolic interactions between neurons and glia is based on studies using cultured cells, from which mainly inferential conclusions have been drawn as to the relative roles of neurons and glia in brain metabolism. In this study, we used functional genomics to establish the relative compartmentalization of neuronal and astrocytic metabolic pathways in the adult brain. To this end, fluorescence-activated cell sorting was used to directly isolate neurons and protoplasmic astrocytes from the cortex of adult mice. Microarray analysis showed that astrocytes and neurons each express transcripts predicting individual self-sufficiency in both glycolysis and oxidative metabolism. Surprisingly, most enzymes in the tricarboxylic acid (TCA) cycle were expressed at higher relative levels in astrocytes than in neurons. Mass spectrometric analysis of the TCA cycle intermediates confirmed that freshly isolated adult astrocytes maintained an active TCA cycle, whereas immuno-electron microscopy revealed that fine astrocytic processes encompassing synapses contained a higher density of mitochondria than surrounding cells. These observations indicate that astrocytes exhibit robust oxidative metabolism in the intact adult brain and suggest a prominent contribution of astrocytic metabolism to functional brain imaging, including BOLD (blood-oxygen level-dependent) functional magnetic resonance imaging signals.", "author" : [ { "dropping-particle" : "", "family" : "Lovatt", "given" : "Ditte", "non-dropping-particle" : "", "parse-names" : false, "suffix" : "" }, { "dropping-particle" : "", "family" : "Sonnewald", "given" : "Ursula", "non-dropping-particle" : "", "parse-names" : false, "suffix" : "" }, { "dropping-particle" : "", "family" : "Waagepetersen", "given" : "Helle S", "non-dropping-particle" : "", "parse-names" : false, "suffix" : "" }, { "dropping-particle" : "", "family" : "Schousboe", "given" : "Arne", "non-dropping-particle" : "", "parse-names" : false, "suffix" : "" }, { "dropping-particle" : "", "family" : "He", "given" : "Wei", "non-dropping-particle" : "", "parse-names" : false, "suffix" : "" }, { "dropping-particle" : "", "family" : "Lin", "given" : "Jane H-C", "non-dropping-particle" : "", "parse-names" : false, "suffix" : "" }, { "dropping-particle" : "", "family" : "Han", "given" : "Xiaoning", "non-dropping-particle" : "", "parse-names" : false, "suffix" : "" }, { "dropping-particle" : "", "family" : "Takano", "given" : "Takahiro", "non-dropping-particle" : "", "parse-names" : false, "suffix" : "" }, { "dropping-particle" : "", "family" : "Wang", "given" : "Su", "non-dropping-particle" : "", "parse-names" : false, "suffix" : "" }, { "dropping-particle" : "", "family" : "Sim", "given" : "Fraser J", "non-dropping-particle" : "", "parse-names" : false, "suffix" : "" }, { "dropping-particle" : "", "family" : "Goldman", "given" : "Steven A", "non-dropping-particle" : "", "parse-names" : false, "suffix" : "" }, { "dropping-particle" : "", "family" : "Nedergaard", "given" : "Maiken", "non-dropping-particle" : "", "parse-names" : false, "suffix" : "" } ], "container-title" : "The Journal of neuroscience : the official journal of the Society for Neuroscience", "id" : "ITEM-3", "issue" : "45", "issued" : { "date-parts" : [ [ "2007", "11", "7" ] ] }, "page" : "12255-66", "title" : "The transcriptome and metabolic gene signature of protoplasmic astrocytes in the adult murine cortex.", "type" : "article-journal", "volume" : "27" }, "uris" : [ "http://www.mendeley.com/documents/?uuid=5ca7133d-d5cb-44df-a8e0-c7c1d40e460a" ] } ], "mendeley" : { "formattedCitation" : "(Goudriaan et al. 2014; Kraft et al. 2004; Lovatt et al. 2007)", "plainTextFormattedCitation" : "(Goudriaan et al. 2014; Kraft et al. 2004; Lovatt et al. 2007)", "previouslyFormattedCitation" : "(Goudriaan et al. 2014; Kraft et al. 2004; Lovatt et al. 2007)" }, "properties" : { "noteIndex" : 0 }, "schema" : "https://github.com/citation-style-language/schema/raw/master/csl-citation.json" }</w:instrText>
      </w:r>
      <w:r w:rsidR="00990CEF">
        <w:rPr>
          <w:rFonts w:ascii="Times New Roman" w:hAnsi="Times New Roman" w:cs="Times New Roman"/>
          <w:noProof/>
        </w:rPr>
        <w:fldChar w:fldCharType="separate"/>
      </w:r>
      <w:r w:rsidR="00C148FC" w:rsidRPr="00C148FC">
        <w:rPr>
          <w:rFonts w:ascii="Times New Roman" w:hAnsi="Times New Roman" w:cs="Times New Roman"/>
          <w:noProof/>
        </w:rPr>
        <w:t>(Goudriaan et al. 2014; Kraft et al. 2004; Lovatt et al. 2007)</w:t>
      </w:r>
      <w:r w:rsidR="00990CEF">
        <w:rPr>
          <w:rFonts w:ascii="Times New Roman" w:hAnsi="Times New Roman" w:cs="Times New Roman"/>
          <w:noProof/>
        </w:rPr>
        <w:fldChar w:fldCharType="end"/>
      </w:r>
      <w:r w:rsidR="00990CEF">
        <w:rPr>
          <w:rFonts w:ascii="Times New Roman" w:hAnsi="Times New Roman" w:cs="Times New Roman"/>
          <w:noProof/>
        </w:rPr>
        <w:t xml:space="preserve">. </w:t>
      </w:r>
      <w:r>
        <w:rPr>
          <w:rFonts w:ascii="Times New Roman" w:hAnsi="Times New Roman" w:cs="Times New Roman"/>
          <w:noProof/>
        </w:rPr>
        <w:t>Here,</w:t>
      </w:r>
      <w:r w:rsidR="00E4320A">
        <w:rPr>
          <w:rFonts w:ascii="Times New Roman" w:hAnsi="Times New Roman" w:cs="Times New Roman"/>
          <w:noProof/>
        </w:rPr>
        <w:t xml:space="preserve"> </w:t>
      </w:r>
      <w:r>
        <w:rPr>
          <w:rFonts w:ascii="Times New Roman" w:hAnsi="Times New Roman" w:cs="Times New Roman"/>
          <w:noProof/>
        </w:rPr>
        <w:t>s</w:t>
      </w:r>
      <w:r w:rsidR="00E74C74">
        <w:rPr>
          <w:rFonts w:ascii="Times New Roman" w:hAnsi="Times New Roman" w:cs="Times New Roman"/>
          <w:noProof/>
        </w:rPr>
        <w:t>eparation of co-cultures was initially attempted using the</w:t>
      </w:r>
      <w:r>
        <w:rPr>
          <w:rFonts w:ascii="Times New Roman" w:hAnsi="Times New Roman" w:cs="Times New Roman"/>
          <w:noProof/>
        </w:rPr>
        <w:t xml:space="preserve"> </w:t>
      </w:r>
      <w:r w:rsidR="001056F3">
        <w:rPr>
          <w:rFonts w:ascii="Times New Roman" w:hAnsi="Times New Roman" w:cs="Times New Roman"/>
          <w:noProof/>
        </w:rPr>
        <w:t xml:space="preserve">cold </w:t>
      </w:r>
      <w:r>
        <w:rPr>
          <w:rFonts w:ascii="Times New Roman" w:hAnsi="Times New Roman" w:cs="Times New Roman"/>
          <w:noProof/>
        </w:rPr>
        <w:t>PBS-jet wash method described by</w:t>
      </w:r>
      <w:r w:rsidR="00E74C74">
        <w:rPr>
          <w:rFonts w:ascii="Times New Roman" w:hAnsi="Times New Roman" w:cs="Times New Roman"/>
          <w:noProof/>
        </w:rPr>
        <w:t xml:space="preserve"> </w:t>
      </w:r>
      <w:r w:rsidR="00651E03">
        <w:rPr>
          <w:rFonts w:ascii="Times New Roman" w:hAnsi="Times New Roman" w:cs="Times New Roman"/>
          <w:noProof/>
        </w:rPr>
        <w:t xml:space="preserve">Goudriaan </w:t>
      </w:r>
      <w:r w:rsidR="00651E03">
        <w:rPr>
          <w:rFonts w:ascii="Times New Roman" w:hAnsi="Times New Roman" w:cs="Times New Roman"/>
          <w:i/>
          <w:noProof/>
        </w:rPr>
        <w:t>et al</w:t>
      </w:r>
      <w:r w:rsidR="00E74C74">
        <w:rPr>
          <w:rFonts w:ascii="Times New Roman" w:hAnsi="Times New Roman" w:cs="Times New Roman"/>
          <w:noProof/>
        </w:rPr>
        <w:t>,</w:t>
      </w:r>
      <w:r w:rsidR="00651E03">
        <w:rPr>
          <w:rFonts w:ascii="Times New Roman" w:hAnsi="Times New Roman" w:cs="Times New Roman"/>
          <w:noProof/>
        </w:rPr>
        <w:t xml:space="preserve"> 2014 </w:t>
      </w:r>
      <w:r>
        <w:rPr>
          <w:rFonts w:ascii="Times New Roman" w:hAnsi="Times New Roman" w:cs="Times New Roman"/>
          <w:noProof/>
        </w:rPr>
        <w:t>but</w:t>
      </w:r>
      <w:r w:rsidR="00651E03">
        <w:rPr>
          <w:rFonts w:ascii="Times New Roman" w:hAnsi="Times New Roman" w:cs="Times New Roman"/>
          <w:noProof/>
        </w:rPr>
        <w:t xml:space="preserve"> this technique did not achieve the </w:t>
      </w:r>
      <w:r w:rsidR="00D37DB2">
        <w:rPr>
          <w:rFonts w:ascii="Times New Roman" w:hAnsi="Times New Roman" w:cs="Times New Roman"/>
          <w:noProof/>
        </w:rPr>
        <w:t xml:space="preserve">same </w:t>
      </w:r>
      <w:r w:rsidR="003B61C9">
        <w:rPr>
          <w:rFonts w:ascii="Times New Roman" w:hAnsi="Times New Roman" w:cs="Times New Roman"/>
          <w:noProof/>
        </w:rPr>
        <w:t>levels of separation in this co-culture system</w:t>
      </w:r>
      <w:r w:rsidR="00990CEF">
        <w:rPr>
          <w:rFonts w:ascii="Times New Roman" w:hAnsi="Times New Roman" w:cs="Times New Roman"/>
          <w:noProof/>
        </w:rPr>
        <w:t>.</w:t>
      </w:r>
      <w:r w:rsidR="00807D31">
        <w:rPr>
          <w:rFonts w:ascii="Times New Roman" w:hAnsi="Times New Roman" w:cs="Times New Roman"/>
          <w:noProof/>
        </w:rPr>
        <w:t xml:space="preserve"> The</w:t>
      </w:r>
      <w:r w:rsidR="001056F3">
        <w:rPr>
          <w:rFonts w:ascii="Times New Roman" w:hAnsi="Times New Roman" w:cs="Times New Roman"/>
          <w:noProof/>
        </w:rPr>
        <w:t>re are several reasons that could explain the differences in separation efficiency. Goudriaan and colleagues co-cultured rat astrocytes and mouse neurons for 10/14 days on non-coa</w:t>
      </w:r>
      <w:r w:rsidR="00B65CCB">
        <w:rPr>
          <w:rFonts w:ascii="Times New Roman" w:hAnsi="Times New Roman" w:cs="Times New Roman"/>
          <w:noProof/>
        </w:rPr>
        <w:t>ted plastics before separation. However,</w:t>
      </w:r>
      <w:r w:rsidR="00C34231">
        <w:rPr>
          <w:rFonts w:ascii="Times New Roman" w:hAnsi="Times New Roman" w:cs="Times New Roman"/>
          <w:noProof/>
        </w:rPr>
        <w:t xml:space="preserve"> </w:t>
      </w:r>
      <w:r w:rsidR="004040E2">
        <w:rPr>
          <w:rFonts w:ascii="Times New Roman" w:hAnsi="Times New Roman" w:cs="Times New Roman"/>
          <w:noProof/>
        </w:rPr>
        <w:t xml:space="preserve">separation of </w:t>
      </w:r>
      <w:r w:rsidR="001056F3">
        <w:rPr>
          <w:rFonts w:ascii="Times New Roman" w:hAnsi="Times New Roman" w:cs="Times New Roman"/>
          <w:noProof/>
        </w:rPr>
        <w:t>human astrocytes and neurons co-cultured for 3 days on</w:t>
      </w:r>
      <w:r w:rsidR="00B65CCB">
        <w:rPr>
          <w:rFonts w:ascii="Times New Roman" w:hAnsi="Times New Roman" w:cs="Times New Roman"/>
          <w:noProof/>
        </w:rPr>
        <w:t xml:space="preserve"> fibronectin coated plastics was</w:t>
      </w:r>
      <w:r w:rsidR="001056F3">
        <w:rPr>
          <w:rFonts w:ascii="Times New Roman" w:hAnsi="Times New Roman" w:cs="Times New Roman"/>
          <w:noProof/>
        </w:rPr>
        <w:t xml:space="preserve"> attempted</w:t>
      </w:r>
      <w:r w:rsidR="00B65CCB">
        <w:rPr>
          <w:rFonts w:ascii="Times New Roman" w:hAnsi="Times New Roman" w:cs="Times New Roman"/>
          <w:noProof/>
        </w:rPr>
        <w:t xml:space="preserve"> here</w:t>
      </w:r>
      <w:r w:rsidR="001056F3">
        <w:rPr>
          <w:rFonts w:ascii="Times New Roman" w:hAnsi="Times New Roman" w:cs="Times New Roman"/>
          <w:noProof/>
        </w:rPr>
        <w:t xml:space="preserve">. Goudriaan </w:t>
      </w:r>
      <w:r w:rsidR="001056F3">
        <w:rPr>
          <w:rFonts w:ascii="Times New Roman" w:hAnsi="Times New Roman" w:cs="Times New Roman"/>
          <w:i/>
          <w:noProof/>
        </w:rPr>
        <w:t>et al</w:t>
      </w:r>
      <w:r w:rsidR="001056F3">
        <w:rPr>
          <w:rFonts w:ascii="Times New Roman" w:hAnsi="Times New Roman" w:cs="Times New Roman"/>
          <w:noProof/>
        </w:rPr>
        <w:t xml:space="preserve"> </w:t>
      </w:r>
      <w:r w:rsidR="00B65CCB">
        <w:rPr>
          <w:rFonts w:ascii="Times New Roman" w:hAnsi="Times New Roman" w:cs="Times New Roman"/>
          <w:noProof/>
        </w:rPr>
        <w:t xml:space="preserve">(2014) also </w:t>
      </w:r>
      <w:r w:rsidR="001056F3">
        <w:rPr>
          <w:rFonts w:ascii="Times New Roman" w:hAnsi="Times New Roman" w:cs="Times New Roman"/>
          <w:noProof/>
        </w:rPr>
        <w:t xml:space="preserve">demonstrate that the length of time in co-culture can affect the efficiency of separation and by microarray analysis show that the fundamental transcriptomic changes in co-cultured astrocytes are upregulation of cell adhesion and extracellular matrix proteins. </w:t>
      </w:r>
      <w:r w:rsidR="004040E2">
        <w:rPr>
          <w:rFonts w:ascii="Times New Roman" w:hAnsi="Times New Roman" w:cs="Times New Roman"/>
          <w:noProof/>
        </w:rPr>
        <w:t>Therefore, the differences are likely a resu</w:t>
      </w:r>
      <w:r w:rsidR="00B65CCB">
        <w:rPr>
          <w:rFonts w:ascii="Times New Roman" w:hAnsi="Times New Roman" w:cs="Times New Roman"/>
          <w:noProof/>
        </w:rPr>
        <w:t>lt of the interspecies variation in adherent properties</w:t>
      </w:r>
      <w:r w:rsidR="004040E2">
        <w:rPr>
          <w:rFonts w:ascii="Times New Roman" w:hAnsi="Times New Roman" w:cs="Times New Roman"/>
          <w:noProof/>
        </w:rPr>
        <w:t>, the length of time the co-</w:t>
      </w:r>
      <w:r w:rsidR="00B65CCB">
        <w:rPr>
          <w:rFonts w:ascii="Times New Roman" w:hAnsi="Times New Roman" w:cs="Times New Roman"/>
          <w:noProof/>
        </w:rPr>
        <w:t xml:space="preserve">cultures were set up for and whether pre-coating </w:t>
      </w:r>
      <w:r w:rsidR="004040E2">
        <w:rPr>
          <w:rFonts w:ascii="Times New Roman" w:hAnsi="Times New Roman" w:cs="Times New Roman"/>
          <w:noProof/>
        </w:rPr>
        <w:t>plastics</w:t>
      </w:r>
      <w:r w:rsidR="005B20BD">
        <w:rPr>
          <w:rFonts w:ascii="Times New Roman" w:hAnsi="Times New Roman" w:cs="Times New Roman"/>
          <w:noProof/>
        </w:rPr>
        <w:t xml:space="preserve"> influenced</w:t>
      </w:r>
      <w:r w:rsidR="00B65CCB">
        <w:rPr>
          <w:rFonts w:ascii="Times New Roman" w:hAnsi="Times New Roman" w:cs="Times New Roman"/>
          <w:noProof/>
        </w:rPr>
        <w:t xml:space="preserve"> astrocyte-neuron interactions</w:t>
      </w:r>
      <w:r w:rsidR="004040E2">
        <w:rPr>
          <w:rFonts w:ascii="Times New Roman" w:hAnsi="Times New Roman" w:cs="Times New Roman"/>
          <w:noProof/>
        </w:rPr>
        <w:t>.</w:t>
      </w:r>
      <w:r w:rsidR="001056F3">
        <w:rPr>
          <w:rFonts w:ascii="Times New Roman" w:hAnsi="Times New Roman" w:cs="Times New Roman"/>
          <w:noProof/>
        </w:rPr>
        <w:t xml:space="preserve"> </w:t>
      </w:r>
    </w:p>
    <w:p w14:paraId="6FFBEB90" w14:textId="77777777" w:rsidR="00C34231" w:rsidRDefault="00C34231" w:rsidP="008C4AE6">
      <w:pPr>
        <w:spacing w:line="360" w:lineRule="auto"/>
        <w:rPr>
          <w:rFonts w:ascii="Times New Roman" w:hAnsi="Times New Roman" w:cs="Times New Roman"/>
          <w:noProof/>
        </w:rPr>
      </w:pPr>
    </w:p>
    <w:p w14:paraId="0E96EC69" w14:textId="3AD88F0C" w:rsidR="00E04456" w:rsidRPr="00647202" w:rsidRDefault="00B65CCB" w:rsidP="0052651A">
      <w:pPr>
        <w:spacing w:line="360" w:lineRule="auto"/>
        <w:jc w:val="both"/>
        <w:rPr>
          <w:rFonts w:ascii="Times New Roman" w:hAnsi="Times New Roman" w:cs="Times New Roman"/>
          <w:noProof/>
        </w:rPr>
      </w:pPr>
      <w:r>
        <w:rPr>
          <w:rFonts w:ascii="Times New Roman" w:hAnsi="Times New Roman" w:cs="Times New Roman"/>
          <w:noProof/>
        </w:rPr>
        <w:t>Because of this, a</w:t>
      </w:r>
      <w:r w:rsidR="00651E03">
        <w:rPr>
          <w:rFonts w:ascii="Times New Roman" w:hAnsi="Times New Roman" w:cs="Times New Roman"/>
          <w:noProof/>
        </w:rPr>
        <w:t xml:space="preserve">n alternative method was </w:t>
      </w:r>
      <w:r w:rsidR="00A1125E">
        <w:rPr>
          <w:rFonts w:ascii="Times New Roman" w:hAnsi="Times New Roman" w:cs="Times New Roman"/>
          <w:noProof/>
        </w:rPr>
        <w:t>established</w:t>
      </w:r>
      <w:r w:rsidR="00C34231">
        <w:rPr>
          <w:rFonts w:ascii="Times New Roman" w:hAnsi="Times New Roman" w:cs="Times New Roman"/>
          <w:noProof/>
        </w:rPr>
        <w:t xml:space="preserve"> to separate the human astrocyte-neuron co-cultures.</w:t>
      </w:r>
      <w:r w:rsidR="00A1125E">
        <w:rPr>
          <w:rFonts w:ascii="Times New Roman" w:hAnsi="Times New Roman" w:cs="Times New Roman"/>
          <w:noProof/>
        </w:rPr>
        <w:t xml:space="preserve"> </w:t>
      </w:r>
      <w:r w:rsidR="00C34231">
        <w:rPr>
          <w:rFonts w:ascii="Times New Roman" w:hAnsi="Times New Roman" w:cs="Times New Roman"/>
          <w:noProof/>
        </w:rPr>
        <w:t>Previously,</w:t>
      </w:r>
      <w:r w:rsidR="00AB765A">
        <w:rPr>
          <w:rFonts w:ascii="Times New Roman" w:hAnsi="Times New Roman" w:cs="Times New Roman"/>
          <w:noProof/>
        </w:rPr>
        <w:t xml:space="preserve"> </w:t>
      </w:r>
      <w:r w:rsidR="00A1125E">
        <w:rPr>
          <w:rFonts w:ascii="Times New Roman" w:hAnsi="Times New Roman" w:cs="Times New Roman"/>
          <w:noProof/>
        </w:rPr>
        <w:t xml:space="preserve">Kraft </w:t>
      </w:r>
      <w:r w:rsidR="00A1125E">
        <w:rPr>
          <w:rFonts w:ascii="Times New Roman" w:hAnsi="Times New Roman" w:cs="Times New Roman"/>
          <w:i/>
          <w:noProof/>
        </w:rPr>
        <w:t>et al</w:t>
      </w:r>
      <w:r w:rsidR="00A1125E">
        <w:rPr>
          <w:rFonts w:ascii="Times New Roman" w:hAnsi="Times New Roman" w:cs="Times New Roman"/>
          <w:noProof/>
        </w:rPr>
        <w:t xml:space="preserve"> (2004)</w:t>
      </w:r>
      <w:r w:rsidR="00C34231">
        <w:rPr>
          <w:rFonts w:ascii="Times New Roman" w:hAnsi="Times New Roman" w:cs="Times New Roman"/>
          <w:noProof/>
        </w:rPr>
        <w:t xml:space="preserve"> </w:t>
      </w:r>
      <w:r w:rsidR="00AB765A">
        <w:rPr>
          <w:rFonts w:ascii="Times New Roman" w:hAnsi="Times New Roman" w:cs="Times New Roman"/>
          <w:noProof/>
        </w:rPr>
        <w:t xml:space="preserve">utilised FACS sorting to enrich for populations of </w:t>
      </w:r>
      <w:r w:rsidR="006944D0">
        <w:rPr>
          <w:rFonts w:ascii="Times New Roman" w:hAnsi="Times New Roman" w:cs="Times New Roman"/>
          <w:noProof/>
        </w:rPr>
        <w:t xml:space="preserve">mouse </w:t>
      </w:r>
      <w:r w:rsidR="004040E2">
        <w:rPr>
          <w:rFonts w:ascii="Times New Roman" w:hAnsi="Times New Roman" w:cs="Times New Roman"/>
          <w:noProof/>
        </w:rPr>
        <w:t>GFP astrocytes from neurons</w:t>
      </w:r>
      <w:r w:rsidR="0053062A">
        <w:rPr>
          <w:rFonts w:ascii="Times New Roman" w:hAnsi="Times New Roman" w:cs="Times New Roman"/>
          <w:noProof/>
        </w:rPr>
        <w:t>.</w:t>
      </w:r>
      <w:r w:rsidR="00AB765A">
        <w:rPr>
          <w:rFonts w:ascii="Times New Roman" w:hAnsi="Times New Roman" w:cs="Times New Roman"/>
          <w:noProof/>
        </w:rPr>
        <w:t xml:space="preserve"> Using this method</w:t>
      </w:r>
      <w:r>
        <w:rPr>
          <w:rFonts w:ascii="Times New Roman" w:hAnsi="Times New Roman" w:cs="Times New Roman"/>
          <w:noProof/>
        </w:rPr>
        <w:t>,</w:t>
      </w:r>
      <w:r w:rsidR="00AB765A">
        <w:rPr>
          <w:rFonts w:ascii="Times New Roman" w:hAnsi="Times New Roman" w:cs="Times New Roman"/>
          <w:noProof/>
        </w:rPr>
        <w:t xml:space="preserve"> enriched populations of GFP LUHMES and astrocytes were obtained</w:t>
      </w:r>
      <w:r w:rsidR="00454D06">
        <w:rPr>
          <w:rFonts w:ascii="Times New Roman" w:hAnsi="Times New Roman" w:cs="Times New Roman"/>
          <w:noProof/>
        </w:rPr>
        <w:t>,</w:t>
      </w:r>
      <w:r w:rsidR="00AB765A">
        <w:rPr>
          <w:rFonts w:ascii="Times New Roman" w:hAnsi="Times New Roman" w:cs="Times New Roman"/>
          <w:noProof/>
        </w:rPr>
        <w:t xml:space="preserve"> the purity of the neuronal population</w:t>
      </w:r>
      <w:r w:rsidR="00454D06">
        <w:rPr>
          <w:rFonts w:ascii="Times New Roman" w:hAnsi="Times New Roman" w:cs="Times New Roman"/>
          <w:noProof/>
        </w:rPr>
        <w:t xml:space="preserve"> was</w:t>
      </w:r>
      <w:r w:rsidR="00AB765A">
        <w:rPr>
          <w:rFonts w:ascii="Times New Roman" w:hAnsi="Times New Roman" w:cs="Times New Roman"/>
          <w:noProof/>
        </w:rPr>
        <w:t xml:space="preserve"> assessed using NFL and the astrocyte population using GFAP. </w:t>
      </w:r>
      <w:r w:rsidR="00647202">
        <w:rPr>
          <w:rFonts w:ascii="Times New Roman" w:hAnsi="Times New Roman" w:cs="Times New Roman"/>
          <w:noProof/>
        </w:rPr>
        <w:t xml:space="preserve">Western blots and DNA gels demonstrated that FACS sorting of GFP LUHMES and astrocyte co-cultures can enrich for both populations of cells. </w:t>
      </w:r>
      <w:r w:rsidR="00AB765A">
        <w:rPr>
          <w:rFonts w:ascii="Times New Roman" w:hAnsi="Times New Roman" w:cs="Times New Roman"/>
          <w:noProof/>
        </w:rPr>
        <w:t>It was</w:t>
      </w:r>
      <w:r w:rsidR="00647202">
        <w:rPr>
          <w:rFonts w:ascii="Times New Roman" w:hAnsi="Times New Roman" w:cs="Times New Roman"/>
          <w:noProof/>
        </w:rPr>
        <w:t xml:space="preserve"> also</w:t>
      </w:r>
      <w:r w:rsidR="00AB765A">
        <w:rPr>
          <w:rFonts w:ascii="Times New Roman" w:hAnsi="Times New Roman" w:cs="Times New Roman"/>
          <w:noProof/>
        </w:rPr>
        <w:t xml:space="preserve"> noted that the</w:t>
      </w:r>
      <w:r w:rsidR="00195B89">
        <w:rPr>
          <w:rFonts w:ascii="Times New Roman" w:hAnsi="Times New Roman" w:cs="Times New Roman"/>
          <w:noProof/>
        </w:rPr>
        <w:t xml:space="preserve"> mono-cultured astrocytes</w:t>
      </w:r>
      <w:r w:rsidR="00AB765A">
        <w:rPr>
          <w:rFonts w:ascii="Times New Roman" w:hAnsi="Times New Roman" w:cs="Times New Roman"/>
          <w:noProof/>
        </w:rPr>
        <w:t xml:space="preserve"> </w:t>
      </w:r>
      <w:r w:rsidR="008C4AE6">
        <w:rPr>
          <w:rFonts w:ascii="Times New Roman" w:hAnsi="Times New Roman" w:cs="Times New Roman"/>
          <w:noProof/>
        </w:rPr>
        <w:t xml:space="preserve">expressed low levels </w:t>
      </w:r>
      <w:r w:rsidR="00AB765A">
        <w:rPr>
          <w:rFonts w:ascii="Times New Roman" w:hAnsi="Times New Roman" w:cs="Times New Roman"/>
          <w:noProof/>
        </w:rPr>
        <w:t>o</w:t>
      </w:r>
      <w:r w:rsidR="008C4AE6">
        <w:rPr>
          <w:rFonts w:ascii="Times New Roman" w:hAnsi="Times New Roman" w:cs="Times New Roman"/>
          <w:noProof/>
        </w:rPr>
        <w:t>f</w:t>
      </w:r>
      <w:r w:rsidR="00AB765A">
        <w:rPr>
          <w:rFonts w:ascii="Times New Roman" w:hAnsi="Times New Roman" w:cs="Times New Roman"/>
          <w:noProof/>
        </w:rPr>
        <w:t xml:space="preserve"> NFL and LUHMES expressed low levels of GFAP. </w:t>
      </w:r>
      <w:r w:rsidR="00320560">
        <w:rPr>
          <w:rFonts w:ascii="Times New Roman" w:hAnsi="Times New Roman" w:cs="Times New Roman"/>
          <w:noProof/>
        </w:rPr>
        <w:t xml:space="preserve">Although GFAP is still used as the prototypical astrocyte marker </w:t>
      </w:r>
      <w:r w:rsidR="006944D0">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"10.1007/s00401-009-0619-8", "ISSN" : "1432-0533", "PMID" : "20012068", "abstract" : "Astrocytes are specialized glial cells that outnumber neurons by over fivefold. They contiguously tile the entire central nervous system (CNS) and exert many essential complex functions in the healthy CNS. Astrocytes respond to all forms of CNS insults through a process referred to as reactive astrogliosis, which has become a pathological hallmark of CNS structural lesions. Substantial progress has been made recently in determining functions and mechanisms of reactive astrogliosis and in identifying roles of astrocytes in CNS disorders and pathologies. A vast molecular arsenal at the disposal of reactive astrocytes is being defined. Transgenic mouse models are dissecting specific aspects of reactive astrocytosis and glial scar formation in vivo. Astrocyte involvement in specific clinicopathological entities is being defined. It is now clear that reactive astrogliosis is not a simple all-or-none phenomenon but is a finely gradated continuum of changes that occur in context-dependent manners regulated by specific signaling events. These changes range from reversible alterations in gene expression and cell hypertrophy with preservation of cellular domains and tissue structure, to long-lasting scar formation with rearrangement of tissue structure. Increasing evidence points towards the potential of reactive astrogliosis to play either primary or contributing roles in CNS disorders via loss of normal astrocyte functions or gain of abnormal effects. This article reviews (1) astrocyte functions in healthy CNS, (2) mechanisms and functions of reactive astrogliosis and glial scar formation, and (3) ways in which reactive astrocytes may cause or contribute to specific CNS disorders and lesions.", "author" : [ { "dropping-particle" : "V", "family" : "Sofroniew", "given" : "Michael", "non-dropping-particle" : "", "parse-names" : false, "suffix" : "" }, { "dropping-particle" : "V", "family" : "Vinters", "given" : "Harry", "non-dropping-particle" : "", "parse-names" : false, "suffix" : "" } ], "container-title" : "Acta neuropathologica", "id" : "ITEM-1", "issue" : "1", "issued" : { "date-parts" : [ [ "2010", "1" ] ] }, "page" : "7-35", "title" : "Astrocytes: biology and pathology.", "type" : "article-journal", "volume" : "119" }, "uris" : [ "http://www.mendeley.com/documents/?uuid=bf2ee37c-8e17-46aa-bdfc-f927d7b6a5a6" ] } ], "mendeley" : { "formattedCitation" : "(Sofroniew &amp; Vinters 2010)", "plainTextFormattedCitation" : "(Sofroniew &amp; Vinters 2010)", "previouslyFormattedCitation" : "(Sofroniew &amp; Vinters 2010)" }, "properties" : { "noteIndex" : 0 }, "schema" : "https://github.com/citation-style-language/schema/raw/master/csl-citation.json" }</w:instrText>
      </w:r>
      <w:r w:rsidR="006944D0">
        <w:rPr>
          <w:rFonts w:ascii="Times New Roman" w:hAnsi="Times New Roman" w:cs="Times New Roman"/>
          <w:noProof/>
        </w:rPr>
        <w:fldChar w:fldCharType="separate"/>
      </w:r>
      <w:r w:rsidR="00C148FC" w:rsidRPr="00C148FC">
        <w:rPr>
          <w:rFonts w:ascii="Times New Roman" w:hAnsi="Times New Roman" w:cs="Times New Roman"/>
          <w:noProof/>
        </w:rPr>
        <w:t>(Sofroniew &amp; Vinters 2010)</w:t>
      </w:r>
      <w:r w:rsidR="006944D0">
        <w:rPr>
          <w:rFonts w:ascii="Times New Roman" w:hAnsi="Times New Roman" w:cs="Times New Roman"/>
          <w:noProof/>
        </w:rPr>
        <w:fldChar w:fldCharType="end"/>
      </w:r>
      <w:r w:rsidR="00320560">
        <w:rPr>
          <w:rFonts w:ascii="Times New Roman" w:hAnsi="Times New Roman" w:cs="Times New Roman"/>
          <w:noProof/>
        </w:rPr>
        <w:t xml:space="preserve"> it is also expressed by neural progenitors in the adult hippocampus and by developing ependymal cells</w:t>
      </w:r>
      <w:r w:rsidR="008C4AE6">
        <w:rPr>
          <w:rFonts w:ascii="Times New Roman" w:hAnsi="Times New Roman" w:cs="Times New Roman"/>
          <w:noProof/>
        </w:rPr>
        <w:t xml:space="preserve"> </w:t>
      </w:r>
      <w:r w:rsidR="008C4AE6" w:rsidRPr="005717BA">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"ISSN" : "1529-2401", "PMID" : "12684469", "abstract" : "Periventricular germinal zones (GZs) of developing and adult brain contain neural stem cells (NSCs), the cellular identities and origins of which are not defined completely. We used tissue culture techniques and transgenic mice expressing herpes simplex virus thymidine kinase (HSV-TK) from the mouse glial fibrillary acid protein (GFAP) promoter to test the hypothesis that certain NSCs express GFAP. To do so, we determined the relative proportions of multipotent neurospheres that are formed by GFAP-expressing cells derived from GZs at different stages of development. In this transgenic model, dividing GFAP-expressing cells are ablated selectively by treatment with the antiviral agent ganciclovir (GCV). Single-cell analysis showed that transgene-derived HSV-TK was present only in GFAP-expressing cells. GCV applied in vitro eliminated growth of multipotent neurospheres from GZs of postnatal and adult transgenic mice but not early embryonic (embryonic day 12.5) transgenic mice. GCV prevented growth of secondary multipotent neurospheres prepared after passage of primary transgenic neurospheres derived from all three of these developmental stages. In addition, GCV prevented growth of multipotent neurospheres from transgenic astrocyte-enriched cell cultures derived from postnatal GZ, and elaidic acid GCV given for 4 d to adult transgenic mice in vivo abolished the ability to grow multipotent neurospheres from GZ. Extensive control experiments, including clonal analysis, demonstrated that failure of neurosphere growth was not merely secondary to loss of GFAP-expressing support cells or the result of a nonspecific toxic effect. Our findings demonstrate that the predominant multipotent NSCs isolated from postnatal and adult but not early embryonic GZs express GFAP, and that NSCs exhibit heterogeneous expression of intermediate filaments during developmental maturation.", "author" : [ { "dropping-particle" : "", "family" : "Imura", "given" : "Tetsuya", "non-dropping-particle" : "", "parse-names" : false, "suffix" : "" }, { "dropping-particle" : "", "family" : "Kornblum", "given" : "Harley I", "non-dropping-particle" : "", "parse-names" : false, "suffix" : "" }, { "dropping-particle" : "V", "family" : "Sofroniew", "given" : "Michael", "non-dropping-particle" : "", "parse-names" : false, "suffix" : "" } ], "container-title" : "The Journal of neuroscience : the official journal of the Society for Neuroscience", "id" : "ITEM-1", "issue" : "7", "issued" : { "date-parts" : [ [ "2003", "4", "1" ] ] }, "page" : "2824-32", "title" : "The predominant neural stem cell isolated from postnatal and adult forebrain but not early embryonic forebrain expresses GFAP.", "type" : "article-journal", "volume" : "23" }, "uris" : [ "http://www.mendeley.com/documents/?uuid=f572899c-7f96-31ad-bf63-fc78613b9747" ] }, { "id" : "ITEM-2", "itemData" : { "DOI" : "10.1016/j.neuroscience.2009.12.026", "ISSN" : "03064522", "abstract" : "Adult neurogenesis occurs in the subgranular zone (SGZ) of the dentate gyrus, where primary neuronal progenitors that express glial fibrillary acidic protein (GFAP) develop into granule neurons. Here, we used transgenic mice with mouse GFAP promoter-controlled enhanced green fluorescent protein (mGFAP-EGFP Tg mice) to examine how astrocyte-like progenitors differentiate into neuron-committed progenitors. Bromodeoxyuridine (BrdU) analysis indicated that proliferating cells in the neurogenic SGZ transiently expressed EGFP and GFAP, and finally differentiated into cells positive for the neuronal marker, Hu (Hu+). Most proliferating EGFP+ cells showed expression of the stem cell marker, Sox2, and formed clusters of two to four cells containing GFAP+/EGFP+ and GFAP\u2212/EGFP+ cells. No GFAP\u2212/EGFP+ cells were detected in non-neurogenic regions, such as CA1 and CA3 of the pyramidal cell layer. Together with the assumption that exogeneous EGFP has a higher stability than that of endogenous GFAP in the degradation process, it is highly probable that the GFAP\u2212/EGFP+ cells were daughter cells or immediate progeny derived from GFAP+/EGFP+ cells. The subpopulation of proliferating GFAP+/EGFP+ cells expressed proneural protein Mash1 and neuronal marker Hu, while the proliferating GFAP\u2212/EGFP+ cells expressed additional immature neuronal markers, such as polysialic acid-neural cell adhesion molecule (PSA-NCAM) and doublecortin. Therefore, these results suggest that through a few cell divisions, GFAP+ progenitors give rise to neuronal progenitors via neuron-committed early intermediate progenitors that express both GFAP and Hu (and/or Mash1). The findings of the present study also indicated that mGFAP-EGFP Tg mice are useful animals for identifying the daughter cells or immediate progeny derived from GFAP+ neural progenitors.", "author" : [ { "dropping-particle" : "", "family" : "Liu", "given" : "Y.", "non-dropping-particle" : "", "parse-names" : false, "suffix" : "" }, { "dropping-particle" : "", "family" : "Namba", "given" : "T.", "non-dropping-particle" : "", "parse-names" : false, "suffix" : "" }, { "dropping-particle" : "", "family" : "Liu", "given" : "J.", "non-dropping-particle" : "", "parse-names" : false, "suffix" : "" }, { "dropping-particle" : "", "family" : "Suzuki", "given" : "R.", "non-dropping-particle" : "", "parse-names" : false, "suffix" : "" }, { "dropping-particle" : "", "family" : "Shioda", "given" : "S.", "non-dropping-particle" : "", "parse-names" : false, "suffix" : "" }, { "dropping-particle" : "", "family" : "Seki", "given" : "T.", "non-dropping-particle" : "", "parse-names" : false, "suffix" : "" } ], "container-title" : "Neuroscience", "id" : "ITEM-2", "issue" : "1", "issued" : { "date-parts" : [ [ "2010" ] ] }, "page" : "241-251", "title" : "Glial fibrillary acidic protein-expressing neural progenitors give rise to immature neurons via early intermediate progenitors expressing both glial fibrillary acidic protein and neuronal markers in the adult hippocampus", "type" : "article-journal", "volume" : "166" }, "uris" : [ "http://www.mendeley.com/documents/?uuid=670f375b-77b8-37e1-9192-9dd5e2cbbace" ] }, { "id" : "ITEM-3", "itemData" : { "DOI" : "10.1016/0006-8993(80)91090-2", "ISSN" : "00068993", "abstract" : "Human ependymal cells show positive immunostaining for glial fibrillary acidic protein (GFAP) at one stage of the fetal development. The reaction seems to coincide with maturation of the epithelial layer and development of cilia. Two types of reactive cells are present: epithelial and tanycytes. The GFAP-positive reaction in both these cells is transient, appearing at different times and with different patterns in the various regions of the ventricular system. In order to explain the presence of detectable GFAP in developing ependymal cells and its absence in mature cells, it is proposed that either the synthesis of detectable amounts of GFAP occurs only at a stage of ependymal cell maturation, or that the intermediate filaments assembled in developing ependymal cells are antigenically distinct from those of the mature cells. The present findings indicate that tanycytes are not an immature form of ependymal cells but that they develop parallel to the epithelial cells. The role of the tanycytes remains obscure, but it is suggested that they are not related to radial glia.", "author" : [ { "dropping-particle" : "", "family" : "Roessmann", "given" : "Uros", "non-dropping-particle" : "", "parse-names" : false, "suffix" : "" }, { "dropping-particle" : "", "family" : "Velasco", "given" : "Manuel E.", "non-dropping-particle" : "", "parse-names" : false, "suffix" : "" }, { "dropping-particle" : "", "family" : "Sindely", "given" : "Stephen D.", "non-dropping-particle" : "", "parse-names" : false, "suffix" : "" }, { "dropping-particle" : "", "family" : "Gambetti", "given" : "Pierluigi", "non-dropping-particle" : "", "parse-names" : false, "suffix" : "" } ], "container-title" : "Brain Research", "id" : "ITEM-3", "issue" : "1", "issued" : { "date-parts" : [ [ "1980" ] ] }, "page" : "13-21", "title" : "Glial fibrillary acidic protein (GFAP) in ependymal cells during development. An immunocytochemical study", "type" : "article-journal", "volume" : "200" }, "uris" : [ "http://www.mendeley.com/documents/?uuid=44c05cdd-d63b-3fa8-9284-dbfcbb8c3ca1" ] } ], "mendeley" : { "formattedCitation" : "(Imura et al. 2003; Liu et al. 2010; Roessmann et al. 1980)", "plainTextFormattedCitation" : "(Imura et al. 2003; Liu et al. 2010; Roessmann et al. 1980)", "previouslyFormattedCitation" : "(Imura et al. 2003; Liu et al. 2010; Roessmann et al. 1980)" }, "properties" : { "noteIndex" : 0 }, "schema" : "https://github.com/citation-style-language/schema/raw/master/csl-citation.json" }</w:instrText>
      </w:r>
      <w:r w:rsidR="008C4AE6" w:rsidRPr="005717BA">
        <w:rPr>
          <w:rFonts w:ascii="Times New Roman" w:hAnsi="Times New Roman" w:cs="Times New Roman"/>
          <w:noProof/>
        </w:rPr>
        <w:fldChar w:fldCharType="separate"/>
      </w:r>
      <w:r w:rsidR="00C148FC" w:rsidRPr="00C148FC">
        <w:rPr>
          <w:rFonts w:ascii="Times New Roman" w:hAnsi="Times New Roman" w:cs="Times New Roman"/>
          <w:noProof/>
        </w:rPr>
        <w:t>(Imura et al. 2003; Liu et al. 2010; Roessmann et al. 1980)</w:t>
      </w:r>
      <w:r w:rsidR="008C4AE6" w:rsidRPr="005717BA">
        <w:rPr>
          <w:rFonts w:ascii="Times New Roman" w:hAnsi="Times New Roman" w:cs="Times New Roman"/>
          <w:noProof/>
        </w:rPr>
        <w:fldChar w:fldCharType="end"/>
      </w:r>
      <w:r w:rsidR="00B9515D" w:rsidRPr="005717BA">
        <w:rPr>
          <w:rFonts w:ascii="Times New Roman" w:hAnsi="Times New Roman" w:cs="Times New Roman"/>
          <w:noProof/>
        </w:rPr>
        <w:t xml:space="preserve">. In addition, the NFL antibody could be binding to nestin, a class IV </w:t>
      </w:r>
      <w:r w:rsidR="00B9515D">
        <w:rPr>
          <w:rFonts w:ascii="Times New Roman" w:hAnsi="Times New Roman" w:cs="Times New Roman"/>
          <w:noProof/>
        </w:rPr>
        <w:t>neurofilament, which is known to be highly expressed in astrocytes</w:t>
      </w:r>
      <w:r w:rsidR="00080ECD">
        <w:rPr>
          <w:rFonts w:ascii="Times New Roman" w:hAnsi="Times New Roman" w:cs="Times New Roman"/>
          <w:noProof/>
        </w:rPr>
        <w:t>. The manufacturer of the NFL</w:t>
      </w:r>
      <w:r w:rsidR="00EF35D2">
        <w:rPr>
          <w:rFonts w:ascii="Times New Roman" w:hAnsi="Times New Roman" w:cs="Times New Roman"/>
          <w:noProof/>
        </w:rPr>
        <w:t xml:space="preserve"> antibody do</w:t>
      </w:r>
      <w:r w:rsidR="00753C45">
        <w:rPr>
          <w:rFonts w:ascii="Times New Roman" w:hAnsi="Times New Roman" w:cs="Times New Roman"/>
          <w:noProof/>
        </w:rPr>
        <w:t>es</w:t>
      </w:r>
      <w:r w:rsidR="00EF35D2">
        <w:rPr>
          <w:rFonts w:ascii="Times New Roman" w:hAnsi="Times New Roman" w:cs="Times New Roman"/>
          <w:noProof/>
        </w:rPr>
        <w:t xml:space="preserve"> not disclose the epitope for this antibody, so it is also possible that nest</w:t>
      </w:r>
      <w:r w:rsidR="00080ECD">
        <w:rPr>
          <w:rFonts w:ascii="Times New Roman" w:hAnsi="Times New Roman" w:cs="Times New Roman"/>
          <w:noProof/>
        </w:rPr>
        <w:t>in and NFL share epitopes.</w:t>
      </w:r>
      <w:r w:rsidR="00B9515D">
        <w:rPr>
          <w:rFonts w:ascii="Times New Roman" w:hAnsi="Times New Roman" w:cs="Times New Roman"/>
          <w:noProof/>
        </w:rPr>
        <w:t xml:space="preserve"> </w:t>
      </w:r>
      <w:r w:rsidR="00320560">
        <w:rPr>
          <w:rFonts w:ascii="Times New Roman" w:hAnsi="Times New Roman" w:cs="Times New Roman"/>
          <w:noProof/>
        </w:rPr>
        <w:t xml:space="preserve">There are no previous reports of expression of neurofilament proteins outside of neurons </w:t>
      </w:r>
      <w:r w:rsidR="00080ECD">
        <w:rPr>
          <w:rFonts w:ascii="Times New Roman" w:hAnsi="Times New Roman" w:cs="Times New Roman"/>
          <w:noProof/>
        </w:rPr>
        <w:t>so</w:t>
      </w:r>
      <w:r w:rsidR="00320560">
        <w:rPr>
          <w:rFonts w:ascii="Times New Roman" w:hAnsi="Times New Roman" w:cs="Times New Roman"/>
          <w:noProof/>
        </w:rPr>
        <w:t xml:space="preserve"> these observation</w:t>
      </w:r>
      <w:r w:rsidR="00FF5D11">
        <w:rPr>
          <w:rFonts w:ascii="Times New Roman" w:hAnsi="Times New Roman" w:cs="Times New Roman"/>
          <w:noProof/>
        </w:rPr>
        <w:t>s</w:t>
      </w:r>
      <w:r w:rsidR="00320560">
        <w:rPr>
          <w:rFonts w:ascii="Times New Roman" w:hAnsi="Times New Roman" w:cs="Times New Roman"/>
          <w:noProof/>
        </w:rPr>
        <w:t xml:space="preserve"> raise intriguing questions about the expression of these proteins and may hint at </w:t>
      </w:r>
      <w:r w:rsidR="00080ECD">
        <w:rPr>
          <w:rFonts w:ascii="Times New Roman" w:hAnsi="Times New Roman" w:cs="Times New Roman"/>
          <w:noProof/>
        </w:rPr>
        <w:t>a</w:t>
      </w:r>
      <w:r w:rsidR="00320560">
        <w:rPr>
          <w:rFonts w:ascii="Times New Roman" w:hAnsi="Times New Roman" w:cs="Times New Roman"/>
          <w:noProof/>
        </w:rPr>
        <w:t xml:space="preserve"> common lineage shared by astrocytes and neurons</w:t>
      </w:r>
      <w:r w:rsidR="00C17354">
        <w:rPr>
          <w:rFonts w:ascii="Times New Roman" w:hAnsi="Times New Roman" w:cs="Times New Roman"/>
          <w:noProof/>
        </w:rPr>
        <w:t xml:space="preserve"> when grown in culture.</w:t>
      </w:r>
      <w:r w:rsidR="002850FF">
        <w:rPr>
          <w:rFonts w:ascii="Times New Roman" w:hAnsi="Times New Roman" w:cs="Times New Roman"/>
          <w:noProof/>
        </w:rPr>
        <w:t xml:space="preserve"> </w:t>
      </w:r>
      <w:r w:rsidR="00BF736F">
        <w:rPr>
          <w:rFonts w:ascii="Times New Roman" w:hAnsi="Times New Roman" w:cs="Times New Roman"/>
          <w:noProof/>
        </w:rPr>
        <w:t>Ideally, the FACS sorted astrocytes and L</w:t>
      </w:r>
      <w:r w:rsidR="00DD43C2">
        <w:rPr>
          <w:rFonts w:ascii="Times New Roman" w:hAnsi="Times New Roman" w:cs="Times New Roman"/>
          <w:noProof/>
        </w:rPr>
        <w:t>UHMES would have been reloaded i</w:t>
      </w:r>
      <w:r w:rsidR="00BF736F">
        <w:rPr>
          <w:rFonts w:ascii="Times New Roman" w:hAnsi="Times New Roman" w:cs="Times New Roman"/>
          <w:noProof/>
        </w:rPr>
        <w:t>nto the FACS machine to assess purity of the sorte</w:t>
      </w:r>
      <w:r w:rsidR="00A657AB">
        <w:rPr>
          <w:rFonts w:ascii="Times New Roman" w:hAnsi="Times New Roman" w:cs="Times New Roman"/>
          <w:noProof/>
        </w:rPr>
        <w:t xml:space="preserve">d populations, however the cell yield was too low to do this. </w:t>
      </w:r>
    </w:p>
    <w:p w14:paraId="66C5AF1B" w14:textId="77777777" w:rsidR="00E04456" w:rsidRDefault="00E04456" w:rsidP="0052651A">
      <w:pPr>
        <w:pStyle w:val="Heading3"/>
        <w:jc w:val="both"/>
        <w:rPr>
          <w:noProof/>
        </w:rPr>
      </w:pPr>
      <w:bookmarkStart w:id="2352" w:name="_Toc328301212"/>
      <w:bookmarkStart w:id="2353" w:name="_Toc329593503"/>
    </w:p>
    <w:p w14:paraId="3E7C0107" w14:textId="13556E69" w:rsidR="005D76CE" w:rsidRDefault="006D165D" w:rsidP="0052651A">
      <w:pPr>
        <w:pStyle w:val="Heading3"/>
        <w:jc w:val="both"/>
        <w:rPr>
          <w:noProof/>
        </w:rPr>
      </w:pPr>
      <w:bookmarkStart w:id="2354" w:name="_Toc331426002"/>
      <w:bookmarkStart w:id="2355" w:name="_Toc331427174"/>
      <w:bookmarkStart w:id="2356" w:name="_Toc331427546"/>
      <w:bookmarkStart w:id="2357" w:name="_Toc331427688"/>
      <w:bookmarkStart w:id="2358" w:name="_Toc332972693"/>
      <w:bookmarkStart w:id="2359" w:name="_Toc333046972"/>
      <w:bookmarkStart w:id="2360" w:name="_Toc333477319"/>
      <w:bookmarkStart w:id="2361" w:name="_Toc333478089"/>
      <w:bookmarkStart w:id="2362" w:name="_Toc333644989"/>
      <w:r>
        <w:rPr>
          <w:noProof/>
        </w:rPr>
        <w:t>5.5</w:t>
      </w:r>
      <w:r w:rsidR="001E1D96">
        <w:rPr>
          <w:noProof/>
        </w:rPr>
        <w:t xml:space="preserve">.2 </w:t>
      </w:r>
      <w:r w:rsidR="005D76CE">
        <w:rPr>
          <w:noProof/>
        </w:rPr>
        <w:t>Impaired IGF1 signalling alters the astrocyte transcriptome</w:t>
      </w:r>
      <w:bookmarkEnd w:id="2352"/>
      <w:bookmarkEnd w:id="2353"/>
      <w:bookmarkEnd w:id="2354"/>
      <w:bookmarkEnd w:id="2355"/>
      <w:bookmarkEnd w:id="2356"/>
      <w:bookmarkEnd w:id="2357"/>
      <w:bookmarkEnd w:id="2358"/>
      <w:bookmarkEnd w:id="2359"/>
      <w:bookmarkEnd w:id="2360"/>
      <w:bookmarkEnd w:id="2361"/>
      <w:bookmarkEnd w:id="2362"/>
    </w:p>
    <w:p w14:paraId="0AA82972" w14:textId="77777777" w:rsidR="00C33A2F" w:rsidRDefault="00C33A2F" w:rsidP="0052651A">
      <w:pPr>
        <w:spacing w:line="360" w:lineRule="auto"/>
        <w:jc w:val="both"/>
        <w:rPr>
          <w:rFonts w:ascii="Times New Roman" w:hAnsi="Times New Roman" w:cs="Times New Roman"/>
          <w:b/>
          <w:noProof/>
          <w:u w:val="single"/>
        </w:rPr>
      </w:pPr>
    </w:p>
    <w:p w14:paraId="3D7B50AD" w14:textId="2BAEBA21" w:rsidR="007A5E3E" w:rsidRDefault="00D834B5" w:rsidP="0052651A">
      <w:pPr>
        <w:spacing w:line="360" w:lineRule="auto"/>
        <w:jc w:val="both"/>
        <w:rPr>
          <w:rFonts w:ascii="Times New Roman" w:hAnsi="Times New Roman" w:cs="Times New Roman"/>
          <w:noProof/>
        </w:rPr>
      </w:pPr>
      <w:r>
        <w:rPr>
          <w:rFonts w:ascii="Times New Roman" w:hAnsi="Times New Roman" w:cs="Times New Roman"/>
          <w:noProof/>
        </w:rPr>
        <w:t>Gene expression profiling was used to assess transcriptomic differences b</w:t>
      </w:r>
      <w:r w:rsidR="00F036AB">
        <w:rPr>
          <w:rFonts w:ascii="Times New Roman" w:hAnsi="Times New Roman" w:cs="Times New Roman"/>
          <w:noProof/>
        </w:rPr>
        <w:t xml:space="preserve">etween IGF1 signalling impaired </w:t>
      </w:r>
      <w:r>
        <w:rPr>
          <w:rFonts w:ascii="Times New Roman" w:hAnsi="Times New Roman" w:cs="Times New Roman"/>
          <w:noProof/>
        </w:rPr>
        <w:t>astrocytes compared with untreated astrocytes isolat</w:t>
      </w:r>
      <w:r w:rsidR="00B65CCB">
        <w:rPr>
          <w:rFonts w:ascii="Times New Roman" w:hAnsi="Times New Roman" w:cs="Times New Roman"/>
          <w:noProof/>
        </w:rPr>
        <w:t>ed from co-culture with neurons</w:t>
      </w:r>
      <w:r>
        <w:rPr>
          <w:rFonts w:ascii="Times New Roman" w:hAnsi="Times New Roman" w:cs="Times New Roman"/>
          <w:noProof/>
        </w:rPr>
        <w:t xml:space="preserve">. </w:t>
      </w:r>
      <w:r w:rsidR="00F508B3">
        <w:rPr>
          <w:rFonts w:ascii="Times New Roman" w:hAnsi="Times New Roman" w:cs="Times New Roman"/>
          <w:noProof/>
        </w:rPr>
        <w:t xml:space="preserve">Using the Affymetrix GeneChip arrays, </w:t>
      </w:r>
      <w:r>
        <w:rPr>
          <w:rFonts w:ascii="Times New Roman" w:hAnsi="Times New Roman" w:cs="Times New Roman"/>
          <w:noProof/>
        </w:rPr>
        <w:t xml:space="preserve">2815 genes were found to be differentially expressed in </w:t>
      </w:r>
      <w:r w:rsidR="00B80D03">
        <w:rPr>
          <w:rFonts w:ascii="Times New Roman" w:hAnsi="Times New Roman" w:cs="Times New Roman"/>
          <w:noProof/>
        </w:rPr>
        <w:t>MAB391-</w:t>
      </w:r>
      <w:r>
        <w:rPr>
          <w:rFonts w:ascii="Times New Roman" w:hAnsi="Times New Roman" w:cs="Times New Roman"/>
          <w:noProof/>
        </w:rPr>
        <w:t>treated astrocytes</w:t>
      </w:r>
      <w:r w:rsidR="0015234C">
        <w:rPr>
          <w:rFonts w:ascii="Times New Roman" w:hAnsi="Times New Roman" w:cs="Times New Roman"/>
          <w:noProof/>
        </w:rPr>
        <w:t xml:space="preserve">, with </w:t>
      </w:r>
      <w:r w:rsidR="00F508B3">
        <w:rPr>
          <w:rFonts w:ascii="Times New Roman" w:hAnsi="Times New Roman" w:cs="Times New Roman"/>
          <w:noProof/>
        </w:rPr>
        <w:t>approximately</w:t>
      </w:r>
      <w:r w:rsidR="0015234C">
        <w:rPr>
          <w:rFonts w:ascii="Times New Roman" w:hAnsi="Times New Roman" w:cs="Times New Roman"/>
          <w:noProof/>
        </w:rPr>
        <w:t xml:space="preserve"> half of these being up</w:t>
      </w:r>
      <w:r w:rsidR="00320560">
        <w:rPr>
          <w:rFonts w:ascii="Times New Roman" w:hAnsi="Times New Roman" w:cs="Times New Roman"/>
          <w:noProof/>
        </w:rPr>
        <w:t>regulated</w:t>
      </w:r>
      <w:r w:rsidR="0015234C">
        <w:rPr>
          <w:rFonts w:ascii="Times New Roman" w:hAnsi="Times New Roman" w:cs="Times New Roman"/>
          <w:noProof/>
        </w:rPr>
        <w:t xml:space="preserve"> and</w:t>
      </w:r>
      <w:r w:rsidR="00320560">
        <w:rPr>
          <w:rFonts w:ascii="Times New Roman" w:hAnsi="Times New Roman" w:cs="Times New Roman"/>
          <w:noProof/>
        </w:rPr>
        <w:t xml:space="preserve"> half down</w:t>
      </w:r>
      <w:r w:rsidR="0015234C">
        <w:rPr>
          <w:rFonts w:ascii="Times New Roman" w:hAnsi="Times New Roman" w:cs="Times New Roman"/>
          <w:noProof/>
        </w:rPr>
        <w:t>regulated</w:t>
      </w:r>
      <w:r>
        <w:rPr>
          <w:rFonts w:ascii="Times New Roman" w:hAnsi="Times New Roman" w:cs="Times New Roman"/>
          <w:noProof/>
        </w:rPr>
        <w:t>.</w:t>
      </w:r>
      <w:r w:rsidR="00320560">
        <w:rPr>
          <w:rFonts w:ascii="Times New Roman" w:hAnsi="Times New Roman" w:cs="Times New Roman"/>
          <w:noProof/>
        </w:rPr>
        <w:t xml:space="preserve"> </w:t>
      </w:r>
      <w:r w:rsidR="007968F1">
        <w:rPr>
          <w:rFonts w:ascii="Times New Roman" w:hAnsi="Times New Roman" w:cs="Times New Roman"/>
          <w:noProof/>
        </w:rPr>
        <w:t>P</w:t>
      </w:r>
      <w:r>
        <w:rPr>
          <w:rFonts w:ascii="Times New Roman" w:hAnsi="Times New Roman" w:cs="Times New Roman"/>
          <w:noProof/>
        </w:rPr>
        <w:t>athway enrichment analysis programs</w:t>
      </w:r>
      <w:r w:rsidR="00C60940">
        <w:rPr>
          <w:rFonts w:ascii="Times New Roman" w:hAnsi="Times New Roman" w:cs="Times New Roman"/>
          <w:noProof/>
        </w:rPr>
        <w:t xml:space="preserve"> DAVID and IMPALA</w:t>
      </w:r>
      <w:r w:rsidR="007968F1">
        <w:rPr>
          <w:rFonts w:ascii="Times New Roman" w:hAnsi="Times New Roman" w:cs="Times New Roman"/>
          <w:noProof/>
        </w:rPr>
        <w:t xml:space="preserve"> were used to identify which biological pa</w:t>
      </w:r>
      <w:r w:rsidR="00B65CCB">
        <w:rPr>
          <w:rFonts w:ascii="Times New Roman" w:hAnsi="Times New Roman" w:cs="Times New Roman"/>
          <w:noProof/>
        </w:rPr>
        <w:t>thways we</w:t>
      </w:r>
      <w:r w:rsidR="007968F1">
        <w:rPr>
          <w:rFonts w:ascii="Times New Roman" w:hAnsi="Times New Roman" w:cs="Times New Roman"/>
          <w:noProof/>
        </w:rPr>
        <w:t>re most altered at the transcript level. Initially, DAVID was used to assess th</w:t>
      </w:r>
      <w:r w:rsidR="00753C45">
        <w:rPr>
          <w:rFonts w:ascii="Times New Roman" w:hAnsi="Times New Roman" w:cs="Times New Roman"/>
          <w:noProof/>
        </w:rPr>
        <w:t xml:space="preserve">e trancriptomic profile of IGF1 </w:t>
      </w:r>
      <w:r w:rsidR="007968F1">
        <w:rPr>
          <w:rFonts w:ascii="Times New Roman" w:hAnsi="Times New Roman" w:cs="Times New Roman"/>
          <w:noProof/>
        </w:rPr>
        <w:t>signalling i</w:t>
      </w:r>
      <w:r w:rsidR="0076062F">
        <w:rPr>
          <w:rFonts w:ascii="Times New Roman" w:hAnsi="Times New Roman" w:cs="Times New Roman"/>
          <w:noProof/>
        </w:rPr>
        <w:t>mpaired co-cultured astroc</w:t>
      </w:r>
      <w:r w:rsidR="00066050">
        <w:rPr>
          <w:rFonts w:ascii="Times New Roman" w:hAnsi="Times New Roman" w:cs="Times New Roman"/>
          <w:noProof/>
        </w:rPr>
        <w:t>ytes and was able to annotate 23</w:t>
      </w:r>
      <w:r w:rsidR="0076062F">
        <w:rPr>
          <w:rFonts w:ascii="Times New Roman" w:hAnsi="Times New Roman" w:cs="Times New Roman"/>
          <w:noProof/>
        </w:rPr>
        <w:t xml:space="preserve">% of differentially expressed genes to a KEGG </w:t>
      </w:r>
      <w:r w:rsidR="00753C45">
        <w:rPr>
          <w:rFonts w:ascii="Times New Roman" w:hAnsi="Times New Roman" w:cs="Times New Roman"/>
          <w:noProof/>
        </w:rPr>
        <w:t>pathway. This figure seemed</w:t>
      </w:r>
      <w:r w:rsidR="0076062F">
        <w:rPr>
          <w:rFonts w:ascii="Times New Roman" w:hAnsi="Times New Roman" w:cs="Times New Roman"/>
          <w:noProof/>
        </w:rPr>
        <w:t xml:space="preserve"> low and as a result an alte</w:t>
      </w:r>
      <w:r w:rsidR="00B65CCB">
        <w:rPr>
          <w:rFonts w:ascii="Times New Roman" w:hAnsi="Times New Roman" w:cs="Times New Roman"/>
          <w:noProof/>
        </w:rPr>
        <w:t xml:space="preserve">rnative pathway enrichment tool, </w:t>
      </w:r>
      <w:r w:rsidR="0076062F">
        <w:rPr>
          <w:rFonts w:ascii="Times New Roman" w:hAnsi="Times New Roman" w:cs="Times New Roman"/>
          <w:noProof/>
        </w:rPr>
        <w:t>called IMPALA</w:t>
      </w:r>
      <w:r w:rsidR="00B65CCB">
        <w:rPr>
          <w:rFonts w:ascii="Times New Roman" w:hAnsi="Times New Roman" w:cs="Times New Roman"/>
          <w:noProof/>
        </w:rPr>
        <w:t>, was used</w:t>
      </w:r>
      <w:r w:rsidR="0076062F">
        <w:rPr>
          <w:rFonts w:ascii="Times New Roman" w:hAnsi="Times New Roman" w:cs="Times New Roman"/>
          <w:noProof/>
        </w:rPr>
        <w:t xml:space="preserve">. IMPALA is able to annotate genes from 11 different public databases (including KEGG) </w:t>
      </w:r>
      <w:r w:rsidR="00080ECD">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"10.1093/bioinformatics/btr499", "ISSN" : "1367-4811", "PMID" : "21893519", "abstract" : "SUMMARY Pathway-level analysis is a powerful approach enabling interpretation of post-genomic data at a higher level than that of individual biomolecules. Yet, it is currently hard to integrate more than one type of omics data in such an approach. Here, we present a web tool 'IMPaLA' for the joint pathway analysis of transcriptomics or proteomics and metabolomics data. It performs over-representation or enrichment analysis with user-specified lists of metabolites and genes using over 3000 pre-annotated pathways from 11 databases. As a result, pathways can be identified that may be disregulated on the transcriptional level, the metabolic level or both. Evidence of pathway disregulation is combined, allowing for the identification of additional pathways with changed activity that would not be highlighted when analysis is applied to any of the functional levels alone. The tool has been implemented both as an interactive website and as a web service to allow a programming interface. AVAILABILITY The web interface of IMPaLA is available at http://impala.molgen.mpg.de. A web services programming interface is provided at http://impala.molgen.mpg.de/wsdoc. CONTACT kamburov@molgen.mpg.de; r.cavill@imperial.ac.uk; h.keun@imperial.ac.uk SUPPLEMENTARY INFORMATION Supplementary data are available at Bioinformatics online.", "author" : [ { "dropping-particle" : "", "family" : "Kamburov", "given" : "Atanas", "non-dropping-particle" : "", "parse-names" : false, "suffix" : "" }, { "dropping-particle" : "", "family" : "Cavill", "given" : "Rachel", "non-dropping-particle" : "", "parse-names" : false, "suffix" : "" }, { "dropping-particle" : "", "family" : "Ebbels", "given" : "Timothy M D", "non-dropping-particle" : "", "parse-names" : false, "suffix" : "" }, { "dropping-particle" : "", "family" : "Herwig", "given" : "Ralf", "non-dropping-particle" : "", "parse-names" : false, "suffix" : "" }, { "dropping-particle" : "", "family" : "Keun", "given" : "Hector C", "non-dropping-particle" : "", "parse-names" : false, "suffix" : "" } ], "container-title" : "Bioinformatics (Oxford, England)", "id" : "ITEM-1", "issue" : "20", "issued" : { "date-parts" : [ [ "2011", "10", "15" ] ] }, "page" : "2917-8", "publisher" : "Oxford University Press", "title" : "Integrated pathway-level analysis of transcriptomics and metabolomics data with IMPaLA.", "type" : "article-journal", "volume" : "27" }, "uris" : [ "http://www.mendeley.com/documents/?uuid=d07f2810-c1f2-3b60-a705-6cac4272c992" ] } ], "mendeley" : { "formattedCitation" : "(Kamburov et al. 2011)", "plainTextFormattedCitation" : "(Kamburov et al. 2011)", "previouslyFormattedCitation" : "(Kamburov et al. 2011)" }, "properties" : { "noteIndex" : 0 }, "schema" : "https://github.com/citation-style-language/schema/raw/master/csl-citation.json" }</w:instrText>
      </w:r>
      <w:r w:rsidR="00080ECD">
        <w:rPr>
          <w:rFonts w:ascii="Times New Roman" w:hAnsi="Times New Roman" w:cs="Times New Roman"/>
          <w:noProof/>
        </w:rPr>
        <w:fldChar w:fldCharType="separate"/>
      </w:r>
      <w:r w:rsidR="00C148FC" w:rsidRPr="00C148FC">
        <w:rPr>
          <w:rFonts w:ascii="Times New Roman" w:hAnsi="Times New Roman" w:cs="Times New Roman"/>
          <w:noProof/>
        </w:rPr>
        <w:t>(Kamburov et al. 2011)</w:t>
      </w:r>
      <w:r w:rsidR="00080ECD">
        <w:rPr>
          <w:rFonts w:ascii="Times New Roman" w:hAnsi="Times New Roman" w:cs="Times New Roman"/>
          <w:noProof/>
        </w:rPr>
        <w:fldChar w:fldCharType="end"/>
      </w:r>
      <w:r w:rsidR="00080ECD">
        <w:rPr>
          <w:rFonts w:ascii="Times New Roman" w:hAnsi="Times New Roman" w:cs="Times New Roman"/>
          <w:noProof/>
        </w:rPr>
        <w:t xml:space="preserve"> </w:t>
      </w:r>
      <w:r w:rsidR="0076062F">
        <w:rPr>
          <w:rFonts w:ascii="Times New Roman" w:hAnsi="Times New Roman" w:cs="Times New Roman"/>
          <w:noProof/>
        </w:rPr>
        <w:t xml:space="preserve">and successfully annotated </w:t>
      </w:r>
      <w:r w:rsidR="00066050">
        <w:rPr>
          <w:rFonts w:ascii="Times New Roman" w:hAnsi="Times New Roman" w:cs="Times New Roman"/>
          <w:noProof/>
        </w:rPr>
        <w:t>26%</w:t>
      </w:r>
      <w:r w:rsidR="0076062F">
        <w:rPr>
          <w:rFonts w:ascii="Times New Roman" w:hAnsi="Times New Roman" w:cs="Times New Roman"/>
          <w:noProof/>
        </w:rPr>
        <w:t xml:space="preserve"> of differentially expressed genes to a biological pathway</w:t>
      </w:r>
      <w:r w:rsidR="00066050">
        <w:rPr>
          <w:rFonts w:ascii="Times New Roman" w:hAnsi="Times New Roman" w:cs="Times New Roman"/>
          <w:noProof/>
        </w:rPr>
        <w:t>. The difference between the analysis performed by the</w:t>
      </w:r>
      <w:r w:rsidR="005717BA">
        <w:rPr>
          <w:rFonts w:ascii="Times New Roman" w:hAnsi="Times New Roman" w:cs="Times New Roman"/>
          <w:noProof/>
        </w:rPr>
        <w:t>se</w:t>
      </w:r>
      <w:r w:rsidR="00066050">
        <w:rPr>
          <w:rFonts w:ascii="Times New Roman" w:hAnsi="Times New Roman" w:cs="Times New Roman"/>
          <w:noProof/>
        </w:rPr>
        <w:t xml:space="preserve"> two pieces of software does not seem that </w:t>
      </w:r>
      <w:r w:rsidR="005717BA">
        <w:rPr>
          <w:rFonts w:ascii="Times New Roman" w:hAnsi="Times New Roman" w:cs="Times New Roman"/>
          <w:noProof/>
        </w:rPr>
        <w:t>great</w:t>
      </w:r>
      <w:r w:rsidR="00066050">
        <w:rPr>
          <w:rFonts w:ascii="Times New Roman" w:hAnsi="Times New Roman" w:cs="Times New Roman"/>
          <w:noProof/>
        </w:rPr>
        <w:t xml:space="preserve">, however overall IMPALA recognised more of the input genes (1946) than DAVID did (1270) and listed 20 times more biological pathways </w:t>
      </w:r>
      <w:r w:rsidR="002D1598">
        <w:rPr>
          <w:rFonts w:ascii="Times New Roman" w:hAnsi="Times New Roman" w:cs="Times New Roman"/>
          <w:noProof/>
        </w:rPr>
        <w:t>potentially</w:t>
      </w:r>
      <w:r w:rsidR="00066050">
        <w:rPr>
          <w:rFonts w:ascii="Times New Roman" w:hAnsi="Times New Roman" w:cs="Times New Roman"/>
          <w:noProof/>
        </w:rPr>
        <w:t xml:space="preserve"> altered </w:t>
      </w:r>
      <w:r w:rsidR="002D1598">
        <w:rPr>
          <w:rFonts w:ascii="Times New Roman" w:hAnsi="Times New Roman" w:cs="Times New Roman"/>
          <w:noProof/>
        </w:rPr>
        <w:t>by</w:t>
      </w:r>
      <w:r w:rsidR="00066050">
        <w:rPr>
          <w:rFonts w:ascii="Times New Roman" w:hAnsi="Times New Roman" w:cs="Times New Roman"/>
          <w:noProof/>
        </w:rPr>
        <w:t xml:space="preserve"> the MAB391 treatment.</w:t>
      </w:r>
      <w:r w:rsidR="002E0CB3">
        <w:rPr>
          <w:rFonts w:ascii="Times New Roman" w:hAnsi="Times New Roman" w:cs="Times New Roman"/>
          <w:noProof/>
          <w:color w:val="FF0000"/>
        </w:rPr>
        <w:t xml:space="preserve"> </w:t>
      </w:r>
      <w:r w:rsidR="00066050">
        <w:rPr>
          <w:rFonts w:ascii="Times New Roman" w:hAnsi="Times New Roman" w:cs="Times New Roman"/>
          <w:noProof/>
        </w:rPr>
        <w:t xml:space="preserve">However, both </w:t>
      </w:r>
      <w:r w:rsidR="0067505D">
        <w:rPr>
          <w:rFonts w:ascii="Times New Roman" w:hAnsi="Times New Roman" w:cs="Times New Roman"/>
          <w:noProof/>
        </w:rPr>
        <w:t xml:space="preserve">the DAVID and IMPALA analysis </w:t>
      </w:r>
      <w:r w:rsidR="00066050">
        <w:rPr>
          <w:rFonts w:ascii="Times New Roman" w:hAnsi="Times New Roman" w:cs="Times New Roman"/>
          <w:noProof/>
        </w:rPr>
        <w:t>showed specific alterations in</w:t>
      </w:r>
      <w:r w:rsidR="00320560">
        <w:rPr>
          <w:rFonts w:ascii="Times New Roman" w:hAnsi="Times New Roman" w:cs="Times New Roman"/>
          <w:noProof/>
        </w:rPr>
        <w:t xml:space="preserve"> </w:t>
      </w:r>
      <w:r w:rsidR="00080ECD">
        <w:rPr>
          <w:rFonts w:ascii="Times New Roman" w:hAnsi="Times New Roman" w:cs="Times New Roman"/>
          <w:noProof/>
        </w:rPr>
        <w:t>energy metabolism</w:t>
      </w:r>
      <w:r>
        <w:rPr>
          <w:rFonts w:ascii="Times New Roman" w:hAnsi="Times New Roman" w:cs="Times New Roman"/>
          <w:noProof/>
        </w:rPr>
        <w:t xml:space="preserve"> pathways </w:t>
      </w:r>
      <w:r w:rsidR="00066050">
        <w:rPr>
          <w:rFonts w:ascii="Times New Roman" w:hAnsi="Times New Roman" w:cs="Times New Roman"/>
          <w:noProof/>
        </w:rPr>
        <w:t>in IGF1 signalling impaired</w:t>
      </w:r>
      <w:r w:rsidR="0076062F">
        <w:rPr>
          <w:rFonts w:ascii="Times New Roman" w:hAnsi="Times New Roman" w:cs="Times New Roman"/>
          <w:noProof/>
        </w:rPr>
        <w:t xml:space="preserve"> co-cultured astrocytes</w:t>
      </w:r>
      <w:r>
        <w:rPr>
          <w:rFonts w:ascii="Times New Roman" w:hAnsi="Times New Roman" w:cs="Times New Roman"/>
          <w:noProof/>
        </w:rPr>
        <w:t xml:space="preserve">. The </w:t>
      </w:r>
      <w:r w:rsidR="00C04ECF">
        <w:rPr>
          <w:rFonts w:ascii="Times New Roman" w:hAnsi="Times New Roman" w:cs="Times New Roman"/>
          <w:noProof/>
        </w:rPr>
        <w:t>key</w:t>
      </w:r>
      <w:r>
        <w:rPr>
          <w:rFonts w:ascii="Times New Roman" w:hAnsi="Times New Roman" w:cs="Times New Roman"/>
          <w:noProof/>
        </w:rPr>
        <w:t xml:space="preserve"> pathways that emerged were oxidative phospho</w:t>
      </w:r>
      <w:r w:rsidR="00BF060B">
        <w:rPr>
          <w:rFonts w:ascii="Times New Roman" w:hAnsi="Times New Roman" w:cs="Times New Roman"/>
          <w:noProof/>
        </w:rPr>
        <w:t>rylation and glycolysis, which</w:t>
      </w:r>
      <w:r>
        <w:rPr>
          <w:rFonts w:ascii="Times New Roman" w:hAnsi="Times New Roman" w:cs="Times New Roman"/>
          <w:noProof/>
        </w:rPr>
        <w:t xml:space="preserve"> suggest a shift in the energy metabolism </w:t>
      </w:r>
      <w:r w:rsidR="0015234C">
        <w:rPr>
          <w:rFonts w:ascii="Times New Roman" w:hAnsi="Times New Roman" w:cs="Times New Roman"/>
          <w:noProof/>
        </w:rPr>
        <w:t>in the</w:t>
      </w:r>
      <w:r w:rsidR="00F508B3">
        <w:rPr>
          <w:rFonts w:ascii="Times New Roman" w:hAnsi="Times New Roman" w:cs="Times New Roman"/>
          <w:noProof/>
        </w:rPr>
        <w:t xml:space="preserve"> astrocytes. In addition, </w:t>
      </w:r>
      <w:r w:rsidR="00320560">
        <w:rPr>
          <w:rFonts w:ascii="Times New Roman" w:hAnsi="Times New Roman" w:cs="Times New Roman"/>
          <w:noProof/>
        </w:rPr>
        <w:t>other</w:t>
      </w:r>
      <w:r w:rsidR="00F508B3">
        <w:rPr>
          <w:rFonts w:ascii="Times New Roman" w:hAnsi="Times New Roman" w:cs="Times New Roman"/>
          <w:noProof/>
        </w:rPr>
        <w:t xml:space="preserve"> genes identified in the</w:t>
      </w:r>
      <w:r w:rsidR="00320560">
        <w:rPr>
          <w:rFonts w:ascii="Times New Roman" w:hAnsi="Times New Roman" w:cs="Times New Roman"/>
          <w:noProof/>
        </w:rPr>
        <w:t xml:space="preserve"> array</w:t>
      </w:r>
      <w:r w:rsidR="00F508B3">
        <w:rPr>
          <w:rFonts w:ascii="Times New Roman" w:hAnsi="Times New Roman" w:cs="Times New Roman"/>
          <w:noProof/>
        </w:rPr>
        <w:t xml:space="preserve"> indicate</w:t>
      </w:r>
      <w:r w:rsidR="00320560">
        <w:rPr>
          <w:rFonts w:ascii="Times New Roman" w:hAnsi="Times New Roman" w:cs="Times New Roman"/>
          <w:noProof/>
        </w:rPr>
        <w:t>d</w:t>
      </w:r>
      <w:r w:rsidR="00F508B3">
        <w:rPr>
          <w:rFonts w:ascii="Times New Roman" w:hAnsi="Times New Roman" w:cs="Times New Roman"/>
          <w:noProof/>
        </w:rPr>
        <w:t xml:space="preserve"> disruption of glutathione metabolism, changes to endocytosis </w:t>
      </w:r>
      <w:r w:rsidR="00320560">
        <w:rPr>
          <w:rFonts w:ascii="Times New Roman" w:hAnsi="Times New Roman" w:cs="Times New Roman"/>
          <w:noProof/>
        </w:rPr>
        <w:t>(</w:t>
      </w:r>
      <w:r w:rsidR="005B20BD">
        <w:rPr>
          <w:rFonts w:ascii="Times New Roman" w:hAnsi="Times New Roman" w:cs="Times New Roman"/>
          <w:noProof/>
        </w:rPr>
        <w:t>that may be</w:t>
      </w:r>
      <w:r w:rsidR="00F508B3">
        <w:rPr>
          <w:rFonts w:ascii="Times New Roman" w:hAnsi="Times New Roman" w:cs="Times New Roman"/>
          <w:noProof/>
        </w:rPr>
        <w:t xml:space="preserve"> consistent with </w:t>
      </w:r>
      <w:r w:rsidR="006E1AEB">
        <w:rPr>
          <w:rFonts w:ascii="Times New Roman" w:hAnsi="Times New Roman" w:cs="Times New Roman"/>
          <w:noProof/>
        </w:rPr>
        <w:t>treating the astrocytes with high concentrations of antibody),</w:t>
      </w:r>
      <w:r w:rsidR="00F508B3">
        <w:rPr>
          <w:rFonts w:ascii="Times New Roman" w:hAnsi="Times New Roman" w:cs="Times New Roman"/>
          <w:noProof/>
        </w:rPr>
        <w:t xml:space="preserve"> </w:t>
      </w:r>
      <w:r w:rsidR="00C57D4C">
        <w:rPr>
          <w:rFonts w:ascii="Times New Roman" w:hAnsi="Times New Roman" w:cs="Times New Roman"/>
          <w:noProof/>
        </w:rPr>
        <w:t>altered</w:t>
      </w:r>
      <w:r w:rsidR="00320560">
        <w:rPr>
          <w:rFonts w:ascii="Times New Roman" w:hAnsi="Times New Roman" w:cs="Times New Roman"/>
          <w:noProof/>
        </w:rPr>
        <w:t xml:space="preserve"> synaptic support and</w:t>
      </w:r>
      <w:r w:rsidR="002E2EB0">
        <w:rPr>
          <w:rFonts w:ascii="Times New Roman" w:hAnsi="Times New Roman" w:cs="Times New Roman"/>
          <w:noProof/>
        </w:rPr>
        <w:t xml:space="preserve"> mitochondri</w:t>
      </w:r>
      <w:r w:rsidR="00F036AB">
        <w:rPr>
          <w:rFonts w:ascii="Times New Roman" w:hAnsi="Times New Roman" w:cs="Times New Roman"/>
          <w:noProof/>
        </w:rPr>
        <w:t>al dysfunction. Each of these are</w:t>
      </w:r>
      <w:r w:rsidR="002E2EB0">
        <w:rPr>
          <w:rFonts w:ascii="Times New Roman" w:hAnsi="Times New Roman" w:cs="Times New Roman"/>
          <w:noProof/>
        </w:rPr>
        <w:t xml:space="preserve"> discussed in more detail below</w:t>
      </w:r>
      <w:r w:rsidR="00066B71">
        <w:rPr>
          <w:rFonts w:ascii="Times New Roman" w:hAnsi="Times New Roman" w:cs="Times New Roman"/>
          <w:noProof/>
        </w:rPr>
        <w:t>.</w:t>
      </w:r>
      <w:r w:rsidR="00694A96">
        <w:rPr>
          <w:rFonts w:ascii="Times New Roman" w:hAnsi="Times New Roman" w:cs="Times New Roman"/>
          <w:noProof/>
        </w:rPr>
        <w:t xml:space="preserve"> </w:t>
      </w:r>
    </w:p>
    <w:p w14:paraId="2EAD5A66" w14:textId="77777777" w:rsidR="00B67CA9" w:rsidRPr="00066B71" w:rsidRDefault="00B67CA9" w:rsidP="009E5F8C">
      <w:pPr>
        <w:spacing w:line="360" w:lineRule="auto"/>
        <w:rPr>
          <w:rFonts w:ascii="Times New Roman" w:hAnsi="Times New Roman" w:cs="Times New Roman"/>
          <w:noProof/>
          <w:color w:val="FF0000"/>
        </w:rPr>
      </w:pPr>
    </w:p>
    <w:p w14:paraId="0EB9112A" w14:textId="26D011C2" w:rsidR="00A531D6" w:rsidRPr="00CD4DD7" w:rsidRDefault="00A531D6" w:rsidP="0052651A">
      <w:pPr>
        <w:pStyle w:val="Heading4"/>
        <w:jc w:val="both"/>
        <w:rPr>
          <w:noProof/>
          <w:color w:val="FF0000"/>
          <w:u w:val="single"/>
        </w:rPr>
      </w:pPr>
      <w:r w:rsidRPr="006D165D">
        <w:rPr>
          <w:noProof/>
          <w:u w:val="single"/>
        </w:rPr>
        <w:t>Oxidative phosphorylation and mitochondrial defects</w:t>
      </w:r>
      <w:r w:rsidR="00CD4DD7">
        <w:rPr>
          <w:noProof/>
          <w:u w:val="single"/>
        </w:rPr>
        <w:t xml:space="preserve"> </w:t>
      </w:r>
    </w:p>
    <w:p w14:paraId="4D9245F2" w14:textId="0FF3EA59" w:rsidR="0080218D" w:rsidRDefault="00C04ECF" w:rsidP="0052651A">
      <w:pPr>
        <w:spacing w:line="360" w:lineRule="auto"/>
        <w:jc w:val="both"/>
        <w:rPr>
          <w:rFonts w:ascii="Times New Roman" w:hAnsi="Times New Roman" w:cs="Times New Roman"/>
          <w:noProof/>
        </w:rPr>
      </w:pPr>
      <w:r>
        <w:rPr>
          <w:rFonts w:ascii="Times New Roman" w:hAnsi="Times New Roman" w:cs="Times New Roman"/>
          <w:noProof/>
        </w:rPr>
        <w:t>Pathway analysis</w:t>
      </w:r>
      <w:r w:rsidR="00DF51A7">
        <w:rPr>
          <w:rFonts w:ascii="Times New Roman" w:hAnsi="Times New Roman" w:cs="Times New Roman"/>
          <w:noProof/>
        </w:rPr>
        <w:t xml:space="preserve"> performed by </w:t>
      </w:r>
      <w:r w:rsidR="00246C71">
        <w:rPr>
          <w:rFonts w:ascii="Times New Roman" w:hAnsi="Times New Roman" w:cs="Times New Roman"/>
          <w:noProof/>
        </w:rPr>
        <w:t>DAVID and IMPALA, identified downregulation of</w:t>
      </w:r>
      <w:r>
        <w:rPr>
          <w:rFonts w:ascii="Times New Roman" w:hAnsi="Times New Roman" w:cs="Times New Roman"/>
          <w:noProof/>
        </w:rPr>
        <w:t xml:space="preserve"> oxidative phosphorylation and</w:t>
      </w:r>
      <w:r w:rsidR="00DF51A7">
        <w:rPr>
          <w:rFonts w:ascii="Times New Roman" w:hAnsi="Times New Roman" w:cs="Times New Roman"/>
          <w:noProof/>
        </w:rPr>
        <w:t xml:space="preserve"> defects in</w:t>
      </w:r>
      <w:r>
        <w:rPr>
          <w:rFonts w:ascii="Times New Roman" w:hAnsi="Times New Roman" w:cs="Times New Roman"/>
          <w:noProof/>
        </w:rPr>
        <w:t xml:space="preserve"> mitochondrial </w:t>
      </w:r>
      <w:r w:rsidR="00246C71">
        <w:rPr>
          <w:rFonts w:ascii="Times New Roman" w:hAnsi="Times New Roman" w:cs="Times New Roman"/>
          <w:noProof/>
        </w:rPr>
        <w:t>function</w:t>
      </w:r>
      <w:r>
        <w:rPr>
          <w:rFonts w:ascii="Times New Roman" w:hAnsi="Times New Roman" w:cs="Times New Roman"/>
          <w:noProof/>
        </w:rPr>
        <w:t xml:space="preserve">. </w:t>
      </w:r>
      <w:r w:rsidR="00DF51A7">
        <w:rPr>
          <w:rFonts w:ascii="Times New Roman" w:hAnsi="Times New Roman" w:cs="Times New Roman"/>
          <w:noProof/>
        </w:rPr>
        <w:t>A total of 33 differentially expressed genes involved in mitochondrial function</w:t>
      </w:r>
      <w:r w:rsidR="00723AA1">
        <w:rPr>
          <w:rFonts w:ascii="Times New Roman" w:hAnsi="Times New Roman" w:cs="Times New Roman"/>
          <w:noProof/>
        </w:rPr>
        <w:t xml:space="preserve"> and stability</w:t>
      </w:r>
      <w:r w:rsidR="00DF51A7">
        <w:rPr>
          <w:rFonts w:ascii="Times New Roman" w:hAnsi="Times New Roman" w:cs="Times New Roman"/>
          <w:noProof/>
        </w:rPr>
        <w:t xml:space="preserve"> were downregulated and o</w:t>
      </w:r>
      <w:r>
        <w:rPr>
          <w:rFonts w:ascii="Times New Roman" w:hAnsi="Times New Roman" w:cs="Times New Roman"/>
          <w:noProof/>
        </w:rPr>
        <w:t xml:space="preserve">f the </w:t>
      </w:r>
      <w:r w:rsidR="0019142E">
        <w:rPr>
          <w:rFonts w:ascii="Times New Roman" w:hAnsi="Times New Roman" w:cs="Times New Roman"/>
          <w:noProof/>
        </w:rPr>
        <w:t xml:space="preserve">eight </w:t>
      </w:r>
      <w:r w:rsidR="004F4014">
        <w:rPr>
          <w:rFonts w:ascii="Times New Roman" w:hAnsi="Times New Roman" w:cs="Times New Roman"/>
          <w:noProof/>
        </w:rPr>
        <w:t>differentially</w:t>
      </w:r>
      <w:r w:rsidR="00A4297D">
        <w:rPr>
          <w:rFonts w:ascii="Times New Roman" w:hAnsi="Times New Roman" w:cs="Times New Roman"/>
          <w:noProof/>
        </w:rPr>
        <w:t xml:space="preserve"> expressed</w:t>
      </w:r>
      <w:r w:rsidR="004F4014">
        <w:rPr>
          <w:rFonts w:ascii="Times New Roman" w:hAnsi="Times New Roman" w:cs="Times New Roman"/>
          <w:noProof/>
        </w:rPr>
        <w:t xml:space="preserve"> </w:t>
      </w:r>
      <w:r w:rsidR="0019142E">
        <w:rPr>
          <w:rFonts w:ascii="Times New Roman" w:hAnsi="Times New Roman" w:cs="Times New Roman"/>
          <w:noProof/>
        </w:rPr>
        <w:t>genes involved in oxidative phosphorylation, five</w:t>
      </w:r>
      <w:r w:rsidR="00D8447B">
        <w:rPr>
          <w:rFonts w:ascii="Times New Roman" w:hAnsi="Times New Roman" w:cs="Times New Roman"/>
          <w:noProof/>
        </w:rPr>
        <w:t xml:space="preserve"> of these genes encode</w:t>
      </w:r>
      <w:r w:rsidR="00DF51A7">
        <w:rPr>
          <w:rFonts w:ascii="Times New Roman" w:hAnsi="Times New Roman" w:cs="Times New Roman"/>
          <w:noProof/>
        </w:rPr>
        <w:t>d</w:t>
      </w:r>
      <w:r w:rsidR="00F41941">
        <w:rPr>
          <w:rFonts w:ascii="Times New Roman" w:hAnsi="Times New Roman" w:cs="Times New Roman"/>
          <w:noProof/>
        </w:rPr>
        <w:t xml:space="preserve"> subunits of</w:t>
      </w:r>
      <w:r w:rsidR="00D54390">
        <w:rPr>
          <w:rFonts w:ascii="Times New Roman" w:hAnsi="Times New Roman" w:cs="Times New Roman"/>
          <w:noProof/>
        </w:rPr>
        <w:t xml:space="preserve"> c</w:t>
      </w:r>
      <w:r w:rsidR="00723AA1">
        <w:rPr>
          <w:rFonts w:ascii="Times New Roman" w:hAnsi="Times New Roman" w:cs="Times New Roman"/>
          <w:noProof/>
        </w:rPr>
        <w:t>omplex I</w:t>
      </w:r>
      <w:r w:rsidR="00DF51A7">
        <w:rPr>
          <w:rFonts w:ascii="Times New Roman" w:hAnsi="Times New Roman" w:cs="Times New Roman"/>
          <w:noProof/>
        </w:rPr>
        <w:t>.</w:t>
      </w:r>
    </w:p>
    <w:p w14:paraId="400320E0" w14:textId="77777777" w:rsidR="00DF51A7" w:rsidRDefault="00DF51A7" w:rsidP="0052651A">
      <w:pPr>
        <w:spacing w:line="360" w:lineRule="auto"/>
        <w:jc w:val="both"/>
        <w:rPr>
          <w:rFonts w:ascii="Times New Roman" w:hAnsi="Times New Roman" w:cs="Times New Roman"/>
          <w:noProof/>
          <w:color w:val="FF0000"/>
        </w:rPr>
      </w:pPr>
    </w:p>
    <w:p w14:paraId="011C6D84" w14:textId="3AA1FF00" w:rsidR="007D4012" w:rsidRPr="007D4012" w:rsidRDefault="007D4012" w:rsidP="0052651A">
      <w:pPr>
        <w:spacing w:line="360" w:lineRule="auto"/>
        <w:jc w:val="both"/>
        <w:rPr>
          <w:rFonts w:ascii="Times New Roman" w:hAnsi="Times New Roman" w:cs="Times New Roman"/>
          <w:b/>
          <w:i/>
          <w:noProof/>
        </w:rPr>
      </w:pPr>
      <w:r>
        <w:rPr>
          <w:rFonts w:ascii="Times New Roman" w:hAnsi="Times New Roman" w:cs="Times New Roman"/>
          <w:b/>
          <w:i/>
          <w:noProof/>
        </w:rPr>
        <w:t>i) Complex I</w:t>
      </w:r>
    </w:p>
    <w:p w14:paraId="7949ED9B" w14:textId="751F0171" w:rsidR="004E2B4A" w:rsidRPr="00D63E89" w:rsidRDefault="00723AA1" w:rsidP="0052651A">
      <w:pPr>
        <w:spacing w:line="360" w:lineRule="auto"/>
        <w:jc w:val="both"/>
        <w:rPr>
          <w:rFonts w:ascii="Times New Roman" w:hAnsi="Times New Roman" w:cs="Times New Roman"/>
          <w:noProof/>
        </w:rPr>
      </w:pPr>
      <w:r>
        <w:rPr>
          <w:rFonts w:ascii="Times New Roman" w:hAnsi="Times New Roman" w:cs="Times New Roman"/>
          <w:noProof/>
        </w:rPr>
        <w:t>Complex I</w:t>
      </w:r>
      <w:r w:rsidR="00D8447B">
        <w:rPr>
          <w:rFonts w:ascii="Times New Roman" w:hAnsi="Times New Roman" w:cs="Times New Roman"/>
          <w:noProof/>
        </w:rPr>
        <w:t xml:space="preserve"> is an NADH:ubiquinone oxidoreductase</w:t>
      </w:r>
      <w:r w:rsidR="004E2B4A">
        <w:rPr>
          <w:rFonts w:ascii="Times New Roman" w:hAnsi="Times New Roman" w:cs="Times New Roman"/>
          <w:noProof/>
        </w:rPr>
        <w:t xml:space="preserve"> and is the largest and most intricate of the 5 complexes that consitute the mitochondrial respiratory chain. The purpose of this sequence of events is to remove electrons from the citric acid cycle and generate a proton motive force across the inner mitochondrial membrane that ultimately generates ATP. Complex I is the initial entry point of ele</w:t>
      </w:r>
      <w:r w:rsidR="005B20BD">
        <w:rPr>
          <w:rFonts w:ascii="Times New Roman" w:hAnsi="Times New Roman" w:cs="Times New Roman"/>
          <w:noProof/>
        </w:rPr>
        <w:t xml:space="preserve">ctrons and by oxidising NADH </w:t>
      </w:r>
      <w:r w:rsidR="004E2B4A">
        <w:rPr>
          <w:rFonts w:ascii="Times New Roman" w:hAnsi="Times New Roman" w:cs="Times New Roman"/>
          <w:noProof/>
        </w:rPr>
        <w:t>begin</w:t>
      </w:r>
      <w:r w:rsidR="005B20BD">
        <w:rPr>
          <w:rFonts w:ascii="Times New Roman" w:hAnsi="Times New Roman" w:cs="Times New Roman"/>
          <w:noProof/>
        </w:rPr>
        <w:t>s</w:t>
      </w:r>
      <w:r w:rsidR="004E2B4A">
        <w:rPr>
          <w:rFonts w:ascii="Times New Roman" w:hAnsi="Times New Roman" w:cs="Times New Roman"/>
          <w:noProof/>
        </w:rPr>
        <w:t xml:space="preserve"> to establish a proton motive force. </w:t>
      </w:r>
      <w:r>
        <w:rPr>
          <w:rFonts w:ascii="Times New Roman" w:hAnsi="Times New Roman" w:cs="Times New Roman"/>
          <w:noProof/>
        </w:rPr>
        <w:t>Impair</w:t>
      </w:r>
      <w:r w:rsidR="002E7525">
        <w:rPr>
          <w:rFonts w:ascii="Times New Roman" w:hAnsi="Times New Roman" w:cs="Times New Roman"/>
          <w:noProof/>
        </w:rPr>
        <w:t xml:space="preserve">ments in complex I activity are </w:t>
      </w:r>
      <w:r>
        <w:rPr>
          <w:rFonts w:ascii="Times New Roman" w:hAnsi="Times New Roman" w:cs="Times New Roman"/>
          <w:noProof/>
        </w:rPr>
        <w:t xml:space="preserve">associated with increased ROS production, since electrons that fail to be properly funneled through the complex will combine with oxygen to produce superoxide anions. </w:t>
      </w:r>
      <w:r w:rsidR="004E2B4A">
        <w:rPr>
          <w:rFonts w:ascii="Times New Roman" w:hAnsi="Times New Roman" w:cs="Times New Roman"/>
          <w:noProof/>
        </w:rPr>
        <w:t>Complex I deficiency has been recognised in a number of different diseases, most notably in Parkinson’s Disease, where reduced complex I activity and subsequent oxidative damage to complex I subunits is observed in dopaminergic neurons in the substantia nigra of patient</w:t>
      </w:r>
      <w:r w:rsidR="00B92486">
        <w:rPr>
          <w:rFonts w:ascii="Times New Roman" w:hAnsi="Times New Roman" w:cs="Times New Roman"/>
          <w:noProof/>
        </w:rPr>
        <w:t xml:space="preserve">s with Parkinson’s disease </w:t>
      </w:r>
      <w:r w:rsidR="00B92486" w:rsidRPr="00B92486">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"0022-3042", "PMID" : "2154550", "abstract" : "The structure and function of mitochondrial respiratory-chain enzyme proteins were studied postmortem in the substantia nigra of nine patients with Parkinson's disease and nine matched controls. Total protein and mitochondrial mass were similar in the two groups. NADH-ubiquinone reductase (Complex I) and NADH cytochrome c reductase activities were significantly reduced, whereas succinate cytochrome c reductase activity was normal. These results indicated a specific defect of Complex I activity in the substantia nigra of patients with Parkinson's disease. This biochemical defect is the same as that produced in animal models of parkinsonism by 1-methyl-4-phenyl-1,2,3,6-tetrahydropyridine (MPTP) and adds further support to the proposition that Parkinson's disease may be due to an environmental toxin with action(s) similar to those of MPTP.", "author" : [ { "dropping-particle" : "", "family" : "Schapira", "given" : "A H", "non-dropping-particle" : "", "parse-names" : false, "suffix" : "" }, { "dropping-particle" : "", "family" : "Cooper", "given" : "J M", "non-dropping-particle" : "", "parse-names" : false, "suffix" : "" }, { "dropping-particle" : "", "family" : "Dexter", "given" : "D", "non-dropping-particle" : "", "parse-names" : false, "suffix" : "" }, { "dropping-particle" : "", "family" : "Clark", "given" : "J B", "non-dropping-particle" : "", "parse-names" : false, "suffix" : "" }, { "dropping-particle" : "", "family" : "Jenner", "given" : "P", "non-dropping-particle" : "", "parse-names" : false, "suffix" : "" }, { "dropping-particle" : "", "family" : "Marsden", "given" : "C D", "non-dropping-particle" : "", "parse-names" : false, "suffix" : "" } ], "container-title" : "Journal of neurochemistry", "id" : "ITEM-1", "issue" : "3", "issued" : { "date-parts" : [ [ "1990", "3" ] ] }, "page" : "823-7", "title" : "Mitochondrial complex I deficiency in Parkinson's disease.", "type" : "article-journal", "volume" : "54" }, "uris" : [ "http://www.mendeley.com/documents/?uuid=544113d0-6c0f-3170-a64a-132e00424fc3" ] } ], "mendeley" : { "formattedCitation" : "(Schapira et al. 1990)", "plainTextFormattedCitation" : "(Schapira et al. 1990)", "previouslyFormattedCitation" : "(Schapira et al. 1990)" }, "properties" : { "noteIndex" : 0 }, "schema" : "https://github.com/citation-style-language/schema/raw/master/csl-citation.json" }</w:instrText>
      </w:r>
      <w:r w:rsidR="00B92486" w:rsidRPr="00B92486">
        <w:rPr>
          <w:rFonts w:ascii="Times New Roman" w:hAnsi="Times New Roman" w:cs="Times New Roman"/>
        </w:rPr>
        <w:fldChar w:fldCharType="separate"/>
      </w:r>
      <w:r w:rsidR="00C148FC" w:rsidRPr="00C148FC">
        <w:rPr>
          <w:rFonts w:ascii="Times New Roman" w:hAnsi="Times New Roman" w:cs="Times New Roman"/>
          <w:noProof/>
        </w:rPr>
        <w:t>(Schapira et al. 1990)</w:t>
      </w:r>
      <w:r w:rsidR="00B92486" w:rsidRPr="00B92486">
        <w:rPr>
          <w:rFonts w:ascii="Times New Roman" w:hAnsi="Times New Roman" w:cs="Times New Roman"/>
        </w:rPr>
        <w:fldChar w:fldCharType="end"/>
      </w:r>
      <w:r w:rsidR="004E2B4A">
        <w:rPr>
          <w:rFonts w:ascii="Times New Roman" w:hAnsi="Times New Roman" w:cs="Times New Roman"/>
          <w:noProof/>
        </w:rPr>
        <w:t>.</w:t>
      </w:r>
      <w:r w:rsidR="002E7525">
        <w:rPr>
          <w:rFonts w:ascii="Times New Roman" w:hAnsi="Times New Roman" w:cs="Times New Roman"/>
          <w:noProof/>
        </w:rPr>
        <w:t xml:space="preserve"> In addition,</w:t>
      </w:r>
      <w:r w:rsidR="0008036D">
        <w:rPr>
          <w:rFonts w:ascii="Times New Roman" w:hAnsi="Times New Roman" w:cs="Times New Roman"/>
          <w:noProof/>
        </w:rPr>
        <w:t xml:space="preserve"> oxidative damage and mitochondrial dysfunction may represent some of the earliest changes in </w:t>
      </w:r>
      <w:r w:rsidR="00105F23">
        <w:rPr>
          <w:rFonts w:ascii="Times New Roman" w:hAnsi="Times New Roman" w:cs="Times New Roman"/>
          <w:noProof/>
        </w:rPr>
        <w:t xml:space="preserve">AD </w:t>
      </w:r>
      <w:r w:rsidR="0008036D">
        <w:rPr>
          <w:rFonts w:ascii="Times New Roman" w:hAnsi="Times New Roman" w:cs="Times New Roman"/>
          <w:noProof/>
        </w:rPr>
        <w:t xml:space="preserve"> progression. </w:t>
      </w:r>
      <w:r w:rsidR="00B752EA">
        <w:rPr>
          <w:rFonts w:ascii="Times New Roman" w:hAnsi="Times New Roman" w:cs="Times New Roman"/>
          <w:noProof/>
        </w:rPr>
        <w:t xml:space="preserve">The mRNA levels of ND4, a subunit present in complex I, was found to be significantly downregulated in temporal cortex of AD patients relative to control </w:t>
      </w:r>
      <w:r w:rsidR="008A4ED5">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"10.1016/0006-8993(95)01517-5", "ISSN" : "00068993", "abstract" : "Gene expression of mitochondrial DNA-encoded ND4 in brains of Alzheimer's disease (AD) patients and age-matched controls was measured using Northern blot. The level of ND4 message in temporal cortex of control subjects was higher than in motor cortex, whereas the level of ND4 gene expression in temporal cortex of AD brains was decreased compared with that in temporal cortex of controls. A control probe showed no difference in expression between the two areas of AD and control brains. These and previous data suggest that neurons vulnerable to AD express higher levels of enzymes of oxidative phosphorylation than do spared neurons, and that this difference may promote selective neuronal vulnerability of AD.", "author" : [ { "dropping-particle" : "", "family" : "Fukuyama", "given" : "Ryuichi", "non-dropping-particle" : "", "parse-names" : false, "suffix" : "" }, { "dropping-particle" : "", "family" : "Hatanp\u00e4\u00e4", "given" : "Kimmo", "non-dropping-particle" : "", "parse-names" : false, "suffix" : "" }, { "dropping-particle" : "", "family" : "Rapoport", "given" : "Stanley I.", "non-dropping-particle" : "", "parse-names" : false, "suffix" : "" }, { "dropping-particle" : "", "family" : "Chandrasekaran", "given" : "Krish", "non-dropping-particle" : "", "parse-names" : false, "suffix" : "" } ], "container-title" : "Brain Research", "id" : "ITEM-1", "issue" : "1", "issued" : { "date-parts" : [ [ "1996" ] ] }, "number-of-pages" : "290-293", "title" : "Gene expression of ND4, a subunit of complex I of oxidative phosphorylation in mitochondria, is decreased in temporal cortex of brains of Alzheimer's disease patients", "type" : "report", "volume" : "713" }, "uris" : [ "http://www.mendeley.com/documents/?uuid=e573a744-e8d8-3dbd-b38a-7f4443ee44f9" ] } ], "mendeley" : { "formattedCitation" : "(Fukuyama et al. 1996)", "plainTextFormattedCitation" : "(Fukuyama et al. 1996)", "previouslyFormattedCitation" : "(Fukuyama et al. 1996)" }, "properties" : { "noteIndex" : 0 }, "schema" : "https://github.com/citation-style-language/schema/raw/master/csl-citation.json" }</w:instrText>
      </w:r>
      <w:r w:rsidR="008A4ED5">
        <w:rPr>
          <w:rFonts w:ascii="Times New Roman" w:hAnsi="Times New Roman" w:cs="Times New Roman"/>
          <w:noProof/>
        </w:rPr>
        <w:fldChar w:fldCharType="separate"/>
      </w:r>
      <w:r w:rsidR="00C148FC" w:rsidRPr="00C148FC">
        <w:rPr>
          <w:rFonts w:ascii="Times New Roman" w:hAnsi="Times New Roman" w:cs="Times New Roman"/>
          <w:noProof/>
        </w:rPr>
        <w:t>(Fukuyama et al. 1996)</w:t>
      </w:r>
      <w:r w:rsidR="008A4ED5">
        <w:rPr>
          <w:rFonts w:ascii="Times New Roman" w:hAnsi="Times New Roman" w:cs="Times New Roman"/>
          <w:noProof/>
        </w:rPr>
        <w:fldChar w:fldCharType="end"/>
      </w:r>
      <w:r w:rsidR="008A4ED5">
        <w:rPr>
          <w:rFonts w:ascii="Times New Roman" w:hAnsi="Times New Roman" w:cs="Times New Roman"/>
          <w:noProof/>
        </w:rPr>
        <w:t xml:space="preserve"> </w:t>
      </w:r>
      <w:r w:rsidR="00B752EA">
        <w:rPr>
          <w:rFonts w:ascii="Times New Roman" w:hAnsi="Times New Roman" w:cs="Times New Roman"/>
          <w:noProof/>
        </w:rPr>
        <w:t>and point mutations in ND2 (another subunit in complex I) have also been detected in AD patients</w:t>
      </w:r>
      <w:r w:rsidR="008044B0">
        <w:rPr>
          <w:rFonts w:ascii="Times New Roman" w:hAnsi="Times New Roman" w:cs="Times New Roman"/>
          <w:noProof/>
        </w:rPr>
        <w:t xml:space="preserve"> </w:t>
      </w:r>
      <w:r w:rsidR="00E91710">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"10.1016/S0006-291X(05)80136-6", "ISSN" : "0006291X", "author" : [ { "dropping-particle" : "", "family" : "Lin", "given" : "Fu-Hai", "non-dropping-particle" : "", "parse-names" : false, "suffix" : "" }, { "dropping-particle" : "", "family" : "Lin", "given" : "Ruth", "non-dropping-particle" : "", "parse-names" : false, "suffix" : "" }, { "dropping-particle" : "", "family" : "Wisniewski", "given" : "Henryk M.", "non-dropping-particle" : "", "parse-names" : false, "suffix" : "" }, { "dropping-particle" : "", "family" : "Hwang", "given" : "Yu-Wen", "non-dropping-particle" : "", "parse-names" : false, "suffix" : "" }, { "dropping-particle" : "", "family" : "Grundke-Iqbal", "given" : "Inge", "non-dropping-particle" : "", "parse-names" : false, "suffix" : "" }, { "dropping-particle" : "", "family" : "Healy-Louie", "given" : "Gregory", "non-dropping-particle" : "", "parse-names" : false, "suffix" : "" }, { "dropping-particle" : "", "family" : "Iqbal", "given" : "Khalid", "non-dropping-particle" : "", "parse-names" : false, "suffix" : "" } ], "container-title" : "Biochemical and Biophysical Research Communications", "id" : "ITEM-1", "issue" : "1", "issued" : { "date-parts" : [ [ "1992", "1" ] ] }, "page" : "238-246", "publisher" : "Academic Press", "title" : "Detection of point mutations in codon 331 of mitochondrial NADH dehydrogenase subunit 2 in alzheimer's brains", "type" : "article-journal", "volume" : "182" }, "uris" : [ "http://www.mendeley.com/documents/?uuid=e2b4f3c5-3f1b-310a-98cd-40c8cf1980eb" ] } ], "mendeley" : { "formattedCitation" : "(Lin et al. 1992)", "plainTextFormattedCitation" : "(Lin et al. 1992)", "previouslyFormattedCitation" : "(Lin et al. 1992)" }, "properties" : { "noteIndex" : 0 }, "schema" : "https://github.com/citation-style-language/schema/raw/master/csl-citation.json" }</w:instrText>
      </w:r>
      <w:r w:rsidR="00E91710">
        <w:rPr>
          <w:rFonts w:ascii="Times New Roman" w:hAnsi="Times New Roman" w:cs="Times New Roman"/>
          <w:noProof/>
        </w:rPr>
        <w:fldChar w:fldCharType="separate"/>
      </w:r>
      <w:r w:rsidR="00C148FC" w:rsidRPr="00C148FC">
        <w:rPr>
          <w:rFonts w:ascii="Times New Roman" w:hAnsi="Times New Roman" w:cs="Times New Roman"/>
          <w:noProof/>
        </w:rPr>
        <w:t>(Lin et al. 1992)</w:t>
      </w:r>
      <w:r w:rsidR="00E91710">
        <w:rPr>
          <w:rFonts w:ascii="Times New Roman" w:hAnsi="Times New Roman" w:cs="Times New Roman"/>
          <w:noProof/>
        </w:rPr>
        <w:fldChar w:fldCharType="end"/>
      </w:r>
      <w:r w:rsidR="00E91710">
        <w:rPr>
          <w:rFonts w:ascii="Times New Roman" w:hAnsi="Times New Roman" w:cs="Times New Roman"/>
          <w:noProof/>
        </w:rPr>
        <w:t xml:space="preserve">. </w:t>
      </w:r>
      <w:r w:rsidR="008044B0">
        <w:rPr>
          <w:rFonts w:ascii="Times New Roman" w:hAnsi="Times New Roman" w:cs="Times New Roman"/>
          <w:noProof/>
        </w:rPr>
        <w:t>Furthermore, assessment of the mitochondrial proteome of a triple transgenic AD mouse model (APP</w:t>
      </w:r>
      <w:r w:rsidR="008044B0">
        <w:rPr>
          <w:rFonts w:ascii="Times New Roman" w:hAnsi="Times New Roman" w:cs="Times New Roman"/>
          <w:noProof/>
          <w:vertAlign w:val="subscript"/>
        </w:rPr>
        <w:t>Swe</w:t>
      </w:r>
      <w:r w:rsidR="008044B0">
        <w:rPr>
          <w:rFonts w:ascii="Times New Roman" w:hAnsi="Times New Roman" w:cs="Times New Roman"/>
          <w:noProof/>
        </w:rPr>
        <w:t>, PS1</w:t>
      </w:r>
      <w:r w:rsidR="008044B0">
        <w:rPr>
          <w:rFonts w:ascii="Times New Roman" w:hAnsi="Times New Roman" w:cs="Times New Roman"/>
          <w:noProof/>
          <w:vertAlign w:val="subscript"/>
        </w:rPr>
        <w:t>M146V</w:t>
      </w:r>
      <w:r w:rsidR="008044B0">
        <w:rPr>
          <w:rFonts w:ascii="Times New Roman" w:hAnsi="Times New Roman" w:cs="Times New Roman"/>
          <w:noProof/>
        </w:rPr>
        <w:t xml:space="preserve"> and Tau</w:t>
      </w:r>
      <w:r w:rsidR="008044B0">
        <w:rPr>
          <w:rFonts w:ascii="Times New Roman" w:hAnsi="Times New Roman" w:cs="Times New Roman"/>
          <w:noProof/>
          <w:vertAlign w:val="subscript"/>
        </w:rPr>
        <w:t>P301L</w:t>
      </w:r>
      <w:r w:rsidR="008044B0">
        <w:rPr>
          <w:rFonts w:ascii="Times New Roman" w:hAnsi="Times New Roman" w:cs="Times New Roman"/>
          <w:noProof/>
        </w:rPr>
        <w:t>) revealed chang</w:t>
      </w:r>
      <w:r w:rsidR="00AB5A01">
        <w:rPr>
          <w:rFonts w:ascii="Times New Roman" w:hAnsi="Times New Roman" w:cs="Times New Roman"/>
          <w:noProof/>
        </w:rPr>
        <w:t>es in oxidative phosphorylation</w:t>
      </w:r>
      <w:r w:rsidR="008044B0">
        <w:rPr>
          <w:rFonts w:ascii="Times New Roman" w:hAnsi="Times New Roman" w:cs="Times New Roman"/>
          <w:noProof/>
        </w:rPr>
        <w:t xml:space="preserve"> </w:t>
      </w:r>
      <w:r w:rsidR="00AB5A01">
        <w:rPr>
          <w:rFonts w:ascii="Times New Roman" w:hAnsi="Times New Roman" w:cs="Times New Roman"/>
          <w:noProof/>
        </w:rPr>
        <w:t xml:space="preserve">prior to </w:t>
      </w:r>
      <w:r w:rsidR="008044B0">
        <w:rPr>
          <w:rFonts w:ascii="Times New Roman" w:hAnsi="Times New Roman" w:cs="Times New Roman"/>
          <w:noProof/>
        </w:rPr>
        <w:t>development of AD type pathology</w:t>
      </w:r>
      <w:r w:rsidR="00AB5A01">
        <w:rPr>
          <w:rFonts w:ascii="Times New Roman" w:hAnsi="Times New Roman" w:cs="Times New Roman"/>
          <w:noProof/>
        </w:rPr>
        <w:t>, with specific downregulation of complex I proteins being found</w:t>
      </w:r>
      <w:r w:rsidR="006300B5">
        <w:rPr>
          <w:rFonts w:ascii="Times New Roman" w:hAnsi="Times New Roman" w:cs="Times New Roman"/>
          <w:noProof/>
        </w:rPr>
        <w:t xml:space="preserve"> that are consistent with changes observed in early and late A</w:t>
      </w:r>
      <w:r w:rsidR="006300B5" w:rsidRPr="006300B5">
        <w:rPr>
          <w:rFonts w:ascii="Times New Roman" w:hAnsi="Times New Roman" w:cs="Times New Roman"/>
          <w:noProof/>
        </w:rPr>
        <w:t>D</w:t>
      </w:r>
      <w:r w:rsidR="008044B0" w:rsidRPr="006300B5">
        <w:rPr>
          <w:rFonts w:ascii="Times New Roman" w:hAnsi="Times New Roman" w:cs="Times New Roman"/>
          <w:noProof/>
        </w:rPr>
        <w:t xml:space="preserve"> </w:t>
      </w:r>
      <w:r w:rsidR="006300B5" w:rsidRPr="006300B5">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"10.1016/j.jprot.2010.12.012", "ISSN" : "18743919", "abstract" : "Mitochondrial structural and functional alterations appear to play to an important role in the pathogenesis of Alzheimer's disease (AD). In the present study, we used a quantitative comparative proteomic profiling approach to analyze changes in the mitochondrial proteome in AD. A triple transgenic mouse model of AD (3xTg-AD) which harbors mutations in three human transgenes, APPSwe, PS1M146V and TauP301L, was used in these experiments. Quantitative differences in the mitochondrial proteome between the cerebral cortices of 6-month-old male 3xTg-AD and non-transgenic mice were determined by using two-dimensional difference gel electrophoresis (2D-DIGE) and tandem mass spectrometry. We identified 23 different proteins whose expression levels differed significantly between triple transgenic and non-transgenic mitochondria. Both down-regulated and up-regulated mitochondrial proteins were observed in transgenic AD cortices. Proteins which were dysregulated in 3xTg-AD cortices functioned in a wide variety of metabolic pathways, including the citric acid cycle, oxidative phosphorylation, pyruvate metabolism, glycolysis, oxidative stress, fatty acid oxidation, ketone body metabolism, ion transport, apoptosis, and mitochondrial protein synthesis. These alterations in the mitochondrial proteome of the cerebral cortices of triple transgenic AD mice occurred before the development of significant amyloid plaque and neurofibrillary tangles, indicating that mitochondrial dysregulation is an early event in AD.", "author" : [ { "dropping-particle" : "", "family" : "Chou", "given" : "Jose L.", "non-dropping-particle" : "", "parse-names" : false, "suffix" : "" }, { "dropping-particle" : "V.", "family" : "Shenoy", "given" : "Deepa", "non-dropping-particle" : "", "parse-names" : false, "suffix" : "" }, { "dropping-particle" : "", "family" : "Thomas", "given" : "Nicy", "non-dropping-particle" : "", "parse-names" : false, "suffix" : "" }, { "dropping-particle" : "", "family" : "Choudhary", "given" : "Pankaj K.", "non-dropping-particle" : "", "parse-names" : false, "suffix" : "" }, { "dropping-particle" : "", "family" : "LaFerla", "given" : "Frank M.", "non-dropping-particle" : "", "parse-names" : false, "suffix" : "" }, { "dropping-particle" : "", "family" : "Goodman", "given" : "Steven R.", "non-dropping-particle" : "", "parse-names" : false, "suffix" : "" }, { "dropping-particle" : "", "family" : "Breen", "given" : "Gail A.M.", "non-dropping-particle" : "", "parse-names" : false, "suffix" : "" } ], "container-title" : "Journal of Proteomics", "id" : "ITEM-1", "issue" : "4", "issued" : { "date-parts" : [ [ "2011" ] ] }, "page" : "466-479", "title" : "Early dysregulation of the mitochondrial proteome in a mouse model of Alzheimer's disease", "type" : "article-journal", "volume" : "74" }, "uris" : [ "http://www.mendeley.com/documents/?uuid=d536a8ed-bc6f-3548-90b2-a0d0928d4ab6" ] }, { "id" : "ITEM-2", "itemData" : { "DOI" : "10.1385/NMM:5:2:147", "ISSN" : "1535-1084", "author" : [ { "dropping-particle" : "", "family" : "Manczak", "given" : "Maria", "non-dropping-particle" : "", "parse-names" : false, "suffix" : "" }, { "dropping-particle" : "", "family" : "Park", "given" : "Byung S.", "non-dropping-particle" : "", "parse-names" : false, "suffix" : "" }, { "dropping-particle" : "", "family" : "Jung", "given" : "Youngsin", "non-dropping-particle" : "", "parse-names" : false, "suffix" : "" }, { "dropping-particle" : "", "family" : "Reddy", "given" : "P. Hemachandra", "non-dropping-particle" : "", "parse-names" : false, "suffix" : "" } ], "container-title" : "NeuroMolecular Medicine", "id" : "ITEM-2", "issue" : "2", "issued" : { "date-parts" : [ [ "2004" ] ] }, "page" : "147-162", "publisher" : "Humana Press", "title" : "Differential Expression of Oxidative Phosphorylation Genes in Patients With Alzheimer's Disease: Implications for Early Mitochondrial Dysfunction and Oxidative Damage", "type" : "article-journal", "volume" : "5" }, "uris" : [ "http://www.mendeley.com/documents/?uuid=ed32076d-4967-3173-9908-cc7fbc6606cc" ] } ], "mendeley" : { "formattedCitation" : "(Chou et al. 2011; Manczak et al. 2004)", "plainTextFormattedCitation" : "(Chou et al. 2011; Manczak et al. 2004)", "previouslyFormattedCitation" : "(Chou et al. 2011; Manczak et al. 2004)" }, "properties" : { "noteIndex" : 0 }, "schema" : "https://github.com/citation-style-language/schema/raw/master/csl-citation.json" }</w:instrText>
      </w:r>
      <w:r w:rsidR="006300B5" w:rsidRPr="006300B5">
        <w:rPr>
          <w:rFonts w:ascii="Times New Roman" w:hAnsi="Times New Roman" w:cs="Times New Roman"/>
          <w:noProof/>
        </w:rPr>
        <w:fldChar w:fldCharType="separate"/>
      </w:r>
      <w:r w:rsidR="00C148FC" w:rsidRPr="00C148FC">
        <w:rPr>
          <w:rFonts w:ascii="Times New Roman" w:hAnsi="Times New Roman" w:cs="Times New Roman"/>
          <w:noProof/>
        </w:rPr>
        <w:t>(Chou et al. 2011; Manczak et al. 2004)</w:t>
      </w:r>
      <w:r w:rsidR="006300B5" w:rsidRPr="006300B5">
        <w:rPr>
          <w:rFonts w:ascii="Times New Roman" w:hAnsi="Times New Roman" w:cs="Times New Roman"/>
          <w:noProof/>
        </w:rPr>
        <w:fldChar w:fldCharType="end"/>
      </w:r>
      <w:r w:rsidR="00374F84">
        <w:rPr>
          <w:rFonts w:ascii="Times New Roman" w:hAnsi="Times New Roman" w:cs="Times New Roman"/>
          <w:noProof/>
        </w:rPr>
        <w:t>.</w:t>
      </w:r>
      <w:r w:rsidR="004E2B4A">
        <w:rPr>
          <w:rFonts w:ascii="Times New Roman" w:hAnsi="Times New Roman" w:cs="Times New Roman"/>
          <w:noProof/>
        </w:rPr>
        <w:t>There are very few studies that investigate the specific contribution of complex I activity to astrocytic function, how it</w:t>
      </w:r>
      <w:r>
        <w:rPr>
          <w:rFonts w:ascii="Times New Roman" w:hAnsi="Times New Roman" w:cs="Times New Roman"/>
          <w:noProof/>
        </w:rPr>
        <w:t>s</w:t>
      </w:r>
      <w:r w:rsidR="004E2B4A">
        <w:rPr>
          <w:rFonts w:ascii="Times New Roman" w:hAnsi="Times New Roman" w:cs="Times New Roman"/>
          <w:noProof/>
        </w:rPr>
        <w:t xml:space="preserve"> activity is regulated and the important contribution made in these cells to sustaining neuronal health</w:t>
      </w:r>
      <w:r w:rsidR="00D63E89">
        <w:rPr>
          <w:rFonts w:ascii="Times New Roman" w:hAnsi="Times New Roman" w:cs="Times New Roman"/>
          <w:noProof/>
        </w:rPr>
        <w:t>.</w:t>
      </w:r>
    </w:p>
    <w:p w14:paraId="76322511" w14:textId="77777777" w:rsidR="004E2B4A" w:rsidRDefault="004E2B4A" w:rsidP="009E5F8C">
      <w:pPr>
        <w:spacing w:line="360" w:lineRule="auto"/>
        <w:rPr>
          <w:rFonts w:ascii="Times New Roman" w:hAnsi="Times New Roman" w:cs="Times New Roman"/>
          <w:noProof/>
        </w:rPr>
      </w:pPr>
    </w:p>
    <w:p w14:paraId="5A87A354" w14:textId="02558934" w:rsidR="00B92486" w:rsidRDefault="00967133" w:rsidP="0052651A">
      <w:pPr>
        <w:spacing w:line="360" w:lineRule="auto"/>
        <w:jc w:val="both"/>
        <w:rPr>
          <w:rFonts w:ascii="Times New Roman" w:hAnsi="Times New Roman" w:cs="Times New Roman"/>
          <w:noProof/>
        </w:rPr>
      </w:pPr>
      <w:r>
        <w:rPr>
          <w:rFonts w:ascii="Times New Roman" w:hAnsi="Times New Roman" w:cs="Times New Roman"/>
          <w:noProof/>
        </w:rPr>
        <w:t>Initially, q</w:t>
      </w:r>
      <w:r w:rsidR="002E7525">
        <w:rPr>
          <w:rFonts w:ascii="Times New Roman" w:hAnsi="Times New Roman" w:cs="Times New Roman"/>
          <w:noProof/>
        </w:rPr>
        <w:t>RT</w:t>
      </w:r>
      <w:r w:rsidR="00D63E89">
        <w:rPr>
          <w:rFonts w:ascii="Times New Roman" w:hAnsi="Times New Roman" w:cs="Times New Roman"/>
          <w:noProof/>
        </w:rPr>
        <w:t>-</w:t>
      </w:r>
      <w:r w:rsidR="002E7525">
        <w:rPr>
          <w:rFonts w:ascii="Times New Roman" w:hAnsi="Times New Roman" w:cs="Times New Roman"/>
          <w:noProof/>
        </w:rPr>
        <w:t>PCR was carried out</w:t>
      </w:r>
      <w:r w:rsidR="00D54390">
        <w:rPr>
          <w:rFonts w:ascii="Times New Roman" w:hAnsi="Times New Roman" w:cs="Times New Roman"/>
          <w:noProof/>
        </w:rPr>
        <w:t xml:space="preserve"> to validate downregulation of c</w:t>
      </w:r>
      <w:r w:rsidR="002E7525">
        <w:rPr>
          <w:rFonts w:ascii="Times New Roman" w:hAnsi="Times New Roman" w:cs="Times New Roman"/>
          <w:noProof/>
        </w:rPr>
        <w:t>omplex I transcripts, as observed in the microarray. NDUFA2 and NDUFB6 were both</w:t>
      </w:r>
      <w:r w:rsidR="0010655B">
        <w:rPr>
          <w:rFonts w:ascii="Times New Roman" w:hAnsi="Times New Roman" w:cs="Times New Roman"/>
          <w:noProof/>
        </w:rPr>
        <w:t xml:space="preserve"> signif</w:t>
      </w:r>
      <w:r w:rsidR="00B80D03">
        <w:rPr>
          <w:rFonts w:ascii="Times New Roman" w:hAnsi="Times New Roman" w:cs="Times New Roman"/>
          <w:noProof/>
        </w:rPr>
        <w:t>icantly downregulated in MAB391-</w:t>
      </w:r>
      <w:r w:rsidR="0010655B">
        <w:rPr>
          <w:rFonts w:ascii="Times New Roman" w:hAnsi="Times New Roman" w:cs="Times New Roman"/>
          <w:noProof/>
        </w:rPr>
        <w:t>treated astrocytes co</w:t>
      </w:r>
      <w:r w:rsidR="00B80D03">
        <w:rPr>
          <w:rFonts w:ascii="Times New Roman" w:hAnsi="Times New Roman" w:cs="Times New Roman"/>
          <w:noProof/>
        </w:rPr>
        <w:t>mpared with IgG-</w:t>
      </w:r>
      <w:r w:rsidR="007F5E18">
        <w:rPr>
          <w:rFonts w:ascii="Times New Roman" w:hAnsi="Times New Roman" w:cs="Times New Roman"/>
          <w:noProof/>
        </w:rPr>
        <w:t>treated control</w:t>
      </w:r>
      <w:r w:rsidR="0010655B">
        <w:rPr>
          <w:rFonts w:ascii="Times New Roman" w:hAnsi="Times New Roman" w:cs="Times New Roman"/>
          <w:noProof/>
        </w:rPr>
        <w:t xml:space="preserve"> and showed</w:t>
      </w:r>
      <w:r w:rsidR="006E5323">
        <w:rPr>
          <w:rFonts w:ascii="Times New Roman" w:hAnsi="Times New Roman" w:cs="Times New Roman"/>
          <w:noProof/>
        </w:rPr>
        <w:t xml:space="preserve"> either</w:t>
      </w:r>
      <w:r w:rsidR="0010655B">
        <w:rPr>
          <w:rFonts w:ascii="Times New Roman" w:hAnsi="Times New Roman" w:cs="Times New Roman"/>
          <w:noProof/>
        </w:rPr>
        <w:t xml:space="preserve"> a significant </w:t>
      </w:r>
      <w:r w:rsidR="006E5323">
        <w:rPr>
          <w:rFonts w:ascii="Times New Roman" w:hAnsi="Times New Roman" w:cs="Times New Roman"/>
          <w:noProof/>
        </w:rPr>
        <w:t xml:space="preserve">decrease </w:t>
      </w:r>
      <w:r w:rsidR="0010655B">
        <w:rPr>
          <w:rFonts w:ascii="Times New Roman" w:hAnsi="Times New Roman" w:cs="Times New Roman"/>
          <w:noProof/>
        </w:rPr>
        <w:t>or a trend to a decrease compared with untreated control.</w:t>
      </w:r>
      <w:r w:rsidR="002E7525">
        <w:rPr>
          <w:rFonts w:ascii="Times New Roman" w:hAnsi="Times New Roman" w:cs="Times New Roman"/>
          <w:noProof/>
        </w:rPr>
        <w:t xml:space="preserve"> </w:t>
      </w:r>
      <w:r w:rsidR="00B92486" w:rsidRPr="00547EC0">
        <w:rPr>
          <w:rFonts w:ascii="Times New Roman" w:hAnsi="Times New Roman" w:cs="Times New Roman"/>
        </w:rPr>
        <w:t xml:space="preserve">To </w:t>
      </w:r>
      <w:r w:rsidR="0010655B">
        <w:rPr>
          <w:rFonts w:ascii="Times New Roman" w:hAnsi="Times New Roman" w:cs="Times New Roman"/>
        </w:rPr>
        <w:t xml:space="preserve">further </w:t>
      </w:r>
      <w:r w:rsidR="00B92486" w:rsidRPr="00547EC0">
        <w:rPr>
          <w:rFonts w:ascii="Times New Roman" w:hAnsi="Times New Roman" w:cs="Times New Roman"/>
        </w:rPr>
        <w:t>explore changes in complex I activity of IGF1R impaired</w:t>
      </w:r>
      <w:r w:rsidR="0010655B">
        <w:rPr>
          <w:rFonts w:ascii="Times New Roman" w:hAnsi="Times New Roman" w:cs="Times New Roman"/>
        </w:rPr>
        <w:t xml:space="preserve"> co-cultured astrocytes</w:t>
      </w:r>
      <w:r w:rsidR="00B92486" w:rsidRPr="00547EC0">
        <w:rPr>
          <w:rFonts w:ascii="Times New Roman" w:hAnsi="Times New Roman" w:cs="Times New Roman"/>
        </w:rPr>
        <w:t xml:space="preserve">, </w:t>
      </w:r>
      <w:r w:rsidR="0010655B">
        <w:rPr>
          <w:rFonts w:ascii="Times New Roman" w:hAnsi="Times New Roman" w:cs="Times New Roman"/>
          <w:noProof/>
        </w:rPr>
        <w:t xml:space="preserve">the </w:t>
      </w:r>
      <w:r w:rsidR="00B92486" w:rsidRPr="00547EC0">
        <w:rPr>
          <w:rFonts w:ascii="Times New Roman" w:hAnsi="Times New Roman" w:cs="Times New Roman"/>
          <w:noProof/>
        </w:rPr>
        <w:t>NADH</w:t>
      </w:r>
      <w:r w:rsidR="00B92486">
        <w:rPr>
          <w:rFonts w:ascii="Times New Roman" w:hAnsi="Times New Roman" w:cs="Times New Roman"/>
          <w:noProof/>
        </w:rPr>
        <w:t xml:space="preserve"> dependent activity of complex I</w:t>
      </w:r>
      <w:r w:rsidR="00B92486" w:rsidRPr="00547EC0">
        <w:rPr>
          <w:rFonts w:ascii="Times New Roman" w:hAnsi="Times New Roman" w:cs="Times New Roman"/>
          <w:noProof/>
        </w:rPr>
        <w:t xml:space="preserve"> </w:t>
      </w:r>
      <w:r w:rsidR="0010655B">
        <w:rPr>
          <w:rFonts w:ascii="Times New Roman" w:hAnsi="Times New Roman" w:cs="Times New Roman"/>
          <w:noProof/>
        </w:rPr>
        <w:t xml:space="preserve">was assessed </w:t>
      </w:r>
      <w:r w:rsidR="007F5E18">
        <w:rPr>
          <w:rFonts w:ascii="Times New Roman" w:hAnsi="Times New Roman" w:cs="Times New Roman"/>
          <w:noProof/>
        </w:rPr>
        <w:t>in the co-culture system</w:t>
      </w:r>
      <w:r w:rsidR="00B92486" w:rsidRPr="00547EC0">
        <w:rPr>
          <w:rFonts w:ascii="Times New Roman" w:hAnsi="Times New Roman" w:cs="Times New Roman"/>
          <w:noProof/>
        </w:rPr>
        <w:t>. Los</w:t>
      </w:r>
      <w:r w:rsidR="0010655B">
        <w:rPr>
          <w:rFonts w:ascii="Times New Roman" w:hAnsi="Times New Roman" w:cs="Times New Roman"/>
          <w:noProof/>
        </w:rPr>
        <w:t>s of</w:t>
      </w:r>
      <w:r w:rsidR="00BF060B">
        <w:rPr>
          <w:rFonts w:ascii="Times New Roman" w:hAnsi="Times New Roman" w:cs="Times New Roman"/>
          <w:noProof/>
        </w:rPr>
        <w:t xml:space="preserve"> astrocytic</w:t>
      </w:r>
      <w:r w:rsidR="0010655B">
        <w:rPr>
          <w:rFonts w:ascii="Times New Roman" w:hAnsi="Times New Roman" w:cs="Times New Roman"/>
          <w:noProof/>
        </w:rPr>
        <w:t xml:space="preserve"> </w:t>
      </w:r>
      <w:r w:rsidR="00BF060B">
        <w:rPr>
          <w:rFonts w:ascii="Times New Roman" w:hAnsi="Times New Roman" w:cs="Times New Roman"/>
          <w:noProof/>
        </w:rPr>
        <w:t>IGF1R</w:t>
      </w:r>
      <w:r w:rsidR="0010655B">
        <w:rPr>
          <w:rFonts w:ascii="Times New Roman" w:hAnsi="Times New Roman" w:cs="Times New Roman"/>
          <w:noProof/>
        </w:rPr>
        <w:t xml:space="preserve"> resulted in</w:t>
      </w:r>
      <w:r w:rsidR="00B92486" w:rsidRPr="00547EC0">
        <w:rPr>
          <w:rFonts w:ascii="Times New Roman" w:hAnsi="Times New Roman" w:cs="Times New Roman"/>
          <w:noProof/>
        </w:rPr>
        <w:t xml:space="preserve"> a significant impairment in the complex I activity of the co-culture system</w:t>
      </w:r>
      <w:r w:rsidR="00B92486">
        <w:rPr>
          <w:rFonts w:ascii="Times New Roman" w:hAnsi="Times New Roman" w:cs="Times New Roman"/>
          <w:noProof/>
        </w:rPr>
        <w:t xml:space="preserve"> compare</w:t>
      </w:r>
      <w:r w:rsidR="00C325CF">
        <w:rPr>
          <w:rFonts w:ascii="Times New Roman" w:hAnsi="Times New Roman" w:cs="Times New Roman"/>
          <w:noProof/>
        </w:rPr>
        <w:t>d to both the untreated and IgG-</w:t>
      </w:r>
      <w:r w:rsidR="00B92486">
        <w:rPr>
          <w:rFonts w:ascii="Times New Roman" w:hAnsi="Times New Roman" w:cs="Times New Roman"/>
          <w:noProof/>
        </w:rPr>
        <w:t xml:space="preserve">treated controls. </w:t>
      </w:r>
      <w:r w:rsidR="00B92486" w:rsidRPr="00547EC0">
        <w:rPr>
          <w:rFonts w:ascii="Times New Roman" w:hAnsi="Times New Roman" w:cs="Times New Roman"/>
          <w:noProof/>
        </w:rPr>
        <w:t>This is consistent with validated changes in e</w:t>
      </w:r>
      <w:r w:rsidR="007F5E18">
        <w:rPr>
          <w:rFonts w:ascii="Times New Roman" w:hAnsi="Times New Roman" w:cs="Times New Roman"/>
          <w:noProof/>
        </w:rPr>
        <w:t xml:space="preserve">xpression of NDUFA2 and NDUFB6. </w:t>
      </w:r>
      <w:r w:rsidR="00B92486" w:rsidRPr="00547EC0">
        <w:rPr>
          <w:rFonts w:ascii="Times New Roman" w:hAnsi="Times New Roman" w:cs="Times New Roman"/>
          <w:noProof/>
        </w:rPr>
        <w:t>As the assay was</w:t>
      </w:r>
      <w:r w:rsidR="00B92486">
        <w:rPr>
          <w:rFonts w:ascii="Times New Roman" w:hAnsi="Times New Roman" w:cs="Times New Roman"/>
          <w:noProof/>
        </w:rPr>
        <w:t xml:space="preserve"> performed on astrocytes and neurons in co-culture, the complex I activity of both cell types </w:t>
      </w:r>
      <w:r w:rsidR="007F5E18">
        <w:rPr>
          <w:rFonts w:ascii="Times New Roman" w:hAnsi="Times New Roman" w:cs="Times New Roman"/>
          <w:noProof/>
        </w:rPr>
        <w:t>was</w:t>
      </w:r>
      <w:r w:rsidR="00BF060B">
        <w:rPr>
          <w:rFonts w:ascii="Times New Roman" w:hAnsi="Times New Roman" w:cs="Times New Roman"/>
          <w:noProof/>
        </w:rPr>
        <w:t xml:space="preserve"> measured and so </w:t>
      </w:r>
      <w:r w:rsidR="00B92486">
        <w:rPr>
          <w:rFonts w:ascii="Times New Roman" w:hAnsi="Times New Roman" w:cs="Times New Roman"/>
          <w:noProof/>
        </w:rPr>
        <w:t>impairments in</w:t>
      </w:r>
      <w:r w:rsidR="00BF060B">
        <w:rPr>
          <w:rFonts w:ascii="Times New Roman" w:hAnsi="Times New Roman" w:cs="Times New Roman"/>
          <w:noProof/>
        </w:rPr>
        <w:t xml:space="preserve"> neuronal </w:t>
      </w:r>
      <w:r w:rsidR="00B92486">
        <w:rPr>
          <w:rFonts w:ascii="Times New Roman" w:hAnsi="Times New Roman" w:cs="Times New Roman"/>
          <w:noProof/>
        </w:rPr>
        <w:t xml:space="preserve"> complex I </w:t>
      </w:r>
      <w:r w:rsidR="00BF060B">
        <w:rPr>
          <w:rFonts w:ascii="Times New Roman" w:hAnsi="Times New Roman" w:cs="Times New Roman"/>
          <w:noProof/>
        </w:rPr>
        <w:t xml:space="preserve">activity </w:t>
      </w:r>
      <w:r w:rsidR="00B92486">
        <w:rPr>
          <w:rFonts w:ascii="Times New Roman" w:hAnsi="Times New Roman" w:cs="Times New Roman"/>
          <w:noProof/>
        </w:rPr>
        <w:t>cann</w:t>
      </w:r>
      <w:r w:rsidR="00BF060B">
        <w:rPr>
          <w:rFonts w:ascii="Times New Roman" w:hAnsi="Times New Roman" w:cs="Times New Roman"/>
          <w:noProof/>
        </w:rPr>
        <w:t>ot be ruled out. However, as changes in complex I transcripts were identified in IGF1 signalling impaired astrocytes</w:t>
      </w:r>
      <w:r w:rsidR="006E5323">
        <w:rPr>
          <w:rFonts w:ascii="Times New Roman" w:hAnsi="Times New Roman" w:cs="Times New Roman"/>
          <w:noProof/>
        </w:rPr>
        <w:t xml:space="preserve"> and only the astrocytes were treated with MAB391</w:t>
      </w:r>
      <w:r w:rsidR="00BF060B">
        <w:rPr>
          <w:rFonts w:ascii="Times New Roman" w:hAnsi="Times New Roman" w:cs="Times New Roman"/>
          <w:noProof/>
        </w:rPr>
        <w:t>, the</w:t>
      </w:r>
      <w:r w:rsidR="00025BA4">
        <w:rPr>
          <w:rFonts w:ascii="Times New Roman" w:hAnsi="Times New Roman" w:cs="Times New Roman"/>
          <w:noProof/>
        </w:rPr>
        <w:t xml:space="preserve"> </w:t>
      </w:r>
      <w:r w:rsidR="00B92486">
        <w:rPr>
          <w:rFonts w:ascii="Times New Roman" w:hAnsi="Times New Roman" w:cs="Times New Roman"/>
          <w:noProof/>
        </w:rPr>
        <w:t xml:space="preserve">reduction in complex I activity </w:t>
      </w:r>
      <w:r w:rsidR="004D29E0">
        <w:rPr>
          <w:rFonts w:ascii="Times New Roman" w:hAnsi="Times New Roman" w:cs="Times New Roman"/>
          <w:noProof/>
        </w:rPr>
        <w:t>is</w:t>
      </w:r>
      <w:r w:rsidR="00BF060B">
        <w:rPr>
          <w:rFonts w:ascii="Times New Roman" w:hAnsi="Times New Roman" w:cs="Times New Roman"/>
          <w:noProof/>
        </w:rPr>
        <w:t xml:space="preserve"> most likely</w:t>
      </w:r>
      <w:r w:rsidR="00B92486">
        <w:rPr>
          <w:rFonts w:ascii="Times New Roman" w:hAnsi="Times New Roman" w:cs="Times New Roman"/>
          <w:noProof/>
        </w:rPr>
        <w:t xml:space="preserve"> attributed to </w:t>
      </w:r>
      <w:r w:rsidR="00025BA4">
        <w:rPr>
          <w:rFonts w:ascii="Times New Roman" w:hAnsi="Times New Roman" w:cs="Times New Roman"/>
          <w:noProof/>
        </w:rPr>
        <w:t>changes in the astrocytes</w:t>
      </w:r>
      <w:r w:rsidR="00B92486">
        <w:rPr>
          <w:rFonts w:ascii="Times New Roman" w:hAnsi="Times New Roman" w:cs="Times New Roman"/>
          <w:noProof/>
        </w:rPr>
        <w:t>.</w:t>
      </w:r>
    </w:p>
    <w:p w14:paraId="2DAA84A6" w14:textId="77777777" w:rsidR="007218CB" w:rsidRDefault="007218CB" w:rsidP="0052651A">
      <w:pPr>
        <w:spacing w:line="360" w:lineRule="auto"/>
        <w:jc w:val="both"/>
        <w:rPr>
          <w:rFonts w:ascii="Times New Roman" w:hAnsi="Times New Roman" w:cs="Times New Roman"/>
          <w:noProof/>
        </w:rPr>
      </w:pPr>
    </w:p>
    <w:p w14:paraId="487A065E" w14:textId="4EF1B92A" w:rsidR="007D4012" w:rsidRDefault="007218CB" w:rsidP="0052651A">
      <w:pPr>
        <w:spacing w:line="360" w:lineRule="auto"/>
        <w:jc w:val="both"/>
        <w:rPr>
          <w:rFonts w:ascii="Times New Roman" w:hAnsi="Times New Roman" w:cs="Times New Roman"/>
          <w:noProof/>
        </w:rPr>
      </w:pPr>
      <w:r>
        <w:rPr>
          <w:rFonts w:ascii="Times New Roman" w:hAnsi="Times New Roman" w:cs="Times New Roman"/>
          <w:noProof/>
        </w:rPr>
        <w:t xml:space="preserve">Complex I is made up of mutliple subunits, with each </w:t>
      </w:r>
      <w:r w:rsidR="0093680A">
        <w:rPr>
          <w:rFonts w:ascii="Times New Roman" w:hAnsi="Times New Roman" w:cs="Times New Roman"/>
          <w:noProof/>
        </w:rPr>
        <w:t>one playing a different role</w:t>
      </w:r>
      <w:r>
        <w:rPr>
          <w:rFonts w:ascii="Times New Roman" w:hAnsi="Times New Roman" w:cs="Times New Roman"/>
          <w:noProof/>
        </w:rPr>
        <w:t xml:space="preserve">. The specific biological roles of the transcripts altered in the array were investigated to see whether there was a link to changes in the NADH-dependent complex I activity. </w:t>
      </w:r>
      <w:r w:rsidR="00BE0CEA">
        <w:rPr>
          <w:rFonts w:ascii="Times New Roman" w:hAnsi="Times New Roman" w:cs="Times New Roman"/>
          <w:noProof/>
        </w:rPr>
        <w:t>Complex I is composed of 45 subunit</w:t>
      </w:r>
      <w:r>
        <w:rPr>
          <w:rFonts w:ascii="Times New Roman" w:hAnsi="Times New Roman" w:cs="Times New Roman"/>
          <w:noProof/>
        </w:rPr>
        <w:t>s</w:t>
      </w:r>
      <w:r w:rsidR="00BE0CEA">
        <w:rPr>
          <w:rFonts w:ascii="Times New Roman" w:hAnsi="Times New Roman" w:cs="Times New Roman"/>
          <w:noProof/>
        </w:rPr>
        <w:t xml:space="preserve"> and</w:t>
      </w:r>
      <w:r w:rsidR="007D4012">
        <w:rPr>
          <w:rFonts w:ascii="Times New Roman" w:hAnsi="Times New Roman" w:cs="Times New Roman"/>
          <w:noProof/>
        </w:rPr>
        <w:t xml:space="preserve"> three functional modules known as N, Q and P that are arranged in an L-shaped structure. Module “N” accepts electrons from NADH, “Q” transfers these to ubiquinone and “P” is involved in pumping protons across the inner mitochondrial membrane (</w:t>
      </w:r>
      <w:r w:rsidR="007D4012" w:rsidRPr="007218CB">
        <w:rPr>
          <w:rFonts w:ascii="Times New Roman" w:hAnsi="Times New Roman" w:cs="Times New Roman"/>
          <w:b/>
          <w:noProof/>
        </w:rPr>
        <w:t>figure 5.2</w:t>
      </w:r>
      <w:r w:rsidR="0043060F">
        <w:rPr>
          <w:rFonts w:ascii="Times New Roman" w:hAnsi="Times New Roman" w:cs="Times New Roman"/>
          <w:b/>
          <w:noProof/>
        </w:rPr>
        <w:t>5</w:t>
      </w:r>
      <w:r w:rsidR="007D4012">
        <w:rPr>
          <w:rFonts w:ascii="Times New Roman" w:hAnsi="Times New Roman" w:cs="Times New Roman"/>
          <w:noProof/>
        </w:rPr>
        <w:t xml:space="preserve">). Each of the 45 subunits serve different purposes, with only 7 </w:t>
      </w:r>
      <w:r w:rsidR="0065456C">
        <w:rPr>
          <w:rFonts w:ascii="Times New Roman" w:hAnsi="Times New Roman" w:cs="Times New Roman"/>
          <w:noProof/>
        </w:rPr>
        <w:t>of the nuclear encoded complex I</w:t>
      </w:r>
      <w:r w:rsidR="007D4012">
        <w:rPr>
          <w:rFonts w:ascii="Times New Roman" w:hAnsi="Times New Roman" w:cs="Times New Roman"/>
          <w:noProof/>
        </w:rPr>
        <w:t xml:space="preserve"> subunits considered as core elements. The five genes originally identified in the array (NDUFA1, NDUFA2, NDUFB3, NDUFB6 and NDUFAB) are all </w:t>
      </w:r>
      <w:r>
        <w:rPr>
          <w:rFonts w:ascii="Times New Roman" w:hAnsi="Times New Roman" w:cs="Times New Roman"/>
          <w:noProof/>
        </w:rPr>
        <w:t>“</w:t>
      </w:r>
      <w:r w:rsidR="007D4012">
        <w:rPr>
          <w:rFonts w:ascii="Times New Roman" w:hAnsi="Times New Roman" w:cs="Times New Roman"/>
          <w:noProof/>
        </w:rPr>
        <w:t>supernumerary</w:t>
      </w:r>
      <w:r>
        <w:rPr>
          <w:rFonts w:ascii="Times New Roman" w:hAnsi="Times New Roman" w:cs="Times New Roman"/>
          <w:noProof/>
        </w:rPr>
        <w:t>”</w:t>
      </w:r>
      <w:r w:rsidR="007D4012">
        <w:rPr>
          <w:rFonts w:ascii="Times New Roman" w:hAnsi="Times New Roman" w:cs="Times New Roman"/>
          <w:noProof/>
        </w:rPr>
        <w:t xml:space="preserve"> and so far have not been shown to be directly involved in complex I activity. There are reports that these subunits are located in the “P” module and are necessary for assembly of the membrane arm </w:t>
      </w:r>
      <w:r w:rsidR="007D4012">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"10.1016/j.bbabio.2011.08.010", "ISSN" : "0006-3002", "PMID" : "21924235", "abstract" : "Complex I (NADH:ubiquinone oxidoreductase) is the largest multimeric enzyme complex of the mitochondrial respiratory chain, which is responsible for electron transport and the generation of a proton gradient across the mitochondrial inner membrane to drive ATP production. Eukaryotic complex I consists of 14 conserved subunits, which are homologous to the bacterial subunits, and more than 26 accessory subunits. In mammals, complex I consists of 45 subunits, which must be assembled correctly to form the properly functioning mature complex. Complex I dysfunction is the most common oxidative phosphorylation (OXPHOS) disorder in humans and defects in the complex I assembly process are often observed. This assembly process has been difficult to characterize because of its large size, the lack of a high resolution structure for complex I, and its dual control by nuclear and mitochondrial DNA. However, in recent years, some of the atomic structure of the complex has been resolved and new insights into complex I assembly have been generated. Furthermore, a number of proteins have been identified as assembly factors for complex I biogenesis and many patients carrying mutations in genes associated with complex I deficiency and mitochondrial diseases have been discovered. Here, we review the current knowledge of the eukaryotic complex I assembly process and new insights from the identification of novel assembly factors. This article is part of a Special Issue entitled: Biogenesis/Assembly of Respiratory Enzyme Complexes.", "author" : [ { "dropping-particle" : "", "family" : "Mimaki", "given" : "Masakazu", "non-dropping-particle" : "", "parse-names" : false, "suffix" : "" }, { "dropping-particle" : "", "family" : "Wang", "given" : "Xiaonan", "non-dropping-particle" : "", "parse-names" : false, "suffix" : "" }, { "dropping-particle" : "", "family" : "McKenzie", "given" : "Matthew", "non-dropping-particle" : "", "parse-names" : false, "suffix" : "" }, { "dropping-particle" : "", "family" : "Thorburn", "given" : "David R", "non-dropping-particle" : "", "parse-names" : false, "suffix" : "" }, { "dropping-particle" : "", "family" : "Ryan", "given" : "Michael T", "non-dropping-particle" : "", "parse-names" : false, "suffix" : "" } ], "container-title" : "Biochimica et biophysica acta", "id" : "ITEM-1", "issue" : "6", "issued" : { "date-parts" : [ [ "2012", "6" ] ] }, "page" : "851-62", "title" : "Understanding mitochondrial complex I assembly in health and disease.", "type" : "article-journal", "volume" : "1817" }, "uris" : [ "http://www.mendeley.com/documents/?uuid=b2c8a9aa-9d75-4dc3-bd91-7ef8f25be276" ] } ], "mendeley" : { "formattedCitation" : "(Mimaki et al. 2012)", "plainTextFormattedCitation" : "(Mimaki et al. 2012)", "previouslyFormattedCitation" : "(Mimaki et al. 2012)" }, "properties" : { "noteIndex" : 0 }, "schema" : "https://github.com/citation-style-language/schema/raw/master/csl-citation.json" }</w:instrText>
      </w:r>
      <w:r w:rsidR="007D4012">
        <w:rPr>
          <w:rFonts w:ascii="Times New Roman" w:hAnsi="Times New Roman" w:cs="Times New Roman"/>
          <w:noProof/>
        </w:rPr>
        <w:fldChar w:fldCharType="separate"/>
      </w:r>
      <w:r w:rsidR="00C148FC" w:rsidRPr="00C148FC">
        <w:rPr>
          <w:rFonts w:ascii="Times New Roman" w:hAnsi="Times New Roman" w:cs="Times New Roman"/>
          <w:noProof/>
        </w:rPr>
        <w:t>(Mimaki et al. 2012)</w:t>
      </w:r>
      <w:r w:rsidR="007D4012">
        <w:rPr>
          <w:rFonts w:ascii="Times New Roman" w:hAnsi="Times New Roman" w:cs="Times New Roman"/>
          <w:noProof/>
        </w:rPr>
        <w:fldChar w:fldCharType="end"/>
      </w:r>
      <w:r w:rsidR="007D4012">
        <w:rPr>
          <w:rFonts w:ascii="Times New Roman" w:hAnsi="Times New Roman" w:cs="Times New Roman"/>
          <w:noProof/>
        </w:rPr>
        <w:t xml:space="preserve">, in particular NDUFA1 has been shown to be a membrane anchor to which membrane subunits attach </w:t>
      </w:r>
      <w:r w:rsidR="007D4012">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"10.1074/jbc.M202016200", "ISSN" : "0021-9258", "PMID" : "11937507", "abstract" : "The MWFE protein (70 amino acids) is highly conserved in evolution, but the human protein (80% identical to hamster) does not complement a null mutation in Chinese hamster cells. We have identified a small protein segment where significant differences exist between rodents and primates, illustrating very specifically the need for compatibility of the nuclear and mitochondrial genomes in the assembly of complex I. The segment between amino acids 39 and 46 appears to be critical for species-specific compatibility. Amino acid substitutions in this region were tested that caused a reduction of activity of the hamster protein or converted the inactive human protein into a partially active one. Such mutations could be useful in making mice with partial complex I activity as models for mitochondrial diseases. Their potential as dominant negative mutants was explored. More deleterious mutations in the NDUFA1 gene were also characterized. A conservative substitution, R50K, or a short C-terminal deletion makes the protein completely inactive. In the absence of MWFE, no high molecular weight complex was detectable by Blue Native-gel electrophoresis. The MWFE protein itself is unstable in the absence of assembled mitochondrially encoded integral membrane proteins of complex I.", "author" : [ { "dropping-particle" : "", "family" : "Yadava", "given" : "Nagendra", "non-dropping-particle" : "", "parse-names" : false, "suffix" : "" }, { "dropping-particle" : "", "family" : "Potluri", "given" : "Prasanth", "non-dropping-particle" : "", "parse-names" : false, "suffix" : "" }, { "dropping-particle" : "", "family" : "Smith", "given" : "Erin N", "non-dropping-particle" : "", "parse-names" : false, "suffix" : "" }, { "dropping-particle" : "", "family" : "Bisevac", "given" : "Amina", "non-dropping-particle" : "", "parse-names" : false, "suffix" : "" }, { "dropping-particle" : "", "family" : "Scheffler", "given" : "Immo E", "non-dropping-particle" : "", "parse-names" : false, "suffix" : "" } ], "container-title" : "The Journal of biological chemistry", "id" : "ITEM-1", "issue" : "24", "issued" : { "date-parts" : [ [ "2002", "6", "14" ] ] }, "page" : "21221-30", "title" : "Species-specific and mutant MWFE proteins. Their effect on the assembly of a functional mammalian mitochondrial complex I.", "type" : "article-journal", "volume" : "277" }, "uris" : [ "http://www.mendeley.com/documents/?uuid=b72692d8-79fc-4387-a728-39bb78d823ca" ] } ], "mendeley" : { "formattedCitation" : "(Yadava et al. 2002)", "plainTextFormattedCitation" : "(Yadava et al. 2002)", "previouslyFormattedCitation" : "(Yadava et al. 2002)" }, "properties" : { "noteIndex" : 0 }, "schema" : "https://github.com/citation-style-language/schema/raw/master/csl-citation.json" }</w:instrText>
      </w:r>
      <w:r w:rsidR="007D4012">
        <w:rPr>
          <w:rFonts w:ascii="Times New Roman" w:hAnsi="Times New Roman" w:cs="Times New Roman"/>
          <w:noProof/>
        </w:rPr>
        <w:fldChar w:fldCharType="separate"/>
      </w:r>
      <w:r w:rsidR="00C148FC" w:rsidRPr="00C148FC">
        <w:rPr>
          <w:rFonts w:ascii="Times New Roman" w:hAnsi="Times New Roman" w:cs="Times New Roman"/>
          <w:noProof/>
        </w:rPr>
        <w:t>(Yadava et al. 2002)</w:t>
      </w:r>
      <w:r w:rsidR="007D4012">
        <w:rPr>
          <w:rFonts w:ascii="Times New Roman" w:hAnsi="Times New Roman" w:cs="Times New Roman"/>
          <w:noProof/>
        </w:rPr>
        <w:fldChar w:fldCharType="end"/>
      </w:r>
      <w:r w:rsidR="007D4012">
        <w:rPr>
          <w:rFonts w:ascii="Times New Roman" w:hAnsi="Times New Roman" w:cs="Times New Roman"/>
          <w:noProof/>
        </w:rPr>
        <w:t xml:space="preserve">. In addition, mutations in NDUFA2 result in reduced assembly of mature complex I and formation of subcomplexes that may perturb mitochondrial membrane potential </w:t>
      </w:r>
      <w:r w:rsidR="007D4012">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"10.1016/j.ajhg.2008.05.007", "ISSN" : "1537-6605", "PMID" : "18513682", "abstract" : "Mitochondrial isolated complex I deficiency is the most frequently encountered OXPHOS defect. We report a patient with an isolated complex I deficiency expressed in skin fibroblasts as well as muscle tissue. Because the parents were consanguineous, we performed homozygosity mapping to identify homozygous regions containing candidate genes such as NDUFA2 on chromosome 5. Screening of this gene on genomic DNA revealed a mutation that interferes with correct splicing and results in the skipping of exon 2. Exon skipping was confirmed on the mRNA level. The mutation in this accessory subunit causes reduced activity and disturbed assembly of complex I. Furthermore, the mutation is associated with a mitochondrial depolarization. The expression and activity of complex I and the depolarization was (partially) rescued with a baculovirus system expressing the NDUFA2 gene.", "author" : [ { "dropping-particle" : "", "family" : "Hoefs", "given" : "Saskia J G", "non-dropping-particle" : "", "parse-names" : false, "suffix" : "" }, { "dropping-particle" : "", "family" : "Dieteren", "given" : "Cindy E J", "non-dropping-particle" : "", "parse-names" : false, "suffix" : "" }, { "dropping-particle" : "", "family" : "Distelmaier", "given" : "Felix", "non-dropping-particle" : "", "parse-names" : false, "suffix" : "" }, { "dropping-particle" : "", "family" : "Janssen", "given" : "Rolf J R J", "non-dropping-particle" : "", "parse-names" : false, "suffix" : "" }, { "dropping-particle" : "", "family" : "Epplen", "given" : "Andrea", "non-dropping-particle" : "", "parse-names" : false, "suffix" : "" }, { "dropping-particle" : "", "family" : "Swarts", "given" : "Herman G P", "non-dropping-particle" : "", "parse-names" : false, "suffix" : "" }, { "dropping-particle" : "", "family" : "Forkink", "given" : "Marleen", "non-dropping-particle" : "", "parse-names" : false, "suffix" : "" }, { "dropping-particle" : "", "family" : "Rodenburg", "given" : "Richard J", "non-dropping-particle" : "", "parse-names" : false, "suffix" : "" }, { "dropping-particle" : "", "family" : "Nijtmans", "given" : "Leo G", "non-dropping-particle" : "", "parse-names" : false, "suffix" : "" }, { "dropping-particle" : "", "family" : "Willems", "given" : "Peter H", "non-dropping-particle" : "", "parse-names" : false, "suffix" : "" }, { "dropping-particle" : "", "family" : "Smeitink", "given" : "Jan A M", "non-dropping-particle" : "", "parse-names" : false, "suffix" : "" }, { "dropping-particle" : "", "family" : "Heuvel", "given" : "Lambert P", "non-dropping-particle" : "van den", "parse-names" : false, "suffix" : "" } ], "container-title" : "American journal of human genetics", "id" : "ITEM-1", "issue" : "6", "issued" : { "date-parts" : [ [ "2008", "6" ] ] }, "page" : "1306-15", "title" : "NDUFA2 complex I mutation leads to Leigh disease.", "type" : "article-journal", "volume" : "82" }, "uris" : [ "http://www.mendeley.com/documents/?uuid=5bb84ef6-1976-4766-9ecc-57ee0d2d386b" ] } ], "mendeley" : { "formattedCitation" : "(Hoefs et al. 2008)", "plainTextFormattedCitation" : "(Hoefs et al. 2008)", "previouslyFormattedCitation" : "(Hoefs et al. 2008)" }, "properties" : { "noteIndex" : 0 }, "schema" : "https://github.com/citation-style-language/schema/raw/master/csl-citation.json" }</w:instrText>
      </w:r>
      <w:r w:rsidR="007D4012">
        <w:rPr>
          <w:rFonts w:ascii="Times New Roman" w:hAnsi="Times New Roman" w:cs="Times New Roman"/>
          <w:noProof/>
        </w:rPr>
        <w:fldChar w:fldCharType="separate"/>
      </w:r>
      <w:r w:rsidR="00C148FC" w:rsidRPr="00C148FC">
        <w:rPr>
          <w:rFonts w:ascii="Times New Roman" w:hAnsi="Times New Roman" w:cs="Times New Roman"/>
          <w:noProof/>
        </w:rPr>
        <w:t>(Hoefs et al. 2008)</w:t>
      </w:r>
      <w:r w:rsidR="007D4012">
        <w:rPr>
          <w:rFonts w:ascii="Times New Roman" w:hAnsi="Times New Roman" w:cs="Times New Roman"/>
          <w:noProof/>
        </w:rPr>
        <w:fldChar w:fldCharType="end"/>
      </w:r>
      <w:r w:rsidR="007D4012">
        <w:rPr>
          <w:rFonts w:ascii="Times New Roman" w:hAnsi="Times New Roman" w:cs="Times New Roman"/>
          <w:noProof/>
        </w:rPr>
        <w:t>. If this is the case, then the capture antibodies used in the complex I activity kit may bind less of or misassem</w:t>
      </w:r>
      <w:r w:rsidR="005B20BD">
        <w:rPr>
          <w:rFonts w:ascii="Times New Roman" w:hAnsi="Times New Roman" w:cs="Times New Roman"/>
          <w:noProof/>
        </w:rPr>
        <w:t>bled forms of complex I</w:t>
      </w:r>
      <w:r w:rsidR="006E5323">
        <w:rPr>
          <w:rFonts w:ascii="Times New Roman" w:hAnsi="Times New Roman" w:cs="Times New Roman"/>
          <w:noProof/>
        </w:rPr>
        <w:t>, resulting</w:t>
      </w:r>
      <w:r w:rsidR="005B20BD">
        <w:rPr>
          <w:rFonts w:ascii="Times New Roman" w:hAnsi="Times New Roman" w:cs="Times New Roman"/>
          <w:noProof/>
        </w:rPr>
        <w:t xml:space="preserve"> in less efficient oxidation of</w:t>
      </w:r>
      <w:r w:rsidR="007D4012">
        <w:rPr>
          <w:rFonts w:ascii="Times New Roman" w:hAnsi="Times New Roman" w:cs="Times New Roman"/>
          <w:noProof/>
        </w:rPr>
        <w:t xml:space="preserve"> NADH. </w:t>
      </w:r>
      <w:r w:rsidR="000B2168">
        <w:rPr>
          <w:rFonts w:ascii="Times New Roman" w:hAnsi="Times New Roman" w:cs="Times New Roman"/>
          <w:noProof/>
        </w:rPr>
        <w:t>Western blotting</w:t>
      </w:r>
      <w:r w:rsidR="007D4012">
        <w:rPr>
          <w:rFonts w:ascii="Times New Roman" w:hAnsi="Times New Roman" w:cs="Times New Roman"/>
          <w:noProof/>
        </w:rPr>
        <w:t xml:space="preserve"> would need to be performed to assess whether the decrease in activity is due to</w:t>
      </w:r>
      <w:r w:rsidR="006E5323">
        <w:rPr>
          <w:rFonts w:ascii="Times New Roman" w:hAnsi="Times New Roman" w:cs="Times New Roman"/>
          <w:noProof/>
        </w:rPr>
        <w:t xml:space="preserve"> a reduction in complex I</w:t>
      </w:r>
      <w:r w:rsidR="007D4012">
        <w:rPr>
          <w:rFonts w:ascii="Times New Roman" w:hAnsi="Times New Roman" w:cs="Times New Roman"/>
          <w:noProof/>
        </w:rPr>
        <w:t xml:space="preserve">. </w:t>
      </w:r>
    </w:p>
    <w:p w14:paraId="3EB4549C" w14:textId="77777777" w:rsidR="00303E90" w:rsidRDefault="00066B71" w:rsidP="00AB1419">
      <w:pPr>
        <w:pStyle w:val="Caption"/>
        <w:rPr>
          <w:rFonts w:cs="Times New Roman"/>
          <w:noProof/>
        </w:rPr>
      </w:pPr>
      <w:r>
        <w:rPr>
          <w:rFonts w:cs="Times New Roman"/>
          <w:noProof/>
        </w:rPr>
        <w:t xml:space="preserve">   </w:t>
      </w:r>
      <w:bookmarkStart w:id="2363" w:name="_Toc333585278"/>
      <w:bookmarkStart w:id="2364" w:name="_Toc333586830"/>
      <w:bookmarkStart w:id="2365" w:name="_Toc333644529"/>
      <w:bookmarkStart w:id="2366" w:name="_Toc333644823"/>
      <w:r w:rsidRPr="00066B71">
        <w:rPr>
          <w:rFonts w:cs="Times New Roman"/>
          <w:noProof/>
        </w:rPr>
        <w:drawing>
          <wp:inline distT="0" distB="0" distL="0" distR="0" wp14:anchorId="0A172E1D" wp14:editId="3650B38D">
            <wp:extent cx="4791682" cy="3848793"/>
            <wp:effectExtent l="0" t="0" r="9525" b="12065"/>
            <wp:docPr id="1073741834" name="Picture 107374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112">
                      <a:extLst>
                        <a:ext uri="{28A0092B-C50C-407E-A947-70E740481C1C}">
                          <a14:useLocalDpi xmlns:a14="http://schemas.microsoft.com/office/drawing/2010/main" val="0"/>
                        </a:ext>
                      </a:extLst>
                    </a:blip>
                    <a:srcRect l="6834" t="2552" r="27572" b="28558"/>
                    <a:stretch/>
                  </pic:blipFill>
                  <pic:spPr bwMode="auto">
                    <a:xfrm>
                      <a:off x="0" y="0"/>
                      <a:ext cx="4794951" cy="3851419"/>
                    </a:xfrm>
                    <a:prstGeom prst="rect">
                      <a:avLst/>
                    </a:prstGeom>
                    <a:ln>
                      <a:noFill/>
                    </a:ln>
                    <a:extLst>
                      <a:ext uri="{53640926-AAD7-44d8-BBD7-CCE9431645EC}">
                        <a14:shadowObscured xmlns:a14="http://schemas.microsoft.com/office/drawing/2010/main"/>
                      </a:ext>
                    </a:extLst>
                  </pic:spPr>
                </pic:pic>
              </a:graphicData>
            </a:graphic>
          </wp:inline>
        </w:drawing>
      </w:r>
      <w:r w:rsidRPr="00066B71">
        <w:rPr>
          <w:rFonts w:cs="Times New Roman"/>
          <w:noProof/>
        </w:rPr>
        <w:t xml:space="preserve"> </w:t>
      </w:r>
      <w:r w:rsidR="0043060F">
        <w:rPr>
          <w:rFonts w:cs="Times New Roman"/>
          <w:noProof/>
        </w:rPr>
        <w:t xml:space="preserve">     </w:t>
      </w:r>
      <w:r w:rsidR="0043060F" w:rsidRPr="00AB1419">
        <w:t>Figure 5.25.</w:t>
      </w:r>
      <w:r w:rsidRPr="00AB1419">
        <w:t xml:space="preserve"> A schematic diagram showing the location of the complex I subunits altered following IGF1R loss in astrocytes.</w:t>
      </w:r>
      <w:bookmarkEnd w:id="2363"/>
      <w:bookmarkEnd w:id="2364"/>
      <w:bookmarkEnd w:id="2365"/>
      <w:bookmarkEnd w:id="2366"/>
      <w:r>
        <w:rPr>
          <w:rFonts w:cs="Times New Roman"/>
          <w:noProof/>
        </w:rPr>
        <w:t xml:space="preserve"> </w:t>
      </w:r>
    </w:p>
    <w:p w14:paraId="77FE334A" w14:textId="271EAEA1" w:rsidR="00066B71" w:rsidRDefault="00066B71" w:rsidP="0052651A">
      <w:pPr>
        <w:spacing w:line="360" w:lineRule="auto"/>
        <w:jc w:val="both"/>
        <w:rPr>
          <w:rFonts w:ascii="Times New Roman" w:hAnsi="Times New Roman" w:cs="Times New Roman"/>
          <w:noProof/>
        </w:rPr>
      </w:pPr>
      <w:r>
        <w:rPr>
          <w:rFonts w:ascii="Times New Roman" w:hAnsi="Times New Roman" w:cs="Times New Roman"/>
          <w:noProof/>
        </w:rPr>
        <w:t>Complex I is composed of three functional modules N, Q and P. The five genes with altered expression following IGF1R impairment in astrocytes have been shown to be located in the membrane arm of complex I (blue).</w:t>
      </w:r>
    </w:p>
    <w:p w14:paraId="56FF325D" w14:textId="25E5B284" w:rsidR="00E86F12" w:rsidRDefault="00E86F12" w:rsidP="007D4012">
      <w:pPr>
        <w:widowControl w:val="0"/>
        <w:autoSpaceDE w:val="0"/>
        <w:autoSpaceDN w:val="0"/>
        <w:adjustRightInd w:val="0"/>
        <w:spacing w:line="360" w:lineRule="auto"/>
        <w:rPr>
          <w:rFonts w:ascii="Times New Roman" w:hAnsi="Times New Roman" w:cs="Times New Roman"/>
          <w:noProof/>
        </w:rPr>
      </w:pPr>
    </w:p>
    <w:p w14:paraId="0A1A39D6" w14:textId="08691417" w:rsidR="00E86F12" w:rsidRPr="00A531D6" w:rsidRDefault="00E86F12" w:rsidP="00B07212">
      <w:pPr>
        <w:spacing w:line="360" w:lineRule="auto"/>
        <w:jc w:val="both"/>
        <w:rPr>
          <w:rFonts w:ascii="Times New Roman" w:hAnsi="Times New Roman" w:cs="Times New Roman"/>
          <w:noProof/>
        </w:rPr>
      </w:pPr>
      <w:r>
        <w:rPr>
          <w:rFonts w:ascii="Times New Roman" w:hAnsi="Times New Roman" w:cs="Times New Roman"/>
          <w:noProof/>
        </w:rPr>
        <w:t>Initial characterisa</w:t>
      </w:r>
      <w:r w:rsidR="00980EBD">
        <w:rPr>
          <w:rFonts w:ascii="Times New Roman" w:hAnsi="Times New Roman" w:cs="Times New Roman"/>
          <w:noProof/>
        </w:rPr>
        <w:t xml:space="preserve">tion of IGF1 </w:t>
      </w:r>
      <w:r>
        <w:rPr>
          <w:rFonts w:ascii="Times New Roman" w:hAnsi="Times New Roman" w:cs="Times New Roman"/>
          <w:noProof/>
        </w:rPr>
        <w:t>signalling impaired astrocytes</w:t>
      </w:r>
      <w:r w:rsidR="00B67CA9">
        <w:rPr>
          <w:rFonts w:ascii="Times New Roman" w:hAnsi="Times New Roman" w:cs="Times New Roman"/>
          <w:noProof/>
        </w:rPr>
        <w:t xml:space="preserve"> in monoculture</w:t>
      </w:r>
      <w:r>
        <w:rPr>
          <w:rFonts w:ascii="Times New Roman" w:hAnsi="Times New Roman" w:cs="Times New Roman"/>
          <w:noProof/>
        </w:rPr>
        <w:t xml:space="preserve"> may support this complex I defect. </w:t>
      </w:r>
      <w:r w:rsidR="007D4012">
        <w:rPr>
          <w:rFonts w:ascii="Times New Roman" w:hAnsi="Times New Roman" w:cs="Times New Roman"/>
          <w:noProof/>
        </w:rPr>
        <w:t>Impaired complex I activity is associated with increased ROS formation, which in turn</w:t>
      </w:r>
      <w:r w:rsidR="002C0EA0">
        <w:rPr>
          <w:rFonts w:ascii="Times New Roman" w:hAnsi="Times New Roman" w:cs="Times New Roman"/>
          <w:noProof/>
        </w:rPr>
        <w:t xml:space="preserve"> results in increased Akt activ</w:t>
      </w:r>
      <w:r w:rsidR="007D4012">
        <w:rPr>
          <w:rFonts w:ascii="Times New Roman" w:hAnsi="Times New Roman" w:cs="Times New Roman"/>
          <w:noProof/>
        </w:rPr>
        <w:t xml:space="preserve">ation </w:t>
      </w:r>
      <w:r w:rsidR="007D4012">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"10.1093/hmg/ddr395", "ISSN" : "1460-2083", "PMID" : "21890492", "abstract" : "Previously, we have shown that a heteroplasmic mutation in mitochondrial DNA-encoded complex I ND5 subunit gene resulted in an enhanced tumorigenesis through increased resistance to apoptosis. Here we report that the tumorigenic phenotype associated with complex I dysfunction could be reversed by introducing a yeast NADH quinone oxidoreductase (NDI1) gene. The NDI1 mediated electron transfer from NADH to Co-Q, bypassed the defective complex I and restored oxidative phosphorylation in the host cells. Alternatively, suppression of complex I activity by a specific inhibitor, rotenone or induction of oxidative stress by paraquat led to an increase in the phosphorylation of v-AKT murine thymoma viral oncogene (AKT) and enhanced the tumorigenesis. On the other hand, antioxidant treatment can ameliorate the reactive oxygen species-mediated AKT activation and reverse the tumorigenicity of complex I-deficient cells. Our results suggest that complex I defects could promote tumorigenesis through induction of oxidative stress and activation of AKT pathway.", "author" : [ { "dropping-particle" : "", "family" : "Sharma", "given" : "Lokendra Kumar", "non-dropping-particle" : "", "parse-names" : false, "suffix" : "" }, { "dropping-particle" : "", "family" : "Fang", "given" : "Hezhi", "non-dropping-particle" : "", "parse-names" : false, "suffix" : "" }, { "dropping-particle" : "", "family" : "Liu", "given" : "Jiangtao", "non-dropping-particle" : "", "parse-names" : false, "suffix" : "" }, { "dropping-particle" : "", "family" : "Vartak", "given" : "Rasika", "non-dropping-particle" : "", "parse-names" : false, "suffix" : "" }, { "dropping-particle" : "", "family" : "Deng", "given" : "Janice", "non-dropping-particle" : "", "parse-names" : false, "suffix" : "" }, { "dropping-particle" : "", "family" : "Bai", "given" : "Yidong", "non-dropping-particle" : "", "parse-names" : false, "suffix" : "" } ], "container-title" : "Human molecular genetics", "id" : "ITEM-1", "issue" : "23", "issued" : { "date-parts" : [ [ "2011", "12", "1" ] ] }, "page" : "4605-16", "title" : "Mitochondrial respiratory complex I dysfunction promotes tumorigenesis through ROS alteration and AKT activation.", "type" : "article-journal", "volume" : "20" }, "uris" : [ "http://www.mendeley.com/documents/?uuid=9517f32d-587e-4f6e-b629-f06df917e5d5" ] } ], "mendeley" : { "formattedCitation" : "(Sharma et al. 2011)", "plainTextFormattedCitation" : "(Sharma et al. 2011)", "previouslyFormattedCitation" : "(Sharma et al. 2011)" }, "properties" : { "noteIndex" : 0 }, "schema" : "https://github.com/citation-style-language/schema/raw/master/csl-citation.json" }</w:instrText>
      </w:r>
      <w:r w:rsidR="007D4012">
        <w:rPr>
          <w:rFonts w:ascii="Times New Roman" w:hAnsi="Times New Roman" w:cs="Times New Roman"/>
          <w:noProof/>
        </w:rPr>
        <w:fldChar w:fldCharType="separate"/>
      </w:r>
      <w:r w:rsidR="00C148FC" w:rsidRPr="00C148FC">
        <w:rPr>
          <w:rFonts w:ascii="Times New Roman" w:hAnsi="Times New Roman" w:cs="Times New Roman"/>
          <w:noProof/>
        </w:rPr>
        <w:t>(Sharma et al. 2011)</w:t>
      </w:r>
      <w:r w:rsidR="007D4012">
        <w:rPr>
          <w:rFonts w:ascii="Times New Roman" w:hAnsi="Times New Roman" w:cs="Times New Roman"/>
          <w:noProof/>
        </w:rPr>
        <w:fldChar w:fldCharType="end"/>
      </w:r>
      <w:r w:rsidR="007D4012">
        <w:rPr>
          <w:rFonts w:ascii="Times New Roman" w:hAnsi="Times New Roman" w:cs="Times New Roman"/>
          <w:noProof/>
        </w:rPr>
        <w:t xml:space="preserve">. In chapter 1 </w:t>
      </w:r>
      <w:r w:rsidR="007D4012" w:rsidRPr="00E86F12">
        <w:rPr>
          <w:rFonts w:ascii="Times New Roman" w:hAnsi="Times New Roman" w:cs="Times New Roman"/>
          <w:b/>
          <w:noProof/>
        </w:rPr>
        <w:t>figure 3.7</w:t>
      </w:r>
      <w:r w:rsidR="007D4012">
        <w:rPr>
          <w:rFonts w:ascii="Times New Roman" w:hAnsi="Times New Roman" w:cs="Times New Roman"/>
          <w:noProof/>
        </w:rPr>
        <w:t xml:space="preserve">, loss of IGF1R for 96 hours causes a significant increase in phosphorylated Akt (s473). Although an increase in ROS has not been demonstrated at this time point, impairments in complex I activity may be responsible for this increase in Akt activity. </w:t>
      </w:r>
      <w:r>
        <w:rPr>
          <w:rFonts w:ascii="Times New Roman" w:hAnsi="Times New Roman" w:cs="Times New Roman"/>
          <w:noProof/>
        </w:rPr>
        <w:t xml:space="preserve">In addition, </w:t>
      </w:r>
      <w:r w:rsidR="005D042D">
        <w:rPr>
          <w:rFonts w:ascii="Times New Roman" w:hAnsi="Times New Roman" w:cs="Times New Roman"/>
          <w:noProof/>
        </w:rPr>
        <w:t>an</w:t>
      </w:r>
      <w:r>
        <w:rPr>
          <w:rFonts w:ascii="Times New Roman" w:hAnsi="Times New Roman" w:cs="Times New Roman"/>
          <w:noProof/>
        </w:rPr>
        <w:t xml:space="preserve"> MTT assay</w:t>
      </w:r>
      <w:r w:rsidR="005D042D">
        <w:rPr>
          <w:rFonts w:ascii="Times New Roman" w:hAnsi="Times New Roman" w:cs="Times New Roman"/>
          <w:noProof/>
        </w:rPr>
        <w:t xml:space="preserve"> was performed in chapter 3 to assess cell viability (</w:t>
      </w:r>
      <w:r w:rsidR="005D042D">
        <w:rPr>
          <w:rFonts w:ascii="Times New Roman" w:hAnsi="Times New Roman" w:cs="Times New Roman"/>
          <w:b/>
          <w:noProof/>
        </w:rPr>
        <w:t>figure 3.9</w:t>
      </w:r>
      <w:r w:rsidR="005D042D">
        <w:rPr>
          <w:rFonts w:ascii="Times New Roman" w:hAnsi="Times New Roman" w:cs="Times New Roman"/>
          <w:noProof/>
        </w:rPr>
        <w:t>) but this</w:t>
      </w:r>
      <w:r>
        <w:rPr>
          <w:rFonts w:ascii="Times New Roman" w:hAnsi="Times New Roman" w:cs="Times New Roman"/>
          <w:noProof/>
        </w:rPr>
        <w:t xml:space="preserve"> can also b</w:t>
      </w:r>
      <w:r w:rsidR="0065456C">
        <w:rPr>
          <w:rFonts w:ascii="Times New Roman" w:hAnsi="Times New Roman" w:cs="Times New Roman"/>
          <w:noProof/>
        </w:rPr>
        <w:t>e used as a measure of complex I</w:t>
      </w:r>
      <w:r>
        <w:rPr>
          <w:rFonts w:ascii="Times New Roman" w:hAnsi="Times New Roman" w:cs="Times New Roman"/>
          <w:noProof/>
        </w:rPr>
        <w:t xml:space="preserve"> activity, as the assay determines the activity of NADH oxidoreductases.</w:t>
      </w:r>
      <w:r w:rsidRPr="00E86F12">
        <w:rPr>
          <w:rFonts w:ascii="Times New Roman" w:hAnsi="Times New Roman" w:cs="Times New Roman"/>
          <w:noProof/>
        </w:rPr>
        <w:t xml:space="preserve"> </w:t>
      </w:r>
      <w:r>
        <w:rPr>
          <w:rFonts w:ascii="Times New Roman" w:hAnsi="Times New Roman" w:cs="Times New Roman"/>
          <w:noProof/>
        </w:rPr>
        <w:t>Significant differences in the MTT assay were obse</w:t>
      </w:r>
      <w:r w:rsidR="00B80D03">
        <w:rPr>
          <w:rFonts w:ascii="Times New Roman" w:hAnsi="Times New Roman" w:cs="Times New Roman"/>
          <w:noProof/>
        </w:rPr>
        <w:t>rved between control and MAB391-</w:t>
      </w:r>
      <w:r>
        <w:rPr>
          <w:rFonts w:ascii="Times New Roman" w:hAnsi="Times New Roman" w:cs="Times New Roman"/>
          <w:noProof/>
        </w:rPr>
        <w:t xml:space="preserve">treated </w:t>
      </w:r>
      <w:r w:rsidR="00980EBD">
        <w:rPr>
          <w:rFonts w:ascii="Times New Roman" w:hAnsi="Times New Roman" w:cs="Times New Roman"/>
          <w:noProof/>
        </w:rPr>
        <w:t xml:space="preserve">ScienCell(1) </w:t>
      </w:r>
      <w:r>
        <w:rPr>
          <w:rFonts w:ascii="Times New Roman" w:hAnsi="Times New Roman" w:cs="Times New Roman"/>
          <w:noProof/>
        </w:rPr>
        <w:t xml:space="preserve">astrocytes, with a trend towards a decrease between IgG and MAB391 treatment. Although cell number did not change (as validated by using a cyquant assay), the changes identified in the MTT assay may have been </w:t>
      </w:r>
      <w:r w:rsidR="005D042D">
        <w:rPr>
          <w:rFonts w:ascii="Times New Roman" w:hAnsi="Times New Roman" w:cs="Times New Roman"/>
          <w:noProof/>
        </w:rPr>
        <w:t>early indications of a complex I</w:t>
      </w:r>
      <w:r w:rsidR="00651CC1">
        <w:rPr>
          <w:rFonts w:ascii="Times New Roman" w:hAnsi="Times New Roman" w:cs="Times New Roman"/>
          <w:noProof/>
        </w:rPr>
        <w:t xml:space="preserve"> </w:t>
      </w:r>
      <w:r>
        <w:rPr>
          <w:rFonts w:ascii="Times New Roman" w:hAnsi="Times New Roman" w:cs="Times New Roman"/>
          <w:noProof/>
        </w:rPr>
        <w:t>defect. Also, the decrease observed in the MTT assay was more pronounced between the IgG and MAB391 treatment at earlier time points (between 48-72 hours MAB391 treatment) than used in the gene expression profiling experiments.  The recovery observed in the MTT assay by 96 hours could be explained by upregulation of genes involved in cAMP signalling (as discussed later), which cou</w:t>
      </w:r>
      <w:r w:rsidR="005D042D">
        <w:rPr>
          <w:rFonts w:ascii="Times New Roman" w:hAnsi="Times New Roman" w:cs="Times New Roman"/>
          <w:noProof/>
        </w:rPr>
        <w:t>ld restore some of the complex I</w:t>
      </w:r>
      <w:r>
        <w:rPr>
          <w:rFonts w:ascii="Times New Roman" w:hAnsi="Times New Roman" w:cs="Times New Roman"/>
          <w:noProof/>
        </w:rPr>
        <w:t xml:space="preserve"> activity and thereby rescue some of the defect seen in the MTT assay. </w:t>
      </w:r>
    </w:p>
    <w:p w14:paraId="0C530D0F" w14:textId="303DEBE0" w:rsidR="007D4012" w:rsidRDefault="007D4012" w:rsidP="007D4012">
      <w:pPr>
        <w:widowControl w:val="0"/>
        <w:autoSpaceDE w:val="0"/>
        <w:autoSpaceDN w:val="0"/>
        <w:adjustRightInd w:val="0"/>
        <w:spacing w:line="360" w:lineRule="auto"/>
        <w:rPr>
          <w:rFonts w:ascii="Times New Roman" w:hAnsi="Times New Roman" w:cs="Times New Roman"/>
          <w:noProof/>
        </w:rPr>
      </w:pPr>
    </w:p>
    <w:p w14:paraId="6928A1CF" w14:textId="7083543A" w:rsidR="007D4012" w:rsidRDefault="00E86F12" w:rsidP="00B07212">
      <w:pPr>
        <w:widowControl w:val="0"/>
        <w:autoSpaceDE w:val="0"/>
        <w:autoSpaceDN w:val="0"/>
        <w:adjustRightInd w:val="0"/>
        <w:spacing w:line="360" w:lineRule="auto"/>
        <w:jc w:val="both"/>
        <w:rPr>
          <w:rFonts w:ascii="Times New Roman" w:hAnsi="Times New Roman" w:cs="Times New Roman"/>
          <w:noProof/>
        </w:rPr>
      </w:pPr>
      <w:r>
        <w:rPr>
          <w:rFonts w:ascii="Times New Roman" w:hAnsi="Times New Roman" w:cs="Times New Roman"/>
          <w:noProof/>
        </w:rPr>
        <w:t>I</w:t>
      </w:r>
      <w:r w:rsidR="007D4012">
        <w:rPr>
          <w:rFonts w:ascii="Times New Roman" w:hAnsi="Times New Roman" w:cs="Times New Roman"/>
          <w:noProof/>
        </w:rPr>
        <w:t xml:space="preserve">t is evident that treating </w:t>
      </w:r>
      <w:r w:rsidR="005D042D">
        <w:rPr>
          <w:rFonts w:ascii="Times New Roman" w:hAnsi="Times New Roman" w:cs="Times New Roman"/>
          <w:noProof/>
        </w:rPr>
        <w:t>astrocytes with IgG also reduced</w:t>
      </w:r>
      <w:r w:rsidR="007D4012">
        <w:rPr>
          <w:rFonts w:ascii="Times New Roman" w:hAnsi="Times New Roman" w:cs="Times New Roman"/>
          <w:noProof/>
        </w:rPr>
        <w:t xml:space="preserve"> the complex I activity of the astrocytes (p&lt; 0.0001)</w:t>
      </w:r>
      <w:r w:rsidR="005D042D">
        <w:rPr>
          <w:rFonts w:ascii="Times New Roman" w:hAnsi="Times New Roman" w:cs="Times New Roman"/>
          <w:noProof/>
        </w:rPr>
        <w:t xml:space="preserve"> but did not reduce</w:t>
      </w:r>
      <w:r w:rsidR="00A34790">
        <w:rPr>
          <w:rFonts w:ascii="Times New Roman" w:hAnsi="Times New Roman" w:cs="Times New Roman"/>
          <w:noProof/>
        </w:rPr>
        <w:t xml:space="preserve"> NDUFA2 and NDUFB6 trans</w:t>
      </w:r>
      <w:r w:rsidR="00967133">
        <w:rPr>
          <w:rFonts w:ascii="Times New Roman" w:hAnsi="Times New Roman" w:cs="Times New Roman"/>
          <w:noProof/>
        </w:rPr>
        <w:t>cript levels, as identified by q</w:t>
      </w:r>
      <w:r w:rsidR="00A34790">
        <w:rPr>
          <w:rFonts w:ascii="Times New Roman" w:hAnsi="Times New Roman" w:cs="Times New Roman"/>
          <w:noProof/>
        </w:rPr>
        <w:t>RT</w:t>
      </w:r>
      <w:r w:rsidR="00967133">
        <w:rPr>
          <w:rFonts w:ascii="Times New Roman" w:hAnsi="Times New Roman" w:cs="Times New Roman"/>
          <w:noProof/>
        </w:rPr>
        <w:t>-</w:t>
      </w:r>
      <w:r w:rsidR="00A34790">
        <w:rPr>
          <w:rFonts w:ascii="Times New Roman" w:hAnsi="Times New Roman" w:cs="Times New Roman"/>
          <w:noProof/>
        </w:rPr>
        <w:t>PCR</w:t>
      </w:r>
      <w:r w:rsidR="007D4012">
        <w:rPr>
          <w:rFonts w:ascii="Times New Roman" w:hAnsi="Times New Roman" w:cs="Times New Roman"/>
          <w:noProof/>
        </w:rPr>
        <w:t xml:space="preserve">. The IgG treatment may induce a similar stress-like response but not result in all the effects observed following IGF1R loss, such as reduced </w:t>
      </w:r>
      <w:r>
        <w:rPr>
          <w:rFonts w:ascii="Times New Roman" w:hAnsi="Times New Roman" w:cs="Times New Roman"/>
          <w:noProof/>
        </w:rPr>
        <w:t>levels of the PRDX3 transcript</w:t>
      </w:r>
      <w:r w:rsidR="00A34790">
        <w:rPr>
          <w:rFonts w:ascii="Times New Roman" w:hAnsi="Times New Roman" w:cs="Times New Roman"/>
          <w:noProof/>
        </w:rPr>
        <w:t xml:space="preserve"> (discussed later)</w:t>
      </w:r>
      <w:r>
        <w:rPr>
          <w:rFonts w:ascii="Times New Roman" w:hAnsi="Times New Roman" w:cs="Times New Roman"/>
          <w:noProof/>
        </w:rPr>
        <w:t xml:space="preserve">. </w:t>
      </w:r>
      <w:r w:rsidR="007D4012">
        <w:rPr>
          <w:rFonts w:ascii="Times New Roman" w:hAnsi="Times New Roman" w:cs="Times New Roman"/>
          <w:noProof/>
        </w:rPr>
        <w:t>Following IgG treatme</w:t>
      </w:r>
      <w:r w:rsidR="00D80705">
        <w:rPr>
          <w:rFonts w:ascii="Times New Roman" w:hAnsi="Times New Roman" w:cs="Times New Roman"/>
          <w:noProof/>
        </w:rPr>
        <w:t>nt the PRDX3 transcript levels we</w:t>
      </w:r>
      <w:r w:rsidR="007D4012">
        <w:rPr>
          <w:rFonts w:ascii="Times New Roman" w:hAnsi="Times New Roman" w:cs="Times New Roman"/>
          <w:noProof/>
        </w:rPr>
        <w:t xml:space="preserve">re signfiicantly increased compared with untreated control and as one of the main antioxidants in the mitochondria it may be able to deal with any ROS accumulation thereby better preserving complex I activity. </w:t>
      </w:r>
    </w:p>
    <w:p w14:paraId="0796C971" w14:textId="77777777" w:rsidR="000A3550" w:rsidRDefault="000A3550" w:rsidP="007D4012">
      <w:pPr>
        <w:widowControl w:val="0"/>
        <w:autoSpaceDE w:val="0"/>
        <w:autoSpaceDN w:val="0"/>
        <w:adjustRightInd w:val="0"/>
        <w:spacing w:line="360" w:lineRule="auto"/>
        <w:rPr>
          <w:rFonts w:ascii="Times New Roman" w:hAnsi="Times New Roman" w:cs="Times New Roman"/>
          <w:noProof/>
        </w:rPr>
      </w:pPr>
    </w:p>
    <w:p w14:paraId="53EC007E" w14:textId="7312A06E" w:rsidR="00E86F12" w:rsidRDefault="00B67CA9" w:rsidP="00B07212">
      <w:pPr>
        <w:spacing w:line="360" w:lineRule="auto"/>
        <w:jc w:val="both"/>
        <w:rPr>
          <w:rFonts w:ascii="Times New Roman" w:hAnsi="Times New Roman" w:cs="Times New Roman"/>
          <w:noProof/>
        </w:rPr>
      </w:pPr>
      <w:r>
        <w:rPr>
          <w:rFonts w:ascii="Times New Roman" w:hAnsi="Times New Roman" w:cs="Times New Roman"/>
          <w:noProof/>
        </w:rPr>
        <w:t>Overall</w:t>
      </w:r>
      <w:r w:rsidR="007D4012">
        <w:rPr>
          <w:rFonts w:ascii="Times New Roman" w:hAnsi="Times New Roman" w:cs="Times New Roman"/>
          <w:noProof/>
        </w:rPr>
        <w:t xml:space="preserve">, these results suggest that IGF1 signalling regulates complex I activity in astrocytes and that prolonged impairments in IGF1R levels potentially affect complex I assembly and stability. </w:t>
      </w:r>
      <w:r w:rsidR="007143F7">
        <w:rPr>
          <w:rFonts w:ascii="Times New Roman" w:hAnsi="Times New Roman" w:cs="Times New Roman"/>
          <w:noProof/>
        </w:rPr>
        <w:t xml:space="preserve">The literature suggests that impaired complex I activity can be detrimental to cellular function, however a study has shown in an AD mouse model </w:t>
      </w:r>
      <w:r w:rsidR="006E5323">
        <w:rPr>
          <w:rFonts w:ascii="Times New Roman" w:hAnsi="Times New Roman" w:cs="Times New Roman"/>
          <w:noProof/>
        </w:rPr>
        <w:t xml:space="preserve">has shown </w:t>
      </w:r>
      <w:r w:rsidR="007143F7">
        <w:rPr>
          <w:rFonts w:ascii="Times New Roman" w:hAnsi="Times New Roman" w:cs="Times New Roman"/>
          <w:noProof/>
        </w:rPr>
        <w:t>moderate inhibition of complex I</w:t>
      </w:r>
      <w:r w:rsidR="006E5323">
        <w:rPr>
          <w:rFonts w:ascii="Times New Roman" w:hAnsi="Times New Roman" w:cs="Times New Roman"/>
          <w:noProof/>
        </w:rPr>
        <w:t xml:space="preserve"> to </w:t>
      </w:r>
      <w:r w:rsidR="007143F7">
        <w:rPr>
          <w:rFonts w:ascii="Times New Roman" w:hAnsi="Times New Roman" w:cs="Times New Roman"/>
          <w:noProof/>
        </w:rPr>
        <w:t xml:space="preserve">have neuroprotective effects </w:t>
      </w:r>
      <w:r w:rsidR="007143F7">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"10.1016/j.ebiom.2015.03.009", "ISSN" : "23523964", "abstract" : "Development of therapeutic strategies to prevent Alzheimer's disease (AD) is of great importance. We show that mild inhibition of mitochondrial complex I with small molecule CP2 reduces levels of amyloid beta and phospho-Tau and averts cognitive decline in three animal models of familial AD. Low-mass molecular dynamics simulations and biochemical studies confirmed that CP2 competes with flavin mononucleotide for binding to the redox center of complex I leading to elevated AMP/ATP ratio and activation of AMP-activated protein kinase in neurons and mouse brain without inducing oxidative damage or inflammation. Furthermore, modulation of complex I activity augmented mitochondrial bioenergetics increasing coupling efficiency of respiratory chain and neuronal resistance to stress. Concomitant reduction of glycogen synthase kinase 3\u03b2 activity and restoration of axonal trafficking resulted in elevated levels of neurotrophic factors and synaptic proteins in adult AD mice. Our results suggest that metabolic reprogramming induced by modulation of mitochondrial complex I activity represents promising therapeutic strategy for AD.", "author" : [ { "dropping-particle" : "", "family" : "Zhang", "given" : "Liang", "non-dropping-particle" : "", "parse-names" : false, "suffix" : "" }, { "dropping-particle" : "", "family" : "Zhang", "given" : "Song", "non-dropping-particle" : "", "parse-names" : false, "suffix" : "" }, { "dropping-particle" : "", "family" : "Maezawa", "given" : "Izumi", "non-dropping-particle" : "", "parse-names" : false, "suffix" : "" }, { "dropping-particle" : "", "family" : "Trushin", "given" : "Sergey", "non-dropping-particle" : "", "parse-names" : false, "suffix" : "" }, { "dropping-particle" : "", "family" : "Minhas", "given" : "Paras", "non-dropping-particle" : "", "parse-names" : false, "suffix" : "" }, { "dropping-particle" : "", "family" : "Pinto", "given" : "Matthew", "non-dropping-particle" : "", "parse-names" : false, "suffix" : "" }, { "dropping-particle" : "", "family" : "Jin", "given" : "Lee-Way", "non-dropping-particle" : "", "parse-names" : false, "suffix" : "" }, { "dropping-particle" : "", "family" : "Prasain", "given" : "Keshar", "non-dropping-particle" : "", "parse-names" : false, "suffix" : "" }, { "dropping-particle" : "", "family" : "Nguyen", "given" : "Thi D.T.", "non-dropping-particle" : "", "parse-names" : false, "suffix" : "" }, { "dropping-particle" : "", "family" : "Yamazaki", "given" : "Yu", "non-dropping-particle" : "", "parse-names" : false, "suffix" : "" }, { "dropping-particle" : "", "family" : "Kanekiyo", "given" : "Takahisa", "non-dropping-particle" : "", "parse-names" : false, "suffix" : "" }, { "dropping-particle" : "", "family" : "Bu", "given" : "Guojun", "non-dropping-particle" : "", "parse-names" : false, "suffix" : "" }, { "dropping-particle" : "", "family" : "Gateno", "given" : "Benjamin", "non-dropping-particle" : "", "parse-names" : false, "suffix" : "" }, { "dropping-particle" : "", "family" : "Chang", "given" : "Kyeong-Ok", "non-dropping-particle" : "", "parse-names" : false, "suffix" : "" }, { "dropping-particle" : "", "family" : "Nath", "given" : "Karl A.", "non-dropping-particle" : "", "parse-names" : false, "suffix" : "" }, { "dropping-particle" : "", "family" : "Nemutlu", "given" : "Emirhan", "non-dropping-particle" : "", "parse-names" : false, "suffix" : "" }, { "dropping-particle" : "", "family" : "Dzeja", "given" : "Petras", "non-dropping-particle" : "", "parse-names" : false, "suffix" : "" }, { "dropping-particle" : "", "family" : "Pang", "given" : "Yuan-Ping", "non-dropping-particle" : "", "parse-names" : false, "suffix" : "" }, { "dropping-particle" : "", "family" : "Hua", "given" : "Duy H.", "non-dropping-particle" : "", "parse-names" : false, "suffix" : "" }, { "dropping-particle" : "", "family" : "Trushina", "given" : "Eugenia", "non-dropping-particle" : "", "parse-names" : false, "suffix" : "" } ], "container-title" : "EBioMedicine", "id" : "ITEM-1", "issue" : "4", "issued" : { "date-parts" : [ [ "2015" ] ] }, "page" : "294-305", "title" : "Modulation of Mitochondrial Complex I Activity Averts Cognitive Decline in Multiple Animal Models of Familial Alzheimer's Disease", "type" : "article-journal", "volume" : "2" }, "uris" : [ "http://www.mendeley.com/documents/?uuid=889d1ff9-051b-3082-bb46-88896e205e87" ] } ], "mendeley" : { "formattedCitation" : "(L. Zhang et al. 2015)", "plainTextFormattedCitation" : "(L. Zhang et al. 2015)", "previouslyFormattedCitation" : "(L. Zhang et al. 2015)" }, "properties" : { "noteIndex" : 0 }, "schema" : "https://github.com/citation-style-language/schema/raw/master/csl-citation.json" }</w:instrText>
      </w:r>
      <w:r w:rsidR="007143F7">
        <w:rPr>
          <w:rFonts w:ascii="Times New Roman" w:hAnsi="Times New Roman" w:cs="Times New Roman"/>
          <w:noProof/>
        </w:rPr>
        <w:fldChar w:fldCharType="separate"/>
      </w:r>
      <w:r w:rsidR="00C148FC" w:rsidRPr="00C148FC">
        <w:rPr>
          <w:rFonts w:ascii="Times New Roman" w:hAnsi="Times New Roman" w:cs="Times New Roman"/>
          <w:noProof/>
        </w:rPr>
        <w:t>(L. Zhang et al. 2015)</w:t>
      </w:r>
      <w:r w:rsidR="007143F7">
        <w:rPr>
          <w:rFonts w:ascii="Times New Roman" w:hAnsi="Times New Roman" w:cs="Times New Roman"/>
          <w:noProof/>
        </w:rPr>
        <w:fldChar w:fldCharType="end"/>
      </w:r>
      <w:r w:rsidR="007143F7">
        <w:rPr>
          <w:rFonts w:ascii="Times New Roman" w:hAnsi="Times New Roman" w:cs="Times New Roman"/>
          <w:noProof/>
        </w:rPr>
        <w:t xml:space="preserve">. This links back to the concepts of mitohormesis and impairments in IGF1 signalling promoting </w:t>
      </w:r>
      <w:r w:rsidR="007143F7" w:rsidRPr="00286686">
        <w:rPr>
          <w:rFonts w:ascii="Times New Roman" w:hAnsi="Times New Roman" w:cs="Times New Roman"/>
          <w:noProof/>
        </w:rPr>
        <w:t>longevity</w:t>
      </w:r>
      <w:r w:rsidR="00286686">
        <w:rPr>
          <w:rFonts w:ascii="Times New Roman" w:hAnsi="Times New Roman" w:cs="Times New Roman"/>
          <w:noProof/>
        </w:rPr>
        <w:t xml:space="preserve">, where alterations in the IGF1 pathway have a beneficial effect </w:t>
      </w:r>
      <w:r w:rsidR="00D80705">
        <w:rPr>
          <w:rFonts w:ascii="Times New Roman" w:hAnsi="Times New Roman" w:cs="Times New Roman"/>
          <w:noProof/>
        </w:rPr>
        <w:t>by elevating</w:t>
      </w:r>
      <w:r w:rsidR="00286686">
        <w:rPr>
          <w:rFonts w:ascii="Times New Roman" w:hAnsi="Times New Roman" w:cs="Times New Roman"/>
          <w:noProof/>
        </w:rPr>
        <w:t xml:space="preserve"> ROS levels and </w:t>
      </w:r>
      <w:r w:rsidR="00567209">
        <w:rPr>
          <w:rFonts w:ascii="Times New Roman" w:hAnsi="Times New Roman" w:cs="Times New Roman"/>
          <w:noProof/>
        </w:rPr>
        <w:t>the antioxidant response. Furthermore, this</w:t>
      </w:r>
      <w:r w:rsidR="007143F7">
        <w:rPr>
          <w:rFonts w:ascii="Times New Roman" w:hAnsi="Times New Roman" w:cs="Times New Roman"/>
          <w:noProof/>
        </w:rPr>
        <w:t xml:space="preserve"> highlights the need to maintain a balance </w:t>
      </w:r>
      <w:r w:rsidR="00567209">
        <w:rPr>
          <w:rFonts w:ascii="Times New Roman" w:hAnsi="Times New Roman" w:cs="Times New Roman"/>
          <w:noProof/>
        </w:rPr>
        <w:t>in intracellular signalling</w:t>
      </w:r>
      <w:r w:rsidR="007143F7">
        <w:rPr>
          <w:rFonts w:ascii="Times New Roman" w:hAnsi="Times New Roman" w:cs="Times New Roman"/>
          <w:noProof/>
        </w:rPr>
        <w:t xml:space="preserve"> </w:t>
      </w:r>
      <w:r w:rsidR="00953E3D">
        <w:rPr>
          <w:rFonts w:ascii="Times New Roman" w:hAnsi="Times New Roman" w:cs="Times New Roman"/>
          <w:noProof/>
        </w:rPr>
        <w:t>systems to avoid detrimental effects.</w:t>
      </w:r>
    </w:p>
    <w:p w14:paraId="2F6B6962" w14:textId="77777777" w:rsidR="007D4012" w:rsidRDefault="007D4012" w:rsidP="00B92486">
      <w:pPr>
        <w:spacing w:line="360" w:lineRule="auto"/>
        <w:rPr>
          <w:rFonts w:ascii="Times New Roman" w:hAnsi="Times New Roman" w:cs="Times New Roman"/>
          <w:noProof/>
        </w:rPr>
      </w:pPr>
    </w:p>
    <w:p w14:paraId="6E986504" w14:textId="73C0769E" w:rsidR="004E2B4A" w:rsidRPr="007D4012" w:rsidRDefault="007D4012" w:rsidP="0052651A">
      <w:pPr>
        <w:jc w:val="both"/>
        <w:rPr>
          <w:rFonts w:ascii="Times New Roman" w:hAnsi="Times New Roman" w:cs="Times New Roman"/>
          <w:b/>
          <w:i/>
          <w:noProof/>
        </w:rPr>
      </w:pPr>
      <w:r>
        <w:rPr>
          <w:rFonts w:ascii="Times New Roman" w:hAnsi="Times New Roman" w:cs="Times New Roman"/>
          <w:b/>
          <w:i/>
          <w:noProof/>
        </w:rPr>
        <w:t>ii) cAMP/PKA signalling</w:t>
      </w:r>
    </w:p>
    <w:p w14:paraId="32C82A76" w14:textId="3C1DD016" w:rsidR="0071121C" w:rsidRDefault="0065456C" w:rsidP="0052651A">
      <w:pPr>
        <w:spacing w:line="360" w:lineRule="auto"/>
        <w:jc w:val="both"/>
        <w:rPr>
          <w:rFonts w:ascii="Times New Roman" w:hAnsi="Times New Roman" w:cs="Times New Roman"/>
          <w:noProof/>
        </w:rPr>
      </w:pPr>
      <w:r>
        <w:rPr>
          <w:rFonts w:ascii="Times New Roman" w:hAnsi="Times New Roman" w:cs="Times New Roman"/>
          <w:noProof/>
        </w:rPr>
        <w:t>In response to complex I</w:t>
      </w:r>
      <w:r w:rsidR="004F4014">
        <w:rPr>
          <w:rFonts w:ascii="Times New Roman" w:hAnsi="Times New Roman" w:cs="Times New Roman"/>
          <w:noProof/>
        </w:rPr>
        <w:t xml:space="preserve"> dysregulation, cells can upregulate </w:t>
      </w:r>
      <w:r w:rsidR="00F33693">
        <w:rPr>
          <w:rFonts w:ascii="Times New Roman" w:hAnsi="Times New Roman" w:cs="Times New Roman"/>
          <w:noProof/>
        </w:rPr>
        <w:t>cAMP</w:t>
      </w:r>
      <w:r w:rsidR="004F4014">
        <w:rPr>
          <w:rFonts w:ascii="Times New Roman" w:hAnsi="Times New Roman" w:cs="Times New Roman"/>
          <w:noProof/>
        </w:rPr>
        <w:t xml:space="preserve">/PKA signalling which is able to rescue the inactivity and reverse ROS accumulation </w:t>
      </w:r>
      <w:r w:rsidR="004F4014">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"10.1016/j.molmed.2012.11.005", "ISSN" : "1471-499X", "PMID" : "23265841", "abstract" : "Complex I is the point of entry in the mitochondrial electron transport chain for NADH reducing equivalents, and it behaves as a regulatable pacemaker of respiratory ATP production in human cells. Defects in complex I are associated with several human neurological disorders, including primary mitochondrial diseases, Parkinson disease (PD), and Down syndrome, and understanding the activity and regulation of complex I may reveal aspects of the underlying pathogenic mechanisms. Complex I is regulated by cyclic AMP (cAMP) and the protein kinase A (PKA) signal transduction pathway, and elucidating the role of the cAMP/PKA system in regulating complex I and oxygen free radical production provides new perspectives for devising therapeutic strategies for neurological diseases.", "author" : [ { "dropping-particle" : "", "family" : "Papa", "given" : "Sergio", "non-dropping-particle" : "", "parse-names" : false, "suffix" : "" }, { "dropping-particle" : "", "family" : "Rasmo", "given" : "Domenico", "non-dropping-particle" : "De", "parse-names" : false, "suffix" : "" } ], "container-title" : "Trends in molecular medicine", "id" : "ITEM-1", "issue" : "1", "issued" : { "date-parts" : [ [ "2013", "1" ] ] }, "page" : "61-9", "title" : "Complex I deficiencies in neurological disorders.", "type" : "article-journal", "volume" : "19" }, "uris" : [ "http://www.mendeley.com/documents/?uuid=67e28c9f-21e6-4c35-966d-0fd78ec2e88d" ] } ], "mendeley" : { "formattedCitation" : "(Papa &amp; De Rasmo 2013)", "plainTextFormattedCitation" : "(Papa &amp; De Rasmo 2013)", "previouslyFormattedCitation" : "(Papa &amp; De Rasmo 2013)" }, "properties" : { "noteIndex" : 0 }, "schema" : "https://github.com/citation-style-language/schema/raw/master/csl-citation.json" }</w:instrText>
      </w:r>
      <w:r w:rsidR="004F4014">
        <w:rPr>
          <w:rFonts w:ascii="Times New Roman" w:hAnsi="Times New Roman" w:cs="Times New Roman"/>
          <w:noProof/>
        </w:rPr>
        <w:fldChar w:fldCharType="separate"/>
      </w:r>
      <w:r w:rsidR="00C148FC" w:rsidRPr="00C148FC">
        <w:rPr>
          <w:rFonts w:ascii="Times New Roman" w:hAnsi="Times New Roman" w:cs="Times New Roman"/>
          <w:noProof/>
        </w:rPr>
        <w:t>(Papa &amp; De Rasmo 2013)</w:t>
      </w:r>
      <w:r w:rsidR="004F4014">
        <w:rPr>
          <w:rFonts w:ascii="Times New Roman" w:hAnsi="Times New Roman" w:cs="Times New Roman"/>
          <w:noProof/>
        </w:rPr>
        <w:fldChar w:fldCharType="end"/>
      </w:r>
      <w:r w:rsidR="004F4014">
        <w:rPr>
          <w:rFonts w:ascii="Times New Roman" w:hAnsi="Times New Roman" w:cs="Times New Roman"/>
          <w:noProof/>
        </w:rPr>
        <w:t xml:space="preserve">. This, in part, is achieved </w:t>
      </w:r>
      <w:r w:rsidR="00D80705">
        <w:rPr>
          <w:rFonts w:ascii="Times New Roman" w:hAnsi="Times New Roman" w:cs="Times New Roman"/>
          <w:noProof/>
        </w:rPr>
        <w:t>by promoting import of complex I</w:t>
      </w:r>
      <w:r w:rsidR="004F4014">
        <w:rPr>
          <w:rFonts w:ascii="Times New Roman" w:hAnsi="Times New Roman" w:cs="Times New Roman"/>
          <w:noProof/>
        </w:rPr>
        <w:t xml:space="preserve"> subunits, such as NDUFS4, which will replace existing subunits and be involved in reassembly of the complex </w:t>
      </w:r>
      <w:r w:rsidR="004F4014">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"10.1016/j.freeradbiomed.2011.11.030", "ISSN" : "1873-4596", "PMID" : "22198267", "abstract" : "A study of the relationship between cAMP/PKA-dependent phosphorylation and oxidative damage of subunits of complex I of the mitochondrial respiratory chain is presented. It is shown that, in fibroblast cultures, PKA-mediated phosphorylation of the NDUFS4 subunit of complex I rescues the activity of the oxidatively damaged complex. Evidence is presented showing that this effect is mediated by phosphorylation-dependent exchange of carbonylated NDUFS4 subunit in the assembled complex with the de novo synthesized subunit. These results indicate a potential use for \u03b2-adrenoceptor agonists in preventing/reversing the detrimental effects of oxidative stress in the mitochondrial respiratory system.", "author" : [ { "dropping-particle" : "", "family" : "Rasmo", "given" : "Domenico", "non-dropping-particle" : "De", "parse-names" : false, "suffix" : "" }, { "dropping-particle" : "", "family" : "Signorile", "given" : "Anna", "non-dropping-particle" : "", "parse-names" : false, "suffix" : "" }, { "dropping-particle" : "", "family" : "Larizza", "given" : "Maria", "non-dropping-particle" : "", "parse-names" : false, "suffix" : "" }, { "dropping-particle" : "", "family" : "Pacelli", "given" : "Consiglia", "non-dropping-particle" : "", "parse-names" : false, "suffix" : "" }, { "dropping-particle" : "", "family" : "Cocco", "given" : "Tiziana", "non-dropping-particle" : "", "parse-names" : false, "suffix" : "" }, { "dropping-particle" : "", "family" : "Papa", "given" : "Sergio", "non-dropping-particle" : "", "parse-names" : false, "suffix" : "" } ], "container-title" : "Free radical biology &amp; medicine", "id" : "ITEM-1", "issue" : "4", "issued" : { "date-parts" : [ [ "2012", "2", "15" ] ] }, "page" : "757-64", "title" : "Activation of the cAMP cascade in human fibroblast cultures rescues the activity of oxidatively damaged complex I.", "type" : "article-journal", "volume" : "52" }, "uris" : [ "http://www.mendeley.com/documents/?uuid=e10d039b-d751-4189-8eef-5824c8a91991" ] } ], "mendeley" : { "formattedCitation" : "(De Rasmo et al. 2012)", "plainTextFormattedCitation" : "(De Rasmo et al. 2012)", "previouslyFormattedCitation" : "(De Rasmo et al. 2012)" }, "properties" : { "noteIndex" : 0 }, "schema" : "https://github.com/citation-style-language/schema/raw/master/csl-citation.json" }</w:instrText>
      </w:r>
      <w:r w:rsidR="004F4014">
        <w:rPr>
          <w:rFonts w:ascii="Times New Roman" w:hAnsi="Times New Roman" w:cs="Times New Roman"/>
          <w:noProof/>
        </w:rPr>
        <w:fldChar w:fldCharType="separate"/>
      </w:r>
      <w:r w:rsidR="00C148FC" w:rsidRPr="00C148FC">
        <w:rPr>
          <w:rFonts w:ascii="Times New Roman" w:hAnsi="Times New Roman" w:cs="Times New Roman"/>
          <w:noProof/>
        </w:rPr>
        <w:t>(De Rasmo et al. 2012)</w:t>
      </w:r>
      <w:r w:rsidR="004F4014">
        <w:rPr>
          <w:rFonts w:ascii="Times New Roman" w:hAnsi="Times New Roman" w:cs="Times New Roman"/>
          <w:noProof/>
        </w:rPr>
        <w:fldChar w:fldCharType="end"/>
      </w:r>
      <w:r w:rsidR="004F4014">
        <w:rPr>
          <w:rFonts w:ascii="Times New Roman" w:hAnsi="Times New Roman" w:cs="Times New Roman"/>
          <w:noProof/>
        </w:rPr>
        <w:t xml:space="preserve">. </w:t>
      </w:r>
      <w:r w:rsidR="00E10FD6">
        <w:rPr>
          <w:rFonts w:ascii="Times New Roman" w:hAnsi="Times New Roman" w:cs="Times New Roman"/>
          <w:noProof/>
        </w:rPr>
        <w:t>The array data identified</w:t>
      </w:r>
      <w:r w:rsidR="006E5323">
        <w:rPr>
          <w:rFonts w:ascii="Times New Roman" w:hAnsi="Times New Roman" w:cs="Times New Roman"/>
          <w:noProof/>
        </w:rPr>
        <w:t xml:space="preserve"> that</w:t>
      </w:r>
      <w:r w:rsidR="00E10FD6">
        <w:rPr>
          <w:rFonts w:ascii="Times New Roman" w:hAnsi="Times New Roman" w:cs="Times New Roman"/>
          <w:noProof/>
        </w:rPr>
        <w:t xml:space="preserve"> a number of genes involved in cAMP/PKA si</w:t>
      </w:r>
      <w:r w:rsidR="00B80D03">
        <w:rPr>
          <w:rFonts w:ascii="Times New Roman" w:hAnsi="Times New Roman" w:cs="Times New Roman"/>
          <w:noProof/>
        </w:rPr>
        <w:t>gnalling were altered in MAB391-</w:t>
      </w:r>
      <w:r w:rsidR="00E10FD6">
        <w:rPr>
          <w:rFonts w:ascii="Times New Roman" w:hAnsi="Times New Roman" w:cs="Times New Roman"/>
          <w:noProof/>
        </w:rPr>
        <w:t xml:space="preserve">treated astrocytes. Small GPCR ligands were highlighted as one of the top </w:t>
      </w:r>
      <w:r w:rsidR="00286FC8">
        <w:rPr>
          <w:rFonts w:ascii="Times New Roman" w:hAnsi="Times New Roman" w:cs="Times New Roman"/>
          <w:noProof/>
        </w:rPr>
        <w:t>dysregulated pathways</w:t>
      </w:r>
      <w:r w:rsidR="00E10FD6">
        <w:rPr>
          <w:rFonts w:ascii="Times New Roman" w:hAnsi="Times New Roman" w:cs="Times New Roman"/>
          <w:noProof/>
        </w:rPr>
        <w:t xml:space="preserve"> and included </w:t>
      </w:r>
      <w:r w:rsidR="009D0D0E">
        <w:rPr>
          <w:rFonts w:ascii="Times New Roman" w:hAnsi="Times New Roman" w:cs="Times New Roman"/>
          <w:noProof/>
        </w:rPr>
        <w:t>five GPCRs which were upregulated</w:t>
      </w:r>
      <w:r w:rsidR="00D65FD3">
        <w:rPr>
          <w:rFonts w:ascii="Times New Roman" w:hAnsi="Times New Roman" w:cs="Times New Roman"/>
          <w:noProof/>
        </w:rPr>
        <w:t xml:space="preserve"> (PTGER2, S1PR4, PTAFR, S1PR1, MTNR1A)</w:t>
      </w:r>
      <w:r w:rsidR="00E10FD6">
        <w:rPr>
          <w:rFonts w:ascii="Times New Roman" w:hAnsi="Times New Roman" w:cs="Times New Roman"/>
          <w:noProof/>
        </w:rPr>
        <w:t>. F</w:t>
      </w:r>
      <w:r w:rsidR="009D0D0E">
        <w:rPr>
          <w:rFonts w:ascii="Times New Roman" w:hAnsi="Times New Roman" w:cs="Times New Roman"/>
          <w:noProof/>
        </w:rPr>
        <w:t xml:space="preserve">our genes </w:t>
      </w:r>
      <w:r w:rsidR="00D65FD3">
        <w:rPr>
          <w:rFonts w:ascii="Times New Roman" w:hAnsi="Times New Roman" w:cs="Times New Roman"/>
          <w:noProof/>
        </w:rPr>
        <w:t xml:space="preserve">(PDE4A, PRKAR2B, ADRB1, RAPGEF2) </w:t>
      </w:r>
      <w:r w:rsidR="00F33693">
        <w:rPr>
          <w:rFonts w:ascii="Times New Roman" w:hAnsi="Times New Roman" w:cs="Times New Roman"/>
          <w:noProof/>
        </w:rPr>
        <w:t>were</w:t>
      </w:r>
      <w:r w:rsidR="00E10FD6">
        <w:rPr>
          <w:rFonts w:ascii="Times New Roman" w:hAnsi="Times New Roman" w:cs="Times New Roman"/>
          <w:noProof/>
        </w:rPr>
        <w:t xml:space="preserve"> affected in the cAMP signalling pathways, in general there was an increase in the expression of</w:t>
      </w:r>
      <w:r w:rsidR="009D0D0E">
        <w:rPr>
          <w:rFonts w:ascii="Times New Roman" w:hAnsi="Times New Roman" w:cs="Times New Roman"/>
          <w:noProof/>
        </w:rPr>
        <w:t xml:space="preserve"> these genes, which may suggest compensatory mechani</w:t>
      </w:r>
      <w:r w:rsidR="00D65FD3">
        <w:rPr>
          <w:rFonts w:ascii="Times New Roman" w:hAnsi="Times New Roman" w:cs="Times New Roman"/>
          <w:noProof/>
        </w:rPr>
        <w:t>s</w:t>
      </w:r>
      <w:r w:rsidR="009D0D0E">
        <w:rPr>
          <w:rFonts w:ascii="Times New Roman" w:hAnsi="Times New Roman" w:cs="Times New Roman"/>
          <w:noProof/>
        </w:rPr>
        <w:t>ms in the astrocyte</w:t>
      </w:r>
      <w:r w:rsidR="00D65FD3">
        <w:rPr>
          <w:rFonts w:ascii="Times New Roman" w:hAnsi="Times New Roman" w:cs="Times New Roman"/>
          <w:noProof/>
        </w:rPr>
        <w:t>s</w:t>
      </w:r>
      <w:r w:rsidR="00E10FD6">
        <w:rPr>
          <w:rFonts w:ascii="Times New Roman" w:hAnsi="Times New Roman" w:cs="Times New Roman"/>
          <w:noProof/>
        </w:rPr>
        <w:t xml:space="preserve"> to restore complex I</w:t>
      </w:r>
      <w:r w:rsidR="009D0D0E">
        <w:rPr>
          <w:rFonts w:ascii="Times New Roman" w:hAnsi="Times New Roman" w:cs="Times New Roman"/>
          <w:noProof/>
        </w:rPr>
        <w:t xml:space="preserve"> activity</w:t>
      </w:r>
      <w:r w:rsidR="00B13E99">
        <w:rPr>
          <w:rFonts w:ascii="Times New Roman" w:hAnsi="Times New Roman" w:cs="Times New Roman"/>
          <w:noProof/>
        </w:rPr>
        <w:t xml:space="preserve"> </w:t>
      </w:r>
      <w:r w:rsidR="00B13E99">
        <w:rPr>
          <w:rFonts w:ascii="Times New Roman" w:hAnsi="Times New Roman" w:cs="Times New Roman"/>
          <w:noProof/>
        </w:rPr>
        <w:fldChar w:fldCharType="begin" w:fldLock="1"/>
      </w:r>
      <w:r w:rsidR="00253037">
        <w:rPr>
          <w:rFonts w:ascii="Times New Roman" w:hAnsi="Times New Roman" w:cs="Times New Roman"/>
          <w:noProof/>
        </w:rPr>
        <w:instrText>ADDIN CSL_CITATION { "citationItems" : [ { "id" : "ITEM-1", "itemData" : { "DOI" : "10.1016/j.ebiom.2015.03.009", "ISSN" : "23523964", "abstract" : "Development of therapeutic strategies to prevent Alzheimer's disease (AD) is of great importance. We show that mild inhibition of mitochondrial complex I with small molecule CP2 reduces levels of amyloid beta and phospho-Tau and averts cognitive decline in three animal models of familial AD. Low-mass molecular dynamics simulations and biochemical studies confirmed that CP2 competes with flavin mononucleotide for binding to the redox center of complex I leading to elevated AMP/ATP ratio and activation of AMP-activated protein kinase in neurons and mouse brain without inducing oxidative damage or inflammation. Furthermore, modulation of complex I activity augmented mitochondrial bioenergetics increasing coupling efficiency of respiratory chain and neuronal resistance to stress. Concomitant reduction of glycogen synthase kinase 3\u03b2 activity and restoration of axonal trafficking resulted in elevated levels of neurotrophic factors and synaptic proteins in adult AD mice. Our results suggest that metabolic reprogramming induced by modulation of mitochondrial complex I activity represents promising therapeutic strategy for AD.", "author" : [ { "dropping-particle" : "", "family" : "Zhang", "given" : "Liang", "non-dropping-particle" : "", "parse-names" : false, "suffix" : "" }, { "dropping-particle" : "", "family" : "Zhang", "given" : "Song", "non-dropping-particle" : "", "parse-names" : false, "suffix" : "" }, { "dropping-particle" : "", "family" : "Maezawa", "given" : "Izumi", "non-dropping-particle" : "", "parse-names" : false, "suffix" : "" }, { "dropping-particle" : "", "family" : "Trushin", "given" : "Sergey", "non-dropping-particle" : "", "parse-names" : false, "suffix" : "" }, { "dropping-particle" : "", "family" : "Minhas", "given" : "Paras", "non-dropping-particle" : "", "parse-names" : false, "suffix" : "" }, { "dropping-particle" : "", "family" : "Pinto", "given" : "Matthew", "non-dropping-particle" : "", "parse-names" : false, "suffix" : "" }, { "dropping-particle" : "", "family" : "Jin", "given" : "Lee-Way", "non-dropping-particle" : "", "parse-names" : false, "suffix" : "" }, { "dropping-particle" : "", "family" : "Prasain", "given" : "Keshar", "non-dropping-particle" : "", "parse-names" : false, "suffix" : "" }, { "dropping-particle" : "", "family" : "Nguyen", "given" : "Thi D.T.", "non-dropping-particle" : "", "parse-names" : false, "suffix" : "" }, { "dropping-particle" : "", "family" : "Yamazaki", "given" : "Yu", "non-dropping-particle" : "", "parse-names" : false, "suffix" : "" }, { "dropping-particle" : "", "family" : "Kanekiyo", "given" : "Takahisa", "non-dropping-particle" : "", "parse-names" : false, "suffix" : "" }, { "dropping-particle" : "", "family" : "Bu", "given" : "Guojun", "non-dropping-particle" : "", "parse-names" : false, "suffix" : "" }, { "dropping-particle" : "", "family" : "Gateno", "given" : "Benjamin", "non-dropping-particle" : "", "parse-names" : false, "suffix" : "" }, { "dropping-particle" : "", "family" : "Chang", "given" : "Kyeong-Ok", "non-dropping-particle" : "", "parse-names" : false, "suffix" : "" }, { "dropping-particle" : "", "family" : "Nath", "given" : "Karl A.", "non-dropping-particle" : "", "parse-names" : false, "suffix" : "" }, { "dropping-particle" : "", "family" : "Nemutlu", "given" : "Emirhan", "non-dropping-particle" : "", "parse-names" : false, "suffix" : "" }, { "dropping-particle" : "", "family" : "Dzeja", "given" : "Petras", "non-dropping-particle" : "", "parse-names" : false, "suffix" : "" }, { "dropping-particle" : "", "family" : "Pang", "given" : "Yuan-Ping", "non-dropping-particle" : "", "parse-names" : false, "suffix" : "" }, { "dropping-particle" : "", "family" : "Hua", "given" : "Duy H.", "non-dropping-particle" : "", "parse-names" : false, "suffix" : "" }, { "dropping-particle" : "", "family" : "Trushina", "given" : "Eugenia", "non-dropping-particle" : "", "parse-names" : false, "suffix" : "" } ], "container-title" : "EBioMedicine", "id" : "ITEM-1", "issue" : "4", "issued" : { "date-parts" : [ [ "2015" ] ] }, "page" : "294-305", "title" : "Modulation of Mitochondrial Complex I Activity Averts Cognitive Decline in Multiple Animal Models of Familial Alzheimer's Disease", "type" : "article-journal", "volume" : "2" }, "uris" : [ "http://www.mendeley.com/documents/?uuid=889d1ff9-051b-3082-bb46-88896e205e87" ] }, { "id" : "ITEM-2", "itemData" : { "DOI" : "10.1042/BJ20101908", "ISSN" : "1470-8728", "PMID" : "21338338", "abstract" : "DS (Down's syndrome) is the most common human aneuploidy associated with mental retardation and early neurodegeneration. Mitochondrial dysfunction has emerged as a crucial factor in the pathogenesis of numerous neurological disorders including DS, but the cause of mitochondrial damage remains elusive. In the present study, we identified new molecular events involved in mitochondrial dysfunction which could play a role in DS pathogenesis. We analysed mitochondrial respiratory chain function in DS-HSFs (Down's syndrome human foetal skin fibroblasts; human foetal skin fibroblasts with chromosome 21 trisomy) and found a selective deficit in the catalytic efficiency of mitochondrial complex I. The complex I deficit was associated with a decrease in cAMP-dependent phosphorylation of the 18 kDa subunit of the complex, due to a decrease in PKA (protein kinase A) activity related to reduced basal levels of cAMP. Consistently, exposure of DS-HSFs to db-cAMP (dibutyryl-cAMP), a membrane-permeable cAMP analogue, stimulated PKA activity and consequently rescued the deficit of both the cAMP-dependent phosphorylation and the catalytic activity of complex I; conversely H89, a specific PKA inhibitor, suppressed these cAMP-dependent activations. Furthermore, in the present paper we report a 3-fold increase in cellular levels of ROS (reactive oxygen species), in particular superoxide anion, mainly produced by DS-HSF mitochondria. ROS accumulation was prevented by db-cAMP-dependent activation of complex I, suggesting its involvement in ROS production. Taken together, the results of the present study suggest that the drastic decrease in basal cAMP levels observed in DS-HSFs participates in the complex I deficit and overproduction of ROS by DS-HSF mitochondria.", "author" : [ { "dropping-particle" : "", "family" : "Valenti", "given" : "Daniela", "non-dropping-particle" : "", "parse-names" : false, "suffix" : "" }, { "dropping-particle" : "", "family" : "Manente", "given" : "Gabriella Arcangela", "non-dropping-particle" : "", "parse-names" : false, "suffix" : "" }, { "dropping-particle" : "", "family" : "Moro", "given" : "Laura", "non-dropping-particle" : "", "parse-names" : false, "suffix" : "" }, { "dropping-particle" : "", "family" : "Marra", "given" : "Ersilia", "non-dropping-particle" : "", "parse-names" : false, "suffix" : "" }, { "dropping-particle" : "", "family" : "Vacca", "given" : "Rosa Anna", "non-dropping-particle" : "", "parse-names" : false, "suffix" : "" }, { "dropping-particle" : "", "family" : "Distelmaier", "given" : "F.", "non-dropping-particle" : "", "parse-names" : false, "suffix" : "" }, { "dropping-particle" : "", "family" : "Koopman", "given" : "W.\u00a0J.", "non-dropping-particle" : "", "parse-names" : false, "suffix" : "" }, { "dropping-particle" : "", "family" : "van\u00a0den\u00a0Heuvel", "given" : "L.\u00a0P.", "non-dropping-particle" : "", "parse-names" : false, "suffix" : "" }, { "dropping-particle" : "", "family" : "Rodenburg", "given" : "R.\u00a0J.", "non-dropping-particle" : "", "parse-names" : false, "suffix" : "" }, { "dropping-particle" : "", "family" : "Mayatepek", "given" : "E.", "non-dropping-particle" : "", "parse-names" : false, "suffix" : "" }, { "dropping-particle" : "", "family" : "Willems", "given" : "P.\u00a0H.", "non-dropping-particle" : "", "parse-names" : false, "suffix" : "" }, { "dropping-particle" : "", "family" : "Smeitink", "given" : "J.\u00a0A.", "non-dropping-particle" : "", "parse-names" : false, "suffix" : "" }, { "dropping-particle" : "", "family" : "Scacco", "given" : "S.", "non-dropping-particle" : "", "parse-names" : false, "suffix" : "" }, { "dropping-particle" : "", "family" : "Vergari", "given" : "R.", "non-dropping-particle" : "", "parse-names" : false, "suffix" : "" }, { "dropping-particle" : "", "family" : "Scarpulla", "given" : "R.\u00a0C.", "non-dropping-particle" : "", "parse-names" : false, "suffix" : "" }, { "dropping-particle" : "", "family" : "Technikova-Dobrova", "given" : "Z.", "non-dropping-particle" : "", "parse-names" : false, "suffix" : "" }, { "dropping-particle" : "", "family" : "Sardanelli", "given" : "A.", "non-dropping-particle" : "", "parse-names" : false, "suffix" : "" }, { "dropping-particle" : "", "family" : "Lambo", "given" : "R.", "non-dropping-particle" : "", "parse-names" : false, "suffix" : "" }, { "dropping-particle" : "", "family" : "Lorusso", "given" : "V.", "non-dropping-particle" : "", "parse-names" : false, "suffix" : "" }, { "dropping-particle" : "", "family" : "Papa", "given" : "S.", "non-dropping-particle" : "", "parse-names" : false, "suffix" : "" }, { "dropping-particle" : "", "family" : "Pasdois", "given" : "P.", "non-dropping-particle" : "", "parse-names" : false, "suffix" : "" }, { "dropping-particle" : "", "family" : "Deveaud", "given" : "C.", "non-dropping-particle" : "", "parse-names" : false, "suffix" : "" }, { "dropping-particle" : "", "family" : "Voisin", "given" : "P.", "non-dropping-particle" : "", "parse-names" : false, "suffix" : "" }, { "dropping-particle" : "", "family" : "Bouchaud", "given" : "V.", "non-dropping-particle" : "", "parse-names" : false, "suffix" : "" }, { "dropping-particle" : "", "family" : "Rigoulet", "given" : "M.", "non-dropping-particle" : "", "parse-names" : false, "suffix" : "" }, { "dropping-particle" : "", "family" : "Beauvoit", "given" : "B.", "non-dropping-particle" : "", "parse-names" : false, "suffix" : "" }, { "dropping-particle" : "", "family" : "Papa", "given" : "S.", "non-dropping-particle" : "", "parse-names" : false, "suffix" : "" }, { "dropping-particle" : "", "family" : "Scacco", "given" : "S.", "non-dropping-particle" : "", "parse-names" : false, "suffix" : "" }, { "dropping-particle" : "", "family" : "De\u00a0Rasmo", "given" : "D.", "non-dropping-particle" : "", "parse-names" : false, "suffix" : "" }, { "dropping-particle" : "", "family" : "Signorile", "given" : "A.", "non-dropping-particle" : "", "parse-names" : false, "suffix" : "" }, { "dropping-particle" : "", "family" : "Papa", "given" : "F.", "non-dropping-particle" : "", "parse-names" : false, "suffix" : "" }, { "dropping-particle" : "", "family" : "Panelli", "given" : "D.", "non-dropping-particle" : "", "parse-names" : false, "suffix" : "" }, { "dropping-particle" : "", "family" : "Nicastro", "given" : "A.", "non-dropping-particle" : "", "parse-names" : false, "suffix" : "" }, { "dropping-particle" : "", "family" : "Scaringi", "given" : "R.", "non-dropping-particle" : "", "parse-names" : false, "suffix" : "" }, { "dropping-particle" : "", "family" : "Santeramo", "given" : "A.", "non-dropping-particle" : "", "parse-names" : false, "suffix" : "" }, { "dropping-particle" : "", "family" : "Roca", "given" : "E.", "non-dropping-particle" : "", "parse-names" : false, "suffix" : "" }, { "dropping-particle" : "", "family" : "Rubin", "given" : "C.\u00a0S.", "non-dropping-particle" : "", "parse-names" : false, "suffix" : "" }, { "dropping-particle" : "", "family" : "Horbinski", "given" : "C.", "non-dropping-particle" : "", "parse-names" : false, "suffix" : "" }, { "dropping-particle" : "", "family" : "Chu", "given" : "C.\u00a0T.", "non-dropping-particle" : "", "parse-names" : false, "suffix" : "" }, { "dropping-particle" : "", "family" : "Iuso", "given" : "A.", "non-dropping-particle" : "", "parse-names" : false, "suffix" : "" }, { "dropping-particle" : "", "family" : "Scacco", "given" : "S.", "non-dropping-particle" : "", "parse-names" : false, "suffix" : "" }, { "dropping-particle" : "", "family" : "Piccoli", "given" : "C.", "non-dropping-particle" : "", "parse-names" : false, "suffix" : "" }, { "dropping-particle" : "", "family" : "Bellomo", "given" : "F.", "non-dropping-particle" : "", "parse-names" : false, "suffix" : "" }, { "dropping-particle" : "", "family" : "Petruzzella", "given" : "V.", "non-dropping-particle" : "", "parse-names" : false, "suffix" : "" }, { "dropping-particle" : "", "family" : "Trentadue", "given" : "R.", "non-dropping-particle" : "", "parse-names" : false, "suffix" : "" }, { "dropping-particle" : "", "family" : "Minuto", "given" : "M.", "non-dropping-particle" : "", "parse-names" : false, "suffix" : "" }, { "dropping-particle" : "", "family" : "Ripoli", "given" : "M.", "non-dropping-particle" : "", "parse-names" : false, "suffix" : "" }, { "dropping-particle" : "", "family" : "Capitanio", "given" : "N.", "non-dropping-particle" : "", "parse-names" : false, "suffix" : "" }, { "dropping-particle" : "", "family" : "Zeviani", "given" : "M.", "non-dropping-particle" : "", "parse-names" : false, "suffix" : "" }, { "dropping-particle" : "", "family" : "Papa", "given" : "S.", "non-dropping-particle" : "", "parse-names" : false, "suffix" : "" }, { "dropping-particle" : "", "family" : "Morais", "given" : "V.\u00a0A.", "non-dropping-particle" : "", "parse-names" : false, "suffix" : "" }, { "dropping-particle" : "", "family" : "Verstreken", "given" : "P.", "non-dropping-particle" : "", "parse-names" : false, "suffix" : "" }, { "dropping-particle" : "", "family" : "Roethig", "given" : "A.", "non-dropping-particle" : "", "parse-names" : false, "suffix" : "" }, { "dropping-particle" : "", "family" : "Smet", "given" : "J.", "non-dropping-particle" : "", "parse-names" : false, "suffix" : "" }, { "dropping-particle" : "", "family" : "Snellinx", "given" : "A.", "non-dropping-particle" : "", "parse-names" : false, "suffix" : "" }, { "dropping-particle" : "", "family" : "Vanbrabant", "given" : "M.", "non-dropping-particle" : "", "parse-names" : false, "suffix" : "" }, { "dropping-particle" : "", "family" : "Haddad", "given" : "D.", "non-dropping-particle" : "", "parse-names" : false, "suffix" : "" }, { "dropping-particle" : "", "family" : "Frezza", "given" : "C.", "non-dropping-particle" : "", "parse-names" : false, "suffix" : "" }, { "dropping-particle" : "", "family" : "Mandemakers", "given" : "W.", "non-dropping-particle" : "", "parse-names" : false, "suffix" : "" }, { "dropping-particle" : "", "family" : "Vogt-Weisenhorn", "given" : "D.", "non-dropping-particle" : "", "parse-names" : false, "suffix" : "" }, { "dropping-particle" : "", "family" : "Rhein", "given" : "V.", "non-dropping-particle" : "", "parse-names" : false, "suffix" : "" }, { "dropping-particle" : "", "family" : "Song", "given" : "X.", "non-dropping-particle" : "", "parse-names" : false, "suffix" : "" }, { "dropping-particle" : "", "family" : "Wiesner", "given" : "A.", "non-dropping-particle" : "", "parse-names" : false, "suffix" : "" }, { "dropping-particle" : "", "family" : "Ittner", "given" : "L.\u00a0M.", "non-dropping-particle" : "", "parse-names" : false, "suffix" : "" }, { "dropping-particle" : "", "family" : "Baysang", "given" : "G.", "non-dropping-particle" : "", "parse-names" : false, "suffix" : "" }, { "dropping-particle" : "", "family" : "Meier", "given" : "F.", "non-dropping-particle" : "", "parse-names" : false, "suffix" : "" }, { "dropping-particle" : "", "family" : "Ozmen", "given" : "L.", "non-dropping-particle" : "", "parse-names" : false, "suffix" : "" }, { "dropping-particle" : "", "family" : "Bluethmann", "given" : "H.", "non-dropping-particle" : "", "parse-names" : false, "suffix" : "" }, { "dropping-particle" : "", "family" : "Dr\u00f6se", "given" : "S.", "non-dropping-particle" : "", "parse-names" : false, "suffix" : "" }, { "dropping-particle" : "", "family" : "Brandt", "given" : "U.", "non-dropping-particle" : "", "parse-names" : false, "suffix" : "" }, { "dropping-particle" : "", "family" : "Arenas", "given" : "J.", "non-dropping-particle" : "", "parse-names" : false, "suffix" : "" }, { "dropping-particle" : "", "family" : "Campos", "given" : "Y.", "non-dropping-particle" : "", "parse-names" : false, "suffix" : "" }, { "dropping-particle" : "", "family" : "Ribacoba", "given" : "R.", "non-dropping-particle" : "", "parse-names" : false, "suffix" : "" }, { "dropping-particle" : "", "family" : "Mart\u00edn", "given" : "M.\u00a0A.", "non-dropping-particle" : "", "parse-names" : false, "suffix" : "" }, { "dropping-particle" : "", "family" : "Rubio", "given" : "J.\u00a0C.", "non-dropping-particle" : "", "parse-names" : false, "suffix" : "" }, { "dropping-particle" : "", "family" : "Ablanedo", "given" : "P.", "non-dropping-particle" : "", "parse-names" : false, "suffix" : "" }, { "dropping-particle" : "", "family" : "Cabello", "given" : "A.", "non-dropping-particle" : "", "parse-names" : false, "suffix" : "" }, { "dropping-particle" : "", "family" : "Jones", "given" : "T.\u00a0T.", "non-dropping-particle" : "", "parse-names" : false, "suffix" : "" }, { "dropping-particle" : "", "family" : "Brewer", "given" : "G.\u00a0J.", "non-dropping-particle" : "", "parse-names" : false, "suffix" : "" }, { "dropping-particle" : "", "family" : "Wiseman", "given" : "F.\u00a0K.", "non-dropping-particle" : "", "parse-names" : false, "suffix" : "" }, { "dropping-particle" : "", "family" : "Alford", "given" : "K.\u00a0A.", "non-dropping-particle" : "", "parse-names" : false, "suffix" : "" }, { "dropping-particle" : "", "family" : "Tybulewicz", "given" : "V.\u00a0L.", "non-dropping-particle" : "", "parse-names" : false, "suffix" : "" }, { "dropping-particle" : "", "family" : "Fisher", "given" : "E.\u00a0M.", "non-dropping-particle" : "", "parse-names" : false, "suffix" : "" }, { "dropping-particle" : "", "family" : "Lott", "given" : "I.\u00a0T.", "non-dropping-particle" : "", "parse-names" : false, "suffix" : "" }, { "dropping-particle" : "", "family" : "Head", "given" : "E.", "non-dropping-particle" : "", "parse-names" : false, "suffix" : "" }, { "dropping-particle" : "", "family" : "Bambrick", "given" : "L.\u00a0L.", "non-dropping-particle" : "", "parse-names" : false, "suffix" : "" }, { "dropping-particle" : "", "family" : "Fiskun", "given" : "G.", "non-dropping-particle" : "", "parse-names" : false, "suffix" : "" }, { "dropping-particle" : "", "family" : "Kim", "given" : "S.\u00a0H.", "non-dropping-particle" : "", "parse-names" : false, "suffix" : "" }, { "dropping-particle" : "", "family" : "Fountoulakis", "given" : "M.", "non-dropping-particle" : "", "parse-names" : false, "suffix" : "" }, { "dropping-particle" : "", "family" : "Dierssen", "given" : "M.", "non-dropping-particle" : "", "parse-names" : false, "suffix" : "" }, { "dropping-particle" : "", "family" : "Lubec", "given" : "G.", "non-dropping-particle" : "", "parse-names" : false, "suffix" : "" }, { "dropping-particle" : "", "family" : "Valenti", "given" : "D.", "non-dropping-particle" : "", "parse-names" : false, "suffix" : "" }, { "dropping-particle" : "", "family" : "Tullo", "given" : "A.", "non-dropping-particle" : "", "parse-names" : false, "suffix" : "" }, { "dropping-particle" : "", "family" : "Caratozzolo", "given" : "M.\u00a0F.", "non-dropping-particle" : "", "parse-names" : false, "suffix" : "" }, { "dropping-particle" : "", "family" : "Merafina", "given" : "R.\u00a0S.", "non-dropping-particle" : "", "parse-names" : false, "suffix" : "" }, { "dropping-particle" : "", "family" : "Scartezzini", "given" : "P.", "non-dropping-particle" : "", "parse-names" : false, "suffix" : "" }, { "dropping-particle" : "", "family" : "Marra", "given" : "E.", "non-dropping-particle" : "", "parse-names" : false, "suffix" : "" }, { "dropping-particle" : "", "family" : "Vacca", "given" : "R.\u00a0A.", "non-dropping-particle" : "", "parse-names" : false, "suffix" : "" }, { "dropping-particle" : "", "family" : "Cocco", "given" : "T.", "non-dropping-particle" : "", "parse-names" : false, "suffix" : "" }, { "dropping-particle" : "", "family" : "Pacelli", "given" : "C.", "non-dropping-particle" : "", "parse-names" : false, "suffix" : "" }, { "dropping-particle" : "", "family" : "Sgobbo", "given" : "P.", "non-dropping-particle" : "", "parse-names" : false, "suffix" : "" }, { "dropping-particle" : "", "family" : "Villani", "given" : "G.", "non-dropping-particle" : "", "parse-names" : false, "suffix" : "" }, { "dropping-particle" : "", "family" : "Koopman", "given" : "W.\u00a0J.", "non-dropping-particle" : "", "parse-names" : false, "suffix" : "" }, { "dropping-particle" : "", "family" : "Nijtmans", "given" : "L.\u00a0G.", "non-dropping-particle" : "", "parse-names" : false, "suffix" : "" }, { "dropping-particle" : "", "family" : "Dieteren", "given" : "C.\u00a0E.", "non-dropping-particle" : "", "parse-names" : false, "suffix" : "" }, { "dropping-particle" : "", "family" : "Roestenberg", "given" : "P.", "non-dropping-particle" : "", "parse-names" : false, "suffix" : "" }, { "dropping-particle" : "", "family" : "Valsecchi", "given" : "F.", "non-dropping-particle" : "", "parse-names" : false, "suffix" : "" }, { "dropping-particle" : "", "family" : "Smeitink", "given" : "J.\u00a0A.", "non-dropping-particle" : "", "parse-names" : false, "suffix" : "" }, { "dropping-particle" : "", "family" : "Willems", "given" : "P.\u00a0H.", "non-dropping-particle" : "", "parse-names" : false, "suffix" : "" }, { "dropping-particle" : "", "family" : "Fato", "given" : "R.", "non-dropping-particle" : "", "parse-names" : false, "suffix" : "" }, { "dropping-particle" : "", "family" : "Bergamini", "given" : "C.", "non-dropping-particle" : "", "parse-names" : false, "suffix" : "" }, { "dropping-particle" : "", "family" : "Leoni", "given" : "S.", "non-dropping-particle" : "", "parse-names" : false, "suffix" : "" }, { "dropping-particle" : "", "family" : "Lenaz", "given" : "G.", "non-dropping-particle" : "", "parse-names" : false, "suffix" : "" }, { "dropping-particle" : "", "family" : "Ishihara", "given" : "K.", "non-dropping-particle" : "", "parse-names" : false, "suffix" : "" }, { "dropping-particle" : "", "family" : "Amano", "given" : "K.", "non-dropping-particle" : "", "parse-names" : false, "suffix" : "" }, { "dropping-particle" : "", "family" : "Takaki", "given" : "E.", "non-dropping-particle" : "", "parse-names" : false, "suffix" : "" }, { "dropping-particle" : "", "family" : "Ebrahim", "given" : "A.\u00a0S.", "non-dropping-particle" : "", "parse-names" : false, "suffix" : "" }, { "dropping-particle" : "", "family" : "Shimohata", "given" : "A.", "non-dropping-particle" : "", "parse-names" : false, "suffix" : "" }, { "dropping-particle" : "", "family" : "Shibazaki", "given" : "N.", "non-dropping-particle" : "", "parse-names" : false, "suffix" : "" }, { "dropping-particle" : "", "family" : "Inoue", "given" : "I.", "non-dropping-particle" : "", "parse-names" : false, "suffix" : "" }, { "dropping-particle" : "", "family" : "Takaki", "given" : "M.", "non-dropping-particle" : "", "parse-names" : false, "suffix" : "" }, { "dropping-particle" : "", "family" : "Ueda", "given" : "Y.", "non-dropping-particle" : "", "parse-names" : false, "suffix" : "" }, { "dropping-particle" : "", "family" : "Sago", "given" : "H.", "non-dropping-particle" : "", "parse-names" : false, "suffix" : "" }, { "dropping-particle" : "", "family" : "Galletti", "given" : "P.", "non-dropping-particle" : "", "parse-names" : false, "suffix" : "" }, { "dropping-particle" : "", "family" : "De\u00a0Bonis", "given" : "M.\u00a0L.", "non-dropping-particle" : "", "parse-names" : false, "suffix" : "" }, { "dropping-particle" : "", "family" : "Sorrentino", "given" : "A.", "non-dropping-particle" : "", "parse-names" : false, "suffix" : "" }, { "dropping-particle" : "", "family" : "Raimo", "given" : "M.", "non-dropping-particle" : "", "parse-names" : false, "suffix" : "" }, { "dropping-particle" : "", "family" : "D'Angelo", "given" : "S.", "non-dropping-particle" : "", "parse-names" : false, "suffix" : "" }, { "dropping-particle" : "", "family" : "Scala", "given" : "I.", "non-dropping-particle" : "", "parse-names" : false, "suffix" : "" }, { "dropping-particle" : "", "family" : "Andria", "given" : "G.", "non-dropping-particle" : "", "parse-names" : false, "suffix" : "" }, { "dropping-particle" : "", "family" : "D\u2019Aniello", "given" : "A.", "non-dropping-particle" : "", "parse-names" : false, "suffix" : "" }, { "dropping-particle" : "", "family" : "Ingrosso", "given" : "D.", "non-dropping-particle" : "", "parse-names" : false, "suffix" : "" }, { "dropping-particle" : "", "family" : "Zappia", "given" : "V.", "non-dropping-particle" : "", "parse-names" : false, "suffix" : "" }, { "dropping-particle" : "", "family" : "Morawiec", "given" : "Z.", "non-dropping-particle" : "", "parse-names" : false, "suffix" : "" }, { "dropping-particle" : "", "family" : "Janik", "given" : "K.", "non-dropping-particle" : "", "parse-names" : false, "suffix" : "" }, { "dropping-particle" : "", "family" : "Kowalski", "given" : "M.", "non-dropping-particle" : "", "parse-names" : false, "suffix" : "" }, { "dropping-particle" : "", "family" : "Stetkiewicz", "given" : "T.", "non-dropping-particle" : "", "parse-names" : false, "suffix" : "" }, { "dropping-particle" : "", "family" : "Szaflik", "given" : "J.", "non-dropping-particle" : "", "parse-names" : false, "suffix" : "" }, { "dropping-particle" : "", "family" : "Morawiec-Bajda", "given" : "A.", "non-dropping-particle" : "", "parse-names" : false, "suffix" : "" }, { "dropping-particle" : "", "family" : "Sobczuk", "given" : "A.", "non-dropping-particle" : "", "parse-names" : false, "suffix" : "" }, { "dropping-particle" : "", "family" : "Blasiak", "given" : "J.", "non-dropping-particle" : "", "parse-names" : false, "suffix" : "" }, { "dropping-particle" : "", "family" : "Lee", "given" : "M.", "non-dropping-particle" : "", "parse-names" : false, "suffix" : "" }, { "dropping-particle" : "", "family" : "Hyun", "given" : "D.", "non-dropping-particle" : "", "parse-names" : false, "suffix" : "" }, { "dropping-particle" : "", "family" : "Jenner", "given" : "P.", "non-dropping-particle" : "", "parse-names" : false, "suffix" : "" }, { "dropping-particle" : "", "family" : "Halliwell", "given" : "B.", "non-dropping-particle" : "", "parse-names" : false, "suffix" : "" }, { "dropping-particle" : "", "family" : "Shukkur", "given" : "E.\u00a0A.", "non-dropping-particle" : "", "parse-names" : false, "suffix" : "" }, { "dropping-particle" : "", "family" : "Shimohata", "given" : "A.", "non-dropping-particle" : "", "parse-names" : false, "suffix" : "" }, { "dropping-particle" : "", "family" : "Akagi", "given" : "T.", "non-dropping-particle" : "", "parse-names" : false, "suffix" : "" }, { "dropping-particle" : "", "family" : "Yu", "given" : "W.", "non-dropping-particle" : "", "parse-names" : false, "suffix" : "" }, { "dropping-particle" : "", "family" : "Yamaguchi", "given" : "M.", "non-dropping-particle" : "", "parse-names" : false, "suffix" : "" }, { "dropping-particle" : "", "family" : "Murayama", "given" : "M.", "non-dropping-particle" : "", "parse-names" : false, "suffix" : "" }, { "dropping-particle" : "", "family" : "Chui", "given" : "D.", "non-dropping-particle" : "", "parse-names" : false, "suffix" : "" }, { "dropping-particle" : "", "family" : "Takeuchi", "given" : "T.", "non-dropping-particle" : "", "parse-names" : false, "suffix" : "" }, { "dropping-particle" : "", "family" : "Amano", "given" : "K.", "non-dropping-particle" : "", "parse-names" : false, "suffix" : "" }, { "dropping-particle" : "", "family" : "Subramhanya", "given" : "K.\u00a0H.", "non-dropping-particle" : "", "parse-names" : false, "suffix" : "" }, { "dropping-particle" : "", "family" : "Raha", "given" : "S.", "non-dropping-particle" : "", "parse-names" : false, "suffix" : "" }, { "dropping-particle" : "", "family" : "McEachern", "given" : "G.\u00a0E.", "non-dropping-particle" : "", "parse-names" : false, "suffix" : "" }, { "dropping-particle" : "", "family" : "Myint", "given" : "A.\u00a0T.", "non-dropping-particle" : "", "parse-names" : false, "suffix" : "" }, { "dropping-particle" : "", "family" : "Robinson", "given" : "B.\u00a0H.", "non-dropping-particle" : "", "parse-names" : false, "suffix" : "" }, { "dropping-particle" : "", "family" : "Bradford", "given" : "M.\u00a0M.", "non-dropping-particle" : "", "parse-names" : false, "suffix" : "" }, { "dropping-particle" : "", "family" : "Brand", "given" : "M.\u00a0D.", "non-dropping-particle" : "", "parse-names" : false, "suffix" : "" }, { "dropping-particle" : "", "family" : "Murphy", "given" : "M.\u00a0P.", "non-dropping-particle" : "", "parse-names" : false, "suffix" : "" }, { "dropping-particle" : "", "family" : "Valenti", "given" : "D.", "non-dropping-particle" : "", "parse-names" : false, "suffix" : "" }, { "dropping-particle" : "", "family" : "Vacca", "given" : "R.\u00a0A.", "non-dropping-particle" : "", "parse-names" : false, "suffix" : "" }, { "dropping-particle" : "", "family" : "de\u00a0Pinto", "given" : "M.\u00a0C.", "non-dropping-particle" : "", "parse-names" : false, "suffix" : "" }, { "dropping-particle" : "", "family" : "De\u00a0Gara", "given" : "L.", "non-dropping-particle" : "", "parse-names" : false, "suffix" : "" }, { "dropping-particle" : "", "family" : "Marra", "given" : "E.", "non-dropping-particle" : "", "parse-names" : false, "suffix" : "" }, { "dropping-particle" : "", "family" : "Passerella", "given" : "S.", "non-dropping-particle" : "", "parse-names" : false, "suffix" : "" }, { "dropping-particle" : "", "family" : "B\u00e9nit", "given" : "P.", "non-dropping-particle" : "", "parse-names" : false, "suffix" : "" }, { "dropping-particle" : "", "family" : "Goncalves", "given" : "S.", "non-dropping-particle" : "", "parse-names" : false, "suffix" : "" }, { "dropping-particle" : "", "family" : "Philippe\u00a0Dassa", "given" : "E.", "non-dropping-particle" : "", "parse-names" : false, "suffix" : "" }, { "dropping-particle" : "", "family" : "Bri\u00e8re", "given" : "J.\u00a0J.", "non-dropping-particle" : "", "parse-names" : false, "suffix" : "" }, { "dropping-particle" : "", "family" : "Martin", "given" : "G.", "non-dropping-particle" : "", "parse-names" : false, "suffix" : "" }, { "dropping-particle" : "", "family" : "Rustin", "given" : "P.", "non-dropping-particle" : "", "parse-names" : false, "suffix" : "" }, { "dropping-particle" : "", "family" : "Vacca", "given" : "R.\u00a0A.", "non-dropping-particle" : "", "parse-names" : false, "suffix" : "" }, { "dropping-particle" : "", "family" : "Marra", "given" : "E.", "non-dropping-particle" : "", "parse-names" : false, "suffix" : "" }, { "dropping-particle" : "", "family" : "Loverro", "given" : "G.", "non-dropping-particle" : "", "parse-names" : false, "suffix" : "" }, { "dropping-particle" : "", "family" : "Maiorano", "given" : "E.", "non-dropping-particle" : "", "parse-names" : false, "suffix" : "" }, { "dropping-particle" : "", "family" : "Napoli", "given" : "A.", "non-dropping-particle" : "", "parse-names" : false, "suffix" : "" }, { "dropping-particle" : "", "family" : "Lovecchio", "given" : "M.", "non-dropping-particle" : "", "parse-names" : false, "suffix" : "" }, { "dropping-particle" : "", "family" : "Selvaggi", "given" : "L.", "non-dropping-particle" : "", "parse-names" : false, "suffix" : "" }, { "dropping-particle" : "", "family" : "Perlino", "given" : "E.", "non-dropping-particle" : "", "parse-names" : false, "suffix" : "" }, { "dropping-particle" : "", "family" : "Moro", "given" : "L.", "non-dropping-particle" : "", "parse-names" : false, "suffix" : "" }, { "dropping-particle" : "", "family" : "Venturino", "given" : "M.", "non-dropping-particle" : "", "parse-names" : false, "suffix" : "" }, { "dropping-particle" : "", "family" : "Bozzo", "given" : "C.", "non-dropping-particle" : "", "parse-names" : false, "suffix" : "" }, { "dropping-particle" : "", "family" : "Silengo", "given" : "L.", "non-dropping-particle" : "", "parse-names" : false, "suffix" : "" }, { "dropping-particle" : "", "family" : "Altruda", "given" : "F.", "non-dropping-particle" : "", "parse-names" : false, "suffix" : "" }, { "dropping-particle" : "", "family" : "Beguinot", "given" : "L.", "non-dropping-particle" : "", "parse-names" : false, "suffix" : "" }, { "dropping-particle" : "", "family" : "Tarone", "given" : "G.", "non-dropping-particle" : "", "parse-names" : false, "suffix" : "" }, { "dropping-particle" : "", "family" : "Defilippi", "given" : "P.", "non-dropping-particle" : "", "parse-names" : false, "suffix" : "" }, { "dropping-particle" : "", "family" : "Mukhopadhyay", "given" : "P.", "non-dropping-particle" : "", "parse-names" : false, "suffix" : "" }, { "dropping-particle" : "", "family" : "Rajesh", "given" : "M.", "non-dropping-particle" : "", "parse-names" : false, "suffix" : "" }, { "dropping-particle" : "", "family" : "Hask\u00f3", "given" : "G.", "non-dropping-particle" : "", "parse-names" : false, "suffix" : "" }, { "dropping-particle" : "", "family" : "Hawkins", "given" : "B.\u00a0J.", "non-dropping-particle" : "", "parse-names" : false, "suffix" : "" }, { "dropping-particle" : "", "family" : "Madesh", "given" : "M.", "non-dropping-particle" : "", "parse-names" : false, "suffix" : "" }, { "dropping-particle" : "", "family" : "Pacher", "given" : "P.", "non-dropping-particle" : "", "parse-names" : false, "suffix" : "" }, { "dropping-particle" : "", "family" : "LeBel", "given" : "C.\u00a0P.", "non-dropping-particle" : "", "parse-names" : false, "suffix" : "" }, { "dropping-particle" : "", "family" : "Ischiropoulos", "given" : "H.", "non-dropping-particle" : "", "parse-names" : false, "suffix" : "" }, { "dropping-particle" : "", "family" : "Bondy", "given" : "S.\u00a0C.", "non-dropping-particle" : "", "parse-names" : false, "suffix" : "" }, { "dropping-particle" : "", "family" : "Chijiwa", "given" : "T.", "non-dropping-particle" : "", "parse-names" : false, "suffix" : "" }, { "dropping-particle" : "", "family" : "Mishima", "given" : "A.", "non-dropping-particle" : "", "parse-names" : false, "suffix" : "" }, { "dropping-particle" : "", "family" : "Hagiwara", "given" : "M.", "non-dropping-particle" : "", "parse-names" : false, "suffix" : "" }, { "dropping-particle" : "", "family" : "Sano", "given" : "M.", "non-dropping-particle" : "", "parse-names" : false, "suffix" : "" }, { "dropping-particle" : "", "family" : "Hayashi", "given" : "K.", "non-dropping-particle" : "", "parse-names" : false, "suffix" : "" }, { "dropping-particle" : "", "family" : "Inoue", "given" : "T.", "non-dropping-particle" : "", "parse-names" : false, "suffix" : "" }, { "dropping-particle" : "", "family" : "Naito", "given" : "K.", "non-dropping-particle" : "", "parse-names" : false, "suffix" : "" }, { "dropping-particle" : "", "family" : "Toshioka", "given" : "T.", "non-dropping-particle" : "", "parse-names" : false, "suffix" : "" }, { "dropping-particle" : "", "family" : "Hidaka", "given" : "H.", "non-dropping-particle" : "", "parse-names" : false, "suffix" : "" }, { "dropping-particle" : "", "family" : "De\u00a0Rasmo", "given" : "D.", "non-dropping-particle" : "", "parse-names" : false, "suffix" : "" }, { "dropping-particle" : "", "family" : "Palmisano", "given" : "G.", "non-dropping-particle" : "", "parse-names" : false, "suffix" : "" }, { "dropping-particle" : "", "family" : "Scacco", "given" : "S.", "non-dropping-particle" : "", "parse-names" : false, "suffix" : "" }, { "dropping-particle" : "", "family" : "Technikova-Dobrova", "given" : "Z.", "non-dropping-particle" : "", "parse-names" : false, "suffix" : "" }, { "dropping-particle" : "", "family" : "Panelli", "given" : "D.", "non-dropping-particle" : "", "parse-names" : false, "suffix" : "" }, { "dropping-particle" : "", "family" : "Cocco", "given" : "T.", "non-dropping-particle" : "", "parse-names" : false, "suffix" : "" }, { "dropping-particle" : "", "family" : "Sardanelli", "given" : "A.\u00a0M.", "non-dropping-particle" : "", "parse-names" : false, "suffix" : "" }, { "dropping-particle" : "", "family" : "Gnoni", "given" : "A.", "non-dropping-particle" : "", "parse-names" : false, "suffix" : "" }, { "dropping-particle" : "", "family" : "Micelli", "given" : "L.", "non-dropping-particle" : "", "parse-names" : false, "suffix" : "" }, { "dropping-particle" : "", "family" : "Trani", "given" : "A.", "non-dropping-particle" : "", "parse-names" : false, "suffix" : "" }, { "dropping-particle" : "", "family" : "Lund", "given" : "K.\u00a0C.", "non-dropping-particle" : "", "parse-names" : false, "suffix" : "" }, { "dropping-particle" : "", "family" : "Wallace", "given" : "K.\u00a0B.", "non-dropping-particle" : "", "parse-names" : false, "suffix" : "" }, { "dropping-particle" : "", "family" : "Conti", "given" : "A.", "non-dropping-particle" : "", "parse-names" : false, "suffix" : "" }, { "dropping-particle" : "", "family" : "Fabbrini", "given" : "F.", "non-dropping-particle" : "", "parse-names" : false, "suffix" : "" }, { "dropping-particle" : "", "family" : "D'Agostino", "given" : "P.", "non-dropping-particle" : "", "parse-names" : false, "suffix" : "" }, { "dropping-particle" : "", "family" : "Negri", "given" : "R.", "non-dropping-particle" : "", "parse-names" : false, "suffix" : "" }, { "dropping-particle" : "", "family" : "Greco", "given" : "D.", "non-dropping-particle" : "", "parse-names" : false, "suffix" : "" }, { "dropping-particle" : "", "family" : "Genesio", "given" : "R.", "non-dropping-particle" : "", "parse-names" : false, "suffix" : "" }, { "dropping-particle" : "", "family" : "D'Armiento", "given" : "M.", "non-dropping-particle" : "", "parse-names" : false, "suffix" : "" }, { "dropping-particle" : "", "family" : "Olla", "given" : "C.", "non-dropping-particle" : "", "parse-names" : false, "suffix" : "" }, { "dropping-particle" : "", "family" : "Paladini", "given" : "D.", "non-dropping-particle" : "", "parse-names" : false, "suffix" : "" }, { "dropping-particle" : "", "family" : "Zannini", "given" : "M.", "non-dropping-particle" : "", "parse-names" : false, "suffix" : "" }, { "dropping-particle" : "", "family" : "Nitsch", "given" : "L.", "non-dropping-particle" : "", "parse-names" : false, "suffix" : "" }, { "dropping-particle" : "", "family" : "Dierssen", "given" : "M.", "non-dropping-particle" : "", "parse-names" : false, "suffix" : "" }, { "dropping-particle" : "", "family" : "Vallina", "given" : "I.\u00a0F.", "non-dropping-particle" : "", "parse-names" : false, "suffix" : "" }, { "dropping-particle" : "", "family" : "Baamonde", "given" : "C.", "non-dropping-particle" : "", "parse-names" : false, "suffix" : "" }, { "dropping-particle" : "", "family" : "Lumbreras", "given" : "M.\u00a0A.", "non-dropping-particle" : "", "parse-names" : false, "suffix" : "" }, { "dropping-particle" : "", "family" : "Mart\u00ednez-Cu\u00e9", "given" : "C.", "non-dropping-particle" : "", "parse-names" : false, "suffix" : "" }, { "dropping-particle" : "", "family" : "Catayud", "given" : "S.\u00a0G.", "non-dropping-particle" : "", "parse-names" : false, "suffix" : "" }, { "dropping-particle" : "", "family" : "Fl\u00f3rez", "given" : "J.", "non-dropping-particle" : "", "parse-names" : false, "suffix" : "" }, { "dropping-particle" : "", "family" : "Siarey", "given" : "R.\u00a0J.", "non-dropping-particle" : "", "parse-names" : false, "suffix" : "" }, { "dropping-particle" : "", "family" : "Kline-Burgess", "given" : "A.", "non-dropping-particle" : "", "parse-names" : false, "suffix" : "" }, { "dropping-particle" : "", "family" : "Cho", "given" : "M.", "non-dropping-particle" : "", "parse-names" : false, "suffix" : "" }, { "dropping-particle" : "", "family" : "Balbo", "given" : "A.", "non-dropping-particle" : "", "parse-names" : false, "suffix" : "" }, { "dropping-particle" : "", "family" : "Best", "given" : "T.\u00a0K.", "non-dropping-particle" : "", "parse-names" : false, "suffix" : "" }, { "dropping-particle" : "", "family" : "Harashima", "given" : "C.", "non-dropping-particle" : "", "parse-names" : false, "suffix" : "" }, { "dropping-particle" : "", "family" : "Klann", "given" : "E.", "non-dropping-particle" : "", "parse-names" : false, "suffix" : "" }, { "dropping-particle" : "", "family" : "Galdzicki", "given" : "Z.", "non-dropping-particle" : "", "parse-names" : false, "suffix" : "" }, { "dropping-particle" : "", "family" : "Carlucci", "given" : "A.", "non-dropping-particle" : "", "parse-names" : false, "suffix" : "" }, { "dropping-particle" : "", "family" : "Lignitto", "given" : "L.", "non-dropping-particle" : "", "parse-names" : false, "suffix" : "" }, { "dropping-particle" : "", "family" : "Feliciello", "given" : "A.", "non-dropping-particle" : "", "parse-names" : false, "suffix" : "" }, { "dropping-particle" : "", "family" : "Lott", "given" : "I.\u00a0T.", "non-dropping-particle" : "", "parse-names" : false, "suffix" : "" }, { "dropping-particle" : "", "family" : "Head", "given" : "E.", "non-dropping-particle" : "", "parse-names" : false, "suffix" : "" }, { "dropping-particle" : "", "family" : "Doran", "given" : "E.", "non-dropping-particle" : "", "parse-names" : false, "suffix" : "" }, { "dropping-particle" : "", "family" : "Busciglio", "given" : "J.", "non-dropping-particle" : "", "parse-names" : false, "suffix" : "" }, { "dropping-particle" : "", "family" : "de\u00a0Haan", "given" : "J.\u00a0B.", "non-dropping-particle" : "", "parse-names" : false, "suffix" : "" }, { "dropping-particle" : "", "family" : "Susil", "given" : "B.", "non-dropping-particle" : "", "parse-names" : false, "suffix" : "" }, { "dropping-particle" : "", "family" : "Pritchard", "given" : "M.", "non-dropping-particle" : "", "parse-names" : false, "suffix" : "" }, { "dropping-particle" : "", "family" : "Kola", "given" : "I.", "non-dropping-particle" : "", "parse-names" : false, "suffix" : "" }, { "dropping-particle" : "", "family" : "Grivennikova", "given" : "V.\u00a0G.", "non-dropping-particle" : "", "parse-names" : false, "suffix" : "" }, { "dropping-particle" : "", "family" : "Vinogradov", "given" : "A.\u00a0D.", "non-dropping-particle" : "", "parse-names" : false, "suffix" : "" } ], "container-title" : "The Biochemical journal", "id" : "ITEM-2", "issue" : "3", "issued" : { "date-parts" : [ [ "2011", "5", "1" ] ] }, "page" : "679-88", "publisher" : "Portland Press Limited", "title" : "Deficit of complex I activity in human skin fibroblasts with chromosome 21 trisomy and overproduction of reactive oxygen species by mitochondria: involvement of the cAMP/PKA signalling pathway.", "type" : "article-journal", "volume" : "435" }, "uris" : [ "http://www.mendeley.com/documents/?uuid=728d87be-c708-372d-9b97-98b0d360bdfb" ] }, { "id" : "ITEM-3", "itemData" : { "DOI" : "10.1016/j.febslet.2011.09.019", "ISSN" : "00145793", "abstract" : "In mammals, complex I (NADH-ubiquinone oxidoreductase) of the mitochondrial respiratory chain has 31 supernumerary subunits in addition to the 14 conserved from prokaryotes to humans. Multiplicity of structural protein components, as well as of biogenesis factors, makes complex I a sensible pace-maker of mitochondrial respiration. The work reviewed here shows that the cAMP/PKA pathway regulates the biogenesis, assembly and catalytic activity of complex I and mitochondrial oxygen superoxide production. The structural, functional and regulatory complexity of complex I, renders it particularly vulnerable to genetic and sporadic pathological factors. Complex I dysfunction has, indeed, been found, to be associated with several human diseases. Knowledge of the pathogenetic mechanisms of these diseases can help to develop new therapeutic strategies.", "author" : [ { "dropping-particle" : "", "family" : "Papa", "given" : "Sergio", "non-dropping-particle" : "", "parse-names" : false, "suffix" : "" }, { "dropping-particle" : "De", "family" : "Rasmo", "given" : "Domenico", "non-dropping-particle" : "", "parse-names" : false, "suffix" : "" }, { "dropping-particle" : "", "family" : "Technikova-Dobrova", "given" : "Zuzana", "non-dropping-particle" : "", "parse-names" : false, "suffix" : "" }, { "dropping-particle" : "", "family" : "Panelli", "given" : "Damiano", "non-dropping-particle" : "", "parse-names" : false, "suffix" : "" }, { "dropping-particle" : "", "family" : "Signorile", "given" : "Anna", "non-dropping-particle" : "", "parse-names" : false, "suffix" : "" }, { "dropping-particle" : "", "family" : "Scacco", "given" : "Salvatore", "non-dropping-particle" : "", "parse-names" : false, "suffix" : "" }, { "dropping-particle" : "", "family" : "Petruzzella", "given" : "Vittoria", "non-dropping-particle" : "", "parse-names" : false, "suffix" : "" }, { "dropping-particle" : "", "family" : "Papa", "given" : "Francesco", "non-dropping-particle" : "", "parse-names" : false, "suffix" : "" }, { "dropping-particle" : "", "family" : "Palmisano", "given" : "Giuseppe", "non-dropping-particle" : "", "parse-names" : false, "suffix" : "" }, { "dropping-particle" : "", "family" : "Gnoni", "given" : "Antonio", "non-dropping-particle" : "", "parse-names" : false, "suffix" : "" }, { "dropping-particle" : "", "family" : "Micelli", "given" : "Loris", "non-dropping-particle" : "", "parse-names" : false, "suffix" : "" }, { "dropping-particle" : "", "family" : "Sardanelli", "given" : "Anna Maria", "non-dropping-particle" : "", "parse-names" : false, "suffix" : "" } ], "container-title" : "FEBS Letters", "id" : "ITEM-3", "issue" : "5", "issued" : { "date-parts" : [ [ "2012" ] ] }, "page" : "568-577", "title" : "Respiratory chain complex I, a main regulatory target of the cAMP/PKA pathway is defective in different human diseases", "type" : "article-journal", "volume" : "586" }, "uris" : [ "http://www.mendeley.com/documents/?uuid=f7c2aa67-602c-3367-8986-954f8645f6e4" ] } ], "mendeley" : { "formattedCitation" : "(L. Zhang et al. 2015; Valenti et al. 2011; Papa et al. 2012)", "manualFormatting" : "(Papa et al., 2012; Valenti et al., 2011)", "plainTextFormattedCitation" : "(L. Zhang et al. 2015; Valenti et al. 2011; Papa et al. 2012)", "previouslyFormattedCitation" : "(L. Zhang et al. 2015; Valenti et al. 2011; Papa et al. 2012)" }, "properties" : { "noteIndex" : 0 }, "schema" : "https://github.com/citation-style-language/schema/raw/master/csl-citation.json" }</w:instrText>
      </w:r>
      <w:r w:rsidR="00B13E99">
        <w:rPr>
          <w:rFonts w:ascii="Times New Roman" w:hAnsi="Times New Roman" w:cs="Times New Roman"/>
          <w:noProof/>
        </w:rPr>
        <w:fldChar w:fldCharType="separate"/>
      </w:r>
      <w:r w:rsidR="00B13E99" w:rsidRPr="00B13E99">
        <w:rPr>
          <w:rFonts w:ascii="Times New Roman" w:hAnsi="Times New Roman" w:cs="Times New Roman"/>
          <w:noProof/>
        </w:rPr>
        <w:t>(Papa et al.</w:t>
      </w:r>
      <w:r w:rsidR="007143F7">
        <w:rPr>
          <w:rFonts w:ascii="Times New Roman" w:hAnsi="Times New Roman" w:cs="Times New Roman"/>
          <w:noProof/>
        </w:rPr>
        <w:t>, 2012; Valenti et al., 20</w:t>
      </w:r>
      <w:r w:rsidR="002C0EA0">
        <w:rPr>
          <w:rFonts w:ascii="Times New Roman" w:hAnsi="Times New Roman" w:cs="Times New Roman"/>
          <w:noProof/>
        </w:rPr>
        <w:t>11</w:t>
      </w:r>
      <w:r w:rsidR="00B13E99" w:rsidRPr="00B13E99">
        <w:rPr>
          <w:rFonts w:ascii="Times New Roman" w:hAnsi="Times New Roman" w:cs="Times New Roman"/>
          <w:noProof/>
        </w:rPr>
        <w:t>)</w:t>
      </w:r>
      <w:r w:rsidR="00B13E99">
        <w:rPr>
          <w:rFonts w:ascii="Times New Roman" w:hAnsi="Times New Roman" w:cs="Times New Roman"/>
          <w:noProof/>
        </w:rPr>
        <w:fldChar w:fldCharType="end"/>
      </w:r>
      <w:r w:rsidR="0015587A">
        <w:rPr>
          <w:rFonts w:ascii="Times New Roman" w:hAnsi="Times New Roman" w:cs="Times New Roman"/>
          <w:noProof/>
        </w:rPr>
        <w:t xml:space="preserve">. In foetal skin fibroblasts with Down’s syndrome, addition of cAMP derivatives has been shown to increase phosphorylation of complex I </w:t>
      </w:r>
      <w:r w:rsidR="00AB27B7">
        <w:rPr>
          <w:rFonts w:ascii="Times New Roman" w:hAnsi="Times New Roman" w:cs="Times New Roman"/>
          <w:noProof/>
        </w:rPr>
        <w:t xml:space="preserve">subunits, </w:t>
      </w:r>
      <w:r w:rsidR="0015587A">
        <w:rPr>
          <w:rFonts w:ascii="Times New Roman" w:hAnsi="Times New Roman" w:cs="Times New Roman"/>
          <w:noProof/>
        </w:rPr>
        <w:t>restore its activity and resolve ROS levels</w:t>
      </w:r>
      <w:r w:rsidR="00341975">
        <w:rPr>
          <w:rFonts w:ascii="Times New Roman" w:hAnsi="Times New Roman" w:cs="Times New Roman"/>
          <w:noProof/>
        </w:rPr>
        <w:t xml:space="preserve"> </w:t>
      </w:r>
      <w:r w:rsidR="00857175">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"10.1042/BJ20101908", "ISSN" : "1470-8728", "PMID" : "21338338", "abstract" : "DS (Down's syndrome) is the most common human aneuploidy associated with mental retardation and early neurodegeneration. Mitochondrial dysfunction has emerged as a crucial factor in the pathogenesis of numerous neurological disorders including DS, but the cause of mitochondrial damage remains elusive. In the present study, we identified new molecular events involved in mitochondrial dysfunction which could play a role in DS pathogenesis. We analysed mitochondrial respiratory chain function in DS-HSFs (Down's syndrome human foetal skin fibroblasts; human foetal skin fibroblasts with chromosome 21 trisomy) and found a selective deficit in the catalytic efficiency of mitochondrial complex I. The complex I deficit was associated with a decrease in cAMP-dependent phosphorylation of the 18 kDa subunit of the complex, due to a decrease in PKA (protein kinase A) activity related to reduced basal levels of cAMP. Consistently, exposure of DS-HSFs to db-cAMP (dibutyryl-cAMP), a membrane-permeable cAMP analogue, stimulated PKA activity and consequently rescued the deficit of both the cAMP-dependent phosphorylation and the catalytic activity of complex I; conversely H89, a specific PKA inhibitor, suppressed these cAMP-dependent activations. Furthermore, in the present paper we report a 3-fold increase in cellular levels of ROS (reactive oxygen species), in particular superoxide anion, mainly produced by DS-HSF mitochondria. ROS accumulation was prevented by db-cAMP-dependent activation of complex I, suggesting its involvement in ROS production. Taken together, the results of the present study suggest that the drastic decrease in basal cAMP levels observed in DS-HSFs participates in the complex I deficit and overproduction of ROS by DS-HSF mitochondria.", "author" : [ { "dropping-particle" : "", "family" : "Valenti", "given" : "Daniela", "non-dropping-particle" : "", "parse-names" : false, "suffix" : "" }, { "dropping-particle" : "", "family" : "Manente", "given" : "Gabriella Arcangela", "non-dropping-particle" : "", "parse-names" : false, "suffix" : "" }, { "dropping-particle" : "", "family" : "Moro", "given" : "Laura", "non-dropping-particle" : "", "parse-names" : false, "suffix" : "" }, { "dropping-particle" : "", "family" : "Marra", "given" : "Ersilia", "non-dropping-particle" : "", "parse-names" : false, "suffix" : "" }, { "dropping-particle" : "", "family" : "Vacca", "given" : "Rosa Anna", "non-dropping-particle" : "", "parse-names" : false, "suffix" : "" }, { "dropping-particle" : "", "family" : "Distelmaier", "given" : "F.", "non-dropping-particle" : "", "parse-names" : false, "suffix" : "" }, { "dropping-particle" : "", "family" : "Koopman", "given" : "W.\u00a0J.", "non-dropping-particle" : "", "parse-names" : false, "suffix" : "" }, { "dropping-particle" : "", "family" : "van\u00a0den\u00a0Heuvel", "given" : "L.\u00a0P.", "non-dropping-particle" : "", "parse-names" : false, "suffix" : "" }, { "dropping-particle" : "", "family" : "Rodenburg", "given" : "R.\u00a0J.", "non-dropping-particle" : "", "parse-names" : false, "suffix" : "" }, { "dropping-particle" : "", "family" : "Mayatepek", "given" : "E.", "non-dropping-particle" : "", "parse-names" : false, "suffix" : "" }, { "dropping-particle" : "", "family" : "Willems", "given" : "P.\u00a0H.", "non-dropping-particle" : "", "parse-names" : false, "suffix" : "" }, { "dropping-particle" : "", "family" : "Smeitink", "given" : "J.\u00a0A.", "non-dropping-particle" : "", "parse-names" : false, "suffix" : "" }, { "dropping-particle" : "", "family" : "Scacco", "given" : "S.", "non-dropping-particle" : "", "parse-names" : false, "suffix" : "" }, { "dropping-particle" : "", "family" : "Vergari", "given" : "R.", "non-dropping-particle" : "", "parse-names" : false, "suffix" : "" }, { "dropping-particle" : "", "family" : "Scarpulla", "given" : "R.\u00a0C.", "non-dropping-particle" : "", "parse-names" : false, "suffix" : "" }, { "dropping-particle" : "", "family" : "Technikova-Dobrova", "given" : "Z.", "non-dropping-particle" : "", "parse-names" : false, "suffix" : "" }, { "dropping-particle" : "", "family" : "Sardanelli", "given" : "A.", "non-dropping-particle" : "", "parse-names" : false, "suffix" : "" }, { "dropping-particle" : "", "family" : "Lambo", "given" : "R.", "non-dropping-particle" : "", "parse-names" : false, "suffix" : "" }, { "dropping-particle" : "", "family" : "Lorusso", "given" : "V.", "non-dropping-particle" : "", "parse-names" : false, "suffix" : "" }, { "dropping-particle" : "", "family" : "Papa", "given" : "S.", "non-dropping-particle" : "", "parse-names" : false, "suffix" : "" }, { "dropping-particle" : "", "family" : "Pasdois", "given" : "P.", "non-dropping-particle" : "", "parse-names" : false, "suffix" : "" }, { "dropping-particle" : "", "family" : "Deveaud", "given" : "C.", "non-dropping-particle" : "", "parse-names" : false, "suffix" : "" }, { "dropping-particle" : "", "family" : "Voisin", "given" : "P.", "non-dropping-particle" : "", "parse-names" : false, "suffix" : "" }, { "dropping-particle" : "", "family" : "Bouchaud", "given" : "V.", "non-dropping-particle" : "", "parse-names" : false, "suffix" : "" }, { "dropping-particle" : "", "family" : "Rigoulet", "given" : "M.", "non-dropping-particle" : "", "parse-names" : false, "suffix" : "" }, { "dropping-particle" : "", "family" : "Beauvoit", "given" : "B.", "non-dropping-particle" : "", "parse-names" : false, "suffix" : "" }, { "dropping-particle" : "", "family" : "Papa", "given" : "S.", "non-dropping-particle" : "", "parse-names" : false, "suffix" : "" }, { "dropping-particle" : "", "family" : "Scacco", "given" : "S.", "non-dropping-particle" : "", "parse-names" : false, "suffix" : "" }, { "dropping-particle" : "", "family" : "De\u00a0Rasmo", "given" : "D.", "non-dropping-particle" : "", "parse-names" : false, "suffix" : "" }, { "dropping-particle" : "", "family" : "Signorile", "given" : "A.", "non-dropping-particle" : "", "parse-names" : false, "suffix" : "" }, { "dropping-particle" : "", "family" : "Papa", "given" : "F.", "non-dropping-particle" : "", "parse-names" : false, "suffix" : "" }, { "dropping-particle" : "", "family" : "Panelli", "given" : "D.", "non-dropping-particle" : "", "parse-names" : false, "suffix" : "" }, { "dropping-particle" : "", "family" : "Nicastro", "given" : "A.", "non-dropping-particle" : "", "parse-names" : false, "suffix" : "" }, { "dropping-particle" : "", "family" : "Scaringi", "given" : "R.", "non-dropping-particle" : "", "parse-names" : false, "suffix" : "" }, { "dropping-particle" : "", "family" : "Santeramo", "given" : "A.", "non-dropping-particle" : "", "parse-names" : false, "suffix" : "" }, { "dropping-particle" : "", "family" : "Roca", "given" : "E.", "non-dropping-particle" : "", "parse-names" : false, "suffix" : "" }, { "dropping-particle" : "", "family" : "Rubin", "given" : "C.\u00a0S.", "non-dropping-particle" : "", "parse-names" : false, "suffix" : "" }, { "dropping-particle" : "", "family" : "Horbinski", "given" : "C.", "non-dropping-particle" : "", "parse-names" : false, "suffix" : "" }, { "dropping-particle" : "", "family" : "Chu", "given" : "C.\u00a0T.", "non-dropping-particle" : "", "parse-names" : false, "suffix" : "" }, { "dropping-particle" : "", "family" : "Iuso", "given" : "A.", "non-dropping-particle" : "", "parse-names" : false, "suffix" : "" }, { "dropping-particle" : "", "family" : "Scacco", "given" : "S.", "non-dropping-particle" : "", "parse-names" : false, "suffix" : "" }, { "dropping-particle" : "", "family" : "Piccoli", "given" : "C.", "non-dropping-particle" : "", "parse-names" : false, "suffix" : "" }, { "dropping-particle" : "", "family" : "Bellomo", "given" : "F.", "non-dropping-particle" : "", "parse-names" : false, "suffix" : "" }, { "dropping-particle" : "", "family" : "Petruzzella", "given" : "V.", "non-dropping-particle" : "", "parse-names" : false, "suffix" : "" }, { "dropping-particle" : "", "family" : "Trentadue", "given" : "R.", "non-dropping-particle" : "", "parse-names" : false, "suffix" : "" }, { "dropping-particle" : "", "family" : "Minuto", "given" : "M.", "non-dropping-particle" : "", "parse-names" : false, "suffix" : "" }, { "dropping-particle" : "", "family" : "Ripoli", "given" : "M.", "non-dropping-particle" : "", "parse-names" : false, "suffix" : "" }, { "dropping-particle" : "", "family" : "Capitanio", "given" : "N.", "non-dropping-particle" : "", "parse-names" : false, "suffix" : "" }, { "dropping-particle" : "", "family" : "Zeviani", "given" : "M.", "non-dropping-particle" : "", "parse-names" : false, "suffix" : "" }, { "dropping-particle" : "", "family" : "Papa", "given" : "S.", "non-dropping-particle" : "", "parse-names" : false, "suffix" : "" }, { "dropping-particle" : "", "family" : "Morais", "given" : "V.\u00a0A.", "non-dropping-particle" : "", "parse-names" : false, "suffix" : "" }, { "dropping-particle" : "", "family" : "Verstreken", "given" : "P.", "non-dropping-particle" : "", "parse-names" : false, "suffix" : "" }, { "dropping-particle" : "", "family" : "Roethig", "given" : "A.", "non-dropping-particle" : "", "parse-names" : false, "suffix" : "" }, { "dropping-particle" : "", "family" : "Smet", "given" : "J.", "non-dropping-particle" : "", "parse-names" : false, "suffix" : "" }, { "dropping-particle" : "", "family" : "Snellinx", "given" : "A.", "non-dropping-particle" : "", "parse-names" : false, "suffix" : "" }, { "dropping-particle" : "", "family" : "Vanbrabant", "given" : "M.", "non-dropping-particle" : "", "parse-names" : false, "suffix" : "" }, { "dropping-particle" : "", "family" : "Haddad", "given" : "D.", "non-dropping-particle" : "", "parse-names" : false, "suffix" : "" }, { "dropping-particle" : "", "family" : "Frezza", "given" : "C.", "non-dropping-particle" : "", "parse-names" : false, "suffix" : "" }, { "dropping-particle" : "", "family" : "Mandemakers", "given" : "W.", "non-dropping-particle" : "", "parse-names" : false, "suffix" : "" }, { "dropping-particle" : "", "family" : "Vogt-Weisenhorn", "given" : "D.", "non-dropping-particle" : "", "parse-names" : false, "suffix" : "" }, { "dropping-particle" : "", "family" : "Rhein", "given" : "V.", "non-dropping-particle" : "", "parse-names" : false, "suffix" : "" }, { "dropping-particle" : "", "family" : "Song", "given" : "X.", "non-dropping-particle" : "", "parse-names" : false, "suffix" : "" }, { "dropping-particle" : "", "family" : "Wiesner", "given" : "A.", "non-dropping-particle" : "", "parse-names" : false, "suffix" : "" }, { "dropping-particle" : "", "family" : "Ittner", "given" : "L.\u00a0M.", "non-dropping-particle" : "", "parse-names" : false, "suffix" : "" }, { "dropping-particle" : "", "family" : "Baysang", "given" : "G.", "non-dropping-particle" : "", "parse-names" : false, "suffix" : "" }, { "dropping-particle" : "", "family" : "Meier", "given" : "F.", "non-dropping-particle" : "", "parse-names" : false, "suffix" : "" }, { "dropping-particle" : "", "family" : "Ozmen", "given" : "L.", "non-dropping-particle" : "", "parse-names" : false, "suffix" : "" }, { "dropping-particle" : "", "family" : "Bluethmann", "given" : "H.", "non-dropping-particle" : "", "parse-names" : false, "suffix" : "" }, { "dropping-particle" : "", "family" : "Dr\u00f6se", "given" : "S.", "non-dropping-particle" : "", "parse-names" : false, "suffix" : "" }, { "dropping-particle" : "", "family" : "Brandt", "given" : "U.", "non-dropping-particle" : "", "parse-names" : false, "suffix" : "" }, { "dropping-particle" : "", "family" : "Arenas", "given" : "J.", "non-dropping-particle" : "", "parse-names" : false, "suffix" : "" }, { "dropping-particle" : "", "family" : "Campos", "given" : "Y.", "non-dropping-particle" : "", "parse-names" : false, "suffix" : "" }, { "dropping-particle" : "", "family" : "Ribacoba", "given" : "R.", "non-dropping-particle" : "", "parse-names" : false, "suffix" : "" }, { "dropping-particle" : "", "family" : "Mart\u00edn", "given" : "M.\u00a0A.", "non-dropping-particle" : "", "parse-names" : false, "suffix" : "" }, { "dropping-particle" : "", "family" : "Rubio", "given" : "J.\u00a0C.", "non-dropping-particle" : "", "parse-names" : false, "suffix" : "" }, { "dropping-particle" : "", "family" : "Ablanedo", "given" : "P.", "non-dropping-particle" : "", "parse-names" : false, "suffix" : "" }, { "dropping-particle" : "", "family" : "Cabello", "given" : "A.", "non-dropping-particle" : "", "parse-names" : false, "suffix" : "" }, { "dropping-particle" : "", "family" : "Jones", "given" : "T.\u00a0T.", "non-dropping-particle" : "", "parse-names" : false, "suffix" : "" }, { "dropping-particle" : "", "family" : "Brewer", "given" : "G.\u00a0J.", "non-dropping-particle" : "", "parse-names" : false, "suffix" : "" }, { "dropping-particle" : "", "family" : "Wiseman", "given" : "F.\u00a0K.", "non-dropping-particle" : "", "parse-names" : false, "suffix" : "" }, { "dropping-particle" : "", "family" : "Alford", "given" : "K.\u00a0A.", "non-dropping-particle" : "", "parse-names" : false, "suffix" : "" }, { "dropping-particle" : "", "family" : "Tybulewicz", "given" : "V.\u00a0L.", "non-dropping-particle" : "", "parse-names" : false, "suffix" : "" }, { "dropping-particle" : "", "family" : "Fisher", "given" : "E.\u00a0M.", "non-dropping-particle" : "", "parse-names" : false, "suffix" : "" }, { "dropping-particle" : "", "family" : "Lott", "given" : "I.\u00a0T.", "non-dropping-particle" : "", "parse-names" : false, "suffix" : "" }, { "dropping-particle" : "", "family" : "Head", "given" : "E.", "non-dropping-particle" : "", "parse-names" : false, "suffix" : "" }, { "dropping-particle" : "", "family" : "Bambrick", "given" : "L.\u00a0L.", "non-dropping-particle" : "", "parse-names" : false, "suffix" : "" }, { "dropping-particle" : "", "family" : "Fiskun", "given" : "G.", "non-dropping-particle" : "", "parse-names" : false, "suffix" : "" }, { "dropping-particle" : "", "family" : "Kim", "given" : "S.\u00a0H.", "non-dropping-particle" : "", "parse-names" : false, "suffix" : "" }, { "dropping-particle" : "", "family" : "Fountoulakis", "given" : "M.", "non-dropping-particle" : "", "parse-names" : false, "suffix" : "" }, { "dropping-particle" : "", "family" : "Dierssen", "given" : "M.", "non-dropping-particle" : "", "parse-names" : false, "suffix" : "" }, { "dropping-particle" : "", "family" : "Lubec", "given" : "G.", "non-dropping-particle" : "", "parse-names" : false, "suffix" : "" }, { "dropping-particle" : "", "family" : "Valenti", "given" : "D.", "non-dropping-particle" : "", "parse-names" : false, "suffix" : "" }, { "dropping-particle" : "", "family" : "Tullo", "given" : "A.", "non-dropping-particle" : "", "parse-names" : false, "suffix" : "" }, { "dropping-particle" : "", "family" : "Caratozzolo", "given" : "M.\u00a0F.", "non-dropping-particle" : "", "parse-names" : false, "suffix" : "" }, { "dropping-particle" : "", "family" : "Merafina", "given" : "R.\u00a0S.", "non-dropping-particle" : "", "parse-names" : false, "suffix" : "" }, { "dropping-particle" : "", "family" : "Scartezzini", "given" : "P.", "non-dropping-particle" : "", "parse-names" : false, "suffix" : "" }, { "dropping-particle" : "", "family" : "Marra", "given" : "E.", "non-dropping-particle" : "", "parse-names" : false, "suffix" : "" }, { "dropping-particle" : "", "family" : "Vacca", "given" : "R.\u00a0A.", "non-dropping-particle" : "", "parse-names" : false, "suffix" : "" }, { "dropping-particle" : "", "family" : "Cocco", "given" : "T.", "non-dropping-particle" : "", "parse-names" : false, "suffix" : "" }, { "dropping-particle" : "", "family" : "Pacelli", "given" : "C.", "non-dropping-particle" : "", "parse-names" : false, "suffix" : "" }, { "dropping-particle" : "", "family" : "Sgobbo", "given" : "P.", "non-dropping-particle" : "", "parse-names" : false, "suffix" : "" }, { "dropping-particle" : "", "family" : "Villani", "given" : "G.", "non-dropping-particle" : "", "parse-names" : false, "suffix" : "" }, { "dropping-particle" : "", "family" : "Koopman", "given" : "W.\u00a0J.", "non-dropping-particle" : "", "parse-names" : false, "suffix" : "" }, { "dropping-particle" : "", "family" : "Nijtmans", "given" : "L.\u00a0G.", "non-dropping-particle" : "", "parse-names" : false, "suffix" : "" }, { "dropping-particle" : "", "family" : "Dieteren", "given" : "C.\u00a0E.", "non-dropping-particle" : "", "parse-names" : false, "suffix" : "" }, { "dropping-particle" : "", "family" : "Roestenberg", "given" : "P.", "non-dropping-particle" : "", "parse-names" : false, "suffix" : "" }, { "dropping-particle" : "", "family" : "Valsecchi", "given" : "F.", "non-dropping-particle" : "", "parse-names" : false, "suffix" : "" }, { "dropping-particle" : "", "family" : "Smeitink", "given" : "J.\u00a0A.", "non-dropping-particle" : "", "parse-names" : false, "suffix" : "" }, { "dropping-particle" : "", "family" : "Willems", "given" : "P.\u00a0H.", "non-dropping-particle" : "", "parse-names" : false, "suffix" : "" }, { "dropping-particle" : "", "family" : "Fato", "given" : "R.", "non-dropping-particle" : "", "parse-names" : false, "suffix" : "" }, { "dropping-particle" : "", "family" : "Bergamini", "given" : "C.", "non-dropping-particle" : "", "parse-names" : false, "suffix" : "" }, { "dropping-particle" : "", "family" : "Leoni", "given" : "S.", "non-dropping-particle" : "", "parse-names" : false, "suffix" : "" }, { "dropping-particle" : "", "family" : "Lenaz", "given" : "G.", "non-dropping-particle" : "", "parse-names" : false, "suffix" : "" }, { "dropping-particle" : "", "family" : "Ishihara", "given" : "K.", "non-dropping-particle" : "", "parse-names" : false, "suffix" : "" }, { "dropping-particle" : "", "family" : "Amano", "given" : "K.", "non-dropping-particle" : "", "parse-names" : false, "suffix" : "" }, { "dropping-particle" : "", "family" : "Takaki", "given" : "E.", "non-dropping-particle" : "", "parse-names" : false, "suffix" : "" }, { "dropping-particle" : "", "family" : "Ebrahim", "given" : "A.\u00a0S.", "non-dropping-particle" : "", "parse-names" : false, "suffix" : "" }, { "dropping-particle" : "", "family" : "Shimohata", "given" : "A.", "non-dropping-particle" : "", "parse-names" : false, "suffix" : "" }, { "dropping-particle" : "", "family" : "Shibazaki", "given" : "N.", "non-dropping-particle" : "", "parse-names" : false, "suffix" : "" }, { "dropping-particle" : "", "family" : "Inoue", "given" : "I.", "non-dropping-particle" : "", "parse-names" : false, "suffix" : "" }, { "dropping-particle" : "", "family" : "Takaki", "given" : "M.", "non-dropping-particle" : "", "parse-names" : false, "suffix" : "" }, { "dropping-particle" : "", "family" : "Ueda", "given" : "Y.", "non-dropping-particle" : "", "parse-names" : false, "suffix" : "" }, { "dropping-particle" : "", "family" : "Sago", "given" : "H.", "non-dropping-particle" : "", "parse-names" : false, "suffix" : "" }, { "dropping-particle" : "", "family" : "Galletti", "given" : "P.", "non-dropping-particle" : "", "parse-names" : false, "suffix" : "" }, { "dropping-particle" : "", "family" : "De\u00a0Bonis", "given" : "M.\u00a0L.", "non-dropping-particle" : "", "parse-names" : false, "suffix" : "" }, { "dropping-particle" : "", "family" : "Sorrentino", "given" : "A.", "non-dropping-particle" : "", "parse-names" : false, "suffix" : "" }, { "dropping-particle" : "", "family" : "Raimo", "given" : "M.", "non-dropping-particle" : "", "parse-names" : false, "suffix" : "" }, { "dropping-particle" : "", "family" : "D'Angelo", "given" : "S.", "non-dropping-particle" : "", "parse-names" : false, "suffix" : "" }, { "dropping-particle" : "", "family" : "Scala", "given" : "I.", "non-dropping-particle" : "", "parse-names" : false, "suffix" : "" }, { "dropping-particle" : "", "family" : "Andria", "given" : "G.", "non-dropping-particle" : "", "parse-names" : false, "suffix" : "" }, { "dropping-particle" : "", "family" : "D\u2019Aniello", "given" : "A.", "non-dropping-particle" : "", "parse-names" : false, "suffix" : "" }, { "dropping-particle" : "", "family" : "Ingrosso", "given" : "D.", "non-dropping-particle" : "", "parse-names" : false, "suffix" : "" }, { "dropping-particle" : "", "family" : "Zappia", "given" : "V.", "non-dropping-particle" : "", "parse-names" : false, "suffix" : "" }, { "dropping-particle" : "", "family" : "Morawiec", "given" : "Z.", "non-dropping-particle" : "", "parse-names" : false, "suffix" : "" }, { "dropping-particle" : "", "family" : "Janik", "given" : "K.", "non-dropping-particle" : "", "parse-names" : false, "suffix" : "" }, { "dropping-particle" : "", "family" : "Kowalski", "given" : "M.", "non-dropping-particle" : "", "parse-names" : false, "suffix" : "" }, { "dropping-particle" : "", "family" : "Stetkiewicz", "given" : "T.", "non-dropping-particle" : "", "parse-names" : false, "suffix" : "" }, { "dropping-particle" : "", "family" : "Szaflik", "given" : "J.", "non-dropping-particle" : "", "parse-names" : false, "suffix" : "" }, { "dropping-particle" : "", "family" : "Morawiec-Bajda", "given" : "A.", "non-dropping-particle" : "", "parse-names" : false, "suffix" : "" }, { "dropping-particle" : "", "family" : "Sobczuk", "given" : "A.", "non-dropping-particle" : "", "parse-names" : false, "suffix" : "" }, { "dropping-particle" : "", "family" : "Blasiak", "given" : "J.", "non-dropping-particle" : "", "parse-names" : false, "suffix" : "" }, { "dropping-particle" : "", "family" : "Lee", "given" : "M.", "non-dropping-particle" : "", "parse-names" : false, "suffix" : "" }, { "dropping-particle" : "", "family" : "Hyun", "given" : "D.", "non-dropping-particle" : "", "parse-names" : false, "suffix" : "" }, { "dropping-particle" : "", "family" : "Jenner", "given" : "P.", "non-dropping-particle" : "", "parse-names" : false, "suffix" : "" }, { "dropping-particle" : "", "family" : "Halliwell", "given" : "B.", "non-dropping-particle" : "", "parse-names" : false, "suffix" : "" }, { "dropping-particle" : "", "family" : "Shukkur", "given" : "E.\u00a0A.", "non-dropping-particle" : "", "parse-names" : false, "suffix" : "" }, { "dropping-particle" : "", "family" : "Shimohata", "given" : "A.", "non-dropping-particle" : "", "parse-names" : false, "suffix" : "" }, { "dropping-particle" : "", "family" : "Akagi", "given" : "T.", "non-dropping-particle" : "", "parse-names" : false, "suffix" : "" }, { "dropping-particle" : "", "family" : "Yu", "given" : "W.", "non-dropping-particle" : "", "parse-names" : false, "suffix" : "" }, { "dropping-particle" : "", "family" : "Yamaguchi", "given" : "M.", "non-dropping-particle" : "", "parse-names" : false, "suffix" : "" }, { "dropping-particle" : "", "family" : "Murayama", "given" : "M.", "non-dropping-particle" : "", "parse-names" : false, "suffix" : "" }, { "dropping-particle" : "", "family" : "Chui", "given" : "D.", "non-dropping-particle" : "", "parse-names" : false, "suffix" : "" }, { "dropping-particle" : "", "family" : "Takeuchi", "given" : "T.", "non-dropping-particle" : "", "parse-names" : false, "suffix" : "" }, { "dropping-particle" : "", "family" : "Amano", "given" : "K.", "non-dropping-particle" : "", "parse-names" : false, "suffix" : "" }, { "dropping-particle" : "", "family" : "Subramhanya", "given" : "K.\u00a0H.", "non-dropping-particle" : "", "parse-names" : false, "suffix" : "" }, { "dropping-particle" : "", "family" : "Raha", "given" : "S.", "non-dropping-particle" : "", "parse-names" : false, "suffix" : "" }, { "dropping-particle" : "", "family" : "McEachern", "given" : "G.\u00a0E.", "non-dropping-particle" : "", "parse-names" : false, "suffix" : "" }, { "dropping-particle" : "", "family" : "Myint", "given" : "A.\u00a0T.", "non-dropping-particle" : "", "parse-names" : false, "suffix" : "" }, { "dropping-particle" : "", "family" : "Robinson", "given" : "B.\u00a0H.", "non-dropping-particle" : "", "parse-names" : false, "suffix" : "" }, { "dropping-particle" : "", "family" : "Bradford", "given" : "M.\u00a0M.", "non-dropping-particle" : "", "parse-names" : false, "suffix" : "" }, { "dropping-particle" : "", "family" : "Brand", "given" : "M.\u00a0D.", "non-dropping-particle" : "", "parse-names" : false, "suffix" : "" }, { "dropping-particle" : "", "family" : "Murphy", "given" : "M.\u00a0P.", "non-dropping-particle" : "", "parse-names" : false, "suffix" : "" }, { "dropping-particle" : "", "family" : "Valenti", "given" : "D.", "non-dropping-particle" : "", "parse-names" : false, "suffix" : "" }, { "dropping-particle" : "", "family" : "Vacca", "given" : "R.\u00a0A.", "non-dropping-particle" : "", "parse-names" : false, "suffix" : "" }, { "dropping-particle" : "", "family" : "de\u00a0Pinto", "given" : "M.\u00a0C.", "non-dropping-particle" : "", "parse-names" : false, "suffix" : "" }, { "dropping-particle" : "", "family" : "De\u00a0Gara", "given" : "L.", "non-dropping-particle" : "", "parse-names" : false, "suffix" : "" }, { "dropping-particle" : "", "family" : "Marra", "given" : "E.", "non-dropping-particle" : "", "parse-names" : false, "suffix" : "" }, { "dropping-particle" : "", "family" : "Passerella", "given" : "S.", "non-dropping-particle" : "", "parse-names" : false, "suffix" : "" }, { "dropping-particle" : "", "family" : "B\u00e9nit", "given" : "P.", "non-dropping-particle" : "", "parse-names" : false, "suffix" : "" }, { "dropping-particle" : "", "family" : "Goncalves", "given" : "S.", "non-dropping-particle" : "", "parse-names" : false, "suffix" : "" }, { "dropping-particle" : "", "family" : "Philippe\u00a0Dassa", "given" : "E.", "non-dropping-particle" : "", "parse-names" : false, "suffix" : "" }, { "dropping-particle" : "", "family" : "Bri\u00e8re", "given" : "J.\u00a0J.", "non-dropping-particle" : "", "parse-names" : false, "suffix" : "" }, { "dropping-particle" : "", "family" : "Martin", "given" : "G.", "non-dropping-particle" : "", "parse-names" : false, "suffix" : "" }, { "dropping-particle" : "", "family" : "Rustin", "given" : "P.", "non-dropping-particle" : "", "parse-names" : false, "suffix" : "" }, { "dropping-particle" : "", "family" : "Vacca", "given" : "R.\u00a0A.", "non-dropping-particle" : "", "parse-names" : false, "suffix" : "" }, { "dropping-particle" : "", "family" : "Marra", "given" : "E.", "non-dropping-particle" : "", "parse-names" : false, "suffix" : "" }, { "dropping-particle" : "", "family" : "Loverro", "given" : "G.", "non-dropping-particle" : "", "parse-names" : false, "suffix" : "" }, { "dropping-particle" : "", "family" : "Maiorano", "given" : "E.", "non-dropping-particle" : "", "parse-names" : false, "suffix" : "" }, { "dropping-particle" : "", "family" : "Napoli", "given" : "A.", "non-dropping-particle" : "", "parse-names" : false, "suffix" : "" }, { "dropping-particle" : "", "family" : "Lovecchio", "given" : "M.", "non-dropping-particle" : "", "parse-names" : false, "suffix" : "" }, { "dropping-particle" : "", "family" : "Selvaggi", "given" : "L.", "non-dropping-particle" : "", "parse-names" : false, "suffix" : "" }, { "dropping-particle" : "", "family" : "Perlino", "given" : "E.", "non-dropping-particle" : "", "parse-names" : false, "suffix" : "" }, { "dropping-particle" : "", "family" : "Moro", "given" : "L.", "non-dropping-particle" : "", "parse-names" : false, "suffix" : "" }, { "dropping-particle" : "", "family" : "Venturino", "given" : "M.", "non-dropping-particle" : "", "parse-names" : false, "suffix" : "" }, { "dropping-particle" : "", "family" : "Bozzo", "given" : "C.", "non-dropping-particle" : "", "parse-names" : false, "suffix" : "" }, { "dropping-particle" : "", "family" : "Silengo", "given" : "L.", "non-dropping-particle" : "", "parse-names" : false, "suffix" : "" }, { "dropping-particle" : "", "family" : "Altruda", "given" : "F.", "non-dropping-particle" : "", "parse-names" : false, "suffix" : "" }, { "dropping-particle" : "", "family" : "Beguinot", "given" : "L.", "non-dropping-particle" : "", "parse-names" : false, "suffix" : "" }, { "dropping-particle" : "", "family" : "Tarone", "given" : "G.", "non-dropping-particle" : "", "parse-names" : false, "suffix" : "" }, { "dropping-particle" : "", "family" : "Defilippi", "given" : "P.", "non-dropping-particle" : "", "parse-names" : false, "suffix" : "" }, { "dropping-particle" : "", "family" : "Mukhopadhyay", "given" : "P.", "non-dropping-particle" : "", "parse-names" : false, "suffix" : "" }, { "dropping-particle" : "", "family" : "Rajesh", "given" : "M.", "non-dropping-particle" : "", "parse-names" : false, "suffix" : "" }, { "dropping-particle" : "", "family" : "Hask\u00f3", "given" : "G.", "non-dropping-particle" : "", "parse-names" : false, "suffix" : "" }, { "dropping-particle" : "", "family" : "Hawkins", "given" : "B.\u00a0J.", "non-dropping-particle" : "", "parse-names" : false, "suffix" : "" }, { "dropping-particle" : "", "family" : "Madesh", "given" : "M.", "non-dropping-particle" : "", "parse-names" : false, "suffix" : "" }, { "dropping-particle" : "", "family" : "Pacher", "given" : "P.", "non-dropping-particle" : "", "parse-names" : false, "suffix" : "" }, { "dropping-particle" : "", "family" : "LeBel", "given" : "C.\u00a0P.", "non-dropping-particle" : "", "parse-names" : false, "suffix" : "" }, { "dropping-particle" : "", "family" : "Ischiropoulos", "given" : "H.", "non-dropping-particle" : "", "parse-names" : false, "suffix" : "" }, { "dropping-particle" : "", "family" : "Bondy", "given" : "S.\u00a0C.", "non-dropping-particle" : "", "parse-names" : false, "suffix" : "" }, { "dropping-particle" : "", "family" : "Chijiwa", "given" : "T.", "non-dropping-particle" : "", "parse-names" : false, "suffix" : "" }, { "dropping-particle" : "", "family" : "Mishima", "given" : "A.", "non-dropping-particle" : "", "parse-names" : false, "suffix" : "" }, { "dropping-particle" : "", "family" : "Hagiwara", "given" : "M.", "non-dropping-particle" : "", "parse-names" : false, "suffix" : "" }, { "dropping-particle" : "", "family" : "Sano", "given" : "M.", "non-dropping-particle" : "", "parse-names" : false, "suffix" : "" }, { "dropping-particle" : "", "family" : "Hayashi", "given" : "K.", "non-dropping-particle" : "", "parse-names" : false, "suffix" : "" }, { "dropping-particle" : "", "family" : "Inoue", "given" : "T.", "non-dropping-particle" : "", "parse-names" : false, "suffix" : "" }, { "dropping-particle" : "", "family" : "Naito", "given" : "K.", "non-dropping-particle" : "", "parse-names" : false, "suffix" : "" }, { "dropping-particle" : "", "family" : "Toshioka", "given" : "T.", "non-dropping-particle" : "", "parse-names" : false, "suffix" : "" }, { "dropping-particle" : "", "family" : "Hidaka", "given" : "H.", "non-dropping-particle" : "", "parse-names" : false, "suffix" : "" }, { "dropping-particle" : "", "family" : "De\u00a0Rasmo", "given" : "D.", "non-dropping-particle" : "", "parse-names" : false, "suffix" : "" }, { "dropping-particle" : "", "family" : "Palmisano", "given" : "G.", "non-dropping-particle" : "", "parse-names" : false, "suffix" : "" }, { "dropping-particle" : "", "family" : "Scacco", "given" : "S.", "non-dropping-particle" : "", "parse-names" : false, "suffix" : "" }, { "dropping-particle" : "", "family" : "Technikova-Dobrova", "given" : "Z.", "non-dropping-particle" : "", "parse-names" : false, "suffix" : "" }, { "dropping-particle" : "", "family" : "Panelli", "given" : "D.", "non-dropping-particle" : "", "parse-names" : false, "suffix" : "" }, { "dropping-particle" : "", "family" : "Cocco", "given" : "T.", "non-dropping-particle" : "", "parse-names" : false, "suffix" : "" }, { "dropping-particle" : "", "family" : "Sardanelli", "given" : "A.\u00a0M.", "non-dropping-particle" : "", "parse-names" : false, "suffix" : "" }, { "dropping-particle" : "", "family" : "Gnoni", "given" : "A.", "non-dropping-particle" : "", "parse-names" : false, "suffix" : "" }, { "dropping-particle" : "", "family" : "Micelli", "given" : "L.", "non-dropping-particle" : "", "parse-names" : false, "suffix" : "" }, { "dropping-particle" : "", "family" : "Trani", "given" : "A.", "non-dropping-particle" : "", "parse-names" : false, "suffix" : "" }, { "dropping-particle" : "", "family" : "Lund", "given" : "K.\u00a0C.", "non-dropping-particle" : "", "parse-names" : false, "suffix" : "" }, { "dropping-particle" : "", "family" : "Wallace", "given" : "K.\u00a0B.", "non-dropping-particle" : "", "parse-names" : false, "suffix" : "" }, { "dropping-particle" : "", "family" : "Conti", "given" : "A.", "non-dropping-particle" : "", "parse-names" : false, "suffix" : "" }, { "dropping-particle" : "", "family" : "Fabbrini", "given" : "F.", "non-dropping-particle" : "", "parse-names" : false, "suffix" : "" }, { "dropping-particle" : "", "family" : "D'Agostino", "given" : "P.", "non-dropping-particle" : "", "parse-names" : false, "suffix" : "" }, { "dropping-particle" : "", "family" : "Negri", "given" : "R.", "non-dropping-particle" : "", "parse-names" : false, "suffix" : "" }, { "dropping-particle" : "", "family" : "Greco", "given" : "D.", "non-dropping-particle" : "", "parse-names" : false, "suffix" : "" }, { "dropping-particle" : "", "family" : "Genesio", "given" : "R.", "non-dropping-particle" : "", "parse-names" : false, "suffix" : "" }, { "dropping-particle" : "", "family" : "D'Armiento", "given" : "M.", "non-dropping-particle" : "", "parse-names" : false, "suffix" : "" }, { "dropping-particle" : "", "family" : "Olla", "given" : "C.", "non-dropping-particle" : "", "parse-names" : false, "suffix" : "" }, { "dropping-particle" : "", "family" : "Paladini", "given" : "D.", "non-dropping-particle" : "", "parse-names" : false, "suffix" : "" }, { "dropping-particle" : "", "family" : "Zannini", "given" : "M.", "non-dropping-particle" : "", "parse-names" : false, "suffix" : "" }, { "dropping-particle" : "", "family" : "Nitsch", "given" : "L.", "non-dropping-particle" : "", "parse-names" : false, "suffix" : "" }, { "dropping-particle" : "", "family" : "Dierssen", "given" : "M.", "non-dropping-particle" : "", "parse-names" : false, "suffix" : "" }, { "dropping-particle" : "", "family" : "Vallina", "given" : "I.\u00a0F.", "non-dropping-particle" : "", "parse-names" : false, "suffix" : "" }, { "dropping-particle" : "", "family" : "Baamonde", "given" : "C.", "non-dropping-particle" : "", "parse-names" : false, "suffix" : "" }, { "dropping-particle" : "", "family" : "Lumbreras", "given" : "M.\u00a0A.", "non-dropping-particle" : "", "parse-names" : false, "suffix" : "" }, { "dropping-particle" : "", "family" : "Mart\u00ednez-Cu\u00e9", "given" : "C.", "non-dropping-particle" : "", "parse-names" : false, "suffix" : "" }, { "dropping-particle" : "", "family" : "Catayud", "given" : "S.\u00a0G.", "non-dropping-particle" : "", "parse-names" : false, "suffix" : "" }, { "dropping-particle" : "", "family" : "Fl\u00f3rez", "given" : "J.", "non-dropping-particle" : "", "parse-names" : false, "suffix" : "" }, { "dropping-particle" : "", "family" : "Siarey", "given" : "R.\u00a0J.", "non-dropping-particle" : "", "parse-names" : false, "suffix" : "" }, { "dropping-particle" : "", "family" : "Kline-Burgess", "given" : "A.", "non-dropping-particle" : "", "parse-names" : false, "suffix" : "" }, { "dropping-particle" : "", "family" : "Cho", "given" : "M.", "non-dropping-particle" : "", "parse-names" : false, "suffix" : "" }, { "dropping-particle" : "", "family" : "Balbo", "given" : "A.", "non-dropping-particle" : "", "parse-names" : false, "suffix" : "" }, { "dropping-particle" : "", "family" : "Best", "given" : "T.\u00a0K.", "non-dropping-particle" : "", "parse-names" : false, "suffix" : "" }, { "dropping-particle" : "", "family" : "Harashima", "given" : "C.", "non-dropping-particle" : "", "parse-names" : false, "suffix" : "" }, { "dropping-particle" : "", "family" : "Klann", "given" : "E.", "non-dropping-particle" : "", "parse-names" : false, "suffix" : "" }, { "dropping-particle" : "", "family" : "Galdzicki", "given" : "Z.", "non-dropping-particle" : "", "parse-names" : false, "suffix" : "" }, { "dropping-particle" : "", "family" : "Carlucci", "given" : "A.", "non-dropping-particle" : "", "parse-names" : false, "suffix" : "" }, { "dropping-particle" : "", "family" : "Lignitto", "given" : "L.", "non-dropping-particle" : "", "parse-names" : false, "suffix" : "" }, { "dropping-particle" : "", "family" : "Feliciello", "given" : "A.", "non-dropping-particle" : "", "parse-names" : false, "suffix" : "" }, { "dropping-particle" : "", "family" : "Lott", "given" : "I.\u00a0T.", "non-dropping-particle" : "", "parse-names" : false, "suffix" : "" }, { "dropping-particle" : "", "family" : "Head", "given" : "E.", "non-dropping-particle" : "", "parse-names" : false, "suffix" : "" }, { "dropping-particle" : "", "family" : "Doran", "given" : "E.", "non-dropping-particle" : "", "parse-names" : false, "suffix" : "" }, { "dropping-particle" : "", "family" : "Busciglio", "given" : "J.", "non-dropping-particle" : "", "parse-names" : false, "suffix" : "" }, { "dropping-particle" : "", "family" : "de\u00a0Haan", "given" : "J.\u00a0B.", "non-dropping-particle" : "", "parse-names" : false, "suffix" : "" }, { "dropping-particle" : "", "family" : "Susil", "given" : "B.", "non-dropping-particle" : "", "parse-names" : false, "suffix" : "" }, { "dropping-particle" : "", "family" : "Pritchard", "given" : "M.", "non-dropping-particle" : "", "parse-names" : false, "suffix" : "" }, { "dropping-particle" : "", "family" : "Kola", "given" : "I.", "non-dropping-particle" : "", "parse-names" : false, "suffix" : "" }, { "dropping-particle" : "", "family" : "Grivennikova", "given" : "V.\u00a0G.", "non-dropping-particle" : "", "parse-names" : false, "suffix" : "" }, { "dropping-particle" : "", "family" : "Vinogradov", "given" : "A.\u00a0D.", "non-dropping-particle" : "", "parse-names" : false, "suffix" : "" } ], "container-title" : "The Biochemical journal", "id" : "ITEM-1", "issue" : "3", "issued" : { "date-parts" : [ [ "2011", "5", "1" ] ] }, "page" : "679-88", "publisher" : "Portland Press Limited", "title" : "Deficit of complex I activity in human skin fibroblasts with chromosome 21 trisomy and overproduction of reactive oxygen species by mitochondria: involvement of the cAMP/PKA signalling pathway.", "type" : "article-journal", "volume" : "435" }, "uris" : [ "http://www.mendeley.com/documents/?uuid=728d87be-c708-372d-9b97-98b0d360bdfb" ] } ], "mendeley" : { "formattedCitation" : "(Valenti et al. 2011)", "plainTextFormattedCitation" : "(Valenti et al. 2011)", "previouslyFormattedCitation" : "(Valenti et al. 2011)" }, "properties" : { "noteIndex" : 0 }, "schema" : "https://github.com/citation-style-language/schema/raw/master/csl-citation.json" }</w:instrText>
      </w:r>
      <w:r w:rsidR="00857175">
        <w:rPr>
          <w:rFonts w:ascii="Times New Roman" w:hAnsi="Times New Roman" w:cs="Times New Roman"/>
          <w:noProof/>
        </w:rPr>
        <w:fldChar w:fldCharType="separate"/>
      </w:r>
      <w:r w:rsidR="00C148FC" w:rsidRPr="00C148FC">
        <w:rPr>
          <w:rFonts w:ascii="Times New Roman" w:hAnsi="Times New Roman" w:cs="Times New Roman"/>
          <w:noProof/>
        </w:rPr>
        <w:t>(Valenti et al. 2011)</w:t>
      </w:r>
      <w:r w:rsidR="00857175">
        <w:rPr>
          <w:rFonts w:ascii="Times New Roman" w:hAnsi="Times New Roman" w:cs="Times New Roman"/>
          <w:noProof/>
        </w:rPr>
        <w:fldChar w:fldCharType="end"/>
      </w:r>
      <w:r w:rsidR="0015587A">
        <w:rPr>
          <w:rFonts w:ascii="Times New Roman" w:hAnsi="Times New Roman" w:cs="Times New Roman"/>
          <w:noProof/>
        </w:rPr>
        <w:t>.</w:t>
      </w:r>
      <w:r w:rsidR="00857175">
        <w:rPr>
          <w:rFonts w:ascii="Times New Roman" w:hAnsi="Times New Roman" w:cs="Times New Roman"/>
          <w:noProof/>
        </w:rPr>
        <w:t xml:space="preserve"> </w:t>
      </w:r>
      <w:r w:rsidR="00341975">
        <w:rPr>
          <w:rFonts w:ascii="Times New Roman" w:hAnsi="Times New Roman" w:cs="Times New Roman"/>
          <w:noProof/>
        </w:rPr>
        <w:t xml:space="preserve">Astrocytes are robust cells that adapt to change and when complex I activity is compromised they may upregulate GPCRs and cAMP/PKA genes to increase the input through this pathway and resolve the defect. </w:t>
      </w:r>
      <w:r w:rsidR="00E10FD6">
        <w:rPr>
          <w:rFonts w:ascii="Times New Roman" w:hAnsi="Times New Roman" w:cs="Times New Roman"/>
          <w:noProof/>
        </w:rPr>
        <w:t>There was also significant downregulation of the</w:t>
      </w:r>
      <w:r w:rsidR="009D0D0E">
        <w:rPr>
          <w:rFonts w:ascii="Times New Roman" w:hAnsi="Times New Roman" w:cs="Times New Roman"/>
          <w:noProof/>
        </w:rPr>
        <w:t xml:space="preserve"> cannabinoid receptor (CNR1)</w:t>
      </w:r>
      <w:r w:rsidR="00BA72E4">
        <w:rPr>
          <w:rFonts w:ascii="Times New Roman" w:hAnsi="Times New Roman" w:cs="Times New Roman"/>
          <w:noProof/>
        </w:rPr>
        <w:t>. CNR1</w:t>
      </w:r>
      <w:r w:rsidR="00E10FD6">
        <w:rPr>
          <w:rFonts w:ascii="Times New Roman" w:hAnsi="Times New Roman" w:cs="Times New Roman"/>
          <w:noProof/>
        </w:rPr>
        <w:t xml:space="preserve"> is </w:t>
      </w:r>
      <w:r w:rsidR="009D0D0E">
        <w:rPr>
          <w:rFonts w:ascii="Times New Roman" w:hAnsi="Times New Roman" w:cs="Times New Roman"/>
          <w:noProof/>
        </w:rPr>
        <w:t>localised in the mitochondrial membrane of neuron</w:t>
      </w:r>
      <w:r w:rsidR="00F33693">
        <w:rPr>
          <w:rFonts w:ascii="Times New Roman" w:hAnsi="Times New Roman" w:cs="Times New Roman"/>
          <w:noProof/>
        </w:rPr>
        <w:t>s and when activated decreases c</w:t>
      </w:r>
      <w:r w:rsidR="00E10FD6">
        <w:rPr>
          <w:rFonts w:ascii="Times New Roman" w:hAnsi="Times New Roman" w:cs="Times New Roman"/>
          <w:noProof/>
        </w:rPr>
        <w:t>AMP influx into mitochondria</w:t>
      </w:r>
      <w:r w:rsidR="006E5323">
        <w:rPr>
          <w:rFonts w:ascii="Times New Roman" w:hAnsi="Times New Roman" w:cs="Times New Roman"/>
          <w:noProof/>
        </w:rPr>
        <w:t xml:space="preserve"> leading to reduced</w:t>
      </w:r>
      <w:r w:rsidR="009D0D0E">
        <w:rPr>
          <w:rFonts w:ascii="Times New Roman" w:hAnsi="Times New Roman" w:cs="Times New Roman"/>
          <w:noProof/>
        </w:rPr>
        <w:t xml:space="preserve"> complex </w:t>
      </w:r>
      <w:r w:rsidR="00002C6B">
        <w:rPr>
          <w:rFonts w:ascii="Times New Roman" w:hAnsi="Times New Roman" w:cs="Times New Roman"/>
          <w:noProof/>
        </w:rPr>
        <w:t>I</w:t>
      </w:r>
      <w:r w:rsidR="009D0D0E">
        <w:rPr>
          <w:rFonts w:ascii="Times New Roman" w:hAnsi="Times New Roman" w:cs="Times New Roman"/>
          <w:noProof/>
        </w:rPr>
        <w:t xml:space="preserve"> activity</w:t>
      </w:r>
      <w:r w:rsidR="00C16553">
        <w:rPr>
          <w:rFonts w:ascii="Times New Roman" w:hAnsi="Times New Roman" w:cs="Times New Roman"/>
          <w:noProof/>
        </w:rPr>
        <w:t xml:space="preserve"> </w:t>
      </w:r>
      <w:r w:rsidR="00C16553">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"10.1038/nn.3053", "ISSN" : "1546-1726", "PMID" : "22388959", "abstract" : "The mammalian brain is one of the organs with the highest energy demands, and mitochondria are key determinants of its functions. Here we show that the type-1 cannabinoid receptor (CB(1)) is present at the membranes of mouse neuronal mitochondria (mtCB(1)), where it directly controls cellular respiration and energy production. Through activation of mtCB(1) receptors, exogenous cannabinoids and in situ endocannabinoids decreased cyclic AMP concentration, protein kinase A activity, complex I enzymatic activity and respiration in neuronal mitochondria. In addition, intracellular CB(1) receptors and mitochondrial mechanisms contributed to endocannabinoid-dependent depolarization-induced suppression of inhibition in the hippocampus. Thus, mtCB(1) receptors directly modulate neuronal energy metabolism, revealing a new mechanism of action of G protein-coupled receptor signaling in the brain.", "author" : [ { "dropping-particle" : "", "family" : "B\u00e9nard", "given" : "Giovanni", "non-dropping-particle" : "", "parse-names" : false, "suffix" : "" }, { "dropping-particle" : "", "family" : "Massa", "given" : "Federico", "non-dropping-particle" : "", "parse-names" : false, "suffix" : "" }, { "dropping-particle" : "", "family" : "Puente", "given" : "Nagore", "non-dropping-particle" : "", "parse-names" : false, "suffix" : "" }, { "dropping-particle" : "", "family" : "Louren\u00e7o", "given" : "Joana", "non-dropping-particle" : "", "parse-names" : false, "suffix" : "" }, { "dropping-particle" : "", "family" : "Bellocchio", "given" : "Luigi", "non-dropping-particle" : "", "parse-names" : false, "suffix" : "" }, { "dropping-particle" : "", "family" : "Soria-G\u00f3mez", "given" : "Edgar", "non-dropping-particle" : "", "parse-names" : false, "suffix" : "" }, { "dropping-particle" : "", "family" : "Matias", "given" : "Isabel", "non-dropping-particle" : "", "parse-names" : false, "suffix" : "" }, { "dropping-particle" : "", "family" : "Delamarre", "given" : "Anna", "non-dropping-particle" : "", "parse-names" : false, "suffix" : "" }, { "dropping-particle" : "", "family" : "Metna-Laurent", "given" : "Mathilde", "non-dropping-particle" : "", "parse-names" : false, "suffix" : "" }, { "dropping-particle" : "", "family" : "Cannich", "given" : "Astrid", "non-dropping-particle" : "", "parse-names" : false, "suffix" : "" }, { "dropping-particle" : "", "family" : "Hebert-Chatelain", "given" : "Etienne", "non-dropping-particle" : "", "parse-names" : false, "suffix" : "" }, { "dropping-particle" : "", "family" : "Mulle", "given" : "Christophe", "non-dropping-particle" : "", "parse-names" : false, "suffix" : "" }, { "dropping-particle" : "", "family" : "Ortega-Guti\u00e9rrez", "given" : "Silvia", "non-dropping-particle" : "", "parse-names" : false, "suffix" : "" }, { "dropping-particle" : "", "family" : "Mart\u00edn-Fontecha", "given" : "Mar", "non-dropping-particle" : "", "parse-names" : false, "suffix" : "" }, { "dropping-particle" : "", "family" : "Klugmann", "given" : "Matthias", "non-dropping-particle" : "", "parse-names" : false, "suffix" : "" }, { "dropping-particle" : "", "family" : "Guggenhuber", "given" : "Stephan", "non-dropping-particle" : "", "parse-names" : false, "suffix" : "" }, { "dropping-particle" : "", "family" : "Lutz", "given" : "Beat", "non-dropping-particle" : "", "parse-names" : false, "suffix" : "" }, { "dropping-particle" : "", "family" : "Gertsch", "given" : "J\u00fcrg", "non-dropping-particle" : "", "parse-names" : false, "suffix" : "" }, { "dropping-particle" : "", "family" : "Chaouloff", "given" : "Francis", "non-dropping-particle" : "", "parse-names" : false, "suffix" : "" }, { "dropping-particle" : "", "family" : "L\u00f3pez-Rodr\u00edguez", "given" : "Mar\u00eda Luz", "non-dropping-particle" : "", "parse-names" : false, "suffix" : "" }, { "dropping-particle" : "", "family" : "Grandes", "given" : "Pedro", "non-dropping-particle" : "", "parse-names" : false, "suffix" : "" }, { "dropping-particle" : "", "family" : "Rossignol", "given" : "Rodrigue", "non-dropping-particle" : "", "parse-names" : false, "suffix" : "" }, { "dropping-particle" : "", "family" : "Marsicano", "given" : "Giovanni", "non-dropping-particle" : "", "parse-names" : false, "suffix" : "" } ], "container-title" : "Nature neuroscience", "id" : "ITEM-1", "issue" : "4", "issued" : { "date-parts" : [ [ "2012", "4" ] ] }, "page" : "558-64", "publisher" : "Nature Publishing Group, a division of Macmillan Publishers Limited. All Rights Reserved.", "title" : "Mitochondrial CB\u2081 receptors regulate neuronal energy metabolism.", "title-short" : "Nat Neurosci", "type" : "article-journal", "volume" : "15" }, "uris" : [ "http://www.mendeley.com/documents/?uuid=04a90f2a-4aa0-4177-bdbf-cafd065addca" ] } ], "mendeley" : { "formattedCitation" : "(B\u00e9nard et al. 2012)", "plainTextFormattedCitation" : "(B\u00e9nard et al. 2012)", "previouslyFormattedCitation" : "(B\u00e9nard et al. 2012)" }, "properties" : { "noteIndex" : 0 }, "schema" : "https://github.com/citation-style-language/schema/raw/master/csl-citation.json" }</w:instrText>
      </w:r>
      <w:r w:rsidR="00C16553">
        <w:rPr>
          <w:rFonts w:ascii="Times New Roman" w:hAnsi="Times New Roman" w:cs="Times New Roman"/>
          <w:noProof/>
        </w:rPr>
        <w:fldChar w:fldCharType="separate"/>
      </w:r>
      <w:r w:rsidR="00C148FC" w:rsidRPr="00C148FC">
        <w:rPr>
          <w:rFonts w:ascii="Times New Roman" w:hAnsi="Times New Roman" w:cs="Times New Roman"/>
          <w:noProof/>
        </w:rPr>
        <w:t>(Bénard et al. 2012)</w:t>
      </w:r>
      <w:r w:rsidR="00C16553">
        <w:rPr>
          <w:rFonts w:ascii="Times New Roman" w:hAnsi="Times New Roman" w:cs="Times New Roman"/>
          <w:noProof/>
        </w:rPr>
        <w:fldChar w:fldCharType="end"/>
      </w:r>
      <w:r w:rsidR="009D0D0E">
        <w:rPr>
          <w:rFonts w:ascii="Times New Roman" w:hAnsi="Times New Roman" w:cs="Times New Roman"/>
          <w:noProof/>
        </w:rPr>
        <w:t>. Reduced expression in CNR1 in this array may sup</w:t>
      </w:r>
      <w:r w:rsidR="00F33693">
        <w:rPr>
          <w:rFonts w:ascii="Times New Roman" w:hAnsi="Times New Roman" w:cs="Times New Roman"/>
          <w:noProof/>
        </w:rPr>
        <w:t>port increased avaliability of c</w:t>
      </w:r>
      <w:r w:rsidR="009D0D0E">
        <w:rPr>
          <w:rFonts w:ascii="Times New Roman" w:hAnsi="Times New Roman" w:cs="Times New Roman"/>
          <w:noProof/>
        </w:rPr>
        <w:t>AMP within mitochondria to restore compl</w:t>
      </w:r>
      <w:r w:rsidR="00002C6B">
        <w:rPr>
          <w:rFonts w:ascii="Times New Roman" w:hAnsi="Times New Roman" w:cs="Times New Roman"/>
          <w:noProof/>
        </w:rPr>
        <w:t>ex I</w:t>
      </w:r>
      <w:r w:rsidR="00C16553">
        <w:rPr>
          <w:rFonts w:ascii="Times New Roman" w:hAnsi="Times New Roman" w:cs="Times New Roman"/>
          <w:noProof/>
        </w:rPr>
        <w:t xml:space="preserve"> function.</w:t>
      </w:r>
    </w:p>
    <w:p w14:paraId="1A038A59" w14:textId="77777777" w:rsidR="00E10FD6" w:rsidRDefault="00E10FD6" w:rsidP="0052651A">
      <w:pPr>
        <w:spacing w:line="360" w:lineRule="auto"/>
        <w:jc w:val="both"/>
        <w:rPr>
          <w:rFonts w:ascii="Times New Roman" w:hAnsi="Times New Roman" w:cs="Times New Roman"/>
          <w:noProof/>
        </w:rPr>
      </w:pPr>
    </w:p>
    <w:p w14:paraId="4A03EC3E" w14:textId="33FA2828" w:rsidR="00936C6C" w:rsidRPr="00936C6C" w:rsidRDefault="00011425" w:rsidP="0052651A">
      <w:pPr>
        <w:jc w:val="both"/>
        <w:rPr>
          <w:rFonts w:ascii="Times New Roman" w:hAnsi="Times New Roman" w:cs="Times New Roman"/>
          <w:b/>
          <w:i/>
          <w:noProof/>
          <w:color w:val="FF0000"/>
        </w:rPr>
      </w:pPr>
      <w:r>
        <w:rPr>
          <w:rFonts w:ascii="Times New Roman" w:hAnsi="Times New Roman" w:cs="Times New Roman"/>
          <w:b/>
          <w:i/>
          <w:noProof/>
        </w:rPr>
        <w:t xml:space="preserve">iii) </w:t>
      </w:r>
      <w:r w:rsidR="00A34790">
        <w:rPr>
          <w:rFonts w:ascii="Times New Roman" w:hAnsi="Times New Roman" w:cs="Times New Roman"/>
          <w:b/>
          <w:i/>
          <w:noProof/>
        </w:rPr>
        <w:t>Mitochondrial structure and stability</w:t>
      </w:r>
    </w:p>
    <w:p w14:paraId="76603255" w14:textId="1A38E0C8" w:rsidR="00115B2E" w:rsidRDefault="00983764" w:rsidP="00585472">
      <w:pPr>
        <w:spacing w:line="360" w:lineRule="auto"/>
        <w:jc w:val="both"/>
        <w:rPr>
          <w:rFonts w:ascii="Times New Roman" w:hAnsi="Times New Roman" w:cs="Times New Roman"/>
          <w:noProof/>
        </w:rPr>
      </w:pPr>
      <w:r>
        <w:rPr>
          <w:rFonts w:ascii="Times New Roman" w:hAnsi="Times New Roman" w:cs="Times New Roman"/>
          <w:noProof/>
        </w:rPr>
        <w:t>In addition</w:t>
      </w:r>
      <w:r w:rsidR="006C182A">
        <w:rPr>
          <w:rFonts w:ascii="Times New Roman" w:hAnsi="Times New Roman" w:cs="Times New Roman"/>
          <w:noProof/>
        </w:rPr>
        <w:t xml:space="preserve"> to t</w:t>
      </w:r>
      <w:r w:rsidR="00002C6B">
        <w:rPr>
          <w:rFonts w:ascii="Times New Roman" w:hAnsi="Times New Roman" w:cs="Times New Roman"/>
          <w:noProof/>
        </w:rPr>
        <w:t>he changes observed in complex I</w:t>
      </w:r>
      <w:r w:rsidR="006C182A">
        <w:rPr>
          <w:rFonts w:ascii="Times New Roman" w:hAnsi="Times New Roman" w:cs="Times New Roman"/>
          <w:noProof/>
        </w:rPr>
        <w:t xml:space="preserve"> genes</w:t>
      </w:r>
      <w:r>
        <w:rPr>
          <w:rFonts w:ascii="Times New Roman" w:hAnsi="Times New Roman" w:cs="Times New Roman"/>
          <w:noProof/>
        </w:rPr>
        <w:t>, 33 genes involved in maintaining mitochondrial structure and stability were downregulated</w:t>
      </w:r>
      <w:r w:rsidR="006C182A">
        <w:rPr>
          <w:rFonts w:ascii="Times New Roman" w:hAnsi="Times New Roman" w:cs="Times New Roman"/>
          <w:noProof/>
        </w:rPr>
        <w:t xml:space="preserve"> following </w:t>
      </w:r>
      <w:r w:rsidR="00E10FD6">
        <w:rPr>
          <w:rFonts w:ascii="Times New Roman" w:hAnsi="Times New Roman" w:cs="Times New Roman"/>
          <w:noProof/>
        </w:rPr>
        <w:t>loss of astrocytic IGF1R</w:t>
      </w:r>
      <w:r w:rsidR="006C182A">
        <w:rPr>
          <w:rFonts w:ascii="Times New Roman" w:hAnsi="Times New Roman" w:cs="Times New Roman"/>
          <w:noProof/>
        </w:rPr>
        <w:t>.</w:t>
      </w:r>
      <w:r>
        <w:rPr>
          <w:rFonts w:ascii="Times New Roman" w:hAnsi="Times New Roman" w:cs="Times New Roman"/>
          <w:noProof/>
        </w:rPr>
        <w:t xml:space="preserve"> </w:t>
      </w:r>
      <w:r w:rsidR="006C182A">
        <w:rPr>
          <w:rFonts w:ascii="Times New Roman" w:hAnsi="Times New Roman" w:cs="Times New Roman"/>
          <w:noProof/>
        </w:rPr>
        <w:t xml:space="preserve">This </w:t>
      </w:r>
      <w:r w:rsidR="00E10FD6">
        <w:rPr>
          <w:rFonts w:ascii="Times New Roman" w:hAnsi="Times New Roman" w:cs="Times New Roman"/>
          <w:noProof/>
        </w:rPr>
        <w:t xml:space="preserve">included genes involved in facillitating transport of molecules across the inner mitochondrial membrane and further highlights </w:t>
      </w:r>
      <w:r>
        <w:rPr>
          <w:rFonts w:ascii="Times New Roman" w:hAnsi="Times New Roman" w:cs="Times New Roman"/>
          <w:noProof/>
        </w:rPr>
        <w:t>mitochondrial defects result</w:t>
      </w:r>
      <w:r w:rsidR="006C182A">
        <w:rPr>
          <w:rFonts w:ascii="Times New Roman" w:hAnsi="Times New Roman" w:cs="Times New Roman"/>
          <w:noProof/>
        </w:rPr>
        <w:t xml:space="preserve">ing from </w:t>
      </w:r>
      <w:r>
        <w:rPr>
          <w:rFonts w:ascii="Times New Roman" w:hAnsi="Times New Roman" w:cs="Times New Roman"/>
          <w:noProof/>
        </w:rPr>
        <w:t>IGF1R loss.</w:t>
      </w:r>
      <w:r w:rsidR="00E10FD6">
        <w:rPr>
          <w:rFonts w:ascii="Times New Roman" w:hAnsi="Times New Roman" w:cs="Times New Roman"/>
          <w:noProof/>
        </w:rPr>
        <w:t xml:space="preserve"> Upregulated genes included</w:t>
      </w:r>
      <w:r w:rsidR="0034253B">
        <w:rPr>
          <w:rFonts w:ascii="Times New Roman" w:hAnsi="Times New Roman" w:cs="Times New Roman"/>
          <w:noProof/>
        </w:rPr>
        <w:t xml:space="preserve"> </w:t>
      </w:r>
      <w:r w:rsidR="00E10FD6">
        <w:rPr>
          <w:rFonts w:ascii="Times New Roman" w:hAnsi="Times New Roman" w:cs="Times New Roman"/>
          <w:noProof/>
        </w:rPr>
        <w:t>SLC25A3P1, SLC25A2, SLC25A23, SLC25A47, which are all</w:t>
      </w:r>
      <w:r w:rsidR="00774020">
        <w:rPr>
          <w:rFonts w:ascii="Times New Roman" w:hAnsi="Times New Roman" w:cs="Times New Roman"/>
          <w:noProof/>
        </w:rPr>
        <w:t xml:space="preserve"> involved in facillitating transport of molecules such as ornithine and phosphates across the inner mitochondrial membrane. </w:t>
      </w:r>
      <w:r w:rsidR="00E10FD6">
        <w:rPr>
          <w:rFonts w:ascii="Times New Roman" w:hAnsi="Times New Roman" w:cs="Times New Roman"/>
          <w:noProof/>
        </w:rPr>
        <w:t>I</w:t>
      </w:r>
      <w:r w:rsidR="0034253B">
        <w:rPr>
          <w:rFonts w:ascii="Times New Roman" w:hAnsi="Times New Roman" w:cs="Times New Roman"/>
          <w:noProof/>
        </w:rPr>
        <w:t xml:space="preserve">ncreased expression of </w:t>
      </w:r>
      <w:r w:rsidR="00774020">
        <w:rPr>
          <w:rFonts w:ascii="Times New Roman" w:hAnsi="Times New Roman" w:cs="Times New Roman"/>
          <w:noProof/>
        </w:rPr>
        <w:t>SLC25A47 has been reported to cause</w:t>
      </w:r>
      <w:r w:rsidR="00F25402">
        <w:rPr>
          <w:rFonts w:ascii="Times New Roman" w:hAnsi="Times New Roman" w:cs="Times New Roman"/>
          <w:noProof/>
        </w:rPr>
        <w:t xml:space="preserve"> dissipation of</w:t>
      </w:r>
      <w:r w:rsidR="0034253B">
        <w:rPr>
          <w:rFonts w:ascii="Times New Roman" w:hAnsi="Times New Roman" w:cs="Times New Roman"/>
          <w:noProof/>
        </w:rPr>
        <w:t xml:space="preserve"> the mitochondrial membrane potential,</w:t>
      </w:r>
      <w:r w:rsidR="00B12AC0">
        <w:rPr>
          <w:rFonts w:ascii="Times New Roman" w:hAnsi="Times New Roman" w:cs="Times New Roman"/>
          <w:noProof/>
        </w:rPr>
        <w:t xml:space="preserve"> which</w:t>
      </w:r>
      <w:r w:rsidR="00FA40F6">
        <w:rPr>
          <w:rFonts w:ascii="Times New Roman" w:hAnsi="Times New Roman" w:cs="Times New Roman"/>
          <w:noProof/>
        </w:rPr>
        <w:t xml:space="preserve"> can lead to</w:t>
      </w:r>
      <w:r w:rsidR="00B12AC0">
        <w:rPr>
          <w:rFonts w:ascii="Times New Roman" w:hAnsi="Times New Roman" w:cs="Times New Roman"/>
          <w:noProof/>
        </w:rPr>
        <w:t xml:space="preserve"> cell death </w:t>
      </w:r>
      <w:r w:rsidR="00B12AC0">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"10.1042/BJ20121753", "ISSN" : "1470-8728", "PMID" : "23988125", "abstract" : "The mitochondrion relies on compartmentalization of certain enzymes, ions and metabolites for the sake of efficient metabolism. In order to fulfil its activities, a myriad of carriers are properly expressed, targeted and folded in the inner mitochondrial membrane. Among these carriers, the six-transmembrane-helix mitochondrial SLC25 (solute carrier family 25) proteins facilitate transport of solutes with disparate chemical identities across the inner mitochondrial membrane. Although their proper function replenishes building blocks needed for metabolic reactions, dysfunctional SLC25 proteins are involved in pathological states. It is the purpose of the present review to cover the current knowledge on the role of SLC25 transporters in health and disease.", "author" : [ { "dropping-particle" : "", "family" : "Guti\u00e9rrez-Aguilar", "given" : "Manuel", "non-dropping-particle" : "", "parse-names" : false, "suffix" : "" }, { "dropping-particle" : "", "family" : "Baines", "given" : "Christopher P", "non-dropping-particle" : "", "parse-names" : false, "suffix" : "" } ], "container-title" : "The Biochemical journal", "id" : "ITEM-1", "issue" : "3", "issued" : { "date-parts" : [ [ "2013", "9", "15" ] ] }, "language" : "en", "page" : "371-86", "publisher" : "Portland Press Limited", "title" : "Physiological and pathological roles of mitochondrial SLC25 carriers.", "type" : "article-journal", "volume" : "454" }, "uris" : [ "http://www.mendeley.com/documents/?uuid=b45566bb-be37-4ee1-bfa3-2457eb3ab911" ] } ], "mendeley" : { "formattedCitation" : "(Guti\u00e9rrez-Aguilar &amp; Baines 2013)", "plainTextFormattedCitation" : "(Guti\u00e9rrez-Aguilar &amp; Baines 2013)", "previouslyFormattedCitation" : "(Guti\u00e9rrez-Aguilar &amp; Baines 2013)" }, "properties" : { "noteIndex" : 0 }, "schema" : "https://github.com/citation-style-language/schema/raw/master/csl-citation.json" }</w:instrText>
      </w:r>
      <w:r w:rsidR="00B12AC0">
        <w:rPr>
          <w:rFonts w:ascii="Times New Roman" w:hAnsi="Times New Roman" w:cs="Times New Roman"/>
          <w:noProof/>
        </w:rPr>
        <w:fldChar w:fldCharType="separate"/>
      </w:r>
      <w:r w:rsidR="00C148FC" w:rsidRPr="00C148FC">
        <w:rPr>
          <w:rFonts w:ascii="Times New Roman" w:hAnsi="Times New Roman" w:cs="Times New Roman"/>
          <w:noProof/>
        </w:rPr>
        <w:t>(Gutiérrez-Aguilar &amp; Baines 2013)</w:t>
      </w:r>
      <w:r w:rsidR="00B12AC0">
        <w:rPr>
          <w:rFonts w:ascii="Times New Roman" w:hAnsi="Times New Roman" w:cs="Times New Roman"/>
          <w:noProof/>
        </w:rPr>
        <w:fldChar w:fldCharType="end"/>
      </w:r>
      <w:r w:rsidR="0034253B">
        <w:rPr>
          <w:rFonts w:ascii="Times New Roman" w:hAnsi="Times New Roman" w:cs="Times New Roman"/>
          <w:noProof/>
        </w:rPr>
        <w:t>.</w:t>
      </w:r>
      <w:r>
        <w:rPr>
          <w:rFonts w:ascii="Times New Roman" w:hAnsi="Times New Roman" w:cs="Times New Roman"/>
          <w:noProof/>
        </w:rPr>
        <w:t xml:space="preserve"> </w:t>
      </w:r>
    </w:p>
    <w:p w14:paraId="757AECD6" w14:textId="65F1A6EE" w:rsidR="00E10FD6" w:rsidRDefault="00E10FD6" w:rsidP="00585472">
      <w:pPr>
        <w:spacing w:line="360" w:lineRule="auto"/>
        <w:jc w:val="both"/>
        <w:rPr>
          <w:rFonts w:ascii="Times New Roman" w:hAnsi="Times New Roman" w:cs="Times New Roman"/>
          <w:noProof/>
        </w:rPr>
      </w:pPr>
      <w:r>
        <w:rPr>
          <w:rFonts w:ascii="Times New Roman" w:hAnsi="Times New Roman" w:cs="Times New Roman"/>
          <w:noProof/>
        </w:rPr>
        <w:t>T</w:t>
      </w:r>
      <w:r w:rsidR="00B628B7">
        <w:rPr>
          <w:rFonts w:ascii="Times New Roman" w:hAnsi="Times New Roman" w:cs="Times New Roman"/>
          <w:noProof/>
        </w:rPr>
        <w:t>he changes observed in the mitochondrial associated genes</w:t>
      </w:r>
      <w:r w:rsidR="00983764">
        <w:rPr>
          <w:rFonts w:ascii="Times New Roman" w:hAnsi="Times New Roman" w:cs="Times New Roman"/>
          <w:noProof/>
        </w:rPr>
        <w:t xml:space="preserve"> would sugge</w:t>
      </w:r>
      <w:r w:rsidR="0084672C">
        <w:rPr>
          <w:rFonts w:ascii="Times New Roman" w:hAnsi="Times New Roman" w:cs="Times New Roman"/>
          <w:noProof/>
        </w:rPr>
        <w:t xml:space="preserve">st </w:t>
      </w:r>
      <w:r w:rsidR="00980EBD">
        <w:rPr>
          <w:rFonts w:ascii="Times New Roman" w:hAnsi="Times New Roman" w:cs="Times New Roman"/>
          <w:noProof/>
        </w:rPr>
        <w:t xml:space="preserve">energetic defects in IGF1 </w:t>
      </w:r>
      <w:r w:rsidR="00BB00DB">
        <w:rPr>
          <w:rFonts w:ascii="Times New Roman" w:hAnsi="Times New Roman" w:cs="Times New Roman"/>
          <w:noProof/>
        </w:rPr>
        <w:t>impaired astrocytes, with particul</w:t>
      </w:r>
      <w:r w:rsidR="001429F6">
        <w:rPr>
          <w:rFonts w:ascii="Times New Roman" w:hAnsi="Times New Roman" w:cs="Times New Roman"/>
          <w:noProof/>
        </w:rPr>
        <w:t>ar</w:t>
      </w:r>
      <w:r w:rsidR="00BB00DB">
        <w:rPr>
          <w:rFonts w:ascii="Times New Roman" w:hAnsi="Times New Roman" w:cs="Times New Roman"/>
          <w:noProof/>
        </w:rPr>
        <w:t xml:space="preserve"> </w:t>
      </w:r>
      <w:r w:rsidR="001429F6">
        <w:rPr>
          <w:rFonts w:ascii="Times New Roman" w:hAnsi="Times New Roman" w:cs="Times New Roman"/>
          <w:noProof/>
        </w:rPr>
        <w:t>disruption</w:t>
      </w:r>
      <w:r w:rsidR="00BB00DB">
        <w:rPr>
          <w:rFonts w:ascii="Times New Roman" w:hAnsi="Times New Roman" w:cs="Times New Roman"/>
          <w:noProof/>
        </w:rPr>
        <w:t xml:space="preserve"> in comp</w:t>
      </w:r>
      <w:r w:rsidR="00002C6B">
        <w:rPr>
          <w:rFonts w:ascii="Times New Roman" w:hAnsi="Times New Roman" w:cs="Times New Roman"/>
          <w:noProof/>
        </w:rPr>
        <w:t>lex I</w:t>
      </w:r>
      <w:r w:rsidR="00BB00DB">
        <w:rPr>
          <w:rFonts w:ascii="Times New Roman" w:hAnsi="Times New Roman" w:cs="Times New Roman"/>
          <w:noProof/>
        </w:rPr>
        <w:t xml:space="preserve"> of the mitochondrial respiratory chain.</w:t>
      </w:r>
      <w:r w:rsidR="00115B2E">
        <w:rPr>
          <w:rFonts w:ascii="Times New Roman" w:hAnsi="Times New Roman" w:cs="Times New Roman"/>
          <w:noProof/>
        </w:rPr>
        <w:t xml:space="preserve"> However, there </w:t>
      </w:r>
      <w:r>
        <w:rPr>
          <w:rFonts w:ascii="Times New Roman" w:hAnsi="Times New Roman" w:cs="Times New Roman"/>
          <w:noProof/>
        </w:rPr>
        <w:t xml:space="preserve">was also evidence </w:t>
      </w:r>
      <w:r w:rsidR="0065456C">
        <w:rPr>
          <w:rFonts w:ascii="Times New Roman" w:hAnsi="Times New Roman" w:cs="Times New Roman"/>
          <w:noProof/>
        </w:rPr>
        <w:t>of potential compensatory mechanisms</w:t>
      </w:r>
      <w:r>
        <w:rPr>
          <w:rFonts w:ascii="Times New Roman" w:hAnsi="Times New Roman" w:cs="Times New Roman"/>
          <w:noProof/>
        </w:rPr>
        <w:t xml:space="preserve"> through upregulation of genes involved in cAMP/PKA signalling. </w:t>
      </w:r>
    </w:p>
    <w:p w14:paraId="0A2C471D" w14:textId="77777777" w:rsidR="002850FF" w:rsidRDefault="002850FF" w:rsidP="00585472">
      <w:pPr>
        <w:spacing w:line="360" w:lineRule="auto"/>
        <w:jc w:val="both"/>
        <w:rPr>
          <w:rFonts w:ascii="Times New Roman" w:hAnsi="Times New Roman" w:cs="Times New Roman"/>
          <w:noProof/>
        </w:rPr>
      </w:pPr>
    </w:p>
    <w:p w14:paraId="398E346D" w14:textId="77777777" w:rsidR="00E10FD6" w:rsidRDefault="00E10FD6" w:rsidP="00585472">
      <w:pPr>
        <w:spacing w:line="360" w:lineRule="auto"/>
        <w:jc w:val="both"/>
        <w:rPr>
          <w:rFonts w:ascii="Times New Roman" w:hAnsi="Times New Roman" w:cs="Times New Roman"/>
          <w:noProof/>
        </w:rPr>
      </w:pPr>
    </w:p>
    <w:p w14:paraId="118C05B2" w14:textId="0A23DFB2" w:rsidR="007D4012" w:rsidRPr="00303E90" w:rsidRDefault="007D4012" w:rsidP="00585472">
      <w:pPr>
        <w:spacing w:line="360" w:lineRule="auto"/>
        <w:jc w:val="both"/>
        <w:rPr>
          <w:rFonts w:ascii="Times New Roman" w:hAnsi="Times New Roman" w:cs="Times New Roman"/>
          <w:i/>
        </w:rPr>
      </w:pPr>
      <w:bookmarkStart w:id="2367" w:name="_Toc333566210"/>
      <w:bookmarkStart w:id="2368" w:name="_Toc333569100"/>
      <w:r w:rsidRPr="00303E90">
        <w:rPr>
          <w:rFonts w:ascii="Times New Roman" w:hAnsi="Times New Roman" w:cs="Times New Roman"/>
        </w:rPr>
        <w:t>Recently mit</w:t>
      </w:r>
      <w:r w:rsidR="00980EBD" w:rsidRPr="00303E90">
        <w:rPr>
          <w:rFonts w:ascii="Times New Roman" w:hAnsi="Times New Roman" w:cs="Times New Roman"/>
        </w:rPr>
        <w:t>ochondrial defects, particularl</w:t>
      </w:r>
      <w:r w:rsidRPr="00303E90">
        <w:rPr>
          <w:rFonts w:ascii="Times New Roman" w:hAnsi="Times New Roman" w:cs="Times New Roman"/>
        </w:rPr>
        <w:t xml:space="preserve">y in complex I and IV, have been reported in an insulin resistant model in rat cortical neurons </w:t>
      </w:r>
      <w:r w:rsidRPr="00303E90">
        <w:rPr>
          <w:rFonts w:ascii="Times New Roman" w:hAnsi="Times New Roman" w:cs="Times New Roman"/>
          <w:i/>
        </w:rPr>
        <w:fldChar w:fldCharType="begin" w:fldLock="1"/>
      </w:r>
      <w:r w:rsidR="003E7BDB" w:rsidRPr="00303E90">
        <w:rPr>
          <w:rFonts w:ascii="Times New Roman" w:hAnsi="Times New Roman" w:cs="Times New Roman"/>
        </w:rPr>
        <w:instrText>ADDIN CSL_CITATION { "citationItems" : [ { "id" : "ITEM-1", "itemData" : { "DOI" : "10.1111/jnc.13563", "ISSN" : "1471-4159", "PMID" : "26926143", "abstract" : "Recent studies have demonstrated brain insulin signaling impairment and mitochondrial dysfunction in diabetes. Hyperinsulinemia and hyperlipidemia arising from diabetes have been linked to neuronal insulin resistance, and hyperglycemia induces peripheral sensory neuron impairment and mitochondrial dysfunction. However, how brain glucose at diabetic conditions elicits cortical neuronal insulin signaling impairment and mitochondrial dysfunction remains unknown. In the present study, we cultured\u00a0primary cortical neurons\u00a0with high glucose levels\u00a0and investigated the neuronal mitochondrial function and insulin response. We found that mitochondrial function was declined in presence of 10 mmol/l glucose, prior to the depression of AKT signaling in primary cortical neurons. We further demonstrated that the cerebral cortex of hyperglycemic db/db mice exhibited both insulin resistance and loss of mitochondrial complex components. Moreover, we found that adenosine monophosphate-activated protein kinase (AMPK) inactivation is involved in high glucose-induced mitochondrial dysfunction and insulin resistance in primary cortical neurons and neuroblastma cells, as well as in cerebral cortex of db/db mice, and all these impairments can be rescued by mitochondrial activator, resveratrol. Taken together, our results extend the finding that high glucose comparable to diabetic brain extracellular glucose level leads to neuronal mitochondrial dysfunction and resultant insulin resistance, and targeting mitochondria-AMPK signaling might be a promising strategy to protect against diabetes-related neuronal impairment in central nerves system. This article is protected by copyright. All rights reserved.", "author" : [ { "dropping-particle" : "", "family" : "Peng", "given" : "Yunhua", "non-dropping-particle" : "", "parse-names" : false, "suffix" : "" }, { "dropping-particle" : "", "family" : "Liu", "given" : "Jing", "non-dropping-particle" : "", "parse-names" : false, "suffix" : "" }, { "dropping-particle" : "", "family" : "Shi", "given" : "Le", "non-dropping-particle" : "", "parse-names" : false, "suffix" : "" }, { "dropping-particle" : "", "family" : "Tang", "given" : "Ying", "non-dropping-particle" : "", "parse-names" : false, "suffix" : "" }, { "dropping-particle" : "", "family" : "Gao", "given" : "Dan", "non-dropping-particle" : "", "parse-names" : false, "suffix" : "" }, { "dropping-particle" : "", "family" : "Long", "given" : "Jiangang", "non-dropping-particle" : "", "parse-names" : false, "suffix" : "" }, { "dropping-particle" : "", "family" : "Liu", "given" : "Jiankang", "non-dropping-particle" : "", "parse-names" : false, "suffix" : "" } ], "container-title" : "Journal of neurochemistry", "id" : "ITEM-1", "issued" : { "date-parts" : [ [ "2016", "3", "1" ] ] }, "title" : "Mitochondrial dysfunction precedes depression of AMPK/AKT signaling in insulin resistance induced by high glucose in primary cortical neurons.", "type" : "article-journal" }, "uris" : [ "http://www.mendeley.com/documents/?uuid=92058d77-0173-49c3-9776-a93858ed5e5b" ] } ], "mendeley" : { "formattedCitation" : "(Peng et al. 2016)", "plainTextFormattedCitation" : "(Peng et al. 2016)", "previouslyFormattedCitation" : "(Peng et al. 2016)" }, "properties" : { "noteIndex" : 0 }, "schema" : "https://github.com/citation-style-language/schema/raw/master/csl-citation.json" }</w:instrText>
      </w:r>
      <w:r w:rsidRPr="00303E90">
        <w:rPr>
          <w:rFonts w:ascii="Times New Roman" w:hAnsi="Times New Roman" w:cs="Times New Roman"/>
          <w:i/>
        </w:rPr>
        <w:fldChar w:fldCharType="separate"/>
      </w:r>
      <w:r w:rsidR="00C148FC" w:rsidRPr="00303E90">
        <w:rPr>
          <w:rFonts w:ascii="Times New Roman" w:hAnsi="Times New Roman" w:cs="Times New Roman"/>
          <w:noProof/>
        </w:rPr>
        <w:t>(Peng et al. 2016)</w:t>
      </w:r>
      <w:r w:rsidRPr="00303E90">
        <w:rPr>
          <w:rFonts w:ascii="Times New Roman" w:hAnsi="Times New Roman" w:cs="Times New Roman"/>
          <w:i/>
        </w:rPr>
        <w:fldChar w:fldCharType="end"/>
      </w:r>
      <w:r w:rsidRPr="00303E90">
        <w:rPr>
          <w:rFonts w:ascii="Times New Roman" w:hAnsi="Times New Roman" w:cs="Times New Roman"/>
        </w:rPr>
        <w:t xml:space="preserve">. This supports the link between defective IGF1R signalling and mitochondrial impairments identified in this array. In addition, the link between insulin signalling impairment and mitochondrial dysfunction has been made in a NIRKO mouse model (brain-specific knockout of IR in mice). This study demonstrated complex I dysfunction and aberrant dopamine clearance as a result of IR loss </w:t>
      </w:r>
      <w:r w:rsidRPr="00303E90">
        <w:rPr>
          <w:rFonts w:ascii="Times New Roman" w:hAnsi="Times New Roman" w:cs="Times New Roman"/>
          <w:i/>
        </w:rPr>
        <w:fldChar w:fldCharType="begin" w:fldLock="1"/>
      </w:r>
      <w:r w:rsidR="003E7BDB" w:rsidRPr="00303E90">
        <w:rPr>
          <w:rFonts w:ascii="Times New Roman" w:hAnsi="Times New Roman" w:cs="Times New Roman"/>
        </w:rPr>
        <w:instrText>ADDIN CSL_CITATION { "citationItems" : [ { "id" : "ITEM-1", "itemData" : { "DOI" : "10.1073/pnas.1500877112", "ISSN" : "1091-6490", "PMID" : "25733901", "abstract" : "Diabetes and insulin resistance are associated with altered brain imaging, depression, and increased rates of age-related cognitive impairment. Here we demonstrate that mice with a brain-specific knockout of the insulin receptor (NIRKO mice) exhibit brain mitochondrial dysfunction with reduced mitochondrial oxidative activity, increased levels of reactive oxygen species, and increased levels of lipid and protein oxidation in the striatum and nucleus accumbens. NIRKO mice also exhibit increased levels of monoamine oxidase A and B (MAO A and B) leading to increased dopamine turnover in these areas. Studies in cultured neurons and glia cells indicate that these changes in MAO A and B are a direct consequence of loss of insulin signaling. As a result, NIRKO mice develop age-related anxiety and depressive-like behaviors that can be reversed by treatment with MAO inhibitors, as well as the tricyclic antidepressant imipramine, which inhibits MAO activity and reduces oxidative stress. Thus, insulin resistance in brain induces mitochondrial and dopaminergic dysfunction leading to anxiety and depressive-like behaviors, demonstrating a potential molecular link between central insulin resistance and behavioral disorders.", "author" : [ { "dropping-particle" : "", "family" : "Kleinridders", "given" : "Andre", "non-dropping-particle" : "", "parse-names" : false, "suffix" : "" }, { "dropping-particle" : "", "family" : "Cai", "given" : "Weikang", "non-dropping-particle" : "", "parse-names" : false, "suffix" : "" }, { "dropping-particle" : "", "family" : "Cappellucci", "given" : "Laura", "non-dropping-particle" : "", "parse-names" : false, "suffix" : "" }, { "dropping-particle" : "", "family" : "Ghazarian", "given" : "Armen", "non-dropping-particle" : "", "parse-names" : false, "suffix" : "" }, { "dropping-particle" : "", "family" : "Collins", "given" : "William R", "non-dropping-particle" : "", "parse-names" : false, "suffix" : "" }, { "dropping-particle" : "", "family" : "Vienberg", "given" : "Sara G", "non-dropping-particle" : "", "parse-names" : false, "suffix" : "" }, { "dropping-particle" : "", "family" : "Pothos", "given" : "Emmanuel N", "non-dropping-particle" : "", "parse-names" : false, "suffix" : "" }, { "dropping-particle" : "", "family" : "Kahn", "given" : "C Ronald", "non-dropping-particle" : "", "parse-names" : false, "suffix" : "" } ], "container-title" : "Proceedings of the National Academy of Sciences of the United States of America", "id" : "ITEM-1", "issue" : "11", "issued" : { "date-parts" : [ [ "2015", "3", "17" ] ] }, "page" : "3463-8", "title" : "Insulin resistance in brain alters dopamine turnover and causes behavioral disorders.", "type" : "article-journal", "volume" : "112" }, "uris" : [ "http://www.mendeley.com/documents/?uuid=90727050-9ef4-35c3-9e52-7e273cd6e197" ] } ], "mendeley" : { "formattedCitation" : "(Kleinridders et al. 2015)", "plainTextFormattedCitation" : "(Kleinridders et al. 2015)", "previouslyFormattedCitation" : "(Kleinridders et al. 2015)" }, "properties" : { "noteIndex" : 0 }, "schema" : "https://github.com/citation-style-language/schema/raw/master/csl-citation.json" }</w:instrText>
      </w:r>
      <w:r w:rsidRPr="00303E90">
        <w:rPr>
          <w:rFonts w:ascii="Times New Roman" w:hAnsi="Times New Roman" w:cs="Times New Roman"/>
          <w:i/>
        </w:rPr>
        <w:fldChar w:fldCharType="separate"/>
      </w:r>
      <w:r w:rsidR="00C148FC" w:rsidRPr="00303E90">
        <w:rPr>
          <w:rFonts w:ascii="Times New Roman" w:hAnsi="Times New Roman" w:cs="Times New Roman"/>
          <w:noProof/>
        </w:rPr>
        <w:t>(Kleinridders et al. 2015)</w:t>
      </w:r>
      <w:r w:rsidRPr="00303E90">
        <w:rPr>
          <w:rFonts w:ascii="Times New Roman" w:hAnsi="Times New Roman" w:cs="Times New Roman"/>
          <w:i/>
        </w:rPr>
        <w:fldChar w:fldCharType="end"/>
      </w:r>
      <w:r w:rsidRPr="00303E90">
        <w:rPr>
          <w:rFonts w:ascii="Times New Roman" w:hAnsi="Times New Roman" w:cs="Times New Roman"/>
        </w:rPr>
        <w:t>, but the specific contributions made by different cell types was not identified.</w:t>
      </w:r>
      <w:r w:rsidR="00002C6B" w:rsidRPr="00303E90">
        <w:rPr>
          <w:rFonts w:ascii="Times New Roman" w:hAnsi="Times New Roman" w:cs="Times New Roman"/>
        </w:rPr>
        <w:t xml:space="preserve"> </w:t>
      </w:r>
      <w:r w:rsidR="002A18F3" w:rsidRPr="00303E90">
        <w:rPr>
          <w:rFonts w:ascii="Times New Roman" w:hAnsi="Times New Roman" w:cs="Times New Roman"/>
        </w:rPr>
        <w:t xml:space="preserve">However, </w:t>
      </w:r>
      <w:r w:rsidR="00D80705" w:rsidRPr="00303E90">
        <w:rPr>
          <w:rFonts w:ascii="Times New Roman" w:hAnsi="Times New Roman" w:cs="Times New Roman"/>
        </w:rPr>
        <w:t xml:space="preserve">in </w:t>
      </w:r>
      <w:r w:rsidR="002A18F3" w:rsidRPr="00303E90">
        <w:rPr>
          <w:rFonts w:ascii="Times New Roman" w:hAnsi="Times New Roman" w:cs="Times New Roman"/>
        </w:rPr>
        <w:t>a separate study a list of mitochondrial genes</w:t>
      </w:r>
      <w:r w:rsidR="00D80705" w:rsidRPr="00303E90">
        <w:rPr>
          <w:rFonts w:ascii="Times New Roman" w:hAnsi="Times New Roman" w:cs="Times New Roman"/>
        </w:rPr>
        <w:t xml:space="preserve"> were found to be</w:t>
      </w:r>
      <w:r w:rsidR="002A18F3" w:rsidRPr="00303E90">
        <w:rPr>
          <w:rFonts w:ascii="Times New Roman" w:hAnsi="Times New Roman" w:cs="Times New Roman"/>
        </w:rPr>
        <w:t xml:space="preserve"> differentially expressed in astrocytes isolated from the posterior cingulate in AD </w:t>
      </w:r>
      <w:r w:rsidR="00E62489" w:rsidRPr="00303E90">
        <w:rPr>
          <w:rFonts w:ascii="Times New Roman" w:hAnsi="Times New Roman" w:cs="Times New Roman"/>
        </w:rPr>
        <w:t>subjects</w:t>
      </w:r>
      <w:r w:rsidR="002A18F3" w:rsidRPr="00303E90">
        <w:rPr>
          <w:rFonts w:ascii="Times New Roman" w:hAnsi="Times New Roman" w:cs="Times New Roman"/>
        </w:rPr>
        <w:t xml:space="preserve">, which is one of the brain regions </w:t>
      </w:r>
      <w:r w:rsidR="00E62489" w:rsidRPr="00303E90">
        <w:rPr>
          <w:rFonts w:ascii="Times New Roman" w:hAnsi="Times New Roman" w:cs="Times New Roman"/>
        </w:rPr>
        <w:t xml:space="preserve">with the earliest changes in glucose metabolism </w:t>
      </w:r>
      <w:r w:rsidR="00E62489" w:rsidRPr="00303E90">
        <w:rPr>
          <w:rFonts w:ascii="Times New Roman" w:hAnsi="Times New Roman" w:cs="Times New Roman"/>
          <w:i/>
        </w:rPr>
        <w:fldChar w:fldCharType="begin" w:fldLock="1"/>
      </w:r>
      <w:r w:rsidR="003E7BDB" w:rsidRPr="00303E90">
        <w:rPr>
          <w:rFonts w:ascii="Times New Roman" w:hAnsi="Times New Roman" w:cs="Times New Roman"/>
        </w:rPr>
        <w:instrText>ADDIN CSL_CITATION { "citationItems" : [ { "id" : "ITEM-1", "itemData" : { "DOI" : "10.1016/j.neurobiolaging.2014.09.027", "ISSN" : "1558-1497", "PMID" : "25448601", "abstract" : "Alzheimer's disease (AD) is characterized by deficits in cerebral metabolic rates of glucose in the posterior cingulate (PC) and precuneus in AD subjects, and in APOE\u03b54 carriers, decades before the onset of measureable cognitive deficits. However, the cellular and molecular basis of this phenotype remains to be clarified. Given the roles of astrocytes in energy storage and brain immunity, we sought to characterize the transcriptome of AD PC astrocytes. Cells were laser capture microdissected from AD (n = 10) and healthy elderly control (n = 10) subjects for RNA sequencing. We generated &gt;5.22 billion reads and compared sequencing data between controls and AD patients. We identified differentially expressed mitochondria-related genes including TRMT61B, FASTKD2, and NDUFA4L2, and using pathway and weighted gene coexpression analyses, we identified differentially expressed immune response genes. A number of these genes, including CLU, C3, and CD74, have been implicated in beta amyloid generation or clearance. These data provide key insights into astrocyte-specific contributions to AD, and we present this data set as a publicly available resource.", "author" : [ { "dropping-particle" : "", "family" : "Sekar", "given" : "Shobana", "non-dropping-particle" : "", "parse-names" : false, "suffix" : "" }, { "dropping-particle" : "", "family" : "McDonald", "given" : "Jacquelyn", "non-dropping-particle" : "", "parse-names" : false, "suffix" : "" }, { "dropping-particle" : "", "family" : "Cuyugan", "given" : "Lori", "non-dropping-particle" : "", "parse-names" : false, "suffix" : "" }, { "dropping-particle" : "", "family" : "Aldrich", "given" : "Jessica", "non-dropping-particle" : "", "parse-names" : false, "suffix" : "" }, { "dropping-particle" : "", "family" : "Kurdoglu", "given" : "Ahmet", "non-dropping-particle" : "", "parse-names" : false, "suffix" : "" }, { "dropping-particle" : "", "family" : "Adkins", "given" : "Jonathan", "non-dropping-particle" : "", "parse-names" : false, "suffix" : "" }, { "dropping-particle" : "", "family" : "Serrano", "given" : "Geidy", "non-dropping-particle" : "", "parse-names" : false, "suffix" : "" }, { "dropping-particle" : "", "family" : "Beach", "given" : "Thomas G", "non-dropping-particle" : "", "parse-names" : false, "suffix" : "" }, { "dropping-particle" : "", "family" : "Craig", "given" : "David W", "non-dropping-particle" : "", "parse-names" : false, "suffix" : "" }, { "dropping-particle" : "", "family" : "Valla", "given" : "Jonathan", "non-dropping-particle" : "", "parse-names" : false, "suffix" : "" }, { "dropping-particle" : "", "family" : "Reiman", "given" : "Eric M", "non-dropping-particle" : "", "parse-names" : false, "suffix" : "" }, { "dropping-particle" : "", "family" : "Liang", "given" : "Winnie S", "non-dropping-particle" : "", "parse-names" : false, "suffix" : "" }, { "dropping-particle" : "", "family" : "Akiyama", "given" : "H.", "non-dropping-particle" : "", "parse-names" : false, "suffix" : "" }, { "dropping-particle" : "", "family" : "Arai", "given" : "T.", "non-dropping-particle" : "", "parse-names" : false, "suffix" : "" }, { "dropping-particle" : "", "family" : "Kondo", "given" : "H.", "non-dropping-particle" : "", "parse-names" : false, "suffix" : "" }, { "dropping-particle" : "", "family" : "Tanno", "given" : "E.", "non-dropping-particle" : "", "parse-names" : false, "suffix" : "" }, { "dropping-particle" : "", "family" : "Haga", "given" : "C.", "non-dropping-particle" : "", "parse-names" : false, "suffix" : "" }, { "dropping-particle" : "", "family" : "Ikeda", "given" : "K.", "non-dropping-particle" : "", "parse-names" : false, "suffix" : "" }, { "dropping-particle" : "", "family" : "Alexander", "given" : "G.E.", "non-dropping-particle" : "", "parse-names" : false, "suffix" : "" }, { "dropping-particle" : "", "family" : "Chen", "given" : "K.", "non-dropping-particle" : "", "parse-names" : false, "suffix" : "" }, { "dropping-particle" : "", "family" : "Pietrini", "given" : "P.", "non-dropping-particle" : "", "parse-names" : false, "suffix" : "" }, { "dropping-particle" : "", "family" : "Rapoport", "given" : "S.I.", "non-dropping-particle" : "", "parse-names" : false, "suffix" : "" }, { "dropping-particle" : "", "family" : "Reiman", "given" : "E.M.", "non-dropping-particle" : "", "parse-names" : false, "suffix" : "" }, { "dropping-particle" : "", "family" : "Alikhani", "given" : "N.", "non-dropping-particle" : "", "parse-names" : false, "suffix" : "" }, { "dropping-particle" : "", "family" : "Guo", "given" : "L.", "non-dropping-particle" : "", "parse-names" : false, "suffix" : "" }, { "dropping-particle" : "", "family" : "Yan", "given" : "S.", "non-dropping-particle" : "", "parse-names" : false, "suffix" : "" }, { "dropping-particle" : "", "family" : "Du", "given" : "H.", "non-dropping-particle" : "", "parse-names" : false, "suffix" : "" }, { "dropping-particle" : "", "family" : "Pinho", "given" : "C.M.", "non-dropping-particle" : "", "parse-names" : false, "suffix" : "" }, { "dropping-particle" : "", "family" : "Chen", "given" : "J.X.", "non-dropping-particle" : "", "parse-names" : false, "suffix" : "" }, { "dropping-particle" : "", "family" : "Glaser", "given" : "E.", "non-dropping-particle" : "", "parse-names" : false, "suffix" : "" }, { "dropping-particle" : "", "family" : "Yan", "given" : "S.S.", "non-dropping-particle" : "", "parse-names" : false, "suffix" : "" }, { "dropping-particle" : "", "family" : "Anders", "given" : "S.", "non-dropping-particle" : "", "parse-names" : false, "suffix" : "" }, { "dropping-particle" : "", "family" : "Huber", "given" : "W.", "non-dropping-particle" : "", "parse-names" : false, "suffix" : "" }, { "dropping-particle" : "", "family" : "Blalock", "given" : "E.M.", "non-dropping-particle" : "", "parse-names" : false, "suffix" : "" }, { "dropping-particle" : "", "family" : "Buechel", "given" : "H.M.", "non-dropping-particle" : "", "parse-names" : false, "suffix" : "" }, { "dropping-particle" : "", "family" : "Popovic", "given" : "J.", "non-dropping-particle" : "", "parse-names" : false, "suffix" : "" }, { "dropping-particle" : "", "family" : "Geddes", "given" : "J.W.", "non-dropping-particle" : "", "parse-names" : false, "suffix" : "" }, { "dropping-particle" : "", "family" : "Landfield", "given" : "P.W.", "non-dropping-particle" : "", "parse-names" : false, "suffix" : "" }, { "dropping-particle" : "", "family" : "Braak", "given" : "H.", "non-dropping-particle" : "", "parse-names" : false, "suffix" : "" }, { "dropping-particle" : "", "family" : "Braak", "given" : "E.", "non-dropping-particle" : "", "parse-names" : false, "suffix" : "" }, { "dropping-particle" : "", "family" : "Cahoy", "given" : "J.D.", "non-dropping-particle" : "", "parse-names" : false, "suffix" : "" }, { "dropping-particle" : "", "family" : "Emery", "given" : "B.", "non-dropping-particle" : "", "parse-names" : false, "suffix" : "" }, { "dropping-particle" : "", "family" : "Kaushal", "given" : "A.", "non-dropping-particle" : "", "parse-names" : false, "suffix" : "" }, { "dropping-particle" : "", "family" : "Foo", "given" : "L.C.", "non-dropping-particle" : "", "parse-names" : false, "suffix" : "" }, { "dropping-particle" : "", "family" : "Zamanian", "given" : "J.L.", "non-dropping-particle" : "", "parse-names" : false, "suffix" : "" }, { "dropping-particle" : "", "family" : "Christopherson", "given" : "K.S.", "non-dropping-particle" : "", "parse-names" : false, "suffix" : "" }, { "dropping-particle" : "", "family" : "Xing", "given" : "Y.", "non-dropping-particle" : "", "parse-names" : false, "suffix" : "" }, { "dropping-particle" : "", "family" : "Lubischer", "given" : "J.L.", "non-dropping-particle" : "", "parse-names" : false, "suffix" : "" }, { "dropping-particle" : "", "family" : "Krieg", "given" : "P.A.", "non-dropping-particle" : "", "parse-names" : false, "suffix" : "" }, { "dropping-particle" : "", "family" : "Krupenko", "given" : "S.A.", "non-dropping-particle" : "", "parse-names" : false, "suffix" : "" }, { "dropping-particle" : "", "family" : "Thompson", "given" : "W.J.", "non-dropping-particle" : "", "parse-names" : false, "suffix" : "" }, { "dropping-particle" : "", "family" : "Barres", "given" : "B.A.", "non-dropping-particle" : "", "parse-names" : false, "suffix" : "" }, { "dropping-particle" : "", "family" : "Chow", "given" : "K.M.", "non-dropping-particle" : "", "parse-names" : false, "suffix" : "" }, { "dropping-particle" : "", "family" : "Gakh", "given" : "O.", "non-dropping-particle" : "", "parse-names" : false, "suffix" : "" }, { "dropping-particle" : "", "family" : "Payne", "given" : "I.C.", "non-dropping-particle" : "", "parse-names" : false, "suffix" : "" }, { "dropping-particle" : "", "family" : "Juliano", "given" : "M.A.", "non-dropping-particle" : "", "parse-names" : false, "suffix" : "" }, { "dropping-particle" : "", "family" : "Juliano", "given" : "L.", "non-dropping-particle" : "", "parse-names" : false, "suffix" : "" }, { "dropping-particle" : "", "family" : "Isaya", "given" : "G.", "non-dropping-particle" : "", "parse-names" : false, "suffix" : "" }, { "dropping-particle" : "", "family" : "Hersch", "given" : "L.B.", "non-dropping-particle" : "", "parse-names" : false, "suffix" : "" }, { "dropping-particle" : "", "family" : "Chujo", "given" : "T.", "non-dropping-particle" : "", "parse-names" : false, "suffix" : "" }, { "dropping-particle" : "", "family" : "Suzuki", "given" : "T.", "non-dropping-particle" : "", "parse-names" : false, "suffix" : "" }, { "dropping-particle" : "", "family" : "Dennis", "given" : "G.", "non-dropping-particle" : "", "parse-names" : false, "suffix" : "" }, { "dropping-particle" : "", "family" : "Sherman", "given" : "B.T.", "non-dropping-particle" : "", "parse-names" : false, "suffix" : "" }, { "dropping-particle" : "", "family" : "Hosack", "given" : "D.A.", "non-dropping-particle" : "", "parse-names" : false, "suffix" : "" }, { "dropping-particle" : "", "family" : "Yang", "given" : "J.", "non-dropping-particle" : "", "parse-names" : false, "suffix" : "" }, { "dropping-particle" : "", "family" : "Gao", "given" : "W.", "non-dropping-particle" : "", "parse-names" : false, "suffix" : "" }, { "dropping-particle" : "", "family" : "Lane", "given" : "H.C.", "non-dropping-particle" : "", "parse-names" : false, "suffix" : "" }, { "dropping-particle" : "", "family" : "Lempicki", "given" : "R.A.", "non-dropping-particle" : "", "parse-names" : false, "suffix" : "" }, { "dropping-particle" : "", "family" : "Eng", "given" : "L.F.", "non-dropping-particle" : "", "parse-names" : false, "suffix" : "" }, { "dropping-particle" : "", "family" : "Ghirnikar", "given" : "R.S.", "non-dropping-particle" : "", "parse-names" : false, "suffix" : "" }, { "dropping-particle" : "", "family" : "Lee", "given" : "Y.L.", "non-dropping-particle" : "", "parse-names" : false, "suffix" : "" }, { "dropping-particle" : "", "family" : "Falkevall", "given" : "A.", "non-dropping-particle" : "", "parse-names" : false, "suffix" : "" }, { "dropping-particle" : "", "family" : "Alikhani", "given" : "N.", "non-dropping-particle" : "", "parse-names" : false, "suffix" : "" }, { "dropping-particle" : "", "family" : "Bhushan", "given" : "S.", "non-dropping-particle" : "", "parse-names" : false, "suffix" : "" }, { "dropping-particle" : "", "family" : "Pavlov", "given" : "P.F.", "non-dropping-particle" : "", "parse-names" : false, "suffix" : "" }, { "dropping-particle" : "", "family" : "Busch", "given" : "K.", "non-dropping-particle" : "", "parse-names" : false, "suffix" : "" }, { "dropping-particle" : "", "family" : "Johnson", "given" : "K.A.", "non-dropping-particle" : "", "parse-names" : false, "suffix" : "" }, { "dropping-particle" : "", "family" : "Eneqvist", "given" : "T.", "non-dropping-particle" : "", "parse-names" : false, "suffix" : "" }, { "dropping-particle" : "", "family" : "Tjernberg", "given" : "L.", "non-dropping-particle" : "", "parse-names" : false, "suffix" : "" }, { "dropping-particle" : "", "family" : "Ankarcrona", "given" : "M.", "non-dropping-particle" : "", "parse-names" : false, "suffix" : "" }, { "dropping-particle" : "", "family" : "Glaser", "given" : "E.", "non-dropping-particle" : "", "parse-names" : false, "suffix" : "" }, { "dropping-particle" : "", "family" : "Fox", "given" : "N.C.", "non-dropping-particle" : "", "parse-names" : false, "suffix" : "" }, { "dropping-particle" : "", "family" : "Cousens", "given" : "S.", "non-dropping-particle" : "", "parse-names" : false, "suffix" : "" }, { "dropping-particle" : "", "family" : "Scahill", "given" : "R.", "non-dropping-particle" : "", "parse-names" : false, "suffix" : "" }, { "dropping-particle" : "", "family" : "Harvey", "given" : "R.J.", "non-dropping-particle" : "", "parse-names" : false, "suffix" : "" }, { "dropping-particle" : "", "family" : "Rossor", "given" : "M.N.", "non-dropping-particle" : "", "parse-names" : false, "suffix" : "" }, { "dropping-particle" : "", "family" : "Geinisman", "given" : "Y.", "non-dropping-particle" : "", "parse-names" : false, "suffix" : "" }, { "dropping-particle" : "", "family" : "Bondareff", "given" : "W.", "non-dropping-particle" : "", "parse-names" : false, "suffix" : "" }, { "dropping-particle" : "", "family" : "Dodge", "given" : "J.T.", "non-dropping-particle" : "", "parse-names" : false, "suffix" : "" }, { "dropping-particle" : "", "family" : "Ghezzi", "given" : "D.", "non-dropping-particle" : "", "parse-names" : false, "suffix" : "" }, { "dropping-particle" : "", "family" : "Saada", "given" : "A.", "non-dropping-particle" : "", "parse-names" : false, "suffix" : "" }, { "dropping-particle" : "", "family" : "D'Adamo", "given" : "P.", "non-dropping-particle" : "", "parse-names" : false, "suffix" : "" }, { "dropping-particle" : "", "family" : "Fernandez-Vizarra", "given" : "E.", "non-dropping-particle" : "", "parse-names" : false, "suffix" : "" }, { "dropping-particle" : "", "family" : "Gasparini", "given" : "P.", "non-dropping-particle" : "", "parse-names" : false, "suffix" : "" }, { "dropping-particle" : "", "family" : "Tiranti", "given" : "V.", "non-dropping-particle" : "", "parse-names" : false, "suffix" : "" }, { "dropping-particle" : "", "family" : "Elpeleg", "given" : "O.", "non-dropping-particle" : "", "parse-names" : false, "suffix" : "" }, { "dropping-particle" : "", "family" : "Zeviani", "given" : "M.", "non-dropping-particle" : "", "parse-names" : false, "suffix" : "" }, { "dropping-particle" : "", "family" : "Harold", "given" : "D.", "non-dropping-particle" : "", "parse-names" : false, "suffix" : "" }, { "dropping-particle" : "", "family" : "Abraham", "given" : "R.", "non-dropping-particle" : "", "parse-names" : false, "suffix" : "" }, { "dropping-particle" : "", "family" : "Hollingworth", "given" : "P.", "non-dropping-particle" : "", "parse-names" : false, "suffix" : "" }, { "dropping-particle" : "", "family" : "Sims", "given" : "R.", "non-dropping-particle" : "", "parse-names" : false, "suffix" : "" }, { "dropping-particle" : "", "family" : "Gerrish", "given" : "A.", "non-dropping-particle" : "", "parse-names" : false, "suffix" : "" }, { "dropping-particle" : "", "family" : "Hamshere", "given" : "M.L.", "non-dropping-particle" : "", "parse-names" : false, "suffix" : "" }, { "dropping-particle" : "", "family" : "Pahwa", "given" : "J.S.", "non-dropping-particle" : "", "parse-names" : false, "suffix" : "" }, { "dropping-particle" : "", "family" : "Moskvina", "given" : "V.", "non-dropping-particle" : "", "parse-names" : false, "suffix" : "" }, { "dropping-particle" : "", "family" : "Dowzell", "given" : "K.", "non-dropping-particle" : "", "parse-names" : false, "suffix" : "" }, { "dropping-particle" : "", "family" : "Williams", "given" : "A.", "non-dropping-particle" : "", "parse-names" : false, "suffix" : "" }, { "dropping-particle" : "", "family" : "Jones", "given" : "N.", "non-dropping-particle" : "", "parse-names" : false, "suffix" : "" }, { "dropping-particle" : "", "family" : "Thomas", "given" : "C.", "non-dropping-particle" : "", "parse-names" : false, "suffix" : "" }, { "dropping-particle" : "", "family" : "Stretton", "given" : "A.", "non-dropping-particle" : "", "parse-names" : false, "suffix" : "" }, { "dropping-particle" : "", "family" : "Morgan", "given" : "A.R.", "non-dropping-particle" : "", "parse-names" : false, "suffix" : "" }, { "dropping-particle" : "", "family" : "Lovestone", "given" : "S.", "non-dropping-particle" : "", "parse-names" : false, "suffix" : "" }, { "dropping-particle" : "", "family" : "Powell", "given" : "J.", "non-dropping-particle" : "", "parse-names" : false, "suffix" : "" }, { "dropping-particle" : "", "family" : "Proitsi", "given" : "P.", "non-dropping-particle" : "", "parse-names" : false, "suffix" : "" }, { "dropping-particle" : "", "family" : "Lupton", "given" : "M.K.", "non-dropping-particle" : "", "parse-names" : false, "suffix" : "" }, { "dropping-particle" : "", "family" : "Brayne", "given" : "C.", "non-dropping-particle" : "", "parse-names" : false, "suffix" : "" }, { "dropping-particle" : "", "family" : "Rubinsztein", "given" : "D.C.", "non-dropping-particle" : "", "parse-names" : false, "suffix" : "" }, { "dropping-particle" : "", "family" : "Gill", "given" : "M.", "non-dropping-particle" : "", "parse-names" : false, "suffix" : "" }, { "dropping-particle" : "", "family" : "Lawlor", "given" : "B.", "non-dropping-particle" : "", "parse-names" : false, "suffix" : "" }, { "dropping-particle" : "", "family" : "Lynch", "given" : "A.", "non-dropping-particle" : "", "parse-names" : false, "suffix" : "" }, { "dropping-particle" : "", "family" : "Morgan", "given" : "K.", "non-dropping-particle" : "", "parse-names" : false, "suffix" : "" }, { "dropping-particle" : "", "family" : "Brown", "given" : "K.S.", "non-dropping-particle" : "", "parse-names" : false, "suffix" : "" }, { "dropping-particle" : "", "family" : "Passmore", "given" : "P.A.", "non-dropping-particle" : "", "parse-names" : false, "suffix" : "" }, { "dropping-particle" : "", "family" : "Craig", "given" : "D.", "non-dropping-particle" : "", "parse-names" : false, "suffix" : "" }, { "dropping-particle" : "", "family" : "McGuinness", "given" : "B.", "non-dropping-particle" : "", "parse-names" : false, "suffix" : "" }, { "dropping-particle" : "", "family" : "Todd", "given" : "S.", "non-dropping-particle" : "", "parse-names" : false, "suffix" : "" }, { "dropping-particle" : "", "family" : "Holmes", "given" : "C.", "non-dropping-particle" : "", "parse-names" : false, "suffix" : "" }, { "dropping-particle" : "", "family" : "Mann", "given" : "D.", "non-dropping-particle" : "", "parse-names" : false, "suffix" : "" }, { "dropping-particle" : "", "family" : "Smith", "given" : "A.D.", "non-dropping-particle" : "", "parse-names" : false, "suffix" : "" }, { "dropping-particle" : "", "family" : "Love", "given" : "S.", "non-dropping-particle" : "", "parse-names" : false, "suffix" : "" }, { "dropping-particle" : "", "family" : "Kehoe", "given" : "P.G.", "non-dropping-particle" : "", "parse-names" : false, "suffix" : "" }, { "dropping-particle" : "", "family" : "Hardy", "given" : "J.", "non-dropping-particle" : "", "parse-names" : false, "suffix" : "" }, { "dropping-particle" : "", "family" : "Mead", "given" : "S.", "non-dropping-particle" : "", "parse-names" : false, "suffix" : "" }, { "dropping-particle" : "", "family" : "Fox", "given" : "N.", "non-dropping-particle" : "", "parse-names" : false, "suffix" : "" }, { "dropping-particle" : "", "family" : "Rossor", "given" : "M.", "non-dropping-particle" : "", "parse-names" : false, "suffix" : "" }, { "dropping-particle" : "", "family" : "Collinge", "given" : "J.", "non-dropping-particle" : "", "parse-names" : false, "suffix" : "" }, { "dropping-particle" : "", "family" : "Maier", "given" : "W.", "non-dropping-particle" : "", "parse-names" : false, "suffix" : "" }, { "dropping-particle" : "", "family" : "Jessen", "given" : "F.", "non-dropping-particle" : "", "parse-names" : false, "suffix" : "" }, { "dropping-particle" : "", "family" : "Sch\u00fcrmann", "given" : "B.", "non-dropping-particle" : "", "parse-names" : false, "suffix" : "" }, { "dropping-particle" : "", "family" : "Heun", "given" : "R.", "non-dropping-particle" : "", "parse-names" : false, "suffix" : "" }, { "dropping-particle" : "van den", "family" : "Bussche", "given" : "H.", "non-dropping-particle" : "", "parse-names" : false, "suffix" : "" }, { "dropping-particle" : "", "family" : "Heuser", "given" : "I.", "non-dropping-particle" : "", "parse-names" : false, "suffix" : "" }, { "dropping-particle" : "", "family" : "Kornhuber", "given" : "J.", "non-dropping-particle" : "", "parse-names" : false, "suffix" : "" }, { "dropping-particle" : "", "family" : "Wiltfang", "given" : "J.", "non-dropping-particle" : "", "parse-names" : false, "suffix" : "" }, { "dropping-particle" : "", "family" : "Dichgans", "given" : "M.", "non-dropping-particle" : "", "parse-names" : false, "suffix" : "" }, { "dropping-particle" : "", "family" : "Fr\u00f6lich", "given" : "L.", "non-dropping-particle" : "", "parse-names" : false, "suffix" : "" }, { "dropping-particle" : "", "family" : "Hampel", "given" : "H.", "non-dropping-particle" : "", "parse-names" : false, "suffix" : "" }, { "dropping-particle" : "", "family" : "H\u00fcll", "given" : "M.", "non-dropping-particle" : "", "parse-names" : false, "suffix" : "" }, { "dropping-particle" : "", "family" : "Rujescu", "given" : "D.", "non-dropping-particle" : "", "parse-names" : false, "suffix" : "" }, { "dropping-particle" : "", "family" : "Goate", "given" : "A.M.", "non-dropping-particle" : "", "parse-names" : false, "suffix" : "" }, { "dropping-particle" : "", "family" : "Kauwe", "given" : "J.S.", "non-dropping-particle" : "", "parse-names" : false, "suffix" : "" }, { "dropping-particle" : "", "family" : "Cruchaga", "given" : "C.", "non-dropping-particle" : "", "parse-names" : false, "suffix" : "" }, { "dropping-particle" : "", "family" : "Nowotny", "given" : "P.", "non-dropping-particle" : "", "parse-names" : false, "suffix" : "" }, { "dropping-particle" : "", "family" : "Morris", "given" : "J.C.", "non-dropping-particle" : "", "parse-names" : false, "suffix" : "" }, { "dropping-particle" : "", "family" : "Mayo", "given" : "K.", "non-dropping-particle" : "", "parse-names" : false, "suffix" : "" }, { "dropping-particle" : "", "family" : "Sleegers", "given" : "K.", "non-dropping-particle" : "", "parse-names" : false, "suffix" : "" }, { "dropping-particle" : "", "family" : "Bettens", "given" : "K.", "non-dropping-particle" : "", "parse-names" : false, "suffix" : "" }, { "dropping-particle" : "", "family" : "Engelborghs", "given" : "S.", "non-dropping-particle" : "", "parse-names" : false, "suffix" : "" }, { "dropping-particle" : "De", "family" : "Deyn", "given" : "P.P.", "non-dropping-particle" : "", "parse-names" : false, "suffix" : "" }, { "dropping-particle" : "Van", "family" : "Broeckhoven", "given" : "C.", "non-dropping-particle" : "", "parse-names" : false, "suffix" : "" }, { "dropping-particle" : "", "family" : "Livingston", "given" : "G.", "non-dropping-particle" : "", "parse-names" : false, "suffix" : "" }, { "dropping-particle" : "", "family" : "Bass", "given" : "N.J.", "non-dropping-particle" : "", "parse-names" : false, "suffix" : "" }, { "dropping-particle" : "", "family" : "Gurling", "given" : "H.", "non-dropping-particle" : "", "parse-names" : false, "suffix" : "" }, { "dropping-particle" : "", "family" : "McQuillin", "given" : "A.", "non-dropping-particle" : "", "parse-names" : false, "suffix" : "" }, { "dropping-particle" : "", "family" : "Gwilliam", "given" : "R.", "non-dropping-particle" : "", "parse-names" : false, "suffix" : "" }, { "dropping-particle" : "", "family" : "Deloukas", "given" : "P.", "non-dropping-particle" : "", "parse-names" : false, "suffix" : "" }, { "dropping-particle" : "", "family" : "Al-Chalabi", "given" : "A.", "non-dropping-particle" : "", "parse-names" : false, "suffix" : "" }, { "dropping-particle" : "", "family" : "Shaw", "given" : "C.E.", "non-dropping-particle" : "", "parse-names" : false, "suffix" : "" }, { "dropping-particle" : "", "family" : "Tsolaki", "given" : "M.", "non-dropping-particle" : "", "parse-names" : false, "suffix" : "" }, { "dropping-particle" : "", "family" : "Singleton", "given" : "A.B.", "non-dropping-particle" : "", "parse-names" : false, "suffix" : "" }, { "dropping-particle" : "", "family" : "Guerreiro", "given" : "R.", "non-dropping-particle" : "", "parse-names" : false, "suffix" : "" }, { "dropping-particle" : "", "family" : "M\u00fchleisen", "given" : "T.W.", "non-dropping-particle" : "", "parse-names" : false, "suffix" : "" }, { "dropping-particle" : "", "family" : "N\u00f6then", "given" : "M.M.", "non-dropping-particle" : "", "parse-names" : false, "suffix" : "" }, { "dropping-particle" : "", "family" : "Moebus", "given" : "S.", "non-dropping-particle" : "", "parse-names" : false, "suffix" : "" }, { "dropping-particle" : "", "family" : "J\u00f6ckel", "given" : "K.H.", "non-dropping-particle" : "", "parse-names" : false, "suffix" : "" }, { "dropping-particle" : "", "family" : "Klopp", "given" : "N.", "non-dropping-particle" : "", "parse-names" : false, "suffix" : "" }, { "dropping-particle" : "", "family" : "Wichmann", "given" : "H.E.", "non-dropping-particle" : "", "parse-names" : false, "suffix" : "" }, { "dropping-particle" : "", "family" : "Carrasquillo", "given" : "M.M.", "non-dropping-particle" : "", "parse-names" : false, "suffix" : "" }, { "dropping-particle" : "", "family" : "Pankratz", "given" : "V.S.", "non-dropping-particle" : "", "parse-names" : false, "suffix" : "" }, { "dropping-particle" : "", "family" : "Younkin", "given" : "S.G.", "non-dropping-particle" : "", "parse-names" : false, "suffix" : "" }, { "dropping-particle" : "", "family" : "Holmans", "given" : "P.A.", "non-dropping-particle" : "", "parse-names" : false, "suffix" : "" }, { "dropping-particle" : "", "family" : "O'Donovan", "given" : "M.", "non-dropping-particle" : "", "parse-names" : false, "suffix" : "" }, { "dropping-particle" : "", "family" : "Owen", "given" : "M.J.", "non-dropping-particle" : "", "parse-names" : false, "suffix" : "" }, { "dropping-particle" : "", "family" : "Williams", "given" : "J.", "non-dropping-particle" : "", "parse-names" : false, "suffix" : "" }, { "dropping-particle" : "", "family" : "Hawrylycz", "given" : "M.J.", "non-dropping-particle" : "", "parse-names" : false, "suffix" : "" }, { "dropping-particle" : "", "family" : "Lein", "given" : "E.S.", "non-dropping-particle" : "", "parse-names" : false, "suffix" : "" }, { "dropping-particle" : "", "family" : "Guillozet-Bongaarts", "given" : "A.L.", "non-dropping-particle" : "", "parse-names" : false, "suffix" : "" }, { "dropping-particle" : "", "family" : "Shen", "given" : "E.H.", "non-dropping-particle" : "", "parse-names" : false, "suffix" : "" }, { "dropping-particle" : "", "family" : "Ng", "given" : "L.", "non-dropping-particle" : "", "parse-names" : false, "suffix" : "" }, { "dropping-particle" : "", "family" : "Miller", "given" : "J.A.", "non-dropping-particle" : "", "parse-names" : false, "suffix" : "" }, { "dropping-particle" : "van de", "family" : "Lagemaat", "given" : "L.N.", "non-dropping-particle" : "", "parse-names" : false, "suffix" : "" }, { "dropping-particle" : "", "family" : "Smith", "given" : "K.A.", "non-dropping-particle" : "", "parse-names" : false, "suffix" : "" }, { "dropping-particle" : "", "family" : "Ebbert", "given" : "A.", "non-dropping-particle" : "", "parse-names" : false, "suffix" : "" }, { "dropping-particle" : "", "family" : "Riley", "given" : "Z.L.", "non-dropping-particle" : "", "parse-names" : false, "suffix" : "" }, { "dropping-particle" : "", "family" : "Abajian", "given" : "C.", "non-dropping-particle" : "", "parse-names" : false, "suffix" : "" }, { "dropping-particle" : "", "family" : "Beckmann", "given" : "C.F.", "non-dropping-particle" : "", "parse-names" : false, "suffix" : "" }, { "dropping-particle" : "", "family" : "Bernard", "given" : "A.", "non-dropping-particle" : "", "parse-names" : false, "suffix" : "" }, { "dropping-particle" : "", "family" : "Bertagnolli", "given" : "D.", "non-dropping-particle" : "", "parse-names" : false, "suffix" : "" }, { "dropping-particle" : "", "family" : "Boe", "given" : "A.F.", "non-dropping-particle" : "", "parse-names" : false, "suffix" : "" }, { "dropping-particle" : "", "family" : "Cartagena", "given" : "P.M.", "non-dropping-particle" : "", "parse-names" : false, "suffix" : "" }, { "dropping-particle" : "", "family" : "Chakravarty", "given" : "M.M.", "non-dropping-particle" : "", "parse-names" : false, "suffix" : "" }, { "dropping-particle" : "", "family" : "Chapin", "given" : "M.", "non-dropping-particle" : "", "parse-names" : false, "suffix" : "" }, { "dropping-particle" : "", "family" : "Chong", "given" : "J.", "non-dropping-particle" : "", "parse-names" : false, "suffix" : "" }, { "dropping-particle" : "", "family" : "Dalley", "given" : "R.A.", "non-dropping-particle" : "", "parse-names" : false, "suffix" : "" }, { "dropping-particle" : "", "family" : "Daly", "given" : "B.D.", "non-dropping-particle" : "", "parse-names" : false, "suffix" : "" }, { "dropping-particle" : "", "family" : "Dang", "given" : "C.", "non-dropping-particle" : "", "parse-names" : false, "suffix" : "" }, { "dropping-particle" : "", "family" : "Datta", "given" : "S.", "non-dropping-particle" : "", "parse-names" : false, "suffix" : "" }, { "dropping-particle" : "", "family" : "Dee", "given" : "N.", "non-dropping-particle" : "", "parse-names" : false, "suffix" : "" }, { "dropping-particle" : "", "family" : "Dolbeare", "given" : "T.A.", "non-dropping-particle" : "", "parse-names" : false, "suffix" : "" }, { "dropping-particle" : "", "family" : "Faber", "given" : "V.", "non-dropping-particle" : "", "parse-names" : false, "suffix" : "" }, { "dropping-particle" : "", "family" : "Feng", "given" : "D.", "non-dropping-particle" : "", "parse-names" : false, "suffix" : "" }, { "dropping-particle" : "", "family" : "Fowler", "given" : "D.R.", "non-dropping-particle" : "", "parse-names" : false, "suffix" : "" }, { "dropping-particle" : "", "family" : "Goldy", "given" : "J.", "non-dropping-particle" : "", "parse-names" : false, "suffix" : "" }, { "dropping-particle" : "", "family" : "Gregor", "given" : "B.W.", "non-dropping-particle" : "", "parse-names" : false, "suffix" : "" }, { "dropping-particle" : "", "family" : "Haradon", "given" : "Z.", "non-dropping-particle" : "", "parse-names" : false, "suffix" : "" }, { "dropping-particle" : "", "family" : "Haynor", "given" : "D.R.", "non-dropping-particle" : "", "parse-names" : false, "suffix" : "" }, { "dropping-particle" : "", "family" : "Hohmann", "given" : "J.G.", "non-dropping-particle" : "", "parse-names" : false, "suffix" : "" }, { "dropping-particle" : "", "family" : "Horvath", "given" : "S.", "non-dropping-particle" : "", "parse-names" : false, "suffix" : "" }, { "dropping-particle" : "", "family" : "Howard", "given" : "R.E.", "non-dropping-particle" : "", "parse-names" : false, "suffix" : "" }, { "dropping-particle" : "", "family" : "Jeromin", "given" : "A.", "non-dropping-particle" : "", "parse-names" : false, "suffix" : "" }, { "dropping-particle" : "", "family" : "Jochim", "given" : "J.M.", "non-dropping-particle" : "", "parse-names" : false, "suffix" : "" }, { "dropping-particle" : "", "family" : "Kinnunen", "given" : "M.", "non-dropping-particle" : "", "parse-names" : false, "suffix" : "" }, { "dropping-particle" : "", "family" : "Lau", "given" : "C.", "non-dropping-particle" : "", "parse-names" : false, "suffix" : "" }, { "dropping-particle" : "", "family" : "Lazarz", "given" : "E.T.", "non-dropping-particle" : "", "parse-names" : false, "suffix" : "" }, { "dropping-particle" : "", "family" : "Lee", "given" : "C.", "non-dropping-particle" : "", "parse-names" : false, "suffix" : "" }, { "dropping-particle" : "", "family" : "Lemon", "given" : "T.A.", "non-dropping-particle" : "", "parse-names" : false, "suffix" : "" }, { "dropping-particle" : "", "family" : "Li", "given" : "L.", "non-dropping-particle" : "", "parse-names" : false, "suffix" : "" }, { "dropping-particle" : "", "family" : "Li", "given" : "Y.", "non-dropping-particle" : "", "parse-names" : false, "suffix" : "" }, { "dropping-particle" : "", "family" : "Morris", "given" : "J.A.", "non-dropping-particle" : "", "parse-names" : false, "suffix" : "" }, { "dropping-particle" : "", "family" : "Overly", "given" : "C.C.", "non-dropping-particle" : "", "parse-names" : false, "suffix" : "" }, { "dropping-particle" : "", "family" : "Parker", "given" : "P.D.", "non-dropping-particle" : "", "parse-names" : false, "suffix" : "" }, { "dropping-particle" : "", "family" : "Parry", "given" : "S.E.", "non-dropping-particle" : "", "parse-names" : false, "suffix" : "" }, { "dropping-particle" : "", "family" : "Reding", "given" : "M.", "non-dropping-particle" : "", "parse-names" : false, "suffix" : "" }, { "dropping-particle" : "", "family" : "Royall", "given" : "J.J.", "non-dropping-particle" : "", "parse-names" : false, "suffix" : "" }, { "dropping-particle" : "", "family" : "Schulkin", "given" : "J.", "non-dropping-particle" : "", "parse-names" : false, "suffix" : "" }, { "dropping-particle" : "", "family" : "Sequeira", "given" : "P.A.", "non-dropping-particle" : "", "parse-names" : false, "suffix" : "" }, { "dropping-particle" : "", "family" : "Slaughterbeck", "given" : "C.R.", "non-dropping-particle" : "", "parse-names" : false, "suffix" : "" }, { "dropping-particle" : "", "family" : "Smith", "given" : "S.C.", "non-dropping-particle" : "", "parse-names" : false, "suffix" : "" }, { "dropping-particle" : "", "family" : "Sodt", "given" : "A.J.", "non-dropping-particle" : "", "parse-names" : false, "suffix" : "" }, { "dropping-particle" : "", "family" : "Sunkin", "given" : "S.M.", "non-dropping-particle" : "", "parse-names" : false, "suffix" : "" }, { "dropping-particle" : "", "family" : "Swanson", "given" : "B.E.", "non-dropping-particle" : "", "parse-names" : false, "suffix" : "" }, { "dropping-particle" : "", "family" : "Vawter", "given" : "M.P.", "non-dropping-particle" : "", "parse-names" : false, "suffix" : "" }, { "dropping-particle" : "", "family" : "Williams", "given" : "D.", "non-dropping-particle" : "", "parse-names" : false, "suffix" : "" }, { "dropping-particle" : "", "family" : "Wohnoutka", "given" : "P.", "non-dropping-particle" : "", "parse-names" : false, "suffix" : "" }, { "dropping-particle" : "", "family" : "Zielke", "given" : "H.R.", "non-dropping-particle" : "", "parse-names" : false, "suffix" : "" }, { "dropping-particle" : "", "family" : "Geschwind", "given" : "D.H.", "non-dropping-particle" : "", "parse-names" : false, "suffix" : "" }, { "dropping-particle" : "", "family" : "Hof", "given" : "P.R.", "non-dropping-particle" : "", "parse-names" : false, "suffix" : "" }, { "dropping-particle" : "", "family" : "Smith", "given" : "S.M.", "non-dropping-particle" : "", "parse-names" : false, "suffix" : "" }, { "dropping-particle" : "", "family" : "Koch", "given" : "C.", "non-dropping-particle" : "", "parse-names" : false, "suffix" : "" }, { "dropping-particle" : "", "family" : "Grant", "given" : "S.G.", "non-dropping-particle" : "", "parse-names" : false, "suffix" : "" }, { "dropping-particle" : "", "family" : "Jones", "given" : "A.R.", "non-dropping-particle" : "", "parse-names" : false, "suffix" : "" }, { "dropping-particle" : "", "family" : "Horvath", "given" : "S.", "non-dropping-particle" : "", "parse-names" : false, "suffix" : "" }, { "dropping-particle" : "", "family" : "Zhang", "given" : "B.", "non-dropping-particle" : "", "parse-names" : false, "suffix" : "" }, { "dropping-particle" : "", "family" : "Carlson", "given" : "M.", "non-dropping-particle" : "", "parse-names" : false, "suffix" : "" }, { "dropping-particle" : "", "family" : "Lu", "given" : "K.V.", "non-dropping-particle" : "", "parse-names" : false, "suffix" : "" }, { "dropping-particle" : "", "family" : "Zhu", "given" : "S.", "non-dropping-particle" : "", "parse-names" : false, "suffix" : "" }, { "dropping-particle" : "", "family" : "Felciano", "given" : "R.M.", "non-dropping-particle" : "", "parse-names" : false, "suffix" : "" }, { "dropping-particle" : "", "family" : "Laurance", "given" : "M.F.", "non-dropping-particle" : "", "parse-names" : false, "suffix" : "" }, { "dropping-particle" : "", "family" : "Zhao", "given" : "W.", "non-dropping-particle" : "", "parse-names" : false, "suffix" : "" }, { "dropping-particle" : "", "family" : "Qi", "given" : "S.", "non-dropping-particle" : "", "parse-names" : false, "suffix" : "" }, { "dropping-particle" : "", "family" : "Chen", "given" : "Z.", "non-dropping-particle" : "", "parse-names" : false, "suffix" : "" }, { "dropping-particle" : "", "family" : "Lee", "given" : "Y.", "non-dropping-particle" : "", "parse-names" : false, "suffix" : "" }, { "dropping-particle" : "", "family" : "Scheck", "given" : "A.C.", "non-dropping-particle" : "", "parse-names" : false, "suffix" : "" }, { "dropping-particle" : "", "family" : "Liau", "given" : "L.M.", "non-dropping-particle" : "", "parse-names" : false, "suffix" : "" }, { "dropping-particle" : "", "family" : "Wu", "given" : "H.", "non-dropping-particle" : "", "parse-names" : false, "suffix" : "" }, { "dropping-particle" : "", "family" : "Geschwind", "given" : "D.H.", "non-dropping-particle" : "", "parse-names" : false, "suffix" : "" }, { "dropping-particle" : "", "family" : "Febbo", "given" : "P.G.", "non-dropping-particle" : "", "parse-names" : false, "suffix" : "" }, { "dropping-particle" : "", "family" : "Kornblum", "given" : "H.I.", "non-dropping-particle" : "", "parse-names" : false, "suffix" : "" }, { "dropping-particle" : "", "family" : "Cloughesy", "given" : "T.F.", "non-dropping-particle" : "", "parse-names" : false, "suffix" : "" }, { "dropping-particle" : "", "family" : "Nelson", "given" : "S.F.", "non-dropping-particle" : "", "parse-names" : false, "suffix" : "" }, { "dropping-particle" : "", "family" : "Mischel", "given" : "P.S.", "non-dropping-particle" : "", "parse-names" : false, "suffix" : "" }, { "dropping-particle" : "", "family" : "Jensen", "given" : "C.J.", "non-dropping-particle" : "", "parse-names" : false, "suffix" : "" }, { "dropping-particle" : "", "family" : "Massie", "given" : "A.", "non-dropping-particle" : "", "parse-names" : false, "suffix" : "" }, { "dropping-particle" : "De", "family" : "Keyser", "given" : "J.", "non-dropping-particle" : "", "parse-names" : false, "suffix" : "" }, { "dropping-particle" : "", "family" : "Lambert", "given" : "J.C.", "non-dropping-particle" : "", "parse-names" : false, "suffix" : "" }, { "dropping-particle" : "", "family" : "Heath", "given" : "S.", "non-dropping-particle" : "", "parse-names" : false, "suffix" : "" }, { "dropping-particle" : "", "family" : "Even", "given" : "G.", "non-dropping-particle" : "", "parse-names" : false, "suffix" : "" }, { "dropping-particle" : "", "family" : "Campion", "given" : "D.", "non-dropping-particle" : "", "parse-names" : false, "suffix" : "" }, { "dropping-particle" : "", "family" : "Sleegers", "given" : "K.", "non-dropping-particle" : "", "parse-names" : false, "suffix" : "" }, { "dropping-particle" : "", "family" : "Hiltunen", "given" : "M.", "non-dropping-particle" : "", "parse-names" : false, "suffix" : "" }, { "dropping-particle" : "", "family" : "Combarros", "given" : "O.", "non-dropping-particle" : "", "parse-names" : false, "suffix" : "" }, { "dropping-particle" : "", "family" : "Zelenika", "given" : "D.", "non-dropping-particle" : "", "parse-names" : false, "suffix" : "" }, { "dropping-particle" : "", "family" : "Bullido", "given" : "M.J.", "non-dropping-particle" : "", "parse-names" : false, "suffix" : "" }, { "dropping-particle" : "", "family" : "Tavernier", "given" : "B.", "non-dropping-particle" : "", "parse-names" : false, "suffix" : "" }, { "dropping-particle" : "", "family" : "Letenneur", "given" : "L.", "non-dropping-particle" : "", "parse-names" : false, "suffix" : "" }, { "dropping-particle" : "", "family" : "Bettens", "given" : "K.", "non-dropping-particle" : "", "parse-names" : false, "suffix" : "" }, { "dropping-particle" : "", "family" : "Berr", "given" : "C.", "non-dropping-particle" : "", "parse-names" : false, "suffix" : "" }, { "dropping-particle" : "", "family" : "Pasquier", "given" : "F.", "non-dropping-particle" : "", "parse-names" : false, "suffix" : "" }, { "dropping-particle" : "", "family" : "Fi\u00e9vet", "given" : "N.", "non-dropping-particle" : "", "parse-names" : false, "suffix" : "" }, { "dropping-particle" : "", "family" : "Barberger-Gateau", "given" : "P.", "non-dropping-particle" : "", "parse-names" : false, "suffix" : "" }, { "dropping-particle" : "", "family" : "Engelborghs", "given" : "S.", "non-dropping-particle" : "", "parse-names" : false, "suffix" : "" }, { "dropping-particle" : "De", "family" : "Deyn", "given" : "P.", "non-dropping-particle" : "", "parse-names" : false, "suffix" : "" }, { "dropping-particle" : "", "family" : "Mateo", "given" : "I.", "non-dropping-particle" : "", "parse-names" : false, "suffix" : "" }, { "dropping-particle" : "", "family" : "Franck", "given" : "A.", "non-dropping-particle" : "", "parse-names" : false, "suffix" : "" }, { "dropping-particle" : "", "family" : "Helisalmi", "given" : "S.", "non-dropping-particle" : "", "parse-names" : false, "suffix" : "" }, { "dropping-particle" : "", "family" : "Porcellini", "given" : "E.", "non-dropping-particle" : "", "parse-names" : false, "suffix" : "" }, { "dropping-particle" : "", "family" : "Hanon", "given" : "O.", "non-dropping-particle" : "", "parse-names" : false, "suffix" : "" }, { "dropping-particle" : "", "family" : "Investigators", "given" : "European Alzheimer's Disease Initiative", "non-dropping-particle" : "", "parse-names" : false, "suffix" : "" }, { "dropping-particle" : "de", "family" : "Pancorbo", "given" : "M.M.", "non-dropping-particle" : "", "parse-names" : false, "suffix" : "" }, { "dropping-particle" : "", "family" : "Lendon", "given" : "C.", "non-dropping-particle" : "", "parse-names" : false, "suffix" : "" }, { "dropping-particle" : "", "family" : "Dufouil", "given" : "C.", "non-dropping-particle" : "", "parse-names" : false, "suffix" : "" }, { "dropping-particle" : "", "family" : "Jaillard", "given" : "C.", "non-dropping-particle" : "", "parse-names" : false, "suffix" : "" }, { "dropping-particle" : "", "family" : "Leveillard", "given" : "T.", "non-dropping-particle" : "", "parse-names" : false, "suffix" : "" }, { "dropping-particle" : "", "family" : "Alvarez", "given" : "V.", "non-dropping-particle" : "", "parse-names" : false, "suffix" : "" }, { "dropping-particle" : "", "family" : "Bosco", "given" : "P.", "non-dropping-particle" : "", "parse-names" : false, "suffix" : "" }, { "dropping-particle" : "", "family" : "Mancuso", "given" : "M.", "non-dropping-particle" : "", "parse-names" : false, "suffix" : "" }, { "dropping-particle" : "", "family" : "Panza", "given" : "F.", "non-dropping-particle" : "", "parse-names" : false, "suffix" : "" }, { "dropping-particle" : "", "family" : "Nacmias", "given" : "B.", "non-dropping-particle" : "", "parse-names" : false, "suffix" : "" }, { "dropping-particle" : "", "family" : "Boss\u00f9", "given" : "P.", "non-dropping-particle" : "", "parse-names" : false, "suffix" : "" }, { "dropping-particle" : "", "family" : "Piccardi", "given" : "P.", "non-dropping-particle" : "", "parse-names" : false, "suffix" : "" }, { "dropping-particle" : "", "family" : "Annoni", "given" : "G.", "non-dropping-particle" : "", "parse-names" : false, "suffix" : "" }, { "dropping-particle" : "", "family" : "Seripa", "given" : "D.", "non-dropping-particle" : "", "parse-names" : false, "suffix" : "" }, { "dropping-particle" : "", "family" : "Galimberti", "given" : "D.", "non-dropping-particle" : "", "parse-names" : false, "suffix" : "" }, { "dropping-particle" : "", "family" : "Hannequin", "given" : "D.", "non-dropping-particle" : "", "parse-names" : false, "suffix" : "" }, { "dropping-particle" : "", "family" : "Licastro", "given" : "F.", "non-dropping-particle" : "", "parse-names" : false, "suffix" : "" }, { "dropping-particle" : "", "family" : "Soininen", "given" : "H.", "non-dropping-particle" : "", "parse-names" : false, "suffix" : "" }, { "dropping-particle" : "", "family" : "Ritchie", "given" : "K.", "non-dropping-particle" : "", "parse-names" : false, "suffix" : "" }, { "dropping-particle" : "", "family" : "Blanch\u00e9", "given" : "H.", "non-dropping-particle" : "", "parse-names" : false, "suffix" : "" }, { "dropping-particle" : "", "family" : "Dartigues", "given" : "J.F.", "non-dropping-particle" : "", "parse-names" : false, "suffix" : "" }, { "dropping-particle" : "", "family" : "Tzourio", "given" : "C.", "non-dropping-particle" : "", "parse-names" : false, "suffix" : "" }, { "dropping-particle" : "", "family" : "Gut", "given" : "I.", "non-dropping-particle" : "", "parse-names" : false, "suffix" : "" }, { "dropping-particle" : "Van", "family" : "Broeckhoven", "given" : "C.", "non-dropping-particle" : "", "parse-names" : false, "suffix" : "" }, { "dropping-particle" : "", "family" : "Alp\u00e9rovitch", "given" : "A.", "non-dropping-particle" : "", "parse-names" : false, "suffix" : "" }, { "dropping-particle" : "", "family" : "Lathrop", "given" : "M.", "non-dropping-particle" : "", "parse-names" : false, "suffix" : "" }, { "dropping-particle" : "", "family" : "Amouyel", "given" : "P.", "non-dropping-particle" : "", "parse-names" : false, "suffix" : "" }, { "dropping-particle" : "", "family" : "Landfield", "given" : "P.W.", "non-dropping-particle" : "", "parse-names" : false, "suffix" : "" }, { "dropping-particle" : "", "family" : "Rose", "given" : "G.", "non-dropping-particle" : "", "parse-names" : false, "suffix" : "" }, { "dropping-particle" : "", "family" : "Sandles", "given" : "L.", "non-dropping-particle" : "", "parse-names" : false, "suffix" : "" }, { "dropping-particle" : "", "family" : "Wohlstadter", "given" : "T.C.", "non-dropping-particle" : "", "parse-names" : false, "suffix" : "" }, { "dropping-particle" : "", "family" : "Lynch", "given" : "G.", "non-dropping-particle" : "", "parse-names" : false, "suffix" : "" }, { "dropping-particle" : "", "family" : "Liang", "given" : "W.S.", "non-dropping-particle" : "", "parse-names" : false, "suffix" : "" }, { "dropping-particle" : "", "family" : "Dunckley", "given" : "T.", "non-dropping-particle" : "", "parse-names" : false, "suffix" : "" }, { "dropping-particle" : "", "family" : "Beach", "given" : "T.G.", "non-dropping-particle" : "", "parse-names" : false, "suffix" : "" }, { "dropping-particle" : "", "family" : "Grover", "given" : "A.", "non-dropping-particle" : "", "parse-names" : false, "suffix" : "" }, { "dropping-particle" : "", "family" : "Mastroeni", "given" : "D.", "non-dropping-particle" : "", "parse-names" : false, "suffix" : "" }, { "dropping-particle" : "", "family" : "Ramsey", "given" : "K.", "non-dropping-particle" : "", "parse-names" : false, "suffix" : "" }, { "dropping-particle" : "", "family" : "Caselli", "given" : "R.J.", "non-dropping-particle" : "", "parse-names" : false, "suffix" : "" }, { "dropping-particle" : "", "family" : "Kukull", "given" : "W.A.", "non-dropping-particle" : "", "parse-names" : false, "suffix" : "" }, { "dropping-particle" : "", "family" : "McKeel", "given" : "D.", "non-dropping-particle" : "", "parse-names" : false, "suffix" : "" }, { "dropping-particle" : "", "family" : "Morris", "given" : "J.C.", "non-dropping-particle" : "", "parse-names" : false, "suffix" : "" }, { "dropping-particle" : "", "family" : "Hulette", "given" : "C.M.", "non-dropping-particle" : "", "parse-names" : false, "suffix" : "" }, { "dropping-particle" : "", "family" : "Schmechel", "given" : "D.", "non-dropping-particle" : "", "parse-names" : false, "suffix" : "" }, { "dropping-particle" : "", "family" : "Reiman", "given" : "E.M.", "non-dropping-particle" : "", "parse-names" : false, "suffix" : "" }, { "dropping-particle" : "", "family" : "Rogers", "given" : "J.", "non-dropping-particle" : "", "parse-names" : false, "suffix" : "" }, { "dropping-particle" : "", "family" : "Stephan", "given" : "D.A.", "non-dropping-particle" : "", "parse-names" : false, "suffix" : "" }, { "dropping-particle" : "", "family" : "Liang", "given" : "W.S.", "non-dropping-particle" : "", "parse-names" : false, "suffix" : "" }, { "dropping-particle" : "", "family" : "Dunckley", "given" : "T.", "non-dropping-particle" : "", "parse-names" : false, "suffix" : "" }, { "dropping-particle" : "", "family" : "Beach", "given" : "T.G.", "non-dropping-particle" : "", "parse-names" : false, "suffix" : "" }, { "dropping-particle" : "", "family" : "Grover", "given" : "A.", "non-dropping-particle" : "", "parse-names" : false, "suffix" : "" }, { "dropping-particle" : "", "family" : "Mastroeni", "given" : "D.", "non-dropping-particle" : "", "parse-names" : false, "suffix" : "" }, { "dropping-particle" : "", "family" : "Ramsey", "given" : "K.", "non-dropping-particle" : "", "parse-names" : false, "suffix" : "" }, { "dropping-particle" : "", "family" : "Caselli", "given" : "R.J.", "non-dropping-particle" : "", "parse-names" : false, "suffix" : "" }, { "dropping-particle" : "", "family" : "Kukull", "given" : "W.A.", "non-dropping-particle" : "", "parse-names" : false, "suffix" : "" }, { "dropping-particle" : "", "family" : "McKeel", "given" : "D.", "non-dropping-particle" : "", "parse-names" : false, "suffix" : "" }, { "dropping-particle" : "", "family" : "Morris", "given" : "J.C.", "non-dropping-particle" : "", "parse-names" : false, "suffix" : "" }, { "dropping-particle" : "", "family" : "Hulette", "given" : "C.M.", "non-dropping-particle" : "", "parse-names" : false, "suffix" : "" }, { "dropping-particle" : "", "family" : "Schmechel", "given" : "D.", "non-dropping-particle" : "", "parse-names" : false, "suffix" : "" }, { "dropping-particle" : "", "family" : "Reiman", "given" : "E.M.", "non-dropping-particle" : "", "parse-names" : false, "suffix" : "" }, { "dropping-particle" : "", "family" : "Rogers", "given" : "J.", "non-dropping-particle" : "", "parse-names" : false, "suffix" : "" }, { "dropping-particle" : "", "family" : "Stephan", "given" : "D.A.", "non-dropping-particle" : "", "parse-names" : false, "suffix" : "" }, { "dropping-particle" : "", "family" : "Liang", "given" : "W.S.", "non-dropping-particle" : "", "parse-names" : false, "suffix" : "" }, { "dropping-particle" : "", "family" : "Reiman", "given" : "E.M.", "non-dropping-particle" : "", "parse-names" : false, "suffix" : "" }, { "dropping-particle" : "", "family" : "Valla", "given" : "J.", "non-dropping-particle" : "", "parse-names" : false, "suffix" : "" }, { "dropping-particle" : "", "family" : "Dunckley", "given" : "T.", "non-dropping-particle" : "", "parse-names" : false, "suffix" : "" }, { "dropping-particle" : "", "family" : "Beach", "given" : "T.G.", "non-dropping-particle" : "", "parse-names" : false, "suffix" : "" }, { "dropping-particle" : "", "family" : "Grover", "given" : "A.", "non-dropping-particle" : "", "parse-names" : false, "suffix" : "" }, { "dropping-particle" : "", "family" : "Niedzielko", "given" : "T.L.", "non-dropping-particle" : "", "parse-names" : false, "suffix" : "" }, { "dropping-particle" : "", "family" : "Schneider", "given" : "L.E.", "non-dropping-particle" : "", "parse-names" : false, "suffix" : "" }, { "dropping-particle" : "", "family" : "Mastroeni", "given" : "D.", "non-dropping-particle" : "", "parse-names" : false, "suffix" : "" }, { "dropping-particle" : "", "family" : "Caselli", "given" : "R.", "non-dropping-particle" : "", "parse-names" : false, "suffix" : "" }, { "dropping-particle" : "", "family" : "Kukull", "given" : "W.", "non-dropping-particle" : "", "parse-names" : false, "suffix" : "" }, { "dropping-particle" : "", "family" : "Morris", "given" : "J.C.", "non-dropping-particle" : "", "parse-names" : false, "suffix" : "" }, { "dropping-particle" : "", "family" : "Hulette", "given" : "C.M.", "non-dropping-particle" : "", "parse-names" : false, "suffix" : "" }, { "dropping-particle" : "", "family" : "Schmechel", "given" : "D.", "non-dropping-particle" : "", "parse-names" : false, "suffix" : "" }, { "dropping-particle" : "", "family" : "Rogers", "given" : "J.", "non-dropping-particle" : "", "parse-names" : false, "suffix" : "" }, { "dropping-particle" : "", "family" : "Stephan", "given" : "D.A.", "non-dropping-particle" : "", "parse-names" : false, "suffix" : "" }, { "dropping-particle" : "", "family" : "Loring", "given" : "J.F.", "non-dropping-particle" : "", "parse-names" : false, "suffix" : "" }, { "dropping-particle" : "", "family" : "Wen", "given" : "X.", "non-dropping-particle" : "", "parse-names" : false, "suffix" : "" }, { "dropping-particle" : "", "family" : "Lee", "given" : "J.M.", "non-dropping-particle" : "", "parse-names" : false, "suffix" : "" }, { "dropping-particle" : "", "family" : "Seilhamer", "given" : "J.", "non-dropping-particle" : "", "parse-names" : false, "suffix" : "" }, { "dropping-particle" : "", "family" : "Somogyi", "given" : "R.", "non-dropping-particle" : "", "parse-names" : false, "suffix" : "" }, { "dropping-particle" : "", "family" : "Magistretti", "given" : "P.J.", "non-dropping-particle" : "", "parse-names" : false, "suffix" : "" }, { "dropping-particle" : "", "family" : "Pellerin", "given" : "L.", "non-dropping-particle" : "", "parse-names" : false, "suffix" : "" }, { "dropping-particle" : "", "family" : "Mark", "given" : "R.J.", "non-dropping-particle" : "", "parse-names" : false, "suffix" : "" }, { "dropping-particle" : "", "family" : "Pang", "given" : "Z.", "non-dropping-particle" : "", "parse-names" : false, "suffix" : "" }, { "dropping-particle" : "", "family" : "Geddes", "given" : "J.W.", "non-dropping-particle" : "", "parse-names" : false, "suffix" : "" }, { "dropping-particle" : "", "family" : "Uchida", "given" : "K.", "non-dropping-particle" : "", "parse-names" : false, "suffix" : "" }, { "dropping-particle" : "", "family" : "Mattson", "given" : "M.P.", "non-dropping-particle" : "", "parse-names" : false, "suffix" : "" }, { "dropping-particle" : "", "family" : "Matsuda", "given" : "S.", "non-dropping-particle" : "", "parse-names" : false, "suffix" : "" }, { "dropping-particle" : "", "family" : "Matsuda", "given" : "Y.", "non-dropping-particle" : "", "parse-names" : false, "suffix" : "" }, { "dropping-particle" : "", "family" : "D'Adamio", "given" : "L.", "non-dropping-particle" : "", "parse-names" : false, "suffix" : "" }, { "dropping-particle" : "", "family" : "McKhann", "given" : "G.", "non-dropping-particle" : "", "parse-names" : false, "suffix" : "" }, { "dropping-particle" : "", "family" : "Drachman", "given" : "D.", "non-dropping-particle" : "", "parse-names" : false, "suffix" : "" }, { "dropping-particle" : "", "family" : "Folstein", "given" : "M.", "non-dropping-particle" : "", "parse-names" : false, "suffix" : "" }, { "dropping-particle" : "", "family" : "Katzman", "given" : "R.", "non-dropping-particle" : "", "parse-names" : false, "suffix" : "" }, { "dropping-particle" : "", "family" : "Price", "given" : "D.", "non-dropping-particle" : "", "parse-names" : false, "suffix" : "" }, { "dropping-particle" : "", "family" : "Stadlan", "given" : "E.M.", "non-dropping-particle" : "", "parse-names" : false, "suffix" : "" }, { "dropping-particle" : "", "family" : "Minoshima", "given" : "S.", "non-dropping-particle" : "", "parse-names" : false, "suffix" : "" }, { "dropping-particle" : "", "family" : "Giordani", "given" : "B.", "non-dropping-particle" : "", "parse-names" : false, "suffix" : "" }, { "dropping-particle" : "", "family" : "Berent", "given" : "S.", "non-dropping-particle" : "", "parse-names" : false, "suffix" : "" }, { "dropping-particle" : "", "family" : "Frey", "given" : "K.A.", "non-dropping-particle" : "", "parse-names" : false, "suffix" : "" }, { "dropping-particle" : "", "family" : "Foster", "given" : "N.L.", "non-dropping-particle" : "", "parse-names" : false, "suffix" : "" }, { "dropping-particle" : "", "family" : "Kuhl", "given" : "D.E.", "non-dropping-particle" : "", "parse-names" : false, "suffix" : "" }, { "dropping-particle" : "", "family" : "Mulder", "given" : "S.D.", "non-dropping-particle" : "", "parse-names" : false, "suffix" : "" }, { "dropping-particle" : "", "family" : "Nielsen", "given" : "H.M.", "non-dropping-particle" : "", "parse-names" : false, "suffix" : "" }, { "dropping-particle" : "", "family" : "Blankenstein", "given" : "M.A.", "non-dropping-particle" : "", "parse-names" : false, "suffix" : "" }, { "dropping-particle" : "", "family" : "Eikelenboom", "given" : "P.", "non-dropping-particle" : "", "parse-names" : false, "suffix" : "" }, { "dropping-particle" : "", "family" : "Veerhuis", "given" : "R.", "non-dropping-particle" : "", "parse-names" : false, "suffix" : "" }, { "dropping-particle" : "", "family" : "Nedergaard", "given" : "M.", "non-dropping-particle" : "", "parse-names" : false, "suffix" : "" }, { "dropping-particle" : "", "family" : "Ransom", "given" : "B.", "non-dropping-particle" : "", "parse-names" : false, "suffix" : "" }, { "dropping-particle" : "", "family" : "Goldman", "given" : "S.A.", "non-dropping-particle" : "", "parse-names" : false, "suffix" : "" }, { "dropping-particle" : "", "family" : "Orre", "given" : "M.", "non-dropping-particle" : "", "parse-names" : false, "suffix" : "" }, { "dropping-particle" : "", "family" : "Kamphuis", "given" : "W.", "non-dropping-particle" : "", "parse-names" : false, "suffix" : "" }, { "dropping-particle" : "", "family" : "Osborn", "given" : "L.M.", "non-dropping-particle" : "", "parse-names" : false, "suffix" : "" }, { "dropping-particle" : "", "family" : "Melief", "given" : "J.", "non-dropping-particle" : "", "parse-names" : false, "suffix" : "" }, { "dropping-particle" : "", "family" : "Kooijman", "given" : "L.", "non-dropping-particle" : "", "parse-names" : false, "suffix" : "" }, { "dropping-particle" : "", "family" : "Huitinga", "given" : "I.", "non-dropping-particle" : "", "parse-names" : false, "suffix" : "" }, { "dropping-particle" : "", "family" : "Klooster", "given" : "J.", "non-dropping-particle" : "", "parse-names" : false, "suffix" : "" }, { "dropping-particle" : "", "family" : "Bossers", "given" : "K.", "non-dropping-particle" : "", "parse-names" : false, "suffix" : "" }, { "dropping-particle" : "", "family" : "Hol", "given" : "E.M.", "non-dropping-particle" : "", "parse-names" : false, "suffix" : "" }, { "dropping-particle" : "", "family" : "Pagliarini", "given" : "D.J.", "non-dropping-particle" : "", "parse-names" : false, "suffix" : "" }, { "dropping-particle" : "", "family" : "Calvo", "given" : "S.E.", "non-dropping-particle" : "", "parse-names" : false, "suffix" : "" }, { "dropping-particle" : "", "family" : "Chang", "given" : "B.", "non-dropping-particle" : "", "parse-names" : false, "suffix" : "" }, { "dropping-particle" : "", "family" : "Sheth", "given" : "S.A.", "non-dropping-particle" : "", "parse-names" : false, "suffix" : "" }, { "dropping-particle" : "", "family" : "Vafai", "given" : "S.B.", "non-dropping-particle" : "", "parse-names" : false, "suffix" : "" }, { "dropping-particle" : "", "family" : "Ong", "given" : "S.E.", "non-dropping-particle" : "", "parse-names" : false, "suffix" : "" }, { "dropping-particle" : "", "family" : "Walford", "given" : "G.A.", "non-dropping-particle" : "", "parse-names" : false, "suffix" : "" }, { "dropping-particle" : "", "family" : "Sugiana", "given" : "C.", "non-dropping-particle" : "", "parse-names" : false, "suffix" : "" }, { "dropping-particle" : "", "family" : "Boneh", "given" : "A.", "non-dropping-particle" : "", "parse-names" : false, "suffix" : "" }, { "dropping-particle" : "", "family" : "Chen", "given" : "W.K.", "non-dropping-particle" : "", "parse-names" : false, "suffix" : "" }, { "dropping-particle" : "", "family" : "Hill", "given" : "D.E.", "non-dropping-particle" : "", "parse-names" : false, "suffix" : "" }, { "dropping-particle" : "", "family" : "Vidal", "given" : "M.", "non-dropping-particle" : "", "parse-names" : false, "suffix" : "" }, { "dropping-particle" : "", "family" : "Evans", "given" : "J.G.", "non-dropping-particle" : "", "parse-names" : false, "suffix" : "" }, { "dropping-particle" : "", "family" : "Thorburn", "given" : "D.R.", "non-dropping-particle" : "", "parse-names" : false, "suffix" : "" }, { "dropping-particle" : "", "family" : "Carr", "given" : "S.A.", "non-dropping-particle" : "", "parse-names" : false, "suffix" : "" }, { "dropping-particle" : "", "family" : "Mootha", "given" : "V.K.", "non-dropping-particle" : "", "parse-names" : false, "suffix" : "" }, { "dropping-particle" : "", "family" : "Panter", "given" : "S.S.", "non-dropping-particle" : "", "parse-names" : false, "suffix" : "" }, { "dropping-particle" : "", "family" : "McSwigan", "given" : "J.D.", "non-dropping-particle" : "", "parse-names" : false, "suffix" : "" }, { "dropping-particle" : "", "family" : "Sheppard", "given" : "J.R.", "non-dropping-particle" : "", "parse-names" : false, "suffix" : "" }, { "dropping-particle" : "", "family" : "Emory", "given" : "C.R.", "non-dropping-particle" : "", "parse-names" : false, "suffix" : "" }, { "dropping-particle" : "", "family" : "Frey", "given" : "W.H.", "non-dropping-particle" : "", "parse-names" : false, "suffix" : "" }, { "dropping-particle" : "", "family" : "Pasternack", "given" : "J.M.", "non-dropping-particle" : "", "parse-names" : false, "suffix" : "" }, { "dropping-particle" : "", "family" : "Abraham", "given" : "C.R.", "non-dropping-particle" : "", "parse-names" : false, "suffix" : "" }, { "dropping-particle" : "Van", "family" : "Dyke", "given" : "B.J.", "non-dropping-particle" : "", "parse-names" : false, "suffix" : "" }, { "dropping-particle" : "", "family" : "Potter", "given" : "H.", "non-dropping-particle" : "", "parse-names" : false, "suffix" : "" }, { "dropping-particle" : "", "family" : "Younkin", "given" : "S.G.", "non-dropping-particle" : "", "parse-names" : false, "suffix" : "" }, { "dropping-particle" : "", "family" : "Pekny", "given" : "M.", "non-dropping-particle" : "", "parse-names" : false, "suffix" : "" }, { "dropping-particle" : "", "family" : "Leveen", "given" : "P.", "non-dropping-particle" : "", "parse-names" : false, "suffix" : "" }, { "dropping-particle" : "", "family" : "Pekna", "given" : "M.", "non-dropping-particle" : "", "parse-names" : false, "suffix" : "" }, { "dropping-particle" : "", "family" : "Eliasson", "given" : "C.", "non-dropping-particle" : "", "parse-names" : false, "suffix" : "" }, { "dropping-particle" : "", "family" : "Berthold", "given" : "C.H.", "non-dropping-particle" : "", "parse-names" : false, "suffix" : "" }, { "dropping-particle" : "", "family" : "Westermark", "given" : "B.", "non-dropping-particle" : "", "parse-names" : false, "suffix" : "" }, { "dropping-particle" : "", "family" : "Betsholtz", "given" : "C.", "non-dropping-particle" : "", "parse-names" : false, "suffix" : "" }, { "dropping-particle" : "", "family" : "Pekny", "given" : "M.", "non-dropping-particle" : "", "parse-names" : false, "suffix" : "" }, { "dropping-particle" : "", "family" : "Pekna", "given" : "M.", "non-dropping-particle" : "", "parse-names" : false, "suffix" : "" }, { "dropping-particle" : "", "family" : "Pellerin", "given" : "L.", "non-dropping-particle" : "", "parse-names" : false, "suffix" : "" }, { "dropping-particle" : "", "family" : "Magistretti", "given" : "P.J.", "non-dropping-particle" : "", "parse-names" : false, "suffix" : "" }, { "dropping-particle" : "", "family" : "Perez-Nievas", "given" : "B.G.", "non-dropping-particle" : "", "parse-names" : false, "suffix" : "" }, { "dropping-particle" : "", "family" : "Stein", "given" : "T.D.", "non-dropping-particle" : "", "parse-names" : false, "suffix" : "" }, { "dropping-particle" : "", "family" : "Tai", "given" : "H.C.", "non-dropping-particle" : "", "parse-names" : false, "suffix" : "" }, { "dropping-particle" : "", "family" : "Dols-Icardo", "given" : "O.", "non-dropping-particle" : "", "parse-names" : false, "suffix" : "" }, { "dropping-particle" : "", "family" : "Scotton", "given" : "T.C.", "non-dropping-particle" : "", "parse-names" : false, "suffix" : "" }, { "dropping-particle" : "", "family" : "Barroeta-Espar", "given" : "I.", "non-dropping-particle" : "", "parse-names" : false, "suffix" : "" }, { "dropping-particle" : "", "family" : "Fernandez-Carballo", "given" : "L.", "non-dropping-particle" : "", "parse-names" : false, "suffix" : "" }, { "dropping-particle" : "de", "family" : "Munain", "given" : "E.L.", "non-dropping-particle" : "", "parse-names" : false, "suffix" : "" }, { "dropping-particle" : "", "family" : "Perez", "given" : "J.", "non-dropping-particle" : "", "parse-names" : false, "suffix" : "" }, { "dropping-particle" : "", "family" : "Marquie", "given" : "M.", "non-dropping-particle" : "", "parse-names" : false, "suffix" : "" }, { "dropping-particle" : "", "family" : "Serrano-Pozo", "given" : "A.", "non-dropping-particle" : "", "parse-names" : false, "suffix" : "" }, { "dropping-particle" : "", "family" : "Frosch", "given" : "M.P.", "non-dropping-particle" : "", "parse-names" : false, "suffix" : "" }, { "dropping-particle" : "", "family" : "Lowe", "given" : "V.", "non-dropping-particle" : "", "parse-names" : false, "suffix" : "" }, { "dropping-particle" : "", "family" : "Parisi", "given" : "J.E.", "non-dropping-particle" : "", "parse-names" : false, "suffix" : "" }, { "dropping-particle" : "", "family" : "Petersen", "given" : "R.C.", "non-dropping-particle" : "", "parse-names" : false, "suffix" : "" }, { "dropping-particle" : "", "family" : "Ikonomovic", "given" : "M.D.", "non-dropping-particle" : "", "parse-names" : false, "suffix" : "" }, { "dropping-particle" : "", "family" : "L\u00f3pez", "given" : "O.L.", "non-dropping-particle" : "", "parse-names" : false, "suffix" : "" }, { "dropping-particle" : "", "family" : "Klunk", "given" : "W.", "non-dropping-particle" : "", "parse-names" : false, "suffix" : "" }, { "dropping-particle" : "", "family" : "Hyman", "given" : "B.T.", "non-dropping-particle" : "", "parse-names" : false, "suffix" : "" }, { "dropping-particle" : "", "family" : "G\u00f3mez-Isla", "given" : "T.", "non-dropping-particle" : "", "parse-names" : false, "suffix" : "" }, { "dropping-particle" : "", "family" : "Piert", "given" : "M.", "non-dropping-particle" : "", "parse-names" : false, "suffix" : "" }, { "dropping-particle" : "", "family" : "Koeppe", "given" : "R.A.", "non-dropping-particle" : "", "parse-names" : false, "suffix" : "" }, { "dropping-particle" : "", "family" : "Giordani", "given" : "B.", "non-dropping-particle" : "", "parse-names" : false, "suffix" : "" }, { "dropping-particle" : "", "family" : "Berent", "given" : "S.", "non-dropping-particle" : "", "parse-names" : false, "suffix" : "" }, { "dropping-particle" : "", "family" : "Kuhl", "given" : "D.E.", "non-dropping-particle" : "", "parse-names" : false, "suffix" : "" }, { "dropping-particle" : "", "family" : "Poliseno", "given" : "L.", "non-dropping-particle" : "", "parse-names" : false, "suffix" : "" }, { "dropping-particle" : "", "family" : "Reichwald", "given" : "J.", "non-dropping-particle" : "", "parse-names" : false, "suffix" : "" }, { "dropping-particle" : "", "family" : "Danner", "given" : "S.", "non-dropping-particle" : "", "parse-names" : false, "suffix" : "" }, { "dropping-particle" : "", "family" : "Wiederhold", "given" : "K.H.", "non-dropping-particle" : "", "parse-names" : false, "suffix" : "" }, { "dropping-particle" : "", "family" : "Staufenbiel", "given" : "M.", "non-dropping-particle" : "", "parse-names" : false, "suffix" : "" }, { "dropping-particle" : "", "family" : "Reiman", "given" : "E.M.", "non-dropping-particle" : "", "parse-names" : false, "suffix" : "" }, { "dropping-particle" : "", "family" : "Caselli", "given" : "R.J.", "non-dropping-particle" : "", "parse-names" : false, "suffix" : "" }, { "dropping-particle" : "", "family" : "Chen", "given" : "K.", "non-dropping-particle" : "", "parse-names" : false, "suffix" : "" }, { "dropping-particle" : "", "family" : "Alexander", "given" : "G.E.", "non-dropping-particle" : "", "parse-names" : false, "suffix" : "" }, { "dropping-particle" : "", "family" : "Bandy", "given" : "D.", "non-dropping-particle" : "", "parse-names" : false, "suffix" : "" }, { "dropping-particle" : "", "family" : "Frost", "given" : "J.", "non-dropping-particle" : "", "parse-names" : false, "suffix" : "" }, { "dropping-particle" : "", "family" : "Reiman", "given" : "E.M.", "non-dropping-particle" : "", "parse-names" : false, "suffix" : "" }, { "dropping-particle" : "", "family" : "Caselli", "given" : "R.J.", "non-dropping-particle" : "", "parse-names" : false, "suffix" : "" }, { "dropping-particle" : "", "family" : "Yun", "given" : "L.S.", "non-dropping-particle" : "", "parse-names" : false, "suffix" : "" }, { "dropping-particle" : "", "family" : "Chen", "given" : "K.", "non-dropping-particle" : "", "parse-names" : false, "suffix" : "" }, { "dropping-particle" : "", "family" : "Bandy", "given" : "D.", "non-dropping-particle" : "", "parse-names" : false, "suffix" : "" }, { "dropping-particle" : "", "family" : "Minoshima", "given" : "S.", "non-dropping-particle" : "", "parse-names" : false, "suffix" : "" }, { "dropping-particle" : "", "family" : "Thibodeau", "given" : "S.N.", "non-dropping-particle" : "", "parse-names" : false, "suffix" : "" }, { "dropping-particle" : "", "family" : "Osborne", "given" : "D.", "non-dropping-particle" : "", "parse-names" : false, "suffix" : "" }, { "dropping-particle" : "", "family" : "Reiman", "given" : "E.M.", "non-dropping-particle" : "", "parse-names" : false, "suffix" : "" }, { "dropping-particle" : "", "family" : "Chen", "given" : "K.", "non-dropping-particle" : "", "parse-names" : false, "suffix" : "" }, { "dropping-particle" : "", "family" : "Alexander", "given" : "G.E.", "non-dropping-particle" : "", "parse-names" : false, "suffix" : "" }, { "dropping-particle" : "", "family" : "Caselli", "given" : "R.J.", "non-dropping-particle" : "", "parse-names" : false, "suffix" : "" }, { "dropping-particle" : "", "family" : "Bandy", "given" : "D.", "non-dropping-particle" : "", "parse-names" : false, "suffix" : "" }, { "dropping-particle" : "", "family" : "Osborne", "given" : "D.", "non-dropping-particle" : "", "parse-names" : false, "suffix" : "" }, { "dropping-particle" : "", "family" : "Saunders", "given" : "A.M.", "non-dropping-particle" : "", "parse-names" : false, "suffix" : "" }, { "dropping-particle" : "", "family" : "Hardy", "given" : "J.", "non-dropping-particle" : "", "parse-names" : false, "suffix" : "" }, { "dropping-particle" : "", "family" : "Roelofs", "given" : "R.F.", "non-dropping-particle" : "", "parse-names" : false, "suffix" : "" }, { "dropping-particle" : "", "family" : "Fischer", "given" : "D.F.", "non-dropping-particle" : "", "parse-names" : false, "suffix" : "" }, { "dropping-particle" : "", "family" : "Houtman", "given" : "S.H.", "non-dropping-particle" : "", "parse-names" : false, "suffix" : "" }, { "dropping-particle" : "", "family" : "Sluijs", "given" : "J.A.", "non-dropping-particle" : "", "parse-names" : false, "suffix" : "" }, { "dropping-particle" : "Van", "family" : "Haren", "given" : "W.", "non-dropping-particle" : "", "parse-names" : false, "suffix" : "" }, { "dropping-particle" : "Van", "family" : "Leeuwen", "given" : "F.W.", "non-dropping-particle" : "", "parse-names" : false, "suffix" : "" }, { "dropping-particle" : "", "family" : "Hol", "given" : "E.M.", "non-dropping-particle" : "", "parse-names" : false, "suffix" : "" }, { "dropping-particle" : "", "family" : "Schwartz", "given" : "W.J.", "non-dropping-particle" : "", "parse-names" : false, "suffix" : "" }, { "dropping-particle" : "", "family" : "Smith", "given" : "C.B.", "non-dropping-particle" : "", "parse-names" : false, "suffix" : "" }, { "dropping-particle" : "", "family" : "Davidsen", "given" : "L.", "non-dropping-particle" : "", "parse-names" : false, "suffix" : "" }, { "dropping-particle" : "", "family" : "Savaki", "given" : "H.", "non-dropping-particle" : "", "parse-names" : false, "suffix" : "" }, { "dropping-particle" : "", "family" : "Sokoloff", "given" : "L.", "non-dropping-particle" : "", "parse-names" : false, "suffix" : "" }, { "dropping-particle" : "", "family" : "Mata", "given" : "M.", "non-dropping-particle" : "", "parse-names" : false, "suffix" : "" }, { "dropping-particle" : "", "family" : "Fink", "given" : "D.J.", "non-dropping-particle" : "", "parse-names" : false, "suffix" : "" }, { "dropping-particle" : "", "family" : "Gainer", "given" : "H.", "non-dropping-particle" : "", "parse-names" : false, "suffix" : "" }, { "dropping-particle" : "", "family" : "Sherwood", "given" : "C.C.", "non-dropping-particle" : "", "parse-names" : false, "suffix" : "" }, { "dropping-particle" : "", "family" : "Stimpson", "given" : "C.D.", "non-dropping-particle" : "", "parse-names" : false, "suffix" : "" }, { "dropping-particle" : "", "family" : "Raghanti", "given" : "M.A.", "non-dropping-particle" : "", "parse-names" : false, "suffix" : "" }, { "dropping-particle" : "", "family" : "Wildman", "given" : "D.E.", "non-dropping-particle" : "", "parse-names" : false, "suffix" : "" }, { "dropping-particle" : "", "family" : "Uddin", "given" : "M.", "non-dropping-particle" : "", "parse-names" : false, "suffix" : "" }, { "dropping-particle" : "", "family" : "Grossman", "given" : "L.I.", "non-dropping-particle" : "", "parse-names" : false, "suffix" : "" }, { "dropping-particle" : "", "family" : "Goodman", "given" : "M.", "non-dropping-particle" : "", "parse-names" : false, "suffix" : "" }, { "dropping-particle" : "", "family" : "Redmond", "given" : "J.C.", "non-dropping-particle" : "", "parse-names" : false, "suffix" : "" }, { "dropping-particle" : "", "family" : "Bonar", "given" : "C.J.", "non-dropping-particle" : "", "parse-names" : false, "suffix" : "" }, { "dropping-particle" : "", "family" : "Erwin", "given" : "J.M.", "non-dropping-particle" : "", "parse-names" : false, "suffix" : "" }, { "dropping-particle" : "", "family" : "Hof", "given" : "P.R.", "non-dropping-particle" : "", "parse-names" : false, "suffix" : "" }, { "dropping-particle" : "", "family" : "Simpson", "given" : "J.E.", "non-dropping-particle" : "", "parse-names" : false, "suffix" : "" }, { "dropping-particle" : "", "family" : "Ince", "given" : "P.G.", "non-dropping-particle" : "", "parse-names" : false, "suffix" : "" }, { "dropping-particle" : "", "family" : "Shaw", "given" : "P.J.", "non-dropping-particle" : "", "parse-names" : false, "suffix" : "" }, { "dropping-particle" : "", "family" : "Heath", "given" : "P.R.", "non-dropping-particle" : "", "parse-names" : false, "suffix" : "" }, { "dropping-particle" : "", "family" : "Raman", "given" : "R.", "non-dropping-particle" : "", "parse-names" : false, "suffix" : "" }, { "dropping-particle" : "", "family" : "Garwood", "given" : "C.J.", "non-dropping-particle" : "", "parse-names" : false, "suffix" : "" }, { "dropping-particle" : "", "family" : "Gelsthorpe", "given" : "C.", "non-dropping-particle" : "", "parse-names" : false, "suffix" : "" }, { "dropping-particle" : "", "family" : "Baxter", "given" : "L.", "non-dropping-particle" : "", "parse-names" : false, "suffix" : "" }, { "dropping-particle" : "", "family" : "Forster", "given" : "G.", "non-dropping-particle" : "", "parse-names" : false, "suffix" : "" }, { "dropping-particle" : "", "family" : "Matthews", "given" : "F.E.", "non-dropping-particle" : "", "parse-names" : false, "suffix" : "" }, { "dropping-particle" : "", "family" : "Brayne", "given" : "C.", "non-dropping-particle" : "", "parse-names" : false, "suffix" : "" }, { "dropping-particle" : "", "family" : "Wharton", "given" : "S.B.", "non-dropping-particle" : "", "parse-names" : false, "suffix" : "" }, { "dropping-particle" : "", "family" : "Group", "given" : "MRC Cognitive Function and Ageing Neuropathology Study", "non-dropping-particle" : "", "parse-names" : false, "suffix" : "" }, { "dropping-particle" : "", "family" : "Sofroniew", "given" : "M.V.", "non-dropping-particle" : "", "parse-names" : false, "suffix" : "" }, { "dropping-particle" : "", "family" : "Sofroniew", "given" : "M.V.", "non-dropping-particle" : "", "parse-names" : false, "suffix" : "" }, { "dropping-particle" : "", "family" : "Vinters", "given" : "H.V.", "non-dropping-particle" : "", "parse-names" : false, "suffix" : "" }, { "dropping-particle" : "", "family" : "Tello", "given" : "D.", "non-dropping-particle" : "", "parse-names" : false, "suffix" : "" }, { "dropping-particle" : "", "family" : "Balsa", "given" : "E.", "non-dropping-particle" : "", "parse-names" : false, "suffix" : "" }, { "dropping-particle" : "", "family" : "Acosta-Iborra", "given" : "B.", "non-dropping-particle" : "", "parse-names" : false, "suffix" : "" }, { "dropping-particle" : "", "family" : "Fuertes-Yebra", "given" : "E.", "non-dropping-particle" : "", "parse-names" : false, "suffix" : "" }, { "dropping-particle" : "", "family" : "Elorza", "given" : "A.", "non-dropping-particle" : "", "parse-names" : false, "suffix" : "" }, { "dropping-particle" : "", "family" : "Ordonez", "given" : "A.", "non-dropping-particle" : "", "parse-names" : false, "suffix" : "" }, { "dropping-particle" : "", "family" : "Corral-Escariz", "given" : "M.", "non-dropping-particle" : "", "parse-names" : false, "suffix" : "" }, { "dropping-particle" : "", "family" : "Soro", "given" : "I.", "non-dropping-particle" : "", "parse-names" : false, "suffix" : "" }, { "dropping-particle" : "", "family" : "L\u00f3pez-Bernardo", "given" : "E.", "non-dropping-particle" : "", "parse-names" : false, "suffix" : "" }, { "dropping-particle" : "", "family" : "Perales-Clemente", "given" : "E.", "non-dropping-particle" : "", "parse-names" : false, "suffix" : "" }, { "dropping-particle" : "", "family" : "Mart\u00ednez-Ruiz", "given" : "A.", "non-dropping-particle" : "", "parse-names" : false, "suffix" : "" }, { "dropping-particle" : "", "family" : "Enr\u00edquez", "given" : "J.A.", "non-dropping-particle" : "", "parse-names" : false, "suffix" : "" }, { "dropping-particle" : "", "family" : "Aragon\u00e9s", "given" : "J.", "non-dropping-particle" : "", "parse-names" : false, "suffix" : "" }, { "dropping-particle" : "", "family" : "Cadenas", "given" : "S.", "non-dropping-particle" : "", "parse-names" : false, "suffix" : "" }, { "dropping-particle" : "", "family" : "Land\u00e1zuri", "given" : "M.O.", "non-dropping-particle" : "", "parse-names" : false, "suffix" : "" }, { "dropping-particle" : "", "family" : "Thal", "given" : "L.J.", "non-dropping-particle" : "", "parse-names" : false, "suffix" : "" }, { "dropping-particle" : "", "family" : "Kantarci", "given" : "K.", "non-dropping-particle" : "", "parse-names" : false, "suffix" : "" }, { "dropping-particle" : "", "family" : "Reiman", "given" : "E.M.", "non-dropping-particle" : "", "parse-names" : false, "suffix" : "" }, { "dropping-particle" : "", "family" : "Klunk", "given" : "W.E.", "non-dropping-particle" : "", "parse-names" : false, "suffix" : "" }, { "dropping-particle" : "", "family" : "Weiner", "given" : "M.W.", "non-dropping-particle" : "", "parse-names" : false, "suffix" : "" }, { "dropping-particle" : "", "family" : "Zetterberg", "given" : "H.", "non-dropping-particle" : "", "parse-names" : false, "suffix" : "" }, { "dropping-particle" : "", "family" : "Galasko", "given" : "D.", "non-dropping-particle" : "", "parse-names" : false, "suffix" : "" }, { "dropping-particle" : "", "family" : "Pratic\u00f2", "given" : "D.", "non-dropping-particle" : "", "parse-names" : false, "suffix" : "" }, { "dropping-particle" : "", "family" : "Griffin", "given" : "S.", "non-dropping-particle" : "", "parse-names" : false, "suffix" : "" }, { "dropping-particle" : "", "family" : "Schenk", "given" : "D.", "non-dropping-particle" : "", "parse-names" : false, "suffix" : "" }, { "dropping-particle" : "", "family" : "Siemers", "given" : "E.", "non-dropping-particle" : "", "parse-names" : false, "suffix" : "" }, { "dropping-particle" : "", "family" : "Trapnell", "given" : "C.", "non-dropping-particle" : "", "parse-names" : false, "suffix" : "" }, { "dropping-particle" : "", "family" : "Pachter", "given" : "L.", "non-dropping-particle" : "", "parse-names" : false, "suffix" : "" }, { "dropping-particle" : "", "family" : "Salzberg", "given" : "S.L.", "non-dropping-particle" : "", "parse-names" : false, "suffix" : "" }, { "dropping-particle" : "", "family" : "Trapnell", "given" : "C.", "non-dropping-particle" : "", "parse-names" : false, "suffix" : "" }, { "dropping-particle" : "", "family" : "Roberts", "given" : "A.", "non-dropping-particle" : "", "parse-names" : false, "suffix" : "" }, { "dropping-particle" : "", "family" : "Goff", "given" : "L.", "non-dropping-particle" : "", "parse-names" : false, "suffix" : "" }, { "dropping-particle" : "", "family" : "Pertea", "given" : "G.", "non-dropping-particle" : "", "parse-names" : false, "suffix" : "" }, { "dropping-particle" : "", "family" : "Kim", "given" : "D.", "non-dropping-particle" : "", "parse-names" : false, "suffix" : "" }, { "dropping-particle" : "", "family" : "Kelley", "given" : "D.R.", "non-dropping-particle" : "", "parse-names" : false, "suffix" : "" }, { "dropping-particle" : "", "family" : "Pimentel", "given" : "H.", "non-dropping-particle" : "", "parse-names" : false, "suffix" : "" }, { "dropping-particle" : "", "family" : "Salzberg", "given" : "S.L.", "non-dropping-particle" : "", "parse-names" : false, "suffix" : "" }, { "dropping-particle" : "", "family" : "Rinn", "given" : "J.L.", "non-dropping-particle" : "", "parse-names" : false, "suffix" : "" }, { "dropping-particle" : "", "family" : "Pachter", "given" : "L.", "non-dropping-particle" : "", "parse-names" : false, "suffix" : "" }, { "dropping-particle" : "", "family" : "Tsacopoulos", "given" : "M.", "non-dropping-particle" : "", "parse-names" : false, "suffix" : "" }, { "dropping-particle" : "", "family" : "Magistretti", "given" : "P.J.", "non-dropping-particle" : "", "parse-names" : false, "suffix" : "" }, { "dropping-particle" : "", "family" : "Valla", "given" : "J.", "non-dropping-particle" : "", "parse-names" : false, "suffix" : "" }, { "dropping-particle" : "", "family" : "Berndt", "given" : "J.D.", "non-dropping-particle" : "", "parse-names" : false, "suffix" : "" }, { "dropping-particle" : "", "family" : "Gonzalez-Lima", "given" : "F.", "non-dropping-particle" : "", "parse-names" : false, "suffix" : "" }, { "dropping-particle" : "", "family" : "Woischnik", "given" : "M.", "non-dropping-particle" : "", "parse-names" : false, "suffix" : "" }, { "dropping-particle" : "", "family" : "Moraes", "given" : "C.T.", "non-dropping-particle" : "", "parse-names" : false, "suffix" : "" }, { "dropping-particle" : "", "family" : "Yasui", "given" : "D.H.", "non-dropping-particle" : "", "parse-names" : false, "suffix" : "" }, { "dropping-particle" : "", "family" : "Xu", "given" : "H.", "non-dropping-particle" : "", "parse-names" : false, "suffix" : "" }, { "dropping-particle" : "", "family" : "Dunaway", "given" : "K.W.", "non-dropping-particle" : "", "parse-names" : false, "suffix" : "" }, { "dropping-particle" : "", "family" : "Lasalle", "given" : "J.M.", "non-dropping-particle" : "", "parse-names" : false, "suffix" : "" }, { "dropping-particle" : "", "family" : "Jin", "given" : "L.W.", "non-dropping-particle" : "", "parse-names" : false, "suffix" : "" }, { "dropping-particle" : "", "family" : "Maezawa", "given" : "I.", "non-dropping-particle" : "", "parse-names" : false, "suffix" : "" }, { "dropping-particle" : "", "family" : "Yeung", "given" : "K.T.", "non-dropping-particle" : "", "parse-names" : false, "suffix" : "" }, { "dropping-particle" : "", "family" : "Das", "given" : "S.", "non-dropping-particle" : "", "parse-names" : false, "suffix" : "" }, { "dropping-particle" : "", "family" : "Zhang", "given" : "J.", "non-dropping-particle" : "", "parse-names" : false, "suffix" : "" }, { "dropping-particle" : "", "family" : "Lomniczi", "given" : "A.", "non-dropping-particle" : "", "parse-names" : false, "suffix" : "" }, { "dropping-particle" : "", "family" : "Ojeda", "given" : "S.R.", "non-dropping-particle" : "", "parse-names" : false, "suffix" : "" }, { "dropping-particle" : "", "family" : "Xu", "given" : "C.F.", "non-dropping-particle" : "", "parse-names" : false, "suffix" : "" }, { "dropping-particle" : "", "family" : "Neubert", "given" : "T.A.", "non-dropping-particle" : "", "parse-names" : false, "suffix" : "" }, { "dropping-particle" : "", "family" : "Samuels", "given" : "H.H.", "non-dropping-particle" : "", "parse-names" : false, "suffix" : "" }, { "dropping-particle" : "", "family" : "Zhang", "given" : "B.", "non-dropping-particle" : "", "parse-names" : false, "suffix" : "" }, { "dropping-particle" : "", "family" : "Horvath", "given" : "S.", "non-dropping-particle" : "", "parse-names" : false, "suffix" : "" }, { "dropping-particle" : "", "family" : "Zhao", "given" : "J.", "non-dropping-particle" : "", "parse-names" : false, "suffix" : "" }, { "dropping-particle" : "", "family" : "O'Connor", "given" : "T.", "non-dropping-particle" : "", "parse-names" : false, "suffix" : "" }, { "dropping-particle" : "", "family" : "Vassar", "given" : "R.", "non-dropping-particle" : "", "parse-names" : false, "suffix" : "" } ], "container-title" : "Neurobiology of aging", "id" : "ITEM-1", "issue" : "2", "issued" : { "date-parts" : [ [ "2015", "2" ] ] }, "page" : "583-91", "publisher" : "Elsevier", "title" : "Alzheimer's disease is associated with altered expression of genes involved in immune response and mitochondrial processes in astrocytes.", "type" : "article-journal", "volume" : "36" }, "uris" : [ "http://www.mendeley.com/documents/?uuid=a1cdbdcd-114f-3be5-b10b-a82242e181c1" ] } ], "mendeley" : { "formattedCitation" : "(Sekar et al. 2015)", "plainTextFormattedCitation" : "(Sekar et al. 2015)", "previouslyFormattedCitation" : "(Sekar et al. 2015)" }, "properties" : { "noteIndex" : 0 }, "schema" : "https://github.com/citation-style-language/schema/raw/master/csl-citation.json" }</w:instrText>
      </w:r>
      <w:r w:rsidR="00E62489" w:rsidRPr="00303E90">
        <w:rPr>
          <w:rFonts w:ascii="Times New Roman" w:hAnsi="Times New Roman" w:cs="Times New Roman"/>
          <w:i/>
        </w:rPr>
        <w:fldChar w:fldCharType="separate"/>
      </w:r>
      <w:r w:rsidR="00C148FC" w:rsidRPr="00303E90">
        <w:rPr>
          <w:rFonts w:ascii="Times New Roman" w:hAnsi="Times New Roman" w:cs="Times New Roman"/>
          <w:noProof/>
        </w:rPr>
        <w:t>(Sekar et al. 2015)</w:t>
      </w:r>
      <w:r w:rsidR="00E62489" w:rsidRPr="00303E90">
        <w:rPr>
          <w:rFonts w:ascii="Times New Roman" w:hAnsi="Times New Roman" w:cs="Times New Roman"/>
          <w:i/>
        </w:rPr>
        <w:fldChar w:fldCharType="end"/>
      </w:r>
      <w:r w:rsidR="00E62489" w:rsidRPr="00303E90">
        <w:rPr>
          <w:rFonts w:ascii="Times New Roman" w:hAnsi="Times New Roman" w:cs="Times New Roman"/>
        </w:rPr>
        <w:t xml:space="preserve">. </w:t>
      </w:r>
      <w:r w:rsidRPr="00303E90">
        <w:rPr>
          <w:rFonts w:ascii="Times New Roman" w:hAnsi="Times New Roman" w:cs="Times New Roman"/>
        </w:rPr>
        <w:t xml:space="preserve">Furthermore, studies on the involvement of insulin/IGF1 in longevity suggest that downregulation of this pathway increases mitochondrial metabolism and thereby increases mitochondrial ROS production in the process of mitohormesis </w:t>
      </w:r>
      <w:r w:rsidRPr="00303E90">
        <w:rPr>
          <w:rFonts w:ascii="Times New Roman" w:hAnsi="Times New Roman" w:cs="Times New Roman"/>
          <w:i/>
        </w:rPr>
        <w:fldChar w:fldCharType="begin" w:fldLock="1"/>
      </w:r>
      <w:r w:rsidR="003E7BDB" w:rsidRPr="00303E90">
        <w:rPr>
          <w:rFonts w:ascii="Times New Roman" w:hAnsi="Times New Roman" w:cs="Times New Roman"/>
        </w:rPr>
        <w:instrText>ADDIN CSL_CITATION { "citationItems" : [ { "id" : "ITEM-1", "itemData" : { "DOI" : "10.1016/j.exger.2010.03.014", "ISSN" : "1873-6815", "PMID" : "20350594", "abstract" : "Recent evidence suggests that calorie restriction and specifically reduced glucose metabolism induces mitochondrial metabolism to extend life span in various model organisms, including Saccharomyces cerevisiae, Drosophila melanogaster, Caenorhabditis elegans and possibly mice. In conflict with Harman's free radical theory of aging (FRTA), these effects may be due to increased formation of reactive oxygen species (ROS) within the mitochondria causing an adaptive response that culminates in subsequently increased stress resistance assumed to ultimately cause a long-term reduction of oxidative stress. This type of retrograde response has been named mitochondrial hormesis or mitohormesis, and may in addition be applicable to the health-promoting effects of physical exercise in humans and, hypothetically, impaired insulin/IGF-1-signaling in model organisms. Consistently, abrogation of this mitochondrial ROS signal by antioxidants impairs the lifespan-extending and health-promoting capabilities of glucose restriction and physical exercise, respectively. In summary, the findings discussed in this review indicate that ROS are essential signaling molecules which are required to promote health and longevity. Hence, the concept of mitohormesis provides a common mechanistic denominator for the physiological effects of physical exercise, reduced calorie uptake, glucose restriction, and possibly beyond.", "author" : [ { "dropping-particle" : "", "family" : "Ristow", "given" : "Michael", "non-dropping-particle" : "", "parse-names" : false, "suffix" : "" }, { "dropping-particle" : "", "family" : "Zarse", "given" : "Kim", "non-dropping-particle" : "", "parse-names" : false, "suffix" : "" } ], "container-title" : "Experimental gerontology", "id" : "ITEM-1", "issue" : "6", "issued" : { "date-parts" : [ [ "2010", "6" ] ] }, "page" : "410-8", "title" : "How increased oxidative stress promotes longevity and metabolic health: The concept of mitochondrial hormesis (mitohormesis).", "type" : "article-journal", "volume" : "45" }, "uris" : [ "http://www.mendeley.com/documents/?uuid=7cb4a22d-c99f-3c33-b209-28c955837d43" ] }, { "id" : "ITEM-2", "itemData" : { "DOI" : "10.1016/j.cmet.2012.02.013", "ISSN" : "1932-7420", "PMID" : "22482728", "abstract" : "Impaired insulin and IGF-1 signaling (iIIS) in C.\u00a0elegans daf-2 mutants extends life span more than 2-fold. Constitutively, iIIS increases mitochondrial activity and reduces reactive oxygen species (ROS) levels. By contrast, acute impairment of daf-2 in adult C.\u00a0elegans reduces glucose uptake and transiently increases ROS. Consistent with the concept of\u00a0mitohormesis, this ROS signal causes an adaptive response by inducing ROS defense enzymes (SOD, catalase), culminating in ultimately reduced ROS levels despite increased mitochondrial activity. Inhibition of this ROS signal by antioxidants reduces iIIS-mediated longevity by up to 60%. Induction of the ROS signal requires AAK-2 (AMPK), while PMK-1 (p38) and SKN-1 (NRF-2) are needed for the retrograde response. IIIS upregulates mitochondrial L-proline catabolism, and impairment of the latter impairs the life span-extending capacity of iIIS while L-proline supplementation extends C.\u00a0elegans life span. Taken together, iIIS promotes L-proline metabolism to generate a ROS signal for the adaptive induction of endogenous stress defense to extend life span.", "author" : [ { "dropping-particle" : "", "family" : "Zarse", "given" : "Kim", "non-dropping-particle" : "", "parse-names" : false, "suffix" : "" }, { "dropping-particle" : "", "family" : "Schmeisser", "given" : "Sebastian", "non-dropping-particle" : "", "parse-names" : false, "suffix" : "" }, { "dropping-particle" : "", "family" : "Groth", "given" : "Marco", "non-dropping-particle" : "", "parse-names" : false, "suffix" : "" }, { "dropping-particle" : "", "family" : "Priebe", "given" : "Steffen", "non-dropping-particle" : "", "parse-names" : false, "suffix" : "" }, { "dropping-particle" : "", "family" : "Beuster", "given" : "Gregor", "non-dropping-particle" : "", "parse-names" : false, "suffix" : "" }, { "dropping-particle" : "", "family" : "Kuhlow", "given" : "Doreen", "non-dropping-particle" : "", "parse-names" : false, "suffix" : "" }, { "dropping-particle" : "", "family" : "Guthke", "given" : "Reinhard", "non-dropping-particle" : "", "parse-names" : false, "suffix" : "" }, { "dropping-particle" : "", "family" : "Platzer", "given" : "Matthias", "non-dropping-particle" : "", "parse-names" : false, "suffix" : "" }, { "dropping-particle" : "", "family" : "Kahn", "given" : "C Ronald", "non-dropping-particle" : "", "parse-names" : false, "suffix" : "" }, { "dropping-particle" : "", "family" : "Ristow", "given" : "Michael", "non-dropping-particle" : "", "parse-names" : false, "suffix" : "" } ], "container-title" : "Cell metabolism", "id" : "ITEM-2", "issue" : "4", "issued" : { "date-parts" : [ [ "2012", "4", "4" ] ] }, "page" : "451-65", "title" : "Impaired insulin/IGF1 signaling extends life span by promoting mitochondrial L-proline catabolism to induce a transient ROS signal.", "type" : "article-journal", "volume" : "15" }, "uris" : [ "http://www.mendeley.com/documents/?uuid=e087992f-e73f-3492-94e4-b4ed4f2a3791" ] } ], "mendeley" : { "formattedCitation" : "(Ristow &amp; Zarse 2010; Zarse et al. 2012)", "plainTextFormattedCitation" : "(Ristow &amp; Zarse 2010; Zarse et al. 2012)", "previouslyFormattedCitation" : "(Ristow &amp; Zarse 2010; Zarse et al. 2012)" }, "properties" : { "noteIndex" : 0 }, "schema" : "https://github.com/citation-style-language/schema/raw/master/csl-citation.json" }</w:instrText>
      </w:r>
      <w:r w:rsidRPr="00303E90">
        <w:rPr>
          <w:rFonts w:ascii="Times New Roman" w:hAnsi="Times New Roman" w:cs="Times New Roman"/>
          <w:i/>
        </w:rPr>
        <w:fldChar w:fldCharType="separate"/>
      </w:r>
      <w:r w:rsidR="00C148FC" w:rsidRPr="00303E90">
        <w:rPr>
          <w:rFonts w:ascii="Times New Roman" w:hAnsi="Times New Roman" w:cs="Times New Roman"/>
          <w:noProof/>
        </w:rPr>
        <w:t>(Ristow &amp; Zarse 2010; Zarse et al. 2012)</w:t>
      </w:r>
      <w:r w:rsidRPr="00303E90">
        <w:rPr>
          <w:rFonts w:ascii="Times New Roman" w:hAnsi="Times New Roman" w:cs="Times New Roman"/>
          <w:i/>
        </w:rPr>
        <w:fldChar w:fldCharType="end"/>
      </w:r>
      <w:r w:rsidRPr="00303E90">
        <w:rPr>
          <w:rFonts w:ascii="Times New Roman" w:hAnsi="Times New Roman" w:cs="Times New Roman"/>
        </w:rPr>
        <w:t>. A</w:t>
      </w:r>
      <w:r w:rsidR="005F57AB" w:rsidRPr="00303E90">
        <w:rPr>
          <w:rFonts w:ascii="Times New Roman" w:hAnsi="Times New Roman" w:cs="Times New Roman"/>
        </w:rPr>
        <w:t>lthough it is predicted that</w:t>
      </w:r>
      <w:r w:rsidRPr="00303E90">
        <w:rPr>
          <w:rFonts w:ascii="Times New Roman" w:hAnsi="Times New Roman" w:cs="Times New Roman"/>
        </w:rPr>
        <w:t xml:space="preserve"> stress resistance is upregulated by mitohormesis there may also be oxidative damage to mitochondrial DNA and genes that cause mitochondrial dysfunction</w:t>
      </w:r>
      <w:r w:rsidR="00D80705" w:rsidRPr="00303E90">
        <w:rPr>
          <w:rFonts w:ascii="Times New Roman" w:hAnsi="Times New Roman" w:cs="Times New Roman"/>
        </w:rPr>
        <w:t>, which may have been</w:t>
      </w:r>
      <w:r w:rsidRPr="00303E90">
        <w:rPr>
          <w:rFonts w:ascii="Times New Roman" w:hAnsi="Times New Roman" w:cs="Times New Roman"/>
        </w:rPr>
        <w:t xml:space="preserve"> detected in this microarray study.</w:t>
      </w:r>
      <w:bookmarkEnd w:id="2367"/>
      <w:bookmarkEnd w:id="2368"/>
      <w:r w:rsidRPr="00303E90">
        <w:rPr>
          <w:rFonts w:ascii="Times New Roman" w:hAnsi="Times New Roman" w:cs="Times New Roman"/>
        </w:rPr>
        <w:t xml:space="preserve"> </w:t>
      </w:r>
    </w:p>
    <w:p w14:paraId="3E5EECAC" w14:textId="77777777" w:rsidR="00401292" w:rsidRDefault="00401292" w:rsidP="0052651A">
      <w:pPr>
        <w:spacing w:line="360" w:lineRule="auto"/>
        <w:jc w:val="both"/>
        <w:rPr>
          <w:rFonts w:ascii="Times New Roman" w:hAnsi="Times New Roman" w:cs="Times New Roman"/>
          <w:b/>
          <w:noProof/>
          <w:u w:val="single"/>
        </w:rPr>
      </w:pPr>
    </w:p>
    <w:p w14:paraId="6EB0007B" w14:textId="5636F3F0" w:rsidR="005D76CE" w:rsidRPr="00F759E0" w:rsidRDefault="00C57D4C" w:rsidP="00401292">
      <w:pPr>
        <w:pStyle w:val="Heading4"/>
        <w:rPr>
          <w:noProof/>
          <w:color w:val="FF0000"/>
          <w:u w:val="single"/>
        </w:rPr>
      </w:pPr>
      <w:r w:rsidRPr="006D165D">
        <w:rPr>
          <w:noProof/>
          <w:u w:val="single"/>
        </w:rPr>
        <w:t>Glycolysis</w:t>
      </w:r>
      <w:r w:rsidR="00F759E0">
        <w:rPr>
          <w:noProof/>
          <w:u w:val="single"/>
        </w:rPr>
        <w:t xml:space="preserve"> </w:t>
      </w:r>
    </w:p>
    <w:p w14:paraId="29CEFF0D" w14:textId="0ECC6366" w:rsidR="00450E1F" w:rsidRDefault="00936C6C" w:rsidP="0052651A">
      <w:pPr>
        <w:spacing w:line="360" w:lineRule="auto"/>
        <w:jc w:val="both"/>
        <w:rPr>
          <w:rFonts w:ascii="Times New Roman" w:hAnsi="Times New Roman" w:cs="Times New Roman"/>
          <w:noProof/>
        </w:rPr>
      </w:pPr>
      <w:r>
        <w:rPr>
          <w:rFonts w:ascii="Times New Roman" w:hAnsi="Times New Roman" w:cs="Times New Roman"/>
          <w:noProof/>
        </w:rPr>
        <w:t>Glycolysis is the metabolic pathway that converts glucose into pyruvate and hydrogen</w:t>
      </w:r>
      <w:r w:rsidR="002C1CE4">
        <w:rPr>
          <w:rFonts w:ascii="Times New Roman" w:hAnsi="Times New Roman" w:cs="Times New Roman"/>
          <w:noProof/>
        </w:rPr>
        <w:t>,</w:t>
      </w:r>
      <w:r>
        <w:rPr>
          <w:rFonts w:ascii="Times New Roman" w:hAnsi="Times New Roman" w:cs="Times New Roman"/>
          <w:noProof/>
        </w:rPr>
        <w:t xml:space="preserve"> generating free energy in the process. </w:t>
      </w:r>
      <w:r w:rsidR="00340DF1">
        <w:rPr>
          <w:rFonts w:ascii="Times New Roman" w:hAnsi="Times New Roman" w:cs="Times New Roman"/>
          <w:noProof/>
        </w:rPr>
        <w:t>Pathway enrichment analysis performed by IMPALA</w:t>
      </w:r>
      <w:r w:rsidR="00AC441B">
        <w:rPr>
          <w:rFonts w:ascii="Times New Roman" w:hAnsi="Times New Roman" w:cs="Times New Roman"/>
          <w:noProof/>
        </w:rPr>
        <w:t xml:space="preserve"> found</w:t>
      </w:r>
      <w:r w:rsidR="001C1669">
        <w:rPr>
          <w:rFonts w:ascii="Times New Roman" w:hAnsi="Times New Roman" w:cs="Times New Roman"/>
          <w:noProof/>
        </w:rPr>
        <w:t xml:space="preserve"> 6 </w:t>
      </w:r>
      <w:r>
        <w:rPr>
          <w:rFonts w:ascii="Times New Roman" w:hAnsi="Times New Roman" w:cs="Times New Roman"/>
          <w:noProof/>
        </w:rPr>
        <w:t>genes involved in glycolysis and gluconeogenesis</w:t>
      </w:r>
      <w:r w:rsidR="002C1CE4">
        <w:rPr>
          <w:rFonts w:ascii="Times New Roman" w:hAnsi="Times New Roman" w:cs="Times New Roman"/>
          <w:noProof/>
        </w:rPr>
        <w:t xml:space="preserve"> that</w:t>
      </w:r>
      <w:r>
        <w:rPr>
          <w:rFonts w:ascii="Times New Roman" w:hAnsi="Times New Roman" w:cs="Times New Roman"/>
          <w:noProof/>
        </w:rPr>
        <w:t xml:space="preserve"> were upregula</w:t>
      </w:r>
      <w:r w:rsidR="00B80D03">
        <w:rPr>
          <w:rFonts w:ascii="Times New Roman" w:hAnsi="Times New Roman" w:cs="Times New Roman"/>
          <w:noProof/>
        </w:rPr>
        <w:t>ted in MAB391-</w:t>
      </w:r>
      <w:r w:rsidR="00681942">
        <w:rPr>
          <w:rFonts w:ascii="Times New Roman" w:hAnsi="Times New Roman" w:cs="Times New Roman"/>
          <w:noProof/>
        </w:rPr>
        <w:t>treated astrocytes</w:t>
      </w:r>
      <w:r>
        <w:rPr>
          <w:rFonts w:ascii="Times New Roman" w:hAnsi="Times New Roman" w:cs="Times New Roman"/>
          <w:noProof/>
        </w:rPr>
        <w:t>. Gluconeogenesis refers to the process of forming glucose from non-carbohydrate carbo</w:t>
      </w:r>
      <w:r w:rsidR="00681942">
        <w:rPr>
          <w:rFonts w:ascii="Times New Roman" w:hAnsi="Times New Roman" w:cs="Times New Roman"/>
          <w:noProof/>
        </w:rPr>
        <w:t>n</w:t>
      </w:r>
      <w:r>
        <w:rPr>
          <w:rFonts w:ascii="Times New Roman" w:hAnsi="Times New Roman" w:cs="Times New Roman"/>
          <w:noProof/>
        </w:rPr>
        <w:t xml:space="preserve"> substrates and many of the enzymes involved in the later stages of glycolysis are also important in the early stages of gluconeogenesis. The upregulation of these genes suggest that either, or both, of these pathway</w:t>
      </w:r>
      <w:r w:rsidR="00F759E0">
        <w:rPr>
          <w:rFonts w:ascii="Times New Roman" w:hAnsi="Times New Roman" w:cs="Times New Roman"/>
          <w:noProof/>
        </w:rPr>
        <w:t>s</w:t>
      </w:r>
      <w:r w:rsidR="00B80D03">
        <w:rPr>
          <w:rFonts w:ascii="Times New Roman" w:hAnsi="Times New Roman" w:cs="Times New Roman"/>
          <w:noProof/>
        </w:rPr>
        <w:t xml:space="preserve"> could be upregulated in MAB391-</w:t>
      </w:r>
      <w:r>
        <w:rPr>
          <w:rFonts w:ascii="Times New Roman" w:hAnsi="Times New Roman" w:cs="Times New Roman"/>
          <w:noProof/>
        </w:rPr>
        <w:t>treated astrocytes, however other genes identified in this array, together with existing literature, indicate a shift towards glycolysis following loss of IGF1R.</w:t>
      </w:r>
      <w:r w:rsidR="00681942">
        <w:rPr>
          <w:rFonts w:ascii="Times New Roman" w:hAnsi="Times New Roman" w:cs="Times New Roman"/>
          <w:noProof/>
        </w:rPr>
        <w:t xml:space="preserve"> The reasons for a suspected increase</w:t>
      </w:r>
      <w:r w:rsidR="00980EBD">
        <w:rPr>
          <w:rFonts w:ascii="Times New Roman" w:hAnsi="Times New Roman" w:cs="Times New Roman"/>
          <w:noProof/>
        </w:rPr>
        <w:t xml:space="preserve"> in glycolytic activity in IGF1 </w:t>
      </w:r>
      <w:r w:rsidR="00681942">
        <w:rPr>
          <w:rFonts w:ascii="Times New Roman" w:hAnsi="Times New Roman" w:cs="Times New Roman"/>
          <w:noProof/>
        </w:rPr>
        <w:t>signalling impaired astrocytes are discussed below.</w:t>
      </w:r>
    </w:p>
    <w:p w14:paraId="5EFDDD3B" w14:textId="77777777" w:rsidR="00936C6C" w:rsidRDefault="00936C6C" w:rsidP="0052651A">
      <w:pPr>
        <w:spacing w:line="360" w:lineRule="auto"/>
        <w:jc w:val="both"/>
        <w:rPr>
          <w:rFonts w:ascii="Times New Roman" w:hAnsi="Times New Roman" w:cs="Times New Roman"/>
          <w:noProof/>
        </w:rPr>
      </w:pPr>
    </w:p>
    <w:p w14:paraId="3EECE9D1" w14:textId="48C90416" w:rsidR="00F75141" w:rsidRDefault="00681942" w:rsidP="0052651A">
      <w:pPr>
        <w:spacing w:line="360" w:lineRule="auto"/>
        <w:jc w:val="both"/>
        <w:rPr>
          <w:rFonts w:ascii="Times New Roman" w:hAnsi="Times New Roman" w:cs="Times New Roman"/>
          <w:noProof/>
        </w:rPr>
      </w:pPr>
      <w:r>
        <w:rPr>
          <w:rFonts w:ascii="Times New Roman" w:hAnsi="Times New Roman" w:cs="Times New Roman"/>
          <w:noProof/>
        </w:rPr>
        <w:t>Firstly, a</w:t>
      </w:r>
      <w:r w:rsidR="00936C6C">
        <w:rPr>
          <w:rFonts w:ascii="Times New Roman" w:hAnsi="Times New Roman" w:cs="Times New Roman"/>
          <w:noProof/>
        </w:rPr>
        <w:t xml:space="preserve">strocytes </w:t>
      </w:r>
      <w:r w:rsidR="002850FF">
        <w:rPr>
          <w:rFonts w:ascii="Times New Roman" w:hAnsi="Times New Roman" w:cs="Times New Roman"/>
          <w:noProof/>
        </w:rPr>
        <w:t xml:space="preserve">have been described </w:t>
      </w:r>
      <w:r w:rsidR="002D2974">
        <w:rPr>
          <w:rFonts w:ascii="Times New Roman" w:hAnsi="Times New Roman" w:cs="Times New Roman"/>
          <w:noProof/>
        </w:rPr>
        <w:t>as the “glyco</w:t>
      </w:r>
      <w:r w:rsidR="00101552">
        <w:rPr>
          <w:rFonts w:ascii="Times New Roman" w:hAnsi="Times New Roman" w:cs="Times New Roman"/>
          <w:noProof/>
        </w:rPr>
        <w:t>lytic” cell of the brain</w:t>
      </w:r>
      <w:r w:rsidR="00936C6C">
        <w:rPr>
          <w:rFonts w:ascii="Times New Roman" w:hAnsi="Times New Roman" w:cs="Times New Roman"/>
          <w:noProof/>
        </w:rPr>
        <w:t xml:space="preserve"> </w:t>
      </w:r>
      <w:r w:rsidR="00D63E89">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"ISSN" : "0027-8424", "PMID" : "7938003", "abstract" : "Glutamate, released at a majority of excitatory synapses in the central nervous system, depolarizes neurons by acting at specific receptors. Its action is terminated by removal from the synaptic cleft mostly via Na(+)-dependent uptake systems located on both neurons and astrocytes. Here we report that glutamate, in addition to its receptor-mediated actions on neuronal excitability, stimulates glycolysis--i.e., glucose utilization and lactate production--in astrocytes. This metabolic action is mediated by activation of a Na(+)-dependent uptake system and not by interaction with receptors. The mechanism involves the Na+/K(+)-ATPase, which is activated by an increase in the intracellular concentration of Na+ cotransported with glutamate by the electrogenic uptake system. Thus, when glutamate is released from active synapses and taken up by astrocytes, the newly identified signaling pathway described here would provide a simple and direct mechanism to tightly couple neuronal activity to glucose utilization. In addition, glutamate-stimulated glycolysis is consistent with data obtained from functional brain imaging studies indicating local nonoxidative glucose utilization during physiological activation.", "author" : [ { "dropping-particle" : "", "family" : "Pellerin", "given" : "L", "non-dropping-particle" : "", "parse-names" : false, "suffix" : "" }, { "dropping-particle" : "", "family" : "Magistretti", "given" : "P J", "non-dropping-particle" : "", "parse-names" : false, "suffix" : "" } ], "container-title" : "Proceedings of the National Academy of Sciences of the United States of America", "id" : "ITEM-1", "issue" : "22", "issued" : { "date-parts" : [ [ "1994", "10", "25" ] ] }, "page" : "10625-9", "title" : "Glutamate uptake into astrocytes stimulates aerobic glycolysis: a mechanism coupling neuronal activity to glucose utilization.", "type" : "article-journal", "volume" : "91" }, "uris" : [ "http://www.mendeley.com/documents/?uuid=48c137c0-934a-4aef-9569-807e0d798687" ] } ], "mendeley" : { "formattedCitation" : "(Pellerin &amp; Magistretti 1994)", "plainTextFormattedCitation" : "(Pellerin &amp; Magistretti 1994)", "previouslyFormattedCitation" : "(Pellerin &amp; Magistretti 1994)" }, "properties" : { "noteIndex" : 0 }, "schema" : "https://github.com/citation-style-language/schema/raw/master/csl-citation.json" }</w:instrText>
      </w:r>
      <w:r w:rsidR="00D63E89">
        <w:rPr>
          <w:rFonts w:ascii="Times New Roman" w:hAnsi="Times New Roman" w:cs="Times New Roman"/>
          <w:noProof/>
        </w:rPr>
        <w:fldChar w:fldCharType="separate"/>
      </w:r>
      <w:r w:rsidR="00C148FC" w:rsidRPr="00C148FC">
        <w:rPr>
          <w:rFonts w:ascii="Times New Roman" w:hAnsi="Times New Roman" w:cs="Times New Roman"/>
          <w:noProof/>
        </w:rPr>
        <w:t>(Pellerin &amp; Magistretti 1994)</w:t>
      </w:r>
      <w:r w:rsidR="00D63E89">
        <w:rPr>
          <w:rFonts w:ascii="Times New Roman" w:hAnsi="Times New Roman" w:cs="Times New Roman"/>
          <w:noProof/>
        </w:rPr>
        <w:fldChar w:fldCharType="end"/>
      </w:r>
      <w:r w:rsidR="00101552">
        <w:rPr>
          <w:rFonts w:ascii="Times New Roman" w:hAnsi="Times New Roman" w:cs="Times New Roman"/>
          <w:noProof/>
        </w:rPr>
        <w:t xml:space="preserve">. </w:t>
      </w:r>
      <w:r w:rsidR="002020D2">
        <w:rPr>
          <w:rFonts w:ascii="Times New Roman" w:hAnsi="Times New Roman" w:cs="Times New Roman"/>
          <w:noProof/>
        </w:rPr>
        <w:t>Transcriptomic analysis</w:t>
      </w:r>
      <w:r w:rsidR="00450E1F">
        <w:rPr>
          <w:rFonts w:ascii="Times New Roman" w:hAnsi="Times New Roman" w:cs="Times New Roman"/>
          <w:noProof/>
        </w:rPr>
        <w:t xml:space="preserve"> </w:t>
      </w:r>
      <w:r w:rsidR="002020D2">
        <w:rPr>
          <w:rFonts w:ascii="Times New Roman" w:hAnsi="Times New Roman" w:cs="Times New Roman"/>
          <w:noProof/>
        </w:rPr>
        <w:t>has</w:t>
      </w:r>
      <w:r w:rsidR="002A50A6">
        <w:rPr>
          <w:rFonts w:ascii="Times New Roman" w:hAnsi="Times New Roman" w:cs="Times New Roman"/>
          <w:noProof/>
        </w:rPr>
        <w:t xml:space="preserve"> identified </w:t>
      </w:r>
      <w:r w:rsidR="00450E1F">
        <w:rPr>
          <w:rFonts w:ascii="Times New Roman" w:hAnsi="Times New Roman" w:cs="Times New Roman"/>
          <w:noProof/>
        </w:rPr>
        <w:t>enrichment of glycolysis genes in rodent astrocytes</w:t>
      </w:r>
      <w:r w:rsidR="002020D2">
        <w:rPr>
          <w:rFonts w:ascii="Times New Roman" w:hAnsi="Times New Roman" w:cs="Times New Roman"/>
          <w:noProof/>
        </w:rPr>
        <w:t xml:space="preserve"> compared with other brain</w:t>
      </w:r>
      <w:r w:rsidR="00936C6C">
        <w:rPr>
          <w:rFonts w:ascii="Times New Roman" w:hAnsi="Times New Roman" w:cs="Times New Roman"/>
          <w:noProof/>
        </w:rPr>
        <w:t xml:space="preserve"> cells</w:t>
      </w:r>
      <w:r w:rsidR="00450E1F">
        <w:rPr>
          <w:rFonts w:ascii="Times New Roman" w:hAnsi="Times New Roman" w:cs="Times New Roman"/>
          <w:noProof/>
        </w:rPr>
        <w:t xml:space="preserve"> </w:t>
      </w:r>
      <w:r w:rsidR="00450E1F">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"10.1523/JNEUROSCI.0468-06.2006", "ISSN" : "1529-2401", "PMID" : "17005859", "abstract" : "The enormous cellular complexity of the brain is a major obstacle for gene expression profiling of neurological disease models, because physiologically relevant changes of transcription in a specific neuronal subset are likely to be lost in the presence of other neurons and glia. We solved this problem in transgenic mice by labeling genetically defined cells with a nuclear variant of GFP. When combined with laser-directed microdissection, intact RNA from unfixed, freeze-dried sections can be isolated, which is a prerequisite for high-quality global transcriptome analysis. Here, we compared gene expression profiles between pyramidal motor neurons and pyramidal somatosensory neurons captured from layer V of the adult neocortex. One striking feature of motor neurons is the elevated expression of ribosomal genes and genes involved in ATP synthesis. This suggests a molecular adaptation of the upper motor neurons to longer axonal projections and higher electrical activity. These molecular signatures were not detected when cortical layers and microareas were analyzed in toto. Additionally, we used microarrays to determine the global mRNA expression profiles of microdissected Purkinje cells and cellularly complex cerebellar cortex microregions. In summary, our analysis shows that cellularly complex targets lead to averaged gene expression profiles that lack substantial amounts of cell type-specific information. Thus, cell type-restricted sampling strategies are mandatory in the CNS. The combined use of a genetic label with laser-microdissection offers an unbiased approach to map patterns of gene expression onto practically any cell type of the brain.", "author" : [ { "dropping-particle" : "", "family" : "Rossner", "given" : "Moritz J", "non-dropping-particle" : "", "parse-names" : false, "suffix" : "" }, { "dropping-particle" : "", "family" : "Hirrlinger", "given" : "Johannes", "non-dropping-particle" : "", "parse-names" : false, "suffix" : "" }, { "dropping-particle" : "", "family" : "Wichert", "given" : "Sven P", "non-dropping-particle" : "", "parse-names" : false, "suffix" : "" }, { "dropping-particle" : "", "family" : "Boehm", "given" : "Christine", "non-dropping-particle" : "", "parse-names" : false, "suffix" : "" }, { "dropping-particle" : "", "family" : "Newrzella", "given" : "Dieter", "non-dropping-particle" : "", "parse-names" : false, "suffix" : "" }, { "dropping-particle" : "", "family" : "Hiemisch", "given" : "Holger", "non-dropping-particle" : "", "parse-names" : false, "suffix" : "" }, { "dropping-particle" : "", "family" : "Eisenhardt", "given" : "Gisela", "non-dropping-particle" : "", "parse-names" : false, "suffix" : "" }, { "dropping-particle" : "", "family" : "Stuenkel", "given" : "Carolin", "non-dropping-particle" : "", "parse-names" : false, "suffix" : "" }, { "dropping-particle" : "", "family" : "Ahsen", "given" : "Oliver", "non-dropping-particle" : "von", "parse-names" : false, "suffix" : "" }, { "dropping-particle" : "", "family" : "Nave", "given" : "Klaus-Armin", "non-dropping-particle" : "", "parse-names" : false, "suffix" : "" } ], "container-title" : "The Journal of neuroscience : the official journal of the Society for Neuroscience", "id" : "ITEM-1", "issue" : "39", "issued" : { "date-parts" : [ [ "2006", "9", "27" ] ] }, "page" : "9956-66", "title" : "Global transcriptome analysis of genetically identified neurons in the adult cortex.", "type" : "article-journal", "volume" : "26" }, "uris" : [ "http://www.mendeley.com/documents/?uuid=b1cf1897-7561-4aa7-9388-e6943ed9ce4c" ] }, { "id" : "ITEM-2", "itemData" : { "DOI" : "10.1523/JNEUROSCI.4178-07.2008", "ISSN" : "1529-2401", "PMID" : "18171944", "abstract" : "Understanding the cell-cell interactions that control CNS development and function has long been limited by the lack of methods to cleanly separate neural cell types. Here we describe methods for the prospective isolation and purification of astrocytes, neurons, and oligodendrocytes from developing and mature mouse forebrain. We used FACS (fluorescent-activated cell sorting) to isolate astrocytes from transgenic mice that express enhanced green fluorescent protein (EGFP) under the control of an S100beta promoter. Using Affymetrix GeneChip Arrays, we then created a transcriptome database of the expression levels of &gt;20,000 genes by gene profiling these three main CNS neural cell types at various postnatal ages between postnatal day 1 (P1) and P30. This database provides a detailed global characterization and comparison of the genes expressed by acutely isolated astrocytes, neurons, and oligodendrocytes. We found that Aldh1L1 is a highly specific antigenic marker for astrocytes with a substantially broader pattern of astrocyte expression than the traditional astrocyte marker GFAP. Astrocytes were enriched in specific metabolic and lipid synthetic pathways, as well as the draper/Megf10 and Mertk/integrin alpha(v)beta5 phagocytic pathways suggesting that astrocytes are professional phagocytes. Our findings call into question the concept of a \"glial\" cell class as the gene profiles of astrocytes and oligodendrocytes are as dissimilar to each other as they are to neurons. This transcriptome database of acutely isolated purified astrocytes, neurons, and oligodendrocytes provides a resource to the neuroscience community by providing improved cell-type-specific markers and for better understanding of neural development, function, and disease.", "author" : [ { "dropping-particle" : "", "family" : "Cahoy", "given" : "John D", "non-dropping-particle" : "", "parse-names" : false, "suffix" : "" }, { "dropping-particle" : "", "family" : "Emery", "given" : "Ben", "non-dropping-particle" : "", "parse-names" : false, "suffix" : "" }, { "dropping-particle" : "", "family" : "Kaushal", "given" : "Amit", "non-dropping-particle" : "", "parse-names" : false, "suffix" : "" }, { "dropping-particle" : "", "family" : "Foo", "given" : "Lynette C", "non-dropping-particle" : "", "parse-names" : false, "suffix" : "" }, { "dropping-particle" : "", "family" : "Zamanian", "given" : "Jennifer L", "non-dropping-particle" : "", "parse-names" : false, "suffix" : "" }, { "dropping-particle" : "", "family" : "Christopherson", "given" : "Karen S", "non-dropping-particle" : "", "parse-names" : false, "suffix" : "" }, { "dropping-particle" : "", "family" : "Xing", "given" : "Yi", "non-dropping-particle" : "", "parse-names" : false, "suffix" : "" }, { "dropping-particle" : "", "family" : "Lubischer", "given" : "Jane L", "non-dropping-particle" : "", "parse-names" : false, "suffix" : "" }, { "dropping-particle" : "", "family" : "Krieg", "given" : "Paul A", "non-dropping-particle" : "", "parse-names" : false, "suffix" : "" }, { "dropping-particle" : "", "family" : "Krupenko", "given" : "Sergey A", "non-dropping-particle" : "", "parse-names" : false, "suffix" : "" }, { "dropping-particle" : "", "family" : "Thompson", "given" : "Wesley J", "non-dropping-particle" : "", "parse-names" : false, "suffix" : "" }, { "dropping-particle" : "", "family" : "Barres", "given" : "Ben A", "non-dropping-particle" : "", "parse-names" : false, "suffix" : "" } ], "container-title" : "The Journal of neuroscience : the official journal of the Society for Neuroscience", "id" : "ITEM-2", "issue" : "1", "issued" : { "date-parts" : [ [ "2008", "1", "2" ] ] }, "page" : "264-78", "title" : "A transcriptome database for astrocytes, neurons, and oligodendrocytes: a new resource for understanding brain development and function.", "type" : "article-journal", "volume" : "28" }, "uris" : [ "http://www.mendeley.com/documents/?uuid=7a9c84bd-d270-47af-b641-1de83216ca39" ] }, { "id" : "ITEM-3", "itemData" : { "DOI" : "10.1523/JNEUROSCI.3404-07.2007", "ISSN" : "1529-2401", "PMID" : "17989291", "abstract" : "Protoplasmic astrocytes are critically important to energy metabolism in the CNS. Our current understanding of the metabolic interactions between neurons and glia is based on studies using cultured cells, from which mainly inferential conclusions have been drawn as to the relative roles of neurons and glia in brain metabolism. In this study, we used functional genomics to establish the relative compartmentalization of neuronal and astrocytic metabolic pathways in the adult brain. To this end, fluorescence-activated cell sorting was used to directly isolate neurons and protoplasmic astrocytes from the cortex of adult mice. Microarray analysis showed that astrocytes and neurons each express transcripts predicting individual self-sufficiency in both glycolysis and oxidative metabolism. Surprisingly, most enzymes in the tricarboxylic acid (TCA) cycle were expressed at higher relative levels in astrocytes than in neurons. Mass spectrometric analysis of the TCA cycle intermediates confirmed that freshly isolated adult astrocytes maintained an active TCA cycle, whereas immuno-electron microscopy revealed that fine astrocytic processes encompassing synapses contained a higher density of mitochondria than surrounding cells. These observations indicate that astrocytes exhibit robust oxidative metabolism in the intact adult brain and suggest a prominent contribution of astrocytic metabolism to functional brain imaging, including BOLD (blood-oxygen level-dependent) functional magnetic resonance imaging signals.", "author" : [ { "dropping-particle" : "", "family" : "Lovatt", "given" : "Ditte", "non-dropping-particle" : "", "parse-names" : false, "suffix" : "" }, { "dropping-particle" : "", "family" : "Sonnewald", "given" : "Ursula", "non-dropping-particle" : "", "parse-names" : false, "suffix" : "" }, { "dropping-particle" : "", "family" : "Waagepetersen", "given" : "Helle S", "non-dropping-particle" : "", "parse-names" : false, "suffix" : "" }, { "dropping-particle" : "", "family" : "Schousboe", "given" : "Arne", "non-dropping-particle" : "", "parse-names" : false, "suffix" : "" }, { "dropping-particle" : "", "family" : "He", "given" : "Wei", "non-dropping-particle" : "", "parse-names" : false, "suffix" : "" }, { "dropping-particle" : "", "family" : "Lin", "given" : "Jane H-C", "non-dropping-particle" : "", "parse-names" : false, "suffix" : "" }, { "dropping-particle" : "", "family" : "Han", "given" : "Xiaoning", "non-dropping-particle" : "", "parse-names" : false, "suffix" : "" }, { "dropping-particle" : "", "family" : "Takano", "given" : "Takahiro", "non-dropping-particle" : "", "parse-names" : false, "suffix" : "" }, { "dropping-particle" : "", "family" : "Wang", "given" : "Su", "non-dropping-particle" : "", "parse-names" : false, "suffix" : "" }, { "dropping-particle" : "", "family" : "Sim", "given" : "Fraser J", "non-dropping-particle" : "", "parse-names" : false, "suffix" : "" }, { "dropping-particle" : "", "family" : "Goldman", "given" : "Steven A", "non-dropping-particle" : "", "parse-names" : false, "suffix" : "" }, { "dropping-particle" : "", "family" : "Nedergaard", "given" : "Maiken", "non-dropping-particle" : "", "parse-names" : false, "suffix" : "" } ], "container-title" : "The Journal of neuroscience : the official journal of the Society for Neuroscience", "id" : "ITEM-3", "issue" : "45", "issued" : { "date-parts" : [ [ "2007", "11", "7" ] ] }, "page" : "12255-66", "title" : "The transcriptome and metabolic gene signature of protoplasmic astrocytes in the adult murine cortex.", "type" : "article-journal", "volume" : "27" }, "uris" : [ "http://www.mendeley.com/documents/?uuid=5ca7133d-d5cb-44df-a8e0-c7c1d40e460a" ] } ], "mendeley" : { "formattedCitation" : "(Rossner et al. 2006; Cahoy et al. 2008; Lovatt et al. 2007)", "plainTextFormattedCitation" : "(Rossner et al. 2006; Cahoy et al. 2008; Lovatt et al. 2007)", "previouslyFormattedCitation" : "(Rossner et al. 2006; Cahoy et al. 2008; Lovatt et al. 2007)" }, "properties" : { "noteIndex" : 0 }, "schema" : "https://github.com/citation-style-language/schema/raw/master/csl-citation.json" }</w:instrText>
      </w:r>
      <w:r w:rsidR="00450E1F">
        <w:rPr>
          <w:rFonts w:ascii="Times New Roman" w:hAnsi="Times New Roman" w:cs="Times New Roman"/>
          <w:noProof/>
        </w:rPr>
        <w:fldChar w:fldCharType="separate"/>
      </w:r>
      <w:r w:rsidR="00C148FC" w:rsidRPr="00C148FC">
        <w:rPr>
          <w:rFonts w:ascii="Times New Roman" w:hAnsi="Times New Roman" w:cs="Times New Roman"/>
          <w:noProof/>
        </w:rPr>
        <w:t>(Rossner et al. 2006; Cahoy et al. 2008; Lovatt et al. 2007)</w:t>
      </w:r>
      <w:r w:rsidR="00450E1F">
        <w:rPr>
          <w:rFonts w:ascii="Times New Roman" w:hAnsi="Times New Roman" w:cs="Times New Roman"/>
          <w:noProof/>
        </w:rPr>
        <w:fldChar w:fldCharType="end"/>
      </w:r>
      <w:r w:rsidR="00936C6C">
        <w:rPr>
          <w:rFonts w:ascii="Times New Roman" w:hAnsi="Times New Roman" w:cs="Times New Roman"/>
          <w:noProof/>
        </w:rPr>
        <w:t xml:space="preserve"> and</w:t>
      </w:r>
      <w:r w:rsidR="00450E1F">
        <w:rPr>
          <w:rFonts w:ascii="Times New Roman" w:hAnsi="Times New Roman" w:cs="Times New Roman"/>
          <w:noProof/>
        </w:rPr>
        <w:t xml:space="preserve"> differences </w:t>
      </w:r>
      <w:r w:rsidR="00936C6C">
        <w:rPr>
          <w:rFonts w:ascii="Times New Roman" w:hAnsi="Times New Roman" w:cs="Times New Roman"/>
          <w:noProof/>
        </w:rPr>
        <w:t>have been</w:t>
      </w:r>
      <w:r w:rsidR="00450E1F">
        <w:rPr>
          <w:rFonts w:ascii="Times New Roman" w:hAnsi="Times New Roman" w:cs="Times New Roman"/>
          <w:noProof/>
        </w:rPr>
        <w:t xml:space="preserve"> detected in specific isoforms of glyc</w:t>
      </w:r>
      <w:r w:rsidR="002A50A6">
        <w:rPr>
          <w:rFonts w:ascii="Times New Roman" w:hAnsi="Times New Roman" w:cs="Times New Roman"/>
          <w:noProof/>
        </w:rPr>
        <w:t>olytic enzymes</w:t>
      </w:r>
      <w:r w:rsidR="00936C6C">
        <w:rPr>
          <w:rFonts w:ascii="Times New Roman" w:hAnsi="Times New Roman" w:cs="Times New Roman"/>
          <w:noProof/>
        </w:rPr>
        <w:t>, particularl</w:t>
      </w:r>
      <w:r w:rsidR="00450E1F">
        <w:rPr>
          <w:rFonts w:ascii="Times New Roman" w:hAnsi="Times New Roman" w:cs="Times New Roman"/>
          <w:noProof/>
        </w:rPr>
        <w:t xml:space="preserve">y in rate limiting enzymes such as Pdk and Pkm </w:t>
      </w:r>
      <w:r w:rsidR="00450E1F">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"10.1523/JNEUROSCI.1860-14.2014", "ISSN" : "1529-2401", "PMID" : "25186741", "abstract" : "The major cell classes of the brain differ in their developmental processes, metabolism, signaling, and function. To better understand the functions and interactions of the cell types that comprise these classes, we acutely purified representative populations of neurons, astrocytes, oligodendrocyte precursor cells, newly formed oligodendrocytes, myelinating oligodendrocytes, microglia, endothelial cells, and pericytes from mouse cerebral cortex. We generated a transcriptome database for these eight cell types by RNA sequencing and used a sensitive algorithm to detect alternative splicing events in each cell type. Bioinformatic analyses identified thousands of new cell type-enriched genes and splicing isoforms that will provide novel markers for cell identification, tools for genetic manipulation, and insights into the biology of the brain. For example, our data provide clues as to how neurons and astrocytes differ in their ability to dynamically regulate glycolytic flux and lactate generation attributable to unique splicing of PKM2, the gene encoding the glycolytic enzyme pyruvate kinase. This dataset will provide a powerful new resource for understanding the development and function of the brain. To ensure the widespread distribution of these datasets, we have created a user-friendly website (http://web.stanford.edu/group/barres_lab/brain_rnaseq.html) that provides a platform for analyzing and comparing transciption and alternative splicing profiles for various cell classes in the brain.", "author" : [ { "dropping-particle" : "", "family" : "Zhang", "given" : "Ye", "non-dropping-particle" : "", "parse-names" : false, "suffix" : "" }, { "dropping-particle" : "", "family" : "Chen", "given" : "Kenian", "non-dropping-particle" : "", "parse-names" : false, "suffix" : "" }, { "dropping-particle" : "", "family" : "Sloan", "given" : "Steven A", "non-dropping-particle" : "", "parse-names" : false, "suffix" : "" }, { "dropping-particle" : "", "family" : "Bennett", "given" : "Mariko L", "non-dropping-particle" : "", "parse-names" : false, "suffix" : "" }, { "dropping-particle" : "", "family" : "Scholze", "given" : "Anja R", "non-dropping-particle" : "", "parse-names" : false, "suffix" : "" }, { "dropping-particle" : "", "family" : "O'Keeffe", "given" : "Sean", "non-dropping-particle" : "", "parse-names" : false, "suffix" : "" }, { "dropping-particle" : "", "family" : "Phatnani", "given" : "Hemali P", "non-dropping-particle" : "", "parse-names" : false, "suffix" : "" }, { "dropping-particle" : "", "family" : "Guarnieri", "given" : "Paolo", "non-dropping-particle" : "", "parse-names" : false, "suffix" : "" }, { "dropping-particle" : "", "family" : "Caneda", "given" : "Christine", "non-dropping-particle" : "", "parse-names" : false, "suffix" : "" }, { "dropping-particle" : "", "family" : "Ruderisch", "given" : "Nadine", "non-dropping-particle" : "", "parse-names" : false, "suffix" : "" }, { "dropping-particle" : "", "family" : "Deng", "given" : "Shuyun", "non-dropping-particle" : "", "parse-names" : false, "suffix" : "" }, { "dropping-particle" : "", "family" : "Liddelow", "given" : "Shane A", "non-dropping-particle" : "", "parse-names" : false, "suffix" : "" }, { "dropping-particle" : "", "family" : "Zhang", "given" : "Chaolin", "non-dropping-particle" : "", "parse-names" : false, "suffix" : "" }, { "dropping-particle" : "", "family" : "Daneman", "given" : "Richard", "non-dropping-particle" : "", "parse-names" : false, "suffix" : "" }, { "dropping-particle" : "", "family" : "Maniatis", "given" : "Tom", "non-dropping-particle" : "", "parse-names" : false, "suffix" : "" }, { "dropping-particle" : "", "family" : "Barres", "given" : "Ben A", "non-dropping-particle" : "", "parse-names" : false, "suffix" : "" }, { "dropping-particle" : "", "family" : "Wu", "given" : "Jia Qian", "non-dropping-particle" : "", "parse-names" : false, "suffix" : "" } ], "container-title" : "The Journal of neuroscience : the official journal of the Society for Neuroscience", "id" : "ITEM-1", "issue" : "36", "issued" : { "date-parts" : [ [ "2014", "9", "3" ] ] }, "page" : "11929-47", "title" : "An RNA-Sequencing Transcriptome and Splicing Database of Glia, Neurons, and Vascular Cells of the Cerebral Cortex.", "type" : "article-journal", "volume" : "34" }, "uris" : [ "http://www.mendeley.com/documents/?uuid=41d13895-f901-46e0-be11-82dfe149d761" ] } ], "mendeley" : { "formattedCitation" : "(Zhang et al. 2014)", "plainTextFormattedCitation" : "(Zhang et al. 2014)", "previouslyFormattedCitation" : "(Zhang et al. 2014)" }, "properties" : { "noteIndex" : 0 }, "schema" : "https://github.com/citation-style-language/schema/raw/master/csl-citation.json" }</w:instrText>
      </w:r>
      <w:r w:rsidR="00450E1F">
        <w:rPr>
          <w:rFonts w:ascii="Times New Roman" w:hAnsi="Times New Roman" w:cs="Times New Roman"/>
          <w:noProof/>
        </w:rPr>
        <w:fldChar w:fldCharType="separate"/>
      </w:r>
      <w:r w:rsidR="00C148FC" w:rsidRPr="00C148FC">
        <w:rPr>
          <w:rFonts w:ascii="Times New Roman" w:hAnsi="Times New Roman" w:cs="Times New Roman"/>
          <w:noProof/>
        </w:rPr>
        <w:t>(Zhang et al. 2014)</w:t>
      </w:r>
      <w:r w:rsidR="00450E1F">
        <w:rPr>
          <w:rFonts w:ascii="Times New Roman" w:hAnsi="Times New Roman" w:cs="Times New Roman"/>
          <w:noProof/>
        </w:rPr>
        <w:fldChar w:fldCharType="end"/>
      </w:r>
      <w:r w:rsidR="00936C6C">
        <w:rPr>
          <w:rFonts w:ascii="Times New Roman" w:hAnsi="Times New Roman" w:cs="Times New Roman"/>
          <w:noProof/>
        </w:rPr>
        <w:t>. Furthermore</w:t>
      </w:r>
      <w:r w:rsidR="00450E1F">
        <w:rPr>
          <w:rFonts w:ascii="Times New Roman" w:hAnsi="Times New Roman" w:cs="Times New Roman"/>
          <w:noProof/>
        </w:rPr>
        <w:t xml:space="preserve">, </w:t>
      </w:r>
      <w:r w:rsidR="00450E1F">
        <w:rPr>
          <w:rFonts w:ascii="Times New Roman" w:hAnsi="Times New Roman" w:cs="Times New Roman"/>
          <w:i/>
          <w:noProof/>
        </w:rPr>
        <w:t xml:space="preserve">in vivo </w:t>
      </w:r>
      <w:r w:rsidR="00F75141">
        <w:rPr>
          <w:rFonts w:ascii="Times New Roman" w:hAnsi="Times New Roman" w:cs="Times New Roman"/>
          <w:noProof/>
        </w:rPr>
        <w:t xml:space="preserve">studies </w:t>
      </w:r>
      <w:r w:rsidR="00450E1F">
        <w:rPr>
          <w:rFonts w:ascii="Times New Roman" w:hAnsi="Times New Roman" w:cs="Times New Roman"/>
          <w:noProof/>
        </w:rPr>
        <w:t xml:space="preserve">have demonstrated increased glucose uptake by astrocytes during periods of intense neuronal activity </w:t>
      </w:r>
      <w:r w:rsidR="00450E1F">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"10.1523/JNEUROSCI.0762-10.2010", "ISSN" : "1529-2401", "PMID" : "21068334", "abstract" : "Glucose is the primary energetic substrate of the brain, and measurements of its metabolism are the basis of major functional cerebral imaging methods. Contrary to the general view that neurons are fueled solely by glucose in proportion to their energetic needs, recent in vitro and ex vivo analyses suggest that glucose preferentially feeds astrocytes. However, the cellular fate of glucose in the intact brain has not yet been directly observed. We have used a real-time method for measuring glucose uptake in astrocytes and neurons in vivo in male rats by imaging the trafficking of the nonmetabolizable glucose analog 6-deoxy-N-(7-nitrobenz-2-oxa-1,3-diazol-4-yl)-aminoglucose (6-NBDG) using two-photon microscopy. During resting conditions we found that astrocytes and neurons both take up 6-NBDG at the same rate in the barrel cortex of the rat. However, during intense neuronal activity triggered by whisker stimulation, astrocytes rapidly accelerated their uptake, whereas neuronal uptake remained almost unchanged. After the stimulation period, astrocytes returned to their preactivation rates of uptake paralleling the neuronal rate of uptake. These observations suggest that glucose is taken up primarily by astrocytes, supporting the view that functional imaging experiments based on glucose analogs extraction may predominantly reflect the metabolic activity of the astrocytic network.", "author" : [ { "dropping-particle" : "", "family" : "Chuquet", "given" : "Julien", "non-dropping-particle" : "", "parse-names" : false, "suffix" : "" }, { "dropping-particle" : "", "family" : "Quilichini", "given" : "Pascale", "non-dropping-particle" : "", "parse-names" : false, "suffix" : "" }, { "dropping-particle" : "", "family" : "Nimchinsky", "given" : "Esther A", "non-dropping-particle" : "", "parse-names" : false, "suffix" : "" }, { "dropping-particle" : "", "family" : "Buzs\u00e1ki", "given" : "Gy\u00f6rgy", "non-dropping-particle" : "", "parse-names" : false, "suffix" : "" } ], "container-title" : "The Journal of neuroscience : the official journal of the Society for Neuroscience", "id" : "ITEM-1", "issue" : "45", "issued" : { "date-parts" : [ [ "2010", "11", "10" ] ] }, "page" : "15298-303", "title" : "Predominant enhancement of glucose uptake in astrocytes versus neurons during activation of the somatosensory cortex.", "type" : "article-journal", "volume" : "30" }, "uris" : [ "http://www.mendeley.com/documents/?uuid=be871836-7f28-4fc6-8930-b4fd40bdf6d2" ] } ], "mendeley" : { "formattedCitation" : "(Chuquet et al. 2010)", "plainTextFormattedCitation" : "(Chuquet et al. 2010)", "previouslyFormattedCitation" : "(Chuquet et al. 2010)" }, "properties" : { "noteIndex" : 0 }, "schema" : "https://github.com/citation-style-language/schema/raw/master/csl-citation.json" }</w:instrText>
      </w:r>
      <w:r w:rsidR="00450E1F">
        <w:rPr>
          <w:rFonts w:ascii="Times New Roman" w:hAnsi="Times New Roman" w:cs="Times New Roman"/>
          <w:noProof/>
        </w:rPr>
        <w:fldChar w:fldCharType="separate"/>
      </w:r>
      <w:r w:rsidR="00C148FC" w:rsidRPr="00C148FC">
        <w:rPr>
          <w:rFonts w:ascii="Times New Roman" w:hAnsi="Times New Roman" w:cs="Times New Roman"/>
          <w:noProof/>
        </w:rPr>
        <w:t>(Chuquet et al. 2010)</w:t>
      </w:r>
      <w:r w:rsidR="00450E1F">
        <w:rPr>
          <w:rFonts w:ascii="Times New Roman" w:hAnsi="Times New Roman" w:cs="Times New Roman"/>
          <w:noProof/>
        </w:rPr>
        <w:fldChar w:fldCharType="end"/>
      </w:r>
      <w:r w:rsidR="002020D2">
        <w:rPr>
          <w:rFonts w:ascii="Times New Roman" w:hAnsi="Times New Roman" w:cs="Times New Roman"/>
          <w:noProof/>
        </w:rPr>
        <w:t xml:space="preserve">, which is </w:t>
      </w:r>
      <w:r w:rsidR="00F75141">
        <w:rPr>
          <w:rFonts w:ascii="Times New Roman" w:hAnsi="Times New Roman" w:cs="Times New Roman"/>
          <w:noProof/>
        </w:rPr>
        <w:t xml:space="preserve">later </w:t>
      </w:r>
      <w:r w:rsidR="002020D2">
        <w:rPr>
          <w:rFonts w:ascii="Times New Roman" w:hAnsi="Times New Roman" w:cs="Times New Roman"/>
          <w:noProof/>
        </w:rPr>
        <w:t xml:space="preserve">converted to lactate </w:t>
      </w:r>
      <w:r w:rsidR="00F75141">
        <w:rPr>
          <w:rFonts w:ascii="Times New Roman" w:hAnsi="Times New Roman" w:cs="Times New Roman"/>
          <w:noProof/>
        </w:rPr>
        <w:t xml:space="preserve">and </w:t>
      </w:r>
      <w:r w:rsidR="002020D2">
        <w:rPr>
          <w:rFonts w:ascii="Times New Roman" w:hAnsi="Times New Roman" w:cs="Times New Roman"/>
          <w:noProof/>
        </w:rPr>
        <w:t>export</w:t>
      </w:r>
      <w:r w:rsidR="00F75141">
        <w:rPr>
          <w:rFonts w:ascii="Times New Roman" w:hAnsi="Times New Roman" w:cs="Times New Roman"/>
          <w:noProof/>
        </w:rPr>
        <w:t>ed</w:t>
      </w:r>
      <w:r w:rsidR="002020D2">
        <w:rPr>
          <w:rFonts w:ascii="Times New Roman" w:hAnsi="Times New Roman" w:cs="Times New Roman"/>
          <w:noProof/>
        </w:rPr>
        <w:t xml:space="preserve"> to neurons (</w:t>
      </w:r>
      <w:r w:rsidR="002618A8">
        <w:rPr>
          <w:rFonts w:ascii="Times New Roman" w:hAnsi="Times New Roman" w:cs="Times New Roman"/>
          <w:noProof/>
        </w:rPr>
        <w:t>astrocyte-neuronal lactate shuttle hypothesis</w:t>
      </w:r>
      <w:r w:rsidR="002020D2">
        <w:rPr>
          <w:rFonts w:ascii="Times New Roman" w:hAnsi="Times New Roman" w:cs="Times New Roman"/>
          <w:noProof/>
        </w:rPr>
        <w:t>).</w:t>
      </w:r>
      <w:r w:rsidR="002618A8">
        <w:rPr>
          <w:rFonts w:ascii="Times New Roman" w:hAnsi="Times New Roman" w:cs="Times New Roman"/>
          <w:noProof/>
        </w:rPr>
        <w:t xml:space="preserve"> </w:t>
      </w:r>
      <w:r w:rsidR="00450E1F">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"10.1016/j.cmet.2015.10.010", "ISSN" : "15504131", "PMID" : "26698914", "abstract" : "Investigating lactate dynamics in brain tissue is challenging, partly because in\u00a0vivo data at cellular resolution are not available. We monitored lactate in cortical astrocytes and neurons of mice using the genetically encoded FRET sensor Laconic in combination with two-photon microscopy. An intravenous lactate injection rapidly increased the Laconic signal in both astrocytes and neurons, demonstrating high lactate permeability across tissue. The signal increase was significantly smaller in astrocytes, pointing to higher basal lactate levels in these cells, confirmed by a one-point calibration protocol. Trans-acceleration of the monocarboxylate transporter with pyruvate was able to reduce intracellular lactate in astrocytes but not in neurons. Collectively, these data provide in\u00a0vivo evidence for a lactate gradient from astrocytes to neurons. This gradient is a prerequisite for a carrier-mediated lactate flux from astrocytes to neurons and thus supports the astrocyte-neuron lactate shuttle model, in which astrocyte-derived lactate acts as an energy substrate for neurons.", "author" : [ { "dropping-particle" : "", "family" : "M\u00e4chler", "given" : "Philipp", "non-dropping-particle" : "", "parse-names" : false, "suffix" : "" }, { "dropping-particle" : "", "family" : "Wyss", "given" : "Matthias\u00a0T.", "non-dropping-particle" : "", "parse-names" : false, "suffix" : "" }, { "dropping-particle" : "", "family" : "Elsayed", "given" : "Maha", "non-dropping-particle" : "", "parse-names" : false, "suffix" : "" }, { "dropping-particle" : "", "family" : "Stobart", "given" : "Jillian", "non-dropping-particle" : "", "parse-names" : false, "suffix" : "" }, { "dropping-particle" : "", "family" : "Gutierrez", "given" : "Robin", "non-dropping-particle" : "", "parse-names" : false, "suffix" : "" }, { "dropping-particle" : "", "family" : "von\u00a0Faber-Castell", "given" : "Alexandra", "non-dropping-particle" : "", "parse-names" : false, "suffix" : "" }, { "dropping-particle" : "", "family" : "Kaelin", "given" : "Vincens", "non-dropping-particle" : "", "parse-names" : false, "suffix" : "" }, { "dropping-particle" : "", "family" : "Zuend", "given" : "Marc", "non-dropping-particle" : "", "parse-names" : false, "suffix" : "" }, { "dropping-particle" : "", "family" : "San\u00a0Mart\u00edn", "given" : "Alejandro", "non-dropping-particle" : "", "parse-names" : false, "suffix" : "" }, { "dropping-particle" : "", "family" : "Romero-G\u00f3mez", "given" : "Ignacio", "non-dropping-particle" : "", "parse-names" : false, "suffix" : "" }, { "dropping-particle" : "", "family" : "Baeza-Lehnert", "given" : "Felipe", "non-dropping-particle" : "", "parse-names" : false, "suffix" : "" }, { "dropping-particle" : "", "family" : "Lengacher", "given" : "Sylvain", "non-dropping-particle" : "", "parse-names" : false, "suffix" : "" }, { "dropping-particle" : "", "family" : "Schneider", "given" : "Bernard\u00a0L.", "non-dropping-particle" : "", "parse-names" : false, "suffix" : "" }, { "dropping-particle" : "", "family" : "Aebischer", "given" : "Patrick", "non-dropping-particle" : "", "parse-names" : false, "suffix" : "" }, { "dropping-particle" : "", "family" : "Magistretti", "given" : "Pierre\u00a0J.", "non-dropping-particle" : "", "parse-names" : false, "suffix" : "" }, { "dropping-particle" : "", "family" : "Barros", "given" : "L.\u00a0Felipe", "non-dropping-particle" : "", "parse-names" : false, "suffix" : "" }, { "dropping-particle" : "", "family" : "Weber", "given" : "Bruno", "non-dropping-particle" : "", "parse-names" : false, "suffix" : "" } ], "container-title" : "Cell Metabolism", "id" : "ITEM-1", "issue" : "1", "issued" : { "date-parts" : [ [ "2015", "11", "18" ] ] }, "page" : "94-102", "title" : "In\u00a0Vivo Evidence for a Lactate Gradient from Astrocytes to Neurons", "type" : "article-journal", "volume" : "23" }, "uris" : [ "http://www.mendeley.com/documents/?uuid=9f1b941f-a1bf-4d06-8882-ddea7a466fe2" ] }, { "id" : "ITEM-2", "itemData" : { "DOI" : "10.1016/j.cmet.2015.11.001", "ISSN" : "1932-7420", "PMID" : "26698916", "abstract" : "The role of lactate in the brain has been controversial. In this issue, M\u00e4chler et\u00a0al. (2015) present data from in\u00a0vivo experiments suggesting that there is a downward gradient of lactate in the brain. They provide a mechanistic basis for the proposed export of lactate from astrocytes to neurons.", "author" : [ { "dropping-particle" : "", "family" : "Kasparov", "given" : "Sergey", "non-dropping-particle" : "", "parse-names" : false, "suffix" : "" } ], "container-title" : "Cell metabolism", "id" : "ITEM-2", "issue" : "1", "issued" : { "date-parts" : [ [ "2016", "1", "12" ] ] }, "language" : "English", "page" : "1-2", "publisher" : "Elsevier", "title" : "Are Astrocytes the Pressure-Reservoirs of Lactate in the Brain?", "type" : "article-journal", "volume" : "23" }, "uris" : [ "http://www.mendeley.com/documents/?uuid=d0fc42ef-50ef-4b5b-bb78-a0fc8495e1e7" ] } ], "mendeley" : { "formattedCitation" : "(M\u00e4chler et al. 2015; Kasparov 2016)", "plainTextFormattedCitation" : "(M\u00e4chler et al. 2015; Kasparov 2016)", "previouslyFormattedCitation" : "(M\u00e4chler et al. 2015; Kasparov 2016)" }, "properties" : { "noteIndex" : 0 }, "schema" : "https://github.com/citation-style-language/schema/raw/master/csl-citation.json" }</w:instrText>
      </w:r>
      <w:r w:rsidR="00450E1F">
        <w:rPr>
          <w:rFonts w:ascii="Times New Roman" w:hAnsi="Times New Roman" w:cs="Times New Roman"/>
          <w:noProof/>
        </w:rPr>
        <w:fldChar w:fldCharType="separate"/>
      </w:r>
      <w:r w:rsidR="00C148FC" w:rsidRPr="00C148FC">
        <w:rPr>
          <w:rFonts w:ascii="Times New Roman" w:hAnsi="Times New Roman" w:cs="Times New Roman"/>
          <w:noProof/>
        </w:rPr>
        <w:t>(Mächler et al. 2015; Kasparov 2016)</w:t>
      </w:r>
      <w:r w:rsidR="00450E1F">
        <w:rPr>
          <w:rFonts w:ascii="Times New Roman" w:hAnsi="Times New Roman" w:cs="Times New Roman"/>
          <w:noProof/>
        </w:rPr>
        <w:fldChar w:fldCharType="end"/>
      </w:r>
      <w:r w:rsidR="00F75141">
        <w:rPr>
          <w:rFonts w:ascii="Times New Roman" w:hAnsi="Times New Roman" w:cs="Times New Roman"/>
          <w:noProof/>
        </w:rPr>
        <w:t>.</w:t>
      </w:r>
      <w:r w:rsidR="000E53CD">
        <w:rPr>
          <w:rFonts w:ascii="Times New Roman" w:hAnsi="Times New Roman" w:cs="Times New Roman"/>
          <w:noProof/>
        </w:rPr>
        <w:t xml:space="preserve"> </w:t>
      </w:r>
      <w:r w:rsidR="00936C6C">
        <w:rPr>
          <w:rFonts w:ascii="Times New Roman" w:hAnsi="Times New Roman" w:cs="Times New Roman"/>
          <w:noProof/>
        </w:rPr>
        <w:t>I</w:t>
      </w:r>
      <w:r w:rsidR="00F75141">
        <w:rPr>
          <w:rFonts w:ascii="Times New Roman" w:hAnsi="Times New Roman" w:cs="Times New Roman"/>
          <w:noProof/>
        </w:rPr>
        <w:t xml:space="preserve">n response to </w:t>
      </w:r>
      <w:r w:rsidR="004E6720">
        <w:rPr>
          <w:rFonts w:ascii="Times New Roman" w:hAnsi="Times New Roman" w:cs="Times New Roman"/>
          <w:noProof/>
        </w:rPr>
        <w:t xml:space="preserve">mitochondrial </w:t>
      </w:r>
      <w:r w:rsidR="00F75141">
        <w:rPr>
          <w:rFonts w:ascii="Times New Roman" w:hAnsi="Times New Roman" w:cs="Times New Roman"/>
          <w:noProof/>
        </w:rPr>
        <w:t>stress astrocy</w:t>
      </w:r>
      <w:r w:rsidR="00936C6C">
        <w:rPr>
          <w:rFonts w:ascii="Times New Roman" w:hAnsi="Times New Roman" w:cs="Times New Roman"/>
          <w:noProof/>
        </w:rPr>
        <w:t>tes will upregulate glycolysis</w:t>
      </w:r>
      <w:r w:rsidR="009A312B">
        <w:rPr>
          <w:rFonts w:ascii="Times New Roman" w:hAnsi="Times New Roman" w:cs="Times New Roman"/>
          <w:noProof/>
        </w:rPr>
        <w:t xml:space="preserve"> to maintain the mitochondrial membrane potential</w:t>
      </w:r>
      <w:r w:rsidR="00936C6C">
        <w:rPr>
          <w:rFonts w:ascii="Times New Roman" w:hAnsi="Times New Roman" w:cs="Times New Roman"/>
          <w:noProof/>
        </w:rPr>
        <w:t>, t</w:t>
      </w:r>
      <w:r w:rsidR="004E6720">
        <w:rPr>
          <w:rFonts w:ascii="Times New Roman" w:hAnsi="Times New Roman" w:cs="Times New Roman"/>
          <w:noProof/>
        </w:rPr>
        <w:t>his has been demonstrated by</w:t>
      </w:r>
      <w:r w:rsidR="00711A03">
        <w:rPr>
          <w:rFonts w:ascii="Times New Roman" w:hAnsi="Times New Roman" w:cs="Times New Roman"/>
          <w:noProof/>
        </w:rPr>
        <w:t xml:space="preserve"> treating </w:t>
      </w:r>
      <w:r w:rsidR="009A312B">
        <w:rPr>
          <w:rFonts w:ascii="Times New Roman" w:hAnsi="Times New Roman" w:cs="Times New Roman"/>
          <w:noProof/>
        </w:rPr>
        <w:t xml:space="preserve">rat </w:t>
      </w:r>
      <w:r w:rsidR="00936C6C">
        <w:rPr>
          <w:rFonts w:ascii="Times New Roman" w:hAnsi="Times New Roman" w:cs="Times New Roman"/>
          <w:noProof/>
        </w:rPr>
        <w:t xml:space="preserve">astrocytes with the NO </w:t>
      </w:r>
      <w:r w:rsidR="00F75141">
        <w:rPr>
          <w:rFonts w:ascii="Times New Roman" w:hAnsi="Times New Roman" w:cs="Times New Roman"/>
          <w:noProof/>
        </w:rPr>
        <w:t xml:space="preserve">donor </w:t>
      </w:r>
      <w:r w:rsidR="004A67E3">
        <w:rPr>
          <w:rFonts w:ascii="Times New Roman" w:hAnsi="Times New Roman" w:cs="Times New Roman"/>
          <w:noProof/>
        </w:rPr>
        <w:t>Diethylenetriamine (</w:t>
      </w:r>
      <w:r w:rsidR="00F75141">
        <w:rPr>
          <w:rFonts w:ascii="Times New Roman" w:hAnsi="Times New Roman" w:cs="Times New Roman"/>
          <w:noProof/>
        </w:rPr>
        <w:t>DETA</w:t>
      </w:r>
      <w:r w:rsidR="004A67E3">
        <w:rPr>
          <w:rFonts w:ascii="Times New Roman" w:hAnsi="Times New Roman" w:cs="Times New Roman"/>
          <w:noProof/>
        </w:rPr>
        <w:t>)</w:t>
      </w:r>
      <w:r w:rsidR="00936C6C">
        <w:rPr>
          <w:rFonts w:ascii="Times New Roman" w:hAnsi="Times New Roman" w:cs="Times New Roman"/>
          <w:noProof/>
        </w:rPr>
        <w:t xml:space="preserve"> </w:t>
      </w:r>
      <w:r w:rsidR="004E6720">
        <w:rPr>
          <w:rFonts w:ascii="Times New Roman" w:hAnsi="Times New Roman" w:cs="Times New Roman"/>
          <w:noProof/>
        </w:rPr>
        <w:t xml:space="preserve">NO, </w:t>
      </w:r>
      <w:r w:rsidR="009A312B">
        <w:rPr>
          <w:rFonts w:ascii="Times New Roman" w:hAnsi="Times New Roman" w:cs="Times New Roman"/>
          <w:noProof/>
        </w:rPr>
        <w:t>which causes</w:t>
      </w:r>
      <w:r w:rsidR="00F75141">
        <w:rPr>
          <w:rFonts w:ascii="Times New Roman" w:hAnsi="Times New Roman" w:cs="Times New Roman"/>
          <w:noProof/>
        </w:rPr>
        <w:t xml:space="preserve"> inhibit</w:t>
      </w:r>
      <w:r w:rsidR="004E6720">
        <w:rPr>
          <w:rFonts w:ascii="Times New Roman" w:hAnsi="Times New Roman" w:cs="Times New Roman"/>
          <w:noProof/>
        </w:rPr>
        <w:t>ion of</w:t>
      </w:r>
      <w:r w:rsidR="00F75141">
        <w:rPr>
          <w:rFonts w:ascii="Times New Roman" w:hAnsi="Times New Roman" w:cs="Times New Roman"/>
          <w:noProof/>
        </w:rPr>
        <w:t xml:space="preserve"> cytochrome oxidase </w:t>
      </w:r>
      <w:r w:rsidR="004E6720">
        <w:rPr>
          <w:rFonts w:ascii="Times New Roman" w:hAnsi="Times New Roman" w:cs="Times New Roman"/>
          <w:noProof/>
        </w:rPr>
        <w:t xml:space="preserve">and </w:t>
      </w:r>
      <w:r w:rsidR="00936C6C">
        <w:rPr>
          <w:rFonts w:ascii="Times New Roman" w:hAnsi="Times New Roman" w:cs="Times New Roman"/>
          <w:noProof/>
        </w:rPr>
        <w:t>disruption of</w:t>
      </w:r>
      <w:r w:rsidR="00101552">
        <w:rPr>
          <w:rFonts w:ascii="Times New Roman" w:hAnsi="Times New Roman" w:cs="Times New Roman"/>
          <w:noProof/>
        </w:rPr>
        <w:t xml:space="preserve"> </w:t>
      </w:r>
      <w:r w:rsidR="004E6720">
        <w:rPr>
          <w:rFonts w:ascii="Times New Roman" w:hAnsi="Times New Roman" w:cs="Times New Roman"/>
          <w:noProof/>
        </w:rPr>
        <w:t xml:space="preserve">mitochondrial membrane potential </w:t>
      </w:r>
      <w:r w:rsidR="004E6720">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"10.1073/pnas.261560998", "ISSN" : "0027-8424", "PMID" : "11742096", "abstract" : "It was recently proposed that in Jurkat cells, after inhibition of respiration by NO, glycolytically generated ATP plays a critical role in preventing the collapse of mitochondrial membrane potential (Deltapsi(m)) and thus apoptotic cell death. We have investigated this observation further in primary cultures of rat cortical neurons and astrocytes-cell types that differ greatly in their glycolytic capacity. Continuous and significant ( approximately 85%) inhibition of respiration by NO (1.4 microM at 175 microM O(2)) generated by [(z)-1-[2-aminoethyl]-N-[2-ammonioethyl]amino]diazen-1-ium-1,2 diolate (DETA-NO) initially (10 min) depleted ATP concentrations by approximately 25% in both cell types and increased the rate of glycolysis in astrocytes but not in neurons. Activation of glycolysis in astrocytes, as judged by lactate production, prevented further ATP depletion, whereas in neurons, which do not invoke this mechanism, there was a progressive decrease in ATP concentrations over the next 60 min. During this time, there was a persistent mitochondrial hyperpolarization and absence of apoptotic cell death in astrocytes, whereas in the neurons there was a progressive fall in Deltapsi(m) and increased apoptosis. After glucose deprivation or treatment with inhibitors of the F(1)F(0)-ATPase and adenine nucleotide translocase, astrocytes responded to NO with a fall in Deltapsi(m) and apoptotic cell death similar to the response in neurons. Finally, although treatment of astrocytes with NO partially prevented staurosporin-induced collapse in Deltapsi(m) and cell death, NO and staurosporin synergized in decreasing Deltapsi(m) and inducing apoptosis in neurons. These results demonstrate that although inhibition of cellular respiration by NO leads to neurotoxicity, it may also result in initial neuroprotection, depending on the glycolytic capacity of the particular cell.", "author" : [ { "dropping-particle" : "", "family" : "Almeida", "given" : "A", "non-dropping-particle" : "", "parse-names" : false, "suffix" : "" }, { "dropping-particle" : "", "family" : "Almeida", "given" : "J", "non-dropping-particle" : "", "parse-names" : false, "suffix" : "" }, { "dropping-particle" : "", "family" : "Bola\u00f1os", "given" : "J P", "non-dropping-particle" : "", "parse-names" : false, "suffix" : "" }, { "dropping-particle" : "", "family" : "Moncada", "given" : "S", "non-dropping-particle" : "", "parse-names" : false, "suffix" : "" } ], "container-title" : "Proceedings of the National Academy of Sciences of the United States of America", "id" : "ITEM-1", "issue" : "26", "issued" : { "date-parts" : [ [ "2001", "12", "18" ] ] }, "page" : "15294-9", "title" : "Different responses of astrocytes and neurons to nitric oxide: the role of glycolytically generated ATP in astrocyte protection.", "type" : "article-journal", "volume" : "98" }, "uris" : [ "http://www.mendeley.com/documents/?uuid=f524b441-21ff-4c70-a803-52909491fe9f" ] }, { "id" : "ITEM-2", "itemData" : { "DOI" : "10.1016/j.bbabio.2008.04.011", "ISSN" : "0006-3002", "PMID" : "18455501", "abstract" : "Besides its essential role at regulating neural functions through cyclic GMP, nitric oxide is emerging as an endogenous physiological modulator of energy conservation for the brain. Thus, nitric oxide inhibits cytochrome c oxidase activity in neurones and glia, resulting in down-regulation of mitochondrial energy production. The subsequent increase in AMP facilitates the activation of 5'-AMP-dependent protein kinase, which rapidly triggers the activation of 6-phosphofructo-1-kinase--the master regulator of the glycolytic pathway--and Glut1 and Glut3--the main glucose transporters in the brain. In addition, nitric oxide activates glucose-6-phosphate dehydrogenase, the first and rate-limiting step of the pentose-phosphate pathway. Here, we review recent evidences suggesting that nitric oxide exerts a fine control of neuronal energy metabolism by tuning the balance of glucose-6-phosphate consumption between glycolysis and pentose-phosphate pathway. This may have important implications for our understanding of the mechanisms controlling neuronal survival during oxidative stress and bioenergetic crisis.", "author" : [ { "dropping-particle" : "", "family" : "Bola\u00f1os", "given" : "Juan P", "non-dropping-particle" : "", "parse-names" : false, "suffix" : "" }, { "dropping-particle" : "", "family" : "Delgado-Esteban", "given" : "Maria", "non-dropping-particle" : "", "parse-names" : false, "suffix" : "" }, { "dropping-particle" : "", "family" : "Herrero-Mendez", "given" : "Angel", "non-dropping-particle" : "", "parse-names" : false, "suffix" : "" }, { "dropping-particle" : "", "family" : "Fernandez-Fernandez", "given" : "Seila", "non-dropping-particle" : "", "parse-names" : false, "suffix" : "" }, { "dropping-particle" : "", "family" : "Almeida", "given" : "Angeles", "non-dropping-particle" : "", "parse-names" : false, "suffix" : "" } ], "container-title" : "Biochimica et biophysica acta", "id" : "ITEM-2", "issue" : "7-8", "issued" : { "date-parts" : [ [ "2008", "1" ] ] }, "page" : "789-93", "title" : "Regulation of glycolysis and pentose-phosphate pathway by nitric oxide: impact on neuronal survival.", "type" : "article-journal", "volume" : "1777" }, "uris" : [ "http://www.mendeley.com/documents/?uuid=125c1d1d-3618-4674-ba7e-679cfe3fe117" ] } ], "mendeley" : { "formattedCitation" : "(Almeida et al. 2001; Bola\u00f1os et al. 2008)", "plainTextFormattedCitation" : "(Almeida et al. 2001; Bola\u00f1os et al. 2008)", "previouslyFormattedCitation" : "(Almeida et al. 2001; Bola\u00f1os et al. 2008)" }, "properties" : { "noteIndex" : 0 }, "schema" : "https://github.com/citation-style-language/schema/raw/master/csl-citation.json" }</w:instrText>
      </w:r>
      <w:r w:rsidR="004E6720">
        <w:rPr>
          <w:rFonts w:ascii="Times New Roman" w:hAnsi="Times New Roman" w:cs="Times New Roman"/>
          <w:noProof/>
        </w:rPr>
        <w:fldChar w:fldCharType="separate"/>
      </w:r>
      <w:r w:rsidR="00C148FC" w:rsidRPr="00C148FC">
        <w:rPr>
          <w:rFonts w:ascii="Times New Roman" w:hAnsi="Times New Roman" w:cs="Times New Roman"/>
          <w:noProof/>
        </w:rPr>
        <w:t>(Almeida et al. 2001; Bolaños et al. 2008)</w:t>
      </w:r>
      <w:r w:rsidR="004E6720">
        <w:rPr>
          <w:rFonts w:ascii="Times New Roman" w:hAnsi="Times New Roman" w:cs="Times New Roman"/>
          <w:noProof/>
        </w:rPr>
        <w:fldChar w:fldCharType="end"/>
      </w:r>
      <w:r w:rsidR="004E6720">
        <w:rPr>
          <w:rFonts w:ascii="Times New Roman" w:hAnsi="Times New Roman" w:cs="Times New Roman"/>
          <w:noProof/>
        </w:rPr>
        <w:t xml:space="preserve">. </w:t>
      </w:r>
      <w:r w:rsidR="009A312B">
        <w:rPr>
          <w:rFonts w:ascii="Times New Roman" w:hAnsi="Times New Roman" w:cs="Times New Roman"/>
          <w:noProof/>
        </w:rPr>
        <w:t>In addition</w:t>
      </w:r>
      <w:r w:rsidR="004E6720">
        <w:rPr>
          <w:rFonts w:ascii="Times New Roman" w:hAnsi="Times New Roman" w:cs="Times New Roman"/>
          <w:noProof/>
        </w:rPr>
        <w:t xml:space="preserve">, </w:t>
      </w:r>
      <w:r w:rsidR="00711A03">
        <w:rPr>
          <w:rFonts w:ascii="Times New Roman" w:hAnsi="Times New Roman" w:cs="Times New Roman"/>
          <w:noProof/>
        </w:rPr>
        <w:t>astrocytes can compensate by</w:t>
      </w:r>
      <w:r w:rsidR="004E6720">
        <w:rPr>
          <w:rFonts w:ascii="Times New Roman" w:hAnsi="Times New Roman" w:cs="Times New Roman"/>
          <w:noProof/>
        </w:rPr>
        <w:t xml:space="preserve"> </w:t>
      </w:r>
      <w:r w:rsidR="00711A03">
        <w:rPr>
          <w:rFonts w:ascii="Times New Roman" w:hAnsi="Times New Roman" w:cs="Times New Roman"/>
          <w:noProof/>
        </w:rPr>
        <w:t xml:space="preserve">upregulating </w:t>
      </w:r>
      <w:r w:rsidR="004E6720">
        <w:rPr>
          <w:rFonts w:ascii="Times New Roman" w:hAnsi="Times New Roman" w:cs="Times New Roman"/>
          <w:noProof/>
        </w:rPr>
        <w:t>the transcription factor HIF1α, which increases the transcription of genes involved in glycolysis</w:t>
      </w:r>
      <w:r w:rsidR="00711A03">
        <w:rPr>
          <w:rFonts w:ascii="Times New Roman" w:hAnsi="Times New Roman" w:cs="Times New Roman"/>
          <w:noProof/>
        </w:rPr>
        <w:t xml:space="preserve"> and </w:t>
      </w:r>
      <w:r w:rsidR="00101552">
        <w:rPr>
          <w:rFonts w:ascii="Times New Roman" w:hAnsi="Times New Roman" w:cs="Times New Roman"/>
          <w:noProof/>
        </w:rPr>
        <w:t>causes elevation of extracellular lactate</w:t>
      </w:r>
      <w:r w:rsidR="00711A03">
        <w:rPr>
          <w:rFonts w:ascii="Times New Roman" w:hAnsi="Times New Roman" w:cs="Times New Roman"/>
          <w:noProof/>
        </w:rPr>
        <w:t xml:space="preserve"> </w:t>
      </w:r>
      <w:r w:rsidR="00711A03">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"10.1523/JNEUROSCI.0879-12.2012", "ISSN" : "1529-2401", "PMID" : "22787058", "abstract" : "Astrocytes exhibit a prominent glycolytic activity, but whether such a metabolic profile is influenced by intercellular communication is unknown. Treatment of primary cultures of mouse cortical astrocytes with the nitric oxide (NO) donor DetaNONOate induced a time-dependent enhancement in the expression of genes encoding various glycolytic enzymes as well as transporters for glucose and lactate. Such an effect was shown to be dependent on the hypoxia-inducible factor HIF-1\u03b1, which is stabilized and translocated to the nucleus to exert its transcriptional regulation. NO action was dependent on both the PI3K/Akt/mTOR and MEK signaling pathways and required the activation of COX, but was independent of the soluble guanylate cyclase pathway. Furthermore, as a consequence of NO treatment, an enhanced lactate production and release by astrocytes was evidenced, which was prevented by downregulating HIF-1\u03b1. Several brain cell types represent possible sources of NO. It was found that endothelial cells, which express the endothelial NO synthase (eNOS) isoform, constitutively produced the largest amount of NO in culture. When astrocytes were cocultured with primary cultures of brain vascular endothelial cells, stabilization of HIF-1\u03b1 and an enhancement in glucose transporter-1, hexokinase-2, and monocarboxylate transporter-4 expression as well as increased lactate production was found in astrocytes. This effect was inhibited by the NOS inhibitor l-NAME and was not seen when astrocytes were cocultured with primary cultures of cortical neurons. Our findings suggest that endothelial cell-derived NO participates to the maintenance of a high glycolytic activity in astrocytes mediated by astrocytic HIF-1\u03b1 activation.", "author" : [ { "dropping-particle" : "", "family" : "Brix", "given" : "Britta", "non-dropping-particle" : "", "parse-names" : false, "suffix" : "" }, { "dropping-particle" : "", "family" : "Mesters", "given" : "Jeroen R", "non-dropping-particle" : "", "parse-names" : false, "suffix" : "" }, { "dropping-particle" : "", "family" : "Pellerin", "given" : "Luc", "non-dropping-particle" : "", "parse-names" : false, "suffix" : "" }, { "dropping-particle" : "", "family" : "J\u00f6hren", "given" : "Olaf", "non-dropping-particle" : "", "parse-names" : false, "suffix" : "" } ], "container-title" : "The Journal of neuroscience : the official journal of the Society for Neuroscience", "id" : "ITEM-1", "issue" : "28", "issued" : { "date-parts" : [ [ "2012", "7", "11" ] ] }, "page" : "9727-35", "title" : "Endothelial cell-derived nitric oxide enhances aerobic glycolysis in astrocytes via HIF-1\u03b1-mediated target gene activation.", "type" : "article-journal", "volume" : "32" }, "uris" : [ "http://www.mendeley.com/documents/?uuid=ce9ae44d-7b26-452c-8e24-fe5d9869742d" ] }, { "id" : "ITEM-2", "itemData" : { "DOI" : "10.1002/glia.21240", "ISSN" : "1098-1136", "PMID" : "21901758", "abstract" : "The monocarboxylate transporter MCT4 is a proton-linked carrier particularly important for lactate release from highly glycolytic cells. In the central nervous system, MCT4 is exclusively expressed by astrocytes. Surprisingly, MCT4 expression in primary cultures of mouse cortical astrocytes is conspicuously low, suggesting that an external, nonastrocytic signal is necessary to obtain the observed pattern of expression in vivo. Here, we demonstrate that nitric oxide (NO), delivered by various NO donors, time- and dose-dependently induces MCT4 expression in cultured cortical astrocytes both at the mRNA and protein levels. In contrast, NO does not enhance the expression of MCT1, the other astrocytic monocarboxylate transporter. The transcriptional effect of NO is not mediated by a cGMP-dependent mechanism as shown by the absence of effect of a cGMP analog or of a selective guanylate cyclase inhibitor. NO causes an increase in astrocytic lactate transport capacity which requires the enhancement of MCT4 expression as both are prevented by the use of a specific siRNA against MCT4. In addition, cumulated lactate release by astrocytes over a period of 24 h was also enhanced by NO treatment. Our data suggest that NO represents a putative intercellular signal to control MCT4 expression in astrocytes and in doing so, to facilitate lactate transfer to other surrounding cell types in the central nervous system. \u00a9 2011 Wiley-Liss, Inc.", "author" : [ { "dropping-particle" : "", "family" : "Marcillac", "given" : "Fabrice", "non-dropping-particle" : "", "parse-names" : false, "suffix" : "" }, { "dropping-particle" : "", "family" : "Brix", "given" : "Britta", "non-dropping-particle" : "", "parse-names" : false, "suffix" : "" }, { "dropping-particle" : "", "family" : "Repond", "given" : "Cendrine", "non-dropping-particle" : "", "parse-names" : false, "suffix" : "" }, { "dropping-particle" : "", "family" : "J\u00f6hren", "given" : "Olaf", "non-dropping-particle" : "", "parse-names" : false, "suffix" : "" }, { "dropping-particle" : "", "family" : "Pellerin", "given" : "Luc", "non-dropping-particle" : "", "parse-names" : false, "suffix" : "" } ], "container-title" : "Glia", "id" : "ITEM-2", "issue" : "12", "issued" : { "date-parts" : [ [ "2011", "12" ] ] }, "page" : "1987-95", "title" : "Nitric oxide induces the expression of the monocarboxylate transporter MCT4 in cultured astrocytes by a cGMP-independent transcriptional activation.", "type" : "article-journal", "volume" : "59" }, "uris" : [ "http://www.mendeley.com/documents/?uuid=e5213aa2-2adb-44a7-ac54-c5c1b84fc98f" ] } ], "mendeley" : { "formattedCitation" : "(Brix et al. 2012; Marcillac et al. 2011)", "plainTextFormattedCitation" : "(Brix et al. 2012; Marcillac et al. 2011)", "previouslyFormattedCitation" : "(Brix et al. 2012; Marcillac et al. 2011)" }, "properties" : { "noteIndex" : 0 }, "schema" : "https://github.com/citation-style-language/schema/raw/master/csl-citation.json" }</w:instrText>
      </w:r>
      <w:r w:rsidR="00711A03">
        <w:rPr>
          <w:rFonts w:ascii="Times New Roman" w:hAnsi="Times New Roman" w:cs="Times New Roman"/>
          <w:noProof/>
        </w:rPr>
        <w:fldChar w:fldCharType="separate"/>
      </w:r>
      <w:r w:rsidR="00C148FC" w:rsidRPr="00C148FC">
        <w:rPr>
          <w:rFonts w:ascii="Times New Roman" w:hAnsi="Times New Roman" w:cs="Times New Roman"/>
          <w:noProof/>
        </w:rPr>
        <w:t>(Brix et al. 2012; Marcillac et al. 2011)</w:t>
      </w:r>
      <w:r w:rsidR="00711A03">
        <w:rPr>
          <w:rFonts w:ascii="Times New Roman" w:hAnsi="Times New Roman" w:cs="Times New Roman"/>
          <w:noProof/>
        </w:rPr>
        <w:fldChar w:fldCharType="end"/>
      </w:r>
      <w:r w:rsidR="00101552">
        <w:rPr>
          <w:rFonts w:ascii="Times New Roman" w:hAnsi="Times New Roman" w:cs="Times New Roman"/>
          <w:noProof/>
        </w:rPr>
        <w:t xml:space="preserve">. </w:t>
      </w:r>
    </w:p>
    <w:p w14:paraId="1870EB33" w14:textId="77777777" w:rsidR="00D95ABF" w:rsidRDefault="00D95ABF" w:rsidP="00450E1F">
      <w:pPr>
        <w:spacing w:line="360" w:lineRule="auto"/>
        <w:rPr>
          <w:rFonts w:ascii="Times New Roman" w:hAnsi="Times New Roman" w:cs="Times New Roman"/>
          <w:noProof/>
        </w:rPr>
      </w:pPr>
    </w:p>
    <w:p w14:paraId="60CDB35C" w14:textId="61EA4B61" w:rsidR="00B624DD" w:rsidRDefault="00681942" w:rsidP="0052651A">
      <w:pPr>
        <w:spacing w:line="360" w:lineRule="auto"/>
        <w:jc w:val="both"/>
        <w:rPr>
          <w:rFonts w:ascii="Times New Roman" w:hAnsi="Times New Roman" w:cs="Times New Roman"/>
          <w:noProof/>
        </w:rPr>
      </w:pPr>
      <w:r>
        <w:rPr>
          <w:rFonts w:ascii="Times New Roman" w:hAnsi="Times New Roman" w:cs="Times New Roman"/>
          <w:noProof/>
        </w:rPr>
        <w:t>Secondly, t</w:t>
      </w:r>
      <w:r w:rsidR="00D95ABF">
        <w:rPr>
          <w:rFonts w:ascii="Times New Roman" w:hAnsi="Times New Roman" w:cs="Times New Roman"/>
          <w:noProof/>
        </w:rPr>
        <w:t>he downregulation of genes involved in oxidative phosphorylation in MAB391-treated astrocytes may indicate a switch from oxidative phosphorylation to glycolysis in these cells and may explain why no obvious phenotype was observed</w:t>
      </w:r>
      <w:r w:rsidR="00011425">
        <w:rPr>
          <w:rFonts w:ascii="Times New Roman" w:hAnsi="Times New Roman" w:cs="Times New Roman"/>
          <w:noProof/>
          <w:color w:val="FF0000"/>
        </w:rPr>
        <w:t xml:space="preserve"> </w:t>
      </w:r>
      <w:r>
        <w:rPr>
          <w:rFonts w:ascii="Times New Roman" w:hAnsi="Times New Roman" w:cs="Times New Roman"/>
          <w:noProof/>
        </w:rPr>
        <w:t>in monoculture</w:t>
      </w:r>
      <w:r w:rsidR="007A24AA">
        <w:rPr>
          <w:rFonts w:ascii="Times New Roman" w:hAnsi="Times New Roman" w:cs="Times New Roman"/>
          <w:noProof/>
        </w:rPr>
        <w:t xml:space="preserve">. Treating astrocytes with NO causes astrocytes to switch from oxidative phosphorylation to glycolysis to support neuronal networks </w:t>
      </w:r>
      <w:r w:rsidR="007A24AA">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"10.1073/pnas.261560998", "ISSN" : "0027-8424", "PMID" : "11742096", "abstract" : "It was recently proposed that in Jurkat cells, after inhibition of respiration by NO, glycolytically generated ATP plays a critical role in preventing the collapse of mitochondrial membrane potential (Deltapsi(m)) and thus apoptotic cell death. We have investigated this observation further in primary cultures of rat cortical neurons and astrocytes-cell types that differ greatly in their glycolytic capacity. Continuous and significant ( approximately 85%) inhibition of respiration by NO (1.4 microM at 175 microM O(2)) generated by [(z)-1-[2-aminoethyl]-N-[2-ammonioethyl]amino]diazen-1-ium-1,2 diolate (DETA-NO) initially (10 min) depleted ATP concentrations by approximately 25% in both cell types and increased the rate of glycolysis in astrocytes but not in neurons. Activation of glycolysis in astrocytes, as judged by lactate production, prevented further ATP depletion, whereas in neurons, which do not invoke this mechanism, there was a progressive decrease in ATP concentrations over the next 60 min. During this time, there was a persistent mitochondrial hyperpolarization and absence of apoptotic cell death in astrocytes, whereas in the neurons there was a progressive fall in Deltapsi(m) and increased apoptosis. After glucose deprivation or treatment with inhibitors of the F(1)F(0)-ATPase and adenine nucleotide translocase, astrocytes responded to NO with a fall in Deltapsi(m) and apoptotic cell death similar to the response in neurons. Finally, although treatment of astrocytes with NO partially prevented staurosporin-induced collapse in Deltapsi(m) and cell death, NO and staurosporin synergized in decreasing Deltapsi(m) and inducing apoptosis in neurons. These results demonstrate that although inhibition of cellular respiration by NO leads to neurotoxicity, it may also result in initial neuroprotection, depending on the glycolytic capacity of the particular cell.", "author" : [ { "dropping-particle" : "", "family" : "Almeida", "given" : "A", "non-dropping-particle" : "", "parse-names" : false, "suffix" : "" }, { "dropping-particle" : "", "family" : "Almeida", "given" : "J", "non-dropping-particle" : "", "parse-names" : false, "suffix" : "" }, { "dropping-particle" : "", "family" : "Bola\u00f1os", "given" : "J P", "non-dropping-particle" : "", "parse-names" : false, "suffix" : "" }, { "dropping-particle" : "", "family" : "Moncada", "given" : "S", "non-dropping-particle" : "", "parse-names" : false, "suffix" : "" } ], "container-title" : "Proceedings of the National Academy of Sciences of the United States of America", "id" : "ITEM-1", "issue" : "26", "issued" : { "date-parts" : [ [ "2001", "12", "18" ] ] }, "page" : "15294-9", "title" : "Different responses of astrocytes and neurons to nitric oxide: the role of glycolytically generated ATP in astrocyte protection.", "type" : "article-journal", "volume" : "98" }, "uris" : [ "http://www.mendeley.com/documents/?uuid=f524b441-21ff-4c70-a803-52909491fe9f" ] } ], "mendeley" : { "formattedCitation" : "(Almeida et al. 2001)", "plainTextFormattedCitation" : "(Almeida et al. 2001)", "previouslyFormattedCitation" : "(Almeida et al. 2001)" }, "properties" : { "noteIndex" : 0 }, "schema" : "https://github.com/citation-style-language/schema/raw/master/csl-citation.json" }</w:instrText>
      </w:r>
      <w:r w:rsidR="007A24AA">
        <w:rPr>
          <w:rFonts w:ascii="Times New Roman" w:hAnsi="Times New Roman" w:cs="Times New Roman"/>
          <w:noProof/>
        </w:rPr>
        <w:fldChar w:fldCharType="separate"/>
      </w:r>
      <w:r w:rsidR="00C148FC" w:rsidRPr="00C148FC">
        <w:rPr>
          <w:rFonts w:ascii="Times New Roman" w:hAnsi="Times New Roman" w:cs="Times New Roman"/>
          <w:noProof/>
        </w:rPr>
        <w:t>(Almeida et al. 2001)</w:t>
      </w:r>
      <w:r w:rsidR="007A24AA">
        <w:rPr>
          <w:rFonts w:ascii="Times New Roman" w:hAnsi="Times New Roman" w:cs="Times New Roman"/>
          <w:noProof/>
        </w:rPr>
        <w:fldChar w:fldCharType="end"/>
      </w:r>
      <w:r w:rsidR="007A24AA">
        <w:rPr>
          <w:rFonts w:ascii="Times New Roman" w:hAnsi="Times New Roman" w:cs="Times New Roman"/>
          <w:noProof/>
        </w:rPr>
        <w:t>, which could be a similar mechanism employed by IGF1-signallin</w:t>
      </w:r>
      <w:r w:rsidR="009A312B">
        <w:rPr>
          <w:rFonts w:ascii="Times New Roman" w:hAnsi="Times New Roman" w:cs="Times New Roman"/>
          <w:noProof/>
        </w:rPr>
        <w:t>g impaired astrocytes to maintain the mitochondrial membrane potential, avoid apoptosis and maintain neuronal support</w:t>
      </w:r>
      <w:r w:rsidR="007A24AA">
        <w:rPr>
          <w:rFonts w:ascii="Times New Roman" w:hAnsi="Times New Roman" w:cs="Times New Roman"/>
          <w:noProof/>
        </w:rPr>
        <w:t xml:space="preserve">. </w:t>
      </w:r>
    </w:p>
    <w:p w14:paraId="577E5165" w14:textId="77777777" w:rsidR="00B624DD" w:rsidRDefault="00B624DD" w:rsidP="00450E1F">
      <w:pPr>
        <w:spacing w:line="360" w:lineRule="auto"/>
        <w:rPr>
          <w:rFonts w:ascii="Times New Roman" w:hAnsi="Times New Roman" w:cs="Times New Roman"/>
          <w:noProof/>
        </w:rPr>
      </w:pPr>
    </w:p>
    <w:p w14:paraId="0D92CD16" w14:textId="436FFFF3" w:rsidR="00C57D4C" w:rsidRPr="00FF421C" w:rsidRDefault="00D95ABF" w:rsidP="0052651A">
      <w:pPr>
        <w:spacing w:line="360" w:lineRule="auto"/>
        <w:jc w:val="both"/>
        <w:rPr>
          <w:rFonts w:ascii="Times New Roman" w:hAnsi="Times New Roman" w:cs="Times New Roman"/>
          <w:noProof/>
          <w:color w:val="FF0000"/>
        </w:rPr>
      </w:pPr>
      <w:r>
        <w:rPr>
          <w:rFonts w:ascii="Times New Roman" w:hAnsi="Times New Roman" w:cs="Times New Roman"/>
          <w:noProof/>
        </w:rPr>
        <w:t xml:space="preserve">Other genes </w:t>
      </w:r>
      <w:r w:rsidR="00B624DD">
        <w:rPr>
          <w:rFonts w:ascii="Times New Roman" w:hAnsi="Times New Roman" w:cs="Times New Roman"/>
          <w:noProof/>
        </w:rPr>
        <w:t xml:space="preserve">present in the array </w:t>
      </w:r>
      <w:r>
        <w:rPr>
          <w:rFonts w:ascii="Times New Roman" w:hAnsi="Times New Roman" w:cs="Times New Roman"/>
          <w:noProof/>
        </w:rPr>
        <w:t xml:space="preserve">that provide evidence for increased glycolysis are </w:t>
      </w:r>
      <w:r w:rsidR="00880D94">
        <w:rPr>
          <w:rFonts w:ascii="Times New Roman" w:hAnsi="Times New Roman" w:cs="Times New Roman"/>
          <w:noProof/>
        </w:rPr>
        <w:t>PDK3</w:t>
      </w:r>
      <w:r>
        <w:rPr>
          <w:rFonts w:ascii="Times New Roman" w:hAnsi="Times New Roman" w:cs="Times New Roman"/>
          <w:noProof/>
        </w:rPr>
        <w:t xml:space="preserve"> and SLC16A3.</w:t>
      </w:r>
      <w:r w:rsidR="00880D94">
        <w:rPr>
          <w:rFonts w:ascii="Times New Roman" w:hAnsi="Times New Roman" w:cs="Times New Roman"/>
          <w:noProof/>
        </w:rPr>
        <w:t xml:space="preserve"> </w:t>
      </w:r>
      <w:r>
        <w:rPr>
          <w:rFonts w:ascii="Times New Roman" w:hAnsi="Times New Roman" w:cs="Times New Roman"/>
          <w:noProof/>
        </w:rPr>
        <w:t>PDK3 phosphorylates pyruvate dehydrogenase (PDH) and thereby inhibits entry of pyruvate into the TCA cycle. Expression of PDK3 was downregulated following MAB391 treatment suggesting reduced regulation of the PDH complex and increased entry of pyruvate into the TCA cycle. This could provide intermediates needed for synaptic support or improve the supply of intermediates needed for oxidative phosphorylation</w:t>
      </w:r>
      <w:r w:rsidR="00FF421C">
        <w:rPr>
          <w:rFonts w:ascii="Times New Roman" w:hAnsi="Times New Roman" w:cs="Times New Roman"/>
          <w:noProof/>
        </w:rPr>
        <w:t xml:space="preserve">, </w:t>
      </w:r>
      <w:r w:rsidR="00FF421C" w:rsidRPr="00FF421C">
        <w:rPr>
          <w:rFonts w:ascii="Times New Roman" w:hAnsi="Times New Roman" w:cs="Times New Roman"/>
          <w:noProof/>
        </w:rPr>
        <w:t xml:space="preserve"> </w:t>
      </w:r>
      <w:r w:rsidR="00FF421C">
        <w:rPr>
          <w:rFonts w:ascii="Times New Roman" w:hAnsi="Times New Roman" w:cs="Times New Roman"/>
          <w:noProof/>
        </w:rPr>
        <w:t xml:space="preserve">such as alpha ketoglutarate for glutamine synthesis </w:t>
      </w:r>
      <w:r w:rsidR="00FF421C">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"10.1038/sj.jcbfm.9600343", "ISSN" : "0271-678X", "author" : [ { "dropping-particle" : "", "family" : "Hertz", "given" : "Leif", "non-dropping-particle" : "", "parse-names" : false, "suffix" : "" }, { "dropping-particle" : "", "family" : "Peng", "given" : "Liang", "non-dropping-particle" : "", "parse-names" : false, "suffix" : "" }, { "dropping-particle" : "", "family" : "Dienel", "given" : "Gerald A", "non-dropping-particle" : "", "parse-names" : false, "suffix" : "" } ], "container-title" : "Journal of Cerebral Blood Flow &amp; Metabolism", "id" : "ITEM-1", "issue" : "2", "issued" : { "date-parts" : [ [ "2007", "2", "12" ] ] }, "page" : "219-249", "title" : "Energy metabolism in astrocytes: high rate of oxidative metabolism and spatiotemporal dependence on glycolysis/glycogenolysis", "type" : "article-journal", "volume" : "27" }, "uris" : [ "http://www.mendeley.com/documents/?uuid=4e341f64-f13f-348a-a17a-f42adb0fbca1" ] } ], "mendeley" : { "formattedCitation" : "(Hertz et al. 2007)", "plainTextFormattedCitation" : "(Hertz et al. 2007)", "previouslyFormattedCitation" : "(Hertz et al. 2007)" }, "properties" : { "noteIndex" : 0 }, "schema" : "https://github.com/citation-style-language/schema/raw/master/csl-citation.json" }</w:instrText>
      </w:r>
      <w:r w:rsidR="00FF421C">
        <w:rPr>
          <w:rFonts w:ascii="Times New Roman" w:hAnsi="Times New Roman" w:cs="Times New Roman"/>
          <w:noProof/>
        </w:rPr>
        <w:fldChar w:fldCharType="separate"/>
      </w:r>
      <w:r w:rsidR="00C148FC" w:rsidRPr="00C148FC">
        <w:rPr>
          <w:rFonts w:ascii="Times New Roman" w:hAnsi="Times New Roman" w:cs="Times New Roman"/>
          <w:noProof/>
        </w:rPr>
        <w:t>(Hertz et al. 2007)</w:t>
      </w:r>
      <w:r w:rsidR="00FF421C">
        <w:rPr>
          <w:rFonts w:ascii="Times New Roman" w:hAnsi="Times New Roman" w:cs="Times New Roman"/>
          <w:noProof/>
        </w:rPr>
        <w:fldChar w:fldCharType="end"/>
      </w:r>
      <w:r w:rsidR="00FF421C">
        <w:rPr>
          <w:rFonts w:ascii="Times New Roman" w:hAnsi="Times New Roman" w:cs="Times New Roman"/>
          <w:noProof/>
        </w:rPr>
        <w:t xml:space="preserve">. </w:t>
      </w:r>
      <w:r w:rsidR="00880D94">
        <w:rPr>
          <w:rFonts w:ascii="Times New Roman" w:hAnsi="Times New Roman" w:cs="Times New Roman"/>
          <w:noProof/>
        </w:rPr>
        <w:t>SLC16A3</w:t>
      </w:r>
      <w:r>
        <w:rPr>
          <w:rFonts w:ascii="Times New Roman" w:hAnsi="Times New Roman" w:cs="Times New Roman"/>
          <w:noProof/>
        </w:rPr>
        <w:t>, which</w:t>
      </w:r>
      <w:r w:rsidR="00880D94">
        <w:rPr>
          <w:rFonts w:ascii="Times New Roman" w:hAnsi="Times New Roman" w:cs="Times New Roman"/>
          <w:noProof/>
        </w:rPr>
        <w:t xml:space="preserve"> </w:t>
      </w:r>
      <w:r w:rsidR="00D8790A">
        <w:rPr>
          <w:rFonts w:ascii="Times New Roman" w:hAnsi="Times New Roman" w:cs="Times New Roman"/>
          <w:noProof/>
        </w:rPr>
        <w:t>encodes</w:t>
      </w:r>
      <w:r w:rsidR="006F432D">
        <w:rPr>
          <w:rFonts w:ascii="Times New Roman" w:hAnsi="Times New Roman" w:cs="Times New Roman"/>
          <w:noProof/>
        </w:rPr>
        <w:t xml:space="preserve"> for</w:t>
      </w:r>
      <w:r w:rsidR="004A67E3">
        <w:rPr>
          <w:rFonts w:ascii="Times New Roman" w:hAnsi="Times New Roman" w:cs="Times New Roman"/>
          <w:noProof/>
        </w:rPr>
        <w:t xml:space="preserve"> the protein MCT4</w:t>
      </w:r>
      <w:r w:rsidR="00D8790A">
        <w:rPr>
          <w:rFonts w:ascii="Times New Roman" w:hAnsi="Times New Roman" w:cs="Times New Roman"/>
          <w:noProof/>
        </w:rPr>
        <w:t>,</w:t>
      </w:r>
      <w:r>
        <w:rPr>
          <w:rFonts w:ascii="Times New Roman" w:hAnsi="Times New Roman" w:cs="Times New Roman"/>
          <w:noProof/>
        </w:rPr>
        <w:t xml:space="preserve"> was upregulated</w:t>
      </w:r>
      <w:r w:rsidR="004A67E3">
        <w:rPr>
          <w:rFonts w:ascii="Times New Roman" w:hAnsi="Times New Roman" w:cs="Times New Roman"/>
          <w:noProof/>
        </w:rPr>
        <w:t xml:space="preserve"> following MAB391 treatment. MCT4</w:t>
      </w:r>
      <w:r>
        <w:rPr>
          <w:rFonts w:ascii="Times New Roman" w:hAnsi="Times New Roman" w:cs="Times New Roman"/>
          <w:noProof/>
        </w:rPr>
        <w:t xml:space="preserve"> is a</w:t>
      </w:r>
      <w:r w:rsidR="004A67E3">
        <w:rPr>
          <w:rFonts w:ascii="Times New Roman" w:hAnsi="Times New Roman" w:cs="Times New Roman"/>
          <w:noProof/>
        </w:rPr>
        <w:t>n astrocyte-specific proton-linked</w:t>
      </w:r>
      <w:r>
        <w:rPr>
          <w:rFonts w:ascii="Times New Roman" w:hAnsi="Times New Roman" w:cs="Times New Roman"/>
          <w:noProof/>
        </w:rPr>
        <w:t xml:space="preserve"> </w:t>
      </w:r>
      <w:r w:rsidR="00880D94">
        <w:rPr>
          <w:rFonts w:ascii="Times New Roman" w:hAnsi="Times New Roman" w:cs="Times New Roman"/>
          <w:noProof/>
        </w:rPr>
        <w:t>pyruvate/lactate transporter</w:t>
      </w:r>
      <w:r w:rsidR="00FA662E">
        <w:rPr>
          <w:rFonts w:ascii="Times New Roman" w:hAnsi="Times New Roman" w:cs="Times New Roman"/>
          <w:noProof/>
        </w:rPr>
        <w:t xml:space="preserve"> that </w:t>
      </w:r>
      <w:r>
        <w:rPr>
          <w:rFonts w:ascii="Times New Roman" w:hAnsi="Times New Roman" w:cs="Times New Roman"/>
          <w:noProof/>
        </w:rPr>
        <w:t>is</w:t>
      </w:r>
      <w:r w:rsidRPr="00D95ABF">
        <w:rPr>
          <w:rFonts w:ascii="Times New Roman" w:hAnsi="Times New Roman" w:cs="Times New Roman"/>
          <w:noProof/>
          <w:color w:val="FF0000"/>
        </w:rPr>
        <w:t xml:space="preserve"> </w:t>
      </w:r>
      <w:r w:rsidRPr="004A67E3">
        <w:rPr>
          <w:rFonts w:ascii="Times New Roman" w:hAnsi="Times New Roman" w:cs="Times New Roman"/>
          <w:noProof/>
        </w:rPr>
        <w:t>homologous</w:t>
      </w:r>
      <w:r>
        <w:rPr>
          <w:rFonts w:ascii="Times New Roman" w:hAnsi="Times New Roman" w:cs="Times New Roman"/>
          <w:noProof/>
        </w:rPr>
        <w:t xml:space="preserve"> to the </w:t>
      </w:r>
      <w:r w:rsidR="00D8790A">
        <w:rPr>
          <w:rFonts w:ascii="Times New Roman" w:hAnsi="Times New Roman" w:cs="Times New Roman"/>
          <w:noProof/>
        </w:rPr>
        <w:t xml:space="preserve">classic lactate exporter MCT1 </w:t>
      </w:r>
      <w:r w:rsidR="004A67E3">
        <w:rPr>
          <w:rFonts w:ascii="Times New Roman" w:hAnsi="Times New Roman" w:cs="Times New Roman"/>
          <w:noProof/>
        </w:rPr>
        <w:t>also found in astrocytes</w:t>
      </w:r>
      <w:r w:rsidR="00D8790A">
        <w:rPr>
          <w:rFonts w:ascii="Times New Roman" w:hAnsi="Times New Roman" w:cs="Times New Roman"/>
          <w:noProof/>
        </w:rPr>
        <w:t>.</w:t>
      </w:r>
      <w:r w:rsidR="00630A0B">
        <w:rPr>
          <w:rFonts w:ascii="Times New Roman" w:hAnsi="Times New Roman" w:cs="Times New Roman"/>
          <w:noProof/>
        </w:rPr>
        <w:t xml:space="preserve"> </w:t>
      </w:r>
      <w:r w:rsidR="004A67E3">
        <w:rPr>
          <w:rFonts w:ascii="Times New Roman" w:hAnsi="Times New Roman" w:cs="Times New Roman"/>
          <w:noProof/>
        </w:rPr>
        <w:t xml:space="preserve">However, </w:t>
      </w:r>
      <w:r w:rsidR="00880D94">
        <w:rPr>
          <w:rFonts w:ascii="Times New Roman" w:hAnsi="Times New Roman" w:cs="Times New Roman"/>
          <w:noProof/>
        </w:rPr>
        <w:t xml:space="preserve">changes in the expression of </w:t>
      </w:r>
      <w:r w:rsidR="006F432D">
        <w:rPr>
          <w:rFonts w:ascii="Times New Roman" w:hAnsi="Times New Roman" w:cs="Times New Roman"/>
          <w:noProof/>
        </w:rPr>
        <w:t>SLC16A3 and PDK3 seem</w:t>
      </w:r>
      <w:r w:rsidR="00FF7AD6">
        <w:rPr>
          <w:rFonts w:ascii="Times New Roman" w:hAnsi="Times New Roman" w:cs="Times New Roman"/>
          <w:noProof/>
        </w:rPr>
        <w:t xml:space="preserve"> contradictory</w:t>
      </w:r>
      <w:r w:rsidR="00880D94">
        <w:rPr>
          <w:rFonts w:ascii="Times New Roman" w:hAnsi="Times New Roman" w:cs="Times New Roman"/>
          <w:noProof/>
        </w:rPr>
        <w:t>. Increased expression of SLC16A3 would</w:t>
      </w:r>
      <w:r w:rsidR="00915317">
        <w:rPr>
          <w:rFonts w:ascii="Times New Roman" w:hAnsi="Times New Roman" w:cs="Times New Roman"/>
          <w:noProof/>
        </w:rPr>
        <w:t xml:space="preserve"> potentially</w:t>
      </w:r>
      <w:r w:rsidR="00880D94">
        <w:rPr>
          <w:rFonts w:ascii="Times New Roman" w:hAnsi="Times New Roman" w:cs="Times New Roman"/>
          <w:noProof/>
        </w:rPr>
        <w:t xml:space="preserve"> result in increased export of pyruvate/lactate whereas downregulation of PDK3 would increase entry of pyruvate </w:t>
      </w:r>
      <w:r w:rsidR="00FF7AD6">
        <w:rPr>
          <w:rFonts w:ascii="Times New Roman" w:hAnsi="Times New Roman" w:cs="Times New Roman"/>
          <w:noProof/>
        </w:rPr>
        <w:t>into</w:t>
      </w:r>
      <w:r w:rsidR="00A632DB">
        <w:rPr>
          <w:rFonts w:ascii="Times New Roman" w:hAnsi="Times New Roman" w:cs="Times New Roman"/>
          <w:noProof/>
        </w:rPr>
        <w:t xml:space="preserve"> the TCA cycle where it could provide the intermediates needed in oxidative phosphorylation. Downregulation of PDK3 may</w:t>
      </w:r>
      <w:r w:rsidR="00FF7AD6">
        <w:rPr>
          <w:rFonts w:ascii="Times New Roman" w:hAnsi="Times New Roman" w:cs="Times New Roman"/>
          <w:noProof/>
        </w:rPr>
        <w:t xml:space="preserve"> </w:t>
      </w:r>
      <w:r w:rsidR="00880D94">
        <w:rPr>
          <w:rFonts w:ascii="Times New Roman" w:hAnsi="Times New Roman" w:cs="Times New Roman"/>
          <w:noProof/>
        </w:rPr>
        <w:t>be</w:t>
      </w:r>
      <w:r w:rsidR="00A632DB">
        <w:rPr>
          <w:rFonts w:ascii="Times New Roman" w:hAnsi="Times New Roman" w:cs="Times New Roman"/>
          <w:noProof/>
        </w:rPr>
        <w:t xml:space="preserve"> a</w:t>
      </w:r>
      <w:r w:rsidR="00880D94">
        <w:rPr>
          <w:rFonts w:ascii="Times New Roman" w:hAnsi="Times New Roman" w:cs="Times New Roman"/>
          <w:noProof/>
        </w:rPr>
        <w:t xml:space="preserve"> compensatory</w:t>
      </w:r>
      <w:r w:rsidR="00A632DB">
        <w:rPr>
          <w:rFonts w:ascii="Times New Roman" w:hAnsi="Times New Roman" w:cs="Times New Roman"/>
          <w:noProof/>
        </w:rPr>
        <w:t xml:space="preserve"> mechanism employed in response to MAB391 treatment</w:t>
      </w:r>
      <w:r w:rsidR="00880D94">
        <w:rPr>
          <w:rFonts w:ascii="Times New Roman" w:hAnsi="Times New Roman" w:cs="Times New Roman"/>
          <w:noProof/>
        </w:rPr>
        <w:t xml:space="preserve"> </w:t>
      </w:r>
      <w:r w:rsidR="00942AC8">
        <w:rPr>
          <w:rFonts w:ascii="Times New Roman" w:hAnsi="Times New Roman" w:cs="Times New Roman"/>
          <w:noProof/>
        </w:rPr>
        <w:t xml:space="preserve">to </w:t>
      </w:r>
      <w:r w:rsidR="00787340">
        <w:rPr>
          <w:rFonts w:ascii="Times New Roman" w:hAnsi="Times New Roman" w:cs="Times New Roman"/>
          <w:noProof/>
        </w:rPr>
        <w:t>potentially increase levels of NADH</w:t>
      </w:r>
      <w:r w:rsidR="002752F0">
        <w:rPr>
          <w:rFonts w:ascii="Times New Roman" w:hAnsi="Times New Roman" w:cs="Times New Roman"/>
          <w:noProof/>
        </w:rPr>
        <w:t xml:space="preserve"> </w:t>
      </w:r>
      <w:r w:rsidR="00B624DD">
        <w:rPr>
          <w:rFonts w:ascii="Times New Roman" w:hAnsi="Times New Roman" w:cs="Times New Roman"/>
          <w:noProof/>
        </w:rPr>
        <w:t>generated from</w:t>
      </w:r>
      <w:r w:rsidR="002752F0">
        <w:rPr>
          <w:rFonts w:ascii="Times New Roman" w:hAnsi="Times New Roman" w:cs="Times New Roman"/>
          <w:noProof/>
        </w:rPr>
        <w:t xml:space="preserve"> the TCA cycle</w:t>
      </w:r>
      <w:r w:rsidR="00787340">
        <w:rPr>
          <w:rFonts w:ascii="Times New Roman" w:hAnsi="Times New Roman" w:cs="Times New Roman"/>
          <w:noProof/>
        </w:rPr>
        <w:t xml:space="preserve"> with the aim of restoring</w:t>
      </w:r>
      <w:r w:rsidR="00942AC8">
        <w:rPr>
          <w:rFonts w:ascii="Times New Roman" w:hAnsi="Times New Roman" w:cs="Times New Roman"/>
          <w:noProof/>
        </w:rPr>
        <w:t xml:space="preserve"> defects in</w:t>
      </w:r>
      <w:r w:rsidR="00FF7AD6">
        <w:rPr>
          <w:rFonts w:ascii="Times New Roman" w:hAnsi="Times New Roman" w:cs="Times New Roman"/>
          <w:noProof/>
        </w:rPr>
        <w:t xml:space="preserve"> oxidative phosphorylation</w:t>
      </w:r>
      <w:r w:rsidR="00880D94">
        <w:rPr>
          <w:rFonts w:ascii="Times New Roman" w:hAnsi="Times New Roman" w:cs="Times New Roman"/>
          <w:noProof/>
        </w:rPr>
        <w:t>.</w:t>
      </w:r>
      <w:r w:rsidR="00857FC0">
        <w:rPr>
          <w:rFonts w:ascii="Times New Roman" w:hAnsi="Times New Roman" w:cs="Times New Roman"/>
          <w:noProof/>
        </w:rPr>
        <w:t xml:space="preserve"> Although, lactate release ma</w:t>
      </w:r>
      <w:r w:rsidR="00B80D03">
        <w:rPr>
          <w:rFonts w:ascii="Times New Roman" w:hAnsi="Times New Roman" w:cs="Times New Roman"/>
          <w:noProof/>
        </w:rPr>
        <w:t>y also increase in MAB391-</w:t>
      </w:r>
      <w:r w:rsidR="00857FC0">
        <w:rPr>
          <w:rFonts w:ascii="Times New Roman" w:hAnsi="Times New Roman" w:cs="Times New Roman"/>
          <w:noProof/>
        </w:rPr>
        <w:t>treated astrocytes since</w:t>
      </w:r>
      <w:r w:rsidR="00880D94">
        <w:rPr>
          <w:rFonts w:ascii="Times New Roman" w:hAnsi="Times New Roman" w:cs="Times New Roman"/>
          <w:noProof/>
        </w:rPr>
        <w:t xml:space="preserve"> </w:t>
      </w:r>
      <w:r w:rsidR="00857FC0">
        <w:rPr>
          <w:rFonts w:ascii="Times New Roman" w:hAnsi="Times New Roman" w:cs="Times New Roman"/>
          <w:noProof/>
        </w:rPr>
        <w:t>a</w:t>
      </w:r>
      <w:r w:rsidR="00E86058">
        <w:rPr>
          <w:rFonts w:ascii="Times New Roman" w:hAnsi="Times New Roman" w:cs="Times New Roman"/>
          <w:noProof/>
        </w:rPr>
        <w:t xml:space="preserve"> study </w:t>
      </w:r>
      <w:r w:rsidR="00857FC0">
        <w:rPr>
          <w:rFonts w:ascii="Times New Roman" w:hAnsi="Times New Roman" w:cs="Times New Roman"/>
          <w:noProof/>
        </w:rPr>
        <w:t>has demonstrated that</w:t>
      </w:r>
      <w:r w:rsidR="00E86058">
        <w:rPr>
          <w:rFonts w:ascii="Times New Roman" w:hAnsi="Times New Roman" w:cs="Times New Roman"/>
          <w:noProof/>
        </w:rPr>
        <w:t xml:space="preserve"> treating rats with DCF, a </w:t>
      </w:r>
      <w:r w:rsidR="00695610">
        <w:rPr>
          <w:rFonts w:ascii="Times New Roman" w:hAnsi="Times New Roman" w:cs="Times New Roman"/>
          <w:noProof/>
        </w:rPr>
        <w:t xml:space="preserve">known </w:t>
      </w:r>
      <w:r w:rsidR="00E86058">
        <w:rPr>
          <w:rFonts w:ascii="Times New Roman" w:hAnsi="Times New Roman" w:cs="Times New Roman"/>
          <w:noProof/>
        </w:rPr>
        <w:t>PDH activator, reduced the release of lactate from astrocytes</w:t>
      </w:r>
      <w:r w:rsidR="00695610">
        <w:rPr>
          <w:rFonts w:ascii="Times New Roman" w:hAnsi="Times New Roman" w:cs="Times New Roman"/>
          <w:noProof/>
        </w:rPr>
        <w:t xml:space="preserve"> </w:t>
      </w:r>
      <w:r w:rsidR="00695610">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"10.1073/pnas.0831078100", "ISSN" : "0027-8424", "PMID" : "12668764", "abstract" : "Neuronal cultures in vitro readily oxidized both D-[(14)C]glucose and l-[(14)C]lactate to (14)CO(2), whereas astroglial cultures oxidized both substrates sparingly and metabolized glucose predominantly to lactate and released it into the medium. [(14)C]Glucose oxidation to (14)CO(2) varied inversely with unlabeled lactate concentration in the medium, particularly in neurons, and increased progressively with decreasing lactate concentration. Adding unlabeled glucose to the medium inhibited [(14)C]lactate oxidation to (14)CO(2) only in astroglia but not in neurons, indicating a kinetic preference in neurons for oxidation of extracellular lactate over intracellular pyruvatelactate produced by glycolysis. Protein kinase-catalyzed phosphorylation inactivates pyruvate dehydrogenase (PDH), which regulates pyruvate entry into the tricarboxylic acid cycle. Dichloroacetate inhibits this kinase, thus enhancing PDH activity. In vitro dichloroacetate stimulated glucose and lactate oxidation to CO(2) and reduced lactate release mainly in astroglia, indicating that limitations in glucose and lactate oxidation by astroglia may be due to a greater balance of PDH toward the inactive form. To assess the significance of astroglial export of lactate to neurons in vivo, we attempted to diminish this traffic in rats by administering dichloroacetate (50 mgkg) intravenously to stimulate astroglial lactate oxidation and then examined the effects on baseline and functionally activated local cerebral glucose utilization (lCMR(glc)). Dichloroacetate raised baseline lCMR(glc) throughout the brain and decreased the percent increases in lCMR(glc) evoked by functional activation. These studies provide evidence in support of the compartmentalization of glucose metabolism between astroglia and neurons but indicate that the compartmentalization may be neither complete nor entirely obligatory.", "author" : [ { "dropping-particle" : "", "family" : "Itoh", "given" : "Yoshiaki", "non-dropping-particle" : "", "parse-names" : false, "suffix" : "" }, { "dropping-particle" : "", "family" : "Esaki", "given" : "Takanori", "non-dropping-particle" : "", "parse-names" : false, "suffix" : "" }, { "dropping-particle" : "", "family" : "Shimoji", "given" : "Kazuaki", "non-dropping-particle" : "", "parse-names" : false, "suffix" : "" }, { "dropping-particle" : "", "family" : "Cook", "given" : "Michelle", "non-dropping-particle" : "", "parse-names" : false, "suffix" : "" }, { "dropping-particle" : "", "family" : "Law", "given" : "Mona J", "non-dropping-particle" : "", "parse-names" : false, "suffix" : "" }, { "dropping-particle" : "", "family" : "Kaufman", "given" : "Elaine", "non-dropping-particle" : "", "parse-names" : false, "suffix" : "" }, { "dropping-particle" : "", "family" : "Sokoloff", "given" : "Louis", "non-dropping-particle" : "", "parse-names" : false, "suffix" : "" } ], "container-title" : "Proceedings of the National Academy of Sciences of the United States of America", "id" : "ITEM-1", "issue" : "8", "issued" : { "date-parts" : [ [ "2003", "4", "15" ] ] }, "language" : "en", "page" : "4879-84", "publisher" : "National Academy of Sciences", "title" : "Dichloroacetate effects on glucose and lactate oxidation by neurons and astroglia in vitro and on glucose utilization by brain in vivo.", "type" : "article-journal", "volume" : "100" }, "uris" : [ "http://www.mendeley.com/documents/?uuid=8100df4a-81d7-4146-b218-42e975b96045" ] } ], "mendeley" : { "formattedCitation" : "(Itoh et al. 2003)", "plainTextFormattedCitation" : "(Itoh et al. 2003)", "previouslyFormattedCitation" : "(Itoh et al. 2003)" }, "properties" : { "noteIndex" : 0 }, "schema" : "https://github.com/citation-style-language/schema/raw/master/csl-citation.json" }</w:instrText>
      </w:r>
      <w:r w:rsidR="00695610">
        <w:rPr>
          <w:rFonts w:ascii="Times New Roman" w:hAnsi="Times New Roman" w:cs="Times New Roman"/>
          <w:noProof/>
        </w:rPr>
        <w:fldChar w:fldCharType="separate"/>
      </w:r>
      <w:r w:rsidR="00C148FC" w:rsidRPr="00C148FC">
        <w:rPr>
          <w:rFonts w:ascii="Times New Roman" w:hAnsi="Times New Roman" w:cs="Times New Roman"/>
          <w:noProof/>
        </w:rPr>
        <w:t>(Itoh et al. 2003)</w:t>
      </w:r>
      <w:r w:rsidR="00695610">
        <w:rPr>
          <w:rFonts w:ascii="Times New Roman" w:hAnsi="Times New Roman" w:cs="Times New Roman"/>
          <w:noProof/>
        </w:rPr>
        <w:fldChar w:fldCharType="end"/>
      </w:r>
      <w:r w:rsidR="00857FC0">
        <w:rPr>
          <w:rFonts w:ascii="Times New Roman" w:hAnsi="Times New Roman" w:cs="Times New Roman"/>
          <w:noProof/>
        </w:rPr>
        <w:t xml:space="preserve">. </w:t>
      </w:r>
    </w:p>
    <w:p w14:paraId="7D6AF37F" w14:textId="77777777" w:rsidR="00FF421C" w:rsidRDefault="00FF421C" w:rsidP="00450E1F">
      <w:pPr>
        <w:spacing w:line="360" w:lineRule="auto"/>
        <w:rPr>
          <w:rFonts w:ascii="Times New Roman" w:hAnsi="Times New Roman" w:cs="Times New Roman"/>
          <w:noProof/>
        </w:rPr>
      </w:pPr>
    </w:p>
    <w:p w14:paraId="28B096F6" w14:textId="3B9EBFB2" w:rsidR="002752F0" w:rsidRDefault="00FF421C" w:rsidP="0052651A">
      <w:pPr>
        <w:spacing w:line="360" w:lineRule="auto"/>
        <w:jc w:val="both"/>
        <w:rPr>
          <w:rFonts w:ascii="Times New Roman" w:hAnsi="Times New Roman" w:cs="Times New Roman"/>
          <w:noProof/>
        </w:rPr>
      </w:pPr>
      <w:r w:rsidRPr="00C8482B">
        <w:rPr>
          <w:rFonts w:ascii="Times New Roman" w:hAnsi="Times New Roman" w:cs="Times New Roman"/>
          <w:noProof/>
        </w:rPr>
        <w:t>Py</w:t>
      </w:r>
      <w:r>
        <w:rPr>
          <w:rFonts w:ascii="Times New Roman" w:hAnsi="Times New Roman" w:cs="Times New Roman"/>
          <w:noProof/>
        </w:rPr>
        <w:t>ruvate has</w:t>
      </w:r>
      <w:r w:rsidR="0078140D">
        <w:rPr>
          <w:rFonts w:ascii="Times New Roman" w:hAnsi="Times New Roman" w:cs="Times New Roman"/>
          <w:noProof/>
        </w:rPr>
        <w:t xml:space="preserve"> also</w:t>
      </w:r>
      <w:r w:rsidR="002752F0">
        <w:rPr>
          <w:rFonts w:ascii="Times New Roman" w:hAnsi="Times New Roman" w:cs="Times New Roman"/>
          <w:noProof/>
        </w:rPr>
        <w:t xml:space="preserve"> been shown to be an intra- and extracellular antioxidant defence mechanism. When added to neurons, pyruvate reacts with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 xml:space="preserve">2 </w:t>
      </w:r>
      <w:r w:rsidR="00650B56">
        <w:rPr>
          <w:rFonts w:ascii="Times New Roman" w:hAnsi="Times New Roman" w:cs="Times New Roman"/>
          <w:noProof/>
        </w:rPr>
        <w:t>in a process called oxidative decarboxylation</w:t>
      </w:r>
      <w:r w:rsidR="002752F0">
        <w:rPr>
          <w:rFonts w:ascii="Times New Roman" w:hAnsi="Times New Roman" w:cs="Times New Roman"/>
          <w:noProof/>
        </w:rPr>
        <w:t xml:space="preserve"> to produce acetate, carbon dioxide and water. </w:t>
      </w:r>
      <w:r w:rsidR="00650B56">
        <w:rPr>
          <w:rFonts w:ascii="Times New Roman" w:hAnsi="Times New Roman" w:cs="Times New Roman"/>
          <w:noProof/>
        </w:rPr>
        <w:t>The protective effects of pyruvate are mediated by this process rather than</w:t>
      </w:r>
      <w:r w:rsidR="00F539C5">
        <w:rPr>
          <w:rFonts w:ascii="Times New Roman" w:hAnsi="Times New Roman" w:cs="Times New Roman"/>
          <w:noProof/>
        </w:rPr>
        <w:t xml:space="preserve"> by</w:t>
      </w:r>
      <w:r w:rsidR="00650B56">
        <w:rPr>
          <w:rFonts w:ascii="Times New Roman" w:hAnsi="Times New Roman" w:cs="Times New Roman"/>
          <w:noProof/>
        </w:rPr>
        <w:t xml:space="preserve"> increasing energy metabolism </w:t>
      </w:r>
      <w:r w:rsidR="00650B56">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"ISSN" : "0270-6474", "PMID" : "9364052", "abstract" : "Hydrogen peroxide (H2O2) is suspected to be involved in numerous brain pathologies such as neurodegenerative diseases or in acute injury such as ischemia or trauma. In this study, we examined the ability of pyruvate to improve the survival of cultured striatal neurons exposed for 30 min to H2O2, as estimated 24 hr later by the 3-[4,5-dimethylthiazol-2-yl]-2,5-diphenyltetrazoliumbromide assay. Pyruvate strongly protected neurons against both H2O2 added to the external medium and H2O2 endogenously produced through the redox cycling of the experimental quinone menadione. The neuroprotective effect of pyruvate appeared to result rather from the ability of alpha-ketoacids to undergo nonenzymatic decarboxylation in the presence of H2O2 than from an improvement of energy metabolism. Indeed, several other alpha-ketoacids, including alpha-ketobutyrate, which is not an energy substrate, reproduced the neuroprotective effect of pyruvate. In contrast, lactate, a neuronal energy substrate, did not protect neurons from H2O2. Optimal neuroprotection was achieved with relatively low concentrations of pyruvate (&lt;/=1 mM), whereas at high concentration (10 mM) pyruvate was ineffective. This paradox could result from the cytosolic acidification induced by the cotransport of pyruvate and protons into neurons. Indeed, cytosolic acidification both enhanced the H2O2-induced neurotoxicity and decreased the rate of pyruvate decarboxylation by H2O2. Together, these results indicate that pyruvate efficiently protects neurons against both exogenous and endogenous H2O2. Its low toxicity and its capacity to cross the blood-brain barrier open a new therapeutic perspective in brain pathologies in which H2O2 is involved.", "author" : [ { "dropping-particle" : "", "family" : "Desagher", "given" : "S", "non-dropping-particle" : "", "parse-names" : false, "suffix" : "" }, { "dropping-particle" : "", "family" : "Glowinski", "given" : "J", "non-dropping-particle" : "", "parse-names" : false, "suffix" : "" }, { "dropping-particle" : "", "family" : "Pr\u00e9mont", "given" : "J", "non-dropping-particle" : "", "parse-names" : false, "suffix" : "" } ], "container-title" : "The Journal of neuroscience : the official journal of the Society for Neuroscience", "id" : "ITEM-1", "issue" : "23", "issued" : { "date-parts" : [ [ "1997", "12", "1" ] ] }, "page" : "9060-7", "publisher" : "Society for Neuroscience", "title" : "Pyruvate protects neurons against hydrogen peroxide-induced toxicity.", "type" : "article-journal", "volume" : "17" }, "uris" : [ "http://www.mendeley.com/documents/?uuid=07c79f05-642b-386f-a406-4ae0f6de45bd" ] } ], "mendeley" : { "formattedCitation" : "(Desagher et al. 1997)", "plainTextFormattedCitation" : "(Desagher et al. 1997)", "previouslyFormattedCitation" : "(Desagher et al. 1997)" }, "properties" : { "noteIndex" : 0 }, "schema" : "https://github.com/citation-style-language/schema/raw/master/csl-citation.json" }</w:instrText>
      </w:r>
      <w:r w:rsidR="00650B56">
        <w:rPr>
          <w:rFonts w:ascii="Times New Roman" w:hAnsi="Times New Roman" w:cs="Times New Roman"/>
          <w:noProof/>
        </w:rPr>
        <w:fldChar w:fldCharType="separate"/>
      </w:r>
      <w:r w:rsidR="00C148FC" w:rsidRPr="00C148FC">
        <w:rPr>
          <w:rFonts w:ascii="Times New Roman" w:hAnsi="Times New Roman" w:cs="Times New Roman"/>
          <w:noProof/>
        </w:rPr>
        <w:t>(Desagher et al. 1997)</w:t>
      </w:r>
      <w:r w:rsidR="00650B56">
        <w:rPr>
          <w:rFonts w:ascii="Times New Roman" w:hAnsi="Times New Roman" w:cs="Times New Roman"/>
          <w:noProof/>
        </w:rPr>
        <w:fldChar w:fldCharType="end"/>
      </w:r>
      <w:r w:rsidR="00650B56">
        <w:rPr>
          <w:rFonts w:ascii="Times New Roman" w:hAnsi="Times New Roman" w:cs="Times New Roman"/>
          <w:noProof/>
        </w:rPr>
        <w:t>.</w:t>
      </w:r>
      <w:r w:rsidR="00F539C5">
        <w:rPr>
          <w:rFonts w:ascii="Times New Roman" w:hAnsi="Times New Roman" w:cs="Times New Roman"/>
          <w:noProof/>
        </w:rPr>
        <w:t xml:space="preserve"> In addition pyruvate is released from astrocytes to protect against oxidised cysteine mediated toxicity </w:t>
      </w:r>
      <w:r w:rsidR="00F539C5">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"ISSN" : "1529-2401", "PMID" : "11331361", "abstract" : "We have found previously that astrocytes can provide cysteine to neurons. However, cysteine has been reported to be neurotoxic although it plays a pivotal role in regulating intracellular levels of glutathione, the major cellular antioxidant. Here, we show that cysteine toxicity is a result of hydroxyl radicals generated during cysteine autoxidation. Transition metal ions are candidates to catalyze this process. Copper substantially accelerates the autoxidation rate of cysteine even at submicromolar levels, whereas iron and other transition metal ions, including manganese, chromium, and zinc, are less efficient. The autoxidation rate of cysteine in rat CSF is equal to that observed in the presence of approximately 0.2 microm copper. In tissue culture tests, we found that cysteine toxicity depends highly on its autoxidation rate and on the total amount of cysteine being oxidized, suggesting that the toxicity can be attributed to the free radicals produced from cysteine autoxidation, but not to cysteine itself. We have also explored the in vivo mechanisms that protect against cysteine toxicity. Catalase and pyruvate were each found to inhibit the production of hydroxyl radicals generated by cysteine autoxidation. In tissue culture, they both protected primary neurons against cysteine toxicity catalyzed by copper. This protection is attributed to their ability to react with hydrogen peroxide, preventing the formation of hydroxyl radicals. Pyruvate, but not catalase or glutathione peroxidase, was detected in astrocyte-conditioned medium and CSF. Our data therefore suggest that astrocytes can prevent cysteine toxicity by releasing pyruvate.", "author" : [ { "dropping-particle" : "", "family" : "Wang", "given" : "X F", "non-dropping-particle" : "", "parse-names" : false, "suffix" : "" }, { "dropping-particle" : "", "family" : "Cynader", "given" : "M S", "non-dropping-particle" : "", "parse-names" : false, "suffix" : "" } ], "container-title" : "The Journal of neuroscience : the official journal of the Society for Neuroscience", "id" : "ITEM-1", "issue" : "10", "issued" : { "date-parts" : [ [ "2001", "5", "15" ] ] }, "page" : "3322-31", "publisher" : "Society for Neuroscience", "title" : "Pyruvate released by astrocytes protects neurons from copper-catalyzed cysteine neurotoxicity.", "type" : "article-journal", "volume" : "21" }, "uris" : [ "http://www.mendeley.com/documents/?uuid=40ceb660-61aa-30c2-b546-7041878c97c8" ] } ], "mendeley" : { "formattedCitation" : "(Wang &amp; Cynader 2001)", "plainTextFormattedCitation" : "(Wang &amp; Cynader 2001)", "previouslyFormattedCitation" : "(Wang &amp; Cynader 2001)" }, "properties" : { "noteIndex" : 0 }, "schema" : "https://github.com/citation-style-language/schema/raw/master/csl-citation.json" }</w:instrText>
      </w:r>
      <w:r w:rsidR="00F539C5">
        <w:rPr>
          <w:rFonts w:ascii="Times New Roman" w:hAnsi="Times New Roman" w:cs="Times New Roman"/>
          <w:noProof/>
        </w:rPr>
        <w:fldChar w:fldCharType="separate"/>
      </w:r>
      <w:r w:rsidR="00C148FC" w:rsidRPr="00C148FC">
        <w:rPr>
          <w:rFonts w:ascii="Times New Roman" w:hAnsi="Times New Roman" w:cs="Times New Roman"/>
          <w:noProof/>
        </w:rPr>
        <w:t>(Wang &amp; Cynader 2001)</w:t>
      </w:r>
      <w:r w:rsidR="00F539C5">
        <w:rPr>
          <w:rFonts w:ascii="Times New Roman" w:hAnsi="Times New Roman" w:cs="Times New Roman"/>
          <w:noProof/>
        </w:rPr>
        <w:fldChar w:fldCharType="end"/>
      </w:r>
      <w:r w:rsidR="00F539C5">
        <w:rPr>
          <w:rFonts w:ascii="Times New Roman" w:hAnsi="Times New Roman" w:cs="Times New Roman"/>
          <w:noProof/>
        </w:rPr>
        <w:t>.</w:t>
      </w:r>
      <w:r w:rsidR="00650B56">
        <w:rPr>
          <w:rFonts w:ascii="Times New Roman" w:hAnsi="Times New Roman" w:cs="Times New Roman"/>
          <w:noProof/>
        </w:rPr>
        <w:t xml:space="preserve"> Therefore if ROS levels do increase from a complex I defect, then pyruvate may act as an antioxidant mechanism intracellularly or for the neurons. </w:t>
      </w:r>
      <w:r w:rsidR="00FE6B25">
        <w:rPr>
          <w:rFonts w:ascii="Times New Roman" w:hAnsi="Times New Roman" w:cs="Times New Roman"/>
          <w:noProof/>
        </w:rPr>
        <w:t xml:space="preserve">In addition, as the glutathione system also seems impaired at the transcript level, the astrocytes may need to upregulate other antioxidant defence mechanisms. </w:t>
      </w:r>
    </w:p>
    <w:p w14:paraId="662E4B33" w14:textId="77777777" w:rsidR="00FF421C" w:rsidRDefault="00FF421C" w:rsidP="0052651A">
      <w:pPr>
        <w:spacing w:line="360" w:lineRule="auto"/>
        <w:jc w:val="both"/>
        <w:rPr>
          <w:rFonts w:ascii="Times New Roman" w:hAnsi="Times New Roman" w:cs="Times New Roman"/>
          <w:noProof/>
        </w:rPr>
      </w:pPr>
    </w:p>
    <w:p w14:paraId="1B15B456" w14:textId="6A127E4C" w:rsidR="009A36E1" w:rsidRDefault="009A36E1" w:rsidP="0052651A">
      <w:pPr>
        <w:spacing w:line="360" w:lineRule="auto"/>
        <w:jc w:val="both"/>
        <w:rPr>
          <w:rFonts w:ascii="Times New Roman" w:hAnsi="Times New Roman" w:cs="Times New Roman"/>
          <w:noProof/>
        </w:rPr>
      </w:pPr>
      <w:r>
        <w:rPr>
          <w:rFonts w:ascii="Times New Roman" w:hAnsi="Times New Roman" w:cs="Times New Roman"/>
          <w:noProof/>
        </w:rPr>
        <w:t xml:space="preserve">A further consideration is that astrocytes on a cellular level are made up of four subcompartments: the soma, larger processes, peripheral astrocytes processes (PAPs) and large end feet. Each part of the astrocyte is attributed </w:t>
      </w:r>
      <w:r w:rsidR="000D216B">
        <w:rPr>
          <w:rFonts w:ascii="Times New Roman" w:hAnsi="Times New Roman" w:cs="Times New Roman"/>
          <w:noProof/>
        </w:rPr>
        <w:t>to</w:t>
      </w:r>
      <w:r>
        <w:rPr>
          <w:rFonts w:ascii="Times New Roman" w:hAnsi="Times New Roman" w:cs="Times New Roman"/>
          <w:noProof/>
        </w:rPr>
        <w:t xml:space="preserve"> performing a different role, since the larger p</w:t>
      </w:r>
      <w:r w:rsidR="00D908EB">
        <w:rPr>
          <w:rFonts w:ascii="Times New Roman" w:hAnsi="Times New Roman" w:cs="Times New Roman"/>
          <w:noProof/>
        </w:rPr>
        <w:t>rocesses contact arterioles and PAPs are in close proximity with synapses. The PAPs are too narrow to accommodate mitochondria and therefore in order to respond to a sudden energetic demand, such as glutamate release at the synapse, ATP needs to be readily available. G</w:t>
      </w:r>
      <w:r w:rsidR="00A73E4C">
        <w:rPr>
          <w:rFonts w:ascii="Times New Roman" w:hAnsi="Times New Roman" w:cs="Times New Roman"/>
          <w:noProof/>
        </w:rPr>
        <w:t>lycolysis and glycogenolysis are able to provide more immediate supplies</w:t>
      </w:r>
      <w:r w:rsidR="00D908EB">
        <w:rPr>
          <w:rFonts w:ascii="Times New Roman" w:hAnsi="Times New Roman" w:cs="Times New Roman"/>
          <w:noProof/>
        </w:rPr>
        <w:t xml:space="preserve"> of ATP</w:t>
      </w:r>
      <w:r w:rsidR="00A73E4C">
        <w:rPr>
          <w:rFonts w:ascii="Times New Roman" w:hAnsi="Times New Roman" w:cs="Times New Roman"/>
          <w:noProof/>
        </w:rPr>
        <w:t xml:space="preserve"> </w:t>
      </w:r>
      <w:r w:rsidR="00A73E4C">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"10.1038/sj.jcbfm.9600343", "ISSN" : "0271-678X", "author" : [ { "dropping-particle" : "", "family" : "Hertz", "given" : "Leif", "non-dropping-particle" : "", "parse-names" : false, "suffix" : "" }, { "dropping-particle" : "", "family" : "Peng", "given" : "Liang", "non-dropping-particle" : "", "parse-names" : false, "suffix" : "" }, { "dropping-particle" : "", "family" : "Dienel", "given" : "Gerald A", "non-dropping-particle" : "", "parse-names" : false, "suffix" : "" } ], "container-title" : "Journal of Cerebral Blood Flow &amp; Metabolism", "id" : "ITEM-1", "issue" : "2", "issued" : { "date-parts" : [ [ "2007", "2", "12" ] ] }, "page" : "219-249", "title" : "Energy metabolism in astrocytes: high rate of oxidative metabolism and spatiotemporal dependence on glycolysis/glycogenolysis", "type" : "article-journal", "volume" : "27" }, "uris" : [ "http://www.mendeley.com/documents/?uuid=4e341f64-f13f-348a-a17a-f42adb0fbca1" ] } ], "mendeley" : { "formattedCitation" : "(Hertz et al. 2007)", "plainTextFormattedCitation" : "(Hertz et al. 2007)", "previouslyFormattedCitation" : "(Hertz et al. 2007)" }, "properties" : { "noteIndex" : 0 }, "schema" : "https://github.com/citation-style-language/schema/raw/master/csl-citation.json" }</w:instrText>
      </w:r>
      <w:r w:rsidR="00A73E4C">
        <w:rPr>
          <w:rFonts w:ascii="Times New Roman" w:hAnsi="Times New Roman" w:cs="Times New Roman"/>
          <w:noProof/>
        </w:rPr>
        <w:fldChar w:fldCharType="separate"/>
      </w:r>
      <w:r w:rsidR="00C148FC" w:rsidRPr="00C148FC">
        <w:rPr>
          <w:rFonts w:ascii="Times New Roman" w:hAnsi="Times New Roman" w:cs="Times New Roman"/>
          <w:noProof/>
        </w:rPr>
        <w:t>(Hertz et al. 2007)</w:t>
      </w:r>
      <w:r w:rsidR="00A73E4C">
        <w:rPr>
          <w:rFonts w:ascii="Times New Roman" w:hAnsi="Times New Roman" w:cs="Times New Roman"/>
          <w:noProof/>
        </w:rPr>
        <w:fldChar w:fldCharType="end"/>
      </w:r>
      <w:r w:rsidR="00A73E4C">
        <w:rPr>
          <w:rFonts w:ascii="Times New Roman" w:hAnsi="Times New Roman" w:cs="Times New Roman"/>
          <w:noProof/>
        </w:rPr>
        <w:t xml:space="preserve">. Therefore, the increase in the glycolytic genes observed in this array could suggest that there is at energetic demand near the PAP’s as a result of IGF1R loss. </w:t>
      </w:r>
    </w:p>
    <w:p w14:paraId="5D56BE83" w14:textId="77777777" w:rsidR="00FF421C" w:rsidRDefault="00FF421C" w:rsidP="0052651A">
      <w:pPr>
        <w:spacing w:line="360" w:lineRule="auto"/>
        <w:jc w:val="both"/>
        <w:rPr>
          <w:rFonts w:ascii="Times New Roman" w:hAnsi="Times New Roman" w:cs="Times New Roman"/>
          <w:noProof/>
        </w:rPr>
      </w:pPr>
    </w:p>
    <w:p w14:paraId="2C666FDB" w14:textId="3E3F4C3E" w:rsidR="00FF421C" w:rsidRDefault="00FF421C" w:rsidP="0052651A">
      <w:pPr>
        <w:spacing w:line="360" w:lineRule="auto"/>
        <w:jc w:val="both"/>
        <w:rPr>
          <w:rFonts w:ascii="Times New Roman" w:hAnsi="Times New Roman" w:cs="Times New Roman"/>
          <w:noProof/>
        </w:rPr>
      </w:pPr>
      <w:r>
        <w:rPr>
          <w:rFonts w:ascii="Times New Roman" w:hAnsi="Times New Roman" w:cs="Times New Roman"/>
          <w:noProof/>
        </w:rPr>
        <w:t>Astrocytes can resolve defects in oxidative phosphorylation by increasing glycolysis and generating more lactate to sustain an energy supply for neurons</w:t>
      </w:r>
      <w:r w:rsidR="0078140D">
        <w:rPr>
          <w:rFonts w:ascii="Times New Roman" w:hAnsi="Times New Roman" w:cs="Times New Roman"/>
          <w:noProof/>
        </w:rPr>
        <w:t xml:space="preserve"> </w:t>
      </w:r>
      <w:r w:rsidR="00876712">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"ISSN" : "0027-8424", "PMID" : "7938003", "abstract" : "Glutamate, released at a majority of excitatory synapses in the central nervous system, depolarizes neurons by acting at specific receptors. Its action is terminated by removal from the synaptic cleft mostly via Na(+)-dependent uptake systems located on both neurons and astrocytes. Here we report that glutamate, in addition to its receptor-mediated actions on neuronal excitability, stimulates glycolysis--i.e., glucose utilization and lactate production--in astrocytes. This metabolic action is mediated by activation of a Na(+)-dependent uptake system and not by interaction with receptors. The mechanism involves the Na+/K(+)-ATPase, which is activated by an increase in the intracellular concentration of Na+ cotransported with glutamate by the electrogenic uptake system. Thus, when glutamate is released from active synapses and taken up by astrocytes, the newly identified signaling pathway described here would provide a simple and direct mechanism to tightly couple neuronal activity to glucose utilization. In addition, glutamate-stimulated glycolysis is consistent with data obtained from functional brain imaging studies indicating local nonoxidative glucose utilization during physiological activation.", "author" : [ { "dropping-particle" : "", "family" : "Pellerin", "given" : "L", "non-dropping-particle" : "", "parse-names" : false, "suffix" : "" }, { "dropping-particle" : "", "family" : "Magistretti", "given" : "P J", "non-dropping-particle" : "", "parse-names" : false, "suffix" : "" } ], "container-title" : "Proceedings of the National Academy of Sciences of the United States of America", "id" : "ITEM-1", "issue" : "22", "issued" : { "date-parts" : [ [ "1994", "10", "25" ] ] }, "page" : "10625-9", "title" : "Glutamate uptake into astrocytes stimulates aerobic glycolysis: a mechanism coupling neuronal activity to glucose utilization.", "type" : "article-journal", "volume" : "91" }, "uris" : [ "http://www.mendeley.com/documents/?uuid=48c137c0-934a-4aef-9569-807e0d798687" ] }, { "id" : "ITEM-2", "itemData" : { "DOI" : "10.1073/pnas.261560998", "ISSN" : "0027-8424", "PMID" : "11742096", "abstract" : "It was recently proposed that in Jurkat cells, after inhibition of respiration by NO, glycolytically generated ATP plays a critical role in preventing the collapse of mitochondrial membrane potential (Deltapsi(m)) and thus apoptotic cell death. We have investigated this observation further in primary cultures of rat cortical neurons and astrocytes-cell types that differ greatly in their glycolytic capacity. Continuous and significant ( approximately 85%) inhibition of respiration by NO (1.4 microM at 175 microM O(2)) generated by [(z)-1-[2-aminoethyl]-N-[2-ammonioethyl]amino]diazen-1-ium-1,2 diolate (DETA-NO) initially (10 min) depleted ATP concentrations by approximately 25% in both cell types and increased the rate of glycolysis in astrocytes but not in neurons. Activation of glycolysis in astrocytes, as judged by lactate production, prevented further ATP depletion, whereas in neurons, which do not invoke this mechanism, there was a progressive decrease in ATP concentrations over the next 60 min. During this time, there was a persistent mitochondrial hyperpolarization and absence of apoptotic cell death in astrocytes, whereas in the neurons there was a progressive fall in Deltapsi(m) and increased apoptosis. After glucose deprivation or treatment with inhibitors of the F(1)F(0)-ATPase and adenine nucleotide translocase, astrocytes responded to NO with a fall in Deltapsi(m) and apoptotic cell death similar to the response in neurons. Finally, although treatment of astrocytes with NO partially prevented staurosporin-induced collapse in Deltapsi(m) and cell death, NO and staurosporin synergized in decreasing Deltapsi(m) and inducing apoptosis in neurons. These results demonstrate that although inhibition of cellular respiration by NO leads to neurotoxicity, it may also result in initial neuroprotection, depending on the glycolytic capacity of the particular cell.", "author" : [ { "dropping-particle" : "", "family" : "Almeida", "given" : "A", "non-dropping-particle" : "", "parse-names" : false, "suffix" : "" }, { "dropping-particle" : "", "family" : "Almeida", "given" : "J", "non-dropping-particle" : "", "parse-names" : false, "suffix" : "" }, { "dropping-particle" : "", "family" : "Bola\u00f1os", "given" : "J P", "non-dropping-particle" : "", "parse-names" : false, "suffix" : "" }, { "dropping-particle" : "", "family" : "Moncada", "given" : "S", "non-dropping-particle" : "", "parse-names" : false, "suffix" : "" } ], "container-title" : "Proceedings of the National Academy of Sciences of the United States of America", "id" : "ITEM-2", "issue" : "26", "issued" : { "date-parts" : [ [ "2001", "12", "18" ] ] }, "page" : "15294-9", "title" : "Different responses of astrocytes and neurons to nitric oxide: the role of glycolytically generated ATP in astrocyte protection.", "type" : "article-journal", "volume" : "98" }, "uris" : [ "http://www.mendeley.com/documents/?uuid=f524b441-21ff-4c70-a803-52909491fe9f" ] } ], "mendeley" : { "formattedCitation" : "(Pellerin &amp; Magistretti 1994; Almeida et al. 2001)", "plainTextFormattedCitation" : "(Pellerin &amp; Magistretti 1994; Almeida et al. 2001)", "previouslyFormattedCitation" : "(Pellerin &amp; Magistretti 1994; Almeida et al. 2001)" }, "properties" : { "noteIndex" : 0 }, "schema" : "https://github.com/citation-style-language/schema/raw/master/csl-citation.json" }</w:instrText>
      </w:r>
      <w:r w:rsidR="00876712">
        <w:rPr>
          <w:rFonts w:ascii="Times New Roman" w:hAnsi="Times New Roman" w:cs="Times New Roman"/>
          <w:noProof/>
        </w:rPr>
        <w:fldChar w:fldCharType="separate"/>
      </w:r>
      <w:r w:rsidR="00C148FC" w:rsidRPr="00C148FC">
        <w:rPr>
          <w:rFonts w:ascii="Times New Roman" w:hAnsi="Times New Roman" w:cs="Times New Roman"/>
          <w:noProof/>
        </w:rPr>
        <w:t>(Pellerin &amp; Magistretti 1994; Almeida et al. 2001)</w:t>
      </w:r>
      <w:r w:rsidR="00876712">
        <w:rPr>
          <w:rFonts w:ascii="Times New Roman" w:hAnsi="Times New Roman" w:cs="Times New Roman"/>
          <w:noProof/>
        </w:rPr>
        <w:fldChar w:fldCharType="end"/>
      </w:r>
      <w:r>
        <w:rPr>
          <w:rFonts w:ascii="Times New Roman" w:hAnsi="Times New Roman" w:cs="Times New Roman"/>
          <w:noProof/>
        </w:rPr>
        <w:t>. The array data showed increased expression of a number of glycolytic genes, including elevated expression of a pyruvate/lactate transporter (a</w:t>
      </w:r>
      <w:r w:rsidR="00967133">
        <w:rPr>
          <w:rFonts w:ascii="Times New Roman" w:hAnsi="Times New Roman" w:cs="Times New Roman"/>
          <w:noProof/>
        </w:rPr>
        <w:t>lthough validation of these</w:t>
      </w:r>
      <w:r w:rsidR="00B77ACC">
        <w:rPr>
          <w:rFonts w:ascii="Times New Roman" w:hAnsi="Times New Roman" w:cs="Times New Roman"/>
          <w:noProof/>
        </w:rPr>
        <w:t xml:space="preserve"> glycolytic genes</w:t>
      </w:r>
      <w:r w:rsidR="00967133">
        <w:rPr>
          <w:rFonts w:ascii="Times New Roman" w:hAnsi="Times New Roman" w:cs="Times New Roman"/>
          <w:noProof/>
        </w:rPr>
        <w:t xml:space="preserve"> by q</w:t>
      </w:r>
      <w:r>
        <w:rPr>
          <w:rFonts w:ascii="Times New Roman" w:hAnsi="Times New Roman" w:cs="Times New Roman"/>
          <w:noProof/>
        </w:rPr>
        <w:t>RT</w:t>
      </w:r>
      <w:r w:rsidR="00967133">
        <w:rPr>
          <w:rFonts w:ascii="Times New Roman" w:hAnsi="Times New Roman" w:cs="Times New Roman"/>
          <w:noProof/>
        </w:rPr>
        <w:t>-</w:t>
      </w:r>
      <w:r>
        <w:rPr>
          <w:rFonts w:ascii="Times New Roman" w:hAnsi="Times New Roman" w:cs="Times New Roman"/>
          <w:noProof/>
        </w:rPr>
        <w:t>PCR was unclear). Therefore, lactate production was assessed in co-cultures to assess</w:t>
      </w:r>
      <w:r w:rsidR="00B77ACC">
        <w:rPr>
          <w:rFonts w:ascii="Times New Roman" w:hAnsi="Times New Roman" w:cs="Times New Roman"/>
          <w:noProof/>
        </w:rPr>
        <w:t xml:space="preserve"> whether there wa</w:t>
      </w:r>
      <w:r>
        <w:rPr>
          <w:rFonts w:ascii="Times New Roman" w:hAnsi="Times New Roman" w:cs="Times New Roman"/>
          <w:noProof/>
        </w:rPr>
        <w:t>s compensation in astrocytes following IGF1R related impairments in energy metabolism. There were no changes in lac</w:t>
      </w:r>
      <w:r w:rsidR="00F759E0">
        <w:rPr>
          <w:rFonts w:ascii="Times New Roman" w:hAnsi="Times New Roman" w:cs="Times New Roman"/>
          <w:noProof/>
        </w:rPr>
        <w:t>tate levels in co-cultures when</w:t>
      </w:r>
      <w:r>
        <w:rPr>
          <w:rFonts w:ascii="Times New Roman" w:hAnsi="Times New Roman" w:cs="Times New Roman"/>
          <w:noProof/>
        </w:rPr>
        <w:t xml:space="preserve"> astrocytes were treated with MAB391 compared with controls. </w:t>
      </w:r>
      <w:r w:rsidR="00F759E0">
        <w:rPr>
          <w:rFonts w:ascii="Times New Roman" w:hAnsi="Times New Roman" w:cs="Times New Roman"/>
          <w:noProof/>
        </w:rPr>
        <w:t>However, a</w:t>
      </w:r>
      <w:r>
        <w:rPr>
          <w:rFonts w:ascii="Times New Roman" w:hAnsi="Times New Roman" w:cs="Times New Roman"/>
          <w:noProof/>
        </w:rPr>
        <w:t xml:space="preserve"> lactate assay alone is not sufficient to confirm if astrocytes are able to compensate for defective oxidative phosphorylation. The glycolytic activity of IGF1R impaired astrocytes could be altered but instead of supplying lactate could be raising pyruvate levels to compensate for changes in oxidative phosphorylation. Therefore, glycolytic rates and pyruvate levels in astrocytes would need to be assessed to investigate whether astrocytes are indeed able to restore energy metabolism following IGF1R loss. Furthermore, external lactate levels may not be altered as neurons may upregulate lactate transporters such as MCT2 when astrocytes increase lactate production as a result of impairments in oxidative phosphorylation. Thus, measurements of lactate levels in the media may show no differences (as demonstrated here) as astrocytes may be releasing more lactate but this may be taken up more effectively by surrounding neurons. </w:t>
      </w:r>
    </w:p>
    <w:p w14:paraId="63D78925" w14:textId="77777777" w:rsidR="00FF421C" w:rsidRDefault="00FF421C" w:rsidP="00450E1F">
      <w:pPr>
        <w:spacing w:line="360" w:lineRule="auto"/>
        <w:rPr>
          <w:rFonts w:ascii="Times New Roman" w:hAnsi="Times New Roman" w:cs="Times New Roman"/>
          <w:noProof/>
        </w:rPr>
      </w:pPr>
    </w:p>
    <w:p w14:paraId="4A13B25B" w14:textId="0AE8D36C" w:rsidR="005D76CE" w:rsidRDefault="005E5BE7" w:rsidP="0052651A">
      <w:pPr>
        <w:spacing w:line="360" w:lineRule="auto"/>
        <w:jc w:val="both"/>
        <w:rPr>
          <w:rFonts w:ascii="Times New Roman" w:hAnsi="Times New Roman" w:cs="Times New Roman"/>
          <w:noProof/>
        </w:rPr>
      </w:pPr>
      <w:r>
        <w:rPr>
          <w:rFonts w:ascii="Times New Roman" w:hAnsi="Times New Roman" w:cs="Times New Roman"/>
          <w:noProof/>
        </w:rPr>
        <w:t>Taking all of this into account, loss of IGF1R could be elevating expression of glycolytic genes to</w:t>
      </w:r>
      <w:r w:rsidR="00915317">
        <w:rPr>
          <w:rFonts w:ascii="Times New Roman" w:hAnsi="Times New Roman" w:cs="Times New Roman"/>
          <w:noProof/>
        </w:rPr>
        <w:t xml:space="preserve"> increase glycolytic activity and thereby</w:t>
      </w:r>
      <w:r>
        <w:rPr>
          <w:rFonts w:ascii="Times New Roman" w:hAnsi="Times New Roman" w:cs="Times New Roman"/>
          <w:noProof/>
        </w:rPr>
        <w:t xml:space="preserve"> compensate for </w:t>
      </w:r>
      <w:r w:rsidR="00FB5ACB">
        <w:rPr>
          <w:rFonts w:ascii="Times New Roman" w:hAnsi="Times New Roman" w:cs="Times New Roman"/>
          <w:noProof/>
        </w:rPr>
        <w:t>defects in oxidative phosphorylation.</w:t>
      </w:r>
      <w:r w:rsidR="005F57AB">
        <w:rPr>
          <w:rFonts w:ascii="Times New Roman" w:hAnsi="Times New Roman" w:cs="Times New Roman"/>
          <w:noProof/>
        </w:rPr>
        <w:t xml:space="preserve"> It</w:t>
      </w:r>
      <w:r w:rsidR="00FF7AD6">
        <w:rPr>
          <w:rFonts w:ascii="Times New Roman" w:hAnsi="Times New Roman" w:cs="Times New Roman"/>
          <w:noProof/>
        </w:rPr>
        <w:t xml:space="preserve"> is not clear whether increased glycolysis would result in lactate production to maintain an energy supply to neurons</w:t>
      </w:r>
      <w:r w:rsidR="005F57AB">
        <w:rPr>
          <w:rFonts w:ascii="Times New Roman" w:hAnsi="Times New Roman" w:cs="Times New Roman"/>
          <w:noProof/>
        </w:rPr>
        <w:t>,</w:t>
      </w:r>
      <w:r w:rsidR="00FF7AD6">
        <w:rPr>
          <w:rFonts w:ascii="Times New Roman" w:hAnsi="Times New Roman" w:cs="Times New Roman"/>
          <w:noProof/>
        </w:rPr>
        <w:t xml:space="preserve"> or whether glycolysis is upregulated to provide more substrate eventually </w:t>
      </w:r>
      <w:r w:rsidR="005F57AB">
        <w:rPr>
          <w:rFonts w:ascii="Times New Roman" w:hAnsi="Times New Roman" w:cs="Times New Roman"/>
          <w:noProof/>
        </w:rPr>
        <w:t xml:space="preserve">for </w:t>
      </w:r>
      <w:r w:rsidR="00FF7AD6">
        <w:rPr>
          <w:rFonts w:ascii="Times New Roman" w:hAnsi="Times New Roman" w:cs="Times New Roman"/>
          <w:noProof/>
        </w:rPr>
        <w:t>o</w:t>
      </w:r>
      <w:r w:rsidR="005F57AB">
        <w:rPr>
          <w:rFonts w:ascii="Times New Roman" w:hAnsi="Times New Roman" w:cs="Times New Roman"/>
          <w:noProof/>
        </w:rPr>
        <w:t>xidative phosphorylation</w:t>
      </w:r>
      <w:r w:rsidR="00FF7AD6">
        <w:rPr>
          <w:rFonts w:ascii="Times New Roman" w:hAnsi="Times New Roman" w:cs="Times New Roman"/>
          <w:noProof/>
        </w:rPr>
        <w:t xml:space="preserve">. </w:t>
      </w:r>
      <w:r w:rsidR="000D216B">
        <w:rPr>
          <w:rFonts w:ascii="Times New Roman" w:hAnsi="Times New Roman" w:cs="Times New Roman"/>
          <w:noProof/>
        </w:rPr>
        <w:t xml:space="preserve">Alternatively, pyruvate production may be preferred and used both as an intracellular or extracellular antioxidant. </w:t>
      </w:r>
    </w:p>
    <w:p w14:paraId="6F510F31" w14:textId="77777777" w:rsidR="00AC7BB4" w:rsidRDefault="00AC7BB4" w:rsidP="009E5F8C">
      <w:pPr>
        <w:spacing w:line="360" w:lineRule="auto"/>
        <w:rPr>
          <w:rFonts w:ascii="Times New Roman" w:hAnsi="Times New Roman" w:cs="Times New Roman"/>
          <w:noProof/>
        </w:rPr>
      </w:pPr>
    </w:p>
    <w:p w14:paraId="7C400312" w14:textId="6319620C" w:rsidR="00FF421C" w:rsidRPr="00CD4DD7" w:rsidRDefault="00FF421C" w:rsidP="0052651A">
      <w:pPr>
        <w:pStyle w:val="Heading4"/>
        <w:jc w:val="both"/>
        <w:rPr>
          <w:noProof/>
          <w:color w:val="FF0000"/>
          <w:u w:val="single"/>
        </w:rPr>
      </w:pPr>
      <w:r w:rsidRPr="006D165D">
        <w:rPr>
          <w:noProof/>
          <w:u w:val="single"/>
        </w:rPr>
        <w:t>Antioxidant pathway</w:t>
      </w:r>
    </w:p>
    <w:p w14:paraId="1B22A50F" w14:textId="3C0C7D46" w:rsidR="00CE2F63" w:rsidRDefault="00CE2F63" w:rsidP="0052651A">
      <w:pPr>
        <w:spacing w:line="360" w:lineRule="auto"/>
        <w:jc w:val="both"/>
        <w:rPr>
          <w:rFonts w:ascii="Times New Roman" w:hAnsi="Times New Roman" w:cs="Times New Roman"/>
          <w:noProof/>
        </w:rPr>
      </w:pPr>
      <w:r>
        <w:rPr>
          <w:rFonts w:ascii="Times New Roman" w:hAnsi="Times New Roman" w:cs="Times New Roman"/>
          <w:noProof/>
        </w:rPr>
        <w:t xml:space="preserve">Given the finding that MAB391-treated astrocytes were less able to support neurons under conditions of oxidative stress it was predicted that there may be changes in genes involved in the antioxidant pathway. Astrocytes predominantly use glutathione and catalase as their antioxidant defence mechanism </w:t>
      </w:r>
      <w:r>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"10.1016/S0006-8993(97)00233-3", "ISSN" : "00068993", "abstract" : "The ability of astroglial cells to detoxify exogenously applied hydrogen peroxide (H2O2) was tested using astroglia-rich primary cultures derived from the brains of newborn rats. Incubation of astroglial cells with 100 \u03bcM H2O2 in the absence of glucose led to a 66% oxidation of the cellular glutathione within 30 s. Under these conditions, the cells were unable to re-establish the original high ratio of GSH/GSSG within 30 min of incubation. In contrast, if glucose was present the amount of GSSG produced on incubation with H2O2 was smaller (45% of total glutathione after 30 s) and the original ratio of GSH/GSSG was almost completely re-established within 10 min. If 100 \u03bcM H2O2 was applied, H2O2 disappeared from the incubation buffer with an apparent half-life of \u22484 min. After 15 min of incubation, no H2O2 was detectable any more. The apparent half-life of H2O2 in the incubation buffer increased slightly but significantly with increasing concentration of H2O2 or when the cells were starved of glucose. A small reduction in the capacity of the cells to detoxify H2O2 was also observed after depletion of the glutathione content to 14% of control level by a 24 h pre-incubation of the cells in culture medium containing buthionine sulfoximine, an inhibitor of glutathione synthesis. Incubation of astroglial cells with mercaptosuccinate or 3-aminotriazole, inhibitors of glutathione peroxidase and catalase, respectively, only marginally reduced the rate of disappearance of H2O2 from the incubation buffer. In contrast, the rate of H2O2 clearance was strongly reduced in the presence of both inhibitors. These results demonstrate that glutathione peroxidase and catalase are involved in the detoxification of H2O2 by astroglial cells and that both enzymes are able to substitute for each other in the detoxification of H2O2.", "author" : [ { "dropping-particle" : "", "family" : "Dringen", "given" : "Ralf", "non-dropping-particle" : "", "parse-names" : false, "suffix" : "" }, { "dropping-particle" : "", "family" : "Hamprecht", "given" : "Bernd", "non-dropping-particle" : "", "parse-names" : false, "suffix" : "" } ], "container-title" : "Brain Research", "id" : "ITEM-1", "issue" : "1", "issued" : { "date-parts" : [ [ "1997", "6" ] ] }, "page" : "67-75", "title" : "Involvement of glutathione peroxidase and catalase in the disposal of exogenous hydrogen peroxide by cultured astroglial cells", "type" : "article-journal", "volume" : "759" }, "uris" : [ "http://www.mendeley.com/documents/?uuid=eea0f49c-35cb-4449-b0c9-a4e8d6dec82c" ] } ], "mendeley" : { "formattedCitation" : "(Dringen &amp; Hamprecht 1997)", "plainTextFormattedCitation" : "(Dringen &amp; Hamprecht 1997)", "previouslyFormattedCitation" : "(Dringen &amp; Hamprecht 1997)" }, "properties" : { "noteIndex" : 0 }, "schema" : "https://github.com/citation-style-language/schema/raw/master/csl-citation.json" }</w:instrText>
      </w:r>
      <w:r>
        <w:rPr>
          <w:rFonts w:ascii="Times New Roman" w:hAnsi="Times New Roman" w:cs="Times New Roman"/>
          <w:noProof/>
        </w:rPr>
        <w:fldChar w:fldCharType="separate"/>
      </w:r>
      <w:r w:rsidR="00C148FC" w:rsidRPr="00C148FC">
        <w:rPr>
          <w:rFonts w:ascii="Times New Roman" w:hAnsi="Times New Roman" w:cs="Times New Roman"/>
          <w:noProof/>
        </w:rPr>
        <w:t>(Dringen &amp; Hamprecht 1997)</w:t>
      </w:r>
      <w:r>
        <w:rPr>
          <w:rFonts w:ascii="Times New Roman" w:hAnsi="Times New Roman" w:cs="Times New Roman"/>
          <w:noProof/>
        </w:rPr>
        <w:fldChar w:fldCharType="end"/>
      </w:r>
      <w:r>
        <w:rPr>
          <w:rFonts w:ascii="Times New Roman" w:hAnsi="Times New Roman" w:cs="Times New Roman"/>
          <w:noProof/>
        </w:rPr>
        <w:t xml:space="preserve">. A </w:t>
      </w:r>
      <w:r w:rsidR="00FF421C">
        <w:rPr>
          <w:rFonts w:ascii="Times New Roman" w:hAnsi="Times New Roman" w:cs="Times New Roman"/>
          <w:noProof/>
        </w:rPr>
        <w:t xml:space="preserve">compromised glutathione system in astrocytes may contribute to a reduced capacity to defend against extracellular ROS, which could increase the susceptibility </w:t>
      </w:r>
      <w:r>
        <w:rPr>
          <w:rFonts w:ascii="Times New Roman" w:hAnsi="Times New Roman" w:cs="Times New Roman"/>
          <w:noProof/>
        </w:rPr>
        <w:t>of</w:t>
      </w:r>
      <w:r w:rsidR="00FF421C">
        <w:rPr>
          <w:rFonts w:ascii="Times New Roman" w:hAnsi="Times New Roman" w:cs="Times New Roman"/>
          <w:noProof/>
        </w:rPr>
        <w:t xml:space="preserve"> astrocytes and neighbouring cells to ROS </w:t>
      </w:r>
      <w:r w:rsidR="00FF421C">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"10.1046/j.1432-1327.2000.01597.x", "ISSN" : "00142956", "author" : [ { "dropping-particle" : "", "family" : "Dringen", "given" : "Ralf", "non-dropping-particle" : "", "parse-names" : false, "suffix" : "" }, { "dropping-particle" : "", "family" : "Gutterer", "given" : "Jan M", "non-dropping-particle" : "", "parse-names" : false, "suffix" : "" }, { "dropping-particle" : "", "family" : "Hirrlinger", "given" : "Johannes", "non-dropping-particle" : "", "parse-names" : false, "suffix" : "" } ], "container-title" : "European Journal of Biochemistry", "id" : "ITEM-1", "issue" : "16", "issued" : { "date-parts" : [ [ "2000", "8", "25" ] ] }, "page" : "4912-4916", "title" : "Glutathione metabolism in brain", "type" : "article-journal", "volume" : "267" }, "uris" : [ "http://www.mendeley.com/documents/?uuid=02727738-c84b-4eb5-aa42-ee5ed96db0e8" ] } ], "mendeley" : { "formattedCitation" : "(Dringen et al. 2000)", "plainTextFormattedCitation" : "(Dringen et al. 2000)", "previouslyFormattedCitation" : "(Dringen et al. 2000)" }, "properties" : { "noteIndex" : 0 }, "schema" : "https://github.com/citation-style-language/schema/raw/master/csl-citation.json" }</w:instrText>
      </w:r>
      <w:r w:rsidR="00FF421C">
        <w:rPr>
          <w:rFonts w:ascii="Times New Roman" w:hAnsi="Times New Roman" w:cs="Times New Roman"/>
          <w:noProof/>
        </w:rPr>
        <w:fldChar w:fldCharType="separate"/>
      </w:r>
      <w:r w:rsidR="00C148FC" w:rsidRPr="00C148FC">
        <w:rPr>
          <w:rFonts w:ascii="Times New Roman" w:hAnsi="Times New Roman" w:cs="Times New Roman"/>
          <w:noProof/>
        </w:rPr>
        <w:t>(Dringen et al. 2000)</w:t>
      </w:r>
      <w:r w:rsidR="00FF421C">
        <w:rPr>
          <w:rFonts w:ascii="Times New Roman" w:hAnsi="Times New Roman" w:cs="Times New Roman"/>
          <w:noProof/>
        </w:rPr>
        <w:fldChar w:fldCharType="end"/>
      </w:r>
      <w:r w:rsidR="00FF421C">
        <w:rPr>
          <w:rFonts w:ascii="Times New Roman" w:hAnsi="Times New Roman" w:cs="Times New Roman"/>
          <w:noProof/>
        </w:rPr>
        <w:t xml:space="preserve">. </w:t>
      </w:r>
    </w:p>
    <w:p w14:paraId="0815FBB7" w14:textId="6DDC2231" w:rsidR="00CE2F63" w:rsidRDefault="00FF421C" w:rsidP="0052651A">
      <w:pPr>
        <w:spacing w:line="360" w:lineRule="auto"/>
        <w:jc w:val="both"/>
        <w:rPr>
          <w:rFonts w:ascii="Times New Roman" w:hAnsi="Times New Roman" w:cs="Times New Roman"/>
          <w:noProof/>
        </w:rPr>
      </w:pPr>
      <w:r>
        <w:rPr>
          <w:rFonts w:ascii="Times New Roman" w:hAnsi="Times New Roman" w:cs="Times New Roman"/>
          <w:noProof/>
        </w:rPr>
        <w:t>IMPALA and DAVID pathway enrichment analysis</w:t>
      </w:r>
      <w:r w:rsidR="00CE2F63">
        <w:rPr>
          <w:rFonts w:ascii="Times New Roman" w:hAnsi="Times New Roman" w:cs="Times New Roman"/>
          <w:noProof/>
        </w:rPr>
        <w:t xml:space="preserve"> did not identify changes in the antioxidant status of the cells and therefore the data was </w:t>
      </w:r>
      <w:r>
        <w:rPr>
          <w:rFonts w:ascii="Times New Roman" w:hAnsi="Times New Roman" w:cs="Times New Roman"/>
          <w:noProof/>
        </w:rPr>
        <w:t xml:space="preserve">manually interrogated for any changes in </w:t>
      </w:r>
      <w:r w:rsidR="00CE2F63">
        <w:rPr>
          <w:rFonts w:ascii="Times New Roman" w:hAnsi="Times New Roman" w:cs="Times New Roman"/>
          <w:noProof/>
        </w:rPr>
        <w:t>antioxidant genes</w:t>
      </w:r>
      <w:r>
        <w:rPr>
          <w:rFonts w:ascii="Times New Roman" w:hAnsi="Times New Roman" w:cs="Times New Roman"/>
          <w:noProof/>
        </w:rPr>
        <w:t>.</w:t>
      </w:r>
      <w:r w:rsidR="00CE2F63">
        <w:rPr>
          <w:rFonts w:ascii="Times New Roman" w:hAnsi="Times New Roman" w:cs="Times New Roman"/>
          <w:noProof/>
        </w:rPr>
        <w:t xml:space="preserve"> Ten genes were identified as dysregulated in</w:t>
      </w:r>
      <w:r w:rsidR="0052605A">
        <w:rPr>
          <w:rFonts w:ascii="Times New Roman" w:hAnsi="Times New Roman" w:cs="Times New Roman"/>
          <w:noProof/>
        </w:rPr>
        <w:t xml:space="preserve"> the IGF1-impaired astrocytes i</w:t>
      </w:r>
      <w:r w:rsidR="00CE2F63">
        <w:rPr>
          <w:rFonts w:ascii="Times New Roman" w:hAnsi="Times New Roman" w:cs="Times New Roman"/>
          <w:noProof/>
        </w:rPr>
        <w:t>n</w:t>
      </w:r>
      <w:r w:rsidR="0052605A">
        <w:rPr>
          <w:rFonts w:ascii="Times New Roman" w:hAnsi="Times New Roman" w:cs="Times New Roman"/>
          <w:noProof/>
        </w:rPr>
        <w:t>d</w:t>
      </w:r>
      <w:r w:rsidR="00CE2F63">
        <w:rPr>
          <w:rFonts w:ascii="Times New Roman" w:hAnsi="Times New Roman" w:cs="Times New Roman"/>
          <w:noProof/>
        </w:rPr>
        <w:t xml:space="preserve">icating an overall impairment in the ability of the astrocytes to process ROS. This included enzymes involved in converting </w:t>
      </w:r>
      <w:r>
        <w:rPr>
          <w:rFonts w:ascii="Times New Roman" w:hAnsi="Times New Roman" w:cs="Times New Roman"/>
          <w:noProof/>
        </w:rPr>
        <w:t>oxidised glutathione back to reduced glutathione (in particular PRDX3 and GLRX3), which</w:t>
      </w:r>
      <w:r w:rsidR="00CE2F63">
        <w:rPr>
          <w:rFonts w:ascii="Times New Roman" w:hAnsi="Times New Roman" w:cs="Times New Roman"/>
          <w:noProof/>
        </w:rPr>
        <w:t xml:space="preserve"> would limit the glutathione avaliable to reduce ROS.</w:t>
      </w:r>
      <w:r>
        <w:rPr>
          <w:rFonts w:ascii="Times New Roman" w:hAnsi="Times New Roman" w:cs="Times New Roman"/>
          <w:noProof/>
        </w:rPr>
        <w:t xml:space="preserve"> </w:t>
      </w:r>
      <w:r w:rsidR="0052605A">
        <w:rPr>
          <w:rFonts w:ascii="Times New Roman" w:hAnsi="Times New Roman" w:cs="Times New Roman"/>
          <w:noProof/>
        </w:rPr>
        <w:t>Reduced PRDX3 at the tra</w:t>
      </w:r>
      <w:r w:rsidR="00967133">
        <w:rPr>
          <w:rFonts w:ascii="Times New Roman" w:hAnsi="Times New Roman" w:cs="Times New Roman"/>
          <w:noProof/>
        </w:rPr>
        <w:t>nscript level was validated by q</w:t>
      </w:r>
      <w:r w:rsidR="0052605A">
        <w:rPr>
          <w:rFonts w:ascii="Times New Roman" w:hAnsi="Times New Roman" w:cs="Times New Roman"/>
          <w:noProof/>
        </w:rPr>
        <w:t xml:space="preserve">RT-PCR, whereas GLRX3 did not validate. PRDX3 is found in the mitochondria and reduced levels of this transcript may suggest an inability to process ROS generated </w:t>
      </w:r>
      <w:r w:rsidR="00D40C91">
        <w:rPr>
          <w:rFonts w:ascii="Times New Roman" w:hAnsi="Times New Roman" w:cs="Times New Roman"/>
          <w:noProof/>
        </w:rPr>
        <w:t xml:space="preserve">from defective complex </w:t>
      </w:r>
      <w:r w:rsidR="00D40C91" w:rsidRPr="00404084">
        <w:rPr>
          <w:rFonts w:ascii="Times New Roman" w:hAnsi="Times New Roman" w:cs="Times New Roman"/>
          <w:noProof/>
        </w:rPr>
        <w:t xml:space="preserve">I </w:t>
      </w:r>
      <w:r w:rsidR="00D40C91" w:rsidRPr="00404084">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"10.1111/j.1474-9726.2008.00432.x", "ISSN" : "1474-9726", "PMID" : "18778410", "abstract" : "H(2)O(2) is a major reactive oxygen species produced by mitochondria that is implicated to be important in aging and pathogenesis of diseases such as diabetes; however, the cellular and physiological roles of mitochondrial H(2)O(2) remain poorly understood. Peroxiredoxin 3 (Prdx3/Prx3) is a thioredoxin peroxidase localized in mitochondria. To understand the cellular and physiological roles of mitochondrial H(2)O(2) in aging and pathogenesis of age-associated diseases, we generated transgenic mice overexpressing Prdx3 (Tg(PRDX3) mice). Tg(PRDX3) mice overexpress Prdx3 in a broad range of tissues, and the Prdx3 overexpression occurs exclusively in the mitochondria. As a result of increased Prdx3 expression, mitochondria from Tg(PRDX3) mice produce significantly reduced amount of H(2)O(2), and cells from Tg(PRDX3) mice have increased resistance to stress-induced cell death and apoptosis. Interestingly, Tg(PRDX3) mice show improved glucose homeostasis, as evidenced by their reduced levels of blood glucose and increased glucose clearance. Tg(PRDX3) mice are also protected against hyperglycemia and glucose intolerance induced by high-fat diet feeding. Our results further show that the inhibition of GSK3 may play a role in mediating the improved glucose tolerance phenotype in Tg(PRDX3) mice. Thus, our results indicate that reduction of mitochondrial H(2)O(2) by overexpressing Prdx3 improves glucose tolerance.", "author" : [ { "dropping-particle" : "", "family" : "Chen", "given" : "Liuji", "non-dropping-particle" : "", "parse-names" : false, "suffix" : "" }, { "dropping-particle" : "", "family" : "Na", "given" : "Ren", "non-dropping-particle" : "", "parse-names" : false, "suffix" : "" }, { "dropping-particle" : "", "family" : "Gu", "given" : "Mingjun", "non-dropping-particle" : "", "parse-names" : false, "suffix" : "" }, { "dropping-particle" : "", "family" : "Salmon", "given" : "Adam B", "non-dropping-particle" : "", "parse-names" : false, "suffix" : "" }, { "dropping-particle" : "", "family" : "Liu", "given" : "Yuhong", "non-dropping-particle" : "", "parse-names" : false, "suffix" : "" }, { "dropping-particle" : "", "family" : "Liang", "given" : "Hanyu", "non-dropping-particle" : "", "parse-names" : false, "suffix" : "" }, { "dropping-particle" : "", "family" : "Qi", "given" : "Wenbo", "non-dropping-particle" : "", "parse-names" : false, "suffix" : "" }, { "dropping-particle" : "", "family" : "Remmen", "given" : "Holly", "non-dropping-particle" : "Van", "parse-names" : false, "suffix" : "" }, { "dropping-particle" : "", "family" : "Richardson", "given" : "Arlan", "non-dropping-particle" : "", "parse-names" : false, "suffix" : "" }, { "dropping-particle" : "", "family" : "Ran", "given" : "Qitao", "non-dropping-particle" : "", "parse-names" : false, "suffix" : "" } ], "container-title" : "Aging cell", "id" : "ITEM-1", "issue" : "6", "issued" : { "date-parts" : [ [ "2008", "12" ] ] }, "page" : "866-78", "publisher" : "NIH Public Access", "title" : "Reduction of mitochondrial H2O2 by overexpressing peroxiredoxin 3 improves glucose tolerance in mice.", "type" : "article-journal", "volume" : "7" }, "uris" : [ "http://www.mendeley.com/documents/?uuid=b975db17-b26f-374f-8875-cff5a304a95c" ] } ], "mendeley" : { "formattedCitation" : "(Chen et al. 2008)", "plainTextFormattedCitation" : "(Chen et al. 2008)", "previouslyFormattedCitation" : "(Chen et al. 2008)" }, "properties" : { "noteIndex" : 0 }, "schema" : "https://github.com/citation-style-language/schema/raw/master/csl-citation.json" }</w:instrText>
      </w:r>
      <w:r w:rsidR="00D40C91" w:rsidRPr="00404084">
        <w:rPr>
          <w:rFonts w:ascii="Times New Roman" w:hAnsi="Times New Roman" w:cs="Times New Roman"/>
          <w:noProof/>
        </w:rPr>
        <w:fldChar w:fldCharType="separate"/>
      </w:r>
      <w:r w:rsidR="00C148FC" w:rsidRPr="00C148FC">
        <w:rPr>
          <w:rFonts w:ascii="Times New Roman" w:hAnsi="Times New Roman" w:cs="Times New Roman"/>
          <w:noProof/>
        </w:rPr>
        <w:t>(Chen et al. 2008)</w:t>
      </w:r>
      <w:r w:rsidR="00D40C91" w:rsidRPr="00404084">
        <w:rPr>
          <w:rFonts w:ascii="Times New Roman" w:hAnsi="Times New Roman" w:cs="Times New Roman"/>
          <w:noProof/>
        </w:rPr>
        <w:fldChar w:fldCharType="end"/>
      </w:r>
      <w:r w:rsidR="00D40C91" w:rsidRPr="00404084">
        <w:rPr>
          <w:rFonts w:ascii="Times New Roman" w:hAnsi="Times New Roman" w:cs="Times New Roman"/>
          <w:noProof/>
        </w:rPr>
        <w:t>.</w:t>
      </w:r>
    </w:p>
    <w:p w14:paraId="446BD023" w14:textId="77777777" w:rsidR="00CE2F63" w:rsidRDefault="00CE2F63" w:rsidP="0052651A">
      <w:pPr>
        <w:spacing w:line="360" w:lineRule="auto"/>
        <w:jc w:val="both"/>
        <w:rPr>
          <w:rFonts w:ascii="Times New Roman" w:hAnsi="Times New Roman" w:cs="Times New Roman"/>
          <w:noProof/>
        </w:rPr>
      </w:pPr>
    </w:p>
    <w:p w14:paraId="7CBA7F1F" w14:textId="09A52CA1" w:rsidR="00121174" w:rsidRDefault="00CE2F63" w:rsidP="0052651A">
      <w:pPr>
        <w:spacing w:line="360" w:lineRule="auto"/>
        <w:jc w:val="both"/>
        <w:rPr>
          <w:rFonts w:ascii="Times New Roman" w:hAnsi="Times New Roman" w:cs="Times New Roman"/>
          <w:noProof/>
        </w:rPr>
      </w:pPr>
      <w:r>
        <w:rPr>
          <w:rFonts w:ascii="Times New Roman" w:hAnsi="Times New Roman" w:cs="Times New Roman"/>
          <w:noProof/>
        </w:rPr>
        <w:t>Glutathione s transferase alpha 3 (</w:t>
      </w:r>
      <w:r w:rsidR="00FF421C">
        <w:rPr>
          <w:rFonts w:ascii="Times New Roman" w:hAnsi="Times New Roman" w:cs="Times New Roman"/>
          <w:noProof/>
        </w:rPr>
        <w:t>GSTA3</w:t>
      </w:r>
      <w:r>
        <w:rPr>
          <w:rFonts w:ascii="Times New Roman" w:hAnsi="Times New Roman" w:cs="Times New Roman"/>
          <w:noProof/>
        </w:rPr>
        <w:t>)</w:t>
      </w:r>
      <w:r w:rsidR="00FF421C">
        <w:rPr>
          <w:rFonts w:ascii="Times New Roman" w:hAnsi="Times New Roman" w:cs="Times New Roman"/>
          <w:noProof/>
        </w:rPr>
        <w:t xml:space="preserve"> mRNA expression levels </w:t>
      </w:r>
      <w:r>
        <w:rPr>
          <w:rFonts w:ascii="Times New Roman" w:hAnsi="Times New Roman" w:cs="Times New Roman"/>
          <w:noProof/>
        </w:rPr>
        <w:t>were significantly upregulated. GSTA3</w:t>
      </w:r>
      <w:r w:rsidR="00FF421C">
        <w:rPr>
          <w:rFonts w:ascii="Times New Roman" w:hAnsi="Times New Roman" w:cs="Times New Roman"/>
          <w:noProof/>
        </w:rPr>
        <w:t xml:space="preserve"> increase</w:t>
      </w:r>
      <w:r>
        <w:rPr>
          <w:rFonts w:ascii="Times New Roman" w:hAnsi="Times New Roman" w:cs="Times New Roman"/>
          <w:noProof/>
        </w:rPr>
        <w:t>s</w:t>
      </w:r>
      <w:r w:rsidR="00FF421C">
        <w:rPr>
          <w:rFonts w:ascii="Times New Roman" w:hAnsi="Times New Roman" w:cs="Times New Roman"/>
          <w:noProof/>
        </w:rPr>
        <w:t xml:space="preserve"> conjugation of GSH to cellular proteins that may have undergone oxidative stress</w:t>
      </w:r>
      <w:r w:rsidR="00455C5F">
        <w:rPr>
          <w:rFonts w:ascii="Times New Roman" w:hAnsi="Times New Roman" w:cs="Times New Roman"/>
          <w:noProof/>
        </w:rPr>
        <w:t xml:space="preserve"> </w:t>
      </w:r>
      <w:r w:rsidR="00455C5F">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"ISSN" : "0929-8673", "PMID" : "10101214", "abstract" : "The Glutathione S-transferases (GSTs) form a group of multi-gene isoenzymes involved in the cellular detoxification of both xenobiotic and endobiotic compounds. GSTs have been divided into a number of subclasses, alpha, mu, pi, and theta. The classification was made on the basis of sequence similarity and immunological cross-reactivity. GSTs show a high level of specificity toward GSH but the electrophilic second substrate can vary significantly both between and within the classes in spite of their sequence similarity. X-ray crystallography and site-directed mutagenesis studies have together elucidated the structure and mechanism of GSTs. Catalysis occurs by conjugation with glutathione (GSH) and the less toxic and more hydrophilic products can then be partially metabolised and excreted. This invaluable service is however disadvantageous during chemotherapy where GSTs have been associated with multi-drug resistance of tumour cells. Levels of expression of different isoforms of GSTs are tissue specific. The variations in expression between normal and tumour cells are of interest and in most cases the levels of GSTs are increased, especially p-GST. Understanding the complex role that GSTs play in drug resistance begins with determining the pattern of isoform expression and the substrate specificities of each isoform. The use of isozyme-specific, GSH analogues as inhibitors to modulate GST activity during chemotherapy is a promising strategy in the battle against cancer. This review attempts to provide a detailed overview of the literature concerning the different classes of GSTs, their function and mechanism and the use of GSTs as therapeutic targets for disease as current at the time of submission.", "author" : [ { "dropping-particle" : "", "family" : "Salinas", "given" : "A E", "non-dropping-particle" : "", "parse-names" : false, "suffix" : "" }, { "dropping-particle" : "", "family" : "Wong", "given" : "M G", "non-dropping-particle" : "", "parse-names" : false, "suffix" : "" } ], "container-title" : "Current medicinal chemistry", "id" : "ITEM-1", "issue" : "4", "issued" : { "date-parts" : [ [ "1999", "4" ] ] }, "page" : "279-309", "title" : "Glutathione S-transferases--a review.", "type" : "article-journal", "volume" : "6" }, "uris" : [ "http://www.mendeley.com/documents/?uuid=3c21482b-2bfe-47bb-a907-13aa35f19236" ] } ], "mendeley" : { "formattedCitation" : "(Salinas &amp; Wong 1999)", "plainTextFormattedCitation" : "(Salinas &amp; Wong 1999)", "previouslyFormattedCitation" : "(Salinas &amp; Wong 1999)" }, "properties" : { "noteIndex" : 0 }, "schema" : "https://github.com/citation-style-language/schema/raw/master/csl-citation.json" }</w:instrText>
      </w:r>
      <w:r w:rsidR="00455C5F">
        <w:rPr>
          <w:rFonts w:ascii="Times New Roman" w:hAnsi="Times New Roman" w:cs="Times New Roman"/>
          <w:noProof/>
        </w:rPr>
        <w:fldChar w:fldCharType="separate"/>
      </w:r>
      <w:r w:rsidR="00C148FC" w:rsidRPr="00C148FC">
        <w:rPr>
          <w:rFonts w:ascii="Times New Roman" w:hAnsi="Times New Roman" w:cs="Times New Roman"/>
          <w:noProof/>
        </w:rPr>
        <w:t>(Salinas &amp; Wong 1999)</w:t>
      </w:r>
      <w:r w:rsidR="00455C5F">
        <w:rPr>
          <w:rFonts w:ascii="Times New Roman" w:hAnsi="Times New Roman" w:cs="Times New Roman"/>
          <w:noProof/>
        </w:rPr>
        <w:fldChar w:fldCharType="end"/>
      </w:r>
      <w:r w:rsidR="00FF421C">
        <w:rPr>
          <w:rFonts w:ascii="Times New Roman" w:hAnsi="Times New Roman" w:cs="Times New Roman"/>
          <w:noProof/>
        </w:rPr>
        <w:t xml:space="preserve">, </w:t>
      </w:r>
      <w:r>
        <w:rPr>
          <w:rFonts w:ascii="Times New Roman" w:hAnsi="Times New Roman" w:cs="Times New Roman"/>
          <w:noProof/>
        </w:rPr>
        <w:t xml:space="preserve">and </w:t>
      </w:r>
      <w:r w:rsidR="00FF421C">
        <w:rPr>
          <w:rFonts w:ascii="Times New Roman" w:hAnsi="Times New Roman" w:cs="Times New Roman"/>
          <w:noProof/>
        </w:rPr>
        <w:t>further suggest</w:t>
      </w:r>
      <w:r>
        <w:rPr>
          <w:rFonts w:ascii="Times New Roman" w:hAnsi="Times New Roman" w:cs="Times New Roman"/>
          <w:noProof/>
        </w:rPr>
        <w:t>s</w:t>
      </w:r>
      <w:r w:rsidR="00FF421C">
        <w:rPr>
          <w:rFonts w:ascii="Times New Roman" w:hAnsi="Times New Roman" w:cs="Times New Roman"/>
          <w:noProof/>
        </w:rPr>
        <w:t xml:space="preserve"> reduced GSH within the astrocytes. </w:t>
      </w:r>
      <w:r>
        <w:rPr>
          <w:rFonts w:ascii="Times New Roman" w:hAnsi="Times New Roman" w:cs="Times New Roman"/>
          <w:noProof/>
        </w:rPr>
        <w:t>There are also changes in the glutathione related genes that indicate astrocytes are compensating following treatment with MAB391. Loss of IGF1R led to upregulation of gamma-glutamyltranspeptidase</w:t>
      </w:r>
      <w:r w:rsidR="00121174">
        <w:rPr>
          <w:rFonts w:ascii="Times New Roman" w:hAnsi="Times New Roman" w:cs="Times New Roman"/>
          <w:noProof/>
        </w:rPr>
        <w:t xml:space="preserve"> (GGT1) and ATP-binding cassette subfamily C member 5 (</w:t>
      </w:r>
      <w:r>
        <w:rPr>
          <w:rFonts w:ascii="Times New Roman" w:hAnsi="Times New Roman" w:cs="Times New Roman"/>
          <w:noProof/>
        </w:rPr>
        <w:t>ABCC5</w:t>
      </w:r>
      <w:r w:rsidR="00121174">
        <w:rPr>
          <w:rFonts w:ascii="Times New Roman" w:hAnsi="Times New Roman" w:cs="Times New Roman"/>
          <w:noProof/>
        </w:rPr>
        <w:t>)</w:t>
      </w:r>
      <w:r>
        <w:rPr>
          <w:rFonts w:ascii="Times New Roman" w:hAnsi="Times New Roman" w:cs="Times New Roman"/>
          <w:noProof/>
        </w:rPr>
        <w:t xml:space="preserve">. GGT1 encodes a protein that catalyses the breakdown of glutathione into its constituent parts glutamine and cysteine and ABCC5 encodes a protein involved in transport of glutathione to the extracelluar space. </w:t>
      </w:r>
      <w:r w:rsidR="00121174">
        <w:rPr>
          <w:rFonts w:ascii="Times New Roman" w:hAnsi="Times New Roman" w:cs="Times New Roman"/>
          <w:noProof/>
        </w:rPr>
        <w:t xml:space="preserve">Altered </w:t>
      </w:r>
      <w:r>
        <w:rPr>
          <w:rFonts w:ascii="Times New Roman" w:hAnsi="Times New Roman" w:cs="Times New Roman"/>
          <w:noProof/>
        </w:rPr>
        <w:t>trafficking of GSH from astrocyte</w:t>
      </w:r>
      <w:r w:rsidR="00121174">
        <w:rPr>
          <w:rFonts w:ascii="Times New Roman" w:hAnsi="Times New Roman" w:cs="Times New Roman"/>
          <w:noProof/>
        </w:rPr>
        <w:t>s</w:t>
      </w:r>
      <w:r>
        <w:rPr>
          <w:rFonts w:ascii="Times New Roman" w:hAnsi="Times New Roman" w:cs="Times New Roman"/>
          <w:noProof/>
        </w:rPr>
        <w:t xml:space="preserve"> to the neuron</w:t>
      </w:r>
      <w:r w:rsidR="00121174">
        <w:rPr>
          <w:rFonts w:ascii="Times New Roman" w:hAnsi="Times New Roman" w:cs="Times New Roman"/>
          <w:noProof/>
        </w:rPr>
        <w:t>s renders neuronal mitochondrial respiration more susceptible to inactivation by</w:t>
      </w:r>
      <w:r>
        <w:rPr>
          <w:rFonts w:ascii="Times New Roman" w:hAnsi="Times New Roman" w:cs="Times New Roman"/>
          <w:noProof/>
        </w:rPr>
        <w:t xml:space="preserve"> oxidising species </w:t>
      </w:r>
      <w:r>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"10.1016/j.brainres.2004.11.064", "ISSN" : "0006-8993", "PMID" : "15725395", "abstract" : "The antioxidant glutathione (GSH) plays an important role in protecting the mitochondrial electron transport chain (ETC) from damage by oxidative stress in astrocytes and neurones. Neurones co-cultured with astrocytes have greater GSH levels, compared to neurones cultured alone, leading to the hypothesis that astrocytes play a key role in brain GSH metabolism by supplying essential GSH precursors to neurones. A previous study has postulated that damage to the ETC following exposure to reactive nitrogen species (RNS) is less in co-cultured neurones, compared to neurones cultured alone, because of the greater GSH levels in the former cells. To investigate this further, primary culture rat neurones were co-cultured with either rat astrocytes activated with IFN-gamma and LPS to produce NO, or NO-generating astrocytes that had been depleted of intracellular GSH by 87% following incubation with the GSH synthesis inhibitor L-buthionine-S,R-sulfoximine (L-BSO). Neurones incubated with NO-generating astrocytes depleted of GSH were unable to elevate GSH levels, unlike neurones co-cultured with NO-generating astrocytes. Complexes II + III and IV of the neuronal ETC were significantly inhibited following exposure to NO-generating astrocytes depleted of GSH. No ETC damage was observed in neurones co-cultured with NO-generating astrocytes. Although neurones co-cultured with GSH depleted astrocytes did not increase cellular GSH levels, the activity of glutamate cysteine ligase (GCL), the rate-limiting enzyme of GSH synthesis, was increased by 218%, compared to neurones cultured with control astrocytes. This suggests that neuronal GCL activity could be modulated when GSH metabolism is inhibited in neighboring astrocytes.", "author" : [ { "dropping-particle" : "", "family" : "Gegg", "given" : "M E", "non-dropping-particle" : "", "parse-names" : false, "suffix" : "" }, { "dropping-particle" : "", "family" : "Clark", "given" : "J B", "non-dropping-particle" : "", "parse-names" : false, "suffix" : "" }, { "dropping-particle" : "", "family" : "Heales", "given" : "S J R", "non-dropping-particle" : "", "parse-names" : false, "suffix" : "" } ], "container-title" : "Brain research", "id" : "ITEM-1", "issue" : "1-2", "issued" : { "date-parts" : [ [ "2005", "3", "2" ] ] }, "page" : "1-6", "title" : "Co-culture of neurones with glutathione deficient astrocytes leads to increased neuronal susceptibility to nitric oxide and increased glutamate-cysteine ligase activity.", "type" : "article-journal", "volume" : "1036" }, "uris" : [ "http://www.mendeley.com/documents/?uuid=bef6be0c-6391-40b8-b48f-46a587a40ecf" ] } ], "mendeley" : { "formattedCitation" : "(Gegg et al. 2005)", "plainTextFormattedCitation" : "(Gegg et al. 2005)", "previouslyFormattedCitation" : "(Gegg et al. 2005)" }, "properties" : { "noteIndex" : 0 }, "schema" : "https://github.com/citation-style-language/schema/raw/master/csl-citation.json" }</w:instrText>
      </w:r>
      <w:r>
        <w:rPr>
          <w:rFonts w:ascii="Times New Roman" w:hAnsi="Times New Roman" w:cs="Times New Roman"/>
          <w:noProof/>
        </w:rPr>
        <w:fldChar w:fldCharType="separate"/>
      </w:r>
      <w:r w:rsidR="00C148FC" w:rsidRPr="00C148FC">
        <w:rPr>
          <w:rFonts w:ascii="Times New Roman" w:hAnsi="Times New Roman" w:cs="Times New Roman"/>
          <w:noProof/>
        </w:rPr>
        <w:t>(Gegg et al. 2005)</w:t>
      </w:r>
      <w:r>
        <w:rPr>
          <w:rFonts w:ascii="Times New Roman" w:hAnsi="Times New Roman" w:cs="Times New Roman"/>
          <w:noProof/>
        </w:rPr>
        <w:fldChar w:fldCharType="end"/>
      </w:r>
      <w:r>
        <w:rPr>
          <w:rFonts w:ascii="Times New Roman" w:hAnsi="Times New Roman" w:cs="Times New Roman"/>
          <w:noProof/>
        </w:rPr>
        <w:t xml:space="preserve">. However, upregulation of both of these genes suggests increased export of GSH and its precursors to either restore or improve the GSH status within the neurons. </w:t>
      </w:r>
    </w:p>
    <w:p w14:paraId="76CE0212" w14:textId="77777777" w:rsidR="00121174" w:rsidRDefault="00121174" w:rsidP="0052651A">
      <w:pPr>
        <w:spacing w:line="360" w:lineRule="auto"/>
        <w:jc w:val="both"/>
        <w:rPr>
          <w:rFonts w:ascii="Times New Roman" w:hAnsi="Times New Roman" w:cs="Times New Roman"/>
          <w:noProof/>
        </w:rPr>
      </w:pPr>
    </w:p>
    <w:p w14:paraId="6D8416FE" w14:textId="73F0C54D" w:rsidR="00121174" w:rsidRDefault="00121174" w:rsidP="0052651A">
      <w:pPr>
        <w:spacing w:line="360" w:lineRule="auto"/>
        <w:jc w:val="both"/>
        <w:rPr>
          <w:rFonts w:ascii="Times New Roman" w:hAnsi="Times New Roman" w:cs="Times New Roman"/>
          <w:noProof/>
        </w:rPr>
      </w:pPr>
      <w:r>
        <w:rPr>
          <w:rFonts w:ascii="Times New Roman" w:hAnsi="Times New Roman" w:cs="Times New Roman"/>
          <w:noProof/>
        </w:rPr>
        <w:t>In addition, underlying stress is suggested from the microarray data since upregulation of NOXA1 is observed and this is involved in activating a superoxide producing NADPH oxidase (NOX1). Therefore, when co-cultures are exposed to additional oxidative stress there may not be sufficient reserves of astrocytic glutathione to deal with external ROS, resulting in neuronal dysfunction.</w:t>
      </w:r>
    </w:p>
    <w:p w14:paraId="76C5F059" w14:textId="77777777" w:rsidR="00121174" w:rsidRDefault="00121174" w:rsidP="0052651A">
      <w:pPr>
        <w:spacing w:line="360" w:lineRule="auto"/>
        <w:jc w:val="both"/>
        <w:rPr>
          <w:rFonts w:ascii="Times New Roman" w:hAnsi="Times New Roman" w:cs="Times New Roman"/>
          <w:noProof/>
        </w:rPr>
      </w:pPr>
      <w:r>
        <w:rPr>
          <w:rFonts w:ascii="Times New Roman" w:hAnsi="Times New Roman" w:cs="Times New Roman"/>
          <w:noProof/>
        </w:rPr>
        <w:t xml:space="preserve"> </w:t>
      </w:r>
    </w:p>
    <w:p w14:paraId="4D77830F" w14:textId="2EFB6CB2" w:rsidR="00121174" w:rsidRDefault="00121174" w:rsidP="0052651A">
      <w:pPr>
        <w:spacing w:line="360" w:lineRule="auto"/>
        <w:jc w:val="both"/>
        <w:rPr>
          <w:rFonts w:ascii="Times New Roman" w:hAnsi="Times New Roman" w:cs="Times New Roman"/>
          <w:noProof/>
        </w:rPr>
      </w:pPr>
      <w:r>
        <w:rPr>
          <w:rFonts w:ascii="Times New Roman" w:hAnsi="Times New Roman" w:cs="Times New Roman"/>
          <w:noProof/>
        </w:rPr>
        <w:t>An increase in glutathionylation</w:t>
      </w:r>
      <w:r w:rsidR="00D40C91">
        <w:rPr>
          <w:rFonts w:ascii="Times New Roman" w:hAnsi="Times New Roman" w:cs="Times New Roman"/>
          <w:noProof/>
        </w:rPr>
        <w:t xml:space="preserve"> within the cell</w:t>
      </w:r>
      <w:r>
        <w:rPr>
          <w:rFonts w:ascii="Times New Roman" w:hAnsi="Times New Roman" w:cs="Times New Roman"/>
          <w:noProof/>
        </w:rPr>
        <w:t xml:space="preserve"> and export of glutathione, as suggested from changes in the gene expression profile of IGF1R impaired astrocytes, would indicate that the pool of total GSH within the astrocytes is reduced but with potential increases in</w:t>
      </w:r>
      <w:r w:rsidR="00D40C91">
        <w:rPr>
          <w:rFonts w:ascii="Times New Roman" w:hAnsi="Times New Roman" w:cs="Times New Roman"/>
          <w:noProof/>
        </w:rPr>
        <w:t xml:space="preserve"> extracellular and</w:t>
      </w:r>
      <w:r>
        <w:rPr>
          <w:rFonts w:ascii="Times New Roman" w:hAnsi="Times New Roman" w:cs="Times New Roman"/>
          <w:noProof/>
        </w:rPr>
        <w:t xml:space="preserve"> neuronal GSH levels. This could explain why preliminary functional studies </w:t>
      </w:r>
      <w:r w:rsidR="00D40C91">
        <w:rPr>
          <w:rFonts w:ascii="Times New Roman" w:hAnsi="Times New Roman" w:cs="Times New Roman"/>
          <w:noProof/>
        </w:rPr>
        <w:t>measuring the GSH:GSSG ratio</w:t>
      </w:r>
      <w:r>
        <w:rPr>
          <w:rFonts w:ascii="Times New Roman" w:hAnsi="Times New Roman" w:cs="Times New Roman"/>
          <w:noProof/>
        </w:rPr>
        <w:t xml:space="preserve"> of IGF1R impaired astrocytes co-cultured with neurons did not identify differences in the levels of GSH</w:t>
      </w:r>
      <w:r w:rsidR="00D40C91">
        <w:rPr>
          <w:rFonts w:ascii="Times New Roman" w:hAnsi="Times New Roman" w:cs="Times New Roman"/>
          <w:noProof/>
        </w:rPr>
        <w:t xml:space="preserve"> (data not shown in this thesis)</w:t>
      </w:r>
      <w:r>
        <w:rPr>
          <w:rFonts w:ascii="Times New Roman" w:hAnsi="Times New Roman" w:cs="Times New Roman"/>
          <w:noProof/>
        </w:rPr>
        <w:t xml:space="preserve">. </w:t>
      </w:r>
    </w:p>
    <w:p w14:paraId="2F6D2677" w14:textId="77777777" w:rsidR="00D40C91" w:rsidRPr="00121174" w:rsidRDefault="00D40C91" w:rsidP="00121174">
      <w:pPr>
        <w:spacing w:line="360" w:lineRule="auto"/>
        <w:rPr>
          <w:rFonts w:ascii="Times New Roman" w:hAnsi="Times New Roman" w:cs="Times New Roman"/>
          <w:noProof/>
          <w:color w:val="FF0000"/>
        </w:rPr>
      </w:pPr>
    </w:p>
    <w:p w14:paraId="58326A58" w14:textId="3C25896E" w:rsidR="00121174" w:rsidRDefault="00121174" w:rsidP="0052651A">
      <w:pPr>
        <w:spacing w:line="360" w:lineRule="auto"/>
        <w:jc w:val="both"/>
        <w:rPr>
          <w:rFonts w:ascii="Times New Roman" w:hAnsi="Times New Roman" w:cs="Times New Roman"/>
          <w:noProof/>
        </w:rPr>
      </w:pPr>
      <w:r>
        <w:rPr>
          <w:rFonts w:ascii="Times New Roman" w:hAnsi="Times New Roman" w:cs="Times New Roman"/>
          <w:noProof/>
        </w:rPr>
        <w:t>Cha</w:t>
      </w:r>
      <w:r w:rsidR="00C02BA2">
        <w:rPr>
          <w:rFonts w:ascii="Times New Roman" w:hAnsi="Times New Roman" w:cs="Times New Roman"/>
          <w:noProof/>
        </w:rPr>
        <w:t xml:space="preserve">nges in glutathione-associated transcript </w:t>
      </w:r>
      <w:r>
        <w:rPr>
          <w:rFonts w:ascii="Times New Roman" w:hAnsi="Times New Roman" w:cs="Times New Roman"/>
          <w:noProof/>
        </w:rPr>
        <w:t xml:space="preserve">levels in astrocytes are </w:t>
      </w:r>
      <w:r w:rsidR="00C02BA2">
        <w:rPr>
          <w:rFonts w:ascii="Times New Roman" w:hAnsi="Times New Roman" w:cs="Times New Roman"/>
          <w:noProof/>
        </w:rPr>
        <w:t>altered in an</w:t>
      </w:r>
      <w:r>
        <w:rPr>
          <w:rFonts w:ascii="Times New Roman" w:hAnsi="Times New Roman" w:cs="Times New Roman"/>
          <w:noProof/>
        </w:rPr>
        <w:t xml:space="preserve"> NRF2 </w:t>
      </w:r>
      <w:r w:rsidR="00C02BA2">
        <w:rPr>
          <w:rFonts w:ascii="Times New Roman" w:hAnsi="Times New Roman" w:cs="Times New Roman"/>
          <w:noProof/>
        </w:rPr>
        <w:t>dependent manner, as demonstrated by microarray analysis of primary mouse cortical astrocytes overexpressing NRF2</w:t>
      </w:r>
      <w:r w:rsidR="00C02BA2" w:rsidRPr="00C02BA2">
        <w:rPr>
          <w:rFonts w:ascii="Times New Roman" w:hAnsi="Times New Roman" w:cs="Times New Roman"/>
          <w:noProof/>
        </w:rPr>
        <w:t xml:space="preserve"> </w:t>
      </w:r>
      <w:r w:rsidRPr="00C02BA2">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"10.1074/jbc.M211558200", "ISSN" : "0021-9258", "PMID" : "12556532", "abstract" : "The antioxidant responsive element (ARE) mediates transcriptional regulation of phase II detoxification enzymes and antioxidant proteins such as NAD(P)H:quinone oxidoreductase (NQO1), glutathione S-transferases, and glutamate-cysteine ligase. In this study, we demonstrate that NF-E2-related factor-2 (Nrf2) plays a major role in transcriptional activation of ARE-driven genes and identify Nrf2-dependent genes by oligonucleotide microarray analysis using primary cortical astrocytes from Nrf2(+/+) and Nrf2(-/-) mice. Nrf2(-/-) astrocytes had decreased basal NQO1 activity and no induction by tert-butylhydroquinone compared with Nrf2(+/+) astrocytes. Similarly, both basal and induced levels of human NQO1-ARE-luciferase expression in Nrf2(-/-) astrocytes were significantly lower than in Nrf2(+/+) astrocytes. Furthermore, human NQO1-ARE-luciferase expression in Nrf2(-/-) astrocytes was restored by overexpression of Nrf2, whereas ARE activation in Nrf2(+/+) astrocytes was completely blocked by dominant-negative Nrf2. In addition, we observed that Nrf2-dependent genes protected primary astrocytes from H(2)O(2)- or platelet-activating factor-induced apoptosis. In support of these observations, we identified Nrf2-dependent genes encoding detoxification enzymes, glutathione-related proteins, antioxidant proteins, NADPH-producing enzymes, and anti-inflammatory genes using oligonucleotide microarrays. Proteins within these functional categories are vital to the maintenance and responsiveness of a cell defense system, suggesting that an orchestrated change in gene expression via Nrf2 and the ARE gives a synergistic protective effect against oxidative stress.", "author" : [ { "dropping-particle" : "", "family" : "Lee", "given" : "Jong-Min", "non-dropping-particle" : "", "parse-names" : false, "suffix" : "" }, { "dropping-particle" : "", "family" : "Calkins", "given" : "Marcus J", "non-dropping-particle" : "", "parse-names" : false, "suffix" : "" }, { "dropping-particle" : "", "family" : "Chan", "given" : "Kaimin", "non-dropping-particle" : "", "parse-names" : false, "suffix" : "" }, { "dropping-particle" : "", "family" : "Kan", "given" : "Yuet Wai", "non-dropping-particle" : "", "parse-names" : false, "suffix" : "" }, { "dropping-particle" : "", "family" : "Johnson", "given" : "Jeffrey A", "non-dropping-particle" : "", "parse-names" : false, "suffix" : "" } ], "container-title" : "The Journal of biological chemistry", "id" : "ITEM-1", "issue" : "14", "issued" : { "date-parts" : [ [ "2003", "4", "4" ] ] }, "page" : "12029-38", "title" : "Identification of the NF-E2-related factor-2-dependent genes conferring protection against oxidative stress in primary cortical astrocytes using oligonucleotide microarray analysis.", "type" : "article-journal", "volume" : "278" }, "uris" : [ "http://www.mendeley.com/documents/?uuid=c32f0485-1574-4450-a773-40ef528845fa" ] } ], "mendeley" : { "formattedCitation" : "(Lee et al. 2003)", "plainTextFormattedCitation" : "(Lee et al. 2003)", "previouslyFormattedCitation" : "(Lee et al. 2003)" }, "properties" : { "noteIndex" : 0 }, "schema" : "https://github.com/citation-style-language/schema/raw/master/csl-citation.json" }</w:instrText>
      </w:r>
      <w:r w:rsidRPr="00C02BA2">
        <w:rPr>
          <w:rFonts w:ascii="Times New Roman" w:hAnsi="Times New Roman" w:cs="Times New Roman"/>
          <w:noProof/>
        </w:rPr>
        <w:fldChar w:fldCharType="separate"/>
      </w:r>
      <w:r w:rsidR="00C148FC" w:rsidRPr="00C148FC">
        <w:rPr>
          <w:rFonts w:ascii="Times New Roman" w:hAnsi="Times New Roman" w:cs="Times New Roman"/>
          <w:noProof/>
        </w:rPr>
        <w:t>(Lee et al. 2003)</w:t>
      </w:r>
      <w:r w:rsidRPr="00C02BA2">
        <w:rPr>
          <w:rFonts w:ascii="Times New Roman" w:hAnsi="Times New Roman" w:cs="Times New Roman"/>
          <w:noProof/>
        </w:rPr>
        <w:fldChar w:fldCharType="end"/>
      </w:r>
      <w:r w:rsidRPr="00C02BA2">
        <w:rPr>
          <w:rFonts w:ascii="Times New Roman" w:hAnsi="Times New Roman" w:cs="Times New Roman"/>
          <w:noProof/>
        </w:rPr>
        <w:t>.</w:t>
      </w:r>
      <w:r>
        <w:rPr>
          <w:rFonts w:ascii="Times New Roman" w:hAnsi="Times New Roman" w:cs="Times New Roman"/>
          <w:noProof/>
        </w:rPr>
        <w:t xml:space="preserve"> Changes in the expression of NRF2 itself was not detected in the astrocytes following IGF1R loss but clusters</w:t>
      </w:r>
      <w:r w:rsidR="00C02BA2">
        <w:rPr>
          <w:rFonts w:ascii="Times New Roman" w:hAnsi="Times New Roman" w:cs="Times New Roman"/>
          <w:noProof/>
        </w:rPr>
        <w:t xml:space="preserve"> of genes related</w:t>
      </w:r>
      <w:r w:rsidR="000D7E14">
        <w:rPr>
          <w:rFonts w:ascii="Times New Roman" w:hAnsi="Times New Roman" w:cs="Times New Roman"/>
          <w:noProof/>
        </w:rPr>
        <w:t xml:space="preserve"> to</w:t>
      </w:r>
      <w:r w:rsidR="00C02BA2">
        <w:rPr>
          <w:rFonts w:ascii="Times New Roman" w:hAnsi="Times New Roman" w:cs="Times New Roman"/>
          <w:noProof/>
        </w:rPr>
        <w:t xml:space="preserve"> NRF2 activity</w:t>
      </w:r>
      <w:r>
        <w:rPr>
          <w:rFonts w:ascii="Times New Roman" w:hAnsi="Times New Roman" w:cs="Times New Roman"/>
          <w:noProof/>
        </w:rPr>
        <w:t xml:space="preserve"> identified in the Lee </w:t>
      </w:r>
      <w:r w:rsidRPr="003D03F7">
        <w:rPr>
          <w:rFonts w:ascii="Times New Roman" w:hAnsi="Times New Roman" w:cs="Times New Roman"/>
          <w:i/>
          <w:noProof/>
        </w:rPr>
        <w:t>et al</w:t>
      </w:r>
      <w:r>
        <w:rPr>
          <w:rFonts w:ascii="Times New Roman" w:hAnsi="Times New Roman" w:cs="Times New Roman"/>
          <w:noProof/>
        </w:rPr>
        <w:t xml:space="preserve"> 2003 study were also changed</w:t>
      </w:r>
      <w:r w:rsidR="000D7E14">
        <w:rPr>
          <w:rFonts w:ascii="Times New Roman" w:hAnsi="Times New Roman" w:cs="Times New Roman"/>
          <w:noProof/>
        </w:rPr>
        <w:t xml:space="preserve">, </w:t>
      </w:r>
      <w:r w:rsidR="00C02BA2">
        <w:rPr>
          <w:rFonts w:ascii="Times New Roman" w:hAnsi="Times New Roman" w:cs="Times New Roman"/>
          <w:noProof/>
        </w:rPr>
        <w:t>these included GSTs</w:t>
      </w:r>
      <w:r w:rsidR="000D7E14">
        <w:rPr>
          <w:rFonts w:ascii="Times New Roman" w:hAnsi="Times New Roman" w:cs="Times New Roman"/>
          <w:noProof/>
        </w:rPr>
        <w:t>, thioredoxin and UDP glycosyltransferases. Under oxidative stress NRF2 translocates to the nucleus, where it binds to the ARE sequence and leads to transcriptional acitvation of downstream genes</w:t>
      </w:r>
      <w:r w:rsidR="00404084">
        <w:rPr>
          <w:rFonts w:ascii="Times New Roman" w:hAnsi="Times New Roman" w:cs="Times New Roman"/>
          <w:noProof/>
        </w:rPr>
        <w:t xml:space="preserve"> </w:t>
      </w:r>
      <w:r w:rsidR="00404084">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"10.1074/jbc.R900010200", "ISSN" : "0021-9258", "author" : [ { "dropping-particle" : "", "family" : "Nguyen", "given" : "T.", "non-dropping-particle" : "", "parse-names" : false, "suffix" : "" }, { "dropping-particle" : "", "family" : "Nioi", "given" : "P.", "non-dropping-particle" : "", "parse-names" : false, "suffix" : "" }, { "dropping-particle" : "", "family" : "Pickett", "given" : "C. B.", "non-dropping-particle" : "", "parse-names" : false, "suffix" : "" } ], "container-title" : "Journal of Biological Chemistry", "id" : "ITEM-1", "issue" : "20", "issued" : { "date-parts" : [ [ "2009", "5", "15" ] ] }, "page" : "13291-13295", "publisher" : "American Society for Biochemistry and Molecular Biology", "title" : "The Nrf2-Antioxidant Response Element Signaling Pathway and Its Activation by Oxidative Stress", "type" : "article-journal", "volume" : "284" }, "uris" : [ "http://www.mendeley.com/documents/?uuid=740645cc-7390-3cd8-9191-0822c127a1e8" ] } ], "mendeley" : { "formattedCitation" : "(Nguyen et al. 2009)", "plainTextFormattedCitation" : "(Nguyen et al. 2009)", "previouslyFormattedCitation" : "(Nguyen et al. 2009)" }, "properties" : { "noteIndex" : 0 }, "schema" : "https://github.com/citation-style-language/schema/raw/master/csl-citation.json" }</w:instrText>
      </w:r>
      <w:r w:rsidR="00404084">
        <w:rPr>
          <w:rFonts w:ascii="Times New Roman" w:hAnsi="Times New Roman" w:cs="Times New Roman"/>
          <w:noProof/>
        </w:rPr>
        <w:fldChar w:fldCharType="separate"/>
      </w:r>
      <w:r w:rsidR="00C148FC" w:rsidRPr="00C148FC">
        <w:rPr>
          <w:rFonts w:ascii="Times New Roman" w:hAnsi="Times New Roman" w:cs="Times New Roman"/>
          <w:noProof/>
        </w:rPr>
        <w:t>(Nguyen et al. 2009)</w:t>
      </w:r>
      <w:r w:rsidR="00404084">
        <w:rPr>
          <w:rFonts w:ascii="Times New Roman" w:hAnsi="Times New Roman" w:cs="Times New Roman"/>
          <w:noProof/>
        </w:rPr>
        <w:fldChar w:fldCharType="end"/>
      </w:r>
      <w:r w:rsidR="000D7E14">
        <w:rPr>
          <w:rFonts w:ascii="Times New Roman" w:hAnsi="Times New Roman" w:cs="Times New Roman"/>
          <w:noProof/>
        </w:rPr>
        <w:t>. S</w:t>
      </w:r>
      <w:r>
        <w:rPr>
          <w:rFonts w:ascii="Times New Roman" w:hAnsi="Times New Roman" w:cs="Times New Roman"/>
          <w:noProof/>
        </w:rPr>
        <w:t xml:space="preserve">tudying NRF2 localisation and associated gene expression changes following MAB391 treatment at earlier time points may be interesting to </w:t>
      </w:r>
      <w:r w:rsidR="005F57AB">
        <w:rPr>
          <w:rFonts w:ascii="Times New Roman" w:hAnsi="Times New Roman" w:cs="Times New Roman"/>
          <w:noProof/>
        </w:rPr>
        <w:t>determine if</w:t>
      </w:r>
      <w:r>
        <w:rPr>
          <w:rFonts w:ascii="Times New Roman" w:hAnsi="Times New Roman" w:cs="Times New Roman"/>
          <w:noProof/>
        </w:rPr>
        <w:t xml:space="preserve"> IGF1R loss triggers an NRF2-ARE mediated response.</w:t>
      </w:r>
    </w:p>
    <w:p w14:paraId="127D476F" w14:textId="7A45ACC0" w:rsidR="00FF421C" w:rsidRDefault="00FF421C" w:rsidP="0052651A">
      <w:pPr>
        <w:spacing w:line="360" w:lineRule="auto"/>
        <w:jc w:val="both"/>
        <w:rPr>
          <w:rFonts w:ascii="Times New Roman" w:hAnsi="Times New Roman" w:cs="Times New Roman"/>
          <w:noProof/>
        </w:rPr>
      </w:pPr>
    </w:p>
    <w:p w14:paraId="4B19600F" w14:textId="7482A29A" w:rsidR="00FF421C" w:rsidRDefault="00121174" w:rsidP="0052651A">
      <w:pPr>
        <w:spacing w:line="360" w:lineRule="auto"/>
        <w:jc w:val="both"/>
        <w:rPr>
          <w:rFonts w:ascii="Times New Roman" w:hAnsi="Times New Roman" w:cs="Times New Roman"/>
          <w:noProof/>
        </w:rPr>
      </w:pPr>
      <w:r>
        <w:rPr>
          <w:rFonts w:ascii="Times New Roman" w:hAnsi="Times New Roman" w:cs="Times New Roman"/>
          <w:noProof/>
        </w:rPr>
        <w:t>E</w:t>
      </w:r>
      <w:r w:rsidR="00FF421C">
        <w:rPr>
          <w:rFonts w:ascii="Times New Roman" w:hAnsi="Times New Roman" w:cs="Times New Roman"/>
          <w:noProof/>
        </w:rPr>
        <w:t>ven if the glutathione system in the astro</w:t>
      </w:r>
      <w:r>
        <w:rPr>
          <w:rFonts w:ascii="Times New Roman" w:hAnsi="Times New Roman" w:cs="Times New Roman"/>
          <w:noProof/>
        </w:rPr>
        <w:t>cytes was impaired, astrocytes could still</w:t>
      </w:r>
      <w:r w:rsidR="00FF421C">
        <w:rPr>
          <w:rFonts w:ascii="Times New Roman" w:hAnsi="Times New Roman" w:cs="Times New Roman"/>
          <w:noProof/>
        </w:rPr>
        <w:t xml:space="preserve"> </w:t>
      </w:r>
      <w:r w:rsidR="00F759E0">
        <w:rPr>
          <w:rFonts w:ascii="Times New Roman" w:hAnsi="Times New Roman" w:cs="Times New Roman"/>
          <w:noProof/>
        </w:rPr>
        <w:t xml:space="preserve">cope </w:t>
      </w:r>
      <w:r w:rsidR="00FF421C">
        <w:rPr>
          <w:rFonts w:ascii="Times New Roman" w:hAnsi="Times New Roman" w:cs="Times New Roman"/>
          <w:noProof/>
        </w:rPr>
        <w:t>with ROS</w:t>
      </w:r>
      <w:r>
        <w:rPr>
          <w:rFonts w:ascii="Times New Roman" w:hAnsi="Times New Roman" w:cs="Times New Roman"/>
          <w:noProof/>
        </w:rPr>
        <w:t xml:space="preserve"> </w:t>
      </w:r>
      <w:r w:rsidR="00FF421C">
        <w:rPr>
          <w:rFonts w:ascii="Times New Roman" w:hAnsi="Times New Roman" w:cs="Times New Roman"/>
          <w:noProof/>
        </w:rPr>
        <w:t xml:space="preserve">through the use of the enzyme catalase </w:t>
      </w:r>
      <w:r w:rsidR="00FF421C">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"10.1016/S0006-8993(97)00233-3", "ISSN" : "00068993", "abstract" : "The ability of astroglial cells to detoxify exogenously applied hydrogen peroxide (H2O2) was tested using astroglia-rich primary cultures derived from the brains of newborn rats. Incubation of astroglial cells with 100 \u03bcM H2O2 in the absence of glucose led to a 66% oxidation of the cellular glutathione within 30 s. Under these conditions, the cells were unable to re-establish the original high ratio of GSH/GSSG within 30 min of incubation. In contrast, if glucose was present the amount of GSSG produced on incubation with H2O2 was smaller (45% of total glutathione after 30 s) and the original ratio of GSH/GSSG was almost completely re-established within 10 min. If 100 \u03bcM H2O2 was applied, H2O2 disappeared from the incubation buffer with an apparent half-life of \u22484 min. After 15 min of incubation, no H2O2 was detectable any more. The apparent half-life of H2O2 in the incubation buffer increased slightly but significantly with increasing concentration of H2O2 or when the cells were starved of glucose. A small reduction in the capacity of the cells to detoxify H2O2 was also observed after depletion of the glutathione content to 14% of control level by a 24 h pre-incubation of the cells in culture medium containing buthionine sulfoximine, an inhibitor of glutathione synthesis. Incubation of astroglial cells with mercaptosuccinate or 3-aminotriazole, inhibitors of glutathione peroxidase and catalase, respectively, only marginally reduced the rate of disappearance of H2O2 from the incubation buffer. In contrast, the rate of H2O2 clearance was strongly reduced in the presence of both inhibitors. These results demonstrate that glutathione peroxidase and catalase are involved in the detoxification of H2O2 by astroglial cells and that both enzymes are able to substitute for each other in the detoxification of H2O2.", "author" : [ { "dropping-particle" : "", "family" : "Dringen", "given" : "Ralf", "non-dropping-particle" : "", "parse-names" : false, "suffix" : "" }, { "dropping-particle" : "", "family" : "Hamprecht", "given" : "Bernd", "non-dropping-particle" : "", "parse-names" : false, "suffix" : "" } ], "container-title" : "Brain Research", "id" : "ITEM-1", "issue" : "1", "issued" : { "date-parts" : [ [ "1997", "6" ] ] }, "page" : "67-75", "title" : "Involvement of glutathione peroxidase and catalase in the disposal of exogenous hydrogen peroxide by cultured astroglial cells", "type" : "article-journal", "volume" : "759" }, "uris" : [ "http://www.mendeley.com/documents/?uuid=eea0f49c-35cb-4449-b0c9-a4e8d6dec82c" ] } ], "mendeley" : { "formattedCitation" : "(Dringen &amp; Hamprecht 1997)", "plainTextFormattedCitation" : "(Dringen &amp; Hamprecht 1997)", "previouslyFormattedCitation" : "(Dringen &amp; Hamprecht 1997)" }, "properties" : { "noteIndex" : 0 }, "schema" : "https://github.com/citation-style-language/schema/raw/master/csl-citation.json" }</w:instrText>
      </w:r>
      <w:r w:rsidR="00FF421C">
        <w:rPr>
          <w:rFonts w:ascii="Times New Roman" w:hAnsi="Times New Roman" w:cs="Times New Roman"/>
          <w:noProof/>
        </w:rPr>
        <w:fldChar w:fldCharType="separate"/>
      </w:r>
      <w:r w:rsidR="00C148FC" w:rsidRPr="00C148FC">
        <w:rPr>
          <w:rFonts w:ascii="Times New Roman" w:hAnsi="Times New Roman" w:cs="Times New Roman"/>
          <w:noProof/>
        </w:rPr>
        <w:t>(Dringen &amp; Hamprecht 1997)</w:t>
      </w:r>
      <w:r w:rsidR="00FF421C">
        <w:rPr>
          <w:rFonts w:ascii="Times New Roman" w:hAnsi="Times New Roman" w:cs="Times New Roman"/>
          <w:noProof/>
        </w:rPr>
        <w:fldChar w:fldCharType="end"/>
      </w:r>
      <w:r w:rsidR="00FF421C">
        <w:rPr>
          <w:rFonts w:ascii="Times New Roman" w:hAnsi="Times New Roman" w:cs="Times New Roman"/>
          <w:noProof/>
        </w:rPr>
        <w:t xml:space="preserve">. Levels of catalase were not altered at the </w:t>
      </w:r>
      <w:r w:rsidR="00D40C91">
        <w:rPr>
          <w:rFonts w:ascii="Times New Roman" w:hAnsi="Times New Roman" w:cs="Times New Roman"/>
          <w:noProof/>
        </w:rPr>
        <w:t>transcript</w:t>
      </w:r>
      <w:r w:rsidR="00FF421C">
        <w:rPr>
          <w:rFonts w:ascii="Times New Roman" w:hAnsi="Times New Roman" w:cs="Times New Roman"/>
          <w:noProof/>
        </w:rPr>
        <w:t xml:space="preserve"> level</w:t>
      </w:r>
      <w:r w:rsidR="00D40C91">
        <w:rPr>
          <w:rFonts w:ascii="Times New Roman" w:hAnsi="Times New Roman" w:cs="Times New Roman"/>
          <w:noProof/>
        </w:rPr>
        <w:t>,</w:t>
      </w:r>
      <w:r w:rsidR="00FF421C">
        <w:rPr>
          <w:rFonts w:ascii="Times New Roman" w:hAnsi="Times New Roman" w:cs="Times New Roman"/>
          <w:noProof/>
        </w:rPr>
        <w:t xml:space="preserve"> which would suggest that the astrocytes </w:t>
      </w:r>
      <w:r w:rsidR="00440429">
        <w:rPr>
          <w:rFonts w:ascii="Times New Roman" w:hAnsi="Times New Roman" w:cs="Times New Roman"/>
          <w:noProof/>
        </w:rPr>
        <w:t>could use this as an</w:t>
      </w:r>
      <w:r w:rsidR="00D40C91">
        <w:rPr>
          <w:rFonts w:ascii="Times New Roman" w:hAnsi="Times New Roman" w:cs="Times New Roman"/>
          <w:noProof/>
        </w:rPr>
        <w:t xml:space="preserve"> alternative way of processing</w:t>
      </w:r>
      <w:r w:rsidR="00FF421C">
        <w:rPr>
          <w:rFonts w:ascii="Times New Roman" w:hAnsi="Times New Roman" w:cs="Times New Roman"/>
          <w:noProof/>
        </w:rPr>
        <w:t xml:space="preserve"> ROS, but perhaps less effectively. </w:t>
      </w:r>
    </w:p>
    <w:p w14:paraId="53F4F854" w14:textId="77777777" w:rsidR="00526091" w:rsidRPr="004B02DD" w:rsidRDefault="00526091" w:rsidP="009E5F8C">
      <w:pPr>
        <w:spacing w:line="360" w:lineRule="auto"/>
        <w:rPr>
          <w:rFonts w:ascii="Times New Roman" w:hAnsi="Times New Roman" w:cs="Times New Roman"/>
          <w:noProof/>
        </w:rPr>
      </w:pPr>
    </w:p>
    <w:p w14:paraId="061734EE" w14:textId="7ABCD953" w:rsidR="005D76CE" w:rsidRPr="006D165D" w:rsidRDefault="005D76CE" w:rsidP="0052651A">
      <w:pPr>
        <w:pStyle w:val="Heading4"/>
        <w:jc w:val="both"/>
        <w:rPr>
          <w:noProof/>
          <w:u w:val="single"/>
        </w:rPr>
      </w:pPr>
      <w:r w:rsidRPr="006D165D">
        <w:rPr>
          <w:noProof/>
          <w:u w:val="single"/>
        </w:rPr>
        <w:t>Synaptic Support</w:t>
      </w:r>
    </w:p>
    <w:p w14:paraId="67EAFD1D" w14:textId="6753B471" w:rsidR="004B4918" w:rsidRPr="005C25C7" w:rsidRDefault="004B4918" w:rsidP="0052651A">
      <w:pPr>
        <w:spacing w:line="360" w:lineRule="auto"/>
        <w:jc w:val="both"/>
        <w:rPr>
          <w:rFonts w:ascii="Times New Roman" w:hAnsi="Times New Roman" w:cs="Times New Roman"/>
          <w:noProof/>
          <w:color w:val="FF0000"/>
        </w:rPr>
      </w:pPr>
      <w:r>
        <w:rPr>
          <w:rFonts w:ascii="Times New Roman" w:hAnsi="Times New Roman" w:cs="Times New Roman"/>
          <w:noProof/>
        </w:rPr>
        <w:t xml:space="preserve">In addition to changes in genes involved in energy metabolism, alterations were also observed in genes involved in synaptic support. </w:t>
      </w:r>
      <w:r w:rsidR="00F06D97">
        <w:rPr>
          <w:rFonts w:ascii="Times New Roman" w:hAnsi="Times New Roman" w:cs="Times New Roman"/>
          <w:noProof/>
        </w:rPr>
        <w:t xml:space="preserve">Increased expression of oxytocin receptor and glutamate receptor were found in IGF1R impaired astrocytes. </w:t>
      </w:r>
      <w:r w:rsidR="00893FD3">
        <w:rPr>
          <w:rFonts w:ascii="Times New Roman" w:hAnsi="Times New Roman" w:cs="Times New Roman"/>
          <w:noProof/>
        </w:rPr>
        <w:t>Upregulation of the oxytocin receptor may occur in astrocytes in response to being cultured with dopaminergic neurons, which are known to secrete oxytocin in the mesolimbi</w:t>
      </w:r>
      <w:r w:rsidR="00085106">
        <w:rPr>
          <w:rFonts w:ascii="Times New Roman" w:hAnsi="Times New Roman" w:cs="Times New Roman"/>
          <w:noProof/>
        </w:rPr>
        <w:t>c</w:t>
      </w:r>
      <w:r w:rsidR="00893FD3">
        <w:rPr>
          <w:rFonts w:ascii="Times New Roman" w:hAnsi="Times New Roman" w:cs="Times New Roman"/>
          <w:noProof/>
        </w:rPr>
        <w:t xml:space="preserve"> area of </w:t>
      </w:r>
      <w:r w:rsidR="00893FD3" w:rsidRPr="00715F83">
        <w:rPr>
          <w:rFonts w:ascii="Times New Roman" w:hAnsi="Times New Roman" w:cs="Times New Roman"/>
          <w:noProof/>
        </w:rPr>
        <w:t>the brain</w:t>
      </w:r>
      <w:r w:rsidR="00085106" w:rsidRPr="00715F83">
        <w:rPr>
          <w:rFonts w:ascii="Times New Roman" w:hAnsi="Times New Roman" w:cs="Times New Roman"/>
          <w:noProof/>
        </w:rPr>
        <w:t xml:space="preserve"> </w:t>
      </w:r>
      <w:r w:rsidR="00715F83">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"10.1016/j.neuropharm.2006.10.019", "ISSN" : "00283908", "abstract" : "The effect of a pro-erectile dose of apomorphine, a mixed dopamine receptor agonist, and of PD-168077 (N-[4-(2-cyanophenyl)piperazin-1-ylmethyl]-3-methylbenzamide maleate), a selective dopamine D4 receptor agonist, injected into the paraventricular nucleus of the hypothalamus on the concentration of extra-cellular dopamine and its main metabolite 3,4-dihydroxyphenylacetic acid (DOPAC) in the dialysate from the nucleus accumbens was studied in male rats. As expected, apomorphine (0.1\u03bcg) and PD-168077 (0.1\u03bcg) induced penile erection episodes, which occurred concomitantly to an increase in extra-cellular dopamine and DOPAC concentration in the dialysate from the shell of the nucleus accumbens, as measured by intracerebral microdialysis. When induced by apomorphine, these effects were reduced by 80% by raclopride, a selective D2/D3 receptor antagonist (1\u03bcg) and only by 40\u201345% by L-745,870 (1\u03bcg), a selective dopamine D4 receptor antagonist. When induced by PD-168077, these effects were reduced by more than 80% by L-745,870 (1\u03bcg), but only by 35\u201340% by raclopride. Irrespective of the dopamine agonist used to induce penile erection, the pro-erectile effect and the concomitant increase in dopamine and DOPAC concentration in the nucleus accumbens dialysate were almost completely abolished by d(CH2)5Tyr(Me)2-Orn8-vasotocin(1\u03bcg), a potent oxytocin receptor antagonist, given into the lateral ventricles. The present results suggest that stimulation of dopamine receptors (mainly of the D2 to D4 subtype) in the paraventricular nucleus induces the release of oxytocin in brain areas that influence the activity of mesolimbic dopaminergic neurons mediating the appetitive and reinforcing effects of sexual activity. This provides evidence for a role of oxytocin in neural circuits that integrate the activity of neural pathways controlling the consummatory aspects of sexual behaviour (e.g., penile erection) with those controlling sexual motivation and sexual arousal.", "author" : [ { "dropping-particle" : "", "family" : "Succu", "given" : "Salvatora", "non-dropping-particle" : "", "parse-names" : false, "suffix" : "" }, { "dropping-particle" : "", "family" : "Sanna", "given" : "Fabrizio", "non-dropping-particle" : "", "parse-names" : false, "suffix" : "" }, { "dropping-particle" : "", "family" : "Melis", "given" : "Tiziana", "non-dropping-particle" : "", "parse-names" : false, "suffix" : "" }, { "dropping-particle" : "", "family" : "Boi", "given" : "Antonio", "non-dropping-particle" : "", "parse-names" : false, "suffix" : "" }, { "dropping-particle" : "", "family" : "Argiolas", "given" : "Antonio", "non-dropping-particle" : "", "parse-names" : false, "suffix" : "" }, { "dropping-particle" : "", "family" : "Melis", "given" : "Maria Rosaria", "non-dropping-particle" : "", "parse-names" : false, "suffix" : "" } ], "container-title" : "Neuropharmacology", "id" : "ITEM-1", "issue" : "3", "issued" : { "date-parts" : [ [ "2007" ] ] }, "page" : "1034-1043", "title" : "Stimulation of dopamine receptors in the paraventricular nucleus of the hypothalamus of male rats induces penile erection and increases extra-cellular dopamine in the nucleus accumbens: Involvement of central oxytocin", "type" : "article-journal", "volume" : "52" }, "uris" : [ "http://www.mendeley.com/documents/?uuid=03c9b14e-b4e4-3938-9069-5d85946ba2bf" ] } ], "mendeley" : { "formattedCitation" : "(Succu et al. 2007)", "plainTextFormattedCitation" : "(Succu et al. 2007)", "previouslyFormattedCitation" : "(Succu et al. 2007)" }, "properties" : { "noteIndex" : 0 }, "schema" : "https://github.com/citation-style-language/schema/raw/master/csl-citation.json" }</w:instrText>
      </w:r>
      <w:r w:rsidR="00715F83">
        <w:rPr>
          <w:rFonts w:ascii="Times New Roman" w:hAnsi="Times New Roman" w:cs="Times New Roman"/>
          <w:noProof/>
        </w:rPr>
        <w:fldChar w:fldCharType="separate"/>
      </w:r>
      <w:r w:rsidR="00C148FC" w:rsidRPr="00C148FC">
        <w:rPr>
          <w:rFonts w:ascii="Times New Roman" w:hAnsi="Times New Roman" w:cs="Times New Roman"/>
          <w:noProof/>
        </w:rPr>
        <w:t>(Succu et al. 2007)</w:t>
      </w:r>
      <w:r w:rsidR="00715F83">
        <w:rPr>
          <w:rFonts w:ascii="Times New Roman" w:hAnsi="Times New Roman" w:cs="Times New Roman"/>
          <w:noProof/>
        </w:rPr>
        <w:fldChar w:fldCharType="end"/>
      </w:r>
      <w:r w:rsidR="00893FD3" w:rsidRPr="00715F83">
        <w:rPr>
          <w:rFonts w:ascii="Times New Roman" w:hAnsi="Times New Roman" w:cs="Times New Roman"/>
          <w:noProof/>
        </w:rPr>
        <w:t>.</w:t>
      </w:r>
      <w:r w:rsidR="00585A6F">
        <w:rPr>
          <w:rFonts w:ascii="Times New Roman" w:hAnsi="Times New Roman" w:cs="Times New Roman"/>
          <w:noProof/>
        </w:rPr>
        <w:t xml:space="preserve"> Analysis in IMPALA also identifed dysregulation of the the dopamine deficiency pathway, as both upregulation of dopamine-beta hydroxylase (DBH) and phenylethanolamine N-methyltransferase (PNMT) were found in the array and these are suggestive of increased breakdown of dopamine. This is interesting since the LUHMES are originally derived from the midbrain, where dopamine is a neurotransmitter, and potentially suggests astrocytes have tailored their support to the neurons they have been cultured with.</w:t>
      </w:r>
      <w:r w:rsidR="00893FD3">
        <w:rPr>
          <w:rFonts w:ascii="Times New Roman" w:hAnsi="Times New Roman" w:cs="Times New Roman"/>
          <w:noProof/>
        </w:rPr>
        <w:t xml:space="preserve"> In addition, there was a significant increase in GABRB1 in the astrocytes following IGF1R loss, which could suggest increased capacity to respond to neurotransmitter and exert </w:t>
      </w:r>
      <w:r w:rsidR="00B8782A">
        <w:rPr>
          <w:rFonts w:ascii="Times New Roman" w:hAnsi="Times New Roman" w:cs="Times New Roman"/>
          <w:noProof/>
        </w:rPr>
        <w:t>control at synapses. As the FACS</w:t>
      </w:r>
      <w:r w:rsidR="00893FD3">
        <w:rPr>
          <w:rFonts w:ascii="Times New Roman" w:hAnsi="Times New Roman" w:cs="Times New Roman"/>
          <w:noProof/>
        </w:rPr>
        <w:t xml:space="preserve"> sorting process achieved an enriched population of astrocytes, these differences may result in varying levels of neuronal contamination across the astrocytic samples. However, an array conducted </w:t>
      </w:r>
      <w:r w:rsidR="00085106">
        <w:rPr>
          <w:rFonts w:ascii="Times New Roman" w:hAnsi="Times New Roman" w:cs="Times New Roman"/>
          <w:noProof/>
        </w:rPr>
        <w:t>on astrocytes separated from ne</w:t>
      </w:r>
      <w:r w:rsidR="00893FD3">
        <w:rPr>
          <w:rFonts w:ascii="Times New Roman" w:hAnsi="Times New Roman" w:cs="Times New Roman"/>
          <w:noProof/>
        </w:rPr>
        <w:t>u</w:t>
      </w:r>
      <w:r w:rsidR="00085106">
        <w:rPr>
          <w:rFonts w:ascii="Times New Roman" w:hAnsi="Times New Roman" w:cs="Times New Roman"/>
          <w:noProof/>
        </w:rPr>
        <w:t>r</w:t>
      </w:r>
      <w:r w:rsidR="00893FD3">
        <w:rPr>
          <w:rFonts w:ascii="Times New Roman" w:hAnsi="Times New Roman" w:cs="Times New Roman"/>
          <w:noProof/>
        </w:rPr>
        <w:t>ons using the cold-jet PBS wash approach identified a significant upregulation of GABRB1 in astrocytes co-cultured with neurons than in astrocytes cultured alone</w:t>
      </w:r>
      <w:r w:rsidR="003E0731">
        <w:rPr>
          <w:rFonts w:ascii="Times New Roman" w:hAnsi="Times New Roman" w:cs="Times New Roman"/>
          <w:noProof/>
        </w:rPr>
        <w:t xml:space="preserve"> </w:t>
      </w:r>
      <w:r w:rsidR="003E0731">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"10.3389/fncel.2014.00012", "ISSN" : "1662-5102", "PMID" : "24523672", "abstract" : "Over the last decade, the importance of astrocyte-neuron communication in neuronal development and synaptic plasticity has become increasingly clear. Since neuron-astrocyte interactions represent highly dynamic and reciprocal processes, we hypothesized that many astrocyte genes may be regulated as a consequence of their interactions with maturing neurons. In order to identify such neuron-responsive astrocyte genes in vitro, we sought to establish an expedited technique for separation of neurons from co-cultured astrocytes. Our newly established method makes use of cold jet, which exploits different adhesion characteristics of subpopulations of cells (Jirsova etal., 1997), and is rapid, performed under ice-cold conditions and avoids protease-mediated isolation of astrocytes or time-consuming centrifugation, yielding intact astrocyte mRNA with approximately 90% of neuronal RNA removed. Using this purification method, we executed genome-wide profiling in which RNA derived from astrocyte-only cultures was compared with astrocyte RNA derived from differentiating neuron-astrocyte co-cultures. Data analysis determined that many astrocytic mRNAs and biological processes are regulated by neuronal interaction. Our results validate the cold jet as an efficient method to separate astrocytes from neurons in co-culture, and reveals that neurons induce robust gene-expression changes in co-cultured astrocytes.", "author" : [ { "dropping-particle" : "", "family" : "Goudriaan", "given" : "Andrea", "non-dropping-particle" : "", "parse-names" : false, "suffix" : "" }, { "dropping-particle" : "", "family" : "Camargo", "given" : "Nutabi", "non-dropping-particle" : "", "parse-names" : false, "suffix" : "" }, { "dropping-particle" : "", "family" : "Carney", "given" : "Karen E", "non-dropping-particle" : "", "parse-names" : false, "suffix" : "" }, { "dropping-particle" : "", "family" : "Oliet", "given" : "St\u00e9phane H R", "non-dropping-particle" : "", "parse-names" : false, "suffix" : "" }, { "dropping-particle" : "", "family" : "Smit", "given" : "August B", "non-dropping-particle" : "", "parse-names" : false, "suffix" : "" }, { "dropping-particle" : "", "family" : "Verheijen", "given" : "Mark H G", "non-dropping-particle" : "", "parse-names" : false, "suffix" : "" } ], "container-title" : "Frontiers in cellular neuroscience", "id" : "ITEM-1", "issued" : { "date-parts" : [ [ "2014", "1", "30" ] ] }, "language" : "English", "page" : "12", "publisher" : "Frontiers", "title" : "Novel cell separation method for molecular analysis of neuron-astrocyte co-cultures.", "type" : "article-journal", "volume" : "8" }, "uris" : [ "http://www.mendeley.com/documents/?uuid=8b0c08f1-fbc3-47dd-ac12-a31970da9103" ] } ], "mendeley" : { "formattedCitation" : "(Goudriaan et al. 2014)", "plainTextFormattedCitation" : "(Goudriaan et al. 2014)", "previouslyFormattedCitation" : "(Goudriaan et al. 2014)" }, "properties" : { "noteIndex" : 0 }, "schema" : "https://github.com/citation-style-language/schema/raw/master/csl-citation.json" }</w:instrText>
      </w:r>
      <w:r w:rsidR="003E0731">
        <w:rPr>
          <w:rFonts w:ascii="Times New Roman" w:hAnsi="Times New Roman" w:cs="Times New Roman"/>
          <w:noProof/>
        </w:rPr>
        <w:fldChar w:fldCharType="separate"/>
      </w:r>
      <w:r w:rsidR="00C148FC" w:rsidRPr="00C148FC">
        <w:rPr>
          <w:rFonts w:ascii="Times New Roman" w:hAnsi="Times New Roman" w:cs="Times New Roman"/>
          <w:noProof/>
        </w:rPr>
        <w:t>(Goudriaan et al. 2014)</w:t>
      </w:r>
      <w:r w:rsidR="003E0731">
        <w:rPr>
          <w:rFonts w:ascii="Times New Roman" w:hAnsi="Times New Roman" w:cs="Times New Roman"/>
          <w:noProof/>
        </w:rPr>
        <w:fldChar w:fldCharType="end"/>
      </w:r>
      <w:r w:rsidR="00893FD3">
        <w:rPr>
          <w:rFonts w:ascii="Times New Roman" w:hAnsi="Times New Roman" w:cs="Times New Roman"/>
          <w:noProof/>
        </w:rPr>
        <w:t xml:space="preserve">. Therefore, identification of neuronal-associated genes </w:t>
      </w:r>
      <w:r w:rsidR="00585A6F">
        <w:rPr>
          <w:rFonts w:ascii="Times New Roman" w:hAnsi="Times New Roman" w:cs="Times New Roman"/>
          <w:noProof/>
        </w:rPr>
        <w:t xml:space="preserve">in astrocytes </w:t>
      </w:r>
      <w:r w:rsidR="00893FD3">
        <w:rPr>
          <w:rFonts w:ascii="Times New Roman" w:hAnsi="Times New Roman" w:cs="Times New Roman"/>
          <w:noProof/>
        </w:rPr>
        <w:t xml:space="preserve">may be a reflection of co-culture conditions as well. </w:t>
      </w:r>
      <w:r w:rsidR="00105E53">
        <w:rPr>
          <w:rFonts w:ascii="Times New Roman" w:hAnsi="Times New Roman" w:cs="Times New Roman"/>
          <w:noProof/>
        </w:rPr>
        <w:t xml:space="preserve">In relation to the increase observed in GABRB1, </w:t>
      </w:r>
      <w:r w:rsidR="00904310">
        <w:rPr>
          <w:rFonts w:ascii="Times New Roman" w:hAnsi="Times New Roman" w:cs="Times New Roman"/>
          <w:noProof/>
        </w:rPr>
        <w:t>loss of IGF1R also led to</w:t>
      </w:r>
      <w:r w:rsidR="00105E53">
        <w:rPr>
          <w:rFonts w:ascii="Times New Roman" w:hAnsi="Times New Roman" w:cs="Times New Roman"/>
          <w:noProof/>
        </w:rPr>
        <w:t xml:space="preserve"> an increase in three genes involved in potassium channel formation</w:t>
      </w:r>
      <w:r w:rsidR="00904310">
        <w:rPr>
          <w:rFonts w:ascii="Times New Roman" w:hAnsi="Times New Roman" w:cs="Times New Roman"/>
          <w:noProof/>
        </w:rPr>
        <w:t xml:space="preserve"> (KCND1, KCNQ2 and KCNK6).</w:t>
      </w:r>
      <w:r w:rsidR="005A6A12">
        <w:rPr>
          <w:rFonts w:ascii="Times New Roman" w:hAnsi="Times New Roman" w:cs="Times New Roman"/>
          <w:noProof/>
        </w:rPr>
        <w:t xml:space="preserve"> Astrocytes clear potassium from the neuronal microenvironment to ensure the level of potassium ions do not reach levels that could interfere with neuronal activity</w:t>
      </w:r>
      <w:r w:rsidR="00E16052">
        <w:rPr>
          <w:rFonts w:ascii="Times New Roman" w:hAnsi="Times New Roman" w:cs="Times New Roman"/>
          <w:noProof/>
        </w:rPr>
        <w:t xml:space="preserve"> </w:t>
      </w:r>
      <w:r w:rsidR="003142B1">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"10.1016/j.neuroscience.2004.06.008", "ISSN" : "0306-4522", "PMID" : "15561419", "abstract" : "Rapid changes in extracellular K+ concentration ([K+](o)) in the mammalian CNS are counteracted by simple passive diffusion as well as by cellular mechanisms of K+ clearance. Buffering of [K+](o) can occur via glial or neuronal uptake of K+ ions through transporters or K+-selective channels. The best studied mechanism for [K+](o) buffering in the brain is called K+ spatial buffering, wherein the glial syncytium disperses local extracellular K+ increases by transferring K+ ions from sites of elevated [K+](o) to those with lower [K+](o). In recent years, K+ spatial buffering has been implicated or directly demonstrated by a variety of experimental approaches including electrophysiological and optical methods. A specialized form of spatial buffering named K+ siphoning takes place in the vertebrate retina, where glial Muller cells express inwardly rectifying K+ channels (Kir channels) positioned in the membrane domains near to the vitreous humor and blood vessels. This highly compartmentalized distribution of Kir channels in retinal glia directs K+ ions from the synaptic layers to the vitreous humor and blood vessels. Here, we review the principal mechanisms of [K+](o) buffering in the CNS and recent molecular studies on the structure and functions of glial Kir channels. We also discuss intriguing new data that suggest a close physical and functional relationship between Kir and water channels in glial cells.", "author" : [ { "dropping-particle" : "", "family" : "Kofuji", "given" : "P", "non-dropping-particle" : "", "parse-names" : false, "suffix" : "" }, { "dropping-particle" : "", "family" : "Newman", "given" : "E A", "non-dropping-particle" : "", "parse-names" : false, "suffix" : "" } ], "container-title" : "Neuroscience", "id" : "ITEM-1", "issue" : "4", "issued" : { "date-parts" : [ [ "2004" ] ] }, "page" : "1045-56", "publisher" : "NIH Public Access", "title" : "Potassium buffering in the central nervous system.", "type" : "article-journal", "volume" : "129" }, "uris" : [ "http://www.mendeley.com/documents/?uuid=09fad893-c386-372a-b461-76e6af8e5097" ] } ], "mendeley" : { "formattedCitation" : "(Kofuji &amp; Newman 2004)", "plainTextFormattedCitation" : "(Kofuji &amp; Newman 2004)", "previouslyFormattedCitation" : "(Kofuji &amp; Newman 2004)" }, "properties" : { "noteIndex" : 0 }, "schema" : "https://github.com/citation-style-language/schema/raw/master/csl-citation.json" }</w:instrText>
      </w:r>
      <w:r w:rsidR="003142B1">
        <w:rPr>
          <w:rFonts w:ascii="Times New Roman" w:hAnsi="Times New Roman" w:cs="Times New Roman"/>
          <w:noProof/>
        </w:rPr>
        <w:fldChar w:fldCharType="separate"/>
      </w:r>
      <w:r w:rsidR="00C148FC" w:rsidRPr="00C148FC">
        <w:rPr>
          <w:rFonts w:ascii="Times New Roman" w:hAnsi="Times New Roman" w:cs="Times New Roman"/>
          <w:noProof/>
        </w:rPr>
        <w:t>(Kofuji &amp; Newman 2004)</w:t>
      </w:r>
      <w:r w:rsidR="003142B1">
        <w:rPr>
          <w:rFonts w:ascii="Times New Roman" w:hAnsi="Times New Roman" w:cs="Times New Roman"/>
          <w:noProof/>
        </w:rPr>
        <w:fldChar w:fldCharType="end"/>
      </w:r>
      <w:r w:rsidR="005A6A12" w:rsidRPr="003142B1">
        <w:rPr>
          <w:rFonts w:ascii="Times New Roman" w:hAnsi="Times New Roman" w:cs="Times New Roman"/>
          <w:noProof/>
        </w:rPr>
        <w:t>.</w:t>
      </w:r>
      <w:r w:rsidR="005A6A12">
        <w:rPr>
          <w:rFonts w:ascii="Times New Roman" w:hAnsi="Times New Roman" w:cs="Times New Roman"/>
          <w:noProof/>
        </w:rPr>
        <w:t xml:space="preserve"> An increase in these gene</w:t>
      </w:r>
      <w:r w:rsidR="003E0731">
        <w:rPr>
          <w:rFonts w:ascii="Times New Roman" w:hAnsi="Times New Roman" w:cs="Times New Roman"/>
          <w:noProof/>
        </w:rPr>
        <w:t xml:space="preserve">s, as demonstrated in </w:t>
      </w:r>
      <w:r w:rsidR="003E0731" w:rsidRPr="000A1D8D">
        <w:rPr>
          <w:rFonts w:ascii="Times New Roman" w:hAnsi="Times New Roman" w:cs="Times New Roman"/>
          <w:b/>
          <w:noProof/>
        </w:rPr>
        <w:t>table 5.18</w:t>
      </w:r>
      <w:r w:rsidR="003142B1">
        <w:rPr>
          <w:rFonts w:ascii="Times New Roman" w:hAnsi="Times New Roman" w:cs="Times New Roman"/>
          <w:noProof/>
        </w:rPr>
        <w:t>, could suggest</w:t>
      </w:r>
      <w:r w:rsidR="005A6A12">
        <w:rPr>
          <w:rFonts w:ascii="Times New Roman" w:hAnsi="Times New Roman" w:cs="Times New Roman"/>
          <w:noProof/>
        </w:rPr>
        <w:t xml:space="preserve"> that the surrounding levels </w:t>
      </w:r>
      <w:r w:rsidR="003142B1">
        <w:rPr>
          <w:rFonts w:ascii="Times New Roman" w:hAnsi="Times New Roman" w:cs="Times New Roman"/>
          <w:noProof/>
        </w:rPr>
        <w:t>of potassium</w:t>
      </w:r>
      <w:r w:rsidR="00615655">
        <w:rPr>
          <w:rFonts w:ascii="Times New Roman" w:hAnsi="Times New Roman" w:cs="Times New Roman"/>
          <w:noProof/>
        </w:rPr>
        <w:t xml:space="preserve"> have increased and astrocytes have upregulated potassium channels to reduce neuronal exposure to potassium.</w:t>
      </w:r>
      <w:r w:rsidR="0098170A">
        <w:rPr>
          <w:rFonts w:ascii="Times New Roman" w:hAnsi="Times New Roman" w:cs="Times New Roman"/>
          <w:noProof/>
        </w:rPr>
        <w:t xml:space="preserve"> </w:t>
      </w:r>
      <w:r w:rsidR="00511D10">
        <w:rPr>
          <w:rFonts w:ascii="Times New Roman" w:hAnsi="Times New Roman" w:cs="Times New Roman"/>
          <w:noProof/>
        </w:rPr>
        <w:t>In addition, glycolysis is regulated by potassium influx into astrocytes</w:t>
      </w:r>
      <w:r w:rsidR="003142B1">
        <w:rPr>
          <w:rFonts w:ascii="Times New Roman" w:hAnsi="Times New Roman" w:cs="Times New Roman"/>
          <w:noProof/>
        </w:rPr>
        <w:t xml:space="preserve"> </w:t>
      </w:r>
      <w:r w:rsidR="003142B1">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"10.1523/JNEUROSCI.5311-10.2011", "ISSN" : "1529-2401", "PMID" : "21430169", "abstract" : "Synaptic activity is followed within seconds by a local surge in lactate concentration, a phenomenon that underlies functional magnetic resonance imaging and whose causal mechanisms are unclear, partly because of the limited spatiotemporal resolution of standard measurement techniques. Using a novel F\u00f6rster resonance energy transfer-based method that allows real-time measurement of the glycolytic rate in single cells, we have studied mouse astrocytes in search for the mechanisms responsible for the lactate surge. Consistent with previous measurements with isotopic 2-deoxyglucose, glutamate was observed to stimulate glycolysis in cultured astrocytes, but the response appeared only after a lag period of several minutes. Na(+) overloads elicited by engagement of the Na(+)-glutamate cotransporter with d-aspartate or application of the Na(+) ionophore gramicidin also failed to stimulate glycolysis in the short term. In marked contrast, K(+) stimulated astrocytic glycolysis by fourfold within seconds, an effect that was observed at low millimolar concentrations and was also present in organotypic hippocampal slices. After removal of the agonists, the stimulation by K(+) ended immediately but the stimulation by glutamate persisted unabated for &gt;20 min. Both stimulations required an active Na(+)/K(+) ATPase pump. By showing that small rises in extracellular K(+) mediate short-term, reversible modulation of astrocytic glycolysis and that glutamate plays a long-term effect and leaves a metabolic trace, these results support the view that astrocytes contribute to the lactate surge that accompanies synaptic activity and underscore the role of these cells in neurometabolic and neurovascular coupling.", "author" : [ { "dropping-particle" : "", "family" : "Bittner", "given" : "Carla X", "non-dropping-particle" : "", "parse-names" : false, "suffix" : "" }, { "dropping-particle" : "", "family" : "Valdebenito", "given" : "Roc\u00edo", "non-dropping-particle" : "", "parse-names" : false, "suffix" : "" }, { "dropping-particle" : "", "family" : "Ruminot", "given" : "Iv\u00e1n", "non-dropping-particle" : "", "parse-names" : false, "suffix" : "" }, { "dropping-particle" : "", "family" : "Loaiza", "given" : "Anitsi", "non-dropping-particle" : "", "parse-names" : false, "suffix" : "" }, { "dropping-particle" : "", "family" : "Larenas", "given" : "Valeria", "non-dropping-particle" : "", "parse-names" : false, "suffix" : "" }, { "dropping-particle" : "", "family" : "Sotelo-Hitschfeld", "given" : "Tamara", "non-dropping-particle" : "", "parse-names" : false, "suffix" : "" }, { "dropping-particle" : "", "family" : "Moldenhauer", "given" : "Hans", "non-dropping-particle" : "", "parse-names" : false, "suffix" : "" }, { "dropping-particle" : "", "family" : "San Mart\u00edn", "given" : "Alejandro", "non-dropping-particle" : "", "parse-names" : false, "suffix" : "" }, { "dropping-particle" : "", "family" : "Guti\u00e9rrez", "given" : "Robin", "non-dropping-particle" : "", "parse-names" : false, "suffix" : "" }, { "dropping-particle" : "", "family" : "Zambrano", "given" : "Marilyn", "non-dropping-particle" : "", "parse-names" : false, "suffix" : "" }, { "dropping-particle" : "", "family" : "Barros", "given" : "L Felipe", "non-dropping-particle" : "", "parse-names" : false, "suffix" : "" } ], "container-title" : "The Journal of neuroscience : the official journal of the Society for Neuroscience", "id" : "ITEM-1", "issue" : "12", "issued" : { "date-parts" : [ [ "2011", "3", "23" ] ] }, "page" : "4709-13", "title" : "Fast and reversible stimulation of astrocytic glycolysis by K+ and a delayed and persistent effect of glutamate.", "type" : "article-journal", "volume" : "31" }, "uris" : [ "http://www.mendeley.com/documents/?uuid=c207159a-dd78-3775-8728-fe68619c535f" ] } ], "mendeley" : { "formattedCitation" : "(Bittner et al. 2011)", "plainTextFormattedCitation" : "(Bittner et al. 2011)", "previouslyFormattedCitation" : "(Bittner et al. 2011)" }, "properties" : { "noteIndex" : 0 }, "schema" : "https://github.com/citation-style-language/schema/raw/master/csl-citation.json" }</w:instrText>
      </w:r>
      <w:r w:rsidR="003142B1">
        <w:rPr>
          <w:rFonts w:ascii="Times New Roman" w:hAnsi="Times New Roman" w:cs="Times New Roman"/>
          <w:noProof/>
        </w:rPr>
        <w:fldChar w:fldCharType="separate"/>
      </w:r>
      <w:r w:rsidR="00C148FC" w:rsidRPr="00C148FC">
        <w:rPr>
          <w:rFonts w:ascii="Times New Roman" w:hAnsi="Times New Roman" w:cs="Times New Roman"/>
          <w:noProof/>
        </w:rPr>
        <w:t>(Bittner et al. 2011)</w:t>
      </w:r>
      <w:r w:rsidR="003142B1">
        <w:rPr>
          <w:rFonts w:ascii="Times New Roman" w:hAnsi="Times New Roman" w:cs="Times New Roman"/>
          <w:noProof/>
        </w:rPr>
        <w:fldChar w:fldCharType="end"/>
      </w:r>
      <w:r w:rsidR="00511D10">
        <w:rPr>
          <w:rFonts w:ascii="Times New Roman" w:hAnsi="Times New Roman" w:cs="Times New Roman"/>
          <w:noProof/>
        </w:rPr>
        <w:t xml:space="preserve"> </w:t>
      </w:r>
      <w:r w:rsidR="003142B1">
        <w:rPr>
          <w:rFonts w:ascii="Times New Roman" w:hAnsi="Times New Roman" w:cs="Times New Roman"/>
          <w:noProof/>
        </w:rPr>
        <w:t xml:space="preserve">and an increase in the transcript levels of glycolytic enzymes and potassium channels may suggest that IGF1 signalling impaired astrocytes are under higher metabolic demand from the neurons. GRM6 </w:t>
      </w:r>
      <w:r w:rsidR="000A1D8D">
        <w:rPr>
          <w:rFonts w:ascii="Times New Roman" w:hAnsi="Times New Roman" w:cs="Times New Roman"/>
          <w:noProof/>
        </w:rPr>
        <w:t>wa</w:t>
      </w:r>
      <w:r w:rsidR="0098170A">
        <w:rPr>
          <w:rFonts w:ascii="Times New Roman" w:hAnsi="Times New Roman" w:cs="Times New Roman"/>
          <w:noProof/>
        </w:rPr>
        <w:t xml:space="preserve">s also upregulated following MAB391 treatment, which </w:t>
      </w:r>
      <w:r w:rsidR="00D432DF">
        <w:rPr>
          <w:rFonts w:ascii="Times New Roman" w:hAnsi="Times New Roman" w:cs="Times New Roman"/>
          <w:noProof/>
        </w:rPr>
        <w:t>may indicate</w:t>
      </w:r>
      <w:r w:rsidR="0098170A">
        <w:rPr>
          <w:rFonts w:ascii="Times New Roman" w:hAnsi="Times New Roman" w:cs="Times New Roman"/>
          <w:noProof/>
        </w:rPr>
        <w:t xml:space="preserve"> that astrocytes </w:t>
      </w:r>
      <w:r w:rsidR="00D432DF">
        <w:rPr>
          <w:rFonts w:ascii="Times New Roman" w:hAnsi="Times New Roman" w:cs="Times New Roman"/>
          <w:noProof/>
        </w:rPr>
        <w:t>are</w:t>
      </w:r>
      <w:r w:rsidR="0098170A">
        <w:rPr>
          <w:rFonts w:ascii="Times New Roman" w:hAnsi="Times New Roman" w:cs="Times New Roman"/>
          <w:noProof/>
        </w:rPr>
        <w:t xml:space="preserve"> trying to resolve glutamate levels present in the co-culture system</w:t>
      </w:r>
      <w:r w:rsidR="00D432DF">
        <w:rPr>
          <w:rFonts w:ascii="Times New Roman" w:hAnsi="Times New Roman" w:cs="Times New Roman"/>
          <w:noProof/>
        </w:rPr>
        <w:t xml:space="preserve">. Glutamate has also been shown to stimulate glucose uptake into </w:t>
      </w:r>
      <w:r w:rsidR="00D432DF" w:rsidRPr="00FB7E89">
        <w:rPr>
          <w:rFonts w:ascii="Times New Roman" w:hAnsi="Times New Roman" w:cs="Times New Roman"/>
          <w:noProof/>
        </w:rPr>
        <w:t>astrocytes</w:t>
      </w:r>
      <w:r w:rsidR="005C25C7" w:rsidRPr="00FB7E89">
        <w:rPr>
          <w:rFonts w:ascii="Times New Roman" w:hAnsi="Times New Roman" w:cs="Times New Roman"/>
          <w:noProof/>
        </w:rPr>
        <w:t xml:space="preserve"> </w:t>
      </w:r>
      <w:r w:rsidR="005C25C7" w:rsidRPr="00FB7E89">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"ISSN" : "1529-2401", "PMID" : "12917367", "abstract" : "Glutamate stimulates glycolysis in astrocytes, a phenomenon that couples astrocytic metabolism with neuronal activity. However, it is not known whether glutamate also affects glucose transporter-1 (GLUT1), the transporter responsible for glucose entry into astrocytes. To address this question, two different real-time single-cell hexose uptake assays were applied to cultured hippocampal astrocytes using confocal epifluorescence microscopy. Glutamate caused a twofold to threefold increase in the zero-trans uptake rates of the fluorescent hexoses 2-[N-(7-nitrobenz-2-oxa-1,3-diazol-4-yl)amino]-2-deoxyglucose (2-NBDG) and 6-[N-(7-nitrobenz-2-oxa-1,3-diazol-4-yl)amino]-6-deoxyglucose (6-NBDG). Galactose uptake, determined by the calcein volumetric assay, was stimulated to a similar extent, confirming the fluorescent hexose data, and also demonstrating that glutamate stimulation is a Vmax effect. Remarkably, glucose transport stimulation developed fully inside 10 sec, which is 100 times faster than acute stimulations of glucose transport in other cell types. Glutamate did not significantly affect the rate of 6-NBDG uptake by GLUT1-expressing epithelial Clone 9 cells, suggesting that an astrocyte-specific factor is required for transport stimulation. We conclude that glucose transport stimulation occurs early during astrocytic activation by glutamate, which provides a novel regulatory node to current models of brain energy metabolism. This mechanism should also be considered for the interpretation of functional imaging data based on hexoses.", "author" : [ { "dropping-particle" : "", "family" : "Loaiza", "given" : "Anitsi", "non-dropping-particle" : "", "parse-names" : false, "suffix" : "" }, { "dropping-particle" : "", "family" : "Porras", "given" : "Omar H", "non-dropping-particle" : "", "parse-names" : false, "suffix" : "" }, { "dropping-particle" : "", "family" : "Barros", "given" : "Luis Felipe", "non-dropping-particle" : "", "parse-names" : false, "suffix" : "" } ], "container-title" : "The Journal of neuroscience : the official journal of the Society for Neuroscience", "id" : "ITEM-1", "issue" : "19", "issued" : { "date-parts" : [ [ "2003", "8", "13" ] ] }, "page" : "7337-42", "publisher" : "Society for Neuroscience", "title" : "Glutamate triggers rapid glucose transport stimulation in astrocytes as evidenced by real-time confocal microscopy.", "type" : "article-journal", "volume" : "23" }, "uris" : [ "http://www.mendeley.com/documents/?uuid=90702a43-45d2-321c-8909-b5d0dff816ae" ] } ], "mendeley" : { "formattedCitation" : "(Loaiza et al. 2003)", "plainTextFormattedCitation" : "(Loaiza et al. 2003)", "previouslyFormattedCitation" : "(Loaiza et al. 2003)" }, "properties" : { "noteIndex" : 0 }, "schema" : "https://github.com/citation-style-language/schema/raw/master/csl-citation.json" }</w:instrText>
      </w:r>
      <w:r w:rsidR="005C25C7" w:rsidRPr="00FB7E89">
        <w:rPr>
          <w:rFonts w:ascii="Times New Roman" w:hAnsi="Times New Roman" w:cs="Times New Roman"/>
          <w:noProof/>
        </w:rPr>
        <w:fldChar w:fldCharType="separate"/>
      </w:r>
      <w:r w:rsidR="00C148FC" w:rsidRPr="00C148FC">
        <w:rPr>
          <w:rFonts w:ascii="Times New Roman" w:hAnsi="Times New Roman" w:cs="Times New Roman"/>
          <w:noProof/>
        </w:rPr>
        <w:t>(Loaiza et al. 2003)</w:t>
      </w:r>
      <w:r w:rsidR="005C25C7" w:rsidRPr="00FB7E89">
        <w:rPr>
          <w:rFonts w:ascii="Times New Roman" w:hAnsi="Times New Roman" w:cs="Times New Roman"/>
          <w:noProof/>
        </w:rPr>
        <w:fldChar w:fldCharType="end"/>
      </w:r>
      <w:r w:rsidR="00D432DF" w:rsidRPr="00FB7E89">
        <w:rPr>
          <w:rFonts w:ascii="Times New Roman" w:hAnsi="Times New Roman" w:cs="Times New Roman"/>
          <w:noProof/>
        </w:rPr>
        <w:t>,</w:t>
      </w:r>
      <w:r w:rsidR="00D432DF">
        <w:rPr>
          <w:rFonts w:ascii="Times New Roman" w:hAnsi="Times New Roman" w:cs="Times New Roman"/>
          <w:noProof/>
        </w:rPr>
        <w:t xml:space="preserve"> which could </w:t>
      </w:r>
      <w:r w:rsidR="005C25C7">
        <w:rPr>
          <w:rFonts w:ascii="Times New Roman" w:hAnsi="Times New Roman" w:cs="Times New Roman"/>
          <w:noProof/>
        </w:rPr>
        <w:t xml:space="preserve">provide substrates for glycolysis. </w:t>
      </w:r>
    </w:p>
    <w:p w14:paraId="27129A35" w14:textId="77777777" w:rsidR="00FF421C" w:rsidRDefault="00FF421C" w:rsidP="0052651A">
      <w:pPr>
        <w:spacing w:line="360" w:lineRule="auto"/>
        <w:jc w:val="both"/>
        <w:rPr>
          <w:rFonts w:ascii="Times New Roman" w:hAnsi="Times New Roman" w:cs="Times New Roman"/>
          <w:noProof/>
        </w:rPr>
      </w:pPr>
    </w:p>
    <w:p w14:paraId="0254581A" w14:textId="73386989" w:rsidR="00893FD3" w:rsidRDefault="00893FD3" w:rsidP="0052651A">
      <w:pPr>
        <w:spacing w:line="360" w:lineRule="auto"/>
        <w:jc w:val="both"/>
        <w:rPr>
          <w:rFonts w:ascii="Times New Roman" w:hAnsi="Times New Roman" w:cs="Times New Roman"/>
          <w:noProof/>
        </w:rPr>
      </w:pPr>
      <w:r>
        <w:rPr>
          <w:rFonts w:ascii="Times New Roman" w:hAnsi="Times New Roman" w:cs="Times New Roman"/>
          <w:noProof/>
        </w:rPr>
        <w:t>Further changes in sy</w:t>
      </w:r>
      <w:r w:rsidR="00334986">
        <w:rPr>
          <w:rFonts w:ascii="Times New Roman" w:hAnsi="Times New Roman" w:cs="Times New Roman"/>
          <w:noProof/>
        </w:rPr>
        <w:t xml:space="preserve">naptic support were </w:t>
      </w:r>
      <w:r w:rsidR="00085106">
        <w:rPr>
          <w:rFonts w:ascii="Times New Roman" w:hAnsi="Times New Roman" w:cs="Times New Roman"/>
          <w:noProof/>
        </w:rPr>
        <w:t>observed as</w:t>
      </w:r>
      <w:r w:rsidR="007F0405">
        <w:rPr>
          <w:rFonts w:ascii="Times New Roman" w:hAnsi="Times New Roman" w:cs="Times New Roman"/>
          <w:noProof/>
        </w:rPr>
        <w:t xml:space="preserve"> SERPINI1 and STXBP4</w:t>
      </w:r>
      <w:r w:rsidR="00085106">
        <w:rPr>
          <w:rFonts w:ascii="Times New Roman" w:hAnsi="Times New Roman" w:cs="Times New Roman"/>
          <w:noProof/>
        </w:rPr>
        <w:t xml:space="preserve"> were both downregulated</w:t>
      </w:r>
      <w:r w:rsidR="007F0405">
        <w:rPr>
          <w:rFonts w:ascii="Times New Roman" w:hAnsi="Times New Roman" w:cs="Times New Roman"/>
          <w:noProof/>
        </w:rPr>
        <w:t>, both</w:t>
      </w:r>
      <w:r w:rsidR="00C91B52">
        <w:rPr>
          <w:rFonts w:ascii="Times New Roman" w:hAnsi="Times New Roman" w:cs="Times New Roman"/>
          <w:noProof/>
        </w:rPr>
        <w:t xml:space="preserve"> of which are</w:t>
      </w:r>
      <w:r w:rsidR="007F0405">
        <w:rPr>
          <w:rFonts w:ascii="Times New Roman" w:hAnsi="Times New Roman" w:cs="Times New Roman"/>
          <w:noProof/>
        </w:rPr>
        <w:t xml:space="preserve"> involved in axonal and synaptic development. Downregulation of both of these genes was found in astrocytes treated with tBHQ an</w:t>
      </w:r>
      <w:r w:rsidR="00B8782A">
        <w:rPr>
          <w:rFonts w:ascii="Times New Roman" w:hAnsi="Times New Roman" w:cs="Times New Roman"/>
          <w:noProof/>
        </w:rPr>
        <w:t>d separated from neurons by FACS</w:t>
      </w:r>
      <w:r w:rsidR="007F0405">
        <w:rPr>
          <w:rFonts w:ascii="Times New Roman" w:hAnsi="Times New Roman" w:cs="Times New Roman"/>
          <w:noProof/>
        </w:rPr>
        <w:t xml:space="preserve"> </w:t>
      </w:r>
      <w:r w:rsidR="007F0405">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"10.1523/JNEUROSCI.3817-03.2004", "ISSN" : "1529-2401", "PMID" : "14762128", "abstract" : "Binding of the transcription factor nuclear factor E2-related factor 2 (Nrf2) to the antioxidant response element (ARE) in neural cells results in the induction of a battery of genes that can coordinate a protective response against a variety of oxidative stressors. In this study, tert-butylhydroquinone (tBHQ) and sulforaphane were used as activators of this pathway. Consistent with previous studies, treatment of primary cortical cultures from ARE reporter mice revealed selective promoter activity in astrocytes. This activation protected neurons from hydrogen peroxide and nonexcitotoxic glutamate toxicity. tBHQ treatment of cultures from Nrf2 knock-out animals resulted in neither ARE activation nor neuroprotection. By reintroducing Nrf2 via infection with a replication-deficient adenovirus (ad), both the genetic response and neuroprotection were rescued. Conversely, infection with adenovirus encoding dominant-negative (DN) Nrf2 (ad-DN-Nrf2) or pretreatment with the selective phosphatidylinositol-3 kinase inhibitor LY294002 inhibited the tBHQ-mediated promoter response and corresponding neuroprotection. Interestingly, the adenoviral infection showed a high selectivity for astrocytes over neurons. In an attempt to reveal some of the cell type-specific changes resulting from ARE activation, cultures were infected with adenovirus encoding green fluorescent protein (GFP) (ad-GFP) or ad-DN-Nrf2 (containing GFP) before tBHQ treatment. A glia-enriched population of GFP-infected cells was then isolated from a population of uninfected neurons using cell-sorting technology. Microarray analysis was used to evaluate potential glial versus neuron-specific contributions to the neuroprotective effects of ARE activation and Nrf2 dependence. Strikingly, the change in neuronal gene expression after tBHQ treatment was dependent on Nrf2 activity in the astrocytes. This suggests that Nrf2-dependent genetic changes alter neuron-glia interactions resulting in neuroprotection.", "author" : [ { "dropping-particle" : "", "family" : "Kraft", "given" : "Andrew D", "non-dropping-particle" : "", "parse-names" : false, "suffix" : "" }, { "dropping-particle" : "", "family" : "Johnson", "given" : "Delinda A", "non-dropping-particle" : "", "parse-names" : false, "suffix" : "" }, { "dropping-particle" : "", "family" : "Johnson", "given" : "Jeffrey A", "non-dropping-particle" : "", "parse-names" : false, "suffix" : "" } ], "container-title" : "The Journal of neuroscience : the official journal of the Society for Neuroscience", "id" : "ITEM-1", "issue" : "5", "issued" : { "date-parts" : [ [ "2004", "2", "4" ] ] }, "page" : "1101-12", "title" : "Nuclear factor E2-related factor 2-dependent antioxidant response element activation by tert-butylhydroquinone and sulforaphane occurring preferentially in astrocytes conditions neurons against oxidative insult.", "type" : "article-journal", "volume" : "24" }, "uris" : [ "http://www.mendeley.com/documents/?uuid=271abe84-7f6c-41e1-b85d-4766cf09296f" ] } ], "mendeley" : { "formattedCitation" : "(Kraft et al. 2004)", "plainTextFormattedCitation" : "(Kraft et al. 2004)", "previouslyFormattedCitation" : "(Kraft et al. 2004)" }, "properties" : { "noteIndex" : 0 }, "schema" : "https://github.com/citation-style-language/schema/raw/master/csl-citation.json" }</w:instrText>
      </w:r>
      <w:r w:rsidR="007F0405">
        <w:rPr>
          <w:rFonts w:ascii="Times New Roman" w:hAnsi="Times New Roman" w:cs="Times New Roman"/>
          <w:noProof/>
        </w:rPr>
        <w:fldChar w:fldCharType="separate"/>
      </w:r>
      <w:r w:rsidR="00C148FC" w:rsidRPr="00C148FC">
        <w:rPr>
          <w:rFonts w:ascii="Times New Roman" w:hAnsi="Times New Roman" w:cs="Times New Roman"/>
          <w:noProof/>
        </w:rPr>
        <w:t>(Kraft et al. 2004)</w:t>
      </w:r>
      <w:r w:rsidR="007F0405">
        <w:rPr>
          <w:rFonts w:ascii="Times New Roman" w:hAnsi="Times New Roman" w:cs="Times New Roman"/>
          <w:noProof/>
        </w:rPr>
        <w:fldChar w:fldCharType="end"/>
      </w:r>
      <w:r w:rsidR="007F0405">
        <w:rPr>
          <w:rFonts w:ascii="Times New Roman" w:hAnsi="Times New Roman" w:cs="Times New Roman"/>
          <w:noProof/>
        </w:rPr>
        <w:t>. This suggests that there may be reduced support for neuronal development, which is not just an artefact of th</w:t>
      </w:r>
      <w:r w:rsidR="00A91F86">
        <w:rPr>
          <w:rFonts w:ascii="Times New Roman" w:hAnsi="Times New Roman" w:cs="Times New Roman"/>
          <w:noProof/>
        </w:rPr>
        <w:t>e co-culture separation</w:t>
      </w:r>
      <w:r w:rsidR="003E0731">
        <w:rPr>
          <w:rFonts w:ascii="Times New Roman" w:hAnsi="Times New Roman" w:cs="Times New Roman"/>
          <w:noProof/>
        </w:rPr>
        <w:t xml:space="preserve"> method</w:t>
      </w:r>
      <w:r w:rsidR="00A91F86">
        <w:rPr>
          <w:rFonts w:ascii="Times New Roman" w:hAnsi="Times New Roman" w:cs="Times New Roman"/>
          <w:noProof/>
        </w:rPr>
        <w:t xml:space="preserve">. </w:t>
      </w:r>
      <w:r w:rsidR="00E25FCD">
        <w:rPr>
          <w:rFonts w:ascii="Times New Roman" w:hAnsi="Times New Roman" w:cs="Times New Roman"/>
          <w:noProof/>
        </w:rPr>
        <w:t>Furthermore, reduced expression of these genes may be an additional reason for IGF1R impaired astrocytes not being able to support neurons under conditions of oxidative stress.</w:t>
      </w:r>
    </w:p>
    <w:p w14:paraId="0FB2AD96" w14:textId="77777777" w:rsidR="00FF421C" w:rsidRDefault="00FF421C" w:rsidP="0052651A">
      <w:pPr>
        <w:spacing w:line="360" w:lineRule="auto"/>
        <w:jc w:val="both"/>
        <w:rPr>
          <w:rFonts w:ascii="Times New Roman" w:hAnsi="Times New Roman" w:cs="Times New Roman"/>
          <w:noProof/>
        </w:rPr>
      </w:pPr>
    </w:p>
    <w:p w14:paraId="3CFD3EBE" w14:textId="67180D7E" w:rsidR="004B4918" w:rsidRPr="004B4918" w:rsidRDefault="001A51D3" w:rsidP="0052651A">
      <w:pPr>
        <w:spacing w:line="360" w:lineRule="auto"/>
        <w:jc w:val="both"/>
        <w:rPr>
          <w:rFonts w:ascii="Times New Roman" w:hAnsi="Times New Roman" w:cs="Times New Roman"/>
          <w:noProof/>
        </w:rPr>
      </w:pPr>
      <w:r>
        <w:rPr>
          <w:rFonts w:ascii="Times New Roman" w:hAnsi="Times New Roman" w:cs="Times New Roman"/>
          <w:noProof/>
        </w:rPr>
        <w:t>Upregulation of SMO, HIP1, WNT4 and DVL3 were also found in IGF1R impaired</w:t>
      </w:r>
      <w:r w:rsidR="00A6430C">
        <w:rPr>
          <w:rFonts w:ascii="Times New Roman" w:hAnsi="Times New Roman" w:cs="Times New Roman"/>
          <w:noProof/>
        </w:rPr>
        <w:t xml:space="preserve"> astrocytes. These genes are necessary in facillitating</w:t>
      </w:r>
      <w:r>
        <w:rPr>
          <w:rFonts w:ascii="Times New Roman" w:hAnsi="Times New Roman" w:cs="Times New Roman"/>
          <w:noProof/>
        </w:rPr>
        <w:t xml:space="preserve"> Shh signalling</w:t>
      </w:r>
      <w:r w:rsidR="00395BCB">
        <w:rPr>
          <w:rFonts w:ascii="Times New Roman" w:hAnsi="Times New Roman" w:cs="Times New Roman"/>
          <w:noProof/>
        </w:rPr>
        <w:t xml:space="preserve">, which has been shown to be important in astrocytes to respond to </w:t>
      </w:r>
      <w:r w:rsidR="00A6430C">
        <w:rPr>
          <w:rFonts w:ascii="Times New Roman" w:hAnsi="Times New Roman" w:cs="Times New Roman"/>
          <w:noProof/>
        </w:rPr>
        <w:t>meet the demand of local neural circuits</w:t>
      </w:r>
      <w:r w:rsidR="00C91B52">
        <w:rPr>
          <w:rFonts w:ascii="Times New Roman" w:hAnsi="Times New Roman" w:cs="Times New Roman"/>
          <w:noProof/>
        </w:rPr>
        <w:t xml:space="preserve"> </w:t>
      </w:r>
      <w:r w:rsidR="00A6430C">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"10.1523/JNEUROSCI.0830-10.2010", "ISSN" : "1529-2401", "PMID" : "20943901", "abstract" : "Astrocytes are an essential component of the CNS, and recent evidence points to an increasing diversity of their functions. Identifying molecular pathways that mediate distinct astrocyte functions, is key to understanding how the nervous system operates in the intact and pathological states. In this study, we demonstrate that the Hedgehog (Hh) pathway, well known for its roles in the developing CNS, is active in astrocytes of the mature mouse forebrain in vivo. Using multiple genetic approaches, we show that regionally distinct subsets of astrocytes receive Hh signaling, indicating a molecular diversity between specific astrocyte populations. Furthermore, we identified neurons as a source of Sonic hedgehog (Shh) in the adult forebrain, suggesting that Shh signaling is involved in neuron-astrocyte communication. Attenuation of Shh signaling in postnatal astrocytes by targeted removal of Smoothened, an obligate Shh coreceptor, resulted in upregulation of GFAP and cellular hypertrophy specifically in astrocyte populations regulated by Shh signaling. Collectively, our findings demonstrate a role for neuron-derived Shh in regulating specific populations of differentiated astrocytes.", "author" : [ { "dropping-particle" : "", "family" : "Garcia", "given" : "A Denise R", "non-dropping-particle" : "", "parse-names" : false, "suffix" : "" }, { "dropping-particle" : "", "family" : "Petrova", "given" : "Ralitsa", "non-dropping-particle" : "", "parse-names" : false, "suffix" : "" }, { "dropping-particle" : "", "family" : "Eng", "given" : "Liane", "non-dropping-particle" : "", "parse-names" : false, "suffix" : "" }, { "dropping-particle" : "", "family" : "Joyner", "given" : "Alexandra L", "non-dropping-particle" : "", "parse-names" : false, "suffix" : "" } ], "container-title" : "The Journal of neuroscience : the official journal of the Society for Neuroscience", "id" : "ITEM-1", "issue" : "41", "issued" : { "date-parts" : [ [ "2010", "10", "13" ] ] }, "language" : "en", "page" : "13597-608", "publisher" : "NIH Public Access", "title" : "Sonic hedgehog regulates discrete populations of astrocytes in the adult mouse forebrain.", "type" : "article-journal", "volume" : "30" }, "uris" : [ "http://www.mendeley.com/documents/?uuid=2ede01cf-90da-4cb1-9294-7a8a339b3859" ] }, { "id" : "ITEM-2", "itemData" : { "DOI" : "10.1126/science.aab3103", "ISSN" : "0036-8075", "PMID" : "26912893", "abstract" : "Astrocytes are specialized and heterogeneous cells that contribute to central nervous system function and homeostasis. However, the mechanisms that create and maintain differences among astrocytes and allow them to fulfill particular physiological roles remain poorly defined. We reveal that neurons actively determine the features of astrocytes in the healthy adult brain and define a role for neuron-derived sonic hedgehog (Shh) in regulating the molecular and functional profile of astrocytes. Thus, the molecular and physiological program of astrocytes is not hardwired during development but, rather, depends on cues from neurons that drive and sustain their specialized properties.", "author" : [ { "dropping-particle" : "", "family" : "Farmer", "given" : "W. T.", "non-dropping-particle" : "", "parse-names" : false, "suffix" : "" }, { "dropping-particle" : "", "family" : "Abrahamsson", "given" : "T.", "non-dropping-particle" : "", "parse-names" : false, "suffix" : "" }, { "dropping-particle" : "", "family" : "Chierzi", "given" : "S.", "non-dropping-particle" : "", "parse-names" : false, "suffix" : "" }, { "dropping-particle" : "", "family" : "Lui", "given" : "C.", "non-dropping-particle" : "", "parse-names" : false, "suffix" : "" }, { "dropping-particle" : "", "family" : "Zaelzer", "given" : "C.", "non-dropping-particle" : "", "parse-names" : false, "suffix" : "" }, { "dropping-particle" : "V.", "family" : "Jones", "given" : "E.", "non-dropping-particle" : "", "parse-names" : false, "suffix" : "" }, { "dropping-particle" : "", "family" : "Bally", "given" : "B. P.", "non-dropping-particle" : "", "parse-names" : false, "suffix" : "" }, { "dropping-particle" : "", "family" : "Chen", "given" : "G. G.", "non-dropping-particle" : "", "parse-names" : false, "suffix" : "" }, { "dropping-particle" : "", "family" : "Theroux", "given" : "J.-F.", "non-dropping-particle" : "", "parse-names" : false, "suffix" : "" }, { "dropping-particle" : "", "family" : "Peng", "given" : "J.", "non-dropping-particle" : "", "parse-names" : false, "suffix" : "" }, { "dropping-particle" : "", "family" : "Bourque", "given" : "C. W.", "non-dropping-particle" : "", "parse-names" : false, "suffix" : "" }, { "dropping-particle" : "", "family" : "Charron", "given" : "F.", "non-dropping-particle" : "", "parse-names" : false, "suffix" : "" }, { "dropping-particle" : "", "family" : "Ernst", "given" : "C.", "non-dropping-particle" : "", "parse-names" : false, "suffix" : "" }, { "dropping-particle" : "", "family" : "Sjostrom", "given" : "P. J.", "non-dropping-particle" : "", "parse-names" : false, "suffix" : "" }, { "dropping-particle" : "", "family" : "Murai", "given" : "K. K.", "non-dropping-particle" : "", "parse-names" : false, "suffix" : "" } ], "container-title" : "Science", "id" : "ITEM-2", "issue" : "6275", "issued" : { "date-parts" : [ [ "2016", "2", "18" ] ] }, "page" : "849-854", "title" : "Neurons diversify astrocytes in the adult brain through sonic hedgehog signaling", "type" : "article-journal", "volume" : "351" }, "uris" : [ "http://www.mendeley.com/documents/?uuid=82398894-3df8-4ba3-8dd9-3011280f9ad8" ] } ], "mendeley" : { "formattedCitation" : "(Garcia et al. 2010; Farmer et al. 2016)", "plainTextFormattedCitation" : "(Garcia et al. 2010; Farmer et al. 2016)", "previouslyFormattedCitation" : "(Garcia et al. 2010; Farmer et al. 2016)" }, "properties" : { "noteIndex" : 0 }, "schema" : "https://github.com/citation-style-language/schema/raw/master/csl-citation.json" }</w:instrText>
      </w:r>
      <w:r w:rsidR="00A6430C">
        <w:rPr>
          <w:rFonts w:ascii="Times New Roman" w:hAnsi="Times New Roman" w:cs="Times New Roman"/>
          <w:noProof/>
        </w:rPr>
        <w:fldChar w:fldCharType="separate"/>
      </w:r>
      <w:r w:rsidR="00C148FC" w:rsidRPr="00C148FC">
        <w:rPr>
          <w:rFonts w:ascii="Times New Roman" w:hAnsi="Times New Roman" w:cs="Times New Roman"/>
          <w:noProof/>
        </w:rPr>
        <w:t>(Garcia et al. 2010; Farmer et al. 2016)</w:t>
      </w:r>
      <w:r w:rsidR="00A6430C">
        <w:rPr>
          <w:rFonts w:ascii="Times New Roman" w:hAnsi="Times New Roman" w:cs="Times New Roman"/>
          <w:noProof/>
        </w:rPr>
        <w:fldChar w:fldCharType="end"/>
      </w:r>
      <w:r w:rsidR="00A6430C">
        <w:rPr>
          <w:rFonts w:ascii="Times New Roman" w:hAnsi="Times New Roman" w:cs="Times New Roman"/>
          <w:noProof/>
        </w:rPr>
        <w:t>. Increased expression of</w:t>
      </w:r>
      <w:r w:rsidR="00395BCB">
        <w:rPr>
          <w:rFonts w:ascii="Times New Roman" w:hAnsi="Times New Roman" w:cs="Times New Roman"/>
          <w:noProof/>
        </w:rPr>
        <w:t xml:space="preserve"> genes</w:t>
      </w:r>
      <w:r w:rsidR="00A6430C">
        <w:rPr>
          <w:rFonts w:ascii="Times New Roman" w:hAnsi="Times New Roman" w:cs="Times New Roman"/>
          <w:noProof/>
        </w:rPr>
        <w:t>, in particular SMO,</w:t>
      </w:r>
      <w:r w:rsidR="00395BCB">
        <w:rPr>
          <w:rFonts w:ascii="Times New Roman" w:hAnsi="Times New Roman" w:cs="Times New Roman"/>
          <w:noProof/>
        </w:rPr>
        <w:t xml:space="preserve"> may suggest that changes have occurred in the neurons in </w:t>
      </w:r>
      <w:r w:rsidR="002D5210">
        <w:rPr>
          <w:rFonts w:ascii="Times New Roman" w:hAnsi="Times New Roman" w:cs="Times New Roman"/>
          <w:noProof/>
        </w:rPr>
        <w:t>response to loss of</w:t>
      </w:r>
      <w:r w:rsidR="00395BCB">
        <w:rPr>
          <w:rFonts w:ascii="Times New Roman" w:hAnsi="Times New Roman" w:cs="Times New Roman"/>
          <w:noProof/>
        </w:rPr>
        <w:t xml:space="preserve"> IGF1R </w:t>
      </w:r>
      <w:r w:rsidR="002D5210">
        <w:rPr>
          <w:rFonts w:ascii="Times New Roman" w:hAnsi="Times New Roman" w:cs="Times New Roman"/>
          <w:noProof/>
        </w:rPr>
        <w:t>in the</w:t>
      </w:r>
      <w:r w:rsidR="00395BCB">
        <w:rPr>
          <w:rFonts w:ascii="Times New Roman" w:hAnsi="Times New Roman" w:cs="Times New Roman"/>
          <w:noProof/>
        </w:rPr>
        <w:t xml:space="preserve"> astrocytes</w:t>
      </w:r>
      <w:r w:rsidR="00A6430C">
        <w:rPr>
          <w:rFonts w:ascii="Times New Roman" w:hAnsi="Times New Roman" w:cs="Times New Roman"/>
          <w:noProof/>
        </w:rPr>
        <w:t xml:space="preserve"> that mean the astrocytes must alter their function accordingly. </w:t>
      </w:r>
    </w:p>
    <w:p w14:paraId="1878D319" w14:textId="77777777" w:rsidR="00FF421C" w:rsidRDefault="00FF421C" w:rsidP="0052651A">
      <w:pPr>
        <w:spacing w:line="360" w:lineRule="auto"/>
        <w:jc w:val="both"/>
        <w:rPr>
          <w:rFonts w:ascii="Times New Roman" w:hAnsi="Times New Roman" w:cs="Times New Roman"/>
          <w:noProof/>
        </w:rPr>
      </w:pPr>
    </w:p>
    <w:p w14:paraId="3CA50325" w14:textId="49399850" w:rsidR="00DC1DC5" w:rsidRPr="0093210F" w:rsidRDefault="0093210F" w:rsidP="0052651A">
      <w:pPr>
        <w:spacing w:line="360" w:lineRule="auto"/>
        <w:jc w:val="both"/>
        <w:rPr>
          <w:rFonts w:ascii="Times New Roman" w:hAnsi="Times New Roman" w:cs="Times New Roman"/>
          <w:noProof/>
        </w:rPr>
      </w:pPr>
      <w:r>
        <w:rPr>
          <w:rFonts w:ascii="Times New Roman" w:hAnsi="Times New Roman" w:cs="Times New Roman"/>
          <w:noProof/>
        </w:rPr>
        <w:t>Therefore, at the gene</w:t>
      </w:r>
      <w:r w:rsidR="00835A02">
        <w:rPr>
          <w:rFonts w:ascii="Times New Roman" w:hAnsi="Times New Roman" w:cs="Times New Roman"/>
          <w:noProof/>
        </w:rPr>
        <w:t xml:space="preserve"> expression</w:t>
      </w:r>
      <w:r>
        <w:rPr>
          <w:rFonts w:ascii="Times New Roman" w:hAnsi="Times New Roman" w:cs="Times New Roman"/>
          <w:noProof/>
        </w:rPr>
        <w:t xml:space="preserve"> level, loss of IGF1R may result in increased response to neurotransmitter, a possible loss of support for neuronal development and </w:t>
      </w:r>
      <w:r w:rsidR="008B7A2B">
        <w:rPr>
          <w:rFonts w:ascii="Times New Roman" w:hAnsi="Times New Roman" w:cs="Times New Roman"/>
          <w:noProof/>
        </w:rPr>
        <w:t xml:space="preserve">possibly </w:t>
      </w:r>
      <w:r>
        <w:rPr>
          <w:rFonts w:ascii="Times New Roman" w:hAnsi="Times New Roman" w:cs="Times New Roman"/>
          <w:noProof/>
        </w:rPr>
        <w:t xml:space="preserve">a specific tailoring of astrocytic function to try to meet neuronal needs. </w:t>
      </w:r>
      <w:r w:rsidR="00E84879">
        <w:rPr>
          <w:rFonts w:ascii="Times New Roman" w:hAnsi="Times New Roman" w:cs="Times New Roman"/>
          <w:noProof/>
        </w:rPr>
        <w:t>T</w:t>
      </w:r>
      <w:r w:rsidR="00422CD7">
        <w:rPr>
          <w:rFonts w:ascii="Times New Roman" w:hAnsi="Times New Roman" w:cs="Times New Roman"/>
          <w:noProof/>
        </w:rPr>
        <w:t>hus, t</w:t>
      </w:r>
      <w:r w:rsidR="00E44FD8">
        <w:rPr>
          <w:rFonts w:ascii="Times New Roman" w:hAnsi="Times New Roman" w:cs="Times New Roman"/>
          <w:noProof/>
        </w:rPr>
        <w:t xml:space="preserve">hese changes could indicate </w:t>
      </w:r>
      <w:r w:rsidR="000A1D8D">
        <w:rPr>
          <w:rFonts w:ascii="Times New Roman" w:hAnsi="Times New Roman" w:cs="Times New Roman"/>
          <w:noProof/>
        </w:rPr>
        <w:t>that at the transcript level</w:t>
      </w:r>
      <w:r w:rsidR="00E44FD8">
        <w:rPr>
          <w:rFonts w:ascii="Times New Roman" w:hAnsi="Times New Roman" w:cs="Times New Roman"/>
          <w:noProof/>
        </w:rPr>
        <w:t xml:space="preserve"> loss of IGF1R in astrocytes not only affects astrocyte function but affects neuronal function too.</w:t>
      </w:r>
    </w:p>
    <w:p w14:paraId="24E8AF3E" w14:textId="77777777" w:rsidR="00F66022" w:rsidRDefault="00F66022" w:rsidP="0052651A">
      <w:pPr>
        <w:spacing w:line="360" w:lineRule="auto"/>
        <w:jc w:val="both"/>
        <w:rPr>
          <w:rFonts w:ascii="Times New Roman" w:hAnsi="Times New Roman" w:cs="Times New Roman"/>
          <w:b/>
          <w:noProof/>
          <w:u w:val="single"/>
        </w:rPr>
      </w:pPr>
    </w:p>
    <w:p w14:paraId="0D0F8594" w14:textId="65FCB0BF" w:rsidR="00F33693" w:rsidRPr="006D165D" w:rsidRDefault="00D9156C" w:rsidP="0052651A">
      <w:pPr>
        <w:pStyle w:val="Heading4"/>
        <w:jc w:val="both"/>
        <w:rPr>
          <w:noProof/>
          <w:u w:val="single"/>
        </w:rPr>
      </w:pPr>
      <w:r w:rsidRPr="006D165D">
        <w:rPr>
          <w:noProof/>
          <w:u w:val="single"/>
        </w:rPr>
        <w:t>Other</w:t>
      </w:r>
      <w:r w:rsidR="00F33693" w:rsidRPr="006D165D">
        <w:rPr>
          <w:noProof/>
          <w:u w:val="single"/>
        </w:rPr>
        <w:t xml:space="preserve"> differences identified in the array</w:t>
      </w:r>
    </w:p>
    <w:p w14:paraId="7A8784FE" w14:textId="0BB38955" w:rsidR="00787FD3" w:rsidRPr="002412F8" w:rsidRDefault="002179B5" w:rsidP="0052651A">
      <w:pPr>
        <w:spacing w:line="360" w:lineRule="auto"/>
        <w:jc w:val="both"/>
        <w:rPr>
          <w:rFonts w:ascii="Times New Roman" w:hAnsi="Times New Roman" w:cs="Times New Roman"/>
          <w:b/>
          <w:noProof/>
          <w:u w:val="single"/>
        </w:rPr>
      </w:pPr>
      <w:r>
        <w:rPr>
          <w:rFonts w:ascii="Times New Roman" w:hAnsi="Times New Roman" w:cs="Times New Roman"/>
          <w:noProof/>
        </w:rPr>
        <w:t>The array data was also examined for any changes in RTK expression that would suggest a mechanism by which the astrocytes can compensate for loss of IGF1R and maintain signalling through Akt.</w:t>
      </w:r>
      <w:r w:rsidR="00787FD3">
        <w:rPr>
          <w:rFonts w:ascii="Times New Roman" w:hAnsi="Times New Roman" w:cs="Times New Roman"/>
          <w:noProof/>
        </w:rPr>
        <w:t xml:space="preserve"> However, there didn’t appear to be increased expr</w:t>
      </w:r>
      <w:r w:rsidR="00B80D03">
        <w:rPr>
          <w:rFonts w:ascii="Times New Roman" w:hAnsi="Times New Roman" w:cs="Times New Roman"/>
          <w:noProof/>
        </w:rPr>
        <w:t>ession of any RTK in the MAB391-</w:t>
      </w:r>
      <w:r w:rsidR="00787FD3">
        <w:rPr>
          <w:rFonts w:ascii="Times New Roman" w:hAnsi="Times New Roman" w:cs="Times New Roman"/>
          <w:noProof/>
        </w:rPr>
        <w:t>treated astrocytes.</w:t>
      </w:r>
      <w:r>
        <w:rPr>
          <w:rFonts w:ascii="Times New Roman" w:hAnsi="Times New Roman" w:cs="Times New Roman"/>
          <w:noProof/>
        </w:rPr>
        <w:t xml:space="preserve"> There were</w:t>
      </w:r>
      <w:r w:rsidR="00787FD3">
        <w:rPr>
          <w:rFonts w:ascii="Times New Roman" w:hAnsi="Times New Roman" w:cs="Times New Roman"/>
          <w:noProof/>
        </w:rPr>
        <w:t xml:space="preserve"> also</w:t>
      </w:r>
      <w:r>
        <w:rPr>
          <w:rFonts w:ascii="Times New Roman" w:hAnsi="Times New Roman" w:cs="Times New Roman"/>
          <w:noProof/>
        </w:rPr>
        <w:t xml:space="preserve"> no changes in IR expression following IGF1R loss, which may have been expected since earlier work suggested increased dependency on IR following treatment with MAB391</w:t>
      </w:r>
      <w:r w:rsidR="00EC487C">
        <w:rPr>
          <w:rFonts w:ascii="Times New Roman" w:hAnsi="Times New Roman" w:cs="Times New Roman"/>
          <w:noProof/>
        </w:rPr>
        <w:t xml:space="preserve"> </w:t>
      </w:r>
      <w:r w:rsidR="00E15E05">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"10.1158/1535-7163.MCT-10-0318", "ISSN" : "1538-8514", "PMID" : "20924128", "abstract" : "Insulin-like growth factor-1 receptor (IGF-1R) is a receptor tyrosine kinase (RTK) and critical activator of the phosphatidylinositol 3-kinase-AKT pathway. IGF-1R is required for oncogenic transformation and tumorigenesis. These observations have spurred anticancer drug discovery and development efforts for both biological and small-molecule IGF-1R inhibitors. The ability for one RTK to compensate for another to maintain tumor cell viability is emerging as a common resistance mechanism to antitumor agents targeting individual RTKs. As IGF-1R is structurally and functionally related to the insulin receptor (IR), we asked whether IR is tumorigenic and whether IR-AKT signaling contributes to resistance to IGF-1R inhibition. Both IGF-1R and IR(A) are tumorigenic in a mouse mammary tumor model. In human tumor cells coexpressing IGF-1R and IR, bidirectional cross talk was observed following either knockdown of IR expression or treatment with a selective anti-IGF-1R antibody, MAB391. MAB391 treatment resulted in a compensatory increase in phospho-IR, which was associated with resistance to inhibition of IRS1 and AKT. In contrast, treatment with OSI-906, a small-molecule dual inhibitor of IGF-1R/IR, resulted in enhanced reduction in phospho-IRS1/phospho-AKT relative to MAB391. Insulin or IGF-2 activated the IR-AKT pathway and decreased sensitivity to MAB391 but not to OSI-906. In tumor cells with an autocrine IGF-2 loop, both OSI-906 and an anti-IGF-2 antibody reduced phospho-IR/phospho-AKT, whereas MAB391 was ineffective. Finally, OSI-906 showed superior efficacy compared with MAB391 in human tumor xenograft models in which both IGF-1R and IR were phosphorylated. Collectively, these data indicate that cotargeting IGF-1R and IR may provide superior antitumor efficacy compared with targeting IGF-1R alone.", "author" : [ { "dropping-particle" : "", "family" : "Buck", "given" : "Elizabeth", "non-dropping-particle" : "", "parse-names" : false, "suffix" : "" }, { "dropping-particle" : "", "family" : "Gokhale", "given" : "Prafulla C", "non-dropping-particle" : "", "parse-names" : false, "suffix" : "" }, { "dropping-particle" : "", "family" : "Koujak", "given" : "Susan", "non-dropping-particle" : "", "parse-names" : false, "suffix" : "" }, { "dropping-particle" : "", "family" : "Brown", "given" : "Eric", "non-dropping-particle" : "", "parse-names" : false, "suffix" : "" }, { "dropping-particle" : "", "family" : "Eyzaguirre", "given" : "Alexandra", "non-dropping-particle" : "", "parse-names" : false, "suffix" : "" }, { "dropping-particle" : "", "family" : "Tao", "given" : "Nianjun", "non-dropping-particle" : "", "parse-names" : false, "suffix" : "" }, { "dropping-particle" : "", "family" : "Rosenfeld-Franklin", "given" : "Maryland", "non-dropping-particle" : "", "parse-names" : false, "suffix" : "" }, { "dropping-particle" : "", "family" : "Lerner", "given" : "Lorena", "non-dropping-particle" : "", "parse-names" : false, "suffix" : "" }, { "dropping-particle" : "", "family" : "Chiu", "given" : "M Isabel", "non-dropping-particle" : "", "parse-names" : false, "suffix" : "" }, { "dropping-particle" : "", "family" : "Wild", "given" : "Robert", "non-dropping-particle" : "", "parse-names" : false, "suffix" : "" }, { "dropping-particle" : "", "family" : "Epstein", "given" : "David", "non-dropping-particle" : "", "parse-names" : false, "suffix" : "" }, { "dropping-particle" : "", "family" : "Pachter", "given" : "Jonathan A", "non-dropping-particle" : "", "parse-names" : false, "suffix" : "" }, { "dropping-particle" : "", "family" : "Miglarese", "given" : "Mark R", "non-dropping-particle" : "", "parse-names" : false, "suffix" : "" } ], "container-title" : "Molecular cancer therapeutics", "id" : "ITEM-1", "issue" : "10", "issued" : { "date-parts" : [ [ "2010", "10", "1" ] ] }, "page" : "2652-64", "title" : "Compensatory insulin receptor (IR) activation on inhibition of insulin-like growth factor-1 receptor (IGF-1R): rationale for cotargeting IGF-1R and IR in cancer.", "type" : "article-journal", "volume" : "9" }, "uris" : [ "http://www.mendeley.com/documents/?uuid=1ffcf670-e182-48bf-accf-5f340ca40904" ] } ], "mendeley" : { "formattedCitation" : "(Buck et al. 2010b)", "manualFormatting" : "(Buck et al., 2010)", "plainTextFormattedCitation" : "(Buck et al. 2010b)", "previouslyFormattedCitation" : "(Buck et al. 2010b)" }, "properties" : { "noteIndex" : 0 }, "schema" : "https://github.com/citation-style-language/schema/raw/master/csl-citation.json" }</w:instrText>
      </w:r>
      <w:r w:rsidR="00E15E05">
        <w:rPr>
          <w:rFonts w:ascii="Times New Roman" w:hAnsi="Times New Roman" w:cs="Times New Roman"/>
          <w:noProof/>
        </w:rPr>
        <w:fldChar w:fldCharType="separate"/>
      </w:r>
      <w:r w:rsidR="00EC487C">
        <w:rPr>
          <w:rFonts w:ascii="Times New Roman" w:hAnsi="Times New Roman" w:cs="Times New Roman"/>
          <w:noProof/>
        </w:rPr>
        <w:t>(Buck et al., 2010</w:t>
      </w:r>
      <w:r w:rsidR="00AC25AD" w:rsidRPr="00AC25AD">
        <w:rPr>
          <w:rFonts w:ascii="Times New Roman" w:hAnsi="Times New Roman" w:cs="Times New Roman"/>
          <w:noProof/>
        </w:rPr>
        <w:t>)</w:t>
      </w:r>
      <w:r w:rsidR="00E15E05">
        <w:rPr>
          <w:rFonts w:ascii="Times New Roman" w:hAnsi="Times New Roman" w:cs="Times New Roman"/>
          <w:noProof/>
        </w:rPr>
        <w:fldChar w:fldCharType="end"/>
      </w:r>
      <w:r>
        <w:rPr>
          <w:rFonts w:ascii="Times New Roman" w:hAnsi="Times New Roman" w:cs="Times New Roman"/>
          <w:noProof/>
        </w:rPr>
        <w:t xml:space="preserve">. </w:t>
      </w:r>
      <w:r w:rsidR="002E5B28">
        <w:rPr>
          <w:rFonts w:ascii="Times New Roman" w:hAnsi="Times New Roman" w:cs="Times New Roman"/>
          <w:noProof/>
        </w:rPr>
        <w:t>In addition, upregulation of genes encoding proteins involved in e</w:t>
      </w:r>
      <w:r w:rsidR="00B80D03">
        <w:rPr>
          <w:rFonts w:ascii="Times New Roman" w:hAnsi="Times New Roman" w:cs="Times New Roman"/>
          <w:noProof/>
        </w:rPr>
        <w:t>ndocytosis were found in MAB391-</w:t>
      </w:r>
      <w:r w:rsidR="002E5B28">
        <w:rPr>
          <w:rFonts w:ascii="Times New Roman" w:hAnsi="Times New Roman" w:cs="Times New Roman"/>
          <w:noProof/>
        </w:rPr>
        <w:t>treated astrocytes. This may support earlier evidence in chapter 1 and reports that MAB391 causes internalisation of</w:t>
      </w:r>
      <w:r w:rsidR="005F57AB">
        <w:rPr>
          <w:rFonts w:ascii="Times New Roman" w:hAnsi="Times New Roman" w:cs="Times New Roman"/>
          <w:noProof/>
        </w:rPr>
        <w:t xml:space="preserve"> IGF1R by endocytosis and targe</w:t>
      </w:r>
      <w:r w:rsidR="002E5B28">
        <w:rPr>
          <w:rFonts w:ascii="Times New Roman" w:hAnsi="Times New Roman" w:cs="Times New Roman"/>
          <w:noProof/>
        </w:rPr>
        <w:t xml:space="preserve">ted lysosomal degradation </w:t>
      </w:r>
      <w:r w:rsidR="00AC25AD">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"ISSN" : "1535-7163", "PMID" : "12516969", "abstract" : "Insulin-like growth factor receptor 1 (IGFR1) plays a crucial role in oncogenic transformation [C. Sell et al., Mol. Cell. Biol., 14: 3604-3612,1994]. Compared with the normal human mammary epithelial cell line MCF12A, MCF7 human mammary carcinoma cells overexpress IGFR1 on the cell surface. To measure the effects of IGFR1 inhibition on tumor cells, we tested two mouse neutralizing antibodies against human IGFR1 in cell-based assays. Both MAB391 and anti-IR3 antibodies inhibit IGFR1 autophosphorylation upon IGF-I ligand stimulation with IC50s of 0.58 and 0.80 nM, respectively. When cells were treated with neutralizing anti-IGFR1 antibodies for &gt; or = 4 h, the total receptor level was dramatically decreased. IGF-I-stimulated activation of AKT was also inhibited by anti-IGFR1 antibodies. Furthermore, MAB391 and anti-IR3 inhibited the growth of MCF7 cells in soft agar. In addition to MCF7 cells, MAB391 also inhibited IGFR1 autophosphorylation and induced IGFR1 down-modulation in HT29 colorectal and Du145 prostate cancer cells. Therefore, neutralizing antibodies against IGFR1 represent a valid approach to inhibit growth of tumor cells.", "author" : [ { "dropping-particle" : "", "family" : "Hailey", "given" : "Judith", "non-dropping-particle" : "", "parse-names" : false, "suffix" : "" }, { "dropping-particle" : "", "family" : "Maxwell", "given" : "Eugene", "non-dropping-particle" : "", "parse-names" : false, "suffix" : "" }, { "dropping-particle" : "", "family" : "Koukouras", "given" : "Kathy", "non-dropping-particle" : "", "parse-names" : false, "suffix" : "" }, { "dropping-particle" : "", "family" : "Bishop", "given" : "W Robert", "non-dropping-particle" : "", "parse-names" : false, "suffix" : "" }, { "dropping-particle" : "", "family" : "Pachter", "given" : "Jonathan A", "non-dropping-particle" : "", "parse-names" : false, "suffix" : "" }, { "dropping-particle" : "", "family" : "Wang", "given" : "Yan", "non-dropping-particle" : "", "parse-names" : false, "suffix" : "" } ], "container-title" : "Molecular cancer therapeutics", "id" : "ITEM-1", "issue" : "14", "issued" : { "date-parts" : [ [ "2002", "12" ] ] }, "page" : "1349-53", "title" : "Neutralizing anti-insulin-like growth factor receptor 1 antibodies inhibit receptor function and induce receptor degradation in tumor cells.", "type" : "article-journal", "volume" : "1" }, "uris" : [ "http://www.mendeley.com/documents/?uuid=16124cbb-59cc-411c-804f-b74c595e5581" ] } ], "mendeley" : { "formattedCitation" : "(Hailey et al. 2002)", "plainTextFormattedCitation" : "(Hailey et al. 2002)", "previouslyFormattedCitation" : "(Hailey et al. 2002)" }, "properties" : { "noteIndex" : 0 }, "schema" : "https://github.com/citation-style-language/schema/raw/master/csl-citation.json" }</w:instrText>
      </w:r>
      <w:r w:rsidR="00AC25AD">
        <w:rPr>
          <w:rFonts w:ascii="Times New Roman" w:hAnsi="Times New Roman" w:cs="Times New Roman"/>
          <w:noProof/>
        </w:rPr>
        <w:fldChar w:fldCharType="separate"/>
      </w:r>
      <w:r w:rsidR="00C148FC" w:rsidRPr="00C148FC">
        <w:rPr>
          <w:rFonts w:ascii="Times New Roman" w:hAnsi="Times New Roman" w:cs="Times New Roman"/>
          <w:noProof/>
        </w:rPr>
        <w:t>(Hailey et al. 2002)</w:t>
      </w:r>
      <w:r w:rsidR="00AC25AD">
        <w:rPr>
          <w:rFonts w:ascii="Times New Roman" w:hAnsi="Times New Roman" w:cs="Times New Roman"/>
          <w:noProof/>
        </w:rPr>
        <w:fldChar w:fldCharType="end"/>
      </w:r>
      <w:r w:rsidR="00402568">
        <w:rPr>
          <w:rFonts w:ascii="Times New Roman" w:hAnsi="Times New Roman" w:cs="Times New Roman"/>
          <w:noProof/>
        </w:rPr>
        <w:t>. Also, there were no changes in IGF1R, which validates earlier qRT</w:t>
      </w:r>
      <w:r w:rsidR="00967133">
        <w:rPr>
          <w:rFonts w:ascii="Times New Roman" w:hAnsi="Times New Roman" w:cs="Times New Roman"/>
          <w:noProof/>
        </w:rPr>
        <w:t>-</w:t>
      </w:r>
      <w:r w:rsidR="00402568">
        <w:rPr>
          <w:rFonts w:ascii="Times New Roman" w:hAnsi="Times New Roman" w:cs="Times New Roman"/>
          <w:noProof/>
        </w:rPr>
        <w:t xml:space="preserve">PCR data showing MAB391 treatment does not reduce expression of IGF1R in this model. </w:t>
      </w:r>
    </w:p>
    <w:p w14:paraId="46E45B7E" w14:textId="77777777" w:rsidR="002412F8" w:rsidRDefault="002412F8" w:rsidP="009E5F8C">
      <w:pPr>
        <w:spacing w:line="360" w:lineRule="auto"/>
        <w:rPr>
          <w:rFonts w:ascii="Times New Roman" w:hAnsi="Times New Roman" w:cs="Times New Roman"/>
          <w:noProof/>
        </w:rPr>
      </w:pPr>
    </w:p>
    <w:p w14:paraId="532E2A74" w14:textId="2C612BF5" w:rsidR="00B5423D" w:rsidRDefault="00D8081D" w:rsidP="0052651A">
      <w:pPr>
        <w:spacing w:line="360" w:lineRule="auto"/>
        <w:jc w:val="both"/>
        <w:rPr>
          <w:rFonts w:ascii="Times New Roman" w:hAnsi="Times New Roman" w:cs="Times New Roman"/>
          <w:noProof/>
        </w:rPr>
      </w:pPr>
      <w:r>
        <w:rPr>
          <w:rFonts w:ascii="Times New Roman" w:hAnsi="Times New Roman" w:cs="Times New Roman"/>
          <w:noProof/>
        </w:rPr>
        <w:t xml:space="preserve">It is evident from examining changes in </w:t>
      </w:r>
      <w:r w:rsidR="001D7003">
        <w:rPr>
          <w:rFonts w:ascii="Times New Roman" w:hAnsi="Times New Roman" w:cs="Times New Roman"/>
          <w:noProof/>
        </w:rPr>
        <w:t>the expression of genes following IGF1R loss that astrocytes c</w:t>
      </w:r>
      <w:r w:rsidR="008C64B0">
        <w:rPr>
          <w:rFonts w:ascii="Times New Roman" w:hAnsi="Times New Roman" w:cs="Times New Roman"/>
          <w:noProof/>
        </w:rPr>
        <w:t>ould be compensating</w:t>
      </w:r>
      <w:r w:rsidR="001D7003">
        <w:rPr>
          <w:rFonts w:ascii="Times New Roman" w:hAnsi="Times New Roman" w:cs="Times New Roman"/>
          <w:noProof/>
        </w:rPr>
        <w:t xml:space="preserve"> for impairments. This was hinted at in the monoculture work but </w:t>
      </w:r>
      <w:r w:rsidR="00071F1E">
        <w:rPr>
          <w:rFonts w:ascii="Times New Roman" w:hAnsi="Times New Roman" w:cs="Times New Roman"/>
          <w:noProof/>
        </w:rPr>
        <w:t xml:space="preserve">was </w:t>
      </w:r>
      <w:r w:rsidR="001D7003">
        <w:rPr>
          <w:rFonts w:ascii="Times New Roman" w:hAnsi="Times New Roman" w:cs="Times New Roman"/>
          <w:noProof/>
        </w:rPr>
        <w:t xml:space="preserve">reinforced </w:t>
      </w:r>
      <w:r w:rsidR="00071F1E">
        <w:rPr>
          <w:rFonts w:ascii="Times New Roman" w:hAnsi="Times New Roman" w:cs="Times New Roman"/>
          <w:noProof/>
        </w:rPr>
        <w:t xml:space="preserve">following </w:t>
      </w:r>
      <w:r w:rsidR="001D7003">
        <w:rPr>
          <w:rFonts w:ascii="Times New Roman" w:hAnsi="Times New Roman" w:cs="Times New Roman"/>
          <w:noProof/>
        </w:rPr>
        <w:t>the gene expression profi</w:t>
      </w:r>
      <w:r w:rsidR="008C64B0">
        <w:rPr>
          <w:rFonts w:ascii="Times New Roman" w:hAnsi="Times New Roman" w:cs="Times New Roman"/>
          <w:noProof/>
        </w:rPr>
        <w:t>le</w:t>
      </w:r>
      <w:r w:rsidR="001D7003">
        <w:rPr>
          <w:rFonts w:ascii="Times New Roman" w:hAnsi="Times New Roman" w:cs="Times New Roman"/>
          <w:noProof/>
        </w:rPr>
        <w:t xml:space="preserve"> </w:t>
      </w:r>
      <w:r w:rsidR="00071F1E">
        <w:rPr>
          <w:rFonts w:ascii="Times New Roman" w:hAnsi="Times New Roman" w:cs="Times New Roman"/>
          <w:noProof/>
        </w:rPr>
        <w:t xml:space="preserve">study </w:t>
      </w:r>
      <w:r w:rsidR="001D7003">
        <w:rPr>
          <w:rFonts w:ascii="Times New Roman" w:hAnsi="Times New Roman" w:cs="Times New Roman"/>
          <w:noProof/>
        </w:rPr>
        <w:t>of IGF1R impaired astrocytes. Defects in</w:t>
      </w:r>
      <w:r w:rsidR="008C64B0">
        <w:rPr>
          <w:rFonts w:ascii="Times New Roman" w:hAnsi="Times New Roman" w:cs="Times New Roman"/>
          <w:noProof/>
        </w:rPr>
        <w:t xml:space="preserve"> mitochondrial energy metabolism may be</w:t>
      </w:r>
      <w:r w:rsidR="001D7003">
        <w:rPr>
          <w:rFonts w:ascii="Times New Roman" w:hAnsi="Times New Roman" w:cs="Times New Roman"/>
          <w:noProof/>
        </w:rPr>
        <w:t xml:space="preserve"> compensated for by</w:t>
      </w:r>
      <w:r w:rsidR="000A1D8D">
        <w:rPr>
          <w:rFonts w:ascii="Times New Roman" w:hAnsi="Times New Roman" w:cs="Times New Roman"/>
          <w:noProof/>
        </w:rPr>
        <w:t xml:space="preserve"> an</w:t>
      </w:r>
      <w:r w:rsidR="001D7003">
        <w:rPr>
          <w:rFonts w:ascii="Times New Roman" w:hAnsi="Times New Roman" w:cs="Times New Roman"/>
          <w:noProof/>
        </w:rPr>
        <w:t xml:space="preserve"> increase in glycolysis, loss of synaptic support</w:t>
      </w:r>
      <w:r w:rsidR="008C64B0">
        <w:rPr>
          <w:rFonts w:ascii="Times New Roman" w:hAnsi="Times New Roman" w:cs="Times New Roman"/>
          <w:noProof/>
        </w:rPr>
        <w:t xml:space="preserve"> could lead</w:t>
      </w:r>
      <w:r w:rsidR="001D7003">
        <w:rPr>
          <w:rFonts w:ascii="Times New Roman" w:hAnsi="Times New Roman" w:cs="Times New Roman"/>
          <w:noProof/>
        </w:rPr>
        <w:t xml:space="preserve"> to increased response to neurotransmitter and use of glutathione in protecting oxidised protein looks to be matched by increased export of available glutathione. Also, the fold changes of the </w:t>
      </w:r>
      <w:r w:rsidR="008C64B0">
        <w:rPr>
          <w:rFonts w:ascii="Times New Roman" w:hAnsi="Times New Roman" w:cs="Times New Roman"/>
          <w:noProof/>
        </w:rPr>
        <w:t xml:space="preserve">differentially expressed </w:t>
      </w:r>
      <w:r w:rsidR="001D7003">
        <w:rPr>
          <w:rFonts w:ascii="Times New Roman" w:hAnsi="Times New Roman" w:cs="Times New Roman"/>
          <w:noProof/>
        </w:rPr>
        <w:t xml:space="preserve">genes identified were not huge, which may also be because the astrocytes are being examined 96 hours following initial treatment with MAB391. </w:t>
      </w:r>
      <w:r w:rsidR="00071F1E">
        <w:rPr>
          <w:rFonts w:ascii="Times New Roman" w:hAnsi="Times New Roman" w:cs="Times New Roman"/>
          <w:noProof/>
        </w:rPr>
        <w:t>This may al</w:t>
      </w:r>
      <w:r w:rsidR="005F57AB">
        <w:rPr>
          <w:rFonts w:ascii="Times New Roman" w:hAnsi="Times New Roman" w:cs="Times New Roman"/>
          <w:noProof/>
        </w:rPr>
        <w:t>so be an effect of examining</w:t>
      </w:r>
      <w:r w:rsidR="00071F1E">
        <w:rPr>
          <w:rFonts w:ascii="Times New Roman" w:hAnsi="Times New Roman" w:cs="Times New Roman"/>
          <w:noProof/>
        </w:rPr>
        <w:t xml:space="preserve"> whole mRNA molecules with multiple pr</w:t>
      </w:r>
      <w:r w:rsidR="005F57AB">
        <w:rPr>
          <w:rFonts w:ascii="Times New Roman" w:hAnsi="Times New Roman" w:cs="Times New Roman"/>
          <w:noProof/>
        </w:rPr>
        <w:t>obes, which can cause a smooth</w:t>
      </w:r>
      <w:r w:rsidR="00071F1E">
        <w:rPr>
          <w:rFonts w:ascii="Times New Roman" w:hAnsi="Times New Roman" w:cs="Times New Roman"/>
          <w:noProof/>
        </w:rPr>
        <w:t>ing of the signal intensity.</w:t>
      </w:r>
      <w:r w:rsidR="00FF217E">
        <w:rPr>
          <w:rFonts w:ascii="Times New Roman" w:hAnsi="Times New Roman" w:cs="Times New Roman"/>
          <w:noProof/>
        </w:rPr>
        <w:t xml:space="preserve"> </w:t>
      </w:r>
    </w:p>
    <w:p w14:paraId="5030574B" w14:textId="77777777" w:rsidR="000A1D8D" w:rsidRDefault="000A1D8D" w:rsidP="0052651A">
      <w:pPr>
        <w:spacing w:line="360" w:lineRule="auto"/>
        <w:jc w:val="both"/>
        <w:rPr>
          <w:rFonts w:ascii="Times New Roman" w:hAnsi="Times New Roman" w:cs="Times New Roman"/>
          <w:noProof/>
        </w:rPr>
      </w:pPr>
      <w:r>
        <w:rPr>
          <w:rFonts w:ascii="Times New Roman" w:hAnsi="Times New Roman" w:cs="Times New Roman"/>
          <w:noProof/>
        </w:rPr>
        <w:t xml:space="preserve"> </w:t>
      </w:r>
    </w:p>
    <w:p w14:paraId="53571C1A" w14:textId="47D62C6F" w:rsidR="00551875" w:rsidRDefault="00FF217E" w:rsidP="0052651A">
      <w:pPr>
        <w:spacing w:line="360" w:lineRule="auto"/>
        <w:jc w:val="both"/>
        <w:rPr>
          <w:rFonts w:ascii="Times New Roman" w:hAnsi="Times New Roman" w:cs="Times New Roman"/>
          <w:noProof/>
        </w:rPr>
      </w:pPr>
      <w:r>
        <w:rPr>
          <w:rFonts w:ascii="Times New Roman" w:hAnsi="Times New Roman" w:cs="Times New Roman"/>
          <w:noProof/>
        </w:rPr>
        <w:t xml:space="preserve">It was suspected from </w:t>
      </w:r>
      <w:r w:rsidR="00551875">
        <w:rPr>
          <w:rFonts w:ascii="Times New Roman" w:hAnsi="Times New Roman" w:cs="Times New Roman"/>
          <w:noProof/>
        </w:rPr>
        <w:t>assessing</w:t>
      </w:r>
      <w:r>
        <w:rPr>
          <w:rFonts w:ascii="Times New Roman" w:hAnsi="Times New Roman" w:cs="Times New Roman"/>
          <w:noProof/>
        </w:rPr>
        <w:t xml:space="preserve"> the effect of MAB391 in monoculture </w:t>
      </w:r>
      <w:r w:rsidR="00551875">
        <w:rPr>
          <w:rFonts w:ascii="Times New Roman" w:hAnsi="Times New Roman" w:cs="Times New Roman"/>
          <w:noProof/>
        </w:rPr>
        <w:t xml:space="preserve">that loss of IGF1R would cause </w:t>
      </w:r>
      <w:r>
        <w:rPr>
          <w:rFonts w:ascii="Times New Roman" w:hAnsi="Times New Roman" w:cs="Times New Roman"/>
          <w:noProof/>
        </w:rPr>
        <w:t xml:space="preserve">cells to upregulate other pathways to restore downstream signalling through Akt. IGF1 belongs to the insulin family which is divided into two groups of peptides: one includes insulin and IGF and the other is relaxins and insulin-like hormones. </w:t>
      </w:r>
      <w:r w:rsidR="005F57AB">
        <w:rPr>
          <w:rFonts w:ascii="Times New Roman" w:hAnsi="Times New Roman" w:cs="Times New Roman"/>
          <w:noProof/>
        </w:rPr>
        <w:t>Previously, loss of IGF1R caused</w:t>
      </w:r>
      <w:r w:rsidR="00551875">
        <w:rPr>
          <w:rFonts w:ascii="Times New Roman" w:hAnsi="Times New Roman" w:cs="Times New Roman"/>
          <w:noProof/>
        </w:rPr>
        <w:t xml:space="preserve"> cells to upregulate IR to restore downstream signalling</w:t>
      </w:r>
      <w:r w:rsidR="00B5423D">
        <w:rPr>
          <w:rFonts w:ascii="Times New Roman" w:hAnsi="Times New Roman" w:cs="Times New Roman"/>
          <w:noProof/>
        </w:rPr>
        <w:t xml:space="preserve"> </w:t>
      </w:r>
      <w:r w:rsidR="00551875">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"ISSN" : "1535-7163", "PMID" : "12516969", "abstract" : "Insulin-like growth factor receptor 1 (IGFR1) plays a crucial role in oncogenic transformation [C. Sell et al., Mol. Cell. Biol., 14: 3604-3612,1994]. Compared with the normal human mammary epithelial cell line MCF12A, MCF7 human mammary carcinoma cells overexpress IGFR1 on the cell surface. To measure the effects of IGFR1 inhibition on tumor cells, we tested two mouse neutralizing antibodies against human IGFR1 in cell-based assays. Both MAB391 and anti-IR3 antibodies inhibit IGFR1 autophosphorylation upon IGF-I ligand stimulation with IC50s of 0.58 and 0.80 nM, respectively. When cells were treated with neutralizing anti-IGFR1 antibodies for &gt; or = 4 h, the total receptor level was dramatically decreased. IGF-I-stimulated activation of AKT was also inhibited by anti-IGFR1 antibodies. Furthermore, MAB391 and anti-IR3 inhibited the growth of MCF7 cells in soft agar. In addition to MCF7 cells, MAB391 also inhibited IGFR1 autophosphorylation and induced IGFR1 down-modulation in HT29 colorectal and Du145 prostate cancer cells. Therefore, neutralizing antibodies against IGFR1 represent a valid approach to inhibit growth of tumor cells.", "author" : [ { "dropping-particle" : "", "family" : "Hailey", "given" : "Judith", "non-dropping-particle" : "", "parse-names" : false, "suffix" : "" }, { "dropping-particle" : "", "family" : "Maxwell", "given" : "Eugene", "non-dropping-particle" : "", "parse-names" : false, "suffix" : "" }, { "dropping-particle" : "", "family" : "Koukouras", "given" : "Kathy", "non-dropping-particle" : "", "parse-names" : false, "suffix" : "" }, { "dropping-particle" : "", "family" : "Bishop", "given" : "W Robert", "non-dropping-particle" : "", "parse-names" : false, "suffix" : "" }, { "dropping-particle" : "", "family" : "Pachter", "given" : "Jonathan A", "non-dropping-particle" : "", "parse-names" : false, "suffix" : "" }, { "dropping-particle" : "", "family" : "Wang", "given" : "Yan", "non-dropping-particle" : "", "parse-names" : false, "suffix" : "" } ], "container-title" : "Molecular cancer therapeutics", "id" : "ITEM-1", "issue" : "14", "issued" : { "date-parts" : [ [ "2002", "12" ] ] }, "page" : "1349-53", "title" : "Neutralizing anti-insulin-like growth factor receptor 1 antibodies inhibit receptor function and induce receptor degradation in tumor cells.", "type" : "article-journal", "volume" : "1" }, "uris" : [ "http://www.mendeley.com/documents/?uuid=16124cbb-59cc-411c-804f-b74c595e5581" ] } ], "mendeley" : { "formattedCitation" : "(Hailey et al. 2002)", "plainTextFormattedCitation" : "(Hailey et al. 2002)", "previouslyFormattedCitation" : "(Hailey et al. 2002)" }, "properties" : { "noteIndex" : 0 }, "schema" : "https://github.com/citation-style-language/schema/raw/master/csl-citation.json" }</w:instrText>
      </w:r>
      <w:r w:rsidR="00551875">
        <w:rPr>
          <w:rFonts w:ascii="Times New Roman" w:hAnsi="Times New Roman" w:cs="Times New Roman"/>
          <w:noProof/>
        </w:rPr>
        <w:fldChar w:fldCharType="separate"/>
      </w:r>
      <w:r w:rsidR="00C148FC" w:rsidRPr="00C148FC">
        <w:rPr>
          <w:rFonts w:ascii="Times New Roman" w:hAnsi="Times New Roman" w:cs="Times New Roman"/>
          <w:noProof/>
        </w:rPr>
        <w:t>(Hailey et al. 2002)</w:t>
      </w:r>
      <w:r w:rsidR="00551875">
        <w:rPr>
          <w:rFonts w:ascii="Times New Roman" w:hAnsi="Times New Roman" w:cs="Times New Roman"/>
          <w:noProof/>
        </w:rPr>
        <w:fldChar w:fldCharType="end"/>
      </w:r>
      <w:r w:rsidR="00551875">
        <w:rPr>
          <w:rFonts w:ascii="Times New Roman" w:hAnsi="Times New Roman" w:cs="Times New Roman"/>
          <w:noProof/>
        </w:rPr>
        <w:t>, although no change was observed in IR at the level of gene expression. However, there was a significant upregulation of relaxin-1 (FC=1.65 and p≤0.02) and insulin-like 6 (FC=1.24 and p≤0.0007). This may suggest that astrocytes compensate and restore downstream signalling of Akt by upregulating expression of both of these ligands.</w:t>
      </w:r>
    </w:p>
    <w:p w14:paraId="280B1B74" w14:textId="77777777" w:rsidR="002412F8" w:rsidRDefault="002412F8" w:rsidP="0052651A">
      <w:pPr>
        <w:spacing w:line="360" w:lineRule="auto"/>
        <w:jc w:val="both"/>
        <w:rPr>
          <w:rFonts w:ascii="Times New Roman" w:hAnsi="Times New Roman" w:cs="Times New Roman"/>
          <w:noProof/>
        </w:rPr>
      </w:pPr>
    </w:p>
    <w:p w14:paraId="526B9633" w14:textId="51F82030" w:rsidR="007717AC" w:rsidRDefault="00551875" w:rsidP="0052651A">
      <w:pPr>
        <w:spacing w:line="360" w:lineRule="auto"/>
        <w:jc w:val="both"/>
        <w:rPr>
          <w:rFonts w:ascii="Times New Roman" w:hAnsi="Times New Roman" w:cs="Times New Roman"/>
          <w:noProof/>
        </w:rPr>
      </w:pPr>
      <w:r>
        <w:rPr>
          <w:rFonts w:ascii="Times New Roman" w:hAnsi="Times New Roman" w:cs="Times New Roman"/>
          <w:noProof/>
        </w:rPr>
        <w:t>B</w:t>
      </w:r>
      <w:r w:rsidR="007717AC">
        <w:rPr>
          <w:rFonts w:ascii="Times New Roman" w:hAnsi="Times New Roman" w:cs="Times New Roman"/>
          <w:noProof/>
        </w:rPr>
        <w:t>ased on earlier studies in rodent astrocytes</w:t>
      </w:r>
      <w:r w:rsidR="005F57AB">
        <w:rPr>
          <w:rFonts w:ascii="Times New Roman" w:hAnsi="Times New Roman" w:cs="Times New Roman"/>
          <w:noProof/>
        </w:rPr>
        <w:t>, which showed</w:t>
      </w:r>
      <w:r w:rsidR="007717AC">
        <w:rPr>
          <w:rFonts w:ascii="Times New Roman" w:hAnsi="Times New Roman" w:cs="Times New Roman"/>
          <w:noProof/>
        </w:rPr>
        <w:t xml:space="preserve"> insulin/IGF1 promotes glycogen storage, expr</w:t>
      </w:r>
      <w:r>
        <w:rPr>
          <w:rFonts w:ascii="Times New Roman" w:hAnsi="Times New Roman" w:cs="Times New Roman"/>
          <w:noProof/>
        </w:rPr>
        <w:t>ession of genes involved in conv</w:t>
      </w:r>
      <w:r w:rsidR="007717AC">
        <w:rPr>
          <w:rFonts w:ascii="Times New Roman" w:hAnsi="Times New Roman" w:cs="Times New Roman"/>
          <w:noProof/>
        </w:rPr>
        <w:t>erting glucose to glycogen, such as GYS1</w:t>
      </w:r>
      <w:r w:rsidR="000F5CE2">
        <w:rPr>
          <w:rFonts w:ascii="Times New Roman" w:hAnsi="Times New Roman" w:cs="Times New Roman"/>
          <w:noProof/>
        </w:rPr>
        <w:t xml:space="preserve"> (glycogen synthase)</w:t>
      </w:r>
      <w:r w:rsidR="007717AC">
        <w:rPr>
          <w:rFonts w:ascii="Times New Roman" w:hAnsi="Times New Roman" w:cs="Times New Roman"/>
          <w:noProof/>
        </w:rPr>
        <w:t xml:space="preserve"> and UDPG</w:t>
      </w:r>
      <w:r w:rsidR="000F5CE2">
        <w:rPr>
          <w:rFonts w:ascii="Times New Roman" w:hAnsi="Times New Roman" w:cs="Times New Roman"/>
          <w:noProof/>
        </w:rPr>
        <w:t xml:space="preserve"> (uridyl diphosphate glucose pyrophosphorylase)</w:t>
      </w:r>
      <w:r w:rsidR="007717AC">
        <w:rPr>
          <w:rFonts w:ascii="Times New Roman" w:hAnsi="Times New Roman" w:cs="Times New Roman"/>
          <w:noProof/>
        </w:rPr>
        <w:t xml:space="preserve">, were investigated. However, </w:t>
      </w:r>
      <w:r w:rsidR="004A24B9">
        <w:rPr>
          <w:rFonts w:ascii="Times New Roman" w:hAnsi="Times New Roman" w:cs="Times New Roman"/>
          <w:noProof/>
        </w:rPr>
        <w:t>persistent</w:t>
      </w:r>
      <w:r w:rsidR="007717AC">
        <w:rPr>
          <w:rFonts w:ascii="Times New Roman" w:hAnsi="Times New Roman" w:cs="Times New Roman"/>
          <w:noProof/>
        </w:rPr>
        <w:t xml:space="preserve"> loss of IGF1R does not reg</w:t>
      </w:r>
      <w:r w:rsidR="004A24B9">
        <w:rPr>
          <w:rFonts w:ascii="Times New Roman" w:hAnsi="Times New Roman" w:cs="Times New Roman"/>
          <w:noProof/>
        </w:rPr>
        <w:t>ulate expression of these genes.</w:t>
      </w:r>
      <w:r w:rsidR="007717AC">
        <w:rPr>
          <w:rFonts w:ascii="Times New Roman" w:hAnsi="Times New Roman" w:cs="Times New Roman"/>
          <w:noProof/>
        </w:rPr>
        <w:t xml:space="preserve"> </w:t>
      </w:r>
    </w:p>
    <w:p w14:paraId="13F9D839" w14:textId="77777777" w:rsidR="000A1D8D" w:rsidRDefault="000A1D8D" w:rsidP="0052651A">
      <w:pPr>
        <w:spacing w:line="360" w:lineRule="auto"/>
        <w:jc w:val="both"/>
        <w:rPr>
          <w:rFonts w:ascii="Times New Roman" w:hAnsi="Times New Roman" w:cs="Times New Roman"/>
          <w:noProof/>
        </w:rPr>
      </w:pPr>
    </w:p>
    <w:p w14:paraId="7CE341B3" w14:textId="4D290941" w:rsidR="0003206C" w:rsidRDefault="006478F4" w:rsidP="0052651A">
      <w:pPr>
        <w:spacing w:line="360" w:lineRule="auto"/>
        <w:jc w:val="both"/>
        <w:rPr>
          <w:rFonts w:ascii="Times New Roman" w:hAnsi="Times New Roman" w:cs="Times New Roman"/>
          <w:noProof/>
        </w:rPr>
      </w:pPr>
      <w:r>
        <w:rPr>
          <w:rFonts w:ascii="Times New Roman" w:hAnsi="Times New Roman" w:cs="Times New Roman"/>
          <w:noProof/>
        </w:rPr>
        <w:t>The differences identified in the expression of inflammatory genes highlight astrocytic response to the antibody</w:t>
      </w:r>
      <w:r w:rsidR="00164BC3">
        <w:rPr>
          <w:rFonts w:ascii="Times New Roman" w:hAnsi="Times New Roman" w:cs="Times New Roman"/>
          <w:noProof/>
        </w:rPr>
        <w:t xml:space="preserve"> used to downregulate IGF1R</w:t>
      </w:r>
      <w:r w:rsidR="00AF5C2A">
        <w:rPr>
          <w:rFonts w:ascii="Times New Roman" w:hAnsi="Times New Roman" w:cs="Times New Roman"/>
          <w:noProof/>
        </w:rPr>
        <w:t xml:space="preserve">. There was increased expression of several </w:t>
      </w:r>
      <w:r>
        <w:rPr>
          <w:rFonts w:ascii="Times New Roman" w:hAnsi="Times New Roman" w:cs="Times New Roman"/>
          <w:noProof/>
        </w:rPr>
        <w:t>genes</w:t>
      </w:r>
      <w:r w:rsidR="00AF5C2A">
        <w:rPr>
          <w:rFonts w:ascii="Times New Roman" w:hAnsi="Times New Roman" w:cs="Times New Roman"/>
          <w:noProof/>
        </w:rPr>
        <w:t xml:space="preserve"> related to an immune response</w:t>
      </w:r>
      <w:r>
        <w:rPr>
          <w:rFonts w:ascii="Times New Roman" w:hAnsi="Times New Roman" w:cs="Times New Roman"/>
          <w:noProof/>
        </w:rPr>
        <w:t xml:space="preserve"> following</w:t>
      </w:r>
      <w:r w:rsidR="00AF5C2A">
        <w:rPr>
          <w:rFonts w:ascii="Times New Roman" w:hAnsi="Times New Roman" w:cs="Times New Roman"/>
          <w:noProof/>
        </w:rPr>
        <w:t xml:space="preserve"> treatment with</w:t>
      </w:r>
      <w:r>
        <w:rPr>
          <w:rFonts w:ascii="Times New Roman" w:hAnsi="Times New Roman" w:cs="Times New Roman"/>
          <w:noProof/>
        </w:rPr>
        <w:t xml:space="preserve"> MAB391, which suggest that the effects observed in these cells are not simply the result of IGF1R loss but also Fc receptor binding and associated downstream activation. </w:t>
      </w:r>
      <w:r w:rsidR="00164BC3">
        <w:rPr>
          <w:rFonts w:ascii="Times New Roman" w:hAnsi="Times New Roman" w:cs="Times New Roman"/>
          <w:noProof/>
        </w:rPr>
        <w:t xml:space="preserve">There was also </w:t>
      </w:r>
      <w:r>
        <w:rPr>
          <w:rFonts w:ascii="Times New Roman" w:hAnsi="Times New Roman" w:cs="Times New Roman"/>
          <w:noProof/>
        </w:rPr>
        <w:t xml:space="preserve">a significant loss </w:t>
      </w:r>
      <w:r w:rsidR="00164BC3">
        <w:rPr>
          <w:rFonts w:ascii="Times New Roman" w:hAnsi="Times New Roman" w:cs="Times New Roman"/>
          <w:noProof/>
        </w:rPr>
        <w:t xml:space="preserve">in expression </w:t>
      </w:r>
      <w:r>
        <w:rPr>
          <w:rFonts w:ascii="Times New Roman" w:hAnsi="Times New Roman" w:cs="Times New Roman"/>
          <w:noProof/>
        </w:rPr>
        <w:t xml:space="preserve">of an Fc receptor fragment </w:t>
      </w:r>
      <w:r w:rsidR="00164BC3">
        <w:rPr>
          <w:rFonts w:ascii="Times New Roman" w:hAnsi="Times New Roman" w:cs="Times New Roman"/>
          <w:noProof/>
        </w:rPr>
        <w:t xml:space="preserve">(FCG1RB) </w:t>
      </w:r>
      <w:r>
        <w:rPr>
          <w:rFonts w:ascii="Times New Roman" w:hAnsi="Times New Roman" w:cs="Times New Roman"/>
          <w:noProof/>
        </w:rPr>
        <w:t>at the level of gene expression</w:t>
      </w:r>
      <w:r w:rsidR="00164BC3">
        <w:rPr>
          <w:rFonts w:ascii="Times New Roman" w:hAnsi="Times New Roman" w:cs="Times New Roman"/>
          <w:noProof/>
        </w:rPr>
        <w:t xml:space="preserve"> (FC=0.68, p≤0.009)</w:t>
      </w:r>
      <w:r>
        <w:rPr>
          <w:rFonts w:ascii="Times New Roman" w:hAnsi="Times New Roman" w:cs="Times New Roman"/>
          <w:noProof/>
        </w:rPr>
        <w:t>, which highlight</w:t>
      </w:r>
      <w:r w:rsidR="00AF5C2A">
        <w:rPr>
          <w:rFonts w:ascii="Times New Roman" w:hAnsi="Times New Roman" w:cs="Times New Roman"/>
          <w:noProof/>
        </w:rPr>
        <w:t>s</w:t>
      </w:r>
      <w:r>
        <w:rPr>
          <w:rFonts w:ascii="Times New Roman" w:hAnsi="Times New Roman" w:cs="Times New Roman"/>
          <w:noProof/>
        </w:rPr>
        <w:t xml:space="preserve"> a mechanism used by the astrocytes to prevent continued activation of this receptor and associated response.</w:t>
      </w:r>
      <w:r w:rsidR="005642C6">
        <w:rPr>
          <w:rFonts w:ascii="Times New Roman" w:hAnsi="Times New Roman" w:cs="Times New Roman"/>
          <w:noProof/>
        </w:rPr>
        <w:t xml:space="preserve"> These results further indicate the importance of using an IgG type control in elucidating how MAB391</w:t>
      </w:r>
      <w:r w:rsidR="00AF5C2A">
        <w:rPr>
          <w:rFonts w:ascii="Times New Roman" w:hAnsi="Times New Roman" w:cs="Times New Roman"/>
          <w:noProof/>
        </w:rPr>
        <w:t xml:space="preserve"> associated IGF1R loss</w:t>
      </w:r>
      <w:r w:rsidR="005642C6">
        <w:rPr>
          <w:rFonts w:ascii="Times New Roman" w:hAnsi="Times New Roman" w:cs="Times New Roman"/>
          <w:noProof/>
        </w:rPr>
        <w:t xml:space="preserve"> may b</w:t>
      </w:r>
      <w:r w:rsidR="00164BC3">
        <w:rPr>
          <w:rFonts w:ascii="Times New Roman" w:hAnsi="Times New Roman" w:cs="Times New Roman"/>
          <w:noProof/>
        </w:rPr>
        <w:t>e affecting astrocytic function and that this serves as the real experimental control.</w:t>
      </w:r>
    </w:p>
    <w:p w14:paraId="197C0AF1" w14:textId="77777777" w:rsidR="00D537BE" w:rsidRPr="00E70230" w:rsidRDefault="00D537BE" w:rsidP="0052651A">
      <w:pPr>
        <w:jc w:val="both"/>
      </w:pPr>
    </w:p>
    <w:p w14:paraId="5D3BE3A5" w14:textId="02A9E58F" w:rsidR="00025B0C" w:rsidRDefault="006D165D" w:rsidP="0052651A">
      <w:pPr>
        <w:pStyle w:val="Heading2"/>
        <w:jc w:val="both"/>
        <w:rPr>
          <w:noProof/>
        </w:rPr>
      </w:pPr>
      <w:bookmarkStart w:id="2369" w:name="_Toc328301214"/>
      <w:bookmarkStart w:id="2370" w:name="_Toc329593505"/>
      <w:bookmarkStart w:id="2371" w:name="_Toc331426003"/>
      <w:bookmarkStart w:id="2372" w:name="_Toc331427175"/>
      <w:bookmarkStart w:id="2373" w:name="_Toc331427547"/>
      <w:bookmarkStart w:id="2374" w:name="_Toc331427689"/>
      <w:bookmarkStart w:id="2375" w:name="_Toc332972694"/>
      <w:bookmarkStart w:id="2376" w:name="_Toc333046973"/>
      <w:bookmarkStart w:id="2377" w:name="_Toc333477320"/>
      <w:bookmarkStart w:id="2378" w:name="_Toc333478090"/>
      <w:bookmarkStart w:id="2379" w:name="_Toc333644990"/>
      <w:r>
        <w:rPr>
          <w:noProof/>
        </w:rPr>
        <w:t>5.6</w:t>
      </w:r>
      <w:r w:rsidR="00EC63A7">
        <w:rPr>
          <w:noProof/>
        </w:rPr>
        <w:t xml:space="preserve"> </w:t>
      </w:r>
      <w:r w:rsidR="00F33693" w:rsidRPr="00AA3E4D">
        <w:rPr>
          <w:noProof/>
        </w:rPr>
        <w:t>Summary</w:t>
      </w:r>
      <w:bookmarkEnd w:id="2369"/>
      <w:bookmarkEnd w:id="2370"/>
      <w:bookmarkEnd w:id="2371"/>
      <w:bookmarkEnd w:id="2372"/>
      <w:bookmarkEnd w:id="2373"/>
      <w:bookmarkEnd w:id="2374"/>
      <w:bookmarkEnd w:id="2375"/>
      <w:bookmarkEnd w:id="2376"/>
      <w:bookmarkEnd w:id="2377"/>
      <w:bookmarkEnd w:id="2378"/>
      <w:bookmarkEnd w:id="2379"/>
    </w:p>
    <w:p w14:paraId="3E5E78F5" w14:textId="77777777" w:rsidR="00647534" w:rsidRPr="00647534" w:rsidRDefault="00647534" w:rsidP="0052651A">
      <w:pPr>
        <w:jc w:val="both"/>
      </w:pPr>
    </w:p>
    <w:p w14:paraId="3F0ED57D" w14:textId="599BCA6B" w:rsidR="006641AF" w:rsidRDefault="0023170F" w:rsidP="0052651A">
      <w:pPr>
        <w:spacing w:line="360" w:lineRule="auto"/>
        <w:jc w:val="both"/>
        <w:rPr>
          <w:rFonts w:ascii="Times New Roman" w:hAnsi="Times New Roman" w:cs="Times New Roman"/>
          <w:noProof/>
        </w:rPr>
      </w:pPr>
      <w:r>
        <w:rPr>
          <w:rFonts w:ascii="Times New Roman" w:hAnsi="Times New Roman" w:cs="Times New Roman"/>
          <w:noProof/>
        </w:rPr>
        <w:t>T</w:t>
      </w:r>
      <w:r w:rsidR="00B97A28">
        <w:rPr>
          <w:rFonts w:ascii="Times New Roman" w:hAnsi="Times New Roman" w:cs="Times New Roman"/>
          <w:noProof/>
        </w:rPr>
        <w:t>he gene expression profiling data</w:t>
      </w:r>
      <w:r>
        <w:rPr>
          <w:rFonts w:ascii="Times New Roman" w:hAnsi="Times New Roman" w:cs="Times New Roman"/>
          <w:noProof/>
        </w:rPr>
        <w:t xml:space="preserve"> has been used to predict how impaired IGF1 signalling alters astrocytic function </w:t>
      </w:r>
      <w:r w:rsidR="00B97A28">
        <w:rPr>
          <w:rFonts w:ascii="Times New Roman" w:hAnsi="Times New Roman" w:cs="Times New Roman"/>
          <w:noProof/>
        </w:rPr>
        <w:t xml:space="preserve">(outlined in </w:t>
      </w:r>
      <w:r w:rsidR="00B97A28" w:rsidRPr="004A24B9">
        <w:rPr>
          <w:rFonts w:ascii="Times New Roman" w:hAnsi="Times New Roman" w:cs="Times New Roman"/>
          <w:b/>
          <w:noProof/>
        </w:rPr>
        <w:t xml:space="preserve">figure </w:t>
      </w:r>
      <w:r w:rsidR="00E70230" w:rsidRPr="004A24B9">
        <w:rPr>
          <w:rFonts w:ascii="Times New Roman" w:hAnsi="Times New Roman" w:cs="Times New Roman"/>
          <w:b/>
          <w:noProof/>
        </w:rPr>
        <w:t>5.2</w:t>
      </w:r>
      <w:r w:rsidR="0043060F">
        <w:rPr>
          <w:rFonts w:ascii="Times New Roman" w:hAnsi="Times New Roman" w:cs="Times New Roman"/>
          <w:b/>
          <w:noProof/>
        </w:rPr>
        <w:t>6</w:t>
      </w:r>
      <w:r w:rsidR="00B97A28">
        <w:rPr>
          <w:rFonts w:ascii="Times New Roman" w:hAnsi="Times New Roman" w:cs="Times New Roman"/>
          <w:noProof/>
        </w:rPr>
        <w:t>)</w:t>
      </w:r>
      <w:r w:rsidR="006C7C23">
        <w:rPr>
          <w:rFonts w:ascii="Times New Roman" w:hAnsi="Times New Roman" w:cs="Times New Roman"/>
          <w:noProof/>
        </w:rPr>
        <w:t xml:space="preserve">. </w:t>
      </w:r>
      <w:r w:rsidR="00D12A1F">
        <w:rPr>
          <w:rFonts w:ascii="Times New Roman" w:hAnsi="Times New Roman" w:cs="Times New Roman"/>
          <w:noProof/>
        </w:rPr>
        <w:t xml:space="preserve">Loss of IGF1R </w:t>
      </w:r>
      <w:r>
        <w:rPr>
          <w:rFonts w:ascii="Times New Roman" w:hAnsi="Times New Roman" w:cs="Times New Roman"/>
          <w:noProof/>
        </w:rPr>
        <w:t>could imp</w:t>
      </w:r>
      <w:r w:rsidR="00213532">
        <w:rPr>
          <w:rFonts w:ascii="Times New Roman" w:hAnsi="Times New Roman" w:cs="Times New Roman"/>
          <w:noProof/>
        </w:rPr>
        <w:t>air oxidative phosphorylation, specifically</w:t>
      </w:r>
      <w:r w:rsidR="008B5337">
        <w:rPr>
          <w:rFonts w:ascii="Times New Roman" w:hAnsi="Times New Roman" w:cs="Times New Roman"/>
          <w:noProof/>
        </w:rPr>
        <w:t xml:space="preserve"> complex I</w:t>
      </w:r>
      <w:r w:rsidR="00B97A28">
        <w:rPr>
          <w:rFonts w:ascii="Times New Roman" w:hAnsi="Times New Roman" w:cs="Times New Roman"/>
          <w:noProof/>
        </w:rPr>
        <w:t xml:space="preserve"> activity, leading</w:t>
      </w:r>
      <w:r w:rsidR="00D12A1F">
        <w:rPr>
          <w:rFonts w:ascii="Times New Roman" w:hAnsi="Times New Roman" w:cs="Times New Roman"/>
          <w:noProof/>
        </w:rPr>
        <w:t xml:space="preserve"> to ROS production and</w:t>
      </w:r>
      <w:r w:rsidR="006C7C23">
        <w:rPr>
          <w:rFonts w:ascii="Times New Roman" w:hAnsi="Times New Roman" w:cs="Times New Roman"/>
          <w:noProof/>
        </w:rPr>
        <w:t xml:space="preserve"> protein oxidation</w:t>
      </w:r>
      <w:r w:rsidR="00D12A1F">
        <w:rPr>
          <w:rFonts w:ascii="Times New Roman" w:hAnsi="Times New Roman" w:cs="Times New Roman"/>
          <w:noProof/>
        </w:rPr>
        <w:t xml:space="preserve">. </w:t>
      </w:r>
      <w:r w:rsidR="00213532">
        <w:rPr>
          <w:rFonts w:ascii="Times New Roman" w:hAnsi="Times New Roman" w:cs="Times New Roman"/>
          <w:noProof/>
        </w:rPr>
        <w:t>As a compensatory response</w:t>
      </w:r>
      <w:r w:rsidR="00D12A1F">
        <w:rPr>
          <w:rFonts w:ascii="Times New Roman" w:hAnsi="Times New Roman" w:cs="Times New Roman"/>
          <w:noProof/>
        </w:rPr>
        <w:t xml:space="preserve">, astrocytes </w:t>
      </w:r>
      <w:r w:rsidR="00213532">
        <w:rPr>
          <w:rFonts w:ascii="Times New Roman" w:hAnsi="Times New Roman" w:cs="Times New Roman"/>
          <w:noProof/>
        </w:rPr>
        <w:t>may increase</w:t>
      </w:r>
      <w:r w:rsidR="00D12A1F">
        <w:rPr>
          <w:rFonts w:ascii="Times New Roman" w:hAnsi="Times New Roman" w:cs="Times New Roman"/>
          <w:noProof/>
        </w:rPr>
        <w:t xml:space="preserve"> intracellular </w:t>
      </w:r>
      <w:r w:rsidR="00437472">
        <w:rPr>
          <w:rFonts w:ascii="Times New Roman" w:hAnsi="Times New Roman" w:cs="Times New Roman"/>
          <w:noProof/>
        </w:rPr>
        <w:t>supplies of glutathione to protect proteins from further</w:t>
      </w:r>
      <w:r w:rsidR="005F57AB">
        <w:rPr>
          <w:rFonts w:ascii="Times New Roman" w:hAnsi="Times New Roman" w:cs="Times New Roman"/>
          <w:noProof/>
        </w:rPr>
        <w:t xml:space="preserve"> oxidation-</w:t>
      </w:r>
      <w:r w:rsidR="00B97A28">
        <w:rPr>
          <w:rFonts w:ascii="Times New Roman" w:hAnsi="Times New Roman" w:cs="Times New Roman"/>
          <w:noProof/>
        </w:rPr>
        <w:t>induced</w:t>
      </w:r>
      <w:r w:rsidR="00437472">
        <w:rPr>
          <w:rFonts w:ascii="Times New Roman" w:hAnsi="Times New Roman" w:cs="Times New Roman"/>
          <w:noProof/>
        </w:rPr>
        <w:t xml:space="preserve"> stress and degradation. </w:t>
      </w:r>
      <w:r w:rsidR="00636AFC">
        <w:rPr>
          <w:rFonts w:ascii="Times New Roman" w:hAnsi="Times New Roman" w:cs="Times New Roman"/>
          <w:noProof/>
        </w:rPr>
        <w:t xml:space="preserve">This may </w:t>
      </w:r>
      <w:r w:rsidR="00213532">
        <w:rPr>
          <w:rFonts w:ascii="Times New Roman" w:hAnsi="Times New Roman" w:cs="Times New Roman"/>
          <w:noProof/>
        </w:rPr>
        <w:t>limit the availability of reduced</w:t>
      </w:r>
      <w:r w:rsidR="00636AFC">
        <w:rPr>
          <w:rFonts w:ascii="Times New Roman" w:hAnsi="Times New Roman" w:cs="Times New Roman"/>
          <w:noProof/>
        </w:rPr>
        <w:t xml:space="preserve"> glutathione to deal with any further oxidative stress and</w:t>
      </w:r>
      <w:r w:rsidR="006C7C23">
        <w:rPr>
          <w:rFonts w:ascii="Times New Roman" w:hAnsi="Times New Roman" w:cs="Times New Roman"/>
          <w:noProof/>
        </w:rPr>
        <w:t xml:space="preserve"> could</w:t>
      </w:r>
      <w:r w:rsidR="00636AFC">
        <w:rPr>
          <w:rFonts w:ascii="Times New Roman" w:hAnsi="Times New Roman" w:cs="Times New Roman"/>
          <w:noProof/>
        </w:rPr>
        <w:t xml:space="preserve"> support earlier findings </w:t>
      </w:r>
      <w:r w:rsidR="005F57AB">
        <w:rPr>
          <w:rFonts w:ascii="Times New Roman" w:hAnsi="Times New Roman" w:cs="Times New Roman"/>
          <w:noProof/>
        </w:rPr>
        <w:t>showing</w:t>
      </w:r>
      <w:r w:rsidR="006C7C23">
        <w:rPr>
          <w:rFonts w:ascii="Times New Roman" w:hAnsi="Times New Roman" w:cs="Times New Roman"/>
          <w:noProof/>
        </w:rPr>
        <w:t xml:space="preserve"> reduced neuronal support </w:t>
      </w:r>
      <w:r w:rsidR="00E76320">
        <w:rPr>
          <w:rFonts w:ascii="Times New Roman" w:hAnsi="Times New Roman" w:cs="Times New Roman"/>
          <w:noProof/>
        </w:rPr>
        <w:t>when challenged with H</w:t>
      </w:r>
      <w:r w:rsidR="00E76320">
        <w:rPr>
          <w:rFonts w:ascii="Times New Roman" w:hAnsi="Times New Roman" w:cs="Times New Roman"/>
          <w:noProof/>
          <w:vertAlign w:val="subscript"/>
        </w:rPr>
        <w:t>2</w:t>
      </w:r>
      <w:r w:rsidR="00E76320">
        <w:rPr>
          <w:rFonts w:ascii="Times New Roman" w:hAnsi="Times New Roman" w:cs="Times New Roman"/>
          <w:noProof/>
        </w:rPr>
        <w:t>O</w:t>
      </w:r>
      <w:r w:rsidR="00E76320">
        <w:rPr>
          <w:rFonts w:ascii="Times New Roman" w:hAnsi="Times New Roman" w:cs="Times New Roman"/>
          <w:noProof/>
          <w:vertAlign w:val="subscript"/>
        </w:rPr>
        <w:t>2</w:t>
      </w:r>
      <w:r w:rsidR="00636AFC">
        <w:rPr>
          <w:rFonts w:ascii="Times New Roman" w:hAnsi="Times New Roman" w:cs="Times New Roman"/>
          <w:noProof/>
        </w:rPr>
        <w:t>. To compensate for reductions in mitochondrial respiration astrocytes can upregulate glycolysis, which</w:t>
      </w:r>
      <w:r w:rsidR="0042460C">
        <w:rPr>
          <w:rFonts w:ascii="Times New Roman" w:hAnsi="Times New Roman" w:cs="Times New Roman"/>
          <w:noProof/>
        </w:rPr>
        <w:t xml:space="preserve"> was one of the most enriched pathways upregulated following MAB391 treatment</w:t>
      </w:r>
      <w:r w:rsidR="00636AFC">
        <w:rPr>
          <w:rFonts w:ascii="Times New Roman" w:hAnsi="Times New Roman" w:cs="Times New Roman"/>
          <w:noProof/>
        </w:rPr>
        <w:t xml:space="preserve">. </w:t>
      </w:r>
    </w:p>
    <w:p w14:paraId="2A38910A" w14:textId="77777777" w:rsidR="0058597C" w:rsidRDefault="0058597C" w:rsidP="009E5F8C">
      <w:pPr>
        <w:spacing w:line="360" w:lineRule="auto"/>
        <w:rPr>
          <w:rFonts w:ascii="Times New Roman" w:hAnsi="Times New Roman" w:cs="Times New Roman"/>
          <w:noProof/>
        </w:rPr>
      </w:pPr>
    </w:p>
    <w:p w14:paraId="75EBE29B" w14:textId="243605B2" w:rsidR="005F57AB" w:rsidRDefault="006641AF" w:rsidP="0052651A">
      <w:pPr>
        <w:spacing w:line="360" w:lineRule="auto"/>
        <w:jc w:val="both"/>
        <w:rPr>
          <w:rFonts w:ascii="Times New Roman" w:hAnsi="Times New Roman" w:cs="Times New Roman"/>
          <w:noProof/>
        </w:rPr>
      </w:pPr>
      <w:r>
        <w:rPr>
          <w:rFonts w:ascii="Times New Roman" w:hAnsi="Times New Roman" w:cs="Times New Roman"/>
          <w:noProof/>
        </w:rPr>
        <w:t>Validation of the array confirmed reduced complex I activity both at the RNA and</w:t>
      </w:r>
      <w:r w:rsidR="00846911">
        <w:rPr>
          <w:rFonts w:ascii="Times New Roman" w:hAnsi="Times New Roman" w:cs="Times New Roman"/>
          <w:noProof/>
        </w:rPr>
        <w:t xml:space="preserve"> at a </w:t>
      </w:r>
      <w:r>
        <w:rPr>
          <w:rFonts w:ascii="Times New Roman" w:hAnsi="Times New Roman" w:cs="Times New Roman"/>
          <w:noProof/>
        </w:rPr>
        <w:t xml:space="preserve"> functional level, whereas the changes in glycolysis and lactate production are less clear. In conclusion, loss of IGF1R in astrocytes dysregulates energy metabolism and may contribute to </w:t>
      </w:r>
      <w:r w:rsidR="005F57AB">
        <w:rPr>
          <w:rFonts w:ascii="Times New Roman" w:hAnsi="Times New Roman" w:cs="Times New Roman"/>
          <w:noProof/>
        </w:rPr>
        <w:t>the reduced</w:t>
      </w:r>
      <w:r>
        <w:rPr>
          <w:rFonts w:ascii="Times New Roman" w:hAnsi="Times New Roman" w:cs="Times New Roman"/>
          <w:noProof/>
        </w:rPr>
        <w:t xml:space="preserve"> </w:t>
      </w:r>
      <w:r w:rsidR="006543C0">
        <w:rPr>
          <w:rFonts w:ascii="Times New Roman" w:hAnsi="Times New Roman" w:cs="Times New Roman"/>
          <w:noProof/>
        </w:rPr>
        <w:t>support for neurons during AD progression</w:t>
      </w:r>
      <w:r>
        <w:rPr>
          <w:rFonts w:ascii="Times New Roman" w:hAnsi="Times New Roman" w:cs="Times New Roman"/>
          <w:noProof/>
        </w:rPr>
        <w:t>.</w:t>
      </w:r>
      <w:r w:rsidR="009307AE">
        <w:rPr>
          <w:rFonts w:ascii="Times New Roman" w:hAnsi="Times New Roman" w:cs="Times New Roman"/>
          <w:noProof/>
        </w:rPr>
        <w:t xml:space="preserve"> </w:t>
      </w:r>
      <w:r w:rsidR="009A07D9">
        <w:rPr>
          <w:rFonts w:ascii="Times New Roman" w:hAnsi="Times New Roman" w:cs="Times New Roman"/>
          <w:noProof/>
        </w:rPr>
        <w:t>Dysregulated energy metabolism</w:t>
      </w:r>
      <w:r>
        <w:rPr>
          <w:rFonts w:ascii="Times New Roman" w:hAnsi="Times New Roman" w:cs="Times New Roman"/>
          <w:noProof/>
        </w:rPr>
        <w:t xml:space="preserve"> is </w:t>
      </w:r>
      <w:r w:rsidR="006543C0">
        <w:rPr>
          <w:rFonts w:ascii="Times New Roman" w:hAnsi="Times New Roman" w:cs="Times New Roman"/>
          <w:noProof/>
        </w:rPr>
        <w:t xml:space="preserve">a recognised feature of </w:t>
      </w:r>
      <w:r w:rsidR="00105F23">
        <w:rPr>
          <w:rFonts w:ascii="Times New Roman" w:hAnsi="Times New Roman" w:cs="Times New Roman"/>
          <w:noProof/>
        </w:rPr>
        <w:t>AD</w:t>
      </w:r>
      <w:r w:rsidR="005F57AB">
        <w:rPr>
          <w:rFonts w:ascii="Times New Roman" w:hAnsi="Times New Roman" w:cs="Times New Roman"/>
          <w:noProof/>
        </w:rPr>
        <w:t xml:space="preserve"> and</w:t>
      </w:r>
      <w:r w:rsidR="006543C0">
        <w:rPr>
          <w:rFonts w:ascii="Times New Roman" w:hAnsi="Times New Roman" w:cs="Times New Roman"/>
          <w:noProof/>
        </w:rPr>
        <w:t xml:space="preserve"> a similar pattern of changes in oxidative phosphorylation and glycolysis as </w:t>
      </w:r>
      <w:r w:rsidR="005F57AB">
        <w:rPr>
          <w:rFonts w:ascii="Times New Roman" w:hAnsi="Times New Roman" w:cs="Times New Roman"/>
          <w:noProof/>
        </w:rPr>
        <w:t xml:space="preserve">reported here, </w:t>
      </w:r>
      <w:r w:rsidR="006543C0">
        <w:rPr>
          <w:rFonts w:ascii="Times New Roman" w:hAnsi="Times New Roman" w:cs="Times New Roman"/>
          <w:noProof/>
        </w:rPr>
        <w:t>were observed by proteome profiling</w:t>
      </w:r>
      <w:r w:rsidR="009A07D9">
        <w:rPr>
          <w:rFonts w:ascii="Times New Roman" w:hAnsi="Times New Roman" w:cs="Times New Roman"/>
          <w:noProof/>
        </w:rPr>
        <w:t xml:space="preserve"> hippocampal tissue</w:t>
      </w:r>
      <w:r w:rsidR="006543C0">
        <w:rPr>
          <w:rFonts w:ascii="Times New Roman" w:hAnsi="Times New Roman" w:cs="Times New Roman"/>
          <w:noProof/>
        </w:rPr>
        <w:t xml:space="preserve"> in late Braak stage AD subjects</w:t>
      </w:r>
      <w:r w:rsidR="00F35A14">
        <w:rPr>
          <w:rFonts w:ascii="Times New Roman" w:hAnsi="Times New Roman" w:cs="Times New Roman"/>
          <w:noProof/>
        </w:rPr>
        <w:t xml:space="preserve"> </w:t>
      </w:r>
      <w:r w:rsidR="00F35A14">
        <w:rPr>
          <w:rFonts w:ascii="Times New Roman" w:hAnsi="Times New Roman" w:cs="Times New Roman"/>
          <w:noProof/>
        </w:rPr>
        <w:fldChar w:fldCharType="begin" w:fldLock="1"/>
      </w:r>
      <w:r w:rsidR="003E7BDB">
        <w:rPr>
          <w:rFonts w:ascii="Times New Roman" w:hAnsi="Times New Roman" w:cs="Times New Roman"/>
          <w:noProof/>
        </w:rPr>
        <w:instrText>ADDIN CSL_CITATION { "citationItems" : [ { "id" : "ITEM-1", "itemData" : { "DOI" : "10.1016/j.jalz.2015.11.002", "ISSN" : "1552-5279", "PMID" : "26772638", "abstract" : "INTRODUCTION: We performed a comprehensive quantitative proteomics study on human hippocampus tissue involving all Braak stages to assess changes in protein abundance over the various stages of Alzheimer's disease (AD).\n\nMETHODS: Hippocampal subareas CA1 and subiculum of 40 cases were isolated using laser capture microdissection and analyzed using mass spectrometry. Immunoblotting and immunohistochemistry were used for validation.\n\nRESULTS: Over the Braak stages, an altered expression was found for 372 proteins including changes in levels of extracellular matrix components, and in calcium-dependent signaling proteins. Early changes were observed in levels of proteins related to cytoskeletal dynamics and synaptic components including an increase in RIMS1 and GRIK4. Several synaptic proteins, such as BSN, LIN7A, DLG2, -3, and -4, exhibit an early-up, late-down expression pattern.\n\nDISCUSSION: This study provides new insight into AD-dependent changes in protein levels in the hippocampus during AD pathology, identifying potential novel therapeutic targets and biomarkers.", "author" : [ { "dropping-particle" : "", "family" : "Hondius", "given" : "David C", "non-dropping-particle" : "", "parse-names" : false, "suffix" : "" }, { "dropping-particle" : "", "family" : "Nierop", "given" : "Pim", "non-dropping-particle" : "van", "parse-names" : false, "suffix" : "" }, { "dropping-particle" : "", "family" : "Li", "given" : "Ka Wan", "non-dropping-particle" : "", "parse-names" : false, "suffix" : "" }, { "dropping-particle" : "", "family" : "Hoozemans", "given" : "Jeroen J M", "non-dropping-particle" : "", "parse-names" : false, "suffix" : "" }, { "dropping-particle" : "", "family" : "Schors", "given" : "Roel C", "non-dropping-particle" : "van der", "parse-names" : false, "suffix" : "" }, { "dropping-particle" : "", "family" : "Haastert", "given" : "Elise S", "non-dropping-particle" : "van", "parse-names" : false, "suffix" : "" }, { "dropping-particle" : "", "family" : "Vies", "given" : "Saskia M", "non-dropping-particle" : "van der", "parse-names" : false, "suffix" : "" }, { "dropping-particle" : "", "family" : "Rozemuller", "given" : "Annemieke J M", "non-dropping-particle" : "", "parse-names" : false, "suffix" : "" }, { "dropping-particle" : "", "family" : "Smit", "given" : "August B", "non-dropping-particle" : "", "parse-names" : false, "suffix" : "" } ], "container-title" : "Alzheimer's &amp; dementia : the journal of the Alzheimer's Association", "id" : "ITEM-1", "issued" : { "date-parts" : [ [ "2016", "1", "6" ] ] }, "language" : "English", "publisher" : "Elsevier", "title" : "Profiling the human hippocampal proteome at all pathologic stages of\u00a0Alzheimer's disease.", "type" : "article-journal" }, "uris" : [ "http://www.mendeley.com/documents/?uuid=26030ad5-0789-4f60-ab4d-ba6305a0616d" ] } ], "mendeley" : { "formattedCitation" : "(Hondius et al. 2016)", "plainTextFormattedCitation" : "(Hondius et al. 2016)", "previouslyFormattedCitation" : "(Hondius et al. 2016)" }, "properties" : { "noteIndex" : 0 }, "schema" : "https://github.com/citation-style-language/schema/raw/master/csl-citation.json" }</w:instrText>
      </w:r>
      <w:r w:rsidR="00F35A14">
        <w:rPr>
          <w:rFonts w:ascii="Times New Roman" w:hAnsi="Times New Roman" w:cs="Times New Roman"/>
          <w:noProof/>
        </w:rPr>
        <w:fldChar w:fldCharType="separate"/>
      </w:r>
      <w:r w:rsidR="00C148FC" w:rsidRPr="00C148FC">
        <w:rPr>
          <w:rFonts w:ascii="Times New Roman" w:hAnsi="Times New Roman" w:cs="Times New Roman"/>
          <w:noProof/>
        </w:rPr>
        <w:t>(Hondius et al. 2016)</w:t>
      </w:r>
      <w:r w:rsidR="00F35A14">
        <w:rPr>
          <w:rFonts w:ascii="Times New Roman" w:hAnsi="Times New Roman" w:cs="Times New Roman"/>
          <w:noProof/>
        </w:rPr>
        <w:fldChar w:fldCharType="end"/>
      </w:r>
      <w:r w:rsidR="009A07D9">
        <w:rPr>
          <w:rFonts w:ascii="Times New Roman" w:hAnsi="Times New Roman" w:cs="Times New Roman"/>
          <w:noProof/>
        </w:rPr>
        <w:t>.</w:t>
      </w:r>
      <w:r w:rsidR="006543C0">
        <w:rPr>
          <w:rFonts w:ascii="Times New Roman" w:hAnsi="Times New Roman" w:cs="Times New Roman"/>
          <w:noProof/>
        </w:rPr>
        <w:t xml:space="preserve"> </w:t>
      </w:r>
    </w:p>
    <w:p w14:paraId="2F78B3FE" w14:textId="77777777" w:rsidR="005F57AB" w:rsidRDefault="005F57AB" w:rsidP="0052651A">
      <w:pPr>
        <w:spacing w:line="360" w:lineRule="auto"/>
        <w:jc w:val="both"/>
        <w:rPr>
          <w:rFonts w:ascii="Times New Roman" w:hAnsi="Times New Roman" w:cs="Times New Roman"/>
          <w:noProof/>
        </w:rPr>
      </w:pPr>
    </w:p>
    <w:p w14:paraId="78D08844" w14:textId="7AC1B0FF" w:rsidR="00401292" w:rsidRDefault="005F57AB" w:rsidP="0052651A">
      <w:pPr>
        <w:spacing w:line="360" w:lineRule="auto"/>
        <w:jc w:val="both"/>
        <w:rPr>
          <w:rFonts w:ascii="Times New Roman" w:hAnsi="Times New Roman" w:cs="Times New Roman"/>
          <w:noProof/>
        </w:rPr>
      </w:pPr>
      <w:r>
        <w:rPr>
          <w:rFonts w:ascii="Times New Roman" w:hAnsi="Times New Roman" w:cs="Times New Roman"/>
          <w:noProof/>
        </w:rPr>
        <w:t>T</w:t>
      </w:r>
      <w:r w:rsidR="00846911">
        <w:rPr>
          <w:rFonts w:ascii="Times New Roman" w:hAnsi="Times New Roman" w:cs="Times New Roman"/>
          <w:noProof/>
        </w:rPr>
        <w:t>his thesis</w:t>
      </w:r>
      <w:r w:rsidR="006543C0">
        <w:rPr>
          <w:rFonts w:ascii="Times New Roman" w:hAnsi="Times New Roman" w:cs="Times New Roman"/>
          <w:noProof/>
        </w:rPr>
        <w:t xml:space="preserve"> may position the IGF1 signalling pathway in astrocytes as a key regulator of astrocyte-neuron energy metabolism, although further work is needed to investigate this.</w:t>
      </w:r>
      <w:r w:rsidR="009307AE" w:rsidRPr="009307AE">
        <w:rPr>
          <w:rFonts w:ascii="Times New Roman" w:hAnsi="Times New Roman" w:cs="Times New Roman"/>
          <w:noProof/>
        </w:rPr>
        <w:t xml:space="preserve"> </w:t>
      </w:r>
      <w:r w:rsidR="009307AE">
        <w:rPr>
          <w:rFonts w:ascii="Times New Roman" w:hAnsi="Times New Roman" w:cs="Times New Roman"/>
          <w:noProof/>
        </w:rPr>
        <w:t xml:space="preserve">Furthermore, the changes in IGF1 signalling in astrocytes do not account for all of the changes in gene expression observed in the original Simpson </w:t>
      </w:r>
      <w:r w:rsidR="009307AE">
        <w:rPr>
          <w:rFonts w:ascii="Times New Roman" w:hAnsi="Times New Roman" w:cs="Times New Roman"/>
          <w:i/>
          <w:noProof/>
        </w:rPr>
        <w:t>et al</w:t>
      </w:r>
      <w:r w:rsidR="009307AE">
        <w:rPr>
          <w:rFonts w:ascii="Times New Roman" w:hAnsi="Times New Roman" w:cs="Times New Roman"/>
          <w:noProof/>
        </w:rPr>
        <w:t xml:space="preserve"> (2011) study, suggesting that there are other impairments in astrocytes that contribute to the transcriptomic phenotype observed in AD.  </w:t>
      </w:r>
    </w:p>
    <w:p w14:paraId="63D44D79" w14:textId="77777777" w:rsidR="00A50137" w:rsidRDefault="00A50137" w:rsidP="0052651A">
      <w:pPr>
        <w:jc w:val="both"/>
      </w:pPr>
      <w:bookmarkStart w:id="2380" w:name="_Toc328301215"/>
      <w:bookmarkStart w:id="2381" w:name="_Toc329593506"/>
    </w:p>
    <w:p w14:paraId="7EE50792" w14:textId="77777777" w:rsidR="00066B71" w:rsidRDefault="00066B71" w:rsidP="00066B71">
      <w:pPr>
        <w:spacing w:line="360" w:lineRule="auto"/>
        <w:rPr>
          <w:rFonts w:ascii="Times New Roman" w:hAnsi="Times New Roman" w:cs="Times New Roman"/>
          <w:noProof/>
        </w:rPr>
      </w:pPr>
      <w:r w:rsidRPr="00066B71">
        <w:rPr>
          <w:noProof/>
        </w:rPr>
        <w:drawing>
          <wp:inline distT="0" distB="0" distL="0" distR="0" wp14:anchorId="709BEC6F" wp14:editId="28CA5876">
            <wp:extent cx="5394402" cy="4914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113">
                      <a:extLst>
                        <a:ext uri="{28A0092B-C50C-407E-A947-70E740481C1C}">
                          <a14:useLocalDpi xmlns:a14="http://schemas.microsoft.com/office/drawing/2010/main" val="0"/>
                        </a:ext>
                      </a:extLst>
                    </a:blip>
                    <a:srcRect l="16003" t="2199" r="3507"/>
                    <a:stretch/>
                  </pic:blipFill>
                  <pic:spPr bwMode="auto">
                    <a:xfrm>
                      <a:off x="0" y="0"/>
                      <a:ext cx="5395820" cy="4916192"/>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rPr>
        <w:t xml:space="preserve">  </w:t>
      </w:r>
    </w:p>
    <w:p w14:paraId="141164B0" w14:textId="77777777" w:rsidR="00066B71" w:rsidRDefault="00066B71" w:rsidP="00066B71">
      <w:pPr>
        <w:spacing w:line="360" w:lineRule="auto"/>
        <w:rPr>
          <w:rFonts w:ascii="Times New Roman" w:hAnsi="Times New Roman" w:cs="Times New Roman"/>
          <w:noProof/>
        </w:rPr>
      </w:pPr>
    </w:p>
    <w:p w14:paraId="0D63E12D" w14:textId="77777777" w:rsidR="00303E90" w:rsidRDefault="00066B71" w:rsidP="00AB1419">
      <w:pPr>
        <w:pStyle w:val="Caption"/>
        <w:rPr>
          <w:noProof/>
        </w:rPr>
      </w:pPr>
      <w:bookmarkStart w:id="2382" w:name="_Toc333569101"/>
      <w:bookmarkStart w:id="2383" w:name="_Toc333569323"/>
      <w:bookmarkStart w:id="2384" w:name="_Toc333570877"/>
      <w:bookmarkStart w:id="2385" w:name="_Toc333582260"/>
      <w:bookmarkStart w:id="2386" w:name="_Toc333582380"/>
      <w:bookmarkStart w:id="2387" w:name="_Toc333582792"/>
      <w:bookmarkStart w:id="2388" w:name="_Toc333583162"/>
      <w:bookmarkStart w:id="2389" w:name="_Toc333585279"/>
      <w:bookmarkStart w:id="2390" w:name="_Toc333586831"/>
      <w:bookmarkStart w:id="2391" w:name="_Toc333644530"/>
      <w:bookmarkStart w:id="2392" w:name="_Toc333644824"/>
      <w:r>
        <w:rPr>
          <w:noProof/>
        </w:rPr>
        <w:t>Figure 5.2</w:t>
      </w:r>
      <w:r w:rsidR="0043060F">
        <w:rPr>
          <w:noProof/>
        </w:rPr>
        <w:t>6</w:t>
      </w:r>
      <w:r w:rsidR="007B2E88">
        <w:rPr>
          <w:noProof/>
        </w:rPr>
        <w:t>.</w:t>
      </w:r>
      <w:r>
        <w:rPr>
          <w:noProof/>
        </w:rPr>
        <w:t xml:space="preserve"> </w:t>
      </w:r>
      <w:r w:rsidRPr="00303E90">
        <w:rPr>
          <w:noProof/>
        </w:rPr>
        <w:t>A hypothetical model of how IGF1 signalling impairm</w:t>
      </w:r>
      <w:r w:rsidR="00A20415" w:rsidRPr="00303E90">
        <w:rPr>
          <w:noProof/>
        </w:rPr>
        <w:t>ent aff</w:t>
      </w:r>
      <w:r w:rsidR="00303E90" w:rsidRPr="00303E90">
        <w:rPr>
          <w:noProof/>
        </w:rPr>
        <w:t>ects astrocytic function.</w:t>
      </w:r>
      <w:bookmarkEnd w:id="2382"/>
      <w:bookmarkEnd w:id="2383"/>
      <w:bookmarkEnd w:id="2384"/>
      <w:bookmarkEnd w:id="2385"/>
      <w:bookmarkEnd w:id="2386"/>
      <w:bookmarkEnd w:id="2387"/>
      <w:bookmarkEnd w:id="2388"/>
      <w:bookmarkEnd w:id="2389"/>
      <w:bookmarkEnd w:id="2390"/>
      <w:bookmarkEnd w:id="2391"/>
      <w:bookmarkEnd w:id="2392"/>
    </w:p>
    <w:p w14:paraId="08AA7BAB" w14:textId="3F2F3DB3" w:rsidR="005F57AB" w:rsidRPr="00E36700" w:rsidRDefault="00303E90" w:rsidP="00E36700">
      <w:pPr>
        <w:spacing w:line="360" w:lineRule="auto"/>
        <w:jc w:val="both"/>
        <w:rPr>
          <w:rFonts w:ascii="Times New Roman" w:hAnsi="Times New Roman" w:cs="Times New Roman"/>
          <w:noProof/>
        </w:rPr>
      </w:pPr>
      <w:r>
        <w:rPr>
          <w:rFonts w:ascii="Times New Roman" w:hAnsi="Times New Roman" w:cs="Times New Roman"/>
          <w:noProof/>
        </w:rPr>
        <w:t xml:space="preserve">This </w:t>
      </w:r>
      <w:r w:rsidR="00A20415">
        <w:rPr>
          <w:rFonts w:ascii="Times New Roman" w:hAnsi="Times New Roman" w:cs="Times New Roman"/>
          <w:noProof/>
        </w:rPr>
        <w:t>illustrates the</w:t>
      </w:r>
      <w:r w:rsidR="00066B71">
        <w:rPr>
          <w:rFonts w:ascii="Times New Roman" w:hAnsi="Times New Roman" w:cs="Times New Roman"/>
          <w:noProof/>
        </w:rPr>
        <w:t xml:space="preserve"> biological pathways </w:t>
      </w:r>
      <w:r w:rsidR="00A20415">
        <w:rPr>
          <w:rFonts w:ascii="Times New Roman" w:hAnsi="Times New Roman" w:cs="Times New Roman"/>
          <w:noProof/>
        </w:rPr>
        <w:t>(</w:t>
      </w:r>
      <w:r w:rsidR="00066B71">
        <w:rPr>
          <w:rFonts w:ascii="Times New Roman" w:hAnsi="Times New Roman" w:cs="Times New Roman"/>
          <w:noProof/>
        </w:rPr>
        <w:t>generated from DAVID and IMPALA analysis of the microarray data</w:t>
      </w:r>
      <w:r w:rsidR="00A20415">
        <w:rPr>
          <w:rFonts w:ascii="Times New Roman" w:hAnsi="Times New Roman" w:cs="Times New Roman"/>
          <w:noProof/>
        </w:rPr>
        <w:t>) that may be altered following loss of IGF1R</w:t>
      </w:r>
      <w:r w:rsidR="00066B71">
        <w:rPr>
          <w:rFonts w:ascii="Times New Roman" w:hAnsi="Times New Roman" w:cs="Times New Roman"/>
          <w:noProof/>
        </w:rPr>
        <w:t xml:space="preserve">. The text in red indicates genes or pathways downregulated following MAB391 treatment and in green are the genes or pathways upregulated following MAB391 treatment. </w:t>
      </w:r>
      <w:bookmarkStart w:id="2393" w:name="_Toc331426004"/>
      <w:bookmarkStart w:id="2394" w:name="_Toc331427176"/>
      <w:bookmarkStart w:id="2395" w:name="_Toc331427548"/>
      <w:bookmarkStart w:id="2396" w:name="_Toc331427690"/>
      <w:bookmarkStart w:id="2397" w:name="_Toc332972695"/>
      <w:bookmarkStart w:id="2398" w:name="_Toc333046974"/>
      <w:bookmarkStart w:id="2399" w:name="_Toc333477321"/>
      <w:bookmarkStart w:id="2400" w:name="_Toc333478091"/>
    </w:p>
    <w:p w14:paraId="1A4D664C" w14:textId="6A37B63E" w:rsidR="006B0915" w:rsidRPr="00AA3E4D" w:rsidRDefault="006D165D" w:rsidP="00401292">
      <w:pPr>
        <w:pStyle w:val="Heading2"/>
        <w:rPr>
          <w:noProof/>
        </w:rPr>
      </w:pPr>
      <w:bookmarkStart w:id="2401" w:name="_Toc333644991"/>
      <w:r>
        <w:rPr>
          <w:noProof/>
        </w:rPr>
        <w:t>5.7</w:t>
      </w:r>
      <w:r w:rsidR="001E1D96" w:rsidRPr="00AA3E4D">
        <w:rPr>
          <w:noProof/>
        </w:rPr>
        <w:t xml:space="preserve"> </w:t>
      </w:r>
      <w:r w:rsidR="00470FDB" w:rsidRPr="00AA3E4D">
        <w:rPr>
          <w:noProof/>
        </w:rPr>
        <w:t>Main Conclusions</w:t>
      </w:r>
      <w:bookmarkEnd w:id="2380"/>
      <w:bookmarkEnd w:id="2381"/>
      <w:bookmarkEnd w:id="2393"/>
      <w:bookmarkEnd w:id="2394"/>
      <w:bookmarkEnd w:id="2395"/>
      <w:bookmarkEnd w:id="2396"/>
      <w:bookmarkEnd w:id="2397"/>
      <w:bookmarkEnd w:id="2398"/>
      <w:bookmarkEnd w:id="2399"/>
      <w:bookmarkEnd w:id="2400"/>
      <w:bookmarkEnd w:id="2401"/>
    </w:p>
    <w:p w14:paraId="4C6CE1EF" w14:textId="77777777" w:rsidR="00470FDB" w:rsidRDefault="00470FDB" w:rsidP="009E5F8C">
      <w:pPr>
        <w:spacing w:line="360" w:lineRule="auto"/>
        <w:rPr>
          <w:rFonts w:ascii="Times New Roman" w:hAnsi="Times New Roman" w:cs="Times New Roman"/>
          <w:noProof/>
        </w:rPr>
      </w:pPr>
    </w:p>
    <w:p w14:paraId="79DD1D14" w14:textId="4FDDCB56" w:rsidR="00470FDB" w:rsidRDefault="00470FDB" w:rsidP="0052651A">
      <w:pPr>
        <w:pStyle w:val="ListParagraph"/>
        <w:numPr>
          <w:ilvl w:val="0"/>
          <w:numId w:val="7"/>
        </w:numPr>
        <w:jc w:val="both"/>
        <w:rPr>
          <w:rFonts w:ascii="Times New Roman" w:hAnsi="Times New Roman" w:cs="Times New Roman"/>
          <w:noProof/>
        </w:rPr>
      </w:pPr>
      <w:r>
        <w:rPr>
          <w:rFonts w:ascii="Times New Roman" w:hAnsi="Times New Roman" w:cs="Times New Roman"/>
          <w:noProof/>
        </w:rPr>
        <w:t>Human a</w:t>
      </w:r>
      <w:r w:rsidR="00EF7451">
        <w:rPr>
          <w:rFonts w:ascii="Times New Roman" w:hAnsi="Times New Roman" w:cs="Times New Roman"/>
          <w:noProof/>
        </w:rPr>
        <w:t>strocytes and LUHMES can be FACS</w:t>
      </w:r>
      <w:r>
        <w:rPr>
          <w:rFonts w:ascii="Times New Roman" w:hAnsi="Times New Roman" w:cs="Times New Roman"/>
          <w:noProof/>
        </w:rPr>
        <w:t xml:space="preserve"> sorted to produce enriched populations of astrocytes</w:t>
      </w:r>
      <w:r w:rsidR="00395F2E">
        <w:rPr>
          <w:rFonts w:ascii="Times New Roman" w:hAnsi="Times New Roman" w:cs="Times New Roman"/>
          <w:noProof/>
        </w:rPr>
        <w:t xml:space="preserve"> and LUHMES.</w:t>
      </w:r>
    </w:p>
    <w:p w14:paraId="1C28F4E8" w14:textId="027B2BEF" w:rsidR="00470FDB" w:rsidRDefault="00470FDB" w:rsidP="0052651A">
      <w:pPr>
        <w:pStyle w:val="ListParagraph"/>
        <w:numPr>
          <w:ilvl w:val="0"/>
          <w:numId w:val="7"/>
        </w:numPr>
        <w:jc w:val="both"/>
        <w:rPr>
          <w:rFonts w:ascii="Times New Roman" w:hAnsi="Times New Roman" w:cs="Times New Roman"/>
          <w:noProof/>
        </w:rPr>
      </w:pPr>
      <w:r>
        <w:rPr>
          <w:rFonts w:ascii="Times New Roman" w:hAnsi="Times New Roman" w:cs="Times New Roman"/>
          <w:noProof/>
        </w:rPr>
        <w:t>Gene expression profiling identified impairments in mitochondrial function and the antioxidant capacity of astrocytes following IGF1R loss</w:t>
      </w:r>
      <w:r w:rsidR="000528B9">
        <w:rPr>
          <w:rFonts w:ascii="Times New Roman" w:hAnsi="Times New Roman" w:cs="Times New Roman"/>
          <w:noProof/>
        </w:rPr>
        <w:t>.</w:t>
      </w:r>
    </w:p>
    <w:p w14:paraId="6CF300E9" w14:textId="66CFD900" w:rsidR="00470FDB" w:rsidRDefault="00AA115C" w:rsidP="0052651A">
      <w:pPr>
        <w:pStyle w:val="ListParagraph"/>
        <w:numPr>
          <w:ilvl w:val="0"/>
          <w:numId w:val="7"/>
        </w:numPr>
        <w:jc w:val="both"/>
        <w:rPr>
          <w:rFonts w:ascii="Times New Roman" w:hAnsi="Times New Roman" w:cs="Times New Roman"/>
          <w:noProof/>
        </w:rPr>
      </w:pPr>
      <w:r>
        <w:rPr>
          <w:rFonts w:ascii="Times New Roman" w:hAnsi="Times New Roman" w:cs="Times New Roman"/>
          <w:noProof/>
        </w:rPr>
        <w:t xml:space="preserve">Astrocytes upregulate genes involved in glycolysis following IGF1R loss, which may </w:t>
      </w:r>
      <w:r w:rsidR="00395F2E">
        <w:rPr>
          <w:rFonts w:ascii="Times New Roman" w:hAnsi="Times New Roman" w:cs="Times New Roman"/>
          <w:noProof/>
        </w:rPr>
        <w:t xml:space="preserve">be an indication of </w:t>
      </w:r>
      <w:r>
        <w:rPr>
          <w:rFonts w:ascii="Times New Roman" w:hAnsi="Times New Roman" w:cs="Times New Roman"/>
          <w:noProof/>
        </w:rPr>
        <w:t>com</w:t>
      </w:r>
      <w:r w:rsidR="00395F2E">
        <w:rPr>
          <w:rFonts w:ascii="Times New Roman" w:hAnsi="Times New Roman" w:cs="Times New Roman"/>
          <w:noProof/>
        </w:rPr>
        <w:t>pensation</w:t>
      </w:r>
      <w:r>
        <w:rPr>
          <w:rFonts w:ascii="Times New Roman" w:hAnsi="Times New Roman" w:cs="Times New Roman"/>
          <w:noProof/>
        </w:rPr>
        <w:t xml:space="preserve"> for mitochondrial energetic defects</w:t>
      </w:r>
      <w:r w:rsidR="00395F2E">
        <w:rPr>
          <w:rFonts w:ascii="Times New Roman" w:hAnsi="Times New Roman" w:cs="Times New Roman"/>
          <w:noProof/>
        </w:rPr>
        <w:t>.</w:t>
      </w:r>
    </w:p>
    <w:p w14:paraId="591E910C" w14:textId="341F1B83" w:rsidR="00D829F2" w:rsidRDefault="00D829F2" w:rsidP="0052651A">
      <w:pPr>
        <w:pStyle w:val="ListParagraph"/>
        <w:numPr>
          <w:ilvl w:val="0"/>
          <w:numId w:val="7"/>
        </w:numPr>
        <w:jc w:val="both"/>
        <w:rPr>
          <w:rFonts w:ascii="Times New Roman" w:hAnsi="Times New Roman" w:cs="Times New Roman"/>
          <w:noProof/>
        </w:rPr>
      </w:pPr>
      <w:r>
        <w:rPr>
          <w:rFonts w:ascii="Times New Roman" w:hAnsi="Times New Roman" w:cs="Times New Roman"/>
          <w:noProof/>
        </w:rPr>
        <w:t xml:space="preserve">Loss of IGF1R </w:t>
      </w:r>
      <w:r w:rsidR="00E7182D">
        <w:rPr>
          <w:rFonts w:ascii="Times New Roman" w:hAnsi="Times New Roman" w:cs="Times New Roman"/>
          <w:noProof/>
        </w:rPr>
        <w:t>in</w:t>
      </w:r>
      <w:r>
        <w:rPr>
          <w:rFonts w:ascii="Times New Roman" w:hAnsi="Times New Roman" w:cs="Times New Roman"/>
          <w:noProof/>
        </w:rPr>
        <w:t xml:space="preserve"> astrocytes </w:t>
      </w:r>
      <w:r w:rsidR="00E7182D">
        <w:rPr>
          <w:rFonts w:ascii="Times New Roman" w:hAnsi="Times New Roman" w:cs="Times New Roman"/>
          <w:noProof/>
        </w:rPr>
        <w:t>results in impaired</w:t>
      </w:r>
      <w:r>
        <w:rPr>
          <w:rFonts w:ascii="Times New Roman" w:hAnsi="Times New Roman" w:cs="Times New Roman"/>
          <w:noProof/>
        </w:rPr>
        <w:t xml:space="preserve"> NADH-dependent activity of complex I in astrocyte-neuron co</w:t>
      </w:r>
      <w:r w:rsidR="00D44A98">
        <w:rPr>
          <w:rFonts w:ascii="Times New Roman" w:hAnsi="Times New Roman" w:cs="Times New Roman"/>
          <w:noProof/>
        </w:rPr>
        <w:t>-culture</w:t>
      </w:r>
      <w:r w:rsidR="00E7182D">
        <w:rPr>
          <w:rFonts w:ascii="Times New Roman" w:hAnsi="Times New Roman" w:cs="Times New Roman"/>
          <w:noProof/>
        </w:rPr>
        <w:t>s</w:t>
      </w:r>
      <w:r w:rsidR="001D4D81">
        <w:rPr>
          <w:rFonts w:ascii="Times New Roman" w:hAnsi="Times New Roman" w:cs="Times New Roman"/>
          <w:noProof/>
        </w:rPr>
        <w:t>, possibly as a result of altered assembly of this complex.</w:t>
      </w:r>
    </w:p>
    <w:p w14:paraId="4EC3E3F0" w14:textId="4C0C4268" w:rsidR="001D4D81" w:rsidRDefault="001D4D81" w:rsidP="0052651A">
      <w:pPr>
        <w:pStyle w:val="ListParagraph"/>
        <w:numPr>
          <w:ilvl w:val="0"/>
          <w:numId w:val="7"/>
        </w:numPr>
        <w:jc w:val="both"/>
        <w:rPr>
          <w:rFonts w:ascii="Times New Roman" w:hAnsi="Times New Roman" w:cs="Times New Roman"/>
          <w:noProof/>
        </w:rPr>
      </w:pPr>
      <w:r>
        <w:rPr>
          <w:rFonts w:ascii="Times New Roman" w:hAnsi="Times New Roman" w:cs="Times New Roman"/>
          <w:noProof/>
        </w:rPr>
        <w:t>IGF1 signalling in astrocytes may regulate oxidative phosphorylation.</w:t>
      </w:r>
    </w:p>
    <w:p w14:paraId="1C6CCA8A" w14:textId="09086ED9" w:rsidR="00A769EE" w:rsidRPr="0093680A" w:rsidRDefault="00BE7461" w:rsidP="0052651A">
      <w:pPr>
        <w:pStyle w:val="ListParagraph"/>
        <w:numPr>
          <w:ilvl w:val="0"/>
          <w:numId w:val="7"/>
        </w:numPr>
        <w:jc w:val="both"/>
        <w:rPr>
          <w:rFonts w:ascii="Times New Roman" w:hAnsi="Times New Roman" w:cs="Times New Roman"/>
          <w:noProof/>
        </w:rPr>
      </w:pPr>
      <w:r>
        <w:rPr>
          <w:rFonts w:ascii="Times New Roman" w:hAnsi="Times New Roman" w:cs="Times New Roman"/>
          <w:noProof/>
        </w:rPr>
        <w:t xml:space="preserve">Changes in IGF1 signalling in astrocytes do not account for all of the transcriptomic changes observed in the Simpson </w:t>
      </w:r>
      <w:r>
        <w:rPr>
          <w:rFonts w:ascii="Times New Roman" w:hAnsi="Times New Roman" w:cs="Times New Roman"/>
          <w:i/>
          <w:noProof/>
        </w:rPr>
        <w:t xml:space="preserve">et al </w:t>
      </w:r>
      <w:r>
        <w:rPr>
          <w:rFonts w:ascii="Times New Roman" w:hAnsi="Times New Roman" w:cs="Times New Roman"/>
          <w:noProof/>
        </w:rPr>
        <w:t>(2011) study.</w:t>
      </w:r>
    </w:p>
    <w:p w14:paraId="106E94D7" w14:textId="77777777" w:rsidR="00385029" w:rsidRPr="00385029" w:rsidRDefault="00385029" w:rsidP="0052651A">
      <w:pPr>
        <w:jc w:val="both"/>
      </w:pPr>
      <w:bookmarkStart w:id="2402" w:name="_Toc328301216"/>
    </w:p>
    <w:p w14:paraId="3835FB10" w14:textId="77777777" w:rsidR="0078140D" w:rsidRPr="0078140D" w:rsidRDefault="0078140D" w:rsidP="0052651A">
      <w:pPr>
        <w:jc w:val="both"/>
      </w:pPr>
      <w:bookmarkStart w:id="2403" w:name="_Toc329593507"/>
    </w:p>
    <w:p w14:paraId="2BC7253B" w14:textId="77777777" w:rsidR="00803A60" w:rsidRDefault="00803A60" w:rsidP="00401292">
      <w:pPr>
        <w:pStyle w:val="Heading1"/>
        <w:rPr>
          <w:u w:val="none"/>
        </w:rPr>
      </w:pPr>
    </w:p>
    <w:p w14:paraId="11EC250C" w14:textId="77777777" w:rsidR="00803A60" w:rsidRDefault="00803A60" w:rsidP="00803A60"/>
    <w:p w14:paraId="2B560451" w14:textId="77777777" w:rsidR="00803A60" w:rsidRDefault="00803A60" w:rsidP="00803A60"/>
    <w:p w14:paraId="1DF071CB" w14:textId="77777777" w:rsidR="00803A60" w:rsidRDefault="00803A60" w:rsidP="00803A60"/>
    <w:p w14:paraId="2C4A2E79" w14:textId="77777777" w:rsidR="00803A60" w:rsidRDefault="00803A60" w:rsidP="00803A60"/>
    <w:p w14:paraId="34E59480" w14:textId="77777777" w:rsidR="00803A60" w:rsidRDefault="00803A60" w:rsidP="00803A60"/>
    <w:p w14:paraId="0F57103D" w14:textId="77777777" w:rsidR="005F57AB" w:rsidRDefault="005F57AB" w:rsidP="00803A60"/>
    <w:p w14:paraId="1A16A1B8" w14:textId="77777777" w:rsidR="005F57AB" w:rsidRDefault="005F57AB" w:rsidP="00803A60"/>
    <w:p w14:paraId="7146D41A" w14:textId="77777777" w:rsidR="005F57AB" w:rsidRDefault="005F57AB" w:rsidP="00803A60"/>
    <w:p w14:paraId="4543D57E" w14:textId="77777777" w:rsidR="005F57AB" w:rsidRDefault="005F57AB" w:rsidP="00803A60"/>
    <w:p w14:paraId="566219EA" w14:textId="77777777" w:rsidR="005F57AB" w:rsidRDefault="005F57AB" w:rsidP="00803A60"/>
    <w:p w14:paraId="0C89095E" w14:textId="77777777" w:rsidR="005F57AB" w:rsidRDefault="005F57AB" w:rsidP="00803A60"/>
    <w:p w14:paraId="00390915" w14:textId="77777777" w:rsidR="005F57AB" w:rsidRDefault="005F57AB" w:rsidP="00803A60"/>
    <w:p w14:paraId="271E2B5E" w14:textId="77777777" w:rsidR="005F57AB" w:rsidRDefault="005F57AB" w:rsidP="00803A60"/>
    <w:p w14:paraId="4B728C97" w14:textId="77777777" w:rsidR="005F57AB" w:rsidRDefault="005F57AB" w:rsidP="00803A60"/>
    <w:p w14:paraId="0488641C" w14:textId="77777777" w:rsidR="005F57AB" w:rsidRDefault="005F57AB" w:rsidP="00803A60"/>
    <w:p w14:paraId="667EC358" w14:textId="77777777" w:rsidR="00803A60" w:rsidRDefault="00803A60" w:rsidP="00803A60"/>
    <w:p w14:paraId="11BC2A8B" w14:textId="3E451FE2" w:rsidR="00FD1079" w:rsidRPr="00AA3E4D" w:rsidRDefault="0043060F" w:rsidP="00401292">
      <w:pPr>
        <w:pStyle w:val="Heading1"/>
      </w:pPr>
      <w:bookmarkStart w:id="2404" w:name="_Toc331426005"/>
      <w:bookmarkStart w:id="2405" w:name="_Toc331427177"/>
      <w:bookmarkStart w:id="2406" w:name="_Toc331427549"/>
      <w:bookmarkStart w:id="2407" w:name="_Toc331427691"/>
      <w:r w:rsidRPr="0043060F">
        <w:rPr>
          <w:u w:val="none"/>
        </w:rPr>
        <w:t xml:space="preserve">                             </w:t>
      </w:r>
      <w:r w:rsidRPr="007B2E88">
        <w:rPr>
          <w:u w:val="none"/>
        </w:rPr>
        <w:t xml:space="preserve"> </w:t>
      </w:r>
      <w:r w:rsidR="00FC11D8">
        <w:rPr>
          <w:u w:val="none"/>
        </w:rPr>
        <w:t xml:space="preserve">  </w:t>
      </w:r>
      <w:r w:rsidRPr="007B2E88">
        <w:rPr>
          <w:u w:val="none"/>
        </w:rPr>
        <w:t xml:space="preserve"> </w:t>
      </w:r>
      <w:bookmarkStart w:id="2408" w:name="_Toc332972696"/>
      <w:bookmarkStart w:id="2409" w:name="_Toc333046975"/>
      <w:bookmarkStart w:id="2410" w:name="_Toc333477322"/>
      <w:bookmarkStart w:id="2411" w:name="_Toc333478092"/>
      <w:bookmarkStart w:id="2412" w:name="_Toc333644992"/>
      <w:r w:rsidR="00FD1079" w:rsidRPr="00AA3E4D">
        <w:t>Chapter 6</w:t>
      </w:r>
      <w:bookmarkEnd w:id="2402"/>
      <w:bookmarkEnd w:id="2403"/>
      <w:bookmarkEnd w:id="2404"/>
      <w:bookmarkEnd w:id="2405"/>
      <w:bookmarkEnd w:id="2406"/>
      <w:bookmarkEnd w:id="2407"/>
      <w:bookmarkEnd w:id="2408"/>
      <w:bookmarkEnd w:id="2409"/>
      <w:bookmarkEnd w:id="2410"/>
      <w:bookmarkEnd w:id="2411"/>
      <w:bookmarkEnd w:id="2412"/>
      <w:r w:rsidR="00FD1079" w:rsidRPr="00AA3E4D">
        <w:t xml:space="preserve"> </w:t>
      </w:r>
    </w:p>
    <w:p w14:paraId="251C663C" w14:textId="7CE50786" w:rsidR="00FD1079" w:rsidRPr="00AA3E4D" w:rsidRDefault="00AA3E4D" w:rsidP="009019CE">
      <w:pPr>
        <w:pStyle w:val="Heading1"/>
      </w:pPr>
      <w:r w:rsidRPr="009019CE">
        <w:rPr>
          <w:u w:val="none"/>
        </w:rPr>
        <w:t xml:space="preserve">                             </w:t>
      </w:r>
      <w:r w:rsidR="0062151E">
        <w:rPr>
          <w:u w:val="none"/>
        </w:rPr>
        <w:t xml:space="preserve"> </w:t>
      </w:r>
      <w:r w:rsidR="00FC11D8">
        <w:rPr>
          <w:u w:val="none"/>
        </w:rPr>
        <w:t xml:space="preserve"> </w:t>
      </w:r>
      <w:r w:rsidRPr="009019CE">
        <w:rPr>
          <w:u w:val="none"/>
        </w:rPr>
        <w:t xml:space="preserve"> </w:t>
      </w:r>
      <w:bookmarkStart w:id="2413" w:name="_Toc328301217"/>
      <w:bookmarkStart w:id="2414" w:name="_Toc329593508"/>
      <w:bookmarkStart w:id="2415" w:name="_Toc331426006"/>
      <w:bookmarkStart w:id="2416" w:name="_Toc331427178"/>
      <w:bookmarkStart w:id="2417" w:name="_Toc331427550"/>
      <w:bookmarkStart w:id="2418" w:name="_Toc331427692"/>
      <w:bookmarkStart w:id="2419" w:name="_Toc332972697"/>
      <w:bookmarkStart w:id="2420" w:name="_Toc333046976"/>
      <w:bookmarkStart w:id="2421" w:name="_Toc333477323"/>
      <w:bookmarkStart w:id="2422" w:name="_Toc333478093"/>
      <w:bookmarkStart w:id="2423" w:name="_Toc333644993"/>
      <w:r w:rsidR="00FD1079" w:rsidRPr="00AA3E4D">
        <w:t>Discussion</w:t>
      </w:r>
      <w:bookmarkEnd w:id="2413"/>
      <w:bookmarkEnd w:id="2414"/>
      <w:bookmarkEnd w:id="2415"/>
      <w:bookmarkEnd w:id="2416"/>
      <w:bookmarkEnd w:id="2417"/>
      <w:bookmarkEnd w:id="2418"/>
      <w:bookmarkEnd w:id="2419"/>
      <w:bookmarkEnd w:id="2420"/>
      <w:bookmarkEnd w:id="2421"/>
      <w:bookmarkEnd w:id="2422"/>
      <w:bookmarkEnd w:id="2423"/>
    </w:p>
    <w:p w14:paraId="3894E6E8" w14:textId="77777777" w:rsidR="00FD1079" w:rsidRDefault="00FD1079" w:rsidP="00FD1079">
      <w:pPr>
        <w:spacing w:line="360" w:lineRule="auto"/>
        <w:rPr>
          <w:rFonts w:ascii="Times New Roman" w:hAnsi="Times New Roman" w:cs="Times New Roman"/>
          <w:b/>
          <w:sz w:val="28"/>
          <w:szCs w:val="28"/>
        </w:rPr>
      </w:pPr>
    </w:p>
    <w:p w14:paraId="7F882C8D" w14:textId="77777777" w:rsidR="00455FE9" w:rsidRDefault="00455FE9" w:rsidP="00455FE9">
      <w:pPr>
        <w:pStyle w:val="Heading2"/>
      </w:pPr>
      <w:bookmarkStart w:id="2424" w:name="_Toc329593509"/>
      <w:bookmarkStart w:id="2425" w:name="_Toc331426007"/>
      <w:bookmarkStart w:id="2426" w:name="_Toc331427179"/>
      <w:bookmarkStart w:id="2427" w:name="_Toc331427551"/>
      <w:bookmarkStart w:id="2428" w:name="_Toc331427693"/>
      <w:bookmarkStart w:id="2429" w:name="_Toc332972698"/>
      <w:bookmarkStart w:id="2430" w:name="_Toc333046977"/>
      <w:bookmarkStart w:id="2431" w:name="_Toc333477324"/>
      <w:bookmarkStart w:id="2432" w:name="_Toc333478094"/>
      <w:bookmarkStart w:id="2433" w:name="_Toc333644994"/>
      <w:r>
        <w:t>6.1 Introduction</w:t>
      </w:r>
      <w:bookmarkEnd w:id="2424"/>
      <w:bookmarkEnd w:id="2425"/>
      <w:bookmarkEnd w:id="2426"/>
      <w:bookmarkEnd w:id="2427"/>
      <w:bookmarkEnd w:id="2428"/>
      <w:bookmarkEnd w:id="2429"/>
      <w:bookmarkEnd w:id="2430"/>
      <w:bookmarkEnd w:id="2431"/>
      <w:bookmarkEnd w:id="2432"/>
      <w:bookmarkEnd w:id="2433"/>
    </w:p>
    <w:p w14:paraId="688D1674" w14:textId="26222B5D" w:rsidR="0093328C" w:rsidRDefault="0095705B" w:rsidP="00455FE9">
      <w:pPr>
        <w:pStyle w:val="Heading2"/>
      </w:pPr>
      <w:r>
        <w:t xml:space="preserve"> </w:t>
      </w:r>
    </w:p>
    <w:p w14:paraId="7F474FE8" w14:textId="5720F4B6" w:rsidR="0010354C" w:rsidRDefault="0095705B" w:rsidP="0052651A">
      <w:pPr>
        <w:spacing w:line="360" w:lineRule="auto"/>
        <w:jc w:val="both"/>
        <w:rPr>
          <w:rFonts w:ascii="Times New Roman" w:hAnsi="Times New Roman" w:cs="Times New Roman"/>
        </w:rPr>
      </w:pPr>
      <w:r>
        <w:rPr>
          <w:rFonts w:ascii="Times New Roman" w:hAnsi="Times New Roman" w:cs="Times New Roman"/>
        </w:rPr>
        <w:t>The principal aim of this</w:t>
      </w:r>
      <w:r w:rsidR="009B19E5">
        <w:rPr>
          <w:rFonts w:ascii="Times New Roman" w:hAnsi="Times New Roman" w:cs="Times New Roman"/>
        </w:rPr>
        <w:t xml:space="preserve"> study</w:t>
      </w:r>
      <w:r w:rsidR="00FD1079" w:rsidRPr="00F66022">
        <w:rPr>
          <w:rFonts w:ascii="Times New Roman" w:hAnsi="Times New Roman" w:cs="Times New Roman"/>
        </w:rPr>
        <w:t xml:space="preserve"> </w:t>
      </w:r>
      <w:r>
        <w:rPr>
          <w:rFonts w:ascii="Times New Roman" w:hAnsi="Times New Roman" w:cs="Times New Roman"/>
        </w:rPr>
        <w:t>was</w:t>
      </w:r>
      <w:r w:rsidR="0010354C">
        <w:rPr>
          <w:rFonts w:ascii="Times New Roman" w:hAnsi="Times New Roman" w:cs="Times New Roman"/>
        </w:rPr>
        <w:t xml:space="preserve"> to investigate the impact of impaired </w:t>
      </w:r>
      <w:r w:rsidR="009C6531" w:rsidRPr="00F66022">
        <w:rPr>
          <w:rFonts w:ascii="Times New Roman" w:hAnsi="Times New Roman" w:cs="Times New Roman"/>
        </w:rPr>
        <w:t xml:space="preserve">IGF1 signalling </w:t>
      </w:r>
      <w:r w:rsidR="0010354C">
        <w:rPr>
          <w:rFonts w:ascii="Times New Roman" w:hAnsi="Times New Roman" w:cs="Times New Roman"/>
        </w:rPr>
        <w:t>on human astrocyte</w:t>
      </w:r>
      <w:r w:rsidR="009C6531" w:rsidRPr="00F66022">
        <w:rPr>
          <w:rFonts w:ascii="Times New Roman" w:hAnsi="Times New Roman" w:cs="Times New Roman"/>
        </w:rPr>
        <w:t xml:space="preserve"> function and whether th</w:t>
      </w:r>
      <w:r w:rsidR="007863EF">
        <w:rPr>
          <w:rFonts w:ascii="Times New Roman" w:hAnsi="Times New Roman" w:cs="Times New Roman"/>
        </w:rPr>
        <w:t>is</w:t>
      </w:r>
      <w:r w:rsidR="0010354C">
        <w:rPr>
          <w:rFonts w:ascii="Times New Roman" w:hAnsi="Times New Roman" w:cs="Times New Roman"/>
        </w:rPr>
        <w:t xml:space="preserve"> impairment affects</w:t>
      </w:r>
      <w:r w:rsidR="007863EF">
        <w:rPr>
          <w:rFonts w:ascii="Times New Roman" w:hAnsi="Times New Roman" w:cs="Times New Roman"/>
        </w:rPr>
        <w:t xml:space="preserve"> neuronal support. </w:t>
      </w:r>
      <w:r w:rsidR="0010354C">
        <w:rPr>
          <w:rFonts w:ascii="Times New Roman" w:hAnsi="Times New Roman" w:cs="Times New Roman"/>
        </w:rPr>
        <w:t>Impairments in astrocytic IGF1 signalling have been described in AD brain and therefore understanding the impact this has on astrocytic function is impor</w:t>
      </w:r>
      <w:r w:rsidR="001433F4">
        <w:rPr>
          <w:rFonts w:ascii="Times New Roman" w:hAnsi="Times New Roman" w:cs="Times New Roman"/>
        </w:rPr>
        <w:t>tant in further understanding</w:t>
      </w:r>
      <w:r w:rsidR="0010354C">
        <w:rPr>
          <w:rFonts w:ascii="Times New Roman" w:hAnsi="Times New Roman" w:cs="Times New Roman"/>
        </w:rPr>
        <w:t xml:space="preserve"> the process</w:t>
      </w:r>
      <w:r w:rsidR="001433F4">
        <w:rPr>
          <w:rFonts w:ascii="Times New Roman" w:hAnsi="Times New Roman" w:cs="Times New Roman"/>
        </w:rPr>
        <w:t>es that underly</w:t>
      </w:r>
      <w:r w:rsidR="0010354C">
        <w:rPr>
          <w:rFonts w:ascii="Times New Roman" w:hAnsi="Times New Roman" w:cs="Times New Roman"/>
        </w:rPr>
        <w:t xml:space="preserve"> the pathogenesis of this disease.</w:t>
      </w:r>
    </w:p>
    <w:p w14:paraId="5D0912F1" w14:textId="77777777" w:rsidR="00445AC0" w:rsidRDefault="003A0947" w:rsidP="0052651A">
      <w:pPr>
        <w:spacing w:line="360" w:lineRule="auto"/>
        <w:jc w:val="both"/>
        <w:rPr>
          <w:rFonts w:ascii="Times New Roman" w:hAnsi="Times New Roman" w:cs="Times New Roman"/>
        </w:rPr>
      </w:pPr>
      <w:r>
        <w:rPr>
          <w:rFonts w:ascii="Times New Roman" w:hAnsi="Times New Roman" w:cs="Times New Roman"/>
        </w:rPr>
        <w:t xml:space="preserve"> </w:t>
      </w:r>
    </w:p>
    <w:p w14:paraId="1C87F850" w14:textId="4028873C" w:rsidR="007863EF" w:rsidRDefault="009B19E5" w:rsidP="0052651A">
      <w:pPr>
        <w:spacing w:line="360" w:lineRule="auto"/>
        <w:jc w:val="both"/>
        <w:rPr>
          <w:rFonts w:ascii="Times New Roman" w:hAnsi="Times New Roman" w:cs="Times New Roman"/>
        </w:rPr>
      </w:pPr>
      <w:r>
        <w:rPr>
          <w:rFonts w:ascii="Times New Roman" w:hAnsi="Times New Roman" w:cs="Times New Roman"/>
        </w:rPr>
        <w:t xml:space="preserve">To address this question, an </w:t>
      </w:r>
      <w:r>
        <w:rPr>
          <w:rFonts w:ascii="Times New Roman" w:hAnsi="Times New Roman" w:cs="Times New Roman"/>
          <w:i/>
        </w:rPr>
        <w:t>in vitro</w:t>
      </w:r>
      <w:r>
        <w:rPr>
          <w:rFonts w:ascii="Times New Roman" w:hAnsi="Times New Roman" w:cs="Times New Roman"/>
        </w:rPr>
        <w:t xml:space="preserve"> model of IGF1R impairment was generated in human </w:t>
      </w:r>
      <w:r w:rsidR="00B60E0E">
        <w:rPr>
          <w:rFonts w:ascii="Times New Roman" w:hAnsi="Times New Roman" w:cs="Times New Roman"/>
        </w:rPr>
        <w:t>astrocytes. Changes to astrocytic</w:t>
      </w:r>
      <w:r>
        <w:rPr>
          <w:rFonts w:ascii="Times New Roman" w:hAnsi="Times New Roman" w:cs="Times New Roman"/>
        </w:rPr>
        <w:t xml:space="preserve"> function were then </w:t>
      </w:r>
      <w:r w:rsidR="007863EF">
        <w:rPr>
          <w:rFonts w:ascii="Times New Roman" w:hAnsi="Times New Roman" w:cs="Times New Roman"/>
        </w:rPr>
        <w:t xml:space="preserve">assessed in monoculture and a co-culture system was developed with human neurons to further </w:t>
      </w:r>
      <w:r w:rsidR="0010354C">
        <w:rPr>
          <w:rFonts w:ascii="Times New Roman" w:hAnsi="Times New Roman" w:cs="Times New Roman"/>
        </w:rPr>
        <w:t xml:space="preserve">identify how impaired </w:t>
      </w:r>
      <w:r w:rsidR="007863EF">
        <w:rPr>
          <w:rFonts w:ascii="Times New Roman" w:hAnsi="Times New Roman" w:cs="Times New Roman"/>
        </w:rPr>
        <w:t>IGF1 signalling in astrocytes affect</w:t>
      </w:r>
      <w:r w:rsidR="0010354C">
        <w:rPr>
          <w:rFonts w:ascii="Times New Roman" w:hAnsi="Times New Roman" w:cs="Times New Roman"/>
        </w:rPr>
        <w:t>s</w:t>
      </w:r>
      <w:r w:rsidR="007863EF">
        <w:rPr>
          <w:rFonts w:ascii="Times New Roman" w:hAnsi="Times New Roman" w:cs="Times New Roman"/>
        </w:rPr>
        <w:t xml:space="preserve"> neuronal support. The transcriptomic profile of IGF1R impaired astr</w:t>
      </w:r>
      <w:r w:rsidR="00047A60">
        <w:rPr>
          <w:rFonts w:ascii="Times New Roman" w:hAnsi="Times New Roman" w:cs="Times New Roman"/>
        </w:rPr>
        <w:t>ocytes isolated from co-culture</w:t>
      </w:r>
      <w:r w:rsidR="00B60E0E">
        <w:rPr>
          <w:rFonts w:ascii="Times New Roman" w:hAnsi="Times New Roman" w:cs="Times New Roman"/>
        </w:rPr>
        <w:t xml:space="preserve"> was</w:t>
      </w:r>
      <w:r w:rsidR="0010354C">
        <w:rPr>
          <w:rFonts w:ascii="Times New Roman" w:hAnsi="Times New Roman" w:cs="Times New Roman"/>
        </w:rPr>
        <w:t xml:space="preserve"> also</w:t>
      </w:r>
      <w:r w:rsidR="007863EF">
        <w:rPr>
          <w:rFonts w:ascii="Times New Roman" w:hAnsi="Times New Roman" w:cs="Times New Roman"/>
        </w:rPr>
        <w:t xml:space="preserve"> investigated. </w:t>
      </w:r>
    </w:p>
    <w:p w14:paraId="43624FBC" w14:textId="77777777" w:rsidR="00455FE9" w:rsidRDefault="00455FE9" w:rsidP="0052651A">
      <w:pPr>
        <w:spacing w:line="360" w:lineRule="auto"/>
        <w:jc w:val="both"/>
        <w:rPr>
          <w:rFonts w:ascii="Times New Roman" w:hAnsi="Times New Roman" w:cs="Times New Roman"/>
        </w:rPr>
      </w:pPr>
    </w:p>
    <w:p w14:paraId="73F9C94C" w14:textId="07E6584B" w:rsidR="00455FE9" w:rsidRDefault="00455FE9" w:rsidP="0052651A">
      <w:pPr>
        <w:pStyle w:val="Heading2"/>
        <w:jc w:val="both"/>
      </w:pPr>
      <w:bookmarkStart w:id="2434" w:name="_Toc329593510"/>
      <w:bookmarkStart w:id="2435" w:name="_Toc331426008"/>
      <w:bookmarkStart w:id="2436" w:name="_Toc331427180"/>
      <w:bookmarkStart w:id="2437" w:name="_Toc331427552"/>
      <w:bookmarkStart w:id="2438" w:name="_Toc331427694"/>
      <w:bookmarkStart w:id="2439" w:name="_Toc332972699"/>
      <w:bookmarkStart w:id="2440" w:name="_Toc333046978"/>
      <w:bookmarkStart w:id="2441" w:name="_Toc333477325"/>
      <w:bookmarkStart w:id="2442" w:name="_Toc333478095"/>
      <w:bookmarkStart w:id="2443" w:name="_Toc333644995"/>
      <w:r>
        <w:t>6.2 Summary of main findings</w:t>
      </w:r>
      <w:bookmarkEnd w:id="2434"/>
      <w:bookmarkEnd w:id="2435"/>
      <w:bookmarkEnd w:id="2436"/>
      <w:bookmarkEnd w:id="2437"/>
      <w:bookmarkEnd w:id="2438"/>
      <w:bookmarkEnd w:id="2439"/>
      <w:bookmarkEnd w:id="2440"/>
      <w:bookmarkEnd w:id="2441"/>
      <w:bookmarkEnd w:id="2442"/>
      <w:bookmarkEnd w:id="2443"/>
    </w:p>
    <w:p w14:paraId="6C64A655" w14:textId="77777777" w:rsidR="00455FE9" w:rsidRDefault="00455FE9" w:rsidP="00455FE9"/>
    <w:p w14:paraId="04F367D9" w14:textId="1D761C79" w:rsidR="0010354C" w:rsidRPr="0010354C" w:rsidRDefault="0010354C" w:rsidP="00455FE9">
      <w:pPr>
        <w:rPr>
          <w:rFonts w:ascii="Times New Roman" w:hAnsi="Times New Roman" w:cs="Times New Roman"/>
        </w:rPr>
      </w:pPr>
      <w:r w:rsidRPr="0010354C">
        <w:rPr>
          <w:rFonts w:ascii="Times New Roman" w:hAnsi="Times New Roman" w:cs="Times New Roman"/>
        </w:rPr>
        <w:t>In summary the main findings were:</w:t>
      </w:r>
    </w:p>
    <w:p w14:paraId="08E39274" w14:textId="77777777" w:rsidR="0010354C" w:rsidRPr="00455FE9" w:rsidRDefault="0010354C" w:rsidP="0052651A">
      <w:pPr>
        <w:jc w:val="both"/>
      </w:pPr>
    </w:p>
    <w:p w14:paraId="50AC6836" w14:textId="572F0780" w:rsidR="00455FE9" w:rsidRPr="00553FA7" w:rsidRDefault="00455FE9" w:rsidP="0052651A">
      <w:pPr>
        <w:pStyle w:val="ListParagraph"/>
        <w:numPr>
          <w:ilvl w:val="0"/>
          <w:numId w:val="13"/>
        </w:numPr>
        <w:jc w:val="both"/>
        <w:rPr>
          <w:rFonts w:ascii="Times New Roman" w:hAnsi="Times New Roman" w:cs="Times New Roman"/>
          <w:b/>
        </w:rPr>
      </w:pPr>
      <w:r>
        <w:rPr>
          <w:rFonts w:ascii="Times New Roman" w:hAnsi="Times New Roman" w:cs="Times New Roman"/>
        </w:rPr>
        <w:t xml:space="preserve">IGF1 signalling proteins are present in </w:t>
      </w:r>
      <w:r w:rsidR="004C70A5">
        <w:rPr>
          <w:rFonts w:ascii="Times New Roman" w:hAnsi="Times New Roman" w:cs="Times New Roman"/>
        </w:rPr>
        <w:t xml:space="preserve">human </w:t>
      </w:r>
      <w:r>
        <w:rPr>
          <w:rFonts w:ascii="Times New Roman" w:hAnsi="Times New Roman" w:cs="Times New Roman"/>
        </w:rPr>
        <w:t xml:space="preserve">astrocytes </w:t>
      </w:r>
      <w:r>
        <w:rPr>
          <w:rFonts w:ascii="Times New Roman" w:hAnsi="Times New Roman" w:cs="Times New Roman"/>
          <w:i/>
        </w:rPr>
        <w:t>in vitro</w:t>
      </w:r>
      <w:r>
        <w:rPr>
          <w:rFonts w:ascii="Times New Roman" w:hAnsi="Times New Roman" w:cs="Times New Roman"/>
        </w:rPr>
        <w:t xml:space="preserve"> and in human brain tissue. Functional IGF1 signalling was demonstrated in astrocytes </w:t>
      </w:r>
      <w:r>
        <w:rPr>
          <w:rFonts w:ascii="Times New Roman" w:hAnsi="Times New Roman" w:cs="Times New Roman"/>
          <w:i/>
        </w:rPr>
        <w:t>in vitro</w:t>
      </w:r>
      <w:r w:rsidR="0010354C">
        <w:rPr>
          <w:rFonts w:ascii="Times New Roman" w:hAnsi="Times New Roman" w:cs="Times New Roman"/>
          <w:i/>
        </w:rPr>
        <w:t>.</w:t>
      </w:r>
    </w:p>
    <w:p w14:paraId="0126C659" w14:textId="5A410049" w:rsidR="00455FE9" w:rsidRPr="003B6BCA" w:rsidRDefault="0010354C" w:rsidP="0052651A">
      <w:pPr>
        <w:pStyle w:val="ListParagraph"/>
        <w:numPr>
          <w:ilvl w:val="0"/>
          <w:numId w:val="12"/>
        </w:numPr>
        <w:jc w:val="both"/>
        <w:rPr>
          <w:rFonts w:ascii="Times New Roman" w:hAnsi="Times New Roman" w:cs="Times New Roman"/>
          <w:b/>
        </w:rPr>
      </w:pPr>
      <w:r>
        <w:rPr>
          <w:rFonts w:ascii="Times New Roman" w:hAnsi="Times New Roman" w:cs="Times New Roman"/>
        </w:rPr>
        <w:t xml:space="preserve">A monoclonal antibody against IGF1R, </w:t>
      </w:r>
      <w:r w:rsidR="00455FE9">
        <w:rPr>
          <w:rFonts w:ascii="Times New Roman" w:hAnsi="Times New Roman" w:cs="Times New Roman"/>
        </w:rPr>
        <w:t>MAB391</w:t>
      </w:r>
      <w:r>
        <w:rPr>
          <w:rFonts w:ascii="Times New Roman" w:hAnsi="Times New Roman" w:cs="Times New Roman"/>
        </w:rPr>
        <w:t>,</w:t>
      </w:r>
      <w:r w:rsidR="00455FE9">
        <w:rPr>
          <w:rFonts w:ascii="Times New Roman" w:hAnsi="Times New Roman" w:cs="Times New Roman"/>
        </w:rPr>
        <w:t xml:space="preserve"> can be used to </w:t>
      </w:r>
      <w:r>
        <w:rPr>
          <w:rFonts w:ascii="Times New Roman" w:hAnsi="Times New Roman" w:cs="Times New Roman"/>
        </w:rPr>
        <w:t>reduce</w:t>
      </w:r>
      <w:r w:rsidR="00455FE9">
        <w:rPr>
          <w:rFonts w:ascii="Times New Roman" w:hAnsi="Times New Roman" w:cs="Times New Roman"/>
        </w:rPr>
        <w:t xml:space="preserve"> IGF1R levels in human astrocytes</w:t>
      </w:r>
      <w:r w:rsidR="009334A5">
        <w:rPr>
          <w:rFonts w:ascii="Times New Roman" w:hAnsi="Times New Roman" w:cs="Times New Roman"/>
        </w:rPr>
        <w:t xml:space="preserve"> however this does not necessarily confer reduced signalling downstream through Akt</w:t>
      </w:r>
      <w:r>
        <w:rPr>
          <w:rFonts w:ascii="Times New Roman" w:hAnsi="Times New Roman" w:cs="Times New Roman"/>
        </w:rPr>
        <w:t>.</w:t>
      </w:r>
    </w:p>
    <w:p w14:paraId="12C1AFEF" w14:textId="1856F213" w:rsidR="00455FE9" w:rsidRPr="00135CEB" w:rsidRDefault="0010354C" w:rsidP="0052651A">
      <w:pPr>
        <w:pStyle w:val="ListParagraph"/>
        <w:numPr>
          <w:ilvl w:val="0"/>
          <w:numId w:val="12"/>
        </w:numPr>
        <w:jc w:val="both"/>
        <w:rPr>
          <w:rFonts w:ascii="Times New Roman" w:hAnsi="Times New Roman" w:cs="Times New Roman"/>
          <w:b/>
        </w:rPr>
      </w:pPr>
      <w:r>
        <w:rPr>
          <w:rFonts w:ascii="Times New Roman" w:hAnsi="Times New Roman" w:cs="Times New Roman"/>
        </w:rPr>
        <w:t xml:space="preserve">There is no obvious impact of reduced IGF1R on astrocytic phenotype. (astrocyte morphology, cell viability, GFAP levels, </w:t>
      </w:r>
      <w:r w:rsidR="00455FE9">
        <w:rPr>
          <w:rFonts w:ascii="Times New Roman" w:hAnsi="Times New Roman" w:cs="Times New Roman"/>
        </w:rPr>
        <w:t>γH2AX</w:t>
      </w:r>
      <w:r>
        <w:rPr>
          <w:rFonts w:ascii="Times New Roman" w:hAnsi="Times New Roman" w:cs="Times New Roman"/>
        </w:rPr>
        <w:t xml:space="preserve"> expression, ROS levels).</w:t>
      </w:r>
    </w:p>
    <w:p w14:paraId="7C7849E5" w14:textId="16B13468" w:rsidR="00455FE9" w:rsidRPr="009334A5" w:rsidRDefault="00455FE9" w:rsidP="009334A5">
      <w:pPr>
        <w:pStyle w:val="ListParagraph"/>
        <w:numPr>
          <w:ilvl w:val="0"/>
          <w:numId w:val="12"/>
        </w:numPr>
        <w:jc w:val="both"/>
        <w:rPr>
          <w:rFonts w:ascii="Times New Roman" w:hAnsi="Times New Roman" w:cs="Times New Roman"/>
          <w:b/>
        </w:rPr>
      </w:pPr>
      <w:r>
        <w:rPr>
          <w:rFonts w:ascii="Times New Roman" w:hAnsi="Times New Roman" w:cs="Times New Roman"/>
        </w:rPr>
        <w:t>Human astrocytes and LU</w:t>
      </w:r>
      <w:r w:rsidR="0010354C">
        <w:rPr>
          <w:rFonts w:ascii="Times New Roman" w:hAnsi="Times New Roman" w:cs="Times New Roman"/>
        </w:rPr>
        <w:t>HMES can be co-cultured</w:t>
      </w:r>
      <w:r>
        <w:rPr>
          <w:rFonts w:ascii="Times New Roman" w:hAnsi="Times New Roman" w:cs="Times New Roman"/>
        </w:rPr>
        <w:t>, with networks of LUHMES being</w:t>
      </w:r>
      <w:r w:rsidR="0010354C">
        <w:rPr>
          <w:rFonts w:ascii="Times New Roman" w:hAnsi="Times New Roman" w:cs="Times New Roman"/>
        </w:rPr>
        <w:t xml:space="preserve"> supported by astrocytes.</w:t>
      </w:r>
      <w:r w:rsidR="009334A5">
        <w:rPr>
          <w:rFonts w:ascii="Times New Roman" w:hAnsi="Times New Roman" w:cs="Times New Roman"/>
        </w:rPr>
        <w:t xml:space="preserve"> </w:t>
      </w:r>
      <w:r w:rsidR="0010354C" w:rsidRPr="009334A5">
        <w:rPr>
          <w:rFonts w:ascii="Times New Roman" w:hAnsi="Times New Roman" w:cs="Times New Roman"/>
        </w:rPr>
        <w:t>Expression of</w:t>
      </w:r>
      <w:r w:rsidRPr="009334A5">
        <w:rPr>
          <w:rFonts w:ascii="Times New Roman" w:hAnsi="Times New Roman" w:cs="Times New Roman"/>
        </w:rPr>
        <w:t xml:space="preserve"> GFAP and C</w:t>
      </w:r>
      <w:r w:rsidR="00086871" w:rsidRPr="009334A5">
        <w:rPr>
          <w:rFonts w:ascii="Times New Roman" w:hAnsi="Times New Roman" w:cs="Times New Roman"/>
        </w:rPr>
        <w:t>x</w:t>
      </w:r>
      <w:r w:rsidRPr="009334A5">
        <w:rPr>
          <w:rFonts w:ascii="Times New Roman" w:hAnsi="Times New Roman" w:cs="Times New Roman"/>
        </w:rPr>
        <w:t xml:space="preserve">43 </w:t>
      </w:r>
      <w:r w:rsidR="0010354C" w:rsidRPr="009334A5">
        <w:rPr>
          <w:rFonts w:ascii="Times New Roman" w:hAnsi="Times New Roman" w:cs="Times New Roman"/>
        </w:rPr>
        <w:t xml:space="preserve">is altered </w:t>
      </w:r>
      <w:r w:rsidRPr="009334A5">
        <w:rPr>
          <w:rFonts w:ascii="Times New Roman" w:hAnsi="Times New Roman" w:cs="Times New Roman"/>
        </w:rPr>
        <w:t>in</w:t>
      </w:r>
      <w:r w:rsidR="009334A5">
        <w:rPr>
          <w:rFonts w:ascii="Times New Roman" w:hAnsi="Times New Roman" w:cs="Times New Roman"/>
        </w:rPr>
        <w:t xml:space="preserve"> co-cultured</w:t>
      </w:r>
      <w:r w:rsidRPr="009334A5">
        <w:rPr>
          <w:rFonts w:ascii="Times New Roman" w:hAnsi="Times New Roman" w:cs="Times New Roman"/>
        </w:rPr>
        <w:t xml:space="preserve"> astrocytes</w:t>
      </w:r>
      <w:r w:rsidR="0010354C" w:rsidRPr="009334A5">
        <w:rPr>
          <w:rFonts w:ascii="Times New Roman" w:hAnsi="Times New Roman" w:cs="Times New Roman"/>
        </w:rPr>
        <w:t xml:space="preserve">, </w:t>
      </w:r>
      <w:r w:rsidR="002850FF" w:rsidRPr="009334A5">
        <w:rPr>
          <w:rFonts w:ascii="Times New Roman" w:hAnsi="Times New Roman" w:cs="Times New Roman"/>
        </w:rPr>
        <w:t>suggesting</w:t>
      </w:r>
      <w:r w:rsidR="0010354C" w:rsidRPr="009334A5">
        <w:rPr>
          <w:rFonts w:ascii="Times New Roman" w:hAnsi="Times New Roman" w:cs="Times New Roman"/>
        </w:rPr>
        <w:t xml:space="preserve"> a change in astrocyte function when in contact with neurons.</w:t>
      </w:r>
      <w:r w:rsidRPr="009334A5">
        <w:rPr>
          <w:rFonts w:ascii="Times New Roman" w:hAnsi="Times New Roman" w:cs="Times New Roman"/>
        </w:rPr>
        <w:t xml:space="preserve"> </w:t>
      </w:r>
    </w:p>
    <w:p w14:paraId="2DB7CF80" w14:textId="0CE49A3D" w:rsidR="00455FE9" w:rsidRPr="00135CEB" w:rsidRDefault="00455FE9" w:rsidP="0052651A">
      <w:pPr>
        <w:pStyle w:val="ListParagraph"/>
        <w:numPr>
          <w:ilvl w:val="0"/>
          <w:numId w:val="12"/>
        </w:numPr>
        <w:jc w:val="both"/>
        <w:rPr>
          <w:rFonts w:ascii="Times New Roman" w:hAnsi="Times New Roman" w:cs="Times New Roman"/>
          <w:b/>
        </w:rPr>
      </w:pPr>
      <w:r>
        <w:rPr>
          <w:rFonts w:ascii="Times New Roman" w:hAnsi="Times New Roman" w:cs="Times New Roman"/>
        </w:rPr>
        <w:t>Astrocytes enhance neurite outgrowth in a contact-dependent manner</w:t>
      </w:r>
      <w:r w:rsidR="009334A5">
        <w:rPr>
          <w:rFonts w:ascii="Times New Roman" w:hAnsi="Times New Roman" w:cs="Times New Roman"/>
        </w:rPr>
        <w:t>.</w:t>
      </w:r>
    </w:p>
    <w:p w14:paraId="3C60747C" w14:textId="16E45839" w:rsidR="0010354C" w:rsidRPr="0010354C" w:rsidRDefault="00455FE9" w:rsidP="0052651A">
      <w:pPr>
        <w:pStyle w:val="ListParagraph"/>
        <w:numPr>
          <w:ilvl w:val="0"/>
          <w:numId w:val="12"/>
        </w:numPr>
        <w:jc w:val="both"/>
        <w:rPr>
          <w:rFonts w:ascii="Times New Roman" w:hAnsi="Times New Roman" w:cs="Times New Roman"/>
          <w:b/>
        </w:rPr>
      </w:pPr>
      <w:r>
        <w:rPr>
          <w:rFonts w:ascii="Times New Roman" w:hAnsi="Times New Roman" w:cs="Times New Roman"/>
        </w:rPr>
        <w:t>Loss of</w:t>
      </w:r>
      <w:r w:rsidR="0010354C">
        <w:rPr>
          <w:rFonts w:ascii="Times New Roman" w:hAnsi="Times New Roman" w:cs="Times New Roman"/>
        </w:rPr>
        <w:t xml:space="preserve"> astrocytic</w:t>
      </w:r>
      <w:r>
        <w:rPr>
          <w:rFonts w:ascii="Times New Roman" w:hAnsi="Times New Roman" w:cs="Times New Roman"/>
        </w:rPr>
        <w:t xml:space="preserve"> IGF1R does not impair neurite outgrowth</w:t>
      </w:r>
      <w:r w:rsidR="009334A5">
        <w:rPr>
          <w:rFonts w:ascii="Times New Roman" w:hAnsi="Times New Roman" w:cs="Times New Roman"/>
        </w:rPr>
        <w:t xml:space="preserve"> but inhibition of </w:t>
      </w:r>
    </w:p>
    <w:p w14:paraId="7FA03E55" w14:textId="6BFB8842" w:rsidR="00455FE9" w:rsidRPr="00135CEB" w:rsidRDefault="004C70A5" w:rsidP="009334A5">
      <w:pPr>
        <w:pStyle w:val="ListParagraph"/>
        <w:jc w:val="both"/>
        <w:rPr>
          <w:rFonts w:ascii="Times New Roman" w:hAnsi="Times New Roman" w:cs="Times New Roman"/>
          <w:b/>
        </w:rPr>
      </w:pPr>
      <w:r>
        <w:rPr>
          <w:rFonts w:ascii="Times New Roman" w:hAnsi="Times New Roman" w:cs="Times New Roman"/>
        </w:rPr>
        <w:t xml:space="preserve">Akt signalling </w:t>
      </w:r>
      <w:r w:rsidR="002C76AE">
        <w:rPr>
          <w:rFonts w:ascii="Times New Roman" w:hAnsi="Times New Roman" w:cs="Times New Roman"/>
        </w:rPr>
        <w:t>using W</w:t>
      </w:r>
      <w:r w:rsidR="0010354C">
        <w:rPr>
          <w:rFonts w:ascii="Times New Roman" w:hAnsi="Times New Roman" w:cs="Times New Roman"/>
        </w:rPr>
        <w:t xml:space="preserve">ortmannin </w:t>
      </w:r>
      <w:r w:rsidR="009334A5">
        <w:rPr>
          <w:rFonts w:ascii="Times New Roman" w:hAnsi="Times New Roman" w:cs="Times New Roman"/>
        </w:rPr>
        <w:t xml:space="preserve">does result in </w:t>
      </w:r>
      <w:r w:rsidR="0010354C">
        <w:rPr>
          <w:rFonts w:ascii="Times New Roman" w:hAnsi="Times New Roman" w:cs="Times New Roman"/>
        </w:rPr>
        <w:t>reduced neurite outgrowth.</w:t>
      </w:r>
    </w:p>
    <w:p w14:paraId="4184451B" w14:textId="054A4278" w:rsidR="00455FE9" w:rsidRPr="00135CEB" w:rsidRDefault="0010354C" w:rsidP="0052651A">
      <w:pPr>
        <w:pStyle w:val="ListParagraph"/>
        <w:numPr>
          <w:ilvl w:val="0"/>
          <w:numId w:val="12"/>
        </w:numPr>
        <w:jc w:val="both"/>
        <w:rPr>
          <w:rFonts w:ascii="Times New Roman" w:hAnsi="Times New Roman" w:cs="Times New Roman"/>
          <w:b/>
        </w:rPr>
      </w:pPr>
      <w:r>
        <w:rPr>
          <w:rFonts w:ascii="Times New Roman" w:hAnsi="Times New Roman" w:cs="Times New Roman"/>
        </w:rPr>
        <w:t>Im</w:t>
      </w:r>
      <w:r w:rsidR="002850FF">
        <w:rPr>
          <w:rFonts w:ascii="Times New Roman" w:hAnsi="Times New Roman" w:cs="Times New Roman"/>
        </w:rPr>
        <w:t xml:space="preserve">paired IGF1-signalling </w:t>
      </w:r>
      <w:r w:rsidR="00B62513">
        <w:rPr>
          <w:rFonts w:ascii="Times New Roman" w:hAnsi="Times New Roman" w:cs="Times New Roman"/>
        </w:rPr>
        <w:t>alters</w:t>
      </w:r>
      <w:r>
        <w:rPr>
          <w:rFonts w:ascii="Times New Roman" w:hAnsi="Times New Roman" w:cs="Times New Roman"/>
        </w:rPr>
        <w:t xml:space="preserve"> the ability of astrocytes to support neurite outgrowth </w:t>
      </w:r>
      <w:r w:rsidR="009334A5">
        <w:rPr>
          <w:rFonts w:ascii="Times New Roman" w:hAnsi="Times New Roman" w:cs="Times New Roman"/>
        </w:rPr>
        <w:t>in the presence of oxidative stress.</w:t>
      </w:r>
    </w:p>
    <w:p w14:paraId="0A5BEAF6" w14:textId="2C213EE6" w:rsidR="00455FE9" w:rsidRPr="00F52B68" w:rsidRDefault="00455FE9" w:rsidP="0052651A">
      <w:pPr>
        <w:pStyle w:val="ListParagraph"/>
        <w:numPr>
          <w:ilvl w:val="0"/>
          <w:numId w:val="12"/>
        </w:numPr>
        <w:jc w:val="both"/>
        <w:rPr>
          <w:rFonts w:ascii="Times New Roman" w:hAnsi="Times New Roman" w:cs="Times New Roman"/>
          <w:b/>
        </w:rPr>
      </w:pPr>
      <w:r>
        <w:rPr>
          <w:rFonts w:ascii="Times New Roman" w:hAnsi="Times New Roman" w:cs="Times New Roman"/>
        </w:rPr>
        <w:t xml:space="preserve">Enriched populations of astrocytes </w:t>
      </w:r>
      <w:r w:rsidR="0010354C">
        <w:rPr>
          <w:rFonts w:ascii="Times New Roman" w:hAnsi="Times New Roman" w:cs="Times New Roman"/>
        </w:rPr>
        <w:t>can be isolated from co-cultured GFP-LUHMES</w:t>
      </w:r>
      <w:r>
        <w:rPr>
          <w:rFonts w:ascii="Times New Roman" w:hAnsi="Times New Roman" w:cs="Times New Roman"/>
        </w:rPr>
        <w:t xml:space="preserve"> using FAC</w:t>
      </w:r>
      <w:r w:rsidR="0010354C">
        <w:rPr>
          <w:rFonts w:ascii="Times New Roman" w:hAnsi="Times New Roman" w:cs="Times New Roman"/>
        </w:rPr>
        <w:t>S.</w:t>
      </w:r>
    </w:p>
    <w:p w14:paraId="0351A428" w14:textId="066A949E" w:rsidR="00455FE9" w:rsidRPr="00DD0DE1" w:rsidRDefault="00455FE9" w:rsidP="0052651A">
      <w:pPr>
        <w:pStyle w:val="ListParagraph"/>
        <w:numPr>
          <w:ilvl w:val="0"/>
          <w:numId w:val="12"/>
        </w:numPr>
        <w:jc w:val="both"/>
        <w:rPr>
          <w:rFonts w:ascii="Times New Roman" w:hAnsi="Times New Roman" w:cs="Times New Roman"/>
          <w:b/>
        </w:rPr>
      </w:pPr>
      <w:r>
        <w:rPr>
          <w:rFonts w:ascii="Times New Roman" w:hAnsi="Times New Roman" w:cs="Times New Roman"/>
        </w:rPr>
        <w:t xml:space="preserve">Gene expression profiling of IGF1R impaired astrocytes co-cultured with </w:t>
      </w:r>
      <w:r w:rsidR="0010354C">
        <w:rPr>
          <w:rFonts w:ascii="Times New Roman" w:hAnsi="Times New Roman" w:cs="Times New Roman"/>
        </w:rPr>
        <w:t>GFP-LUHMES</w:t>
      </w:r>
      <w:r>
        <w:rPr>
          <w:rFonts w:ascii="Times New Roman" w:hAnsi="Times New Roman" w:cs="Times New Roman"/>
        </w:rPr>
        <w:t xml:space="preserve"> identified underlying changes in transcripts involved in energy metabolism, antioxidant capacity and synaptic support</w:t>
      </w:r>
      <w:r w:rsidR="0010354C">
        <w:rPr>
          <w:rFonts w:ascii="Times New Roman" w:hAnsi="Times New Roman" w:cs="Times New Roman"/>
        </w:rPr>
        <w:t>.</w:t>
      </w:r>
    </w:p>
    <w:p w14:paraId="681845AE" w14:textId="2AF7EDE4" w:rsidR="00031E7A" w:rsidRDefault="0010354C" w:rsidP="0052651A">
      <w:pPr>
        <w:pStyle w:val="ListParagraph"/>
        <w:numPr>
          <w:ilvl w:val="0"/>
          <w:numId w:val="12"/>
        </w:numPr>
        <w:jc w:val="both"/>
        <w:rPr>
          <w:rFonts w:ascii="Times New Roman" w:hAnsi="Times New Roman" w:cs="Times New Roman"/>
        </w:rPr>
      </w:pPr>
      <w:r>
        <w:rPr>
          <w:rFonts w:ascii="Times New Roman" w:hAnsi="Times New Roman" w:cs="Times New Roman"/>
        </w:rPr>
        <w:t>A number of targets identified in the array were validated using qRT</w:t>
      </w:r>
      <w:r w:rsidR="00967133">
        <w:rPr>
          <w:rFonts w:ascii="Times New Roman" w:hAnsi="Times New Roman" w:cs="Times New Roman"/>
        </w:rPr>
        <w:t>-</w:t>
      </w:r>
      <w:r>
        <w:rPr>
          <w:rFonts w:ascii="Times New Roman" w:hAnsi="Times New Roman" w:cs="Times New Roman"/>
        </w:rPr>
        <w:t xml:space="preserve">PCR. This included the genes involved in Complex I activity, which were further validated using a functional assay. </w:t>
      </w:r>
    </w:p>
    <w:p w14:paraId="58439DF3" w14:textId="77777777" w:rsidR="0010354C" w:rsidRPr="000E270B" w:rsidRDefault="0010354C" w:rsidP="0052651A">
      <w:pPr>
        <w:ind w:left="360"/>
        <w:jc w:val="both"/>
        <w:rPr>
          <w:rFonts w:ascii="Times New Roman" w:hAnsi="Times New Roman" w:cs="Times New Roman"/>
        </w:rPr>
      </w:pPr>
    </w:p>
    <w:p w14:paraId="6DCF0B5D" w14:textId="4B79535E" w:rsidR="00302245" w:rsidRDefault="008E3B2D" w:rsidP="0052651A">
      <w:pPr>
        <w:pStyle w:val="Heading2"/>
        <w:spacing w:line="360" w:lineRule="auto"/>
        <w:jc w:val="both"/>
      </w:pPr>
      <w:bookmarkStart w:id="2444" w:name="_Toc331426009"/>
      <w:bookmarkStart w:id="2445" w:name="_Toc331427181"/>
      <w:bookmarkStart w:id="2446" w:name="_Toc331427553"/>
      <w:bookmarkStart w:id="2447" w:name="_Toc331427695"/>
      <w:bookmarkStart w:id="2448" w:name="_Toc332972700"/>
      <w:bookmarkStart w:id="2449" w:name="_Toc333046979"/>
      <w:bookmarkStart w:id="2450" w:name="_Toc333477326"/>
      <w:bookmarkStart w:id="2451" w:name="_Toc333478096"/>
      <w:bookmarkStart w:id="2452" w:name="_Toc333644996"/>
      <w:r>
        <w:t>6.3</w:t>
      </w:r>
      <w:r w:rsidR="00C66E4D">
        <w:t xml:space="preserve"> Main findings</w:t>
      </w:r>
      <w:bookmarkEnd w:id="2444"/>
      <w:bookmarkEnd w:id="2445"/>
      <w:bookmarkEnd w:id="2446"/>
      <w:bookmarkEnd w:id="2447"/>
      <w:bookmarkEnd w:id="2448"/>
      <w:bookmarkEnd w:id="2449"/>
      <w:bookmarkEnd w:id="2450"/>
      <w:bookmarkEnd w:id="2451"/>
      <w:bookmarkEnd w:id="2452"/>
    </w:p>
    <w:p w14:paraId="3BD669A4" w14:textId="13C0CBD5" w:rsidR="00302245" w:rsidRPr="001433F4" w:rsidRDefault="00AC7BB4" w:rsidP="0052651A">
      <w:pPr>
        <w:pStyle w:val="Heading3"/>
        <w:spacing w:line="360" w:lineRule="auto"/>
        <w:jc w:val="both"/>
      </w:pPr>
      <w:bookmarkStart w:id="2453" w:name="_Toc331426010"/>
      <w:bookmarkStart w:id="2454" w:name="_Toc331427182"/>
      <w:bookmarkStart w:id="2455" w:name="_Toc331427554"/>
      <w:bookmarkStart w:id="2456" w:name="_Toc331427696"/>
      <w:bookmarkStart w:id="2457" w:name="_Toc332972701"/>
      <w:bookmarkStart w:id="2458" w:name="_Toc333046980"/>
      <w:bookmarkStart w:id="2459" w:name="_Toc333477327"/>
      <w:bookmarkStart w:id="2460" w:name="_Toc333478097"/>
      <w:bookmarkStart w:id="2461" w:name="_Toc333644997"/>
      <w:r>
        <w:t xml:space="preserve">6.3.1 </w:t>
      </w:r>
      <w:r w:rsidR="00302245" w:rsidRPr="001433F4">
        <w:t>IGF1 signalling in primary human astrocytes</w:t>
      </w:r>
      <w:bookmarkEnd w:id="2453"/>
      <w:bookmarkEnd w:id="2454"/>
      <w:bookmarkEnd w:id="2455"/>
      <w:bookmarkEnd w:id="2456"/>
      <w:bookmarkEnd w:id="2457"/>
      <w:bookmarkEnd w:id="2458"/>
      <w:bookmarkEnd w:id="2459"/>
      <w:bookmarkEnd w:id="2460"/>
      <w:bookmarkEnd w:id="2461"/>
    </w:p>
    <w:p w14:paraId="5C577B83" w14:textId="77777777" w:rsidR="009334A5" w:rsidRDefault="00302245" w:rsidP="0052651A">
      <w:pPr>
        <w:spacing w:line="360" w:lineRule="auto"/>
        <w:jc w:val="both"/>
        <w:rPr>
          <w:rFonts w:ascii="Times New Roman" w:hAnsi="Times New Roman" w:cs="Times New Roman"/>
        </w:rPr>
      </w:pPr>
      <w:r w:rsidRPr="001433F4">
        <w:rPr>
          <w:rFonts w:ascii="Times New Roman" w:hAnsi="Times New Roman" w:cs="Times New Roman"/>
        </w:rPr>
        <w:t xml:space="preserve">Although insulin/IGF1 is a crucial signalling pathway both centrally and peripherally there was no literature detailing the presence and functionality of this </w:t>
      </w:r>
      <w:r w:rsidR="001433F4" w:rsidRPr="001433F4">
        <w:rPr>
          <w:rFonts w:ascii="Times New Roman" w:hAnsi="Times New Roman" w:cs="Times New Roman"/>
        </w:rPr>
        <w:t>pathway in primary human astrocy</w:t>
      </w:r>
      <w:r w:rsidRPr="001433F4">
        <w:rPr>
          <w:rFonts w:ascii="Times New Roman" w:hAnsi="Times New Roman" w:cs="Times New Roman"/>
        </w:rPr>
        <w:t>tes.  The use of primary human astrocytes is in itself relatively novel, and the majority of astrocytes used in this thesis were f</w:t>
      </w:r>
      <w:r w:rsidR="00445AC0">
        <w:rPr>
          <w:rFonts w:ascii="Times New Roman" w:hAnsi="Times New Roman" w:cs="Times New Roman"/>
        </w:rPr>
        <w:t>o</w:t>
      </w:r>
      <w:r w:rsidRPr="001433F4">
        <w:rPr>
          <w:rFonts w:ascii="Times New Roman" w:hAnsi="Times New Roman" w:cs="Times New Roman"/>
        </w:rPr>
        <w:t>etal-derived, the use of these cells is discussed under further considerations.  Initial experiments confirmed the presence of all of th</w:t>
      </w:r>
      <w:r w:rsidR="001433F4">
        <w:rPr>
          <w:rFonts w:ascii="Times New Roman" w:hAnsi="Times New Roman" w:cs="Times New Roman"/>
        </w:rPr>
        <w:t>e key components of this signall</w:t>
      </w:r>
      <w:r w:rsidRPr="001433F4">
        <w:rPr>
          <w:rFonts w:ascii="Times New Roman" w:hAnsi="Times New Roman" w:cs="Times New Roman"/>
        </w:rPr>
        <w:t>ing pathway in these cells and, further, by modulating the components of the media, alterations in downstream signal</w:t>
      </w:r>
      <w:r w:rsidR="00BF1DD9">
        <w:rPr>
          <w:rFonts w:ascii="Times New Roman" w:hAnsi="Times New Roman" w:cs="Times New Roman"/>
        </w:rPr>
        <w:t>l</w:t>
      </w:r>
      <w:r w:rsidRPr="001433F4">
        <w:rPr>
          <w:rFonts w:ascii="Times New Roman" w:hAnsi="Times New Roman" w:cs="Times New Roman"/>
        </w:rPr>
        <w:t xml:space="preserve">ing through Akt and </w:t>
      </w:r>
      <w:r w:rsidR="00B62513">
        <w:rPr>
          <w:rFonts w:ascii="Times New Roman" w:hAnsi="Times New Roman" w:cs="Times New Roman"/>
        </w:rPr>
        <w:t>MAPK P44/42</w:t>
      </w:r>
      <w:r w:rsidRPr="001433F4">
        <w:rPr>
          <w:rFonts w:ascii="Times New Roman" w:hAnsi="Times New Roman" w:cs="Times New Roman"/>
        </w:rPr>
        <w:t xml:space="preserve"> were demonstrated.  This then enabled the focus to move to the development of a model, which could impair signa</w:t>
      </w:r>
      <w:r w:rsidR="001433F4">
        <w:rPr>
          <w:rFonts w:ascii="Times New Roman" w:hAnsi="Times New Roman" w:cs="Times New Roman"/>
        </w:rPr>
        <w:t>l</w:t>
      </w:r>
      <w:r w:rsidR="00B62513">
        <w:rPr>
          <w:rFonts w:ascii="Times New Roman" w:hAnsi="Times New Roman" w:cs="Times New Roman"/>
        </w:rPr>
        <w:t xml:space="preserve">ling through the IGF1R. </w:t>
      </w:r>
      <w:r w:rsidR="00E70D62" w:rsidRPr="001433F4">
        <w:rPr>
          <w:rFonts w:ascii="Times New Roman" w:hAnsi="Times New Roman" w:cs="Times New Roman"/>
        </w:rPr>
        <w:t>Picropodophyllin is a</w:t>
      </w:r>
      <w:r w:rsidRPr="001433F4">
        <w:rPr>
          <w:rFonts w:ascii="Times New Roman" w:hAnsi="Times New Roman" w:cs="Times New Roman"/>
        </w:rPr>
        <w:t xml:space="preserve"> chemical inhibitor </w:t>
      </w:r>
      <w:r w:rsidR="00E70D62" w:rsidRPr="001433F4">
        <w:rPr>
          <w:rFonts w:ascii="Times New Roman" w:hAnsi="Times New Roman" w:cs="Times New Roman"/>
        </w:rPr>
        <w:t>that can</w:t>
      </w:r>
      <w:r w:rsidRPr="001433F4">
        <w:rPr>
          <w:rFonts w:ascii="Times New Roman" w:hAnsi="Times New Roman" w:cs="Times New Roman"/>
        </w:rPr>
        <w:t xml:space="preserve"> achieve this but also target</w:t>
      </w:r>
      <w:r w:rsidR="001433F4">
        <w:rPr>
          <w:rFonts w:ascii="Times New Roman" w:hAnsi="Times New Roman" w:cs="Times New Roman"/>
        </w:rPr>
        <w:t>s</w:t>
      </w:r>
      <w:r w:rsidRPr="001433F4">
        <w:rPr>
          <w:rFonts w:ascii="Times New Roman" w:hAnsi="Times New Roman" w:cs="Times New Roman"/>
        </w:rPr>
        <w:t xml:space="preserve"> the insulin receptor.  Downregulation of the receptor using IGF1R siRNA was </w:t>
      </w:r>
      <w:r w:rsidR="00BF1DD9">
        <w:rPr>
          <w:rFonts w:ascii="Times New Roman" w:hAnsi="Times New Roman" w:cs="Times New Roman"/>
        </w:rPr>
        <w:t>also trialled</w:t>
      </w:r>
      <w:r w:rsidR="009334A5">
        <w:rPr>
          <w:rFonts w:ascii="Times New Roman" w:hAnsi="Times New Roman" w:cs="Times New Roman"/>
        </w:rPr>
        <w:t xml:space="preserve"> (data not shown)</w:t>
      </w:r>
      <w:r w:rsidR="00BF1DD9">
        <w:rPr>
          <w:rFonts w:ascii="Times New Roman" w:hAnsi="Times New Roman" w:cs="Times New Roman"/>
        </w:rPr>
        <w:t xml:space="preserve"> but</w:t>
      </w:r>
      <w:r w:rsidRPr="001433F4">
        <w:rPr>
          <w:rFonts w:ascii="Times New Roman" w:hAnsi="Times New Roman" w:cs="Times New Roman"/>
        </w:rPr>
        <w:t xml:space="preserve"> transfecting these primary cells efficiently was problematic and for this reason an a</w:t>
      </w:r>
      <w:r w:rsidR="00BF1DD9">
        <w:rPr>
          <w:rFonts w:ascii="Times New Roman" w:hAnsi="Times New Roman" w:cs="Times New Roman"/>
        </w:rPr>
        <w:t xml:space="preserve">lternative method was pursued. </w:t>
      </w:r>
      <w:r w:rsidRPr="001433F4">
        <w:rPr>
          <w:rFonts w:ascii="Times New Roman" w:hAnsi="Times New Roman" w:cs="Times New Roman"/>
        </w:rPr>
        <w:t>The monoclonal antibody</w:t>
      </w:r>
      <w:r w:rsidR="00615CBD">
        <w:rPr>
          <w:rFonts w:ascii="Times New Roman" w:hAnsi="Times New Roman" w:cs="Times New Roman"/>
        </w:rPr>
        <w:t xml:space="preserve"> MAB391,</w:t>
      </w:r>
      <w:r w:rsidRPr="001433F4">
        <w:rPr>
          <w:rFonts w:ascii="Times New Roman" w:hAnsi="Times New Roman" w:cs="Times New Roman"/>
        </w:rPr>
        <w:t xml:space="preserve"> used in this study</w:t>
      </w:r>
      <w:r w:rsidR="00615CBD">
        <w:rPr>
          <w:rFonts w:ascii="Times New Roman" w:hAnsi="Times New Roman" w:cs="Times New Roman"/>
        </w:rPr>
        <w:t>,</w:t>
      </w:r>
      <w:r w:rsidRPr="001433F4">
        <w:rPr>
          <w:rFonts w:ascii="Times New Roman" w:hAnsi="Times New Roman" w:cs="Times New Roman"/>
        </w:rPr>
        <w:t xml:space="preserve"> has been used extensively in the cancer field, since the IGF1 signalling pathw</w:t>
      </w:r>
      <w:r w:rsidR="00BF1DD9">
        <w:rPr>
          <w:rFonts w:ascii="Times New Roman" w:hAnsi="Times New Roman" w:cs="Times New Roman"/>
        </w:rPr>
        <w:t xml:space="preserve">ay is a key oncogenic pathway. </w:t>
      </w:r>
      <w:r w:rsidRPr="001433F4">
        <w:rPr>
          <w:rFonts w:ascii="Times New Roman" w:hAnsi="Times New Roman" w:cs="Times New Roman"/>
        </w:rPr>
        <w:t>Here it was us</w:t>
      </w:r>
      <w:r w:rsidR="00E70D62" w:rsidRPr="001433F4">
        <w:rPr>
          <w:rFonts w:ascii="Times New Roman" w:hAnsi="Times New Roman" w:cs="Times New Roman"/>
        </w:rPr>
        <w:t xml:space="preserve">ed to effectively downregulate </w:t>
      </w:r>
      <w:r w:rsidRPr="001433F4">
        <w:rPr>
          <w:rFonts w:ascii="Times New Roman" w:hAnsi="Times New Roman" w:cs="Times New Roman"/>
        </w:rPr>
        <w:t>IGF1R in primary human astrocytes.  Although robust downregulation of IGF1R was achieved, the impact on downstream signa</w:t>
      </w:r>
      <w:r w:rsidR="00615CBD">
        <w:rPr>
          <w:rFonts w:ascii="Times New Roman" w:hAnsi="Times New Roman" w:cs="Times New Roman"/>
        </w:rPr>
        <w:t>l</w:t>
      </w:r>
      <w:r w:rsidRPr="001433F4">
        <w:rPr>
          <w:rFonts w:ascii="Times New Roman" w:hAnsi="Times New Roman" w:cs="Times New Roman"/>
        </w:rPr>
        <w:t>ling through Ak</w:t>
      </w:r>
      <w:r w:rsidR="00E70D62" w:rsidRPr="001433F4">
        <w:rPr>
          <w:rFonts w:ascii="Times New Roman" w:hAnsi="Times New Roman" w:cs="Times New Roman"/>
        </w:rPr>
        <w:t xml:space="preserve">t was variable and is likely </w:t>
      </w:r>
      <w:r w:rsidR="00BF1DD9">
        <w:rPr>
          <w:rFonts w:ascii="Times New Roman" w:hAnsi="Times New Roman" w:cs="Times New Roman"/>
        </w:rPr>
        <w:t>due to a number of reason</w:t>
      </w:r>
      <w:r w:rsidR="00B62513">
        <w:rPr>
          <w:rFonts w:ascii="Times New Roman" w:hAnsi="Times New Roman" w:cs="Times New Roman"/>
        </w:rPr>
        <w:t>s</w:t>
      </w:r>
      <w:r w:rsidR="00BF1DD9">
        <w:rPr>
          <w:rFonts w:ascii="Times New Roman" w:hAnsi="Times New Roman" w:cs="Times New Roman"/>
        </w:rPr>
        <w:t xml:space="preserve">. </w:t>
      </w:r>
      <w:r w:rsidRPr="001433F4">
        <w:rPr>
          <w:rFonts w:ascii="Times New Roman" w:hAnsi="Times New Roman" w:cs="Times New Roman"/>
        </w:rPr>
        <w:t>Akt is a key kinase involved in cell surviva</w:t>
      </w:r>
      <w:r w:rsidR="00E70D62" w:rsidRPr="001433F4">
        <w:rPr>
          <w:rFonts w:ascii="Times New Roman" w:hAnsi="Times New Roman" w:cs="Times New Roman"/>
        </w:rPr>
        <w:t>l, therefore downregulation of</w:t>
      </w:r>
      <w:r w:rsidRPr="001433F4">
        <w:rPr>
          <w:rFonts w:ascii="Times New Roman" w:hAnsi="Times New Roman" w:cs="Times New Roman"/>
        </w:rPr>
        <w:t xml:space="preserve"> one receptor upstream will result in the upregulation of other r</w:t>
      </w:r>
      <w:r w:rsidR="00E70D62" w:rsidRPr="001433F4">
        <w:rPr>
          <w:rFonts w:ascii="Times New Roman" w:hAnsi="Times New Roman" w:cs="Times New Roman"/>
        </w:rPr>
        <w:t>eceptors involved in ac</w:t>
      </w:r>
      <w:r w:rsidRPr="001433F4">
        <w:rPr>
          <w:rFonts w:ascii="Times New Roman" w:hAnsi="Times New Roman" w:cs="Times New Roman"/>
        </w:rPr>
        <w:t xml:space="preserve">tivating this </w:t>
      </w:r>
      <w:r w:rsidRPr="00797FC9">
        <w:rPr>
          <w:rFonts w:ascii="Times New Roman" w:hAnsi="Times New Roman" w:cs="Times New Roman"/>
        </w:rPr>
        <w:t>kinase</w:t>
      </w:r>
      <w:r w:rsidR="00E70D62" w:rsidRPr="00797FC9">
        <w:rPr>
          <w:rFonts w:ascii="Times New Roman" w:hAnsi="Times New Roman" w:cs="Times New Roman"/>
        </w:rPr>
        <w:t xml:space="preserve"> </w:t>
      </w:r>
      <w:r w:rsidR="00797FC9" w:rsidRPr="00797FC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"10.1158/1535-7163.MCT-10-0318", "ISSN" : "1538-8514", "PMID" : "20924128", "abstract" : "Insulin-like growth factor-1 receptor (IGF-1R) is a receptor tyrosine kinase (RTK) and critical activator of the phosphatidylinositol 3-kinase-AKT pathway. IGF-1R is required for oncogenic transformation and tumorigenesis. These observations have spurred anticancer drug discovery and development efforts for both biological and small-molecule IGF-1R inhibitors. The ability for one RTK to compensate for another to maintain tumor cell viability is emerging as a common resistance mechanism to antitumor agents targeting individual RTKs. As IGF-1R is structurally and functionally related to the insulin receptor (IR), we asked whether IR is tumorigenic and whether IR-AKT signaling contributes to resistance to IGF-1R inhibition. Both IGF-1R and IR(A) are tumorigenic in a mouse mammary tumor model. In human tumor cells coexpressing IGF-1R and IR, bidirectional cross talk was observed following either knockdown of IR expression or treatment with a selective anti-IGF-1R antibody, MAB391. MAB391 treatment resulted in a compensatory increase in phospho-IR, which was associated with resistance to inhibition of IRS1 and AKT. In contrast, treatment with OSI-906, a small-molecule dual inhibitor of IGF-1R/IR, resulted in enhanced reduction in phospho-IRS1/phospho-AKT relative to MAB391. Insulin or IGF-2 activated the IR-AKT pathway and decreased sensitivity to MAB391 but not to OSI-906. In tumor cells with an autocrine IGF-2 loop, both OSI-906 and an anti-IGF-2 antibody reduced phospho-IR/phospho-AKT, whereas MAB391 was ineffective. Finally, OSI-906 showed superior efficacy compared with MAB391 in human tumor xenograft models in which both IGF-1R and IR were phosphorylated. Collectively, these data indicate that cotargeting IGF-1R and IR may provide superior antitumor efficacy compared with targeting IGF-1R alone.", "author" : [ { "dropping-particle" : "", "family" : "Buck", "given" : "Elizabeth", "non-dropping-particle" : "", "parse-names" : false, "suffix" : "" }, { "dropping-particle" : "", "family" : "Gokhale", "given" : "Prafulla C", "non-dropping-particle" : "", "parse-names" : false, "suffix" : "" }, { "dropping-particle" : "", "family" : "Koujak", "given" : "Susan", "non-dropping-particle" : "", "parse-names" : false, "suffix" : "" }, { "dropping-particle" : "", "family" : "Brown", "given" : "Eric", "non-dropping-particle" : "", "parse-names" : false, "suffix" : "" }, { "dropping-particle" : "", "family" : "Eyzaguirre", "given" : "Alexandra", "non-dropping-particle" : "", "parse-names" : false, "suffix" : "" }, { "dropping-particle" : "", "family" : "Tao", "given" : "Nianjun", "non-dropping-particle" : "", "parse-names" : false, "suffix" : "" }, { "dropping-particle" : "", "family" : "Rosenfeld-Franklin", "given" : "Maryland", "non-dropping-particle" : "", "parse-names" : false, "suffix" : "" }, { "dropping-particle" : "", "family" : "Lerner", "given" : "Lorena", "non-dropping-particle" : "", "parse-names" : false, "suffix" : "" }, { "dropping-particle" : "", "family" : "Chiu", "given" : "M Isabel", "non-dropping-particle" : "", "parse-names" : false, "suffix" : "" }, { "dropping-particle" : "", "family" : "Wild", "given" : "Robert", "non-dropping-particle" : "", "parse-names" : false, "suffix" : "" }, { "dropping-particle" : "", "family" : "Epstein", "given" : "David", "non-dropping-particle" : "", "parse-names" : false, "suffix" : "" }, { "dropping-particle" : "", "family" : "Pachter", "given" : "Jonathan A", "non-dropping-particle" : "", "parse-names" : false, "suffix" : "" }, { "dropping-particle" : "", "family" : "Miglarese", "given" : "Mark R", "non-dropping-particle" : "", "parse-names" : false, "suffix" : "" } ], "container-title" : "Molecular cancer therapeutics", "id" : "ITEM-1", "issue" : "10", "issued" : { "date-parts" : [ [ "2010", "10", "1" ] ] }, "page" : "2652-64", "title" : "Compensatory insulin receptor (IR) activation on inhibition of insulin-like growth factor-1 receptor (IGF-1R): rationale for cotargeting IGF-1R and IR in cancer.", "type" : "article-journal", "volume" : "9" }, "uris" : [ "http://www.mendeley.com/documents/?uuid=1ffcf670-e182-48bf-accf-5f340ca40904" ] } ], "mendeley" : { "formattedCitation" : "(Buck et al. 2010b)", "manualFormatting" : "(Buck et al., 2010)", "plainTextFormattedCitation" : "(Buck et al. 2010b)", "previouslyFormattedCitation" : "(Buck et al. 2010b)" }, "properties" : { "noteIndex" : 0 }, "schema" : "https://github.com/citation-style-language/schema/raw/master/csl-citation.json" }</w:instrText>
      </w:r>
      <w:r w:rsidR="00797FC9" w:rsidRPr="00797FC9">
        <w:rPr>
          <w:rFonts w:ascii="Times New Roman" w:hAnsi="Times New Roman" w:cs="Times New Roman"/>
        </w:rPr>
        <w:fldChar w:fldCharType="separate"/>
      </w:r>
      <w:r w:rsidR="00797FC9">
        <w:rPr>
          <w:rFonts w:ascii="Times New Roman" w:hAnsi="Times New Roman" w:cs="Times New Roman"/>
          <w:noProof/>
        </w:rPr>
        <w:t>(Buck et al., 2010</w:t>
      </w:r>
      <w:r w:rsidR="00797FC9" w:rsidRPr="00797FC9">
        <w:rPr>
          <w:rFonts w:ascii="Times New Roman" w:hAnsi="Times New Roman" w:cs="Times New Roman"/>
          <w:noProof/>
        </w:rPr>
        <w:t>)</w:t>
      </w:r>
      <w:r w:rsidR="00797FC9" w:rsidRPr="00797FC9">
        <w:rPr>
          <w:rFonts w:ascii="Times New Roman" w:hAnsi="Times New Roman" w:cs="Times New Roman"/>
        </w:rPr>
        <w:fldChar w:fldCharType="end"/>
      </w:r>
      <w:r w:rsidRPr="001433F4">
        <w:rPr>
          <w:rFonts w:ascii="Times New Roman" w:hAnsi="Times New Roman" w:cs="Times New Roman"/>
        </w:rPr>
        <w:t>. Indeed the concept of a signalling network, as opposed to the impact of individual signalling pathways is one</w:t>
      </w:r>
      <w:r w:rsidR="00E70D62" w:rsidRPr="001433F4">
        <w:rPr>
          <w:rFonts w:ascii="Times New Roman" w:hAnsi="Times New Roman" w:cs="Times New Roman"/>
        </w:rPr>
        <w:t xml:space="preserve"> that</w:t>
      </w:r>
      <w:r w:rsidRPr="001433F4">
        <w:rPr>
          <w:rFonts w:ascii="Times New Roman" w:hAnsi="Times New Roman" w:cs="Times New Roman"/>
        </w:rPr>
        <w:t xml:space="preserve"> is increasingly being addressed. </w:t>
      </w:r>
    </w:p>
    <w:p w14:paraId="2639F226" w14:textId="77777777" w:rsidR="009334A5" w:rsidRDefault="009334A5" w:rsidP="0052651A">
      <w:pPr>
        <w:spacing w:line="360" w:lineRule="auto"/>
        <w:jc w:val="both"/>
        <w:rPr>
          <w:rFonts w:ascii="Times New Roman" w:hAnsi="Times New Roman" w:cs="Times New Roman"/>
        </w:rPr>
      </w:pPr>
    </w:p>
    <w:p w14:paraId="2F1EBCE1" w14:textId="22659B83" w:rsidR="00E70D62" w:rsidRDefault="00302245" w:rsidP="0052651A">
      <w:pPr>
        <w:spacing w:line="360" w:lineRule="auto"/>
        <w:jc w:val="both"/>
        <w:rPr>
          <w:rFonts w:ascii="Times New Roman" w:hAnsi="Times New Roman" w:cs="Times New Roman"/>
        </w:rPr>
      </w:pPr>
      <w:r w:rsidRPr="001433F4">
        <w:rPr>
          <w:rFonts w:ascii="Times New Roman" w:hAnsi="Times New Roman" w:cs="Times New Roman"/>
        </w:rPr>
        <w:t>Another reason for the variability likely reflects the inherent genetic variability in the human astrocytes used.  Assessment of signalling pathways was carried out on three separate sets of cells,</w:t>
      </w:r>
      <w:r w:rsidR="00797FC9">
        <w:rPr>
          <w:rFonts w:ascii="Times New Roman" w:hAnsi="Times New Roman" w:cs="Times New Roman"/>
        </w:rPr>
        <w:t xml:space="preserve"> two from Sci</w:t>
      </w:r>
      <w:r w:rsidR="00B62513">
        <w:rPr>
          <w:rFonts w:ascii="Times New Roman" w:hAnsi="Times New Roman" w:cs="Times New Roman"/>
        </w:rPr>
        <w:t>enC</w:t>
      </w:r>
      <w:r w:rsidR="00797FC9">
        <w:rPr>
          <w:rFonts w:ascii="Times New Roman" w:hAnsi="Times New Roman" w:cs="Times New Roman"/>
        </w:rPr>
        <w:t>ell (both f</w:t>
      </w:r>
      <w:r w:rsidR="00445AC0">
        <w:rPr>
          <w:rFonts w:ascii="Times New Roman" w:hAnsi="Times New Roman" w:cs="Times New Roman"/>
        </w:rPr>
        <w:t>o</w:t>
      </w:r>
      <w:r w:rsidR="00797FC9">
        <w:rPr>
          <w:rFonts w:ascii="Times New Roman" w:hAnsi="Times New Roman" w:cs="Times New Roman"/>
        </w:rPr>
        <w:t>etal-</w:t>
      </w:r>
      <w:r w:rsidRPr="001433F4">
        <w:rPr>
          <w:rFonts w:ascii="Times New Roman" w:hAnsi="Times New Roman" w:cs="Times New Roman"/>
        </w:rPr>
        <w:t>derived) and one using adult astrocytes derived from temporal lobe resections.  The results from this work formed a major part of a recent publication</w:t>
      </w:r>
      <w:r w:rsidR="00E70D62" w:rsidRPr="001433F4">
        <w:rPr>
          <w:rFonts w:ascii="Times New Roman" w:hAnsi="Times New Roman" w:cs="Times New Roman"/>
        </w:rPr>
        <w:t xml:space="preserve"> </w:t>
      </w:r>
      <w:r w:rsidR="00E70D62" w:rsidRPr="001433F4">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"10.1186/s13041-015-0138-6", "ISSN" : "1756-6606", "PMID" : "26297026", "abstract" : "BACKGROUND: The insulin/IGF1 signalling (IIS) pathways are involved in longevity regulation and are dysregulated in neurons in Alzheimer's disease (AD). We previously showed downregulation in IIS gene expression in astrocytes with AD-neuropathology progression, but IIS in astrocytes remains poorly understood. We therefore examined the IIS pathway in human astrocytes and developed models to reduce IIS at the level of the insulin or the IGF1 receptor (IGF1R).\n\nRESULTS: We determined IIS was present and functional in human astrocytes by immunoblotting and showed astrocytes express the insulin receptor (IR)-B isoform of Ir. Immunocytochemistry and cell fractionation followed by western blotting revealed the phosphorylation status of insulin receptor substrate (IRS1) affects its subcellular localisation. To validate IRS1 expression patterns observed in culture, expression of key pathway components was assessed on post-mortem AD and control tissue using immunohistochemistry. Insulin signalling was impaired in cultured astrocytes by treatment with insulin + fructose and resulted in decreased IR and Akt phosphorylation (pAkt S473). A monoclonal antibody against IGF1R (MAB391) induced degradation of IGF1R receptor with an associated decrease in downstream pAkt S473. Neither treatment affected cell growth or viability as measured by MTT and Cyquant\u00ae assays or GFAP immunoreactivity.\n\nDISCUSSION: IIS is functional in astrocytes. IR-B is expressed in astrocytes which differs from the pattern in neurons, and may be important in differential susceptibility of astrocytes and neurons to insulin resistance. The variable presence of IRS1 in the nucleus, dependent on phosphorylation pattern, suggests the function of signalling molecules is not confined to cytoplasmic cascades. Down-regulation of IR and IGF1R, achieved by insulin + fructose and monoclonal antibody treatments, results in decreased downstream signalling, though the lack of effect on viability suggests that astrocytes can compensate for changes in single pathways. Changes in signalling in astrocytes, as well as in neurons, may be important in ageing and neurodegeneration.", "author" : [ { "dropping-particle" : "", "family" : "Garwood", "given" : "Claire J", "non-dropping-particle" : "", "parse-names" : false, "suffix" : "" }, { "dropping-particle" : "", "family" : "Ratcliffe", "given" : "Laura E", "non-dropping-particle" : "", "parse-names" : false, "suffix" : "" }, { "dropping-particle" : "V", "family" : "Morgan", "given" : "Sarah", "non-dropping-particle" : "", "parse-names" : false, "suffix" : "" }, { "dropping-particle" : "", "family" : "Simpson", "given" : "Julie E", "non-dropping-particle" : "", "parse-names" : false, "suffix" : "" }, { "dropping-particle" : "", "family" : "Owens", "given" : "Helen", "non-dropping-particle" : "", "parse-names" : false, "suffix" : "" }, { "dropping-particle" : "", "family" : "Vazquez-Villase\u00f1or", "given" : "Irina", "non-dropping-particle" : "", "parse-names" : false, "suffix" : "" }, { "dropping-particle" : "", "family" : "Heath", "given" : "Paul R", "non-dropping-particle" : "", "parse-names" : false, "suffix" : "" }, { "dropping-particle" : "", "family" : "Romero", "given" : "Ignacio A", "non-dropping-particle" : "", "parse-names" : false, "suffix" : "" }, { "dropping-particle" : "", "family" : "Ince", "given" : "Paul G", "non-dropping-particle" : "", "parse-names" : false, "suffix" : "" }, { "dropping-particle" : "", "family" : "Wharton", "given" : "Stephen B", "non-dropping-particle" : "", "parse-names" : false, "suffix" : "" } ], "container-title" : "Molecular brain", "id" : "ITEM-1", "issued" : { "date-parts" : [ [ "2015", "1" ] ] }, "page" : "51", "title" : "Insulin and IGF1 signalling pathways in human astrocytes in vitro and in vivo; characterisation, subcellular localisation and modulation of the receptors.", "type" : "article-journal", "volume" : "8" }, "uris" : [ "http://www.mendeley.com/documents/?uuid=07852e18-7d1c-4e1f-bacc-f7dad8fe7c42" ] } ], "mendeley" : { "formattedCitation" : "(Garwood et al. 2015)", "plainTextFormattedCitation" : "(Garwood et al. 2015)", "previouslyFormattedCitation" : "(Garwood et al. 2015)" }, "properties" : { "noteIndex" : 0 }, "schema" : "https://github.com/citation-style-language/schema/raw/master/csl-citation.json" }</w:instrText>
      </w:r>
      <w:r w:rsidR="00E70D62" w:rsidRPr="001433F4">
        <w:rPr>
          <w:rFonts w:ascii="Times New Roman" w:hAnsi="Times New Roman" w:cs="Times New Roman"/>
        </w:rPr>
        <w:fldChar w:fldCharType="separate"/>
      </w:r>
      <w:r w:rsidR="00C148FC" w:rsidRPr="00C148FC">
        <w:rPr>
          <w:rFonts w:ascii="Times New Roman" w:hAnsi="Times New Roman" w:cs="Times New Roman"/>
          <w:noProof/>
        </w:rPr>
        <w:t>(Garwood et al. 2015)</w:t>
      </w:r>
      <w:r w:rsidR="00E70D62" w:rsidRPr="001433F4">
        <w:rPr>
          <w:rFonts w:ascii="Times New Roman" w:hAnsi="Times New Roman" w:cs="Times New Roman"/>
        </w:rPr>
        <w:fldChar w:fldCharType="end"/>
      </w:r>
      <w:r w:rsidRPr="001433F4">
        <w:rPr>
          <w:rFonts w:ascii="Times New Roman" w:hAnsi="Times New Roman" w:cs="Times New Roman"/>
        </w:rPr>
        <w:t>. Although there was no obvious impact of IGF1R receptor reduction on the morphology or</w:t>
      </w:r>
      <w:r w:rsidR="00E70D62" w:rsidRPr="001433F4">
        <w:rPr>
          <w:rFonts w:ascii="Times New Roman" w:hAnsi="Times New Roman" w:cs="Times New Roman"/>
        </w:rPr>
        <w:t xml:space="preserve"> phenotype of astrocytes there is a</w:t>
      </w:r>
      <w:r w:rsidRPr="001433F4">
        <w:rPr>
          <w:rFonts w:ascii="Times New Roman" w:hAnsi="Times New Roman" w:cs="Times New Roman"/>
        </w:rPr>
        <w:t>n increasing body of literature that sug</w:t>
      </w:r>
      <w:r w:rsidR="00E70D62" w:rsidRPr="001433F4">
        <w:rPr>
          <w:rFonts w:ascii="Times New Roman" w:hAnsi="Times New Roman" w:cs="Times New Roman"/>
        </w:rPr>
        <w:t>gest</w:t>
      </w:r>
      <w:r w:rsidR="00615CBD">
        <w:rPr>
          <w:rFonts w:ascii="Times New Roman" w:hAnsi="Times New Roman" w:cs="Times New Roman"/>
        </w:rPr>
        <w:t>s</w:t>
      </w:r>
      <w:r w:rsidR="009334A5">
        <w:rPr>
          <w:rFonts w:ascii="Times New Roman" w:hAnsi="Times New Roman" w:cs="Times New Roman"/>
        </w:rPr>
        <w:t xml:space="preserve"> in order to observe</w:t>
      </w:r>
      <w:r w:rsidR="00E70D62" w:rsidRPr="001433F4">
        <w:rPr>
          <w:rFonts w:ascii="Times New Roman" w:hAnsi="Times New Roman" w:cs="Times New Roman"/>
        </w:rPr>
        <w:t xml:space="preserve"> impairments in astrocyte</w:t>
      </w:r>
      <w:r w:rsidRPr="001433F4">
        <w:rPr>
          <w:rFonts w:ascii="Times New Roman" w:hAnsi="Times New Roman" w:cs="Times New Roman"/>
        </w:rPr>
        <w:t xml:space="preserve"> function neurons</w:t>
      </w:r>
      <w:r w:rsidR="009334A5">
        <w:rPr>
          <w:rFonts w:ascii="Times New Roman" w:hAnsi="Times New Roman" w:cs="Times New Roman"/>
        </w:rPr>
        <w:t xml:space="preserve"> must be present since the central role of these astrocytes is to maintain</w:t>
      </w:r>
      <w:r w:rsidRPr="001433F4">
        <w:rPr>
          <w:rFonts w:ascii="Times New Roman" w:hAnsi="Times New Roman" w:cs="Times New Roman"/>
        </w:rPr>
        <w:t xml:space="preserve"> maintain the brain environment, and by default neuronal </w:t>
      </w:r>
      <w:r w:rsidRPr="00797FC9">
        <w:rPr>
          <w:rFonts w:ascii="Times New Roman" w:hAnsi="Times New Roman" w:cs="Times New Roman"/>
        </w:rPr>
        <w:t>health</w:t>
      </w:r>
      <w:r w:rsidR="00E70D62" w:rsidRPr="00797FC9">
        <w:rPr>
          <w:rFonts w:ascii="Times New Roman" w:hAnsi="Times New Roman" w:cs="Times New Roman"/>
        </w:rPr>
        <w:t xml:space="preserve"> </w:t>
      </w:r>
      <w:r w:rsidR="00797FC9" w:rsidRPr="00797FC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"0270-6474", "PMID" : "8786431", "abstract" : "Recent reports indicate that neurons are particularly sensitive to hydrogen peroxide (H2O2). The present study was undertaken to investigate the putative role of astrocytes in the modulation of the neurotoxic effect of H2O2. The exposure to H2O2 of cultured striatal neurons from mouse embryos induced a concentration-dependent (10-1000 microM) cell death as estimated 24 hr later. Two methods were used to estimate neuronal survival: the 3-[4,5-dimethylthiazol-2-yl]-2,5-diphenyltetrazolium bromide assay or an enzyme-linked immunosorbent assay with antibodies directed against an antigen located in neurons (microtubule-associated protein-2). The neurotoxic effect of H2O2 on neurons cocultured with astrocytes was strongly attenuated compared with that observed on a pure population of neurons seeded at the same density. Moreover, the protective effect of astrocytes depended on the astrocytes/neurons ratio, a significant neuroprotection being detectable for 1 astrocyte to 20 neurons. Catalase seems to be the main hydrogen peroxidase activity involved in the neuroprotective effect of astrocytes. Indeed, in the culture conditions used, this enzymatic activity was enriched in this cell type compared with neurons; its inhibition, and not that of glutathione peroxidase, reduced the disappearance rate of the oxidant. On the contrary, glutathione peroxidase appeared to be the main enzymatic activity involved in the neuronal defense against H2O2 toxicity. Therefore, astrocytes could delay neuronal death in pathological situations in which H2O2 has been, at least partially, demonstrated to be involved.", "author" : [ { "dropping-particle" : "", "family" : "Desagher", "given" : "S", "non-dropping-particle" : "", "parse-names" : false, "suffix" : "" }, { "dropping-particle" : "", "family" : "Glowinski", "given" : "J", "non-dropping-particle" : "", "parse-names" : false, "suffix" : "" }, { "dropping-particle" : "", "family" : "Premont", "given" : "J", "non-dropping-particle" : "", "parse-names" : false, "suffix" : "" } ], "container-title" : "The Journal of neuroscience : the official journal of the Society for Neuroscience", "id" : "ITEM-1", "issue" : "8", "issued" : { "date-parts" : [ [ "1996", "4", "15" ] ] }, "page" : "2553-62", "title" : "Astrocytes protect neurons from hydrogen peroxide toxicity.", "type" : "article-journal", "volume" : "16" }, "uris" : [ "http://www.mendeley.com/documents/?uuid=a4fb3ead-4cf3-4d18-a5ef-1c86c2a6ed62" ] }, { "id" : "ITEM-2", "itemData" : { "DOI" : "10.1007/s00401-009-0619-8", "ISSN" : "1432-0533", "PMID" : "20012068", "abstract" : "Astrocytes are specialized glial cells that outnumber neurons by over fivefold. They contiguously tile the entire central nervous system (CNS) and exert many essential complex functions in the healthy CNS. Astrocytes respond to all forms of CNS insults through a process referred to as reactive astrogliosis, which has become a pathological hallmark of CNS structural lesions. Substantial progress has been made recently in determining functions and mechanisms of reactive astrogliosis and in identifying roles of astrocytes in CNS disorders and pathologies. A vast molecular arsenal at the disposal of reactive astrocytes is being defined. Transgenic mouse models are dissecting specific aspects of reactive astrocytosis and glial scar formation in vivo. Astrocyte involvement in specific clinicopathological entities is being defined. It is now clear that reactive astrogliosis is not a simple all-or-none phenomenon but is a finely gradated continuum of changes that occur in context-dependent manners regulated by specific signaling events. These changes range from reversible alterations in gene expression and cell hypertrophy with preservation of cellular domains and tissue structure, to long-lasting scar formation with rearrangement of tissue structure. Increasing evidence points towards the potential of reactive astrogliosis to play either primary or contributing roles in CNS disorders via loss of normal astrocyte functions or gain of abnormal effects. This article reviews (1) astrocyte functions in healthy CNS, (2) mechanisms and functions of reactive astrogliosis and glial scar formation, and (3) ways in which reactive astrocytes may cause or contribute to specific CNS disorders and lesions.", "author" : [ { "dropping-particle" : "V", "family" : "Sofroniew", "given" : "Michael", "non-dropping-particle" : "", "parse-names" : false, "suffix" : "" }, { "dropping-particle" : "V", "family" : "Vinters", "given" : "Harry", "non-dropping-particle" : "", "parse-names" : false, "suffix" : "" } ], "container-title" : "Acta neuropathologica", "id" : "ITEM-2", "issue" : "1", "issued" : { "date-parts" : [ [ "2010", "1" ] ] }, "page" : "7-35", "title" : "Astrocytes: biology and pathology.", "type" : "article-journal", "volume" : "119" }, "uris" : [ "http://www.mendeley.com/documents/?uuid=bf2ee37c-8e17-46aa-bdfc-f927d7b6a5a6" ] }, { "id" : "ITEM-3", "itemData" : { "DOI" : "10.1038/srep21250", "ISSN" : "2045-2322", "PMID" : "26893204", "abstract" : "Converging experimental data indicate a neuroprotective action of L-Lactate. Using Digital Holographic Microscopy, we observe that transient application of glutamate (100\u2009\u03bcM; 2\u2009min) elicits a NMDA-dependent death in 65% of mouse cortical neurons in culture. In the presence of L-Lactate (or Pyruvate), the percentage of neuronal death decreases to 32%. UK5099, a blocker of the Mitochondrial Pyruvate Carrier, fully prevents L-Lactate-mediated neuroprotection. In addition, L-Lactate-induced neuroprotection is not only inhibited by probenicid and carbenoxolone, two blockers of ATP channel pannexins, but also abolished by apyrase, an enzyme degrading ATP, suggesting that ATP produced by the Lactate/Pyruvate pathway is released to act on purinergic receptors in an autocrine/paracrine manner. Finally, pharmacological approaches support the involvement of the P2Y receptors associated to the PI3-kinase pathway, leading to activation of KATP channels. This set of results indicates that L-Lactate acts as a signalling molecule for neuroprotection against excitotoxicity through coordinated cellular pathways involving ATP production, release and activation of a P2Y/KATP cascade.", "author" : [ { "dropping-particle" : "", "family" : "Jourdain", "given" : "P", "non-dropping-particle" : "", "parse-names" : false, "suffix" : "" }, { "dropping-particle" : "", "family" : "Allaman", "given" : "I", "non-dropping-particle" : "", "parse-names" : false, "suffix" : "" }, { "dropping-particle" : "", "family" : "Rothenfusser", "given" : "K", "non-dropping-particle" : "", "parse-names" : false, "suffix" : "" }, { "dropping-particle" : "", "family" : "Fiumelli", "given" : "H", "non-dropping-particle" : "", "parse-names" : false, "suffix" : "" }, { "dropping-particle" : "", "family" : "Marquet", "given" : "P", "non-dropping-particle" : "", "parse-names" : false, "suffix" : "" }, { "dropping-particle" : "", "family" : "Magistretti", "given" : "P J", "non-dropping-particle" : "", "parse-names" : false, "suffix" : "" } ], "container-title" : "Scientific reports", "id" : "ITEM-3", "issued" : { "date-parts" : [ [ "2016", "1" ] ] }, "page" : "21250", "title" : "L-Lactate protects neurons against excitotoxicity: implication of an ATP-mediated signaling cascade.", "type" : "article-journal", "volume" : "6" }, "uris" : [ "http://www.mendeley.com/documents/?uuid=1afec693-2289-4a16-b485-c308f38df367" ] }, { "id" : "ITEM-4", "itemData" : { "DOI" : "10.1038/jcbfm.1993.19", "ISSN" : "0271-678X", "PMID" : "8417005", "abstract" : "Glia perform several energy-dependent functions that may aid neuronal survival under pathological conditions. Glycogen is the major energy reserve in brain, and it is localized almost exclusively to astrocytes. Using murine cortical cell cultures containing both glia and neurons, we examined the effect of altered glial glycogen stores on neuronal survival following glucose deprivation. As previously reported, cultures exposed for several hours to media lacking glucose developed widespread neuronal degeneration without glial degeneration. If glial astrocyte glycogen content was increased to 2-3 times control levels by a 24-h pretreatment with 1 microM insulin or 0.5 mM methionine sulfoximine (MSO), glucose deprivation-induced neuronal degeneration was attenuated. These protective effects were blocked if glycogen levels were reduced back to control levels by a 30-min exposure to 1 mM dibutyryl cyclic AMP or 20 microM norepinephrine prior to glucose deprivation. Astrocyte glycogen stores may be an important factor influencing neuronal survival under conditions of energy substrate limitation.", "author" : [ { "dropping-particle" : "", "family" : "Swanson", "given" : "R A", "non-dropping-particle" : "", "parse-names" : false, "suffix" : "" }, { "dropping-particle" : "", "family" : "Choi", "given" : "D W", "non-dropping-particle" : "", "parse-names" : false, "suffix" : "" } ], "container-title" : "Journal of cerebral blood flow and metabolism : official journal of the International Society of Cerebral Blood Flow and Metabolism", "id" : "ITEM-4", "issue" : "1", "issued" : { "date-parts" : [ [ "1993", "1", "1" ] ] }, "language" : "en", "page" : "162-9", "publisher" : "SAGE Publications", "title" : "Glial glycogen stores affect neuronal survival during glucose deprivation in vitro.", "type" : "article-journal", "volume" : "13" }, "uris" : [ "http://www.mendeley.com/documents/?uuid=45a2ced4-ab61-4d6c-bc95-226eee45d2a4" ] } ], "mendeley" : { "formattedCitation" : "(Desagher et al. 1996b; Sofroniew &amp; Vinters 2010; Jourdain et al. 2016; Swanson &amp; Choi 1993)", "manualFormatting" : "(Desagher et al., 1996; Jourdain et al., 2016; Sofroniew &amp; Vinters, 2010; Swanson &amp; Choi, 1993)", "plainTextFormattedCitation" : "(Desagher et al. 1996b; Sofroniew &amp; Vinters 2010; Jourdain et al. 2016; Swanson &amp; Choi 1993)", "previouslyFormattedCitation" : "(Desagher et al. 1996b; Sofroniew &amp; Vinters 2010; Jourdain et al. 2016; Swanson &amp; Choi 1993)" }, "properties" : { "noteIndex" : 0 }, "schema" : "https://github.com/citation-style-language/schema/raw/master/csl-citation.json" }</w:instrText>
      </w:r>
      <w:r w:rsidR="00797FC9" w:rsidRPr="00797FC9">
        <w:rPr>
          <w:rFonts w:ascii="Times New Roman" w:hAnsi="Times New Roman" w:cs="Times New Roman"/>
        </w:rPr>
        <w:fldChar w:fldCharType="separate"/>
      </w:r>
      <w:r w:rsidR="00797FC9">
        <w:rPr>
          <w:rFonts w:ascii="Times New Roman" w:hAnsi="Times New Roman" w:cs="Times New Roman"/>
          <w:noProof/>
        </w:rPr>
        <w:t>(Desagher et al., 1996</w:t>
      </w:r>
      <w:r w:rsidR="00797FC9" w:rsidRPr="00797FC9">
        <w:rPr>
          <w:rFonts w:ascii="Times New Roman" w:hAnsi="Times New Roman" w:cs="Times New Roman"/>
          <w:noProof/>
        </w:rPr>
        <w:t>; Jourdain et al., 2016; Sofroniew &amp; Vinters, 2010; Swanson &amp; Choi, 1993)</w:t>
      </w:r>
      <w:r w:rsidR="00797FC9" w:rsidRPr="00797FC9">
        <w:rPr>
          <w:rFonts w:ascii="Times New Roman" w:hAnsi="Times New Roman" w:cs="Times New Roman"/>
        </w:rPr>
        <w:fldChar w:fldCharType="end"/>
      </w:r>
      <w:r w:rsidRPr="00797FC9">
        <w:rPr>
          <w:rFonts w:ascii="Times New Roman" w:hAnsi="Times New Roman" w:cs="Times New Roman"/>
        </w:rPr>
        <w:t>.</w:t>
      </w:r>
      <w:r w:rsidRPr="001433F4">
        <w:rPr>
          <w:rFonts w:ascii="Times New Roman" w:hAnsi="Times New Roman" w:cs="Times New Roman"/>
        </w:rPr>
        <w:t xml:space="preserve">  Therefore a co-culture system was developed in order to model the effects of impaired IGF1 signalling in a novel co-culture system.</w:t>
      </w:r>
    </w:p>
    <w:p w14:paraId="0D40485C" w14:textId="77777777" w:rsidR="00615CBD" w:rsidRPr="001433F4" w:rsidRDefault="00615CBD" w:rsidP="00302245">
      <w:pPr>
        <w:spacing w:line="360" w:lineRule="auto"/>
        <w:jc w:val="both"/>
        <w:rPr>
          <w:rFonts w:ascii="Times New Roman" w:hAnsi="Times New Roman" w:cs="Times New Roman"/>
        </w:rPr>
      </w:pPr>
    </w:p>
    <w:p w14:paraId="4940CA19" w14:textId="665855C3" w:rsidR="00E70D62" w:rsidRDefault="00AC7BB4" w:rsidP="00E70D62">
      <w:pPr>
        <w:pStyle w:val="Heading3"/>
      </w:pPr>
      <w:bookmarkStart w:id="2462" w:name="_Toc331426011"/>
      <w:bookmarkStart w:id="2463" w:name="_Toc331427183"/>
      <w:bookmarkStart w:id="2464" w:name="_Toc331427555"/>
      <w:bookmarkStart w:id="2465" w:name="_Toc331427697"/>
      <w:bookmarkStart w:id="2466" w:name="_Toc332972702"/>
      <w:bookmarkStart w:id="2467" w:name="_Toc333046981"/>
      <w:bookmarkStart w:id="2468" w:name="_Toc333477328"/>
      <w:bookmarkStart w:id="2469" w:name="_Toc333478098"/>
      <w:bookmarkStart w:id="2470" w:name="_Toc333644998"/>
      <w:r>
        <w:t xml:space="preserve">6.3.2 </w:t>
      </w:r>
      <w:r w:rsidR="00E70D62">
        <w:t>A novel human co-culture system</w:t>
      </w:r>
      <w:bookmarkEnd w:id="2462"/>
      <w:bookmarkEnd w:id="2463"/>
      <w:bookmarkEnd w:id="2464"/>
      <w:bookmarkEnd w:id="2465"/>
      <w:bookmarkEnd w:id="2466"/>
      <w:bookmarkEnd w:id="2467"/>
      <w:bookmarkEnd w:id="2468"/>
      <w:bookmarkEnd w:id="2469"/>
      <w:bookmarkEnd w:id="2470"/>
    </w:p>
    <w:p w14:paraId="5595EA10" w14:textId="77777777" w:rsidR="00E70D62" w:rsidRPr="001433F4" w:rsidRDefault="00E70D62" w:rsidP="00E70D62">
      <w:pPr>
        <w:rPr>
          <w:rFonts w:ascii="Times New Roman" w:hAnsi="Times New Roman" w:cs="Times New Roman"/>
          <w:color w:val="FF0000"/>
        </w:rPr>
      </w:pPr>
    </w:p>
    <w:p w14:paraId="127D2755" w14:textId="6E739CE5" w:rsidR="00230C9A" w:rsidRDefault="00C01920" w:rsidP="0052651A">
      <w:pPr>
        <w:spacing w:line="360" w:lineRule="auto"/>
        <w:jc w:val="both"/>
        <w:rPr>
          <w:rFonts w:ascii="Times New Roman" w:hAnsi="Times New Roman" w:cs="Times New Roman"/>
        </w:rPr>
      </w:pPr>
      <w:r>
        <w:rPr>
          <w:rFonts w:ascii="Times New Roman" w:hAnsi="Times New Roman" w:cs="Times New Roman"/>
        </w:rPr>
        <w:t xml:space="preserve">A </w:t>
      </w:r>
      <w:r w:rsidR="00230C9A">
        <w:rPr>
          <w:rFonts w:ascii="Times New Roman" w:hAnsi="Times New Roman" w:cs="Times New Roman"/>
        </w:rPr>
        <w:t xml:space="preserve">novel human </w:t>
      </w:r>
      <w:r>
        <w:rPr>
          <w:rFonts w:ascii="Times New Roman" w:hAnsi="Times New Roman" w:cs="Times New Roman"/>
        </w:rPr>
        <w:t>co-culture m</w:t>
      </w:r>
      <w:r w:rsidR="00230C9A">
        <w:rPr>
          <w:rFonts w:ascii="Times New Roman" w:hAnsi="Times New Roman" w:cs="Times New Roman"/>
        </w:rPr>
        <w:t>odel was established using ScienCell</w:t>
      </w:r>
      <w:r>
        <w:rPr>
          <w:rFonts w:ascii="Times New Roman" w:hAnsi="Times New Roman" w:cs="Times New Roman"/>
        </w:rPr>
        <w:t xml:space="preserve"> astrocytes</w:t>
      </w:r>
      <w:r w:rsidR="00615CBD">
        <w:rPr>
          <w:rFonts w:ascii="Times New Roman" w:hAnsi="Times New Roman" w:cs="Times New Roman"/>
        </w:rPr>
        <w:t xml:space="preserve"> and LUHMES. Although LUHMES were</w:t>
      </w:r>
      <w:r>
        <w:rPr>
          <w:rFonts w:ascii="Times New Roman" w:hAnsi="Times New Roman" w:cs="Times New Roman"/>
        </w:rPr>
        <w:t xml:space="preserve"> originally derived from the midbrain, have a dopaminergic background and </w:t>
      </w:r>
      <w:r w:rsidR="009334A5">
        <w:rPr>
          <w:rFonts w:ascii="Times New Roman" w:hAnsi="Times New Roman" w:cs="Times New Roman"/>
        </w:rPr>
        <w:t>have been</w:t>
      </w:r>
      <w:r>
        <w:rPr>
          <w:rFonts w:ascii="Times New Roman" w:hAnsi="Times New Roman" w:cs="Times New Roman"/>
        </w:rPr>
        <w:t xml:space="preserve"> widely used in Parkinson’s disease research, there are several advantages of using them to develop a co-culture model in the context of understanding mechanisms that</w:t>
      </w:r>
      <w:r w:rsidR="00481FC2">
        <w:rPr>
          <w:rFonts w:ascii="Times New Roman" w:hAnsi="Times New Roman" w:cs="Times New Roman"/>
        </w:rPr>
        <w:t xml:space="preserve"> may be driving AD progression. </w:t>
      </w:r>
    </w:p>
    <w:p w14:paraId="3D2F01EC" w14:textId="77777777" w:rsidR="00230C9A" w:rsidRDefault="00230C9A" w:rsidP="0052651A">
      <w:pPr>
        <w:spacing w:line="360" w:lineRule="auto"/>
        <w:jc w:val="both"/>
        <w:rPr>
          <w:rFonts w:ascii="Times New Roman" w:hAnsi="Times New Roman" w:cs="Times New Roman"/>
        </w:rPr>
      </w:pPr>
    </w:p>
    <w:p w14:paraId="0B7693DF" w14:textId="7485BD39" w:rsidR="001433F4" w:rsidRDefault="00263D2D" w:rsidP="0052651A">
      <w:pPr>
        <w:spacing w:line="360" w:lineRule="auto"/>
        <w:jc w:val="both"/>
        <w:rPr>
          <w:rFonts w:ascii="Times New Roman" w:hAnsi="Times New Roman" w:cs="Times New Roman"/>
        </w:rPr>
      </w:pPr>
      <w:r>
        <w:rPr>
          <w:rFonts w:ascii="Times New Roman" w:hAnsi="Times New Roman" w:cs="Times New Roman"/>
        </w:rPr>
        <w:t>LUHMES exist in an immortalised state</w:t>
      </w:r>
      <w:r w:rsidR="00230C9A">
        <w:rPr>
          <w:rFonts w:ascii="Times New Roman" w:hAnsi="Times New Roman" w:cs="Times New Roman"/>
        </w:rPr>
        <w:t xml:space="preserve"> due to the presence of a v-myc oncogene</w:t>
      </w:r>
      <w:r>
        <w:rPr>
          <w:rFonts w:ascii="Times New Roman" w:hAnsi="Times New Roman" w:cs="Times New Roman"/>
        </w:rPr>
        <w:t>, which means a large quantity of cells can be produced</w:t>
      </w:r>
      <w:r w:rsidR="00EB01BE">
        <w:rPr>
          <w:rFonts w:ascii="Times New Roman" w:hAnsi="Times New Roman" w:cs="Times New Roman"/>
        </w:rPr>
        <w:t xml:space="preserve"> in</w:t>
      </w:r>
      <w:r w:rsidR="00230C9A">
        <w:rPr>
          <w:rFonts w:ascii="Times New Roman" w:hAnsi="Times New Roman" w:cs="Times New Roman"/>
        </w:rPr>
        <w:t xml:space="preserve"> a short period of time and with their differentiation</w:t>
      </w:r>
      <w:r w:rsidR="00490AC8">
        <w:rPr>
          <w:rFonts w:ascii="Times New Roman" w:hAnsi="Times New Roman" w:cs="Times New Roman"/>
        </w:rPr>
        <w:t xml:space="preserve"> into post-mitotic neurons</w:t>
      </w:r>
      <w:r w:rsidR="00230C9A">
        <w:rPr>
          <w:rFonts w:ascii="Times New Roman" w:hAnsi="Times New Roman" w:cs="Times New Roman"/>
        </w:rPr>
        <w:t xml:space="preserve"> taking less than a week</w:t>
      </w:r>
      <w:r w:rsidR="00490AC8">
        <w:rPr>
          <w:rFonts w:ascii="Times New Roman" w:hAnsi="Times New Roman" w:cs="Times New Roman"/>
        </w:rPr>
        <w:t>,</w:t>
      </w:r>
      <w:r w:rsidR="00230C9A">
        <w:rPr>
          <w:rFonts w:ascii="Times New Roman" w:hAnsi="Times New Roman" w:cs="Times New Roman"/>
        </w:rPr>
        <w:t xml:space="preserve"> this makes them an attractive neuronal </w:t>
      </w:r>
      <w:r w:rsidR="005F46AF">
        <w:rPr>
          <w:rFonts w:ascii="Times New Roman" w:hAnsi="Times New Roman" w:cs="Times New Roman"/>
        </w:rPr>
        <w:t>cell type to use.</w:t>
      </w:r>
      <w:r>
        <w:rPr>
          <w:rFonts w:ascii="Times New Roman" w:hAnsi="Times New Roman" w:cs="Times New Roman"/>
        </w:rPr>
        <w:t xml:space="preserve"> </w:t>
      </w:r>
      <w:r w:rsidR="00851D02">
        <w:rPr>
          <w:rFonts w:ascii="Times New Roman" w:hAnsi="Times New Roman" w:cs="Times New Roman"/>
        </w:rPr>
        <w:t xml:space="preserve">In addition LUHMES express Aβ </w:t>
      </w:r>
      <w:r w:rsidR="00851D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"10.1016/j.neurobiolaging.2012.03.012", "ISSN" : "01974580", "abstract" : "Few studies have compared the processing of endogenous human amyloid precursor protein (APP) in younger and older neurons. Here, we characterized LUHMES cells as a human model to study Alzheimer's disease-related processes during neuronal maturation and aging. Differentiated LUHMES expressed and spontaneously processed APP via the secretase pathways, and they secreted amyloid \u03b2 (A\u03b2) peptide. This was inhibited by cholesterol depletion or secretase inhibition, but not by block of tau phosphorylation. In vitro aged cells increased A\u03b2 secretion without upregulation of APP or secretases. We identified the medium constituent glial cell line-derived neurotrophic factor (GDNF) as responsible for this effect. GDNF-triggered A\u03b2 release was associated with rapid upregulation of the GDNF coreceptor \u201crearranged during transfection\u201d (RET). Other direct (neurturin) or indirect (nerve growth factor) RET activators also increased A\u03b2, whereas different neurotrophins were ineffective. Downstream of RET, we found activation of protein kinase B (AKT) to be involved. Accordingly, inhibitors of the AKT regulator phosphatidylinositol-3-kinase completely blocked GDNF-triggered AKT phosphorylation and A\u03b2 increase. This suggests that RET signaling affects A\u03b2 release from aging neurons.", "author" : [ { "dropping-particle" : "", "family" : "Scholz", "given" : "Diana", "non-dropping-particle" : "", "parse-names" : false, "suffix" : "" }, { "dropping-particle" : "", "family" : "Chernyshova", "given" : "Yana", "non-dropping-particle" : "", "parse-names" : false, "suffix" : "" }, { "dropping-particle" : "", "family" : "Leist", "given" : "Marcel", "non-dropping-particle" : "", "parse-names" : false, "suffix" : "" } ], "container-title" : "Neurobiology of Aging", "id" : "ITEM-1", "issue" : "1", "issued" : { "date-parts" : [ [ "2013" ] ] }, "page" : "184-199", "title" : "Control of A\u03b2 release from human neurons by differentiation status and RET signaling", "type" : "article-journal", "volume" : "34" }, "uris" : [ "http://www.mendeley.com/documents/?uuid=836a1361-c773-38e0-aac7-76ff8c6c8764" ] } ], "mendeley" : { "formattedCitation" : "(Scholz et al. 2013)", "plainTextFormattedCitation" : "(Scholz et al. 2013)", "previouslyFormattedCitation" : "(Scholz et al. 2013)" }, "properties" : { "noteIndex" : 0 }, "schema" : "https://github.com/citation-style-language/schema/raw/master/csl-citation.json" }</w:instrText>
      </w:r>
      <w:r w:rsidR="00851D02">
        <w:rPr>
          <w:rFonts w:ascii="Times New Roman" w:hAnsi="Times New Roman" w:cs="Times New Roman"/>
        </w:rPr>
        <w:fldChar w:fldCharType="separate"/>
      </w:r>
      <w:r w:rsidR="00C148FC" w:rsidRPr="00C148FC">
        <w:rPr>
          <w:rFonts w:ascii="Times New Roman" w:hAnsi="Times New Roman" w:cs="Times New Roman"/>
          <w:noProof/>
        </w:rPr>
        <w:t>(Scholz et al. 2013)</w:t>
      </w:r>
      <w:r w:rsidR="00851D02">
        <w:rPr>
          <w:rFonts w:ascii="Times New Roman" w:hAnsi="Times New Roman" w:cs="Times New Roman"/>
        </w:rPr>
        <w:fldChar w:fldCharType="end"/>
      </w:r>
      <w:r w:rsidR="00851D02">
        <w:rPr>
          <w:rFonts w:ascii="Times New Roman" w:hAnsi="Times New Roman" w:cs="Times New Roman"/>
        </w:rPr>
        <w:t>, which makes them a relevant model for AD research and have been successfully co-cultured with immortalised murine astrocytes and human astrocytes (not including the f</w:t>
      </w:r>
      <w:r w:rsidR="00445AC0">
        <w:rPr>
          <w:rFonts w:ascii="Times New Roman" w:hAnsi="Times New Roman" w:cs="Times New Roman"/>
        </w:rPr>
        <w:t>o</w:t>
      </w:r>
      <w:r w:rsidR="00851D02">
        <w:rPr>
          <w:rFonts w:ascii="Times New Roman" w:hAnsi="Times New Roman" w:cs="Times New Roman"/>
        </w:rPr>
        <w:t xml:space="preserve">etal human ScienCell astrocytes used here) to investigate astrocytic support for neuronal networks following cytokine challenge </w:t>
      </w:r>
      <w:r w:rsidR="00851D0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"10.1007/s00204-016-1702-2", "ISSN" : "1432-0738", "PMID" : "27052459", "abstract" : "Astrocytes, the largest cell population in the human brain, are powerful inflammatory effectors. Several studies have examined the interaction of activated astrocytes with neurons, but little is known yet about human neurotoxicity under such situations and about strategies of neuronal rescue. To address this question, immortalized murine astrocytes (IMA) were combined with human LUHMES neurons and stimulated with an inflammatory (TNF, IL-1) cytokine mix (CM). Neurotoxicity was studied both in co-cultures and in monocultures after transfer of conditioned medium from activated IMA. Interventions with &gt;20 drugs were used to profile the model system. Control IMA supported neurons and protected them from neurotoxicants. Inflammatory activation reduced this protection, and prolonged exposure of co-cultures to CM triggered neurotoxicity. Neither the added cytokines nor the release of NO from astrocytes were involved in this neurodegeneration. The neurotoxicity-mediating effect of IMA was faithfully reproduced by human astrocytes. Moreover, glia-dependent toxicity was also observed, when IMA cultures were stimulated with CM, and the culture medium was transferred to neurons. Such neurotoxicity was prevented when astrocytes were treated by p38 kinase inhibitors or dexamethasone, whereas such compounds had no effect when added to neurons. Conversely, treatment of neurons with five different drugs, including resveratrol and CEP1347, prevented toxicity of astrocyte supernatants. Thus, the sequential IMA-LUHMES neuroinflammation model is suitable for separate profiling of both glial-directed and directly neuroprotective strategies. Moreover, direct evaluation in co-cultures of the same cells allows for testing of therapeutic effectiveness in more complex settings, in which astrocytes affect pharmacological properties of neurons.", "author" : [ { "dropping-particle" : "", "family" : "Efremova", "given" : "Liudmila", "non-dropping-particle" : "", "parse-names" : false, "suffix" : "" }, { "dropping-particle" : "", "family" : "Chovancova", "given" : "Petra", "non-dropping-particle" : "", "parse-names" : false, "suffix" : "" }, { "dropping-particle" : "", "family" : "Adam", "given" : "Martina", "non-dropping-particle" : "", "parse-names" : false, "suffix" : "" }, { "dropping-particle" : "", "family" : "Gutbier", "given" : "Simon", "non-dropping-particle" : "", "parse-names" : false, "suffix" : "" }, { "dropping-particle" : "", "family" : "Schildknecht", "given" : "Stefan", "non-dropping-particle" : "", "parse-names" : false, "suffix" : "" }, { "dropping-particle" : "", "family" : "Leist", "given" : "Marcel", "non-dropping-particle" : "", "parse-names" : false, "suffix" : "" } ], "container-title" : "Archives of toxicology", "id" : "ITEM-1", "issued" : { "date-parts" : [ [ "2016", "4", "6" ] ] }, "title" : "Switching from astrocytic neuroprotection to neurodegeneration by cytokine stimulation.", "type" : "article-journal" }, "uris" : [ "http://www.mendeley.com/documents/?uuid=f236ff3c-d4b5-3ea5-9ab9-6252d46d0b4b" ] } ], "mendeley" : { "formattedCitation" : "(Efremova et al. 2016b)", "manualFormatting" : "(Efremova et al., 2016)", "plainTextFormattedCitation" : "(Efremova et al. 2016b)", "previouslyFormattedCitation" : "(Efremova et al. 2016b)" }, "properties" : { "noteIndex" : 0 }, "schema" : "https://github.com/citation-style-language/schema/raw/master/csl-citation.json" }</w:instrText>
      </w:r>
      <w:r w:rsidR="00851D02">
        <w:rPr>
          <w:rFonts w:ascii="Times New Roman" w:hAnsi="Times New Roman" w:cs="Times New Roman"/>
        </w:rPr>
        <w:fldChar w:fldCharType="separate"/>
      </w:r>
      <w:r w:rsidR="00851D02" w:rsidRPr="00367418">
        <w:rPr>
          <w:rFonts w:ascii="Times New Roman" w:hAnsi="Times New Roman" w:cs="Times New Roman"/>
          <w:noProof/>
        </w:rPr>
        <w:t>(Efremova et al.,</w:t>
      </w:r>
      <w:r w:rsidR="00851D02">
        <w:rPr>
          <w:rFonts w:ascii="Times New Roman" w:hAnsi="Times New Roman" w:cs="Times New Roman"/>
          <w:noProof/>
        </w:rPr>
        <w:t xml:space="preserve"> 2016</w:t>
      </w:r>
      <w:r w:rsidR="00851D02" w:rsidRPr="00367418">
        <w:rPr>
          <w:rFonts w:ascii="Times New Roman" w:hAnsi="Times New Roman" w:cs="Times New Roman"/>
          <w:noProof/>
        </w:rPr>
        <w:t>)</w:t>
      </w:r>
      <w:r w:rsidR="00851D02">
        <w:rPr>
          <w:rFonts w:ascii="Times New Roman" w:hAnsi="Times New Roman" w:cs="Times New Roman"/>
        </w:rPr>
        <w:fldChar w:fldCharType="end"/>
      </w:r>
      <w:r w:rsidR="00851D02">
        <w:rPr>
          <w:rFonts w:ascii="Times New Roman" w:hAnsi="Times New Roman" w:cs="Times New Roman"/>
        </w:rPr>
        <w:t xml:space="preserve">. </w:t>
      </w:r>
      <w:r>
        <w:rPr>
          <w:rFonts w:ascii="Times New Roman" w:hAnsi="Times New Roman" w:cs="Times New Roman"/>
        </w:rPr>
        <w:t>Previously NT2 cells have been used to establish</w:t>
      </w:r>
      <w:r w:rsidR="00230C9A">
        <w:rPr>
          <w:rFonts w:ascii="Times New Roman" w:hAnsi="Times New Roman" w:cs="Times New Roman"/>
        </w:rPr>
        <w:t xml:space="preserve"> human</w:t>
      </w:r>
      <w:r>
        <w:rPr>
          <w:rFonts w:ascii="Times New Roman" w:hAnsi="Times New Roman" w:cs="Times New Roman"/>
        </w:rPr>
        <w:t xml:space="preserve"> astrocyte-neuron co-cultures</w:t>
      </w:r>
      <w:r w:rsidR="00230C9A">
        <w:rPr>
          <w:rFonts w:ascii="Times New Roman" w:hAnsi="Times New Roman" w:cs="Times New Roman"/>
        </w:rPr>
        <w:t xml:space="preserve"> </w:t>
      </w:r>
      <w:r w:rsidR="007360FC">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"10.1371/journal.pone.0036098", "ISSN" : "1932-6203", "PMID" : "22567128", "abstract" : "A major focus of stem cell research is the generation of neurons that may then be implanted to treat neurodegenerative diseases. However, a picture is emerging where astrocytes are partners to neurons in sustaining and modulating brain function. We therefore investigated the functional properties of NT2 derived astrocytes and neurons using electrophysiological and calcium imaging approaches. NT2 neurons (NT2Ns) expressed sodium dependent action potentials, as well as responses to depolarisation and the neurotransmitter glutamate. NT2Ns exhibited spontaneous and coordinated calcium elevations in clusters and in extended processes, indicating local and long distance signalling. Tetrodotoxin sensitive network activity could also be evoked by electrical stimulation. Similarly, NT2 astrocytes (NT2As) exhibited morphology and functional properties consistent with this glial cell type. NT2As responded to neuronal activity and to exogenously applied neurotransmitters with calcium elevations, and in contrast to neurons, also exhibited spontaneous rhythmic calcium oscillations. NT2As also generated propagating calcium waves that were gap junction and purinergic signalling dependent. Our results show that NT2 derived astrocytes exhibit appropriate functionality and that NT2N networks interact with NT2A networks in co-culture. These findings underline the utility of such cultures to investigate human brain cell type signalling under controlled conditions. Furthermore, since stem cell derived neuron function and survival is of great importance therapeutically, our findings suggest that the presence of complementary astrocytes may be valuable in supporting stem cell derived neuronal networks. Indeed, this also supports the intriguing possibility of selective therapeutic replacement of astrocytes in diseases where these cells are either lost or lose functionality.", "author" : [ { "dropping-particle" : "", "family" : "Hill", "given" : "Eric J", "non-dropping-particle" : "", "parse-names" : false, "suffix" : "" }, { "dropping-particle" : "", "family" : "Jim\u00e9nez-Gonz\u00e1lez", "given" : "Cristina", "non-dropping-particle" : "", "parse-names" : false, "suffix" : "" }, { "dropping-particle" : "", "family" : "Tarczyluk", "given" : "Marta", "non-dropping-particle" : "", "parse-names" : false, "suffix" : "" }, { "dropping-particle" : "", "family" : "Nagel", "given" : "David A", "non-dropping-particle" : "", "parse-names" : false, "suffix" : "" }, { "dropping-particle" : "", "family" : "Coleman", "given" : "Michael D", "non-dropping-particle" : "", "parse-names" : false, "suffix" : "" }, { "dropping-particle" : "", "family" : "Parri", "given" : "H Rheinallt", "non-dropping-particle" : "", "parse-names" : false, "suffix" : "" } ], "container-title" : "PloS one", "id" : "ITEM-1", "issue" : "5", "issued" : { "date-parts" : [ [ "2012", "1", "2" ] ] }, "page" : "e36098", "publisher" : "Public Library of Science", "title" : "NT2 derived neuronal and astrocytic network signalling.", "type" : "article-journal", "volume" : "7" }, "uris" : [ "http://www.mendeley.com/documents/?uuid=9cd64ad7-ad50-4f5b-9564-eadced04a8de" ] } ], "mendeley" : { "formattedCitation" : "(Hill et al. 2012)", "plainTextFormattedCitation" : "(Hill et al. 2012)", "previouslyFormattedCitation" : "(Hill et al. 2012)" }, "properties" : { "noteIndex" : 0 }, "schema" : "https://github.com/citation-style-language/schema/raw/master/csl-citation.json" }</w:instrText>
      </w:r>
      <w:r w:rsidR="007360FC">
        <w:rPr>
          <w:rFonts w:ascii="Times New Roman" w:hAnsi="Times New Roman" w:cs="Times New Roman"/>
        </w:rPr>
        <w:fldChar w:fldCharType="separate"/>
      </w:r>
      <w:r w:rsidR="00C148FC" w:rsidRPr="00C148FC">
        <w:rPr>
          <w:rFonts w:ascii="Times New Roman" w:hAnsi="Times New Roman" w:cs="Times New Roman"/>
          <w:noProof/>
        </w:rPr>
        <w:t>(Hill et al. 2012)</w:t>
      </w:r>
      <w:r w:rsidR="007360FC">
        <w:rPr>
          <w:rFonts w:ascii="Times New Roman" w:hAnsi="Times New Roman" w:cs="Times New Roman"/>
        </w:rPr>
        <w:fldChar w:fldCharType="end"/>
      </w:r>
      <w:r>
        <w:rPr>
          <w:rFonts w:ascii="Times New Roman" w:hAnsi="Times New Roman" w:cs="Times New Roman"/>
        </w:rPr>
        <w:t xml:space="preserve">, however these cells are derived from </w:t>
      </w:r>
      <w:r w:rsidR="00853C1A">
        <w:rPr>
          <w:rFonts w:ascii="Times New Roman" w:hAnsi="Times New Roman" w:cs="Times New Roman"/>
        </w:rPr>
        <w:t xml:space="preserve">embryonic </w:t>
      </w:r>
      <w:r>
        <w:rPr>
          <w:rFonts w:ascii="Times New Roman" w:hAnsi="Times New Roman" w:cs="Times New Roman"/>
        </w:rPr>
        <w:t>tetracarci</w:t>
      </w:r>
      <w:r w:rsidR="00851D02">
        <w:rPr>
          <w:rFonts w:ascii="Times New Roman" w:hAnsi="Times New Roman" w:cs="Times New Roman"/>
        </w:rPr>
        <w:t>nomas and likely to feature several</w:t>
      </w:r>
      <w:r>
        <w:rPr>
          <w:rFonts w:ascii="Times New Roman" w:hAnsi="Times New Roman" w:cs="Times New Roman"/>
        </w:rPr>
        <w:t xml:space="preserve"> oncogenic mutations. As this study investigated the effects of impairing an on</w:t>
      </w:r>
      <w:r w:rsidR="00230C9A">
        <w:rPr>
          <w:rFonts w:ascii="Times New Roman" w:hAnsi="Times New Roman" w:cs="Times New Roman"/>
        </w:rPr>
        <w:t>co</w:t>
      </w:r>
      <w:r>
        <w:rPr>
          <w:rFonts w:ascii="Times New Roman" w:hAnsi="Times New Roman" w:cs="Times New Roman"/>
        </w:rPr>
        <w:t>genic pathway, using the NT2 cells to establish co-cultures did not seem an appropriate system</w:t>
      </w:r>
      <w:r w:rsidR="00230C9A">
        <w:rPr>
          <w:rFonts w:ascii="Times New Roman" w:hAnsi="Times New Roman" w:cs="Times New Roman"/>
        </w:rPr>
        <w:t xml:space="preserve"> to use</w:t>
      </w:r>
      <w:r>
        <w:rPr>
          <w:rFonts w:ascii="Times New Roman" w:hAnsi="Times New Roman" w:cs="Times New Roman"/>
        </w:rPr>
        <w:t>.</w:t>
      </w:r>
      <w:r w:rsidR="00DE25DD">
        <w:rPr>
          <w:rFonts w:ascii="Times New Roman" w:hAnsi="Times New Roman" w:cs="Times New Roman"/>
        </w:rPr>
        <w:t xml:space="preserve"> </w:t>
      </w:r>
      <w:r w:rsidR="00EB01BE">
        <w:rPr>
          <w:rFonts w:ascii="Times New Roman" w:hAnsi="Times New Roman" w:cs="Times New Roman"/>
        </w:rPr>
        <w:t>H</w:t>
      </w:r>
      <w:r w:rsidR="00DE25DD">
        <w:rPr>
          <w:rFonts w:ascii="Times New Roman" w:hAnsi="Times New Roman" w:cs="Times New Roman"/>
        </w:rPr>
        <w:t xml:space="preserve">uman induced pluripotent stem cells (iPSCs) may have provided an alternative source of neurons but </w:t>
      </w:r>
      <w:r w:rsidR="00EB01BE">
        <w:rPr>
          <w:rFonts w:ascii="Times New Roman" w:hAnsi="Times New Roman" w:cs="Times New Roman"/>
        </w:rPr>
        <w:t>differentiation is</w:t>
      </w:r>
      <w:r w:rsidR="00851D02">
        <w:rPr>
          <w:rFonts w:ascii="Times New Roman" w:hAnsi="Times New Roman" w:cs="Times New Roman"/>
        </w:rPr>
        <w:t xml:space="preserve"> costly, </w:t>
      </w:r>
      <w:r w:rsidR="00DE25DD">
        <w:rPr>
          <w:rFonts w:ascii="Times New Roman" w:hAnsi="Times New Roman" w:cs="Times New Roman"/>
        </w:rPr>
        <w:t>labour intensive</w:t>
      </w:r>
      <w:r w:rsidR="00367418">
        <w:rPr>
          <w:rFonts w:ascii="Times New Roman" w:hAnsi="Times New Roman" w:cs="Times New Roman"/>
        </w:rPr>
        <w:t xml:space="preserve"> </w:t>
      </w:r>
      <w:r w:rsidR="00851D02">
        <w:rPr>
          <w:rFonts w:ascii="Times New Roman" w:hAnsi="Times New Roman" w:cs="Times New Roman"/>
        </w:rPr>
        <w:t>and does not guarantee homogeneous populations of cells.</w:t>
      </w:r>
    </w:p>
    <w:p w14:paraId="2FC2658F" w14:textId="77777777" w:rsidR="00851D02" w:rsidRDefault="00851D02" w:rsidP="0052651A">
      <w:pPr>
        <w:spacing w:line="360" w:lineRule="auto"/>
        <w:jc w:val="both"/>
        <w:rPr>
          <w:rFonts w:ascii="Times New Roman" w:hAnsi="Times New Roman" w:cs="Times New Roman"/>
        </w:rPr>
      </w:pPr>
    </w:p>
    <w:p w14:paraId="4FBEE59B" w14:textId="2892F504" w:rsidR="00851D02" w:rsidRPr="001433F4" w:rsidRDefault="00B91914" w:rsidP="0052651A">
      <w:pPr>
        <w:spacing w:line="360" w:lineRule="auto"/>
        <w:jc w:val="both"/>
        <w:rPr>
          <w:rFonts w:ascii="Times New Roman" w:hAnsi="Times New Roman" w:cs="Times New Roman"/>
        </w:rPr>
      </w:pPr>
      <w:r>
        <w:rPr>
          <w:rFonts w:ascii="Times New Roman" w:hAnsi="Times New Roman" w:cs="Times New Roman"/>
        </w:rPr>
        <w:t>Here, human ScienCell astrocytes have been shown to support neurite outgrowth and formation of neuronal n</w:t>
      </w:r>
      <w:r w:rsidR="00891504">
        <w:rPr>
          <w:rFonts w:ascii="Times New Roman" w:hAnsi="Times New Roman" w:cs="Times New Roman"/>
        </w:rPr>
        <w:t>etworks. In addition, increased expression of C</w:t>
      </w:r>
      <w:r w:rsidR="00086871">
        <w:rPr>
          <w:rFonts w:ascii="Times New Roman" w:hAnsi="Times New Roman" w:cs="Times New Roman"/>
        </w:rPr>
        <w:t>x</w:t>
      </w:r>
      <w:r w:rsidR="00891504">
        <w:rPr>
          <w:rFonts w:ascii="Times New Roman" w:hAnsi="Times New Roman" w:cs="Times New Roman"/>
        </w:rPr>
        <w:t>43 and GFAP around neuronal networks (as reported</w:t>
      </w:r>
      <w:r w:rsidR="002A2B05">
        <w:rPr>
          <w:rFonts w:ascii="Times New Roman" w:hAnsi="Times New Roman" w:cs="Times New Roman"/>
        </w:rPr>
        <w:t xml:space="preserve"> in other co-culture models</w:t>
      </w:r>
      <w:r w:rsidR="00891504">
        <w:rPr>
          <w:rFonts w:ascii="Times New Roman" w:hAnsi="Times New Roman" w:cs="Times New Roman"/>
        </w:rPr>
        <w:t>)</w:t>
      </w:r>
      <w:r w:rsidR="002A2B05">
        <w:rPr>
          <w:rFonts w:ascii="Times New Roman" w:hAnsi="Times New Roman" w:cs="Times New Roman"/>
        </w:rPr>
        <w:t xml:space="preserve"> indicates changes in astrocyte function in response to being cultured with neurons. </w:t>
      </w:r>
      <w:r w:rsidR="006E0F3F">
        <w:rPr>
          <w:rFonts w:ascii="Times New Roman" w:hAnsi="Times New Roman" w:cs="Times New Roman"/>
        </w:rPr>
        <w:t xml:space="preserve">This </w:t>
      </w:r>
      <w:r w:rsidR="003B6242">
        <w:rPr>
          <w:rFonts w:ascii="Times New Roman" w:hAnsi="Times New Roman" w:cs="Times New Roman"/>
        </w:rPr>
        <w:t xml:space="preserve">novel </w:t>
      </w:r>
      <w:r w:rsidR="006E0F3F">
        <w:rPr>
          <w:rFonts w:ascii="Times New Roman" w:hAnsi="Times New Roman" w:cs="Times New Roman"/>
        </w:rPr>
        <w:t xml:space="preserve">co-culture system has provided a </w:t>
      </w:r>
      <w:r w:rsidR="003B6242">
        <w:rPr>
          <w:rFonts w:ascii="Times New Roman" w:hAnsi="Times New Roman" w:cs="Times New Roman"/>
        </w:rPr>
        <w:t xml:space="preserve">tool </w:t>
      </w:r>
      <w:r w:rsidR="006E0F3F">
        <w:rPr>
          <w:rFonts w:ascii="Times New Roman" w:hAnsi="Times New Roman" w:cs="Times New Roman"/>
        </w:rPr>
        <w:t>to study astrocytic support for neurons and could be used in the future to explore how many other</w:t>
      </w:r>
      <w:r w:rsidR="003B6242">
        <w:rPr>
          <w:rFonts w:ascii="Times New Roman" w:hAnsi="Times New Roman" w:cs="Times New Roman"/>
        </w:rPr>
        <w:t xml:space="preserve"> astrocyte-related</w:t>
      </w:r>
      <w:r w:rsidR="006E0F3F">
        <w:rPr>
          <w:rFonts w:ascii="Times New Roman" w:hAnsi="Times New Roman" w:cs="Times New Roman"/>
        </w:rPr>
        <w:t xml:space="preserve"> factors regulate </w:t>
      </w:r>
      <w:r w:rsidR="003B6242">
        <w:rPr>
          <w:rFonts w:ascii="Times New Roman" w:hAnsi="Times New Roman" w:cs="Times New Roman"/>
        </w:rPr>
        <w:t xml:space="preserve">neuronal activity in health and disease. </w:t>
      </w:r>
    </w:p>
    <w:p w14:paraId="77DDD358" w14:textId="77777777" w:rsidR="00E70D62" w:rsidRDefault="00E70D62" w:rsidP="0052651A">
      <w:pPr>
        <w:spacing w:line="360" w:lineRule="auto"/>
        <w:jc w:val="both"/>
        <w:rPr>
          <w:color w:val="FF0000"/>
        </w:rPr>
      </w:pPr>
    </w:p>
    <w:p w14:paraId="1401C38B" w14:textId="4D4E4C8C" w:rsidR="00E70D62" w:rsidRDefault="00AC7BB4" w:rsidP="0052651A">
      <w:pPr>
        <w:pStyle w:val="Heading3"/>
        <w:jc w:val="both"/>
      </w:pPr>
      <w:bookmarkStart w:id="2471" w:name="_Toc331426012"/>
      <w:bookmarkStart w:id="2472" w:name="_Toc331427184"/>
      <w:bookmarkStart w:id="2473" w:name="_Toc331427556"/>
      <w:bookmarkStart w:id="2474" w:name="_Toc331427698"/>
      <w:bookmarkStart w:id="2475" w:name="_Toc332972703"/>
      <w:bookmarkStart w:id="2476" w:name="_Toc333046982"/>
      <w:bookmarkStart w:id="2477" w:name="_Toc333477329"/>
      <w:bookmarkStart w:id="2478" w:name="_Toc333478099"/>
      <w:bookmarkStart w:id="2479" w:name="_Toc333644999"/>
      <w:r>
        <w:t xml:space="preserve">6.3.3 </w:t>
      </w:r>
      <w:r w:rsidR="00E70D62">
        <w:t>Impaired IGF1 signalling affect</w:t>
      </w:r>
      <w:r w:rsidR="002850FF">
        <w:t>s</w:t>
      </w:r>
      <w:r w:rsidR="00E70D62">
        <w:t xml:space="preserve"> astrocyte function</w:t>
      </w:r>
      <w:bookmarkEnd w:id="2471"/>
      <w:bookmarkEnd w:id="2472"/>
      <w:bookmarkEnd w:id="2473"/>
      <w:bookmarkEnd w:id="2474"/>
      <w:bookmarkEnd w:id="2475"/>
      <w:bookmarkEnd w:id="2476"/>
      <w:bookmarkEnd w:id="2477"/>
      <w:bookmarkEnd w:id="2478"/>
      <w:bookmarkEnd w:id="2479"/>
    </w:p>
    <w:p w14:paraId="16F7B67E" w14:textId="77777777" w:rsidR="00E70D62" w:rsidRDefault="00E70D62" w:rsidP="0052651A">
      <w:pPr>
        <w:jc w:val="both"/>
        <w:rPr>
          <w:rFonts w:ascii="Times New Roman" w:hAnsi="Times New Roman" w:cs="Times New Roman"/>
          <w:color w:val="FF0000"/>
        </w:rPr>
      </w:pPr>
    </w:p>
    <w:p w14:paraId="3820CFDF" w14:textId="36367545" w:rsidR="00E70D62" w:rsidRPr="004B0282" w:rsidRDefault="009334A5" w:rsidP="0052651A">
      <w:pPr>
        <w:spacing w:line="360" w:lineRule="auto"/>
        <w:jc w:val="both"/>
        <w:rPr>
          <w:rFonts w:ascii="Times New Roman" w:hAnsi="Times New Roman" w:cs="Times New Roman"/>
        </w:rPr>
      </w:pPr>
      <w:r>
        <w:rPr>
          <w:rFonts w:ascii="Times New Roman" w:hAnsi="Times New Roman" w:cs="Times New Roman"/>
        </w:rPr>
        <w:t>U</w:t>
      </w:r>
      <w:r w:rsidR="00A9247A" w:rsidRPr="004B0282">
        <w:rPr>
          <w:rFonts w:ascii="Times New Roman" w:hAnsi="Times New Roman" w:cs="Times New Roman"/>
        </w:rPr>
        <w:t xml:space="preserve">nder normal culturing conditions </w:t>
      </w:r>
      <w:r w:rsidR="004B0282">
        <w:rPr>
          <w:rFonts w:ascii="Times New Roman" w:hAnsi="Times New Roman" w:cs="Times New Roman"/>
        </w:rPr>
        <w:t>IGF1-impaired astrocytes are ab</w:t>
      </w:r>
      <w:r w:rsidR="00A9247A" w:rsidRPr="004B0282">
        <w:rPr>
          <w:rFonts w:ascii="Times New Roman" w:hAnsi="Times New Roman" w:cs="Times New Roman"/>
        </w:rPr>
        <w:t>l</w:t>
      </w:r>
      <w:r w:rsidR="004B0282">
        <w:rPr>
          <w:rFonts w:ascii="Times New Roman" w:hAnsi="Times New Roman" w:cs="Times New Roman"/>
        </w:rPr>
        <w:t>e</w:t>
      </w:r>
      <w:r w:rsidR="00A9247A" w:rsidRPr="004B0282">
        <w:rPr>
          <w:rFonts w:ascii="Times New Roman" w:hAnsi="Times New Roman" w:cs="Times New Roman"/>
        </w:rPr>
        <w:t xml:space="preserve"> to support neuronal function, a</w:t>
      </w:r>
      <w:r>
        <w:rPr>
          <w:rFonts w:ascii="Times New Roman" w:hAnsi="Times New Roman" w:cs="Times New Roman"/>
        </w:rPr>
        <w:t>s measured by neurite outgrowth. However, under conditions of stress these astrocytes lose their ability to protect neurons</w:t>
      </w:r>
      <w:r w:rsidR="00641029">
        <w:rPr>
          <w:rFonts w:ascii="Times New Roman" w:hAnsi="Times New Roman" w:cs="Times New Roman"/>
        </w:rPr>
        <w:t>. Microarray analysis was performed on IGF1-impaired co-cultured astrocytes t</w:t>
      </w:r>
      <w:r w:rsidR="004B0282">
        <w:rPr>
          <w:rFonts w:ascii="Times New Roman" w:hAnsi="Times New Roman" w:cs="Times New Roman"/>
        </w:rPr>
        <w:t xml:space="preserve">o investigate the underlying </w:t>
      </w:r>
      <w:r w:rsidR="00641029">
        <w:rPr>
          <w:rFonts w:ascii="Times New Roman" w:hAnsi="Times New Roman" w:cs="Times New Roman"/>
        </w:rPr>
        <w:t>mechanisms</w:t>
      </w:r>
      <w:r w:rsidR="00C402CC">
        <w:rPr>
          <w:rFonts w:ascii="Times New Roman" w:hAnsi="Times New Roman" w:cs="Times New Roman"/>
        </w:rPr>
        <w:t xml:space="preserve"> responsible for</w:t>
      </w:r>
      <w:r w:rsidR="00641029">
        <w:rPr>
          <w:rFonts w:ascii="Times New Roman" w:hAnsi="Times New Roman" w:cs="Times New Roman"/>
        </w:rPr>
        <w:t xml:space="preserve"> </w:t>
      </w:r>
      <w:r w:rsidR="00C402CC">
        <w:rPr>
          <w:rFonts w:ascii="Times New Roman" w:hAnsi="Times New Roman" w:cs="Times New Roman"/>
        </w:rPr>
        <w:t>this</w:t>
      </w:r>
      <w:r w:rsidR="004B0282">
        <w:rPr>
          <w:rFonts w:ascii="Times New Roman" w:hAnsi="Times New Roman" w:cs="Times New Roman"/>
        </w:rPr>
        <w:t xml:space="preserve">. </w:t>
      </w:r>
      <w:r w:rsidR="00C402CC">
        <w:rPr>
          <w:rFonts w:ascii="Times New Roman" w:hAnsi="Times New Roman" w:cs="Times New Roman"/>
        </w:rPr>
        <w:t>There were</w:t>
      </w:r>
      <w:r w:rsidR="00061CF2">
        <w:rPr>
          <w:rFonts w:ascii="Times New Roman" w:hAnsi="Times New Roman" w:cs="Times New Roman"/>
        </w:rPr>
        <w:t xml:space="preserve"> many interesting changes in</w:t>
      </w:r>
      <w:r w:rsidR="00C402CC">
        <w:rPr>
          <w:rFonts w:ascii="Times New Roman" w:hAnsi="Times New Roman" w:cs="Times New Roman"/>
        </w:rPr>
        <w:t xml:space="preserve"> the</w:t>
      </w:r>
      <w:r w:rsidR="00061CF2">
        <w:rPr>
          <w:rFonts w:ascii="Times New Roman" w:hAnsi="Times New Roman" w:cs="Times New Roman"/>
        </w:rPr>
        <w:t xml:space="preserve"> </w:t>
      </w:r>
      <w:r w:rsidR="00C402CC">
        <w:rPr>
          <w:rFonts w:ascii="Times New Roman" w:hAnsi="Times New Roman" w:cs="Times New Roman"/>
        </w:rPr>
        <w:t xml:space="preserve">levels of </w:t>
      </w:r>
      <w:r w:rsidR="00061CF2">
        <w:rPr>
          <w:rFonts w:ascii="Times New Roman" w:hAnsi="Times New Roman" w:cs="Times New Roman"/>
        </w:rPr>
        <w:t xml:space="preserve">transcripts related to energy metabolism, antioxidant capacity and synaptic support. </w:t>
      </w:r>
      <w:r w:rsidR="00C402CC">
        <w:rPr>
          <w:rFonts w:ascii="Times New Roman" w:hAnsi="Times New Roman" w:cs="Times New Roman"/>
        </w:rPr>
        <w:t>In particular, there was reduced expression of complex I genes, which were later validated at an mRNA and functional level</w:t>
      </w:r>
      <w:r w:rsidR="00641029">
        <w:rPr>
          <w:rFonts w:ascii="Times New Roman" w:hAnsi="Times New Roman" w:cs="Times New Roman"/>
        </w:rPr>
        <w:t xml:space="preserve">. Therefore, </w:t>
      </w:r>
      <w:r w:rsidR="00795903">
        <w:rPr>
          <w:rFonts w:ascii="Times New Roman" w:hAnsi="Times New Roman" w:cs="Times New Roman"/>
        </w:rPr>
        <w:t xml:space="preserve">an underlying defect in complex I activity may alter astrocyte energy metabolism and affect the way astrocytes support neurons under external oxidative challenge. </w:t>
      </w:r>
      <w:r w:rsidR="00336331">
        <w:rPr>
          <w:rFonts w:ascii="Times New Roman" w:hAnsi="Times New Roman" w:cs="Times New Roman"/>
        </w:rPr>
        <w:t>Altered complex I activity and oxidative stress respresent some of the early changes that occur in AD, prior to plaque and tangle formation</w:t>
      </w:r>
      <w:r w:rsidR="00AA5D10">
        <w:rPr>
          <w:rFonts w:ascii="Times New Roman" w:hAnsi="Times New Roman" w:cs="Times New Roman"/>
        </w:rPr>
        <w:t xml:space="preserve"> </w:t>
      </w:r>
      <w:r w:rsidR="00AA5D1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"10.1016/j.jprot.2010.12.012", "ISSN" : "18743919", "abstract" : "Mitochondrial structural and functional alterations appear to play to an important role in the pathogenesis of Alzheimer's disease (AD). In the present study, we used a quantitative comparative proteomic profiling approach to analyze changes in the mitochondrial proteome in AD. A triple transgenic mouse model of AD (3xTg-AD) which harbors mutations in three human transgenes, APPSwe, PS1M146V and TauP301L, was used in these experiments. Quantitative differences in the mitochondrial proteome between the cerebral cortices of 6-month-old male 3xTg-AD and non-transgenic mice were determined by using two-dimensional difference gel electrophoresis (2D-DIGE) and tandem mass spectrometry. We identified 23 different proteins whose expression levels differed significantly between triple transgenic and non-transgenic mitochondria. Both down-regulated and up-regulated mitochondrial proteins were observed in transgenic AD cortices. Proteins which were dysregulated in 3xTg-AD cortices functioned in a wide variety of metabolic pathways, including the citric acid cycle, oxidative phosphorylation, pyruvate metabolism, glycolysis, oxidative stress, fatty acid oxidation, ketone body metabolism, ion transport, apoptosis, and mitochondrial protein synthesis. These alterations in the mitochondrial proteome of the cerebral cortices of triple transgenic AD mice occurred before the development of significant amyloid plaque and neurofibrillary tangles, indicating that mitochondrial dysregulation is an early event in AD.", "author" : [ { "dropping-particle" : "", "family" : "Chou", "given" : "Jose L.", "non-dropping-particle" : "", "parse-names" : false, "suffix" : "" }, { "dropping-particle" : "V.", "family" : "Shenoy", "given" : "Deepa", "non-dropping-particle" : "", "parse-names" : false, "suffix" : "" }, { "dropping-particle" : "", "family" : "Thomas", "given" : "Nicy", "non-dropping-particle" : "", "parse-names" : false, "suffix" : "" }, { "dropping-particle" : "", "family" : "Choudhary", "given" : "Pankaj K.", "non-dropping-particle" : "", "parse-names" : false, "suffix" : "" }, { "dropping-particle" : "", "family" : "LaFerla", "given" : "Frank M.", "non-dropping-particle" : "", "parse-names" : false, "suffix" : "" }, { "dropping-particle" : "", "family" : "Goodman", "given" : "Steven R.", "non-dropping-particle" : "", "parse-names" : false, "suffix" : "" }, { "dropping-particle" : "", "family" : "Breen", "given" : "Gail A.M.", "non-dropping-particle" : "", "parse-names" : false, "suffix" : "" } ], "container-title" : "Journal of Proteomics", "id" : "ITEM-1", "issue" : "4", "issued" : { "date-parts" : [ [ "2011" ] ] }, "page" : "466-479", "title" : "Early dysregulation of the mitochondrial proteome in a mouse model of Alzheimer's disease", "type" : "article-journal", "volume" : "74" }, "uris" : [ "http://www.mendeley.com/documents/?uuid=d536a8ed-bc6f-3548-90b2-a0d0928d4ab6" ] }, { "id" : "ITEM-2", "itemData" : { "DOI" : "10.1385/NMM:5:2:147", "ISSN" : "1535-1084", "author" : [ { "dropping-particle" : "", "family" : "Manczak", "given" : "Maria", "non-dropping-particle" : "", "parse-names" : false, "suffix" : "" }, { "dropping-particle" : "", "family" : "Park", "given" : "Byung S.", "non-dropping-particle" : "", "parse-names" : false, "suffix" : "" }, { "dropping-particle" : "", "family" : "Jung", "given" : "Youngsin", "non-dropping-particle" : "", "parse-names" : false, "suffix" : "" }, { "dropping-particle" : "", "family" : "Reddy", "given" : "P. Hemachandra", "non-dropping-particle" : "", "parse-names" : false, "suffix" : "" } ], "container-title" : "NeuroMolecular Medicine", "id" : "ITEM-2", "issue" : "2", "issued" : { "date-parts" : [ [ "2004" ] ] }, "page" : "147-162", "publisher" : "Humana Press", "title" : "Differential Expression of Oxidative Phosphorylation Genes in Patients With Alzheimer's Disease: Implications for Early Mitochondrial Dysfunction and Oxidative Damage", "type" : "article-journal", "volume" : "5" }, "uris" : [ "http://www.mendeley.com/documents/?uuid=ed32076d-4967-3173-9908-cc7fbc6606cc" ] }, { "id" : "ITEM-3", "itemData" : { "DOI" : "10.1016/S0006-291X(05)80136-6", "ISSN" : "0006291X", "author" : [ { "dropping-particle" : "", "family" : "Lin", "given" : "Fu-Hai", "non-dropping-particle" : "", "parse-names" : false, "suffix" : "" }, { "dropping-particle" : "", "family" : "Lin", "given" : "Ruth", "non-dropping-particle" : "", "parse-names" : false, "suffix" : "" }, { "dropping-particle" : "", "family" : "Wisniewski", "given" : "Henryk M.", "non-dropping-particle" : "", "parse-names" : false, "suffix" : "" }, { "dropping-particle" : "", "family" : "Hwang", "given" : "Yu-Wen", "non-dropping-particle" : "", "parse-names" : false, "suffix" : "" }, { "dropping-particle" : "", "family" : "Grundke-Iqbal", "given" : "Inge", "non-dropping-particle" : "", "parse-names" : false, "suffix" : "" }, { "dropping-particle" : "", "family" : "Healy-Louie", "given" : "Gregory", "non-dropping-particle" : "", "parse-names" : false, "suffix" : "" }, { "dropping-particle" : "", "family" : "Iqbal", "given" : "Khalid", "non-dropping-particle" : "", "parse-names" : false, "suffix" : "" } ], "container-title" : "Biochemical and Biophysical Research Communications", "id" : "ITEM-3", "issue" : "1", "issued" : { "date-parts" : [ [ "1992", "1" ] ] }, "page" : "238-246", "publisher" : "Academic Press", "title" : "Detection of point mutations in codon 331 of mitochondrial NADH dehydrogenase subunit 2 in alzheimer's brains", "type" : "article-journal", "volume" : "182" }, "uris" : [ "http://www.mendeley.com/documents/?uuid=e2b4f3c5-3f1b-310a-98cd-40c8cf1980eb" ] } ], "mendeley" : { "formattedCitation" : "(Chou et al. 2011; Manczak et al. 2004; Lin et al. 1992)", "plainTextFormattedCitation" : "(Chou et al. 2011; Manczak et al. 2004; Lin et al. 1992)", "previouslyFormattedCitation" : "(Chou et al. 2011; Manczak et al. 2004; Lin et al. 1992)" }, "properties" : { "noteIndex" : 0 }, "schema" : "https://github.com/citation-style-language/schema/raw/master/csl-citation.json" }</w:instrText>
      </w:r>
      <w:r w:rsidR="00AA5D10">
        <w:rPr>
          <w:rFonts w:ascii="Times New Roman" w:hAnsi="Times New Roman" w:cs="Times New Roman"/>
        </w:rPr>
        <w:fldChar w:fldCharType="separate"/>
      </w:r>
      <w:r w:rsidR="00C148FC" w:rsidRPr="00C148FC">
        <w:rPr>
          <w:rFonts w:ascii="Times New Roman" w:hAnsi="Times New Roman" w:cs="Times New Roman"/>
          <w:noProof/>
        </w:rPr>
        <w:t>(Chou et al. 2011; Manczak et al. 2004; Lin et al. 1992)</w:t>
      </w:r>
      <w:r w:rsidR="00AA5D10">
        <w:rPr>
          <w:rFonts w:ascii="Times New Roman" w:hAnsi="Times New Roman" w:cs="Times New Roman"/>
        </w:rPr>
        <w:fldChar w:fldCharType="end"/>
      </w:r>
      <w:r w:rsidR="00336331">
        <w:rPr>
          <w:rFonts w:ascii="Times New Roman" w:hAnsi="Times New Roman" w:cs="Times New Roman"/>
        </w:rPr>
        <w:t xml:space="preserve">. Impairments in IGF1 signalling in astrocytes may precede </w:t>
      </w:r>
      <w:r w:rsidR="007E7DE1">
        <w:rPr>
          <w:rFonts w:ascii="Times New Roman" w:hAnsi="Times New Roman" w:cs="Times New Roman"/>
        </w:rPr>
        <w:t xml:space="preserve">these </w:t>
      </w:r>
      <w:r w:rsidR="00336331">
        <w:rPr>
          <w:rFonts w:ascii="Times New Roman" w:hAnsi="Times New Roman" w:cs="Times New Roman"/>
        </w:rPr>
        <w:t>changes in mitochondr</w:t>
      </w:r>
      <w:r w:rsidR="007E7DE1">
        <w:rPr>
          <w:rFonts w:ascii="Times New Roman" w:hAnsi="Times New Roman" w:cs="Times New Roman"/>
        </w:rPr>
        <w:t xml:space="preserve">ial activity, </w:t>
      </w:r>
      <w:r>
        <w:rPr>
          <w:rFonts w:ascii="Times New Roman" w:hAnsi="Times New Roman" w:cs="Times New Roman"/>
        </w:rPr>
        <w:t xml:space="preserve">and therefore </w:t>
      </w:r>
      <w:r w:rsidR="00336331">
        <w:rPr>
          <w:rFonts w:ascii="Times New Roman" w:hAnsi="Times New Roman" w:cs="Times New Roman"/>
        </w:rPr>
        <w:t>targeting this pathway to preserve astrocyte energy metabolism and support for neurons under age and disease related stress</w:t>
      </w:r>
      <w:r>
        <w:rPr>
          <w:rFonts w:ascii="Times New Roman" w:hAnsi="Times New Roman" w:cs="Times New Roman"/>
        </w:rPr>
        <w:t xml:space="preserve"> may be an attractive therapeutic avenue</w:t>
      </w:r>
      <w:r w:rsidR="00336331">
        <w:rPr>
          <w:rFonts w:ascii="Times New Roman" w:hAnsi="Times New Roman" w:cs="Times New Roman"/>
        </w:rPr>
        <w:t xml:space="preserve">. </w:t>
      </w:r>
    </w:p>
    <w:p w14:paraId="5DD37E85" w14:textId="77777777" w:rsidR="00E70D62" w:rsidRPr="00E70D62" w:rsidRDefault="00E70D62" w:rsidP="0052651A">
      <w:pPr>
        <w:jc w:val="both"/>
        <w:rPr>
          <w:rFonts w:ascii="Times New Roman" w:hAnsi="Times New Roman" w:cs="Times New Roman"/>
          <w:color w:val="FF0000"/>
        </w:rPr>
      </w:pPr>
    </w:p>
    <w:p w14:paraId="12D01594" w14:textId="6C4DFA85" w:rsidR="00B133D5" w:rsidRDefault="00455FE9" w:rsidP="0052651A">
      <w:pPr>
        <w:pStyle w:val="Heading2"/>
        <w:spacing w:line="360" w:lineRule="auto"/>
        <w:jc w:val="both"/>
      </w:pPr>
      <w:bookmarkStart w:id="2480" w:name="_Toc329593512"/>
      <w:bookmarkStart w:id="2481" w:name="_Toc331426013"/>
      <w:bookmarkStart w:id="2482" w:name="_Toc331427185"/>
      <w:bookmarkStart w:id="2483" w:name="_Toc331427557"/>
      <w:bookmarkStart w:id="2484" w:name="_Toc331427699"/>
      <w:bookmarkStart w:id="2485" w:name="_Toc332972704"/>
      <w:bookmarkStart w:id="2486" w:name="_Toc333046983"/>
      <w:bookmarkStart w:id="2487" w:name="_Toc333477330"/>
      <w:bookmarkStart w:id="2488" w:name="_Toc333478100"/>
      <w:bookmarkStart w:id="2489" w:name="_Toc333645000"/>
      <w:r>
        <w:t xml:space="preserve">6.4 </w:t>
      </w:r>
      <w:r w:rsidR="00F07992">
        <w:t>F</w:t>
      </w:r>
      <w:r w:rsidR="00846E76">
        <w:t>urther considerations</w:t>
      </w:r>
      <w:bookmarkEnd w:id="2480"/>
      <w:bookmarkEnd w:id="2481"/>
      <w:bookmarkEnd w:id="2482"/>
      <w:bookmarkEnd w:id="2483"/>
      <w:bookmarkEnd w:id="2484"/>
      <w:bookmarkEnd w:id="2485"/>
      <w:bookmarkEnd w:id="2486"/>
      <w:bookmarkEnd w:id="2487"/>
      <w:bookmarkEnd w:id="2488"/>
      <w:bookmarkEnd w:id="2489"/>
    </w:p>
    <w:p w14:paraId="3A5E8DD2" w14:textId="77777777" w:rsidR="00031E7A" w:rsidRDefault="00031E7A" w:rsidP="0052651A">
      <w:pPr>
        <w:jc w:val="both"/>
      </w:pPr>
    </w:p>
    <w:p w14:paraId="0EEEB634" w14:textId="52E39CE5" w:rsidR="006704AA" w:rsidRDefault="006704AA" w:rsidP="0052651A">
      <w:pPr>
        <w:spacing w:line="360" w:lineRule="auto"/>
        <w:jc w:val="both"/>
        <w:rPr>
          <w:rFonts w:ascii="Times New Roman" w:hAnsi="Times New Roman" w:cs="Times New Roman"/>
        </w:rPr>
      </w:pPr>
      <w:r>
        <w:rPr>
          <w:rFonts w:ascii="Times New Roman" w:hAnsi="Times New Roman" w:cs="Times New Roman"/>
        </w:rPr>
        <w:t>One of the initial challenges of this project was to develop a model of IGF1 signalling impairment</w:t>
      </w:r>
      <w:r w:rsidR="00661A25">
        <w:rPr>
          <w:rFonts w:ascii="Times New Roman" w:hAnsi="Times New Roman" w:cs="Times New Roman"/>
        </w:rPr>
        <w:t>. Prior to starting this project, both shRNA and pharmacological inhibition w</w:t>
      </w:r>
      <w:r w:rsidR="00A51CA2">
        <w:rPr>
          <w:rFonts w:ascii="Times New Roman" w:hAnsi="Times New Roman" w:cs="Times New Roman"/>
        </w:rPr>
        <w:t>ere used</w:t>
      </w:r>
      <w:r w:rsidR="00CB31AD">
        <w:rPr>
          <w:rFonts w:ascii="Times New Roman" w:hAnsi="Times New Roman" w:cs="Times New Roman"/>
        </w:rPr>
        <w:t xml:space="preserve"> to downregulate</w:t>
      </w:r>
      <w:r w:rsidR="00661A25">
        <w:rPr>
          <w:rFonts w:ascii="Times New Roman" w:hAnsi="Times New Roman" w:cs="Times New Roman"/>
        </w:rPr>
        <w:t xml:space="preserve"> the IGF1 signalling pathway, but both </w:t>
      </w:r>
      <w:r w:rsidR="00884E48">
        <w:rPr>
          <w:rFonts w:ascii="Times New Roman" w:hAnsi="Times New Roman" w:cs="Times New Roman"/>
        </w:rPr>
        <w:t xml:space="preserve">methods </w:t>
      </w:r>
      <w:r w:rsidR="00661A25">
        <w:rPr>
          <w:rFonts w:ascii="Times New Roman" w:hAnsi="Times New Roman" w:cs="Times New Roman"/>
        </w:rPr>
        <w:t>proved unsuccessful</w:t>
      </w:r>
      <w:r w:rsidR="00884E48">
        <w:rPr>
          <w:rFonts w:ascii="Times New Roman" w:hAnsi="Times New Roman" w:cs="Times New Roman"/>
        </w:rPr>
        <w:t xml:space="preserve">. At the </w:t>
      </w:r>
      <w:r w:rsidR="00224D2D">
        <w:rPr>
          <w:rFonts w:ascii="Times New Roman" w:hAnsi="Times New Roman" w:cs="Times New Roman"/>
        </w:rPr>
        <w:t>begi</w:t>
      </w:r>
      <w:r w:rsidR="00BF1DD9">
        <w:rPr>
          <w:rFonts w:ascii="Times New Roman" w:hAnsi="Times New Roman" w:cs="Times New Roman"/>
        </w:rPr>
        <w:t>nning of this project siRNA-</w:t>
      </w:r>
      <w:r w:rsidR="00884E48">
        <w:rPr>
          <w:rFonts w:ascii="Times New Roman" w:hAnsi="Times New Roman" w:cs="Times New Roman"/>
        </w:rPr>
        <w:t xml:space="preserve">targeting IGF1R was also used but the astrocytes proved difficult to transfect. </w:t>
      </w:r>
      <w:r w:rsidR="005B3CE5">
        <w:rPr>
          <w:rFonts w:ascii="Times New Roman" w:hAnsi="Times New Roman" w:cs="Times New Roman"/>
        </w:rPr>
        <w:t xml:space="preserve">However, sustained loss of IGF1R at the protein level was eventually achieved by </w:t>
      </w:r>
      <w:r w:rsidR="00AA5DCE">
        <w:rPr>
          <w:rFonts w:ascii="Times New Roman" w:hAnsi="Times New Roman" w:cs="Times New Roman"/>
        </w:rPr>
        <w:t>treating astrocytes with</w:t>
      </w:r>
      <w:r w:rsidR="005B3CE5">
        <w:rPr>
          <w:rFonts w:ascii="Times New Roman" w:hAnsi="Times New Roman" w:cs="Times New Roman"/>
        </w:rPr>
        <w:t xml:space="preserve"> MAB391</w:t>
      </w:r>
      <w:r w:rsidR="00CB31AD">
        <w:rPr>
          <w:rFonts w:ascii="Times New Roman" w:hAnsi="Times New Roman" w:cs="Times New Roman"/>
        </w:rPr>
        <w:t>. The main drawback of using MAB</w:t>
      </w:r>
      <w:r w:rsidR="009B2E40">
        <w:rPr>
          <w:rFonts w:ascii="Times New Roman" w:hAnsi="Times New Roman" w:cs="Times New Roman"/>
        </w:rPr>
        <w:t>3</w:t>
      </w:r>
      <w:r w:rsidR="00CB31AD">
        <w:rPr>
          <w:rFonts w:ascii="Times New Roman" w:hAnsi="Times New Roman" w:cs="Times New Roman"/>
        </w:rPr>
        <w:t>91 is that it is an antibody, which is not only capable of bi</w:t>
      </w:r>
      <w:r w:rsidR="005B3CE5">
        <w:rPr>
          <w:rFonts w:ascii="Times New Roman" w:hAnsi="Times New Roman" w:cs="Times New Roman"/>
        </w:rPr>
        <w:t>nding</w:t>
      </w:r>
      <w:r w:rsidR="009B2E40">
        <w:rPr>
          <w:rFonts w:ascii="Times New Roman" w:hAnsi="Times New Roman" w:cs="Times New Roman"/>
        </w:rPr>
        <w:t xml:space="preserve"> specific</w:t>
      </w:r>
      <w:r w:rsidR="005B3CE5">
        <w:rPr>
          <w:rFonts w:ascii="Times New Roman" w:hAnsi="Times New Roman" w:cs="Times New Roman"/>
        </w:rPr>
        <w:t>ally to</w:t>
      </w:r>
      <w:r w:rsidR="009B2E40">
        <w:rPr>
          <w:rFonts w:ascii="Times New Roman" w:hAnsi="Times New Roman" w:cs="Times New Roman"/>
        </w:rPr>
        <w:t xml:space="preserve"> IGF1R</w:t>
      </w:r>
      <w:r w:rsidR="00CB31AD">
        <w:rPr>
          <w:rFonts w:ascii="Times New Roman" w:hAnsi="Times New Roman" w:cs="Times New Roman"/>
        </w:rPr>
        <w:t xml:space="preserve"> but also binds to Fc receptors. Astrocytes are decorated with Fc receptors</w:t>
      </w:r>
      <w:r w:rsidR="00330521">
        <w:rPr>
          <w:rFonts w:ascii="Times New Roman" w:hAnsi="Times New Roman" w:cs="Times New Roman"/>
        </w:rPr>
        <w:t xml:space="preserve"> and so as well as binding IGF1R, </w:t>
      </w:r>
      <w:r w:rsidR="009B2E40">
        <w:rPr>
          <w:rFonts w:ascii="Times New Roman" w:hAnsi="Times New Roman" w:cs="Times New Roman"/>
        </w:rPr>
        <w:t>the MAB391 is likely to bind</w:t>
      </w:r>
      <w:r w:rsidR="00330521">
        <w:rPr>
          <w:rFonts w:ascii="Times New Roman" w:hAnsi="Times New Roman" w:cs="Times New Roman"/>
        </w:rPr>
        <w:t xml:space="preserve"> these receptors and trigger intracellular signalling</w:t>
      </w:r>
      <w:r w:rsidR="00177B8A">
        <w:rPr>
          <w:rFonts w:ascii="Times New Roman" w:hAnsi="Times New Roman" w:cs="Times New Roman"/>
        </w:rPr>
        <w:t xml:space="preserve"> </w:t>
      </w:r>
      <w:r w:rsidR="003B6BCA">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"0148-396X", "PMID" : "1386416", "abstract" : "Astrocytes have been regarded as the matrix of the central nervous system and as nutritional, metabolic support to neurons. Recently, immunological roles of astrocytes have been reported, especially in multiple sclerosis and experimental allergic encephalitis. One observation shows that human glioma cells, which lack CD4 molecules, can be infected with human immunodeficiency virus in vitro. Another report described that human macrophages can be infected with human immunodeficiency virus through Fc gamma receptors expressed on their cell surfaces. These results prompted us to examine the functioning molecules, especially Fc gamma receptor for immunoglobulin G, expressed on the astroglial cell line. From erythrocyte-antibody rosette assays, redirected cytolysis and flow cytometric analysis, we have shown that human astrocytoma cell lines possess Fc gamma receptors on their cell surfaces. Furthermore, primary cultured murine astrocytes express Fc gamma II receptors, reacting with 2.4G2 monoclonal antibody. Surprisingly, murine astrocytes prepared from newborn BALB/c mice demonstrate killing activity against allogeneic T cell leukemia by antibody-dependent cellular cytotoxicity. After treatment with the macrophage activating factor, interferon-gamma, expression of Fc gamma receptors and killer activity of astrocytes were augmented. From these results, it is suspected that the astroglial cell lines play an important immunological role in the brain.", "author" : [ { "dropping-particle" : "", "family" : "Nitta", "given" : "T", "non-dropping-particle" : "", "parse-names" : false, "suffix" : "" }, { "dropping-particle" : "", "family" : "Yagita", "given" : "H", "non-dropping-particle" : "", "parse-names" : false, "suffix" : "" }, { "dropping-particle" : "", "family" : "Sato", "given" : "K", "non-dropping-particle" : "", "parse-names" : false, "suffix" : "" }, { "dropping-particle" : "", "family" : "Okumura", "given" : "K", "non-dropping-particle" : "", "parse-names" : false, "suffix" : "" } ], "container-title" : "Neurosurgery", "id" : "ITEM-1", "issue" : "1", "issued" : { "date-parts" : [ [ "1992", "7" ] ] }, "page" : "83-7; discussion 87-8", "title" : "Expression of Fc gamma receptors on astroglial cell lines and their role in the central nervous system.", "type" : "article-journal", "volume" : "31" }, "uris" : [ "http://www.mendeley.com/documents/?uuid=5142a8ea-d824-37af-9c88-a3a0a0d8fc1f" ] } ], "mendeley" : { "formattedCitation" : "(Nitta et al. 1992)", "plainTextFormattedCitation" : "(Nitta et al. 1992)", "previouslyFormattedCitation" : "(Nitta et al. 1992)" }, "properties" : { "noteIndex" : 0 }, "schema" : "https://github.com/citation-style-language/schema/raw/master/csl-citation.json" }</w:instrText>
      </w:r>
      <w:r w:rsidR="003B6BCA">
        <w:rPr>
          <w:rFonts w:ascii="Times New Roman" w:hAnsi="Times New Roman" w:cs="Times New Roman"/>
        </w:rPr>
        <w:fldChar w:fldCharType="separate"/>
      </w:r>
      <w:r w:rsidR="00C148FC" w:rsidRPr="00C148FC">
        <w:rPr>
          <w:rFonts w:ascii="Times New Roman" w:hAnsi="Times New Roman" w:cs="Times New Roman"/>
          <w:noProof/>
        </w:rPr>
        <w:t>(Nitta et al. 1992)</w:t>
      </w:r>
      <w:r w:rsidR="003B6BCA">
        <w:rPr>
          <w:rFonts w:ascii="Times New Roman" w:hAnsi="Times New Roman" w:cs="Times New Roman"/>
        </w:rPr>
        <w:fldChar w:fldCharType="end"/>
      </w:r>
      <w:r w:rsidR="00330521">
        <w:rPr>
          <w:rFonts w:ascii="Times New Roman" w:hAnsi="Times New Roman" w:cs="Times New Roman"/>
        </w:rPr>
        <w:t xml:space="preserve">. These events were predicted in the early phases of the project, therefore experiments were </w:t>
      </w:r>
      <w:r w:rsidR="009B2E40">
        <w:rPr>
          <w:rFonts w:ascii="Times New Roman" w:hAnsi="Times New Roman" w:cs="Times New Roman"/>
        </w:rPr>
        <w:t xml:space="preserve">also </w:t>
      </w:r>
      <w:r w:rsidR="00330521">
        <w:rPr>
          <w:rFonts w:ascii="Times New Roman" w:hAnsi="Times New Roman" w:cs="Times New Roman"/>
        </w:rPr>
        <w:t xml:space="preserve">controlled with an IgG isotype control from </w:t>
      </w:r>
      <w:r w:rsidR="00AA5DCE">
        <w:rPr>
          <w:rFonts w:ascii="Times New Roman" w:hAnsi="Times New Roman" w:cs="Times New Roman"/>
        </w:rPr>
        <w:t>which the MAB391 is originally derived</w:t>
      </w:r>
      <w:r w:rsidR="00330521">
        <w:rPr>
          <w:rFonts w:ascii="Times New Roman" w:hAnsi="Times New Roman" w:cs="Times New Roman"/>
        </w:rPr>
        <w:t xml:space="preserve">. </w:t>
      </w:r>
      <w:r w:rsidR="009B2E40">
        <w:rPr>
          <w:rFonts w:ascii="Times New Roman" w:hAnsi="Times New Roman" w:cs="Times New Roman"/>
        </w:rPr>
        <w:t>Effects of the IgG isotype control were apparent in assessing astrocytic function in monoculture, with changes being most</w:t>
      </w:r>
      <w:r w:rsidR="005B3CE5">
        <w:rPr>
          <w:rFonts w:ascii="Times New Roman" w:hAnsi="Times New Roman" w:cs="Times New Roman"/>
        </w:rPr>
        <w:t>ly</w:t>
      </w:r>
      <w:r w:rsidR="009B2E40">
        <w:rPr>
          <w:rFonts w:ascii="Times New Roman" w:hAnsi="Times New Roman" w:cs="Times New Roman"/>
        </w:rPr>
        <w:t xml:space="preserve"> apparent in the MTT assay. </w:t>
      </w:r>
      <w:r w:rsidR="005B3CE5">
        <w:rPr>
          <w:rFonts w:ascii="Times New Roman" w:hAnsi="Times New Roman" w:cs="Times New Roman"/>
        </w:rPr>
        <w:t>It was decided</w:t>
      </w:r>
      <w:r w:rsidR="009B2E40">
        <w:rPr>
          <w:rFonts w:ascii="Times New Roman" w:hAnsi="Times New Roman" w:cs="Times New Roman"/>
        </w:rPr>
        <w:t xml:space="preserve"> that any changes induced by MAB391 had to be significant when compared with both the untreated and </w:t>
      </w:r>
      <w:r w:rsidR="00C325CF">
        <w:rPr>
          <w:rFonts w:ascii="Times New Roman" w:hAnsi="Times New Roman" w:cs="Times New Roman"/>
        </w:rPr>
        <w:t>IgG-</w:t>
      </w:r>
      <w:r w:rsidR="009B2E40">
        <w:rPr>
          <w:rFonts w:ascii="Times New Roman" w:hAnsi="Times New Roman" w:cs="Times New Roman"/>
        </w:rPr>
        <w:t xml:space="preserve">treated controls. </w:t>
      </w:r>
      <w:r w:rsidR="00AA5DCE">
        <w:rPr>
          <w:rFonts w:ascii="Times New Roman" w:hAnsi="Times New Roman" w:cs="Times New Roman"/>
        </w:rPr>
        <w:t xml:space="preserve">When </w:t>
      </w:r>
      <w:r w:rsidR="00011261">
        <w:rPr>
          <w:rFonts w:ascii="Times New Roman" w:hAnsi="Times New Roman" w:cs="Times New Roman"/>
        </w:rPr>
        <w:t xml:space="preserve">manually interrogating the microarray analysis of untreated </w:t>
      </w:r>
      <w:r w:rsidR="00AA5DCE">
        <w:rPr>
          <w:rFonts w:ascii="Times New Roman" w:hAnsi="Times New Roman" w:cs="Times New Roman"/>
        </w:rPr>
        <w:t>and</w:t>
      </w:r>
      <w:r w:rsidR="00B80D03">
        <w:rPr>
          <w:rFonts w:ascii="Times New Roman" w:hAnsi="Times New Roman" w:cs="Times New Roman"/>
        </w:rPr>
        <w:t xml:space="preserve"> MAB391-</w:t>
      </w:r>
      <w:r w:rsidR="00011261">
        <w:rPr>
          <w:rFonts w:ascii="Times New Roman" w:hAnsi="Times New Roman" w:cs="Times New Roman"/>
        </w:rPr>
        <w:t>treated astrocytes</w:t>
      </w:r>
      <w:r w:rsidR="00AA5DCE">
        <w:rPr>
          <w:rFonts w:ascii="Times New Roman" w:hAnsi="Times New Roman" w:cs="Times New Roman"/>
        </w:rPr>
        <w:t>,</w:t>
      </w:r>
      <w:r w:rsidR="00011261">
        <w:rPr>
          <w:rFonts w:ascii="Times New Roman" w:hAnsi="Times New Roman" w:cs="Times New Roman"/>
        </w:rPr>
        <w:t xml:space="preserve"> it was apparent that there were changes in </w:t>
      </w:r>
      <w:r w:rsidR="001266DA">
        <w:rPr>
          <w:rFonts w:ascii="Times New Roman" w:hAnsi="Times New Roman" w:cs="Times New Roman"/>
        </w:rPr>
        <w:t>gene expression as a result of the</w:t>
      </w:r>
      <w:r w:rsidR="00011261">
        <w:rPr>
          <w:rFonts w:ascii="Times New Roman" w:hAnsi="Times New Roman" w:cs="Times New Roman"/>
        </w:rPr>
        <w:t xml:space="preserve"> antibody technique being used. This was particularly</w:t>
      </w:r>
      <w:r w:rsidR="00497925">
        <w:rPr>
          <w:rFonts w:ascii="Times New Roman" w:hAnsi="Times New Roman" w:cs="Times New Roman"/>
        </w:rPr>
        <w:t xml:space="preserve"> evident by a decrease in expression of the gene FCGR1B, suggesting a way in which the astrocyt</w:t>
      </w:r>
      <w:r w:rsidR="00AA5DCE">
        <w:rPr>
          <w:rFonts w:ascii="Times New Roman" w:hAnsi="Times New Roman" w:cs="Times New Roman"/>
        </w:rPr>
        <w:t>e could</w:t>
      </w:r>
      <w:r w:rsidR="00497925">
        <w:rPr>
          <w:rFonts w:ascii="Times New Roman" w:hAnsi="Times New Roman" w:cs="Times New Roman"/>
        </w:rPr>
        <w:t xml:space="preserve"> prevent binding to the Fc fragment of the MAB391.</w:t>
      </w:r>
      <w:r w:rsidR="0085099F">
        <w:rPr>
          <w:rFonts w:ascii="Times New Roman" w:hAnsi="Times New Roman" w:cs="Times New Roman"/>
        </w:rPr>
        <w:t xml:space="preserve"> </w:t>
      </w:r>
      <w:r w:rsidR="00F0230D">
        <w:rPr>
          <w:rFonts w:ascii="Times New Roman" w:hAnsi="Times New Roman" w:cs="Times New Roman"/>
        </w:rPr>
        <w:t xml:space="preserve">Therefore, </w:t>
      </w:r>
      <w:r w:rsidR="00BA2FB9">
        <w:rPr>
          <w:rFonts w:ascii="Times New Roman" w:hAnsi="Times New Roman" w:cs="Times New Roman"/>
        </w:rPr>
        <w:t xml:space="preserve">MAB391 </w:t>
      </w:r>
      <w:r w:rsidR="00F0230D">
        <w:rPr>
          <w:rFonts w:ascii="Times New Roman" w:hAnsi="Times New Roman" w:cs="Times New Roman"/>
        </w:rPr>
        <w:t>treatment may model</w:t>
      </w:r>
      <w:r w:rsidR="00BA2FB9">
        <w:rPr>
          <w:rFonts w:ascii="Times New Roman" w:hAnsi="Times New Roman" w:cs="Times New Roman"/>
        </w:rPr>
        <w:t xml:space="preserve"> </w:t>
      </w:r>
      <w:r w:rsidR="00AA5DCE">
        <w:rPr>
          <w:rFonts w:ascii="Times New Roman" w:hAnsi="Times New Roman" w:cs="Times New Roman"/>
        </w:rPr>
        <w:t xml:space="preserve">both </w:t>
      </w:r>
      <w:r w:rsidR="00BA2FB9">
        <w:rPr>
          <w:rFonts w:ascii="Times New Roman" w:hAnsi="Times New Roman" w:cs="Times New Roman"/>
        </w:rPr>
        <w:t>an immune response and</w:t>
      </w:r>
      <w:r w:rsidR="00F0230D">
        <w:rPr>
          <w:rFonts w:ascii="Times New Roman" w:hAnsi="Times New Roman" w:cs="Times New Roman"/>
        </w:rPr>
        <w:t xml:space="preserve"> an</w:t>
      </w:r>
      <w:r w:rsidR="00BA2FB9">
        <w:rPr>
          <w:rFonts w:ascii="Times New Roman" w:hAnsi="Times New Roman" w:cs="Times New Roman"/>
        </w:rPr>
        <w:t xml:space="preserve"> impairment of IGF1 signalling in astrocytes.</w:t>
      </w:r>
      <w:r w:rsidR="005B3CE5">
        <w:rPr>
          <w:rFonts w:ascii="Times New Roman" w:hAnsi="Times New Roman" w:cs="Times New Roman"/>
        </w:rPr>
        <w:t xml:space="preserve"> </w:t>
      </w:r>
      <w:r w:rsidR="0085099F">
        <w:rPr>
          <w:rFonts w:ascii="Times New Roman" w:hAnsi="Times New Roman" w:cs="Times New Roman"/>
        </w:rPr>
        <w:t>The</w:t>
      </w:r>
      <w:r w:rsidR="00AA5DCE">
        <w:rPr>
          <w:rFonts w:ascii="Times New Roman" w:hAnsi="Times New Roman" w:cs="Times New Roman"/>
        </w:rPr>
        <w:t>se observations showed that</w:t>
      </w:r>
      <w:r w:rsidR="0085099F">
        <w:rPr>
          <w:rFonts w:ascii="Times New Roman" w:hAnsi="Times New Roman" w:cs="Times New Roman"/>
        </w:rPr>
        <w:t xml:space="preserve"> it was </w:t>
      </w:r>
      <w:r w:rsidR="00F02102">
        <w:rPr>
          <w:rFonts w:ascii="Times New Roman" w:hAnsi="Times New Roman" w:cs="Times New Roman"/>
        </w:rPr>
        <w:t>crucial</w:t>
      </w:r>
      <w:r w:rsidR="0085099F">
        <w:rPr>
          <w:rFonts w:ascii="Times New Roman" w:hAnsi="Times New Roman" w:cs="Times New Roman"/>
        </w:rPr>
        <w:t xml:space="preserve"> to validate changes identified in the array against </w:t>
      </w:r>
      <w:r w:rsidR="00023D14">
        <w:rPr>
          <w:rFonts w:ascii="Times New Roman" w:hAnsi="Times New Roman" w:cs="Times New Roman"/>
        </w:rPr>
        <w:t>the e</w:t>
      </w:r>
      <w:r w:rsidR="0085099F">
        <w:rPr>
          <w:rFonts w:ascii="Times New Roman" w:hAnsi="Times New Roman" w:cs="Times New Roman"/>
        </w:rPr>
        <w:t xml:space="preserve">ffects of the IgG isotype control and </w:t>
      </w:r>
      <w:r w:rsidR="00F02102">
        <w:rPr>
          <w:rFonts w:ascii="Times New Roman" w:hAnsi="Times New Roman" w:cs="Times New Roman"/>
        </w:rPr>
        <w:t>reaffirmed the importance of earlier decisions to incorporate an IgG isotype control, which is not present in</w:t>
      </w:r>
      <w:r w:rsidR="00023D14">
        <w:rPr>
          <w:rFonts w:ascii="Times New Roman" w:hAnsi="Times New Roman" w:cs="Times New Roman"/>
        </w:rPr>
        <w:t xml:space="preserve"> other studies using MAB391 </w:t>
      </w:r>
      <w:r w:rsidR="00023D14">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"1535-7163", "PMID" : "12516969", "abstract" : "Insulin-like growth factor receptor 1 (IGFR1) plays a crucial role in oncogenic transformation [C. Sell et al., Mol. Cell. Biol., 14: 3604-3612,1994]. Compared with the normal human mammary epithelial cell line MCF12A, MCF7 human mammary carcinoma cells overexpress IGFR1 on the cell surface. To measure the effects of IGFR1 inhibition on tumor cells, we tested two mouse neutralizing antibodies against human IGFR1 in cell-based assays. Both MAB391 and anti-IR3 antibodies inhibit IGFR1 autophosphorylation upon IGF-I ligand stimulation with IC50s of 0.58 and 0.80 nM, respectively. When cells were treated with neutralizing anti-IGFR1 antibodies for &gt; or = 4 h, the total receptor level was dramatically decreased. IGF-I-stimulated activation of AKT was also inhibited by anti-IGFR1 antibodies. Furthermore, MAB391 and anti-IR3 inhibited the growth of MCF7 cells in soft agar. In addition to MCF7 cells, MAB391 also inhibited IGFR1 autophosphorylation and induced IGFR1 down-modulation in HT29 colorectal and Du145 prostate cancer cells. Therefore, neutralizing antibodies against IGFR1 represent a valid approach to inhibit growth of tumor cells.", "author" : [ { "dropping-particle" : "", "family" : "Hailey", "given" : "Judith", "non-dropping-particle" : "", "parse-names" : false, "suffix" : "" }, { "dropping-particle" : "", "family" : "Maxwell", "given" : "Eugene", "non-dropping-particle" : "", "parse-names" : false, "suffix" : "" }, { "dropping-particle" : "", "family" : "Koukouras", "given" : "Kathy", "non-dropping-particle" : "", "parse-names" : false, "suffix" : "" }, { "dropping-particle" : "", "family" : "Bishop", "given" : "W Robert", "non-dropping-particle" : "", "parse-names" : false, "suffix" : "" }, { "dropping-particle" : "", "family" : "Pachter", "given" : "Jonathan A", "non-dropping-particle" : "", "parse-names" : false, "suffix" : "" }, { "dropping-particle" : "", "family" : "Wang", "given" : "Yan", "non-dropping-particle" : "", "parse-names" : false, "suffix" : "" } ], "container-title" : "Molecular cancer therapeutics", "id" : "ITEM-1", "issue" : "14", "issued" : { "date-parts" : [ [ "2002", "12" ] ] }, "page" : "1349-53", "title" : "Neutralizing anti-insulin-like growth factor receptor 1 antibodies inhibit receptor function and induce receptor degradation in tumor cells.", "type" : "article-journal", "volume" : "1" }, "uris" : [ "http://www.mendeley.com/documents/?uuid=16124cbb-59cc-411c-804f-b74c595e5581" ] } ], "mendeley" : { "formattedCitation" : "(Hailey et al. 2002)", "plainTextFormattedCitation" : "(Hailey et al. 2002)", "previouslyFormattedCitation" : "(Hailey et al. 2002)" }, "properties" : { "noteIndex" : 0 }, "schema" : "https://github.com/citation-style-language/schema/raw/master/csl-citation.json" }</w:instrText>
      </w:r>
      <w:r w:rsidR="00023D14">
        <w:rPr>
          <w:rFonts w:ascii="Times New Roman" w:hAnsi="Times New Roman" w:cs="Times New Roman"/>
        </w:rPr>
        <w:fldChar w:fldCharType="separate"/>
      </w:r>
      <w:r w:rsidR="00C148FC" w:rsidRPr="00C148FC">
        <w:rPr>
          <w:rFonts w:ascii="Times New Roman" w:hAnsi="Times New Roman" w:cs="Times New Roman"/>
          <w:noProof/>
        </w:rPr>
        <w:t>(Hailey et al. 2002)</w:t>
      </w:r>
      <w:r w:rsidR="00023D14">
        <w:rPr>
          <w:rFonts w:ascii="Times New Roman" w:hAnsi="Times New Roman" w:cs="Times New Roman"/>
        </w:rPr>
        <w:fldChar w:fldCharType="end"/>
      </w:r>
      <w:r w:rsidR="00F02102">
        <w:rPr>
          <w:rFonts w:ascii="Times New Roman" w:hAnsi="Times New Roman" w:cs="Times New Roman"/>
        </w:rPr>
        <w:t>.</w:t>
      </w:r>
      <w:r w:rsidR="005B3CE5">
        <w:rPr>
          <w:rFonts w:ascii="Times New Roman" w:hAnsi="Times New Roman" w:cs="Times New Roman"/>
        </w:rPr>
        <w:t xml:space="preserve"> </w:t>
      </w:r>
    </w:p>
    <w:p w14:paraId="0F41CBE4" w14:textId="77777777" w:rsidR="000E270B" w:rsidRDefault="000E270B" w:rsidP="006704AA">
      <w:pPr>
        <w:spacing w:line="360" w:lineRule="auto"/>
        <w:rPr>
          <w:rFonts w:ascii="Times New Roman" w:hAnsi="Times New Roman" w:cs="Times New Roman"/>
        </w:rPr>
      </w:pPr>
    </w:p>
    <w:p w14:paraId="35C4EA92" w14:textId="538FF2B7" w:rsidR="006572A7" w:rsidRDefault="002850FF" w:rsidP="0052651A">
      <w:pPr>
        <w:spacing w:line="360" w:lineRule="auto"/>
        <w:jc w:val="both"/>
        <w:rPr>
          <w:rFonts w:ascii="Times New Roman" w:hAnsi="Times New Roman" w:cs="Times New Roman"/>
        </w:rPr>
      </w:pPr>
      <w:r>
        <w:rPr>
          <w:rFonts w:ascii="Times New Roman" w:hAnsi="Times New Roman" w:cs="Times New Roman"/>
        </w:rPr>
        <w:t>This study wa</w:t>
      </w:r>
      <w:r w:rsidR="006572A7">
        <w:rPr>
          <w:rFonts w:ascii="Times New Roman" w:hAnsi="Times New Roman" w:cs="Times New Roman"/>
        </w:rPr>
        <w:t>s performed on f</w:t>
      </w:r>
      <w:r w:rsidR="00445AC0">
        <w:rPr>
          <w:rFonts w:ascii="Times New Roman" w:hAnsi="Times New Roman" w:cs="Times New Roman"/>
        </w:rPr>
        <w:t>o</w:t>
      </w:r>
      <w:r w:rsidR="006572A7">
        <w:rPr>
          <w:rFonts w:ascii="Times New Roman" w:hAnsi="Times New Roman" w:cs="Times New Roman"/>
        </w:rPr>
        <w:t>etal human astrocytes and neurons,</w:t>
      </w:r>
      <w:r w:rsidR="00AF5369">
        <w:rPr>
          <w:rFonts w:ascii="Times New Roman" w:hAnsi="Times New Roman" w:cs="Times New Roman"/>
        </w:rPr>
        <w:t xml:space="preserve"> which is</w:t>
      </w:r>
      <w:r w:rsidR="0056749D">
        <w:rPr>
          <w:rFonts w:ascii="Times New Roman" w:hAnsi="Times New Roman" w:cs="Times New Roman"/>
        </w:rPr>
        <w:t xml:space="preserve"> a</w:t>
      </w:r>
      <w:r w:rsidR="00AF5369">
        <w:rPr>
          <w:rFonts w:ascii="Times New Roman" w:hAnsi="Times New Roman" w:cs="Times New Roman"/>
        </w:rPr>
        <w:t xml:space="preserve"> novel </w:t>
      </w:r>
      <w:r w:rsidR="0056749D">
        <w:rPr>
          <w:rFonts w:ascii="Times New Roman" w:hAnsi="Times New Roman" w:cs="Times New Roman"/>
        </w:rPr>
        <w:t>co-culture system. M</w:t>
      </w:r>
      <w:r w:rsidR="00AF5369">
        <w:rPr>
          <w:rFonts w:ascii="Times New Roman" w:hAnsi="Times New Roman" w:cs="Times New Roman"/>
        </w:rPr>
        <w:t xml:space="preserve">any studies use rodent cells to </w:t>
      </w:r>
      <w:r>
        <w:rPr>
          <w:rFonts w:ascii="Times New Roman" w:hAnsi="Times New Roman" w:cs="Times New Roman"/>
        </w:rPr>
        <w:t>investigate</w:t>
      </w:r>
      <w:r w:rsidR="00AF5369">
        <w:rPr>
          <w:rFonts w:ascii="Times New Roman" w:hAnsi="Times New Roman" w:cs="Times New Roman"/>
        </w:rPr>
        <w:t xml:space="preserve"> processes that occur in human</w:t>
      </w:r>
      <w:r>
        <w:rPr>
          <w:rFonts w:ascii="Times New Roman" w:hAnsi="Times New Roman" w:cs="Times New Roman"/>
        </w:rPr>
        <w:t xml:space="preserve"> disease;</w:t>
      </w:r>
      <w:r w:rsidR="0056749D">
        <w:rPr>
          <w:rFonts w:ascii="Times New Roman" w:hAnsi="Times New Roman" w:cs="Times New Roman"/>
        </w:rPr>
        <w:t xml:space="preserve"> however</w:t>
      </w:r>
      <w:r>
        <w:rPr>
          <w:rFonts w:ascii="Times New Roman" w:hAnsi="Times New Roman" w:cs="Times New Roman"/>
        </w:rPr>
        <w:t>,</w:t>
      </w:r>
      <w:r w:rsidR="00AF5369">
        <w:rPr>
          <w:rFonts w:ascii="Times New Roman" w:hAnsi="Times New Roman" w:cs="Times New Roman"/>
        </w:rPr>
        <w:t xml:space="preserve"> human astrocytes are much more complex than their ro</w:t>
      </w:r>
      <w:r w:rsidR="00364896">
        <w:rPr>
          <w:rFonts w:ascii="Times New Roman" w:hAnsi="Times New Roman" w:cs="Times New Roman"/>
        </w:rPr>
        <w:t xml:space="preserve">dent counterparts </w:t>
      </w:r>
      <w:r w:rsidR="00364896">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"10.1016/j.tins.2006.08.004", "ISSN" : "0166-2236", "PMID" : "16938356", "abstract" : "One of the most distinguishing features of the adult human brain is the complexity and diversity of its cortical astrocytes. Human protoplasmic astrocytes manifest a threefold larger diameter and have tenfold more primary processes than those of rodents. In all mammals, protoplasmic astrocytes are organized into spatially non-overlapping domains that encompass both neurons and vasculature. Yet unique to humans and primates are additional populations of layer 1 interlaminar astrocytes that extend long (millimeter) fibers, and layer 5-6 polarized astrocytes that also project distinctive long processes. We propose that human cortical evolution has been accompanied by increasing complexity in the form and function of astrocytes, which reflects an expansion of their functional roles in synaptic modulation and cortical circuitry.", "author" : [ { "dropping-particle" : "", "family" : "Oberheim", "given" : "Nancy Ann", "non-dropping-particle" : "", "parse-names" : false, "suffix" : "" }, { "dropping-particle" : "", "family" : "Wang", "given" : "Xiaohai", "non-dropping-particle" : "", "parse-names" : false, "suffix" : "" }, { "dropping-particle" : "", "family" : "Goldman", "given" : "Steven", "non-dropping-particle" : "", "parse-names" : false, "suffix" : "" }, { "dropping-particle" : "", "family" : "Nedergaard", "given" : "Maiken", "non-dropping-particle" : "", "parse-names" : false, "suffix" : "" } ], "container-title" : "Trends in neurosciences", "id" : "ITEM-1", "issue" : "10", "issued" : { "date-parts" : [ [ "2006", "10", "1" ] ] }, "language" : "English", "page" : "547-53", "publisher" : "Elsevier", "title" : "Astrocytic complexity distinguishes the human brain.", "type" : "article-journal", "volume" : "29" }, "uris" : [ "http://www.mendeley.com/documents/?uuid=c61b7cad-1cf5-46ed-ad24-67fd34e0cab9" ] } ], "mendeley" : { "formattedCitation" : "(Oberheim et al. 2006)", "plainTextFormattedCitation" : "(Oberheim et al. 2006)", "previouslyFormattedCitation" : "(Oberheim et al. 2006)" }, "properties" : { "noteIndex" : 0 }, "schema" : "https://github.com/citation-style-language/schema/raw/master/csl-citation.json" }</w:instrText>
      </w:r>
      <w:r w:rsidR="00364896">
        <w:rPr>
          <w:rFonts w:ascii="Times New Roman" w:hAnsi="Times New Roman" w:cs="Times New Roman"/>
        </w:rPr>
        <w:fldChar w:fldCharType="separate"/>
      </w:r>
      <w:r w:rsidR="00C148FC" w:rsidRPr="00C148FC">
        <w:rPr>
          <w:rFonts w:ascii="Times New Roman" w:hAnsi="Times New Roman" w:cs="Times New Roman"/>
          <w:noProof/>
        </w:rPr>
        <w:t>(Oberheim et al. 2006)</w:t>
      </w:r>
      <w:r w:rsidR="00364896">
        <w:rPr>
          <w:rFonts w:ascii="Times New Roman" w:hAnsi="Times New Roman" w:cs="Times New Roman"/>
        </w:rPr>
        <w:fldChar w:fldCharType="end"/>
      </w:r>
      <w:r w:rsidR="00AF5369">
        <w:rPr>
          <w:rFonts w:ascii="Times New Roman" w:hAnsi="Times New Roman" w:cs="Times New Roman"/>
        </w:rPr>
        <w:t xml:space="preserve">. </w:t>
      </w:r>
      <w:r w:rsidR="0056749D">
        <w:rPr>
          <w:rFonts w:ascii="Times New Roman" w:hAnsi="Times New Roman" w:cs="Times New Roman"/>
        </w:rPr>
        <w:t xml:space="preserve">Therefore, </w:t>
      </w:r>
      <w:r w:rsidR="006572A7">
        <w:rPr>
          <w:rFonts w:ascii="Times New Roman" w:hAnsi="Times New Roman" w:cs="Times New Roman"/>
        </w:rPr>
        <w:t>to address a qu</w:t>
      </w:r>
      <w:r w:rsidR="00B04C8F">
        <w:rPr>
          <w:rFonts w:ascii="Times New Roman" w:hAnsi="Times New Roman" w:cs="Times New Roman"/>
        </w:rPr>
        <w:t>estion that relates to an age-associated</w:t>
      </w:r>
      <w:r w:rsidR="006572A7">
        <w:rPr>
          <w:rFonts w:ascii="Times New Roman" w:hAnsi="Times New Roman" w:cs="Times New Roman"/>
        </w:rPr>
        <w:t xml:space="preserve"> disease</w:t>
      </w:r>
      <w:r w:rsidR="002A44F7">
        <w:rPr>
          <w:rFonts w:ascii="Times New Roman" w:hAnsi="Times New Roman" w:cs="Times New Roman"/>
        </w:rPr>
        <w:t xml:space="preserve">, it would be </w:t>
      </w:r>
      <w:r w:rsidR="000E270B">
        <w:rPr>
          <w:rFonts w:ascii="Times New Roman" w:hAnsi="Times New Roman" w:cs="Times New Roman"/>
        </w:rPr>
        <w:t>important to repeat</w:t>
      </w:r>
      <w:r w:rsidR="006572A7">
        <w:rPr>
          <w:rFonts w:ascii="Times New Roman" w:hAnsi="Times New Roman" w:cs="Times New Roman"/>
        </w:rPr>
        <w:t xml:space="preserve"> these experiments in adult astrocytes and neur</w:t>
      </w:r>
      <w:r w:rsidR="001E7623">
        <w:rPr>
          <w:rFonts w:ascii="Times New Roman" w:hAnsi="Times New Roman" w:cs="Times New Roman"/>
        </w:rPr>
        <w:t>ons. I</w:t>
      </w:r>
      <w:r w:rsidR="006572A7">
        <w:rPr>
          <w:rFonts w:ascii="Times New Roman" w:hAnsi="Times New Roman" w:cs="Times New Roman"/>
        </w:rPr>
        <w:t xml:space="preserve">t is now possible to reprogram </w:t>
      </w:r>
      <w:r w:rsidR="001E7623">
        <w:rPr>
          <w:rFonts w:ascii="Times New Roman" w:hAnsi="Times New Roman" w:cs="Times New Roman"/>
        </w:rPr>
        <w:t>human</w:t>
      </w:r>
      <w:r w:rsidR="006572A7">
        <w:rPr>
          <w:rFonts w:ascii="Times New Roman" w:hAnsi="Times New Roman" w:cs="Times New Roman"/>
        </w:rPr>
        <w:t xml:space="preserve"> fibroblasts back to neuroprogenitor cells and establish co-cultures of astrocytes and neurons</w:t>
      </w:r>
      <w:r w:rsidR="00364896">
        <w:rPr>
          <w:rFonts w:ascii="Times New Roman" w:hAnsi="Times New Roman" w:cs="Times New Roman"/>
        </w:rPr>
        <w:t xml:space="preserve"> </w:t>
      </w:r>
      <w:r w:rsidR="009610C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"10.1073/pnas.1314085111", "ISSN" : "1091-6490", "PMID" : "24379375", "abstract" : "Amyotrophic lateral sclerosis (ALS) causes motor neuron degeneration, paralysis, and death. Accurate disease modeling, identifying disease mechanisms, and developing therapeutics is urgently needed. We previously reported motor neuron toxicity through postmortem ALS spinal cord-derived astrocytes. However, these cells can only be harvested after death, and their expansion is limited. We now report a rapid, highly reproducible method to convert adult human fibroblasts from living ALS patients to induced neuronal progenitor cells and subsequent differentiation into astrocytes (i-astrocytes). Non-cell autonomous toxicity to motor neurons is found following coculture of i-astrocytes from familial ALS patients with mutation in superoxide dismutase or hexanucleotide expansion in C9orf72 (ORF 72 on chromosome 9) the two most frequent causes of ALS. Remarkably, i-astrocytes from sporadic ALS patients are as toxic as those with causative mutations, suggesting a common mechanism. Easy production and expansion of i-astrocytes now enables rapid disease modeling and high-throughput drug screening to alleviate astrocyte-derived toxicity.", "author" : [ { "dropping-particle" : "", "family" : "Meyer", "given" : "Kathrin", "non-dropping-particle" : "", "parse-names" : false, "suffix" : "" }, { "dropping-particle" : "", "family" : "Ferraiuolo", "given" : "Laura", "non-dropping-particle" : "", "parse-names" : false, "suffix" : "" }, { "dropping-particle" : "", "family" : "Miranda", "given" : "Carlos J", "non-dropping-particle" : "", "parse-names" : false, "suffix" : "" }, { "dropping-particle" : "", "family" : "Likhite", "given" : "Shibi", "non-dropping-particle" : "", "parse-names" : false, "suffix" : "" }, { "dropping-particle" : "", "family" : "McElroy", "given" : "Sohyun", "non-dropping-particle" : "", "parse-names" : false, "suffix" : "" }, { "dropping-particle" : "", "family" : "Renusch", "given" : "Samantha", "non-dropping-particle" : "", "parse-names" : false, "suffix" : "" }, { "dropping-particle" : "", "family" : "Ditsworth", "given" : "Dara", "non-dropping-particle" : "", "parse-names" : false, "suffix" : "" }, { "dropping-particle" : "", "family" : "Lagier-Tourenne", "given" : "Clotilde", "non-dropping-particle" : "", "parse-names" : false, "suffix" : "" }, { "dropping-particle" : "", "family" : "Smith", "given" : "Richard A", "non-dropping-particle" : "", "parse-names" : false, "suffix" : "" }, { "dropping-particle" : "", "family" : "Ravits", "given" : "John", "non-dropping-particle" : "", "parse-names" : false, "suffix" : "" }, { "dropping-particle" : "", "family" : "Burghes", "given" : "Arthur H", "non-dropping-particle" : "", "parse-names" : false, "suffix" : "" }, { "dropping-particle" : "", "family" : "Shaw", "given" : "Pamela J", "non-dropping-particle" : "", "parse-names" : false, "suffix" : "" }, { "dropping-particle" : "", "family" : "Cleveland", "given" : "Don W", "non-dropping-particle" : "", "parse-names" : false, "suffix" : "" }, { "dropping-particle" : "", "family" : "Kolb", "given" : "Stephen J", "non-dropping-particle" : "", "parse-names" : false, "suffix" : "" }, { "dropping-particle" : "", "family" : "Kaspar", "given" : "Brian K", "non-dropping-particle" : "", "parse-names" : false, "suffix" : "" } ], "container-title" : "Proceedings of the National Academy of Sciences of the United States of America", "id" : "ITEM-1", "issue" : "2", "issued" : { "date-parts" : [ [ "2014", "1", "14" ] ] }, "page" : "829-32", "publisher" : "National Academy of Sciences", "title" : "Direct conversion of patient fibroblasts demonstrates non-cell autonomous toxicity of astrocytes to motor neurons in familial and sporadic ALS.", "type" : "article-journal", "volume" : "111" }, "uris" : [ "http://www.mendeley.com/documents/?uuid=4517bfff-ab1a-3959-b227-c282c78f871c" ] } ], "mendeley" : { "formattedCitation" : "(Meyer et al. 2014b)", "manualFormatting" : "(Meyer et al., 2014)", "plainTextFormattedCitation" : "(Meyer et al. 2014b)", "previouslyFormattedCitation" : "(Meyer et al. 2014b)" }, "properties" : { "noteIndex" : 0 }, "schema" : "https://github.com/citation-style-language/schema/raw/master/csl-citation.json" }</w:instrText>
      </w:r>
      <w:r w:rsidR="009610C2">
        <w:rPr>
          <w:rFonts w:ascii="Times New Roman" w:hAnsi="Times New Roman" w:cs="Times New Roman"/>
        </w:rPr>
        <w:fldChar w:fldCharType="separate"/>
      </w:r>
      <w:r w:rsidR="00A51CA2">
        <w:rPr>
          <w:rFonts w:ascii="Times New Roman" w:hAnsi="Times New Roman" w:cs="Times New Roman"/>
          <w:noProof/>
        </w:rPr>
        <w:t>(Meyer et al., 2014</w:t>
      </w:r>
      <w:r w:rsidR="002927E7" w:rsidRPr="002927E7">
        <w:rPr>
          <w:rFonts w:ascii="Times New Roman" w:hAnsi="Times New Roman" w:cs="Times New Roman"/>
          <w:noProof/>
        </w:rPr>
        <w:t>)</w:t>
      </w:r>
      <w:r w:rsidR="009610C2">
        <w:rPr>
          <w:rFonts w:ascii="Times New Roman" w:hAnsi="Times New Roman" w:cs="Times New Roman"/>
        </w:rPr>
        <w:fldChar w:fldCharType="end"/>
      </w:r>
      <w:r w:rsidR="006572A7">
        <w:rPr>
          <w:rFonts w:ascii="Times New Roman" w:hAnsi="Times New Roman" w:cs="Times New Roman"/>
        </w:rPr>
        <w:t>. The experiments in th</w:t>
      </w:r>
      <w:r w:rsidR="002A44F7">
        <w:rPr>
          <w:rFonts w:ascii="Times New Roman" w:hAnsi="Times New Roman" w:cs="Times New Roman"/>
        </w:rPr>
        <w:t>is thesis c</w:t>
      </w:r>
      <w:r w:rsidR="001E7623">
        <w:rPr>
          <w:rFonts w:ascii="Times New Roman" w:hAnsi="Times New Roman" w:cs="Times New Roman"/>
        </w:rPr>
        <w:t>ould</w:t>
      </w:r>
      <w:r w:rsidR="002A44F7">
        <w:rPr>
          <w:rFonts w:ascii="Times New Roman" w:hAnsi="Times New Roman" w:cs="Times New Roman"/>
        </w:rPr>
        <w:t xml:space="preserve"> be performed in fibroblast-derived </w:t>
      </w:r>
      <w:r w:rsidR="00DB2144">
        <w:rPr>
          <w:rFonts w:ascii="Times New Roman" w:hAnsi="Times New Roman" w:cs="Times New Roman"/>
        </w:rPr>
        <w:t>ad</w:t>
      </w:r>
      <w:r w:rsidR="002A44F7">
        <w:rPr>
          <w:rFonts w:ascii="Times New Roman" w:hAnsi="Times New Roman" w:cs="Times New Roman"/>
        </w:rPr>
        <w:t xml:space="preserve">ult astrocyte-neuron co-cultures </w:t>
      </w:r>
      <w:r w:rsidR="006572A7">
        <w:rPr>
          <w:rFonts w:ascii="Times New Roman" w:hAnsi="Times New Roman" w:cs="Times New Roman"/>
        </w:rPr>
        <w:t xml:space="preserve">but </w:t>
      </w:r>
      <w:r w:rsidR="00DB2144">
        <w:rPr>
          <w:rFonts w:ascii="Times New Roman" w:hAnsi="Times New Roman" w:cs="Times New Roman"/>
        </w:rPr>
        <w:t xml:space="preserve">these cells </w:t>
      </w:r>
      <w:r w:rsidR="002A44F7">
        <w:rPr>
          <w:rFonts w:ascii="Times New Roman" w:hAnsi="Times New Roman" w:cs="Times New Roman"/>
        </w:rPr>
        <w:t>would</w:t>
      </w:r>
      <w:r w:rsidR="006572A7">
        <w:rPr>
          <w:rFonts w:ascii="Times New Roman" w:hAnsi="Times New Roman" w:cs="Times New Roman"/>
        </w:rPr>
        <w:t xml:space="preserve"> not</w:t>
      </w:r>
      <w:r w:rsidR="002A44F7">
        <w:rPr>
          <w:rFonts w:ascii="Times New Roman" w:hAnsi="Times New Roman" w:cs="Times New Roman"/>
        </w:rPr>
        <w:t xml:space="preserve"> necessarily</w:t>
      </w:r>
      <w:r w:rsidR="006572A7">
        <w:rPr>
          <w:rFonts w:ascii="Times New Roman" w:hAnsi="Times New Roman" w:cs="Times New Roman"/>
        </w:rPr>
        <w:t xml:space="preserve"> need to be </w:t>
      </w:r>
      <w:r w:rsidR="00DB2144">
        <w:rPr>
          <w:rFonts w:ascii="Times New Roman" w:hAnsi="Times New Roman" w:cs="Times New Roman"/>
        </w:rPr>
        <w:t>derived from</w:t>
      </w:r>
      <w:r w:rsidR="006572A7">
        <w:rPr>
          <w:rFonts w:ascii="Times New Roman" w:hAnsi="Times New Roman" w:cs="Times New Roman"/>
        </w:rPr>
        <w:t xml:space="preserve"> people with AD. The </w:t>
      </w:r>
      <w:r w:rsidR="004C0DEE">
        <w:rPr>
          <w:rFonts w:ascii="Times New Roman" w:hAnsi="Times New Roman" w:cs="Times New Roman"/>
        </w:rPr>
        <w:t xml:space="preserve">fibroblasts that are reprogrammed will have inherent age-associated changes that will be carried through to the astrocytes and neurons that </w:t>
      </w:r>
      <w:r w:rsidR="009334A5">
        <w:rPr>
          <w:rFonts w:ascii="Times New Roman" w:hAnsi="Times New Roman" w:cs="Times New Roman"/>
        </w:rPr>
        <w:t>are</w:t>
      </w:r>
      <w:r w:rsidR="004C0DEE">
        <w:rPr>
          <w:rFonts w:ascii="Times New Roman" w:hAnsi="Times New Roman" w:cs="Times New Roman"/>
        </w:rPr>
        <w:t xml:space="preserve"> generated. </w:t>
      </w:r>
      <w:r w:rsidR="006572A7">
        <w:rPr>
          <w:rFonts w:ascii="Times New Roman" w:hAnsi="Times New Roman" w:cs="Times New Roman"/>
        </w:rPr>
        <w:t xml:space="preserve"> </w:t>
      </w:r>
      <w:r w:rsidR="00DB2144">
        <w:rPr>
          <w:rFonts w:ascii="Times New Roman" w:hAnsi="Times New Roman" w:cs="Times New Roman"/>
        </w:rPr>
        <w:t xml:space="preserve">Therefore loss of IGF1R in astrocytes can be assessed in the presence of other confounding age-related factors. </w:t>
      </w:r>
      <w:r w:rsidR="00AA5DCE">
        <w:rPr>
          <w:rFonts w:ascii="Times New Roman" w:hAnsi="Times New Roman" w:cs="Times New Roman"/>
        </w:rPr>
        <w:t>However, the benefits</w:t>
      </w:r>
      <w:r w:rsidR="00DB2144">
        <w:rPr>
          <w:rFonts w:ascii="Times New Roman" w:hAnsi="Times New Roman" w:cs="Times New Roman"/>
        </w:rPr>
        <w:t xml:space="preserve"> of using </w:t>
      </w:r>
      <w:r w:rsidR="00AA5DCE">
        <w:rPr>
          <w:rFonts w:ascii="Times New Roman" w:hAnsi="Times New Roman" w:cs="Times New Roman"/>
        </w:rPr>
        <w:t>f</w:t>
      </w:r>
      <w:r w:rsidR="00445AC0">
        <w:rPr>
          <w:rFonts w:ascii="Times New Roman" w:hAnsi="Times New Roman" w:cs="Times New Roman"/>
        </w:rPr>
        <w:t>o</w:t>
      </w:r>
      <w:r w:rsidR="00AA5DCE">
        <w:rPr>
          <w:rFonts w:ascii="Times New Roman" w:hAnsi="Times New Roman" w:cs="Times New Roman"/>
        </w:rPr>
        <w:t>etal cells is that it allows a more specific</w:t>
      </w:r>
      <w:r w:rsidR="00DB2144">
        <w:rPr>
          <w:rFonts w:ascii="Times New Roman" w:hAnsi="Times New Roman" w:cs="Times New Roman"/>
        </w:rPr>
        <w:t xml:space="preserve"> examination of one system instead of </w:t>
      </w:r>
      <w:r w:rsidR="00AA5DCE">
        <w:rPr>
          <w:rFonts w:ascii="Times New Roman" w:hAnsi="Times New Roman" w:cs="Times New Roman"/>
        </w:rPr>
        <w:t>manipulating a pathway in the context of other age-associated factors</w:t>
      </w:r>
      <w:r w:rsidR="00DB2144">
        <w:rPr>
          <w:rFonts w:ascii="Times New Roman" w:hAnsi="Times New Roman" w:cs="Times New Roman"/>
        </w:rPr>
        <w:t>.</w:t>
      </w:r>
      <w:r w:rsidR="00B04C8F">
        <w:rPr>
          <w:rFonts w:ascii="Times New Roman" w:hAnsi="Times New Roman" w:cs="Times New Roman"/>
        </w:rPr>
        <w:t xml:space="preserve"> In addition, </w:t>
      </w:r>
      <w:r w:rsidR="002A44F7">
        <w:rPr>
          <w:rFonts w:ascii="Times New Roman" w:hAnsi="Times New Roman" w:cs="Times New Roman"/>
        </w:rPr>
        <w:t>IGF1 levels should be highest in f</w:t>
      </w:r>
      <w:r w:rsidR="00445AC0">
        <w:rPr>
          <w:rFonts w:ascii="Times New Roman" w:hAnsi="Times New Roman" w:cs="Times New Roman"/>
        </w:rPr>
        <w:t>o</w:t>
      </w:r>
      <w:r w:rsidR="002A44F7">
        <w:rPr>
          <w:rFonts w:ascii="Times New Roman" w:hAnsi="Times New Roman" w:cs="Times New Roman"/>
        </w:rPr>
        <w:t>etal cells as levels progressively deteriorate during ageing</w:t>
      </w:r>
      <w:r w:rsidR="001E7623">
        <w:rPr>
          <w:rFonts w:ascii="Times New Roman" w:hAnsi="Times New Roman" w:cs="Times New Roman"/>
        </w:rPr>
        <w:t xml:space="preserve"> </w:t>
      </w:r>
      <w:r w:rsidR="007D6F3F">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"10.1126/science.278.5337.419", "ISSN" : "0036-8075", "PMID" : "9334293", "abstract" : "Most aging individuals die from atherosclerosis, cancer, or dementia; but in the oldest old, loss of muscle strength resulting in frailty is the limiting factor for an individual's chances of living an independent life until death. Three hormonal systems show decreasing circulating hormone concentrations during normal aging: (i) estrogen (in menopause) and testosterone (in andropause), (ii) dehydroepiandrosterone and its sulphate (in adrenopause), and (iii) the growth hormone/insulin-like growth factor I axis (in somatopause). Physical changes during aging have been considered physiologic, but there is evidence that some of these changes are related to this decline in hormonal activity. Hormone replacement strategies have been developed, but many of their aspects remain controversial, and increasing blood hormone levels in aging individuals to those found during mid-adult life has not been uniformly proven to be safe and of benefit.", "author" : [ { "dropping-particle" : "", "family" : "Lamberts", "given" : "S W", "non-dropping-particle" : "", "parse-names" : false, "suffix" : "" }, { "dropping-particle" : "", "family" : "Beld", "given" : "A W", "non-dropping-particle" : "van den", "parse-names" : false, "suffix" : "" }, { "dropping-particle" : "", "family" : "Lely", "given" : "A J", "non-dropping-particle" : "van der", "parse-names" : false, "suffix" : "" }, { "dropping-particle" : "", "family" : "Fries", "given" : "J. F.", "non-dropping-particle" : "", "parse-names" : false, "suffix" : "" }, { "dropping-particle" : "", "family" : "Campion", "given" : "E. W.", "non-dropping-particle" : "", "parse-names" : false, "suffix" : "" }, { "dropping-particle" : "", "family" : "Kosorok", "given" : "M. R.", "non-dropping-particle" : "", "parse-names" : false, "suffix" : "" }, { "dropping-particle" : "", "family" : "Omenn", "given" : "G. S.", "non-dropping-particle" : "", "parse-names" : false, "suffix" : "" }, { "dropping-particle" : "", "family" : "Diehr", "given" : "P.", "non-dropping-particle" : "", "parse-names" : false, "suffix" : "" }, { "dropping-particle" : "", "family" : "Koepsell", "given" : "T. D.", "non-dropping-particle" : "", "parse-names" : false, "suffix" : "" }, { "dropping-particle" : "", "family" : "Patrick", "given" : "D. L.", "non-dropping-particle" : "", "parse-names" : false, "suffix" : "" }, { "dropping-particle" : "", "family" : "Brody", "given" : "J. A.", "non-dropping-particle" : "", "parse-names" : false, "suffix" : "" }, { "dropping-particle" : "", "family" : "Buchner", "given" : "D. M.", "non-dropping-particle" : "", "parse-names" : false, "suffix" : "" }, { "dropping-particle" : "", "family" : "Wagner", "given" : "E. H.", "non-dropping-particle" : "", "parse-names" : false, "suffix" : "" }, { "dropping-particle" : "", "family" : "Tinetti", "given" : "M. E.", "non-dropping-particle" : "", "parse-names" : false, "suffix" : "" }, { "dropping-particle" : "", "family" : "Spechley", "given" : "M.", "non-dropping-particle" : "", "parse-names" : false, "suffix" : "" }, { "dropping-particle" : "", "family" : "Ginter", "given" : "S. F.", "non-dropping-particle" : "", "parse-names" : false, "suffix" : "" }, { "dropping-particle" : "", "family" : "Prudham", "given" : "D.", "non-dropping-particle" : "", "parse-names" : false, "suffix" : "" }, { "dropping-particle" : "", "family" : "Evans", "given" : "J. G.", "non-dropping-particle" : "", "parse-names" : false, "suffix" : "" }, { "dropping-particle" : "", "family" : "Tinetti", "given" : "M. E.", "non-dropping-particle" : "", "parse-names" : false, "suffix" : "" }, { "dropping-particle" : "", "family" : "Kallman", "given" : "D. A.", "non-dropping-particle" : "", "parse-names" : false, "suffix" : "" }, { "dropping-particle" : "", "family" : "Plato", "given" : "C. C.", "non-dropping-particle" : "", "parse-names" : false, "suffix" : "" }, { "dropping-particle" : "", "family" : "Tobin", "given" : "J. D.", "non-dropping-particle" : "", "parse-names" : false, "suffix" : "" }, { "dropping-particle" : "", "family" : "Fiatarone", "given" : "M. A.", "non-dropping-particle" : "", "parse-names" : false, "suffix" : "" }, { "dropping-particle" : "", "family" : "Guralnik", "given" : "J. M.", "non-dropping-particle" : "", "parse-names" : false, "suffix" : "" }, { "dropping-particle" : "", "family" : "Ferrucci", "given" : "L.", "non-dropping-particle" : "", "parse-names" : false, "suffix" : "" }, { "dropping-particle" : "", "family" : "Simonsick", "given" : "E. M.", "non-dropping-particle" : "", "parse-names" : false, "suffix" : "" }, { "dropping-particle" : "", "family" : "Salive", "given" : "M. E.", "non-dropping-particle" : "", "parse-names" : false, "suffix" : "" }, { "dropping-particle" : "", "family" : "Wallace", "given" : "R. B.", "non-dropping-particle" : "", "parse-names" : false, "suffix" : "" }, { "dropping-particle" : "", "family" : "Rakowski", "given" : "W.", "non-dropping-particle" : "", "parse-names" : false, "suffix" : "" }, { "dropping-particle" : "", "family" : "Mor", "given" : "V.", "non-dropping-particle" : "", "parse-names" : false, "suffix" : "" }, { "dropping-particle" : "", "family" : "Harris", "given" : "M. I.", "non-dropping-particle" : "", "parse-names" : false, "suffix" : "" }, { "dropping-particle" : "", "family" : "Davidson", "given" : "M. B.", "non-dropping-particle" : "", "parse-names" : false, "suffix" : "" }, { "dropping-particle" : "", "family" : "Fink", "given" : "R. I.", "non-dropping-particle" : "", "parse-names" : false, "suffix" : "" }, { "dropping-particle" : "", "family" : "Kolterman", "given" : "O. G.", "non-dropping-particle" : "", "parse-names" : false, "suffix" : "" }, { "dropping-particle" : "", "family" : "Olefsky", "given" : "J. M.", "non-dropping-particle" : "", "parse-names" : false, "suffix" : "" }, { "dropping-particle" : "", "family" : "Mariotti", "given" : "S.", "non-dropping-particle" : "", "parse-names" : false, "suffix" : "" }, { "dropping-particle" : "", "family" : "Franceschi", "given" : "C.", "non-dropping-particle" : "", "parse-names" : false, "suffix" : "" }, { "dropping-particle" : "", "family" : "Cossarizza", "given" : "A.", "non-dropping-particle" : "", "parse-names" : false, "suffix" : "" }, { "dropping-particle" : "", "family" : "Pinchera", "given" : "A.", "non-dropping-particle" : "", "parse-names" : false, "suffix" : "" }, { "dropping-particle" : "", "family" : "Hijmans", "given" : "W.", "non-dropping-particle" : "", "parse-names" : false, "suffix" : "" }, { "dropping-particle" : "", "family" : "Radl", "given" : "J.", "non-dropping-particle" : "", "parse-names" : false, "suffix" : "" }, { "dropping-particle" : "", "family" : "Bottazzo", "given" : "G. F.", "non-dropping-particle" : "", "parse-names" : false, "suffix" : "" }, { "dropping-particle" : "", "family" : "Doniach", "given" : "D.", "non-dropping-particle" : "", "parse-names" : false, "suffix" : "" }, { "dropping-particle" : "", "family" : "Mariotti", "given" : "S.", "non-dropping-particle" : "", "parse-names" : false, "suffix" : "" }, { "dropping-particle" : "", "family" : "Rubenstein", "given" : "H. A.", "non-dropping-particle" : "", "parse-names" : false, "suffix" : "" }, { "dropping-particle" : "", "family" : "Butler", "given" : "V. P. J.", "non-dropping-particle" : "", "parse-names" : false, "suffix" : "" }, { "dropping-particle" : "", "family" : "Werner", "given" : "S. C.", "non-dropping-particle" : "", "parse-names" : false, "suffix" : "" }, { "dropping-particle" : "", "family" : "Wise", "given" : "P. M.", "non-dropping-particle" : "", "parse-names" : false, "suffix" : "" }, { "dropping-particle" : "", "family" : "Krajnak", "given" : "K. M.", "non-dropping-particle" : "", "parse-names" : false, "suffix" : "" }, { "dropping-particle" : "", "family" : "Kashon", "given" : "M. L.", "non-dropping-particle" : "", "parse-names" : false, "suffix" : "" }, { "dropping-particle" : "", "family" : "Vermeulen", "given" : "A.", "non-dropping-particle" : "", "parse-names" : false, "suffix" : "" }, { "dropping-particle" : "", "family" : "Harman", "given" : "S. M.", "non-dropping-particle" : "", "parse-names" : false, "suffix" : "" }, { "dropping-particle" : "", "family" : "Tsitouras", "given" : "P. D.", "non-dropping-particle" : "", "parse-names" : false, "suffix" : "" }, { "dropping-particle" : "", "family" : "Ravaglia", "given" : "G.", "non-dropping-particle" : "", "parse-names" : false, "suffix" : "" }, { "dropping-particle" : "", "family" : "Herbert", "given" : "J.", "non-dropping-particle" : "", "parse-names" : false, "suffix" : "" }, { "dropping-particle" : "", "family" : "Labrie", "given" : "F.", "non-dropping-particle" : "", "parse-names" : false, "suffix" : "" }, { "dropping-particle" : "", "family" : "Belanger", "given" : "A.", "non-dropping-particle" : "", "parse-names" : false, "suffix" : "" }, { "dropping-particle" : "", "family" : "Simard", "given" : "J.", "non-dropping-particle" : "", "parse-names" : false, "suffix" : "" }, { "dropping-particle" : "", "family" : "Luu-The", "given" : "V.", "non-dropping-particle" : "", "parse-names" : false, "suffix" : "" }, { "dropping-particle" : "", "family" : "Labrie", "given" : "C.", "non-dropping-particle" : "", "parse-names" : false, "suffix" : "" }, { "dropping-particle" : "", "family" : "Corpas", "given" : "E.", "non-dropping-particle" : "", "parse-names" : false, "suffix" : "" }, { "dropping-particle" : "", "family" : "Harman", "given" : "M.", "non-dropping-particle" : "", "parse-names" : false, "suffix" : "" }, { "dropping-particle" : "", "family" : "Blackman", "given" : "M. R.", "non-dropping-particle" : "", "parse-names" : false, "suffix" : "" }, { "dropping-particle" : "", "family" : "Blackman", "given" : "M. R.", "non-dropping-particle" : "", "parse-names" : false, "suffix" : "" }, { "dropping-particle" : "", "family" : "Grady", "given" : "D.", "non-dropping-particle" : "", "parse-names" : false, "suffix" : "" }, { "dropping-particle" : "", "family" : "Tang", "given" : "M. X.", "non-dropping-particle" : "", "parse-names" : false, "suffix" : "" }, { "dropping-particle" : "", "family" : "Colditz", "given" : "G. A.", "non-dropping-particle" : "", "parse-names" : false, "suffix" : "" }, { "dropping-particle" : "", "family" : "Grady", "given" : "D.", "non-dropping-particle" : "", "parse-names" : false, "suffix" : "" }, { "dropping-particle" : "", "family" : "Ernster", "given" : "V.", "non-dropping-particle" : "", "parse-names" : false, "suffix" : "" }, { "dropping-particle" : "", "family" : "Leather", "given" : "A. T.", "non-dropping-particle" : "", "parse-names" : false, "suffix" : "" }, { "dropping-particle" : "", "family" : "Studd", "given" : "J. W. W.", "non-dropping-particle" : "", "parse-names" : false, "suffix" : "" }, { "dropping-particle" : "", "family" : "Andersson", "given" : "K.", "non-dropping-particle" : "", "parse-names" : false, "suffix" : "" }, { "dropping-particle" : "", "family" : "Mattson", "given" : "L.-A.", "non-dropping-particle" : "", "parse-names" : false, "suffix" : "" }, { "dropping-particle" : "", "family" : "Milsom", "given" : "I.", "non-dropping-particle" : "", "parse-names" : false, "suffix" : "" }, { "dropping-particle" : "", "family" : "Santen", "given" : "R. J.", "non-dropping-particle" : "", "parse-names" : false, "suffix" : "" }, { "dropping-particle" : "", "family" : "Grainger", "given" : "D. J.", "non-dropping-particle" : "", "parse-names" : false, "suffix" : "" }, { "dropping-particle" : "", "family" : "Metcalfe", "given" : "J. C.", "non-dropping-particle" : "", "parse-names" : false, "suffix" : "" }, { "dropping-particle" : "", "family" : "Love", "given" : "R. R.", "non-dropping-particle" : "", "parse-names" : false, "suffix" : "" }, { "dropping-particle" : "", "family" : "Rutqvist", "given" : "L. E.", "non-dropping-particle" : "", "parse-names" : false, "suffix" : "" }, { "dropping-particle" : "", "family" : "Mattson", "given" : "A.", "non-dropping-particle" : "", "parse-names" : false, "suffix" : "" }, { "dropping-particle" : "", "family" : "Grey", "given" : "A. B.", "non-dropping-particle" : "", "parse-names" : false, "suffix" : "" }, { "dropping-particle" : "", "family" : "Yang", "given" : "N. N.", "non-dropping-particle" : "", "parse-names" : false, "suffix" : "" }, { "dropping-particle" : "", "family" : "Black", "given" : "L. J.", "non-dropping-particle" : "", "parse-names" : false, "suffix" : "" }, { "dropping-particle" : "", "family" : "Draper", "given" : "M. W.", "non-dropping-particle" : "", "parse-names" : false, "suffix" : "" }, { "dropping-particle" : "", "family" : "McDonnell", "given" : "D. P.", "non-dropping-particle" : "", "parse-names" : false, "suffix" : "" }, { "dropping-particle" : "", "family" : "Clemm", "given" : "D. L.", "non-dropping-particle" : "", "parse-names" : false, "suffix" : "" }, { "dropping-particle" : "", "family" : "Hermann", "given" : "T.", "non-dropping-particle" : "", "parse-names" : false, "suffix" : "" }, { "dropping-particle" : "", "family" : "Goldman", "given" : "M. E.", "non-dropping-particle" : "", "parse-names" : false, "suffix" : "" }, { "dropping-particle" : "", "family" : "Pike", "given" : "J. W.", "non-dropping-particle" : "", "parse-names" : false, "suffix" : "" }, { "dropping-particle" : "", "family" : "Korach", "given" : "K. S.", "non-dropping-particle" : "", "parse-names" : false, "suffix" : "" }, { "dropping-particle" : "", "family" : "Tenover", "given" : "J. S.", "non-dropping-particle" : "", "parse-names" : false, "suffix" : "" }, { "dropping-particle" : "", "family" : "Pearlman", "given" : "C. K.", "non-dropping-particle" : "", "parse-names" : false, "suffix" : "" }, { "dropping-particle" : "", "family" : "Kobashi", "given" : "L. I.", "non-dropping-particle" : "", "parse-names" : false, "suffix" : "" }, { "dropping-particle" : "", "family" : "Bhasin", "given" : "S.", "non-dropping-particle" : "", "parse-names" : false, "suffix" : "" }, { "dropping-particle" : "", "family" : "Bremner", "given" : "W. J.", "non-dropping-particle" : "", "parse-names" : false, "suffix" : "" }, { "dropping-particle" : "", "family" : "Bagatell", "given" : "C. J.", "non-dropping-particle" : "", "parse-names" : false, "suffix" : "" }, { "dropping-particle" : "", "family" : "Bremner", "given" : "W. J.", "non-dropping-particle" : "", "parse-names" : false, "suffix" : "" }, { "dropping-particle" : "", "family" : "Brodsky", "given" : "I. G.", "non-dropping-particle" : "", "parse-names" : false, "suffix" : "" }, { "dropping-particle" : "", "family" : "Balagopal", "given" : "P.", "non-dropping-particle" : "", "parse-names" : false, "suffix" : "" }, { "dropping-particle" : "", "family" : "Nair", "given" : "K. Sreekumaran", "non-dropping-particle" : "", "parse-names" : false, "suffix" : "" }, { "dropping-particle" : "", "family" : "Bhasin", "given" : "S.", "non-dropping-particle" : "", "parse-names" : false, "suffix" : "" }, { "dropping-particle" : "", "family" : "Tenover", "given" : "J. S.", "non-dropping-particle" : "", "parse-names" : false, "suffix" : "" }, { "dropping-particle" : "", "family" : "Wang", "given" : "C.", "non-dropping-particle" : "", "parse-names" : false, "suffix" : "" }, { "dropping-particle" : "", "family" : "Barrett-Connor", "given" : "E.", "non-dropping-particle" : "", "parse-names" : false, "suffix" : "" }, { "dropping-particle" : "", "family" : "Goodman-Gruen", "given" : "D.", "non-dropping-particle" : "", "parse-names" : false, "suffix" : "" }, { "dropping-particle" : "", "family" : "Morales", "given" : "A. J.", "non-dropping-particle" : "", "parse-names" : false, "suffix" : "" }, { "dropping-particle" : "", "family" : "Nolan", "given" : "J. J.", "non-dropping-particle" : "", "parse-names" : false, "suffix" : "" }, { "dropping-particle" : "", "family" : "Nelson", "given" : "J. C.", "non-dropping-particle" : "", "parse-names" : false, "suffix" : "" }, { "dropping-particle" : "", "family" : "Yen", "given" : "S. S. C.", "non-dropping-particle" : "", "parse-names" : false, "suffix" : "" }, { "dropping-particle" : "", "family" : "Yen", "given" : "S. S. C.", "non-dropping-particle" : "", "parse-names" : false, "suffix" : "" }, { "dropping-particle" : "", "family" : "Morales", "given" : "A. J.", "non-dropping-particle" : "", "parse-names" : false, "suffix" : "" }, { "dropping-particle" : "", "family" : "Khorram", "given" : "O.", "non-dropping-particle" : "", "parse-names" : false, "suffix" : "" }, { "dropping-particle" : "", "family" : "Skolnick", "given" : "A.", "non-dropping-particle" : "", "parse-names" : false, "suffix" : "" }, { "dropping-particle" : "", "family" : "Rudman", "given" : "D.", "non-dropping-particle" : "", "parse-names" : false, "suffix" : "" }, { "dropping-particle" : "", "family" : "Borst", "given" : "S. E.", "non-dropping-particle" : "", "parse-names" : false, "suffix" : "" }, { "dropping-particle" : "", "family" : "Millard", "given" : "W. J.", "non-dropping-particle" : "", "parse-names" : false, "suffix" : "" }, { "dropping-particle" : "", "family" : "Lowenthal", "given" : "D. T.", "non-dropping-particle" : "", "parse-names" : false, "suffix" : "" }, { "dropping-particle" : "", "family" : "Shalet", "given" : "S. M.", "non-dropping-particle" : "", "parse-names" : false, "suffix" : "" }, { "dropping-particle" : "", "family" : "Poehlman", "given" : "E. T.", "non-dropping-particle" : "", "parse-names" : false, "suffix" : "" }, { "dropping-particle" : "", "family" : "Copeland", "given" : "K. C.", "non-dropping-particle" : "", "parse-names" : false, "suffix" : "" }, { "dropping-particle" : "", "family" : "Papadakis", "given" : "M. A.", "non-dropping-particle" : "", "parse-names" : false, "suffix" : "" }, { "dropping-particle" : "", "family" : "Salomon", "given" : "F.", "non-dropping-particle" : "", "parse-names" : false, "suffix" : "" }, { "dropping-particle" : "", "family" : "Cuneao", "given" : "R. C.", "non-dropping-particle" : "", "parse-names" : false, "suffix" : "" }, { "dropping-particle" : "", "family" : "Hesp", "given" : "R.", "non-dropping-particle" : "", "parse-names" : false, "suffix" : "" }, { "dropping-particle" : "", "family" : "Sonksen", "given" : "P. H.", "non-dropping-particle" : "", "parse-names" : false, "suffix" : "" }, { "dropping-particle" : "", "family" : "Nass", "given" : "R.", "non-dropping-particle" : "", "parse-names" : false, "suffix" : "" }, { "dropping-particle" : "", "family" : "Attanasio", "given" : "A. F.", "non-dropping-particle" : "", "parse-names" : false, "suffix" : "" }, { "dropping-particle" : "", "family" : "Rudman", "given" : "D.", "non-dropping-particle" : "", "parse-names" : false, "suffix" : "" }, { "dropping-particle" : "", "family" : "Papadakis", "given" : "M. A.", "non-dropping-particle" : "", "parse-names" : false, "suffix" : "" }, { "dropping-particle" : "", "family" : "Taaffe", "given" : "D. R.", "non-dropping-particle" : "", "parse-names" : false, "suffix" : "" }, { "dropping-particle" : "", "family" : "Yarasheski", "given" : "K. E.", "non-dropping-particle" : "", "parse-names" : false, "suffix" : "" }, { "dropping-particle" : "", "family" : "Zachwieja", "given" : "J. J.", "non-dropping-particle" : "", "parse-names" : false, "suffix" : "" }, { "dropping-particle" : "", "family" : "Campbell", "given" : "J. A.", "non-dropping-particle" : "", "parse-names" : false, "suffix" : "" }, { "dropping-particle" : "", "family" : "Bier", "given" : "D. M.", "non-dropping-particle" : "", "parse-names" : false, "suffix" : "" }, { "dropping-particle" : "Von", "family" : "Kries", "given" : "R.", "non-dropping-particle" : "", "parse-names" : false, "suffix" : "" }, { "dropping-particle" : "", "family" : "Jiang", "given" : "Z. M.", "non-dropping-particle" : "", "parse-names" : false, "suffix" : "" }, { "dropping-particle" : "", "family" : "Herndon", "given" : "D. N.", "non-dropping-particle" : "", "parse-names" : false, "suffix" : "" }, { "dropping-particle" : "", "family" : "Waters", "given" : "D.", "non-dropping-particle" : "", "parse-names" : false, "suffix" : "" }, { "dropping-particle" : "", "family" : "Corpas", "given" : "E.", "non-dropping-particle" : "", "parse-names" : false, "suffix" : "" }, { "dropping-particle" : "", "family" : "Harman", "given" : "S. M.", "non-dropping-particle" : "", "parse-names" : false, "suffix" : "" }, { "dropping-particle" : "", "family" : "Pineyro", "given" : "M. A.", "non-dropping-particle" : "", "parse-names" : false, "suffix" : "" }, { "dropping-particle" : "", "family" : "Roberson", "given" : "R.", "non-dropping-particle" : "", "parse-names" : false, "suffix" : "" }, { "dropping-particle" : "", "family" : "Blackman", "given" : "M. R.", "non-dropping-particle" : "", "parse-names" : false, "suffix" : "" }, { "dropping-particle" : "", "family" : "Bowers", "given" : "C. Y.", "non-dropping-particle" : "", "parse-names" : false, "suffix" : "" }, { "dropping-particle" : "", "family" : "Momany", "given" : "F. A.", "non-dropping-particle" : "", "parse-names" : false, "suffix" : "" }, { "dropping-particle" : "", "family" : "Reynolds", "given" : "G. A.", "non-dropping-particle" : "", "parse-names" : false, "suffix" : "" }, { "dropping-particle" : "", "family" : "Hong", "given" : "A.", "non-dropping-particle" : "", "parse-names" : false, "suffix" : "" }, { "dropping-particle" : "", "family" : "Saenger", "given" : "P.", "non-dropping-particle" : "", "parse-names" : false, "suffix" : "" }, { "dropping-particle" : "", "family" : "Korbonits", "given" : "M.", "non-dropping-particle" : "", "parse-names" : false, "suffix" : "" }, { "dropping-particle" : "", "family" : "Grossman", "given" : "A. B.", "non-dropping-particle" : "", "parse-names" : false, "suffix" : "" }, { "dropping-particle" : "", "family" : "Pongs", "given" : "S. S.", "non-dropping-particle" : "", "parse-names" : false, "suffix" : "" }, { "dropping-particle" : "", "family" : "Howard", "given" : "A. D.", "non-dropping-particle" : "", "parse-names" : false, "suffix" : "" }, { "dropping-particle" : "", "family" : "Blakesley", "given" : "V. A.", "non-dropping-particle" : "", "parse-names" : false, "suffix" : "" }, { "dropping-particle" : "", "family" : "Stannard", "given" : "B. S.", "non-dropping-particle" : "", "parse-names" : false, "suffix" : "" }, { "dropping-particle" : "", "family" : "Kalebic", "given" : "T.", "non-dropping-particle" : "", "parse-names" : false, "suffix" : "" }, { "dropping-particle" : "", "family" : "Helman", "given" : "L. J.", "non-dropping-particle" : "", "parse-names" : false, "suffix" : "" }, { "dropping-particle" : "", "family" : "LeRoith", "given" : "D.", "non-dropping-particle" : "", "parse-names" : false, "suffix" : "" }, { "dropping-particle" : "", "family" : "Chapman", "given" : "I. M.", "non-dropping-particle" : "", "parse-names" : false, "suffix" : "" }, { "dropping-particle" : "", "family" : "Rowe", "given" : "J. W.", "non-dropping-particle" : "", "parse-names" : false, "suffix" : "" }, { "dropping-particle" : "", "family" : "Kahn", "given" : "R. L.", "non-dropping-particle" : "", "parse-names" : false, "suffix" : "" }, { "dropping-particle" : "", "family" : "Hazzard", "given" : "W. R.", "non-dropping-particle" : "", "parse-names" : false, "suffix" : "" }, { "dropping-particle" : "V.", "family" : "Hsich", "given" : "C.", "non-dropping-particle" : "", "parse-names" : false, "suffix" : "" }, { "dropping-particle" : "", "family" : "Philips", "given" : "R. B.", "non-dropping-particle" : "", "parse-names" : false, "suffix" : "" }, { "dropping-particle" : "", "family" : "Grodstein", "given" : "F.", "non-dropping-particle" : "", "parse-names" : false, "suffix" : "" } ], "container-title" : "Science (New York, N.Y.)", "id" : "ITEM-1", "issue" : "5337", "issued" : { "date-parts" : [ [ "1997", "10", "17" ] ] }, "page" : "419-24", "publisher" : "American Association for the Advancement of Science", "title" : "The endocrinology of aging.", "type" : "article-journal", "volume" : "278" }, "uris" : [ "http://www.mendeley.com/documents/?uuid=4419f8fd-2c38-35e6-857f-8f8fa5cc302a" ] }, { "id" : "ITEM-2", "itemData" : { "DOI" : "10.1126/science.1081447", "ISSN" : "1095-9203", "PMID" : "12610294", "abstract" : "Reduced signaling of insulin-like peptides increases the life-span of nematodes, flies, and rodents. In the nematode and the fly, secondary hormones downstream of insulin-like signaling appear to regulate aging. In mammals, the order in which the hormones act is unresolved because insulin, insulin-like growth factor-1, growth hormone, and thyroid hormones are interdependent. In all species examined to date, endocrine manipulations can slow aging without concurrent costs in reproduction, but with inevitable increases in stress resistance. Despite the similarities among mammals and invertebrates in insulin-like peptides and their signal cascade, more research is needed to determine whether these signals control aging in the same way in all the species by the same mechanism.", "author" : [ { "dropping-particle" : "", "family" : "Tatar", "given" : "Marc", "non-dropping-particle" : "", "parse-names" : false, "suffix" : "" }, { "dropping-particle" : "", "family" : "Bartke", "given" : "Andrzej", "non-dropping-particle" : "", "parse-names" : false, "suffix" : "" }, { "dropping-particle" : "", "family" : "Antebi", "given" : "Adam", "non-dropping-particle" : "", "parse-names" : false, "suffix" : "" }, { "dropping-particle" : "", "family" : "Kenyon", "given" : "C.", "non-dropping-particle" : "", "parse-names" : false, "suffix" : "" }, { "dropping-particle" : "", "family" : "Chang", "given" : "J.", "non-dropping-particle" : "", "parse-names" : false, "suffix" : "" }, { "dropping-particle" : "", "family" : "Gensch", "given" : "E.", "non-dropping-particle" : "", "parse-names" : false, "suffix" : "" }, { "dropping-particle" : "", "family" : "Rudner", "given" : "A.", "non-dropping-particle" : "", "parse-names" : false, "suffix" : "" }, { "dropping-particle" : "", "family" : "Tabtiang", "given" : "R.", "non-dropping-particle" : "", "parse-names" : false, "suffix" : "" }, { "dropping-particle" : "", "family" : "Larsen", "given" : "P. L.", "non-dropping-particle" : "", "parse-names" : false, "suffix" : "" }, { "dropping-particle" : "", "family" : "Albert", "given" : "P. S.", "non-dropping-particle" : "", "parse-names" : false, "suffix" : "" }, { "dropping-particle" : "", "family" : "Riddle", "given" : "D. L.", "non-dropping-particle" : "", "parse-names" : false, "suffix" : "" }, { "dropping-particle" : "", "family" : "Finch", "given" : "C. E.", "non-dropping-particle" : "", "parse-names" : false, "suffix" : "" }, { "dropping-particle" : "", "family" : "Ruvkun", "given" : "G.", "non-dropping-particle" : "", "parse-names" : false, "suffix" : "" }, { "dropping-particle" : "", "family" : "Pierce", "given" : "S. B.", "non-dropping-particle" : "", "parse-names" : false, "suffix" : "" }, { "dropping-particle" : "", "family" : "Larsen", "given" : "P. A.", "non-dropping-particle" : "", "parse-names" : false, "suffix" : "" }, { "dropping-particle" : "", "family" : "Gems", "given" : "D.", "non-dropping-particle" : "", "parse-names" : false, "suffix" : "" }, { "dropping-particle" : "", "family" : "Henderson", "given" : "S. T.", "non-dropping-particle" : "", "parse-names" : false, "suffix" : "" }, { "dropping-particle" : "", "family" : "Johnson", "given" : "T. E.", "non-dropping-particle" : "", "parse-names" : false, "suffix" : "" }, { "dropping-particle" : "", "family" : "Dillin", "given" : "A.", "non-dropping-particle" : "", "parse-names" : false, "suffix" : "" }, { "dropping-particle" : "", "family" : "Crawford", "given" : "D. K.", "non-dropping-particle" : "", "parse-names" : false, "suffix" : "" }, { "dropping-particle" : "", "family" : "Kenyon", "given" : "C.", "non-dropping-particle" : "", "parse-names" : false, "suffix" : "" }, { "dropping-particle" : "", "family" : "Tran", "given" : "H.", "non-dropping-particle" : "", "parse-names" : false, "suffix" : "" }, { "dropping-particle" : "", "family" : "Ramaswamy", "given" : "S.", "non-dropping-particle" : "", "parse-names" : false, "suffix" : "" }, { "dropping-particle" : "", "family" : "Nakamura", "given" : "N.", "non-dropping-particle" : "", "parse-names" : false, "suffix" : "" }, { "dropping-particle" : "", "family" : "Sansal", "given" : "I.", "non-dropping-particle" : "", "parse-names" : false, "suffix" : "" }, { "dropping-particle" : "", "family" : "Bergeron", "given" : "L.", "non-dropping-particle" : "", "parse-names" : false, "suffix" : "" }, { "dropping-particle" : "", "family" : "Sellers", "given" : "W. R.", "non-dropping-particle" : "", "parse-names" : false, "suffix" : "" }, { "dropping-particle" : "", "family" : "Antebi", "given" : "A.", "non-dropping-particle" : "", "parse-names" : false, "suffix" : "" }, { "dropping-particle" : "", "family" : "Yeh", "given" : "W. H.", "non-dropping-particle" : "", "parse-names" : false, "suffix" : "" }, { "dropping-particle" : "", "family" : "Tait", "given" : "D.", "non-dropping-particle" : "", "parse-names" : false, "suffix" : "" }, { "dropping-particle" : "", "family" : "Hedgecock", "given" : "E. M.", "non-dropping-particle" : "", "parse-names" : false, "suffix" : "" }, { "dropping-particle" : "", "family" : "Riddle", "given" : "D. L.", "non-dropping-particle" : "", "parse-names" : false, "suffix" : "" }, { "dropping-particle" : "", "family" : "Apfeld", "given" : "J.", "non-dropping-particle" : "", "parse-names" : false, "suffix" : "" }, { "dropping-particle" : "", "family" : "Kenyon", "given" : "C.", "non-dropping-particle" : "", "parse-names" : false, "suffix" : "" }, { "dropping-particle" : "", "family" : "Wolkow", "given" : "C. A.", "non-dropping-particle" : "", "parse-names" : false, "suffix" : "" }, { "dropping-particle" : "", "family" : "Kimura", "given" : "K. D.", "non-dropping-particle" : "", "parse-names" : false, "suffix" : "" }, { "dropping-particle" : "", "family" : "Lee", "given" : "M.-S.", "non-dropping-particle" : "", "parse-names" : false, "suffix" : "" }, { "dropping-particle" : "", "family" : "Ruvkun", "given" : "G.", "non-dropping-particle" : "", "parse-names" : false, "suffix" : "" }, { "dropping-particle" : "", "family" : "Gerisch", "given" : "B.", "non-dropping-particle" : "", "parse-names" : false, "suffix" : "" }, { "dropping-particle" : "", "family" : "Weitzel", "given" : "C.", "non-dropping-particle" : "", "parse-names" : false, "suffix" : "" }, { "dropping-particle" : "", "family" : "Kober-Eisermann", "given" : "C.", "non-dropping-particle" : "", "parse-names" : false, "suffix" : "" }, { "dropping-particle" : "", "family" : "Rottiers", "given" : "V.", "non-dropping-particle" : "", "parse-names" : false, "suffix" : "" }, { "dropping-particle" : "", "family" : "Antebi", "given" : "A.", "non-dropping-particle" : "", "parse-names" : false, "suffix" : "" }, { "dropping-particle" : "", "family" : "Jia", "given" : "K.", "non-dropping-particle" : "", "parse-names" : false, "suffix" : "" }, { "dropping-particle" : "", "family" : "Albert", "given" : "P. S.", "non-dropping-particle" : "", "parse-names" : false, "suffix" : "" }, { "dropping-particle" : "", "family" : "Riddle", "given" : "D. L.", "non-dropping-particle" : "", "parse-names" : false, "suffix" : "" }, { "dropping-particle" : "", "family" : "Hsin", "given" : "H.", "non-dropping-particle" : "", "parse-names" : false, "suffix" : "" }, { "dropping-particle" : "", "family" : "Kenyon", "given" : "C.", "non-dropping-particle" : "", "parse-names" : false, "suffix" : "" }, { "dropping-particle" : "", "family" : "Tatar", "given" : "M.", "non-dropping-particle" : "", "parse-names" : false, "suffix" : "" }, { "dropping-particle" : "", "family" : "Yin", "given" : "C.-M.", "non-dropping-particle" : "", "parse-names" : false, "suffix" : "" }, { "dropping-particle" : "", "family" : "Tatar", "given" : "M.", "non-dropping-particle" : "", "parse-names" : false, "suffix" : "" }, { "dropping-particle" : "", "family" : "Priest", "given" : "N.", "non-dropping-particle" : "", "parse-names" : false, "suffix" : "" }, { "dropping-particle" : "", "family" : "Chien", "given" : "S.", "non-dropping-particle" : "", "parse-names" : false, "suffix" : "" }, { "dropping-particle" : "", "family" : "Tatar", "given" : "M.", "non-dropping-particle" : "", "parse-names" : false, "suffix" : "" }, { "dropping-particle" : "", "family" : "Clancy", "given" : "D. J.", "non-dropping-particle" : "", "parse-names" : false, "suffix" : "" }, { "dropping-particle" : "", "family" : "Tu", "given" : "M.-P.", "non-dropping-particle" : "", "parse-names" : false, "suffix" : "" }, { "dropping-particle" : "", "family" : "Epstein", "given" : "D.", "non-dropping-particle" : "", "parse-names" : false, "suffix" : "" }, { "dropping-particle" : "", "family" : "Tatar", "given" : "M.", "non-dropping-particle" : "", "parse-names" : false, "suffix" : "" }, { "dropping-particle" : "", "family" : "Rulifson", "given" : "E. J.", "non-dropping-particle" : "", "parse-names" : false, "suffix" : "" }, { "dropping-particle" : "", "family" : "Kim", "given" : "S. K.", "non-dropping-particle" : "", "parse-names" : false, "suffix" : "" }, { "dropping-particle" : "", "family" : "Nusse", "given" : "R.", "non-dropping-particle" : "", "parse-names" : false, "suffix" : "" }, { "dropping-particle" : "", "family" : "Tobe", "given" : "S. S.", "non-dropping-particle" : "", "parse-names" : false, "suffix" : "" }, { "dropping-particle" : "", "family" : "Bendena", "given" : "W. G.", "non-dropping-particle" : "", "parse-names" : false, "suffix" : "" }, { "dropping-particle" : "", "family" : "Kozlova", "given" : "T.", "non-dropping-particle" : "", "parse-names" : false, "suffix" : "" }, { "dropping-particle" : "", "family" : "Thummel", "given" : "C. S.", "non-dropping-particle" : "", "parse-names" : false, "suffix" : "" }, { "dropping-particle" : "", "family" : "Xu", "given" : "Y.", "non-dropping-particle" : "", "parse-names" : false, "suffix" : "" }, { "dropping-particle" : "", "family" : "Fang", "given" : "F.", "non-dropping-particle" : "", "parse-names" : false, "suffix" : "" }, { "dropping-particle" : "", "family" : "Chu", "given" : "Y.", "non-dropping-particle" : "", "parse-names" : false, "suffix" : "" }, { "dropping-particle" : "", "family" : "Jones", "given" : "D.", "non-dropping-particle" : "", "parse-names" : false, "suffix" : "" }, { "dropping-particle" : "", "family" : "Jones", "given" : "G.", "non-dropping-particle" : "", "parse-names" : false, "suffix" : "" }, { "dropping-particle" : "", "family" : "Arbeitman", "given" : "M. N.", "non-dropping-particle" : "", "parse-names" : false, "suffix" : "" }, { "dropping-particle" : "", "family" : "Hogness", "given" : "D. S.", "non-dropping-particle" : "", "parse-names" : false, "suffix" : "" }, { "dropping-particle" : "", "family" : "Tsai", "given" : "C. C.", "non-dropping-particle" : "", "parse-names" : false, "suffix" : "" }, { "dropping-particle" : "", "family" : "Kao", "given" : "H.-Y.", "non-dropping-particle" : "", "parse-names" : false, "suffix" : "" }, { "dropping-particle" : "", "family" : "Yoa", "given" : "T.-P.", "non-dropping-particle" : "", "parse-names" : false, "suffix" : "" }, { "dropping-particle" : "", "family" : "McKeown", "given" : "M.", "non-dropping-particle" : "", "parse-names" : false, "suffix" : "" }, { "dropping-particle" : "", "family" : "Evans", "given" : "R. M.", "non-dropping-particle" : "", "parse-names" : false, "suffix" : "" }, { "dropping-particle" : "", "family" : "Tatar", "given" : "M.", "non-dropping-particle" : "", "parse-names" : false, "suffix" : "" }, { "dropping-particle" : "", "family" : "Khazaeli", "given" : "A. A.", "non-dropping-particle" : "", "parse-names" : false, "suffix" : "" }, { "dropping-particle" : "", "family" : "Curtsinger", "given" : "J. W.", "non-dropping-particle" : "", "parse-names" : false, "suffix" : "" }, { "dropping-particle" : "", "family" : "Yokoyama", "given" : "K.", "non-dropping-particle" : "", "parse-names" : false, "suffix" : "" }, { "dropping-particle" : "", "family" : "Kim", "given" : "S.", "non-dropping-particle" : "", "parse-names" : false, "suffix" : "" }, { "dropping-particle" : "", "family" : "Benguria", "given" : "A.", "non-dropping-particle" : "", "parse-names" : false, "suffix" : "" }, { "dropping-particle" : "", "family" : "Lai", "given" : "C. Y.", "non-dropping-particle" : "", "parse-names" : false, "suffix" : "" }, { "dropping-particle" : "", "family" : "Jazwinski", "given" : "S. M.", "non-dropping-particle" : "", "parse-names" : false, "suffix" : "" }, { "dropping-particle" : "", "family" : "Rogina", "given" : "B.", "non-dropping-particle" : "", "parse-names" : false, "suffix" : "" }, { "dropping-particle" : "", "family" : "Helfand", "given" : "S. L.", "non-dropping-particle" : "", "parse-names" : false, "suffix" : "" }, { "dropping-particle" : "", "family" : "Frankel", "given" : "S.", "non-dropping-particle" : "", "parse-names" : false, "suffix" : "" }, { "dropping-particle" : "", "family" : "Riehle", "given" : "M. A.", "non-dropping-particle" : "", "parse-names" : false, "suffix" : "" }, { "dropping-particle" : "", "family" : "Brown", "given" : "M. R.", "non-dropping-particle" : "", "parse-names" : false, "suffix" : "" }, { "dropping-particle" : "", "family" : "Drummond-Barbosa", "given" : "D.", "non-dropping-particle" : "", "parse-names" : false, "suffix" : "" }, { "dropping-particle" : "", "family" : "Spradling", "given" : "A. C.", "non-dropping-particle" : "", "parse-names" : false, "suffix" : "" }, { "dropping-particle" : "", "family" : "Tu", "given" : "M.-P.", "non-dropping-particle" : "", "parse-names" : false, "suffix" : "" }, { "dropping-particle" : "", "family" : "Yin", "given" : "C.-M.", "non-dropping-particle" : "", "parse-names" : false, "suffix" : "" }, { "dropping-particle" : "", "family" : "Tatar", "given" : "M.", "non-dropping-particle" : "", "parse-names" : false, "suffix" : "" }, { "dropping-particle" : "", "family" : "Soller", "given" : "M.", "non-dropping-particle" : "", "parse-names" : false, "suffix" : "" }, { "dropping-particle" : "", "family" : "Bownes", "given" : "M.", "non-dropping-particle" : "", "parse-names" : false, "suffix" : "" }, { "dropping-particle" : "", "family" : "Kubli", "given" : "E.", "non-dropping-particle" : "", "parse-names" : false, "suffix" : "" }, { "dropping-particle" : "", "family" : "Brown-Borg", "given" : "H. M.", "non-dropping-particle" : "", "parse-names" : false, "suffix" : "" }, { "dropping-particle" : "", "family" : "Borg", "given" : "K. E.", "non-dropping-particle" : "", "parse-names" : false, "suffix" : "" }, { "dropping-particle" : "", "family" : "Meliska", "given" : "C. J.", "non-dropping-particle" : "", "parse-names" : false, "suffix" : "" }, { "dropping-particle" : "", "family" : "Bartke", "given" : "A.", "non-dropping-particle" : "", "parse-names" : false, "suffix" : "" }, { "dropping-particle" : "", "family" : "Flurkey", "given" : "K.", "non-dropping-particle" : "", "parse-names" : false, "suffix" : "" }, { "dropping-particle" : "", "family" : "Papaconstantinou", "given" : "J.", "non-dropping-particle" : "", "parse-names" : false, "suffix" : "" }, { "dropping-particle" : "", "family" : "Miller", "given" : "R. A.", "non-dropping-particle" : "", "parse-names" : false, "suffix" : "" }, { "dropping-particle" : "", "family" : "Harrison", "given" : "D. E.", "non-dropping-particle" : "", "parse-names" : false, "suffix" : "" }, { "dropping-particle" : "", "family" : "Coschigano", "given" : "K. T.", "non-dropping-particle" : "", "parse-names" : false, "suffix" : "" }, { "dropping-particle" : "", "family" : "Clemmons", "given" : "D.", "non-dropping-particle" : "", "parse-names" : false, "suffix" : "" }, { "dropping-particle" : "", "family" : "Bellush", "given" : "L. L.", "non-dropping-particle" : "", "parse-names" : false, "suffix" : "" }, { "dropping-particle" : "", "family" : "Kopchick", "given" : "J. J.", "non-dropping-particle" : "", "parse-names" : false, "suffix" : "" }, { "dropping-particle" : "", "family" : "Dominici", "given" : "F. P.", "non-dropping-particle" : "", "parse-names" : false, "suffix" : "" }, { "dropping-particle" : "", "family" : "Hauck", "given" : "S. J.", "non-dropping-particle" : "", "parse-names" : false, "suffix" : "" }, { "dropping-particle" : "", "family" : "Argentino", "given" : "D. P.", "non-dropping-particle" : "", "parse-names" : false, "suffix" : "" }, { "dropping-particle" : "", "family" : "Bartke", "given" : "A.", "non-dropping-particle" : "", "parse-names" : false, "suffix" : "" }, { "dropping-particle" : "", "family" : "Turyn", "given" : "D.", "non-dropping-particle" : "", "parse-names" : false, "suffix" : "" }, { "dropping-particle" : "", "family" : "Hauck", "given" : "S. J.", "non-dropping-particle" : "", "parse-names" : false, "suffix" : "" }, { "dropping-particle" : "", "family" : "Hunter", "given" : "W. S.", "non-dropping-particle" : "", "parse-names" : false, "suffix" : "" }, { "dropping-particle" : "", "family" : "Danilovich", "given" : "N.", "non-dropping-particle" : "", "parse-names" : false, "suffix" : "" }, { "dropping-particle" : "", "family" : "Kopchick", "given" : "J. J.", "non-dropping-particle" : "", "parse-names" : false, "suffix" : "" }, { "dropping-particle" : "", "family" : "Bartke", "given" : "A.", "non-dropping-particle" : "", "parse-names" : false, "suffix" : "" }, { "dropping-particle" : "", "family" : "Rudman", "given" : "D.", "non-dropping-particle" : "", "parse-names" : false, "suffix" : "" }, { "dropping-particle" : "", "family" : "Sonntag", "given" : "W. E.", "non-dropping-particle" : "", "parse-names" : false, "suffix" : "" }, { "dropping-particle" : "", "family" : "Ramsey", "given" : "M.", "non-dropping-particle" : "", "parse-names" : false, "suffix" : "" }, { "dropping-particle" : "", "family" : "Carter", "given" : "C. S.", "non-dropping-particle" : "", "parse-names" : false, "suffix" : "" }, { "dropping-particle" : "", "family" : "Holzenberger", "given" : "M.", "non-dropping-particle" : "", "parse-names" : false, "suffix" : "" }, { "dropping-particle" : "", "family" : "Migliaccio", "given" : "E.", "non-dropping-particle" : "", "parse-names" : false, "suffix" : "" }, { "dropping-particle" : "", "family" : "Bl\u00fcher", "given" : "M.", "non-dropping-particle" : "", "parse-names" : false, "suffix" : "" }, { "dropping-particle" : "", "family" : "Kahn", "given" : "B. B.", "non-dropping-particle" : "", "parse-names" : false, "suffix" : "" }, { "dropping-particle" : "", "family" : "Kahn", "given" : "R. C.", "non-dropping-particle" : "", "parse-names" : false, "suffix" : "" }, { "dropping-particle" : "", "family" : "Bl\u00fcher", "given" : "M.", "non-dropping-particle" : "", "parse-names" : false, "suffix" : "" }, { "dropping-particle" : "", "family" : "Ooka", "given" : "H.", "non-dropping-particle" : "", "parse-names" : false, "suffix" : "" }, { "dropping-particle" : "", "family" : "Fujita", "given" : "S.", "non-dropping-particle" : "", "parse-names" : false, "suffix" : "" }, { "dropping-particle" : "", "family" : "Yoshimoto", "given" : "E.", "non-dropping-particle" : "", "parse-names" : false, "suffix" : "" }, { "dropping-particle" : "", "family" : "Lopez-Torres", "given" : "M.", "non-dropping-particle" : "", "parse-names" : false, "suffix" : "" }, { "dropping-particle" : "", "family" : "Romero", "given" : "M.", "non-dropping-particle" : "", "parse-names" : false, "suffix" : "" }, { "dropping-particle" : "", "family" : "Barja", "given" : "G.", "non-dropping-particle" : "", "parse-names" : false, "suffix" : "" }, { "dropping-particle" : "", "family" : "Chawla", "given" : "A.", "non-dropping-particle" : "", "parse-names" : false, "suffix" : "" }, { "dropping-particle" : "", "family" : "Repa", "given" : "J. J.", "non-dropping-particle" : "", "parse-names" : false, "suffix" : "" }, { "dropping-particle" : "", "family" : "Evans", "given" : "R. M.", "non-dropping-particle" : "", "parse-names" : false, "suffix" : "" }, { "dropping-particle" : "", "family" : "Mangelsdorf", "given" : "D. J.", "non-dropping-particle" : "", "parse-names" : false, "suffix" : "" }, { "dropping-particle" : "", "family" : "Roth", "given" : "G. S.", "non-dropping-particle" : "", "parse-names" : false, "suffix" : "" }, { "dropping-particle" : "", "family" : "Jiang", "given" : "J. C.", "non-dropping-particle" : "", "parse-names" : false, "suffix" : "" }, { "dropping-particle" : "", "family" : "Wawryn", "given" : "J.", "non-dropping-particle" : "", "parse-names" : false, "suffix" : "" }, { "dropping-particle" : "", "family" : "Kumara", "given" : "H. M. Shantha", "non-dropping-particle" : "", "parse-names" : false, "suffix" : "" }, { "dropping-particle" : "", "family" : "Jazwinski", "given" : "S. M.", "non-dropping-particle" : "", "parse-names" : false, "suffix" : "" }, { "dropping-particle" : "", "family" : "Lin", "given" : "S. J.", "non-dropping-particle" : "", "parse-names" : false, "suffix" : "" }, { "dropping-particle" : "", "family" : "Garofalo", "given" : "R. S.", "non-dropping-particle" : "", "parse-names" : false, "suffix" : "" }, { "dropping-particle" : "V.", "family" : "Mobbs", "given" : "C.", "non-dropping-particle" : "", "parse-names" : false, "suffix" : "" }, { "dropping-particle" : "", "family" : "Schwartz", "given" : "M. W.", "non-dropping-particle" : "", "parse-names" : false, "suffix" : "" }, { "dropping-particle" : "", "family" : "Woods", "given" : "S. C.", "non-dropping-particle" : "", "parse-names" : false, "suffix" : "" }, { "dropping-particle" : "", "family" : "Porte", "given" : "D.", "non-dropping-particle" : "", "parse-names" : false, "suffix" : "" }, { "dropping-particle" : "", "family" : "Seeley", "given" : "R. J.", "non-dropping-particle" : "", "parse-names" : false, "suffix" : "" }, { "dropping-particle" : "", "family" : "Baskin", "given" : "D. G.", "non-dropping-particle" : "", "parse-names" : false, "suffix" : "" }, { "dropping-particle" : "", "family" : "Bartke", "given" : "A.", "non-dropping-particle" : "", "parse-names" : false, "suffix" : "" }, { "dropping-particle" : "", "family" : "Gems", "given" : "D.", "non-dropping-particle" : "", "parse-names" : false, "suffix" : "" }, { "dropping-particle" : "", "family" : "Pletcher", "given" : "S.", "non-dropping-particle" : "", "parse-names" : false, "suffix" : "" }, { "dropping-particle" : "", "family" : "Partridge", "given" : "L.", "non-dropping-particle" : "", "parse-names" : false, "suffix" : "" }, { "dropping-particle" : "", "family" : "Chan", "given" : "S. F.", "non-dropping-particle" : "", "parse-names" : false, "suffix" : "" }, { "dropping-particle" : "", "family" : "Steinera", "given" : "D. F.", "non-dropping-particle" : "", "parse-names" : false, "suffix" : "" }, { "dropping-particle" : "", "family" : "Brogiolo", "given" : "W.", "non-dropping-particle" : "", "parse-names" : false, "suffix" : "" }, { "dropping-particle" : "", "family" : "Force", "given" : "A.", "non-dropping-particle" : "", "parse-names" : false, "suffix" : "" }, { "dropping-particle" : "", "family" : "Navarro", "given" : "I.", "non-dropping-particle" : "", "parse-names" : false, "suffix" : "" }, { "dropping-particle" : "", "family" : "Furlong", "given" : "R. F.", "non-dropping-particle" : "", "parse-names" : false, "suffix" : "" }, { "dropping-particle" : "", "family" : "Holland", "given" : "P. W. H.", "non-dropping-particle" : "", "parse-names" : false, "suffix" : "" }, { "dropping-particle" : "", "family" : "Kelly", "given" : "K. M.", "non-dropping-particle" : "", "parse-names" : false, "suffix" : "" }, { "dropping-particle" : "", "family" : "Carey", "given" : "J. R.", "non-dropping-particle" : "", "parse-names" : false, "suffix" : "" }, { "dropping-particle" : "", "family" : "Liedo", "given" : "P.", "non-dropping-particle" : "", "parse-names" : false, "suffix" : "" }, { "dropping-particle" : "", "family" : "Muller", "given" : "H.-G.", "non-dropping-particle" : "", "parse-names" : false, "suffix" : "" }, { "dropping-particle" : "", "family" : "Wang", "given" : "J.-L.", "non-dropping-particle" : "", "parse-names" : false, "suffix" : "" }, { "dropping-particle" : "", "family" : "Vaupel", "given" : "J. W.", "non-dropping-particle" : "", "parse-names" : false, "suffix" : "" } ], "container-title" : "Science (New York, N.Y.)", "id" : "ITEM-2", "issue" : "5611", "issued" : { "date-parts" : [ [ "2003", "2", "28" ] ] }, "page" : "1346-51", "publisher" : "American Association for the Advancement of Science", "title" : "The endocrine regulation of aging by insulin-like signals.", "type" : "article-journal", "volume" : "299" }, "uris" : [ "http://www.mendeley.com/documents/?uuid=ea1b8762-e28c-3ed2-a5e5-f117c136623c" ] }, { "id" : "ITEM-3", "itemData" : { "DOI" : "10.1016/j.annepidem.2009.11.008", "ISSN" : "10472797", "abstract" : "PURPOSE\nEpidemiologic studies suggest that insulin-like growth factor-1 (IGF-1) is associated with obesity and, more recently, cancer. This study investigates multiple lifestyle, physiologic, and anthropometric determinants of circulating IGF-1 concentrations. \n\nMETHODS\nNationally representative data were used from the cross-sectional Third National Health and Nutrition Examination (NHANES III, 1988\u20131994) survey, which measured IGF-1 concentrations in blood, from a subsample of participants who were examined in the morning. After exclusion of persons with missing data, 6,058 men and women 20 years of age or older were included in the study. \n\nRESULTS\nThe mean IGF-1 concentrations were 260 ng/mL in the entire population and were higher among men as compared with women (278.8 vs. 241.3 ng/mL; p&lt;0.0001). IGF-1 decreased with increasing age (p&lt;0.0001), body mass index (p&lt;0.0001), and waist circumference (p&lt;0.0001). Individuals with metabolic syndrome had lower IGF-1 concentrations after adjustment for covariates (p=0.0008). IGF-1 was inversely associated with increasing number of metabolic syndrome abnormalities (p=0.0008). All associations were stronger among women compared with men except across concentrations of glucose. IGF-1 concentrations did not vary by any other lifestyle or physiologic factors. \n\nCONCLUSIONS\nAge, adiposity, hyperglycemia, and metabolic syndrome influenced circulating IGF-1 concentrations. Diet and physical activity had no impact on IGF-1 in this nationally representative population.", "author" : [ { "dropping-particle" : "", "family" : "Parekh", "given" : "Niyati", "non-dropping-particle" : "", "parse-names" : false, "suffix" : "" }, { "dropping-particle" : "", "family" : "Roberts", "given" : "Calpurnyia B.", "non-dropping-particle" : "", "parse-names" : false, "suffix" : "" }, { "dropping-particle" : "", "family" : "Vadiveloo", "given" : "Maya", "non-dropping-particle" : "", "parse-names" : false, "suffix" : "" }, { "dropping-particle" : "", "family" : "Puvananayagam", "given" : "Thanusha", "non-dropping-particle" : "", "parse-names" : false, "suffix" : "" }, { "dropping-particle" : "", "family" : "Albu", "given" : "Jeanine B.", "non-dropping-particle" : "", "parse-names" : false, "suffix" : "" }, { "dropping-particle" : "", "family" : "Lu-Yao", "given" : "Grace L.", "non-dropping-particle" : "", "parse-names" : false, "suffix" : "" } ], "container-title" : "Annals of Epidemiology", "id" : "ITEM-3", "issue" : "3", "issued" : { "date-parts" : [ [ "2010" ] ] }, "page" : "182-193", "title" : "Lifestyle, Anthropometric, and Obesity-Related Physiologic Determinants of Insulin-like Growth Factor-1 in the Third National Health and Nutrition Examination Survey (1988\u20131994)", "type" : "article-journal", "volume" : "20" }, "uris" : [ "http://www.mendeley.com/documents/?uuid=2b9b6ec1-cc9b-38d8-8701-c84044567a32" ] } ], "mendeley" : { "formattedCitation" : "(Lamberts et al. 1997; Tatar et al. 2003; Parekh et al. 2010)", "plainTextFormattedCitation" : "(Lamberts et al. 1997; Tatar et al. 2003; Parekh et al. 2010)", "previouslyFormattedCitation" : "(Lamberts et al. 1997; Tatar et al. 2003; Parekh et al. 2010)" }, "properties" : { "noteIndex" : 0 }, "schema" : "https://github.com/citation-style-language/schema/raw/master/csl-citation.json" }</w:instrText>
      </w:r>
      <w:r w:rsidR="007D6F3F">
        <w:rPr>
          <w:rFonts w:ascii="Times New Roman" w:hAnsi="Times New Roman" w:cs="Times New Roman"/>
        </w:rPr>
        <w:fldChar w:fldCharType="separate"/>
      </w:r>
      <w:r w:rsidR="00C148FC" w:rsidRPr="00C148FC">
        <w:rPr>
          <w:rFonts w:ascii="Times New Roman" w:hAnsi="Times New Roman" w:cs="Times New Roman"/>
          <w:noProof/>
        </w:rPr>
        <w:t>(Lamberts et al. 1997; Tatar et al. 2003; Parekh et al. 2010)</w:t>
      </w:r>
      <w:r w:rsidR="007D6F3F">
        <w:rPr>
          <w:rFonts w:ascii="Times New Roman" w:hAnsi="Times New Roman" w:cs="Times New Roman"/>
        </w:rPr>
        <w:fldChar w:fldCharType="end"/>
      </w:r>
      <w:r w:rsidR="00AA5DCE">
        <w:rPr>
          <w:rFonts w:ascii="Times New Roman" w:hAnsi="Times New Roman" w:cs="Times New Roman"/>
        </w:rPr>
        <w:t>. Thus,</w:t>
      </w:r>
      <w:r w:rsidR="001E7623">
        <w:rPr>
          <w:rFonts w:ascii="Times New Roman" w:hAnsi="Times New Roman" w:cs="Times New Roman"/>
        </w:rPr>
        <w:t xml:space="preserve"> </w:t>
      </w:r>
      <w:r w:rsidR="00AA5DCE">
        <w:rPr>
          <w:rFonts w:ascii="Times New Roman" w:hAnsi="Times New Roman" w:cs="Times New Roman"/>
        </w:rPr>
        <w:t>using f</w:t>
      </w:r>
      <w:r w:rsidR="00445AC0">
        <w:rPr>
          <w:rFonts w:ascii="Times New Roman" w:hAnsi="Times New Roman" w:cs="Times New Roman"/>
        </w:rPr>
        <w:t>o</w:t>
      </w:r>
      <w:r w:rsidR="00AA5DCE">
        <w:rPr>
          <w:rFonts w:ascii="Times New Roman" w:hAnsi="Times New Roman" w:cs="Times New Roman"/>
        </w:rPr>
        <w:t>etal</w:t>
      </w:r>
      <w:r w:rsidR="001E7623">
        <w:rPr>
          <w:rFonts w:ascii="Times New Roman" w:hAnsi="Times New Roman" w:cs="Times New Roman"/>
        </w:rPr>
        <w:t xml:space="preserve"> </w:t>
      </w:r>
      <w:r w:rsidR="00423A2D">
        <w:rPr>
          <w:rFonts w:ascii="Times New Roman" w:hAnsi="Times New Roman" w:cs="Times New Roman"/>
        </w:rPr>
        <w:t>astrocytes</w:t>
      </w:r>
      <w:r w:rsidR="001E7623">
        <w:rPr>
          <w:rFonts w:ascii="Times New Roman" w:hAnsi="Times New Roman" w:cs="Times New Roman"/>
        </w:rPr>
        <w:t xml:space="preserve"> may show the maximal effect </w:t>
      </w:r>
      <w:r w:rsidR="00423A2D">
        <w:rPr>
          <w:rFonts w:ascii="Times New Roman" w:hAnsi="Times New Roman" w:cs="Times New Roman"/>
        </w:rPr>
        <w:t>of impairing the</w:t>
      </w:r>
      <w:r w:rsidR="001E7623">
        <w:rPr>
          <w:rFonts w:ascii="Times New Roman" w:hAnsi="Times New Roman" w:cs="Times New Roman"/>
        </w:rPr>
        <w:t xml:space="preserve"> IGF1 pathway</w:t>
      </w:r>
      <w:r w:rsidR="002A44F7">
        <w:rPr>
          <w:rFonts w:ascii="Times New Roman" w:hAnsi="Times New Roman" w:cs="Times New Roman"/>
        </w:rPr>
        <w:t xml:space="preserve">. </w:t>
      </w:r>
    </w:p>
    <w:p w14:paraId="4D0D9835" w14:textId="77777777" w:rsidR="000E270B" w:rsidRDefault="000E270B" w:rsidP="0052651A">
      <w:pPr>
        <w:spacing w:line="360" w:lineRule="auto"/>
        <w:jc w:val="both"/>
        <w:rPr>
          <w:rFonts w:ascii="Times New Roman" w:hAnsi="Times New Roman" w:cs="Times New Roman"/>
        </w:rPr>
      </w:pPr>
    </w:p>
    <w:p w14:paraId="470BB579" w14:textId="462AC2B8" w:rsidR="00A46494" w:rsidRDefault="00A46494" w:rsidP="0052651A">
      <w:pPr>
        <w:spacing w:line="360" w:lineRule="auto"/>
        <w:jc w:val="both"/>
        <w:rPr>
          <w:rFonts w:ascii="Times New Roman" w:hAnsi="Times New Roman" w:cs="Times New Roman"/>
        </w:rPr>
      </w:pPr>
      <w:r>
        <w:rPr>
          <w:rFonts w:ascii="Times New Roman" w:hAnsi="Times New Roman" w:cs="Times New Roman"/>
        </w:rPr>
        <w:t>Providing the co-cultures with a suitably adherent surface also proved problematic. Eventually, a coating solution was chosen that appealed most to the</w:t>
      </w:r>
      <w:r w:rsidR="00F603E6">
        <w:rPr>
          <w:rFonts w:ascii="Times New Roman" w:hAnsi="Times New Roman" w:cs="Times New Roman"/>
        </w:rPr>
        <w:t xml:space="preserve"> adherent properties of</w:t>
      </w:r>
      <w:r>
        <w:rPr>
          <w:rFonts w:ascii="Times New Roman" w:hAnsi="Times New Roman" w:cs="Times New Roman"/>
        </w:rPr>
        <w:t xml:space="preserve"> astrocytes but promoted bundling in the neurons. </w:t>
      </w:r>
      <w:r w:rsidR="008B63EB">
        <w:rPr>
          <w:rFonts w:ascii="Times New Roman" w:hAnsi="Times New Roman" w:cs="Times New Roman"/>
        </w:rPr>
        <w:t>Bundling of neurons has been at</w:t>
      </w:r>
      <w:r w:rsidR="006352CD">
        <w:rPr>
          <w:rFonts w:ascii="Times New Roman" w:hAnsi="Times New Roman" w:cs="Times New Roman"/>
        </w:rPr>
        <w:t xml:space="preserve">tributed to stress in the past </w:t>
      </w:r>
      <w:r w:rsidR="006352CD">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"10.1007/s00204-016-1702-2", "ISSN" : "0340-5761", "PMID" : "27052459", "abstract" : "Astrocytes, the largest cell population in the human brain, are powerful inflammatory effectors. Several studies have examined the interaction of activated astrocytes with neurons, but little is known yet about human neurotoxicity under such situations and about strategies of neuronal rescue. To address this question, immortalized murine astrocytes (IMA) were combined with human LUHMES neurons and stimulated with an inflammatory (TNF, IL-1) cytokine mix (CM). Neurotoxicity was studied both in co-cultures and in monocultures after transfer of conditioned medium from activated IMA. Interventions with &gt;20 drugs were used to profile the model system. Control IMA supported neurons and protected them from neurotoxicants. Inflammatory activation reduced this protection, and prolonged exposure of co-cultures to CM triggered neurotoxicity. Neither the added cytokines nor the release of NO from astrocytes were involved in this neurodegeneration. The neurotoxicity-mediating effect of IMA was faithfully reproduced by human astrocytes. Moreover, glia-dependent toxicity was also observed, when IMA cultures were stimulated with CM, and the culture medium was transferred to neurons. Such neurotoxicity was prevented when astrocytes were treated by p38 kinase inhibitors or dexamethasone, whereas such compounds had no effect when added to neurons. Conversely, treatment of neurons with five different drugs, including resveratrol and CEP1347, prevented toxicity of astrocyte supernatants. Thus, the sequential IMA-LUHMES neuroinflammation model is suitable for separate profiling of both glial-directed and directly neuroprotective strategies. Moreover, direct evaluation in co-cultures of the same cells allows for testing of therapeutic effectiveness in more complex settings, in which astrocytes affect pharmacological properties of neurons.", "author" : [ { "dropping-particle" : "", "family" : "Efremova", "given" : "Liudmila", "non-dropping-particle" : "", "parse-names" : false, "suffix" : "" }, { "dropping-particle" : "", "family" : "Chovancova", "given" : "Petra", "non-dropping-particle" : "", "parse-names" : false, "suffix" : "" }, { "dropping-particle" : "", "family" : "Adam", "given" : "Martina", "non-dropping-particle" : "", "parse-names" : false, "suffix" : "" }, { "dropping-particle" : "", "family" : "Gutbier", "given" : "Simon", "non-dropping-particle" : "", "parse-names" : false, "suffix" : "" }, { "dropping-particle" : "", "family" : "Schildknecht", "given" : "Stefan", "non-dropping-particle" : "", "parse-names" : false, "suffix" : "" }, { "dropping-particle" : "", "family" : "Leist", "given" : "Marcel", "non-dropping-particle" : "", "parse-names" : false, "suffix" : "" } ], "container-title" : "Archives of Toxicology", "id" : "ITEM-1", "issued" : { "date-parts" : [ [ "2016", "4", "6" ] ] }, "title" : "Switching from astrocytic neuroprotection to neurodegeneration by cytokine stimulation", "type" : "article-journal" }, "uris" : [ "http://www.mendeley.com/documents/?uuid=b48a645e-6c19-4cf6-aa79-d4df5c168c0f" ] } ], "mendeley" : { "formattedCitation" : "(Efremova et al. 2016a)", "manualFormatting" : "(Efremova et al., 2016)", "plainTextFormattedCitation" : "(Efremova et al. 2016a)", "previouslyFormattedCitation" : "(Efremova et al. 2016a)" }, "properties" : { "noteIndex" : 0 }, "schema" : "https://github.com/citation-style-language/schema/raw/master/csl-citation.json" }</w:instrText>
      </w:r>
      <w:r w:rsidR="006352CD">
        <w:rPr>
          <w:rFonts w:ascii="Times New Roman" w:hAnsi="Times New Roman" w:cs="Times New Roman"/>
        </w:rPr>
        <w:fldChar w:fldCharType="separate"/>
      </w:r>
      <w:r w:rsidR="00BF1DD9">
        <w:rPr>
          <w:rFonts w:ascii="Times New Roman" w:hAnsi="Times New Roman" w:cs="Times New Roman"/>
          <w:noProof/>
        </w:rPr>
        <w:t>(Efremova et al., 2016</w:t>
      </w:r>
      <w:r w:rsidR="00367418" w:rsidRPr="00367418">
        <w:rPr>
          <w:rFonts w:ascii="Times New Roman" w:hAnsi="Times New Roman" w:cs="Times New Roman"/>
          <w:noProof/>
        </w:rPr>
        <w:t>)</w:t>
      </w:r>
      <w:r w:rsidR="006352CD">
        <w:rPr>
          <w:rFonts w:ascii="Times New Roman" w:hAnsi="Times New Roman" w:cs="Times New Roman"/>
        </w:rPr>
        <w:fldChar w:fldCharType="end"/>
      </w:r>
      <w:r w:rsidR="008B63EB">
        <w:rPr>
          <w:rFonts w:ascii="Times New Roman" w:hAnsi="Times New Roman" w:cs="Times New Roman"/>
        </w:rPr>
        <w:t xml:space="preserve"> but </w:t>
      </w:r>
      <w:r w:rsidR="00F0230D">
        <w:rPr>
          <w:rFonts w:ascii="Times New Roman" w:hAnsi="Times New Roman" w:cs="Times New Roman"/>
        </w:rPr>
        <w:t xml:space="preserve">in this state </w:t>
      </w:r>
      <w:r w:rsidR="00E226F0">
        <w:rPr>
          <w:rFonts w:ascii="Times New Roman" w:hAnsi="Times New Roman" w:cs="Times New Roman"/>
        </w:rPr>
        <w:t xml:space="preserve">neurons </w:t>
      </w:r>
      <w:r w:rsidR="008B63EB">
        <w:rPr>
          <w:rFonts w:ascii="Times New Roman" w:hAnsi="Times New Roman" w:cs="Times New Roman"/>
        </w:rPr>
        <w:t>can</w:t>
      </w:r>
      <w:r w:rsidR="00E226F0">
        <w:rPr>
          <w:rFonts w:ascii="Times New Roman" w:hAnsi="Times New Roman" w:cs="Times New Roman"/>
        </w:rPr>
        <w:t xml:space="preserve"> still</w:t>
      </w:r>
      <w:r w:rsidR="008B63EB">
        <w:rPr>
          <w:rFonts w:ascii="Times New Roman" w:hAnsi="Times New Roman" w:cs="Times New Roman"/>
        </w:rPr>
        <w:t xml:space="preserve"> retain their electroph</w:t>
      </w:r>
      <w:r w:rsidR="00831284">
        <w:rPr>
          <w:rFonts w:ascii="Times New Roman" w:hAnsi="Times New Roman" w:cs="Times New Roman"/>
        </w:rPr>
        <w:t xml:space="preserve">ysical properties </w:t>
      </w:r>
      <w:r w:rsidR="00831284">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"10.1371/journal.pone.0036098", "ISSN" : "1932-6203", "PMID" : "22567128", "abstract" : "A major focus of stem cell research is the generation of neurons that may then be implanted to treat neurodegenerative diseases. However, a picture is emerging where astrocytes are partners to neurons in sustaining and modulating brain function. We therefore investigated the functional properties of NT2 derived astrocytes and neurons using electrophysiological and calcium imaging approaches. NT2 neurons (NT2Ns) expressed sodium dependent action potentials, as well as responses to depolarisation and the neurotransmitter glutamate. NT2Ns exhibited spontaneous and coordinated calcium elevations in clusters and in extended processes, indicating local and long distance signalling. Tetrodotoxin sensitive network activity could also be evoked by electrical stimulation. Similarly, NT2 astrocytes (NT2As) exhibited morphology and functional properties consistent with this glial cell type. NT2As responded to neuronal activity and to exogenously applied neurotransmitters with calcium elevations, and in contrast to neurons, also exhibited spontaneous rhythmic calcium oscillations. NT2As also generated propagating calcium waves that were gap junction and purinergic signalling dependent. Our results show that NT2 derived astrocytes exhibit appropriate functionality and that NT2N networks interact with NT2A networks in co-culture. These findings underline the utility of such cultures to investigate human brain cell type signalling under controlled conditions. Furthermore, since stem cell derived neuron function and survival is of great importance therapeutically, our findings suggest that the presence of complementary astrocytes may be valuable in supporting stem cell derived neuronal networks. Indeed, this also supports the intriguing possibility of selective therapeutic replacement of astrocytes in diseases where these cells are either lost or lose functionality.", "author" : [ { "dropping-particle" : "", "family" : "Hill", "given" : "Eric J", "non-dropping-particle" : "", "parse-names" : false, "suffix" : "" }, { "dropping-particle" : "", "family" : "Jim\u00e9nez-Gonz\u00e1lez", "given" : "Cristina", "non-dropping-particle" : "", "parse-names" : false, "suffix" : "" }, { "dropping-particle" : "", "family" : "Tarczyluk", "given" : "Marta", "non-dropping-particle" : "", "parse-names" : false, "suffix" : "" }, { "dropping-particle" : "", "family" : "Nagel", "given" : "David A", "non-dropping-particle" : "", "parse-names" : false, "suffix" : "" }, { "dropping-particle" : "", "family" : "Coleman", "given" : "Michael D", "non-dropping-particle" : "", "parse-names" : false, "suffix" : "" }, { "dropping-particle" : "", "family" : "Parri", "given" : "H Rheinallt", "non-dropping-particle" : "", "parse-names" : false, "suffix" : "" } ], "container-title" : "PloS one", "id" : "ITEM-1", "issue" : "5", "issued" : { "date-parts" : [ [ "2012", "1", "2" ] ] }, "page" : "e36098", "publisher" : "Public Library of Science", "title" : "NT2 derived neuronal and astrocytic network signalling.", "type" : "article-journal", "volume" : "7" }, "uris" : [ "http://www.mendeley.com/documents/?uuid=9cd64ad7-ad50-4f5b-9564-eadced04a8de" ] } ], "mendeley" : { "formattedCitation" : "(Hill et al. 2012)", "plainTextFormattedCitation" : "(Hill et al. 2012)", "previouslyFormattedCitation" : "(Hill et al. 2012)" }, "properties" : { "noteIndex" : 0 }, "schema" : "https://github.com/citation-style-language/schema/raw/master/csl-citation.json" }</w:instrText>
      </w:r>
      <w:r w:rsidR="00831284">
        <w:rPr>
          <w:rFonts w:ascii="Times New Roman" w:hAnsi="Times New Roman" w:cs="Times New Roman"/>
        </w:rPr>
        <w:fldChar w:fldCharType="separate"/>
      </w:r>
      <w:r w:rsidR="00C148FC" w:rsidRPr="00C148FC">
        <w:rPr>
          <w:rFonts w:ascii="Times New Roman" w:hAnsi="Times New Roman" w:cs="Times New Roman"/>
          <w:noProof/>
        </w:rPr>
        <w:t>(Hill et al. 2012)</w:t>
      </w:r>
      <w:r w:rsidR="00831284">
        <w:rPr>
          <w:rFonts w:ascii="Times New Roman" w:hAnsi="Times New Roman" w:cs="Times New Roman"/>
        </w:rPr>
        <w:fldChar w:fldCharType="end"/>
      </w:r>
      <w:r w:rsidR="008B63EB">
        <w:rPr>
          <w:rFonts w:ascii="Times New Roman" w:hAnsi="Times New Roman" w:cs="Times New Roman"/>
        </w:rPr>
        <w:t>.</w:t>
      </w:r>
      <w:r w:rsidR="00E226F0">
        <w:rPr>
          <w:rFonts w:ascii="Times New Roman" w:hAnsi="Times New Roman" w:cs="Times New Roman"/>
        </w:rPr>
        <w:t xml:space="preserve"> As astrocytes tailor their function to meet neuronal needs, there may be an underlying stress within the neurons that the astrocytes are contending with. </w:t>
      </w:r>
      <w:r w:rsidR="00A21352">
        <w:rPr>
          <w:rFonts w:ascii="Times New Roman" w:hAnsi="Times New Roman" w:cs="Times New Roman"/>
        </w:rPr>
        <w:t>However</w:t>
      </w:r>
      <w:r w:rsidR="00F603E6">
        <w:rPr>
          <w:rFonts w:ascii="Times New Roman" w:hAnsi="Times New Roman" w:cs="Times New Roman"/>
        </w:rPr>
        <w:t xml:space="preserve"> </w:t>
      </w:r>
      <w:r w:rsidR="00DD5E02">
        <w:rPr>
          <w:rFonts w:ascii="Times New Roman" w:hAnsi="Times New Roman" w:cs="Times New Roman"/>
        </w:rPr>
        <w:t>culturing conditions are stressful environments anyway</w:t>
      </w:r>
      <w:r w:rsidR="00A21352">
        <w:rPr>
          <w:rFonts w:ascii="Times New Roman" w:hAnsi="Times New Roman" w:cs="Times New Roman"/>
        </w:rPr>
        <w:t>,</w:t>
      </w:r>
      <w:r w:rsidR="00D54960">
        <w:rPr>
          <w:rFonts w:ascii="Times New Roman" w:hAnsi="Times New Roman" w:cs="Times New Roman"/>
        </w:rPr>
        <w:t xml:space="preserve"> so i</w:t>
      </w:r>
      <w:r w:rsidR="00DD5E02">
        <w:rPr>
          <w:rFonts w:ascii="Times New Roman" w:hAnsi="Times New Roman" w:cs="Times New Roman"/>
        </w:rPr>
        <w:t>t is likely that</w:t>
      </w:r>
      <w:r w:rsidR="00D54960">
        <w:rPr>
          <w:rFonts w:ascii="Times New Roman" w:hAnsi="Times New Roman" w:cs="Times New Roman"/>
        </w:rPr>
        <w:t xml:space="preserve"> regardless of whether neuronal bundles are present,</w:t>
      </w:r>
      <w:r w:rsidR="00DD5E02">
        <w:rPr>
          <w:rFonts w:ascii="Times New Roman" w:hAnsi="Times New Roman" w:cs="Times New Roman"/>
        </w:rPr>
        <w:t xml:space="preserve"> </w:t>
      </w:r>
      <w:r w:rsidR="00D54960">
        <w:rPr>
          <w:rFonts w:ascii="Times New Roman" w:hAnsi="Times New Roman" w:cs="Times New Roman"/>
        </w:rPr>
        <w:t>astrocytes would</w:t>
      </w:r>
      <w:r w:rsidR="00A21352">
        <w:rPr>
          <w:rFonts w:ascii="Times New Roman" w:hAnsi="Times New Roman" w:cs="Times New Roman"/>
        </w:rPr>
        <w:t xml:space="preserve"> still </w:t>
      </w:r>
      <w:r w:rsidR="00D54960">
        <w:rPr>
          <w:rFonts w:ascii="Times New Roman" w:hAnsi="Times New Roman" w:cs="Times New Roman"/>
        </w:rPr>
        <w:t xml:space="preserve">be </w:t>
      </w:r>
      <w:r w:rsidR="00A21352">
        <w:rPr>
          <w:rFonts w:ascii="Times New Roman" w:hAnsi="Times New Roman" w:cs="Times New Roman"/>
        </w:rPr>
        <w:t>regulating other external stresses.</w:t>
      </w:r>
    </w:p>
    <w:p w14:paraId="04710464" w14:textId="77777777" w:rsidR="00274A4C" w:rsidRDefault="00274A4C" w:rsidP="0052651A">
      <w:pPr>
        <w:spacing w:line="360" w:lineRule="auto"/>
        <w:jc w:val="both"/>
        <w:rPr>
          <w:rFonts w:ascii="Times New Roman" w:hAnsi="Times New Roman" w:cs="Times New Roman"/>
        </w:rPr>
      </w:pPr>
    </w:p>
    <w:p w14:paraId="68234C8D" w14:textId="4C38A2AC" w:rsidR="00274A4C" w:rsidRDefault="00274A4C" w:rsidP="0052651A">
      <w:pPr>
        <w:spacing w:line="360" w:lineRule="auto"/>
        <w:jc w:val="both"/>
        <w:rPr>
          <w:rFonts w:ascii="Times New Roman" w:hAnsi="Times New Roman" w:cs="Times New Roman"/>
        </w:rPr>
      </w:pPr>
      <w:r>
        <w:rPr>
          <w:rFonts w:ascii="Times New Roman" w:hAnsi="Times New Roman" w:cs="Times New Roman"/>
        </w:rPr>
        <w:t>A further consideration is the selection</w:t>
      </w:r>
      <w:r w:rsidR="00BF1DD9">
        <w:rPr>
          <w:rFonts w:ascii="Times New Roman" w:hAnsi="Times New Roman" w:cs="Times New Roman"/>
        </w:rPr>
        <w:t xml:space="preserve"> process</w:t>
      </w:r>
      <w:r>
        <w:rPr>
          <w:rFonts w:ascii="Times New Roman" w:hAnsi="Times New Roman" w:cs="Times New Roman"/>
        </w:rPr>
        <w:t xml:space="preserve"> of</w:t>
      </w:r>
      <w:r w:rsidR="00BF1DD9">
        <w:rPr>
          <w:rFonts w:ascii="Times New Roman" w:hAnsi="Times New Roman" w:cs="Times New Roman"/>
        </w:rPr>
        <w:t xml:space="preserve"> the</w:t>
      </w:r>
      <w:r>
        <w:rPr>
          <w:rFonts w:ascii="Times New Roman" w:hAnsi="Times New Roman" w:cs="Times New Roman"/>
        </w:rPr>
        <w:t xml:space="preserve"> cells for the microarray study. This was </w:t>
      </w:r>
      <w:r w:rsidR="009A32E7">
        <w:rPr>
          <w:rFonts w:ascii="Times New Roman" w:hAnsi="Times New Roman" w:cs="Times New Roman"/>
        </w:rPr>
        <w:t>conducted on an enri</w:t>
      </w:r>
      <w:r w:rsidR="00BF1DD9">
        <w:rPr>
          <w:rFonts w:ascii="Times New Roman" w:hAnsi="Times New Roman" w:cs="Times New Roman"/>
        </w:rPr>
        <w:t>ched population of astrocytes isolated from</w:t>
      </w:r>
      <w:r w:rsidR="009A32E7">
        <w:rPr>
          <w:rFonts w:ascii="Times New Roman" w:hAnsi="Times New Roman" w:cs="Times New Roman"/>
        </w:rPr>
        <w:t xml:space="preserve"> the co-culture system. A significant proportion of the astrocytes and neuron</w:t>
      </w:r>
      <w:r>
        <w:rPr>
          <w:rFonts w:ascii="Times New Roman" w:hAnsi="Times New Roman" w:cs="Times New Roman"/>
        </w:rPr>
        <w:t>s were discarded during the FACS</w:t>
      </w:r>
      <w:r w:rsidR="009A32E7">
        <w:rPr>
          <w:rFonts w:ascii="Times New Roman" w:hAnsi="Times New Roman" w:cs="Times New Roman"/>
        </w:rPr>
        <w:t xml:space="preserve"> sorting process, which was due </w:t>
      </w:r>
      <w:r w:rsidR="006352CD">
        <w:rPr>
          <w:rFonts w:ascii="Times New Roman" w:hAnsi="Times New Roman" w:cs="Times New Roman"/>
        </w:rPr>
        <w:t>to the two cell populations over</w:t>
      </w:r>
      <w:r w:rsidR="009A32E7">
        <w:rPr>
          <w:rFonts w:ascii="Times New Roman" w:hAnsi="Times New Roman" w:cs="Times New Roman"/>
        </w:rPr>
        <w:t>lapping in size and</w:t>
      </w:r>
      <w:r>
        <w:rPr>
          <w:rFonts w:ascii="Times New Roman" w:hAnsi="Times New Roman" w:cs="Times New Roman"/>
        </w:rPr>
        <w:t xml:space="preserve"> because not all of the LUHMES expressed</w:t>
      </w:r>
      <w:r w:rsidR="009A32E7">
        <w:rPr>
          <w:rFonts w:ascii="Times New Roman" w:hAnsi="Times New Roman" w:cs="Times New Roman"/>
        </w:rPr>
        <w:t xml:space="preserve"> GFP. The population of </w:t>
      </w:r>
      <w:r>
        <w:rPr>
          <w:rFonts w:ascii="Times New Roman" w:hAnsi="Times New Roman" w:cs="Times New Roman"/>
        </w:rPr>
        <w:t>astrocytes extracted in the FACS</w:t>
      </w:r>
      <w:r w:rsidR="009A32E7">
        <w:rPr>
          <w:rFonts w:ascii="Times New Roman" w:hAnsi="Times New Roman" w:cs="Times New Roman"/>
        </w:rPr>
        <w:t xml:space="preserve"> procedure is a population of the largest astrocytes. This may be representative of astrocytes that have undergone hypertrophy and therefore have potentially different characteristics to the rest of the astrocyte population. </w:t>
      </w:r>
      <w:r w:rsidR="00643C12">
        <w:rPr>
          <w:rFonts w:ascii="Times New Roman" w:hAnsi="Times New Roman" w:cs="Times New Roman"/>
        </w:rPr>
        <w:t>Therefore the changes identified in the array may only represent a subpopulation of astrocytes that have responded in a particular way to the MAB391 treatment</w:t>
      </w:r>
      <w:r w:rsidR="006352CD">
        <w:rPr>
          <w:rFonts w:ascii="Times New Roman" w:hAnsi="Times New Roman" w:cs="Times New Roman"/>
        </w:rPr>
        <w:t xml:space="preserve">. </w:t>
      </w:r>
      <w:r>
        <w:rPr>
          <w:rFonts w:ascii="Times New Roman" w:hAnsi="Times New Roman" w:cs="Times New Roman"/>
        </w:rPr>
        <w:t>However</w:t>
      </w:r>
      <w:r w:rsidR="00092786">
        <w:rPr>
          <w:rFonts w:ascii="Times New Roman" w:hAnsi="Times New Roman" w:cs="Times New Roman"/>
        </w:rPr>
        <w:t xml:space="preserve">, </w:t>
      </w:r>
      <w:r w:rsidR="00643C12">
        <w:rPr>
          <w:rFonts w:ascii="Times New Roman" w:hAnsi="Times New Roman" w:cs="Times New Roman"/>
        </w:rPr>
        <w:t>astrocytes are intrinsically heterogeneous cells and so this subpopulation may not actually reflect differences in response to MAB391</w:t>
      </w:r>
      <w:r w:rsidR="009A32E7">
        <w:rPr>
          <w:rFonts w:ascii="Times New Roman" w:hAnsi="Times New Roman" w:cs="Times New Roman"/>
        </w:rPr>
        <w:t xml:space="preserve">. </w:t>
      </w:r>
    </w:p>
    <w:p w14:paraId="0D86B86C" w14:textId="77777777" w:rsidR="00274A4C" w:rsidRDefault="00274A4C" w:rsidP="006704AA">
      <w:pPr>
        <w:spacing w:line="360" w:lineRule="auto"/>
        <w:rPr>
          <w:rFonts w:ascii="Times New Roman" w:hAnsi="Times New Roman" w:cs="Times New Roman"/>
        </w:rPr>
      </w:pPr>
    </w:p>
    <w:p w14:paraId="72453C28" w14:textId="34009F49" w:rsidR="008B63EB" w:rsidRPr="00F82C40" w:rsidRDefault="00274A4C" w:rsidP="0052651A">
      <w:pPr>
        <w:spacing w:line="360" w:lineRule="auto"/>
        <w:jc w:val="both"/>
        <w:rPr>
          <w:rFonts w:ascii="Times New Roman" w:hAnsi="Times New Roman" w:cs="Times New Roman"/>
        </w:rPr>
      </w:pPr>
      <w:r>
        <w:rPr>
          <w:rFonts w:ascii="Times New Roman" w:hAnsi="Times New Roman" w:cs="Times New Roman"/>
        </w:rPr>
        <w:t>F</w:t>
      </w:r>
      <w:r w:rsidR="00E346C9">
        <w:rPr>
          <w:rFonts w:ascii="Times New Roman" w:hAnsi="Times New Roman" w:cs="Times New Roman"/>
        </w:rPr>
        <w:t>unctional validation of the complex I defect was performed on unseparated co-cultures</w:t>
      </w:r>
      <w:r w:rsidR="008C76A2">
        <w:rPr>
          <w:rFonts w:ascii="Times New Roman" w:hAnsi="Times New Roman" w:cs="Times New Roman"/>
        </w:rPr>
        <w:t xml:space="preserve"> due to limited protein yield </w:t>
      </w:r>
      <w:r w:rsidR="005B7406">
        <w:rPr>
          <w:rFonts w:ascii="Times New Roman" w:hAnsi="Times New Roman" w:cs="Times New Roman"/>
        </w:rPr>
        <w:t>being obtained f</w:t>
      </w:r>
      <w:r>
        <w:rPr>
          <w:rFonts w:ascii="Times New Roman" w:hAnsi="Times New Roman" w:cs="Times New Roman"/>
        </w:rPr>
        <w:t>rom the FACS</w:t>
      </w:r>
      <w:r w:rsidR="005B7406">
        <w:rPr>
          <w:rFonts w:ascii="Times New Roman" w:hAnsi="Times New Roman" w:cs="Times New Roman"/>
        </w:rPr>
        <w:t xml:space="preserve"> sorting process</w:t>
      </w:r>
      <w:r w:rsidR="008C76A2">
        <w:rPr>
          <w:rFonts w:ascii="Times New Roman" w:hAnsi="Times New Roman" w:cs="Times New Roman"/>
        </w:rPr>
        <w:t xml:space="preserve">. Therefore, the complex I assay accounts for the </w:t>
      </w:r>
      <w:r w:rsidR="005B7406">
        <w:rPr>
          <w:rFonts w:ascii="Times New Roman" w:hAnsi="Times New Roman" w:cs="Times New Roman"/>
        </w:rPr>
        <w:t xml:space="preserve">activity of </w:t>
      </w:r>
      <w:r w:rsidR="001C7093">
        <w:rPr>
          <w:rFonts w:ascii="Times New Roman" w:hAnsi="Times New Roman" w:cs="Times New Roman"/>
        </w:rPr>
        <w:t>the entire population of</w:t>
      </w:r>
      <w:r w:rsidR="005B7406">
        <w:rPr>
          <w:rFonts w:ascii="Times New Roman" w:hAnsi="Times New Roman" w:cs="Times New Roman"/>
        </w:rPr>
        <w:t xml:space="preserve"> </w:t>
      </w:r>
      <w:r w:rsidR="008C76A2">
        <w:rPr>
          <w:rFonts w:ascii="Times New Roman" w:hAnsi="Times New Roman" w:cs="Times New Roman"/>
        </w:rPr>
        <w:t xml:space="preserve">astrocytes </w:t>
      </w:r>
      <w:r w:rsidR="001C7093">
        <w:rPr>
          <w:rFonts w:ascii="Times New Roman" w:hAnsi="Times New Roman" w:cs="Times New Roman"/>
        </w:rPr>
        <w:t>in co-culture with</w:t>
      </w:r>
      <w:r w:rsidR="008C76A2">
        <w:rPr>
          <w:rFonts w:ascii="Times New Roman" w:hAnsi="Times New Roman" w:cs="Times New Roman"/>
        </w:rPr>
        <w:t xml:space="preserve"> neurons</w:t>
      </w:r>
      <w:r w:rsidR="00CA2094">
        <w:rPr>
          <w:rFonts w:ascii="Times New Roman" w:hAnsi="Times New Roman" w:cs="Times New Roman"/>
        </w:rPr>
        <w:t>. Complex I activity of the neurons may also be altered but since the microarray identified changes in complex I subunit transcripts in astrocytes it is assumed that the defects are in these cells. It would be interesting to measu</w:t>
      </w:r>
      <w:r w:rsidR="00B80D03">
        <w:rPr>
          <w:rFonts w:ascii="Times New Roman" w:hAnsi="Times New Roman" w:cs="Times New Roman"/>
        </w:rPr>
        <w:t>re complex I activity in MAB391-</w:t>
      </w:r>
      <w:r w:rsidR="00CA2094">
        <w:rPr>
          <w:rFonts w:ascii="Times New Roman" w:hAnsi="Times New Roman" w:cs="Times New Roman"/>
        </w:rPr>
        <w:t>treated astrocytes in monoculture to assess whether the defect depends on the co-culture system but also confi</w:t>
      </w:r>
      <w:r w:rsidR="009334A5">
        <w:rPr>
          <w:rFonts w:ascii="Times New Roman" w:hAnsi="Times New Roman" w:cs="Times New Roman"/>
        </w:rPr>
        <w:t>rm that the def</w:t>
      </w:r>
      <w:r w:rsidR="00CA2094">
        <w:rPr>
          <w:rFonts w:ascii="Times New Roman" w:hAnsi="Times New Roman" w:cs="Times New Roman"/>
        </w:rPr>
        <w:t xml:space="preserve">ect is in the astrocytes.  </w:t>
      </w:r>
    </w:p>
    <w:p w14:paraId="26C962F1" w14:textId="77777777" w:rsidR="00274A4C" w:rsidRDefault="00274A4C" w:rsidP="0052651A">
      <w:pPr>
        <w:spacing w:line="360" w:lineRule="auto"/>
        <w:jc w:val="both"/>
        <w:rPr>
          <w:rFonts w:ascii="Times New Roman" w:hAnsi="Times New Roman" w:cs="Times New Roman"/>
          <w:color w:val="FF0000"/>
        </w:rPr>
      </w:pPr>
    </w:p>
    <w:p w14:paraId="63DE2076" w14:textId="3EC163F9" w:rsidR="00031E7A" w:rsidRDefault="006B4030" w:rsidP="0052651A">
      <w:pPr>
        <w:spacing w:line="360" w:lineRule="auto"/>
        <w:jc w:val="both"/>
        <w:rPr>
          <w:rFonts w:ascii="Times New Roman" w:hAnsi="Times New Roman" w:cs="Times New Roman"/>
        </w:rPr>
      </w:pPr>
      <w:r>
        <w:rPr>
          <w:rFonts w:ascii="Times New Roman" w:hAnsi="Times New Roman" w:cs="Times New Roman"/>
        </w:rPr>
        <w:t>The limitations listed here aim to highlight areas that could be developed</w:t>
      </w:r>
      <w:r w:rsidR="00274A4C">
        <w:rPr>
          <w:rFonts w:ascii="Times New Roman" w:hAnsi="Times New Roman" w:cs="Times New Roman"/>
        </w:rPr>
        <w:t xml:space="preserve"> to improve the model system developed here. </w:t>
      </w:r>
      <w:r>
        <w:rPr>
          <w:rFonts w:ascii="Times New Roman" w:hAnsi="Times New Roman" w:cs="Times New Roman"/>
        </w:rPr>
        <w:t xml:space="preserve">However, this project uniquely identifies how impairments in IGF1 signalling affect energy metabolism in human astrocytes and demonstrates this in a novel human astrocyte-neuron co-culture system, which has not been </w:t>
      </w:r>
      <w:r w:rsidR="006352CD">
        <w:rPr>
          <w:rFonts w:ascii="Times New Roman" w:hAnsi="Times New Roman" w:cs="Times New Roman"/>
        </w:rPr>
        <w:t xml:space="preserve">attempted previously. </w:t>
      </w:r>
    </w:p>
    <w:p w14:paraId="706C1A2B" w14:textId="77777777" w:rsidR="006352CD" w:rsidRDefault="006352CD" w:rsidP="0052651A">
      <w:pPr>
        <w:spacing w:line="360" w:lineRule="auto"/>
        <w:jc w:val="both"/>
      </w:pPr>
    </w:p>
    <w:p w14:paraId="5B902EED" w14:textId="0690B309" w:rsidR="00031E7A" w:rsidRPr="00031E7A" w:rsidRDefault="00455FE9" w:rsidP="0052651A">
      <w:pPr>
        <w:pStyle w:val="Heading2"/>
        <w:jc w:val="both"/>
      </w:pPr>
      <w:bookmarkStart w:id="2490" w:name="_Toc329593513"/>
      <w:bookmarkStart w:id="2491" w:name="_Toc331426014"/>
      <w:bookmarkStart w:id="2492" w:name="_Toc331427186"/>
      <w:bookmarkStart w:id="2493" w:name="_Toc331427558"/>
      <w:bookmarkStart w:id="2494" w:name="_Toc331427700"/>
      <w:bookmarkStart w:id="2495" w:name="_Toc332972705"/>
      <w:bookmarkStart w:id="2496" w:name="_Toc333046984"/>
      <w:bookmarkStart w:id="2497" w:name="_Toc333477331"/>
      <w:bookmarkStart w:id="2498" w:name="_Toc333478101"/>
      <w:bookmarkStart w:id="2499" w:name="_Toc333645001"/>
      <w:r>
        <w:t xml:space="preserve">6.5 </w:t>
      </w:r>
      <w:r w:rsidR="006450F0">
        <w:t>Future Work</w:t>
      </w:r>
      <w:bookmarkEnd w:id="2490"/>
      <w:bookmarkEnd w:id="2491"/>
      <w:bookmarkEnd w:id="2492"/>
      <w:bookmarkEnd w:id="2493"/>
      <w:bookmarkEnd w:id="2494"/>
      <w:bookmarkEnd w:id="2495"/>
      <w:bookmarkEnd w:id="2496"/>
      <w:bookmarkEnd w:id="2497"/>
      <w:bookmarkEnd w:id="2498"/>
      <w:bookmarkEnd w:id="2499"/>
    </w:p>
    <w:p w14:paraId="374AC748" w14:textId="77777777" w:rsidR="002412F8" w:rsidRDefault="002412F8" w:rsidP="0052651A">
      <w:pPr>
        <w:spacing w:line="360" w:lineRule="auto"/>
        <w:jc w:val="both"/>
        <w:rPr>
          <w:rFonts w:ascii="Times New Roman" w:hAnsi="Times New Roman" w:cs="Times New Roman"/>
          <w:b/>
          <w:sz w:val="32"/>
          <w:szCs w:val="32"/>
          <w:u w:val="single"/>
        </w:rPr>
      </w:pPr>
    </w:p>
    <w:p w14:paraId="0998A0D1" w14:textId="20D57088" w:rsidR="00B133D5" w:rsidRDefault="00626BDA" w:rsidP="0052651A">
      <w:pPr>
        <w:spacing w:line="360" w:lineRule="auto"/>
        <w:jc w:val="both"/>
        <w:rPr>
          <w:rFonts w:ascii="Times New Roman" w:hAnsi="Times New Roman" w:cs="Times New Roman"/>
          <w:b/>
        </w:rPr>
      </w:pPr>
      <w:r>
        <w:rPr>
          <w:rFonts w:ascii="Times New Roman" w:hAnsi="Times New Roman" w:cs="Times New Roman"/>
        </w:rPr>
        <w:t xml:space="preserve">Drawing on knowledge in the literature and </w:t>
      </w:r>
      <w:r w:rsidR="006B4030">
        <w:rPr>
          <w:rFonts w:ascii="Times New Roman" w:hAnsi="Times New Roman" w:cs="Times New Roman"/>
        </w:rPr>
        <w:t>changes identified in the m</w:t>
      </w:r>
      <w:r>
        <w:rPr>
          <w:rFonts w:ascii="Times New Roman" w:hAnsi="Times New Roman" w:cs="Times New Roman"/>
        </w:rPr>
        <w:t>i</w:t>
      </w:r>
      <w:r w:rsidR="006B4030">
        <w:rPr>
          <w:rFonts w:ascii="Times New Roman" w:hAnsi="Times New Roman" w:cs="Times New Roman"/>
        </w:rPr>
        <w:t>c</w:t>
      </w:r>
      <w:r>
        <w:rPr>
          <w:rFonts w:ascii="Times New Roman" w:hAnsi="Times New Roman" w:cs="Times New Roman"/>
        </w:rPr>
        <w:t>roarray, a schematic diagram has been made to represent the different</w:t>
      </w:r>
      <w:r w:rsidR="00130C57">
        <w:rPr>
          <w:rFonts w:ascii="Times New Roman" w:hAnsi="Times New Roman" w:cs="Times New Roman"/>
        </w:rPr>
        <w:t xml:space="preserve"> parameters and molecular targets that could be assessed to further</w:t>
      </w:r>
      <w:r>
        <w:rPr>
          <w:rFonts w:ascii="Times New Roman" w:hAnsi="Times New Roman" w:cs="Times New Roman"/>
        </w:rPr>
        <w:t xml:space="preserve"> confirm how impairments in IGF1 signalling</w:t>
      </w:r>
      <w:r w:rsidR="001F1D25">
        <w:rPr>
          <w:rFonts w:ascii="Times New Roman" w:hAnsi="Times New Roman" w:cs="Times New Roman"/>
        </w:rPr>
        <w:t xml:space="preserve"> may be</w:t>
      </w:r>
      <w:r>
        <w:rPr>
          <w:rFonts w:ascii="Times New Roman" w:hAnsi="Times New Roman" w:cs="Times New Roman"/>
        </w:rPr>
        <w:t xml:space="preserve"> affect</w:t>
      </w:r>
      <w:r w:rsidR="001F1D25">
        <w:rPr>
          <w:rFonts w:ascii="Times New Roman" w:hAnsi="Times New Roman" w:cs="Times New Roman"/>
        </w:rPr>
        <w:t>ing</w:t>
      </w:r>
      <w:r w:rsidR="006B4030">
        <w:rPr>
          <w:rFonts w:ascii="Times New Roman" w:hAnsi="Times New Roman" w:cs="Times New Roman"/>
        </w:rPr>
        <w:t xml:space="preserve"> astrocyte energy metabolism </w:t>
      </w:r>
      <w:r w:rsidR="00212952">
        <w:rPr>
          <w:rFonts w:ascii="Times New Roman" w:hAnsi="Times New Roman" w:cs="Times New Roman"/>
          <w:b/>
        </w:rPr>
        <w:t>figure 6.1.</w:t>
      </w:r>
      <w:r w:rsidR="006B4030">
        <w:rPr>
          <w:rFonts w:ascii="Times New Roman" w:hAnsi="Times New Roman" w:cs="Times New Roman"/>
          <w:b/>
        </w:rPr>
        <w:t xml:space="preserve"> </w:t>
      </w:r>
    </w:p>
    <w:p w14:paraId="0296C6AB" w14:textId="77777777" w:rsidR="001433F4" w:rsidRDefault="001433F4" w:rsidP="0052651A">
      <w:pPr>
        <w:spacing w:line="360" w:lineRule="auto"/>
        <w:jc w:val="both"/>
        <w:rPr>
          <w:rFonts w:ascii="Times New Roman" w:hAnsi="Times New Roman" w:cs="Times New Roman"/>
        </w:rPr>
      </w:pPr>
    </w:p>
    <w:p w14:paraId="3BD74C8F" w14:textId="4D5E9D44" w:rsidR="006B4030" w:rsidRDefault="00F82C40" w:rsidP="0052651A">
      <w:pPr>
        <w:spacing w:line="360" w:lineRule="auto"/>
        <w:jc w:val="both"/>
        <w:rPr>
          <w:rFonts w:ascii="Times New Roman" w:hAnsi="Times New Roman" w:cs="Times New Roman"/>
        </w:rPr>
      </w:pPr>
      <w:r>
        <w:rPr>
          <w:rFonts w:ascii="Times New Roman" w:hAnsi="Times New Roman" w:cs="Times New Roman"/>
        </w:rPr>
        <w:t>A</w:t>
      </w:r>
      <w:r w:rsidR="00A735B8">
        <w:rPr>
          <w:rFonts w:ascii="Times New Roman" w:hAnsi="Times New Roman" w:cs="Times New Roman"/>
        </w:rPr>
        <w:t xml:space="preserve"> significant re</w:t>
      </w:r>
      <w:r>
        <w:rPr>
          <w:rFonts w:ascii="Times New Roman" w:hAnsi="Times New Roman" w:cs="Times New Roman"/>
        </w:rPr>
        <w:t>duction in complex I activity was</w:t>
      </w:r>
      <w:r w:rsidR="00A735B8">
        <w:rPr>
          <w:rFonts w:ascii="Times New Roman" w:hAnsi="Times New Roman" w:cs="Times New Roman"/>
        </w:rPr>
        <w:t xml:space="preserve"> shown in IGF1R impaired astrocytes co-cultured with neurons. Complex I activity </w:t>
      </w:r>
      <w:r w:rsidR="00E7113C">
        <w:rPr>
          <w:rFonts w:ascii="Times New Roman" w:hAnsi="Times New Roman" w:cs="Times New Roman"/>
        </w:rPr>
        <w:t>may be dysregulated if it is overloaded with nutrients from the TCA cycle, such as NADH. In rode</w:t>
      </w:r>
      <w:r>
        <w:rPr>
          <w:rFonts w:ascii="Times New Roman" w:hAnsi="Times New Roman" w:cs="Times New Roman"/>
        </w:rPr>
        <w:t>nt astrocytes, loss of IGF1R is</w:t>
      </w:r>
      <w:r w:rsidR="00E7113C">
        <w:rPr>
          <w:rFonts w:ascii="Times New Roman" w:hAnsi="Times New Roman" w:cs="Times New Roman"/>
        </w:rPr>
        <w:t xml:space="preserve"> associated with </w:t>
      </w:r>
      <w:r>
        <w:rPr>
          <w:rFonts w:ascii="Times New Roman" w:hAnsi="Times New Roman" w:cs="Times New Roman"/>
        </w:rPr>
        <w:t>increased</w:t>
      </w:r>
      <w:r w:rsidR="00E7113C">
        <w:rPr>
          <w:rFonts w:ascii="Times New Roman" w:hAnsi="Times New Roman" w:cs="Times New Roman"/>
        </w:rPr>
        <w:t xml:space="preserve"> GLUT1</w:t>
      </w:r>
      <w:r w:rsidR="00E84D82">
        <w:rPr>
          <w:rFonts w:ascii="Times New Roman" w:hAnsi="Times New Roman" w:cs="Times New Roman"/>
          <w:color w:val="FF0000"/>
        </w:rPr>
        <w:t xml:space="preserve"> </w:t>
      </w:r>
      <w:r w:rsidR="00E84D82">
        <w:rPr>
          <w:rFonts w:ascii="Times New Roman" w:hAnsi="Times New Roman" w:cs="Times New Roman"/>
          <w:color w:val="000000" w:themeColor="text1"/>
        </w:rPr>
        <w:t xml:space="preserve">and an associated increase in glucose uptake </w:t>
      </w:r>
      <w:r w:rsidR="00E84D82">
        <w:rPr>
          <w:rFonts w:ascii="Times New Roman" w:hAnsi="Times New Roman" w:cs="Times New Roman"/>
          <w:color w:val="000000" w:themeColor="text1"/>
        </w:rPr>
        <w:fldChar w:fldCharType="begin" w:fldLock="1"/>
      </w:r>
      <w:r w:rsidR="003E7BDB">
        <w:rPr>
          <w:rFonts w:ascii="Times New Roman" w:hAnsi="Times New Roman" w:cs="Times New Roman"/>
          <w:color w:val="000000" w:themeColor="text1"/>
        </w:rPr>
        <w:instrText>ADDIN CSL_CITATION { "citationItems" : [ { "id" : "ITEM-1", "itemData" : { "DOI" : "10.1101/023556", "author" : [ { "dropping-particle" : "", "family" : "Hernandez", "given" : "Edwin", "non-dropping-particle" : "", "parse-names" : false, "suffix" : "" }, { "dropping-particle" : "", "family" : "Fernandez", "given" : "Ana M", "non-dropping-particle" : "", "parse-names" : false, "suffix" : "" }, { "dropping-particle" : "", "family" : "Perez Alvarez", "given" : "Alberto", "non-dropping-particle" : "", "parse-names" : false, "suffix" : "" }, { "dropping-particle" : "", "family" : "Mederos", "given" : "Sara", "non-dropping-particle" : "", "parse-names" : false, "suffix" : "" }, { "dropping-particle" : "", "family" : "Perez Domper", "given" : "Paloma", "non-dropping-particle" : "", "parse-names" : false, "suffix" : "" }, { "dropping-particle" : "", "family" : "Bascu\u00f1ana", "given" : "Pablo", "non-dropping-particle" : "", "parse-names" : false, "suffix" : "" }, { "dropping-particle" : "", "family" : "Fernandez de la Rosa", "given" : "Ruben", "non-dropping-particle" : "", "parse-names" : false, "suffix" : "" }, { "dropping-particle" : "", "family" : "Delgado", "given" : "Mercedes", "non-dropping-particle" : "", "parse-names" : false, "suffix" : "" }, { "dropping-particle" : "", "family" : "Pozo", "given" : "Miguel Angel", "non-dropping-particle" : "", "parse-names" : false, "suffix" : "" }, { "dropping-particle" : "", "family" : "Miranda Vizuete", "given" : "Antonio", "non-dropping-particle" : "", "parse-names" : false, "suffix" : "" }, { "dropping-particle" : "", "family" : "Guerrero Gomez", "given" : "Diego", "non-dropping-particle" : "", "parse-names" : false, "suffix" : "" }, { "dropping-particle" : "", "family" : "Moreno", "given" : "Estefania", "non-dropping-particle" : "", "parse-names" : false, "suffix" : "" }, { "dropping-particle" : "", "family" : "McCormick", "given" : "Peter J", "non-dropping-particle" : "", "parse-names" : false, "suffix" : "" }, { "dropping-particle" : "", "family" : "Santi", "given" : "Andrea", "non-dropping-particle" : "", "parse-names" : false, "suffix" : "" }, { "dropping-particle" : "", "family" : "Genis", "given" : "Laura", "non-dropping-particle" : "", "parse-names" : false, "suffix" : "" }, { "dropping-particle" : "", "family" : "Trueba Saiz", "given" : "Angel", "non-dropping-particle" : "", "parse-names" : false, "suffix" : "" }, { "dropping-particle" : "", "family" : "Garcia-Caceres", "given" : "Cristina", "non-dropping-particle" : "", "parse-names" : false, "suffix" : "" }, { "dropping-particle" : "", "family" : "Tsch\u00f6p", "given" : "Matthias", "non-dropping-particle" : "", "parse-names" : false, "suffix" : "" }, { "dropping-particle" : "", "family" : "Araque", "given" : "Alfonso", "non-dropping-particle" : "", "parse-names" : false, "suffix" : "" }, { "dropping-particle" : "", "family" : "Perea", "given" : "Gertrudis", "non-dropping-particle" : "", "parse-names" : false, "suffix" : "" }, { "dropping-particle" : "", "family" : "Martin", "given" : "Eduardo D", "non-dropping-particle" : "", "parse-names" : false, "suffix" : "" }, { "dropping-particle" : "", "family" : "Torres Aleman", "given" : "Ignacio", "non-dropping-particle" : "", "parse-names" : false, "suffix" : "" } ], "container-title" : "bioRxiv", "id" : "ITEM-1", "issued" : { "date-parts" : [ [ "2015", "7", "31" ] ] }, "number-of-pages" : "023556", "publisher" : "Cold Spring Harbor Labs Journals", "title" : "INSULIN GROWTH FACTOR I AND ITS RECEPTOR ARE ANTAGONISTIC MODULATORS OF GLUCOSE HANDLING BY ASTROCYTES", "type" : "report" }, "uris" : [ "http://www.mendeley.com/documents/?uuid=6c286c4c-4ff1-3404-a7e8-80dd611c2196" ] } ], "mendeley" : { "formattedCitation" : "(Hernandez et al. 2015b)", "manualFormatting" : "(Hernandez et al., 2015)", "plainTextFormattedCitation" : "(Hernandez et al. 2015b)", "previouslyFormattedCitation" : "(Hernandez et al. 2015b)" }, "properties" : { "noteIndex" : 0 }, "schema" : "https://github.com/citation-style-language/schema/raw/master/csl-citation.json" }</w:instrText>
      </w:r>
      <w:r w:rsidR="00E84D82">
        <w:rPr>
          <w:rFonts w:ascii="Times New Roman" w:hAnsi="Times New Roman" w:cs="Times New Roman"/>
          <w:color w:val="000000" w:themeColor="text1"/>
        </w:rPr>
        <w:fldChar w:fldCharType="separate"/>
      </w:r>
      <w:r>
        <w:rPr>
          <w:rFonts w:ascii="Times New Roman" w:hAnsi="Times New Roman" w:cs="Times New Roman"/>
          <w:noProof/>
          <w:color w:val="000000" w:themeColor="text1"/>
        </w:rPr>
        <w:t>(Hernandez et al., 2015</w:t>
      </w:r>
      <w:r w:rsidR="002927E7" w:rsidRPr="002927E7">
        <w:rPr>
          <w:rFonts w:ascii="Times New Roman" w:hAnsi="Times New Roman" w:cs="Times New Roman"/>
          <w:noProof/>
          <w:color w:val="000000" w:themeColor="text1"/>
        </w:rPr>
        <w:t>)</w:t>
      </w:r>
      <w:r w:rsidR="00E84D82">
        <w:rPr>
          <w:rFonts w:ascii="Times New Roman" w:hAnsi="Times New Roman" w:cs="Times New Roman"/>
          <w:color w:val="000000" w:themeColor="text1"/>
        </w:rPr>
        <w:fldChar w:fldCharType="end"/>
      </w:r>
      <w:r w:rsidR="00E7113C">
        <w:rPr>
          <w:rFonts w:ascii="Times New Roman" w:hAnsi="Times New Roman" w:cs="Times New Roman"/>
        </w:rPr>
        <w:t>. GLUT1 levels in human astrocytes may be similarly elevated following IGF1R loss, which would increase glycolytic rates and provide more NADH to supply oxidative phosphorylation. However</w:t>
      </w:r>
      <w:r w:rsidR="001C6FE8">
        <w:rPr>
          <w:rFonts w:ascii="Times New Roman" w:hAnsi="Times New Roman" w:cs="Times New Roman"/>
        </w:rPr>
        <w:t>, excess NADH can create a back-</w:t>
      </w:r>
      <w:r w:rsidR="00E7113C">
        <w:rPr>
          <w:rFonts w:ascii="Times New Roman" w:hAnsi="Times New Roman" w:cs="Times New Roman"/>
        </w:rPr>
        <w:t>pressure on complex I and lead to increased leakage of elect</w:t>
      </w:r>
      <w:r w:rsidR="001F1D25">
        <w:rPr>
          <w:rFonts w:ascii="Times New Roman" w:hAnsi="Times New Roman" w:cs="Times New Roman"/>
        </w:rPr>
        <w:t>rons that ultimately accumulate</w:t>
      </w:r>
      <w:r w:rsidR="00E7113C">
        <w:rPr>
          <w:rFonts w:ascii="Times New Roman" w:hAnsi="Times New Roman" w:cs="Times New Roman"/>
        </w:rPr>
        <w:t xml:space="preserve"> as ROS. </w:t>
      </w:r>
      <w:r w:rsidR="002830A0">
        <w:rPr>
          <w:rFonts w:ascii="Times New Roman" w:hAnsi="Times New Roman" w:cs="Times New Roman"/>
        </w:rPr>
        <w:t xml:space="preserve">To investigate this, GLUT1 could be measured by western blotting and glucose uptake assessed using </w:t>
      </w:r>
      <w:r w:rsidR="00B54EB2">
        <w:rPr>
          <w:rFonts w:ascii="Times New Roman" w:hAnsi="Times New Roman" w:cs="Times New Roman"/>
        </w:rPr>
        <w:t>a glucose nanosensor based on FRET, which offers high temporal resolution</w:t>
      </w:r>
      <w:r w:rsidR="00C65C73">
        <w:rPr>
          <w:rFonts w:ascii="Times New Roman" w:hAnsi="Times New Roman" w:cs="Times New Roman"/>
        </w:rPr>
        <w:t xml:space="preserve"> and provides a</w:t>
      </w:r>
      <w:r w:rsidR="00B54EB2">
        <w:rPr>
          <w:rFonts w:ascii="Times New Roman" w:hAnsi="Times New Roman" w:cs="Times New Roman"/>
        </w:rPr>
        <w:t xml:space="preserve"> measure </w:t>
      </w:r>
      <w:r w:rsidR="00C65C73">
        <w:rPr>
          <w:rFonts w:ascii="Times New Roman" w:hAnsi="Times New Roman" w:cs="Times New Roman"/>
        </w:rPr>
        <w:t xml:space="preserve">of the </w:t>
      </w:r>
      <w:r w:rsidR="00B54EB2">
        <w:rPr>
          <w:rFonts w:ascii="Times New Roman" w:hAnsi="Times New Roman" w:cs="Times New Roman"/>
        </w:rPr>
        <w:t xml:space="preserve">dynamic changes in glucose </w:t>
      </w:r>
      <w:r w:rsidR="00B54EB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"10.1074/jbc.M114.629063", "ISSN" : "1083-351X", "PMID" : "25792745", "abstract" : "Astrocytes contain glycogen, an energy buffer, which can bridge local short term energy requirements in the brain. Glycogen levels reflect a dynamic equilibrium between glycogen synthesis and glycogenolysis. Many factors that include hormones and neuropeptides, such as insulin and insulin-like growth factor 1 (IGF-1) likely modulate glycogen stores in astrocytes, but detailed mechanisms at the cellular level are sparse. We used a glucose nanosensor based on F\u00f6rster resonance energy transfer to monitor cytosolic glucose concentration with high temporal resolution and a cytochemical approach to determine glycogen stores in single cells. The results show that after glucose depletion, glycogen stores are replenished. Insulin and IGF-1 boost the process of glycogen formation. Although astrocytes appear to express glucose transporter GLUT4, glucose entry across the astrocyte plasma membrane is not affected by insulin. Stimulation of cells with insulin and IGF-1 decreased cytosolic glucose concentration, likely because of elevated glucose utilization for glycogen synthesis.", "author" : [ { "dropping-particle" : "", "family" : "Muhi\u010d", "given" : "Marko", "non-dropping-particle" : "", "parse-names" : false, "suffix" : "" }, { "dropping-particle" : "", "family" : "Vardjan", "given" : "Nina", "non-dropping-particle" : "", "parse-names" : false, "suffix" : "" }, { "dropping-particle" : "", "family" : "Chowdhury", "given" : "Helena H", "non-dropping-particle" : "", "parse-names" : false, "suffix" : "" }, { "dropping-particle" : "", "family" : "Zorec", "given" : "Robert", "non-dropping-particle" : "", "parse-names" : false, "suffix" : "" }, { "dropping-particle" : "", "family" : "Kreft", "given" : "Marko", "non-dropping-particle" : "", "parse-names" : false, "suffix" : "" } ], "container-title" : "The Journal of biological chemistry", "id" : "ITEM-1", "issue" : "17", "issued" : { "date-parts" : [ [ "2015", "4", "24" ] ] }, "page" : "11167-76", "title" : "Insulin and Insulin-like Growth Factor 1 (IGF-1) Modulate Cytoplasmic Glucose and Glycogen Levels but Not Glucose Transport across the Membrane in Astrocytes.", "type" : "article-journal", "volume" : "290" }, "uris" : [ "http://www.mendeley.com/documents/?uuid=66aa4bb0-56d8-4b4d-a033-1c3774502ed5" ] } ], "mendeley" : { "formattedCitation" : "(Muhi\u010d et al. 2015)", "plainTextFormattedCitation" : "(Muhi\u010d et al. 2015)", "previouslyFormattedCitation" : "(Muhi\u010d et al. 2015)" }, "properties" : { "noteIndex" : 0 }, "schema" : "https://github.com/citation-style-language/schema/raw/master/csl-citation.json" }</w:instrText>
      </w:r>
      <w:r w:rsidR="00B54EB2">
        <w:rPr>
          <w:rFonts w:ascii="Times New Roman" w:hAnsi="Times New Roman" w:cs="Times New Roman"/>
        </w:rPr>
        <w:fldChar w:fldCharType="separate"/>
      </w:r>
      <w:r w:rsidR="00C148FC" w:rsidRPr="00C148FC">
        <w:rPr>
          <w:rFonts w:ascii="Times New Roman" w:hAnsi="Times New Roman" w:cs="Times New Roman"/>
          <w:noProof/>
        </w:rPr>
        <w:t>(Muhič et al. 2015)</w:t>
      </w:r>
      <w:r w:rsidR="00B54EB2">
        <w:rPr>
          <w:rFonts w:ascii="Times New Roman" w:hAnsi="Times New Roman" w:cs="Times New Roman"/>
        </w:rPr>
        <w:fldChar w:fldCharType="end"/>
      </w:r>
      <w:r w:rsidR="002830A0">
        <w:rPr>
          <w:rFonts w:ascii="Times New Roman" w:hAnsi="Times New Roman" w:cs="Times New Roman"/>
        </w:rPr>
        <w:t>.</w:t>
      </w:r>
      <w:r w:rsidR="00866588">
        <w:rPr>
          <w:rFonts w:ascii="Times New Roman" w:hAnsi="Times New Roman" w:cs="Times New Roman"/>
        </w:rPr>
        <w:t xml:space="preserve"> </w:t>
      </w:r>
      <w:r w:rsidR="00DC1843">
        <w:rPr>
          <w:rFonts w:ascii="Times New Roman" w:hAnsi="Times New Roman" w:cs="Times New Roman"/>
        </w:rPr>
        <w:t xml:space="preserve">NADH levels could also be assessed to verify whether there is </w:t>
      </w:r>
      <w:r w:rsidR="00C537E4">
        <w:rPr>
          <w:rFonts w:ascii="Times New Roman" w:hAnsi="Times New Roman" w:cs="Times New Roman"/>
        </w:rPr>
        <w:t xml:space="preserve">an </w:t>
      </w:r>
      <w:r w:rsidR="00DC1843">
        <w:rPr>
          <w:rFonts w:ascii="Times New Roman" w:hAnsi="Times New Roman" w:cs="Times New Roman"/>
        </w:rPr>
        <w:t>increased nutrient load</w:t>
      </w:r>
      <w:r w:rsidR="00C537E4">
        <w:rPr>
          <w:rFonts w:ascii="Times New Roman" w:hAnsi="Times New Roman" w:cs="Times New Roman"/>
        </w:rPr>
        <w:t xml:space="preserve"> to the mitochondria</w:t>
      </w:r>
      <w:r w:rsidR="00DC1843">
        <w:rPr>
          <w:rFonts w:ascii="Times New Roman" w:hAnsi="Times New Roman" w:cs="Times New Roman"/>
        </w:rPr>
        <w:t xml:space="preserve"> following loss of IGF1R. </w:t>
      </w:r>
      <w:r w:rsidR="00B54EB2">
        <w:rPr>
          <w:rFonts w:ascii="Times New Roman" w:hAnsi="Times New Roman" w:cs="Times New Roman"/>
        </w:rPr>
        <w:t>As levels of the superoxide anion are</w:t>
      </w:r>
      <w:r w:rsidR="00866588">
        <w:rPr>
          <w:rFonts w:ascii="Times New Roman" w:hAnsi="Times New Roman" w:cs="Times New Roman"/>
        </w:rPr>
        <w:t xml:space="preserve"> predict</w:t>
      </w:r>
      <w:r w:rsidR="00B54EB2">
        <w:rPr>
          <w:rFonts w:ascii="Times New Roman" w:hAnsi="Times New Roman" w:cs="Times New Roman"/>
        </w:rPr>
        <w:t>ed to increase at complex I, a M</w:t>
      </w:r>
      <w:r w:rsidR="009971EF">
        <w:rPr>
          <w:rFonts w:ascii="Times New Roman" w:hAnsi="Times New Roman" w:cs="Times New Roman"/>
        </w:rPr>
        <w:t>itoSOX™</w:t>
      </w:r>
      <w:r w:rsidR="00866588">
        <w:rPr>
          <w:rFonts w:ascii="Times New Roman" w:hAnsi="Times New Roman" w:cs="Times New Roman"/>
        </w:rPr>
        <w:t xml:space="preserve"> assay could be performed</w:t>
      </w:r>
      <w:r w:rsidR="009971EF">
        <w:rPr>
          <w:rFonts w:ascii="Times New Roman" w:hAnsi="Times New Roman" w:cs="Times New Roman"/>
        </w:rPr>
        <w:t>, where MitoSOX™ is a reagent readily oxidised by superoxide that upon binding to nuclei</w:t>
      </w:r>
      <w:r w:rsidR="00D003F1">
        <w:rPr>
          <w:rFonts w:ascii="Times New Roman" w:hAnsi="Times New Roman" w:cs="Times New Roman"/>
        </w:rPr>
        <w:t>c</w:t>
      </w:r>
      <w:r w:rsidR="009971EF">
        <w:rPr>
          <w:rFonts w:ascii="Times New Roman" w:hAnsi="Times New Roman" w:cs="Times New Roman"/>
        </w:rPr>
        <w:t xml:space="preserve"> acids emits fluorescence.</w:t>
      </w:r>
      <w:r w:rsidR="007F60FE">
        <w:rPr>
          <w:rFonts w:ascii="Times New Roman" w:hAnsi="Times New Roman" w:cs="Times New Roman"/>
        </w:rPr>
        <w:t xml:space="preserve"> MitoSOX™ is an assay that can be performed live, therefore the levels of complex I derived ROS could be tracked du</w:t>
      </w:r>
      <w:r w:rsidR="00B80D03">
        <w:rPr>
          <w:rFonts w:ascii="Times New Roman" w:hAnsi="Times New Roman" w:cs="Times New Roman"/>
        </w:rPr>
        <w:t>ring the period in which MAB391-</w:t>
      </w:r>
      <w:r w:rsidR="007F60FE">
        <w:rPr>
          <w:rFonts w:ascii="Times New Roman" w:hAnsi="Times New Roman" w:cs="Times New Roman"/>
        </w:rPr>
        <w:t>treated astrocytes are co-cultured with neurons.</w:t>
      </w:r>
      <w:r w:rsidR="00C65C73">
        <w:rPr>
          <w:rFonts w:ascii="Times New Roman" w:hAnsi="Times New Roman" w:cs="Times New Roman"/>
        </w:rPr>
        <w:t xml:space="preserve"> </w:t>
      </w:r>
    </w:p>
    <w:p w14:paraId="45019B35" w14:textId="77777777" w:rsidR="00F82C40" w:rsidRDefault="00F82C40" w:rsidP="0052651A">
      <w:pPr>
        <w:spacing w:line="360" w:lineRule="auto"/>
        <w:jc w:val="both"/>
        <w:rPr>
          <w:rFonts w:ascii="Times New Roman" w:hAnsi="Times New Roman" w:cs="Times New Roman"/>
        </w:rPr>
      </w:pPr>
    </w:p>
    <w:p w14:paraId="00079C86" w14:textId="10BFF1D3" w:rsidR="00866588" w:rsidRDefault="00866588" w:rsidP="0052651A">
      <w:pPr>
        <w:spacing w:line="360" w:lineRule="auto"/>
        <w:jc w:val="both"/>
        <w:rPr>
          <w:rFonts w:ascii="Times New Roman" w:hAnsi="Times New Roman" w:cs="Times New Roman"/>
        </w:rPr>
      </w:pPr>
      <w:r>
        <w:rPr>
          <w:rFonts w:ascii="Times New Roman" w:hAnsi="Times New Roman" w:cs="Times New Roman"/>
        </w:rPr>
        <w:t xml:space="preserve">Maintaining a redox balance in the cell is important, particularly in regulating signalling pathways. Protein phosphatases are regulated by </w:t>
      </w:r>
      <w:r w:rsidR="00D47837">
        <w:rPr>
          <w:rFonts w:ascii="Times New Roman" w:hAnsi="Times New Roman" w:cs="Times New Roman"/>
        </w:rPr>
        <w:t xml:space="preserve">redox processes and are normally active to prevent overactivation and aberrant </w:t>
      </w:r>
      <w:r w:rsidR="007231C6">
        <w:rPr>
          <w:rFonts w:ascii="Times New Roman" w:hAnsi="Times New Roman" w:cs="Times New Roman"/>
        </w:rPr>
        <w:t>signalling through pathways. When ROS levels are elevated, cysteine residues on protein phosphatases such as PTEN and PTP1B become oxidised leading to pr</w:t>
      </w:r>
      <w:r w:rsidR="00C537E4">
        <w:rPr>
          <w:rFonts w:ascii="Times New Roman" w:hAnsi="Times New Roman" w:cs="Times New Roman"/>
        </w:rPr>
        <w:t>otein inactivation. In chapter 3</w:t>
      </w:r>
      <w:r w:rsidR="007231C6">
        <w:rPr>
          <w:rFonts w:ascii="Times New Roman" w:hAnsi="Times New Roman" w:cs="Times New Roman"/>
        </w:rPr>
        <w:t>, prolonged loss of IGF1R resulted in a significant increase in pAkt levels</w:t>
      </w:r>
      <w:r w:rsidR="00D003F1">
        <w:rPr>
          <w:rFonts w:ascii="Times New Roman" w:hAnsi="Times New Roman" w:cs="Times New Roman"/>
        </w:rPr>
        <w:t xml:space="preserve"> in ScienCell (2) astrocytes</w:t>
      </w:r>
      <w:r w:rsidR="007231C6">
        <w:rPr>
          <w:rFonts w:ascii="Times New Roman" w:hAnsi="Times New Roman" w:cs="Times New Roman"/>
        </w:rPr>
        <w:t xml:space="preserve">. </w:t>
      </w:r>
      <w:r w:rsidR="0063333F">
        <w:rPr>
          <w:rFonts w:ascii="Times New Roman" w:hAnsi="Times New Roman" w:cs="Times New Roman"/>
        </w:rPr>
        <w:t>This may indicate increased</w:t>
      </w:r>
      <w:r w:rsidR="00EB0C4E">
        <w:rPr>
          <w:rFonts w:ascii="Times New Roman" w:hAnsi="Times New Roman" w:cs="Times New Roman"/>
        </w:rPr>
        <w:t xml:space="preserve"> ROS generation from a nutrient-</w:t>
      </w:r>
      <w:r w:rsidR="002C0EA0">
        <w:rPr>
          <w:rFonts w:ascii="Times New Roman" w:hAnsi="Times New Roman" w:cs="Times New Roman"/>
        </w:rPr>
        <w:t xml:space="preserve">overloaded complex I </w:t>
      </w:r>
      <w:r w:rsidR="0063333F">
        <w:rPr>
          <w:rFonts w:ascii="Times New Roman" w:hAnsi="Times New Roman" w:cs="Times New Roman"/>
        </w:rPr>
        <w:t>and inactivation of PTEN/PTP1B that</w:t>
      </w:r>
      <w:r w:rsidR="001F1D25">
        <w:rPr>
          <w:rFonts w:ascii="Times New Roman" w:hAnsi="Times New Roman" w:cs="Times New Roman"/>
        </w:rPr>
        <w:t xml:space="preserve"> has le</w:t>
      </w:r>
      <w:r w:rsidR="0063333F">
        <w:rPr>
          <w:rFonts w:ascii="Times New Roman" w:hAnsi="Times New Roman" w:cs="Times New Roman"/>
        </w:rPr>
        <w:t>d to increased signalling through pAkt</w:t>
      </w:r>
      <w:r w:rsidR="00EB0C4E">
        <w:rPr>
          <w:rFonts w:ascii="Times New Roman" w:hAnsi="Times New Roman" w:cs="Times New Roman"/>
        </w:rPr>
        <w:t xml:space="preserve">. In fibroblasts, the balance of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 xml:space="preserve">2 </w:t>
      </w:r>
      <w:r w:rsidR="00EB0C4E">
        <w:rPr>
          <w:rFonts w:ascii="Times New Roman" w:hAnsi="Times New Roman" w:cs="Times New Roman"/>
        </w:rPr>
        <w:t>and superoxide anions determines activity of protein phosphatases, as they were shown to inactivate and activate them respectively</w:t>
      </w:r>
      <w:r w:rsidR="00DA6195">
        <w:rPr>
          <w:rFonts w:ascii="Times New Roman" w:hAnsi="Times New Roman" w:cs="Times New Roman"/>
          <w:color w:val="FF0000"/>
        </w:rPr>
        <w:t xml:space="preserve"> </w:t>
      </w:r>
      <w:r w:rsidR="00DA6195">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"10.15252/emmm.201404082", "ISSN" : "1757-4684", "PMID" : "25520316", "abstract" : "The evolutionarily conserved IGF-1 signalling pathway is associated with longevity, metabolism, tissue homeostasis, and cancer progression. Its regulation relies on the delicate balance between activating kinases and suppressing phosphatases and is still not very well understood. We report here that IGF-1 signalling in vitro and in a murine ageing model in vivo is suppressed in response to accumulation of superoxide anions (O2\u2219-) in mitochondria, either by chemical inhibition of complex I or by genetic silencing of O2\u2219--dismutating mitochondrial Sod2. The O2\u2219--dependent suppression of IGF-1 signalling resulted in decreased proliferation of murine dermal fibroblasts, affected translation initiation factors and suppressed the expression of \u03b11(I), \u03b11(III), and \u03b12(I) collagen, the hallmarks of skin ageing. Enhanced O2\u2219- led to activation of the phosphatases PTP1B and PTEN, which via dephosphorylation of the IGF-1 receptor and phosphatidylinositol 3,4,5-triphosphate dampened IGF-1 signalling. Genetic and pharmacologic inhibition of PTP1B and PTEN abrogated O2\u2219--induced IGF-1 resistance and rescued the ageing skin phenotype. We thus identify previously unreported signature events with O2\u2219-, PTP1B, and PTEN as promising targets for drug development to prevent IGF-1 resistance-related pathologies.", "author" : [ { "dropping-particle" : "", "family" : "Singh", "given" : "Karmveer", "non-dropping-particle" : "", "parse-names" : false, "suffix" : "" }, { "dropping-particle" : "", "family" : "Maity", "given" : "Pallab", "non-dropping-particle" : "", "parse-names" : false, "suffix" : "" }, { "dropping-particle" : "", "family" : "Krug", "given" : "Linda", "non-dropping-particle" : "", "parse-names" : false, "suffix" : "" }, { "dropping-particle" : "", "family" : "Meyer", "given" : "Patrick", "non-dropping-particle" : "", "parse-names" : false, "suffix" : "" }, { "dropping-particle" : "", "family" : "Treiber", "given" : "Nicolai", "non-dropping-particle" : "", "parse-names" : false, "suffix" : "" }, { "dropping-particle" : "", "family" : "Lucas", "given" : "Tanja", "non-dropping-particle" : "", "parse-names" : false, "suffix" : "" }, { "dropping-particle" : "", "family" : "Basu", "given" : "Abhijit", "non-dropping-particle" : "", "parse-names" : false, "suffix" : "" }, { "dropping-particle" : "", "family" : "Kochanek", "given" : "Stefan", "non-dropping-particle" : "", "parse-names" : false, "suffix" : "" }, { "dropping-particle" : "", "family" : "Wlaschek", "given" : "Meinhard", "non-dropping-particle" : "", "parse-names" : false, "suffix" : "" }, { "dropping-particle" : "", "family" : "Geiger", "given" : "Hartmut", "non-dropping-particle" : "", "parse-names" : false, "suffix" : "" }, { "dropping-particle" : "", "family" : "Scharffetter-Kochanek", "given" : "Karin", "non-dropping-particle" : "", "parse-names" : false, "suffix" : "" } ], "container-title" : "EMBO molecular medicine", "id" : "ITEM-1", "issue" : "1", "issued" : { "date-parts" : [ [ "2015", "1" ] ] }, "page" : "59-77", "title" : "Superoxide anion radicals induce IGF-1 resistance through concomitant activation of PTP1B and PTEN.", "type" : "article-journal", "volume" : "7" }, "uris" : [ "http://www.mendeley.com/documents/?uuid=191c7192-f27c-3f64-a563-f26799db7d29" ] } ], "mendeley" : { "formattedCitation" : "(Singh et al. 2015)", "plainTextFormattedCitation" : "(Singh et al. 2015)", "previouslyFormattedCitation" : "(Singh et al. 2015)" }, "properties" : { "noteIndex" : 0 }, "schema" : "https://github.com/citation-style-language/schema/raw/master/csl-citation.json" }</w:instrText>
      </w:r>
      <w:r w:rsidR="00DA6195">
        <w:rPr>
          <w:rFonts w:ascii="Times New Roman" w:hAnsi="Times New Roman" w:cs="Times New Roman"/>
        </w:rPr>
        <w:fldChar w:fldCharType="separate"/>
      </w:r>
      <w:r w:rsidR="00C148FC" w:rsidRPr="00C148FC">
        <w:rPr>
          <w:rFonts w:ascii="Times New Roman" w:hAnsi="Times New Roman" w:cs="Times New Roman"/>
          <w:noProof/>
        </w:rPr>
        <w:t>(Singh et al. 2015)</w:t>
      </w:r>
      <w:r w:rsidR="00DA6195">
        <w:rPr>
          <w:rFonts w:ascii="Times New Roman" w:hAnsi="Times New Roman" w:cs="Times New Roman"/>
        </w:rPr>
        <w:fldChar w:fldCharType="end"/>
      </w:r>
      <w:r w:rsidR="0063333F">
        <w:rPr>
          <w:rFonts w:ascii="Times New Roman" w:hAnsi="Times New Roman" w:cs="Times New Roman"/>
        </w:rPr>
        <w:t xml:space="preserve">. Therefore </w:t>
      </w:r>
      <w:r w:rsidR="004311C4">
        <w:rPr>
          <w:rFonts w:ascii="Times New Roman" w:hAnsi="Times New Roman" w:cs="Times New Roman"/>
        </w:rPr>
        <w:t xml:space="preserve">assessment of membrane localization and phosphatase activities </w:t>
      </w:r>
      <w:r w:rsidR="0063333F">
        <w:rPr>
          <w:rFonts w:ascii="Times New Roman" w:hAnsi="Times New Roman" w:cs="Times New Roman"/>
        </w:rPr>
        <w:t xml:space="preserve">of both PTEN/PTP1B </w:t>
      </w:r>
      <w:r w:rsidR="004311C4">
        <w:rPr>
          <w:rFonts w:ascii="Times New Roman" w:hAnsi="Times New Roman" w:cs="Times New Roman"/>
        </w:rPr>
        <w:t xml:space="preserve">could be </w:t>
      </w:r>
      <w:r w:rsidR="00E12771">
        <w:rPr>
          <w:rFonts w:ascii="Times New Roman" w:hAnsi="Times New Roman" w:cs="Times New Roman"/>
        </w:rPr>
        <w:t>performed</w:t>
      </w:r>
      <w:r w:rsidR="0063333F">
        <w:rPr>
          <w:rFonts w:ascii="Times New Roman" w:hAnsi="Times New Roman" w:cs="Times New Roman"/>
        </w:rPr>
        <w:t>. To further demonstrate ROS production, protein and lipid oxidation levels could be assessed</w:t>
      </w:r>
      <w:r w:rsidR="00E7195D">
        <w:rPr>
          <w:rFonts w:ascii="Times New Roman" w:hAnsi="Times New Roman" w:cs="Times New Roman"/>
        </w:rPr>
        <w:t>,</w:t>
      </w:r>
      <w:r w:rsidR="00DA6195">
        <w:rPr>
          <w:rFonts w:ascii="Times New Roman" w:hAnsi="Times New Roman" w:cs="Times New Roman"/>
        </w:rPr>
        <w:t xml:space="preserve"> </w:t>
      </w:r>
      <w:r w:rsidR="000B7D37">
        <w:rPr>
          <w:rFonts w:ascii="Times New Roman" w:hAnsi="Times New Roman" w:cs="Times New Roman"/>
        </w:rPr>
        <w:t>a</w:t>
      </w:r>
      <w:r w:rsidR="00D003F1">
        <w:rPr>
          <w:rFonts w:ascii="Times New Roman" w:hAnsi="Times New Roman" w:cs="Times New Roman"/>
        </w:rPr>
        <w:t>s well as assessments of GSH:GSSG</w:t>
      </w:r>
      <w:r w:rsidR="000B7D37">
        <w:rPr>
          <w:rFonts w:ascii="Times New Roman" w:hAnsi="Times New Roman" w:cs="Times New Roman"/>
        </w:rPr>
        <w:t xml:space="preserve"> ratios. L</w:t>
      </w:r>
      <w:r w:rsidR="00DA6195">
        <w:rPr>
          <w:rFonts w:ascii="Times New Roman" w:hAnsi="Times New Roman" w:cs="Times New Roman"/>
        </w:rPr>
        <w:t xml:space="preserve">ipid peroxidation </w:t>
      </w:r>
      <w:r w:rsidR="00426B6B">
        <w:rPr>
          <w:rFonts w:ascii="Times New Roman" w:hAnsi="Times New Roman" w:cs="Times New Roman"/>
        </w:rPr>
        <w:t>may</w:t>
      </w:r>
      <w:r w:rsidR="002C0EA0">
        <w:rPr>
          <w:rFonts w:ascii="Times New Roman" w:hAnsi="Times New Roman" w:cs="Times New Roman"/>
        </w:rPr>
        <w:t xml:space="preserve"> destabi</w:t>
      </w:r>
      <w:r w:rsidR="00DA6195">
        <w:rPr>
          <w:rFonts w:ascii="Times New Roman" w:hAnsi="Times New Roman" w:cs="Times New Roman"/>
        </w:rPr>
        <w:t>lise the inner mitochondrial membrane and lead to increased leakage of electrons and protons</w:t>
      </w:r>
      <w:r w:rsidR="000B7D37">
        <w:rPr>
          <w:rFonts w:ascii="Times New Roman" w:hAnsi="Times New Roman" w:cs="Times New Roman"/>
        </w:rPr>
        <w:t>, thus contributing to defective oxidative phosphorylation</w:t>
      </w:r>
      <w:r w:rsidR="00E7195D">
        <w:rPr>
          <w:rFonts w:ascii="Times New Roman" w:hAnsi="Times New Roman" w:cs="Times New Roman"/>
        </w:rPr>
        <w:t>. It is</w:t>
      </w:r>
      <w:r w:rsidR="000B7D37">
        <w:rPr>
          <w:rFonts w:ascii="Times New Roman" w:hAnsi="Times New Roman" w:cs="Times New Roman"/>
        </w:rPr>
        <w:t xml:space="preserve"> also</w:t>
      </w:r>
      <w:r w:rsidR="00E7195D">
        <w:rPr>
          <w:rFonts w:ascii="Times New Roman" w:hAnsi="Times New Roman" w:cs="Times New Roman"/>
        </w:rPr>
        <w:t xml:space="preserve"> predicted that the levels of reduced GSH would be lower</w:t>
      </w:r>
      <w:r w:rsidR="0044376B">
        <w:rPr>
          <w:rFonts w:ascii="Times New Roman" w:hAnsi="Times New Roman" w:cs="Times New Roman"/>
        </w:rPr>
        <w:t xml:space="preserve"> in astrocytes</w:t>
      </w:r>
      <w:r w:rsidR="00E7195D">
        <w:rPr>
          <w:rFonts w:ascii="Times New Roman" w:hAnsi="Times New Roman" w:cs="Times New Roman"/>
        </w:rPr>
        <w:t xml:space="preserve"> due to </w:t>
      </w:r>
      <w:r w:rsidR="00A51CA2">
        <w:rPr>
          <w:rFonts w:ascii="Times New Roman" w:hAnsi="Times New Roman" w:cs="Times New Roman"/>
        </w:rPr>
        <w:t>downregulation</w:t>
      </w:r>
      <w:r w:rsidR="00E7195D">
        <w:rPr>
          <w:rFonts w:ascii="Times New Roman" w:hAnsi="Times New Roman" w:cs="Times New Roman"/>
        </w:rPr>
        <w:t xml:space="preserve"> of PRDX3</w:t>
      </w:r>
      <w:r w:rsidR="00A51CA2">
        <w:rPr>
          <w:rFonts w:ascii="Times New Roman" w:hAnsi="Times New Roman" w:cs="Times New Roman"/>
        </w:rPr>
        <w:t xml:space="preserve"> transcript levels</w:t>
      </w:r>
      <w:r w:rsidR="00E7195D">
        <w:rPr>
          <w:rFonts w:ascii="Times New Roman" w:hAnsi="Times New Roman" w:cs="Times New Roman"/>
        </w:rPr>
        <w:t xml:space="preserve"> and an increase in GSTA3, as demonstrated in the array. </w:t>
      </w:r>
      <w:r w:rsidR="0044376B">
        <w:rPr>
          <w:rFonts w:ascii="Times New Roman" w:hAnsi="Times New Roman" w:cs="Times New Roman"/>
        </w:rPr>
        <w:t>Initial experiments investigating the GS</w:t>
      </w:r>
      <w:r w:rsidR="00B80D03">
        <w:rPr>
          <w:rFonts w:ascii="Times New Roman" w:hAnsi="Times New Roman" w:cs="Times New Roman"/>
        </w:rPr>
        <w:t>H:GSSG were performed on MAB391-</w:t>
      </w:r>
      <w:r w:rsidR="0044376B">
        <w:rPr>
          <w:rFonts w:ascii="Times New Roman" w:hAnsi="Times New Roman" w:cs="Times New Roman"/>
        </w:rPr>
        <w:t>treated astrocytes in contact with neurons compared with untreated astrocytes in co-culture. No obvious differences were measure</w:t>
      </w:r>
      <w:r w:rsidR="00C537E4">
        <w:rPr>
          <w:rFonts w:ascii="Times New Roman" w:hAnsi="Times New Roman" w:cs="Times New Roman"/>
        </w:rPr>
        <w:t>d but</w:t>
      </w:r>
      <w:r w:rsidR="0044376B">
        <w:rPr>
          <w:rFonts w:ascii="Times New Roman" w:hAnsi="Times New Roman" w:cs="Times New Roman"/>
        </w:rPr>
        <w:t xml:space="preserve"> </w:t>
      </w:r>
      <w:r w:rsidR="001C6FE8">
        <w:rPr>
          <w:rFonts w:ascii="Times New Roman" w:hAnsi="Times New Roman" w:cs="Times New Roman"/>
        </w:rPr>
        <w:t>this</w:t>
      </w:r>
      <w:r w:rsidR="00C537E4">
        <w:rPr>
          <w:rFonts w:ascii="Times New Roman" w:hAnsi="Times New Roman" w:cs="Times New Roman"/>
        </w:rPr>
        <w:t xml:space="preserve"> assay</w:t>
      </w:r>
      <w:r w:rsidR="0044376B">
        <w:rPr>
          <w:rFonts w:ascii="Times New Roman" w:hAnsi="Times New Roman" w:cs="Times New Roman"/>
        </w:rPr>
        <w:t xml:space="preserve"> was performed on co-cultures</w:t>
      </w:r>
      <w:r w:rsidR="00C537E4">
        <w:rPr>
          <w:rFonts w:ascii="Times New Roman" w:hAnsi="Times New Roman" w:cs="Times New Roman"/>
        </w:rPr>
        <w:t xml:space="preserve"> and it is not known whether there was compensation in the co-culture system or what the changes were in the neurons.</w:t>
      </w:r>
      <w:r w:rsidR="0044376B">
        <w:rPr>
          <w:rFonts w:ascii="Times New Roman" w:hAnsi="Times New Roman" w:cs="Times New Roman"/>
        </w:rPr>
        <w:t xml:space="preserve"> </w:t>
      </w:r>
      <w:r w:rsidR="00E6496F">
        <w:rPr>
          <w:rFonts w:ascii="Times New Roman" w:hAnsi="Times New Roman" w:cs="Times New Roman"/>
        </w:rPr>
        <w:t>This experiment was conducted on co-cultures due to the limited protein yield from astrocyt</w:t>
      </w:r>
      <w:r w:rsidR="00B8782A">
        <w:rPr>
          <w:rFonts w:ascii="Times New Roman" w:hAnsi="Times New Roman" w:cs="Times New Roman"/>
        </w:rPr>
        <w:t xml:space="preserve">es </w:t>
      </w:r>
      <w:r w:rsidR="00C537E4">
        <w:rPr>
          <w:rFonts w:ascii="Times New Roman" w:hAnsi="Times New Roman" w:cs="Times New Roman"/>
        </w:rPr>
        <w:t xml:space="preserve">after </w:t>
      </w:r>
      <w:r w:rsidR="00B8782A">
        <w:rPr>
          <w:rFonts w:ascii="Times New Roman" w:hAnsi="Times New Roman" w:cs="Times New Roman"/>
        </w:rPr>
        <w:t>FACS</w:t>
      </w:r>
      <w:r w:rsidR="00C537E4">
        <w:rPr>
          <w:rFonts w:ascii="Times New Roman" w:hAnsi="Times New Roman" w:cs="Times New Roman"/>
        </w:rPr>
        <w:t xml:space="preserve"> separation of co-cultures</w:t>
      </w:r>
      <w:r w:rsidR="00E6496F">
        <w:rPr>
          <w:rFonts w:ascii="Times New Roman" w:hAnsi="Times New Roman" w:cs="Times New Roman"/>
        </w:rPr>
        <w:t>.</w:t>
      </w:r>
    </w:p>
    <w:p w14:paraId="0B3DF336" w14:textId="77777777" w:rsidR="00F82C40" w:rsidRDefault="00F82C40" w:rsidP="00FD1079">
      <w:pPr>
        <w:spacing w:line="360" w:lineRule="auto"/>
        <w:rPr>
          <w:rFonts w:ascii="Times New Roman" w:hAnsi="Times New Roman" w:cs="Times New Roman"/>
        </w:rPr>
      </w:pPr>
    </w:p>
    <w:p w14:paraId="207095D4" w14:textId="2EACF502" w:rsidR="001F4D94" w:rsidRDefault="0074247E" w:rsidP="0052651A">
      <w:pPr>
        <w:spacing w:line="360" w:lineRule="auto"/>
        <w:jc w:val="both"/>
        <w:rPr>
          <w:rFonts w:ascii="Times New Roman" w:hAnsi="Times New Roman" w:cs="Times New Roman"/>
        </w:rPr>
      </w:pPr>
      <w:r>
        <w:rPr>
          <w:rFonts w:ascii="Times New Roman" w:hAnsi="Times New Roman" w:cs="Times New Roman"/>
        </w:rPr>
        <w:t xml:space="preserve">Complex I oxidises NADH and begins to establish a proton motive force across the inner mitochondrial membrane. The genes identified in the microarray suggest instability and improper formation of complex I and therefore </w:t>
      </w:r>
      <w:r w:rsidR="002927E7">
        <w:rPr>
          <w:rFonts w:ascii="Times New Roman" w:hAnsi="Times New Roman" w:cs="Times New Roman"/>
        </w:rPr>
        <w:t>indicate</w:t>
      </w:r>
      <w:r>
        <w:rPr>
          <w:rFonts w:ascii="Times New Roman" w:hAnsi="Times New Roman" w:cs="Times New Roman"/>
        </w:rPr>
        <w:t xml:space="preserve"> an inability to generate the in</w:t>
      </w:r>
      <w:r w:rsidR="002C0EA0">
        <w:rPr>
          <w:rFonts w:ascii="Times New Roman" w:hAnsi="Times New Roman" w:cs="Times New Roman"/>
        </w:rPr>
        <w:t>i</w:t>
      </w:r>
      <w:r>
        <w:rPr>
          <w:rFonts w:ascii="Times New Roman" w:hAnsi="Times New Roman" w:cs="Times New Roman"/>
        </w:rPr>
        <w:t xml:space="preserve">tial proton motive force in </w:t>
      </w:r>
      <w:r w:rsidR="002927E7">
        <w:rPr>
          <w:rFonts w:ascii="Times New Roman" w:hAnsi="Times New Roman" w:cs="Times New Roman"/>
        </w:rPr>
        <w:t>the electron transport chain</w:t>
      </w:r>
      <w:r>
        <w:rPr>
          <w:rFonts w:ascii="Times New Roman" w:hAnsi="Times New Roman" w:cs="Times New Roman"/>
        </w:rPr>
        <w:t xml:space="preserve">. This could affect </w:t>
      </w:r>
      <w:r w:rsidR="007C56D7">
        <w:rPr>
          <w:rFonts w:ascii="Times New Roman" w:hAnsi="Times New Roman" w:cs="Times New Roman"/>
        </w:rPr>
        <w:t>the overall ATP production</w:t>
      </w:r>
      <w:r>
        <w:rPr>
          <w:rFonts w:ascii="Times New Roman" w:hAnsi="Times New Roman" w:cs="Times New Roman"/>
        </w:rPr>
        <w:t>, which would provide less energy for events such as glutamate transport into the astrocyte</w:t>
      </w:r>
      <w:r w:rsidR="007C56D7">
        <w:rPr>
          <w:rFonts w:ascii="Times New Roman" w:hAnsi="Times New Roman" w:cs="Times New Roman"/>
        </w:rPr>
        <w:t>, as well as subsequent recycling to glutamine</w:t>
      </w:r>
      <w:r w:rsidR="00DA6195" w:rsidRPr="00DA6195">
        <w:rPr>
          <w:rFonts w:ascii="Times New Roman" w:hAnsi="Times New Roman" w:cs="Times New Roman"/>
          <w:color w:val="FF0000"/>
        </w:rPr>
        <w:t xml:space="preserve"> </w:t>
      </w:r>
      <w:r w:rsidR="003B6439" w:rsidRPr="003B643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"10.1111/j.1471-4159.2007.4634.x", "ISSN" : "0022-3042", "PMID" : "17488276", "abstract" : "Much evidence suggests that astrocytes protect neurons against ischemic injury. Although astrocytes are more resistant to some insults than neurons, few studies offer insight into the real time changes of astrocytic protective functions with stress. Mitochondria are one of the primary targets of ischemic injury in astrocytes. We investigated the time course of changes in astrocytic ATP levels, plasma membrane potential, and glutamate uptake, a key protective function, induced by mitochondrial inhibition. Our results show that significant functional change precedes reduction in astrocytic viability with mitochondrial inhibition. Using the mitochondrial inhibitor fluorocitrate (FC, 0.25 mmol/L) that is preferentially taken by astrocytes we found that inhibition of astrocyte mitochondria increased vulnerability of co-cultured neurons to glutamate toxicity. In our studies, the rates of FC-induced astrocytic mitochondrial depolarization were accelerated in mixed astrocyte/neuron cultures. We hypothesized that the more rapid mitochondrial depolarization was promoted by an additional energetic demand imposed be the co-cultured neurons. To test this hypothesis, we exposed pure astrocytic cultures to 0.01-1 mmol/L aspartate as a metabolic load. Aspartate application accelerated the rates of FC-induced mitochondrial depolarization, and, at 1 mmol/L, induced astrocytic death, suggesting that strong energetic demands during ischemia can compromise astrocytic function and viability.", "author" : [ { "dropping-particle" : "", "family" : "Voloboueva", "given" : "Ludmila A", "non-dropping-particle" : "", "parse-names" : false, "suffix" : "" }, { "dropping-particle" : "", "family" : "Suh", "given" : "Sang Won", "non-dropping-particle" : "", "parse-names" : false, "suffix" : "" }, { "dropping-particle" : "", "family" : "Swanson", "given" : "Raymond A", "non-dropping-particle" : "", "parse-names" : false, "suffix" : "" }, { "dropping-particle" : "", "family" : "Giffard", "given" : "Rona G", "non-dropping-particle" : "", "parse-names" : false, "suffix" : "" } ], "container-title" : "Journal of neurochemistry", "id" : "ITEM-1", "issue" : "4", "issued" : { "date-parts" : [ [ "2007", "8" ] ] }, "page" : "1383-94", "publisher" : "NIH Public Access", "title" : "Inhibition of mitochondrial function in astrocytes: implications for neuroprotection.", "type" : "article-journal", "volume" : "102" }, "uris" : [ "http://www.mendeley.com/documents/?uuid=6ca089b8-0f5c-395b-ac4e-a194ca99d929" ] } ], "mendeley" : { "formattedCitation" : "(Voloboueva et al. 2007)", "plainTextFormattedCitation" : "(Voloboueva et al. 2007)", "previouslyFormattedCitation" : "(Voloboueva et al. 2007)" }, "properties" : { "noteIndex" : 0 }, "schema" : "https://github.com/citation-style-language/schema/raw/master/csl-citation.json" }</w:instrText>
      </w:r>
      <w:r w:rsidR="003B6439" w:rsidRPr="003B6439">
        <w:rPr>
          <w:rFonts w:ascii="Times New Roman" w:hAnsi="Times New Roman" w:cs="Times New Roman"/>
        </w:rPr>
        <w:fldChar w:fldCharType="separate"/>
      </w:r>
      <w:r w:rsidR="00C148FC" w:rsidRPr="00C148FC">
        <w:rPr>
          <w:rFonts w:ascii="Times New Roman" w:hAnsi="Times New Roman" w:cs="Times New Roman"/>
          <w:noProof/>
        </w:rPr>
        <w:t>(Voloboueva et al. 2007)</w:t>
      </w:r>
      <w:r w:rsidR="003B6439" w:rsidRPr="003B6439">
        <w:rPr>
          <w:rFonts w:ascii="Times New Roman" w:hAnsi="Times New Roman" w:cs="Times New Roman"/>
        </w:rPr>
        <w:fldChar w:fldCharType="end"/>
      </w:r>
      <w:r w:rsidR="002927E7">
        <w:rPr>
          <w:rFonts w:ascii="Times New Roman" w:hAnsi="Times New Roman" w:cs="Times New Roman"/>
        </w:rPr>
        <w:t>.</w:t>
      </w:r>
      <w:r w:rsidR="00572139">
        <w:rPr>
          <w:rFonts w:ascii="Times New Roman" w:hAnsi="Times New Roman" w:cs="Times New Roman"/>
        </w:rPr>
        <w:t xml:space="preserve"> Astrocytes are able to take up glucose and metabolise it </w:t>
      </w:r>
      <w:r w:rsidR="009334A5">
        <w:rPr>
          <w:rFonts w:ascii="Times New Roman" w:hAnsi="Times New Roman" w:cs="Times New Roman"/>
        </w:rPr>
        <w:t xml:space="preserve">more quickly </w:t>
      </w:r>
      <w:r w:rsidR="00572139">
        <w:rPr>
          <w:rFonts w:ascii="Times New Roman" w:hAnsi="Times New Roman" w:cs="Times New Roman"/>
        </w:rPr>
        <w:t>than neurons</w:t>
      </w:r>
      <w:r w:rsidR="0043317E">
        <w:rPr>
          <w:rFonts w:ascii="Times New Roman" w:hAnsi="Times New Roman" w:cs="Times New Roman"/>
        </w:rPr>
        <w:t xml:space="preserve"> </w:t>
      </w:r>
      <w:r w:rsidR="000B5449">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"10.1093/cercor/bhs309", "ISSN" : "1460-2199", "PMID" : "23042735", "abstract" : "Glucose is the most important energy substrate for the brain, and its cellular distribution is a subject of great current interest. We have employed fluorescent glucose probes, the 2-deoxy-D-glucose derivates 6- and 2-([N-(7-nitrobenz-2-oxa-1,3-diazol-4-yl) amino]-2-deoxy-D-glucose) (2-NBDG), to measure transport and metabolism of glucose in acute slices of mouse hippocampus and cerebellum. In the hippocampus, 6-NBDG, which is not metabolized and hence indicates glucose transport, was taken up faster in astrocyte-rich layers (Stratum radiatum [S.r.], Stratum oriens [S.o.]) than in pyramidal cells. Metabolizable 2-NBDG showed larger signals in S.r. and S.o. than in Stratum pyramidale, suggesting faster glucose utilization rate in the astrocyte versus the neuronal compartment. Similarly, we found higher uptake and temperature-sensitive metabolism of 2-NBDG in Bergmann glia when compared with adjacent Purkinje neurons of cerebellar slices. A comparison between 6-NBDG transport and glucose transport in cultured cells using a fluorescence resonance energy transfer nanosensor showed that relative to glucose, 6-NBDG is transported better by neurons than by astrocytes. These results indicate that the preferential transport and metabolism of glucose by glial cells versus neurons proposed for the hippocampus and cerebellum by ourselves (in vitro) and for the barrel cortex by Chuquet et al. (in vivo) is more pronounced than anticipated.", "author" : [ { "dropping-particle" : "", "family" : "Jakoby", "given" : "Patrick", "non-dropping-particle" : "", "parse-names" : false, "suffix" : "" }, { "dropping-particle" : "", "family" : "Schmidt", "given" : "Elke", "non-dropping-particle" : "", "parse-names" : false, "suffix" : "" }, { "dropping-particle" : "", "family" : "Ruminot", "given" : "Iv\u00e1n", "non-dropping-particle" : "", "parse-names" : false, "suffix" : "" }, { "dropping-particle" : "", "family" : "Guti\u00e9rrez", "given" : "Robin", "non-dropping-particle" : "", "parse-names" : false, "suffix" : "" }, { "dropping-particle" : "", "family" : "Barros", "given" : "L Felipe", "non-dropping-particle" : "", "parse-names" : false, "suffix" : "" }, { "dropping-particle" : "", "family" : "Deitmer", "given" : "Joachim W", "non-dropping-particle" : "", "parse-names" : false, "suffix" : "" } ], "container-title" : "Cerebral cortex (New York, N.Y. : 1991)", "id" : "ITEM-1", "issue" : "1", "issued" : { "date-parts" : [ [ "2014", "1" ] ] }, "page" : "222-31", "publisher" : "Oxford University Press", "title" : "Higher transport and metabolism of glucose in astrocytes compared with neurons: a multiphoton study of hippocampal and cerebellar tissue slices.", "type" : "article-journal", "volume" : "24" }, "uris" : [ "http://www.mendeley.com/documents/?uuid=5a50c664-39a9-3ed1-b0f8-e15faab54c7b" ] } ], "mendeley" : { "formattedCitation" : "(Jakoby et al. 2014)", "plainTextFormattedCitation" : "(Jakoby et al. 2014)", "previouslyFormattedCitation" : "(Jakoby et al. 2014)" }, "properties" : { "noteIndex" : 0 }, "schema" : "https://github.com/citation-style-language/schema/raw/master/csl-citation.json" }</w:instrText>
      </w:r>
      <w:r w:rsidR="000B5449">
        <w:rPr>
          <w:rFonts w:ascii="Times New Roman" w:hAnsi="Times New Roman" w:cs="Times New Roman"/>
        </w:rPr>
        <w:fldChar w:fldCharType="separate"/>
      </w:r>
      <w:r w:rsidR="00C148FC" w:rsidRPr="00C148FC">
        <w:rPr>
          <w:rFonts w:ascii="Times New Roman" w:hAnsi="Times New Roman" w:cs="Times New Roman"/>
          <w:noProof/>
        </w:rPr>
        <w:t>(Jakoby et al. 2014)</w:t>
      </w:r>
      <w:r w:rsidR="000B5449">
        <w:rPr>
          <w:rFonts w:ascii="Times New Roman" w:hAnsi="Times New Roman" w:cs="Times New Roman"/>
        </w:rPr>
        <w:fldChar w:fldCharType="end"/>
      </w:r>
      <w:r w:rsidR="00572139">
        <w:rPr>
          <w:rFonts w:ascii="Times New Roman" w:hAnsi="Times New Roman" w:cs="Times New Roman"/>
        </w:rPr>
        <w:t>, which may be based on astrocytic GLUT1 having a better kinetic profile than the neuronal GLUT3.</w:t>
      </w:r>
      <w:r w:rsidR="000B5449">
        <w:rPr>
          <w:rFonts w:ascii="Times New Roman" w:hAnsi="Times New Roman" w:cs="Times New Roman"/>
        </w:rPr>
        <w:t xml:space="preserve"> This means that </w:t>
      </w:r>
      <w:r w:rsidR="009334A5">
        <w:rPr>
          <w:rFonts w:ascii="Times New Roman" w:hAnsi="Times New Roman" w:cs="Times New Roman"/>
        </w:rPr>
        <w:t>neurons</w:t>
      </w:r>
      <w:r w:rsidR="000B5449">
        <w:rPr>
          <w:rFonts w:ascii="Times New Roman" w:hAnsi="Times New Roman" w:cs="Times New Roman"/>
        </w:rPr>
        <w:t xml:space="preserve"> are reliant on energy produced by astrocytes.</w:t>
      </w:r>
      <w:r w:rsidR="00695315">
        <w:rPr>
          <w:rFonts w:ascii="Times New Roman" w:hAnsi="Times New Roman" w:cs="Times New Roman"/>
          <w:color w:val="FF0000"/>
        </w:rPr>
        <w:t xml:space="preserve"> </w:t>
      </w:r>
      <w:r w:rsidR="000B5449">
        <w:rPr>
          <w:rFonts w:ascii="Times New Roman" w:hAnsi="Times New Roman" w:cs="Times New Roman"/>
        </w:rPr>
        <w:t>I</w:t>
      </w:r>
      <w:r w:rsidR="00695315">
        <w:rPr>
          <w:rFonts w:ascii="Times New Roman" w:hAnsi="Times New Roman" w:cs="Times New Roman"/>
        </w:rPr>
        <w:t xml:space="preserve">f </w:t>
      </w:r>
      <w:r w:rsidR="000B5449">
        <w:rPr>
          <w:rFonts w:ascii="Times New Roman" w:hAnsi="Times New Roman" w:cs="Times New Roman"/>
        </w:rPr>
        <w:t xml:space="preserve">there are energetic defects </w:t>
      </w:r>
      <w:r w:rsidR="00695315">
        <w:rPr>
          <w:rFonts w:ascii="Times New Roman" w:hAnsi="Times New Roman" w:cs="Times New Roman"/>
        </w:rPr>
        <w:t>in the astrocytes then this could result in a decreased supply of energy</w:t>
      </w:r>
      <w:r w:rsidR="002927E7">
        <w:rPr>
          <w:rFonts w:ascii="Times New Roman" w:hAnsi="Times New Roman" w:cs="Times New Roman"/>
        </w:rPr>
        <w:t xml:space="preserve"> substrates</w:t>
      </w:r>
      <w:r w:rsidR="00695315">
        <w:rPr>
          <w:rFonts w:ascii="Times New Roman" w:hAnsi="Times New Roman" w:cs="Times New Roman"/>
        </w:rPr>
        <w:t xml:space="preserve"> to sustain </w:t>
      </w:r>
      <w:r w:rsidR="002927E7">
        <w:rPr>
          <w:rFonts w:ascii="Times New Roman" w:hAnsi="Times New Roman" w:cs="Times New Roman"/>
        </w:rPr>
        <w:t>neuronal function. In addition, the majority of glucose</w:t>
      </w:r>
      <w:r w:rsidR="00A51CA2">
        <w:rPr>
          <w:rFonts w:ascii="Times New Roman" w:hAnsi="Times New Roman" w:cs="Times New Roman"/>
        </w:rPr>
        <w:t xml:space="preserve"> that is able to</w:t>
      </w:r>
      <w:r w:rsidR="0043317E">
        <w:rPr>
          <w:rFonts w:ascii="Times New Roman" w:hAnsi="Times New Roman" w:cs="Times New Roman"/>
        </w:rPr>
        <w:t xml:space="preserve"> enter neurons</w:t>
      </w:r>
      <w:r w:rsidR="002927E7">
        <w:rPr>
          <w:rFonts w:ascii="Times New Roman" w:hAnsi="Times New Roman" w:cs="Times New Roman"/>
        </w:rPr>
        <w:t xml:space="preserve"> is shuttled into </w:t>
      </w:r>
      <w:r w:rsidR="00695315">
        <w:rPr>
          <w:rFonts w:ascii="Times New Roman" w:hAnsi="Times New Roman" w:cs="Times New Roman"/>
        </w:rPr>
        <w:t xml:space="preserve">the pentose phosphate pathway </w:t>
      </w:r>
      <w:r w:rsidR="002927E7">
        <w:rPr>
          <w:rFonts w:ascii="Times New Roman" w:hAnsi="Times New Roman" w:cs="Times New Roman"/>
        </w:rPr>
        <w:t>as opposed to glycolysis</w:t>
      </w:r>
      <w:r w:rsidR="00695315">
        <w:rPr>
          <w:rFonts w:ascii="Times New Roman" w:hAnsi="Times New Roman" w:cs="Times New Roman"/>
        </w:rPr>
        <w:t>, which</w:t>
      </w:r>
      <w:r w:rsidR="007D5B46">
        <w:rPr>
          <w:rFonts w:ascii="Times New Roman" w:hAnsi="Times New Roman" w:cs="Times New Roman"/>
        </w:rPr>
        <w:t xml:space="preserve"> </w:t>
      </w:r>
      <w:r w:rsidR="002927E7">
        <w:rPr>
          <w:rFonts w:ascii="Times New Roman" w:hAnsi="Times New Roman" w:cs="Times New Roman"/>
        </w:rPr>
        <w:t xml:space="preserve">is necessary </w:t>
      </w:r>
      <w:r w:rsidR="0043317E">
        <w:rPr>
          <w:rFonts w:ascii="Times New Roman" w:hAnsi="Times New Roman" w:cs="Times New Roman"/>
        </w:rPr>
        <w:t>to produce NADPH and</w:t>
      </w:r>
      <w:r w:rsidR="00695315">
        <w:rPr>
          <w:rFonts w:ascii="Times New Roman" w:hAnsi="Times New Roman" w:cs="Times New Roman"/>
        </w:rPr>
        <w:t xml:space="preserve"> maintain a reduced pool of GSH</w:t>
      </w:r>
      <w:r w:rsidR="002927E7">
        <w:rPr>
          <w:rFonts w:ascii="Times New Roman" w:hAnsi="Times New Roman" w:cs="Times New Roman"/>
        </w:rPr>
        <w:t xml:space="preserve"> </w:t>
      </w:r>
      <w:r w:rsidR="002927E7">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"10.1042/BJ20111943", "ISSN" : "1470-8728", "PMID" : "22417747", "abstract" : "Oxidative and nitrosative stress underlie the pathogenesis of a broad range of human diseases, in particular neurodegenerative disorders. Within the brain, neurons are the cells most vulnerable to excess reactive oxygen and nitrogen species; their survival relies on the antioxidant protection promoted by neighbouring astrocytes. However, neurons are also intrinsically equipped with a biochemical mechanism that links glucose metabolism to antioxidant defence. Neurons actively metabolize glucose through the pentose phosphate pathway, which maintains the antioxidant glutathione in its reduced state, hence exerting neuroprotection. This process is tightly controlled by a key glycolysis-promoting enzyme and is dependent on an appropriate supply of energy substrates from astrocytes. Thus brain bioenergetic and antioxidant defence is coupled between neurons and astrocytes. A better understanding of the regulation of this intercellular coupling should be important for identifying novel targets for future therapeutic interventions.", "author" : [ { "dropping-particle" : "", "family" : "Fernandez-Fernandez", "given" : "Seila", "non-dropping-particle" : "", "parse-names" : false, "suffix" : "" }, { "dropping-particle" : "", "family" : "Almeida", "given" : "Angeles", "non-dropping-particle" : "", "parse-names" : false, "suffix" : "" }, { "dropping-particle" : "", "family" : "Bola\u00f1os", "given" : "Juan P", "non-dropping-particle" : "", "parse-names" : false, "suffix" : "" }, { "dropping-particle" : "", "family" : "Jellinger", "given" : "K. A.", "non-dropping-particle" : "", "parse-names" : false, "suffix" : "" }, { "dropping-particle" : "", "family" : "Agostinho", "given" : "P.", "non-dropping-particle" : "", "parse-names" : false, "suffix" : "" }, { "dropping-particle" : "", "family" : "Cunha", "given" : "R. A.", "non-dropping-particle" : "", "parse-names" : false, "suffix" : "" }, { "dropping-particle" : "", "family" : "Oliveira", "given" : "C.", "non-dropping-particle" : "", "parse-names" : false, "suffix" : "" }, { "dropping-particle" : "", "family" : "Bola\u00f1os", "given" : "J. P.", "non-dropping-particle" : "", "parse-names" : false, "suffix" : "" }, { "dropping-particle" : "", "family" : "Almeida", "given" : "A.", "non-dropping-particle" : "", "parse-names" : false, "suffix" : "" }, { "dropping-particle" : "", "family" : "Stewart", "given" : "V.", "non-dropping-particle" : "", "parse-names" : false, "suffix" : "" }, { "dropping-particle" : "", "family" : "Peuchen", "given" : "S.", "non-dropping-particle" : "", "parse-names" : false, "suffix" : "" }, { "dropping-particle" : "", "family" : "Land", "given" : "J. M.", "non-dropping-particle" : "", "parse-names" : false, "suffix" : "" }, { "dropping-particle" : "", "family" : "Clark", "given" : "J. B.", "non-dropping-particle" : "", "parse-names" : false, "suffix" : "" }, { "dropping-particle" : "", "family" : "Heales", "given" : "S. J. R.", "non-dropping-particle" : "", "parse-names" : false, "suffix" : "" }, { "dropping-particle" : "", "family" : "Bola\u00f1os", "given" : "J. P.", "non-dropping-particle" : "", "parse-names" : false, "suffix" : "" }, { "dropping-particle" : "", "family" : "Moro", "given" : "M. A.", "non-dropping-particle" : "", "parse-names" : false, "suffix" : "" }, { "dropping-particle" : "", "family" : "Lizasoain", "given" : "I.", "non-dropping-particle" : "", "parse-names" : false, "suffix" : "" }, { "dropping-particle" : "", "family" : "Almeida", "given" : "A.", "non-dropping-particle" : "", "parse-names" : false, "suffix" : "" }, { "dropping-particle" : "", "family" : "Kamat", "given" : "C. D.", "non-dropping-particle" : "", "parse-names" : false, "suffix" : "" }, { "dropping-particle" : "", "family" : "Gadal", "given" : "S.", "non-dropping-particle" : "", "parse-names" : false, "suffix" : "" }, { "dropping-particle" : "", "family" : "Mhatre", "given" : "M.", "non-dropping-particle" : "", "parse-names" : false, "suffix" : "" }, { "dropping-particle" : "", "family" : "Williamson", "given" : "K. S.", "non-dropping-particle" : "", "parse-names" : false, "suffix" : "" }, { "dropping-particle" : "", "family" : "Pye", "given" : "Q. N.", "non-dropping-particle" : "", "parse-names" : false, "suffix" : "" }, { "dropping-particle" : "", "family" : "Hensley", "given" : "K.", "non-dropping-particle" : "", "parse-names" : false, "suffix" : "" }, { "dropping-particle" : "", "family" : "Murphy", "given" : "M. P.", "non-dropping-particle" : "", "parse-names" : false, "suffix" : "" }, { "dropping-particle" : "", "family" : "Kinuta", "given" : "Y.", "non-dropping-particle" : "", "parse-names" : false, "suffix" : "" }, { "dropping-particle" : "", "family" : "Kimura", "given" : "M.", "non-dropping-particle" : "", "parse-names" : false, "suffix" : "" }, { "dropping-particle" : "", "family" : "Itokawa", "given" : "Y.", "non-dropping-particle" : "", "parse-names" : false, "suffix" : "" }, { "dropping-particle" : "", "family" : "Ishikawa", "given" : "M.", "non-dropping-particle" : "", "parse-names" : false, "suffix" : "" }, { "dropping-particle" : "", "family" : "Kikuchi", "given" : "H.", "non-dropping-particle" : "", "parse-names" : false, "suffix" : "" }, { "dropping-particle" : "", "family" : "Lipton", "given" : "P.", "non-dropping-particle" : "", "parse-names" : false, "suffix" : "" }, { "dropping-particle" : "", "family" : "Halliwell", "given" : "B.", "non-dropping-particle" : "", "parse-names" : false, "suffix" : "" }, { "dropping-particle" : "", "family" : "Garthwaite", "given" : "J.", "non-dropping-particle" : "", "parse-names" : false, "suffix" : "" }, { "dropping-particle" : "", "family" : "Charles", "given" : "S. L.", "non-dropping-particle" : "", "parse-names" : false, "suffix" : "" }, { "dropping-particle" : "", "family" : "Chess-Williams", "given" : "R.", "non-dropping-particle" : "", "parse-names" : false, "suffix" : "" }, { "dropping-particle" : "", "family" : "Knowles", "given" : "R. G.", "non-dropping-particle" : "", "parse-names" : false, "suffix" : "" }, { "dropping-particle" : "", "family" : "Moncada", "given" : "S.", "non-dropping-particle" : "", "parse-names" : false, "suffix" : "" }, { "dropping-particle" : "", "family" : "Knowles", "given" : "R. G.", "non-dropping-particle" : "", "parse-names" : false, "suffix" : "" }, { "dropping-particle" : "", "family" : "Palacios", "given" : "M.", "non-dropping-particle" : "", "parse-names" : false, "suffix" : "" }, { "dropping-particle" : "", "family" : "Palmer", "given" : "R. M. J.", "non-dropping-particle" : "", "parse-names" : false, "suffix" : "" }, { "dropping-particle" : "", "family" : "Moncada", "given" : "S.", "non-dropping-particle" : "", "parse-names" : false, "suffix" : "" }, { "dropping-particle" : "", "family" : "Bredt", "given" : "D. S.", "non-dropping-particle" : "", "parse-names" : false, "suffix" : "" }, { "dropping-particle" : "", "family" : "Snyder", "given" : "S. H.", "non-dropping-particle" : "", "parse-names" : false, "suffix" : "" }, { "dropping-particle" : "", "family" : "Schulz", "given" : "J. B.", "non-dropping-particle" : "", "parse-names" : false, "suffix" : "" }, { "dropping-particle" : "", "family" : "Matthews", "given" : "R. T.", "non-dropping-particle" : "", "parse-names" : false, "suffix" : "" }, { "dropping-particle" : "", "family" : "Beal", "given" : "M. F.", "non-dropping-particle" : "", "parse-names" : false, "suffix" : "" }, { "dropping-particle" : "", "family" : "Murphy", "given" : "S.", "non-dropping-particle" : "", "parse-names" : false, "suffix" : "" }, { "dropping-particle" : "", "family" : "Simmons", "given" : "M. L.", "non-dropping-particle" : "", "parse-names" : false, "suffix" : "" }, { "dropping-particle" : "", "family" : "Agull\u00f3", "given" : "L.", "non-dropping-particle" : "", "parse-names" : false, "suffix" : "" }, { "dropping-particle" : "", "family" : "Garc\u00eda", "given" : "A.", "non-dropping-particle" : "", "parse-names" : false, "suffix" : "" }, { "dropping-particle" : "", "family" : "Feinstein", "given" : "D. L.", "non-dropping-particle" : "", "parse-names" : false, "suffix" : "" }, { "dropping-particle" : "", "family" : "Galea", "given" : "E.", "non-dropping-particle" : "", "parse-names" : false, "suffix" : "" }, { "dropping-particle" : "", "family" : "Reis", "given" : "D. J.", "non-dropping-particle" : "", "parse-names" : false, "suffix" : "" }, { "dropping-particle" : "", "family" : "Minc-Golomb", "given" : "D.", "non-dropping-particle" : "", "parse-names" : false, "suffix" : "" }, { "dropping-particle" : "", "family" : "Schwartz", "given" : "J. P.", "non-dropping-particle" : "", "parse-names" : false, "suffix" : "" }, { "dropping-particle" : "", "family" : "Bola\u00f1os", "given" : "J. P.", "non-dropping-particle" : "", "parse-names" : false, "suffix" : "" }, { "dropping-particle" : "", "family" : "Almeida", "given" : "A.", "non-dropping-particle" : "", "parse-names" : false, "suffix" : "" }, { "dropping-particle" : "", "family" : "Rees", "given" : "D. D.", "non-dropping-particle" : "", "parse-names" : false, "suffix" : "" }, { "dropping-particle" : "", "family" : "Palmer", "given" : "R. J. M.", "non-dropping-particle" : "", "parse-names" : false, "suffix" : "" }, { "dropping-particle" : "", "family" : "Moncada", "given" : "S.", "non-dropping-particle" : "", "parse-names" : false, "suffix" : "" }, { "dropping-particle" : "", "family" : "Iadecola", "given" : "C.", "non-dropping-particle" : "", "parse-names" : false, "suffix" : "" }, { "dropping-particle" : "", "family" : "Attwell", "given" : "D.", "non-dropping-particle" : "", "parse-names" : false, "suffix" : "" }, { "dropping-particle" : "", "family" : "Buchan", "given" : "A. M.", "non-dropping-particle" : "", "parse-names" : false, "suffix" : "" }, { "dropping-particle" : "", "family" : "Charpak", "given" : "S.", "non-dropping-particle" : "", "parse-names" : false, "suffix" : "" }, { "dropping-particle" : "", "family" : "Lauritzen", "given" : "M.", "non-dropping-particle" : "", "parse-names" : false, "suffix" : "" }, { "dropping-particle" : "", "family" : "Macvicar", "given" : "B. A.", "non-dropping-particle" : "", "parse-names" : false, "suffix" : "" }, { "dropping-particle" : "", "family" : "Newman", "given" : "E. A.", "non-dropping-particle" : "", "parse-names" : false, "suffix" : "" }, { "dropping-particle" : "", "family" : "Chinta", "given" : "S. J.", "non-dropping-particle" : "", "parse-names" : false, "suffix" : "" }, { "dropping-particle" : "", "family" : "Andersen", "given" : "J. K.", "non-dropping-particle" : "", "parse-names" : false, "suffix" : "" }, { "dropping-particle" : "V.", "family" : "Blough", "given" : "N.", "non-dropping-particle" : "", "parse-names" : false, "suffix" : "" }, { "dropping-particle" : "", "family" : "Zafiriou", "given" : "O. C.", "non-dropping-particle" : "", "parse-names" : false, "suffix" : "" }, { "dropping-particle" : "", "family" : "Beckman", "given" : "J. S.", "non-dropping-particle" : "", "parse-names" : false, "suffix" : "" }, { "dropping-particle" : "", "family" : "Beckman", "given" : "T. W.", "non-dropping-particle" : "", "parse-names" : false, "suffix" : "" }, { "dropping-particle" : "", "family" : "Chen", "given" : "J.", "non-dropping-particle" : "", "parse-names" : false, "suffix" : "" }, { "dropping-particle" : "", "family" : "Marshall", "given" : "P. A.", "non-dropping-particle" : "", "parse-names" : false, "suffix" : "" }, { "dropping-particle" : "", "family" : "Freeman", "given" : "B. A.", "non-dropping-particle" : "", "parse-names" : false, "suffix" : "" }, { "dropping-particle" : "", "family" : "Ischiropoulos", "given" : "H.", "non-dropping-particle" : "", "parse-names" : false, "suffix" : "" }, { "dropping-particle" : "", "family" : "Zhu", "given" : "L. C.", "non-dropping-particle" : "", "parse-names" : false, "suffix" : "" }, { "dropping-particle" : "", "family" : "Chen", "given" : "J.", "non-dropping-particle" : "", "parse-names" : false, "suffix" : "" }, { "dropping-particle" : "", "family" : "Tsai", "given" : "M.", "non-dropping-particle" : "", "parse-names" : false, "suffix" : "" }, { "dropping-particle" : "", "family" : "Martin", "given" : "J. C.", "non-dropping-particle" : "", "parse-names" : false, "suffix" : "" }, { "dropping-particle" : "", "family" : "Smith", "given" : "C. D.", "non-dropping-particle" : "", "parse-names" : false, "suffix" : "" }, { "dropping-particle" : "", "family" : "Beckman", "given" : "J. S.", "non-dropping-particle" : "", "parse-names" : false, "suffix" : "" }, { "dropping-particle" : "", "family" : "Bola\u00f1os", "given" : "J. P.", "non-dropping-particle" : "", "parse-names" : false, "suffix" : "" }, { "dropping-particle" : "", "family" : "Garc\u00eda-Nogales", "given" : "P.", "non-dropping-particle" : "", "parse-names" : false, "suffix" : "" }, { "dropping-particle" : "", "family" : "Almeida", "given" : "A.", "non-dropping-particle" : "", "parse-names" : false, "suffix" : "" }, { "dropping-particle" : "", "family" : "Beckman", "given" : "J. S.", "non-dropping-particle" : "", "parse-names" : false, "suffix" : "" }, { "dropping-particle" : "", "family" : "Carson", "given" : "M.", "non-dropping-particle" : "", "parse-names" : false, "suffix" : "" }, { "dropping-particle" : "", "family" : "Smith", "given" : "C. D.", "non-dropping-particle" : "", "parse-names" : false, "suffix" : "" }, { "dropping-particle" : "", "family" : "Koppenol", "given" : "W. H.", "non-dropping-particle" : "", "parse-names" : false, "suffix" : "" }, { "dropping-particle" : "", "family" : "Diaz-Amarilla", "given" : "P.", "non-dropping-particle" : "", "parse-names" : false, "suffix" : "" }, { "dropping-particle" : "", "family" : "Olivera-Bravo", "given" : "S.", "non-dropping-particle" : "", "parse-names" : false, "suffix" : "" }, { "dropping-particle" : "", "family" : "Trias", "given" : "E.", "non-dropping-particle" : "", "parse-names" : false, "suffix" : "" }, { "dropping-particle" : "", "family" : "Cragnolini", "given" : "A.", "non-dropping-particle" : "", "parse-names" : false, "suffix" : "" }, { "dropping-particle" : "", "family" : "Martinez-Palma", "given" : "L.", "non-dropping-particle" : "", "parse-names" : false, "suffix" : "" }, { "dropping-particle" : "", "family" : "Cassina", "given" : "P.", "non-dropping-particle" : "", "parse-names" : false, "suffix" : "" }, { "dropping-particle" : "", "family" : "Beckman", "given" : "J.", "non-dropping-particle" : "", "parse-names" : false, "suffix" : "" }, { "dropping-particle" : "", "family" : "Barbeito", "given" : "L.", "non-dropping-particle" : "", "parse-names" : false, "suffix" : "" }, { "dropping-particle" : "", "family" : "Oury", "given" : "T. D.", "non-dropping-particle" : "", "parse-names" : false, "suffix" : "" }, { "dropping-particle" : "", "family" : "Ho", "given" : "Y. S.", "non-dropping-particle" : "", "parse-names" : false, "suffix" : "" }, { "dropping-particle" : "", "family" : "Piantadosi", "given" : "C. A.", "non-dropping-particle" : "", "parse-names" : false, "suffix" : "" }, { "dropping-particle" : "", "family" : "Crapo", "given" : "J. D.", "non-dropping-particle" : "", "parse-names" : false, "suffix" : "" }, { "dropping-particle" : "", "family" : "Brown", "given" : "G. C.", "non-dropping-particle" : "", "parse-names" : false, "suffix" : "" }, { "dropping-particle" : "", "family" : "Neher", "given" : "J. J.", "non-dropping-particle" : "", "parse-names" : false, "suffix" : "" }, { "dropping-particle" : "", "family" : "Schweizer", "given" : "M.", "non-dropping-particle" : "", "parse-names" : false, "suffix" : "" }, { "dropping-particle" : "", "family" : "Richter", "given" : "C.", "non-dropping-particle" : "", "parse-names" : false, "suffix" : "" }, { "dropping-particle" : "", "family" : "Brown", "given" : "G. C.", "non-dropping-particle" : "", "parse-names" : false, "suffix" : "" }, { "dropping-particle" : "", "family" : "Cooper", "given" : "C. E.", "non-dropping-particle" : "", "parse-names" : false, "suffix" : "" }, { "dropping-particle" : "", "family" : "Bola\u00f1os", "given" : "J. P.", "non-dropping-particle" : "", "parse-names" : false, "suffix" : "" }, { "dropping-particle" : "", "family" : "Peuchen", "given" : "S.", "non-dropping-particle" : "", "parse-names" : false, "suffix" : "" }, { "dropping-particle" : "", "family" : "Heales", "given" : "S. J. R.", "non-dropping-particle" : "", "parse-names" : false, "suffix" : "" }, { "dropping-particle" : "", "family" : "Land", "given" : "J. M.", "non-dropping-particle" : "", "parse-names" : false, "suffix" : "" }, { "dropping-particle" : "", "family" : "Clark", "given" : "J. B.", "non-dropping-particle" : "", "parse-names" : false, "suffix" : "" }, { "dropping-particle" : "", "family" : "Sharpe", "given" : "M. A.", "non-dropping-particle" : "", "parse-names" : false, "suffix" : "" }, { "dropping-particle" : "", "family" : "Cooper", "given" : "C. E.", "non-dropping-particle" : "", "parse-names" : false, "suffix" : "" }, { "dropping-particle" : "", "family" : "Bosetti", "given" : "F.", "non-dropping-particle" : "", "parse-names" : false, "suffix" : "" }, { "dropping-particle" : "", "family" : "Brizzi", "given" : "F.", "non-dropping-particle" : "", "parse-names" : false, "suffix" : "" }, { "dropping-particle" : "", "family" : "Barogi", "given" : "S.", "non-dropping-particle" : "", "parse-names" : false, "suffix" : "" }, { "dropping-particle" : "", "family" : "Mancuso", "given" : "M.", "non-dropping-particle" : "", "parse-names" : false, "suffix" : "" }, { "dropping-particle" : "", "family" : "Siciliano", "given" : "G.", "non-dropping-particle" : "", "parse-names" : false, "suffix" : "" }, { "dropping-particle" : "", "family" : "Tendi", "given" : "E. A.", "non-dropping-particle" : "", "parse-names" : false, "suffix" : "" }, { "dropping-particle" : "", "family" : "Murri", "given" : "L.", "non-dropping-particle" : "", "parse-names" : false, "suffix" : "" }, { "dropping-particle" : "", "family" : "Rapoport", "given" : "S. I.", "non-dropping-particle" : "", "parse-names" : false, "suffix" : "" }, { "dropping-particle" : "", "family" : "Solaini", "given" : "G.", "non-dropping-particle" : "", "parse-names" : false, "suffix" : "" }, { "dropping-particle" : "", "family" : "Cho", "given" : "D. H.", "non-dropping-particle" : "", "parse-names" : false, "suffix" : "" }, { "dropping-particle" : "", "family" : "Nakamura", "given" : "T.", "non-dropping-particle" : "", "parse-names" : false, "suffix" : "" }, { "dropping-particle" : "", "family" : "Fang", "given" : "J.", "non-dropping-particle" : "", "parse-names" : false, "suffix" : "" }, { "dropping-particle" : "", "family" : "Cieplak", "given" : "P.", "non-dropping-particle" : "", "parse-names" : false, "suffix" : "" }, { "dropping-particle" : "", "family" : "Godzik", "given" : "A.", "non-dropping-particle" : "", "parse-names" : false, "suffix" : "" }, { "dropping-particle" : "", "family" : "Gu", "given" : "Z.", "non-dropping-particle" : "", "parse-names" : false, "suffix" : "" }, { "dropping-particle" : "", "family" : "Lipton", "given" : "S. A.", "non-dropping-particle" : "", "parse-names" : false, "suffix" : "" }, { "dropping-particle" : "", "family" : "Choi", "given" : "D. W.", "non-dropping-particle" : "", "parse-names" : false, "suffix" : "" }, { "dropping-particle" : "", "family" : "Rothman", "given" : "S. M.", "non-dropping-particle" : "", "parse-names" : false, "suffix" : "" }, { "dropping-particle" : "", "family" : "Beal", "given" : "M. F.", "non-dropping-particle" : "", "parse-names" : false, "suffix" : "" }, { "dropping-particle" : "", "family" : "Castillo", "given" : "J.", "non-dropping-particle" : "", "parse-names" : false, "suffix" : "" }, { "dropping-particle" : "", "family" : "Davalos", "given" : "A.", "non-dropping-particle" : "", "parse-names" : false, "suffix" : "" }, { "dropping-particle" : "", "family" : "Naveiro", "given" : "J.", "non-dropping-particle" : "", "parse-names" : false, "suffix" : "" }, { "dropping-particle" : "", "family" : "Noya", "given" : "M.", "non-dropping-particle" : "", "parse-names" : false, "suffix" : "" }, { "dropping-particle" : "", "family" : "Almeida", "given" : "A.", "non-dropping-particle" : "", "parse-names" : false, "suffix" : "" }, { "dropping-particle" : "", "family" : "Bola\u00f1os", "given" : "J. P.", "non-dropping-particle" : "", "parse-names" : false, "suffix" : "" }, { "dropping-particle" : "", "family" : "Moncada", "given" : "S.", "non-dropping-particle" : "", "parse-names" : false, "suffix" : "" }, { "dropping-particle" : "", "family" : "Bolanos", "given" : "J. P.", "non-dropping-particle" : "", "parse-names" : false, "suffix" : "" }, { "dropping-particle" : "", "family" : "Bola\u00f1os", "given" : "J. P.", "non-dropping-particle" : "", "parse-names" : false, "suffix" : "" }, { "dropping-particle" : "", "family" : "Almeida", "given" : "A.", "non-dropping-particle" : "", "parse-names" : false, "suffix" : "" }, { "dropping-particle" : "", "family" : "Moncada", "given" : "S.", "non-dropping-particle" : "", "parse-names" : false, "suffix" : "" }, { "dropping-particle" : "", "family" : "Zhang", "given" : "J.", "non-dropping-particle" : "", "parse-names" : false, "suffix" : "" }, { "dropping-particle" : "", "family" : "Dawson", "given" : "V. L.", "non-dropping-particle" : "", "parse-names" : false, "suffix" : "" }, { "dropping-particle" : "", "family" : "Dawson", "given" : "T. M.", "non-dropping-particle" : "", "parse-names" : false, "suffix" : "" }, { "dropping-particle" : "", "family" : "Snyder", "given" : "S. H.", "non-dropping-particle" : "", "parse-names" : false, "suffix" : "" }, { "dropping-particle" : "", "family" : "Radi", "given" : "R.", "non-dropping-particle" : "", "parse-names" : false, "suffix" : "" }, { "dropping-particle" : "", "family" : "Beckman", "given" : "J. S.", "non-dropping-particle" : "", "parse-names" : false, "suffix" : "" }, { "dropping-particle" : "", "family" : "Bush", "given" : "K. M.", "non-dropping-particle" : "", "parse-names" : false, "suffix" : "" }, { "dropping-particle" : "", "family" : "Freeman", "given" : "B. A.", "non-dropping-particle" : "", "parse-names" : false, "suffix" : "" }, { "dropping-particle" : "", "family" : "Radi", "given" : "R.", "non-dropping-particle" : "", "parse-names" : false, "suffix" : "" }, { "dropping-particle" : "", "family" : "Beckman", "given" : "J. S.", "non-dropping-particle" : "", "parse-names" : false, "suffix" : "" }, { "dropping-particle" : "", "family" : "Bush", "given" : "K. M.", "non-dropping-particle" : "", "parse-names" : false, "suffix" : "" }, { "dropping-particle" : "", "family" : "Freeman", "given" : "B. A.", "non-dropping-particle" : "", "parse-names" : false, "suffix" : "" }, { "dropping-particle" : "", "family" : "Raps", "given" : "S. P.", "non-dropping-particle" : "", "parse-names" : false, "suffix" : "" }, { "dropping-particle" : "", "family" : "Lai", "given" : "J. C. K.", "non-dropping-particle" : "", "parse-names" : false, "suffix" : "" }, { "dropping-particle" : "", "family" : "Hertz", "given" : "L.", "non-dropping-particle" : "", "parse-names" : false, "suffix" : "" }, { "dropping-particle" : "", "family" : "Cooper", "given" : "A. J. L.", "non-dropping-particle" : "", "parse-names" : false, "suffix" : "" }, { "dropping-particle" : "", "family" : "Sagara", "given" : "J.", "non-dropping-particle" : "", "parse-names" : false, "suffix" : "" }, { "dropping-particle" : "", "family" : "Miura", "given" : "K.", "non-dropping-particle" : "", "parse-names" : false, "suffix" : "" }, { "dropping-particle" : "", "family" : "Bannai", "given" : "S.", "non-dropping-particle" : "", "parse-names" : false, "suffix" : "" }, { "dropping-particle" : "", "family" : "Makar", "given" : "T. K.", "non-dropping-particle" : "", "parse-names" : false, "suffix" : "" }, { "dropping-particle" : "", "family" : "Nedergaard", "given" : "M.", "non-dropping-particle" : "", "parse-names" : false, "suffix" : "" }, { "dropping-particle" : "", "family" : "Preuss", "given" : "A.", "non-dropping-particle" : "", "parse-names" : false, "suffix" : "" }, { "dropping-particle" : "", "family" : "Gelbard", "given" : "A. S.", "non-dropping-particle" : "", "parse-names" : false, "suffix" : "" }, { "dropping-particle" : "", "family" : "Perumal", "given" : "A. S.", "non-dropping-particle" : "", "parse-names" : false, "suffix" : "" }, { "dropping-particle" : "", "family" : "Cooper", "given" : "A. J. L.", "non-dropping-particle" : "", "parse-names" : false, "suffix" : "" }, { "dropping-particle" : "", "family" : "Bola\u00f1os", "given" : "J. P.", "non-dropping-particle" : "", "parse-names" : false, "suffix" : "" }, { "dropping-particle" : "", "family" : "Heales", "given" : "S. J. R.", "non-dropping-particle" : "", "parse-names" : false, "suffix" : "" }, { "dropping-particle" : "", "family" : "Land", "given" : "J. M.", "non-dropping-particle" : "", "parse-names" : false, "suffix" : "" }, { "dropping-particle" : "", "family" : "Clark", "given" : "J. B.", "non-dropping-particle" : "", "parse-names" : false, "suffix" : "" }, { "dropping-particle" : "", "family" : "Dringen", "given" : "R.", "non-dropping-particle" : "", "parse-names" : false, "suffix" : "" }, { "dropping-particle" : "", "family" : "Dringen", "given" : "R.", "non-dropping-particle" : "", "parse-names" : false, "suffix" : "" }, { "dropping-particle" : "", "family" : "Kussmaul", "given" : "L.", "non-dropping-particle" : "", "parse-names" : false, "suffix" : "" }, { "dropping-particle" : "", "family" : "Gutterer", "given" : "J. M.", "non-dropping-particle" : "", "parse-names" : false, "suffix" : "" }, { "dropping-particle" : "", "family" : "Hirrlinger", "given" : "J.", "non-dropping-particle" : "", "parse-names" : false, "suffix" : "" }, { "dropping-particle" : "", "family" : "Hamprecht", "given" : "B.", "non-dropping-particle" : "", "parse-names" : false, "suffix" : "" }, { "dropping-particle" : "De", "family" : "Vos", "given" : "K. J.", "non-dropping-particle" : "", "parse-names" : false, "suffix" : "" }, { "dropping-particle" : "", "family" : "Chapman", "given" : "A. L.", "non-dropping-particle" : "", "parse-names" : false, "suffix" : "" }, { "dropping-particle" : "", "family" : "Tennant", "given" : "M. E.", "non-dropping-particle" : "", "parse-names" : false, "suffix" : "" }, { "dropping-particle" : "", "family" : "Manser", "given" : "C.", "non-dropping-particle" : "", "parse-names" : false, "suffix" : "" }, { "dropping-particle" : "", "family" : "Tudor", "given" : "E. L.", "non-dropping-particle" : "", "parse-names" : false, "suffix" : "" }, { "dropping-particle" : "", "family" : "Lau", "given" : "K. F.", "non-dropping-particle" : "", "parse-names" : false, "suffix" : "" }, { "dropping-particle" : "", "family" : "Brownlees", "given" : "J.", "non-dropping-particle" : "", "parse-names" : false, "suffix" : "" }, { "dropping-particle" : "", "family" : "Ackerley", "given" : "S.", "non-dropping-particle" : "", "parse-names" : false, "suffix" : "" }, { "dropping-particle" : "", "family" : "Shaw", "given" : "P. J.", "non-dropping-particle" : "", "parse-names" : false, "suffix" : "" }, { "dropping-particle" : "", "family" : "McLoughlin", "given" : "D. M.", "non-dropping-particle" : "", "parse-names" : false, "suffix" : "" }, { "dropping-particle" : "", "family" : "Bola\u00f1os", "given" : "J. P.", "non-dropping-particle" : "", "parse-names" : false, "suffix" : "" }, { "dropping-particle" : "", "family" : "Heales", "given" : "S. J. R.", "non-dropping-particle" : "", "parse-names" : false, "suffix" : "" }, { "dropping-particle" : "", "family" : "Peuchen", "given" : "S.", "non-dropping-particle" : "", "parse-names" : false, "suffix" : "" }, { "dropping-particle" : "", "family" : "Barker", "given" : "J. E.", "non-dropping-particle" : "", "parse-names" : false, "suffix" : "" }, { "dropping-particle" : "", "family" : "Land", "given" : "J. M.", "non-dropping-particle" : "", "parse-names" : false, "suffix" : "" }, { "dropping-particle" : "", "family" : "Clark", "given" : "J. B.", "non-dropping-particle" : "", "parse-names" : false, "suffix" : "" }, { "dropping-particle" : "", "family" : "Heales", "given" : "S. J. R.", "non-dropping-particle" : "", "parse-names" : false, "suffix" : "" }, { "dropping-particle" : "", "family" : "Bola\u00f1os", "given" : "J. P.", "non-dropping-particle" : "", "parse-names" : false, "suffix" : "" }, { "dropping-particle" : "", "family" : "Flohe", "given" : "L.", "non-dropping-particle" : "", "parse-names" : false, "suffix" : "" }, { "dropping-particle" : "", "family" : "Toppo", "given" : "S.", "non-dropping-particle" : "", "parse-names" : false, "suffix" : "" }, { "dropping-particle" : "", "family" : "Cozza", "given" : "G.", "non-dropping-particle" : "", "parse-names" : false, "suffix" : "" }, { "dropping-particle" : "", "family" : "Ursini", "given" : "F.", "non-dropping-particle" : "", "parse-names" : false, "suffix" : "" }, { "dropping-particle" : "", "family" : "Patenaude", "given" : "A.", "non-dropping-particle" : "", "parse-names" : false, "suffix" : "" }, { "dropping-particle" : "", "family" : "Murthy", "given" : "M. R.", "non-dropping-particle" : "", "parse-names" : false, "suffix" : "" }, { "dropping-particle" : "", "family" : "Mirault", "given" : "M. E.", "non-dropping-particle" : "", "parse-names" : false, "suffix" : "" }, { "dropping-particle" : "", "family" : "Papadia", "given" : "S.", "non-dropping-particle" : "", "parse-names" : false, "suffix" : "" }, { "dropping-particle" : "", "family" : "Soriano", "given" : "F. X.", "non-dropping-particle" : "", "parse-names" : false, "suffix" : "" }, { "dropping-particle" : "", "family" : "Leveille", "given" : "F.", "non-dropping-particle" : "", "parse-names" : false, "suffix" : "" }, { "dropping-particle" : "", "family" : "Martel", "given" : "M. A.", "non-dropping-particle" : "", "parse-names" : false, "suffix" : "" }, { "dropping-particle" : "", "family" : "Dakin", "given" : "K. A.", "non-dropping-particle" : "", "parse-names" : false, "suffix" : "" }, { "dropping-particle" : "", "family" : "Hansen", "given" : "H. H.", "non-dropping-particle" : "", "parse-names" : false, "suffix" : "" }, { "dropping-particle" : "", "family" : "Kaindl", "given" : "A.", "non-dropping-particle" : "", "parse-names" : false, "suffix" : "" }, { "dropping-particle" : "", "family" : "Sifringer", "given" : "M.", "non-dropping-particle" : "", "parse-names" : false, "suffix" : "" }, { "dropping-particle" : "", "family" : "Fowler", "given" : "J.", "non-dropping-particle" : "", "parse-names" : false, "suffix" : "" }, { "dropping-particle" : "", "family" : "Stefovska", "given" : "V.", "non-dropping-particle" : "", "parse-names" : false, "suffix" : "" }, { "dropping-particle" : "", "family" : "Dringen", "given" : "R.", "non-dropping-particle" : "", "parse-names" : false, "suffix" : "" }, { "dropping-particle" : "", "family" : "Pawlowski", "given" : "P. G.", "non-dropping-particle" : "", "parse-names" : false, "suffix" : "" }, { "dropping-particle" : "", "family" : "Hirrlinger", "given" : "J.", "non-dropping-particle" : "", "parse-names" : false, "suffix" : "" }, { "dropping-particle" : "", "family" : "Ho", "given" : "Y. S.", "non-dropping-particle" : "", "parse-names" : false, "suffix" : "" }, { "dropping-particle" : "", "family" : "Xiong", "given" : "Y.", "non-dropping-particle" : "", "parse-names" : false, "suffix" : "" }, { "dropping-particle" : "", "family" : "Ma", "given" : "W.", "non-dropping-particle" : "", "parse-names" : false, "suffix" : "" }, { "dropping-particle" : "", "family" : "Spector", "given" : "A.", "non-dropping-particle" : "", "parse-names" : false, "suffix" : "" }, { "dropping-particle" : "", "family" : "Ho", "given" : "D. S.", "non-dropping-particle" : "", "parse-names" : false, "suffix" : "" }, { "dropping-particle" : "", "family" : "Ho", "given" : "Y. S.", "non-dropping-particle" : "", "parse-names" : false, "suffix" : "" }, { "dropping-particle" : "", "family" : "Magnenat", "given" : "J. L.", "non-dropping-particle" : "", "parse-names" : false, "suffix" : "" }, { "dropping-particle" : "", "family" : "Bronson", "given" : "R. T.", "non-dropping-particle" : "", "parse-names" : false, "suffix" : "" }, { "dropping-particle" : "", "family" : "Cao", "given" : "J.", "non-dropping-particle" : "", "parse-names" : false, "suffix" : "" }, { "dropping-particle" : "", "family" : "Gargano", "given" : "M.", "non-dropping-particle" : "", "parse-names" : false, "suffix" : "" }, { "dropping-particle" : "", "family" : "Sugawara", "given" : "M.", "non-dropping-particle" : "", "parse-names" : false, "suffix" : "" }, { "dropping-particle" : "", "family" : "Funk", "given" : "C. D.", "non-dropping-particle" : "", "parse-names" : false, "suffix" : "" }, { "dropping-particle" : "", "family" : "Hayes", "given" : "J. D.", "non-dropping-particle" : "", "parse-names" : false, "suffix" : "" }, { "dropping-particle" : "", "family" : "Chanas", "given" : "S. A.", "non-dropping-particle" : "", "parse-names" : false, "suffix" : "" }, { "dropping-particle" : "", "family" : "Henderson", "given" : "C. J.", "non-dropping-particle" : "", "parse-names" : false, "suffix" : "" }, { "dropping-particle" : "", "family" : "McMahon", "given" : "M.", "non-dropping-particle" : "", "parse-names" : false, "suffix" : "" }, { "dropping-particle" : "", "family" : "Sun", "given" : "C.", "non-dropping-particle" : "", "parse-names" : false, "suffix" : "" }, { "dropping-particle" : "", "family" : "Moffat", "given" : "G. J.", "non-dropping-particle" : "", "parse-names" : false, "suffix" : "" }, { "dropping-particle" : "", "family" : "Wolf", "given" : "C. R.", "non-dropping-particle" : "", "parse-names" : false, "suffix" : "" }, { "dropping-particle" : "", "family" : "Yamamoto", "given" : "M.", "non-dropping-particle" : "", "parse-names" : false, "suffix" : "" }, { "dropping-particle" : "", "family" : "Rushmore", "given" : "T. H.", "non-dropping-particle" : "", "parse-names" : false, "suffix" : "" }, { "dropping-particle" : "", "family" : "Pickett", "given" : "C. B.", "non-dropping-particle" : "", "parse-names" : false, "suffix" : "" }, { "dropping-particle" : "", "family" : "Korff", "given" : "A.", "non-dropping-particle" : "", "parse-names" : false, "suffix" : "" }, { "dropping-particle" : "", "family" : "Pfeiffer", "given" : "B.", "non-dropping-particle" : "", "parse-names" : false, "suffix" : "" }, { "dropping-particle" : "", "family" : "Smeyne", "given" : "M.", "non-dropping-particle" : "", "parse-names" : false, "suffix" : "" }, { "dropping-particle" : "", "family" : "Kocak", "given" : "M.", "non-dropping-particle" : "", "parse-names" : false, "suffix" : "" }, { "dropping-particle" : "", "family" : "Pfeiffer", "given" : "R. F.", "non-dropping-particle" : "", "parse-names" : false, "suffix" : "" }, { "dropping-particle" : "", "family" : "Smeyne", "given" : "R. J.", "non-dropping-particle" : "", "parse-names" : false, "suffix" : "" }, { "dropping-particle" : "", "family" : "Venugopal", "given" : "R.", "non-dropping-particle" : "", "parse-names" : false, "suffix" : "" }, { "dropping-particle" : "", "family" : "Jaiswal", "given" : "A. K.", "non-dropping-particle" : "", "parse-names" : false, "suffix" : "" }, { "dropping-particle" : "", "family" : "Siegel", "given" : "D.", "non-dropping-particle" : "", "parse-names" : false, "suffix" : "" }, { "dropping-particle" : "", "family" : "Gustafson", "given" : "D. L.", "non-dropping-particle" : "", "parse-names" : false, "suffix" : "" }, { "dropping-particle" : "", "family" : "Dehn", "given" : "D. L.", "non-dropping-particle" : "", "parse-names" : false, "suffix" : "" }, { "dropping-particle" : "", "family" : "Han", "given" : "J. Y.", "non-dropping-particle" : "", "parse-names" : false, "suffix" : "" }, { "dropping-particle" : "", "family" : "Boonchoong", "given" : "P.", "non-dropping-particle" : "", "parse-names" : false, "suffix" : "" }, { "dropping-particle" : "", "family" : "Berliner", "given" : "L. J.", "non-dropping-particle" : "", "parse-names" : false, "suffix" : "" }, { "dropping-particle" : "", "family" : "Ross", "given" : "D.", "non-dropping-particle" : "", "parse-names" : false, "suffix" : "" }, { "dropping-particle" : "", "family" : "Ernster", "given" : "L.", "non-dropping-particle" : "", "parse-names" : false, "suffix" : "" }, { "dropping-particle" : "", "family" : "Dallner", "given" : "G.", "non-dropping-particle" : "", "parse-names" : false, "suffix" : "" }, { "dropping-particle" : "", "family" : "Beal", "given" : "M. F.", "non-dropping-particle" : "", "parse-names" : false, "suffix" : "" }, { "dropping-particle" : "", "family" : "Matthews", "given" : "R. T.", "non-dropping-particle" : "", "parse-names" : false, "suffix" : "" }, { "dropping-particle" : "", "family" : "Tieleman", "given" : "A.", "non-dropping-particle" : "", "parse-names" : false, "suffix" : "" }, { "dropping-particle" : "", "family" : "Shults", "given" : "C. W.", "non-dropping-particle" : "", "parse-names" : false, "suffix" : "" }, { "dropping-particle" : "", "family" : "Cleren", "given" : "C.", "non-dropping-particle" : "", "parse-names" : false, "suffix" : "" }, { "dropping-particle" : "", "family" : "Yang", "given" : "L.", "non-dropping-particle" : "", "parse-names" : false, "suffix" : "" }, { "dropping-particle" : "", "family" : "Lorenzo", "given" : "B.", "non-dropping-particle" : "", "parse-names" : false, "suffix" : "" }, { "dropping-particle" : "", "family" : "Calingasan", "given" : "N. Y.", "non-dropping-particle" : "", "parse-names" : false, "suffix" : "" }, { "dropping-particle" : "", "family" : "Schomer", "given" : "A.", "non-dropping-particle" : "", "parse-names" : false, "suffix" : "" }, { "dropping-particle" : "", "family" : "Sireci", "given" : "A.", "non-dropping-particle" : "", "parse-names" : false, "suffix" : "" }, { "dropping-particle" : "", "family" : "Wille", "given" : "E. J.", "non-dropping-particle" : "", "parse-names" : false, "suffix" : "" }, { "dropping-particle" : "", "family" : "Beal", "given" : "M. F.", "non-dropping-particle" : "", "parse-names" : false, "suffix" : "" }, { "dropping-particle" : "", "family" : "Matthews", "given" : "R. T.", "non-dropping-particle" : "", "parse-names" : false, "suffix" : "" }, { "dropping-particle" : "", "family" : "Yang", "given" : "L.", "non-dropping-particle" : "", "parse-names" : false, "suffix" : "" }, { "dropping-particle" : "", "family" : "Browne", "given" : "S.", "non-dropping-particle" : "", "parse-names" : false, "suffix" : "" }, { "dropping-particle" : "", "family" : "Baik", "given" : "M.", "non-dropping-particle" : "", "parse-names" : false, "suffix" : "" }, { "dropping-particle" : "", "family" : "Beal", "given" : "M. F.", "non-dropping-particle" : "", "parse-names" : false, "suffix" : "" }, { "dropping-particle" : "", "family" : "Ferrante", "given" : "R. J.", "non-dropping-particle" : "", "parse-names" : false, "suffix" : "" }, { "dropping-particle" : "", "family" : "Andreassen", "given" : "O. A.", "non-dropping-particle" : "", "parse-names" : false, "suffix" : "" }, { "dropping-particle" : "", "family" : "Dedeoglu", "given" : "A.", "non-dropping-particle" : "", "parse-names" : false, "suffix" : "" }, { "dropping-particle" : "", "family" : "Ferrante", "given" : "K. L.", "non-dropping-particle" : "", "parse-names" : false, "suffix" : "" }, { "dropping-particle" : "", "family" : "Jenkins", "given" : "B. G.", "non-dropping-particle" : "", "parse-names" : false, "suffix" : "" }, { "dropping-particle" : "", "family" : "Hersch", "given" : "S. M.", "non-dropping-particle" : "", "parse-names" : false, "suffix" : "" }, { "dropping-particle" : "", "family" : "Beal", "given" : "M. F.", "non-dropping-particle" : "", "parse-names" : false, "suffix" : "" }, { "dropping-particle" : "", "family" : "Smith", "given" : "R. A.", "non-dropping-particle" : "", "parse-names" : false, "suffix" : "" }, { "dropping-particle" : "", "family" : "Murphy", "given" : "M. P.", "non-dropping-particle" : "", "parse-names" : false, "suffix" : "" }, { "dropping-particle" : "", "family" : "Liedhegner", "given" : "E. A. Sabens", "non-dropping-particle" : "", "parse-names" : false, "suffix" : "" }, { "dropping-particle" : "", "family" : "Steller", "given" : "K. M.", "non-dropping-particle" : "", "parse-names" : false, "suffix" : "" }, { "dropping-particle" : "", "family" : "Mieyal", "given" : "J. J.", "non-dropping-particle" : "", "parse-names" : false, "suffix" : "" }, { "dropping-particle" : "", "family" : "Sabens", "given" : "E. A.", "non-dropping-particle" : "", "parse-names" : false, "suffix" : "" }, { "dropping-particle" : "", "family" : "Distler", "given" : "A. M.", "non-dropping-particle" : "", "parse-names" : false, "suffix" : "" }, { "dropping-particle" : "", "family" : "Mieyal", "given" : "J. J.", "non-dropping-particle" : "", "parse-names" : false, "suffix" : "" }, { "dropping-particle" : "", "family" : "Lee", "given" : "D. W.", "non-dropping-particle" : "", "parse-names" : false, "suffix" : "" }, { "dropping-particle" : "", "family" : "Kaur", "given" : "D.", "non-dropping-particle" : "", "parse-names" : false, "suffix" : "" }, { "dropping-particle" : "", "family" : "Chinta", "given" : "S. J.", "non-dropping-particle" : "", "parse-names" : false, "suffix" : "" }, { "dropping-particle" : "", "family" : "Rajagopalan", "given" : "S.", "non-dropping-particle" : "", "parse-names" : false, "suffix" : "" }, { "dropping-particle" : "", "family" : "Andersen", "given" : "J. K.", "non-dropping-particle" : "", "parse-names" : false, "suffix" : "" }, { "dropping-particle" : "", "family" : "Calkins", "given" : "M. J.", "non-dropping-particle" : "", "parse-names" : false, "suffix" : "" }, { "dropping-particle" : "", "family" : "Johnson", "given" : "D. A.", "non-dropping-particle" : "", "parse-names" : false, "suffix" : "" }, { "dropping-particle" : "", "family" : "Townsend", "given" : "J. A.", "non-dropping-particle" : "", "parse-names" : false, "suffix" : "" }, { "dropping-particle" : "", "family" : "Vargas", "given" : "M. R.", "non-dropping-particle" : "", "parse-names" : false, "suffix" : "" }, { "dropping-particle" : "", "family" : "Dowell", "given" : "J. A.", "non-dropping-particle" : "", "parse-names" : false, "suffix" : "" }, { "dropping-particle" : "", "family" : "Williamson", "given" : "T. P.", "non-dropping-particle" : "", "parse-names" : false, "suffix" : "" }, { "dropping-particle" : "", "family" : "Kraft", "given" : "A. D.", "non-dropping-particle" : "", "parse-names" : false, "suffix" : "" }, { "dropping-particle" : "", "family" : "Lee", "given" : "J. M.", "non-dropping-particle" : "", "parse-names" : false, "suffix" : "" }, { "dropping-particle" : "", "family" : "Li", "given" : "J.", "non-dropping-particle" : "", "parse-names" : false, "suffix" : "" }, { "dropping-particle" : "", "family" : "Johnson", "given" : "J. A.", "non-dropping-particle" : "", "parse-names" : false, "suffix" : "" }, { "dropping-particle" : "", "family" : "Perea", "given" : "G.", "non-dropping-particle" : "", "parse-names" : false, "suffix" : "" }, { "dropping-particle" : "", "family" : "Navarrete", "given" : "M.", "non-dropping-particle" : "", "parse-names" : false, "suffix" : "" }, { "dropping-particle" : "", "family" : "Araque", "given" : "A.", "non-dropping-particle" : "", "parse-names" : false, "suffix" : "" }, { "dropping-particle" : "", "family" : "Panatier", "given" : "A.", "non-dropping-particle" : "", "parse-names" : false, "suffix" : "" }, { "dropping-particle" : "", "family" : "Vallee", "given" : "J.", "non-dropping-particle" : "", "parse-names" : false, "suffix" : "" }, { "dropping-particle" : "", "family" : "Haber", "given" : "M.", "non-dropping-particle" : "", "parse-names" : false, "suffix" : "" }, { "dropping-particle" : "", "family" : "Murai", "given" : "K. K.", "non-dropping-particle" : "", "parse-names" : false, "suffix" : "" }, { "dropping-particle" : "", "family" : "Lacaille", "given" : "J. C.", "non-dropping-particle" : "", "parse-names" : false, "suffix" : "" }, { "dropping-particle" : "", "family" : "Robitaille", "given" : "R.", "non-dropping-particle" : "", "parse-names" : false, "suffix" : "" }, { "dropping-particle" : "", "family" : "Pellerin", "given" : "L.", "non-dropping-particle" : "", "parse-names" : false, "suffix" : "" }, { "dropping-particle" : "", "family" : "Magistretti", "given" : "P. J.", "non-dropping-particle" : "", "parse-names" : false, "suffix" : "" }, { "dropping-particle" : "", "family" : "Pellerin", "given" : "L.", "non-dropping-particle" : "", "parse-names" : false, "suffix" : "" }, { "dropping-particle" : "", "family" : "Bouzier-Sore", "given" : "A. K.", "non-dropping-particle" : "", "parse-names" : false, "suffix" : "" }, { "dropping-particle" : "", "family" : "Aubert", "given" : "A.", "non-dropping-particle" : "", "parse-names" : false, "suffix" : "" }, { "dropping-particle" : "", "family" : "Serres", "given" : "S.", "non-dropping-particle" : "", "parse-names" : false, "suffix" : "" }, { "dropping-particle" : "", "family" : "Merle", "given" : "M.", "non-dropping-particle" : "", "parse-names" : false, "suffix" : "" }, { "dropping-particle" : "", "family" : "Costalat", "given" : "R.", "non-dropping-particle" : "", "parse-names" : false, "suffix" : "" }, { "dropping-particle" : "", "family" : "Magistretti", "given" : "P. J.", "non-dropping-particle" : "", "parse-names" : false, "suffix" : "" }, { "dropping-particle" : "", "family" : "Brown", "given" : "A. M.", "non-dropping-particle" : "", "parse-names" : false, "suffix" : "" }, { "dropping-particle" : "", "family" : "Ransom", "given" : "B. R.", "non-dropping-particle" : "", "parse-names" : false, "suffix" : "" }, { "dropping-particle" : "", "family" : "Suh", "given" : "S. W.", "non-dropping-particle" : "", "parse-names" : false, "suffix" : "" }, { "dropping-particle" : "", "family" : "Bergher", "given" : "J. P.", "non-dropping-particle" : "", "parse-names" : false, "suffix" : "" }, { "dropping-particle" : "", "family" : "Anderson", "given" : "C. M.", "non-dropping-particle" : "", "parse-names" : false, "suffix" : "" }, { "dropping-particle" : "", "family" : "Treadway", "given" : "J. L.", "non-dropping-particle" : "", "parse-names" : false, "suffix" : "" }, { "dropping-particle" : "", "family" : "Fosgerau", "given" : "K.", "non-dropping-particle" : "", "parse-names" : false, "suffix" : "" }, { "dropping-particle" : "", "family" : "Swanson", "given" : "R. A.", "non-dropping-particle" : "", "parse-names" : false, "suffix" : "" }, { "dropping-particle" : "V.", "family" : "Sofroniew", "given" : "M.", "non-dropping-particle" : "", "parse-names" : false, "suffix" : "" }, { "dropping-particle" : "V.", "family" : "Vinters", "given" : "H.", "non-dropping-particle" : "", "parse-names" : false, "suffix" : "" }, { "dropping-particle" : "V.", "family" : "Sofroniew", "given" : "M.", "non-dropping-particle" : "", "parse-names" : false, "suffix" : "" }, { "dropping-particle" : "", "family" : "Kaspar", "given" : "J. W.", "non-dropping-particle" : "", "parse-names" : false, "suffix" : "" }, { "dropping-particle" : "", "family" : "Niture", "given" : "S. K.", "non-dropping-particle" : "", "parse-names" : false, "suffix" : "" }, { "dropping-particle" : "", "family" : "Jaiswal", "given" : "A. K.", "non-dropping-particle" : "", "parse-names" : false, "suffix" : "" }, { "dropping-particle" : "", "family" : "Hayes", "given" : "J. D.", "non-dropping-particle" : "", "parse-names" : false, "suffix" : "" }, { "dropping-particle" : "", "family" : "McMahon", "given" : "M.", "non-dropping-particle" : "", "parse-names" : false, "suffix" : "" }, { "dropping-particle" : "", "family" : "Jaiswal", "given" : "A. K.", "non-dropping-particle" : "", "parse-names" : false, "suffix" : "" }, { "dropping-particle" : "", "family" : "Escartin", "given" : "C.", "non-dropping-particle" : "", "parse-names" : false, "suffix" : "" }, { "dropping-particle" : "", "family" : "Won", "given" : "S. J.", "non-dropping-particle" : "", "parse-names" : false, "suffix" : "" }, { "dropping-particle" : "", "family" : "Malgorn", "given" : "C.", "non-dropping-particle" : "", "parse-names" : false, "suffix" : "" }, { "dropping-particle" : "", "family" : "Auregan", "given" : "G.", "non-dropping-particle" : "", "parse-names" : false, "suffix" : "" }, { "dropping-particle" : "", "family" : "Berman", "given" : "A. E.", "non-dropping-particle" : "", "parse-names" : false, "suffix" : "" }, { "dropping-particle" : "", "family" : "Chen", "given" : "P. C.", "non-dropping-particle" : "", "parse-names" : false, "suffix" : "" }, { "dropping-particle" : "", "family" : "Deglon", "given" : "N.", "non-dropping-particle" : "", "parse-names" : false, "suffix" : "" }, { "dropping-particle" : "", "family" : "Johnson", "given" : "J. A.", "non-dropping-particle" : "", "parse-names" : false, "suffix" : "" }, { "dropping-particle" : "", "family" : "Suh", "given" : "S. W.", "non-dropping-particle" : "", "parse-names" : false, "suffix" : "" }, { "dropping-particle" : "", "family" : "Swanson", "given" : "R. A.", "non-dropping-particle" : "", "parse-names" : false, "suffix" : "" }, { "dropping-particle" : "", "family" : "Hardingham", "given" : "G. E.", "non-dropping-particle" : "", "parse-names" : false, "suffix" : "" }, { "dropping-particle" : "", "family" : "Lipton", "given" : "S. A.", "non-dropping-particle" : "", "parse-names" : false, "suffix" : "" }, { "dropping-particle" : "", "family" : "Kraft", "given" : "A. D.", "non-dropping-particle" : "", "parse-names" : false, "suffix" : "" }, { "dropping-particle" : "", "family" : "Johnson", "given" : "D. A.", "non-dropping-particle" : "", "parse-names" : false, "suffix" : "" }, { "dropping-particle" : "", "family" : "Johnson", "given" : "J. A.", "non-dropping-particle" : "", "parse-names" : false, "suffix" : "" }, { "dropping-particle" : "", "family" : "Lee", "given" : "J. M.", "non-dropping-particle" : "", "parse-names" : false, "suffix" : "" }, { "dropping-particle" : "", "family" : "Calkins", "given" : "M. J.", "non-dropping-particle" : "", "parse-names" : false, "suffix" : "" }, { "dropping-particle" : "", "family" : "Chan", "given" : "K.", "non-dropping-particle" : "", "parse-names" : false, "suffix" : "" }, { "dropping-particle" : "", "family" : "Kan", "given" : "Y. W.", "non-dropping-particle" : "", "parse-names" : false, "suffix" : "" }, { "dropping-particle" : "", "family" : "Johnson", "given" : "J. A.", "non-dropping-particle" : "", "parse-names" : false, "suffix" : "" }, { "dropping-particle" : "", "family" : "Lee", "given" : "J. M.", "non-dropping-particle" : "", "parse-names" : false, "suffix" : "" }, { "dropping-particle" : "", "family" : "Shih", "given" : "A. Y.", "non-dropping-particle" : "", "parse-names" : false, "suffix" : "" }, { "dropping-particle" : "", "family" : "Murphy", "given" : "T. H.", "non-dropping-particle" : "", "parse-names" : false, "suffix" : "" }, { "dropping-particle" : "", "family" : "Johnson", "given" : "J. A.", "non-dropping-particle" : "", "parse-names" : false, "suffix" : "" }, { "dropping-particle" : "", "family" : "Shih", "given" : "A. Y.", "non-dropping-particle" : "", "parse-names" : false, "suffix" : "" }, { "dropping-particle" : "", "family" : "Johnson", "given" : "D. A.", "non-dropping-particle" : "", "parse-names" : false, "suffix" : "" }, { "dropping-particle" : "", "family" : "Wong", "given" : "G.", "non-dropping-particle" : "", "parse-names" : false, "suffix" : "" }, { "dropping-particle" : "", "family" : "Kraft", "given" : "A. D.", "non-dropping-particle" : "", "parse-names" : false, "suffix" : "" }, { "dropping-particle" : "", "family" : "Jiang", "given" : "L.", "non-dropping-particle" : "", "parse-names" : false, "suffix" : "" }, { "dropping-particle" : "", "family" : "Erb", "given" : "H.", "non-dropping-particle" : "", "parse-names" : false, "suffix" : "" }, { "dropping-particle" : "", "family" : "Johnson", "given" : "J. A.", "non-dropping-particle" : "", "parse-names" : false, "suffix" : "" }, { "dropping-particle" : "", "family" : "Murphy", "given" : "T. H.", "non-dropping-particle" : "", "parse-names" : false, "suffix" : "" }, { "dropping-particle" : "", "family" : "Burton", "given" : "N. C.", "non-dropping-particle" : "", "parse-names" : false, "suffix" : "" }, { "dropping-particle" : "", "family" : "Kensler", "given" : "T. W.", "non-dropping-particle" : "", "parse-names" : false, "suffix" : "" }, { "dropping-particle" : "", "family" : "Guilarte", "given" : "T. R.", "non-dropping-particle" : "", "parse-names" : false, "suffix" : "" }, { "dropping-particle" : "", "family" : "Calkins", "given" : "M. J.", "non-dropping-particle" : "", "parse-names" : false, "suffix" : "" }, { "dropping-particle" : "", "family" : "Jakel", "given" : "R. J.", "non-dropping-particle" : "", "parse-names" : false, "suffix" : "" }, { "dropping-particle" : "", "family" : "Johnson", "given" : "D. A.", "non-dropping-particle" : "", "parse-names" : false, "suffix" : "" }, { "dropping-particle" : "", "family" : "Chan", "given" : "K.", "non-dropping-particle" : "", "parse-names" : false, "suffix" : "" }, { "dropping-particle" : "", "family" : "Kan", "given" : "Y. W.", "non-dropping-particle" : "", "parse-names" : false, "suffix" : "" }, { "dropping-particle" : "", "family" : "Johnson", "given" : "J. A.", "non-dropping-particle" : "", "parse-names" : false, "suffix" : "" }, { "dropping-particle" : "", "family" : "Shih", "given" : "A. Y.", "non-dropping-particle" : "", "parse-names" : false, "suffix" : "" }, { "dropping-particle" : "", "family" : "Imbeault", "given" : "S.", "non-dropping-particle" : "", "parse-names" : false, "suffix" : "" }, { "dropping-particle" : "", "family" : "Barakauskas", "given" : "V.", "non-dropping-particle" : "", "parse-names" : false, "suffix" : "" }, { "dropping-particle" : "", "family" : "Erb", "given" : "H.", "non-dropping-particle" : "", "parse-names" : false, "suffix" : "" }, { "dropping-particle" : "", "family" : "Jiang", "given" : "L.", "non-dropping-particle" : "", "parse-names" : false, "suffix" : "" }, { "dropping-particle" : "", "family" : "Li", "given" : "P.", "non-dropping-particle" : "", "parse-names" : false, "suffix" : "" }, { "dropping-particle" : "", "family" : "Murphy", "given" : "T. H.", "non-dropping-particle" : "", "parse-names" : false, "suffix" : "" }, { "dropping-particle" : "", "family" : "Jakel", "given" : "R. J.", "non-dropping-particle" : "", "parse-names" : false, "suffix" : "" }, { "dropping-particle" : "", "family" : "Kern", "given" : "J. T.", "non-dropping-particle" : "", "parse-names" : false, "suffix" : "" }, { "dropping-particle" : "", "family" : "Johnson", "given" : "D. A.", "non-dropping-particle" : "", "parse-names" : false, "suffix" : "" }, { "dropping-particle" : "", "family" : "Johnson", "given" : "J. A.", "non-dropping-particle" : "", "parse-names" : false, "suffix" : "" }, { "dropping-particle" : "", "family" : "Jakel", "given" : "R. J.", "non-dropping-particle" : "", "parse-names" : false, "suffix" : "" }, { "dropping-particle" : "", "family" : "Townsend", "given" : "J. A.", "non-dropping-particle" : "", "parse-names" : false, "suffix" : "" }, { "dropping-particle" : "", "family" : "Kraft", "given" : "A. D.", "non-dropping-particle" : "", "parse-names" : false, "suffix" : "" }, { "dropping-particle" : "", "family" : "Johnson", "given" : "J. A.", "non-dropping-particle" : "", "parse-names" : false, "suffix" : "" }, { "dropping-particle" : "", "family" : "Satoh", "given" : "T.", "non-dropping-particle" : "", "parse-names" : false, "suffix" : "" }, { "dropping-particle" : "", "family" : "Okamoto", "given" : "S. I.", "non-dropping-particle" : "", "parse-names" : false, "suffix" : "" }, { "dropping-particle" : "", "family" : "Cui", "given" : "J.", "non-dropping-particle" : "", "parse-names" : false, "suffix" : "" }, { "dropping-particle" : "", "family" : "Watanabe", "given" : "Y.", "non-dropping-particle" : "", "parse-names" : false, "suffix" : "" }, { "dropping-particle" : "", "family" : "Furuta", "given" : "K.", "non-dropping-particle" : "", "parse-names" : false, "suffix" : "" }, { "dropping-particle" : "", "family" : "Suzuki", "given" : "M.", "non-dropping-particle" : "", "parse-names" : false, "suffix" : "" }, { "dropping-particle" : "", "family" : "Tohyama", "given" : "K.", "non-dropping-particle" : "", "parse-names" : false, "suffix" : "" }, { "dropping-particle" : "", "family" : "Lipton", "given" : "S. A.", "non-dropping-particle" : "", "parse-names" : false, "suffix" : "" }, { "dropping-particle" : "", "family" : "Shih", "given" : "A. Y.", "non-dropping-particle" : "", "parse-names" : false, "suffix" : "" }, { "dropping-particle" : "", "family" : "Li", "given" : "P.", "non-dropping-particle" : "", "parse-names" : false, "suffix" : "" }, { "dropping-particle" : "", "family" : "Murphy", "given" : "T. H.", "non-dropping-particle" : "", "parse-names" : false, "suffix" : "" }, { "dropping-particle" : "", "family" : "Chen", "given" : "P. C.", "non-dropping-particle" : "", "parse-names" : false, "suffix" : "" }, { "dropping-particle" : "", "family" : "Vargas", "given" : "M. R.", "non-dropping-particle" : "", "parse-names" : false, "suffix" : "" }, { "dropping-particle" : "", "family" : "Pani", "given" : "A. K.", "non-dropping-particle" : "", "parse-names" : false, "suffix" : "" }, { "dropping-particle" : "", "family" : "Smeyne", "given" : "R. J.", "non-dropping-particle" : "", "parse-names" : false, "suffix" : "" }, { "dropping-particle" : "", "family" : "Johnson", "given" : "D. A.", "non-dropping-particle" : "", "parse-names" : false, "suffix" : "" }, { "dropping-particle" : "", "family" : "Kan", "given" : "Y. W.", "non-dropping-particle" : "", "parse-names" : false, "suffix" : "" }, { "dropping-particle" : "", "family" : "Johnson", "given" : "J. A.", "non-dropping-particle" : "", "parse-names" : false, "suffix" : "" }, { "dropping-particle" : "", "family" : "Haskew-Layton", "given" : "R. E.", "non-dropping-particle" : "", "parse-names" : false, "suffix" : "" }, { "dropping-particle" : "", "family" : "Payappilly", "given" : "J. B.", "non-dropping-particle" : "", "parse-names" : false, "suffix" : "" }, { "dropping-particle" : "", "family" : "Smirnova", "given" : "N. A.", "non-dropping-particle" : "", "parse-names" : false, "suffix" : "" }, { "dropping-particle" : "", "family" : "Ma", "given" : "T. C.", "non-dropping-particle" : "", "parse-names" : false, "suffix" : "" }, { "dropping-particle" : "", "family" : "Chan", "given" : "K. K.", "non-dropping-particle" : "", "parse-names" : false, "suffix" : "" }, { "dropping-particle" : "", "family" : "Murphy", "given" : "T. H.", "non-dropping-particle" : "", "parse-names" : false, "suffix" : "" }, { "dropping-particle" : "", "family" : "Guo", "given" : "H.", "non-dropping-particle" : "", "parse-names" : false, "suffix" : "" }, { "dropping-particle" : "", "family" : "Langley", "given" : "B.", "non-dropping-particle" : "", "parse-names" : false, "suffix" : "" }, { "dropping-particle" : "", "family" : "Sultana", "given" : "R.", "non-dropping-particle" : "", "parse-names" : false, "suffix" : "" }, { "dropping-particle" : "", "family" : "Butterfield", "given" : "D. A.", "non-dropping-particle" : "", "parse-names" : false, "suffix" : "" }, { "dropping-particle" : "", "family" : "Bell", "given" : "K. F.", "non-dropping-particle" : "", "parse-names" : false, "suffix" : "" }, { "dropping-particle" : "", "family" : "Al-Mubarak", "given" : "B.", "non-dropping-particle" : "", "parse-names" : false, "suffix" : "" }, { "dropping-particle" : "", "family" : "Fowler", "given" : "J. H.", "non-dropping-particle" : "", "parse-names" : false, "suffix" : "" }, { "dropping-particle" : "", "family" : "Baxter", "given" : "P. S.", "non-dropping-particle" : "", "parse-names" : false, "suffix" : "" }, { "dropping-particle" : "", "family" : "Gupta", "given" : "K.", "non-dropping-particle" : "", "parse-names" : false, "suffix" : "" }, { "dropping-particle" : "", "family" : "Tsujita", "given" : "T.", "non-dropping-particle" : "", "parse-names" : false, "suffix" : "" }, { "dropping-particle" : "", "family" : "Chowdhry", "given" : "S.", "non-dropping-particle" : "", "parse-names" : false, "suffix" : "" }, { "dropping-particle" : "", "family" : "Patani", "given" : "R.", "non-dropping-particle" : "", "parse-names" : false, "suffix" : "" }, { "dropping-particle" : "", "family" : "Chandran", "given" : "S.", "non-dropping-particle" : "", "parse-names" : false, "suffix" : "" }, { "dropping-particle" : "", "family" : "Horsburgh", "given" : "K.", "non-dropping-particle" : "", "parse-names" : false, "suffix" : "" }, { "dropping-particle" : "", "family" : "Johnson", "given" : "D. A.", "non-dropping-particle" : "", "parse-names" : false, "suffix" : "" }, { "dropping-particle" : "", "family" : "Andrews", "given" : "G. K.", "non-dropping-particle" : "", "parse-names" : false, "suffix" : "" }, { "dropping-particle" : "", "family" : "Xu", "given" : "W.", "non-dropping-particle" : "", "parse-names" : false, "suffix" : "" }, { "dropping-particle" : "", "family" : "Johnson", "given" : "J. A.", "non-dropping-particle" : "", "parse-names" : false, "suffix" : "" }, { "dropping-particle" : "", "family" : "Wilde", "given" : "G. J.", "non-dropping-particle" : "", "parse-names" : false, "suffix" : "" }, { "dropping-particle" : "", "family" : "Pringle", "given" : "A. K.", "non-dropping-particle" : "", "parse-names" : false, "suffix" : "" }, { "dropping-particle" : "", "family" : "Wright", "given" : "P.", "non-dropping-particle" : "", "parse-names" : false, "suffix" : "" }, { "dropping-particle" : "", "family" : "Iannotti", "given" : "F.", "non-dropping-particle" : "", "parse-names" : false, "suffix" : "" }, { "dropping-particle" : "", "family" : "Vornov", "given" : "J. J.", "non-dropping-particle" : "", "parse-names" : false, "suffix" : "" }, { "dropping-particle" : "", "family" : "Park", "given" : "J.", "non-dropping-particle" : "", "parse-names" : false, "suffix" : "" }, { "dropping-particle" : "", "family" : "Thomas", "given" : "A. G.", "non-dropping-particle" : "", "parse-names" : false, "suffix" : "" }, { "dropping-particle" : "", "family" : "Semra", "given" : "Y. K.", "non-dropping-particle" : "", "parse-names" : false, "suffix" : "" }, { "dropping-particle" : "", "family" : "Wang", "given" : "M.", "non-dropping-particle" : "", "parse-names" : false, "suffix" : "" }, { "dropping-particle" : "", "family" : "Peat", "given" : "N. J.", "non-dropping-particle" : "", "parse-names" : false, "suffix" : "" }, { "dropping-particle" : "", "family" : "Smith", "given" : "N. C.", "non-dropping-particle" : "", "parse-names" : false, "suffix" : "" }, { "dropping-particle" : "", "family" : "Shotton", "given" : "H. R.", "non-dropping-particle" : "", "parse-names" : false, "suffix" : "" }, { "dropping-particle" : "", "family" : "Lincoln", "given" : "J.", "non-dropping-particle" : "", "parse-names" : false, "suffix" : "" }, { "dropping-particle" : "", "family" : "McCormack", "given" : "A. L.", "non-dropping-particle" : "", "parse-names" : false, "suffix" : "" }, { "dropping-particle" : "", "family" : "Thiruchelvam", "given" : "M.", "non-dropping-particle" : "", "parse-names" : false, "suffix" : "" }, { "dropping-particle" : "", "family" : "Manning-Bog", "given" : "A. B.", "non-dropping-particle" : "", "parse-names" : false, "suffix" : "" }, { "dropping-particle" : "", "family" : "Thiffault", "given" : "C.", "non-dropping-particle" : "", "parse-names" : false, "suffix" : "" }, { "dropping-particle" : "", "family" : "Langston", "given" : "J. W.", "non-dropping-particle" : "", "parse-names" : false, "suffix" : "" }, { "dropping-particle" : "", "family" : "Cory-Slechta", "given" : "D. A.", "non-dropping-particle" : "", "parse-names" : false, "suffix" : "" }, { "dropping-particle" : "Di", "family" : "Monte", "given" : "D. A.", "non-dropping-particle" : "", "parse-names" : false, "suffix" : "" }, { "dropping-particle" : "", "family" : "Shakya", "given" : "A.", "non-dropping-particle" : "", "parse-names" : false, "suffix" : "" }, { "dropping-particle" : "", "family" : "Cooksey", "given" : "R.", "non-dropping-particle" : "", "parse-names" : false, "suffix" : "" }, { "dropping-particle" : "", "family" : "Cox", "given" : "J. E.", "non-dropping-particle" : "", "parse-names" : false, "suffix" : "" }, { "dropping-particle" : "", "family" : "Wang", "given" : "V.", "non-dropping-particle" : "", "parse-names" : false, "suffix" : "" }, { "dropping-particle" : "", "family" : "McClain", "given" : "D. A.", "non-dropping-particle" : "", "parse-names" : false, "suffix" : "" }, { "dropping-particle" : "", "family" : "Tantin", "given" : "D.", "non-dropping-particle" : "", "parse-names" : false, "suffix" : "" }, { "dropping-particle" : "", "family" : "Kristensen", "given" : "B. W.", "non-dropping-particle" : "", "parse-names" : false, "suffix" : "" }, { "dropping-particle" : "", "family" : "Noraberg", "given" : "J.", "non-dropping-particle" : "", "parse-names" : false, "suffix" : "" }, { "dropping-particle" : "", "family" : "Zimmer", "given" : "J.", "non-dropping-particle" : "", "parse-names" : false, "suffix" : "" }, { "dropping-particle" : "", "family" : "Tasker", "given" : "R. C.", "non-dropping-particle" : "", "parse-names" : false, "suffix" : "" }, { "dropping-particle" : "", "family" : "Coyle", "given" : "J. T.", "non-dropping-particle" : "", "parse-names" : false, "suffix" : "" }, { "dropping-particle" : "", "family" : "Vornov", "given" : "J. J.", "non-dropping-particle" : "", "parse-names" : false, "suffix" : "" }, { "dropping-particle" : "", "family" : "Schmidt-Kastner", "given" : "R.", "non-dropping-particle" : "", "parse-names" : false, "suffix" : "" }, { "dropping-particle" : "", "family" : "Freund", "given" : "T. F.", "non-dropping-particle" : "", "parse-names" : false, "suffix" : "" }, { "dropping-particle" : "", "family" : "Rytter", "given" : "A.", "non-dropping-particle" : "", "parse-names" : false, "suffix" : "" }, { "dropping-particle" : "", "family" : "Cronberg", "given" : "T.", "non-dropping-particle" : "", "parse-names" : false, "suffix" : "" }, { "dropping-particle" : "", "family" : "Asztely", "given" : "F.", "non-dropping-particle" : "", "parse-names" : false, "suffix" : "" }, { "dropping-particle" : "", "family" : "Nemali", "given" : "S.", "non-dropping-particle" : "", "parse-names" : false, "suffix" : "" }, { "dropping-particle" : "", "family" : "Wieloch", "given" : "T.", "non-dropping-particle" : "", "parse-names" : false, "suffix" : "" }, { "dropping-particle" : "", "family" : "Scarpulla", "given" : "R. C.", "non-dropping-particle" : "", "parse-names" : false, "suffix" : "" }, { "dropping-particle" : "", "family" : "St-Pierre", "given" : "J.", "non-dropping-particle" : "", "parse-names" : false, "suffix" : "" }, { "dropping-particle" : "", "family" : "Drori", "given" : "S.", "non-dropping-particle" : "", "parse-names" : false, "suffix" : "" }, { "dropping-particle" : "", "family" : "Uldry", "given" : "M.", "non-dropping-particle" : "", "parse-names" : false, "suffix" : "" }, { "dropping-particle" : "", "family" : "Silvaggi", "given" : "J. M.", "non-dropping-particle" : "", "parse-names" : false, "suffix" : "" }, { "dropping-particle" : "", "family" : "Rhee", "given" : "J.", "non-dropping-particle" : "", "parse-names" : false, "suffix" : "" }, { "dropping-particle" : "", "family" : "Jager", "given" : "S.", "non-dropping-particle" : "", "parse-names" : false, "suffix" : "" }, { "dropping-particle" : "", "family" : "Handschin", "given" : "C.", "non-dropping-particle" : "", "parse-names" : false, "suffix" : "" }, { "dropping-particle" : "", "family" : "Zheng", "given" : "K.", "non-dropping-particle" : "", "parse-names" : false, "suffix" : "" }, { "dropping-particle" : "", "family" : "Lin", "given" : "J.", "non-dropping-particle" : "", "parse-names" : false, "suffix" : "" }, { "dropping-particle" : "", "family" : "Yang", "given" : "W.", "non-dropping-particle" : "", "parse-names" : false, "suffix" : "" }, { "dropping-particle" : "", "family" : "Weydt", "given" : "P.", "non-dropping-particle" : "", "parse-names" : false, "suffix" : "" }, { "dropping-particle" : "V.", "family" : "Pineda", "given" : "V.", "non-dropping-particle" : "", "parse-names" : false, "suffix" : "" }, { "dropping-particle" : "", "family" : "Torrence", "given" : "A. E.", "non-dropping-particle" : "", "parse-names" : false, "suffix" : "" }, { "dropping-particle" : "", "family" : "Libby", "given" : "R. T.", "non-dropping-particle" : "", "parse-names" : false, "suffix" : "" }, { "dropping-particle" : "", "family" : "Satterfield", "given" : "T. F.", "non-dropping-particle" : "", "parse-names" : false, "suffix" : "" }, { "dropping-particle" : "", "family" : "Lazarowski", "given" : "E. R.", "non-dropping-particle" : "", "parse-names" : false, "suffix" : "" }, { "dropping-particle" : "", "family" : "Gilbert", "given" : "M. L.", "non-dropping-particle" : "", "parse-names" : false, "suffix" : "" }, { "dropping-particle" : "", "family" : "Morton", "given" : "G. J.", "non-dropping-particle" : "", "parse-names" : false, "suffix" : "" }, { "dropping-particle" : "", "family" : "Bammler", "given" : "T. K.", "non-dropping-particle" : "", "parse-names" : false, "suffix" : "" }, { "dropping-particle" : "", "family" : "Strand", "given" : "A. D.", "non-dropping-particle" : "", "parse-names" : false, "suffix" : "" }, { "dropping-particle" : "", "family" : "Cui", "given" : "L.", "non-dropping-particle" : "", "parse-names" : false, "suffix" : "" }, { "dropping-particle" : "", "family" : "Jeong", "given" : "H.", "non-dropping-particle" : "", "parse-names" : false, "suffix" : "" }, { "dropping-particle" : "", "family" : "Borovecki", "given" : "F.", "non-dropping-particle" : "", "parse-names" : false, "suffix" : "" }, { "dropping-particle" : "", "family" : "Parkhurst", "given" : "C. N.", "non-dropping-particle" : "", "parse-names" : false, "suffix" : "" }, { "dropping-particle" : "", "family" : "Tanese", "given" : "N.", "non-dropping-particle" : "", "parse-names" : false, "suffix" : "" }, { "dropping-particle" : "", "family" : "Krainc", "given" : "D.", "non-dropping-particle" : "", "parse-names" : false, "suffix" : "" }, { "dropping-particle" : "", "family" : "McGill", "given" : "J. K.", "non-dropping-particle" : "", "parse-names" : false, "suffix" : "" }, { "dropping-particle" : "", "family" : "Beal", "given" : "M. F.", "non-dropping-particle" : "", "parse-names" : false, "suffix" : "" }, { "dropping-particle" : "", "family" : "Qin", "given" : "W.", "non-dropping-particle" : "", "parse-names" : false, "suffix" : "" }, { "dropping-particle" : "", "family" : "Haroutunian", "given" : "V.", "non-dropping-particle" : "", "parse-names" : false, "suffix" : "" }, { "dropping-particle" : "", "family" : "Katsel", "given" : "P.", "non-dropping-particle" : "", "parse-names" : false, "suffix" : "" }, { "dropping-particle" : "", "family" : "Cardozo", "given" : "C. P.", "non-dropping-particle" : "", "parse-names" : false, "suffix" : "" }, { "dropping-particle" : "", "family" : "Ho", "given" : "L.", "non-dropping-particle" : "", "parse-names" : false, "suffix" : "" }, { "dropping-particle" : "", "family" : "Buxbaum", "given" : "J. D.", "non-dropping-particle" : "", "parse-names" : false, "suffix" : "" }, { "dropping-particle" : "", "family" : "Pasinetti", "given" : "G. M.", "non-dropping-particle" : "", "parse-names" : false, "suffix" : "" }, { "dropping-particle" : "", "family" : "Schapira", "given" : "A. H.", "non-dropping-particle" : "", "parse-names" : false, "suffix" : "" }, { "dropping-particle" : "", "family" : "Mitrovic", "given" : "B.", "non-dropping-particle" : "", "parse-names" : false, "suffix" : "" }, { "dropping-particle" : "", "family" : "Ignarro", "given" : "L. J.", "non-dropping-particle" : "", "parse-names" : false, "suffix" : "" }, { "dropping-particle" : "", "family" : "Montestruque", "given" : "S.", "non-dropping-particle" : "", "parse-names" : false, "suffix" : "" }, { "dropping-particle" : "", "family" : "Smoll", "given" : "A.", "non-dropping-particle" : "", "parse-names" : false, "suffix" : "" }, { "dropping-particle" : "", "family" : "Merrill", "given" : "J. E.", "non-dropping-particle" : "", "parse-names" : false, "suffix" : "" }, { "dropping-particle" : "", "family" : "Barker", "given" : "J. E.", "non-dropping-particle" : "", "parse-names" : false, "suffix" : "" }, { "dropping-particle" : "", "family" : "Bola\u00f1os", "given" : "J. P.", "non-dropping-particle" : "", "parse-names" : false, "suffix" : "" }, { "dropping-particle" : "", "family" : "Land", "given" : "J. M.", "non-dropping-particle" : "", "parse-names" : false, "suffix" : "" }, { "dropping-particle" : "", "family" : "Clark", "given" : "J. B.", "non-dropping-particle" : "", "parse-names" : false, "suffix" : "" }, { "dropping-particle" : "", "family" : "Heales", "given" : "S. J. R.", "non-dropping-particle" : "", "parse-names" : false, "suffix" : "" }, { "dropping-particle" : "", "family" : "Diaz-Hernandez", "given" : "J. I.", "non-dropping-particle" : "", "parse-names" : false, "suffix" : "" }, { "dropping-particle" : "", "family" : "Almeida", "given" : "A.", "non-dropping-particle" : "", "parse-names" : false, "suffix" : "" }, { "dropping-particle" : "", "family" : "Delgado-Esteban", "given" : "M.", "non-dropping-particle" : "", "parse-names" : false, "suffix" : "" }, { "dropping-particle" : "", "family" : "Fernandez", "given" : "E.", "non-dropping-particle" : "", "parse-names" : false, "suffix" : "" }, { "dropping-particle" : "", "family" : "Bolanos", "given" : "J. P.", "non-dropping-particle" : "", "parse-names" : false, "suffix" : "" }, { "dropping-particle" : "", "family" : "Hirrlinger", "given" : "J.", "non-dropping-particle" : "", "parse-names" : false, "suffix" : "" }, { "dropping-particle" : "", "family" : "Schulz", "given" : "J. B.", "non-dropping-particle" : "", "parse-names" : false, "suffix" : "" }, { "dropping-particle" : "", "family" : "Dringen", "given" : "R.", "non-dropping-particle" : "", "parse-names" : false, "suffix" : "" }, { "dropping-particle" : "", "family" : "Dringen", "given" : "R.", "non-dropping-particle" : "", "parse-names" : false, "suffix" : "" }, { "dropping-particle" : "", "family" : "Pfeiffer", "given" : "B.", "non-dropping-particle" : "", "parse-names" : false, "suffix" : "" }, { "dropping-particle" : "", "family" : "Hamprecht", "given" : "B.", "non-dropping-particle" : "", "parse-names" : false, "suffix" : "" }, { "dropping-particle" : "", "family" : "Vargas", "given" : "M. R.", "non-dropping-particle" : "", "parse-names" : false, "suffix" : "" }, { "dropping-particle" : "", "family" : "Johnson", "given" : "D. A.", "non-dropping-particle" : "", "parse-names" : false, "suffix" : "" }, { "dropping-particle" : "", "family" : "Sirkis", "given" : "D. W.", "non-dropping-particle" : "", "parse-names" : false, "suffix" : "" }, { "dropping-particle" : "", "family" : "Messing", "given" : "A.", "non-dropping-particle" : "", "parse-names" : false, "suffix" : "" }, { "dropping-particle" : "", "family" : "Johnson", "given" : "J. A.", "non-dropping-particle" : "", "parse-names" : false, "suffix" : "" }, { "dropping-particle" : "", "family" : "Chinta", "given" : "S. J.", "non-dropping-particle" : "", "parse-names" : false, "suffix" : "" }, { "dropping-particle" : "", "family" : "Kumar", "given" : "M. J.", "non-dropping-particle" : "", "parse-names" : false, "suffix" : "" }, { "dropping-particle" : "", "family" : "Hsu", "given" : "M.", "non-dropping-particle" : "", "parse-names" : false, "suffix" : "" }, { "dropping-particle" : "", "family" : "Rajagopalan", "given" : "S.", "non-dropping-particle" : "", "parse-names" : false, "suffix" : "" }, { "dropping-particle" : "", "family" : "Kaur", "given" : "D.", "non-dropping-particle" : "", "parse-names" : false, "suffix" : "" }, { "dropping-particle" : "", "family" : "Rane", "given" : "A.", "non-dropping-particle" : "", "parse-names" : false, "suffix" : "" }, { "dropping-particle" : "", "family" : "Nicholls", "given" : "D. G.", "non-dropping-particle" : "", "parse-names" : false, "suffix" : "" }, { "dropping-particle" : "", "family" : "Choi", "given" : "J.", "non-dropping-particle" : "", "parse-names" : false, "suffix" : "" }, { "dropping-particle" : "", "family" : "Andersen", "given" : "J. K.", "non-dropping-particle" : "", "parse-names" : false, "suffix" : "" }, { "dropping-particle" : "", "family" : "Garrido", "given" : "M.", "non-dropping-particle" : "", "parse-names" : false, "suffix" : "" }, { "dropping-particle" : "", "family" : "Tereshchenko", "given" : "Y.", "non-dropping-particle" : "", "parse-names" : false, "suffix" : "" }, { "dropping-particle" : "", "family" : "Zhevtsova", "given" : "Z.", "non-dropping-particle" : "", "parse-names" : false, "suffix" : "" }, { "dropping-particle" : "", "family" : "Taschenberger", "given" : "G.", "non-dropping-particle" : "", "parse-names" : false, "suffix" : "" }, { "dropping-particle" : "", "family" : "Bahr", "given" : "M.", "non-dropping-particle" : "", "parse-names" : false, "suffix" : "" }, { "dropping-particle" : "", "family" : "Kugler", "given" : "S.", "non-dropping-particle" : "", "parse-names" : false, "suffix" : "" }, { "dropping-particle" : "", "family" : "Garcia-Nogales", "given" : "P.", "non-dropping-particle" : "", "parse-names" : false, "suffix" : "" }, { "dropping-particle" : "", "family" : "Almeida", "given" : "A.", "non-dropping-particle" : "", "parse-names" : false, "suffix" : "" }, { "dropping-particle" : "", "family" : "Bolanos", "given" : "J. P.", "non-dropping-particle" : "", "parse-names" : false, "suffix" : "" }, { "dropping-particle" : "", "family" : "Bola\u00f1os", "given" : "J. P.", "non-dropping-particle" : "", "parse-names" : false, "suffix" : "" }, { "dropping-particle" : "", "family" : "Almeida", "given" : "A.", "non-dropping-particle" : "", "parse-names" : false, "suffix" : "" }, { "dropping-particle" : "", "family" : "Vogel", "given" : "R.", "non-dropping-particle" : "", "parse-names" : false, "suffix" : "" }, { "dropping-particle" : "", "family" : "Wiesinger", "given" : "H.", "non-dropping-particle" : "", "parse-names" : false, "suffix" : "" }, { "dropping-particle" : "", "family" : "Hamprecht", "given" : "B.", "non-dropping-particle" : "", "parse-names" : false, "suffix" : "" }, { "dropping-particle" : "", "family" : "Dringen", "given" : "R.", "non-dropping-particle" : "", "parse-names" : false, "suffix" : "" }, { "dropping-particle" : "", "family" : "Hirrlinger", "given" : "J.", "non-dropping-particle" : "", "parse-names" : false, "suffix" : "" }, { "dropping-particle" : "", "family" : "Dringen", "given" : "R.", "non-dropping-particle" : "", "parse-names" : false, "suffix" : "" }, { "dropping-particle" : "", "family" : "Wamelink", "given" : "M. M.", "non-dropping-particle" : "", "parse-names" : false, "suffix" : "" }, { "dropping-particle" : "", "family" : "Struys", "given" : "E. A.", "non-dropping-particle" : "", "parse-names" : false, "suffix" : "" }, { "dropping-particle" : "", "family" : "Jakobs", "given" : "C.", "non-dropping-particle" : "", "parse-names" : false, "suffix" : "" }, { "dropping-particle" : "", "family" : "Herrero-Mendez", "given" : "A.", "non-dropping-particle" : "", "parse-names" : false, "suffix" : "" }, { "dropping-particle" : "", "family" : "Almeida", "given" : "A.", "non-dropping-particle" : "", "parse-names" : false, "suffix" : "" }, { "dropping-particle" : "", "family" : "Fernandez", "given" : "E.", "non-dropping-particle" : "", "parse-names" : false, "suffix" : "" }, { "dropping-particle" : "", "family" : "Maestre", "given" : "C.", "non-dropping-particle" : "", "parse-names" : false, "suffix" : "" }, { "dropping-particle" : "", "family" : "Moncada", "given" : "S.", "non-dropping-particle" : "", "parse-names" : false, "suffix" : "" }, { "dropping-particle" : "", "family" : "Bola\u00f1os", "given" : "J. P.", "non-dropping-particle" : "", "parse-names" : false, "suffix" : "" }, { "dropping-particle" : "", "family" : "Diaz-Hernandez", "given" : "J. I.", "non-dropping-particle" : "", "parse-names" : false, "suffix" : "" }, { "dropping-particle" : "", "family" : "Moncada", "given" : "S.", "non-dropping-particle" : "", "parse-names" : false, "suffix" : "" }, { "dropping-particle" : "", "family" : "Bola\u00f1os", "given" : "J. P.", "non-dropping-particle" : "", "parse-names" : false, "suffix" : "" }, { "dropping-particle" : "", "family" : "Almeida", "given" : "A.", "non-dropping-particle" : "", "parse-names" : false, "suffix" : "" }, { "dropping-particle" : "V.", "family" : "Eggleston", "given" : "L.", "non-dropping-particle" : "", "parse-names" : false, "suffix" : "" }, { "dropping-particle" : "", "family" : "Krebs", "given" : "H. A.", "non-dropping-particle" : "", "parse-names" : false, "suffix" : "" }, { "dropping-particle" : "", "family" : "Ben-Yoseph", "given" : "O.", "non-dropping-particle" : "", "parse-names" : false, "suffix" : "" }, { "dropping-particle" : "", "family" : "Boxer", "given" : "P. A.", "non-dropping-particle" : "", "parse-names" : false, "suffix" : "" }, { "dropping-particle" : "", "family" : "Ross", "given" : "B. D.", "non-dropping-particle" : "", "parse-names" : false, "suffix" : "" }, { "dropping-particle" : "", "family" : "Delgado-Esteban", "given" : "M.", "non-dropping-particle" : "", "parse-names" : false, "suffix" : "" }, { "dropping-particle" : "", "family" : "Almeida", "given" : "A.", "non-dropping-particle" : "", "parse-names" : false, "suffix" : "" }, { "dropping-particle" : "", "family" : "Bola\u00f1os", "given" : "J. P.", "non-dropping-particle" : "", "parse-names" : false, "suffix" : "" }, { "dropping-particle" : "", "family" : "Silverman", "given" : "D. H.", "non-dropping-particle" : "", "parse-names" : false, "suffix" : "" }, { "dropping-particle" : "", "family" : "Small", "given" : "G. W.", "non-dropping-particle" : "", "parse-names" : false, "suffix" : "" }, { "dropping-particle" : "", "family" : "Chang", "given" : "C. Y.", "non-dropping-particle" : "", "parse-names" : false, "suffix" : "" }, { "dropping-particle" : "", "family" : "Lu", "given" : "C. S.", "non-dropping-particle" : "", "parse-names" : false, "suffix" : "" }, { "dropping-particle" : "De", "family" : "Aburto", "given" : "M. A. Kung", "non-dropping-particle" : "", "parse-names" : false, "suffix" : "" }, { "dropping-particle" : "", "family" : "Chen", "given" : "W.", "non-dropping-particle" : "", "parse-names" : false, "suffix" : "" }, { "dropping-particle" : "", "family" : "Czernin", "given" : "J.", "non-dropping-particle" : "", "parse-names" : false, "suffix" : "" }, { "dropping-particle" : "", "family" : "Rapoport", "given" : "S. I.", "non-dropping-particle" : "", "parse-names" : false, "suffix" : "" }, { "dropping-particle" : "", "family" : "Pietrini", "given" : "P.", "non-dropping-particle" : "", "parse-names" : false, "suffix" : "" }, { "dropping-particle" : "", "family" : "Alexander", "given" : "G. E.", "non-dropping-particle" : "", "parse-names" : false, "suffix" : "" }, { "dropping-particle" : "", "family" : "Soucek", "given" : "T.", "non-dropping-particle" : "", "parse-names" : false, "suffix" : "" }, { "dropping-particle" : "", "family" : "Cumming", "given" : "R.", "non-dropping-particle" : "", "parse-names" : false, "suffix" : "" }, { "dropping-particle" : "", "family" : "Dargusch", "given" : "R.", "non-dropping-particle" : "", "parse-names" : false, "suffix" : "" }, { "dropping-particle" : "", "family" : "Maher", "given" : "P.", "non-dropping-particle" : "", "parse-names" : false, "suffix" : "" }, { "dropping-particle" : "", "family" : "Schubert", "given" : "D.", "non-dropping-particle" : "", "parse-names" : false, "suffix" : "" }, { "dropping-particle" : "", "family" : "Russell", "given" : "R. L.", "non-dropping-particle" : "", "parse-names" : false, "suffix" : "" }, { "dropping-particle" : "", "family" : "Siedlak", "given" : "S. L.", "non-dropping-particle" : "", "parse-names" : false, "suffix" : "" }, { "dropping-particle" : "", "family" : "Raina", "given" : "A. K.", "non-dropping-particle" : "", "parse-names" : false, "suffix" : "" }, { "dropping-particle" : "", "family" : "Bautista", "given" : "J. M.", "non-dropping-particle" : "", "parse-names" : false, "suffix" : "" }, { "dropping-particle" : "", "family" : "Smith", "given" : "M. A.", "non-dropping-particle" : "", "parse-names" : false, "suffix" : "" }, { "dropping-particle" : "", "family" : "Perry", "given" : "G.", "non-dropping-particle" : "", "parse-names" : false, "suffix" : "" }, { "dropping-particle" : "", "family" : "Palmer", "given" : "A. M.", "non-dropping-particle" : "", "parse-names" : false, "suffix" : "" }, { "dropping-particle" : "", "family" : "Ferreira", "given" : "I. L.", "non-dropping-particle" : "", "parse-names" : false, "suffix" : "" }, { "dropping-particle" : "", "family" : "Cunha-Oliveira", "given" : "T.", "non-dropping-particle" : "", "parse-names" : false, "suffix" : "" }, { "dropping-particle" : "V.", "family" : "Nascimento", "given" : "M.", "non-dropping-particle" : "", "parse-names" : false, "suffix" : "" }, { "dropping-particle" : "", "family" : "Ribeiro", "given" : "M.", "non-dropping-particle" : "", "parse-names" : false, "suffix" : "" }, { "dropping-particle" : "", "family" : "Proenca", "given" : "M. T.", "non-dropping-particle" : "", "parse-names" : false, "suffix" : "" }, { "dropping-particle" : "", "family" : "Januario", "given" : "C.", "non-dropping-particle" : "", "parse-names" : false, "suffix" : "" }, { "dropping-particle" : "", "family" : "Oliveira", "given" : "C. R.", "non-dropping-particle" : "", "parse-names" : false, "suffix" : "" }, { "dropping-particle" : "", "family" : "Rego", "given" : "A. C.", "non-dropping-particle" : "", "parse-names" : false, "suffix" : "" }, { "dropping-particle" : "", "family" : "Hardie", "given" : "D. G.", "non-dropping-particle" : "", "parse-names" : false, "suffix" : "" }, { "dropping-particle" : "", "family" : "Carling", "given" : "D.", "non-dropping-particle" : "", "parse-names" : false, "suffix" : "" }, { "dropping-particle" : "", "family" : "Sim", "given" : "A. T. R.", "non-dropping-particle" : "", "parse-names" : false, "suffix" : "" }, { "dropping-particle" : "", "family" : "Almeida", "given" : "A.", "non-dropping-particle" : "", "parse-names" : false, "suffix" : "" }, { "dropping-particle" : "", "family" : "Moncada", "given" : "S.", "non-dropping-particle" : "", "parse-names" : false, "suffix" : "" }, { "dropping-particle" : "", "family" : "Bola\u00f1os", "given" : "J. P.", "non-dropping-particle" : "", "parse-names" : false, "suffix" : "" }, { "dropping-particle" : "", "family" : "Ventura", "given" : "F. J. L. R.", "non-dropping-particle" : "", "parse-names" : false, "suffix" : "" }, { "dropping-particle" : "", "family" : "Ambrosio", "given" : "S.", "non-dropping-particle" : "", "parse-names" : false, "suffix" : "" }, { "dropping-particle" : "", "family" : "Gil", "given" : "J.", "non-dropping-particle" : "", "parse-names" : false, "suffix" : "" }, { "dropping-particle" : "", "family" : "Bartrons", "given" : "R.", "non-dropping-particle" : "", "parse-names" : false, "suffix" : "" }, { "dropping-particle" : "", "family" : "Budd", "given" : "S. L.", "non-dropping-particle" : "", "parse-names" : false, "suffix" : "" }, { "dropping-particle" : "", "family" : "Nicholls", "given" : "D. G.", "non-dropping-particle" : "", "parse-names" : false, "suffix" : "" }, { "dropping-particle" : "", "family" : "Kauppinen", "given" : "R. A.", "non-dropping-particle" : "", "parse-names" : false, "suffix" : "" }, { "dropping-particle" : "", "family" : "Nicholls", "given" : "D. G.", "non-dropping-particle" : "", "parse-names" : false, "suffix" : "" }, { "dropping-particle" : "", "family" : "Choi", "given" : "S. W.", "non-dropping-particle" : "", "parse-names" : false, "suffix" : "" }, { "dropping-particle" : "", "family" : "Gerencser", "given" : "A. A.", "non-dropping-particle" : "", "parse-names" : false, "suffix" : "" }, { "dropping-particle" : "", "family" : "Nicholls", "given" : "D. G.", "non-dropping-particle" : "", "parse-names" : false, "suffix" : "" }, { "dropping-particle" : "", "family" : "Xu", "given" : "Y.", "non-dropping-particle" : "", "parse-names" : false, "suffix" : "" }, { "dropping-particle" : "", "family" : "Ola", "given" : "M. S.", "non-dropping-particle" : "", "parse-names" : false, "suffix" : "" }, { "dropping-particle" : "", "family" : "Berkich", "given" : "D. A.", "non-dropping-particle" : "", "parse-names" : false, "suffix" : "" }, { "dropping-particle" : "", "family" : "Gardner", "given" : "T. W.", "non-dropping-particle" : "", "parse-names" : false, "suffix" : "" }, { "dropping-particle" : "", "family" : "Barber", "given" : "A. J.", "non-dropping-particle" : "", "parse-names" : false, "suffix" : "" }, { "dropping-particle" : "", "family" : "Palmieri", "given" : "F.", "non-dropping-particle" : "", "parse-names" : false, "suffix" : "" }, { "dropping-particle" : "", "family" : "Hutson", "given" : "S. M.", "non-dropping-particle" : "", "parse-names" : false, "suffix" : "" }, { "dropping-particle" : "", "family" : "LaNoue", "given" : "K. F.", "non-dropping-particle" : "", "parse-names" : false, "suffix" : "" }, { "dropping-particle" : "", "family" : "Bringmann", "given" : "A.", "non-dropping-particle" : "", "parse-names" : false, "suffix" : "" }, { "dropping-particle" : "", "family" : "Pannicke", "given" : "T.", "non-dropping-particle" : "", "parse-names" : false, "suffix" : "" }, { "dropping-particle" : "", "family" : "Biedermann", "given" : "B.", "non-dropping-particle" : "", "parse-names" : false, "suffix" : "" }, { "dropping-particle" : "", "family" : "Francke", "given" : "M.", "non-dropping-particle" : "", "parse-names" : false, "suffix" : "" }, { "dropping-particle" : "", "family" : "Iandiev", "given" : "I.", "non-dropping-particle" : "", "parse-names" : false, "suffix" : "" }, { "dropping-particle" : "", "family" : "Grosche", "given" : "J.", "non-dropping-particle" : "", "parse-names" : false, "suffix" : "" }, { "dropping-particle" : "", "family" : "Wiedemann", "given" : "P.", "non-dropping-particle" : "", "parse-names" : false, "suffix" : "" }, { "dropping-particle" : "", "family" : "Albrecht", "given" : "J.", "non-dropping-particle" : "", "parse-names" : false, "suffix" : "" }, { "dropping-particle" : "", "family" : "Reichenbach", "given" : "A.", "non-dropping-particle" : "", "parse-names" : false, "suffix" : "" }, { "dropping-particle" : "", "family" : "Gleichmann", "given" : "M.", "non-dropping-particle" : "", "parse-names" : false, "suffix" : "" }, { "dropping-particle" : "", "family" : "Collis", "given" : "L. P.", "non-dropping-particle" : "", "parse-names" : false, "suffix" : "" }, { "dropping-particle" : "", "family" : "Smith", "given" : "P. J.", "non-dropping-particle" : "", "parse-names" : false, "suffix" : "" }, { "dropping-particle" : "", "family" : "Mattson", "given" : "M. P.", "non-dropping-particle" : "", "parse-names" : false, "suffix" : "" }, { "dropping-particle" : "", "family" : "Kasischke", "given" : "K. A.", "non-dropping-particle" : "", "parse-names" : false, "suffix" : "" }, { "dropping-particle" : "", "family" : "Vishwasrao", "given" : "H. D.", "non-dropping-particle" : "", "parse-names" : false, "suffix" : "" }, { "dropping-particle" : "", "family" : "Fisher", "given" : "P. J.", "non-dropping-particle" : "", "parse-names" : false, "suffix" : "" }, { "dropping-particle" : "", "family" : "Zipfel", "given" : "W. R.", "non-dropping-particle" : "", "parse-names" : false, "suffix" : "" }, { "dropping-particle" : "", "family" : "Webb", "given" : "W. W.", "non-dropping-particle" : "", "parse-names" : false, "suffix" : "" }, { "dropping-particle" : "", "family" : "Porras", "given" : "O. H.", "non-dropping-particle" : "", "parse-names" : false, "suffix" : "" }, { "dropping-particle" : "", "family" : "Loaiza", "given" : "A.", "non-dropping-particle" : "", "parse-names" : false, "suffix" : "" }, { "dropping-particle" : "", "family" : "Barros", "given" : "L. F.", "non-dropping-particle" : "", "parse-names" : false, "suffix" : "" }, { "dropping-particle" : "", "family" : "Almeida", "given" : "A.", "non-dropping-particle" : "", "parse-names" : false, "suffix" : "" }, { "dropping-particle" : "", "family" : "Bolanos", "given" : "J. P.", "non-dropping-particle" : "", "parse-names" : false, "suffix" : "" }, { "dropping-particle" : "", "family" : "Moreno", "given" : "S.", "non-dropping-particle" : "", "parse-names" : false, "suffix" : "" }, { "dropping-particle" : "", "family" : "Pellerin", "given" : "L.", "non-dropping-particle" : "", "parse-names" : false, "suffix" : "" }, { "dropping-particle" : "", "family" : "Magistretti", "given" : "P. J.", "non-dropping-particle" : "", "parse-names" : false, "suffix" : "" }, { "dropping-particle" : "", "family" : "Bittner", "given" : "C. X.", "non-dropping-particle" : "", "parse-names" : false, "suffix" : "" }, { "dropping-particle" : "", "family" : "Valdebenito", "given" : "R.", "non-dropping-particle" : "", "parse-names" : false, "suffix" : "" }, { "dropping-particle" : "", "family" : "Ruminot", "given" : "I.", "non-dropping-particle" : "", "parse-names" : false, "suffix" : "" }, { "dropping-particle" : "", "family" : "Loaiza", "given" : "A.", "non-dropping-particle" : "", "parse-names" : false, "suffix" : "" }, { "dropping-particle" : "", "family" : "Larenas", "given" : "V.", "non-dropping-particle" : "", "parse-names" : false, "suffix" : "" }, { "dropping-particle" : "", "family" : "Sotelo-Hitschfeld", "given" : "T.", "non-dropping-particle" : "", "parse-names" : false, "suffix" : "" }, { "dropping-particle" : "", "family" : "Moldenhauer", "given" : "H.", "non-dropping-particle" : "", "parse-names" : false, "suffix" : "" }, { "dropping-particle" : "", "family" : "Martin", "given" : "A. San", "non-dropping-particle" : "", "parse-names" : false, "suffix" : "" }, { "dropping-particle" : "", "family" : "Gutierrez", "given" : "R.", "non-dropping-particle" : "", "parse-names" : false, "suffix" : "" }, { "dropping-particle" : "", "family" : "Zambrano", "given" : "M.", "non-dropping-particle" : "", "parse-names" : false, "suffix" : "" }, { "dropping-particle" : "", "family" : "Barros", "given" : "L. F.", "non-dropping-particle" : "", "parse-names" : false, "suffix" : "" }, { "dropping-particle" : "", "family" : "Pellerin", "given" : "L.", "non-dropping-particle" : "", "parse-names" : false, "suffix" : "" }, { "dropping-particle" : "", "family" : "Pellegri", "given" : "G.", "non-dropping-particle" : "", "parse-names" : false, "suffix" : "" }, { "dropping-particle" : "", "family" : "Bittar", "given" : "P. G.", "non-dropping-particle" : "", "parse-names" : false, "suffix" : "" }, { "dropping-particle" : "", "family" : "Charnay", "given" : "Y.", "non-dropping-particle" : "", "parse-names" : false, "suffix" : "" }, { "dropping-particle" : "", "family" : "Bouras", "given" : "C.", "non-dropping-particle" : "", "parse-names" : false, "suffix" : "" }, { "dropping-particle" : "", "family" : "Martin", "given" : "J. L.", "non-dropping-particle" : "", "parse-names" : false, "suffix" : "" }, { "dropping-particle" : "", "family" : "Stella", "given" : "N.", "non-dropping-particle" : "", "parse-names" : false, "suffix" : "" }, { "dropping-particle" : "", "family" : "Magistretti", "given" : "P. J.", "non-dropping-particle" : "", "parse-names" : false, "suffix" : "" }, { "dropping-particle" : "", "family" : "Schurr", "given" : "A.", "non-dropping-particle" : "", "parse-names" : false, "suffix" : "" }, { "dropping-particle" : "", "family" : "Suzuki", "given" : "A.", "non-dropping-particle" : "", "parse-names" : false, "suffix" : "" }, { "dropping-particle" : "", "family" : "Stern", "given" : "S. A.", "non-dropping-particle" : "", "parse-names" : false, "suffix" : "" }, { "dropping-particle" : "", "family" : "Bozdagi", "given" : "O.", "non-dropping-particle" : "", "parse-names" : false, "suffix" : "" }, { "dropping-particle" : "", "family" : "Huntley", "given" : "G. W.", "non-dropping-particle" : "", "parse-names" : false, "suffix" : "" }, { "dropping-particle" : "", "family" : "Walker", "given" : "R. H.", "non-dropping-particle" : "", "parse-names" : false, "suffix" : "" }, { "dropping-particle" : "", "family" : "Magistretti", "given" : "P. J.", "non-dropping-particle" : "", "parse-names" : false, "suffix" : "" }, { "dropping-particle" : "", "family" : "Alberini", "given" : "C. M.", "non-dropping-particle" : "", "parse-names" : false, "suffix" : "" }, { "dropping-particle" : "", "family" : "Magistretti", "given" : "P. J.", "non-dropping-particle" : "", "parse-names" : false, "suffix" : "" }, { "dropping-particle" : "", "family" : "Hertz", "given" : "L.", "non-dropping-particle" : "", "parse-names" : false, "suffix" : "" }, { "dropping-particle" : "", "family" : "Peng", "given" : "L.", "non-dropping-particle" : "", "parse-names" : false, "suffix" : "" }, { "dropping-particle" : "", "family" : "Dienel", "given" : "G. A.", "non-dropping-particle" : "", "parse-names" : false, "suffix" : "" }, { "dropping-particle" : "", "family" : "Figley", "given" : "C. R.", "non-dropping-particle" : "", "parse-names" : false, "suffix" : "" } ], "container-title" : "The Biochemical journal", "id" : "ITEM-1", "issue" : "1", "issued" : { "date-parts" : [ [ "2012", "4", "1" ] ] }, "page" : "3-11", "publisher" : "Portland Press Limited", "title" : "Antioxidant and bioenergetic coupling between neurons and astrocytes.", "type" : "article-journal", "volume" : "443" }, "uris" : [ "http://www.mendeley.com/documents/?uuid=e47a740b-e7e0-35a6-9bb6-67cb54e3fb21" ] } ], "mendeley" : { "formattedCitation" : "(Fernandez-Fernandez et al. 2012)", "plainTextFormattedCitation" : "(Fernandez-Fernandez et al. 2012)", "previouslyFormattedCitation" : "(Fernandez-Fernandez et al. 2012)" }, "properties" : { "noteIndex" : 0 }, "schema" : "https://github.com/citation-style-language/schema/raw/master/csl-citation.json" }</w:instrText>
      </w:r>
      <w:r w:rsidR="002927E7">
        <w:rPr>
          <w:rFonts w:ascii="Times New Roman" w:hAnsi="Times New Roman" w:cs="Times New Roman"/>
        </w:rPr>
        <w:fldChar w:fldCharType="separate"/>
      </w:r>
      <w:r w:rsidR="00C148FC" w:rsidRPr="00C148FC">
        <w:rPr>
          <w:rFonts w:ascii="Times New Roman" w:hAnsi="Times New Roman" w:cs="Times New Roman"/>
          <w:noProof/>
        </w:rPr>
        <w:t>(Fernandez-Fernandez et al. 2012)</w:t>
      </w:r>
      <w:r w:rsidR="002927E7">
        <w:rPr>
          <w:rFonts w:ascii="Times New Roman" w:hAnsi="Times New Roman" w:cs="Times New Roman"/>
        </w:rPr>
        <w:fldChar w:fldCharType="end"/>
      </w:r>
      <w:r w:rsidR="00695315">
        <w:rPr>
          <w:rFonts w:ascii="Times New Roman" w:hAnsi="Times New Roman" w:cs="Times New Roman"/>
        </w:rPr>
        <w:t>.</w:t>
      </w:r>
      <w:r w:rsidR="000B7D37" w:rsidRPr="000B7D37">
        <w:rPr>
          <w:color w:val="FF0000"/>
        </w:rPr>
        <w:t xml:space="preserve"> </w:t>
      </w:r>
      <w:r>
        <w:rPr>
          <w:rFonts w:ascii="Times New Roman" w:hAnsi="Times New Roman" w:cs="Times New Roman"/>
        </w:rPr>
        <w:t xml:space="preserve">To </w:t>
      </w:r>
      <w:r w:rsidR="00A51CA2">
        <w:rPr>
          <w:rFonts w:ascii="Times New Roman" w:hAnsi="Times New Roman" w:cs="Times New Roman"/>
        </w:rPr>
        <w:t>further investigate changes</w:t>
      </w:r>
      <w:r w:rsidR="00B80D03">
        <w:rPr>
          <w:rFonts w:ascii="Times New Roman" w:hAnsi="Times New Roman" w:cs="Times New Roman"/>
        </w:rPr>
        <w:t xml:space="preserve"> in energy metabolism in MAB391-</w:t>
      </w:r>
      <w:r w:rsidR="00A51CA2">
        <w:rPr>
          <w:rFonts w:ascii="Times New Roman" w:hAnsi="Times New Roman" w:cs="Times New Roman"/>
        </w:rPr>
        <w:t>treated astrocytes</w:t>
      </w:r>
      <w:r>
        <w:rPr>
          <w:rFonts w:ascii="Times New Roman" w:hAnsi="Times New Roman" w:cs="Times New Roman"/>
        </w:rPr>
        <w:t xml:space="preserve">, the </w:t>
      </w:r>
      <w:r w:rsidR="00DC1843">
        <w:rPr>
          <w:rFonts w:ascii="Times New Roman" w:hAnsi="Times New Roman" w:cs="Times New Roman"/>
        </w:rPr>
        <w:t xml:space="preserve">mitochondrial </w:t>
      </w:r>
      <w:r>
        <w:rPr>
          <w:rFonts w:ascii="Times New Roman" w:hAnsi="Times New Roman" w:cs="Times New Roman"/>
        </w:rPr>
        <w:t>membrane potential</w:t>
      </w:r>
      <w:r w:rsidR="00136E6A">
        <w:rPr>
          <w:rFonts w:ascii="Times New Roman" w:hAnsi="Times New Roman" w:cs="Times New Roman"/>
        </w:rPr>
        <w:t xml:space="preserve"> (MMP)</w:t>
      </w:r>
      <w:r>
        <w:rPr>
          <w:rFonts w:ascii="Times New Roman" w:hAnsi="Times New Roman" w:cs="Times New Roman"/>
        </w:rPr>
        <w:t xml:space="preserve"> </w:t>
      </w:r>
      <w:r w:rsidR="00861553">
        <w:rPr>
          <w:rFonts w:ascii="Times New Roman" w:hAnsi="Times New Roman" w:cs="Times New Roman"/>
        </w:rPr>
        <w:t>and ATP levels should be asse</w:t>
      </w:r>
      <w:r w:rsidR="00136E6A">
        <w:rPr>
          <w:rFonts w:ascii="Times New Roman" w:hAnsi="Times New Roman" w:cs="Times New Roman"/>
        </w:rPr>
        <w:t xml:space="preserve">ssed. Rodent C6 astroglial cells treated with the complex I inhibitor rotenone show decreased mitochondrial </w:t>
      </w:r>
      <w:r w:rsidR="004B001B">
        <w:rPr>
          <w:rFonts w:ascii="Times New Roman" w:hAnsi="Times New Roman" w:cs="Times New Roman"/>
        </w:rPr>
        <w:t>activity by MTT, increased ROS/</w:t>
      </w:r>
      <w:r w:rsidR="00136E6A">
        <w:rPr>
          <w:rFonts w:ascii="Times New Roman" w:hAnsi="Times New Roman" w:cs="Times New Roman"/>
        </w:rPr>
        <w:t xml:space="preserve">nitrite levels and increased DNA damage as well as elevated GFAP expression </w:t>
      </w:r>
      <w:r w:rsidR="00136E6A">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"10.1016/j.etap.2015.06.001", "ISSN" : "13826689", "abstract" : "The present study was conducted to investigate the effect of rotenone on astrocytes activation, their viability and its effect on neuronal death in different brain regions. Rotenone was injected in rat brain by intracerebroventricularly (bilateral) route at dose of 6\u03bcg and 12\u03bcg. In vitro C6 cells were treated with rotenone at concentration of 0.1, 0.25, 0.5, 1 and 2\u03bcM. Rotenone administration to rat brain caused significant astrocytes activation in frontal cortex, cerebellum, cerebellar nucleus, substantia nigra, hypothalamus and hippocampus regions of the rat brain. Rotenone administration also led to significant degeneration of cells in all the studied regions along with altered nuclear morphology assessed by hematoxylin\u2013eosin and cresyl violet staining. Histological staining showed the significantly decreased number of cells in all the studied regions except cerebellar nucleus in dose and time dependant manner. Rotenone administration in the rat brain also caused significant decrease in glutathione levels and augmented nitrite levels. In vitro treatment of rotenone to astrocytic C6 cells caused significantly increased expression of glial fibrillar acidic protein (GFAP) and decreased viability in dose and time dependent manner. Rotenone treatment to C6 cells exhibited significant generation of reactive oxygen species, augmented nitrite level, impaired mitochondrial activity, apoptotic chromatin condensation and DNA damage in comparison to control cells. Findings showed that oxidative stress play a considerable role in rotenone induced astrocyte death that was attenuated with co-treatment of antioxidant melatonin. In conclusion, results showed that rotenone caused significant astrocytes activation, altered nuclear morphology, biochemical alteration and apoptotic cell death in different rat brain regions. In vitro observations in C6 cells showed that rotenone treatment exhibited oxidative stress mediated apoptotic cell death, which was attenuated with co treatment of melatonin.", "author" : [ { "dropping-particle" : "", "family" : "Goswami", "given" : "Poonam", "non-dropping-particle" : "", "parse-names" : false, "suffix" : "" }, { "dropping-particle" : "", "family" : "Gupta", "given" : "Sonam", "non-dropping-particle" : "", "parse-names" : false, "suffix" : "" }, { "dropping-particle" : "", "family" : "Joshi", "given" : "Neeraj", "non-dropping-particle" : "", "parse-names" : false, "suffix" : "" }, { "dropping-particle" : "", "family" : "Sharma", "given" : "Sharad", "non-dropping-particle" : "", "parse-names" : false, "suffix" : "" }, { "dropping-particle" : "", "family" : "Singh", "given" : "Sarika", "non-dropping-particle" : "", "parse-names" : false, "suffix" : "" } ], "container-title" : "Environmental Toxicology and Pharmacology", "id" : "ITEM-1", "issue" : "1", "issued" : { "date-parts" : [ [ "2015" ] ] }, "page" : "122-139", "title" : "Astrocyte activation and neurotoxicity: A study in different rat brain regions and in rat C6 astroglial cells", "type" : "article-journal", "volume" : "40" }, "uris" : [ "http://www.mendeley.com/documents/?uuid=646f3471-ff6e-3377-bb15-be72e4862c42" ] } ], "mendeley" : { "formattedCitation" : "(Goswami et al. 2015)", "plainTextFormattedCitation" : "(Goswami et al. 2015)", "previouslyFormattedCitation" : "(Goswami et al. 2015)" }, "properties" : { "noteIndex" : 0 }, "schema" : "https://github.com/citation-style-language/schema/raw/master/csl-citation.json" }</w:instrText>
      </w:r>
      <w:r w:rsidR="00136E6A">
        <w:rPr>
          <w:rFonts w:ascii="Times New Roman" w:hAnsi="Times New Roman" w:cs="Times New Roman"/>
        </w:rPr>
        <w:fldChar w:fldCharType="separate"/>
      </w:r>
      <w:r w:rsidR="00C148FC" w:rsidRPr="00C148FC">
        <w:rPr>
          <w:rFonts w:ascii="Times New Roman" w:hAnsi="Times New Roman" w:cs="Times New Roman"/>
          <w:noProof/>
        </w:rPr>
        <w:t>(Goswami et al. 2015)</w:t>
      </w:r>
      <w:r w:rsidR="00136E6A">
        <w:rPr>
          <w:rFonts w:ascii="Times New Roman" w:hAnsi="Times New Roman" w:cs="Times New Roman"/>
        </w:rPr>
        <w:fldChar w:fldCharType="end"/>
      </w:r>
      <w:r w:rsidR="00136E6A">
        <w:rPr>
          <w:rFonts w:ascii="Times New Roman" w:hAnsi="Times New Roman" w:cs="Times New Roman"/>
        </w:rPr>
        <w:t>. In chapter</w:t>
      </w:r>
      <w:r w:rsidR="000E6DF8">
        <w:rPr>
          <w:rFonts w:ascii="Times New Roman" w:hAnsi="Times New Roman" w:cs="Times New Roman"/>
        </w:rPr>
        <w:t xml:space="preserve"> 3</w:t>
      </w:r>
      <w:r w:rsidR="00136E6A">
        <w:rPr>
          <w:rFonts w:ascii="Times New Roman" w:hAnsi="Times New Roman" w:cs="Times New Roman"/>
        </w:rPr>
        <w:t>, ROS, GFAP and γH2AX were all investigated after</w:t>
      </w:r>
      <w:r w:rsidR="00A0261C">
        <w:rPr>
          <w:rFonts w:ascii="Times New Roman" w:hAnsi="Times New Roman" w:cs="Times New Roman"/>
        </w:rPr>
        <w:t xml:space="preserve"> a</w:t>
      </w:r>
      <w:r w:rsidR="00136E6A">
        <w:rPr>
          <w:rFonts w:ascii="Times New Roman" w:hAnsi="Times New Roman" w:cs="Times New Roman"/>
        </w:rPr>
        <w:t xml:space="preserve"> 24 hour treatment with MAB391 but no differences were detected. Using these parameters as clues for impairments in complex I activity, it may be that a 24 hour treatment with MAB391 </w:t>
      </w:r>
      <w:r w:rsidR="00A0261C">
        <w:rPr>
          <w:rFonts w:ascii="Times New Roman" w:hAnsi="Times New Roman" w:cs="Times New Roman"/>
        </w:rPr>
        <w:t>does not produce a signficant</w:t>
      </w:r>
      <w:r w:rsidR="00136E6A">
        <w:rPr>
          <w:rFonts w:ascii="Times New Roman" w:hAnsi="Times New Roman" w:cs="Times New Roman"/>
        </w:rPr>
        <w:t xml:space="preserve"> defect</w:t>
      </w:r>
      <w:r w:rsidR="001F4D94">
        <w:rPr>
          <w:rFonts w:ascii="Times New Roman" w:hAnsi="Times New Roman" w:cs="Times New Roman"/>
        </w:rPr>
        <w:t xml:space="preserve">. Loss of complex I activity in the astrocytes may be a result of persistent IGF1R </w:t>
      </w:r>
      <w:r w:rsidR="00423C67">
        <w:rPr>
          <w:rFonts w:ascii="Times New Roman" w:hAnsi="Times New Roman" w:cs="Times New Roman"/>
        </w:rPr>
        <w:t xml:space="preserve">loss </w:t>
      </w:r>
      <w:r w:rsidR="001F4D94">
        <w:rPr>
          <w:rFonts w:ascii="Times New Roman" w:hAnsi="Times New Roman" w:cs="Times New Roman"/>
        </w:rPr>
        <w:t>and influenced by contacts made with neurons.</w:t>
      </w:r>
      <w:r w:rsidR="00136E6A">
        <w:rPr>
          <w:rFonts w:ascii="Times New Roman" w:hAnsi="Times New Roman" w:cs="Times New Roman"/>
        </w:rPr>
        <w:t xml:space="preserve"> </w:t>
      </w:r>
      <w:r w:rsidR="001F4D94">
        <w:rPr>
          <w:rFonts w:ascii="Times New Roman" w:hAnsi="Times New Roman" w:cs="Times New Roman"/>
        </w:rPr>
        <w:t>In addition, it would be interesting to assess whether defects in complex I alter extracellular and intracellular</w:t>
      </w:r>
      <w:r w:rsidR="00861553">
        <w:rPr>
          <w:rFonts w:ascii="Times New Roman" w:hAnsi="Times New Roman" w:cs="Times New Roman"/>
        </w:rPr>
        <w:t xml:space="preserve"> glutamate</w:t>
      </w:r>
      <w:r w:rsidR="001F4D94">
        <w:rPr>
          <w:rFonts w:ascii="Times New Roman" w:hAnsi="Times New Roman" w:cs="Times New Roman"/>
        </w:rPr>
        <w:t xml:space="preserve"> levels</w:t>
      </w:r>
      <w:r w:rsidR="00E74037">
        <w:rPr>
          <w:rFonts w:ascii="Times New Roman" w:hAnsi="Times New Roman" w:cs="Times New Roman"/>
        </w:rPr>
        <w:t xml:space="preserve"> since glutamate uptake is an ATP-dependent process</w:t>
      </w:r>
      <w:r w:rsidR="00861553">
        <w:rPr>
          <w:rFonts w:ascii="Times New Roman" w:hAnsi="Times New Roman" w:cs="Times New Roman"/>
        </w:rPr>
        <w:t>.</w:t>
      </w:r>
      <w:r w:rsidR="00884FF5">
        <w:rPr>
          <w:rFonts w:ascii="Times New Roman" w:hAnsi="Times New Roman" w:cs="Times New Roman"/>
        </w:rPr>
        <w:t xml:space="preserve"> </w:t>
      </w:r>
      <w:r w:rsidR="001F4D94">
        <w:rPr>
          <w:rFonts w:ascii="Times New Roman" w:hAnsi="Times New Roman" w:cs="Times New Roman"/>
        </w:rPr>
        <w:t xml:space="preserve">   </w:t>
      </w:r>
    </w:p>
    <w:p w14:paraId="7D864B94" w14:textId="77777777" w:rsidR="00F82C40" w:rsidRDefault="00F82C40" w:rsidP="0052651A">
      <w:pPr>
        <w:spacing w:line="360" w:lineRule="auto"/>
        <w:jc w:val="both"/>
        <w:rPr>
          <w:rFonts w:ascii="Times New Roman" w:hAnsi="Times New Roman" w:cs="Times New Roman"/>
        </w:rPr>
      </w:pPr>
    </w:p>
    <w:p w14:paraId="5567292A" w14:textId="1164C604" w:rsidR="00F82C40" w:rsidRDefault="00BC7F42" w:rsidP="0052651A">
      <w:pPr>
        <w:spacing w:line="360" w:lineRule="auto"/>
        <w:jc w:val="both"/>
        <w:rPr>
          <w:rFonts w:ascii="Times New Roman" w:hAnsi="Times New Roman" w:cs="Times New Roman"/>
        </w:rPr>
      </w:pPr>
      <w:r>
        <w:rPr>
          <w:rFonts w:ascii="Times New Roman" w:hAnsi="Times New Roman" w:cs="Times New Roman"/>
        </w:rPr>
        <w:t>G</w:t>
      </w:r>
      <w:r w:rsidR="00884FF5">
        <w:rPr>
          <w:rFonts w:ascii="Times New Roman" w:hAnsi="Times New Roman" w:cs="Times New Roman"/>
        </w:rPr>
        <w:t xml:space="preserve">lycolytic enzymes were </w:t>
      </w:r>
      <w:r>
        <w:rPr>
          <w:rFonts w:ascii="Times New Roman" w:hAnsi="Times New Roman" w:cs="Times New Roman"/>
        </w:rPr>
        <w:t>upregulated in the</w:t>
      </w:r>
      <w:r w:rsidR="00884FF5">
        <w:rPr>
          <w:rFonts w:ascii="Times New Roman" w:hAnsi="Times New Roman" w:cs="Times New Roman"/>
        </w:rPr>
        <w:t xml:space="preserve"> microarray, which could suggest increased rates of glycolysis. </w:t>
      </w:r>
      <w:r w:rsidR="003F126F">
        <w:rPr>
          <w:rFonts w:ascii="Times New Roman" w:hAnsi="Times New Roman" w:cs="Times New Roman"/>
        </w:rPr>
        <w:t>Initially, it was predi</w:t>
      </w:r>
      <w:r w:rsidR="00865C05">
        <w:rPr>
          <w:rFonts w:ascii="Times New Roman" w:hAnsi="Times New Roman" w:cs="Times New Roman"/>
        </w:rPr>
        <w:t>cted that lactate production</w:t>
      </w:r>
      <w:r w:rsidR="00BF304D">
        <w:rPr>
          <w:rFonts w:ascii="Times New Roman" w:hAnsi="Times New Roman" w:cs="Times New Roman"/>
        </w:rPr>
        <w:t xml:space="preserve"> by glycolysis</w:t>
      </w:r>
      <w:r w:rsidR="003F126F">
        <w:rPr>
          <w:rFonts w:ascii="Times New Roman" w:hAnsi="Times New Roman" w:cs="Times New Roman"/>
        </w:rPr>
        <w:t xml:space="preserve"> would be increased </w:t>
      </w:r>
      <w:r w:rsidR="00865C05">
        <w:rPr>
          <w:rFonts w:ascii="Times New Roman" w:hAnsi="Times New Roman" w:cs="Times New Roman"/>
        </w:rPr>
        <w:t xml:space="preserve">in astrocytes </w:t>
      </w:r>
      <w:r>
        <w:rPr>
          <w:rFonts w:ascii="Times New Roman" w:hAnsi="Times New Roman" w:cs="Times New Roman"/>
        </w:rPr>
        <w:t xml:space="preserve">as a compensatory mechanism to </w:t>
      </w:r>
      <w:r w:rsidR="00BF304D">
        <w:rPr>
          <w:rFonts w:ascii="Times New Roman" w:hAnsi="Times New Roman" w:cs="Times New Roman"/>
        </w:rPr>
        <w:t>defects in complex I of electron transport chain</w:t>
      </w:r>
      <w:r>
        <w:rPr>
          <w:rFonts w:ascii="Times New Roman" w:hAnsi="Times New Roman" w:cs="Times New Roman"/>
        </w:rPr>
        <w:t>. H</w:t>
      </w:r>
      <w:r w:rsidR="003F126F">
        <w:rPr>
          <w:rFonts w:ascii="Times New Roman" w:hAnsi="Times New Roman" w:cs="Times New Roman"/>
        </w:rPr>
        <w:t xml:space="preserve">owever </w:t>
      </w:r>
      <w:r>
        <w:rPr>
          <w:rFonts w:ascii="Times New Roman" w:hAnsi="Times New Roman" w:cs="Times New Roman"/>
        </w:rPr>
        <w:t>there were no changes in lactate levels detected in the media from co-cultures where astrocytes had been pre-treated with MAB391</w:t>
      </w:r>
      <w:r w:rsidR="003F126F">
        <w:rPr>
          <w:rFonts w:ascii="Times New Roman" w:hAnsi="Times New Roman" w:cs="Times New Roman"/>
        </w:rPr>
        <w:t>.</w:t>
      </w:r>
      <w:r>
        <w:rPr>
          <w:rFonts w:ascii="Times New Roman" w:hAnsi="Times New Roman" w:cs="Times New Roman"/>
        </w:rPr>
        <w:t xml:space="preserve"> </w:t>
      </w:r>
      <w:r w:rsidR="00892EF7">
        <w:rPr>
          <w:rFonts w:ascii="Times New Roman" w:hAnsi="Times New Roman" w:cs="Times New Roman"/>
        </w:rPr>
        <w:t xml:space="preserve">The increase in </w:t>
      </w:r>
      <w:r w:rsidR="002E0B7C">
        <w:rPr>
          <w:rFonts w:ascii="Times New Roman" w:hAnsi="Times New Roman" w:cs="Times New Roman"/>
        </w:rPr>
        <w:t xml:space="preserve">expression of the </w:t>
      </w:r>
      <w:r w:rsidR="00A90940">
        <w:rPr>
          <w:rFonts w:ascii="Times New Roman" w:hAnsi="Times New Roman" w:cs="Times New Roman"/>
        </w:rPr>
        <w:t>SLC16A3</w:t>
      </w:r>
      <w:r w:rsidR="002E0B7C">
        <w:rPr>
          <w:rFonts w:ascii="Times New Roman" w:hAnsi="Times New Roman" w:cs="Times New Roman"/>
        </w:rPr>
        <w:t xml:space="preserve"> gene</w:t>
      </w:r>
      <w:r w:rsidR="0074247E">
        <w:rPr>
          <w:rFonts w:ascii="Times New Roman" w:hAnsi="Times New Roman" w:cs="Times New Roman"/>
        </w:rPr>
        <w:t xml:space="preserve"> </w:t>
      </w:r>
      <w:r w:rsidR="004609C0">
        <w:rPr>
          <w:rFonts w:ascii="Times New Roman" w:hAnsi="Times New Roman" w:cs="Times New Roman"/>
        </w:rPr>
        <w:t>may actually reflect an increase in pyruvate levels, which would not only serve as an</w:t>
      </w:r>
      <w:r w:rsidR="001C4271">
        <w:rPr>
          <w:rFonts w:ascii="Times New Roman" w:hAnsi="Times New Roman" w:cs="Times New Roman"/>
        </w:rPr>
        <w:t xml:space="preserve"> energy s</w:t>
      </w:r>
      <w:r>
        <w:rPr>
          <w:rFonts w:ascii="Times New Roman" w:hAnsi="Times New Roman" w:cs="Times New Roman"/>
        </w:rPr>
        <w:t>ubstrate for oxidative phosphorylation in</w:t>
      </w:r>
      <w:r w:rsidR="001C4271">
        <w:rPr>
          <w:rFonts w:ascii="Times New Roman" w:hAnsi="Times New Roman" w:cs="Times New Roman"/>
        </w:rPr>
        <w:t xml:space="preserve"> the neurons but also act as an antioxidant in a</w:t>
      </w:r>
      <w:r w:rsidR="009334A5">
        <w:rPr>
          <w:rFonts w:ascii="Times New Roman" w:hAnsi="Times New Roman" w:cs="Times New Roman"/>
        </w:rPr>
        <w:t>n</w:t>
      </w:r>
      <w:r w:rsidR="004609C0">
        <w:rPr>
          <w:rFonts w:ascii="Times New Roman" w:hAnsi="Times New Roman" w:cs="Times New Roman"/>
        </w:rPr>
        <w:t xml:space="preserve"> increasingly oxidised environment</w:t>
      </w:r>
      <w:r w:rsidR="001D14DB">
        <w:rPr>
          <w:rFonts w:ascii="Times New Roman" w:hAnsi="Times New Roman" w:cs="Times New Roman"/>
        </w:rPr>
        <w:t>. In addition, increasing the pyruvate content may help compensate for impairments in oxidative phosphorylation in the astrocytes or contribute</w:t>
      </w:r>
      <w:r w:rsidR="00E74037">
        <w:rPr>
          <w:rFonts w:ascii="Times New Roman" w:hAnsi="Times New Roman" w:cs="Times New Roman"/>
        </w:rPr>
        <w:t xml:space="preserve"> to enhanced ROS accumulation as a result of</w:t>
      </w:r>
      <w:r w:rsidR="00865C05">
        <w:rPr>
          <w:rFonts w:ascii="Times New Roman" w:hAnsi="Times New Roman" w:cs="Times New Roman"/>
        </w:rPr>
        <w:t xml:space="preserve"> defective </w:t>
      </w:r>
      <w:r w:rsidR="001D14DB">
        <w:rPr>
          <w:rFonts w:ascii="Times New Roman" w:hAnsi="Times New Roman" w:cs="Times New Roman"/>
        </w:rPr>
        <w:t>complex I</w:t>
      </w:r>
      <w:r w:rsidR="00E74037">
        <w:rPr>
          <w:rFonts w:ascii="Times New Roman" w:hAnsi="Times New Roman" w:cs="Times New Roman"/>
        </w:rPr>
        <w:t xml:space="preserve"> activity</w:t>
      </w:r>
      <w:r w:rsidR="004609C0">
        <w:rPr>
          <w:rFonts w:ascii="Times New Roman" w:hAnsi="Times New Roman" w:cs="Times New Roman"/>
        </w:rPr>
        <w:t>.</w:t>
      </w:r>
      <w:r w:rsidR="00251C95">
        <w:rPr>
          <w:rFonts w:ascii="Times New Roman" w:hAnsi="Times New Roman" w:cs="Times New Roman"/>
        </w:rPr>
        <w:t xml:space="preserve"> Pyruvate levels could be measured both intra- and extra-cellularly t</w:t>
      </w:r>
      <w:r w:rsidR="00A90940">
        <w:rPr>
          <w:rFonts w:ascii="Times New Roman" w:hAnsi="Times New Roman" w:cs="Times New Roman"/>
        </w:rPr>
        <w:t xml:space="preserve">o determine if this is the case. </w:t>
      </w:r>
      <w:r w:rsidR="00B8782A">
        <w:rPr>
          <w:rFonts w:ascii="Times New Roman" w:hAnsi="Times New Roman" w:cs="Times New Roman"/>
        </w:rPr>
        <w:t>During the FACS</w:t>
      </w:r>
      <w:r w:rsidR="007A2190">
        <w:rPr>
          <w:rFonts w:ascii="Times New Roman" w:hAnsi="Times New Roman" w:cs="Times New Roman"/>
        </w:rPr>
        <w:t xml:space="preserve"> procedure, RNA was also collected from neurons. This could </w:t>
      </w:r>
      <w:r w:rsidR="00F93482">
        <w:rPr>
          <w:rFonts w:ascii="Times New Roman" w:hAnsi="Times New Roman" w:cs="Times New Roman"/>
        </w:rPr>
        <w:t>be submitted for</w:t>
      </w:r>
      <w:r w:rsidR="00A35CFE">
        <w:rPr>
          <w:rFonts w:ascii="Times New Roman" w:hAnsi="Times New Roman" w:cs="Times New Roman"/>
        </w:rPr>
        <w:t xml:space="preserve"> gene expression profiling to investigate whether defects in astrocyte energy metabolism are mirrored by the neurons and whether stress-induced genes are switched on mo</w:t>
      </w:r>
      <w:r w:rsidR="00B80D03">
        <w:rPr>
          <w:rFonts w:ascii="Times New Roman" w:hAnsi="Times New Roman" w:cs="Times New Roman"/>
        </w:rPr>
        <w:t>re when co-cultured with MAB391-</w:t>
      </w:r>
      <w:r w:rsidR="00A35CFE">
        <w:rPr>
          <w:rFonts w:ascii="Times New Roman" w:hAnsi="Times New Roman" w:cs="Times New Roman"/>
        </w:rPr>
        <w:t>treated astrocytes.</w:t>
      </w:r>
      <w:r w:rsidR="008B49AD">
        <w:rPr>
          <w:rFonts w:ascii="Times New Roman" w:hAnsi="Times New Roman" w:cs="Times New Roman"/>
        </w:rPr>
        <w:t xml:space="preserve"> In particular, it would be interesting to assess whether there is increased expression of MCT2 in neurons as this may indicate increased uptake of pyr</w:t>
      </w:r>
      <w:r w:rsidR="006A7720">
        <w:rPr>
          <w:rFonts w:ascii="Times New Roman" w:hAnsi="Times New Roman" w:cs="Times New Roman"/>
        </w:rPr>
        <w:t xml:space="preserve">uvate/lactate into the neurons and reflect the predicted increase in pyruvate in astrocytes following IGF1R loss. </w:t>
      </w:r>
    </w:p>
    <w:p w14:paraId="3FCC2E59" w14:textId="77777777" w:rsidR="00F82C40" w:rsidRDefault="00F82C40" w:rsidP="0052651A">
      <w:pPr>
        <w:spacing w:line="360" w:lineRule="auto"/>
        <w:jc w:val="both"/>
        <w:rPr>
          <w:rFonts w:ascii="Times New Roman" w:hAnsi="Times New Roman" w:cs="Times New Roman"/>
        </w:rPr>
      </w:pPr>
    </w:p>
    <w:p w14:paraId="70FD2DC0" w14:textId="50ED0C98" w:rsidR="00B21703" w:rsidRDefault="00B80D03" w:rsidP="0052651A">
      <w:pPr>
        <w:spacing w:line="360" w:lineRule="auto"/>
        <w:jc w:val="both"/>
        <w:rPr>
          <w:rFonts w:ascii="Times New Roman" w:hAnsi="Times New Roman" w:cs="Times New Roman"/>
        </w:rPr>
      </w:pPr>
      <w:r>
        <w:rPr>
          <w:rFonts w:ascii="Times New Roman" w:hAnsi="Times New Roman" w:cs="Times New Roman"/>
        </w:rPr>
        <w:t>MAB391-</w:t>
      </w:r>
      <w:r w:rsidR="00B21703">
        <w:rPr>
          <w:rFonts w:ascii="Times New Roman" w:hAnsi="Times New Roman" w:cs="Times New Roman"/>
        </w:rPr>
        <w:t xml:space="preserve">treated astrocytes were less able to support neurites under oxidative stress. It has been demonstrated previously that </w:t>
      </w:r>
      <w:r w:rsidR="00DA6195">
        <w:rPr>
          <w:rFonts w:ascii="Times New Roman" w:hAnsi="Times New Roman" w:cs="Times New Roman"/>
        </w:rPr>
        <w:t xml:space="preserve">rodent </w:t>
      </w:r>
      <w:r w:rsidR="00B21703">
        <w:rPr>
          <w:rFonts w:ascii="Times New Roman" w:hAnsi="Times New Roman" w:cs="Times New Roman"/>
        </w:rPr>
        <w:t>astrocytes</w:t>
      </w:r>
      <w:r w:rsidR="00A93979">
        <w:rPr>
          <w:rFonts w:ascii="Times New Roman" w:hAnsi="Times New Roman" w:cs="Times New Roman"/>
        </w:rPr>
        <w:t xml:space="preserve"> aged </w:t>
      </w:r>
      <w:r w:rsidR="00A93979">
        <w:rPr>
          <w:rFonts w:ascii="Times New Roman" w:hAnsi="Times New Roman" w:cs="Times New Roman"/>
          <w:i/>
        </w:rPr>
        <w:t>in vitro</w:t>
      </w:r>
      <w:r w:rsidR="00A93979">
        <w:rPr>
          <w:rFonts w:ascii="Times New Roman" w:hAnsi="Times New Roman" w:cs="Times New Roman"/>
        </w:rPr>
        <w:t xml:space="preserve"> are less able to take up glutamate when</w:t>
      </w:r>
      <w:r w:rsidR="00B21703">
        <w:rPr>
          <w:rFonts w:ascii="Times New Roman" w:hAnsi="Times New Roman" w:cs="Times New Roman"/>
        </w:rPr>
        <w:t xml:space="preserve"> treated with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 xml:space="preserve">2 </w:t>
      </w:r>
      <w:r w:rsidR="00F93482">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"10.1111/j.1471-4159.2006.04369.x", "ISSN" : "0022-3042", "PMID" : "17250685", "abstract" : "Alterations in astrocyte function that may affect neuronal viability occur with brain aging. In this study, we evaluate the neuroprotective capacity of astrocytes in an experimental model of in vitro aging. Changes in oxidative stress, glutamate uptake and protein expression were evaluated in rat cortical astrocytes cultured for 10 and 90 days in vitro (DIV). Levels of glial fibrillary acidic protein and S100beta increased at 90 days when cells were positive for the senescence beta-galactosidase marker. In long-term astrocyte cultures, the generation of reactive oxygen species was enhanced and mitochondrial activity decreased. Simultaneously, there was an increase in proteins that stained positively for nitrotyrosine. The expression of Cu/Zn-superoxide dismutase (SOD-1) and haeme oxygenase-1 (HO-1) proteins and inducible nitric oxide synthase (iNOS) increased in aged astrocytes. Glutamate uptake in 90-DIV astrocytes was higher than in 10 DIV ones, and was more vulnerable to inhibition by H2O2 exposure. Enhanced glutamate uptake was probably because of up-regulation of the glutamate/aspartate transporter protein. Aged astrocytes had a reduced ability to maintain neuronal survival. These findings indicate that astrocytes may partially loose their neuroprotective ability during aging. The results also suggest that aged astrocytes may contribute to exacerbating neuronal injury in age-related neurodegenerative processes.", "author" : [ { "dropping-particle" : "", "family" : "Pertusa", "given" : "M", "non-dropping-particle" : "", "parse-names" : false, "suffix" : "" }, { "dropping-particle" : "", "family" : "Garc\u00eda-Matas", "given" : "S", "non-dropping-particle" : "", "parse-names" : false, "suffix" : "" }, { "dropping-particle" : "", "family" : "Rodr\u00edguez-Farr\u00e9", "given" : "E", "non-dropping-particle" : "", "parse-names" : false, "suffix" : "" }, { "dropping-particle" : "", "family" : "Sanfeliu", "given" : "C", "non-dropping-particle" : "", "parse-names" : false, "suffix" : "" }, { "dropping-particle" : "", "family" : "Crist\u00f2fol", "given" : "R", "non-dropping-particle" : "", "parse-names" : false, "suffix" : "" } ], "container-title" : "Journal of neurochemistry", "id" : "ITEM-1", "issue" : "3", "issued" : { "date-parts" : [ [ "2007", "5" ] ] }, "page" : "794-805", "title" : "Astrocytes aged in vitro show a decreased neuroprotective capacity.", "type" : "article-journal", "volume" : "101" }, "uris" : [ "http://www.mendeley.com/documents/?uuid=a350596c-680c-4a71-83f0-df7d9d7e0aff" ] } ], "mendeley" : { "formattedCitation" : "(Pertusa et al. 2007)", "plainTextFormattedCitation" : "(Pertusa et al. 2007)", "previouslyFormattedCitation" : "(Pertusa et al. 2007)" }, "properties" : { "noteIndex" : 0 }, "schema" : "https://github.com/citation-style-language/schema/raw/master/csl-citation.json" }</w:instrText>
      </w:r>
      <w:r w:rsidR="00F93482">
        <w:rPr>
          <w:rFonts w:ascii="Times New Roman" w:hAnsi="Times New Roman" w:cs="Times New Roman"/>
        </w:rPr>
        <w:fldChar w:fldCharType="separate"/>
      </w:r>
      <w:r w:rsidR="00C148FC" w:rsidRPr="00C148FC">
        <w:rPr>
          <w:rFonts w:ascii="Times New Roman" w:hAnsi="Times New Roman" w:cs="Times New Roman"/>
          <w:noProof/>
        </w:rPr>
        <w:t>(Pertusa et al. 2007)</w:t>
      </w:r>
      <w:r w:rsidR="00F93482">
        <w:rPr>
          <w:rFonts w:ascii="Times New Roman" w:hAnsi="Times New Roman" w:cs="Times New Roman"/>
        </w:rPr>
        <w:fldChar w:fldCharType="end"/>
      </w:r>
      <w:r w:rsidR="00B21703">
        <w:rPr>
          <w:rFonts w:ascii="Times New Roman" w:hAnsi="Times New Roman" w:cs="Times New Roman"/>
        </w:rPr>
        <w:t>.</w:t>
      </w:r>
      <w:r w:rsidR="00342CDA">
        <w:rPr>
          <w:rFonts w:ascii="Times New Roman" w:hAnsi="Times New Roman" w:cs="Times New Roman"/>
        </w:rPr>
        <w:t xml:space="preserve"> It </w:t>
      </w:r>
      <w:r w:rsidR="009334A5">
        <w:rPr>
          <w:rFonts w:ascii="Times New Roman" w:hAnsi="Times New Roman" w:cs="Times New Roman"/>
        </w:rPr>
        <w:t xml:space="preserve">is </w:t>
      </w:r>
      <w:r>
        <w:rPr>
          <w:rFonts w:ascii="Times New Roman" w:hAnsi="Times New Roman" w:cs="Times New Roman"/>
        </w:rPr>
        <w:t>predicted that MAB391-</w:t>
      </w:r>
      <w:r w:rsidR="00342CDA">
        <w:rPr>
          <w:rFonts w:ascii="Times New Roman" w:hAnsi="Times New Roman" w:cs="Times New Roman"/>
        </w:rPr>
        <w:t>treated astrocytes have defective ATP production because of impairments in o</w:t>
      </w:r>
      <w:r w:rsidR="00F21457">
        <w:rPr>
          <w:rFonts w:ascii="Times New Roman" w:hAnsi="Times New Roman" w:cs="Times New Roman"/>
        </w:rPr>
        <w:t>xidative phosphorylation and may be</w:t>
      </w:r>
      <w:r w:rsidR="00342CDA">
        <w:rPr>
          <w:rFonts w:ascii="Times New Roman" w:hAnsi="Times New Roman" w:cs="Times New Roman"/>
        </w:rPr>
        <w:t xml:space="preserve"> unable to supply sufficient energy to drive </w:t>
      </w:r>
      <w:r w:rsidR="0087067C">
        <w:rPr>
          <w:rFonts w:ascii="Times New Roman" w:hAnsi="Times New Roman" w:cs="Times New Roman"/>
        </w:rPr>
        <w:t xml:space="preserve">demanding processes such as </w:t>
      </w:r>
      <w:r w:rsidR="00342CDA">
        <w:rPr>
          <w:rFonts w:ascii="Times New Roman" w:hAnsi="Times New Roman" w:cs="Times New Roman"/>
        </w:rPr>
        <w:t>glutamate uptake. Additional oxidative stress may further hinder uptake of glutamate into astrocytes and overload the extracellular space with glutamate that is toxic to the neurons. Therefore the reduction in neurite length may be explained by excess extracellular glutamate rather than defects in antioxidant capacity</w:t>
      </w:r>
      <w:r w:rsidR="00F21457">
        <w:rPr>
          <w:rFonts w:ascii="Times New Roman" w:hAnsi="Times New Roman" w:cs="Times New Roman"/>
        </w:rPr>
        <w:t xml:space="preserve"> when additional </w:t>
      </w:r>
      <w:r w:rsidR="004C1CF7">
        <w:rPr>
          <w:rFonts w:ascii="Times New Roman" w:hAnsi="Times New Roman" w:cs="Times New Roman"/>
        </w:rPr>
        <w:t>H</w:t>
      </w:r>
      <w:r w:rsidR="004C1CF7">
        <w:rPr>
          <w:rFonts w:ascii="Times New Roman" w:hAnsi="Times New Roman" w:cs="Times New Roman"/>
          <w:vertAlign w:val="subscript"/>
        </w:rPr>
        <w:t>2</w:t>
      </w:r>
      <w:r w:rsidR="004C1CF7">
        <w:rPr>
          <w:rFonts w:ascii="Times New Roman" w:hAnsi="Times New Roman" w:cs="Times New Roman"/>
        </w:rPr>
        <w:t>O</w:t>
      </w:r>
      <w:r w:rsidR="004C1CF7">
        <w:rPr>
          <w:rFonts w:ascii="Times New Roman" w:hAnsi="Times New Roman" w:cs="Times New Roman"/>
          <w:vertAlign w:val="subscript"/>
        </w:rPr>
        <w:t xml:space="preserve">2 </w:t>
      </w:r>
      <w:r w:rsidR="00F21457">
        <w:rPr>
          <w:rFonts w:ascii="Times New Roman" w:hAnsi="Times New Roman" w:cs="Times New Roman"/>
        </w:rPr>
        <w:t>is added to co-cultures</w:t>
      </w:r>
      <w:r w:rsidR="00342CDA">
        <w:rPr>
          <w:rFonts w:ascii="Times New Roman" w:hAnsi="Times New Roman" w:cs="Times New Roman"/>
        </w:rPr>
        <w:t xml:space="preserve">. </w:t>
      </w:r>
      <w:r w:rsidR="009334A5">
        <w:rPr>
          <w:rFonts w:ascii="Times New Roman" w:hAnsi="Times New Roman" w:cs="Times New Roman"/>
        </w:rPr>
        <w:t>Further</w:t>
      </w:r>
      <w:r w:rsidR="00F65FB4">
        <w:rPr>
          <w:rFonts w:ascii="Times New Roman" w:hAnsi="Times New Roman" w:cs="Times New Roman"/>
        </w:rPr>
        <w:t xml:space="preserve">more, in rodent astrocytes it has already been reported that </w:t>
      </w:r>
      <w:r w:rsidR="005214C7">
        <w:rPr>
          <w:rFonts w:ascii="Times New Roman" w:hAnsi="Times New Roman" w:cs="Times New Roman"/>
        </w:rPr>
        <w:t xml:space="preserve">IGF1 </w:t>
      </w:r>
      <w:r w:rsidR="00B40305">
        <w:rPr>
          <w:rFonts w:ascii="Times New Roman" w:hAnsi="Times New Roman" w:cs="Times New Roman"/>
        </w:rPr>
        <w:t xml:space="preserve">regulates glutamate levels </w:t>
      </w:r>
      <w:r w:rsidR="00B40305">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"ISSN" : "0021-9533", "PMID" : "11707523", "abstract" : "Although expression of the glial glutamate transporter GLAST is tightly regulated during development and under pathophysiological conditions, little is known about endogenous modulators of GLAST expression. Because growth factors are generally believed to regulate glial functions, we addressed their possible contribution to GLAST regulation in cultured rat astrocytes. Of the six growth factors tested (basic fibroblast growth factor (bFGF), insulin-like growth factor-1 (IGF-1), epidermal growth factor (EGF), insulin, platelet-derived growth factor, and hepatocyte growth factor), bFGF, IGF-1 and EGF enhanced [(3)H]glutamate transport activity in a concentration-dependent manner. These effects were accompanied by an increase in the V(max) value for transport activity and in GLAST protein and mRNA levels, which suggests that GLAST expression is transcriptionally regulated by the growth factors. Interestingly, the effects reached a peak after 36 hours of exposure to growth factors, and rapidly returned to baseline by 48 hours. A combination of IGF-1 with either bFGF or EGF showed an additive effect on the glutamate uptake activity, but a combination of bFGF and EGF did not. Pharmacological blockade of protein kinase C inhibited the effects of IGF-1 and EGF, but not bFGF. By contrast, genistein, an inhibitor of tyrosine kinases, blocked the effects of bFGF and EGF without affecting the effect of IGF-1. These results suggest that the growth factors activate different signaling pathways for GLAST upregulation. The present study may indicate a novel regulatory system of glial glutamate transporters.", "author" : [ { "dropping-particle" : "", "family" : "Suzuki", "given" : "K", "non-dropping-particle" : "", "parse-names" : false, "suffix" : "" }, { "dropping-particle" : "", "family" : "Ikegaya", "given" : "Y", "non-dropping-particle" : "", "parse-names" : false, "suffix" : "" }, { "dropping-particle" : "", "family" : "Matsuura", "given" : "S", "non-dropping-particle" : "", "parse-names" : false, "suffix" : "" }, { "dropping-particle" : "", "family" : "Kanai", "given" : "Y", "non-dropping-particle" : "", "parse-names" : false, "suffix" : "" }, { "dropping-particle" : "", "family" : "Endou", "given" : "H", "non-dropping-particle" : "", "parse-names" : false, "suffix" : "" }, { "dropping-particle" : "", "family" : "Matsuki", "given" : "N", "non-dropping-particle" : "", "parse-names" : false, "suffix" : "" } ], "container-title" : "Journal of cell science", "id" : "ITEM-1", "issue" : "Pt 20", "issued" : { "date-parts" : [ [ "2001", "10" ] ] }, "page" : "3717-25", "title" : "Transient upregulation of the glial glutamate transporter GLAST in response to fibroblast growth factor, insulin-like growth factor and epidermal growth factor in cultured astrocytes.", "type" : "article-journal", "volume" : "114" }, "uris" : [ "http://www.mendeley.com/documents/?uuid=e25bdc28-8590-436a-8c06-3500ee6bcb82" ] } ], "mendeley" : { "formattedCitation" : "(Suzuki et al. 2001)", "plainTextFormattedCitation" : "(Suzuki et al. 2001)", "previouslyFormattedCitation" : "(Suzuki et al. 2001)" }, "properties" : { "noteIndex" : 0 }, "schema" : "https://github.com/citation-style-language/schema/raw/master/csl-citation.json" }</w:instrText>
      </w:r>
      <w:r w:rsidR="00B40305">
        <w:rPr>
          <w:rFonts w:ascii="Times New Roman" w:hAnsi="Times New Roman" w:cs="Times New Roman"/>
        </w:rPr>
        <w:fldChar w:fldCharType="separate"/>
      </w:r>
      <w:r w:rsidR="00C148FC" w:rsidRPr="00C148FC">
        <w:rPr>
          <w:rFonts w:ascii="Times New Roman" w:hAnsi="Times New Roman" w:cs="Times New Roman"/>
          <w:noProof/>
        </w:rPr>
        <w:t>(Suzuki et al. 2001)</w:t>
      </w:r>
      <w:r w:rsidR="00B40305">
        <w:rPr>
          <w:rFonts w:ascii="Times New Roman" w:hAnsi="Times New Roman" w:cs="Times New Roman"/>
        </w:rPr>
        <w:fldChar w:fldCharType="end"/>
      </w:r>
      <w:r w:rsidR="005214C7">
        <w:rPr>
          <w:rFonts w:ascii="Times New Roman" w:hAnsi="Times New Roman" w:cs="Times New Roman"/>
        </w:rPr>
        <w:t xml:space="preserve">. </w:t>
      </w:r>
      <w:r w:rsidR="00C20BAD">
        <w:rPr>
          <w:rFonts w:ascii="Times New Roman" w:hAnsi="Times New Roman" w:cs="Times New Roman"/>
        </w:rPr>
        <w:t xml:space="preserve">In addition, </w:t>
      </w:r>
      <w:r w:rsidR="00421E5D">
        <w:rPr>
          <w:rFonts w:ascii="Times New Roman" w:hAnsi="Times New Roman" w:cs="Times New Roman"/>
        </w:rPr>
        <w:t>H</w:t>
      </w:r>
      <w:r w:rsidR="00421E5D">
        <w:rPr>
          <w:rFonts w:ascii="Times New Roman" w:hAnsi="Times New Roman" w:cs="Times New Roman"/>
          <w:vertAlign w:val="subscript"/>
        </w:rPr>
        <w:t>2</w:t>
      </w:r>
      <w:r w:rsidR="00421E5D">
        <w:rPr>
          <w:rFonts w:ascii="Times New Roman" w:hAnsi="Times New Roman" w:cs="Times New Roman"/>
        </w:rPr>
        <w:t>O</w:t>
      </w:r>
      <w:r w:rsidR="00421E5D">
        <w:rPr>
          <w:rFonts w:ascii="Times New Roman" w:hAnsi="Times New Roman" w:cs="Times New Roman"/>
          <w:vertAlign w:val="subscript"/>
        </w:rPr>
        <w:t xml:space="preserve">2 </w:t>
      </w:r>
      <w:r w:rsidR="00C20BAD">
        <w:rPr>
          <w:rFonts w:ascii="Times New Roman" w:hAnsi="Times New Roman" w:cs="Times New Roman"/>
        </w:rPr>
        <w:t>reversibly inhibits TCA cycle enzymes such as alpha-ketoglutarate and succinate dehydrogenase, which are important in supplying NADH for oxidative phosphorylation and also inhibit ATP synthesis by this process</w:t>
      </w:r>
      <w:r w:rsidR="00421E5D">
        <w:rPr>
          <w:rFonts w:ascii="Times New Roman" w:hAnsi="Times New Roman" w:cs="Times New Roman"/>
        </w:rPr>
        <w:t xml:space="preserve"> </w:t>
      </w:r>
      <w:r w:rsidR="00421E5D">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"10.1155/2014/427318", "ISSN" : "1942-0900", "abstract" : "&lt;p&gt;Alzheimer\u2019s disease (AD) is the most common form of dementia in the elderly, with increasing prevalence and no disease-modifying treatment available yet. A remarkable amount of data supports the hypothesis that oxidative stress is an early and important pathogenic operator in AD. However, all clinical studies conducted to date did not prove a clear beneficial effect of antioxidant treatment in AD patients. In the current work, we review the current knowledge about oxidative stress in AD pathogeny and we suggest future paths that are worth to be explored in animal models and clinical studies, in order to get a better approach of oxidative imbalance in this inexorable neurodegenerative disease.&lt;/p&gt;", "author" : [ { "dropping-particle" : "", "family" : "Persson", "given" : "Torbj\u00f6rn", "non-dropping-particle" : "", "parse-names" : false, "suffix" : "" }, { "dropping-particle" : "", "family" : "Popescu", "given" : "Bogdan O.", "non-dropping-particle" : "", "parse-names" : false, "suffix" : "" }, { "dropping-particle" : "", "family" : "Cedazo-Minguez", "given" : "Angel", "non-dropping-particle" : "", "parse-names" : false, "suffix" : "" }, { "dropping-particle" : "", "family" : "Cedazo-Minguez", "given" : "Angel", "non-dropping-particle" : "", "parse-names" : false, "suffix" : "" }, { "dropping-particle" : "", "family" : "Persson", "given" : "Torbj&amp;#xf6", "non-dropping-particle" : "", "parse-names" : false, "suffix" : "" }, { "dropping-particle" : "", "family" : "rn", "given" : "", "non-dropping-particle" : "", "parse-names" : false, "suffix" : "" }, { "dropping-particle" : "", "family" : "Popescu", "given" : "Bogdan O.", "non-dropping-particle" : "", "parse-names" : false, "suffix" : "" }, { "dropping-particle" : "", "family" : "Cedazo-Minguez", "given" : "Angel", "non-dropping-particle" : "", "parse-names" : false, "suffix" : "" } ], "container-title" : "Oxidative Medicine and Cellular Longevity", "id" : "ITEM-1", "issued" : { "date-parts" : [ [ "2014" ] ] }, "page" : "1-11", "publisher" : "Hindawi Publishing Corporation", "title" : "Oxidative Stress in Alzheimer\u2019s Disease: Why Did Antioxidant Therapy Fail?", "type" : "article-journal", "volume" : "2014" }, "uris" : [ "http://www.mendeley.com/documents/?uuid=13dfeaad-ceb4-3cff-b528-84eb6f91c9e1" ] } ], "mendeley" : { "formattedCitation" : "(Persson et al. 2014)", "plainTextFormattedCitation" : "(Persson et al. 2014)", "previouslyFormattedCitation" : "(Persson et al. 2014)" }, "properties" : { "noteIndex" : 0 }, "schema" : "https://github.com/citation-style-language/schema/raw/master/csl-citation.json" }</w:instrText>
      </w:r>
      <w:r w:rsidR="00421E5D">
        <w:rPr>
          <w:rFonts w:ascii="Times New Roman" w:hAnsi="Times New Roman" w:cs="Times New Roman"/>
        </w:rPr>
        <w:fldChar w:fldCharType="separate"/>
      </w:r>
      <w:r w:rsidR="00C148FC" w:rsidRPr="00C148FC">
        <w:rPr>
          <w:rFonts w:ascii="Times New Roman" w:hAnsi="Times New Roman" w:cs="Times New Roman"/>
          <w:noProof/>
        </w:rPr>
        <w:t>(Persson et al. 2014)</w:t>
      </w:r>
      <w:r w:rsidR="00421E5D">
        <w:rPr>
          <w:rFonts w:ascii="Times New Roman" w:hAnsi="Times New Roman" w:cs="Times New Roman"/>
        </w:rPr>
        <w:fldChar w:fldCharType="end"/>
      </w:r>
      <w:r w:rsidR="00C20BAD">
        <w:rPr>
          <w:rFonts w:ascii="Times New Roman" w:hAnsi="Times New Roman" w:cs="Times New Roman"/>
        </w:rPr>
        <w:t xml:space="preserve">. </w:t>
      </w:r>
      <w:r w:rsidR="00421E5D">
        <w:rPr>
          <w:rFonts w:ascii="Times New Roman" w:hAnsi="Times New Roman" w:cs="Times New Roman"/>
        </w:rPr>
        <w:t>Therefore, t</w:t>
      </w:r>
      <w:r w:rsidR="00C20BAD">
        <w:rPr>
          <w:rFonts w:ascii="Times New Roman" w:hAnsi="Times New Roman" w:cs="Times New Roman"/>
        </w:rPr>
        <w:t xml:space="preserve">reatment with </w:t>
      </w:r>
      <w:r w:rsidR="00421E5D">
        <w:rPr>
          <w:rFonts w:ascii="Times New Roman" w:hAnsi="Times New Roman" w:cs="Times New Roman"/>
        </w:rPr>
        <w:t>H</w:t>
      </w:r>
      <w:r w:rsidR="00421E5D">
        <w:rPr>
          <w:rFonts w:ascii="Times New Roman" w:hAnsi="Times New Roman" w:cs="Times New Roman"/>
          <w:vertAlign w:val="subscript"/>
        </w:rPr>
        <w:t>2</w:t>
      </w:r>
      <w:r w:rsidR="00421E5D">
        <w:rPr>
          <w:rFonts w:ascii="Times New Roman" w:hAnsi="Times New Roman" w:cs="Times New Roman"/>
        </w:rPr>
        <w:t>O</w:t>
      </w:r>
      <w:r w:rsidR="00421E5D">
        <w:rPr>
          <w:rFonts w:ascii="Times New Roman" w:hAnsi="Times New Roman" w:cs="Times New Roman"/>
          <w:vertAlign w:val="subscript"/>
        </w:rPr>
        <w:t xml:space="preserve">2 </w:t>
      </w:r>
      <w:r w:rsidR="00C20BAD">
        <w:rPr>
          <w:rFonts w:ascii="Times New Roman" w:hAnsi="Times New Roman" w:cs="Times New Roman"/>
        </w:rPr>
        <w:t xml:space="preserve">following </w:t>
      </w:r>
      <w:r w:rsidR="00421E5D">
        <w:rPr>
          <w:rFonts w:ascii="Times New Roman" w:hAnsi="Times New Roman" w:cs="Times New Roman"/>
        </w:rPr>
        <w:t>loss of IGF1R might</w:t>
      </w:r>
      <w:r w:rsidR="00C20BAD">
        <w:rPr>
          <w:rFonts w:ascii="Times New Roman" w:hAnsi="Times New Roman" w:cs="Times New Roman"/>
        </w:rPr>
        <w:t xml:space="preserve"> </w:t>
      </w:r>
      <w:r w:rsidR="00421E5D">
        <w:rPr>
          <w:rFonts w:ascii="Times New Roman" w:hAnsi="Times New Roman" w:cs="Times New Roman"/>
        </w:rPr>
        <w:t>be more detrimental to mitochondrial function, providing even less ATP for energetically demanding processes that are necessary to support neuronal health.</w:t>
      </w:r>
      <w:r w:rsidR="00C20BAD">
        <w:rPr>
          <w:rFonts w:ascii="Times New Roman" w:hAnsi="Times New Roman" w:cs="Times New Roman"/>
        </w:rPr>
        <w:t xml:space="preserve"> </w:t>
      </w:r>
      <w:r w:rsidR="005214C7">
        <w:rPr>
          <w:rFonts w:ascii="Times New Roman" w:hAnsi="Times New Roman" w:cs="Times New Roman"/>
        </w:rPr>
        <w:t xml:space="preserve">Thus, defects in oxidative phosphorylation following IGF1R may provide a link between IGF1 and glutamate regulation. </w:t>
      </w:r>
    </w:p>
    <w:p w14:paraId="7AC9BC83" w14:textId="77777777" w:rsidR="00F82C40" w:rsidRDefault="00F82C40" w:rsidP="0052651A">
      <w:pPr>
        <w:spacing w:line="360" w:lineRule="auto"/>
        <w:jc w:val="both"/>
        <w:rPr>
          <w:rFonts w:ascii="Times New Roman" w:hAnsi="Times New Roman" w:cs="Times New Roman"/>
        </w:rPr>
      </w:pPr>
    </w:p>
    <w:p w14:paraId="62E20602" w14:textId="44C0AD81" w:rsidR="007B05B8" w:rsidRDefault="002729CE" w:rsidP="0052651A">
      <w:pPr>
        <w:spacing w:line="360" w:lineRule="auto"/>
        <w:jc w:val="both"/>
        <w:rPr>
          <w:rFonts w:ascii="Times New Roman" w:hAnsi="Times New Roman" w:cs="Times New Roman"/>
        </w:rPr>
      </w:pPr>
      <w:r>
        <w:rPr>
          <w:rFonts w:ascii="Times New Roman" w:hAnsi="Times New Roman" w:cs="Times New Roman"/>
        </w:rPr>
        <w:t xml:space="preserve">To restore astrocytic energy metabolism in the absence </w:t>
      </w:r>
      <w:r w:rsidR="00A3131B">
        <w:rPr>
          <w:rFonts w:ascii="Times New Roman" w:hAnsi="Times New Roman" w:cs="Times New Roman"/>
        </w:rPr>
        <w:t xml:space="preserve">of IGF1R, a mitochondrially-targetted antioxidant </w:t>
      </w:r>
      <w:r>
        <w:rPr>
          <w:rFonts w:ascii="Times New Roman" w:hAnsi="Times New Roman" w:cs="Times New Roman"/>
        </w:rPr>
        <w:t>such as MitoQ could be used</w:t>
      </w:r>
      <w:r w:rsidR="00E74037">
        <w:rPr>
          <w:rFonts w:ascii="Times New Roman" w:hAnsi="Times New Roman" w:cs="Times New Roman"/>
        </w:rPr>
        <w:t xml:space="preserve"> </w:t>
      </w:r>
      <w:r w:rsidR="00E74037">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"10.1155/JBB/2006/31372", "ISSN" : "1110-7243", "abstract" : "The overall aim of this article is to review current therapeutic strategies for treating AD, with a focus on mitochondrially targeted antioxidant treatments. Recent advances in molecular, cellular, and animal model studies of AD have revealed that amyloid precursor protein derivatives, including amyloid beta (A&amp;#x03B2;) monomers and oligomers, are likely key factors in tau hyperphosphorylation, mitochondrial oxidative damage, inflammatory changes, and synaptic failure in the brain tissue of AD patients. Several therapeutic strategies have been developed to treat AD, including anti-inflammatory, antioxidant, and antiamyloid approaches. Among these, mitochondrial antioxidant therapy has been found to be the most efficacious in reducing pathological changes and in not producing adverse effects; thus, mitochondrial antioxidant therapy is promising as a treatment for AD patients. However, a major limitation in applying mitochondrial antioxidants to AD treatment has been the inability of researchers to enhance antioxidant levels in mitochondria. Recently, however, there has been a breakthrough. Researchers have recently been able to promote the entry of certain antioxidants&amp;#8212;including MitoQ, MitoVitE, MitoPBN, MitoPeroxidase, and amino acid and peptide-based SS tetrapeptides&amp;#8212;into mitochondria, several hundred-fold more than do natural antioxidants. Once in the mitochondria, they rapidly neutralize free radicals and decrease mitochondrial toxicity. Thus, mitochondrially targeted antioxidants are promising candidates for treating AD patients.", "author" : [ { "dropping-particle" : "", "family" : "Reddy", "given" : "P. Hemachandra", "non-dropping-particle" : "", "parse-names" : false, "suffix" : "" } ], "container-title" : "Journal of Biomedicine and Biotechnology", "id" : "ITEM-1", "issued" : { "date-parts" : [ [ "2006" ] ] }, "page" : "1-13", "publisher" : "Hindawi Publishing Corporation", "title" : "Mitochondrial Oxidative Damage in Aging and Alzheimer's Disease: Implications for Mitochondrially Targeted Antioxidant Therapeutics", "type" : "article-journal", "volume" : "2006" }, "uris" : [ "http://www.mendeley.com/documents/?uuid=032ef036-6508-350e-8a82-bab743859f4d" ] } ], "mendeley" : { "formattedCitation" : "(Reddy 2006)", "plainTextFormattedCitation" : "(Reddy 2006)", "previouslyFormattedCitation" : "(Reddy 2006)" }, "properties" : { "noteIndex" : 0 }, "schema" : "https://github.com/citation-style-language/schema/raw/master/csl-citation.json" }</w:instrText>
      </w:r>
      <w:r w:rsidR="00E74037">
        <w:rPr>
          <w:rFonts w:ascii="Times New Roman" w:hAnsi="Times New Roman" w:cs="Times New Roman"/>
        </w:rPr>
        <w:fldChar w:fldCharType="separate"/>
      </w:r>
      <w:r w:rsidR="00C148FC" w:rsidRPr="00C148FC">
        <w:rPr>
          <w:rFonts w:ascii="Times New Roman" w:hAnsi="Times New Roman" w:cs="Times New Roman"/>
          <w:noProof/>
        </w:rPr>
        <w:t>(Reddy 2006)</w:t>
      </w:r>
      <w:r w:rsidR="00E74037">
        <w:rPr>
          <w:rFonts w:ascii="Times New Roman" w:hAnsi="Times New Roman" w:cs="Times New Roman"/>
        </w:rPr>
        <w:fldChar w:fldCharType="end"/>
      </w:r>
      <w:r w:rsidR="008A2493">
        <w:rPr>
          <w:rFonts w:ascii="Times New Roman" w:hAnsi="Times New Roman" w:cs="Times New Roman"/>
        </w:rPr>
        <w:t>.</w:t>
      </w:r>
      <w:r w:rsidR="00612546">
        <w:rPr>
          <w:rFonts w:ascii="Times New Roman" w:hAnsi="Times New Roman" w:cs="Times New Roman"/>
        </w:rPr>
        <w:t xml:space="preserve"> </w:t>
      </w:r>
      <w:r w:rsidR="00DB441A">
        <w:rPr>
          <w:rFonts w:ascii="Times New Roman" w:hAnsi="Times New Roman" w:cs="Times New Roman"/>
        </w:rPr>
        <w:t>In a</w:t>
      </w:r>
      <w:r w:rsidR="00D245A2">
        <w:rPr>
          <w:rFonts w:ascii="Times New Roman" w:hAnsi="Times New Roman" w:cs="Times New Roman"/>
        </w:rPr>
        <w:t>n</w:t>
      </w:r>
      <w:r w:rsidR="00DB441A">
        <w:rPr>
          <w:rFonts w:ascii="Times New Roman" w:hAnsi="Times New Roman" w:cs="Times New Roman"/>
        </w:rPr>
        <w:t xml:space="preserve"> AD mouse model, treatment with MitoQ was able to reduce synaptic loss, astrocyte reactivity, oxidative stress and </w:t>
      </w:r>
      <w:r w:rsidR="00EF3E44" w:rsidRPr="00EF2AF4">
        <w:rPr>
          <w:rFonts w:ascii="Times New Roman" w:hAnsi="Times New Roman" w:cs="Times New Roman"/>
        </w:rPr>
        <w:t>Aβ</w:t>
      </w:r>
      <w:r w:rsidR="00EF3E44">
        <w:rPr>
          <w:rFonts w:ascii="Times New Roman" w:hAnsi="Times New Roman" w:cs="Times New Roman"/>
        </w:rPr>
        <w:t xml:space="preserve"> </w:t>
      </w:r>
      <w:r w:rsidR="00DB441A">
        <w:rPr>
          <w:rFonts w:ascii="Times New Roman" w:hAnsi="Times New Roman" w:cs="Times New Roman"/>
        </w:rPr>
        <w:t xml:space="preserve">burden </w:t>
      </w:r>
      <w:r w:rsidR="00DB441A">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"10.1523/JNEUROSCI.0552-11.2011", "ISSN" : "0270-6474", "author" : [ { "dropping-particle" : "", "family" : "McManus", "given" : "M. J.", "non-dropping-particle" : "", "parse-names" : false, "suffix" : "" }, { "dropping-particle" : "", "family" : "Murphy", "given" : "M. P.", "non-dropping-particle" : "", "parse-names" : false, "suffix" : "" }, { "dropping-particle" : "", "family" : "Franklin", "given" : "J. L.", "non-dropping-particle" : "", "parse-names" : false, "suffix" : "" } ], "container-title" : "Journal of Neuroscience", "id" : "ITEM-1", "issue" : "44", "issued" : { "date-parts" : [ [ "2011", "11", "2" ] ] }, "page" : "15703-15715", "publisher" : "Society for Neuroscience", "title" : "The Mitochondria-Targeted Antioxidant MitoQ Prevents Loss of Spatial Memory Retention and Early Neuropathology in a Transgenic Mouse Model of Alzheimer's Disease", "type" : "article-journal", "volume" : "31" }, "uris" : [ "http://www.mendeley.com/documents/?uuid=4d5b384b-2150-3720-86b1-28a5513100c3" ] } ], "mendeley" : { "formattedCitation" : "(McManus et al. 2011)", "plainTextFormattedCitation" : "(McManus et al. 2011)", "previouslyFormattedCitation" : "(McManus et al. 2011)" }, "properties" : { "noteIndex" : 0 }, "schema" : "https://github.com/citation-style-language/schema/raw/master/csl-citation.json" }</w:instrText>
      </w:r>
      <w:r w:rsidR="00DB441A">
        <w:rPr>
          <w:rFonts w:ascii="Times New Roman" w:hAnsi="Times New Roman" w:cs="Times New Roman"/>
        </w:rPr>
        <w:fldChar w:fldCharType="separate"/>
      </w:r>
      <w:r w:rsidR="00C148FC" w:rsidRPr="00C148FC">
        <w:rPr>
          <w:rFonts w:ascii="Times New Roman" w:hAnsi="Times New Roman" w:cs="Times New Roman"/>
          <w:noProof/>
        </w:rPr>
        <w:t>(McManus et al. 2011)</w:t>
      </w:r>
      <w:r w:rsidR="00DB441A">
        <w:rPr>
          <w:rFonts w:ascii="Times New Roman" w:hAnsi="Times New Roman" w:cs="Times New Roman"/>
        </w:rPr>
        <w:fldChar w:fldCharType="end"/>
      </w:r>
      <w:r w:rsidR="009334A5">
        <w:rPr>
          <w:rFonts w:ascii="Times New Roman" w:hAnsi="Times New Roman" w:cs="Times New Roman"/>
        </w:rPr>
        <w:t>. If the destabi</w:t>
      </w:r>
      <w:r w:rsidR="00DB441A">
        <w:rPr>
          <w:rFonts w:ascii="Times New Roman" w:hAnsi="Times New Roman" w:cs="Times New Roman"/>
        </w:rPr>
        <w:t>lisation of complex I in astrocytes following MAB391</w:t>
      </w:r>
      <w:r w:rsidR="00B80D03">
        <w:rPr>
          <w:rFonts w:ascii="Times New Roman" w:hAnsi="Times New Roman" w:cs="Times New Roman"/>
        </w:rPr>
        <w:t xml:space="preserve"> </w:t>
      </w:r>
      <w:r w:rsidR="00FF50C7">
        <w:rPr>
          <w:rFonts w:ascii="Times New Roman" w:hAnsi="Times New Roman" w:cs="Times New Roman"/>
        </w:rPr>
        <w:t>treatment</w:t>
      </w:r>
      <w:r w:rsidR="00DB441A">
        <w:rPr>
          <w:rFonts w:ascii="Times New Roman" w:hAnsi="Times New Roman" w:cs="Times New Roman"/>
        </w:rPr>
        <w:t xml:space="preserve"> is the result of increased nutrient load and subsequent high levels of ROS production</w:t>
      </w:r>
      <w:r w:rsidR="00D245A2">
        <w:rPr>
          <w:rFonts w:ascii="Times New Roman" w:hAnsi="Times New Roman" w:cs="Times New Roman"/>
        </w:rPr>
        <w:t>,</w:t>
      </w:r>
      <w:r w:rsidR="00DB441A">
        <w:rPr>
          <w:rFonts w:ascii="Times New Roman" w:hAnsi="Times New Roman" w:cs="Times New Roman"/>
        </w:rPr>
        <w:t xml:space="preserve"> then MitoQ treatment may help to resolve the ROS levels</w:t>
      </w:r>
      <w:r w:rsidR="00A3131B">
        <w:rPr>
          <w:rFonts w:ascii="Times New Roman" w:hAnsi="Times New Roman" w:cs="Times New Roman"/>
        </w:rPr>
        <w:t xml:space="preserve"> and preserve the</w:t>
      </w:r>
      <w:r w:rsidR="00DB441A">
        <w:rPr>
          <w:rFonts w:ascii="Times New Roman" w:hAnsi="Times New Roman" w:cs="Times New Roman"/>
        </w:rPr>
        <w:t xml:space="preserve"> mitochondrial membrane potential</w:t>
      </w:r>
      <w:r w:rsidR="00A3131B">
        <w:rPr>
          <w:rFonts w:ascii="Times New Roman" w:hAnsi="Times New Roman" w:cs="Times New Roman"/>
        </w:rPr>
        <w:t xml:space="preserve">. </w:t>
      </w:r>
      <w:r w:rsidR="00612546">
        <w:rPr>
          <w:rFonts w:ascii="Times New Roman" w:hAnsi="Times New Roman" w:cs="Times New Roman"/>
        </w:rPr>
        <w:t>MitoQ could be added</w:t>
      </w:r>
      <w:r w:rsidR="00DB441A">
        <w:rPr>
          <w:rFonts w:ascii="Times New Roman" w:hAnsi="Times New Roman" w:cs="Times New Roman"/>
        </w:rPr>
        <w:t xml:space="preserve"> prior</w:t>
      </w:r>
      <w:r w:rsidR="00612546">
        <w:rPr>
          <w:rFonts w:ascii="Times New Roman" w:hAnsi="Times New Roman" w:cs="Times New Roman"/>
        </w:rPr>
        <w:t xml:space="preserve"> to M</w:t>
      </w:r>
      <w:r w:rsidR="00DB441A">
        <w:rPr>
          <w:rFonts w:ascii="Times New Roman" w:hAnsi="Times New Roman" w:cs="Times New Roman"/>
        </w:rPr>
        <w:t>AB391 treatment of</w:t>
      </w:r>
      <w:r w:rsidR="00706850">
        <w:rPr>
          <w:rFonts w:ascii="Times New Roman" w:hAnsi="Times New Roman" w:cs="Times New Roman"/>
        </w:rPr>
        <w:t xml:space="preserve"> astrocytes and </w:t>
      </w:r>
      <w:r w:rsidR="00DB441A">
        <w:rPr>
          <w:rFonts w:ascii="Times New Roman" w:hAnsi="Times New Roman" w:cs="Times New Roman"/>
        </w:rPr>
        <w:t>measurements of mitochondrial ROS production, lipid peroxidation and mitochondrial membrane potential</w:t>
      </w:r>
      <w:r w:rsidR="00612546">
        <w:rPr>
          <w:rFonts w:ascii="Times New Roman" w:hAnsi="Times New Roman" w:cs="Times New Roman"/>
        </w:rPr>
        <w:t xml:space="preserve"> could be measured</w:t>
      </w:r>
      <w:r w:rsidR="00DB441A">
        <w:rPr>
          <w:rFonts w:ascii="Times New Roman" w:hAnsi="Times New Roman" w:cs="Times New Roman"/>
        </w:rPr>
        <w:t>.</w:t>
      </w:r>
      <w:r w:rsidR="00612546">
        <w:rPr>
          <w:rFonts w:ascii="Times New Roman" w:hAnsi="Times New Roman" w:cs="Times New Roman"/>
        </w:rPr>
        <w:t xml:space="preserve"> </w:t>
      </w:r>
      <w:r w:rsidR="00DB441A">
        <w:rPr>
          <w:rFonts w:ascii="Times New Roman" w:hAnsi="Times New Roman" w:cs="Times New Roman"/>
        </w:rPr>
        <w:t xml:space="preserve">In addition, assessments of whether MitoQ can rescue the </w:t>
      </w:r>
      <w:r w:rsidR="00FF50C7">
        <w:rPr>
          <w:rFonts w:ascii="Times New Roman" w:hAnsi="Times New Roman" w:cs="Times New Roman"/>
        </w:rPr>
        <w:t xml:space="preserve">defect in </w:t>
      </w:r>
      <w:r w:rsidR="00DB441A">
        <w:rPr>
          <w:rFonts w:ascii="Times New Roman" w:hAnsi="Times New Roman" w:cs="Times New Roman"/>
        </w:rPr>
        <w:t xml:space="preserve">astrocyte support for neurite outgrowth under oxidative stress could be </w:t>
      </w:r>
      <w:r w:rsidR="00FF50C7">
        <w:rPr>
          <w:rFonts w:ascii="Times New Roman" w:hAnsi="Times New Roman" w:cs="Times New Roman"/>
        </w:rPr>
        <w:t xml:space="preserve">made. </w:t>
      </w:r>
      <w:r w:rsidR="00612546">
        <w:rPr>
          <w:rFonts w:ascii="Times New Roman" w:hAnsi="Times New Roman" w:cs="Times New Roman"/>
        </w:rPr>
        <w:t xml:space="preserve"> </w:t>
      </w:r>
    </w:p>
    <w:p w14:paraId="67D4D0AB" w14:textId="77777777" w:rsidR="00F82C40" w:rsidRDefault="00F82C40" w:rsidP="0052651A">
      <w:pPr>
        <w:spacing w:line="360" w:lineRule="auto"/>
        <w:jc w:val="both"/>
        <w:rPr>
          <w:rFonts w:ascii="Times New Roman" w:hAnsi="Times New Roman" w:cs="Times New Roman"/>
        </w:rPr>
      </w:pPr>
    </w:p>
    <w:p w14:paraId="63011BD7" w14:textId="469E2F3F" w:rsidR="007B05B8" w:rsidRDefault="007B05B8" w:rsidP="0052651A">
      <w:pPr>
        <w:spacing w:line="360" w:lineRule="auto"/>
        <w:jc w:val="both"/>
        <w:rPr>
          <w:rFonts w:ascii="Times New Roman" w:hAnsi="Times New Roman" w:cs="Times New Roman"/>
        </w:rPr>
      </w:pPr>
      <w:r>
        <w:rPr>
          <w:rFonts w:ascii="Times New Roman" w:hAnsi="Times New Roman" w:cs="Times New Roman"/>
        </w:rPr>
        <w:t>In addition, it would be interestin</w:t>
      </w:r>
      <w:r w:rsidR="00785340">
        <w:rPr>
          <w:rFonts w:ascii="Times New Roman" w:hAnsi="Times New Roman" w:cs="Times New Roman"/>
        </w:rPr>
        <w:t>g to use the MAB391 treatment in</w:t>
      </w:r>
      <w:r>
        <w:rPr>
          <w:rFonts w:ascii="Times New Roman" w:hAnsi="Times New Roman" w:cs="Times New Roman"/>
        </w:rPr>
        <w:t xml:space="preserve"> human astrocytes to further investigate whether impaired IGF1 signalling has beneficial or detrimental effects</w:t>
      </w:r>
      <w:r w:rsidR="0013287C">
        <w:rPr>
          <w:rFonts w:ascii="Times New Roman" w:hAnsi="Times New Roman" w:cs="Times New Roman"/>
        </w:rPr>
        <w:t>, which is a conflicting area in the literature</w:t>
      </w:r>
      <w:r>
        <w:rPr>
          <w:rFonts w:ascii="Times New Roman" w:hAnsi="Times New Roman" w:cs="Times New Roman"/>
        </w:rPr>
        <w:t>. There are many reports showing loss of IGF1 signalling, through genotoxic damage or calorie restriction</w:t>
      </w:r>
      <w:r w:rsidR="00785340">
        <w:rPr>
          <w:rFonts w:ascii="Times New Roman" w:hAnsi="Times New Roman" w:cs="Times New Roman"/>
        </w:rPr>
        <w:t xml:space="preserve"> </w:t>
      </w:r>
      <w:r w:rsidR="00785340">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"10.1016/S0531-5565(03)00055-X", "ISSN" : "05315565", "abstract" : "The mechanisms underlying the ability of caloric restriction (CR) to extend life span and enhance stress responsiveness remain elusive. Progress in this area has been slow due to the complexities of using animals for CR studies and assessing life span as the measure of CR effectiveness. It is therefore of great interest to develop in vitro models of CR. Here we use sera obtained from either Fisher 344 rats or Rhesus monkeys that were fed ad libitum (AL) or CR diets to culture various cell types. We show that treatment of cultured cells with CR sera caused reduced cell proliferation, enhanced tolerance to oxidants and heat, and heightened expression of stress-response genes. These phenotypic features mirror the effects of CR in animals. Supplementation of CR serum with insulin and insulin-like growth factor (IGF)-1 partially restored the proliferative and stress-response phenotype that was seen in cells cultured with AL serum, indicating that reduced levels of insulin and IGF-1 likely contribute to the CR-related effects. This in vitro cell culture model recapitulates key in vivo proliferative and stress-response phenotypic features of CR, and further suggests that endocrine mechanisms contribute to the enhanced stress responsiveness observed in CR animals.", "author" : [ { "dropping-particle" : "", "family" : "Cabo", "given" : "Rafael", "non-dropping-particle" : "de", "parse-names" : false, "suffix" : "" }, { "dropping-particle" : "", "family" : "F\u00fcrer-Galb\u00e1n", "given" : "Stefanie", "non-dropping-particle" : "", "parse-names" : false, "suffix" : "" }, { "dropping-particle" : "", "family" : "Anson", "given" : "R.Michael", "non-dropping-particle" : "", "parse-names" : false, "suffix" : "" }, { "dropping-particle" : "", "family" : "Gilman", "given" : "Charles", "non-dropping-particle" : "", "parse-names" : false, "suffix" : "" }, { "dropping-particle" : "", "family" : "Gorospe", "given" : "Myriam", "non-dropping-particle" : "", "parse-names" : false, "suffix" : "" }, { "dropping-particle" : "", "family" : "Lane", "given" : "Mark A.", "non-dropping-particle" : "", "parse-names" : false, "suffix" : "" } ], "container-title" : "Experimental Gerontology", "id" : "ITEM-1", "issue" : "6", "issued" : { "date-parts" : [ [ "2003" ] ] }, "page" : "631-639", "title" : "An in vitro model of caloric restriction", "type" : "article-journal", "volume" : "38" }, "uris" : [ "http://www.mendeley.com/documents/?uuid=d5a5f58e-85f3-388c-b0f7-4a0b8fac749c" ] } ], "mendeley" : { "formattedCitation" : "(de Cabo et al. 2003)", "plainTextFormattedCitation" : "(de Cabo et al. 2003)", "previouslyFormattedCitation" : "(de Cabo et al. 2003)" }, "properties" : { "noteIndex" : 0 }, "schema" : "https://github.com/citation-style-language/schema/raw/master/csl-citation.json" }</w:instrText>
      </w:r>
      <w:r w:rsidR="00785340">
        <w:rPr>
          <w:rFonts w:ascii="Times New Roman" w:hAnsi="Times New Roman" w:cs="Times New Roman"/>
        </w:rPr>
        <w:fldChar w:fldCharType="separate"/>
      </w:r>
      <w:r w:rsidR="00C148FC" w:rsidRPr="00C148FC">
        <w:rPr>
          <w:rFonts w:ascii="Times New Roman" w:hAnsi="Times New Roman" w:cs="Times New Roman"/>
          <w:noProof/>
        </w:rPr>
        <w:t>(de Cabo et al. 2003)</w:t>
      </w:r>
      <w:r w:rsidR="00785340">
        <w:rPr>
          <w:rFonts w:ascii="Times New Roman" w:hAnsi="Times New Roman" w:cs="Times New Roman"/>
        </w:rPr>
        <w:fldChar w:fldCharType="end"/>
      </w:r>
      <w:r w:rsidR="0013287C">
        <w:rPr>
          <w:rFonts w:ascii="Times New Roman" w:hAnsi="Times New Roman" w:cs="Times New Roman"/>
        </w:rPr>
        <w:t>,</w:t>
      </w:r>
      <w:r>
        <w:rPr>
          <w:rFonts w:ascii="Times New Roman" w:hAnsi="Times New Roman" w:cs="Times New Roman"/>
        </w:rPr>
        <w:t xml:space="preserve"> result</w:t>
      </w:r>
      <w:r w:rsidR="009334A5">
        <w:rPr>
          <w:rFonts w:ascii="Times New Roman" w:hAnsi="Times New Roman" w:cs="Times New Roman"/>
        </w:rPr>
        <w:t>s</w:t>
      </w:r>
      <w:r>
        <w:rPr>
          <w:rFonts w:ascii="Times New Roman" w:hAnsi="Times New Roman" w:cs="Times New Roman"/>
        </w:rPr>
        <w:t xml:space="preserve"> in inc</w:t>
      </w:r>
      <w:r w:rsidR="0013287C">
        <w:rPr>
          <w:rFonts w:ascii="Times New Roman" w:hAnsi="Times New Roman" w:cs="Times New Roman"/>
        </w:rPr>
        <w:t xml:space="preserve">reased stress resistance and </w:t>
      </w:r>
      <w:r>
        <w:rPr>
          <w:rFonts w:ascii="Times New Roman" w:hAnsi="Times New Roman" w:cs="Times New Roman"/>
        </w:rPr>
        <w:t>longevity. Using MAB391 at various concentrations, different amounts of IGF1R could be downregulated over different periods of time. In the experiments carried out in this thesis a high dose o</w:t>
      </w:r>
      <w:r w:rsidR="0013287C">
        <w:rPr>
          <w:rFonts w:ascii="Times New Roman" w:hAnsi="Times New Roman" w:cs="Times New Roman"/>
        </w:rPr>
        <w:t xml:space="preserve">f MAB391 was used, which caused on average 80% of IGF1R to be downregulated and resulted in complex I defects. There may be a fine balance between the amount of IGF1 signalling that is lost that proves beneficial or detrimental. In this thesis, the high doses of MAB391 may tip the balance such that the loss of signalling through this pathway is no longer beneficial and unable to upregulate stress resistance mechanisms. Instead, excess ROS production in the mitochondria could lead to complex I defects. The dichotomy in the literature may result from the different levels of IGF1 pathway inactivation achieved, which </w:t>
      </w:r>
      <w:r w:rsidR="004148EC">
        <w:rPr>
          <w:rFonts w:ascii="Times New Roman" w:hAnsi="Times New Roman" w:cs="Times New Roman"/>
        </w:rPr>
        <w:t>is complicated by experiments being carried out</w:t>
      </w:r>
      <w:r w:rsidR="0013287C">
        <w:rPr>
          <w:rFonts w:ascii="Times New Roman" w:hAnsi="Times New Roman" w:cs="Times New Roman"/>
        </w:rPr>
        <w:t xml:space="preserve"> in a range</w:t>
      </w:r>
      <w:r w:rsidR="004148EC">
        <w:rPr>
          <w:rFonts w:ascii="Times New Roman" w:hAnsi="Times New Roman" w:cs="Times New Roman"/>
        </w:rPr>
        <w:t xml:space="preserve"> of different</w:t>
      </w:r>
      <w:r w:rsidR="0013287C">
        <w:rPr>
          <w:rFonts w:ascii="Times New Roman" w:hAnsi="Times New Roman" w:cs="Times New Roman"/>
        </w:rPr>
        <w:t xml:space="preserve"> </w:t>
      </w:r>
      <w:r w:rsidR="004148EC">
        <w:rPr>
          <w:rFonts w:ascii="Times New Roman" w:hAnsi="Times New Roman" w:cs="Times New Roman"/>
        </w:rPr>
        <w:t>species at various different ages.</w:t>
      </w:r>
    </w:p>
    <w:p w14:paraId="6D5050E1" w14:textId="77777777" w:rsidR="001433F4" w:rsidRDefault="001433F4" w:rsidP="0052651A">
      <w:pPr>
        <w:spacing w:line="360" w:lineRule="auto"/>
        <w:jc w:val="both"/>
        <w:rPr>
          <w:rFonts w:ascii="Times New Roman" w:hAnsi="Times New Roman" w:cs="Times New Roman"/>
        </w:rPr>
      </w:pPr>
    </w:p>
    <w:p w14:paraId="14CB30EE" w14:textId="6A562874" w:rsidR="008B63EB" w:rsidRDefault="00455FE9" w:rsidP="0052651A">
      <w:pPr>
        <w:spacing w:line="360" w:lineRule="auto"/>
        <w:jc w:val="both"/>
        <w:rPr>
          <w:rFonts w:ascii="Times New Roman" w:hAnsi="Times New Roman" w:cs="Times New Roman"/>
        </w:rPr>
      </w:pPr>
      <w:r>
        <w:rPr>
          <w:rFonts w:ascii="Times New Roman" w:hAnsi="Times New Roman" w:cs="Times New Roman"/>
        </w:rPr>
        <w:t>Together, these</w:t>
      </w:r>
      <w:r w:rsidR="00A55F50">
        <w:rPr>
          <w:rFonts w:ascii="Times New Roman" w:hAnsi="Times New Roman" w:cs="Times New Roman"/>
        </w:rPr>
        <w:t xml:space="preserve"> additional</w:t>
      </w:r>
      <w:r>
        <w:rPr>
          <w:rFonts w:ascii="Times New Roman" w:hAnsi="Times New Roman" w:cs="Times New Roman"/>
        </w:rPr>
        <w:t xml:space="preserve"> experiments would </w:t>
      </w:r>
      <w:r w:rsidR="00D77ABE">
        <w:rPr>
          <w:rFonts w:ascii="Times New Roman" w:hAnsi="Times New Roman" w:cs="Times New Roman"/>
        </w:rPr>
        <w:t xml:space="preserve">hopefully </w:t>
      </w:r>
      <w:r w:rsidR="00A55F50">
        <w:rPr>
          <w:rFonts w:ascii="Times New Roman" w:hAnsi="Times New Roman" w:cs="Times New Roman"/>
        </w:rPr>
        <w:t xml:space="preserve">support early demonstrations in this thesis that impairments in IGF1R affect astrocytic metabolism and support for neurons. It would also </w:t>
      </w:r>
      <w:r w:rsidR="001D14DB">
        <w:rPr>
          <w:rFonts w:ascii="Times New Roman" w:hAnsi="Times New Roman" w:cs="Times New Roman"/>
        </w:rPr>
        <w:t>provide justifications for</w:t>
      </w:r>
      <w:r w:rsidR="00A55F50">
        <w:rPr>
          <w:rFonts w:ascii="Times New Roman" w:hAnsi="Times New Roman" w:cs="Times New Roman"/>
        </w:rPr>
        <w:t xml:space="preserve"> trying to ther</w:t>
      </w:r>
      <w:r w:rsidR="00E74037">
        <w:rPr>
          <w:rFonts w:ascii="Times New Roman" w:hAnsi="Times New Roman" w:cs="Times New Roman"/>
        </w:rPr>
        <w:t>a</w:t>
      </w:r>
      <w:r w:rsidR="00A55F50">
        <w:rPr>
          <w:rFonts w:ascii="Times New Roman" w:hAnsi="Times New Roman" w:cs="Times New Roman"/>
        </w:rPr>
        <w:t xml:space="preserve">peutically target the IGF1 signalling pathway as a way to preserve astrocytic health and maintain brain energy homeostasis in an </w:t>
      </w:r>
      <w:r w:rsidR="00D77ABE">
        <w:rPr>
          <w:rFonts w:ascii="Times New Roman" w:hAnsi="Times New Roman" w:cs="Times New Roman"/>
        </w:rPr>
        <w:t xml:space="preserve">ageing AD brain. </w:t>
      </w:r>
    </w:p>
    <w:p w14:paraId="41AE6140" w14:textId="77777777" w:rsidR="007C67C5" w:rsidRDefault="007C67C5" w:rsidP="00FD1079">
      <w:pPr>
        <w:spacing w:line="360" w:lineRule="auto"/>
        <w:rPr>
          <w:rFonts w:ascii="Times New Roman" w:hAnsi="Times New Roman" w:cs="Times New Roman"/>
        </w:rPr>
      </w:pPr>
    </w:p>
    <w:p w14:paraId="19189A3D" w14:textId="31464239" w:rsidR="00B133D5" w:rsidRDefault="00E56204" w:rsidP="00FD1079">
      <w:pPr>
        <w:spacing w:line="360" w:lineRule="auto"/>
        <w:rPr>
          <w:rFonts w:ascii="Times New Roman" w:hAnsi="Times New Roman" w:cs="Times New Roman"/>
          <w:sz w:val="32"/>
          <w:szCs w:val="32"/>
        </w:rPr>
      </w:pPr>
      <w:r w:rsidRPr="00E56204">
        <w:rPr>
          <w:rFonts w:ascii="Times New Roman" w:hAnsi="Times New Roman" w:cs="Times New Roman"/>
          <w:noProof/>
          <w:sz w:val="32"/>
          <w:szCs w:val="32"/>
        </w:rPr>
        <w:drawing>
          <wp:inline distT="0" distB="0" distL="0" distR="0" wp14:anchorId="6F674A77" wp14:editId="04E139A3">
            <wp:extent cx="6115486" cy="5161935"/>
            <wp:effectExtent l="0" t="0" r="6350" b="0"/>
            <wp:docPr id="1073741835" name="Picture 107374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114">
                      <a:extLst>
                        <a:ext uri="{28A0092B-C50C-407E-A947-70E740481C1C}">
                          <a14:useLocalDpi xmlns:a14="http://schemas.microsoft.com/office/drawing/2010/main" val="0"/>
                        </a:ext>
                      </a:extLst>
                    </a:blip>
                    <a:srcRect l="12003" t="942"/>
                    <a:stretch/>
                  </pic:blipFill>
                  <pic:spPr bwMode="auto">
                    <a:xfrm>
                      <a:off x="0" y="0"/>
                      <a:ext cx="6116063" cy="5162422"/>
                    </a:xfrm>
                    <a:prstGeom prst="rect">
                      <a:avLst/>
                    </a:prstGeom>
                    <a:ln>
                      <a:noFill/>
                    </a:ln>
                    <a:extLst>
                      <a:ext uri="{53640926-AAD7-44d8-BBD7-CCE9431645EC}">
                        <a14:shadowObscured xmlns:a14="http://schemas.microsoft.com/office/drawing/2010/main"/>
                      </a:ext>
                    </a:extLst>
                  </pic:spPr>
                </pic:pic>
              </a:graphicData>
            </a:graphic>
          </wp:inline>
        </w:drawing>
      </w:r>
    </w:p>
    <w:p w14:paraId="6F069964" w14:textId="4A950B03" w:rsidR="00E56204" w:rsidRPr="003C3DDF" w:rsidRDefault="00E56204" w:rsidP="00AB1419">
      <w:pPr>
        <w:pStyle w:val="Caption"/>
      </w:pPr>
      <w:bookmarkStart w:id="2500" w:name="_Toc333569102"/>
      <w:bookmarkStart w:id="2501" w:name="_Toc333569324"/>
      <w:bookmarkStart w:id="2502" w:name="_Toc333570878"/>
      <w:bookmarkStart w:id="2503" w:name="_Toc333582261"/>
      <w:bookmarkStart w:id="2504" w:name="_Toc333582381"/>
      <w:bookmarkStart w:id="2505" w:name="_Toc333582793"/>
      <w:bookmarkStart w:id="2506" w:name="_Toc333583163"/>
      <w:bookmarkStart w:id="2507" w:name="_Toc333585280"/>
      <w:bookmarkStart w:id="2508" w:name="_Toc333586832"/>
      <w:bookmarkStart w:id="2509" w:name="_Toc333644531"/>
      <w:bookmarkStart w:id="2510" w:name="_Toc333644825"/>
      <w:r>
        <w:t>Figure 6.1</w:t>
      </w:r>
      <w:r w:rsidR="007B2E88">
        <w:t>.</w:t>
      </w:r>
      <w:r>
        <w:t xml:space="preserve"> A schematic diagram indicating parameters/ molecular targets to measure in future experiments</w:t>
      </w:r>
      <w:r w:rsidR="00675EC5">
        <w:t xml:space="preserve"> and </w:t>
      </w:r>
      <w:r w:rsidR="00441B8F">
        <w:t xml:space="preserve">arrows indicate </w:t>
      </w:r>
      <w:r w:rsidR="00675EC5">
        <w:t>how they are predicted to alter in IGF1</w:t>
      </w:r>
      <w:r w:rsidR="00233B94">
        <w:t>-</w:t>
      </w:r>
      <w:r w:rsidR="00675EC5">
        <w:t>impaired astrocytes</w:t>
      </w:r>
      <w:r w:rsidR="00441B8F">
        <w:t xml:space="preserve"> (red- decrease, green-increase)</w:t>
      </w:r>
      <w:r w:rsidR="003C3DDF">
        <w:t>.</w:t>
      </w:r>
      <w:bookmarkEnd w:id="2500"/>
      <w:bookmarkEnd w:id="2501"/>
      <w:bookmarkEnd w:id="2502"/>
      <w:bookmarkEnd w:id="2503"/>
      <w:bookmarkEnd w:id="2504"/>
      <w:bookmarkEnd w:id="2505"/>
      <w:bookmarkEnd w:id="2506"/>
      <w:bookmarkEnd w:id="2507"/>
      <w:bookmarkEnd w:id="2508"/>
      <w:bookmarkEnd w:id="2509"/>
      <w:bookmarkEnd w:id="2510"/>
      <w:r w:rsidR="003C3DDF">
        <w:t xml:space="preserve"> </w:t>
      </w:r>
    </w:p>
    <w:p w14:paraId="6824433D" w14:textId="00F61667" w:rsidR="00846E76" w:rsidRDefault="00846E76" w:rsidP="00FD1079">
      <w:pPr>
        <w:spacing w:line="360" w:lineRule="auto"/>
        <w:rPr>
          <w:rFonts w:ascii="Times New Roman" w:hAnsi="Times New Roman" w:cs="Times New Roman"/>
          <w:b/>
        </w:rPr>
      </w:pPr>
      <w:r>
        <w:rPr>
          <w:rFonts w:ascii="Times New Roman" w:hAnsi="Times New Roman" w:cs="Times New Roman"/>
          <w:b/>
        </w:rPr>
        <w:t xml:space="preserve"> </w:t>
      </w:r>
    </w:p>
    <w:p w14:paraId="770AB65F" w14:textId="77777777" w:rsidR="00AA42B2" w:rsidRDefault="00AA42B2" w:rsidP="00F82C40">
      <w:pPr>
        <w:pStyle w:val="Heading2"/>
      </w:pPr>
      <w:bookmarkStart w:id="2511" w:name="_Toc329593511"/>
    </w:p>
    <w:p w14:paraId="36458B2D" w14:textId="77777777" w:rsidR="00995531" w:rsidRDefault="00995531" w:rsidP="00AA42B2"/>
    <w:p w14:paraId="5543540A" w14:textId="77777777" w:rsidR="00651CC1" w:rsidRDefault="00651CC1" w:rsidP="00AA42B2"/>
    <w:p w14:paraId="2E48EFB4" w14:textId="77777777" w:rsidR="00651CC1" w:rsidRPr="00AA42B2" w:rsidRDefault="00651CC1" w:rsidP="00AA42B2"/>
    <w:p w14:paraId="0630D9C1" w14:textId="65590C64" w:rsidR="00F82C40" w:rsidRDefault="00F82C40" w:rsidP="00F82C40">
      <w:pPr>
        <w:pStyle w:val="Heading2"/>
      </w:pPr>
      <w:bookmarkStart w:id="2512" w:name="_Toc331426015"/>
      <w:bookmarkStart w:id="2513" w:name="_Toc331427187"/>
      <w:bookmarkStart w:id="2514" w:name="_Toc331427559"/>
      <w:bookmarkStart w:id="2515" w:name="_Toc331427701"/>
      <w:bookmarkStart w:id="2516" w:name="_Toc332972706"/>
      <w:bookmarkStart w:id="2517" w:name="_Toc333046985"/>
      <w:bookmarkStart w:id="2518" w:name="_Toc333477332"/>
      <w:bookmarkStart w:id="2519" w:name="_Toc333478102"/>
      <w:bookmarkStart w:id="2520" w:name="_Toc333645002"/>
      <w:r>
        <w:t xml:space="preserve">6.5 </w:t>
      </w:r>
      <w:bookmarkEnd w:id="2511"/>
      <w:r>
        <w:t>Conclusion</w:t>
      </w:r>
      <w:bookmarkEnd w:id="2512"/>
      <w:bookmarkEnd w:id="2513"/>
      <w:bookmarkEnd w:id="2514"/>
      <w:bookmarkEnd w:id="2515"/>
      <w:bookmarkEnd w:id="2516"/>
      <w:bookmarkEnd w:id="2517"/>
      <w:bookmarkEnd w:id="2518"/>
      <w:bookmarkEnd w:id="2519"/>
      <w:bookmarkEnd w:id="2520"/>
    </w:p>
    <w:p w14:paraId="1B1E6382" w14:textId="77777777" w:rsidR="00F82C40" w:rsidRDefault="00F82C40" w:rsidP="00F82C40"/>
    <w:p w14:paraId="77DC3403" w14:textId="0DB290FE" w:rsidR="00F82C40" w:rsidRPr="007F4173" w:rsidRDefault="00F82C40" w:rsidP="0052651A">
      <w:pPr>
        <w:spacing w:line="360" w:lineRule="auto"/>
        <w:jc w:val="both"/>
        <w:rPr>
          <w:rFonts w:ascii="Times New Roman" w:hAnsi="Times New Roman" w:cs="Times New Roman"/>
        </w:rPr>
      </w:pPr>
      <w:r>
        <w:rPr>
          <w:rFonts w:ascii="Times New Roman" w:hAnsi="Times New Roman" w:cs="Times New Roman"/>
        </w:rPr>
        <w:t>Astrocytes are critically involved in maintaining brain homeostasis. One way they achieve this is through regulating neuronal metabolism. Loss of IGF1R, as observed at the transcript level in astrocytes in the ageing Alzheimer brain</w:t>
      </w:r>
      <w:r w:rsidR="00611E8B">
        <w:rPr>
          <w:rFonts w:ascii="Times New Roman" w:hAnsi="Times New Roman" w:cs="Times New Roman"/>
        </w:rPr>
        <w:t xml:space="preserve"> </w:t>
      </w:r>
      <w:r w:rsidR="00E85356">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"10.1016/j.neurobiolaging.2011.04.013", "ISSN" : "1558-1497", "PMID" : "21705112", "abstract" : "Astrocytes contribute to a variety of functions in the brain, including homeostasis, synapse formation, plasticity, and metabolism. Astrocyte dysfunction may disrupt their normal role, including neuronal support, thereby contributing to neurodegenerative pathologies, including Alzheimer's disease (AD). To understand the role of astrocytes in the pathogenesis of age-related disorders, we isolated astrocytes by laser capture microdissection, using glial fibrillary acidic protein (GFAP) as a marker, and characterized the astrocyte transcriptome at different Braak neurofibrillary tangle stages in postmortem temporal cortex samples derived from the Medical Research Council Cognitive Function and Ageing Study (MRC CFAS) cohort, using microarray analysis. The largest number of significant, differentially expressed genes were identified when the expression profile of astrocytes from isocortical stages of neurofibrillary tangle pathology (Braak stages V-VI) were compared with entorhinal stages (Braak stages I-II). Dysregulation of genes associated with the actin cytoskeleton, proliferation, apoptosis, and ubiquitin-mediated proteolysis occurred at low Braak stages, while altered regulation of intracellular signaling pathways, including insulin, phosphatidylinositol 3-kinase (PI3K)/Akt, and mitogen-activated protein kinase (MAPK) pathways were primarily associated with high levels of Alzheimer-type pathology, and occurred at lower Braak stages in individuals with the APOE\u03b54 allele. Our findings implicate astrocyte dysfunction in the pathogenesis of neurodegenerative pathology in the aging brain, and provide a basis for future candidate studies based on specific pathways.", "author" : [ { "dropping-particle" : "", "family" : "Simpson", "given" : "Julie E", "non-dropping-particle" : "", "parse-names" : false, "suffix" : "" }, { "dropping-particle" : "", "family" : "Ince", "given" : "Paul G", "non-dropping-particle" : "", "parse-names" : false, "suffix" : "" }, { "dropping-particle" : "", "family" : "Shaw", "given" : "Pamela J", "non-dropping-particle" : "", "parse-names" : false, "suffix" : "" }, { "dropping-particle" : "", "family" : "Heath", "given" : "Paul R", "non-dropping-particle" : "", "parse-names" : false, "suffix" : "" }, { "dropping-particle" : "", "family" : "Raman", "given" : "Rohini", "non-dropping-particle" : "", "parse-names" : false, "suffix" : "" }, { "dropping-particle" : "", "family" : "Garwood", "given" : "Claire J", "non-dropping-particle" : "", "parse-names" : false, "suffix" : "" }, { "dropping-particle" : "", "family" : "Gelsthorpe", "given" : "Catherine", "non-dropping-particle" : "", "parse-names" : false, "suffix" : "" }, { "dropping-particle" : "", "family" : "Baxter", "given" : "Lynne", "non-dropping-particle" : "", "parse-names" : false, "suffix" : "" }, { "dropping-particle" : "", "family" : "Forster", "given" : "Gillian", "non-dropping-particle" : "", "parse-names" : false, "suffix" : "" }, { "dropping-particle" : "", "family" : "Matthews", "given" : "Fiona E", "non-dropping-particle" : "", "parse-names" : false, "suffix" : "" }, { "dropping-particle" : "", "family" : "Brayne", "given" : "Carol", "non-dropping-particle" : "", "parse-names" : false, "suffix" : "" }, { "dropping-particle" : "", "family" : "Wharton", "given" : "Stephen B", "non-dropping-particle" : "", "parse-names" : false, "suffix" : "" } ], "container-title" : "Neurobiology of aging", "id" : "ITEM-1", "issue" : "10", "issued" : { "date-parts" : [ [ "2011", "10" ] ] }, "page" : "1795-807", "title" : "Microarray analysis of the astrocyte transcriptome in the aging brain: relationship to Alzheimer's pathology and APOE genotype.", "type" : "article-journal", "volume" : "32" }, "uris" : [ "http://www.mendeley.com/documents/?uuid=181521a1-c6ce-4312-8031-143f5a245149" ] } ], "mendeley" : { "formattedCitation" : "(Simpson et al. 2011)", "plainTextFormattedCitation" : "(Simpson et al. 2011)", "previouslyFormattedCitation" : "(Simpson et al. 2011)" }, "properties" : { "noteIndex" : 0 }, "schema" : "https://github.com/citation-style-language/schema/raw/master/csl-citation.json" }</w:instrText>
      </w:r>
      <w:r w:rsidR="00E85356">
        <w:rPr>
          <w:rFonts w:ascii="Times New Roman" w:hAnsi="Times New Roman" w:cs="Times New Roman"/>
        </w:rPr>
        <w:fldChar w:fldCharType="separate"/>
      </w:r>
      <w:r w:rsidR="00C148FC" w:rsidRPr="00C148FC">
        <w:rPr>
          <w:rFonts w:ascii="Times New Roman" w:hAnsi="Times New Roman" w:cs="Times New Roman"/>
          <w:noProof/>
        </w:rPr>
        <w:t>(Simpson et al. 2011)</w:t>
      </w:r>
      <w:r w:rsidR="00E85356">
        <w:rPr>
          <w:rFonts w:ascii="Times New Roman" w:hAnsi="Times New Roman" w:cs="Times New Roman"/>
        </w:rPr>
        <w:fldChar w:fldCharType="end"/>
      </w:r>
      <w:r>
        <w:rPr>
          <w:rFonts w:ascii="Times New Roman" w:hAnsi="Times New Roman" w:cs="Times New Roman"/>
        </w:rPr>
        <w:t>, may dysregulate metabolic support for neurons and contribute to early stages of disease progression. Prolonged loss of IGF1R in</w:t>
      </w:r>
      <w:r w:rsidR="007E7DE1">
        <w:rPr>
          <w:rFonts w:ascii="Times New Roman" w:hAnsi="Times New Roman" w:cs="Times New Roman"/>
        </w:rPr>
        <w:t xml:space="preserve"> co-cultured</w:t>
      </w:r>
      <w:r>
        <w:rPr>
          <w:rFonts w:ascii="Times New Roman" w:hAnsi="Times New Roman" w:cs="Times New Roman"/>
        </w:rPr>
        <w:t xml:space="preserve"> astrocytes resulted specifically in significant defects in complex I activity. Although mitochondrial ATP levels have not been investigated, it is predicted that there is reduced energy production in astrocytes that may limit other important functions such as glutamate uptake. Loss of IGF1R and associated defects in complex I w</w:t>
      </w:r>
      <w:r w:rsidR="00E85356">
        <w:rPr>
          <w:rFonts w:ascii="Times New Roman" w:hAnsi="Times New Roman" w:cs="Times New Roman"/>
        </w:rPr>
        <w:t>as</w:t>
      </w:r>
      <w:r>
        <w:rPr>
          <w:rFonts w:ascii="Times New Roman" w:hAnsi="Times New Roman" w:cs="Times New Roman"/>
        </w:rPr>
        <w:t xml:space="preserve"> not detrimental in the co</w:t>
      </w:r>
      <w:r w:rsidR="00377868">
        <w:rPr>
          <w:rFonts w:ascii="Times New Roman" w:hAnsi="Times New Roman" w:cs="Times New Roman"/>
        </w:rPr>
        <w:t>ntact-mediated support for neurite</w:t>
      </w:r>
      <w:r>
        <w:rPr>
          <w:rFonts w:ascii="Times New Roman" w:hAnsi="Times New Roman" w:cs="Times New Roman"/>
        </w:rPr>
        <w:t xml:space="preserve"> outgrowth</w:t>
      </w:r>
      <w:r w:rsidR="00E547BE">
        <w:rPr>
          <w:rFonts w:ascii="Times New Roman" w:hAnsi="Times New Roman" w:cs="Times New Roman"/>
        </w:rPr>
        <w:t>, possibly due to upregulation of glycolysis in astrocytes,</w:t>
      </w:r>
      <w:r>
        <w:rPr>
          <w:rFonts w:ascii="Times New Roman" w:hAnsi="Times New Roman" w:cs="Times New Roman"/>
        </w:rPr>
        <w:t xml:space="preserve"> but under additional oxidative stress there was less protection offered to the neurons. </w:t>
      </w:r>
    </w:p>
    <w:p w14:paraId="33ACEDB3" w14:textId="77777777" w:rsidR="00377868" w:rsidRDefault="00377868" w:rsidP="0052651A">
      <w:pPr>
        <w:spacing w:line="360" w:lineRule="auto"/>
        <w:jc w:val="both"/>
        <w:rPr>
          <w:rFonts w:ascii="Times New Roman" w:hAnsi="Times New Roman" w:cs="Times New Roman"/>
        </w:rPr>
      </w:pPr>
    </w:p>
    <w:p w14:paraId="2F49285D" w14:textId="0F11E400" w:rsidR="003B6BCA" w:rsidRPr="007E7DE1" w:rsidRDefault="007E7DE1" w:rsidP="0052651A">
      <w:pPr>
        <w:spacing w:line="360" w:lineRule="auto"/>
        <w:jc w:val="both"/>
        <w:rPr>
          <w:rFonts w:ascii="Times New Roman" w:hAnsi="Times New Roman" w:cs="Times New Roman"/>
        </w:rPr>
      </w:pPr>
      <w:r>
        <w:rPr>
          <w:rFonts w:ascii="Times New Roman" w:hAnsi="Times New Roman" w:cs="Times New Roman"/>
        </w:rPr>
        <w:t>Changes in IGF1R levels, oxidative stress and mitochondrial function are all early features of AD</w:t>
      </w:r>
      <w:r w:rsidR="00896802">
        <w:rPr>
          <w:rFonts w:ascii="Times New Roman" w:hAnsi="Times New Roman" w:cs="Times New Roman"/>
        </w:rPr>
        <w:t xml:space="preserve"> </w:t>
      </w:r>
      <w:r w:rsidR="00647534">
        <w:rPr>
          <w:rFonts w:ascii="Times New Roman" w:hAnsi="Times New Roman" w:cs="Times New Roman"/>
        </w:rPr>
        <w:fldChar w:fldCharType="begin" w:fldLock="1"/>
      </w:r>
      <w:r w:rsidR="003E7BDB">
        <w:rPr>
          <w:rFonts w:ascii="Times New Roman" w:hAnsi="Times New Roman" w:cs="Times New Roman"/>
        </w:rPr>
        <w:instrText>ADDIN CSL_CITATION { "citationItems" : [ { "id" : "ITEM-1", "itemData" : { "DOI" : "10.1016/j.jprot.2010.12.012", "ISSN" : "18743919", "abstract" : "Mitochondrial structural and functional alterations appear to play to an important role in the pathogenesis of Alzheimer's disease (AD). In the present study, we used a quantitative comparative proteomic profiling approach to analyze changes in the mitochondrial proteome in AD. A triple transgenic mouse model of AD (3xTg-AD) which harbors mutations in three human transgenes, APPSwe, PS1M146V and TauP301L, was used in these experiments. Quantitative differences in the mitochondrial proteome between the cerebral cortices of 6-month-old male 3xTg-AD and non-transgenic mice were determined by using two-dimensional difference gel electrophoresis (2D-DIGE) and tandem mass spectrometry. We identified 23 different proteins whose expression levels differed significantly between triple transgenic and non-transgenic mitochondria. Both down-regulated and up-regulated mitochondrial proteins were observed in transgenic AD cortices. Proteins which were dysregulated in 3xTg-AD cortices functioned in a wide variety of metabolic pathways, including the citric acid cycle, oxidative phosphorylation, pyruvate metabolism, glycolysis, oxidative stress, fatty acid oxidation, ketone body metabolism, ion transport, apoptosis, and mitochondrial protein synthesis. These alterations in the mitochondrial proteome of the cerebral cortices of triple transgenic AD mice occurred before the development of significant amyloid plaque and neurofibrillary tangles, indicating that mitochondrial dysregulation is an early event in AD.", "author" : [ { "dropping-particle" : "", "family" : "Chou", "given" : "Jose L.", "non-dropping-particle" : "", "parse-names" : false, "suffix" : "" }, { "dropping-particle" : "V.", "family" : "Shenoy", "given" : "Deepa", "non-dropping-particle" : "", "parse-names" : false, "suffix" : "" }, { "dropping-particle" : "", "family" : "Thomas", "given" : "Nicy", "non-dropping-particle" : "", "parse-names" : false, "suffix" : "" }, { "dropping-particle" : "", "family" : "Choudhary", "given" : "Pankaj K.", "non-dropping-particle" : "", "parse-names" : false, "suffix" : "" }, { "dropping-particle" : "", "family" : "LaFerla", "given" : "Frank M.", "non-dropping-particle" : "", "parse-names" : false, "suffix" : "" }, { "dropping-particle" : "", "family" : "Goodman", "given" : "Steven R.", "non-dropping-particle" : "", "parse-names" : false, "suffix" : "" }, { "dropping-particle" : "", "family" : "Breen", "given" : "Gail A.M.", "non-dropping-particle" : "", "parse-names" : false, "suffix" : "" } ], "container-title" : "Journal of Proteomics", "id" : "ITEM-1", "issue" : "4", "issued" : { "date-parts" : [ [ "2011" ] ] }, "page" : "466-479", "title" : "Early dysregulation of the mitochondrial proteome in a mouse model of Alzheimer's disease", "type" : "article-journal", "volume" : "74" }, "uris" : [ "http://www.mendeley.com/documents/?uuid=d536a8ed-bc6f-3548-90b2-a0d0928d4ab6" ] }, { "id" : "ITEM-2", "itemData" : { "DOI" : "10.1016/S0006-291X(05)80136-6", "ISSN" : "0006291X", "author" : [ { "dropping-particle" : "", "family" : "Lin", "given" : "Fu-Hai", "non-dropping-particle" : "", "parse-names" : false, "suffix" : "" }, { "dropping-particle" : "", "family" : "Lin", "given" : "Ruth", "non-dropping-particle" : "", "parse-names" : false, "suffix" : "" }, { "dropping-particle" : "", "family" : "Wisniewski", "given" : "Henryk M.", "non-dropping-particle" : "", "parse-names" : false, "suffix" : "" }, { "dropping-particle" : "", "family" : "Hwang", "given" : "Yu-Wen", "non-dropping-particle" : "", "parse-names" : false, "suffix" : "" }, { "dropping-particle" : "", "family" : "Grundke-Iqbal", "given" : "Inge", "non-dropping-particle" : "", "parse-names" : false, "suffix" : "" }, { "dropping-particle" : "", "family" : "Healy-Louie", "given" : "Gregory", "non-dropping-particle" : "", "parse-names" : false, "suffix" : "" }, { "dropping-particle" : "", "family" : "Iqbal", "given" : "Khalid", "non-dropping-particle" : "", "parse-names" : false, "suffix" : "" } ], "container-title" : "Biochemical and Biophysical Research Communications", "id" : "ITEM-2", "issue" : "1", "issued" : { "date-parts" : [ [ "1992", "1" ] ] }, "page" : "238-246", "publisher" : "Academic Press", "title" : "Detection of point mutations in codon 331 of mitochondrial NADH dehydrogenase subunit 2 in alzheimer's brains", "type" : "article-journal", "volume" : "182" }, "uris" : [ "http://www.mendeley.com/documents/?uuid=e2b4f3c5-3f1b-310a-98cd-40c8cf1980eb" ] }, { "id" : "ITEM-3", "itemData" : { "DOI" : "10.1016/j.neurobiolaging.2011.04.013", "ISSN" : "1558-1497", "PMID" : "21705112", "abstract" : "Astrocytes contribute to a variety of functions in the brain, including homeostasis, synapse formation, plasticity, and metabolism. Astrocyte dysfunction may disrupt their normal role, including neuronal support, thereby contributing to neurodegenerative pathologies, including Alzheimer's disease (AD). To understand the role of astrocytes in the pathogenesis of age-related disorders, we isolated astrocytes by laser capture microdissection, using glial fibrillary acidic protein (GFAP) as a marker, and characterized the astrocyte transcriptome at different Braak neurofibrillary tangle stages in postmortem temporal cortex samples derived from the Medical Research Council Cognitive Function and Ageing Study (MRC CFAS) cohort, using microarray analysis. The largest number of significant, differentially expressed genes were identified when the expression profile of astrocytes from isocortical stages of neurofibrillary tangle pathology (Braak stages V-VI) were compared with entorhinal stages (Braak stages I-II). Dysregulation of genes associated with the actin cytoskeleton, proliferation, apoptosis, and ubiquitin-mediated proteolysis occurred at low Braak stages, while altered regulation of intracellular signaling pathways, including insulin, phosphatidylinositol 3-kinase (PI3K)/Akt, and mitogen-activated protein kinase (MAPK) pathways were primarily associated with high levels of Alzheimer-type pathology, and occurred at lower Braak stages in individuals with the APOE\u03b54 allele. Our findings implicate astrocyte dysfunction in the pathogenesis of neurodegenerative pathology in the aging brain, and provide a basis for future candidate studies based on specific pathways.", "author" : [ { "dropping-particle" : "", "family" : "Simpson", "given" : "Julie E", "non-dropping-particle" : "", "parse-names" : false, "suffix" : "" }, { "dropping-particle" : "", "family" : "Ince", "given" : "Paul G", "non-dropping-particle" : "", "parse-names" : false, "suffix" : "" }, { "dropping-particle" : "", "family" : "Shaw", "given" : "Pamela J", "non-dropping-particle" : "", "parse-names" : false, "suffix" : "" }, { "dropping-particle" : "", "family" : "Heath", "given" : "Paul R", "non-dropping-particle" : "", "parse-names" : false, "suffix" : "" }, { "dropping-particle" : "", "family" : "Raman", "given" : "Rohini", "non-dropping-particle" : "", "parse-names" : false, "suffix" : "" }, { "dropping-particle" : "", "family" : "Garwood", "given" : "Claire J", "non-dropping-particle" : "", "parse-names" : false, "suffix" : "" }, { "dropping-particle" : "", "family" : "Gelsthorpe", "given" : "Catherine", "non-dropping-particle" : "", "parse-names" : false, "suffix" : "" }, { "dropping-particle" : "", "family" : "Baxter", "given" : "Lynne", "non-dropping-particle" : "", "parse-names" : false, "suffix" : "" }, { "dropping-particle" : "", "family" : "Forster", "given" : "Gillian", "non-dropping-particle" : "", "parse-names" : false, "suffix" : "" }, { "dropping-particle" : "", "family" : "Matthews", "given" : "Fiona E", "non-dropping-particle" : "", "parse-names" : false, "suffix" : "" }, { "dropping-particle" : "", "family" : "Brayne", "given" : "Carol", "non-dropping-particle" : "", "parse-names" : false, "suffix" : "" }, { "dropping-particle" : "", "family" : "Wharton", "given" : "Stephen B", "non-dropping-particle" : "", "parse-names" : false, "suffix" : "" } ], "container-title" : "Neurobiology of aging", "id" : "ITEM-3", "issue" : "10", "issued" : { "date-parts" : [ [ "2011", "10" ] ] }, "page" : "1795-807", "title" : "Microarray analysis of the astrocyte transcriptome in the aging brain: relationship to Alzheimer's pathology and APOE genotype.", "type" : "article-journal", "volume" : "32" }, "uris" : [ "http://www.mendeley.com/documents/?uuid=181521a1-c6ce-4312-8031-143f5a245149" ] }, { "id" : "ITEM-4", "itemData" : { "DOI" : "10.1172/JCI59903", "ISSN" : "1558-8238", "PMID" : "22476197", "abstract" : "While a potential causal factor in Alzheimer's disease (AD), brain insulin resistance has not been demonstrated directly in that disorder. We provide such a demonstration here by showing that the hippocampal formation (HF) and, to a lesser degree, the cerebellar cortex in AD cases without diabetes exhibit markedly reduced responses to insulin signaling in the IR\u2192IRS-1\u2192PI3K signaling pathway with greatly reduced responses to IGF-1 in the IGF-1R\u2192IRS-2\u2192PI3K signaling pathway. Reduced insulin responses were maximal at the level of IRS-1 and were consistently associated with basal elevations in IRS-1 phosphorylated at serine 616 (IRS-1 pS\u2076\u00b9\u2076) and IRS-1 pS\u2076\u00b3\u2076/\u2076\u00b3\u2079. In the HF, these candidate biomarkers of brain insulin resistance increased commonly and progressively from normal cases to mild cognitively impaired cases to AD cases regardless of diabetes or APOE \u03b54 status. Levels of IRS-1 pS\u2076\u00b9\u2076 and IRS-1 pS\u2076\u00b3\u2076/\u2076\u00b3\u2079 and their activated kinases correlated positively with those of oligomeric A\u03b2 plaques and were negatively associated with episodic and working memory, even after adjusting for A\u03b2 plaques, neurofibrillary tangles, and APOE \u03b54. Brain insulin resistance thus appears to be an early and common feature of AD, a phenomenon accompanied by IGF-1 resistance and closely associated with IRS-1 dysfunction potentially triggered by A\u03b2 oligomers and yet promoting cognitive decline independent of classic AD pathology.", "author" : [ { "dropping-particle" : "", "family" : "Talbot", "given" : "Konrad", "non-dropping-particle" : "", "parse-names" : false, "suffix" : "" }, { "dropping-particle" : "", "family" : "Wang", "given" : "Hoau-Yan", "non-dropping-particle" : "", "parse-names" : false, "suffix" : "" }, { "dropping-particle" : "", "family" : "Kazi", "given" : "Hala", "non-dropping-particle" : "", "parse-names" : false, "suffix" : "" }, { "dropping-particle" : "", "family" : "Han", "given" : "Li-Ying", "non-dropping-particle" : "", "parse-names" : false, "suffix" : "" }, { "dropping-particle" : "", "family" : "Bakshi", "given" : "Kalindi P", "non-dropping-particle" : "", "parse-names" : false, "suffix" : "" }, { "dropping-particle" : "", "family" : "Stucky", "given" : "Andres", "non-dropping-particle" : "", "parse-names" : false, "suffix" : "" }, { "dropping-particle" : "", "family" : "Fuino", "given" : "Robert L", "non-dropping-particle" : "", "parse-names" : false, "suffix" : "" }, { "dropping-particle" : "", "family" : "Kawaguchi", "given" : "Krista R", "non-dropping-particle" : "", "parse-names" : false, "suffix" : "" }, { "dropping-particle" : "", "family" : "Samoyedny", "given" : "Andrew J", "non-dropping-particle" : "", "parse-names" : false, "suffix" : "" }, { "dropping-particle" : "", "family" : "Wilson", "given" : "Robert S", "non-dropping-particle" : "", "parse-names" : false, "suffix" : "" }, { "dropping-particle" : "", "family" : "Arvanitakis", "given" : "Zoe", "non-dropping-particle" : "", "parse-names" : false, "suffix" : "" }, { "dropping-particle" : "", "family" : "Schneider", "given" : "Julie A", "non-dropping-particle" : "", "parse-names" : false, "suffix" : "" }, { "dropping-particle" : "", "family" : "Wolf", "given" : "Bryan A", "non-dropping-particle" : "", "parse-names" : false, "suffix" : "" }, { "dropping-particle" : "", "family" : "Bennett", "given" : "David A", "non-dropping-particle" : "", "parse-names" : false, "suffix" : "" }, { "dropping-particle" : "", "family" : "Trojanowski", "given" : "John Q", "non-dropping-particle" : "", "parse-names" : false, "suffix" : "" }, { "dropping-particle" : "", "family" : "Arnold", "given" : "Steven E", "non-dropping-particle" : "", "parse-names" : false, "suffix" : "" } ], "container-title" : "The Journal of clinical investigation", "id" : "ITEM-4", "issue" : "4", "issued" : { "date-parts" : [ [ "2012", "4" ] ] }, "page" : "1316-38", "title" : "Demonstrated brain insulin resistance in Alzheimer's disease patients is associated with IGF-1 resistance, IRS-1 dysregulation, and cognitive decline.", "type" : "article-journal", "volume" : "122" }, "uris" : [ "http://www.mendeley.com/documents/?uuid=9db660a7-4a8c-38be-9d47-79e7dad580bc" ] }, { "id" : "ITEM-5", "itemData" : { "DOI" : "10.1111/j.1365-2990.2009.01030.x", "ISSN" : "03051846", "author" : [ { "dropping-particle" : "", "family" : "Simpson", "given" : "J. E.", "non-dropping-particle" : "", "parse-names" : false, "suffix" : "" }, { "dropping-particle" : "", "family" : "Ince", "given" : "P. G.", "non-dropping-particle" : "", "parse-names" : false, "suffix" : "" }, { "dropping-particle" : "", "family" : "Haynes", "given" : "L. J.", "non-dropping-particle" : "", "parse-names" : false, "suffix" : "" }, { "dropping-particle" : "", "family" : "Theaker", "given" : "R.", "non-dropping-particle" : "", "parse-names" : false, "suffix" : "" }, { "dropping-particle" : "", "family" : "Gelsthorpe", "given" : "C.", "non-dropping-particle" : "", "parse-names" : false, "suffix" : "" }, { "dropping-particle" : "", "family" : "Baxter", "given" : "L.", "non-dropping-particle" : "", "parse-names" : false, "suffix" : "" }, { "dropping-particle" : "", "family" : "Forster", "given" : "G.", "non-dropping-particle" : "", "parse-names" : false, "suffix" : "" }, { "dropping-particle" : "", "family" : "Lace", "given" : "G. L.", "non-dropping-particle" : "", "parse-names" : false, "suffix" : "" }, { "dropping-particle" : "", "family" : "Shaw", "given" : "P. J.", "non-dropping-particle" : "", "parse-names" : false, "suffix" : "" }, { "dropping-particle" : "", "family" : "Matthews", "given" : "F. E.", "non-dropping-particle" : "", "parse-names" : false, "suffix" : "" }, { "dropping-particle" : "", "family" : "Savva", "given" : "G. M.", "non-dropping-particle" : "", "parse-names" : false, "suffix" : "" }, { "dropping-particle" : "", "family" : "Brayne", "given" : "C.", "non-dropping-particle" : "", "parse-names" : false, "suffix" : "" }, { "dropping-particle" : "", "family" : "Wharton", "given" : "S. B.", "non-dropping-particle" : "", "parse-names" : false, "suffix" : "" } ], "container-title" : "Neuropathology and Applied Neurobiology", "id" : "ITEM-5", "issue" : "1", "issued" : { "date-parts" : [ [ "2010", "2" ] ] }, "page" : "25-40", "publisher" : "Blackwell Publishing Ltd", "title" : "Population variation in oxidative stress and astrocyte DNA damage in relation to Alzheimer-type pathology in the ageing brain", "type" : "article-journal", "volume" : "36" }, "uris" : [ "http://www.mendeley.com/documents/?uuid=e6a6469c-a36f-3c0a-ae49-6ba7a130109d" ] } ], "mendeley" : { "formattedCitation" : "(Chou et al. 2011; Lin et al. 1992; Simpson et al. 2011; Talbot et al. 2012b; J. E. Simpson et al. 2010)", "manualFormatting" : "(Chou et al., 2011; Lin et al., 1992; J. E. Simpson et al., 2010; Julie E Simpson et al., 2011; Talbot et al., 2012)", "plainTextFormattedCitation" : "(Chou et al. 2011; Lin et al. 1992; Simpson et al. 2011; Talbot et al. 2012b; J. E. Simpson et al. 2010)", "previouslyFormattedCitation" : "(Chou et al. 2011; Lin et al. 1992; Simpson et al. 2011; Talbot et al. 2012b; J. E. Simpson et al. 2010)" }, "properties" : { "noteIndex" : 0 }, "schema" : "https://github.com/citation-style-language/schema/raw/master/csl-citation.json" }</w:instrText>
      </w:r>
      <w:r w:rsidR="00647534">
        <w:rPr>
          <w:rFonts w:ascii="Times New Roman" w:hAnsi="Times New Roman" w:cs="Times New Roman"/>
        </w:rPr>
        <w:fldChar w:fldCharType="separate"/>
      </w:r>
      <w:r w:rsidR="00647534" w:rsidRPr="00647534">
        <w:rPr>
          <w:rFonts w:ascii="Times New Roman" w:hAnsi="Times New Roman" w:cs="Times New Roman"/>
          <w:noProof/>
        </w:rPr>
        <w:t>(Chou et al., 2011; Lin et al., 1992; J. E. Simpson et al., 2010; Julie E Simpson et</w:t>
      </w:r>
      <w:r w:rsidR="00647534">
        <w:rPr>
          <w:rFonts w:ascii="Times New Roman" w:hAnsi="Times New Roman" w:cs="Times New Roman"/>
          <w:noProof/>
        </w:rPr>
        <w:t xml:space="preserve"> al., 2011; Talbot et al., 2012</w:t>
      </w:r>
      <w:r w:rsidR="00647534" w:rsidRPr="00647534">
        <w:rPr>
          <w:rFonts w:ascii="Times New Roman" w:hAnsi="Times New Roman" w:cs="Times New Roman"/>
          <w:noProof/>
        </w:rPr>
        <w:t>)</w:t>
      </w:r>
      <w:r w:rsidR="00647534">
        <w:rPr>
          <w:rFonts w:ascii="Times New Roman" w:hAnsi="Times New Roman" w:cs="Times New Roman"/>
        </w:rPr>
        <w:fldChar w:fldCharType="end"/>
      </w:r>
      <w:r>
        <w:rPr>
          <w:rFonts w:ascii="Times New Roman" w:hAnsi="Times New Roman" w:cs="Times New Roman"/>
        </w:rPr>
        <w:t xml:space="preserve">. </w:t>
      </w:r>
      <w:r w:rsidR="00AA42B2">
        <w:rPr>
          <w:rFonts w:ascii="Times New Roman" w:hAnsi="Times New Roman" w:cs="Times New Roman"/>
        </w:rPr>
        <w:t xml:space="preserve">Although the literature suggests that each of these have beneficial effects in ageing, this may not be the case in astrocytes. </w:t>
      </w:r>
      <w:r>
        <w:rPr>
          <w:rFonts w:ascii="Times New Roman" w:hAnsi="Times New Roman" w:cs="Times New Roman"/>
        </w:rPr>
        <w:t xml:space="preserve">This study </w:t>
      </w:r>
      <w:r w:rsidR="009334A5">
        <w:rPr>
          <w:rFonts w:ascii="Times New Roman" w:hAnsi="Times New Roman" w:cs="Times New Roman"/>
        </w:rPr>
        <w:t>may provide an</w:t>
      </w:r>
      <w:r>
        <w:rPr>
          <w:rFonts w:ascii="Times New Roman" w:hAnsi="Times New Roman" w:cs="Times New Roman"/>
        </w:rPr>
        <w:t xml:space="preserve"> important link between each of these </w:t>
      </w:r>
      <w:r w:rsidR="00377868">
        <w:rPr>
          <w:rFonts w:ascii="Times New Roman" w:hAnsi="Times New Roman" w:cs="Times New Roman"/>
        </w:rPr>
        <w:t xml:space="preserve">events </w:t>
      </w:r>
      <w:r>
        <w:rPr>
          <w:rFonts w:ascii="Times New Roman" w:hAnsi="Times New Roman" w:cs="Times New Roman"/>
        </w:rPr>
        <w:t>in the</w:t>
      </w:r>
      <w:r w:rsidR="00377868">
        <w:rPr>
          <w:rFonts w:ascii="Times New Roman" w:hAnsi="Times New Roman" w:cs="Times New Roman"/>
        </w:rPr>
        <w:t xml:space="preserve"> context of astrocyte function, with the IGF1 pathway being central to maintaining proper astrocyte mitochondrial function and protection against oxidative stress. </w:t>
      </w:r>
      <w:r w:rsidR="00AA42B2">
        <w:rPr>
          <w:rFonts w:ascii="Times New Roman" w:hAnsi="Times New Roman" w:cs="Times New Roman"/>
        </w:rPr>
        <w:t xml:space="preserve">Therapeutically restoring </w:t>
      </w:r>
      <w:r w:rsidR="00647534">
        <w:rPr>
          <w:rFonts w:ascii="Times New Roman" w:hAnsi="Times New Roman" w:cs="Times New Roman"/>
        </w:rPr>
        <w:t xml:space="preserve">astrocytic </w:t>
      </w:r>
      <w:r w:rsidR="00AA42B2">
        <w:rPr>
          <w:rFonts w:ascii="Times New Roman" w:hAnsi="Times New Roman" w:cs="Times New Roman"/>
        </w:rPr>
        <w:t xml:space="preserve">IGF1 signalling may provide a way to preserve </w:t>
      </w:r>
      <w:r w:rsidR="00647534">
        <w:rPr>
          <w:rFonts w:ascii="Times New Roman" w:hAnsi="Times New Roman" w:cs="Times New Roman"/>
        </w:rPr>
        <w:t>cell</w:t>
      </w:r>
      <w:r w:rsidR="00AA42B2">
        <w:rPr>
          <w:rFonts w:ascii="Times New Roman" w:hAnsi="Times New Roman" w:cs="Times New Roman"/>
        </w:rPr>
        <w:t xml:space="preserve"> function and maintain neuronal health in ageing and AD.</w:t>
      </w:r>
      <w:r w:rsidR="00377868">
        <w:rPr>
          <w:rFonts w:ascii="Times New Roman" w:hAnsi="Times New Roman" w:cs="Times New Roman"/>
        </w:rPr>
        <w:t xml:space="preserve">  </w:t>
      </w:r>
    </w:p>
    <w:p w14:paraId="18565A42" w14:textId="77777777" w:rsidR="003B6BCA" w:rsidRDefault="003B6BCA" w:rsidP="003B6BCA">
      <w:pPr>
        <w:rPr>
          <w:rFonts w:ascii="Times New Roman" w:hAnsi="Times New Roman" w:cs="Times New Roman"/>
          <w:b/>
        </w:rPr>
      </w:pPr>
    </w:p>
    <w:p w14:paraId="43D14AA7" w14:textId="77777777" w:rsidR="003B6BCA" w:rsidRDefault="003B6BCA" w:rsidP="003B6BCA">
      <w:pPr>
        <w:rPr>
          <w:rFonts w:ascii="Times New Roman" w:hAnsi="Times New Roman" w:cs="Times New Roman"/>
          <w:b/>
        </w:rPr>
      </w:pPr>
    </w:p>
    <w:p w14:paraId="4F29B6BE" w14:textId="77777777" w:rsidR="003B6BCA" w:rsidRDefault="003B6BCA" w:rsidP="003B6BCA">
      <w:pPr>
        <w:rPr>
          <w:rFonts w:ascii="Times New Roman" w:hAnsi="Times New Roman" w:cs="Times New Roman"/>
          <w:b/>
        </w:rPr>
      </w:pPr>
    </w:p>
    <w:p w14:paraId="0E858A28" w14:textId="77777777" w:rsidR="00C50FE1" w:rsidRDefault="00C50FE1" w:rsidP="00C50FE1">
      <w:pPr>
        <w:rPr>
          <w:rFonts w:ascii="Times New Roman" w:hAnsi="Times New Roman" w:cs="Times New Roman"/>
          <w:b/>
          <w:u w:val="single"/>
        </w:rPr>
      </w:pPr>
    </w:p>
    <w:p w14:paraId="3205C7B1" w14:textId="77777777" w:rsidR="001A66BD" w:rsidRDefault="001A66BD" w:rsidP="00C50FE1">
      <w:pPr>
        <w:rPr>
          <w:rFonts w:ascii="Times New Roman" w:hAnsi="Times New Roman" w:cs="Times New Roman"/>
          <w:b/>
          <w:u w:val="single"/>
        </w:rPr>
      </w:pPr>
    </w:p>
    <w:p w14:paraId="22CAA0F4" w14:textId="77777777" w:rsidR="001A66BD" w:rsidRDefault="001A66BD" w:rsidP="00C50FE1">
      <w:pPr>
        <w:rPr>
          <w:rFonts w:ascii="Times New Roman" w:hAnsi="Times New Roman" w:cs="Times New Roman"/>
          <w:b/>
          <w:u w:val="single"/>
        </w:rPr>
      </w:pPr>
    </w:p>
    <w:p w14:paraId="3A10B190" w14:textId="77777777" w:rsidR="001A66BD" w:rsidRDefault="001A66BD" w:rsidP="00C50FE1">
      <w:pPr>
        <w:rPr>
          <w:rFonts w:ascii="Times New Roman" w:hAnsi="Times New Roman" w:cs="Times New Roman"/>
          <w:b/>
          <w:u w:val="single"/>
        </w:rPr>
      </w:pPr>
    </w:p>
    <w:p w14:paraId="2D78A499" w14:textId="77777777" w:rsidR="001A66BD" w:rsidRDefault="001A66BD" w:rsidP="00C50FE1">
      <w:pPr>
        <w:rPr>
          <w:rFonts w:ascii="Times New Roman" w:hAnsi="Times New Roman" w:cs="Times New Roman"/>
          <w:b/>
          <w:u w:val="single"/>
        </w:rPr>
      </w:pPr>
    </w:p>
    <w:p w14:paraId="78BE7AAA" w14:textId="77777777" w:rsidR="00C148FC" w:rsidRDefault="00C148FC" w:rsidP="00C50FE1">
      <w:pPr>
        <w:rPr>
          <w:rFonts w:ascii="Times New Roman" w:hAnsi="Times New Roman" w:cs="Times New Roman"/>
          <w:b/>
          <w:u w:val="single"/>
        </w:rPr>
      </w:pPr>
    </w:p>
    <w:p w14:paraId="44193D19" w14:textId="0FEF3EAC" w:rsidR="00E84B34" w:rsidRDefault="00233B94" w:rsidP="00E84B34">
      <w:pPr>
        <w:pStyle w:val="Heading1"/>
      </w:pPr>
      <w:bookmarkStart w:id="2521" w:name="_Toc329593514"/>
      <w:r>
        <w:rPr>
          <w:u w:val="none"/>
        </w:rPr>
        <w:t xml:space="preserve">                                </w:t>
      </w:r>
      <w:bookmarkStart w:id="2522" w:name="_Toc331426016"/>
      <w:bookmarkStart w:id="2523" w:name="_Toc331427188"/>
      <w:bookmarkStart w:id="2524" w:name="_Toc331427560"/>
      <w:bookmarkStart w:id="2525" w:name="_Toc331427702"/>
      <w:bookmarkStart w:id="2526" w:name="_Toc332972707"/>
      <w:bookmarkStart w:id="2527" w:name="_Toc333046986"/>
      <w:bookmarkStart w:id="2528" w:name="_Toc333477333"/>
      <w:bookmarkStart w:id="2529" w:name="_Toc333478103"/>
      <w:bookmarkStart w:id="2530" w:name="_Toc333645003"/>
      <w:r w:rsidR="00E84B34">
        <w:t>Chapter 7</w:t>
      </w:r>
      <w:bookmarkEnd w:id="2521"/>
      <w:bookmarkEnd w:id="2522"/>
      <w:bookmarkEnd w:id="2523"/>
      <w:bookmarkEnd w:id="2524"/>
      <w:bookmarkEnd w:id="2525"/>
      <w:bookmarkEnd w:id="2526"/>
      <w:bookmarkEnd w:id="2527"/>
      <w:bookmarkEnd w:id="2528"/>
      <w:bookmarkEnd w:id="2529"/>
      <w:bookmarkEnd w:id="2530"/>
    </w:p>
    <w:p w14:paraId="565D5424" w14:textId="77777777" w:rsidR="00E84B34" w:rsidRDefault="00E84B34" w:rsidP="00E84B34">
      <w:pPr>
        <w:pStyle w:val="Heading1"/>
      </w:pPr>
      <w:r>
        <w:rPr>
          <w:u w:val="none"/>
        </w:rPr>
        <w:t xml:space="preserve">                                </w:t>
      </w:r>
      <w:bookmarkStart w:id="2531" w:name="_Toc329593515"/>
      <w:bookmarkStart w:id="2532" w:name="_Toc331426017"/>
      <w:bookmarkStart w:id="2533" w:name="_Toc331427189"/>
      <w:bookmarkStart w:id="2534" w:name="_Toc331427561"/>
      <w:bookmarkStart w:id="2535" w:name="_Toc331427703"/>
      <w:bookmarkStart w:id="2536" w:name="_Toc332972708"/>
      <w:bookmarkStart w:id="2537" w:name="_Toc333046987"/>
      <w:bookmarkStart w:id="2538" w:name="_Toc333477334"/>
      <w:bookmarkStart w:id="2539" w:name="_Toc333478104"/>
      <w:bookmarkStart w:id="2540" w:name="_Toc333645004"/>
      <w:r>
        <w:t>Appendix</w:t>
      </w:r>
      <w:bookmarkEnd w:id="2531"/>
      <w:bookmarkEnd w:id="2532"/>
      <w:bookmarkEnd w:id="2533"/>
      <w:bookmarkEnd w:id="2534"/>
      <w:bookmarkEnd w:id="2535"/>
      <w:bookmarkEnd w:id="2536"/>
      <w:bookmarkEnd w:id="2537"/>
      <w:bookmarkEnd w:id="2538"/>
      <w:bookmarkEnd w:id="2539"/>
      <w:bookmarkEnd w:id="2540"/>
      <w:r>
        <w:t xml:space="preserve">            </w:t>
      </w:r>
    </w:p>
    <w:p w14:paraId="0724907F" w14:textId="77777777" w:rsidR="00E84B34" w:rsidRDefault="00E84B34" w:rsidP="00E84B34">
      <w:pPr>
        <w:rPr>
          <w:rFonts w:ascii="Times New Roman" w:hAnsi="Times New Roman" w:cs="Times New Roman"/>
        </w:rPr>
      </w:pPr>
    </w:p>
    <w:p w14:paraId="20C811C2" w14:textId="77777777" w:rsidR="00E84B34" w:rsidRDefault="00E84B34" w:rsidP="00E84B34">
      <w:pPr>
        <w:rPr>
          <w:rFonts w:ascii="Times New Roman" w:hAnsi="Times New Roman" w:cs="Times New Roman"/>
        </w:rPr>
      </w:pPr>
    </w:p>
    <w:p w14:paraId="4000CE4B" w14:textId="77777777" w:rsidR="005D5128" w:rsidRDefault="005D5128" w:rsidP="00E84B34">
      <w:pPr>
        <w:rPr>
          <w:rFonts w:ascii="Times New Roman" w:hAnsi="Times New Roman" w:cs="Times New Roman"/>
        </w:rPr>
      </w:pPr>
    </w:p>
    <w:p w14:paraId="79F6F121" w14:textId="09CC3DB5" w:rsidR="005D5128" w:rsidRDefault="00391C1A" w:rsidP="00E84B34">
      <w:pPr>
        <w:rPr>
          <w:rFonts w:ascii="Times New Roman" w:hAnsi="Times New Roman" w:cs="Times New Roman"/>
        </w:rPr>
      </w:pPr>
      <w:r>
        <w:rPr>
          <w:rFonts w:ascii="Times New Roman" w:hAnsi="Times New Roman" w:cs="Times New Roman"/>
        </w:rPr>
        <w:t xml:space="preserve">    </w:t>
      </w:r>
      <w:r>
        <w:rPr>
          <w:rFonts w:ascii="Times New Roman" w:hAnsi="Times New Roman" w:cs="Times New Roman"/>
          <w:noProof/>
        </w:rPr>
        <w:drawing>
          <wp:inline distT="0" distB="0" distL="0" distR="0" wp14:anchorId="2B427D2A" wp14:editId="35B2C512">
            <wp:extent cx="4463657" cy="3361241"/>
            <wp:effectExtent l="0" t="0" r="6985" b="0"/>
            <wp:docPr id="1073741826" name="Picture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rotWithShape="1">
                    <a:blip r:embed="rId115">
                      <a:extLst>
                        <a:ext uri="{28A0092B-C50C-407E-A947-70E740481C1C}">
                          <a14:useLocalDpi xmlns:a14="http://schemas.microsoft.com/office/drawing/2010/main" val="0"/>
                        </a:ext>
                      </a:extLst>
                    </a:blip>
                    <a:srcRect l="9970" t="1329" r="7299" b="15587"/>
                    <a:stretch/>
                  </pic:blipFill>
                  <pic:spPr bwMode="auto">
                    <a:xfrm>
                      <a:off x="0" y="0"/>
                      <a:ext cx="4464341" cy="3361756"/>
                    </a:xfrm>
                    <a:prstGeom prst="rect">
                      <a:avLst/>
                    </a:prstGeom>
                    <a:ln>
                      <a:noFill/>
                    </a:ln>
                    <a:extLst>
                      <a:ext uri="{53640926-AAD7-44d8-BBD7-CCE9431645EC}">
                        <a14:shadowObscured xmlns:a14="http://schemas.microsoft.com/office/drawing/2010/main"/>
                      </a:ext>
                    </a:extLst>
                  </pic:spPr>
                </pic:pic>
              </a:graphicData>
            </a:graphic>
          </wp:inline>
        </w:drawing>
      </w:r>
    </w:p>
    <w:p w14:paraId="263F034E" w14:textId="77777777" w:rsidR="00391C1A" w:rsidRDefault="00391C1A" w:rsidP="00E84B34">
      <w:pPr>
        <w:rPr>
          <w:rFonts w:ascii="Times New Roman" w:hAnsi="Times New Roman" w:cs="Times New Roman"/>
        </w:rPr>
      </w:pPr>
    </w:p>
    <w:p w14:paraId="47242208" w14:textId="77777777" w:rsidR="00303E90" w:rsidRDefault="00391C1A" w:rsidP="00AB1419">
      <w:pPr>
        <w:pStyle w:val="Caption"/>
      </w:pPr>
      <w:bookmarkStart w:id="2541" w:name="_Toc333569103"/>
      <w:bookmarkStart w:id="2542" w:name="_Toc333569325"/>
      <w:bookmarkStart w:id="2543" w:name="_Toc333570879"/>
      <w:bookmarkStart w:id="2544" w:name="_Toc333582262"/>
      <w:bookmarkStart w:id="2545" w:name="_Toc333582382"/>
      <w:bookmarkStart w:id="2546" w:name="_Toc333582794"/>
      <w:bookmarkStart w:id="2547" w:name="_Toc333583164"/>
      <w:bookmarkStart w:id="2548" w:name="_Toc333585281"/>
      <w:bookmarkStart w:id="2549" w:name="_Toc333586833"/>
      <w:bookmarkStart w:id="2550" w:name="_Toc333644532"/>
      <w:bookmarkStart w:id="2551" w:name="_Toc333644826"/>
      <w:r>
        <w:t>Figure 7.1</w:t>
      </w:r>
      <w:r w:rsidR="007B2E88">
        <w:t>.</w:t>
      </w:r>
      <w:r>
        <w:t xml:space="preserve"> Treatment of ScienCell (1) astrocytes with IgG and MAB391 for 24 hours.</w:t>
      </w:r>
      <w:bookmarkEnd w:id="2541"/>
      <w:bookmarkEnd w:id="2542"/>
      <w:bookmarkEnd w:id="2543"/>
      <w:bookmarkEnd w:id="2544"/>
      <w:bookmarkEnd w:id="2545"/>
      <w:bookmarkEnd w:id="2546"/>
      <w:bookmarkEnd w:id="2547"/>
      <w:bookmarkEnd w:id="2548"/>
      <w:bookmarkEnd w:id="2549"/>
      <w:bookmarkEnd w:id="2550"/>
      <w:bookmarkEnd w:id="2551"/>
      <w:r>
        <w:t xml:space="preserve"> </w:t>
      </w:r>
    </w:p>
    <w:p w14:paraId="7B680C43" w14:textId="503A641F" w:rsidR="00391C1A" w:rsidRPr="00391C1A" w:rsidRDefault="00391C1A" w:rsidP="0052651A">
      <w:pPr>
        <w:spacing w:line="360" w:lineRule="auto"/>
        <w:jc w:val="both"/>
        <w:rPr>
          <w:rFonts w:ascii="Times New Roman" w:hAnsi="Times New Roman" w:cs="Times New Roman"/>
        </w:rPr>
      </w:pPr>
      <w:r>
        <w:rPr>
          <w:rFonts w:ascii="Times New Roman" w:hAnsi="Times New Roman" w:cs="Times New Roman"/>
        </w:rPr>
        <w:t xml:space="preserve">Loss of IGF1R and pAkt (s473) occurs after 24 hour treatment with MAB391 </w:t>
      </w:r>
      <w:r w:rsidR="00C325CF">
        <w:rPr>
          <w:rFonts w:ascii="Times New Roman" w:hAnsi="Times New Roman" w:cs="Times New Roman"/>
        </w:rPr>
        <w:t>compared with untreated and IgG-</w:t>
      </w:r>
      <w:r>
        <w:rPr>
          <w:rFonts w:ascii="Times New Roman" w:hAnsi="Times New Roman" w:cs="Times New Roman"/>
        </w:rPr>
        <w:t>treated astrocytes.</w:t>
      </w:r>
    </w:p>
    <w:p w14:paraId="5A6E90EA" w14:textId="2B928FEF" w:rsidR="00391C1A" w:rsidRDefault="00391C1A" w:rsidP="00E84B34">
      <w:pPr>
        <w:rPr>
          <w:rFonts w:ascii="Times New Roman" w:hAnsi="Times New Roman" w:cs="Times New Roman"/>
        </w:rPr>
      </w:pPr>
      <w:r>
        <w:rPr>
          <w:rFonts w:ascii="Times New Roman" w:hAnsi="Times New Roman" w:cs="Times New Roman"/>
          <w:noProof/>
        </w:rPr>
        <w:drawing>
          <wp:inline distT="0" distB="0" distL="0" distR="0" wp14:anchorId="30A88D7B" wp14:editId="00885908">
            <wp:extent cx="4848876" cy="3482788"/>
            <wp:effectExtent l="0" t="0" r="2540" b="0"/>
            <wp:docPr id="1073741839" name="Picture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rotWithShape="1">
                    <a:blip r:embed="rId116">
                      <a:extLst>
                        <a:ext uri="{28A0092B-C50C-407E-A947-70E740481C1C}">
                          <a14:useLocalDpi xmlns:a14="http://schemas.microsoft.com/office/drawing/2010/main" val="0"/>
                        </a:ext>
                      </a:extLst>
                    </a:blip>
                    <a:srcRect l="10218" t="9307" r="9294" b="13592"/>
                    <a:stretch/>
                  </pic:blipFill>
                  <pic:spPr bwMode="auto">
                    <a:xfrm>
                      <a:off x="0" y="0"/>
                      <a:ext cx="4850826" cy="3484189"/>
                    </a:xfrm>
                    <a:prstGeom prst="rect">
                      <a:avLst/>
                    </a:prstGeom>
                    <a:ln>
                      <a:noFill/>
                    </a:ln>
                    <a:extLst>
                      <a:ext uri="{53640926-AAD7-44d8-BBD7-CCE9431645EC}">
                        <a14:shadowObscured xmlns:a14="http://schemas.microsoft.com/office/drawing/2010/main"/>
                      </a:ext>
                    </a:extLst>
                  </pic:spPr>
                </pic:pic>
              </a:graphicData>
            </a:graphic>
          </wp:inline>
        </w:drawing>
      </w:r>
    </w:p>
    <w:p w14:paraId="118D6FAF" w14:textId="77777777" w:rsidR="005D5128" w:rsidRDefault="005D5128" w:rsidP="00E84B34">
      <w:pPr>
        <w:rPr>
          <w:rFonts w:ascii="Times New Roman" w:hAnsi="Times New Roman" w:cs="Times New Roman"/>
        </w:rPr>
      </w:pPr>
    </w:p>
    <w:p w14:paraId="524505E2" w14:textId="77777777" w:rsidR="00303E90" w:rsidRDefault="00391C1A" w:rsidP="00AB1419">
      <w:pPr>
        <w:pStyle w:val="Caption"/>
      </w:pPr>
      <w:bookmarkStart w:id="2552" w:name="_Toc333569104"/>
      <w:bookmarkStart w:id="2553" w:name="_Toc333569326"/>
      <w:bookmarkStart w:id="2554" w:name="_Toc333570880"/>
      <w:bookmarkStart w:id="2555" w:name="_Toc333582263"/>
      <w:bookmarkStart w:id="2556" w:name="_Toc333582383"/>
      <w:bookmarkStart w:id="2557" w:name="_Toc333582795"/>
      <w:bookmarkStart w:id="2558" w:name="_Toc333583165"/>
      <w:bookmarkStart w:id="2559" w:name="_Toc333585282"/>
      <w:bookmarkStart w:id="2560" w:name="_Toc333586834"/>
      <w:bookmarkStart w:id="2561" w:name="_Toc333644533"/>
      <w:bookmarkStart w:id="2562" w:name="_Toc333644827"/>
      <w:r>
        <w:t>Figure 7.</w:t>
      </w:r>
      <w:r w:rsidR="00213B66">
        <w:t>2</w:t>
      </w:r>
      <w:r w:rsidR="007B2E88">
        <w:t>.</w:t>
      </w:r>
      <w:r>
        <w:t xml:space="preserve"> Treatment of ScienCell (2) astrocytes with IgG and MAB391 for 24 hours.</w:t>
      </w:r>
      <w:bookmarkEnd w:id="2552"/>
      <w:bookmarkEnd w:id="2553"/>
      <w:bookmarkEnd w:id="2554"/>
      <w:bookmarkEnd w:id="2555"/>
      <w:bookmarkEnd w:id="2556"/>
      <w:bookmarkEnd w:id="2557"/>
      <w:bookmarkEnd w:id="2558"/>
      <w:bookmarkEnd w:id="2559"/>
      <w:bookmarkEnd w:id="2560"/>
      <w:bookmarkEnd w:id="2561"/>
      <w:bookmarkEnd w:id="2562"/>
    </w:p>
    <w:p w14:paraId="7A02473D" w14:textId="3CFF9BE6" w:rsidR="005D5128" w:rsidRDefault="00391C1A" w:rsidP="0052651A">
      <w:pPr>
        <w:spacing w:line="360" w:lineRule="auto"/>
        <w:jc w:val="both"/>
        <w:rPr>
          <w:rFonts w:ascii="Times New Roman" w:hAnsi="Times New Roman" w:cs="Times New Roman"/>
        </w:rPr>
      </w:pPr>
      <w:r>
        <w:rPr>
          <w:rFonts w:ascii="Times New Roman" w:hAnsi="Times New Roman" w:cs="Times New Roman"/>
          <w:b/>
        </w:rPr>
        <w:t xml:space="preserve"> </w:t>
      </w:r>
      <w:r>
        <w:rPr>
          <w:rFonts w:ascii="Times New Roman" w:hAnsi="Times New Roman" w:cs="Times New Roman"/>
        </w:rPr>
        <w:t xml:space="preserve">Loss of IGF1R occurs following treatment with MAB391 </w:t>
      </w:r>
      <w:r w:rsidR="00C325CF">
        <w:rPr>
          <w:rFonts w:ascii="Times New Roman" w:hAnsi="Times New Roman" w:cs="Times New Roman"/>
        </w:rPr>
        <w:t>compared with untreated and IgG-</w:t>
      </w:r>
      <w:r>
        <w:rPr>
          <w:rFonts w:ascii="Times New Roman" w:hAnsi="Times New Roman" w:cs="Times New Roman"/>
        </w:rPr>
        <w:t>treated astrocytes.</w:t>
      </w:r>
      <w:r w:rsidR="00E2602D">
        <w:rPr>
          <w:rFonts w:ascii="Times New Roman" w:hAnsi="Times New Roman" w:cs="Times New Roman"/>
        </w:rPr>
        <w:t xml:space="preserve"> No observed differences in pAkt (s473) levels with IgG/MAB391 treatments compared with controls.</w:t>
      </w:r>
    </w:p>
    <w:p w14:paraId="5CCF6E3D" w14:textId="77777777" w:rsidR="007757E3" w:rsidRDefault="007757E3" w:rsidP="00E84B34">
      <w:pPr>
        <w:rPr>
          <w:rFonts w:ascii="Times New Roman" w:hAnsi="Times New Roman" w:cs="Times New Roman"/>
        </w:rPr>
      </w:pPr>
    </w:p>
    <w:p w14:paraId="1CC5035D" w14:textId="2EFEEC76" w:rsidR="007757E3" w:rsidRDefault="007757E3" w:rsidP="00E84B34">
      <w:pPr>
        <w:rPr>
          <w:rFonts w:ascii="Times New Roman" w:hAnsi="Times New Roman" w:cs="Times New Roman"/>
        </w:rPr>
      </w:pPr>
      <w:r>
        <w:rPr>
          <w:rFonts w:ascii="Times New Roman" w:hAnsi="Times New Roman" w:cs="Times New Roman"/>
          <w:noProof/>
        </w:rPr>
        <w:drawing>
          <wp:inline distT="0" distB="0" distL="0" distR="0" wp14:anchorId="04C2392C" wp14:editId="18F1AACB">
            <wp:extent cx="5396230" cy="1862051"/>
            <wp:effectExtent l="0" t="0" r="0" b="0"/>
            <wp:docPr id="1073741844" name="Picture 107374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rotWithShape="1">
                    <a:blip r:embed="rId117">
                      <a:extLst>
                        <a:ext uri="{28A0092B-C50C-407E-A947-70E740481C1C}">
                          <a14:useLocalDpi xmlns:a14="http://schemas.microsoft.com/office/drawing/2010/main" val="0"/>
                        </a:ext>
                      </a:extLst>
                    </a:blip>
                    <a:srcRect b="53981"/>
                    <a:stretch/>
                  </pic:blipFill>
                  <pic:spPr bwMode="auto">
                    <a:xfrm>
                      <a:off x="0" y="0"/>
                      <a:ext cx="5396230" cy="1862051"/>
                    </a:xfrm>
                    <a:prstGeom prst="rect">
                      <a:avLst/>
                    </a:prstGeom>
                    <a:ln>
                      <a:noFill/>
                    </a:ln>
                    <a:extLst>
                      <a:ext uri="{53640926-AAD7-44d8-BBD7-CCE9431645EC}">
                        <a14:shadowObscured xmlns:a14="http://schemas.microsoft.com/office/drawing/2010/main"/>
                      </a:ext>
                    </a:extLst>
                  </pic:spPr>
                </pic:pic>
              </a:graphicData>
            </a:graphic>
          </wp:inline>
        </w:drawing>
      </w:r>
    </w:p>
    <w:p w14:paraId="505CD772" w14:textId="77777777" w:rsidR="00303E90" w:rsidRDefault="00350421" w:rsidP="00AB1419">
      <w:pPr>
        <w:pStyle w:val="Caption"/>
      </w:pPr>
      <w:bookmarkStart w:id="2563" w:name="_Toc333569105"/>
      <w:bookmarkStart w:id="2564" w:name="_Toc333569327"/>
      <w:bookmarkStart w:id="2565" w:name="_Toc333570881"/>
      <w:bookmarkStart w:id="2566" w:name="_Toc333582264"/>
      <w:bookmarkStart w:id="2567" w:name="_Toc333582384"/>
      <w:bookmarkStart w:id="2568" w:name="_Toc333582796"/>
      <w:bookmarkStart w:id="2569" w:name="_Toc333583166"/>
      <w:bookmarkStart w:id="2570" w:name="_Toc333585283"/>
      <w:bookmarkStart w:id="2571" w:name="_Toc333586835"/>
      <w:bookmarkStart w:id="2572" w:name="_Toc333644534"/>
      <w:bookmarkStart w:id="2573" w:name="_Toc333644828"/>
      <w:r>
        <w:t>Figure 7.3</w:t>
      </w:r>
      <w:r w:rsidR="007B2E88">
        <w:t>.</w:t>
      </w:r>
      <w:r>
        <w:t xml:space="preserve"> FACS sorting of co-cultures.</w:t>
      </w:r>
      <w:bookmarkEnd w:id="2563"/>
      <w:bookmarkEnd w:id="2564"/>
      <w:bookmarkEnd w:id="2565"/>
      <w:bookmarkEnd w:id="2566"/>
      <w:bookmarkEnd w:id="2567"/>
      <w:bookmarkEnd w:id="2568"/>
      <w:bookmarkEnd w:id="2569"/>
      <w:bookmarkEnd w:id="2570"/>
      <w:bookmarkEnd w:id="2571"/>
      <w:bookmarkEnd w:id="2572"/>
      <w:bookmarkEnd w:id="2573"/>
      <w:r>
        <w:t xml:space="preserve"> </w:t>
      </w:r>
    </w:p>
    <w:p w14:paraId="4473F7FB" w14:textId="14C21EF0" w:rsidR="005D5128" w:rsidRPr="00350421" w:rsidRDefault="00350421" w:rsidP="0052651A">
      <w:pPr>
        <w:spacing w:line="360" w:lineRule="auto"/>
        <w:jc w:val="both"/>
        <w:rPr>
          <w:rFonts w:ascii="Times New Roman" w:hAnsi="Times New Roman" w:cs="Times New Roman"/>
        </w:rPr>
      </w:pPr>
      <w:r>
        <w:rPr>
          <w:rFonts w:ascii="Times New Roman" w:hAnsi="Times New Roman" w:cs="Times New Roman"/>
        </w:rPr>
        <w:t xml:space="preserve">Co-culture sorted according to FSC </w:t>
      </w:r>
      <w:r w:rsidR="0069199E">
        <w:rPr>
          <w:rFonts w:ascii="Times New Roman" w:hAnsi="Times New Roman" w:cs="Times New Roman"/>
        </w:rPr>
        <w:t xml:space="preserve">(relative size of the cell) </w:t>
      </w:r>
      <w:r>
        <w:rPr>
          <w:rFonts w:ascii="Times New Roman" w:hAnsi="Times New Roman" w:cs="Times New Roman"/>
        </w:rPr>
        <w:t>and SSC</w:t>
      </w:r>
      <w:r w:rsidR="0069199E">
        <w:rPr>
          <w:rFonts w:ascii="Times New Roman" w:hAnsi="Times New Roman" w:cs="Times New Roman"/>
        </w:rPr>
        <w:t xml:space="preserve"> (cell granularity)</w:t>
      </w:r>
      <w:r>
        <w:rPr>
          <w:rFonts w:ascii="Times New Roman" w:hAnsi="Times New Roman" w:cs="Times New Roman"/>
        </w:rPr>
        <w:t xml:space="preserve"> cell profiles, with astrocytes, LUHMES and GFP LUHMES FACS sorts as controls.</w:t>
      </w:r>
      <w:r>
        <w:rPr>
          <w:rFonts w:ascii="Times New Roman" w:hAnsi="Times New Roman" w:cs="Times New Roman"/>
          <w:b/>
        </w:rPr>
        <w:t xml:space="preserve"> </w:t>
      </w:r>
    </w:p>
    <w:p w14:paraId="2FFD25BC" w14:textId="77777777" w:rsidR="005D5128" w:rsidRPr="00E84B34" w:rsidRDefault="005D5128" w:rsidP="00E84B34">
      <w:pPr>
        <w:rPr>
          <w:rFonts w:ascii="Times New Roman" w:hAnsi="Times New Roman" w:cs="Times New Roman"/>
        </w:rPr>
      </w:pPr>
    </w:p>
    <w:p w14:paraId="6BBAECF5" w14:textId="7D21620B" w:rsidR="00FC11D8" w:rsidRDefault="00FC11D8" w:rsidP="00FC11D8">
      <w:pPr>
        <w:pStyle w:val="Heading1"/>
      </w:pPr>
      <w:bookmarkStart w:id="2574" w:name="_Toc332972709"/>
      <w:bookmarkStart w:id="2575" w:name="_Toc333046988"/>
      <w:bookmarkStart w:id="2576" w:name="_Toc333477335"/>
      <w:bookmarkStart w:id="2577" w:name="_Toc333478105"/>
      <w:bookmarkStart w:id="2578" w:name="_Toc333645005"/>
      <w:r>
        <w:t>References</w:t>
      </w:r>
      <w:bookmarkEnd w:id="2574"/>
      <w:bookmarkEnd w:id="2575"/>
      <w:bookmarkEnd w:id="2576"/>
      <w:bookmarkEnd w:id="2577"/>
      <w:bookmarkEnd w:id="2578"/>
    </w:p>
    <w:p w14:paraId="04BB47B2" w14:textId="77777777" w:rsidR="00FC11D8" w:rsidRDefault="00FC11D8" w:rsidP="00FC11D8"/>
    <w:p w14:paraId="15B4E849" w14:textId="3E0E4F69" w:rsidR="008438C0" w:rsidRPr="008438C0" w:rsidRDefault="008438C0" w:rsidP="008438C0">
      <w:pPr>
        <w:widowControl w:val="0"/>
        <w:autoSpaceDE w:val="0"/>
        <w:autoSpaceDN w:val="0"/>
        <w:adjustRightInd w:val="0"/>
        <w:ind w:left="480" w:hanging="480"/>
        <w:rPr>
          <w:rFonts w:ascii="Times New Roman" w:hAnsi="Times New Roman"/>
          <w:noProof/>
        </w:rPr>
      </w:pPr>
      <w:r>
        <w:rPr>
          <w:rFonts w:ascii="Times New Roman" w:hAnsi="Times New Roman" w:cs="Times New Roman"/>
        </w:rPr>
        <w:fldChar w:fldCharType="begin" w:fldLock="1"/>
      </w:r>
      <w:r>
        <w:rPr>
          <w:rFonts w:ascii="Times New Roman" w:hAnsi="Times New Roman" w:cs="Times New Roman"/>
        </w:rPr>
        <w:instrText xml:space="preserve">ADDIN Mendeley Bibliography CSL_BIBLIOGRAPHY </w:instrText>
      </w:r>
      <w:r>
        <w:rPr>
          <w:rFonts w:ascii="Times New Roman" w:hAnsi="Times New Roman" w:cs="Times New Roman"/>
        </w:rPr>
        <w:fldChar w:fldCharType="separate"/>
      </w:r>
      <w:r w:rsidRPr="008438C0">
        <w:rPr>
          <w:rFonts w:ascii="Times New Roman" w:hAnsi="Times New Roman"/>
          <w:noProof/>
        </w:rPr>
        <w:t xml:space="preserve">Abramov, A.Y., Canevari, L. &amp; Duchen, M.R., 2004. -Amyloid Peptides Induce Mitochondrial Dysfunction and Oxidative Stress in Astrocytes and Death of Neurons through Activation of NADPH Oxidase. </w:t>
      </w:r>
      <w:r w:rsidRPr="008438C0">
        <w:rPr>
          <w:rFonts w:ascii="Times New Roman" w:hAnsi="Times New Roman"/>
          <w:i/>
          <w:iCs/>
          <w:noProof/>
        </w:rPr>
        <w:t>Journal of Neuroscience</w:t>
      </w:r>
      <w:r w:rsidRPr="008438C0">
        <w:rPr>
          <w:rFonts w:ascii="Times New Roman" w:hAnsi="Times New Roman"/>
          <w:noProof/>
        </w:rPr>
        <w:t>, 24(2), pp.565–575.</w:t>
      </w:r>
    </w:p>
    <w:p w14:paraId="583FE72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Aguirre, V. et al., 2000. The c-Jun NH(2)-terminal kinase promotes insulin resistance during association with insulin receptor substrate-1 and phosphorylation of Ser(307). </w:t>
      </w:r>
      <w:r w:rsidRPr="008438C0">
        <w:rPr>
          <w:rFonts w:ascii="Times New Roman" w:hAnsi="Times New Roman"/>
          <w:i/>
          <w:iCs/>
          <w:noProof/>
        </w:rPr>
        <w:t>The Journal of biological chemistry</w:t>
      </w:r>
      <w:r w:rsidRPr="008438C0">
        <w:rPr>
          <w:rFonts w:ascii="Times New Roman" w:hAnsi="Times New Roman"/>
          <w:noProof/>
        </w:rPr>
        <w:t>, 275(12), pp.9047–54.</w:t>
      </w:r>
    </w:p>
    <w:p w14:paraId="26928FB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Agulhon, C. et al., 2012a. Calcium Signaling and Gliotransmission in Normal vs. Reactive Astrocytes. </w:t>
      </w:r>
      <w:r w:rsidRPr="008438C0">
        <w:rPr>
          <w:rFonts w:ascii="Times New Roman" w:hAnsi="Times New Roman"/>
          <w:i/>
          <w:iCs/>
          <w:noProof/>
        </w:rPr>
        <w:t>Frontiers in pharmacology</w:t>
      </w:r>
      <w:r w:rsidRPr="008438C0">
        <w:rPr>
          <w:rFonts w:ascii="Times New Roman" w:hAnsi="Times New Roman"/>
          <w:noProof/>
        </w:rPr>
        <w:t>, 3, p.139.</w:t>
      </w:r>
    </w:p>
    <w:p w14:paraId="2098B26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Aizenman, Y. &amp; de Vellis, J., 1987. Brain neurons develop in a serum and glial free environment: effects of transferrin, insulin, insulin-like growth factor-I and thyroid hormone on neuronal survival, growth and differentiation. </w:t>
      </w:r>
      <w:r w:rsidRPr="008438C0">
        <w:rPr>
          <w:rFonts w:ascii="Times New Roman" w:hAnsi="Times New Roman"/>
          <w:i/>
          <w:iCs/>
          <w:noProof/>
        </w:rPr>
        <w:t>Brain research</w:t>
      </w:r>
      <w:r w:rsidRPr="008438C0">
        <w:rPr>
          <w:rFonts w:ascii="Times New Roman" w:hAnsi="Times New Roman"/>
          <w:noProof/>
        </w:rPr>
        <w:t>, 406(1–2), pp.32–42.</w:t>
      </w:r>
    </w:p>
    <w:p w14:paraId="1D00E3E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Aksenov, M.Y. et al., 2001. Protein oxidation in the brain in Alzheimer’s disease. </w:t>
      </w:r>
      <w:r w:rsidRPr="008438C0">
        <w:rPr>
          <w:rFonts w:ascii="Times New Roman" w:hAnsi="Times New Roman"/>
          <w:i/>
          <w:iCs/>
          <w:noProof/>
        </w:rPr>
        <w:t>Neuroscience</w:t>
      </w:r>
      <w:r w:rsidRPr="008438C0">
        <w:rPr>
          <w:rFonts w:ascii="Times New Roman" w:hAnsi="Times New Roman"/>
          <w:noProof/>
        </w:rPr>
        <w:t>, 103(2), pp.373–83.</w:t>
      </w:r>
    </w:p>
    <w:p w14:paraId="4633B72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Alessi, D.R. et al., 1996. Mechanism of activation of protein kinase B by insulin and IGF-1. </w:t>
      </w:r>
      <w:r w:rsidRPr="008438C0">
        <w:rPr>
          <w:rFonts w:ascii="Times New Roman" w:hAnsi="Times New Roman"/>
          <w:i/>
          <w:iCs/>
          <w:noProof/>
        </w:rPr>
        <w:t>The EMBO journal</w:t>
      </w:r>
      <w:r w:rsidRPr="008438C0">
        <w:rPr>
          <w:rFonts w:ascii="Times New Roman" w:hAnsi="Times New Roman"/>
          <w:noProof/>
        </w:rPr>
        <w:t>, 15(23), pp.6541–51.</w:t>
      </w:r>
    </w:p>
    <w:p w14:paraId="49067A1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Allaman, I. et al., 2010. Amyloid-  Aggregates Cause Alterations of Astrocytic Metabolic Phenotype: Impact on Neuronal Viability. </w:t>
      </w:r>
      <w:r w:rsidRPr="008438C0">
        <w:rPr>
          <w:rFonts w:ascii="Times New Roman" w:hAnsi="Times New Roman"/>
          <w:i/>
          <w:iCs/>
          <w:noProof/>
        </w:rPr>
        <w:t>Journal of Neuroscience</w:t>
      </w:r>
      <w:r w:rsidRPr="008438C0">
        <w:rPr>
          <w:rFonts w:ascii="Times New Roman" w:hAnsi="Times New Roman"/>
          <w:noProof/>
        </w:rPr>
        <w:t>, 30(9), pp.3326–3338.</w:t>
      </w:r>
    </w:p>
    <w:p w14:paraId="1887525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Almeida, A. et al., 2001. Different responses of astrocytes and neurons to nitric oxide: the role of glycolytically generated ATP in astrocyte protection. </w:t>
      </w:r>
      <w:r w:rsidRPr="008438C0">
        <w:rPr>
          <w:rFonts w:ascii="Times New Roman" w:hAnsi="Times New Roman"/>
          <w:i/>
          <w:iCs/>
          <w:noProof/>
        </w:rPr>
        <w:t>Proceedings of the National Academy of Sciences of the United States of America</w:t>
      </w:r>
      <w:r w:rsidRPr="008438C0">
        <w:rPr>
          <w:rFonts w:ascii="Times New Roman" w:hAnsi="Times New Roman"/>
          <w:noProof/>
        </w:rPr>
        <w:t>, 98(26), pp.15294–9.</w:t>
      </w:r>
    </w:p>
    <w:p w14:paraId="1A6DFEF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Alonso, A.C. et al., 1994. Role of abnormally phosphorylated tau in the breakdown of microtubules in Alzheimer disease. </w:t>
      </w:r>
      <w:r w:rsidRPr="008438C0">
        <w:rPr>
          <w:rFonts w:ascii="Times New Roman" w:hAnsi="Times New Roman"/>
          <w:i/>
          <w:iCs/>
          <w:noProof/>
        </w:rPr>
        <w:t>Proceedings of the National Academy of Sciences of the United States of America</w:t>
      </w:r>
      <w:r w:rsidRPr="008438C0">
        <w:rPr>
          <w:rFonts w:ascii="Times New Roman" w:hAnsi="Times New Roman"/>
          <w:noProof/>
        </w:rPr>
        <w:t>, 91(12), pp.5562–6.</w:t>
      </w:r>
    </w:p>
    <w:p w14:paraId="08DA0D4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Alvarez, J.I. et al., 2011. The Hedgehog pathway promotes blood-brain barrier integrity and CNS immune quiescence. </w:t>
      </w:r>
      <w:r w:rsidRPr="008438C0">
        <w:rPr>
          <w:rFonts w:ascii="Times New Roman" w:hAnsi="Times New Roman"/>
          <w:i/>
          <w:iCs/>
          <w:noProof/>
        </w:rPr>
        <w:t>Science (New York, N.Y.)</w:t>
      </w:r>
      <w:r w:rsidRPr="008438C0">
        <w:rPr>
          <w:rFonts w:ascii="Times New Roman" w:hAnsi="Times New Roman"/>
          <w:noProof/>
        </w:rPr>
        <w:t>, 334(6063), pp.1727–31.</w:t>
      </w:r>
    </w:p>
    <w:p w14:paraId="303C8A0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Alzheimer’s Association, A.P. et al., 2013. 2013 Alzheimer’s disease facts and figures. </w:t>
      </w:r>
      <w:r w:rsidRPr="008438C0">
        <w:rPr>
          <w:rFonts w:ascii="Times New Roman" w:hAnsi="Times New Roman"/>
          <w:i/>
          <w:iCs/>
          <w:noProof/>
        </w:rPr>
        <w:t>Alzheimer’s &amp; dementia : the journal of the Alzheimer’s Association</w:t>
      </w:r>
      <w:r w:rsidRPr="008438C0">
        <w:rPr>
          <w:rFonts w:ascii="Times New Roman" w:hAnsi="Times New Roman"/>
          <w:noProof/>
        </w:rPr>
        <w:t>, 9(2), pp.208–45.</w:t>
      </w:r>
    </w:p>
    <w:p w14:paraId="1D88069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Ang, L.C. et al., 1992. Effects of astrocytes, insulin and insulin-like growth factor I on the survival of motoneurons in vitro. </w:t>
      </w:r>
      <w:r w:rsidRPr="008438C0">
        <w:rPr>
          <w:rFonts w:ascii="Times New Roman" w:hAnsi="Times New Roman"/>
          <w:i/>
          <w:iCs/>
          <w:noProof/>
        </w:rPr>
        <w:t>Journal of the Neurological Sciences</w:t>
      </w:r>
      <w:r w:rsidRPr="008438C0">
        <w:rPr>
          <w:rFonts w:ascii="Times New Roman" w:hAnsi="Times New Roman"/>
          <w:noProof/>
        </w:rPr>
        <w:t>, 109(2), pp.168–172.</w:t>
      </w:r>
    </w:p>
    <w:p w14:paraId="06716C6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Angulo, M.C. et al., 2004. Glutamate released from glial cells synchronizes neuronal activity in the hippocampus.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24(31), pp.6920–7.</w:t>
      </w:r>
    </w:p>
    <w:p w14:paraId="48578E7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Ansari, M.A. et al., 2010. Oxidative stress in the progression of Alzheimer disease in the frontal cortex. </w:t>
      </w:r>
      <w:r w:rsidRPr="008438C0">
        <w:rPr>
          <w:rFonts w:ascii="Times New Roman" w:hAnsi="Times New Roman"/>
          <w:i/>
          <w:iCs/>
          <w:noProof/>
        </w:rPr>
        <w:t>Journal of neuropathology and experimental neurology</w:t>
      </w:r>
      <w:r w:rsidRPr="008438C0">
        <w:rPr>
          <w:rFonts w:ascii="Times New Roman" w:hAnsi="Times New Roman"/>
          <w:noProof/>
        </w:rPr>
        <w:t>, 69(2), pp.155–67.</w:t>
      </w:r>
    </w:p>
    <w:p w14:paraId="620070A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Arai, Y. et al., 2001. Serum Insulin-like Growth Factor-1 in Centenarians: Implications of IGF-1 as a Rapid Turnover Protein. </w:t>
      </w:r>
      <w:r w:rsidRPr="008438C0">
        <w:rPr>
          <w:rFonts w:ascii="Times New Roman" w:hAnsi="Times New Roman"/>
          <w:i/>
          <w:iCs/>
          <w:noProof/>
        </w:rPr>
        <w:t>The Journals of Gerontology Series A: Biological Sciences and Medical Sciences</w:t>
      </w:r>
      <w:r w:rsidRPr="008438C0">
        <w:rPr>
          <w:rFonts w:ascii="Times New Roman" w:hAnsi="Times New Roman"/>
          <w:noProof/>
        </w:rPr>
        <w:t>, 56(2), pp.M79–M82.</w:t>
      </w:r>
    </w:p>
    <w:p w14:paraId="45EE63D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Araque, A. et al., 1999. Tripartite synapses: glia, the unacknowledged partner. </w:t>
      </w:r>
      <w:r w:rsidRPr="008438C0">
        <w:rPr>
          <w:rFonts w:ascii="Times New Roman" w:hAnsi="Times New Roman"/>
          <w:i/>
          <w:iCs/>
          <w:noProof/>
        </w:rPr>
        <w:t>Trends in Neurosciences</w:t>
      </w:r>
      <w:r w:rsidRPr="008438C0">
        <w:rPr>
          <w:rFonts w:ascii="Times New Roman" w:hAnsi="Times New Roman"/>
          <w:noProof/>
        </w:rPr>
        <w:t>, 22(5), pp.208–215.</w:t>
      </w:r>
    </w:p>
    <w:p w14:paraId="657969F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Argaw, A.T. et al., 2012. Astrocyte-derived VEGF-A drives blood-brain barrier disruption in CNS inflammatory disease. </w:t>
      </w:r>
      <w:r w:rsidRPr="008438C0">
        <w:rPr>
          <w:rFonts w:ascii="Times New Roman" w:hAnsi="Times New Roman"/>
          <w:i/>
          <w:iCs/>
          <w:noProof/>
        </w:rPr>
        <w:t>The Journal of clinical investigation</w:t>
      </w:r>
      <w:r w:rsidRPr="008438C0">
        <w:rPr>
          <w:rFonts w:ascii="Times New Roman" w:hAnsi="Times New Roman"/>
          <w:noProof/>
        </w:rPr>
        <w:t>, 122(7), pp.2454–68.</w:t>
      </w:r>
    </w:p>
    <w:p w14:paraId="7DE3761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Arnold, S.E. et al., 2013. Cellular, synaptic, and biochemical features of resilient cognition in Alzheimer’s disease. </w:t>
      </w:r>
      <w:r w:rsidRPr="008438C0">
        <w:rPr>
          <w:rFonts w:ascii="Times New Roman" w:hAnsi="Times New Roman"/>
          <w:i/>
          <w:iCs/>
          <w:noProof/>
        </w:rPr>
        <w:t>Neurobiology of aging</w:t>
      </w:r>
      <w:r w:rsidRPr="008438C0">
        <w:rPr>
          <w:rFonts w:ascii="Times New Roman" w:hAnsi="Times New Roman"/>
          <w:noProof/>
        </w:rPr>
        <w:t>, 34(1), pp.157–68.</w:t>
      </w:r>
    </w:p>
    <w:p w14:paraId="1A36E54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Arriagada, P. V., Marzloff, K. &amp; Hyman, B.T., 1992. Distribution of Alzheimer-type pathologic changes in nondemented elderly individuals matches the pattern in Alzheimer’s disease. </w:t>
      </w:r>
      <w:r w:rsidRPr="008438C0">
        <w:rPr>
          <w:rFonts w:ascii="Times New Roman" w:hAnsi="Times New Roman"/>
          <w:i/>
          <w:iCs/>
          <w:noProof/>
        </w:rPr>
        <w:t>Neurology</w:t>
      </w:r>
      <w:r w:rsidRPr="008438C0">
        <w:rPr>
          <w:rFonts w:ascii="Times New Roman" w:hAnsi="Times New Roman"/>
          <w:noProof/>
        </w:rPr>
        <w:t>, 42(9), pp.1681–1681.</w:t>
      </w:r>
    </w:p>
    <w:p w14:paraId="47072EE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Bailyes, E.M. et al., 1997. Insulin receptor/IGF-I receptor hybrids are widely distributed in mammalian tissues: quantification of individual receptor species by selective immunoprecipitation and immunoblotting. </w:t>
      </w:r>
      <w:r w:rsidRPr="008438C0">
        <w:rPr>
          <w:rFonts w:ascii="Times New Roman" w:hAnsi="Times New Roman"/>
          <w:i/>
          <w:iCs/>
          <w:noProof/>
        </w:rPr>
        <w:t>The Biochemical journal</w:t>
      </w:r>
      <w:r w:rsidRPr="008438C0">
        <w:rPr>
          <w:rFonts w:ascii="Times New Roman" w:hAnsi="Times New Roman"/>
          <w:noProof/>
        </w:rPr>
        <w:t>, 327 ( Pt 1, pp.209–15.</w:t>
      </w:r>
    </w:p>
    <w:p w14:paraId="799F711D"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Bak, L.K., Schousboe, A. &amp; Waagepetersen, H.S., 2006. The glutamate/GABA-glutamine cycle: aspects of transport, neurotransmitter homeostasis and ammonia transfer. </w:t>
      </w:r>
      <w:r w:rsidRPr="008438C0">
        <w:rPr>
          <w:rFonts w:ascii="Times New Roman" w:hAnsi="Times New Roman"/>
          <w:i/>
          <w:iCs/>
          <w:noProof/>
        </w:rPr>
        <w:t>Journal of Neurochemistry</w:t>
      </w:r>
      <w:r w:rsidRPr="008438C0">
        <w:rPr>
          <w:rFonts w:ascii="Times New Roman" w:hAnsi="Times New Roman"/>
          <w:noProof/>
        </w:rPr>
        <w:t>, 98(3), pp.641–653.</w:t>
      </w:r>
    </w:p>
    <w:p w14:paraId="74C368E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Ballotti, R. et al., 1987. Insulin-like growth factor I in cultured rat astrocytes: expression of the gene, and receptor tyrosine kinase. </w:t>
      </w:r>
      <w:r w:rsidRPr="008438C0">
        <w:rPr>
          <w:rFonts w:ascii="Times New Roman" w:hAnsi="Times New Roman"/>
          <w:i/>
          <w:iCs/>
          <w:noProof/>
        </w:rPr>
        <w:t>The EMBO journal</w:t>
      </w:r>
      <w:r w:rsidRPr="008438C0">
        <w:rPr>
          <w:rFonts w:ascii="Times New Roman" w:hAnsi="Times New Roman"/>
          <w:noProof/>
        </w:rPr>
        <w:t>, 6(12), pp.3633–9.</w:t>
      </w:r>
    </w:p>
    <w:p w14:paraId="079B8FF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Bansal, A. et al., 2015. Uncoupling lifespan and healthspan in Caenorhabditis elegans longevity mutants. </w:t>
      </w:r>
      <w:r w:rsidRPr="008438C0">
        <w:rPr>
          <w:rFonts w:ascii="Times New Roman" w:hAnsi="Times New Roman"/>
          <w:i/>
          <w:iCs/>
          <w:noProof/>
        </w:rPr>
        <w:t>Proceedings of the National Academy of Sciences of the United States of America</w:t>
      </w:r>
      <w:r w:rsidRPr="008438C0">
        <w:rPr>
          <w:rFonts w:ascii="Times New Roman" w:hAnsi="Times New Roman"/>
          <w:noProof/>
        </w:rPr>
        <w:t>, 112(3), pp.E277-86.</w:t>
      </w:r>
    </w:p>
    <w:p w14:paraId="75EF369E"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Barbin, G. et al., 1988. Brain astrocytes express region-specific surface glycoproteins in culture. </w:t>
      </w:r>
      <w:r w:rsidRPr="008438C0">
        <w:rPr>
          <w:rFonts w:ascii="Times New Roman" w:hAnsi="Times New Roman"/>
          <w:i/>
          <w:iCs/>
          <w:noProof/>
        </w:rPr>
        <w:t>Glia</w:t>
      </w:r>
      <w:r w:rsidRPr="008438C0">
        <w:rPr>
          <w:rFonts w:ascii="Times New Roman" w:hAnsi="Times New Roman"/>
          <w:noProof/>
        </w:rPr>
        <w:t>, 1(1), pp.96–103.</w:t>
      </w:r>
    </w:p>
    <w:p w14:paraId="750F529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Barthel, A., Schmoll, D. &amp; Unterman, T.G., 2005. FoxO proteins in insulin action and metabolism. </w:t>
      </w:r>
      <w:r w:rsidRPr="008438C0">
        <w:rPr>
          <w:rFonts w:ascii="Times New Roman" w:hAnsi="Times New Roman"/>
          <w:i/>
          <w:iCs/>
          <w:noProof/>
        </w:rPr>
        <w:t>Trends in endocrinology and metabolism: TEM</w:t>
      </w:r>
      <w:r w:rsidRPr="008438C0">
        <w:rPr>
          <w:rFonts w:ascii="Times New Roman" w:hAnsi="Times New Roman"/>
          <w:noProof/>
        </w:rPr>
        <w:t>, 16(4), pp.183–9.</w:t>
      </w:r>
    </w:p>
    <w:p w14:paraId="67DF7896" w14:textId="5899EA31"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Basso, M. et al., 2013. Mutant Copper-Zinc Superoxide Dismutase (SOD1) Induces Protein Secretion Pathway Alterations and Exosome Release in Astrocytes: </w:t>
      </w:r>
      <w:r>
        <w:rPr>
          <w:rFonts w:ascii="Times New Roman" w:hAnsi="Times New Roman"/>
          <w:noProof/>
        </w:rPr>
        <w:t>Implications for disease spreading and motor neuron pathology in Amyotrophic Lateral Sclerosis</w:t>
      </w:r>
      <w:r w:rsidRPr="008438C0">
        <w:rPr>
          <w:rFonts w:ascii="Times New Roman" w:hAnsi="Times New Roman"/>
          <w:noProof/>
        </w:rPr>
        <w:t xml:space="preserve">. </w:t>
      </w:r>
      <w:r w:rsidRPr="008438C0">
        <w:rPr>
          <w:rFonts w:ascii="Times New Roman" w:hAnsi="Times New Roman"/>
          <w:i/>
          <w:iCs/>
          <w:noProof/>
        </w:rPr>
        <w:t>Journal of Biological Chemistry</w:t>
      </w:r>
      <w:r w:rsidRPr="008438C0">
        <w:rPr>
          <w:rFonts w:ascii="Times New Roman" w:hAnsi="Times New Roman"/>
          <w:noProof/>
        </w:rPr>
        <w:t>, 288(22), pp.15699–15711.</w:t>
      </w:r>
    </w:p>
    <w:p w14:paraId="032212B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Bean, J. et al., 2007. MET amplification occurs with or without T790M mutations in EGFR mutant lung tumors with acquired resistance to gefitinib or erlotinib. </w:t>
      </w:r>
      <w:r w:rsidRPr="008438C0">
        <w:rPr>
          <w:rFonts w:ascii="Times New Roman" w:hAnsi="Times New Roman"/>
          <w:i/>
          <w:iCs/>
          <w:noProof/>
        </w:rPr>
        <w:t>Proceedings of the National Academy of Sciences of the United States of America</w:t>
      </w:r>
      <w:r w:rsidRPr="008438C0">
        <w:rPr>
          <w:rFonts w:ascii="Times New Roman" w:hAnsi="Times New Roman"/>
          <w:noProof/>
        </w:rPr>
        <w:t>, 104(52), pp.20932–7.</w:t>
      </w:r>
    </w:p>
    <w:p w14:paraId="4D34085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Beilharz, E.J. et al., 1998. Co-ordinated and cellular specific induction of the components of the IGF/IGFBP axis in the rat brain following hypoxic–ischemic injury. </w:t>
      </w:r>
      <w:r w:rsidRPr="008438C0">
        <w:rPr>
          <w:rFonts w:ascii="Times New Roman" w:hAnsi="Times New Roman"/>
          <w:i/>
          <w:iCs/>
          <w:noProof/>
        </w:rPr>
        <w:t>Molecular Brain Research</w:t>
      </w:r>
      <w:r w:rsidRPr="008438C0">
        <w:rPr>
          <w:rFonts w:ascii="Times New Roman" w:hAnsi="Times New Roman"/>
          <w:noProof/>
        </w:rPr>
        <w:t>, 59(2), pp.119–134.</w:t>
      </w:r>
    </w:p>
    <w:p w14:paraId="6030A4A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Bell, K.F.S. et al., 2015. Neuronal development is promoted by weakened intrinsic antioxidant defences due to epigenetic repression of Nrf2. </w:t>
      </w:r>
      <w:r w:rsidRPr="008438C0">
        <w:rPr>
          <w:rFonts w:ascii="Times New Roman" w:hAnsi="Times New Roman"/>
          <w:i/>
          <w:iCs/>
          <w:noProof/>
        </w:rPr>
        <w:t>Nature Communications</w:t>
      </w:r>
      <w:r w:rsidRPr="008438C0">
        <w:rPr>
          <w:rFonts w:ascii="Times New Roman" w:hAnsi="Times New Roman"/>
          <w:noProof/>
        </w:rPr>
        <w:t>, 6, p.7066.</w:t>
      </w:r>
    </w:p>
    <w:p w14:paraId="4528C014"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Bellaver, B. et al., 2016. Hippocampal Astrocyte Cultures from Adult and Aged Rats Reproduce Changes in Glial Functionality Observed in the Aging Brain. </w:t>
      </w:r>
      <w:r w:rsidRPr="008438C0">
        <w:rPr>
          <w:rFonts w:ascii="Times New Roman" w:hAnsi="Times New Roman"/>
          <w:i/>
          <w:iCs/>
          <w:noProof/>
        </w:rPr>
        <w:t>Molecular neurobiology</w:t>
      </w:r>
      <w:r w:rsidRPr="008438C0">
        <w:rPr>
          <w:rFonts w:ascii="Times New Roman" w:hAnsi="Times New Roman"/>
          <w:noProof/>
        </w:rPr>
        <w:t>.</w:t>
      </w:r>
    </w:p>
    <w:p w14:paraId="475DA85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Beller, J.A. &amp; Snow, D.M., 2014. Proteoglycans: road signs for neurite outgrowth. </w:t>
      </w:r>
      <w:r w:rsidRPr="008438C0">
        <w:rPr>
          <w:rFonts w:ascii="Times New Roman" w:hAnsi="Times New Roman"/>
          <w:i/>
          <w:iCs/>
          <w:noProof/>
        </w:rPr>
        <w:t>Neural regeneration research</w:t>
      </w:r>
      <w:r w:rsidRPr="008438C0">
        <w:rPr>
          <w:rFonts w:ascii="Times New Roman" w:hAnsi="Times New Roman"/>
          <w:noProof/>
        </w:rPr>
        <w:t>, 9(4), pp.343–55.</w:t>
      </w:r>
    </w:p>
    <w:p w14:paraId="6F0EF83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Bénard, G. et al., 2012. Mitochondrial CB</w:t>
      </w:r>
      <w:r w:rsidRPr="008438C0">
        <w:rPr>
          <w:rFonts w:ascii="American Typewriter" w:hAnsi="American Typewriter" w:cs="American Typewriter"/>
          <w:noProof/>
        </w:rPr>
        <w:t>₁</w:t>
      </w:r>
      <w:r w:rsidRPr="008438C0">
        <w:rPr>
          <w:rFonts w:ascii="Times New Roman" w:hAnsi="Times New Roman"/>
          <w:noProof/>
        </w:rPr>
        <w:t xml:space="preserve"> receptors regulate neuronal energy metabolism. </w:t>
      </w:r>
      <w:r w:rsidRPr="008438C0">
        <w:rPr>
          <w:rFonts w:ascii="Times New Roman" w:hAnsi="Times New Roman"/>
          <w:i/>
          <w:iCs/>
          <w:noProof/>
        </w:rPr>
        <w:t>Nature neuroscience</w:t>
      </w:r>
      <w:r w:rsidRPr="008438C0">
        <w:rPr>
          <w:rFonts w:ascii="Times New Roman" w:hAnsi="Times New Roman"/>
          <w:noProof/>
        </w:rPr>
        <w:t>, 15(4), pp.558–64.</w:t>
      </w:r>
    </w:p>
    <w:p w14:paraId="2C55A9E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Bennett, D.A. et al., 2006. Neuropathology of older persons without cognitive impairment from two community-based studies. </w:t>
      </w:r>
      <w:r w:rsidRPr="008438C0">
        <w:rPr>
          <w:rFonts w:ascii="Times New Roman" w:hAnsi="Times New Roman"/>
          <w:i/>
          <w:iCs/>
          <w:noProof/>
        </w:rPr>
        <w:t>Neurology</w:t>
      </w:r>
      <w:r w:rsidRPr="008438C0">
        <w:rPr>
          <w:rFonts w:ascii="Times New Roman" w:hAnsi="Times New Roman"/>
          <w:noProof/>
        </w:rPr>
        <w:t>, 66(12), pp.1837–44.</w:t>
      </w:r>
    </w:p>
    <w:p w14:paraId="6D62EA4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Bertacchini, J. et al., 2014. Feedbacks and adaptive capabilities of the PI3K/Akt/mTOR axis in acute myeloid leukemia revealed by pathway selective inhibition and phosphoproteome analysis. </w:t>
      </w:r>
      <w:r w:rsidRPr="008438C0">
        <w:rPr>
          <w:rFonts w:ascii="Times New Roman" w:hAnsi="Times New Roman"/>
          <w:i/>
          <w:iCs/>
          <w:noProof/>
        </w:rPr>
        <w:t>Leukemia</w:t>
      </w:r>
      <w:r w:rsidRPr="008438C0">
        <w:rPr>
          <w:rFonts w:ascii="Times New Roman" w:hAnsi="Times New Roman"/>
          <w:noProof/>
        </w:rPr>
        <w:t>, 28(11), pp.2197–205.</w:t>
      </w:r>
    </w:p>
    <w:p w14:paraId="06C2F2A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Bezzi, P. &amp; Volterra, A., 2014. Imaging Exocytosis and Recycling of Synaptic-Like Microvesicles in Astrocytes. </w:t>
      </w:r>
      <w:r w:rsidRPr="008438C0">
        <w:rPr>
          <w:rFonts w:ascii="Times New Roman" w:hAnsi="Times New Roman"/>
          <w:i/>
          <w:iCs/>
          <w:noProof/>
        </w:rPr>
        <w:t>Cold Spring Harbor Protocols</w:t>
      </w:r>
      <w:r w:rsidRPr="008438C0">
        <w:rPr>
          <w:rFonts w:ascii="Times New Roman" w:hAnsi="Times New Roman"/>
          <w:noProof/>
        </w:rPr>
        <w:t>, 2014(5), p.pdb.prot081711-prot081711.</w:t>
      </w:r>
    </w:p>
    <w:p w14:paraId="7FE3952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Bhaskar, K. et al., 2009. The PI3K-Akt-mTOR pathway regulates Aβ oligomer induced neuronal cell cycle events. </w:t>
      </w:r>
      <w:r w:rsidRPr="008438C0">
        <w:rPr>
          <w:rFonts w:ascii="Times New Roman" w:hAnsi="Times New Roman"/>
          <w:i/>
          <w:iCs/>
          <w:noProof/>
        </w:rPr>
        <w:t>Molecular Neurodegeneration</w:t>
      </w:r>
      <w:r w:rsidRPr="008438C0">
        <w:rPr>
          <w:rFonts w:ascii="Times New Roman" w:hAnsi="Times New Roman"/>
          <w:noProof/>
        </w:rPr>
        <w:t>, 4(1), p.14.</w:t>
      </w:r>
    </w:p>
    <w:p w14:paraId="58DE0AF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Bigl, M. et al., 1999. Activities of key glycolytic enzymes in the brains of patients with Alzheimer’s disease. </w:t>
      </w:r>
      <w:r w:rsidRPr="008438C0">
        <w:rPr>
          <w:rFonts w:ascii="Times New Roman" w:hAnsi="Times New Roman"/>
          <w:i/>
          <w:iCs/>
          <w:noProof/>
        </w:rPr>
        <w:t>Journal of neural transmission (Vienna, Austria : 1996)</w:t>
      </w:r>
      <w:r w:rsidRPr="008438C0">
        <w:rPr>
          <w:rFonts w:ascii="Times New Roman" w:hAnsi="Times New Roman"/>
          <w:noProof/>
        </w:rPr>
        <w:t>, 106(5–6), pp.499–511.</w:t>
      </w:r>
    </w:p>
    <w:p w14:paraId="595804F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Bittar, P.G. et al., 1996. Selective distribution of lactate dehydrogenase isoenzymes in neurons and astrocytes of human brain. </w:t>
      </w:r>
      <w:r w:rsidRPr="008438C0">
        <w:rPr>
          <w:rFonts w:ascii="Times New Roman" w:hAnsi="Times New Roman"/>
          <w:i/>
          <w:iCs/>
          <w:noProof/>
        </w:rPr>
        <w:t>Journal of cerebral blood flow and metabolism : official journal of the International Society of Cerebral Blood Flow and Metabolism</w:t>
      </w:r>
      <w:r w:rsidRPr="008438C0">
        <w:rPr>
          <w:rFonts w:ascii="Times New Roman" w:hAnsi="Times New Roman"/>
          <w:noProof/>
        </w:rPr>
        <w:t>, 16(6), pp.1079–89.</w:t>
      </w:r>
    </w:p>
    <w:p w14:paraId="20C26F8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Bittner, C.X. et al., 2011. Fast and reversible stimulation of astrocytic glycolysis by K+ and a delayed and persistent effect of glutamate.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31(12), pp.4709–13.</w:t>
      </w:r>
    </w:p>
    <w:p w14:paraId="5E3CC5E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Black, M.M. et al., 1996. Tau is enriched on dynamic microtubules in the distal region of growing axons.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16(11), pp.3601–19.</w:t>
      </w:r>
    </w:p>
    <w:p w14:paraId="5C80726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Bolaños, J.P. et al., 2008. Regulation of glycolysis and pentose-phosphate pathway by nitric oxide: impact on neuronal survival. </w:t>
      </w:r>
      <w:r w:rsidRPr="008438C0">
        <w:rPr>
          <w:rFonts w:ascii="Times New Roman" w:hAnsi="Times New Roman"/>
          <w:i/>
          <w:iCs/>
          <w:noProof/>
        </w:rPr>
        <w:t>Biochimica et biophysica acta</w:t>
      </w:r>
      <w:r w:rsidRPr="008438C0">
        <w:rPr>
          <w:rFonts w:ascii="Times New Roman" w:hAnsi="Times New Roman"/>
          <w:noProof/>
        </w:rPr>
        <w:t>, 1777(7–8), pp.789–93.</w:t>
      </w:r>
    </w:p>
    <w:p w14:paraId="46B0AFB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Bomfim, T.R. et al., 2012. An anti-diabetes agent protects the mouse brain from defective insulin signaling caused by Alzheimer ’ s disease – associated A β oligomers. , 122(4), pp.1339–1353.</w:t>
      </w:r>
    </w:p>
    <w:p w14:paraId="03517CA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Bonafè, M. et al., 2003. Polymorphic Variants of Insulin-Like Growth Factor I (IGF-I) Receptor and Phosphoinositide 3-Kinase Genes Affect IGF-I Plasma Levels and Human Longevity: Cues for an Evolutionarily Conserved Mechanism of Life Span Control. </w:t>
      </w:r>
      <w:r w:rsidRPr="008438C0">
        <w:rPr>
          <w:rFonts w:ascii="Times New Roman" w:hAnsi="Times New Roman"/>
          <w:i/>
          <w:iCs/>
          <w:noProof/>
        </w:rPr>
        <w:t>The Journal of Clinical Endocrinology &amp; Metabolism</w:t>
      </w:r>
      <w:r w:rsidRPr="008438C0">
        <w:rPr>
          <w:rFonts w:ascii="Times New Roman" w:hAnsi="Times New Roman"/>
          <w:noProof/>
        </w:rPr>
        <w:t>, 88(7), pp.3299–3304.</w:t>
      </w:r>
    </w:p>
    <w:p w14:paraId="6827306F"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Borasio, G.D. et al., 1998. A placebo-controlled trial of insulin-like growth factor-I in amyotrophic lateral sclerosis. European ALS/IGF-I Study Group. </w:t>
      </w:r>
      <w:r w:rsidRPr="008438C0">
        <w:rPr>
          <w:rFonts w:ascii="Times New Roman" w:hAnsi="Times New Roman"/>
          <w:i/>
          <w:iCs/>
          <w:noProof/>
        </w:rPr>
        <w:t>Neurology</w:t>
      </w:r>
      <w:r w:rsidRPr="008438C0">
        <w:rPr>
          <w:rFonts w:ascii="Times New Roman" w:hAnsi="Times New Roman"/>
          <w:noProof/>
        </w:rPr>
        <w:t>, 51(2), pp.583–6.</w:t>
      </w:r>
    </w:p>
    <w:p w14:paraId="427A0D8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Bouzakri, K. et al., 2003. Reduced activation of phosphatidylinositol-3 kinase and increased serine 636 phosphorylation of insulin receptor substrate-1 in primary culture of skeletal muscle cells from patients with type 2 diabetes. </w:t>
      </w:r>
      <w:r w:rsidRPr="008438C0">
        <w:rPr>
          <w:rFonts w:ascii="Times New Roman" w:hAnsi="Times New Roman"/>
          <w:i/>
          <w:iCs/>
          <w:noProof/>
        </w:rPr>
        <w:t>Diabetes</w:t>
      </w:r>
      <w:r w:rsidRPr="008438C0">
        <w:rPr>
          <w:rFonts w:ascii="Times New Roman" w:hAnsi="Times New Roman"/>
          <w:noProof/>
        </w:rPr>
        <w:t>, 52(6), pp.1319–25.</w:t>
      </w:r>
    </w:p>
    <w:p w14:paraId="5F65166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Boyd, F.T. &amp; Raizada, M.K., 1983. Effects of insulin and tunicamycin on neuronal insulin receptors in culture. </w:t>
      </w:r>
      <w:r w:rsidRPr="008438C0">
        <w:rPr>
          <w:rFonts w:ascii="Times New Roman" w:hAnsi="Times New Roman"/>
          <w:i/>
          <w:iCs/>
          <w:noProof/>
        </w:rPr>
        <w:t>The American journal of physiology</w:t>
      </w:r>
      <w:r w:rsidRPr="008438C0">
        <w:rPr>
          <w:rFonts w:ascii="Times New Roman" w:hAnsi="Times New Roman"/>
          <w:noProof/>
        </w:rPr>
        <w:t>, 245(3), pp.C283-7.</w:t>
      </w:r>
    </w:p>
    <w:p w14:paraId="4418857E"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Boyes, B.E. et al., 1986. Immunohistochemical co-localization of S-100b and the glial fibrillary acidic protein in rat brain. </w:t>
      </w:r>
      <w:r w:rsidRPr="008438C0">
        <w:rPr>
          <w:rFonts w:ascii="Times New Roman" w:hAnsi="Times New Roman"/>
          <w:i/>
          <w:iCs/>
          <w:noProof/>
        </w:rPr>
        <w:t>Neuroscience</w:t>
      </w:r>
      <w:r w:rsidRPr="008438C0">
        <w:rPr>
          <w:rFonts w:ascii="Times New Roman" w:hAnsi="Times New Roman"/>
          <w:noProof/>
        </w:rPr>
        <w:t>, 17(3), pp.857–865.</w:t>
      </w:r>
    </w:p>
    <w:p w14:paraId="7BC60F1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Braak, H. et al., 2006. Staging of Alzheimer disease-associated neurofibrillary pathology using paraffin sections and immunocytochemistry. </w:t>
      </w:r>
      <w:r w:rsidRPr="008438C0">
        <w:rPr>
          <w:rFonts w:ascii="Times New Roman" w:hAnsi="Times New Roman"/>
          <w:i/>
          <w:iCs/>
          <w:noProof/>
        </w:rPr>
        <w:t>Acta neuropathologica</w:t>
      </w:r>
      <w:r w:rsidRPr="008438C0">
        <w:rPr>
          <w:rFonts w:ascii="Times New Roman" w:hAnsi="Times New Roman"/>
          <w:noProof/>
        </w:rPr>
        <w:t>, 112(4), pp.389–404.</w:t>
      </w:r>
    </w:p>
    <w:p w14:paraId="783D907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Braak, H. &amp; Braak, E., 1991. Neuropathological stageing of Alzheimer-related changes. </w:t>
      </w:r>
      <w:r w:rsidRPr="008438C0">
        <w:rPr>
          <w:rFonts w:ascii="Times New Roman" w:hAnsi="Times New Roman"/>
          <w:i/>
          <w:iCs/>
          <w:noProof/>
        </w:rPr>
        <w:t>Acta neuropathologica</w:t>
      </w:r>
      <w:r w:rsidRPr="008438C0">
        <w:rPr>
          <w:rFonts w:ascii="Times New Roman" w:hAnsi="Times New Roman"/>
          <w:noProof/>
        </w:rPr>
        <w:t>, 82(4), pp.239–59.</w:t>
      </w:r>
    </w:p>
    <w:p w14:paraId="6CDB039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Braak, H., Braak, E. &amp; Strothjohann, M., 1994. Abnormally phosphorylated tau protein related to the formation of neurofibrillary tangles and neuropil threads in the cerebral cortex of sheep and goat. </w:t>
      </w:r>
      <w:r w:rsidRPr="008438C0">
        <w:rPr>
          <w:rFonts w:ascii="Times New Roman" w:hAnsi="Times New Roman"/>
          <w:i/>
          <w:iCs/>
          <w:noProof/>
        </w:rPr>
        <w:t>Neuroscience Letters</w:t>
      </w:r>
      <w:r w:rsidRPr="008438C0">
        <w:rPr>
          <w:rFonts w:ascii="Times New Roman" w:hAnsi="Times New Roman"/>
          <w:noProof/>
        </w:rPr>
        <w:t>, 171(1), pp.1–4.</w:t>
      </w:r>
    </w:p>
    <w:p w14:paraId="2926594E"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Brand, M.D. &amp; Nicholls, D.G., 2011. Assessing mitochondrial dysfunction in cells. </w:t>
      </w:r>
      <w:r w:rsidRPr="008438C0">
        <w:rPr>
          <w:rFonts w:ascii="Times New Roman" w:hAnsi="Times New Roman"/>
          <w:i/>
          <w:iCs/>
          <w:noProof/>
        </w:rPr>
        <w:t>The Biochemical journal</w:t>
      </w:r>
      <w:r w:rsidRPr="008438C0">
        <w:rPr>
          <w:rFonts w:ascii="Times New Roman" w:hAnsi="Times New Roman"/>
          <w:noProof/>
        </w:rPr>
        <w:t>, 435(2), pp.297–312.</w:t>
      </w:r>
    </w:p>
    <w:p w14:paraId="3F3CD2E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Brix, B. et al., 2012. Endothelial cell-derived nitric oxide enhances aerobic glycolysis in astrocytes via HIF-1α-mediated target gene activation.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32(28), pp.9727–35.</w:t>
      </w:r>
    </w:p>
    <w:p w14:paraId="1B73283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Brown, A.M. &amp; Ransom, B.R., 2007. Astrocyte glycogen and brain energy metabolism. </w:t>
      </w:r>
      <w:r w:rsidRPr="008438C0">
        <w:rPr>
          <w:rFonts w:ascii="Times New Roman" w:hAnsi="Times New Roman"/>
          <w:i/>
          <w:iCs/>
          <w:noProof/>
        </w:rPr>
        <w:t>Glia</w:t>
      </w:r>
      <w:r w:rsidRPr="008438C0">
        <w:rPr>
          <w:rFonts w:ascii="Times New Roman" w:hAnsi="Times New Roman"/>
          <w:noProof/>
        </w:rPr>
        <w:t>, 55(12), pp.1263–71.</w:t>
      </w:r>
    </w:p>
    <w:p w14:paraId="2BDB2A2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Buck, E. et al., 2010a. Compensatory insulin receptor (IR) activation on inhibition of insulin-like growth factor-1 receptor (IGF-1R): rationale for cotargeting IGF-1R and IR in cancer. </w:t>
      </w:r>
      <w:r w:rsidRPr="008438C0">
        <w:rPr>
          <w:rFonts w:ascii="Times New Roman" w:hAnsi="Times New Roman"/>
          <w:i/>
          <w:iCs/>
          <w:noProof/>
        </w:rPr>
        <w:t>Molecular cancer therapeutics</w:t>
      </w:r>
      <w:r w:rsidRPr="008438C0">
        <w:rPr>
          <w:rFonts w:ascii="Times New Roman" w:hAnsi="Times New Roman"/>
          <w:noProof/>
        </w:rPr>
        <w:t>, 9(10), pp.2652–64.</w:t>
      </w:r>
    </w:p>
    <w:p w14:paraId="33E7A4E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Bush, T.G. et al., 1999. Leukocyte Infiltration, Neuronal Degeneration, and Neurite Outgrowth after Ablation of Scar-Forming, Reactive Astrocytes in Adult Transgenic Mice. </w:t>
      </w:r>
      <w:r w:rsidRPr="008438C0">
        <w:rPr>
          <w:rFonts w:ascii="Times New Roman" w:hAnsi="Times New Roman"/>
          <w:i/>
          <w:iCs/>
          <w:noProof/>
        </w:rPr>
        <w:t>Neuron</w:t>
      </w:r>
      <w:r w:rsidRPr="008438C0">
        <w:rPr>
          <w:rFonts w:ascii="Times New Roman" w:hAnsi="Times New Roman"/>
          <w:noProof/>
        </w:rPr>
        <w:t>, 23(2), pp.297–308.</w:t>
      </w:r>
    </w:p>
    <w:p w14:paraId="58AEC10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Bushong, E.A. et al., 2002a. Protoplasmic astrocytes in CA1 stratum radiatum occupy separate anatomical domains.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22(1), pp.183–92.</w:t>
      </w:r>
    </w:p>
    <w:p w14:paraId="084297B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de Cabo, R. et al., 2003. An in vitro model of caloric restriction. </w:t>
      </w:r>
      <w:r w:rsidRPr="008438C0">
        <w:rPr>
          <w:rFonts w:ascii="Times New Roman" w:hAnsi="Times New Roman"/>
          <w:i/>
          <w:iCs/>
          <w:noProof/>
        </w:rPr>
        <w:t>Experimental Gerontology</w:t>
      </w:r>
      <w:r w:rsidRPr="008438C0">
        <w:rPr>
          <w:rFonts w:ascii="Times New Roman" w:hAnsi="Times New Roman"/>
          <w:noProof/>
        </w:rPr>
        <w:t>, 38(6), pp.631–639.</w:t>
      </w:r>
    </w:p>
    <w:p w14:paraId="7DC2E0E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Cadenas, E. &amp; Davies, K.J.A., 2000. Mitochondrial free radical generation, oxidative stress, and aging. </w:t>
      </w:r>
      <w:r w:rsidRPr="008438C0">
        <w:rPr>
          <w:rFonts w:ascii="Times New Roman" w:hAnsi="Times New Roman"/>
          <w:i/>
          <w:iCs/>
          <w:noProof/>
        </w:rPr>
        <w:t>Free Radical Biology and Medicine</w:t>
      </w:r>
      <w:r w:rsidRPr="008438C0">
        <w:rPr>
          <w:rFonts w:ascii="Times New Roman" w:hAnsi="Times New Roman"/>
          <w:noProof/>
        </w:rPr>
        <w:t>, 29(3), pp.222–230.</w:t>
      </w:r>
    </w:p>
    <w:p w14:paraId="383A07AF"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Cahoy, J.D. et al., 2008. A transcriptome database for astrocytes, neurons, and oligodendrocytes: a new resource for understanding brain development and function.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28(1), pp.264–78.</w:t>
      </w:r>
    </w:p>
    <w:p w14:paraId="2545867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Calabrese, V. et al., 2006. Nitrosative stress, cellular stress response, and thiol homeostasis in patients with Alzheimer’s disease. </w:t>
      </w:r>
      <w:r w:rsidRPr="008438C0">
        <w:rPr>
          <w:rFonts w:ascii="Times New Roman" w:hAnsi="Times New Roman"/>
          <w:i/>
          <w:iCs/>
          <w:noProof/>
        </w:rPr>
        <w:t>Antioxidants &amp; redox signaling</w:t>
      </w:r>
      <w:r w:rsidRPr="008438C0">
        <w:rPr>
          <w:rFonts w:ascii="Times New Roman" w:hAnsi="Times New Roman"/>
          <w:noProof/>
        </w:rPr>
        <w:t>, 8(11–12), pp.1975–86.</w:t>
      </w:r>
    </w:p>
    <w:p w14:paraId="7743439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Calcinaghi, N. et al., 2011. Metabotropic glutamate receptor mGluR5 is not involved in the early hemodynamic response. </w:t>
      </w:r>
      <w:r w:rsidRPr="008438C0">
        <w:rPr>
          <w:rFonts w:ascii="Times New Roman" w:hAnsi="Times New Roman"/>
          <w:i/>
          <w:iCs/>
          <w:noProof/>
        </w:rPr>
        <w:t>Journal of cerebral blood flow and metabolism : official journal of the International Society of Cerebral Blood Flow and Metabolism</w:t>
      </w:r>
      <w:r w:rsidRPr="008438C0">
        <w:rPr>
          <w:rFonts w:ascii="Times New Roman" w:hAnsi="Times New Roman"/>
          <w:noProof/>
        </w:rPr>
        <w:t>, 31(9), pp.e1-10.</w:t>
      </w:r>
    </w:p>
    <w:p w14:paraId="6A83D31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Carro, E. et al., 2002. Serum insulin-like growth factor I regulates brain amyloid-beta levels. </w:t>
      </w:r>
      <w:r w:rsidRPr="008438C0">
        <w:rPr>
          <w:rFonts w:ascii="Times New Roman" w:hAnsi="Times New Roman"/>
          <w:i/>
          <w:iCs/>
          <w:noProof/>
        </w:rPr>
        <w:t>Nature medicine</w:t>
      </w:r>
      <w:r w:rsidRPr="008438C0">
        <w:rPr>
          <w:rFonts w:ascii="Times New Roman" w:hAnsi="Times New Roman"/>
          <w:noProof/>
        </w:rPr>
        <w:t>, 8(12), pp.1390–7.</w:t>
      </w:r>
    </w:p>
    <w:p w14:paraId="5E45E2D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Carter, S.F. et al., 2012. Evidence for Astrocytosis in Prodromal Alzheimer Disease Provided by 11C-Deuterium-L-Deprenyl: A Multitracer PET Paradigm Combining 11C-Pittsburgh Compound B and 18F-FDG. </w:t>
      </w:r>
      <w:r w:rsidRPr="008438C0">
        <w:rPr>
          <w:rFonts w:ascii="Times New Roman" w:hAnsi="Times New Roman"/>
          <w:i/>
          <w:iCs/>
          <w:noProof/>
        </w:rPr>
        <w:t>Journal of Nuclear Medicine</w:t>
      </w:r>
      <w:r w:rsidRPr="008438C0">
        <w:rPr>
          <w:rFonts w:ascii="Times New Roman" w:hAnsi="Times New Roman"/>
          <w:noProof/>
        </w:rPr>
        <w:t>, 53(1), pp.37–46.</w:t>
      </w:r>
    </w:p>
    <w:p w14:paraId="3A1CF30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Di Castro, M.A. et al., 2011. Local Ca2+ detection and modulation of synaptic release by astrocytes. </w:t>
      </w:r>
      <w:r w:rsidRPr="008438C0">
        <w:rPr>
          <w:rFonts w:ascii="Times New Roman" w:hAnsi="Times New Roman"/>
          <w:i/>
          <w:iCs/>
          <w:noProof/>
        </w:rPr>
        <w:t>Nature neuroscience</w:t>
      </w:r>
      <w:r w:rsidRPr="008438C0">
        <w:rPr>
          <w:rFonts w:ascii="Times New Roman" w:hAnsi="Times New Roman"/>
          <w:noProof/>
        </w:rPr>
        <w:t>, 14(10), pp.1276–84.</w:t>
      </w:r>
    </w:p>
    <w:p w14:paraId="03A43CF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Chang, L., Chiang, S.-H. &amp; Saltiel, A.R., 2004. Insulin signaling and the regulation of glucose transport. </w:t>
      </w:r>
      <w:r w:rsidRPr="008438C0">
        <w:rPr>
          <w:rFonts w:ascii="Times New Roman" w:hAnsi="Times New Roman"/>
          <w:i/>
          <w:iCs/>
          <w:noProof/>
        </w:rPr>
        <w:t>Molecular medicine (Cambridge, Mass.)</w:t>
      </w:r>
      <w:r w:rsidRPr="008438C0">
        <w:rPr>
          <w:rFonts w:ascii="Times New Roman" w:hAnsi="Times New Roman"/>
          <w:noProof/>
        </w:rPr>
        <w:t>, 10(7–12), pp.65–71.</w:t>
      </w:r>
    </w:p>
    <w:p w14:paraId="4EC3BF5F"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Chemuru, S., Kodali, R. &amp; Wetzel, R., 2016. C-Terminal Threonine Reduces Aβ43 Amyloidogenicity Compared with Aβ42. </w:t>
      </w:r>
      <w:r w:rsidRPr="008438C0">
        <w:rPr>
          <w:rFonts w:ascii="Times New Roman" w:hAnsi="Times New Roman"/>
          <w:i/>
          <w:iCs/>
          <w:noProof/>
        </w:rPr>
        <w:t>Journal of Molecular Biology</w:t>
      </w:r>
      <w:r w:rsidRPr="008438C0">
        <w:rPr>
          <w:rFonts w:ascii="Times New Roman" w:hAnsi="Times New Roman"/>
          <w:noProof/>
        </w:rPr>
        <w:t>, 428(2), pp.274–291.</w:t>
      </w:r>
    </w:p>
    <w:p w14:paraId="46919214"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Chen, D. et al., 2013. Germline signaling mediates the synergistically prolonged longevity produced by double mutations in daf-2 and rsks-1 in C. elegans. </w:t>
      </w:r>
      <w:r w:rsidRPr="008438C0">
        <w:rPr>
          <w:rFonts w:ascii="Times New Roman" w:hAnsi="Times New Roman"/>
          <w:i/>
          <w:iCs/>
          <w:noProof/>
        </w:rPr>
        <w:t>Cell reports</w:t>
      </w:r>
      <w:r w:rsidRPr="008438C0">
        <w:rPr>
          <w:rFonts w:ascii="Times New Roman" w:hAnsi="Times New Roman"/>
          <w:noProof/>
        </w:rPr>
        <w:t>, 5(6), pp.1600–10.</w:t>
      </w:r>
    </w:p>
    <w:p w14:paraId="599DD8B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Chen, J.-C. et al., 1994. Insulin-like growth factor-binding protein enhancement of insulin-like growth factor-i (IGF-I)-mediated DNA synthesis and IGF-I binding in a human breast carcinoma cell line. </w:t>
      </w:r>
      <w:r w:rsidRPr="008438C0">
        <w:rPr>
          <w:rFonts w:ascii="Times New Roman" w:hAnsi="Times New Roman"/>
          <w:i/>
          <w:iCs/>
          <w:noProof/>
        </w:rPr>
        <w:t>Journal of Cellular Physiology</w:t>
      </w:r>
      <w:r w:rsidRPr="008438C0">
        <w:rPr>
          <w:rFonts w:ascii="Times New Roman" w:hAnsi="Times New Roman"/>
          <w:noProof/>
        </w:rPr>
        <w:t>, 158(1), pp.69–78.</w:t>
      </w:r>
    </w:p>
    <w:p w14:paraId="178EC67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Chen, L. et al., 2008. Reduction of mitochondrial H2O2 by overexpressing peroxiredoxin 3 improves glucose tolerance in mice. </w:t>
      </w:r>
      <w:r w:rsidRPr="008438C0">
        <w:rPr>
          <w:rFonts w:ascii="Times New Roman" w:hAnsi="Times New Roman"/>
          <w:i/>
          <w:iCs/>
          <w:noProof/>
        </w:rPr>
        <w:t>Aging cell</w:t>
      </w:r>
      <w:r w:rsidRPr="008438C0">
        <w:rPr>
          <w:rFonts w:ascii="Times New Roman" w:hAnsi="Times New Roman"/>
          <w:noProof/>
        </w:rPr>
        <w:t>, 7(6), pp.866–78.</w:t>
      </w:r>
    </w:p>
    <w:p w14:paraId="5B604D4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Chernausek, S.D., 1993. Insulin-like growth factor-I (IGF-I) production by astroglial cells: regulation and importance for epidermal growth factor-induced cell replication. </w:t>
      </w:r>
      <w:r w:rsidRPr="008438C0">
        <w:rPr>
          <w:rFonts w:ascii="Times New Roman" w:hAnsi="Times New Roman"/>
          <w:i/>
          <w:iCs/>
          <w:noProof/>
        </w:rPr>
        <w:t>Journal of neuroscience research</w:t>
      </w:r>
      <w:r w:rsidRPr="008438C0">
        <w:rPr>
          <w:rFonts w:ascii="Times New Roman" w:hAnsi="Times New Roman"/>
          <w:noProof/>
        </w:rPr>
        <w:t>, 34(2), pp.189–97.</w:t>
      </w:r>
    </w:p>
    <w:p w14:paraId="188136F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Chiang, H.-C. et al., 2010. PI3 kinase signaling is involved in Abeta-induced memory loss in Drosophila. </w:t>
      </w:r>
      <w:r w:rsidRPr="008438C0">
        <w:rPr>
          <w:rFonts w:ascii="Times New Roman" w:hAnsi="Times New Roman"/>
          <w:i/>
          <w:iCs/>
          <w:noProof/>
        </w:rPr>
        <w:t>Proceedings of the National Academy of Sciences of the United States of America</w:t>
      </w:r>
      <w:r w:rsidRPr="008438C0">
        <w:rPr>
          <w:rFonts w:ascii="Times New Roman" w:hAnsi="Times New Roman"/>
          <w:noProof/>
        </w:rPr>
        <w:t>, 107(15), pp.7060–5.</w:t>
      </w:r>
    </w:p>
    <w:p w14:paraId="3025A474"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Chiu, S.-L., Chen, C.-M. &amp; Cline, H.T., 2008. Insulin receptor signaling regulates synapse number, dendritic plasticity, and circuit function in vivo. </w:t>
      </w:r>
      <w:r w:rsidRPr="008438C0">
        <w:rPr>
          <w:rFonts w:ascii="Times New Roman" w:hAnsi="Times New Roman"/>
          <w:i/>
          <w:iCs/>
          <w:noProof/>
        </w:rPr>
        <w:t>Neuron</w:t>
      </w:r>
      <w:r w:rsidRPr="008438C0">
        <w:rPr>
          <w:rFonts w:ascii="Times New Roman" w:hAnsi="Times New Roman"/>
          <w:noProof/>
        </w:rPr>
        <w:t>, 58(5), pp.708–19.</w:t>
      </w:r>
    </w:p>
    <w:p w14:paraId="2F22B50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Cholet, N. et al., 2001. Local injection of antisense oligonucleotides targeted to the glial glutamate transporter GLAST decreases the metabolic response to somatosensory activation. </w:t>
      </w:r>
      <w:r w:rsidRPr="008438C0">
        <w:rPr>
          <w:rFonts w:ascii="Times New Roman" w:hAnsi="Times New Roman"/>
          <w:i/>
          <w:iCs/>
          <w:noProof/>
        </w:rPr>
        <w:t>Journal of cerebral blood flow and metabolism : official journal of the International Society of Cerebral Blood Flow and Metabolism</w:t>
      </w:r>
      <w:r w:rsidRPr="008438C0">
        <w:rPr>
          <w:rFonts w:ascii="Times New Roman" w:hAnsi="Times New Roman"/>
          <w:noProof/>
        </w:rPr>
        <w:t>, 21(4), pp.404–12.</w:t>
      </w:r>
    </w:p>
    <w:p w14:paraId="6186D06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Chou, J.L. et al., 2011. Early dysregulation of the mitochondrial proteome in a mouse model of Alzheimer’s disease. </w:t>
      </w:r>
      <w:r w:rsidRPr="008438C0">
        <w:rPr>
          <w:rFonts w:ascii="Times New Roman" w:hAnsi="Times New Roman"/>
          <w:i/>
          <w:iCs/>
          <w:noProof/>
        </w:rPr>
        <w:t>Journal of Proteomics</w:t>
      </w:r>
      <w:r w:rsidRPr="008438C0">
        <w:rPr>
          <w:rFonts w:ascii="Times New Roman" w:hAnsi="Times New Roman"/>
          <w:noProof/>
        </w:rPr>
        <w:t>, 74(4), pp.466–479.</w:t>
      </w:r>
    </w:p>
    <w:p w14:paraId="0BF63F5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Chow, S. et al., 2010. Amyloid β-peptide directly induces spontaneous calcium transients, delayed intercellular calcium waves and gliosis in rat cortical astrocytes. </w:t>
      </w:r>
      <w:r w:rsidRPr="008438C0">
        <w:rPr>
          <w:rFonts w:ascii="Times New Roman" w:hAnsi="Times New Roman"/>
          <w:i/>
          <w:iCs/>
          <w:noProof/>
        </w:rPr>
        <w:t>ASN NEURO</w:t>
      </w:r>
      <w:r w:rsidRPr="008438C0">
        <w:rPr>
          <w:rFonts w:ascii="Times New Roman" w:hAnsi="Times New Roman"/>
          <w:noProof/>
        </w:rPr>
        <w:t>, 2(1), pp.15–23.</w:t>
      </w:r>
    </w:p>
    <w:p w14:paraId="00E79A8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Chuquet, J. et al., 2010. Predominant enhancement of glucose uptake in astrocytes versus neurons during activation of the somatosensory cortex.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30(45), pp.15298–303.</w:t>
      </w:r>
    </w:p>
    <w:p w14:paraId="501F3AC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Clancy, D.J. et al., 2001. Extension of life-span by loss of CHICO, a Drosophila insulin receptor substrate protein. </w:t>
      </w:r>
      <w:r w:rsidRPr="008438C0">
        <w:rPr>
          <w:rFonts w:ascii="Times New Roman" w:hAnsi="Times New Roman"/>
          <w:i/>
          <w:iCs/>
          <w:noProof/>
        </w:rPr>
        <w:t>Science (New York, N.Y.)</w:t>
      </w:r>
      <w:r w:rsidRPr="008438C0">
        <w:rPr>
          <w:rFonts w:ascii="Times New Roman" w:hAnsi="Times New Roman"/>
          <w:noProof/>
        </w:rPr>
        <w:t>, 292(5514), pp.104–6.</w:t>
      </w:r>
    </w:p>
    <w:p w14:paraId="591EBE0F"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Clarke, D.W. et al., 1984. Insulin binds to specific receptors and stimulates 2-deoxy-D-glucose uptake in cultured glial cells from rat brain. </w:t>
      </w:r>
      <w:r w:rsidRPr="008438C0">
        <w:rPr>
          <w:rFonts w:ascii="Times New Roman" w:hAnsi="Times New Roman"/>
          <w:i/>
          <w:iCs/>
          <w:noProof/>
        </w:rPr>
        <w:t>The Journal of biological chemistry</w:t>
      </w:r>
      <w:r w:rsidRPr="008438C0">
        <w:rPr>
          <w:rFonts w:ascii="Times New Roman" w:hAnsi="Times New Roman"/>
          <w:noProof/>
        </w:rPr>
        <w:t>, 259(19), pp.11672–5.</w:t>
      </w:r>
    </w:p>
    <w:p w14:paraId="0B6E1B9F"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Claxton, A. et al., 2015. Long-acting intranasal insulin detemir improves cognition for adults with mild cognitive impairment or early-stage Alzheimer’s disease dementia. </w:t>
      </w:r>
      <w:r w:rsidRPr="008438C0">
        <w:rPr>
          <w:rFonts w:ascii="Times New Roman" w:hAnsi="Times New Roman"/>
          <w:i/>
          <w:iCs/>
          <w:noProof/>
        </w:rPr>
        <w:t>Journal of Alzheimer’s disease : JAD</w:t>
      </w:r>
      <w:r w:rsidRPr="008438C0">
        <w:rPr>
          <w:rFonts w:ascii="Times New Roman" w:hAnsi="Times New Roman"/>
          <w:noProof/>
        </w:rPr>
        <w:t>, 44(3), pp.897–906.</w:t>
      </w:r>
    </w:p>
    <w:p w14:paraId="1A2651E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Coculescu, M., Blood-brain barrier for human growth hormone and insulin-like growth factor-I. </w:t>
      </w:r>
      <w:r w:rsidRPr="008438C0">
        <w:rPr>
          <w:rFonts w:ascii="Times New Roman" w:hAnsi="Times New Roman"/>
          <w:i/>
          <w:iCs/>
          <w:noProof/>
        </w:rPr>
        <w:t>Journal of pediatric endocrinology &amp; metabolism : JPEM</w:t>
      </w:r>
      <w:r w:rsidRPr="008438C0">
        <w:rPr>
          <w:rFonts w:ascii="Times New Roman" w:hAnsi="Times New Roman"/>
          <w:noProof/>
        </w:rPr>
        <w:t>, 12(2), pp.113–24.</w:t>
      </w:r>
    </w:p>
    <w:p w14:paraId="4B207B5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Cohen, E. et al., 2006. Opposing activities protect against age-onset proteotoxicity. </w:t>
      </w:r>
      <w:r w:rsidRPr="008438C0">
        <w:rPr>
          <w:rFonts w:ascii="Times New Roman" w:hAnsi="Times New Roman"/>
          <w:i/>
          <w:iCs/>
          <w:noProof/>
        </w:rPr>
        <w:t>Science (New York, N.Y.)</w:t>
      </w:r>
      <w:r w:rsidRPr="008438C0">
        <w:rPr>
          <w:rFonts w:ascii="Times New Roman" w:hAnsi="Times New Roman"/>
          <w:noProof/>
        </w:rPr>
        <w:t>, 313(5793), pp.1604–10.</w:t>
      </w:r>
    </w:p>
    <w:p w14:paraId="38284E1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Cohen, E. et al., 2009a. Reduced IGF-1 signaling delays age-associated proteotoxicity in mice. </w:t>
      </w:r>
      <w:r w:rsidRPr="008438C0">
        <w:rPr>
          <w:rFonts w:ascii="Times New Roman" w:hAnsi="Times New Roman"/>
          <w:i/>
          <w:iCs/>
          <w:noProof/>
        </w:rPr>
        <w:t>Cell</w:t>
      </w:r>
      <w:r w:rsidRPr="008438C0">
        <w:rPr>
          <w:rFonts w:ascii="Times New Roman" w:hAnsi="Times New Roman"/>
          <w:noProof/>
        </w:rPr>
        <w:t>, 139(6), pp.1157–69.</w:t>
      </w:r>
    </w:p>
    <w:p w14:paraId="7D49670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Cohen, E. et al., 2009b. Reduced IGF-1 signaling delays age-associated proteotoxicity in mice. </w:t>
      </w:r>
      <w:r w:rsidRPr="008438C0">
        <w:rPr>
          <w:rFonts w:ascii="Times New Roman" w:hAnsi="Times New Roman"/>
          <w:i/>
          <w:iCs/>
          <w:noProof/>
        </w:rPr>
        <w:t>Cell</w:t>
      </w:r>
      <w:r w:rsidRPr="008438C0">
        <w:rPr>
          <w:rFonts w:ascii="Times New Roman" w:hAnsi="Times New Roman"/>
          <w:noProof/>
        </w:rPr>
        <w:t>, 139(6), pp.1157–69.</w:t>
      </w:r>
    </w:p>
    <w:p w14:paraId="0402761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Di Cola, G., Cool, M.H. &amp; Accili, D., 1997. Hypoglycemic effect of insulin-like growth factor-1 in mice lacking insulin receptors. </w:t>
      </w:r>
      <w:r w:rsidRPr="008438C0">
        <w:rPr>
          <w:rFonts w:ascii="Times New Roman" w:hAnsi="Times New Roman"/>
          <w:i/>
          <w:iCs/>
          <w:noProof/>
        </w:rPr>
        <w:t>The Journal of clinical investigation</w:t>
      </w:r>
      <w:r w:rsidRPr="008438C0">
        <w:rPr>
          <w:rFonts w:ascii="Times New Roman" w:hAnsi="Times New Roman"/>
          <w:noProof/>
        </w:rPr>
        <w:t>, 99(10), pp.2538–44.</w:t>
      </w:r>
    </w:p>
    <w:p w14:paraId="6D796EF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Cook, D.G. et al., 2003. Reduced hippocampal insulin-degrading enzyme in late-onset Alzheimer’s disease is associated with the apolipoprotein E-epsilon4 allele. </w:t>
      </w:r>
      <w:r w:rsidRPr="008438C0">
        <w:rPr>
          <w:rFonts w:ascii="Times New Roman" w:hAnsi="Times New Roman"/>
          <w:i/>
          <w:iCs/>
          <w:noProof/>
        </w:rPr>
        <w:t>The American journal of pathology</w:t>
      </w:r>
      <w:r w:rsidRPr="008438C0">
        <w:rPr>
          <w:rFonts w:ascii="Times New Roman" w:hAnsi="Times New Roman"/>
          <w:noProof/>
        </w:rPr>
        <w:t>, 162(1), pp.313–9.</w:t>
      </w:r>
    </w:p>
    <w:p w14:paraId="66A35B1D"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Copps, K.D. &amp; White, M.F., 2012. Regulation of insulin sensitivity by serine/threonine phosphorylation of insulin receptor substrate proteins IRS1 and IRS2. </w:t>
      </w:r>
      <w:r w:rsidRPr="008438C0">
        <w:rPr>
          <w:rFonts w:ascii="Times New Roman" w:hAnsi="Times New Roman"/>
          <w:i/>
          <w:iCs/>
          <w:noProof/>
        </w:rPr>
        <w:t>Diabetologia</w:t>
      </w:r>
      <w:r w:rsidRPr="008438C0">
        <w:rPr>
          <w:rFonts w:ascii="Times New Roman" w:hAnsi="Times New Roman"/>
          <w:noProof/>
        </w:rPr>
        <w:t>, 55(10), pp.2565–82.</w:t>
      </w:r>
    </w:p>
    <w:p w14:paraId="23EB4FC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Cotrina, M.L., Lin, J.H. &amp; Nedergaard, M., 1998. Cytoskeletal assembly and ATP release regulate astrocytic calcium signaling.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18(21), pp.8794–804.</w:t>
      </w:r>
    </w:p>
    <w:p w14:paraId="155FB8B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Craft, S. et al., 1998. Cerebrospinal fluid and plasma insulin levels in Alzheimer’s disease: Relationship to severity of dementia and apolipoprotein E genotype. </w:t>
      </w:r>
      <w:r w:rsidRPr="008438C0">
        <w:rPr>
          <w:rFonts w:ascii="Times New Roman" w:hAnsi="Times New Roman"/>
          <w:i/>
          <w:iCs/>
          <w:noProof/>
        </w:rPr>
        <w:t>Neurology</w:t>
      </w:r>
      <w:r w:rsidRPr="008438C0">
        <w:rPr>
          <w:rFonts w:ascii="Times New Roman" w:hAnsi="Times New Roman"/>
          <w:noProof/>
        </w:rPr>
        <w:t>, 50(1), pp.164–168.</w:t>
      </w:r>
    </w:p>
    <w:p w14:paraId="143E2C4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Craft, S. et al., 1999. Enhancement of memory in Alzheimer disease with insulin and somatostatin, but not glucose. </w:t>
      </w:r>
      <w:r w:rsidRPr="008438C0">
        <w:rPr>
          <w:rFonts w:ascii="Times New Roman" w:hAnsi="Times New Roman"/>
          <w:i/>
          <w:iCs/>
          <w:noProof/>
        </w:rPr>
        <w:t>Archives of general psychiatry</w:t>
      </w:r>
      <w:r w:rsidRPr="008438C0">
        <w:rPr>
          <w:rFonts w:ascii="Times New Roman" w:hAnsi="Times New Roman"/>
          <w:noProof/>
        </w:rPr>
        <w:t>, 56(12), pp.1135–40.</w:t>
      </w:r>
    </w:p>
    <w:p w14:paraId="3034A96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Craft, S. et al., 2012. Intranasal insulin therapy for Alzheimer disease and amnestic mild cognitive impairment: a pilot clinical trial. </w:t>
      </w:r>
      <w:r w:rsidRPr="008438C0">
        <w:rPr>
          <w:rFonts w:ascii="Times New Roman" w:hAnsi="Times New Roman"/>
          <w:i/>
          <w:iCs/>
          <w:noProof/>
        </w:rPr>
        <w:t>Archives of neurology</w:t>
      </w:r>
      <w:r w:rsidRPr="008438C0">
        <w:rPr>
          <w:rFonts w:ascii="Times New Roman" w:hAnsi="Times New Roman"/>
          <w:noProof/>
        </w:rPr>
        <w:t>, 69(1), pp.29–38.</w:t>
      </w:r>
    </w:p>
    <w:p w14:paraId="6F53D4E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Crystal, H. et al., 1988. Clinico-pathologic studies in dementia: nondemented subjects with pathologically confirmed Alzheimer’s disease. </w:t>
      </w:r>
      <w:r w:rsidRPr="008438C0">
        <w:rPr>
          <w:rFonts w:ascii="Times New Roman" w:hAnsi="Times New Roman"/>
          <w:i/>
          <w:iCs/>
          <w:noProof/>
        </w:rPr>
        <w:t>Neurology</w:t>
      </w:r>
      <w:r w:rsidRPr="008438C0">
        <w:rPr>
          <w:rFonts w:ascii="Times New Roman" w:hAnsi="Times New Roman"/>
          <w:noProof/>
        </w:rPr>
        <w:t>, 38(11), pp.1682–7.</w:t>
      </w:r>
    </w:p>
    <w:p w14:paraId="7E1C28EA" w14:textId="395BEC40"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Dávila, D., Fernánde</w:t>
      </w:r>
      <w:r>
        <w:rPr>
          <w:rFonts w:ascii="Times New Roman" w:hAnsi="Times New Roman"/>
          <w:noProof/>
        </w:rPr>
        <w:t>z, S. &amp; Torres-Alemán, I., 2016</w:t>
      </w:r>
      <w:r w:rsidRPr="008438C0">
        <w:rPr>
          <w:rFonts w:ascii="Times New Roman" w:hAnsi="Times New Roman"/>
          <w:noProof/>
        </w:rPr>
        <w:t xml:space="preserve">. Astrocyte Resilience to Oxidative Stress Induced by Insulin-like Growth Factor I (IGF-I) Involves Preserved AKT (Protein Kinase B) Activity. </w:t>
      </w:r>
      <w:r w:rsidRPr="008438C0">
        <w:rPr>
          <w:rFonts w:ascii="Times New Roman" w:hAnsi="Times New Roman"/>
          <w:i/>
          <w:iCs/>
          <w:noProof/>
        </w:rPr>
        <w:t>The Journal of biological chemistry</w:t>
      </w:r>
      <w:r w:rsidRPr="008438C0">
        <w:rPr>
          <w:rFonts w:ascii="Times New Roman" w:hAnsi="Times New Roman"/>
          <w:noProof/>
        </w:rPr>
        <w:t>, 291(5), pp.2510–23.</w:t>
      </w:r>
    </w:p>
    <w:p w14:paraId="41309B5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Denis-Donini, S., Glowinski, J. &amp; Prochiantz, A., 1984. Glial heterogeneity may define the three-dimensional shape of mouse mesencephalic dopaminergic neurones. </w:t>
      </w:r>
      <w:r w:rsidRPr="008438C0">
        <w:rPr>
          <w:rFonts w:ascii="Times New Roman" w:hAnsi="Times New Roman"/>
          <w:i/>
          <w:iCs/>
          <w:noProof/>
        </w:rPr>
        <w:t>Nature</w:t>
      </w:r>
      <w:r w:rsidRPr="008438C0">
        <w:rPr>
          <w:rFonts w:ascii="Times New Roman" w:hAnsi="Times New Roman"/>
          <w:noProof/>
        </w:rPr>
        <w:t>, 307(5952), pp.641–643.</w:t>
      </w:r>
    </w:p>
    <w:p w14:paraId="00C3EEA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Deochand, C. et al., 2015. Tobacco Smoke Exposure Impairs Brain Insulin/IGF Signaling: Potential Co-Factor Role in Neurodegeneration. </w:t>
      </w:r>
      <w:r w:rsidRPr="008438C0">
        <w:rPr>
          <w:rFonts w:ascii="Times New Roman" w:hAnsi="Times New Roman"/>
          <w:i/>
          <w:iCs/>
          <w:noProof/>
        </w:rPr>
        <w:t>Journal of Alzheimer’s disease : JAD</w:t>
      </w:r>
      <w:r w:rsidRPr="008438C0">
        <w:rPr>
          <w:rFonts w:ascii="Times New Roman" w:hAnsi="Times New Roman"/>
          <w:noProof/>
        </w:rPr>
        <w:t>, 50(2), pp.373–86.</w:t>
      </w:r>
    </w:p>
    <w:p w14:paraId="77A6A61F"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Desagher, S., Glowinski, J. &amp; Premont, J., 1996a. Astrocytes protect neurons from hydrogen peroxide toxicity. </w:t>
      </w:r>
      <w:r w:rsidRPr="008438C0">
        <w:rPr>
          <w:rFonts w:ascii="Times New Roman" w:hAnsi="Times New Roman"/>
          <w:i/>
          <w:iCs/>
          <w:noProof/>
        </w:rPr>
        <w:t>J. Neurosci.</w:t>
      </w:r>
      <w:r w:rsidRPr="008438C0">
        <w:rPr>
          <w:rFonts w:ascii="Times New Roman" w:hAnsi="Times New Roman"/>
          <w:noProof/>
        </w:rPr>
        <w:t>, 16(8), pp.2553–2562.</w:t>
      </w:r>
    </w:p>
    <w:p w14:paraId="6499CBD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Desagher, S., Glowinski, J. &amp; Prémont, J., 1997. Pyruvate protects neurons against hydrogen peroxide-induced toxicity.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17(23), pp.9060–7.</w:t>
      </w:r>
    </w:p>
    <w:p w14:paraId="7B2EAAE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Dinkins, M.B. et al., 2014. Exosome reduction in vivo is associated with lower amyloid plaque load in the 5XFAD mouse model of Alzheimer’s disease. </w:t>
      </w:r>
      <w:r w:rsidRPr="008438C0">
        <w:rPr>
          <w:rFonts w:ascii="Times New Roman" w:hAnsi="Times New Roman"/>
          <w:i/>
          <w:iCs/>
          <w:noProof/>
        </w:rPr>
        <w:t>Neurobiology of aging</w:t>
      </w:r>
      <w:r w:rsidRPr="008438C0">
        <w:rPr>
          <w:rFonts w:ascii="Times New Roman" w:hAnsi="Times New Roman"/>
          <w:noProof/>
        </w:rPr>
        <w:t>, 35(8), pp.1792–800.</w:t>
      </w:r>
    </w:p>
    <w:p w14:paraId="485F8D6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Dobrowolny, G. et al., 2005. Muscle expression of a local Igf-1 isoform protects motor neurons in an ALS mouse model. </w:t>
      </w:r>
      <w:r w:rsidRPr="008438C0">
        <w:rPr>
          <w:rFonts w:ascii="Times New Roman" w:hAnsi="Times New Roman"/>
          <w:i/>
          <w:iCs/>
          <w:noProof/>
        </w:rPr>
        <w:t>The Journal of cell biology</w:t>
      </w:r>
      <w:r w:rsidRPr="008438C0">
        <w:rPr>
          <w:rFonts w:ascii="Times New Roman" w:hAnsi="Times New Roman"/>
          <w:noProof/>
        </w:rPr>
        <w:t>, 168(2), pp.193–9.</w:t>
      </w:r>
    </w:p>
    <w:p w14:paraId="14BF88E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Dodge, J.C. et al., 2008. Delivery of AAV-IGF-1 to the CNS extends survival in ALS mice through modification of aberrant glial cell activity. </w:t>
      </w:r>
      <w:r w:rsidRPr="008438C0">
        <w:rPr>
          <w:rFonts w:ascii="Times New Roman" w:hAnsi="Times New Roman"/>
          <w:i/>
          <w:iCs/>
          <w:noProof/>
        </w:rPr>
        <w:t>Molecular therapy : the journal of the American Society of Gene Therapy</w:t>
      </w:r>
      <w:r w:rsidRPr="008438C0">
        <w:rPr>
          <w:rFonts w:ascii="Times New Roman" w:hAnsi="Times New Roman"/>
          <w:noProof/>
        </w:rPr>
        <w:t>, 16(6), pp.1056–64.</w:t>
      </w:r>
    </w:p>
    <w:p w14:paraId="12F39E0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Donahue, L.R. &amp; Beamer, W.G., 1993. Growth hormone deficiency in “little” mice results in aberrant body composition, reduced insulin-like growth factor-I and insulin-like growth factor-binding protein-3 (IGFBP-3), but does not affect IGFBP-2, -1 or -4. </w:t>
      </w:r>
      <w:r w:rsidRPr="008438C0">
        <w:rPr>
          <w:rFonts w:ascii="Times New Roman" w:hAnsi="Times New Roman"/>
          <w:i/>
          <w:iCs/>
          <w:noProof/>
        </w:rPr>
        <w:t>Journal of Endocrinology</w:t>
      </w:r>
      <w:r w:rsidRPr="008438C0">
        <w:rPr>
          <w:rFonts w:ascii="Times New Roman" w:hAnsi="Times New Roman"/>
          <w:noProof/>
        </w:rPr>
        <w:t>, 136(1), pp.91–104.</w:t>
      </w:r>
    </w:p>
    <w:p w14:paraId="2702F89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Doyle, J.P. et al., 2008. Application of a translational profiling approach for the comparative analysis of CNS cell types. </w:t>
      </w:r>
      <w:r w:rsidRPr="008438C0">
        <w:rPr>
          <w:rFonts w:ascii="Times New Roman" w:hAnsi="Times New Roman"/>
          <w:i/>
          <w:iCs/>
          <w:noProof/>
        </w:rPr>
        <w:t>Cell</w:t>
      </w:r>
      <w:r w:rsidRPr="008438C0">
        <w:rPr>
          <w:rFonts w:ascii="Times New Roman" w:hAnsi="Times New Roman"/>
          <w:noProof/>
        </w:rPr>
        <w:t>, 135(4), pp.749–62.</w:t>
      </w:r>
    </w:p>
    <w:p w14:paraId="3806B41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Drejer, J., Larsson, O.M. &amp; Schousboe, A., 1982. Characterization of L-glutamate uptake into and release from astrocytes and neurons cultured from different brain regions. </w:t>
      </w:r>
      <w:r w:rsidRPr="008438C0">
        <w:rPr>
          <w:rFonts w:ascii="Times New Roman" w:hAnsi="Times New Roman"/>
          <w:i/>
          <w:iCs/>
          <w:noProof/>
        </w:rPr>
        <w:t>Experimental brain research</w:t>
      </w:r>
      <w:r w:rsidRPr="008438C0">
        <w:rPr>
          <w:rFonts w:ascii="Times New Roman" w:hAnsi="Times New Roman"/>
          <w:noProof/>
        </w:rPr>
        <w:t>, 47(2), pp.259–69.</w:t>
      </w:r>
    </w:p>
    <w:p w14:paraId="7437688F"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Dringen, R., Gutterer, J.M. &amp; Hirrlinger, J., 2000. Glutathione metabolism in brain. </w:t>
      </w:r>
      <w:r w:rsidRPr="008438C0">
        <w:rPr>
          <w:rFonts w:ascii="Times New Roman" w:hAnsi="Times New Roman"/>
          <w:i/>
          <w:iCs/>
          <w:noProof/>
        </w:rPr>
        <w:t>European Journal of Biochemistry</w:t>
      </w:r>
      <w:r w:rsidRPr="008438C0">
        <w:rPr>
          <w:rFonts w:ascii="Times New Roman" w:hAnsi="Times New Roman"/>
          <w:noProof/>
        </w:rPr>
        <w:t>, 267(16), pp.4912–4916.</w:t>
      </w:r>
    </w:p>
    <w:p w14:paraId="0CB33B7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Dringen, R. &amp; Hamprecht, B., 1992. Glucose, Insulin, and Insulin-Like Growth Factor I Regulate the Glycogen Content of Astroglia-Rich Primary Cultures. </w:t>
      </w:r>
      <w:r w:rsidRPr="008438C0">
        <w:rPr>
          <w:rFonts w:ascii="Times New Roman" w:hAnsi="Times New Roman"/>
          <w:i/>
          <w:iCs/>
          <w:noProof/>
        </w:rPr>
        <w:t>Journal of Neurochemistry</w:t>
      </w:r>
      <w:r w:rsidRPr="008438C0">
        <w:rPr>
          <w:rFonts w:ascii="Times New Roman" w:hAnsi="Times New Roman"/>
          <w:noProof/>
        </w:rPr>
        <w:t>, 58(2), pp.511–517.</w:t>
      </w:r>
    </w:p>
    <w:p w14:paraId="52FD5ECF"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Dringen, R. &amp; Hamprecht, B., 1992. Glucose, insulin, and insulin-like growth factor I regulate the glycogen content of astroglia-rich primary cultures. </w:t>
      </w:r>
      <w:r w:rsidRPr="008438C0">
        <w:rPr>
          <w:rFonts w:ascii="Times New Roman" w:hAnsi="Times New Roman"/>
          <w:i/>
          <w:iCs/>
          <w:noProof/>
        </w:rPr>
        <w:t>Journal of neurochemistry</w:t>
      </w:r>
      <w:r w:rsidRPr="008438C0">
        <w:rPr>
          <w:rFonts w:ascii="Times New Roman" w:hAnsi="Times New Roman"/>
          <w:noProof/>
        </w:rPr>
        <w:t>, 58(2), pp.511–7.</w:t>
      </w:r>
    </w:p>
    <w:p w14:paraId="5D2AFA7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Dringen, R. &amp; Hamprecht, B., 1997. Involvement of glutathione peroxidase and catalase in the disposal of exogenous hydrogen peroxide by cultured astroglial cells. </w:t>
      </w:r>
      <w:r w:rsidRPr="008438C0">
        <w:rPr>
          <w:rFonts w:ascii="Times New Roman" w:hAnsi="Times New Roman"/>
          <w:i/>
          <w:iCs/>
          <w:noProof/>
        </w:rPr>
        <w:t>Brain Research</w:t>
      </w:r>
      <w:r w:rsidRPr="008438C0">
        <w:rPr>
          <w:rFonts w:ascii="Times New Roman" w:hAnsi="Times New Roman"/>
          <w:noProof/>
        </w:rPr>
        <w:t>, 759(1), pp.67–75.</w:t>
      </w:r>
    </w:p>
    <w:p w14:paraId="54D7D48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Dupont, J. et al., 2001. Insulin and IGF-1 induce different patterns of gene expression in mouse fibroblast NIH-3T3 cells: identification by cDNA microarray analysis. </w:t>
      </w:r>
      <w:r w:rsidRPr="008438C0">
        <w:rPr>
          <w:rFonts w:ascii="Times New Roman" w:hAnsi="Times New Roman"/>
          <w:i/>
          <w:iCs/>
          <w:noProof/>
        </w:rPr>
        <w:t>Endocrinology</w:t>
      </w:r>
      <w:r w:rsidRPr="008438C0">
        <w:rPr>
          <w:rFonts w:ascii="Times New Roman" w:hAnsi="Times New Roman"/>
          <w:noProof/>
        </w:rPr>
        <w:t>, 142(11), pp.4969–75.</w:t>
      </w:r>
    </w:p>
    <w:p w14:paraId="77019124"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Eddleston, M. &amp; Mucke, L., 1993. Molecular profile of reactive astrocytes--implications for their role in neurologic disease. </w:t>
      </w:r>
      <w:r w:rsidRPr="008438C0">
        <w:rPr>
          <w:rFonts w:ascii="Times New Roman" w:hAnsi="Times New Roman"/>
          <w:i/>
          <w:iCs/>
          <w:noProof/>
        </w:rPr>
        <w:t>Neuroscience</w:t>
      </w:r>
      <w:r w:rsidRPr="008438C0">
        <w:rPr>
          <w:rFonts w:ascii="Times New Roman" w:hAnsi="Times New Roman"/>
          <w:noProof/>
        </w:rPr>
        <w:t>, 54(1), pp.15–36.</w:t>
      </w:r>
    </w:p>
    <w:p w14:paraId="1229F83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Efremova, L. et al., 2015. Prevention of the degeneration of human dopaminergic neurons in an astrocyte co-culture system allowing endogenous drug metabolism. </w:t>
      </w:r>
      <w:r w:rsidRPr="008438C0">
        <w:rPr>
          <w:rFonts w:ascii="Times New Roman" w:hAnsi="Times New Roman"/>
          <w:i/>
          <w:iCs/>
          <w:noProof/>
        </w:rPr>
        <w:t>British journal of pharmacology</w:t>
      </w:r>
      <w:r w:rsidRPr="008438C0">
        <w:rPr>
          <w:rFonts w:ascii="Times New Roman" w:hAnsi="Times New Roman"/>
          <w:noProof/>
        </w:rPr>
        <w:t>, 172(16), pp.4119–32.</w:t>
      </w:r>
    </w:p>
    <w:p w14:paraId="6F23D2E8" w14:textId="41545DCE" w:rsidR="008438C0" w:rsidRPr="008438C0" w:rsidRDefault="008438C0" w:rsidP="008438C0">
      <w:pPr>
        <w:widowControl w:val="0"/>
        <w:autoSpaceDE w:val="0"/>
        <w:autoSpaceDN w:val="0"/>
        <w:adjustRightInd w:val="0"/>
        <w:ind w:left="480" w:hanging="480"/>
        <w:rPr>
          <w:rFonts w:ascii="Times New Roman" w:hAnsi="Times New Roman"/>
          <w:noProof/>
        </w:rPr>
      </w:pPr>
      <w:r>
        <w:rPr>
          <w:rFonts w:ascii="Times New Roman" w:hAnsi="Times New Roman"/>
          <w:noProof/>
        </w:rPr>
        <w:t>Efremova, L. et al., 2016</w:t>
      </w:r>
      <w:r w:rsidRPr="008438C0">
        <w:rPr>
          <w:rFonts w:ascii="Times New Roman" w:hAnsi="Times New Roman"/>
          <w:noProof/>
        </w:rPr>
        <w:t xml:space="preserve">. Switching from astrocytic neuroprotection to neurodegeneration by cytokine stimulation. </w:t>
      </w:r>
      <w:r w:rsidRPr="008438C0">
        <w:rPr>
          <w:rFonts w:ascii="Times New Roman" w:hAnsi="Times New Roman"/>
          <w:i/>
          <w:iCs/>
          <w:noProof/>
        </w:rPr>
        <w:t>Archives of Toxicology</w:t>
      </w:r>
      <w:r w:rsidRPr="008438C0">
        <w:rPr>
          <w:rFonts w:ascii="Times New Roman" w:hAnsi="Times New Roman"/>
          <w:noProof/>
        </w:rPr>
        <w:t>.</w:t>
      </w:r>
    </w:p>
    <w:p w14:paraId="73293A7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Emsley, J.G. &amp; Macklis, J.D., 2006. Astroglial heterogeneity closely reflects the neuronal-defined anatomy of the adult murine CNS. </w:t>
      </w:r>
      <w:r w:rsidRPr="008438C0">
        <w:rPr>
          <w:rFonts w:ascii="Times New Roman" w:hAnsi="Times New Roman"/>
          <w:i/>
          <w:iCs/>
          <w:noProof/>
        </w:rPr>
        <w:t>Neuron glia biology</w:t>
      </w:r>
      <w:r w:rsidRPr="008438C0">
        <w:rPr>
          <w:rFonts w:ascii="Times New Roman" w:hAnsi="Times New Roman"/>
          <w:noProof/>
        </w:rPr>
        <w:t>, 2(3), pp.175–86.</w:t>
      </w:r>
    </w:p>
    <w:p w14:paraId="0FB57F04"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Eng, L.F., 1985. Glial fibrillary acidic protein (GFAP): the major protein of glial intermediate filaments in differentiated astrocytes. </w:t>
      </w:r>
      <w:r w:rsidRPr="008438C0">
        <w:rPr>
          <w:rFonts w:ascii="Times New Roman" w:hAnsi="Times New Roman"/>
          <w:i/>
          <w:iCs/>
          <w:noProof/>
        </w:rPr>
        <w:t>Journal of Neuroimmunology</w:t>
      </w:r>
      <w:r w:rsidRPr="008438C0">
        <w:rPr>
          <w:rFonts w:ascii="Times New Roman" w:hAnsi="Times New Roman"/>
          <w:noProof/>
        </w:rPr>
        <w:t>, 8, pp.203–214.</w:t>
      </w:r>
    </w:p>
    <w:p w14:paraId="40D6798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Engelman, J.A. et al., 2007. MET amplification leads to gefitinib resistance in lung cancer by activating ERBB3 signaling. </w:t>
      </w:r>
      <w:r w:rsidRPr="008438C0">
        <w:rPr>
          <w:rFonts w:ascii="Times New Roman" w:hAnsi="Times New Roman"/>
          <w:i/>
          <w:iCs/>
          <w:noProof/>
        </w:rPr>
        <w:t>Science (New York, N.Y.)</w:t>
      </w:r>
      <w:r w:rsidRPr="008438C0">
        <w:rPr>
          <w:rFonts w:ascii="Times New Roman" w:hAnsi="Times New Roman"/>
          <w:noProof/>
        </w:rPr>
        <w:t>, 316(5827), pp.1039–43.</w:t>
      </w:r>
    </w:p>
    <w:p w14:paraId="7F00BE9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Esposito, L.A. et al., 2000. Mitochondrial oxidative stress in mice lacking the glutathione peroxidase-1 gene. </w:t>
      </w:r>
      <w:r w:rsidRPr="008438C0">
        <w:rPr>
          <w:rFonts w:ascii="Times New Roman" w:hAnsi="Times New Roman"/>
          <w:i/>
          <w:iCs/>
          <w:noProof/>
        </w:rPr>
        <w:t>Free radical biology &amp; medicine</w:t>
      </w:r>
      <w:r w:rsidRPr="008438C0">
        <w:rPr>
          <w:rFonts w:ascii="Times New Roman" w:hAnsi="Times New Roman"/>
          <w:noProof/>
        </w:rPr>
        <w:t>, 28(5), pp.754–66.</w:t>
      </w:r>
    </w:p>
    <w:p w14:paraId="5A9C16BF"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van Exel, E. et al., 2014. </w:t>
      </w:r>
      <w:r w:rsidRPr="008438C0">
        <w:rPr>
          <w:rFonts w:ascii="Times New Roman" w:hAnsi="Times New Roman"/>
          <w:i/>
          <w:iCs/>
          <w:noProof/>
        </w:rPr>
        <w:t>Insulin-like growth factor–1 and risk of late-onset Alzheimer’s disease: findings from a family study</w:t>
      </w:r>
      <w:r w:rsidRPr="008438C0">
        <w:rPr>
          <w:rFonts w:ascii="Times New Roman" w:hAnsi="Times New Roman"/>
          <w:noProof/>
        </w:rPr>
        <w:t>,</w:t>
      </w:r>
    </w:p>
    <w:p w14:paraId="3121754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Farmer, W.T. et al., 2016. Neurons diversify astrocytes in the adult brain through sonic hedgehog signaling. </w:t>
      </w:r>
      <w:r w:rsidRPr="008438C0">
        <w:rPr>
          <w:rFonts w:ascii="Times New Roman" w:hAnsi="Times New Roman"/>
          <w:i/>
          <w:iCs/>
          <w:noProof/>
        </w:rPr>
        <w:t>Science</w:t>
      </w:r>
      <w:r w:rsidRPr="008438C0">
        <w:rPr>
          <w:rFonts w:ascii="Times New Roman" w:hAnsi="Times New Roman"/>
          <w:noProof/>
        </w:rPr>
        <w:t>, 351(6275), pp.849–854.</w:t>
      </w:r>
    </w:p>
    <w:p w14:paraId="6B9D011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Fawcett, J.W. &amp; Asher, R.., 1999. The glial scar and central nervous system repair. </w:t>
      </w:r>
      <w:r w:rsidRPr="008438C0">
        <w:rPr>
          <w:rFonts w:ascii="Times New Roman" w:hAnsi="Times New Roman"/>
          <w:i/>
          <w:iCs/>
          <w:noProof/>
        </w:rPr>
        <w:t>Brain Research Bulletin</w:t>
      </w:r>
      <w:r w:rsidRPr="008438C0">
        <w:rPr>
          <w:rFonts w:ascii="Times New Roman" w:hAnsi="Times New Roman"/>
          <w:noProof/>
        </w:rPr>
        <w:t>, 49(6), pp.377–391.</w:t>
      </w:r>
    </w:p>
    <w:p w14:paraId="01403A4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Fergus, A. &amp; Lee, K.S., 1997. Regulation of cerebral microvessels by glutamatergic mechanisms. </w:t>
      </w:r>
      <w:r w:rsidRPr="008438C0">
        <w:rPr>
          <w:rFonts w:ascii="Times New Roman" w:hAnsi="Times New Roman"/>
          <w:i/>
          <w:iCs/>
          <w:noProof/>
        </w:rPr>
        <w:t>Brain research</w:t>
      </w:r>
      <w:r w:rsidRPr="008438C0">
        <w:rPr>
          <w:rFonts w:ascii="Times New Roman" w:hAnsi="Times New Roman"/>
          <w:noProof/>
        </w:rPr>
        <w:t>, 754(1–2), pp.35–45.</w:t>
      </w:r>
    </w:p>
    <w:p w14:paraId="1807BA8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Fernandez-Fernandez, S. et al., 2012. Antioxidant and bioenergetic coupling between neurons and astrocytes. </w:t>
      </w:r>
      <w:r w:rsidRPr="008438C0">
        <w:rPr>
          <w:rFonts w:ascii="Times New Roman" w:hAnsi="Times New Roman"/>
          <w:i/>
          <w:iCs/>
          <w:noProof/>
        </w:rPr>
        <w:t>The Biochemical journal</w:t>
      </w:r>
      <w:r w:rsidRPr="008438C0">
        <w:rPr>
          <w:rFonts w:ascii="Times New Roman" w:hAnsi="Times New Roman"/>
          <w:noProof/>
        </w:rPr>
        <w:t>, 443(1), pp.3–11.</w:t>
      </w:r>
    </w:p>
    <w:p w14:paraId="7B8BFB5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Ferrer, I., Barrachina, M. &amp; Puig, B., 2002. Glycogen synthase kinase-3 is associated with neuronal and glial hyperphosphorylated tau deposits in Alzheimer’s disease, Pick’s disease, progressive supranuclear palsy and corticobasal degeneration. </w:t>
      </w:r>
      <w:r w:rsidRPr="008438C0">
        <w:rPr>
          <w:rFonts w:ascii="Times New Roman" w:hAnsi="Times New Roman"/>
          <w:i/>
          <w:iCs/>
          <w:noProof/>
        </w:rPr>
        <w:t>Acta neuropathologica</w:t>
      </w:r>
      <w:r w:rsidRPr="008438C0">
        <w:rPr>
          <w:rFonts w:ascii="Times New Roman" w:hAnsi="Times New Roman"/>
          <w:noProof/>
        </w:rPr>
        <w:t>, 104(6), pp.583–91.</w:t>
      </w:r>
    </w:p>
    <w:p w14:paraId="4435978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Fisher-Wellman, K.H. et al., 2012. Linking mitochondrial bioenergetics to insulin resistance via redox biology. </w:t>
      </w:r>
      <w:r w:rsidRPr="008438C0">
        <w:rPr>
          <w:rFonts w:ascii="Times New Roman" w:hAnsi="Times New Roman"/>
          <w:i/>
          <w:iCs/>
          <w:noProof/>
        </w:rPr>
        <w:t>Trends in endocrinology and metabolism: TEM</w:t>
      </w:r>
      <w:r w:rsidRPr="008438C0">
        <w:rPr>
          <w:rFonts w:ascii="Times New Roman" w:hAnsi="Times New Roman"/>
          <w:noProof/>
        </w:rPr>
        <w:t>, 23(3), pp.142–53.</w:t>
      </w:r>
    </w:p>
    <w:p w14:paraId="5702D55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Foo, L.C. et al., 2011. Development of a method for the purification and culture of rodent astrocytes. </w:t>
      </w:r>
      <w:r w:rsidRPr="008438C0">
        <w:rPr>
          <w:rFonts w:ascii="Times New Roman" w:hAnsi="Times New Roman"/>
          <w:i/>
          <w:iCs/>
          <w:noProof/>
        </w:rPr>
        <w:t>Neuron</w:t>
      </w:r>
      <w:r w:rsidRPr="008438C0">
        <w:rPr>
          <w:rFonts w:ascii="Times New Roman" w:hAnsi="Times New Roman"/>
          <w:noProof/>
        </w:rPr>
        <w:t>, 71(5), pp.799–811.</w:t>
      </w:r>
    </w:p>
    <w:p w14:paraId="22BFF08F"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Forsyth, R. et al., 1996. A role for astrocytes in glucose delivery to neurons? </w:t>
      </w:r>
      <w:r w:rsidRPr="008438C0">
        <w:rPr>
          <w:rFonts w:ascii="Times New Roman" w:hAnsi="Times New Roman"/>
          <w:i/>
          <w:iCs/>
          <w:noProof/>
        </w:rPr>
        <w:t>Developmental neuroscience</w:t>
      </w:r>
      <w:r w:rsidRPr="008438C0">
        <w:rPr>
          <w:rFonts w:ascii="Times New Roman" w:hAnsi="Times New Roman"/>
          <w:noProof/>
        </w:rPr>
        <w:t>, 18(5–6), pp.360–70.</w:t>
      </w:r>
    </w:p>
    <w:p w14:paraId="387C520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Freude, S. et al., 2009. Neuronal IGF-1 resistance reduces Abeta accumulation and protects against premature death in a model of Alzheimer’s disease. </w:t>
      </w:r>
      <w:r w:rsidRPr="008438C0">
        <w:rPr>
          <w:rFonts w:ascii="Times New Roman" w:hAnsi="Times New Roman"/>
          <w:i/>
          <w:iCs/>
          <w:noProof/>
        </w:rPr>
        <w:t>FASEB journal : official publication of the Federation of American Societies for Experimental Biology</w:t>
      </w:r>
      <w:r w:rsidRPr="008438C0">
        <w:rPr>
          <w:rFonts w:ascii="Times New Roman" w:hAnsi="Times New Roman"/>
          <w:noProof/>
        </w:rPr>
        <w:t>, 23(10), pp.3315–24.</w:t>
      </w:r>
    </w:p>
    <w:p w14:paraId="1463933D"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Freude, S. et al., 2005. Peripheral Hyperinsulinemia Promotes Tau Phosphorylation In Vivo. </w:t>
      </w:r>
      <w:r w:rsidRPr="008438C0">
        <w:rPr>
          <w:rFonts w:ascii="Times New Roman" w:hAnsi="Times New Roman"/>
          <w:i/>
          <w:iCs/>
          <w:noProof/>
        </w:rPr>
        <w:t>Diabetes</w:t>
      </w:r>
      <w:r w:rsidRPr="008438C0">
        <w:rPr>
          <w:rFonts w:ascii="Times New Roman" w:hAnsi="Times New Roman"/>
          <w:noProof/>
        </w:rPr>
        <w:t>, 54(12), pp.3343–3348.</w:t>
      </w:r>
    </w:p>
    <w:p w14:paraId="4B14439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Friedman, J., 2011. Why Is the Nervous System Vulnerable to Oxidative Stress? In </w:t>
      </w:r>
      <w:r w:rsidRPr="008438C0">
        <w:rPr>
          <w:rFonts w:ascii="Times New Roman" w:hAnsi="Times New Roman"/>
          <w:i/>
          <w:iCs/>
          <w:noProof/>
        </w:rPr>
        <w:t>Oxidative Stress and Free Radical Damage in Neurology</w:t>
      </w:r>
      <w:r w:rsidRPr="008438C0">
        <w:rPr>
          <w:rFonts w:ascii="Times New Roman" w:hAnsi="Times New Roman"/>
          <w:noProof/>
        </w:rPr>
        <w:t>. Totowa, NJ: Humana Press, pp. 19–27.</w:t>
      </w:r>
    </w:p>
    <w:p w14:paraId="63717C5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Frölich, L. et al., 1998. Brain insulin and insulin receptors in aging and sporadic Alzheimer’s disease. </w:t>
      </w:r>
      <w:r w:rsidRPr="008438C0">
        <w:rPr>
          <w:rFonts w:ascii="Times New Roman" w:hAnsi="Times New Roman"/>
          <w:i/>
          <w:iCs/>
          <w:noProof/>
        </w:rPr>
        <w:t>Journal of Neural Transmission</w:t>
      </w:r>
      <w:r w:rsidRPr="008438C0">
        <w:rPr>
          <w:rFonts w:ascii="Times New Roman" w:hAnsi="Times New Roman"/>
          <w:noProof/>
        </w:rPr>
        <w:t>, 105(4), p.423.</w:t>
      </w:r>
    </w:p>
    <w:p w14:paraId="13BC5EA4"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Fukuyama, R. et al., 1996. </w:t>
      </w:r>
      <w:r w:rsidRPr="008438C0">
        <w:rPr>
          <w:rFonts w:ascii="Times New Roman" w:hAnsi="Times New Roman"/>
          <w:i/>
          <w:iCs/>
          <w:noProof/>
        </w:rPr>
        <w:t>Gene expression of ND4, a subunit of complex I of oxidative phosphorylation in mitochondria, is decreased in temporal cortex of brains of Alzheimer’s disease patients</w:t>
      </w:r>
      <w:r w:rsidRPr="008438C0">
        <w:rPr>
          <w:rFonts w:ascii="Times New Roman" w:hAnsi="Times New Roman"/>
          <w:noProof/>
        </w:rPr>
        <w:t>,</w:t>
      </w:r>
    </w:p>
    <w:p w14:paraId="3C877A2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Fukuyama, R., Izumoto, T. &amp; Fushiki, S., 2001. The cerebrospinal fluid level of glial fibrillary acidic protein is increased in cerebrospinal fluid from Alzheimer’s disease patients and correlates with severity of dementia. </w:t>
      </w:r>
      <w:r w:rsidRPr="008438C0">
        <w:rPr>
          <w:rFonts w:ascii="Times New Roman" w:hAnsi="Times New Roman"/>
          <w:i/>
          <w:iCs/>
          <w:noProof/>
        </w:rPr>
        <w:t>European neurology</w:t>
      </w:r>
      <w:r w:rsidRPr="008438C0">
        <w:rPr>
          <w:rFonts w:ascii="Times New Roman" w:hAnsi="Times New Roman"/>
          <w:noProof/>
        </w:rPr>
        <w:t>, 46(1), pp.35–8.</w:t>
      </w:r>
    </w:p>
    <w:p w14:paraId="34668D2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Fuller, S., Steele, M. &amp; Münch, G., 2010. Activated astroglia during chronic inflammation in Alzheimer’s disease--do they neglect their neurosupportive roles? </w:t>
      </w:r>
      <w:r w:rsidRPr="008438C0">
        <w:rPr>
          <w:rFonts w:ascii="Times New Roman" w:hAnsi="Times New Roman"/>
          <w:i/>
          <w:iCs/>
          <w:noProof/>
        </w:rPr>
        <w:t>Mutation research</w:t>
      </w:r>
      <w:r w:rsidRPr="008438C0">
        <w:rPr>
          <w:rFonts w:ascii="Times New Roman" w:hAnsi="Times New Roman"/>
          <w:noProof/>
        </w:rPr>
        <w:t>, 690(1–2), pp.40–9.</w:t>
      </w:r>
    </w:p>
    <w:p w14:paraId="5D40E5B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Gao, Y. et al., 2016. Functional imaging of neuron–astrocyte interactions in a compartmentalized microfluidic device. </w:t>
      </w:r>
      <w:r w:rsidRPr="008438C0">
        <w:rPr>
          <w:rFonts w:ascii="Times New Roman" w:hAnsi="Times New Roman"/>
          <w:i/>
          <w:iCs/>
          <w:noProof/>
        </w:rPr>
        <w:t>Microsystems &amp; Nanoengineering</w:t>
      </w:r>
      <w:r w:rsidRPr="008438C0">
        <w:rPr>
          <w:rFonts w:ascii="Times New Roman" w:hAnsi="Times New Roman"/>
          <w:noProof/>
        </w:rPr>
        <w:t>, 2, p.15045.</w:t>
      </w:r>
    </w:p>
    <w:p w14:paraId="1DBA205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Garcia-Abreu, J. et al., 1995. Regionally specific properties of midbrain glia: I. Interactions with midbrain neurons. </w:t>
      </w:r>
      <w:r w:rsidRPr="008438C0">
        <w:rPr>
          <w:rFonts w:ascii="Times New Roman" w:hAnsi="Times New Roman"/>
          <w:i/>
          <w:iCs/>
          <w:noProof/>
        </w:rPr>
        <w:t>Journal of neuroscience research</w:t>
      </w:r>
      <w:r w:rsidRPr="008438C0">
        <w:rPr>
          <w:rFonts w:ascii="Times New Roman" w:hAnsi="Times New Roman"/>
          <w:noProof/>
        </w:rPr>
        <w:t>, 40(4), pp.471–7.</w:t>
      </w:r>
    </w:p>
    <w:p w14:paraId="087832B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García-Fernández, M. et al., 2008. Low doses of insulin-like growth factor I improve insulin resistance, lipid metabolism, and oxidative damage in aging rats. </w:t>
      </w:r>
      <w:r w:rsidRPr="008438C0">
        <w:rPr>
          <w:rFonts w:ascii="Times New Roman" w:hAnsi="Times New Roman"/>
          <w:i/>
          <w:iCs/>
          <w:noProof/>
        </w:rPr>
        <w:t>Endocrinology</w:t>
      </w:r>
      <w:r w:rsidRPr="008438C0">
        <w:rPr>
          <w:rFonts w:ascii="Times New Roman" w:hAnsi="Times New Roman"/>
          <w:noProof/>
        </w:rPr>
        <w:t>, 149(5), pp.2433–42.</w:t>
      </w:r>
    </w:p>
    <w:p w14:paraId="063DEF9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Garcia, A.D.R. et al., 2010. Sonic hedgehog regulates discrete populations of astrocytes in the adult mouse forebrain.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30(41), pp.13597–608.</w:t>
      </w:r>
    </w:p>
    <w:p w14:paraId="111D69A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Garwood, C. et al., 2013. Calcium dysregulation in relation to Alzheimer-type pathology in the ageing brain. </w:t>
      </w:r>
      <w:r w:rsidRPr="008438C0">
        <w:rPr>
          <w:rFonts w:ascii="Times New Roman" w:hAnsi="Times New Roman"/>
          <w:i/>
          <w:iCs/>
          <w:noProof/>
        </w:rPr>
        <w:t>Neuropathology and applied neurobiology</w:t>
      </w:r>
      <w:r w:rsidRPr="008438C0">
        <w:rPr>
          <w:rFonts w:ascii="Times New Roman" w:hAnsi="Times New Roman"/>
          <w:noProof/>
        </w:rPr>
        <w:t>, 31(4), pp.578–90.</w:t>
      </w:r>
    </w:p>
    <w:p w14:paraId="306AA71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Garwood, C.J. et al., 2011. Astrocytes are important mediators of Aβ-induced neurotoxicity and tau phosphorylation in primary culture. </w:t>
      </w:r>
      <w:r w:rsidRPr="008438C0">
        <w:rPr>
          <w:rFonts w:ascii="Times New Roman" w:hAnsi="Times New Roman"/>
          <w:i/>
          <w:iCs/>
          <w:noProof/>
        </w:rPr>
        <w:t>Cell death &amp; disease</w:t>
      </w:r>
      <w:r w:rsidRPr="008438C0">
        <w:rPr>
          <w:rFonts w:ascii="Times New Roman" w:hAnsi="Times New Roman"/>
          <w:noProof/>
        </w:rPr>
        <w:t>, 2, p.e167.</w:t>
      </w:r>
    </w:p>
    <w:p w14:paraId="069940D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Garwood, C.J. et al., 2015. Insulin and IGF1 signalling pathways in human astrocytes in vitro and in vivo; characterisation, subcellular localisation and modulation of the receptors. </w:t>
      </w:r>
      <w:r w:rsidRPr="008438C0">
        <w:rPr>
          <w:rFonts w:ascii="Times New Roman" w:hAnsi="Times New Roman"/>
          <w:i/>
          <w:iCs/>
          <w:noProof/>
        </w:rPr>
        <w:t>Molecular brain</w:t>
      </w:r>
      <w:r w:rsidRPr="008438C0">
        <w:rPr>
          <w:rFonts w:ascii="Times New Roman" w:hAnsi="Times New Roman"/>
          <w:noProof/>
        </w:rPr>
        <w:t>, 8, p.51.</w:t>
      </w:r>
    </w:p>
    <w:p w14:paraId="4059ABB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Gasparini, L. et al., 2001. Stimulation of beta-amyloid precursor protein trafficking by insulin reduces intraneuronal beta-amyloid and requires mitogen-activated protein kinase signaling.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21(8), pp.2561–70.</w:t>
      </w:r>
    </w:p>
    <w:p w14:paraId="4B1D27A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Gegg, M.E., Clark, J.B. &amp; Heales, S.J.R., 2005. Co-culture of neurones with glutathione deficient astrocytes leads to increased neuronal susceptibility to nitric oxide and increased glutamate-cysteine ligase activity. </w:t>
      </w:r>
      <w:r w:rsidRPr="008438C0">
        <w:rPr>
          <w:rFonts w:ascii="Times New Roman" w:hAnsi="Times New Roman"/>
          <w:i/>
          <w:iCs/>
          <w:noProof/>
        </w:rPr>
        <w:t>Brain research</w:t>
      </w:r>
      <w:r w:rsidRPr="008438C0">
        <w:rPr>
          <w:rFonts w:ascii="Times New Roman" w:hAnsi="Times New Roman"/>
          <w:noProof/>
        </w:rPr>
        <w:t>, 1036(1–2), pp.1–6.</w:t>
      </w:r>
    </w:p>
    <w:p w14:paraId="388716E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Genis, L. et al., 2014. Astrocytes require insulin-like growth factor I to protect neurons against oxidative injury. </w:t>
      </w:r>
      <w:r w:rsidRPr="008438C0">
        <w:rPr>
          <w:rFonts w:ascii="Times New Roman" w:hAnsi="Times New Roman"/>
          <w:i/>
          <w:iCs/>
          <w:noProof/>
        </w:rPr>
        <w:t>F1000Research</w:t>
      </w:r>
      <w:r w:rsidRPr="008438C0">
        <w:rPr>
          <w:rFonts w:ascii="Times New Roman" w:hAnsi="Times New Roman"/>
          <w:noProof/>
        </w:rPr>
        <w:t>, 3.</w:t>
      </w:r>
    </w:p>
    <w:p w14:paraId="3186383E"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Giuffrida, M.L. et al., 2009. -Amyloid Monomers Are Neuroprotective. </w:t>
      </w:r>
      <w:r w:rsidRPr="008438C0">
        <w:rPr>
          <w:rFonts w:ascii="Times New Roman" w:hAnsi="Times New Roman"/>
          <w:i/>
          <w:iCs/>
          <w:noProof/>
        </w:rPr>
        <w:t>Journal of Neuroscience</w:t>
      </w:r>
      <w:r w:rsidRPr="008438C0">
        <w:rPr>
          <w:rFonts w:ascii="Times New Roman" w:hAnsi="Times New Roman"/>
          <w:noProof/>
        </w:rPr>
        <w:t>, 29(34), pp.10582–10587.</w:t>
      </w:r>
    </w:p>
    <w:p w14:paraId="05286F54"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Goate, A. et al., 1991. Segregation of a missense mutation in the amyloid precursor protein gene with familial Alzheimer’s disease. </w:t>
      </w:r>
      <w:r w:rsidRPr="008438C0">
        <w:rPr>
          <w:rFonts w:ascii="Times New Roman" w:hAnsi="Times New Roman"/>
          <w:i/>
          <w:iCs/>
          <w:noProof/>
        </w:rPr>
        <w:t>Nature</w:t>
      </w:r>
      <w:r w:rsidRPr="008438C0">
        <w:rPr>
          <w:rFonts w:ascii="Times New Roman" w:hAnsi="Times New Roman"/>
          <w:noProof/>
        </w:rPr>
        <w:t>, 349(6311), pp.704–6.</w:t>
      </w:r>
    </w:p>
    <w:p w14:paraId="7B43A3F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Goldberg, M. et al., 2010. Nonlinear Gap Junctions Enable Long-Distance Propagation of Pulsating Calcium Waves in Astrocyte Networks B. S. Gutkin, ed. </w:t>
      </w:r>
      <w:r w:rsidRPr="008438C0">
        <w:rPr>
          <w:rFonts w:ascii="Times New Roman" w:hAnsi="Times New Roman"/>
          <w:i/>
          <w:iCs/>
          <w:noProof/>
        </w:rPr>
        <w:t>PLoS Computational Biology</w:t>
      </w:r>
      <w:r w:rsidRPr="008438C0">
        <w:rPr>
          <w:rFonts w:ascii="Times New Roman" w:hAnsi="Times New Roman"/>
          <w:noProof/>
        </w:rPr>
        <w:t>, 6(8), p.e1000909.</w:t>
      </w:r>
    </w:p>
    <w:p w14:paraId="6CF5E1E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Gontier, G. et al., 2015. Blocking IGF Signaling in Adult Neurons Alleviates Alzheimer’s Disease Pathology through Amyloid-β Clearance.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35(33), pp.11500–13.</w:t>
      </w:r>
    </w:p>
    <w:p w14:paraId="2FE8CE3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Goswami, P. et al., 2015. Astrocyte activation and neurotoxicity: A study in different rat brain regions and in rat C6 astroglial cells. </w:t>
      </w:r>
      <w:r w:rsidRPr="008438C0">
        <w:rPr>
          <w:rFonts w:ascii="Times New Roman" w:hAnsi="Times New Roman"/>
          <w:i/>
          <w:iCs/>
          <w:noProof/>
        </w:rPr>
        <w:t>Environmental Toxicology and Pharmacology</w:t>
      </w:r>
      <w:r w:rsidRPr="008438C0">
        <w:rPr>
          <w:rFonts w:ascii="Times New Roman" w:hAnsi="Times New Roman"/>
          <w:noProof/>
        </w:rPr>
        <w:t>, 40(1), pp.122–139.</w:t>
      </w:r>
    </w:p>
    <w:p w14:paraId="113BBF5E"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Goudriaan, A. et al., 2014. Novel cell separation method for molecular analysis of neuron-astrocyte co-cultures. </w:t>
      </w:r>
      <w:r w:rsidRPr="008438C0">
        <w:rPr>
          <w:rFonts w:ascii="Times New Roman" w:hAnsi="Times New Roman"/>
          <w:i/>
          <w:iCs/>
          <w:noProof/>
        </w:rPr>
        <w:t>Frontiers in cellular neuroscience</w:t>
      </w:r>
      <w:r w:rsidRPr="008438C0">
        <w:rPr>
          <w:rFonts w:ascii="Times New Roman" w:hAnsi="Times New Roman"/>
          <w:noProof/>
        </w:rPr>
        <w:t>, 8, p.12.</w:t>
      </w:r>
    </w:p>
    <w:p w14:paraId="3C29332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Griffin, R.J. et al., 2005. Activation of Akt/PKB, increased phosphorylation of Akt substrates and loss and altered distribution of Akt and PTEN are features of Alzheimer’s disease pathology. </w:t>
      </w:r>
      <w:r w:rsidRPr="008438C0">
        <w:rPr>
          <w:rFonts w:ascii="Times New Roman" w:hAnsi="Times New Roman"/>
          <w:i/>
          <w:iCs/>
          <w:noProof/>
        </w:rPr>
        <w:t>Journal of neurochemistry</w:t>
      </w:r>
      <w:r w:rsidRPr="008438C0">
        <w:rPr>
          <w:rFonts w:ascii="Times New Roman" w:hAnsi="Times New Roman"/>
          <w:noProof/>
        </w:rPr>
        <w:t>, 93(1), pp.105–17.</w:t>
      </w:r>
    </w:p>
    <w:p w14:paraId="139BDC8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Gual, P. et al., 2003. MAP kinases and mTOR mediate insulin-induced phosphorylation of insulin receptor substrate-1 on serine residues 307, 612 and 632. </w:t>
      </w:r>
      <w:r w:rsidRPr="008438C0">
        <w:rPr>
          <w:rFonts w:ascii="Times New Roman" w:hAnsi="Times New Roman"/>
          <w:i/>
          <w:iCs/>
          <w:noProof/>
        </w:rPr>
        <w:t>Diabetologia</w:t>
      </w:r>
      <w:r w:rsidRPr="008438C0">
        <w:rPr>
          <w:rFonts w:ascii="Times New Roman" w:hAnsi="Times New Roman"/>
          <w:noProof/>
        </w:rPr>
        <w:t>, 46(11), pp.1532–42.</w:t>
      </w:r>
    </w:p>
    <w:p w14:paraId="5D68B2F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Gual, P., Le Marchand-Brustel, Y. &amp; Tanti, J.-F., 2005. Positive and negative regulation of insulin signaling through IRS-1 phosphorylation. </w:t>
      </w:r>
      <w:r w:rsidRPr="008438C0">
        <w:rPr>
          <w:rFonts w:ascii="Times New Roman" w:hAnsi="Times New Roman"/>
          <w:i/>
          <w:iCs/>
          <w:noProof/>
        </w:rPr>
        <w:t>Biochimie</w:t>
      </w:r>
      <w:r w:rsidRPr="008438C0">
        <w:rPr>
          <w:rFonts w:ascii="Times New Roman" w:hAnsi="Times New Roman"/>
          <w:noProof/>
        </w:rPr>
        <w:t>, 87(1), pp.99–109.</w:t>
      </w:r>
    </w:p>
    <w:p w14:paraId="14A75C5E"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Guevara-Aguirre, J. et al., 2015. GH Receptor Deficiency in Ecuadorian Adults Is Associated With Obesity and Enhanced Insulin Sensitivity. </w:t>
      </w:r>
      <w:r w:rsidRPr="008438C0">
        <w:rPr>
          <w:rFonts w:ascii="Times New Roman" w:hAnsi="Times New Roman"/>
          <w:i/>
          <w:iCs/>
          <w:noProof/>
        </w:rPr>
        <w:t>The Journal of clinical endocrinology and metabolism</w:t>
      </w:r>
      <w:r w:rsidRPr="008438C0">
        <w:rPr>
          <w:rFonts w:ascii="Times New Roman" w:hAnsi="Times New Roman"/>
          <w:noProof/>
        </w:rPr>
        <w:t>, 100(7), pp.2589–96.</w:t>
      </w:r>
    </w:p>
    <w:p w14:paraId="738F4E6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Guthrie, P.B. et al., 1999. ATP released from astrocytes mediates glial calcium waves.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19(2), pp.520–8.</w:t>
      </w:r>
    </w:p>
    <w:p w14:paraId="5BC081FD"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Gutiérrez-Aguilar, M. &amp; Baines, C.P., 2013. Physiological and pathological roles of mitochondrial SLC25 carriers. </w:t>
      </w:r>
      <w:r w:rsidRPr="008438C0">
        <w:rPr>
          <w:rFonts w:ascii="Times New Roman" w:hAnsi="Times New Roman"/>
          <w:i/>
          <w:iCs/>
          <w:noProof/>
        </w:rPr>
        <w:t>The Biochemical journal</w:t>
      </w:r>
      <w:r w:rsidRPr="008438C0">
        <w:rPr>
          <w:rFonts w:ascii="Times New Roman" w:hAnsi="Times New Roman"/>
          <w:noProof/>
        </w:rPr>
        <w:t>, 454(3), pp.371–86.</w:t>
      </w:r>
    </w:p>
    <w:p w14:paraId="0347B16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Habas, A. et al., 2013. Neuronal activity regulates astrocytic Nrf2 signaling. </w:t>
      </w:r>
      <w:r w:rsidRPr="008438C0">
        <w:rPr>
          <w:rFonts w:ascii="Times New Roman" w:hAnsi="Times New Roman"/>
          <w:i/>
          <w:iCs/>
          <w:noProof/>
        </w:rPr>
        <w:t>Proceedings of the National Academy of Sciences</w:t>
      </w:r>
      <w:r w:rsidRPr="008438C0">
        <w:rPr>
          <w:rFonts w:ascii="Times New Roman" w:hAnsi="Times New Roman"/>
          <w:noProof/>
        </w:rPr>
        <w:t>, 110(45), pp.18291–18296.</w:t>
      </w:r>
    </w:p>
    <w:p w14:paraId="706CDAB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Hailey, J. et al., 2002. Neutralizing anti-insulin-like growth factor receptor 1 antibodies inhibit receptor function and induce receptor degradation in tumor cells. </w:t>
      </w:r>
      <w:r w:rsidRPr="008438C0">
        <w:rPr>
          <w:rFonts w:ascii="Times New Roman" w:hAnsi="Times New Roman"/>
          <w:i/>
          <w:iCs/>
          <w:noProof/>
        </w:rPr>
        <w:t>Molecular cancer therapeutics</w:t>
      </w:r>
      <w:r w:rsidRPr="008438C0">
        <w:rPr>
          <w:rFonts w:ascii="Times New Roman" w:hAnsi="Times New Roman"/>
          <w:noProof/>
        </w:rPr>
        <w:t>, 1(14), pp.1349–53.</w:t>
      </w:r>
    </w:p>
    <w:p w14:paraId="1B0F575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Ben Haim, L. et al., 2015. The JAK/STAT3 pathway is a common inducer of astrocyte reactivity in Alzheimer’s and Huntington’s diseases.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35(6), pp.2817–29.</w:t>
      </w:r>
    </w:p>
    <w:p w14:paraId="3697035E"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Halassa, M.M. et al., 2007. Synaptic Islands Defined by the Territory of a Single Astrocyte. </w:t>
      </w:r>
      <w:r w:rsidRPr="008438C0">
        <w:rPr>
          <w:rFonts w:ascii="Times New Roman" w:hAnsi="Times New Roman"/>
          <w:i/>
          <w:iCs/>
          <w:noProof/>
        </w:rPr>
        <w:t>Journal of Neuroscience</w:t>
      </w:r>
      <w:r w:rsidRPr="008438C0">
        <w:rPr>
          <w:rFonts w:ascii="Times New Roman" w:hAnsi="Times New Roman"/>
          <w:noProof/>
        </w:rPr>
        <w:t>, 27(24), pp.6473–6477.</w:t>
      </w:r>
    </w:p>
    <w:p w14:paraId="5A6907A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Hall, C.N. et al., 2012. Oxidative phosphorylation, not glycolysis, powers presynaptic and postsynaptic mechanisms underlying brain information processing.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32(26), pp.8940–51.</w:t>
      </w:r>
    </w:p>
    <w:p w14:paraId="0A57C86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Hallermayer, K., Harmening, C. &amp; Hamprecht, B., 1981. Cellular Localization and Regulation of Glutamine Synthetase in Primary Cultures of Brain Cells from Newborn Mice. </w:t>
      </w:r>
      <w:r w:rsidRPr="008438C0">
        <w:rPr>
          <w:rFonts w:ascii="Times New Roman" w:hAnsi="Times New Roman"/>
          <w:i/>
          <w:iCs/>
          <w:noProof/>
        </w:rPr>
        <w:t>Journal of Neurochemistry</w:t>
      </w:r>
      <w:r w:rsidRPr="008438C0">
        <w:rPr>
          <w:rFonts w:ascii="Times New Roman" w:hAnsi="Times New Roman"/>
          <w:noProof/>
        </w:rPr>
        <w:t>, 37(1), pp.43–52.</w:t>
      </w:r>
    </w:p>
    <w:p w14:paraId="64B08B8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Hamai, M., Minokoshi, Y. &amp; Shimazu, T., 2002. L-Glutamate and Insulin Enhance Glycogen Synthesis in Cultured Astrocytes from the Rat Brain Through Different Intracellular Mechanisms. </w:t>
      </w:r>
      <w:r w:rsidRPr="008438C0">
        <w:rPr>
          <w:rFonts w:ascii="Times New Roman" w:hAnsi="Times New Roman"/>
          <w:i/>
          <w:iCs/>
          <w:noProof/>
        </w:rPr>
        <w:t>Journal of Neurochemistry</w:t>
      </w:r>
      <w:r w:rsidRPr="008438C0">
        <w:rPr>
          <w:rFonts w:ascii="Times New Roman" w:hAnsi="Times New Roman"/>
          <w:noProof/>
        </w:rPr>
        <w:t>, 73(1), pp.400–407.</w:t>
      </w:r>
    </w:p>
    <w:p w14:paraId="63E5D85D"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Hamby, M.E. et al., 2012. Inflammatory Mediators Alter the Astrocyte Transcriptome and Calcium Signaling Elicited by Multiple G-Protein-Coupled Receptors. </w:t>
      </w:r>
      <w:r w:rsidRPr="008438C0">
        <w:rPr>
          <w:rFonts w:ascii="Times New Roman" w:hAnsi="Times New Roman"/>
          <w:i/>
          <w:iCs/>
          <w:noProof/>
        </w:rPr>
        <w:t>Journal of Neuroscience</w:t>
      </w:r>
      <w:r w:rsidRPr="008438C0">
        <w:rPr>
          <w:rFonts w:ascii="Times New Roman" w:hAnsi="Times New Roman"/>
          <w:noProof/>
        </w:rPr>
        <w:t>, 32(42), pp.14489–14510.</w:t>
      </w:r>
    </w:p>
    <w:p w14:paraId="03AA609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Han, X. et al., 2013. Forebrain Engraftment by Human Glial Progenitor Cells Enhances Synaptic Plasticity and Learning in Adult Mice. </w:t>
      </w:r>
      <w:r w:rsidRPr="008438C0">
        <w:rPr>
          <w:rFonts w:ascii="Times New Roman" w:hAnsi="Times New Roman"/>
          <w:i/>
          <w:iCs/>
          <w:noProof/>
        </w:rPr>
        <w:t>Cell Stem Cell</w:t>
      </w:r>
      <w:r w:rsidRPr="008438C0">
        <w:rPr>
          <w:rFonts w:ascii="Times New Roman" w:hAnsi="Times New Roman"/>
          <w:noProof/>
        </w:rPr>
        <w:t>, 12(3), pp.342–353.</w:t>
      </w:r>
    </w:p>
    <w:p w14:paraId="3A47936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Hardy, J.A. &amp; Higgins, G.A., 1992. Alzheimer’s disease: the amyloid cascade hypothesis. </w:t>
      </w:r>
      <w:r w:rsidRPr="008438C0">
        <w:rPr>
          <w:rFonts w:ascii="Times New Roman" w:hAnsi="Times New Roman"/>
          <w:i/>
          <w:iCs/>
          <w:noProof/>
        </w:rPr>
        <w:t>Science (New York, N.Y.)</w:t>
      </w:r>
      <w:r w:rsidRPr="008438C0">
        <w:rPr>
          <w:rFonts w:ascii="Times New Roman" w:hAnsi="Times New Roman"/>
          <w:noProof/>
        </w:rPr>
        <w:t>, 256(5054), pp.184–5.</w:t>
      </w:r>
    </w:p>
    <w:p w14:paraId="66EE085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Hattori, F. et al., 2003. Mitochondrial peroxiredoxin-3 protects hippocampal neurons from excitotoxic injury in vivo. </w:t>
      </w:r>
      <w:r w:rsidRPr="008438C0">
        <w:rPr>
          <w:rFonts w:ascii="Times New Roman" w:hAnsi="Times New Roman"/>
          <w:i/>
          <w:iCs/>
          <w:noProof/>
        </w:rPr>
        <w:t>Journal of Neurochemistry</w:t>
      </w:r>
      <w:r w:rsidRPr="008438C0">
        <w:rPr>
          <w:rFonts w:ascii="Times New Roman" w:hAnsi="Times New Roman"/>
          <w:noProof/>
        </w:rPr>
        <w:t>, 86(4), pp.860–868.</w:t>
      </w:r>
    </w:p>
    <w:p w14:paraId="54C2E77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Haydon, P.G., 2001. Glia: listening and talking to the synapse. </w:t>
      </w:r>
      <w:r w:rsidRPr="008438C0">
        <w:rPr>
          <w:rFonts w:ascii="Times New Roman" w:hAnsi="Times New Roman"/>
          <w:i/>
          <w:iCs/>
          <w:noProof/>
        </w:rPr>
        <w:t>Nature Reviews Neuroscience</w:t>
      </w:r>
      <w:r w:rsidRPr="008438C0">
        <w:rPr>
          <w:rFonts w:ascii="Times New Roman" w:hAnsi="Times New Roman"/>
          <w:noProof/>
        </w:rPr>
        <w:t>, 2(3), pp.185–193.</w:t>
      </w:r>
    </w:p>
    <w:p w14:paraId="5436B5B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Heiman, M. et al., 2014. Cell type–specific mRNA purification by translating ribosome affinity purification (TRAP). </w:t>
      </w:r>
      <w:r w:rsidRPr="008438C0">
        <w:rPr>
          <w:rFonts w:ascii="Times New Roman" w:hAnsi="Times New Roman"/>
          <w:i/>
          <w:iCs/>
          <w:noProof/>
        </w:rPr>
        <w:t>Nature Protocols</w:t>
      </w:r>
      <w:r w:rsidRPr="008438C0">
        <w:rPr>
          <w:rFonts w:ascii="Times New Roman" w:hAnsi="Times New Roman"/>
          <w:noProof/>
        </w:rPr>
        <w:t>, 9(6), pp.1282–1291.</w:t>
      </w:r>
    </w:p>
    <w:p w14:paraId="51E6267D"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Hemmings, B.A. &amp; Restuccia, D.F., 2012. PI3K-PKB/Akt pathway. </w:t>
      </w:r>
      <w:r w:rsidRPr="008438C0">
        <w:rPr>
          <w:rFonts w:ascii="Times New Roman" w:hAnsi="Times New Roman"/>
          <w:i/>
          <w:iCs/>
          <w:noProof/>
        </w:rPr>
        <w:t>Cold Spring Harbor perspectives in biology</w:t>
      </w:r>
      <w:r w:rsidRPr="008438C0">
        <w:rPr>
          <w:rFonts w:ascii="Times New Roman" w:hAnsi="Times New Roman"/>
          <w:noProof/>
        </w:rPr>
        <w:t>, 4(9), p.a011189.</w:t>
      </w:r>
    </w:p>
    <w:p w14:paraId="055F70A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Heneka, M.T. et al., 2005. Focal glial activation coincides with increased BACE1 activation and precedes amyloid plaque deposition in APP[V717I] transgenic mice. </w:t>
      </w:r>
      <w:r w:rsidRPr="008438C0">
        <w:rPr>
          <w:rFonts w:ascii="Times New Roman" w:hAnsi="Times New Roman"/>
          <w:i/>
          <w:iCs/>
          <w:noProof/>
        </w:rPr>
        <w:t>Journal of Neuroinflammation</w:t>
      </w:r>
      <w:r w:rsidRPr="008438C0">
        <w:rPr>
          <w:rFonts w:ascii="Times New Roman" w:hAnsi="Times New Roman"/>
          <w:noProof/>
        </w:rPr>
        <w:t>, 2(1), p.22.</w:t>
      </w:r>
    </w:p>
    <w:p w14:paraId="3971E8C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Heni, M. et al., 2011. Insulin promotes glycogen storage and cell proliferation in primary human astrocytes. K. Maedler, ed. </w:t>
      </w:r>
      <w:r w:rsidRPr="008438C0">
        <w:rPr>
          <w:rFonts w:ascii="Times New Roman" w:hAnsi="Times New Roman"/>
          <w:i/>
          <w:iCs/>
          <w:noProof/>
        </w:rPr>
        <w:t>PloS one</w:t>
      </w:r>
      <w:r w:rsidRPr="008438C0">
        <w:rPr>
          <w:rFonts w:ascii="Times New Roman" w:hAnsi="Times New Roman"/>
          <w:noProof/>
        </w:rPr>
        <w:t>, 6(6), p.e21594.</w:t>
      </w:r>
    </w:p>
    <w:p w14:paraId="61FBC48D" w14:textId="542605EF" w:rsidR="008438C0" w:rsidRPr="008438C0" w:rsidRDefault="008438C0" w:rsidP="008438C0">
      <w:pPr>
        <w:widowControl w:val="0"/>
        <w:autoSpaceDE w:val="0"/>
        <w:autoSpaceDN w:val="0"/>
        <w:adjustRightInd w:val="0"/>
        <w:ind w:left="480" w:hanging="480"/>
        <w:rPr>
          <w:rFonts w:ascii="Times New Roman" w:hAnsi="Times New Roman"/>
          <w:noProof/>
        </w:rPr>
      </w:pPr>
      <w:r>
        <w:rPr>
          <w:rFonts w:ascii="Times New Roman" w:hAnsi="Times New Roman"/>
          <w:noProof/>
        </w:rPr>
        <w:t>Hernandez, E. et al., 2015</w:t>
      </w:r>
      <w:r w:rsidRPr="008438C0">
        <w:rPr>
          <w:rFonts w:ascii="Times New Roman" w:hAnsi="Times New Roman"/>
          <w:noProof/>
        </w:rPr>
        <w:t xml:space="preserve">. </w:t>
      </w:r>
      <w:r>
        <w:rPr>
          <w:rFonts w:ascii="Times New Roman" w:hAnsi="Times New Roman"/>
          <w:noProof/>
        </w:rPr>
        <w:t>Insulin growth factor I and its receptor are antagonistic modulators of glucose handling by astrocytes</w:t>
      </w:r>
      <w:r w:rsidRPr="008438C0">
        <w:rPr>
          <w:rFonts w:ascii="Times New Roman" w:hAnsi="Times New Roman"/>
          <w:noProof/>
        </w:rPr>
        <w:t>, Cold Spring Harbor Labs Journals.</w:t>
      </w:r>
    </w:p>
    <w:p w14:paraId="0E99AD0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Hertz, L., Peng, L. &amp; Dienel, G.A., 2007. Energy metabolism in astrocytes: high rate of oxidative metabolism and spatiotemporal dependence on glycolysis/glycogenolysis. </w:t>
      </w:r>
      <w:r w:rsidRPr="008438C0">
        <w:rPr>
          <w:rFonts w:ascii="Times New Roman" w:hAnsi="Times New Roman"/>
          <w:i/>
          <w:iCs/>
          <w:noProof/>
        </w:rPr>
        <w:t>Journal of Cerebral Blood Flow &amp; Metabolism</w:t>
      </w:r>
      <w:r w:rsidRPr="008438C0">
        <w:rPr>
          <w:rFonts w:ascii="Times New Roman" w:hAnsi="Times New Roman"/>
          <w:noProof/>
        </w:rPr>
        <w:t>, 27(2), pp.219–249.</w:t>
      </w:r>
    </w:p>
    <w:p w14:paraId="388E9F8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Hill, E.J. et al., 2012. NT2 derived neuronal and astrocytic network signalling. </w:t>
      </w:r>
      <w:r w:rsidRPr="008438C0">
        <w:rPr>
          <w:rFonts w:ascii="Times New Roman" w:hAnsi="Times New Roman"/>
          <w:i/>
          <w:iCs/>
          <w:noProof/>
        </w:rPr>
        <w:t>PloS one</w:t>
      </w:r>
      <w:r w:rsidRPr="008438C0">
        <w:rPr>
          <w:rFonts w:ascii="Times New Roman" w:hAnsi="Times New Roman"/>
          <w:noProof/>
        </w:rPr>
        <w:t>, 7(5), p.e36098.</w:t>
      </w:r>
    </w:p>
    <w:p w14:paraId="528A1524"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Hill, J.M. et al., 1986. Autoradiographic localization of insulin receptors in rat brain: Prominence in olfactory and limbic areas. </w:t>
      </w:r>
      <w:r w:rsidRPr="008438C0">
        <w:rPr>
          <w:rFonts w:ascii="Times New Roman" w:hAnsi="Times New Roman"/>
          <w:i/>
          <w:iCs/>
          <w:noProof/>
        </w:rPr>
        <w:t>Neuroscience</w:t>
      </w:r>
      <w:r w:rsidRPr="008438C0">
        <w:rPr>
          <w:rFonts w:ascii="Times New Roman" w:hAnsi="Times New Roman"/>
          <w:noProof/>
        </w:rPr>
        <w:t>, 17(4), pp.1127–1138.</w:t>
      </w:r>
    </w:p>
    <w:p w14:paraId="1659FAE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Hill, S.J., Barbarese, E. &amp; McIntosh, T.K., 1996. Regional Heterogeneity in the Response of Astrocytes following Traumatic Brain Injury in the Adult Rat. </w:t>
      </w:r>
      <w:r w:rsidRPr="008438C0">
        <w:rPr>
          <w:rFonts w:ascii="Times New Roman" w:hAnsi="Times New Roman"/>
          <w:i/>
          <w:iCs/>
          <w:noProof/>
        </w:rPr>
        <w:t>Journal of Neuropathology and Experimental Neurology</w:t>
      </w:r>
      <w:r w:rsidRPr="008438C0">
        <w:rPr>
          <w:rFonts w:ascii="Times New Roman" w:hAnsi="Times New Roman"/>
          <w:noProof/>
        </w:rPr>
        <w:t>, 55(12), pp.1221–1229.</w:t>
      </w:r>
    </w:p>
    <w:p w14:paraId="14FADD7D"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Hirrlinger, J. &amp; Dringen, R., 2010. The cytosolic redox state of astrocytes: Maintenance, regulation and functional implications for metabolite trafficking. </w:t>
      </w:r>
      <w:r w:rsidRPr="008438C0">
        <w:rPr>
          <w:rFonts w:ascii="Times New Roman" w:hAnsi="Times New Roman"/>
          <w:i/>
          <w:iCs/>
          <w:noProof/>
        </w:rPr>
        <w:t>Brain research reviews</w:t>
      </w:r>
      <w:r w:rsidRPr="008438C0">
        <w:rPr>
          <w:rFonts w:ascii="Times New Roman" w:hAnsi="Times New Roman"/>
          <w:noProof/>
        </w:rPr>
        <w:t>, 63(1–2), pp.177–88.</w:t>
      </w:r>
    </w:p>
    <w:p w14:paraId="770FC40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Hirrlinger, J., Schulz, J.B. &amp; Dringen, R., 2002. Glutathione release from cultured brain cells: multidrug resistance protein 1 mediates the release of GSH from rat astroglial cells. </w:t>
      </w:r>
      <w:r w:rsidRPr="008438C0">
        <w:rPr>
          <w:rFonts w:ascii="Times New Roman" w:hAnsi="Times New Roman"/>
          <w:i/>
          <w:iCs/>
          <w:noProof/>
        </w:rPr>
        <w:t>Journal of neuroscience research</w:t>
      </w:r>
      <w:r w:rsidRPr="008438C0">
        <w:rPr>
          <w:rFonts w:ascii="Times New Roman" w:hAnsi="Times New Roman"/>
          <w:noProof/>
        </w:rPr>
        <w:t>, 69(3), pp.318–26.</w:t>
      </w:r>
    </w:p>
    <w:p w14:paraId="32DFFC3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Hoefs, S.J.G. et al., 2008. NDUFA2 complex I mutation leads to Leigh disease. </w:t>
      </w:r>
      <w:r w:rsidRPr="008438C0">
        <w:rPr>
          <w:rFonts w:ascii="Times New Roman" w:hAnsi="Times New Roman"/>
          <w:i/>
          <w:iCs/>
          <w:noProof/>
        </w:rPr>
        <w:t>American journal of human genetics</w:t>
      </w:r>
      <w:r w:rsidRPr="008438C0">
        <w:rPr>
          <w:rFonts w:ascii="Times New Roman" w:hAnsi="Times New Roman"/>
          <w:noProof/>
        </w:rPr>
        <w:t>, 82(6), pp.1306–15.</w:t>
      </w:r>
    </w:p>
    <w:p w14:paraId="55DA8764"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Höhn, T.J.A. &amp; Grune, T., 2014. The proteasome and the degradation of oxidized proteins: part III-Redox regulation of the proteasomal system. </w:t>
      </w:r>
      <w:r w:rsidRPr="008438C0">
        <w:rPr>
          <w:rFonts w:ascii="Times New Roman" w:hAnsi="Times New Roman"/>
          <w:i/>
          <w:iCs/>
          <w:noProof/>
        </w:rPr>
        <w:t>Redox biology</w:t>
      </w:r>
      <w:r w:rsidRPr="008438C0">
        <w:rPr>
          <w:rFonts w:ascii="Times New Roman" w:hAnsi="Times New Roman"/>
          <w:noProof/>
        </w:rPr>
        <w:t>, 2, pp.388–94.</w:t>
      </w:r>
    </w:p>
    <w:p w14:paraId="3B88EBE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Holtzman, D.M. et al., 2016. Tau: From research to clinical development. </w:t>
      </w:r>
      <w:r w:rsidRPr="008438C0">
        <w:rPr>
          <w:rFonts w:ascii="Times New Roman" w:hAnsi="Times New Roman"/>
          <w:i/>
          <w:iCs/>
          <w:noProof/>
        </w:rPr>
        <w:t>Alzheimer’s &amp; Dementia</w:t>
      </w:r>
      <w:r w:rsidRPr="008438C0">
        <w:rPr>
          <w:rFonts w:ascii="Times New Roman" w:hAnsi="Times New Roman"/>
          <w:noProof/>
        </w:rPr>
        <w:t>, 12(10), pp.1033–1039.</w:t>
      </w:r>
    </w:p>
    <w:p w14:paraId="0ECE0DCD"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Holzenberger, M. et al., 2003. IGF-1 receptor regulates lifespan and resistance to oxidative stress in mice. </w:t>
      </w:r>
      <w:r w:rsidRPr="008438C0">
        <w:rPr>
          <w:rFonts w:ascii="Times New Roman" w:hAnsi="Times New Roman"/>
          <w:i/>
          <w:iCs/>
          <w:noProof/>
        </w:rPr>
        <w:t>Nature</w:t>
      </w:r>
      <w:r w:rsidRPr="008438C0">
        <w:rPr>
          <w:rFonts w:ascii="Times New Roman" w:hAnsi="Times New Roman"/>
          <w:noProof/>
        </w:rPr>
        <w:t>, 421(6919), pp.182–7.</w:t>
      </w:r>
    </w:p>
    <w:p w14:paraId="11F43D0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Honda, Y. &amp; Honda, S., 1999. The daf-2 gene network for longevity regulates oxidative stress resistance and Mn-superoxide dismutase gene expression in Caenorhabditis elegans. </w:t>
      </w:r>
      <w:r w:rsidRPr="008438C0">
        <w:rPr>
          <w:rFonts w:ascii="Times New Roman" w:hAnsi="Times New Roman"/>
          <w:i/>
          <w:iCs/>
          <w:noProof/>
        </w:rPr>
        <w:t>FASEB journal : official publication of the Federation of American Societies for Experimental Biology</w:t>
      </w:r>
      <w:r w:rsidRPr="008438C0">
        <w:rPr>
          <w:rFonts w:ascii="Times New Roman" w:hAnsi="Times New Roman"/>
          <w:noProof/>
        </w:rPr>
        <w:t>, 13(11), pp.1385–93.</w:t>
      </w:r>
    </w:p>
    <w:p w14:paraId="61D5066F"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Hondius, D.C. et al., 2016. Profiling the human hippocampal proteome at all pathologic stages of Alzheimer’s disease. </w:t>
      </w:r>
      <w:r w:rsidRPr="008438C0">
        <w:rPr>
          <w:rFonts w:ascii="Times New Roman" w:hAnsi="Times New Roman"/>
          <w:i/>
          <w:iCs/>
          <w:noProof/>
        </w:rPr>
        <w:t>Alzheimer’s &amp; dementia : the journal of the Alzheimer’s Association</w:t>
      </w:r>
      <w:r w:rsidRPr="008438C0">
        <w:rPr>
          <w:rFonts w:ascii="Times New Roman" w:hAnsi="Times New Roman"/>
          <w:noProof/>
        </w:rPr>
        <w:t>.</w:t>
      </w:r>
    </w:p>
    <w:p w14:paraId="4464BD9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Hong, M. &amp; Lee, V.M.-Y., 1997. Insulin and Insulin-like Growth Factor-1 Regulate Tau Phosphorylation in Cultured Human Neurons. </w:t>
      </w:r>
      <w:r w:rsidRPr="008438C0">
        <w:rPr>
          <w:rFonts w:ascii="Times New Roman" w:hAnsi="Times New Roman"/>
          <w:i/>
          <w:iCs/>
          <w:noProof/>
        </w:rPr>
        <w:t>J. Biol. Chem.</w:t>
      </w:r>
      <w:r w:rsidRPr="008438C0">
        <w:rPr>
          <w:rFonts w:ascii="Times New Roman" w:hAnsi="Times New Roman"/>
          <w:noProof/>
        </w:rPr>
        <w:t>, 272(31), pp.19547–19553.</w:t>
      </w:r>
    </w:p>
    <w:p w14:paraId="67C95D6F"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Hooper, C., Killick, R. &amp; Lovestone, S., 2008. The GSK3 hypothesis of Alzheimer’s disease. </w:t>
      </w:r>
      <w:r w:rsidRPr="008438C0">
        <w:rPr>
          <w:rFonts w:ascii="Times New Roman" w:hAnsi="Times New Roman"/>
          <w:i/>
          <w:iCs/>
          <w:noProof/>
        </w:rPr>
        <w:t>Journal of neurochemistry</w:t>
      </w:r>
      <w:r w:rsidRPr="008438C0">
        <w:rPr>
          <w:rFonts w:ascii="Times New Roman" w:hAnsi="Times New Roman"/>
          <w:noProof/>
        </w:rPr>
        <w:t>, 104(6), pp.1433–9.</w:t>
      </w:r>
    </w:p>
    <w:p w14:paraId="33124B8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HOUADES, V. et al., 2006. Shapes of astrocyte networks in the juvenile brain. </w:t>
      </w:r>
      <w:r w:rsidRPr="008438C0">
        <w:rPr>
          <w:rFonts w:ascii="Times New Roman" w:hAnsi="Times New Roman"/>
          <w:i/>
          <w:iCs/>
          <w:noProof/>
        </w:rPr>
        <w:t>Neuron Glia Biology</w:t>
      </w:r>
      <w:r w:rsidRPr="008438C0">
        <w:rPr>
          <w:rFonts w:ascii="Times New Roman" w:hAnsi="Times New Roman"/>
          <w:noProof/>
        </w:rPr>
        <w:t>, 2(1), p.3.</w:t>
      </w:r>
    </w:p>
    <w:p w14:paraId="5FE882EF"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Howarth, C., 2014. The contribution of astrocytes to the regulation of cerebral blood flow. </w:t>
      </w:r>
      <w:r w:rsidRPr="008438C0">
        <w:rPr>
          <w:rFonts w:ascii="Times New Roman" w:hAnsi="Times New Roman"/>
          <w:i/>
          <w:iCs/>
          <w:noProof/>
        </w:rPr>
        <w:t>Frontiers in neuroscience</w:t>
      </w:r>
      <w:r w:rsidRPr="008438C0">
        <w:rPr>
          <w:rFonts w:ascii="Times New Roman" w:hAnsi="Times New Roman"/>
          <w:noProof/>
        </w:rPr>
        <w:t>, 8, p.103.</w:t>
      </w:r>
    </w:p>
    <w:p w14:paraId="75F4058E"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Hu, W.-H. et al., 2003. Neuronal glutamate transporter EAAT4 is expressed in astrocytes. </w:t>
      </w:r>
      <w:r w:rsidRPr="008438C0">
        <w:rPr>
          <w:rFonts w:ascii="Times New Roman" w:hAnsi="Times New Roman"/>
          <w:i/>
          <w:iCs/>
          <w:noProof/>
        </w:rPr>
        <w:t>Glia</w:t>
      </w:r>
      <w:r w:rsidRPr="008438C0">
        <w:rPr>
          <w:rFonts w:ascii="Times New Roman" w:hAnsi="Times New Roman"/>
          <w:noProof/>
        </w:rPr>
        <w:t>, 44(1), pp.13–25.</w:t>
      </w:r>
    </w:p>
    <w:p w14:paraId="2D8606A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Hunt, A. et al., 2007. Reduced cerebral glucose metabolism in patients at risk for Alzheimer’s disease. </w:t>
      </w:r>
      <w:r w:rsidRPr="008438C0">
        <w:rPr>
          <w:rFonts w:ascii="Times New Roman" w:hAnsi="Times New Roman"/>
          <w:i/>
          <w:iCs/>
          <w:noProof/>
        </w:rPr>
        <w:t>Psychiatry research</w:t>
      </w:r>
      <w:r w:rsidRPr="008438C0">
        <w:rPr>
          <w:rFonts w:ascii="Times New Roman" w:hAnsi="Times New Roman"/>
          <w:noProof/>
        </w:rPr>
        <w:t>, 155(2), pp.147–54.</w:t>
      </w:r>
    </w:p>
    <w:p w14:paraId="09BA2E6E"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Iadecola, C., 2004. Neurovascular regulation in the normal brain and in Alzheimer’s disease. </w:t>
      </w:r>
      <w:r w:rsidRPr="008438C0">
        <w:rPr>
          <w:rFonts w:ascii="Times New Roman" w:hAnsi="Times New Roman"/>
          <w:i/>
          <w:iCs/>
          <w:noProof/>
        </w:rPr>
        <w:t>Nature Reviews Neuroscience</w:t>
      </w:r>
      <w:r w:rsidRPr="008438C0">
        <w:rPr>
          <w:rFonts w:ascii="Times New Roman" w:hAnsi="Times New Roman"/>
          <w:noProof/>
        </w:rPr>
        <w:t>, 5(5), pp.347–360.</w:t>
      </w:r>
    </w:p>
    <w:p w14:paraId="4693EBCE"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Iliff, J.J. et al., 2012. A paravascular pathway facilitates CSF flow through the brain parenchyma and the clearance of interstitial solutes, including amyloid β. </w:t>
      </w:r>
      <w:r w:rsidRPr="008438C0">
        <w:rPr>
          <w:rFonts w:ascii="Times New Roman" w:hAnsi="Times New Roman"/>
          <w:i/>
          <w:iCs/>
          <w:noProof/>
        </w:rPr>
        <w:t>Science translational medicine</w:t>
      </w:r>
      <w:r w:rsidRPr="008438C0">
        <w:rPr>
          <w:rFonts w:ascii="Times New Roman" w:hAnsi="Times New Roman"/>
          <w:noProof/>
        </w:rPr>
        <w:t>, 4(147), p.147ra111.</w:t>
      </w:r>
    </w:p>
    <w:p w14:paraId="33CA205E"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Imura, T., Kornblum, H.I. &amp; Sofroniew, M. V, 2003. The predominant neural stem cell isolated from postnatal and adult forebrain but not early embryonic forebrain expresses GFAP.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23(7), pp.2824–32.</w:t>
      </w:r>
    </w:p>
    <w:p w14:paraId="6C488A84"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Itoh, Y. et al., 2003. Dichloroacetate effects on glucose and lactate oxidation by neurons and astroglia in vitro and on glucose utilization by brain in vivo. </w:t>
      </w:r>
      <w:r w:rsidRPr="008438C0">
        <w:rPr>
          <w:rFonts w:ascii="Times New Roman" w:hAnsi="Times New Roman"/>
          <w:i/>
          <w:iCs/>
          <w:noProof/>
        </w:rPr>
        <w:t>Proceedings of the National Academy of Sciences of the United States of America</w:t>
      </w:r>
      <w:r w:rsidRPr="008438C0">
        <w:rPr>
          <w:rFonts w:ascii="Times New Roman" w:hAnsi="Times New Roman"/>
          <w:noProof/>
        </w:rPr>
        <w:t>, 100(8), pp.4879–84.</w:t>
      </w:r>
    </w:p>
    <w:p w14:paraId="35F6D80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Jafferali, S. et al., 2000. Insulin-like growth factor-I and its receptor in the frontal cortex, hippocampus, and cerebellum of normal human and alzheimer disease brains. </w:t>
      </w:r>
      <w:r w:rsidRPr="008438C0">
        <w:rPr>
          <w:rFonts w:ascii="Times New Roman" w:hAnsi="Times New Roman"/>
          <w:i/>
          <w:iCs/>
          <w:noProof/>
        </w:rPr>
        <w:t>Synapse (New York, N.Y.)</w:t>
      </w:r>
      <w:r w:rsidRPr="008438C0">
        <w:rPr>
          <w:rFonts w:ascii="Times New Roman" w:hAnsi="Times New Roman"/>
          <w:noProof/>
        </w:rPr>
        <w:t>, 38(4), pp.450–9.</w:t>
      </w:r>
    </w:p>
    <w:p w14:paraId="59CA319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Jakoby, P. et al., 2014. Higher transport and metabolism of glucose in astrocytes compared with neurons: a multiphoton study of hippocampal and cerebellar tissue slices. </w:t>
      </w:r>
      <w:r w:rsidRPr="008438C0">
        <w:rPr>
          <w:rFonts w:ascii="Times New Roman" w:hAnsi="Times New Roman"/>
          <w:i/>
          <w:iCs/>
          <w:noProof/>
        </w:rPr>
        <w:t>Cerebral cortex (New York, N.Y. : 1991)</w:t>
      </w:r>
      <w:r w:rsidRPr="008438C0">
        <w:rPr>
          <w:rFonts w:ascii="Times New Roman" w:hAnsi="Times New Roman"/>
          <w:noProof/>
        </w:rPr>
        <w:t>, 24(1), pp.222–31.</w:t>
      </w:r>
    </w:p>
    <w:p w14:paraId="3CDCB49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Jarrett, J.T., Berger, E.P. &amp; Jr., P.T.L., 2002. The carboxy terminus of the .beta. amyloid protein is critical for the seeding of amyloid formation: Implications for the pathogenesis of Alzheimer’s disease.</w:t>
      </w:r>
    </w:p>
    <w:p w14:paraId="7A09A73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Jastroch, M. et al., 2010. Mitochondrial proton and electron leaks. </w:t>
      </w:r>
      <w:r w:rsidRPr="008438C0">
        <w:rPr>
          <w:rFonts w:ascii="Times New Roman" w:hAnsi="Times New Roman"/>
          <w:i/>
          <w:iCs/>
          <w:noProof/>
        </w:rPr>
        <w:t>Essays in biochemistry</w:t>
      </w:r>
      <w:r w:rsidRPr="008438C0">
        <w:rPr>
          <w:rFonts w:ascii="Times New Roman" w:hAnsi="Times New Roman"/>
          <w:noProof/>
        </w:rPr>
        <w:t>, 47, pp.53–67.</w:t>
      </w:r>
    </w:p>
    <w:p w14:paraId="5F604A4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Jessen, N.A. et al., 2015. The Glymphatic System: A Beginner’s Guide. </w:t>
      </w:r>
      <w:r w:rsidRPr="008438C0">
        <w:rPr>
          <w:rFonts w:ascii="Times New Roman" w:hAnsi="Times New Roman"/>
          <w:i/>
          <w:iCs/>
          <w:noProof/>
        </w:rPr>
        <w:t>Neurochemical research</w:t>
      </w:r>
      <w:r w:rsidRPr="008438C0">
        <w:rPr>
          <w:rFonts w:ascii="Times New Roman" w:hAnsi="Times New Roman"/>
          <w:noProof/>
        </w:rPr>
        <w:t>, 40(12), pp.2583–99.</w:t>
      </w:r>
    </w:p>
    <w:p w14:paraId="0C0DB43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Jin, M. et al., 2011. Soluble amyloid  -protein dimers isolated from Alzheimer cortex directly induce Tau hyperphosphorylation and neuritic degeneration. </w:t>
      </w:r>
      <w:r w:rsidRPr="008438C0">
        <w:rPr>
          <w:rFonts w:ascii="Times New Roman" w:hAnsi="Times New Roman"/>
          <w:i/>
          <w:iCs/>
          <w:noProof/>
        </w:rPr>
        <w:t>Proceedings of the National Academy of Sciences</w:t>
      </w:r>
      <w:r w:rsidRPr="008438C0">
        <w:rPr>
          <w:rFonts w:ascii="Times New Roman" w:hAnsi="Times New Roman"/>
          <w:noProof/>
        </w:rPr>
        <w:t>, 108(14), pp.5819–5824.</w:t>
      </w:r>
    </w:p>
    <w:p w14:paraId="04C6C36D"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John, G.R. et al., 2005. IL-1-regulated responses in astrocytes: relevance to injury and recovery. </w:t>
      </w:r>
      <w:r w:rsidRPr="008438C0">
        <w:rPr>
          <w:rFonts w:ascii="Times New Roman" w:hAnsi="Times New Roman"/>
          <w:i/>
          <w:iCs/>
          <w:noProof/>
        </w:rPr>
        <w:t>Glia</w:t>
      </w:r>
      <w:r w:rsidRPr="008438C0">
        <w:rPr>
          <w:rFonts w:ascii="Times New Roman" w:hAnsi="Times New Roman"/>
          <w:noProof/>
        </w:rPr>
        <w:t>, 49(2), pp.161–76.</w:t>
      </w:r>
    </w:p>
    <w:p w14:paraId="5843D73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Johnson, W.M., Wilson-Delfosse, A.L. &amp; Mieyal, J.J., 2012. Dysregulation of glutathione homeostasis in neurodegenerative diseases. </w:t>
      </w:r>
      <w:r w:rsidRPr="008438C0">
        <w:rPr>
          <w:rFonts w:ascii="Times New Roman" w:hAnsi="Times New Roman"/>
          <w:i/>
          <w:iCs/>
          <w:noProof/>
        </w:rPr>
        <w:t>Nutrients</w:t>
      </w:r>
      <w:r w:rsidRPr="008438C0">
        <w:rPr>
          <w:rFonts w:ascii="Times New Roman" w:hAnsi="Times New Roman"/>
          <w:noProof/>
        </w:rPr>
        <w:t>, 4(10), pp.1399–440.</w:t>
      </w:r>
    </w:p>
    <w:p w14:paraId="3DA4D9D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Johnstone, M., Gearing, A.J.. &amp; Miller, K.M., 1999. A central role for astrocytes in the inflammatory response to β-amyloid; chemokines, cytokines and reactive oxygen species are produced. </w:t>
      </w:r>
      <w:r w:rsidRPr="008438C0">
        <w:rPr>
          <w:rFonts w:ascii="Times New Roman" w:hAnsi="Times New Roman"/>
          <w:i/>
          <w:iCs/>
          <w:noProof/>
        </w:rPr>
        <w:t>Journal of Neuroimmunology</w:t>
      </w:r>
      <w:r w:rsidRPr="008438C0">
        <w:rPr>
          <w:rFonts w:ascii="Times New Roman" w:hAnsi="Times New Roman"/>
          <w:noProof/>
        </w:rPr>
        <w:t>, 93(1), pp.182–193.</w:t>
      </w:r>
    </w:p>
    <w:p w14:paraId="7845B3B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Jourdain, P. et al., 2016. L-Lactate protects neurons against excitotoxicity: implication of an ATP-mediated signaling cascade. </w:t>
      </w:r>
      <w:r w:rsidRPr="008438C0">
        <w:rPr>
          <w:rFonts w:ascii="Times New Roman" w:hAnsi="Times New Roman"/>
          <w:i/>
          <w:iCs/>
          <w:noProof/>
        </w:rPr>
        <w:t>Scientific reports</w:t>
      </w:r>
      <w:r w:rsidRPr="008438C0">
        <w:rPr>
          <w:rFonts w:ascii="Times New Roman" w:hAnsi="Times New Roman"/>
          <w:noProof/>
        </w:rPr>
        <w:t>, 6, p.21250.</w:t>
      </w:r>
    </w:p>
    <w:p w14:paraId="250B7C0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Kamata, H. et al., 2005. Reactive Oxygen Species Promote TNFα-Induced Death and Sustained JNK Activation by Inhibiting MAP Kinase Phosphatases. </w:t>
      </w:r>
      <w:r w:rsidRPr="008438C0">
        <w:rPr>
          <w:rFonts w:ascii="Times New Roman" w:hAnsi="Times New Roman"/>
          <w:i/>
          <w:iCs/>
          <w:noProof/>
        </w:rPr>
        <w:t>Cell</w:t>
      </w:r>
      <w:r w:rsidRPr="008438C0">
        <w:rPr>
          <w:rFonts w:ascii="Times New Roman" w:hAnsi="Times New Roman"/>
          <w:noProof/>
        </w:rPr>
        <w:t>, 120(5), pp.649–661.</w:t>
      </w:r>
    </w:p>
    <w:p w14:paraId="44A29DD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Kamburov, A. et al., 2011. Integrated pathway-level analysis of transcriptomics and metabolomics data with IMPaLA. </w:t>
      </w:r>
      <w:r w:rsidRPr="008438C0">
        <w:rPr>
          <w:rFonts w:ascii="Times New Roman" w:hAnsi="Times New Roman"/>
          <w:i/>
          <w:iCs/>
          <w:noProof/>
        </w:rPr>
        <w:t>Bioinformatics (Oxford, England)</w:t>
      </w:r>
      <w:r w:rsidRPr="008438C0">
        <w:rPr>
          <w:rFonts w:ascii="Times New Roman" w:hAnsi="Times New Roman"/>
          <w:noProof/>
        </w:rPr>
        <w:t>, 27(20), pp.2917–8.</w:t>
      </w:r>
    </w:p>
    <w:p w14:paraId="2D8D436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Kappeler, L. et al., 2008. Brain IGF-1 receptors control mammalian growth and lifespan through a neuroendocrine mechanism. </w:t>
      </w:r>
      <w:r w:rsidRPr="008438C0">
        <w:rPr>
          <w:rFonts w:ascii="Times New Roman" w:hAnsi="Times New Roman"/>
          <w:i/>
          <w:iCs/>
          <w:noProof/>
        </w:rPr>
        <w:t>PLoS biology</w:t>
      </w:r>
      <w:r w:rsidRPr="008438C0">
        <w:rPr>
          <w:rFonts w:ascii="Times New Roman" w:hAnsi="Times New Roman"/>
          <w:noProof/>
        </w:rPr>
        <w:t>, 6(10), p.e254.</w:t>
      </w:r>
    </w:p>
    <w:p w14:paraId="1F5E9BA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Kaspar, B.K. et al., 2003. Retrograde viral delivery of IGF-1 prolongs survival in a mouse ALS model. </w:t>
      </w:r>
      <w:r w:rsidRPr="008438C0">
        <w:rPr>
          <w:rFonts w:ascii="Times New Roman" w:hAnsi="Times New Roman"/>
          <w:i/>
          <w:iCs/>
          <w:noProof/>
        </w:rPr>
        <w:t>Science (New York, N.Y.)</w:t>
      </w:r>
      <w:r w:rsidRPr="008438C0">
        <w:rPr>
          <w:rFonts w:ascii="Times New Roman" w:hAnsi="Times New Roman"/>
          <w:noProof/>
        </w:rPr>
        <w:t>, 301(5634), pp.839–42.</w:t>
      </w:r>
    </w:p>
    <w:p w14:paraId="0B86577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Kasparov, S., 2016. Are Astrocytes the Pressure-Reservoirs of Lactate in the Brain? </w:t>
      </w:r>
      <w:r w:rsidRPr="008438C0">
        <w:rPr>
          <w:rFonts w:ascii="Times New Roman" w:hAnsi="Times New Roman"/>
          <w:i/>
          <w:iCs/>
          <w:noProof/>
        </w:rPr>
        <w:t>Cell metabolism</w:t>
      </w:r>
      <w:r w:rsidRPr="008438C0">
        <w:rPr>
          <w:rFonts w:ascii="Times New Roman" w:hAnsi="Times New Roman"/>
          <w:noProof/>
        </w:rPr>
        <w:t>, 23(1), pp.1–2.</w:t>
      </w:r>
    </w:p>
    <w:p w14:paraId="3BD57AF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Kenyon, C. et al., 1993. A C. elegans mutant that lives twice as long as wild type. </w:t>
      </w:r>
      <w:r w:rsidRPr="008438C0">
        <w:rPr>
          <w:rFonts w:ascii="Times New Roman" w:hAnsi="Times New Roman"/>
          <w:i/>
          <w:iCs/>
          <w:noProof/>
        </w:rPr>
        <w:t>Nature</w:t>
      </w:r>
      <w:r w:rsidRPr="008438C0">
        <w:rPr>
          <w:rFonts w:ascii="Times New Roman" w:hAnsi="Times New Roman"/>
          <w:noProof/>
        </w:rPr>
        <w:t>, 366(6454), pp.461–4.</w:t>
      </w:r>
    </w:p>
    <w:p w14:paraId="07DB4BA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Kettenmann, H. et al., 1999. Microdomains for neuron|[ndash]|glia interaction: parallel fiber signalingto Bergmann glial cells. </w:t>
      </w:r>
      <w:r w:rsidRPr="008438C0">
        <w:rPr>
          <w:rFonts w:ascii="Times New Roman" w:hAnsi="Times New Roman"/>
          <w:i/>
          <w:iCs/>
          <w:noProof/>
        </w:rPr>
        <w:t>Nature Neuroscience</w:t>
      </w:r>
      <w:r w:rsidRPr="008438C0">
        <w:rPr>
          <w:rFonts w:ascii="Times New Roman" w:hAnsi="Times New Roman"/>
          <w:noProof/>
        </w:rPr>
        <w:t>, 2(2), pp.139–143.</w:t>
      </w:r>
    </w:p>
    <w:p w14:paraId="02F2B53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Klein, R.S. &amp; Fricker, L.D., 1992. Heterogeneous expression of carboxypeptidase E and proenkephalin mRNAs by cultured astrocytes. </w:t>
      </w:r>
      <w:r w:rsidRPr="008438C0">
        <w:rPr>
          <w:rFonts w:ascii="Times New Roman" w:hAnsi="Times New Roman"/>
          <w:i/>
          <w:iCs/>
          <w:noProof/>
        </w:rPr>
        <w:t>Brain research</w:t>
      </w:r>
      <w:r w:rsidRPr="008438C0">
        <w:rPr>
          <w:rFonts w:ascii="Times New Roman" w:hAnsi="Times New Roman"/>
          <w:noProof/>
        </w:rPr>
        <w:t>, 569(2), pp.300–10.</w:t>
      </w:r>
    </w:p>
    <w:p w14:paraId="341ECD8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Kleinridders, A. et al., 2015. Insulin resistance in brain alters dopamine turnover and causes behavioral disorders. </w:t>
      </w:r>
      <w:r w:rsidRPr="008438C0">
        <w:rPr>
          <w:rFonts w:ascii="Times New Roman" w:hAnsi="Times New Roman"/>
          <w:i/>
          <w:iCs/>
          <w:noProof/>
        </w:rPr>
        <w:t>Proceedings of the National Academy of Sciences of the United States of America</w:t>
      </w:r>
      <w:r w:rsidRPr="008438C0">
        <w:rPr>
          <w:rFonts w:ascii="Times New Roman" w:hAnsi="Times New Roman"/>
          <w:noProof/>
        </w:rPr>
        <w:t>, 112(11), pp.3463–8.</w:t>
      </w:r>
    </w:p>
    <w:p w14:paraId="1CBEB57E"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Klotz, L.-O. et al., 2015. Redox regulation of FoxO transcription factors. </w:t>
      </w:r>
      <w:r w:rsidRPr="008438C0">
        <w:rPr>
          <w:rFonts w:ascii="Times New Roman" w:hAnsi="Times New Roman"/>
          <w:i/>
          <w:iCs/>
          <w:noProof/>
        </w:rPr>
        <w:t>Redox biology</w:t>
      </w:r>
      <w:r w:rsidRPr="008438C0">
        <w:rPr>
          <w:rFonts w:ascii="Times New Roman" w:hAnsi="Times New Roman"/>
          <w:noProof/>
        </w:rPr>
        <w:t>, 6, pp.51–72.</w:t>
      </w:r>
    </w:p>
    <w:p w14:paraId="5B45754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Knorpp, T. et al., 2006. Glutathione peroxidase-1 contributes to the protection of glutamine synthetase in astrocytes during oxidative stress. </w:t>
      </w:r>
      <w:r w:rsidRPr="008438C0">
        <w:rPr>
          <w:rFonts w:ascii="Times New Roman" w:hAnsi="Times New Roman"/>
          <w:i/>
          <w:iCs/>
          <w:noProof/>
        </w:rPr>
        <w:t>Journal of neural transmission (Vienna, Austria : 1996)</w:t>
      </w:r>
      <w:r w:rsidRPr="008438C0">
        <w:rPr>
          <w:rFonts w:ascii="Times New Roman" w:hAnsi="Times New Roman"/>
          <w:noProof/>
        </w:rPr>
        <w:t>, 113(9), pp.1145–55.</w:t>
      </w:r>
    </w:p>
    <w:p w14:paraId="12B0B16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Kobayashi, K. et al., 2002. Apoptosis of astrocytes with enhanced lysosomal activity and oligodendrocytes in white matter lesions in Alzheimer’s disease. </w:t>
      </w:r>
      <w:r w:rsidRPr="008438C0">
        <w:rPr>
          <w:rFonts w:ascii="Times New Roman" w:hAnsi="Times New Roman"/>
          <w:i/>
          <w:iCs/>
          <w:noProof/>
        </w:rPr>
        <w:t>Neuropathology and Applied Neurobiology</w:t>
      </w:r>
      <w:r w:rsidRPr="008438C0">
        <w:rPr>
          <w:rFonts w:ascii="Times New Roman" w:hAnsi="Times New Roman"/>
          <w:noProof/>
        </w:rPr>
        <w:t>, 28(3), pp.238–251.</w:t>
      </w:r>
    </w:p>
    <w:p w14:paraId="1F91C3D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Koffie, R.M. et al., 2009. Oligomeric amyloid beta associates with postsynaptic densities and correlates with excitatory synapse loss near senile plaques. </w:t>
      </w:r>
      <w:r w:rsidRPr="008438C0">
        <w:rPr>
          <w:rFonts w:ascii="Times New Roman" w:hAnsi="Times New Roman"/>
          <w:i/>
          <w:iCs/>
          <w:noProof/>
        </w:rPr>
        <w:t>Proceedings of the National Academy of Sciences of the United States of America</w:t>
      </w:r>
      <w:r w:rsidRPr="008438C0">
        <w:rPr>
          <w:rFonts w:ascii="Times New Roman" w:hAnsi="Times New Roman"/>
          <w:noProof/>
        </w:rPr>
        <w:t>, 106(10), pp.4012–7.</w:t>
      </w:r>
    </w:p>
    <w:p w14:paraId="36139EC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Kofuji, P. &amp; Newman, E.A., 2004. Potassium buffering in the central nervous system. </w:t>
      </w:r>
      <w:r w:rsidRPr="008438C0">
        <w:rPr>
          <w:rFonts w:ascii="Times New Roman" w:hAnsi="Times New Roman"/>
          <w:i/>
          <w:iCs/>
          <w:noProof/>
        </w:rPr>
        <w:t>Neuroscience</w:t>
      </w:r>
      <w:r w:rsidRPr="008438C0">
        <w:rPr>
          <w:rFonts w:ascii="Times New Roman" w:hAnsi="Times New Roman"/>
          <w:noProof/>
        </w:rPr>
        <w:t>, 129(4), pp.1045–56.</w:t>
      </w:r>
    </w:p>
    <w:p w14:paraId="29BFC3B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Koizumi, S. et al., 2003. Dynamic inhibition of excitatory synaptic transmission by astrocyte-derived ATP in hippocampal cultures. </w:t>
      </w:r>
      <w:r w:rsidRPr="008438C0">
        <w:rPr>
          <w:rFonts w:ascii="Times New Roman" w:hAnsi="Times New Roman"/>
          <w:i/>
          <w:iCs/>
          <w:noProof/>
        </w:rPr>
        <w:t>Proceedings of the National Academy of Sciences</w:t>
      </w:r>
      <w:r w:rsidRPr="008438C0">
        <w:rPr>
          <w:rFonts w:ascii="Times New Roman" w:hAnsi="Times New Roman"/>
          <w:noProof/>
        </w:rPr>
        <w:t>, 100(19), pp.11023–11028.</w:t>
      </w:r>
    </w:p>
    <w:p w14:paraId="3CC4018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Koss, D.J. et al., 2016. Soluble pre-fibrillar tau and β-amyloid species emerge in early human Alzheimer’s disease and track disease progression and cognitive decline. </w:t>
      </w:r>
      <w:r w:rsidRPr="008438C0">
        <w:rPr>
          <w:rFonts w:ascii="Times New Roman" w:hAnsi="Times New Roman"/>
          <w:i/>
          <w:iCs/>
          <w:noProof/>
        </w:rPr>
        <w:t>Acta Neuropathologica</w:t>
      </w:r>
      <w:r w:rsidRPr="008438C0">
        <w:rPr>
          <w:rFonts w:ascii="Times New Roman" w:hAnsi="Times New Roman"/>
          <w:noProof/>
        </w:rPr>
        <w:t>, 132(6), pp.875–895.</w:t>
      </w:r>
    </w:p>
    <w:p w14:paraId="467B347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Koulakoff, A., Ezan, P. &amp; Giaume, C., 2008. Neurons control the expression of connexin 30 and connexin 43 in mouse cortical astrocytes. </w:t>
      </w:r>
      <w:r w:rsidRPr="008438C0">
        <w:rPr>
          <w:rFonts w:ascii="Times New Roman" w:hAnsi="Times New Roman"/>
          <w:i/>
          <w:iCs/>
          <w:noProof/>
        </w:rPr>
        <w:t>Glia</w:t>
      </w:r>
      <w:r w:rsidRPr="008438C0">
        <w:rPr>
          <w:rFonts w:ascii="Times New Roman" w:hAnsi="Times New Roman"/>
          <w:noProof/>
        </w:rPr>
        <w:t>, 56(12), pp.1299–311.</w:t>
      </w:r>
    </w:p>
    <w:p w14:paraId="7F97A6D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Kraft, A.D., Johnson, D.A. &amp; Johnson, J.A., 2004. Nuclear factor E2-related factor 2-dependent antioxidant response element activation by tert-butylhydroquinone and sulforaphane occurring preferentially in astrocytes conditions neurons against oxidative insult.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24(5), pp.1101–12.</w:t>
      </w:r>
    </w:p>
    <w:p w14:paraId="77E7A2F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Kraft, A.W. et al., 2013. Attenuating astrocyte activation accelerates plaque pathogenesis in APP/PS1 mice. </w:t>
      </w:r>
      <w:r w:rsidRPr="008438C0">
        <w:rPr>
          <w:rFonts w:ascii="Times New Roman" w:hAnsi="Times New Roman"/>
          <w:i/>
          <w:iCs/>
          <w:noProof/>
        </w:rPr>
        <w:t>The FASEB Journal</w:t>
      </w:r>
      <w:r w:rsidRPr="008438C0">
        <w:rPr>
          <w:rFonts w:ascii="Times New Roman" w:hAnsi="Times New Roman"/>
          <w:noProof/>
        </w:rPr>
        <w:t>, 27(1), pp.187–198.</w:t>
      </w:r>
    </w:p>
    <w:p w14:paraId="0C641ED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Kress, B.T. et al., 2014. Impairment of paravascular clearance pathways in the aging brain. </w:t>
      </w:r>
      <w:r w:rsidRPr="008438C0">
        <w:rPr>
          <w:rFonts w:ascii="Times New Roman" w:hAnsi="Times New Roman"/>
          <w:i/>
          <w:iCs/>
          <w:noProof/>
        </w:rPr>
        <w:t>Annals of neurology</w:t>
      </w:r>
      <w:r w:rsidRPr="008438C0">
        <w:rPr>
          <w:rFonts w:ascii="Times New Roman" w:hAnsi="Times New Roman"/>
          <w:noProof/>
        </w:rPr>
        <w:t>, 76(6), pp.845–61.</w:t>
      </w:r>
    </w:p>
    <w:p w14:paraId="77FF3B9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Kuffler, S.W., Nicholls, J.G. &amp; Orkand, R.K., 1966. Physiological properties of glial cells in the central nervous system of amphibia. </w:t>
      </w:r>
      <w:r w:rsidRPr="008438C0">
        <w:rPr>
          <w:rFonts w:ascii="Times New Roman" w:hAnsi="Times New Roman"/>
          <w:i/>
          <w:iCs/>
          <w:noProof/>
        </w:rPr>
        <w:t>Journal of neurophysiology</w:t>
      </w:r>
      <w:r w:rsidRPr="008438C0">
        <w:rPr>
          <w:rFonts w:ascii="Times New Roman" w:hAnsi="Times New Roman"/>
          <w:noProof/>
        </w:rPr>
        <w:t>, 29(4), pp.768–87.</w:t>
      </w:r>
    </w:p>
    <w:p w14:paraId="159D55B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Kum, W. et al., 1992. Effect of insulin on glucose and glycogen metabolism and leucine incorporation into protein in cultured mouse astrocytes. </w:t>
      </w:r>
      <w:r w:rsidRPr="008438C0">
        <w:rPr>
          <w:rFonts w:ascii="Times New Roman" w:hAnsi="Times New Roman"/>
          <w:i/>
          <w:iCs/>
          <w:noProof/>
        </w:rPr>
        <w:t>Glia</w:t>
      </w:r>
      <w:r w:rsidRPr="008438C0">
        <w:rPr>
          <w:rFonts w:ascii="Times New Roman" w:hAnsi="Times New Roman"/>
          <w:noProof/>
        </w:rPr>
        <w:t>, 6(4), pp.264–8.</w:t>
      </w:r>
    </w:p>
    <w:p w14:paraId="4FEE02C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Kumaria, A., Tolias, C.M. &amp; Burnstock, G., 2008. ATP signalling in epilepsy. </w:t>
      </w:r>
      <w:r w:rsidRPr="008438C0">
        <w:rPr>
          <w:rFonts w:ascii="Times New Roman" w:hAnsi="Times New Roman"/>
          <w:i/>
          <w:iCs/>
          <w:noProof/>
        </w:rPr>
        <w:t>Purinergic signalling</w:t>
      </w:r>
      <w:r w:rsidRPr="008438C0">
        <w:rPr>
          <w:rFonts w:ascii="Times New Roman" w:hAnsi="Times New Roman"/>
          <w:noProof/>
        </w:rPr>
        <w:t>, 4(4), pp.339–46.</w:t>
      </w:r>
    </w:p>
    <w:p w14:paraId="78EC859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de la Monte, S.M., 2012. Brain insulin resistance and deficiency as therapeutic targets in Alzheimer’s disease. </w:t>
      </w:r>
      <w:r w:rsidRPr="008438C0">
        <w:rPr>
          <w:rFonts w:ascii="Times New Roman" w:hAnsi="Times New Roman"/>
          <w:i/>
          <w:iCs/>
          <w:noProof/>
        </w:rPr>
        <w:t>Current Alzheimer research</w:t>
      </w:r>
      <w:r w:rsidRPr="008438C0">
        <w:rPr>
          <w:rFonts w:ascii="Times New Roman" w:hAnsi="Times New Roman"/>
          <w:noProof/>
        </w:rPr>
        <w:t>, 9(1), pp.35–66.</w:t>
      </w:r>
    </w:p>
    <w:p w14:paraId="24CD1B9D"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Lai, E.C. et al., 1997. Effect of recombinant human insulin-like growth factor-I on progression of ALS. A placebo-controlled study. The North America ALS/IGF-I Study Group. </w:t>
      </w:r>
      <w:r w:rsidRPr="008438C0">
        <w:rPr>
          <w:rFonts w:ascii="Times New Roman" w:hAnsi="Times New Roman"/>
          <w:i/>
          <w:iCs/>
          <w:noProof/>
        </w:rPr>
        <w:t>Neurology</w:t>
      </w:r>
      <w:r w:rsidRPr="008438C0">
        <w:rPr>
          <w:rFonts w:ascii="Times New Roman" w:hAnsi="Times New Roman"/>
          <w:noProof/>
        </w:rPr>
        <w:t>, 49(6), pp.1621–30.</w:t>
      </w:r>
    </w:p>
    <w:p w14:paraId="6BA92D5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Lamberts, S.W. et al., 1997. The endocrinology of aging. </w:t>
      </w:r>
      <w:r w:rsidRPr="008438C0">
        <w:rPr>
          <w:rFonts w:ascii="Times New Roman" w:hAnsi="Times New Roman"/>
          <w:i/>
          <w:iCs/>
          <w:noProof/>
        </w:rPr>
        <w:t>Science (New York, N.Y.)</w:t>
      </w:r>
      <w:r w:rsidRPr="008438C0">
        <w:rPr>
          <w:rFonts w:ascii="Times New Roman" w:hAnsi="Times New Roman"/>
          <w:noProof/>
        </w:rPr>
        <w:t>, 278(5337), pp.419–24.</w:t>
      </w:r>
    </w:p>
    <w:p w14:paraId="543CBA7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Lanz, T.A. et al., 2008. Peripheral elevation of IGF-1 fails to alter Abeta clearance in multiple in vivo models. </w:t>
      </w:r>
      <w:r w:rsidRPr="008438C0">
        <w:rPr>
          <w:rFonts w:ascii="Times New Roman" w:hAnsi="Times New Roman"/>
          <w:i/>
          <w:iCs/>
          <w:noProof/>
        </w:rPr>
        <w:t>Biochemical pharmacology</w:t>
      </w:r>
      <w:r w:rsidRPr="008438C0">
        <w:rPr>
          <w:rFonts w:ascii="Times New Roman" w:hAnsi="Times New Roman"/>
          <w:noProof/>
        </w:rPr>
        <w:t>, 75(5), pp.1093–103.</w:t>
      </w:r>
    </w:p>
    <w:p w14:paraId="38C9737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Laurino, L. et al., 2005. PI3K activation by IGF-1 is essential for the regulation of membrane expansion at the nerve growth cone. </w:t>
      </w:r>
      <w:r w:rsidRPr="008438C0">
        <w:rPr>
          <w:rFonts w:ascii="Times New Roman" w:hAnsi="Times New Roman"/>
          <w:i/>
          <w:iCs/>
          <w:noProof/>
        </w:rPr>
        <w:t>Journal of cell science</w:t>
      </w:r>
      <w:r w:rsidRPr="008438C0">
        <w:rPr>
          <w:rFonts w:ascii="Times New Roman" w:hAnsi="Times New Roman"/>
          <w:noProof/>
        </w:rPr>
        <w:t>, 118(Pt 16), pp.3653–62.</w:t>
      </w:r>
    </w:p>
    <w:p w14:paraId="235F841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Lee, J.-M. et al., 2003. Identification of the NF-E2-related factor-2-dependent genes conferring protection against oxidative stress in primary cortical astrocytes using oligonucleotide microarray analysis. </w:t>
      </w:r>
      <w:r w:rsidRPr="008438C0">
        <w:rPr>
          <w:rFonts w:ascii="Times New Roman" w:hAnsi="Times New Roman"/>
          <w:i/>
          <w:iCs/>
          <w:noProof/>
        </w:rPr>
        <w:t>The Journal of biological chemistry</w:t>
      </w:r>
      <w:r w:rsidRPr="008438C0">
        <w:rPr>
          <w:rFonts w:ascii="Times New Roman" w:hAnsi="Times New Roman"/>
          <w:noProof/>
        </w:rPr>
        <w:t>, 278(14), pp.12029–38.</w:t>
      </w:r>
    </w:p>
    <w:p w14:paraId="225AEA0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Li, S. et al., 1997. Glutamate transporter alterations in Alzheimer disease are possibly associated with abnormal APP expression. </w:t>
      </w:r>
      <w:r w:rsidRPr="008438C0">
        <w:rPr>
          <w:rFonts w:ascii="Times New Roman" w:hAnsi="Times New Roman"/>
          <w:i/>
          <w:iCs/>
          <w:noProof/>
        </w:rPr>
        <w:t>Journal of neuropathology and experimental neurology</w:t>
      </w:r>
      <w:r w:rsidRPr="008438C0">
        <w:rPr>
          <w:rFonts w:ascii="Times New Roman" w:hAnsi="Times New Roman"/>
          <w:noProof/>
        </w:rPr>
        <w:t>, 56(8), pp.901–11.</w:t>
      </w:r>
    </w:p>
    <w:p w14:paraId="14D0E49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Liddell, J.R. et al., 2010. Astrocytes retain their antioxidant capacity into advanced old age. </w:t>
      </w:r>
      <w:r w:rsidRPr="008438C0">
        <w:rPr>
          <w:rFonts w:ascii="Times New Roman" w:hAnsi="Times New Roman"/>
          <w:i/>
          <w:iCs/>
          <w:noProof/>
        </w:rPr>
        <w:t>Glia</w:t>
      </w:r>
      <w:r w:rsidRPr="008438C0">
        <w:rPr>
          <w:rFonts w:ascii="Times New Roman" w:hAnsi="Times New Roman"/>
          <w:noProof/>
        </w:rPr>
        <w:t>, 58(12), p.n/a-n/a.</w:t>
      </w:r>
    </w:p>
    <w:p w14:paraId="2CDD2FDF"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Lin, F.-H. et al., 1992. Detection of point mutations in codon 331 of mitochondrial NADH dehydrogenase subunit 2 in alzheimer’s brains. </w:t>
      </w:r>
      <w:r w:rsidRPr="008438C0">
        <w:rPr>
          <w:rFonts w:ascii="Times New Roman" w:hAnsi="Times New Roman"/>
          <w:i/>
          <w:iCs/>
          <w:noProof/>
        </w:rPr>
        <w:t>Biochemical and Biophysical Research Communications</w:t>
      </w:r>
      <w:r w:rsidRPr="008438C0">
        <w:rPr>
          <w:rFonts w:ascii="Times New Roman" w:hAnsi="Times New Roman"/>
          <w:noProof/>
        </w:rPr>
        <w:t>, 182(1), pp.238–246.</w:t>
      </w:r>
    </w:p>
    <w:p w14:paraId="3C82436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Lin, H.-W. et al., 2006. Astrogliosis is delayed in type 1 interleukin-1 receptor-null mice following a penetrating brain injury. </w:t>
      </w:r>
      <w:r w:rsidRPr="008438C0">
        <w:rPr>
          <w:rFonts w:ascii="Times New Roman" w:hAnsi="Times New Roman"/>
          <w:i/>
          <w:iCs/>
          <w:noProof/>
        </w:rPr>
        <w:t>Journal of neuroinflammation</w:t>
      </w:r>
      <w:r w:rsidRPr="008438C0">
        <w:rPr>
          <w:rFonts w:ascii="Times New Roman" w:hAnsi="Times New Roman"/>
          <w:noProof/>
        </w:rPr>
        <w:t>, 3(1), p.15.</w:t>
      </w:r>
    </w:p>
    <w:p w14:paraId="6C605B2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Lin, W.-L., Dickson, D.W. &amp; Sahara, N., 2011. Immunoelectron microscopic and biochemical studies of caspase-cleaved tau in a mouse model of tauopathy. </w:t>
      </w:r>
      <w:r w:rsidRPr="008438C0">
        <w:rPr>
          <w:rFonts w:ascii="Times New Roman" w:hAnsi="Times New Roman"/>
          <w:i/>
          <w:iCs/>
          <w:noProof/>
        </w:rPr>
        <w:t>Journal of neuropathology and experimental neurology</w:t>
      </w:r>
      <w:r w:rsidRPr="008438C0">
        <w:rPr>
          <w:rFonts w:ascii="Times New Roman" w:hAnsi="Times New Roman"/>
          <w:noProof/>
        </w:rPr>
        <w:t>, 70(9), pp.779–87.</w:t>
      </w:r>
    </w:p>
    <w:p w14:paraId="47968CE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Lind, B.L. et al., 2013. Rapid stimulus-evoked astrocyte Ca2+ elevations and hemodynamic responses in mouse somatosensory cortex in vivo. </w:t>
      </w:r>
      <w:r w:rsidRPr="008438C0">
        <w:rPr>
          <w:rFonts w:ascii="Times New Roman" w:hAnsi="Times New Roman"/>
          <w:i/>
          <w:iCs/>
          <w:noProof/>
        </w:rPr>
        <w:t>Proceedings of the National Academy of Sciences</w:t>
      </w:r>
      <w:r w:rsidRPr="008438C0">
        <w:rPr>
          <w:rFonts w:ascii="Times New Roman" w:hAnsi="Times New Roman"/>
          <w:noProof/>
        </w:rPr>
        <w:t>, 110(48), pp.E4678–E4687.</w:t>
      </w:r>
    </w:p>
    <w:p w14:paraId="75A7BB8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Liu, J.P. et al., 1993. Mice carrying null mutations of the genes encoding insulin-like growth factor I (Igf-1) and type 1 IGF receptor (Igf1r). </w:t>
      </w:r>
      <w:r w:rsidRPr="008438C0">
        <w:rPr>
          <w:rFonts w:ascii="Times New Roman" w:hAnsi="Times New Roman"/>
          <w:i/>
          <w:iCs/>
          <w:noProof/>
        </w:rPr>
        <w:t>Cell</w:t>
      </w:r>
      <w:r w:rsidRPr="008438C0">
        <w:rPr>
          <w:rFonts w:ascii="Times New Roman" w:hAnsi="Times New Roman"/>
          <w:noProof/>
        </w:rPr>
        <w:t>, 75(1), pp.59–72.</w:t>
      </w:r>
    </w:p>
    <w:p w14:paraId="3ED111F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Liu, Y. et al., 2004. CD44 expression identifies astrocyte-restricted precursor cells. </w:t>
      </w:r>
      <w:r w:rsidRPr="008438C0">
        <w:rPr>
          <w:rFonts w:ascii="Times New Roman" w:hAnsi="Times New Roman"/>
          <w:i/>
          <w:iCs/>
          <w:noProof/>
        </w:rPr>
        <w:t>Developmental biology</w:t>
      </w:r>
      <w:r w:rsidRPr="008438C0">
        <w:rPr>
          <w:rFonts w:ascii="Times New Roman" w:hAnsi="Times New Roman"/>
          <w:noProof/>
        </w:rPr>
        <w:t>, 276(1), pp.31–46.</w:t>
      </w:r>
    </w:p>
    <w:p w14:paraId="75AA088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Liu, Y. et al., 2010. Glial fibrillary acidic protein-expressing neural progenitors give rise to immature neurons via early intermediate progenitors expressing both glial fibrillary acidic protein and neuronal markers in the adult hippocampus. </w:t>
      </w:r>
      <w:r w:rsidRPr="008438C0">
        <w:rPr>
          <w:rFonts w:ascii="Times New Roman" w:hAnsi="Times New Roman"/>
          <w:i/>
          <w:iCs/>
          <w:noProof/>
        </w:rPr>
        <w:t>Neuroscience</w:t>
      </w:r>
      <w:r w:rsidRPr="008438C0">
        <w:rPr>
          <w:rFonts w:ascii="Times New Roman" w:hAnsi="Times New Roman"/>
          <w:noProof/>
        </w:rPr>
        <w:t>, 166(1), pp.241–251.</w:t>
      </w:r>
    </w:p>
    <w:p w14:paraId="1715921D"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Loaiza, A., Porras, O.H. &amp; Barros, L.F., 2003. Glutamate triggers rapid glucose transport stimulation in astrocytes as evidenced by real-time confocal microscopy.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23(19), pp.7337–42.</w:t>
      </w:r>
    </w:p>
    <w:p w14:paraId="3193143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Lovatt, D. et al., 2007. The transcriptome and metabolic gene signature of protoplasmic astrocytes in the adult murine cortex.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27(45), pp.12255–66.</w:t>
      </w:r>
    </w:p>
    <w:p w14:paraId="727B45DD"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Lubeck, M.D. et al., 1985. The interaction of murine IgG subclass proteins with human monocyte Fc receptors. </w:t>
      </w:r>
      <w:r w:rsidRPr="008438C0">
        <w:rPr>
          <w:rFonts w:ascii="Times New Roman" w:hAnsi="Times New Roman"/>
          <w:i/>
          <w:iCs/>
          <w:noProof/>
        </w:rPr>
        <w:t>Journal of immunology (Baltimore, Md. : 1950)</w:t>
      </w:r>
      <w:r w:rsidRPr="008438C0">
        <w:rPr>
          <w:rFonts w:ascii="Times New Roman" w:hAnsi="Times New Roman"/>
          <w:noProof/>
        </w:rPr>
        <w:t>, 135(2), pp.1299–304.</w:t>
      </w:r>
    </w:p>
    <w:p w14:paraId="7E341ED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Lue, L.F. et al., 1999. Soluble amyloid beta peptide concentration as a predictor of synaptic change in Alzheimer’s disease. </w:t>
      </w:r>
      <w:r w:rsidRPr="008438C0">
        <w:rPr>
          <w:rFonts w:ascii="Times New Roman" w:hAnsi="Times New Roman"/>
          <w:i/>
          <w:iCs/>
          <w:noProof/>
        </w:rPr>
        <w:t>The American journal of pathology</w:t>
      </w:r>
      <w:r w:rsidRPr="008438C0">
        <w:rPr>
          <w:rFonts w:ascii="Times New Roman" w:hAnsi="Times New Roman"/>
          <w:noProof/>
        </w:rPr>
        <w:t>, 155(3), pp.853–62.</w:t>
      </w:r>
    </w:p>
    <w:p w14:paraId="30907CDE"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Ma, D. et al., 2013. The neurotoxic effect of astrocytes activated with toll-like receptor ligands. </w:t>
      </w:r>
      <w:r w:rsidRPr="008438C0">
        <w:rPr>
          <w:rFonts w:ascii="Times New Roman" w:hAnsi="Times New Roman"/>
          <w:i/>
          <w:iCs/>
          <w:noProof/>
        </w:rPr>
        <w:t>Journal of neuroimmunology</w:t>
      </w:r>
      <w:r w:rsidRPr="008438C0">
        <w:rPr>
          <w:rFonts w:ascii="Times New Roman" w:hAnsi="Times New Roman"/>
          <w:noProof/>
        </w:rPr>
        <w:t>, 254(1–2), pp.10–8.</w:t>
      </w:r>
    </w:p>
    <w:p w14:paraId="32132B3D"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Mächler, P. et al., 2015. In Vivo Evidence for a Lactate Gradient from Astrocytes to Neurons. </w:t>
      </w:r>
      <w:r w:rsidRPr="008438C0">
        <w:rPr>
          <w:rFonts w:ascii="Times New Roman" w:hAnsi="Times New Roman"/>
          <w:i/>
          <w:iCs/>
          <w:noProof/>
        </w:rPr>
        <w:t>Cell Metabolism</w:t>
      </w:r>
      <w:r w:rsidRPr="008438C0">
        <w:rPr>
          <w:rFonts w:ascii="Times New Roman" w:hAnsi="Times New Roman"/>
          <w:noProof/>
        </w:rPr>
        <w:t>, 23(1), pp.94–102.</w:t>
      </w:r>
    </w:p>
    <w:p w14:paraId="246E8DC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MacVicar, B.A. &amp; Newman, E.A., 2015. Astrocyte regulation of blood flow in the brain. </w:t>
      </w:r>
      <w:r w:rsidRPr="008438C0">
        <w:rPr>
          <w:rFonts w:ascii="Times New Roman" w:hAnsi="Times New Roman"/>
          <w:i/>
          <w:iCs/>
          <w:noProof/>
        </w:rPr>
        <w:t>Cold Spring Harbor perspectives in biology</w:t>
      </w:r>
      <w:r w:rsidRPr="008438C0">
        <w:rPr>
          <w:rFonts w:ascii="Times New Roman" w:hAnsi="Times New Roman"/>
          <w:noProof/>
        </w:rPr>
        <w:t>, 7(5), p.a020388-.</w:t>
      </w:r>
    </w:p>
    <w:p w14:paraId="404254ED"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Madathil, S.K. et al., 2013. Astrocyte-Specific Overexpression of Insulin-Like Growth Factor-1 Protects Hippocampal Neurons and Reduces Behavioral Deficits following Traumatic Brain Injury in Mice M. V. Schmidt, ed. </w:t>
      </w:r>
      <w:r w:rsidRPr="008438C0">
        <w:rPr>
          <w:rFonts w:ascii="Times New Roman" w:hAnsi="Times New Roman"/>
          <w:i/>
          <w:iCs/>
          <w:noProof/>
        </w:rPr>
        <w:t>PLoS ONE</w:t>
      </w:r>
      <w:r w:rsidRPr="008438C0">
        <w:rPr>
          <w:rFonts w:ascii="Times New Roman" w:hAnsi="Times New Roman"/>
          <w:noProof/>
        </w:rPr>
        <w:t>, 8(6), p.e67204.</w:t>
      </w:r>
    </w:p>
    <w:p w14:paraId="4BC0DA1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Mahadev, K. et al., 2004. The NAD(P)H oxidase homolog Nox4 modulates insulin-stimulated generation of H2O2 and plays an integral role in insulin signal transduction. </w:t>
      </w:r>
      <w:r w:rsidRPr="008438C0">
        <w:rPr>
          <w:rFonts w:ascii="Times New Roman" w:hAnsi="Times New Roman"/>
          <w:i/>
          <w:iCs/>
          <w:noProof/>
        </w:rPr>
        <w:t>Molecular and cellular biology</w:t>
      </w:r>
      <w:r w:rsidRPr="008438C0">
        <w:rPr>
          <w:rFonts w:ascii="Times New Roman" w:hAnsi="Times New Roman"/>
          <w:noProof/>
        </w:rPr>
        <w:t>, 24(5), pp.1844–54.</w:t>
      </w:r>
    </w:p>
    <w:p w14:paraId="407AB37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Manczak, M. et al., 2004. Differential Expression of Oxidative Phosphorylation Genes in Patients With Alzheimer’s Disease: Implications for Early Mitochondrial Dysfunction and Oxidative Damage. </w:t>
      </w:r>
      <w:r w:rsidRPr="008438C0">
        <w:rPr>
          <w:rFonts w:ascii="Times New Roman" w:hAnsi="Times New Roman"/>
          <w:i/>
          <w:iCs/>
          <w:noProof/>
        </w:rPr>
        <w:t>NeuroMolecular Medicine</w:t>
      </w:r>
      <w:r w:rsidRPr="008438C0">
        <w:rPr>
          <w:rFonts w:ascii="Times New Roman" w:hAnsi="Times New Roman"/>
          <w:noProof/>
        </w:rPr>
        <w:t>, 5(2), pp.147–162.</w:t>
      </w:r>
    </w:p>
    <w:p w14:paraId="3E42B3C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Mandal, P.K., Tripathi, M. &amp; Sugunan, S., 2012. </w:t>
      </w:r>
      <w:r w:rsidRPr="008438C0">
        <w:rPr>
          <w:rFonts w:ascii="Times New Roman" w:hAnsi="Times New Roman"/>
          <w:i/>
          <w:iCs/>
          <w:noProof/>
        </w:rPr>
        <w:t>Brain oxidative stress: Detection and mapping of anti-oxidant marker “Glutathione” in different brain regions of healthy male/female, MCI and Alzheimer patients using non-invasive magnetic resonance spectroscopy</w:t>
      </w:r>
      <w:r w:rsidRPr="008438C0">
        <w:rPr>
          <w:rFonts w:ascii="Times New Roman" w:hAnsi="Times New Roman"/>
          <w:noProof/>
        </w:rPr>
        <w:t>,</w:t>
      </w:r>
    </w:p>
    <w:p w14:paraId="1FF8400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Manolopoulos, K.N. et al., 2010. Linking Alzheimer’s disease to insulin resistance: the FoxO response to oxidative stress. </w:t>
      </w:r>
      <w:r w:rsidRPr="008438C0">
        <w:rPr>
          <w:rFonts w:ascii="Times New Roman" w:hAnsi="Times New Roman"/>
          <w:i/>
          <w:iCs/>
          <w:noProof/>
        </w:rPr>
        <w:t>Molecular Psychiatry</w:t>
      </w:r>
      <w:r w:rsidRPr="008438C0">
        <w:rPr>
          <w:rFonts w:ascii="Times New Roman" w:hAnsi="Times New Roman"/>
          <w:noProof/>
        </w:rPr>
        <w:t>, 15(11), pp.1046–1052.</w:t>
      </w:r>
    </w:p>
    <w:p w14:paraId="11BBFDE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Marcillac, F. et al., 2011. Nitric oxide induces the expression of the monocarboxylate transporter MCT4 in cultured astrocytes by a cGMP-independent transcriptional activation. </w:t>
      </w:r>
      <w:r w:rsidRPr="008438C0">
        <w:rPr>
          <w:rFonts w:ascii="Times New Roman" w:hAnsi="Times New Roman"/>
          <w:i/>
          <w:iCs/>
          <w:noProof/>
        </w:rPr>
        <w:t>Glia</w:t>
      </w:r>
      <w:r w:rsidRPr="008438C0">
        <w:rPr>
          <w:rFonts w:ascii="Times New Roman" w:hAnsi="Times New Roman"/>
          <w:noProof/>
        </w:rPr>
        <w:t>, 59(12), pp.1987–95.</w:t>
      </w:r>
    </w:p>
    <w:p w14:paraId="7407EF0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Masliah, E. et al., 1996. Deficient glutamate tranport is associated with neurodegeneration in Alzheimer’s disease. </w:t>
      </w:r>
      <w:r w:rsidRPr="008438C0">
        <w:rPr>
          <w:rFonts w:ascii="Times New Roman" w:hAnsi="Times New Roman"/>
          <w:i/>
          <w:iCs/>
          <w:noProof/>
        </w:rPr>
        <w:t>Annals of Neurology</w:t>
      </w:r>
      <w:r w:rsidRPr="008438C0">
        <w:rPr>
          <w:rFonts w:ascii="Times New Roman" w:hAnsi="Times New Roman"/>
          <w:noProof/>
        </w:rPr>
        <w:t>, 40(5), pp.759–766.</w:t>
      </w:r>
    </w:p>
    <w:p w14:paraId="6F69487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Mathur, R. et al., 2015. A reduced astrocyte response to β-amyloid plaques in the ageing brain associates with cognitive impairment. </w:t>
      </w:r>
      <w:r w:rsidRPr="008438C0">
        <w:rPr>
          <w:rFonts w:ascii="Times New Roman" w:hAnsi="Times New Roman"/>
          <w:i/>
          <w:iCs/>
          <w:noProof/>
        </w:rPr>
        <w:t>PloS one</w:t>
      </w:r>
      <w:r w:rsidRPr="008438C0">
        <w:rPr>
          <w:rFonts w:ascii="Times New Roman" w:hAnsi="Times New Roman"/>
          <w:noProof/>
        </w:rPr>
        <w:t>, 10(2), p.e0118463.</w:t>
      </w:r>
    </w:p>
    <w:p w14:paraId="350DD92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Matthews, F. et al., 2005. The Incidence of Dementia in England and Wales: Findings from the Five Identical Sites of the MRC CFA Study R. J. Harvey, ed. </w:t>
      </w:r>
      <w:r w:rsidRPr="008438C0">
        <w:rPr>
          <w:rFonts w:ascii="Times New Roman" w:hAnsi="Times New Roman"/>
          <w:i/>
          <w:iCs/>
          <w:noProof/>
        </w:rPr>
        <w:t>PLoS Medicine</w:t>
      </w:r>
      <w:r w:rsidRPr="008438C0">
        <w:rPr>
          <w:rFonts w:ascii="Times New Roman" w:hAnsi="Times New Roman"/>
          <w:noProof/>
        </w:rPr>
        <w:t>, 2(8), p.e193.</w:t>
      </w:r>
    </w:p>
    <w:p w14:paraId="6F511BA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Matyash, V. &amp; Kettenmann, H., 2010. Heterogeneity in astrocyte morphology and physiology. </w:t>
      </w:r>
      <w:r w:rsidRPr="008438C0">
        <w:rPr>
          <w:rFonts w:ascii="Times New Roman" w:hAnsi="Times New Roman"/>
          <w:i/>
          <w:iCs/>
          <w:noProof/>
        </w:rPr>
        <w:t>Brain Research Reviews</w:t>
      </w:r>
      <w:r w:rsidRPr="008438C0">
        <w:rPr>
          <w:rFonts w:ascii="Times New Roman" w:hAnsi="Times New Roman"/>
          <w:noProof/>
        </w:rPr>
        <w:t>, 63(1), pp.2–10.</w:t>
      </w:r>
    </w:p>
    <w:p w14:paraId="159F28D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Mawuenyega, K.G. et al., 2010. Decreased clearance of CNS beta-amyloid in Alzheimer’s disease. </w:t>
      </w:r>
      <w:r w:rsidRPr="008438C0">
        <w:rPr>
          <w:rFonts w:ascii="Times New Roman" w:hAnsi="Times New Roman"/>
          <w:i/>
          <w:iCs/>
          <w:noProof/>
        </w:rPr>
        <w:t>Science (New York, N.Y.)</w:t>
      </w:r>
      <w:r w:rsidRPr="008438C0">
        <w:rPr>
          <w:rFonts w:ascii="Times New Roman" w:hAnsi="Times New Roman"/>
          <w:noProof/>
        </w:rPr>
        <w:t>, 330(6012), p.1774.</w:t>
      </w:r>
    </w:p>
    <w:p w14:paraId="15EDAEA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Mckeon, R.J. et al., 1991. Reduction of Neurite Outgrowth in a Model of Glial Scarring following CNS Injury Is Correlated with the Expression of Inhibitory Molecules on Reactive Astrocytes. </w:t>
      </w:r>
      <w:r w:rsidRPr="008438C0">
        <w:rPr>
          <w:rFonts w:ascii="Times New Roman" w:hAnsi="Times New Roman"/>
          <w:i/>
          <w:iCs/>
          <w:noProof/>
        </w:rPr>
        <w:t>The Journal of Neuroscience</w:t>
      </w:r>
      <w:r w:rsidRPr="008438C0">
        <w:rPr>
          <w:rFonts w:ascii="Times New Roman" w:hAnsi="Times New Roman"/>
          <w:noProof/>
        </w:rPr>
        <w:t>, 7(711).</w:t>
      </w:r>
    </w:p>
    <w:p w14:paraId="5A52C0A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McManus, M.J., Murphy, M.P. &amp; Franklin, J.L., 2011. The Mitochondria-Targeted Antioxidant MitoQ Prevents Loss of Spatial Memory Retention and Early Neuropathology in a Transgenic Mouse Model of Alzheimer’s Disease. </w:t>
      </w:r>
      <w:r w:rsidRPr="008438C0">
        <w:rPr>
          <w:rFonts w:ascii="Times New Roman" w:hAnsi="Times New Roman"/>
          <w:i/>
          <w:iCs/>
          <w:noProof/>
        </w:rPr>
        <w:t>Journal of Neuroscience</w:t>
      </w:r>
      <w:r w:rsidRPr="008438C0">
        <w:rPr>
          <w:rFonts w:ascii="Times New Roman" w:hAnsi="Times New Roman"/>
          <w:noProof/>
        </w:rPr>
        <w:t>, 31(44), pp.15703–15715.</w:t>
      </w:r>
    </w:p>
    <w:p w14:paraId="33B64533" w14:textId="14083585" w:rsidR="008438C0" w:rsidRPr="008438C0" w:rsidRDefault="008438C0" w:rsidP="008438C0">
      <w:pPr>
        <w:widowControl w:val="0"/>
        <w:autoSpaceDE w:val="0"/>
        <w:autoSpaceDN w:val="0"/>
        <w:adjustRightInd w:val="0"/>
        <w:ind w:left="480" w:hanging="480"/>
        <w:rPr>
          <w:rFonts w:ascii="Times New Roman" w:hAnsi="Times New Roman"/>
          <w:noProof/>
        </w:rPr>
      </w:pPr>
      <w:r>
        <w:rPr>
          <w:rFonts w:ascii="Times New Roman" w:hAnsi="Times New Roman"/>
          <w:noProof/>
        </w:rPr>
        <w:t>Meyer, K. et al., 2014</w:t>
      </w:r>
      <w:r w:rsidRPr="008438C0">
        <w:rPr>
          <w:rFonts w:ascii="Times New Roman" w:hAnsi="Times New Roman"/>
          <w:noProof/>
        </w:rPr>
        <w:t xml:space="preserve">. Direct conversion of patient fibroblasts demonstrates non-cell autonomous toxicity of astrocytes to motor neurons in familial and sporadic ALS. </w:t>
      </w:r>
      <w:r w:rsidRPr="008438C0">
        <w:rPr>
          <w:rFonts w:ascii="Times New Roman" w:hAnsi="Times New Roman"/>
          <w:i/>
          <w:iCs/>
          <w:noProof/>
        </w:rPr>
        <w:t>Proceedings of the National Academy of Sciences of the United States of America</w:t>
      </w:r>
      <w:r w:rsidRPr="008438C0">
        <w:rPr>
          <w:rFonts w:ascii="Times New Roman" w:hAnsi="Times New Roman"/>
          <w:noProof/>
        </w:rPr>
        <w:t>, 111(2), pp.829–32.</w:t>
      </w:r>
    </w:p>
    <w:p w14:paraId="227EB8A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Mimaki, M. et al., 2012. Understanding mitochondrial complex I assembly in health and disease. </w:t>
      </w:r>
      <w:r w:rsidRPr="008438C0">
        <w:rPr>
          <w:rFonts w:ascii="Times New Roman" w:hAnsi="Times New Roman"/>
          <w:i/>
          <w:iCs/>
          <w:noProof/>
        </w:rPr>
        <w:t>Biochimica et biophysica acta</w:t>
      </w:r>
      <w:r w:rsidRPr="008438C0">
        <w:rPr>
          <w:rFonts w:ascii="Times New Roman" w:hAnsi="Times New Roman"/>
          <w:noProof/>
        </w:rPr>
        <w:t>, 1817(6), pp.851–62.</w:t>
      </w:r>
    </w:p>
    <w:p w14:paraId="727D8BE4"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Minich, T. et al., 2006. The multidrug resistance protein 1 (Mrp1), but not Mrp5, mediates export of glutathione and glutathione disulfide from brain astrocytes. </w:t>
      </w:r>
      <w:r w:rsidRPr="008438C0">
        <w:rPr>
          <w:rFonts w:ascii="Times New Roman" w:hAnsi="Times New Roman"/>
          <w:i/>
          <w:iCs/>
          <w:noProof/>
        </w:rPr>
        <w:t>Journal of neurochemistry</w:t>
      </w:r>
      <w:r w:rsidRPr="008438C0">
        <w:rPr>
          <w:rFonts w:ascii="Times New Roman" w:hAnsi="Times New Roman"/>
          <w:noProof/>
        </w:rPr>
        <w:t>, 97(2), pp.373–84.</w:t>
      </w:r>
    </w:p>
    <w:p w14:paraId="556CABC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Mitchell, T.W. et al., 2002. Parahippocampal tau pathology in healthy aging, mild cognitive impairment, and early Alzheimer’s disease. </w:t>
      </w:r>
      <w:r w:rsidRPr="008438C0">
        <w:rPr>
          <w:rFonts w:ascii="Times New Roman" w:hAnsi="Times New Roman"/>
          <w:i/>
          <w:iCs/>
          <w:noProof/>
        </w:rPr>
        <w:t>Annals of Neurology</w:t>
      </w:r>
      <w:r w:rsidRPr="008438C0">
        <w:rPr>
          <w:rFonts w:ascii="Times New Roman" w:hAnsi="Times New Roman"/>
          <w:noProof/>
        </w:rPr>
        <w:t>, 51(2), pp.182–189.</w:t>
      </w:r>
    </w:p>
    <w:p w14:paraId="4505E3C1" w14:textId="21F45DA1" w:rsidR="008438C0" w:rsidRPr="008438C0" w:rsidRDefault="008438C0" w:rsidP="008438C0">
      <w:pPr>
        <w:widowControl w:val="0"/>
        <w:autoSpaceDE w:val="0"/>
        <w:autoSpaceDN w:val="0"/>
        <w:adjustRightInd w:val="0"/>
        <w:ind w:left="480" w:hanging="480"/>
        <w:rPr>
          <w:rFonts w:ascii="Times New Roman" w:hAnsi="Times New Roman"/>
          <w:noProof/>
        </w:rPr>
      </w:pPr>
      <w:r>
        <w:rPr>
          <w:rFonts w:ascii="Times New Roman" w:hAnsi="Times New Roman"/>
          <w:noProof/>
        </w:rPr>
        <w:t>Moloney, A.M. et al., 2010</w:t>
      </w:r>
      <w:r w:rsidRPr="008438C0">
        <w:rPr>
          <w:rFonts w:ascii="Times New Roman" w:hAnsi="Times New Roman"/>
          <w:noProof/>
        </w:rPr>
        <w:t xml:space="preserve">. Defects in IGF-1 receptor, insulin receptor and IRS-1/2 in Alzheimer’s disease indicate possible resistance to IGF-1 and insulin signalling. </w:t>
      </w:r>
      <w:r w:rsidRPr="008438C0">
        <w:rPr>
          <w:rFonts w:ascii="Times New Roman" w:hAnsi="Times New Roman"/>
          <w:i/>
          <w:iCs/>
          <w:noProof/>
        </w:rPr>
        <w:t>Neurobiology of aging</w:t>
      </w:r>
      <w:r w:rsidRPr="008438C0">
        <w:rPr>
          <w:rFonts w:ascii="Times New Roman" w:hAnsi="Times New Roman"/>
          <w:noProof/>
        </w:rPr>
        <w:t>, 31(2), pp.224–43.</w:t>
      </w:r>
    </w:p>
    <w:p w14:paraId="1322D634"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Morris, J.C. et al., 1996. Cerebral amyloid deposition and diffuse plaques in &amp;quot;normal&amp;quot; aging: Evidence for presymptomatic and very mild Alzheimer’s disease. </w:t>
      </w:r>
      <w:r w:rsidRPr="008438C0">
        <w:rPr>
          <w:rFonts w:ascii="Times New Roman" w:hAnsi="Times New Roman"/>
          <w:i/>
          <w:iCs/>
          <w:noProof/>
        </w:rPr>
        <w:t>Neurology</w:t>
      </w:r>
      <w:r w:rsidRPr="008438C0">
        <w:rPr>
          <w:rFonts w:ascii="Times New Roman" w:hAnsi="Times New Roman"/>
          <w:noProof/>
        </w:rPr>
        <w:t>, 46(3), pp.707–19.</w:t>
      </w:r>
    </w:p>
    <w:p w14:paraId="3A80511F"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Muhič, M. et al., 2015. Insulin and Insulin-like Growth Factor 1 (IGF-1) Modulate Cytoplasmic Glucose and Glycogen Levels but Not Glucose Transport across the Membrane in Astrocytes. </w:t>
      </w:r>
      <w:r w:rsidRPr="008438C0">
        <w:rPr>
          <w:rFonts w:ascii="Times New Roman" w:hAnsi="Times New Roman"/>
          <w:i/>
          <w:iCs/>
          <w:noProof/>
        </w:rPr>
        <w:t>The Journal of biological chemistry</w:t>
      </w:r>
      <w:r w:rsidRPr="008438C0">
        <w:rPr>
          <w:rFonts w:ascii="Times New Roman" w:hAnsi="Times New Roman"/>
          <w:noProof/>
        </w:rPr>
        <w:t>, 290(17), pp.11167–76.</w:t>
      </w:r>
    </w:p>
    <w:p w14:paraId="67B4EFFF"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Myung, N.-H. et al., 2008. Evidence of DNA damage in Alzheimer disease: phosphorylation of histone H2AX in astrocytes. </w:t>
      </w:r>
      <w:r w:rsidRPr="008438C0">
        <w:rPr>
          <w:rFonts w:ascii="Times New Roman" w:hAnsi="Times New Roman"/>
          <w:i/>
          <w:iCs/>
          <w:noProof/>
        </w:rPr>
        <w:t>Age (Dordrecht, Netherlands)</w:t>
      </w:r>
      <w:r w:rsidRPr="008438C0">
        <w:rPr>
          <w:rFonts w:ascii="Times New Roman" w:hAnsi="Times New Roman"/>
          <w:noProof/>
        </w:rPr>
        <w:t>, 30(4), pp.209–15.</w:t>
      </w:r>
    </w:p>
    <w:p w14:paraId="2367EC6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Nagai, M. et al., 2007. Astrocytes expressing ALS-linked mutated SOD1 release factors selectively toxic to motor neurons. </w:t>
      </w:r>
      <w:r w:rsidRPr="008438C0">
        <w:rPr>
          <w:rFonts w:ascii="Times New Roman" w:hAnsi="Times New Roman"/>
          <w:i/>
          <w:iCs/>
          <w:noProof/>
        </w:rPr>
        <w:t>Nature neuroscience</w:t>
      </w:r>
      <w:r w:rsidRPr="008438C0">
        <w:rPr>
          <w:rFonts w:ascii="Times New Roman" w:hAnsi="Times New Roman"/>
          <w:noProof/>
        </w:rPr>
        <w:t>, 10(5), pp.615–22.</w:t>
      </w:r>
    </w:p>
    <w:p w14:paraId="64E4A19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Nagano, I. et al., 2005. Therapeutic benefit of intrathecal injection of insulin-like growth factor-1 in a mouse model of Amyotrophic Lateral Sclerosis. </w:t>
      </w:r>
      <w:r w:rsidRPr="008438C0">
        <w:rPr>
          <w:rFonts w:ascii="Times New Roman" w:hAnsi="Times New Roman"/>
          <w:i/>
          <w:iCs/>
          <w:noProof/>
        </w:rPr>
        <w:t>Journal of the neurological sciences</w:t>
      </w:r>
      <w:r w:rsidRPr="008438C0">
        <w:rPr>
          <w:rFonts w:ascii="Times New Roman" w:hAnsi="Times New Roman"/>
          <w:noProof/>
        </w:rPr>
        <w:t>, 235(1–2), pp.61–8.</w:t>
      </w:r>
    </w:p>
    <w:p w14:paraId="321872A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Nagele, R.G. et al., 2003. Astrocytes accumulate Aβ42 and give rise to astrocytic amyloid plaques in Alzheimer disease brains. </w:t>
      </w:r>
      <w:r w:rsidRPr="008438C0">
        <w:rPr>
          <w:rFonts w:ascii="Times New Roman" w:hAnsi="Times New Roman"/>
          <w:i/>
          <w:iCs/>
          <w:noProof/>
        </w:rPr>
        <w:t>Brain Research</w:t>
      </w:r>
      <w:r w:rsidRPr="008438C0">
        <w:rPr>
          <w:rFonts w:ascii="Times New Roman" w:hAnsi="Times New Roman"/>
          <w:noProof/>
        </w:rPr>
        <w:t>, 971(2), pp.197–209.</w:t>
      </w:r>
    </w:p>
    <w:p w14:paraId="6EF3451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Nagele, R.G. et al., 2004. Contribution of glial cells to the development of amyloid plaques in Alzheimer’s disease. </w:t>
      </w:r>
      <w:r w:rsidRPr="008438C0">
        <w:rPr>
          <w:rFonts w:ascii="Times New Roman" w:hAnsi="Times New Roman"/>
          <w:i/>
          <w:iCs/>
          <w:noProof/>
        </w:rPr>
        <w:t>Neurobiology of aging</w:t>
      </w:r>
      <w:r w:rsidRPr="008438C0">
        <w:rPr>
          <w:rFonts w:ascii="Times New Roman" w:hAnsi="Times New Roman"/>
          <w:noProof/>
        </w:rPr>
        <w:t>, 25(5), pp.663–74.</w:t>
      </w:r>
    </w:p>
    <w:p w14:paraId="05AF383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Neugebauer, K.M., 1988. N-cadherin, NCAM, and integrins promote retinal neurite outgrowth on astrocytes in vitro. </w:t>
      </w:r>
      <w:r w:rsidRPr="008438C0">
        <w:rPr>
          <w:rFonts w:ascii="Times New Roman" w:hAnsi="Times New Roman"/>
          <w:i/>
          <w:iCs/>
          <w:noProof/>
        </w:rPr>
        <w:t>The Journal of Cell Biology</w:t>
      </w:r>
      <w:r w:rsidRPr="008438C0">
        <w:rPr>
          <w:rFonts w:ascii="Times New Roman" w:hAnsi="Times New Roman"/>
          <w:noProof/>
        </w:rPr>
        <w:t>, 107(3), pp.1177–1187.</w:t>
      </w:r>
    </w:p>
    <w:p w14:paraId="2E0C3EF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Newman, S.F. et al., 2007. An increase in S-glutathionylated proteins in the Alzheimer’s disease inferior parietal lobule, a proteomics approach. </w:t>
      </w:r>
      <w:r w:rsidRPr="008438C0">
        <w:rPr>
          <w:rFonts w:ascii="Times New Roman" w:hAnsi="Times New Roman"/>
          <w:i/>
          <w:iCs/>
          <w:noProof/>
        </w:rPr>
        <w:t>Journal of Neuroscience Research</w:t>
      </w:r>
      <w:r w:rsidRPr="008438C0">
        <w:rPr>
          <w:rFonts w:ascii="Times New Roman" w:hAnsi="Times New Roman"/>
          <w:noProof/>
        </w:rPr>
        <w:t>, 85(7), pp.1506–1514.</w:t>
      </w:r>
    </w:p>
    <w:p w14:paraId="26D8714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Newman, S.F. et al., 2007. An increase in S-glutathionylated proteins in the Alzheimer’s disease inferior parietal lobule, a proteomics approach. </w:t>
      </w:r>
      <w:r w:rsidRPr="008438C0">
        <w:rPr>
          <w:rFonts w:ascii="Times New Roman" w:hAnsi="Times New Roman"/>
          <w:i/>
          <w:iCs/>
          <w:noProof/>
        </w:rPr>
        <w:t>Journal of neuroscience research</w:t>
      </w:r>
      <w:r w:rsidRPr="008438C0">
        <w:rPr>
          <w:rFonts w:ascii="Times New Roman" w:hAnsi="Times New Roman"/>
          <w:noProof/>
        </w:rPr>
        <w:t>, 85(7), pp.1506–14.</w:t>
      </w:r>
    </w:p>
    <w:p w14:paraId="587EB20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Nguyen, T., Nioi, P. &amp; Pickett, C.B., 2009. The Nrf2-Antioxidant Response Element Signaling Pathway and Its Activation by Oxidative Stress. </w:t>
      </w:r>
      <w:r w:rsidRPr="008438C0">
        <w:rPr>
          <w:rFonts w:ascii="Times New Roman" w:hAnsi="Times New Roman"/>
          <w:i/>
          <w:iCs/>
          <w:noProof/>
        </w:rPr>
        <w:t>Journal of Biological Chemistry</w:t>
      </w:r>
      <w:r w:rsidRPr="008438C0">
        <w:rPr>
          <w:rFonts w:ascii="Times New Roman" w:hAnsi="Times New Roman"/>
          <w:noProof/>
        </w:rPr>
        <w:t>, 284(20), pp.13291–13295.</w:t>
      </w:r>
    </w:p>
    <w:p w14:paraId="0F81368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Ni, M. et al., 2011. Comparative study on the response of rat primary astrocytes and microglia to methylmercury toxicity. </w:t>
      </w:r>
      <w:r w:rsidRPr="008438C0">
        <w:rPr>
          <w:rFonts w:ascii="Times New Roman" w:hAnsi="Times New Roman"/>
          <w:i/>
          <w:iCs/>
          <w:noProof/>
        </w:rPr>
        <w:t>Glia</w:t>
      </w:r>
      <w:r w:rsidRPr="008438C0">
        <w:rPr>
          <w:rFonts w:ascii="Times New Roman" w:hAnsi="Times New Roman"/>
          <w:noProof/>
        </w:rPr>
        <w:t>, 59(5), pp.810–20.</w:t>
      </w:r>
    </w:p>
    <w:p w14:paraId="6B14928E"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Nichols, N.R. et al., 1993. GFAP mRNA increases with age in rat and human brain. </w:t>
      </w:r>
      <w:r w:rsidRPr="008438C0">
        <w:rPr>
          <w:rFonts w:ascii="Times New Roman" w:hAnsi="Times New Roman"/>
          <w:i/>
          <w:iCs/>
          <w:noProof/>
        </w:rPr>
        <w:t>Neurobiology of Aging</w:t>
      </w:r>
      <w:r w:rsidRPr="008438C0">
        <w:rPr>
          <w:rFonts w:ascii="Times New Roman" w:hAnsi="Times New Roman"/>
          <w:noProof/>
        </w:rPr>
        <w:t>, 14(5), pp.421–429.</w:t>
      </w:r>
    </w:p>
    <w:p w14:paraId="0F474B6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Nishijima, T. et al., 2010. Neuronal Activity Drives Localized Blood-Brain-Barrier Transport of Serum Insulin-like Growth Factor-I into the CNS. </w:t>
      </w:r>
      <w:r w:rsidRPr="008438C0">
        <w:rPr>
          <w:rFonts w:ascii="Times New Roman" w:hAnsi="Times New Roman"/>
          <w:i/>
          <w:iCs/>
          <w:noProof/>
        </w:rPr>
        <w:t>Neuron</w:t>
      </w:r>
      <w:r w:rsidRPr="008438C0">
        <w:rPr>
          <w:rFonts w:ascii="Times New Roman" w:hAnsi="Times New Roman"/>
          <w:noProof/>
        </w:rPr>
        <w:t>, 67(5), pp.834–846.</w:t>
      </w:r>
    </w:p>
    <w:p w14:paraId="3D252F3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Nitta, T. et al., 1992. Expression of Fc gamma receptors on astroglial cell lines and their role in the central nervous system. </w:t>
      </w:r>
      <w:r w:rsidRPr="008438C0">
        <w:rPr>
          <w:rFonts w:ascii="Times New Roman" w:hAnsi="Times New Roman"/>
          <w:i/>
          <w:iCs/>
          <w:noProof/>
        </w:rPr>
        <w:t>Neurosurgery</w:t>
      </w:r>
      <w:r w:rsidRPr="008438C0">
        <w:rPr>
          <w:rFonts w:ascii="Times New Roman" w:hAnsi="Times New Roman"/>
          <w:noProof/>
        </w:rPr>
        <w:t>, 31(1), pp.83-7-8.</w:t>
      </w:r>
    </w:p>
    <w:p w14:paraId="56907D8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Niwa, K. et al., 2000. Abeta 1-40-related reduction in functional hyperemia in mouse neocortex during somatosensory activation. </w:t>
      </w:r>
      <w:r w:rsidRPr="008438C0">
        <w:rPr>
          <w:rFonts w:ascii="Times New Roman" w:hAnsi="Times New Roman"/>
          <w:i/>
          <w:iCs/>
          <w:noProof/>
        </w:rPr>
        <w:t>Proceedings of the National Academy of Sciences of the United States of America</w:t>
      </w:r>
      <w:r w:rsidRPr="008438C0">
        <w:rPr>
          <w:rFonts w:ascii="Times New Roman" w:hAnsi="Times New Roman"/>
          <w:noProof/>
        </w:rPr>
        <w:t>, 97(17), pp.9735–40.</w:t>
      </w:r>
    </w:p>
    <w:p w14:paraId="002BD71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Nizar, K. et al., 2013. In vivo stimulus-induced vasodilation occurs without IP3 receptor activation and may precede astrocytic calcium increase.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33(19), pp.8411–22.</w:t>
      </w:r>
    </w:p>
    <w:p w14:paraId="2CE778A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Noble, W. et al., 2013. The importance of tau phosphorylation for neurodegenerative diseases. </w:t>
      </w:r>
      <w:r w:rsidRPr="008438C0">
        <w:rPr>
          <w:rFonts w:ascii="Times New Roman" w:hAnsi="Times New Roman"/>
          <w:i/>
          <w:iCs/>
          <w:noProof/>
        </w:rPr>
        <w:t>Frontiers in Neurology</w:t>
      </w:r>
      <w:r w:rsidRPr="008438C0">
        <w:rPr>
          <w:rFonts w:ascii="Times New Roman" w:hAnsi="Times New Roman"/>
          <w:noProof/>
        </w:rPr>
        <w:t>, 4 JUL.</w:t>
      </w:r>
    </w:p>
    <w:p w14:paraId="470C7CB4"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Norris, C.M. et al., 2005. Calcineurin triggers reactive/inflammatory processes in astrocytes and is upregulated in aging and Alzheimer’s models.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25(18), pp.4649–58.</w:t>
      </w:r>
    </w:p>
    <w:p w14:paraId="4518EC0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Oberheim, N.A. et al., 2006. Astrocytic complexity distinguishes the human brain. </w:t>
      </w:r>
      <w:r w:rsidRPr="008438C0">
        <w:rPr>
          <w:rFonts w:ascii="Times New Roman" w:hAnsi="Times New Roman"/>
          <w:i/>
          <w:iCs/>
          <w:noProof/>
        </w:rPr>
        <w:t>Trends in neurosciences</w:t>
      </w:r>
      <w:r w:rsidRPr="008438C0">
        <w:rPr>
          <w:rFonts w:ascii="Times New Roman" w:hAnsi="Times New Roman"/>
          <w:noProof/>
        </w:rPr>
        <w:t>, 29(10), pp.547–53.</w:t>
      </w:r>
    </w:p>
    <w:p w14:paraId="682435FD"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Oberheim, N.A. et al., 2008. Loss of astrocytic domain organization in the epileptic brain.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28(13), pp.3264–76.</w:t>
      </w:r>
    </w:p>
    <w:p w14:paraId="50381C8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Oberheim, N.A. et al., 2009. Uniquely hominid features of adult human astrocytes.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29(10), pp.3276–87.</w:t>
      </w:r>
    </w:p>
    <w:p w14:paraId="13AA426E"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Oberheim, N.A., Goldman, S.A. &amp; Nedergaard, M., 2012. Heterogeneity of astrocytic form and function. </w:t>
      </w:r>
      <w:r w:rsidRPr="008438C0">
        <w:rPr>
          <w:rFonts w:ascii="Times New Roman" w:hAnsi="Times New Roman"/>
          <w:i/>
          <w:iCs/>
          <w:noProof/>
        </w:rPr>
        <w:t>Methods in molecular biology (Clifton, N.J.)</w:t>
      </w:r>
      <w:r w:rsidRPr="008438C0">
        <w:rPr>
          <w:rFonts w:ascii="Times New Roman" w:hAnsi="Times New Roman"/>
          <w:noProof/>
        </w:rPr>
        <w:t>, 814, pp.23–45.</w:t>
      </w:r>
    </w:p>
    <w:p w14:paraId="05C326F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Olabarria, M. et al., 2010. Concomitant astroglial atrophy and astrogliosis in a triple transgenic animal model of Alzheimer’s disease. </w:t>
      </w:r>
      <w:r w:rsidRPr="008438C0">
        <w:rPr>
          <w:rFonts w:ascii="Times New Roman" w:hAnsi="Times New Roman"/>
          <w:i/>
          <w:iCs/>
          <w:noProof/>
        </w:rPr>
        <w:t>Glia</w:t>
      </w:r>
      <w:r w:rsidRPr="008438C0">
        <w:rPr>
          <w:rFonts w:ascii="Times New Roman" w:hAnsi="Times New Roman"/>
          <w:noProof/>
        </w:rPr>
        <w:t>, 58(7), pp.831–8.</w:t>
      </w:r>
    </w:p>
    <w:p w14:paraId="2ABAA3A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Oldstone, M.B., Holmstoen, J. &amp; Welsh, R.M., 1977. Alterations of acetylcholine enzymes in neuroblastoma cells persistently infected with lymphocytic choriomeningitis virus. </w:t>
      </w:r>
      <w:r w:rsidRPr="008438C0">
        <w:rPr>
          <w:rFonts w:ascii="Times New Roman" w:hAnsi="Times New Roman"/>
          <w:i/>
          <w:iCs/>
          <w:noProof/>
        </w:rPr>
        <w:t>Journal of cellular physiology</w:t>
      </w:r>
      <w:r w:rsidRPr="008438C0">
        <w:rPr>
          <w:rFonts w:ascii="Times New Roman" w:hAnsi="Times New Roman"/>
          <w:noProof/>
        </w:rPr>
        <w:t>, 91(3), pp.459–72.</w:t>
      </w:r>
    </w:p>
    <w:p w14:paraId="55241F6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Ostrowski, P.P. et al., 2016. Meta-Analysis of Serum Insulin-Like Growth Factor 1 in Alzheimer’s Disease. </w:t>
      </w:r>
      <w:r w:rsidRPr="008438C0">
        <w:rPr>
          <w:rFonts w:ascii="Times New Roman" w:hAnsi="Times New Roman"/>
          <w:i/>
          <w:iCs/>
          <w:noProof/>
        </w:rPr>
        <w:t>PloS one</w:t>
      </w:r>
      <w:r w:rsidRPr="008438C0">
        <w:rPr>
          <w:rFonts w:ascii="Times New Roman" w:hAnsi="Times New Roman"/>
          <w:noProof/>
        </w:rPr>
        <w:t>, 11(5), p.e0155733.</w:t>
      </w:r>
    </w:p>
    <w:p w14:paraId="65D6341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Pandini, G. et al., 2002. Insulin/Insulin-like Growth Factor I Hybrid Receptors Have Different Biological Characteristics Depending on the Insulin Receptor Isoform Involved. </w:t>
      </w:r>
      <w:r w:rsidRPr="008438C0">
        <w:rPr>
          <w:rFonts w:ascii="Times New Roman" w:hAnsi="Times New Roman"/>
          <w:i/>
          <w:iCs/>
          <w:noProof/>
        </w:rPr>
        <w:t>Journal of Biological Chemistry</w:t>
      </w:r>
      <w:r w:rsidRPr="008438C0">
        <w:rPr>
          <w:rFonts w:ascii="Times New Roman" w:hAnsi="Times New Roman"/>
          <w:noProof/>
        </w:rPr>
        <w:t>, 277(42), pp.39684–39695.</w:t>
      </w:r>
    </w:p>
    <w:p w14:paraId="65996FF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Pandini, G. et al., 1999. Insulin and insulin-like growth factor-I (IGF-I) receptor overexpression in breast cancers leads to insulin/IGF-I hybrid receptor overexpression: evidence for a second mechanism of IGF-I signaling. </w:t>
      </w:r>
      <w:r w:rsidRPr="008438C0">
        <w:rPr>
          <w:rFonts w:ascii="Times New Roman" w:hAnsi="Times New Roman"/>
          <w:i/>
          <w:iCs/>
          <w:noProof/>
        </w:rPr>
        <w:t>Clinical cancer research : an official journal of the American Association for Cancer Research</w:t>
      </w:r>
      <w:r w:rsidRPr="008438C0">
        <w:rPr>
          <w:rFonts w:ascii="Times New Roman" w:hAnsi="Times New Roman"/>
          <w:noProof/>
        </w:rPr>
        <w:t>, 5(7), pp.1935–44.</w:t>
      </w:r>
    </w:p>
    <w:p w14:paraId="4A68F1C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Paolicelli, R.C. et al., 2011. Synaptic pruning by microglia is necessary for normal brain development. </w:t>
      </w:r>
      <w:r w:rsidRPr="008438C0">
        <w:rPr>
          <w:rFonts w:ascii="Times New Roman" w:hAnsi="Times New Roman"/>
          <w:i/>
          <w:iCs/>
          <w:noProof/>
        </w:rPr>
        <w:t>Science (New York, N.Y.)</w:t>
      </w:r>
      <w:r w:rsidRPr="008438C0">
        <w:rPr>
          <w:rFonts w:ascii="Times New Roman" w:hAnsi="Times New Roman"/>
          <w:noProof/>
        </w:rPr>
        <w:t>, 333(6048), pp.1456–8.</w:t>
      </w:r>
    </w:p>
    <w:p w14:paraId="37104F1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Papa, S. et al., 2012. Respiratory chain complex I, a main regulatory target of the cAMP/PKA pathway is defective in different human diseases. </w:t>
      </w:r>
      <w:r w:rsidRPr="008438C0">
        <w:rPr>
          <w:rFonts w:ascii="Times New Roman" w:hAnsi="Times New Roman"/>
          <w:i/>
          <w:iCs/>
          <w:noProof/>
        </w:rPr>
        <w:t>FEBS Letters</w:t>
      </w:r>
      <w:r w:rsidRPr="008438C0">
        <w:rPr>
          <w:rFonts w:ascii="Times New Roman" w:hAnsi="Times New Roman"/>
          <w:noProof/>
        </w:rPr>
        <w:t>, 586(5), pp.568–577.</w:t>
      </w:r>
    </w:p>
    <w:p w14:paraId="07B6D92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Papa, S. &amp; De Rasmo, D., 2013. Complex I deficiencies in neurological disorders. </w:t>
      </w:r>
      <w:r w:rsidRPr="008438C0">
        <w:rPr>
          <w:rFonts w:ascii="Times New Roman" w:hAnsi="Times New Roman"/>
          <w:i/>
          <w:iCs/>
          <w:noProof/>
        </w:rPr>
        <w:t>Trends in molecular medicine</w:t>
      </w:r>
      <w:r w:rsidRPr="008438C0">
        <w:rPr>
          <w:rFonts w:ascii="Times New Roman" w:hAnsi="Times New Roman"/>
          <w:noProof/>
        </w:rPr>
        <w:t>, 19(1), pp.61–9.</w:t>
      </w:r>
    </w:p>
    <w:p w14:paraId="0CB4B48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Parekh, N. et al., 2010. Lifestyle, Anthropometric, and Obesity-Related Physiologic Determinants of Insulin-like Growth Factor-1 in the Third National Health and Nutrition Examination Survey (1988–1994). </w:t>
      </w:r>
      <w:r w:rsidRPr="008438C0">
        <w:rPr>
          <w:rFonts w:ascii="Times New Roman" w:hAnsi="Times New Roman"/>
          <w:i/>
          <w:iCs/>
          <w:noProof/>
        </w:rPr>
        <w:t>Annals of Epidemiology</w:t>
      </w:r>
      <w:r w:rsidRPr="008438C0">
        <w:rPr>
          <w:rFonts w:ascii="Times New Roman" w:hAnsi="Times New Roman"/>
          <w:noProof/>
        </w:rPr>
        <w:t>, 20(3), pp.182–193.</w:t>
      </w:r>
    </w:p>
    <w:p w14:paraId="0B7EB4AE"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Parpura-Gill, A., Beitz, D. &amp; Uemura, E., 1997. The inhibitory effects of β-amyloid on glutamate and glucose uptakes by cultured astrocytes. </w:t>
      </w:r>
      <w:r w:rsidRPr="008438C0">
        <w:rPr>
          <w:rFonts w:ascii="Times New Roman" w:hAnsi="Times New Roman"/>
          <w:i/>
          <w:iCs/>
          <w:noProof/>
        </w:rPr>
        <w:t>Brain Research</w:t>
      </w:r>
      <w:r w:rsidRPr="008438C0">
        <w:rPr>
          <w:rFonts w:ascii="Times New Roman" w:hAnsi="Times New Roman"/>
          <w:noProof/>
        </w:rPr>
        <w:t>, 754(1–2), pp.65–71.</w:t>
      </w:r>
    </w:p>
    <w:p w14:paraId="16E6209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Parpura, V. et al., 1994. Glutamate-mediated astrocyte-neuron signalling. </w:t>
      </w:r>
      <w:r w:rsidRPr="008438C0">
        <w:rPr>
          <w:rFonts w:ascii="Times New Roman" w:hAnsi="Times New Roman"/>
          <w:i/>
          <w:iCs/>
          <w:noProof/>
        </w:rPr>
        <w:t>Nature</w:t>
      </w:r>
      <w:r w:rsidRPr="008438C0">
        <w:rPr>
          <w:rFonts w:ascii="Times New Roman" w:hAnsi="Times New Roman"/>
          <w:noProof/>
        </w:rPr>
        <w:t>, 369(6483), pp.744–7.</w:t>
      </w:r>
    </w:p>
    <w:p w14:paraId="157C651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Parpura, V. &amp; Haydon, P.G., 2000. Physiological astrocytic calcium levels stimulate glutamate release to modulate adjacent neurons. </w:t>
      </w:r>
      <w:r w:rsidRPr="008438C0">
        <w:rPr>
          <w:rFonts w:ascii="Times New Roman" w:hAnsi="Times New Roman"/>
          <w:i/>
          <w:iCs/>
          <w:noProof/>
        </w:rPr>
        <w:t>Proceedings of the National Academy of Sciences</w:t>
      </w:r>
      <w:r w:rsidRPr="008438C0">
        <w:rPr>
          <w:rFonts w:ascii="Times New Roman" w:hAnsi="Times New Roman"/>
          <w:noProof/>
        </w:rPr>
        <w:t>, 97(15), pp.8629–8634.</w:t>
      </w:r>
    </w:p>
    <w:p w14:paraId="603E29D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Pascual, O. et al., 2012. Microglia activation triggers astrocyte-mediated modulation of excitatory neurotransmission. </w:t>
      </w:r>
      <w:r w:rsidRPr="008438C0">
        <w:rPr>
          <w:rFonts w:ascii="Times New Roman" w:hAnsi="Times New Roman"/>
          <w:i/>
          <w:iCs/>
          <w:noProof/>
        </w:rPr>
        <w:t>Proceedings of the National Academy of Sciences of the United States of America</w:t>
      </w:r>
      <w:r w:rsidRPr="008438C0">
        <w:rPr>
          <w:rFonts w:ascii="Times New Roman" w:hAnsi="Times New Roman"/>
          <w:noProof/>
        </w:rPr>
        <w:t>, 109(4), pp.E197-205.</w:t>
      </w:r>
    </w:p>
    <w:p w14:paraId="4BD745A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Pasti, L. et al., 1997. Intracellular calcium oscillations in astrocytes: a highly plastic, bidirectional form of communication between neurons and astrocytes in situ.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17(20), pp.7817–30.</w:t>
      </w:r>
    </w:p>
    <w:p w14:paraId="1C98659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Pekny, M. et al., 2016. Astrocytes: a central element in neurological diseases. </w:t>
      </w:r>
      <w:r w:rsidRPr="008438C0">
        <w:rPr>
          <w:rFonts w:ascii="Times New Roman" w:hAnsi="Times New Roman"/>
          <w:i/>
          <w:iCs/>
          <w:noProof/>
        </w:rPr>
        <w:t>Acta neuropathologica</w:t>
      </w:r>
      <w:r w:rsidRPr="008438C0">
        <w:rPr>
          <w:rFonts w:ascii="Times New Roman" w:hAnsi="Times New Roman"/>
          <w:noProof/>
        </w:rPr>
        <w:t>, 131(3), pp.323–45.</w:t>
      </w:r>
    </w:p>
    <w:p w14:paraId="1D7D719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Pellegri, G. et al., 1996. Cloning, localization and induction of mouse brain glycogen synthase. </w:t>
      </w:r>
      <w:r w:rsidRPr="008438C0">
        <w:rPr>
          <w:rFonts w:ascii="Times New Roman" w:hAnsi="Times New Roman"/>
          <w:i/>
          <w:iCs/>
          <w:noProof/>
        </w:rPr>
        <w:t>Molecular Brain Research</w:t>
      </w:r>
      <w:r w:rsidRPr="008438C0">
        <w:rPr>
          <w:rFonts w:ascii="Times New Roman" w:hAnsi="Times New Roman"/>
          <w:noProof/>
        </w:rPr>
        <w:t>, 38(2), pp.191–199.</w:t>
      </w:r>
    </w:p>
    <w:p w14:paraId="707ADE94"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Pellerin, L., 2003. Lactate as a pivotal element in neuron–glia metabolic cooperation. </w:t>
      </w:r>
      <w:r w:rsidRPr="008438C0">
        <w:rPr>
          <w:rFonts w:ascii="Times New Roman" w:hAnsi="Times New Roman"/>
          <w:i/>
          <w:iCs/>
          <w:noProof/>
        </w:rPr>
        <w:t>Neurochemistry International</w:t>
      </w:r>
      <w:r w:rsidRPr="008438C0">
        <w:rPr>
          <w:rFonts w:ascii="Times New Roman" w:hAnsi="Times New Roman"/>
          <w:noProof/>
        </w:rPr>
        <w:t>, 43(4), pp.331–338.</w:t>
      </w:r>
    </w:p>
    <w:p w14:paraId="34B9CD3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Pellerin, L. &amp; Magistretti, P.J., 1994. Glutamate uptake into astrocytes stimulates aerobic glycolysis: a mechanism coupling neuronal activity to glucose utilization. </w:t>
      </w:r>
      <w:r w:rsidRPr="008438C0">
        <w:rPr>
          <w:rFonts w:ascii="Times New Roman" w:hAnsi="Times New Roman"/>
          <w:i/>
          <w:iCs/>
          <w:noProof/>
        </w:rPr>
        <w:t>Proceedings of the National Academy of Sciences of the United States of America</w:t>
      </w:r>
      <w:r w:rsidRPr="008438C0">
        <w:rPr>
          <w:rFonts w:ascii="Times New Roman" w:hAnsi="Times New Roman"/>
          <w:noProof/>
        </w:rPr>
        <w:t>, 91(22), pp.10625–9.</w:t>
      </w:r>
    </w:p>
    <w:p w14:paraId="5702EE7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Peng, Y. et al., 2016. Mitochondrial dysfunction precedes depression of AMPK/AKT signaling in insulin resistance induced by high glucose in primary cortical neurons. </w:t>
      </w:r>
      <w:r w:rsidRPr="008438C0">
        <w:rPr>
          <w:rFonts w:ascii="Times New Roman" w:hAnsi="Times New Roman"/>
          <w:i/>
          <w:iCs/>
          <w:noProof/>
        </w:rPr>
        <w:t>Journal of neurochemistry</w:t>
      </w:r>
      <w:r w:rsidRPr="008438C0">
        <w:rPr>
          <w:rFonts w:ascii="Times New Roman" w:hAnsi="Times New Roman"/>
          <w:noProof/>
        </w:rPr>
        <w:t>.</w:t>
      </w:r>
    </w:p>
    <w:p w14:paraId="2683B84E"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Perego, C. et al., 2000. The GLT-1 and GLAST glutamate transporters are expressed on morphologically distinct astrocytes and regulated by neuronal activity in primary hippocampal cocultures. </w:t>
      </w:r>
      <w:r w:rsidRPr="008438C0">
        <w:rPr>
          <w:rFonts w:ascii="Times New Roman" w:hAnsi="Times New Roman"/>
          <w:i/>
          <w:iCs/>
          <w:noProof/>
        </w:rPr>
        <w:t>Journal of neurochemistry</w:t>
      </w:r>
      <w:r w:rsidRPr="008438C0">
        <w:rPr>
          <w:rFonts w:ascii="Times New Roman" w:hAnsi="Times New Roman"/>
          <w:noProof/>
        </w:rPr>
        <w:t>, 75(3), pp.1076–84.</w:t>
      </w:r>
    </w:p>
    <w:p w14:paraId="2642571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Perez-Gonzalez, R. et al., 2012. The exosome secretory pathway transports amyloid precursor protein carboxyl-terminal fragments from the cell into the brain extracellular space. </w:t>
      </w:r>
      <w:r w:rsidRPr="008438C0">
        <w:rPr>
          <w:rFonts w:ascii="Times New Roman" w:hAnsi="Times New Roman"/>
          <w:i/>
          <w:iCs/>
          <w:noProof/>
        </w:rPr>
        <w:t>The Journal of biological chemistry</w:t>
      </w:r>
      <w:r w:rsidRPr="008438C0">
        <w:rPr>
          <w:rFonts w:ascii="Times New Roman" w:hAnsi="Times New Roman"/>
          <w:noProof/>
        </w:rPr>
        <w:t>, 287(51), pp.43108–15.</w:t>
      </w:r>
    </w:p>
    <w:p w14:paraId="5A13BD2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Pérez, A. et al., 2000. Degradation of Soluble Amyloid β-Peptides 1–40, 1–42, and the Dutch Variant 1–40Q by Insulin Degrading Enzyme from Alzheimer Disease and Control Brains. </w:t>
      </w:r>
      <w:r w:rsidRPr="008438C0">
        <w:rPr>
          <w:rFonts w:ascii="Times New Roman" w:hAnsi="Times New Roman"/>
          <w:i/>
          <w:iCs/>
          <w:noProof/>
        </w:rPr>
        <w:t>Neurochemical Research</w:t>
      </w:r>
      <w:r w:rsidRPr="008438C0">
        <w:rPr>
          <w:rFonts w:ascii="Times New Roman" w:hAnsi="Times New Roman"/>
          <w:noProof/>
        </w:rPr>
        <w:t>, 25(2), pp.247–255.</w:t>
      </w:r>
    </w:p>
    <w:p w14:paraId="424CA36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Persson, T. et al., 2014. Oxidative Stress in Alzheimer’s Disease: Why Did Antioxidant Therapy Fail? </w:t>
      </w:r>
      <w:r w:rsidRPr="008438C0">
        <w:rPr>
          <w:rFonts w:ascii="Times New Roman" w:hAnsi="Times New Roman"/>
          <w:i/>
          <w:iCs/>
          <w:noProof/>
        </w:rPr>
        <w:t>Oxidative Medicine and Cellular Longevity</w:t>
      </w:r>
      <w:r w:rsidRPr="008438C0">
        <w:rPr>
          <w:rFonts w:ascii="Times New Roman" w:hAnsi="Times New Roman"/>
          <w:noProof/>
        </w:rPr>
        <w:t>, 2014, pp.1–11.</w:t>
      </w:r>
    </w:p>
    <w:p w14:paraId="1124F07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Pertusa, M. et al., 2007. Astrocytes aged in vitro show a decreased neuroprotective capacity. </w:t>
      </w:r>
      <w:r w:rsidRPr="008438C0">
        <w:rPr>
          <w:rFonts w:ascii="Times New Roman" w:hAnsi="Times New Roman"/>
          <w:i/>
          <w:iCs/>
          <w:noProof/>
        </w:rPr>
        <w:t>Journal of neurochemistry</w:t>
      </w:r>
      <w:r w:rsidRPr="008438C0">
        <w:rPr>
          <w:rFonts w:ascii="Times New Roman" w:hAnsi="Times New Roman"/>
          <w:noProof/>
        </w:rPr>
        <w:t>, 101(3), pp.794–805.</w:t>
      </w:r>
    </w:p>
    <w:p w14:paraId="512A0DD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Petzold, G.C. &amp; Murthy, V.N., 2011. Role of astrocytes in neurovascular coupling. </w:t>
      </w:r>
      <w:r w:rsidRPr="008438C0">
        <w:rPr>
          <w:rFonts w:ascii="Times New Roman" w:hAnsi="Times New Roman"/>
          <w:i/>
          <w:iCs/>
          <w:noProof/>
        </w:rPr>
        <w:t>Neuron</w:t>
      </w:r>
      <w:r w:rsidRPr="008438C0">
        <w:rPr>
          <w:rFonts w:ascii="Times New Roman" w:hAnsi="Times New Roman"/>
          <w:noProof/>
        </w:rPr>
        <w:t>, 71(5), pp.782–97.</w:t>
      </w:r>
    </w:p>
    <w:p w14:paraId="5561368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Pierre, K. et al., 2000. Cell-specific localization of monocarboxylate transporters, MCT1 and MCT2, in the adult mouse brain revealed by double immunohistochemical labeling and confocal microscopy. </w:t>
      </w:r>
      <w:r w:rsidRPr="008438C0">
        <w:rPr>
          <w:rFonts w:ascii="Times New Roman" w:hAnsi="Times New Roman"/>
          <w:i/>
          <w:iCs/>
          <w:noProof/>
        </w:rPr>
        <w:t>Neuroscience</w:t>
      </w:r>
      <w:r w:rsidRPr="008438C0">
        <w:rPr>
          <w:rFonts w:ascii="Times New Roman" w:hAnsi="Times New Roman"/>
          <w:noProof/>
        </w:rPr>
        <w:t>, 100(3), pp.617–627.</w:t>
      </w:r>
    </w:p>
    <w:p w14:paraId="0D7517C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Piontek, J., Régnier-Vigouroux, A. &amp; Brandt, R., 2002. Contact with astroglial membranes induces axonal and dendritic growth of human CNS model neurons and affects the distribution of the growth-associated proteins MAP1B and GAP43. </w:t>
      </w:r>
      <w:r w:rsidRPr="008438C0">
        <w:rPr>
          <w:rFonts w:ascii="Times New Roman" w:hAnsi="Times New Roman"/>
          <w:i/>
          <w:iCs/>
          <w:noProof/>
        </w:rPr>
        <w:t>Journal of neuroscience research</w:t>
      </w:r>
      <w:r w:rsidRPr="008438C0">
        <w:rPr>
          <w:rFonts w:ascii="Times New Roman" w:hAnsi="Times New Roman"/>
          <w:noProof/>
        </w:rPr>
        <w:t>, 67(4), pp.471–83.</w:t>
      </w:r>
    </w:p>
    <w:p w14:paraId="601E257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Planel, E. et al., 2007. Insulin Dysfunction Induces In Vivo Tau Hyperphosphorylation through Distinct Mechanisms. </w:t>
      </w:r>
      <w:r w:rsidRPr="008438C0">
        <w:rPr>
          <w:rFonts w:ascii="Times New Roman" w:hAnsi="Times New Roman"/>
          <w:i/>
          <w:iCs/>
          <w:noProof/>
        </w:rPr>
        <w:t>Journal of Neuroscience</w:t>
      </w:r>
      <w:r w:rsidRPr="008438C0">
        <w:rPr>
          <w:rFonts w:ascii="Times New Roman" w:hAnsi="Times New Roman"/>
          <w:noProof/>
        </w:rPr>
        <w:t>, 27(50), pp.13635–13648.</w:t>
      </w:r>
    </w:p>
    <w:p w14:paraId="7F90A0A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Podlisny, M.B., Lee, G. &amp; Selkoe, D.J., 1987. Gene Dosage of the Amyloid β Precursor Protein in Alzheimer’s Disease. </w:t>
      </w:r>
      <w:r w:rsidRPr="008438C0">
        <w:rPr>
          <w:rFonts w:ascii="Times New Roman" w:hAnsi="Times New Roman"/>
          <w:i/>
          <w:iCs/>
          <w:noProof/>
        </w:rPr>
        <w:t>Source: Science, New Series Nature Proc. Nati. Acad. Sci. U.S.A. Science Mol. Brain Res. Science Gene</w:t>
      </w:r>
      <w:r w:rsidRPr="008438C0">
        <w:rPr>
          <w:rFonts w:ascii="Times New Roman" w:hAnsi="Times New Roman"/>
          <w:noProof/>
        </w:rPr>
        <w:t>, 238(49), pp.669–671.</w:t>
      </w:r>
    </w:p>
    <w:p w14:paraId="6A6FC64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Pool, M. et al., 2008. NeuriteTracer: a novel ImageJ plugin for automated quantification of neurite outgrowth. </w:t>
      </w:r>
      <w:r w:rsidRPr="008438C0">
        <w:rPr>
          <w:rFonts w:ascii="Times New Roman" w:hAnsi="Times New Roman"/>
          <w:i/>
          <w:iCs/>
          <w:noProof/>
        </w:rPr>
        <w:t>Journal of neuroscience methods</w:t>
      </w:r>
      <w:r w:rsidRPr="008438C0">
        <w:rPr>
          <w:rFonts w:ascii="Times New Roman" w:hAnsi="Times New Roman"/>
          <w:noProof/>
        </w:rPr>
        <w:t>, 168(1), pp.134–9.</w:t>
      </w:r>
    </w:p>
    <w:p w14:paraId="5D16D18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Le Prince, G. et al., 1995. Glutamine synthetase (GS) expression is reduced in senile dementia of the Alzheimer type. </w:t>
      </w:r>
      <w:r w:rsidRPr="008438C0">
        <w:rPr>
          <w:rFonts w:ascii="Times New Roman" w:hAnsi="Times New Roman"/>
          <w:i/>
          <w:iCs/>
          <w:noProof/>
        </w:rPr>
        <w:t>Neurochemical Research</w:t>
      </w:r>
      <w:r w:rsidRPr="008438C0">
        <w:rPr>
          <w:rFonts w:ascii="Times New Roman" w:hAnsi="Times New Roman"/>
          <w:noProof/>
        </w:rPr>
        <w:t>, 20(7), pp.859–862.</w:t>
      </w:r>
    </w:p>
    <w:p w14:paraId="4F7147A4"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Purves, D. et al., 2001. Neurons Often Release More Than One Transmitter.</w:t>
      </w:r>
    </w:p>
    <w:p w14:paraId="47D6345F"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Raps, S.P. et al., 1989. Glutathione is present in high concentrations in cultured astrocytes but not in cultured neurons. </w:t>
      </w:r>
      <w:r w:rsidRPr="008438C0">
        <w:rPr>
          <w:rFonts w:ascii="Times New Roman" w:hAnsi="Times New Roman"/>
          <w:i/>
          <w:iCs/>
          <w:noProof/>
        </w:rPr>
        <w:t>Brain research</w:t>
      </w:r>
      <w:r w:rsidRPr="008438C0">
        <w:rPr>
          <w:rFonts w:ascii="Times New Roman" w:hAnsi="Times New Roman"/>
          <w:noProof/>
        </w:rPr>
        <w:t>, 493(2), pp.398–401.</w:t>
      </w:r>
    </w:p>
    <w:p w14:paraId="7FA3F98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De Rasmo, D. et al., 2012. Activation of the cAMP cascade in human fibroblast cultures rescues the activity of oxidatively damaged complex I. </w:t>
      </w:r>
      <w:r w:rsidRPr="008438C0">
        <w:rPr>
          <w:rFonts w:ascii="Times New Roman" w:hAnsi="Times New Roman"/>
          <w:i/>
          <w:iCs/>
          <w:noProof/>
        </w:rPr>
        <w:t>Free radical biology &amp; medicine</w:t>
      </w:r>
      <w:r w:rsidRPr="008438C0">
        <w:rPr>
          <w:rFonts w:ascii="Times New Roman" w:hAnsi="Times New Roman"/>
          <w:noProof/>
        </w:rPr>
        <w:t>, 52(4), pp.757–64.</w:t>
      </w:r>
    </w:p>
    <w:p w14:paraId="50A881C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Reddy, P.H., 2006. Mitochondrial Oxidative Damage in Aging and Alzheimer’s Disease: Implications for Mitochondrially Targeted Antioxidant Therapeutics. </w:t>
      </w:r>
      <w:r w:rsidRPr="008438C0">
        <w:rPr>
          <w:rFonts w:ascii="Times New Roman" w:hAnsi="Times New Roman"/>
          <w:i/>
          <w:iCs/>
          <w:noProof/>
        </w:rPr>
        <w:t>Journal of Biomedicine and Biotechnology</w:t>
      </w:r>
      <w:r w:rsidRPr="008438C0">
        <w:rPr>
          <w:rFonts w:ascii="Times New Roman" w:hAnsi="Times New Roman"/>
          <w:noProof/>
        </w:rPr>
        <w:t>, 2006, pp.1–13.</w:t>
      </w:r>
    </w:p>
    <w:p w14:paraId="6B8802D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Regan, M.R. et al., 2007. Variations in promoter activity reveal a differential expression and physiology of glutamate transporters by glia in the developing and mature CNS.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27(25), pp.6607–19.</w:t>
      </w:r>
    </w:p>
    <w:p w14:paraId="5BE0DCFF"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Reger, M.A. et al., 2008. Intranasal insulin administration dose-dependently modulates verbal memory and plasma amyloid-beta in memory-impaired older adults. </w:t>
      </w:r>
      <w:r w:rsidRPr="008438C0">
        <w:rPr>
          <w:rFonts w:ascii="Times New Roman" w:hAnsi="Times New Roman"/>
          <w:i/>
          <w:iCs/>
          <w:noProof/>
        </w:rPr>
        <w:t>Journal of Alzheimer’s disease : JAD</w:t>
      </w:r>
      <w:r w:rsidRPr="008438C0">
        <w:rPr>
          <w:rFonts w:ascii="Times New Roman" w:hAnsi="Times New Roman"/>
          <w:noProof/>
        </w:rPr>
        <w:t>, 13(3), pp.323–31.</w:t>
      </w:r>
    </w:p>
    <w:p w14:paraId="5C8B112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Régina, A. et al., 2001. Factor(s) released by glucose-deprived astrocytes enhance glucose transporter expression and activity in rat brain endothelial cells. </w:t>
      </w:r>
      <w:r w:rsidRPr="008438C0">
        <w:rPr>
          <w:rFonts w:ascii="Times New Roman" w:hAnsi="Times New Roman"/>
          <w:i/>
          <w:iCs/>
          <w:noProof/>
        </w:rPr>
        <w:t>Biochimica et Biophysica Acta (BBA) - Molecular Cell Research</w:t>
      </w:r>
      <w:r w:rsidRPr="008438C0">
        <w:rPr>
          <w:rFonts w:ascii="Times New Roman" w:hAnsi="Times New Roman"/>
          <w:noProof/>
        </w:rPr>
        <w:t>, 1540(3), pp.233–242.</w:t>
      </w:r>
    </w:p>
    <w:p w14:paraId="5E1E024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Reuss, B. et al., 2000. Regionally Distinct Regulation of Astroglial Neurotransmitter Receptors by Fibroblast Growth Factor-2. </w:t>
      </w:r>
      <w:r w:rsidRPr="008438C0">
        <w:rPr>
          <w:rFonts w:ascii="Times New Roman" w:hAnsi="Times New Roman"/>
          <w:i/>
          <w:iCs/>
          <w:noProof/>
        </w:rPr>
        <w:t>Molecular and Cellular Neuroscience</w:t>
      </w:r>
      <w:r w:rsidRPr="008438C0">
        <w:rPr>
          <w:rFonts w:ascii="Times New Roman" w:hAnsi="Times New Roman"/>
          <w:noProof/>
        </w:rPr>
        <w:t>, 16(1), pp.42–58.</w:t>
      </w:r>
    </w:p>
    <w:p w14:paraId="404B047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Ridet, J.L. et al., 1997. Reactive astrocytes: cellular and molecular cues to biological function. </w:t>
      </w:r>
      <w:r w:rsidRPr="008438C0">
        <w:rPr>
          <w:rFonts w:ascii="Times New Roman" w:hAnsi="Times New Roman"/>
          <w:i/>
          <w:iCs/>
          <w:noProof/>
        </w:rPr>
        <w:t>Trends in Neurosciences</w:t>
      </w:r>
      <w:r w:rsidRPr="008438C0">
        <w:rPr>
          <w:rFonts w:ascii="Times New Roman" w:hAnsi="Times New Roman"/>
          <w:noProof/>
        </w:rPr>
        <w:t>, 20(12), pp.570–577.</w:t>
      </w:r>
    </w:p>
    <w:p w14:paraId="18F7F1F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Rissman, R.A. et al., 2004. Caspase-cleavage of tau is an early event in Alzheimer disease tangle pathology. </w:t>
      </w:r>
      <w:r w:rsidRPr="008438C0">
        <w:rPr>
          <w:rFonts w:ascii="Times New Roman" w:hAnsi="Times New Roman"/>
          <w:i/>
          <w:iCs/>
          <w:noProof/>
        </w:rPr>
        <w:t>The Journal of clinical investigation</w:t>
      </w:r>
      <w:r w:rsidRPr="008438C0">
        <w:rPr>
          <w:rFonts w:ascii="Times New Roman" w:hAnsi="Times New Roman"/>
          <w:noProof/>
        </w:rPr>
        <w:t>, 114(1), pp.121–30.</w:t>
      </w:r>
    </w:p>
    <w:p w14:paraId="7B09B624"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Ristow, M. &amp; Zarse, K., 2010. How increased oxidative stress promotes longevity and metabolic health: The concept of mitochondrial hormesis (mitohormesis). </w:t>
      </w:r>
      <w:r w:rsidRPr="008438C0">
        <w:rPr>
          <w:rFonts w:ascii="Times New Roman" w:hAnsi="Times New Roman"/>
          <w:i/>
          <w:iCs/>
          <w:noProof/>
        </w:rPr>
        <w:t>Experimental gerontology</w:t>
      </w:r>
      <w:r w:rsidRPr="008438C0">
        <w:rPr>
          <w:rFonts w:ascii="Times New Roman" w:hAnsi="Times New Roman"/>
          <w:noProof/>
        </w:rPr>
        <w:t>, 45(6), pp.410–8.</w:t>
      </w:r>
    </w:p>
    <w:p w14:paraId="3E9D6C2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Robinson, S.R., 2000. Neuronal expression of glutamine synthetase in Alzheimer’s disease indicates a profound impairment of metabolic interactions with astrocytes. </w:t>
      </w:r>
      <w:r w:rsidRPr="008438C0">
        <w:rPr>
          <w:rFonts w:ascii="Times New Roman" w:hAnsi="Times New Roman"/>
          <w:i/>
          <w:iCs/>
          <w:noProof/>
        </w:rPr>
        <w:t>Neurochemistry International</w:t>
      </w:r>
      <w:r w:rsidRPr="008438C0">
        <w:rPr>
          <w:rFonts w:ascii="Times New Roman" w:hAnsi="Times New Roman"/>
          <w:noProof/>
        </w:rPr>
        <w:t>, 36(4–5), pp.471–482.</w:t>
      </w:r>
    </w:p>
    <w:p w14:paraId="3849FAF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Roessmann, U. et al., 1980. Glial fibrillary acidic protein (GFAP) in ependymal cells during development. An immunocytochemical study. </w:t>
      </w:r>
      <w:r w:rsidRPr="008438C0">
        <w:rPr>
          <w:rFonts w:ascii="Times New Roman" w:hAnsi="Times New Roman"/>
          <w:i/>
          <w:iCs/>
          <w:noProof/>
        </w:rPr>
        <w:t>Brain Research</w:t>
      </w:r>
      <w:r w:rsidRPr="008438C0">
        <w:rPr>
          <w:rFonts w:ascii="Times New Roman" w:hAnsi="Times New Roman"/>
          <w:noProof/>
        </w:rPr>
        <w:t>, 200(1), pp.13–21.</w:t>
      </w:r>
    </w:p>
    <w:p w14:paraId="092CB7EF"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Röhrdanz, E. et al., 2001. The influence of oxidative stress on catalase and MnSOD gene transcription in astrocytes. </w:t>
      </w:r>
      <w:r w:rsidRPr="008438C0">
        <w:rPr>
          <w:rFonts w:ascii="Times New Roman" w:hAnsi="Times New Roman"/>
          <w:i/>
          <w:iCs/>
          <w:noProof/>
        </w:rPr>
        <w:t>Brain Research</w:t>
      </w:r>
      <w:r w:rsidRPr="008438C0">
        <w:rPr>
          <w:rFonts w:ascii="Times New Roman" w:hAnsi="Times New Roman"/>
          <w:noProof/>
        </w:rPr>
        <w:t>, 900(1), pp.128–136.</w:t>
      </w:r>
    </w:p>
    <w:p w14:paraId="1399112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Rosenblum, W.I., 2014. Why Alzheimer trials fail: removing soluble oligomeric beta amyloid is essential, inconsistent, and difficult. </w:t>
      </w:r>
      <w:r w:rsidRPr="008438C0">
        <w:rPr>
          <w:rFonts w:ascii="Times New Roman" w:hAnsi="Times New Roman"/>
          <w:i/>
          <w:iCs/>
          <w:noProof/>
        </w:rPr>
        <w:t>Neurobiology of Aging</w:t>
      </w:r>
      <w:r w:rsidRPr="008438C0">
        <w:rPr>
          <w:rFonts w:ascii="Times New Roman" w:hAnsi="Times New Roman"/>
          <w:noProof/>
        </w:rPr>
        <w:t>, 35(5), pp.969–974.</w:t>
      </w:r>
    </w:p>
    <w:p w14:paraId="72331FDD"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Rossner, M.J. et al., 2006. Global transcriptome analysis of genetically identified neurons in the adult cortex.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26(39), pp.9956–66.</w:t>
      </w:r>
    </w:p>
    <w:p w14:paraId="2E5A4B4F"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Rossner, S. et al., 2005. Alzheimer’s disease beta-secretase BACE1 is not a neuron-specific enzyme. </w:t>
      </w:r>
      <w:r w:rsidRPr="008438C0">
        <w:rPr>
          <w:rFonts w:ascii="Times New Roman" w:hAnsi="Times New Roman"/>
          <w:i/>
          <w:iCs/>
          <w:noProof/>
        </w:rPr>
        <w:t>Journal of neurochemistry</w:t>
      </w:r>
      <w:r w:rsidRPr="008438C0">
        <w:rPr>
          <w:rFonts w:ascii="Times New Roman" w:hAnsi="Times New Roman"/>
          <w:noProof/>
        </w:rPr>
        <w:t>, 92(2), pp.226–34.</w:t>
      </w:r>
    </w:p>
    <w:p w14:paraId="5907F07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Rouach, N., Glowinski, J. &amp; Giaume, C., 2000. Activity-Dependent Neuronal Control of Gap-Junctional Communication in Astrocytes. </w:t>
      </w:r>
      <w:r w:rsidRPr="008438C0">
        <w:rPr>
          <w:rFonts w:ascii="Times New Roman" w:hAnsi="Times New Roman"/>
          <w:i/>
          <w:iCs/>
          <w:noProof/>
        </w:rPr>
        <w:t>The Journal of Cell Biology</w:t>
      </w:r>
      <w:r w:rsidRPr="008438C0">
        <w:rPr>
          <w:rFonts w:ascii="Times New Roman" w:hAnsi="Times New Roman"/>
          <w:noProof/>
        </w:rPr>
        <w:t>, 149(7), pp.1513–1526.</w:t>
      </w:r>
    </w:p>
    <w:p w14:paraId="209FD14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Salahifar, H., Baxter, R.C. &amp; Martin, J.L., 1997. Insulin-like growth factor binding protein (IGFBP)-3 protease activity secreted by MCF-7 breast cancer cells: inhibition by IGFs does not require IGF-IGFBP interaction. </w:t>
      </w:r>
      <w:r w:rsidRPr="008438C0">
        <w:rPr>
          <w:rFonts w:ascii="Times New Roman" w:hAnsi="Times New Roman"/>
          <w:i/>
          <w:iCs/>
          <w:noProof/>
        </w:rPr>
        <w:t>Endocrinology</w:t>
      </w:r>
      <w:r w:rsidRPr="008438C0">
        <w:rPr>
          <w:rFonts w:ascii="Times New Roman" w:hAnsi="Times New Roman"/>
          <w:noProof/>
        </w:rPr>
        <w:t>, 138(4), pp.1683–90.</w:t>
      </w:r>
    </w:p>
    <w:p w14:paraId="2E2B78E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Salehi, Z., Mashayekhi, F. &amp; Naji, M., 2008. Insulin like growth factor-1 and insulin like growth factor binding proteins in the cerebrospinal fluid and serum from patients with Alzheimer’s disease. </w:t>
      </w:r>
      <w:r w:rsidRPr="008438C0">
        <w:rPr>
          <w:rFonts w:ascii="Times New Roman" w:hAnsi="Times New Roman"/>
          <w:i/>
          <w:iCs/>
          <w:noProof/>
        </w:rPr>
        <w:t>BioFactors (Oxford, England)</w:t>
      </w:r>
      <w:r w:rsidRPr="008438C0">
        <w:rPr>
          <w:rFonts w:ascii="Times New Roman" w:hAnsi="Times New Roman"/>
          <w:noProof/>
        </w:rPr>
        <w:t>, 33(2), pp.99–106.</w:t>
      </w:r>
    </w:p>
    <w:p w14:paraId="54CA7BB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Salinas, A.E. &amp; Wong, M.G., 1999. Glutathione S-transferases--a review. </w:t>
      </w:r>
      <w:r w:rsidRPr="008438C0">
        <w:rPr>
          <w:rFonts w:ascii="Times New Roman" w:hAnsi="Times New Roman"/>
          <w:i/>
          <w:iCs/>
          <w:noProof/>
        </w:rPr>
        <w:t>Current medicinal chemistry</w:t>
      </w:r>
      <w:r w:rsidRPr="008438C0">
        <w:rPr>
          <w:rFonts w:ascii="Times New Roman" w:hAnsi="Times New Roman"/>
          <w:noProof/>
        </w:rPr>
        <w:t>, 6(4), pp.279–309.</w:t>
      </w:r>
    </w:p>
    <w:p w14:paraId="76F97CC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Samuelson, A. V, Carr, C.E. &amp; Ruvkun, G., 2007. Gene activities that mediate increased life span of C. elegans insulin-like signaling mutants. </w:t>
      </w:r>
      <w:r w:rsidRPr="008438C0">
        <w:rPr>
          <w:rFonts w:ascii="Times New Roman" w:hAnsi="Times New Roman"/>
          <w:i/>
          <w:iCs/>
          <w:noProof/>
        </w:rPr>
        <w:t>Genes &amp; development</w:t>
      </w:r>
      <w:r w:rsidRPr="008438C0">
        <w:rPr>
          <w:rFonts w:ascii="Times New Roman" w:hAnsi="Times New Roman"/>
          <w:noProof/>
        </w:rPr>
        <w:t>, 21(22), pp.2976–94.</w:t>
      </w:r>
    </w:p>
    <w:p w14:paraId="5C3532A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Saunders, A.M. et al., 1993. Association of apolipoprotein E allele epsilon 4 with late-onset familial and sporadic Alzheimer’s disease. </w:t>
      </w:r>
      <w:r w:rsidRPr="008438C0">
        <w:rPr>
          <w:rFonts w:ascii="Times New Roman" w:hAnsi="Times New Roman"/>
          <w:i/>
          <w:iCs/>
          <w:noProof/>
        </w:rPr>
        <w:t>Neurology</w:t>
      </w:r>
      <w:r w:rsidRPr="008438C0">
        <w:rPr>
          <w:rFonts w:ascii="Times New Roman" w:hAnsi="Times New Roman"/>
          <w:noProof/>
        </w:rPr>
        <w:t>, 43(8), pp.1467–72.</w:t>
      </w:r>
    </w:p>
    <w:p w14:paraId="7FE48EB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Savva, G.M. et al., 2009. Age, Neuropathology, and Dementia. </w:t>
      </w:r>
      <w:r w:rsidRPr="008438C0">
        <w:rPr>
          <w:rFonts w:ascii="Times New Roman" w:hAnsi="Times New Roman"/>
          <w:i/>
          <w:iCs/>
          <w:noProof/>
        </w:rPr>
        <w:t>New England Journal of Medicine</w:t>
      </w:r>
      <w:r w:rsidRPr="008438C0">
        <w:rPr>
          <w:rFonts w:ascii="Times New Roman" w:hAnsi="Times New Roman"/>
          <w:noProof/>
        </w:rPr>
        <w:t>, 360(22), pp.2302–2309.</w:t>
      </w:r>
    </w:p>
    <w:p w14:paraId="7E44448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Scemes, E. &amp; Giaume, C., 2006. Astrocyte calcium waves: What they are and what they do. </w:t>
      </w:r>
      <w:r w:rsidRPr="008438C0">
        <w:rPr>
          <w:rFonts w:ascii="Times New Roman" w:hAnsi="Times New Roman"/>
          <w:i/>
          <w:iCs/>
          <w:noProof/>
        </w:rPr>
        <w:t>Glia</w:t>
      </w:r>
      <w:r w:rsidRPr="008438C0">
        <w:rPr>
          <w:rFonts w:ascii="Times New Roman" w:hAnsi="Times New Roman"/>
          <w:noProof/>
        </w:rPr>
        <w:t>, 54(7), pp.716–725.</w:t>
      </w:r>
    </w:p>
    <w:p w14:paraId="1C0673B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Schapira, A.H. et al., 1990. Mitochondrial complex I deficiency in Parkinson’s disease. </w:t>
      </w:r>
      <w:r w:rsidRPr="008438C0">
        <w:rPr>
          <w:rFonts w:ascii="Times New Roman" w:hAnsi="Times New Roman"/>
          <w:i/>
          <w:iCs/>
          <w:noProof/>
        </w:rPr>
        <w:t>Journal of neurochemistry</w:t>
      </w:r>
      <w:r w:rsidRPr="008438C0">
        <w:rPr>
          <w:rFonts w:ascii="Times New Roman" w:hAnsi="Times New Roman"/>
          <w:noProof/>
        </w:rPr>
        <w:t>, 54(3), pp.823–7.</w:t>
      </w:r>
    </w:p>
    <w:p w14:paraId="3E9230F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Schell, M.J., Molliver, M.E. &amp; Snyder, S.H., 1995. D-serine, an endogenous synaptic modulator: localization to astrocytes and glutamate-stimulated release. </w:t>
      </w:r>
      <w:r w:rsidRPr="008438C0">
        <w:rPr>
          <w:rFonts w:ascii="Times New Roman" w:hAnsi="Times New Roman"/>
          <w:i/>
          <w:iCs/>
          <w:noProof/>
        </w:rPr>
        <w:t>Proceedings of the National Academy of Sciences of the United States of America</w:t>
      </w:r>
      <w:r w:rsidRPr="008438C0">
        <w:rPr>
          <w:rFonts w:ascii="Times New Roman" w:hAnsi="Times New Roman"/>
          <w:noProof/>
        </w:rPr>
        <w:t>, 92(9), pp.3948–52.</w:t>
      </w:r>
    </w:p>
    <w:p w14:paraId="096E16E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Scholz, D. et al., 2011. Rapid, complete and large-scale generation of post-mitotic neurons from the human LUHMES cell line. </w:t>
      </w:r>
      <w:r w:rsidRPr="008438C0">
        <w:rPr>
          <w:rFonts w:ascii="Times New Roman" w:hAnsi="Times New Roman"/>
          <w:i/>
          <w:iCs/>
          <w:noProof/>
        </w:rPr>
        <w:t>Journal of neurochemistry</w:t>
      </w:r>
      <w:r w:rsidRPr="008438C0">
        <w:rPr>
          <w:rFonts w:ascii="Times New Roman" w:hAnsi="Times New Roman"/>
          <w:noProof/>
        </w:rPr>
        <w:t>, 119(5), pp.957–71.</w:t>
      </w:r>
    </w:p>
    <w:p w14:paraId="5F71703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Scholz, D., Chernyshova, Y. &amp; Leist, M., 2013. Control of Aβ release from human neurons by differentiation status and RET signaling. </w:t>
      </w:r>
      <w:r w:rsidRPr="008438C0">
        <w:rPr>
          <w:rFonts w:ascii="Times New Roman" w:hAnsi="Times New Roman"/>
          <w:i/>
          <w:iCs/>
          <w:noProof/>
        </w:rPr>
        <w:t>Neurobiology of Aging</w:t>
      </w:r>
      <w:r w:rsidRPr="008438C0">
        <w:rPr>
          <w:rFonts w:ascii="Times New Roman" w:hAnsi="Times New Roman"/>
          <w:noProof/>
        </w:rPr>
        <w:t>, 34(1), pp.184–199.</w:t>
      </w:r>
    </w:p>
    <w:p w14:paraId="1DEAAEB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Schubert, M. et al., 2003. Insulin Receptor Substrate-2 Deficiency Impairs Brain Growth and Promotes Tau Phosphorylation. </w:t>
      </w:r>
      <w:r w:rsidRPr="008438C0">
        <w:rPr>
          <w:rFonts w:ascii="Times New Roman" w:hAnsi="Times New Roman"/>
          <w:i/>
          <w:iCs/>
          <w:noProof/>
        </w:rPr>
        <w:t>J. Neurosci.</w:t>
      </w:r>
      <w:r w:rsidRPr="008438C0">
        <w:rPr>
          <w:rFonts w:ascii="Times New Roman" w:hAnsi="Times New Roman"/>
          <w:noProof/>
        </w:rPr>
        <w:t>, 23(18), pp.7084–7092.</w:t>
      </w:r>
    </w:p>
    <w:p w14:paraId="4F3DA04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Schubert, M. et al., 2004. Role for neuronal insulin resistance in neurodegenerative diseases. </w:t>
      </w:r>
      <w:r w:rsidRPr="008438C0">
        <w:rPr>
          <w:rFonts w:ascii="Times New Roman" w:hAnsi="Times New Roman"/>
          <w:i/>
          <w:iCs/>
          <w:noProof/>
        </w:rPr>
        <w:t>Proceedings of the National Academy of Sciences of the United States of America</w:t>
      </w:r>
      <w:r w:rsidRPr="008438C0">
        <w:rPr>
          <w:rFonts w:ascii="Times New Roman" w:hAnsi="Times New Roman"/>
          <w:noProof/>
        </w:rPr>
        <w:t>, 101(9), pp.3100–5.</w:t>
      </w:r>
    </w:p>
    <w:p w14:paraId="0A3AE96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Schulz, K. et al., 2012. Simultaneous BOLD fMRI and fiber-optic calcium recording in rat neocortex. </w:t>
      </w:r>
      <w:r w:rsidRPr="008438C0">
        <w:rPr>
          <w:rFonts w:ascii="Times New Roman" w:hAnsi="Times New Roman"/>
          <w:i/>
          <w:iCs/>
          <w:noProof/>
        </w:rPr>
        <w:t>Nature Methods</w:t>
      </w:r>
      <w:r w:rsidRPr="008438C0">
        <w:rPr>
          <w:rFonts w:ascii="Times New Roman" w:hAnsi="Times New Roman"/>
          <w:noProof/>
        </w:rPr>
        <w:t>, 9(6), pp.597–602.</w:t>
      </w:r>
    </w:p>
    <w:p w14:paraId="11183EC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Scott, H.L. et al., 2002. Aberrant expression of the glutamate transporter excitatory amino acid transporter 1 (EAAT1) in Alzheimer’s disease.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22(3), p.RC206.</w:t>
      </w:r>
    </w:p>
    <w:p w14:paraId="6A2D1A8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Sekar, S. et al., 2015. Alzheimer’s disease is associated with altered expression of genes involved in immune response and mitochondrial processes in astrocytes. </w:t>
      </w:r>
      <w:r w:rsidRPr="008438C0">
        <w:rPr>
          <w:rFonts w:ascii="Times New Roman" w:hAnsi="Times New Roman"/>
          <w:i/>
          <w:iCs/>
          <w:noProof/>
        </w:rPr>
        <w:t>Neurobiology of aging</w:t>
      </w:r>
      <w:r w:rsidRPr="008438C0">
        <w:rPr>
          <w:rFonts w:ascii="Times New Roman" w:hAnsi="Times New Roman"/>
          <w:noProof/>
        </w:rPr>
        <w:t>, 36(2), pp.583–91.</w:t>
      </w:r>
    </w:p>
    <w:p w14:paraId="5F5F9CC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Serrano-Pozo, A. et al., 2013. Differential relationships of reactive astrocytes and microglia to fibrillar amyloid deposits in Alzheimer disease. </w:t>
      </w:r>
      <w:r w:rsidRPr="008438C0">
        <w:rPr>
          <w:rFonts w:ascii="Times New Roman" w:hAnsi="Times New Roman"/>
          <w:i/>
          <w:iCs/>
          <w:noProof/>
        </w:rPr>
        <w:t>Journal of neuropathology and experimental neurology</w:t>
      </w:r>
      <w:r w:rsidRPr="008438C0">
        <w:rPr>
          <w:rFonts w:ascii="Times New Roman" w:hAnsi="Times New Roman"/>
          <w:noProof/>
        </w:rPr>
        <w:t>, 72(6), pp.462–71.</w:t>
      </w:r>
    </w:p>
    <w:p w14:paraId="720DB80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Serrano-Pozo, A. et al., 2011. Reactive glia not only associates with plaques but also parallels tangles in Alzheimer’s disease. </w:t>
      </w:r>
      <w:r w:rsidRPr="008438C0">
        <w:rPr>
          <w:rFonts w:ascii="Times New Roman" w:hAnsi="Times New Roman"/>
          <w:i/>
          <w:iCs/>
          <w:noProof/>
        </w:rPr>
        <w:t>The American journal of pathology</w:t>
      </w:r>
      <w:r w:rsidRPr="008438C0">
        <w:rPr>
          <w:rFonts w:ascii="Times New Roman" w:hAnsi="Times New Roman"/>
          <w:noProof/>
        </w:rPr>
        <w:t>, 179(3), pp.1373–84.</w:t>
      </w:r>
    </w:p>
    <w:p w14:paraId="1359166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Sevigny, J.J. et al., 2008. Growth hormone secretagogue MK-677: no clinical effect on AD progression in a randomized trial. </w:t>
      </w:r>
      <w:r w:rsidRPr="008438C0">
        <w:rPr>
          <w:rFonts w:ascii="Times New Roman" w:hAnsi="Times New Roman"/>
          <w:i/>
          <w:iCs/>
          <w:noProof/>
        </w:rPr>
        <w:t>Neurology</w:t>
      </w:r>
      <w:r w:rsidRPr="008438C0">
        <w:rPr>
          <w:rFonts w:ascii="Times New Roman" w:hAnsi="Times New Roman"/>
          <w:noProof/>
        </w:rPr>
        <w:t>, 71(21), pp.1702–8.</w:t>
      </w:r>
    </w:p>
    <w:p w14:paraId="5BBCE94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Sharif, A. et al., 2009. Differential erbB signaling in astrocytes from the cerebral cortex and the hypothalamus of the human brain. </w:t>
      </w:r>
      <w:r w:rsidRPr="008438C0">
        <w:rPr>
          <w:rFonts w:ascii="Times New Roman" w:hAnsi="Times New Roman"/>
          <w:i/>
          <w:iCs/>
          <w:noProof/>
        </w:rPr>
        <w:t>Glia</w:t>
      </w:r>
      <w:r w:rsidRPr="008438C0">
        <w:rPr>
          <w:rFonts w:ascii="Times New Roman" w:hAnsi="Times New Roman"/>
          <w:noProof/>
        </w:rPr>
        <w:t>, 57(4), pp.362–79.</w:t>
      </w:r>
    </w:p>
    <w:p w14:paraId="794EE2D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Sharif, A. &amp; Prevot, V., 2012. Isolation and culture of human astrocytes. </w:t>
      </w:r>
      <w:r w:rsidRPr="008438C0">
        <w:rPr>
          <w:rFonts w:ascii="Times New Roman" w:hAnsi="Times New Roman"/>
          <w:i/>
          <w:iCs/>
          <w:noProof/>
        </w:rPr>
        <w:t>Methods in molecular biology (Clifton, N.J.)</w:t>
      </w:r>
      <w:r w:rsidRPr="008438C0">
        <w:rPr>
          <w:rFonts w:ascii="Times New Roman" w:hAnsi="Times New Roman"/>
          <w:noProof/>
        </w:rPr>
        <w:t>, 814, pp.137–51.</w:t>
      </w:r>
    </w:p>
    <w:p w14:paraId="626086CD"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Sharma, L.K. et al., 2011. Mitochondrial respiratory complex I dysfunction promotes tumorigenesis through ROS alteration and AKT activation. </w:t>
      </w:r>
      <w:r w:rsidRPr="008438C0">
        <w:rPr>
          <w:rFonts w:ascii="Times New Roman" w:hAnsi="Times New Roman"/>
          <w:i/>
          <w:iCs/>
          <w:noProof/>
        </w:rPr>
        <w:t>Human molecular genetics</w:t>
      </w:r>
      <w:r w:rsidRPr="008438C0">
        <w:rPr>
          <w:rFonts w:ascii="Times New Roman" w:hAnsi="Times New Roman"/>
          <w:noProof/>
        </w:rPr>
        <w:t>, 20(23), pp.4605–16.</w:t>
      </w:r>
    </w:p>
    <w:p w14:paraId="2C2051B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Sherrington, R. et al., 1995. Cloning of a gene bearing missense mutations in early-onset familial Alzheimer’s disease. </w:t>
      </w:r>
      <w:r w:rsidRPr="008438C0">
        <w:rPr>
          <w:rFonts w:ascii="Times New Roman" w:hAnsi="Times New Roman"/>
          <w:i/>
          <w:iCs/>
          <w:noProof/>
        </w:rPr>
        <w:t>Nature</w:t>
      </w:r>
      <w:r w:rsidRPr="008438C0">
        <w:rPr>
          <w:rFonts w:ascii="Times New Roman" w:hAnsi="Times New Roman"/>
          <w:noProof/>
        </w:rPr>
        <w:t>, 375(6534), pp.754–60.</w:t>
      </w:r>
    </w:p>
    <w:p w14:paraId="6EEAF0B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Shih, A.Y. et al., 2003. Coordinate Regulation of Glutathione Biosynthesis and Release by Nrf2-Expressing Glia Potently Protects Neurons from Oxidative Stress. </w:t>
      </w:r>
      <w:r w:rsidRPr="008438C0">
        <w:rPr>
          <w:rFonts w:ascii="Times New Roman" w:hAnsi="Times New Roman"/>
          <w:i/>
          <w:iCs/>
          <w:noProof/>
        </w:rPr>
        <w:t>J. Neurosci.</w:t>
      </w:r>
      <w:r w:rsidRPr="008438C0">
        <w:rPr>
          <w:rFonts w:ascii="Times New Roman" w:hAnsi="Times New Roman"/>
          <w:noProof/>
        </w:rPr>
        <w:t>, 23(8), pp.3394–3406.</w:t>
      </w:r>
    </w:p>
    <w:p w14:paraId="4622125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Shinozaki, Y. et al., 2014. Microglia trigger astrocyte-mediated neuroprotection via purinergic gliotransmission. </w:t>
      </w:r>
      <w:r w:rsidRPr="008438C0">
        <w:rPr>
          <w:rFonts w:ascii="Times New Roman" w:hAnsi="Times New Roman"/>
          <w:i/>
          <w:iCs/>
          <w:noProof/>
        </w:rPr>
        <w:t>Scientific reports</w:t>
      </w:r>
      <w:r w:rsidRPr="008438C0">
        <w:rPr>
          <w:rFonts w:ascii="Times New Roman" w:hAnsi="Times New Roman"/>
          <w:noProof/>
        </w:rPr>
        <w:t>, 4, p.4329.</w:t>
      </w:r>
    </w:p>
    <w:p w14:paraId="2425AC4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Sibilia, M. et al., 1998. A strain-independent postnatal neurodegeneration in mice lacking the EGF receptor. </w:t>
      </w:r>
      <w:r w:rsidRPr="008438C0">
        <w:rPr>
          <w:rFonts w:ascii="Times New Roman" w:hAnsi="Times New Roman"/>
          <w:i/>
          <w:iCs/>
          <w:noProof/>
        </w:rPr>
        <w:t>The EMBO journal</w:t>
      </w:r>
      <w:r w:rsidRPr="008438C0">
        <w:rPr>
          <w:rFonts w:ascii="Times New Roman" w:hAnsi="Times New Roman"/>
          <w:noProof/>
        </w:rPr>
        <w:t>, 17(3), pp.719–31.</w:t>
      </w:r>
    </w:p>
    <w:p w14:paraId="544F0D7D"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Simpson, I.A. et al., 1994. Decreased concentrations of GLUT1 and GLUT3 glucose transporters in the brains of patients with Alzheimer’s disease. </w:t>
      </w:r>
      <w:r w:rsidRPr="008438C0">
        <w:rPr>
          <w:rFonts w:ascii="Times New Roman" w:hAnsi="Times New Roman"/>
          <w:i/>
          <w:iCs/>
          <w:noProof/>
        </w:rPr>
        <w:t>Annals of neurology</w:t>
      </w:r>
      <w:r w:rsidRPr="008438C0">
        <w:rPr>
          <w:rFonts w:ascii="Times New Roman" w:hAnsi="Times New Roman"/>
          <w:noProof/>
        </w:rPr>
        <w:t>, 35(5), pp.546–51.</w:t>
      </w:r>
    </w:p>
    <w:p w14:paraId="77C54B4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Simpson, J.E., Ince, P.G., Lace, G., et al., 2010. Astrocyte phenotype in relation to Alzheimer-type pathology in the ageing brain. </w:t>
      </w:r>
      <w:r w:rsidRPr="008438C0">
        <w:rPr>
          <w:rFonts w:ascii="Times New Roman" w:hAnsi="Times New Roman"/>
          <w:i/>
          <w:iCs/>
          <w:noProof/>
        </w:rPr>
        <w:t>Neurobiology of aging</w:t>
      </w:r>
      <w:r w:rsidRPr="008438C0">
        <w:rPr>
          <w:rFonts w:ascii="Times New Roman" w:hAnsi="Times New Roman"/>
          <w:noProof/>
        </w:rPr>
        <w:t>, 31(4), pp.578–90.</w:t>
      </w:r>
    </w:p>
    <w:p w14:paraId="66E4C41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Simpson, J.E. et al., 2011. Microarray analysis of the astrocyte transcriptome in the aging brain: relationship to Alzheimer’s pathology and APOE genotype. </w:t>
      </w:r>
      <w:r w:rsidRPr="008438C0">
        <w:rPr>
          <w:rFonts w:ascii="Times New Roman" w:hAnsi="Times New Roman"/>
          <w:i/>
          <w:iCs/>
          <w:noProof/>
        </w:rPr>
        <w:t>Neurobiology of aging</w:t>
      </w:r>
      <w:r w:rsidRPr="008438C0">
        <w:rPr>
          <w:rFonts w:ascii="Times New Roman" w:hAnsi="Times New Roman"/>
          <w:noProof/>
        </w:rPr>
        <w:t>, 32(10), pp.1795–807.</w:t>
      </w:r>
    </w:p>
    <w:p w14:paraId="7143B1A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Simpson, J.E. et al., 2010. Population variation in oxidative stress and astrocyte DNA damage in relation to Alzheimer-type pathology in the ageing brain. </w:t>
      </w:r>
      <w:r w:rsidRPr="008438C0">
        <w:rPr>
          <w:rFonts w:ascii="Times New Roman" w:hAnsi="Times New Roman"/>
          <w:i/>
          <w:iCs/>
          <w:noProof/>
        </w:rPr>
        <w:t>Neuropathology and Applied Neurobiology</w:t>
      </w:r>
      <w:r w:rsidRPr="008438C0">
        <w:rPr>
          <w:rFonts w:ascii="Times New Roman" w:hAnsi="Times New Roman"/>
          <w:noProof/>
        </w:rPr>
        <w:t>, 36(1), pp.25–40.</w:t>
      </w:r>
    </w:p>
    <w:p w14:paraId="4D02FA7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Simpson, J.E., Ince, P.G., Haynes, L.J., et al., 2010. Population variation in oxidative stress and astrocyte DNA damage in relation to Alzheimer-type pathology in the ageing brain. </w:t>
      </w:r>
      <w:r w:rsidRPr="008438C0">
        <w:rPr>
          <w:rFonts w:ascii="Times New Roman" w:hAnsi="Times New Roman"/>
          <w:i/>
          <w:iCs/>
          <w:noProof/>
        </w:rPr>
        <w:t>Neuropathology and applied neurobiology</w:t>
      </w:r>
      <w:r w:rsidRPr="008438C0">
        <w:rPr>
          <w:rFonts w:ascii="Times New Roman" w:hAnsi="Times New Roman"/>
          <w:noProof/>
        </w:rPr>
        <w:t>, 36(1), pp.25–40.</w:t>
      </w:r>
    </w:p>
    <w:p w14:paraId="06501E1F"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Singh, K. et al., 2015. Superoxide anion radicals induce IGF-1 resistance through concomitant activation of PTP1B and PTEN. </w:t>
      </w:r>
      <w:r w:rsidRPr="008438C0">
        <w:rPr>
          <w:rFonts w:ascii="Times New Roman" w:hAnsi="Times New Roman"/>
          <w:i/>
          <w:iCs/>
          <w:noProof/>
        </w:rPr>
        <w:t>EMBO molecular medicine</w:t>
      </w:r>
      <w:r w:rsidRPr="008438C0">
        <w:rPr>
          <w:rFonts w:ascii="Times New Roman" w:hAnsi="Times New Roman"/>
          <w:noProof/>
        </w:rPr>
        <w:t>, 7(1), pp.59–77.</w:t>
      </w:r>
    </w:p>
    <w:p w14:paraId="4AA0522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Sleegers, K. et al., 2006. APP duplication is sufficient to cause early onset Alzheimer’s dementia with cerebral amyloid angiopathy. </w:t>
      </w:r>
      <w:r w:rsidRPr="008438C0">
        <w:rPr>
          <w:rFonts w:ascii="Times New Roman" w:hAnsi="Times New Roman"/>
          <w:i/>
          <w:iCs/>
          <w:noProof/>
        </w:rPr>
        <w:t>Brain</w:t>
      </w:r>
      <w:r w:rsidRPr="008438C0">
        <w:rPr>
          <w:rFonts w:ascii="Times New Roman" w:hAnsi="Times New Roman"/>
          <w:noProof/>
        </w:rPr>
        <w:t>, 129, pp.2977–2983.</w:t>
      </w:r>
    </w:p>
    <w:p w14:paraId="037C28D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Sofroniew, M. V &amp; Vinters, H. V, 2010. Astrocytes: biology and pathology. </w:t>
      </w:r>
      <w:r w:rsidRPr="008438C0">
        <w:rPr>
          <w:rFonts w:ascii="Times New Roman" w:hAnsi="Times New Roman"/>
          <w:i/>
          <w:iCs/>
          <w:noProof/>
        </w:rPr>
        <w:t>Acta neuropathologica</w:t>
      </w:r>
      <w:r w:rsidRPr="008438C0">
        <w:rPr>
          <w:rFonts w:ascii="Times New Roman" w:hAnsi="Times New Roman"/>
          <w:noProof/>
        </w:rPr>
        <w:t>, 119(1), pp.7–35.</w:t>
      </w:r>
    </w:p>
    <w:p w14:paraId="4D3779F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Solan, J.L. &amp; Lampe, P.D., 2009. Connexin43 phosphorylation: structural changes and biological effects. </w:t>
      </w:r>
      <w:r w:rsidRPr="008438C0">
        <w:rPr>
          <w:rFonts w:ascii="Times New Roman" w:hAnsi="Times New Roman"/>
          <w:i/>
          <w:iCs/>
          <w:noProof/>
        </w:rPr>
        <w:t>The Biochemical journal</w:t>
      </w:r>
      <w:r w:rsidRPr="008438C0">
        <w:rPr>
          <w:rFonts w:ascii="Times New Roman" w:hAnsi="Times New Roman"/>
          <w:noProof/>
        </w:rPr>
        <w:t>, 419(2), pp.261–72.</w:t>
      </w:r>
    </w:p>
    <w:p w14:paraId="644E41CE"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Soos, M.A. et al., 1990. Receptors for insulin and insulin-like growth factor-I can form hybrid dimers. Characterisation of hybrid receptors in transfected cells. </w:t>
      </w:r>
      <w:r w:rsidRPr="008438C0">
        <w:rPr>
          <w:rFonts w:ascii="Times New Roman" w:hAnsi="Times New Roman"/>
          <w:i/>
          <w:iCs/>
          <w:noProof/>
        </w:rPr>
        <w:t>The Biochemical journal</w:t>
      </w:r>
      <w:r w:rsidRPr="008438C0">
        <w:rPr>
          <w:rFonts w:ascii="Times New Roman" w:hAnsi="Times New Roman"/>
          <w:noProof/>
        </w:rPr>
        <w:t>, 270(2), pp.383–90.</w:t>
      </w:r>
    </w:p>
    <w:p w14:paraId="293F769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Sosa, L. et al., 2006. IGF-1 receptor is essential for the establishment of hippocampal neuronal polarity. </w:t>
      </w:r>
      <w:r w:rsidRPr="008438C0">
        <w:rPr>
          <w:rFonts w:ascii="Times New Roman" w:hAnsi="Times New Roman"/>
          <w:i/>
          <w:iCs/>
          <w:noProof/>
        </w:rPr>
        <w:t>Nature neuroscience</w:t>
      </w:r>
      <w:r w:rsidRPr="008438C0">
        <w:rPr>
          <w:rFonts w:ascii="Times New Roman" w:hAnsi="Times New Roman"/>
          <w:noProof/>
        </w:rPr>
        <w:t>, 9(8), pp.993–5.</w:t>
      </w:r>
    </w:p>
    <w:p w14:paraId="02B486C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Steen, E. et al., 2005. Impaired insulin and insulin-like growth factor expression and signaling mechanisms in Alzheimer’s disease--is this type 3 diabetes? </w:t>
      </w:r>
      <w:r w:rsidRPr="008438C0">
        <w:rPr>
          <w:rFonts w:ascii="Times New Roman" w:hAnsi="Times New Roman"/>
          <w:i/>
          <w:iCs/>
          <w:noProof/>
        </w:rPr>
        <w:t>Journal of Alzheimer’s disease : JAD</w:t>
      </w:r>
      <w:r w:rsidRPr="008438C0">
        <w:rPr>
          <w:rFonts w:ascii="Times New Roman" w:hAnsi="Times New Roman"/>
          <w:noProof/>
        </w:rPr>
        <w:t>, 7(1), pp.63–80.</w:t>
      </w:r>
    </w:p>
    <w:p w14:paraId="62A220B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Succu, S. et al., 2007. Stimulation of dopamine receptors in the paraventricular nucleus of the hypothalamus of male rats induces penile erection and increases extra-cellular dopamine in the nucleus accumbens: Involvement of central oxytocin. </w:t>
      </w:r>
      <w:r w:rsidRPr="008438C0">
        <w:rPr>
          <w:rFonts w:ascii="Times New Roman" w:hAnsi="Times New Roman"/>
          <w:i/>
          <w:iCs/>
          <w:noProof/>
        </w:rPr>
        <w:t>Neuropharmacology</w:t>
      </w:r>
      <w:r w:rsidRPr="008438C0">
        <w:rPr>
          <w:rFonts w:ascii="Times New Roman" w:hAnsi="Times New Roman"/>
          <w:noProof/>
        </w:rPr>
        <w:t>, 52(3), pp.1034–1043.</w:t>
      </w:r>
    </w:p>
    <w:p w14:paraId="00CD990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Suh, H.-S. et al., 2013. Insulin-like growth factor 1 and 2 (IGF1, IGF2) expression in human microglia: differential regulation by inflammatory mediators. </w:t>
      </w:r>
      <w:r w:rsidRPr="008438C0">
        <w:rPr>
          <w:rFonts w:ascii="Times New Roman" w:hAnsi="Times New Roman"/>
          <w:i/>
          <w:iCs/>
          <w:noProof/>
        </w:rPr>
        <w:t>Journal of neuroinflammation</w:t>
      </w:r>
      <w:r w:rsidRPr="008438C0">
        <w:rPr>
          <w:rFonts w:ascii="Times New Roman" w:hAnsi="Times New Roman"/>
          <w:noProof/>
        </w:rPr>
        <w:t>, 10, p.37.</w:t>
      </w:r>
    </w:p>
    <w:p w14:paraId="6A7345ED"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Suh, Y. et al., 2008. Functionally significant insulin-like growth factor I receptor mutations in centenarians. </w:t>
      </w:r>
      <w:r w:rsidRPr="008438C0">
        <w:rPr>
          <w:rFonts w:ascii="Times New Roman" w:hAnsi="Times New Roman"/>
          <w:i/>
          <w:iCs/>
          <w:noProof/>
        </w:rPr>
        <w:t>Proceedings of the National Academy of Sciences</w:t>
      </w:r>
      <w:r w:rsidRPr="008438C0">
        <w:rPr>
          <w:rFonts w:ascii="Times New Roman" w:hAnsi="Times New Roman"/>
          <w:noProof/>
        </w:rPr>
        <w:t>, 105(9), pp.3438–3442.</w:t>
      </w:r>
    </w:p>
    <w:p w14:paraId="634E866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Sultana, R. &amp; Butterfield, D.A., 2009. Oxidatively modified, mitochondria-relevant brain proteins in subjects with Alzheimer disease and mild cognitive impairment. </w:t>
      </w:r>
      <w:r w:rsidRPr="008438C0">
        <w:rPr>
          <w:rFonts w:ascii="Times New Roman" w:hAnsi="Times New Roman"/>
          <w:i/>
          <w:iCs/>
          <w:noProof/>
        </w:rPr>
        <w:t>Journal of bioenergetics and biomembranes</w:t>
      </w:r>
      <w:r w:rsidRPr="008438C0">
        <w:rPr>
          <w:rFonts w:ascii="Times New Roman" w:hAnsi="Times New Roman"/>
          <w:noProof/>
        </w:rPr>
        <w:t>, 41(5), pp.441–6.</w:t>
      </w:r>
    </w:p>
    <w:p w14:paraId="568681D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Sultana, R. &amp; Butterfield, D.A., 2004. Oxidatively modified GST and MRP1 in Alzheimer’s disease brain: implications for accumulation of reactive lipid peroxidation products. </w:t>
      </w:r>
      <w:r w:rsidRPr="008438C0">
        <w:rPr>
          <w:rFonts w:ascii="Times New Roman" w:hAnsi="Times New Roman"/>
          <w:i/>
          <w:iCs/>
          <w:noProof/>
        </w:rPr>
        <w:t>Neurochemical research</w:t>
      </w:r>
      <w:r w:rsidRPr="008438C0">
        <w:rPr>
          <w:rFonts w:ascii="Times New Roman" w:hAnsi="Times New Roman"/>
          <w:noProof/>
        </w:rPr>
        <w:t>, 29(12), pp.2215–20.</w:t>
      </w:r>
    </w:p>
    <w:p w14:paraId="01301B4E"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Summers, L. et al., 2010. Adhesion to the extracellular matrix is required for interleukin-1 beta actions leading to reactive phenotype in rat astrocytes. </w:t>
      </w:r>
      <w:r w:rsidRPr="008438C0">
        <w:rPr>
          <w:rFonts w:ascii="Times New Roman" w:hAnsi="Times New Roman"/>
          <w:i/>
          <w:iCs/>
          <w:noProof/>
        </w:rPr>
        <w:t>Molecular and cellular neurosciences</w:t>
      </w:r>
      <w:r w:rsidRPr="008438C0">
        <w:rPr>
          <w:rFonts w:ascii="Times New Roman" w:hAnsi="Times New Roman"/>
          <w:noProof/>
        </w:rPr>
        <w:t>, 44(3), pp.272–81.</w:t>
      </w:r>
    </w:p>
    <w:p w14:paraId="2D943F0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Sun, A. et al., 2003. P38 MAP kinase is activated at early stages in Alzheimer’s disease brain. </w:t>
      </w:r>
      <w:r w:rsidRPr="008438C0">
        <w:rPr>
          <w:rFonts w:ascii="Times New Roman" w:hAnsi="Times New Roman"/>
          <w:i/>
          <w:iCs/>
          <w:noProof/>
        </w:rPr>
        <w:t>Experimental neurology</w:t>
      </w:r>
      <w:r w:rsidRPr="008438C0">
        <w:rPr>
          <w:rFonts w:ascii="Times New Roman" w:hAnsi="Times New Roman"/>
          <w:noProof/>
        </w:rPr>
        <w:t>, 183(2), pp.394–405.</w:t>
      </w:r>
    </w:p>
    <w:p w14:paraId="2B42B22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Sun, C. &amp; Bernards, R., 2014. Feedback and redundancy in receptor tyrosine kinase signaling: relevance to cancer therapies. </w:t>
      </w:r>
      <w:r w:rsidRPr="008438C0">
        <w:rPr>
          <w:rFonts w:ascii="Times New Roman" w:hAnsi="Times New Roman"/>
          <w:i/>
          <w:iCs/>
          <w:noProof/>
        </w:rPr>
        <w:t>Trends in biochemical sciences</w:t>
      </w:r>
      <w:r w:rsidRPr="008438C0">
        <w:rPr>
          <w:rFonts w:ascii="Times New Roman" w:hAnsi="Times New Roman"/>
          <w:noProof/>
        </w:rPr>
        <w:t>, 39(10), pp.465–74.</w:t>
      </w:r>
    </w:p>
    <w:p w14:paraId="38B979DE"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Sun, L.Y. et al., 2005. Local expression of GH and IGF-1 in the hippocampus of GH-deficient long-lived mice. </w:t>
      </w:r>
      <w:r w:rsidRPr="008438C0">
        <w:rPr>
          <w:rFonts w:ascii="Times New Roman" w:hAnsi="Times New Roman"/>
          <w:i/>
          <w:iCs/>
          <w:noProof/>
        </w:rPr>
        <w:t>Neurobiology of Aging</w:t>
      </w:r>
      <w:r w:rsidRPr="008438C0">
        <w:rPr>
          <w:rFonts w:ascii="Times New Roman" w:hAnsi="Times New Roman"/>
          <w:noProof/>
        </w:rPr>
        <w:t>, 26(6), pp.929–937.</w:t>
      </w:r>
    </w:p>
    <w:p w14:paraId="3E8506DD"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Suzuki, K. et al., 2001. Transient upregulation of the glial glutamate transporter GLAST in response to fibroblast growth factor, insulin-like growth factor and epidermal growth factor in cultured astrocytes. </w:t>
      </w:r>
      <w:r w:rsidRPr="008438C0">
        <w:rPr>
          <w:rFonts w:ascii="Times New Roman" w:hAnsi="Times New Roman"/>
          <w:i/>
          <w:iCs/>
          <w:noProof/>
        </w:rPr>
        <w:t>Journal of cell science</w:t>
      </w:r>
      <w:r w:rsidRPr="008438C0">
        <w:rPr>
          <w:rFonts w:ascii="Times New Roman" w:hAnsi="Times New Roman"/>
          <w:noProof/>
        </w:rPr>
        <w:t>, 114(Pt 20), pp.3717–25.</w:t>
      </w:r>
    </w:p>
    <w:p w14:paraId="106519E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Swanson, R.A. et al., 1997. Neuronal regulation of glutamate transporter subtype expression in astrocytes.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17(3), pp.932–40.</w:t>
      </w:r>
    </w:p>
    <w:p w14:paraId="119FE06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Swanson, R.A. &amp; Choi, D.W., 1993. Glial glycogen stores affect neuronal survival during glucose deprivation in vitro. </w:t>
      </w:r>
      <w:r w:rsidRPr="008438C0">
        <w:rPr>
          <w:rFonts w:ascii="Times New Roman" w:hAnsi="Times New Roman"/>
          <w:i/>
          <w:iCs/>
          <w:noProof/>
        </w:rPr>
        <w:t>Journal of cerebral blood flow and metabolism : official journal of the International Society of Cerebral Blood Flow and Metabolism</w:t>
      </w:r>
      <w:r w:rsidRPr="008438C0">
        <w:rPr>
          <w:rFonts w:ascii="Times New Roman" w:hAnsi="Times New Roman"/>
          <w:noProof/>
        </w:rPr>
        <w:t>, 13(1), pp.162–9.</w:t>
      </w:r>
    </w:p>
    <w:p w14:paraId="3D6FAFD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Takaki, J. et al., 2012. L-glutamate released from activated microglia downregulates astrocytic L-glutamate transporter expression in neuroinflammation: the “collusion” hypothesis for increased extracellular L-glutamate concentration in neuroinflammation. </w:t>
      </w:r>
      <w:r w:rsidRPr="008438C0">
        <w:rPr>
          <w:rFonts w:ascii="Times New Roman" w:hAnsi="Times New Roman"/>
          <w:i/>
          <w:iCs/>
          <w:noProof/>
        </w:rPr>
        <w:t>Journal of neuroinflammation</w:t>
      </w:r>
      <w:r w:rsidRPr="008438C0">
        <w:rPr>
          <w:rFonts w:ascii="Times New Roman" w:hAnsi="Times New Roman"/>
          <w:noProof/>
        </w:rPr>
        <w:t>, 9(1), p.275.</w:t>
      </w:r>
    </w:p>
    <w:p w14:paraId="00B8E92E"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Takata, N. &amp; Hirase, H., 2008. Cortical layer 1 and layer 2/3 astrocytes exhibit distinct calcium dynamics in vivo. </w:t>
      </w:r>
      <w:r w:rsidRPr="008438C0">
        <w:rPr>
          <w:rFonts w:ascii="Times New Roman" w:hAnsi="Times New Roman"/>
          <w:i/>
          <w:iCs/>
          <w:noProof/>
        </w:rPr>
        <w:t>PloS one</w:t>
      </w:r>
      <w:r w:rsidRPr="008438C0">
        <w:rPr>
          <w:rFonts w:ascii="Times New Roman" w:hAnsi="Times New Roman"/>
          <w:noProof/>
        </w:rPr>
        <w:t>, 3(6), p.e2525.</w:t>
      </w:r>
    </w:p>
    <w:p w14:paraId="50D62DAD" w14:textId="0A0D736F"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Talbot, K. e</w:t>
      </w:r>
      <w:r w:rsidR="00B8643E">
        <w:rPr>
          <w:rFonts w:ascii="Times New Roman" w:hAnsi="Times New Roman"/>
          <w:noProof/>
        </w:rPr>
        <w:t>t al., 2012</w:t>
      </w:r>
      <w:r w:rsidRPr="008438C0">
        <w:rPr>
          <w:rFonts w:ascii="Times New Roman" w:hAnsi="Times New Roman"/>
          <w:noProof/>
        </w:rPr>
        <w:t xml:space="preserve">. Demonstrated brain insulin resistance in Alzheimer’s disease patients is associated with IGF-1 resistance, IRS-1 dysregulation, and cognitive decline. </w:t>
      </w:r>
      <w:r w:rsidRPr="008438C0">
        <w:rPr>
          <w:rFonts w:ascii="Times New Roman" w:hAnsi="Times New Roman"/>
          <w:i/>
          <w:iCs/>
          <w:noProof/>
        </w:rPr>
        <w:t>The Journal of clinical investigation</w:t>
      </w:r>
      <w:r w:rsidRPr="008438C0">
        <w:rPr>
          <w:rFonts w:ascii="Times New Roman" w:hAnsi="Times New Roman"/>
          <w:noProof/>
        </w:rPr>
        <w:t>, 122(4), pp.1316–38.</w:t>
      </w:r>
    </w:p>
    <w:p w14:paraId="651773A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Tarczyluk, M.A. et al., 2015. Amyloid β 1-42 induces hypometabolism in human stem cell-derived neuron and astrocyte networks. </w:t>
      </w:r>
      <w:r w:rsidRPr="008438C0">
        <w:rPr>
          <w:rFonts w:ascii="Times New Roman" w:hAnsi="Times New Roman"/>
          <w:i/>
          <w:iCs/>
          <w:noProof/>
        </w:rPr>
        <w:t>Journal of cerebral blood flow and metabolism : official journal of the International Society of Cerebral Blood Flow and Metabolism</w:t>
      </w:r>
      <w:r w:rsidRPr="008438C0">
        <w:rPr>
          <w:rFonts w:ascii="Times New Roman" w:hAnsi="Times New Roman"/>
          <w:noProof/>
        </w:rPr>
        <w:t>, 35(8), pp.1348–57.</w:t>
      </w:r>
    </w:p>
    <w:p w14:paraId="4FBCDFC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Tarczyluk, M.A. et al., 2013. Functional astrocyte-neuron lactate shuttle in a human stem cell-derived neuronal network. </w:t>
      </w:r>
      <w:r w:rsidRPr="008438C0">
        <w:rPr>
          <w:rFonts w:ascii="Times New Roman" w:hAnsi="Times New Roman"/>
          <w:i/>
          <w:iCs/>
          <w:noProof/>
        </w:rPr>
        <w:t>Journal of cerebral blood flow and metabolism : official journal of the International Society of Cerebral Blood Flow and Metabolism</w:t>
      </w:r>
      <w:r w:rsidRPr="008438C0">
        <w:rPr>
          <w:rFonts w:ascii="Times New Roman" w:hAnsi="Times New Roman"/>
          <w:noProof/>
        </w:rPr>
        <w:t>, 33(9), pp.1386–93.</w:t>
      </w:r>
    </w:p>
    <w:p w14:paraId="1BE1B6C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Tatar, M. et al., 2003. The endocrine regulation of aging by insulin-like signals. </w:t>
      </w:r>
      <w:r w:rsidRPr="008438C0">
        <w:rPr>
          <w:rFonts w:ascii="Times New Roman" w:hAnsi="Times New Roman"/>
          <w:i/>
          <w:iCs/>
          <w:noProof/>
        </w:rPr>
        <w:t>Science (New York, N.Y.)</w:t>
      </w:r>
      <w:r w:rsidRPr="008438C0">
        <w:rPr>
          <w:rFonts w:ascii="Times New Roman" w:hAnsi="Times New Roman"/>
          <w:noProof/>
        </w:rPr>
        <w:t>, 299(5611), pp.1346–51.</w:t>
      </w:r>
    </w:p>
    <w:p w14:paraId="3D2DAFD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Tham, A. et al., 1993. Insulin-like growth factors and insulin-like growth factor binding proteins in cerebrospinal fluid and serum of patients with dementia of the Alzheimer type. </w:t>
      </w:r>
      <w:r w:rsidRPr="008438C0">
        <w:rPr>
          <w:rFonts w:ascii="Times New Roman" w:hAnsi="Times New Roman"/>
          <w:i/>
          <w:iCs/>
          <w:noProof/>
        </w:rPr>
        <w:t>Journal of Neural Transmission - Parkinson’s Disease and Dementia Section</w:t>
      </w:r>
      <w:r w:rsidRPr="008438C0">
        <w:rPr>
          <w:rFonts w:ascii="Times New Roman" w:hAnsi="Times New Roman"/>
          <w:noProof/>
        </w:rPr>
        <w:t>, 5(3), pp.165–176.</w:t>
      </w:r>
    </w:p>
    <w:p w14:paraId="1CBF596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Tian, G.-F. et al., 2005. An astrocytic basis of epilepsy. </w:t>
      </w:r>
      <w:r w:rsidRPr="008438C0">
        <w:rPr>
          <w:rFonts w:ascii="Times New Roman" w:hAnsi="Times New Roman"/>
          <w:i/>
          <w:iCs/>
          <w:noProof/>
        </w:rPr>
        <w:t>Nature medicine</w:t>
      </w:r>
      <w:r w:rsidRPr="008438C0">
        <w:rPr>
          <w:rFonts w:ascii="Times New Roman" w:hAnsi="Times New Roman"/>
          <w:noProof/>
        </w:rPr>
        <w:t>, 11(9), pp.973–81.</w:t>
      </w:r>
    </w:p>
    <w:p w14:paraId="73D62BF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Tomaselli, K.J. et al., 1988. N-cadherin and integrins: two receptor systems that mediate neuronal process outgrowth on astrocyte surfaces. </w:t>
      </w:r>
      <w:r w:rsidRPr="008438C0">
        <w:rPr>
          <w:rFonts w:ascii="Times New Roman" w:hAnsi="Times New Roman"/>
          <w:i/>
          <w:iCs/>
          <w:noProof/>
        </w:rPr>
        <w:t>Neuron</w:t>
      </w:r>
      <w:r w:rsidRPr="008438C0">
        <w:rPr>
          <w:rFonts w:ascii="Times New Roman" w:hAnsi="Times New Roman"/>
          <w:noProof/>
        </w:rPr>
        <w:t>, 1(1), pp.33–43.</w:t>
      </w:r>
    </w:p>
    <w:p w14:paraId="7A60C71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Tonks, N.K., 2005. Redox Redux: Revisiting PTPs and the Control of Cell Signaling. </w:t>
      </w:r>
      <w:r w:rsidRPr="008438C0">
        <w:rPr>
          <w:rFonts w:ascii="Times New Roman" w:hAnsi="Times New Roman"/>
          <w:i/>
          <w:iCs/>
          <w:noProof/>
        </w:rPr>
        <w:t>Cell</w:t>
      </w:r>
      <w:r w:rsidRPr="008438C0">
        <w:rPr>
          <w:rFonts w:ascii="Times New Roman" w:hAnsi="Times New Roman"/>
          <w:noProof/>
        </w:rPr>
        <w:t>, 121(5), pp.667–670.</w:t>
      </w:r>
    </w:p>
    <w:p w14:paraId="6DC2B80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Torres-Aleman, I., Naftolin, F. &amp; Robbins, R.J., 1990. Trophic effects of insulin-like growth factor-I on fetal rat hypothalamic cells in culture. </w:t>
      </w:r>
      <w:r w:rsidRPr="008438C0">
        <w:rPr>
          <w:rFonts w:ascii="Times New Roman" w:hAnsi="Times New Roman"/>
          <w:i/>
          <w:iCs/>
          <w:noProof/>
        </w:rPr>
        <w:t>Neuroscience</w:t>
      </w:r>
      <w:r w:rsidRPr="008438C0">
        <w:rPr>
          <w:rFonts w:ascii="Times New Roman" w:hAnsi="Times New Roman"/>
          <w:noProof/>
        </w:rPr>
        <w:t>, 35(3), pp.601–608.</w:t>
      </w:r>
    </w:p>
    <w:p w14:paraId="621A3244"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Toth, P. et al., 2015. IGF-1 deficiency impairs neurovascular coupling in mice: implications for cerebromicrovascular aging. </w:t>
      </w:r>
      <w:r w:rsidRPr="008438C0">
        <w:rPr>
          <w:rFonts w:ascii="Times New Roman" w:hAnsi="Times New Roman"/>
          <w:i/>
          <w:iCs/>
          <w:noProof/>
        </w:rPr>
        <w:t>Aging Cell</w:t>
      </w:r>
      <w:r w:rsidRPr="008438C0">
        <w:rPr>
          <w:rFonts w:ascii="Times New Roman" w:hAnsi="Times New Roman"/>
          <w:noProof/>
        </w:rPr>
        <w:t>, 14(6), pp.1034–1044.</w:t>
      </w:r>
    </w:p>
    <w:p w14:paraId="2207393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Townsend, M., Mehta, T. &amp; Selkoe, D.J., 2007. Soluble Abeta inhibits specific signal transduction cascades common to the insulin receptor pathway. </w:t>
      </w:r>
      <w:r w:rsidRPr="008438C0">
        <w:rPr>
          <w:rFonts w:ascii="Times New Roman" w:hAnsi="Times New Roman"/>
          <w:i/>
          <w:iCs/>
          <w:noProof/>
        </w:rPr>
        <w:t>The Journal of biological chemistry</w:t>
      </w:r>
      <w:r w:rsidRPr="008438C0">
        <w:rPr>
          <w:rFonts w:ascii="Times New Roman" w:hAnsi="Times New Roman"/>
          <w:noProof/>
        </w:rPr>
        <w:t>, 282(46), pp.33305–12.</w:t>
      </w:r>
    </w:p>
    <w:p w14:paraId="0A29C22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Treadway, J.L. et al., 1989. Assembly of insulin/insulin-like growth factor-1 hybrid receptors in vitro. </w:t>
      </w:r>
      <w:r w:rsidRPr="008438C0">
        <w:rPr>
          <w:rFonts w:ascii="Times New Roman" w:hAnsi="Times New Roman"/>
          <w:i/>
          <w:iCs/>
          <w:noProof/>
        </w:rPr>
        <w:t>The Journal of biological chemistry</w:t>
      </w:r>
      <w:r w:rsidRPr="008438C0">
        <w:rPr>
          <w:rFonts w:ascii="Times New Roman" w:hAnsi="Times New Roman"/>
          <w:noProof/>
        </w:rPr>
        <w:t>, 264(36), pp.21450–3.</w:t>
      </w:r>
    </w:p>
    <w:p w14:paraId="7F0A123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Tremblay, M.-È., Lowery, R.L. &amp; Majewska, A.K., 2010. Microglial interactions with synapses are modulated by visual experience. </w:t>
      </w:r>
      <w:r w:rsidRPr="008438C0">
        <w:rPr>
          <w:rFonts w:ascii="Times New Roman" w:hAnsi="Times New Roman"/>
          <w:i/>
          <w:iCs/>
          <w:noProof/>
        </w:rPr>
        <w:t>PLoS biology</w:t>
      </w:r>
      <w:r w:rsidRPr="008438C0">
        <w:rPr>
          <w:rFonts w:ascii="Times New Roman" w:hAnsi="Times New Roman"/>
          <w:noProof/>
        </w:rPr>
        <w:t>, 8(11), p.e1000527.</w:t>
      </w:r>
    </w:p>
    <w:p w14:paraId="406A46E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Ugbode, C.I., Hirst, W.D. &amp; Rattray, M., 2014. Neuronal influences are necessary to produce mitochondrial co-localization with glutamate transporters in astrocytes. </w:t>
      </w:r>
      <w:r w:rsidRPr="008438C0">
        <w:rPr>
          <w:rFonts w:ascii="Times New Roman" w:hAnsi="Times New Roman"/>
          <w:i/>
          <w:iCs/>
          <w:noProof/>
        </w:rPr>
        <w:t>Journal of neurochemistry</w:t>
      </w:r>
      <w:r w:rsidRPr="008438C0">
        <w:rPr>
          <w:rFonts w:ascii="Times New Roman" w:hAnsi="Times New Roman"/>
          <w:noProof/>
        </w:rPr>
        <w:t>, 130(5), pp.668–77.</w:t>
      </w:r>
    </w:p>
    <w:p w14:paraId="482E4A3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Ullian, E.M. et al., 2001. Control of synapse number by glia. </w:t>
      </w:r>
      <w:r w:rsidRPr="008438C0">
        <w:rPr>
          <w:rFonts w:ascii="Times New Roman" w:hAnsi="Times New Roman"/>
          <w:i/>
          <w:iCs/>
          <w:noProof/>
        </w:rPr>
        <w:t>Science (New York, N.Y.)</w:t>
      </w:r>
      <w:r w:rsidRPr="008438C0">
        <w:rPr>
          <w:rFonts w:ascii="Times New Roman" w:hAnsi="Times New Roman"/>
          <w:noProof/>
        </w:rPr>
        <w:t>, 291(5504), pp.657–61.</w:t>
      </w:r>
    </w:p>
    <w:p w14:paraId="32E1A1A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Unger, J. et al., 1989. Distribution of insulin receptor-like immunoreactivity in the rat forebrain. </w:t>
      </w:r>
      <w:r w:rsidRPr="008438C0">
        <w:rPr>
          <w:rFonts w:ascii="Times New Roman" w:hAnsi="Times New Roman"/>
          <w:i/>
          <w:iCs/>
          <w:noProof/>
        </w:rPr>
        <w:t>Neuroscience</w:t>
      </w:r>
      <w:r w:rsidRPr="008438C0">
        <w:rPr>
          <w:rFonts w:ascii="Times New Roman" w:hAnsi="Times New Roman"/>
          <w:noProof/>
        </w:rPr>
        <w:t>, 31(1), pp.143–57.</w:t>
      </w:r>
    </w:p>
    <w:p w14:paraId="1502772E"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Valenti, D. et al., 2011. Deficit of complex I activity in human skin fibroblasts with chromosome 21 trisomy and overproduction of reactive oxygen species by mitochondria: involvement of the cAMP/PKA signalling pathway. </w:t>
      </w:r>
      <w:r w:rsidRPr="008438C0">
        <w:rPr>
          <w:rFonts w:ascii="Times New Roman" w:hAnsi="Times New Roman"/>
          <w:i/>
          <w:iCs/>
          <w:noProof/>
        </w:rPr>
        <w:t>The Biochemical journal</w:t>
      </w:r>
      <w:r w:rsidRPr="008438C0">
        <w:rPr>
          <w:rFonts w:ascii="Times New Roman" w:hAnsi="Times New Roman"/>
          <w:noProof/>
        </w:rPr>
        <w:t>, 435(3), pp.679–88.</w:t>
      </w:r>
    </w:p>
    <w:p w14:paraId="1AA2E37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Vargas, M.R. et al., 2008. Nrf2 activation in astrocytes protects against neurodegeneration in mouse models of familial amyotrophic lateral sclerosis.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28(50), pp.13574–81.</w:t>
      </w:r>
    </w:p>
    <w:p w14:paraId="75FC6E0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Vargas, T. et al., 2011. IGF-I gene variability is associated with an increased risk for AD. </w:t>
      </w:r>
      <w:r w:rsidRPr="008438C0">
        <w:rPr>
          <w:rFonts w:ascii="Times New Roman" w:hAnsi="Times New Roman"/>
          <w:i/>
          <w:iCs/>
          <w:noProof/>
        </w:rPr>
        <w:t>Neurobiology of Aging</w:t>
      </w:r>
      <w:r w:rsidRPr="008438C0">
        <w:rPr>
          <w:rFonts w:ascii="Times New Roman" w:hAnsi="Times New Roman"/>
          <w:noProof/>
        </w:rPr>
        <w:t>, 32(3), p.556.e3-556.e11.</w:t>
      </w:r>
    </w:p>
    <w:p w14:paraId="70168FD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Verderio, C. &amp; Matteoli, M., 2001. ATP Mediates Calcium Signaling Between Astrocytes and Microglial Cells: Modulation by IFN- . </w:t>
      </w:r>
      <w:r w:rsidRPr="008438C0">
        <w:rPr>
          <w:rFonts w:ascii="Times New Roman" w:hAnsi="Times New Roman"/>
          <w:i/>
          <w:iCs/>
          <w:noProof/>
        </w:rPr>
        <w:t>The Journal of Immunology</w:t>
      </w:r>
      <w:r w:rsidRPr="008438C0">
        <w:rPr>
          <w:rFonts w:ascii="Times New Roman" w:hAnsi="Times New Roman"/>
          <w:noProof/>
        </w:rPr>
        <w:t>, 166(10), pp.6383–6391.</w:t>
      </w:r>
    </w:p>
    <w:p w14:paraId="2C98D7B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Verkhratsky, A. et al., 2010. Astrocytes in Alzheimer’s disease. </w:t>
      </w:r>
      <w:r w:rsidRPr="008438C0">
        <w:rPr>
          <w:rFonts w:ascii="Times New Roman" w:hAnsi="Times New Roman"/>
          <w:i/>
          <w:iCs/>
          <w:noProof/>
        </w:rPr>
        <w:t>Neurotherapeutics : the journal of the American Society for Experimental NeuroTherapeutics</w:t>
      </w:r>
      <w:r w:rsidRPr="008438C0">
        <w:rPr>
          <w:rFonts w:ascii="Times New Roman" w:hAnsi="Times New Roman"/>
          <w:noProof/>
        </w:rPr>
        <w:t>, 7(4), pp.399–412.</w:t>
      </w:r>
    </w:p>
    <w:p w14:paraId="7E9757C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Verkhratsky, A., Rodríguez, J.J. &amp; Parpura, V., 2012. Calcium signalling in astroglia. </w:t>
      </w:r>
      <w:r w:rsidRPr="008438C0">
        <w:rPr>
          <w:rFonts w:ascii="Times New Roman" w:hAnsi="Times New Roman"/>
          <w:i/>
          <w:iCs/>
          <w:noProof/>
        </w:rPr>
        <w:t>Molecular and cellular endocrinology</w:t>
      </w:r>
      <w:r w:rsidRPr="008438C0">
        <w:rPr>
          <w:rFonts w:ascii="Times New Roman" w:hAnsi="Times New Roman"/>
          <w:noProof/>
        </w:rPr>
        <w:t>, 353(1–2), pp.45–56.</w:t>
      </w:r>
    </w:p>
    <w:p w14:paraId="0F0F22C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Vermeiren, C. et al., 2005. Acute up-regulation of glutamate uptake mediated by mGluR5a in reactive astrocytes. </w:t>
      </w:r>
      <w:r w:rsidRPr="008438C0">
        <w:rPr>
          <w:rFonts w:ascii="Times New Roman" w:hAnsi="Times New Roman"/>
          <w:i/>
          <w:iCs/>
          <w:noProof/>
        </w:rPr>
        <w:t>Journal of neurochemistry</w:t>
      </w:r>
      <w:r w:rsidRPr="008438C0">
        <w:rPr>
          <w:rFonts w:ascii="Times New Roman" w:hAnsi="Times New Roman"/>
          <w:noProof/>
        </w:rPr>
        <w:t>, 94(2), pp.405–16.</w:t>
      </w:r>
    </w:p>
    <w:p w14:paraId="52B693E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Verwer, R.W.H. et al., 2007. Mature astrocytes in the adult human neocortex express the early neuronal marker doublecortin. </w:t>
      </w:r>
      <w:r w:rsidRPr="008438C0">
        <w:rPr>
          <w:rFonts w:ascii="Times New Roman" w:hAnsi="Times New Roman"/>
          <w:i/>
          <w:iCs/>
          <w:noProof/>
        </w:rPr>
        <w:t>Brain : a journal of neurology</w:t>
      </w:r>
      <w:r w:rsidRPr="008438C0">
        <w:rPr>
          <w:rFonts w:ascii="Times New Roman" w:hAnsi="Times New Roman"/>
          <w:noProof/>
        </w:rPr>
        <w:t>, 130(Pt 12), pp.3321–35.</w:t>
      </w:r>
    </w:p>
    <w:p w14:paraId="4154A35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Veugelen, S. et al., 2016. Familial Alzheimer’s Disease Mutations in Presenilin Generate Amyloidogenic Aβ Peptide Seeds. </w:t>
      </w:r>
      <w:r w:rsidRPr="008438C0">
        <w:rPr>
          <w:rFonts w:ascii="Times New Roman" w:hAnsi="Times New Roman"/>
          <w:i/>
          <w:iCs/>
          <w:noProof/>
        </w:rPr>
        <w:t>Neuron</w:t>
      </w:r>
      <w:r w:rsidRPr="008438C0">
        <w:rPr>
          <w:rFonts w:ascii="Times New Roman" w:hAnsi="Times New Roman"/>
          <w:noProof/>
        </w:rPr>
        <w:t>, 90(2), pp.410–416.</w:t>
      </w:r>
    </w:p>
    <w:p w14:paraId="670B10B4"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Vidal, J.-S. et al., 2016. Low Serum Insulin-Like Growth Factor-I Predicts Cognitive Decline in Alzheimer’s Disease. </w:t>
      </w:r>
      <w:r w:rsidRPr="008438C0">
        <w:rPr>
          <w:rFonts w:ascii="Times New Roman" w:hAnsi="Times New Roman"/>
          <w:i/>
          <w:iCs/>
          <w:noProof/>
        </w:rPr>
        <w:t>Journal of Alzheimer’s disease : JAD</w:t>
      </w:r>
      <w:r w:rsidRPr="008438C0">
        <w:rPr>
          <w:rFonts w:ascii="Times New Roman" w:hAnsi="Times New Roman"/>
          <w:noProof/>
        </w:rPr>
        <w:t>, 52(2), pp.641–9.</w:t>
      </w:r>
    </w:p>
    <w:p w14:paraId="2E8CA9E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Vilchez, D. et al., 2007. Mechanism suppressing glycogen synthesis in neurons and its demise in progressive myoclonus epilepsy. </w:t>
      </w:r>
      <w:r w:rsidRPr="008438C0">
        <w:rPr>
          <w:rFonts w:ascii="Times New Roman" w:hAnsi="Times New Roman"/>
          <w:i/>
          <w:iCs/>
          <w:noProof/>
        </w:rPr>
        <w:t>Nature neuroscience</w:t>
      </w:r>
      <w:r w:rsidRPr="008438C0">
        <w:rPr>
          <w:rFonts w:ascii="Times New Roman" w:hAnsi="Times New Roman"/>
          <w:noProof/>
        </w:rPr>
        <w:t>, 10(11), pp.1407–13.</w:t>
      </w:r>
    </w:p>
    <w:p w14:paraId="655EB49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Vincent, A.M. et al., 2004. IGF-I prevents glutamate-induced motor neuron programmed cell death. </w:t>
      </w:r>
      <w:r w:rsidRPr="008438C0">
        <w:rPr>
          <w:rFonts w:ascii="Times New Roman" w:hAnsi="Times New Roman"/>
          <w:i/>
          <w:iCs/>
          <w:noProof/>
        </w:rPr>
        <w:t>Neurobiology of disease</w:t>
      </w:r>
      <w:r w:rsidRPr="008438C0">
        <w:rPr>
          <w:rFonts w:ascii="Times New Roman" w:hAnsi="Times New Roman"/>
          <w:noProof/>
        </w:rPr>
        <w:t>, 16(2), pp.407–16.</w:t>
      </w:r>
    </w:p>
    <w:p w14:paraId="7D43157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Virchow, R. et al., 1860. </w:t>
      </w:r>
      <w:r w:rsidRPr="008438C0">
        <w:rPr>
          <w:rFonts w:ascii="Times New Roman" w:hAnsi="Times New Roman"/>
          <w:i/>
          <w:iCs/>
          <w:noProof/>
        </w:rPr>
        <w:t>Cellular pathology as based upon physiological and pathological histology; twenty lectures delivered in the Pathological Institute of Berlin during the months of February, March, and April, 1858 /</w:t>
      </w:r>
      <w:r w:rsidRPr="008438C0">
        <w:rPr>
          <w:rFonts w:ascii="Times New Roman" w:hAnsi="Times New Roman"/>
          <w:noProof/>
        </w:rPr>
        <w:t>, London : John Churchill,.</w:t>
      </w:r>
    </w:p>
    <w:p w14:paraId="119B65CD"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Voloboueva, L.A. et al., 2007. Inhibition of mitochondrial function in astrocytes: implications for neuroprotection. </w:t>
      </w:r>
      <w:r w:rsidRPr="008438C0">
        <w:rPr>
          <w:rFonts w:ascii="Times New Roman" w:hAnsi="Times New Roman"/>
          <w:i/>
          <w:iCs/>
          <w:noProof/>
        </w:rPr>
        <w:t>Journal of neurochemistry</w:t>
      </w:r>
      <w:r w:rsidRPr="008438C0">
        <w:rPr>
          <w:rFonts w:ascii="Times New Roman" w:hAnsi="Times New Roman"/>
          <w:noProof/>
        </w:rPr>
        <w:t>, 102(4), pp.1383–94.</w:t>
      </w:r>
    </w:p>
    <w:p w14:paraId="119D2EC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Wagner, B. et al., 2006. Neuronal survival depends on EGFR signaling in cortical but not midbrain astrocytes. </w:t>
      </w:r>
      <w:r w:rsidRPr="008438C0">
        <w:rPr>
          <w:rFonts w:ascii="Times New Roman" w:hAnsi="Times New Roman"/>
          <w:i/>
          <w:iCs/>
          <w:noProof/>
        </w:rPr>
        <w:t>The EMBO journal</w:t>
      </w:r>
      <w:r w:rsidRPr="008438C0">
        <w:rPr>
          <w:rFonts w:ascii="Times New Roman" w:hAnsi="Times New Roman"/>
          <w:noProof/>
        </w:rPr>
        <w:t>, 25(4), pp.752–62.</w:t>
      </w:r>
    </w:p>
    <w:p w14:paraId="5618892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Wan, Q. et al., 1997. Recruitment of functional GABAA receptors to postsynaptic domains by insulin. , 388(6643), pp.686–690.</w:t>
      </w:r>
    </w:p>
    <w:p w14:paraId="065320A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Wang, G. et al., 2012. Astrocytes Secrete Exosomes Enriched with Proapoptotic Ceramide and Prostate Apoptosis Response 4 (PAR-4): POTENTIAL MECHANISM OF APOPTOSIS INDUCTION IN ALZHEIMER DISEASE (AD). </w:t>
      </w:r>
      <w:r w:rsidRPr="008438C0">
        <w:rPr>
          <w:rFonts w:ascii="Times New Roman" w:hAnsi="Times New Roman"/>
          <w:i/>
          <w:iCs/>
          <w:noProof/>
        </w:rPr>
        <w:t>Journal of Biological Chemistry</w:t>
      </w:r>
      <w:r w:rsidRPr="008438C0">
        <w:rPr>
          <w:rFonts w:ascii="Times New Roman" w:hAnsi="Times New Roman"/>
          <w:noProof/>
        </w:rPr>
        <w:t>, 287(25), pp.21384–21395.</w:t>
      </w:r>
    </w:p>
    <w:p w14:paraId="3E18349B"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Wang, J.-Z. &amp; Liu, F., 2008. Microtubule-associated protein tau in development, degeneration and protection of neurons. </w:t>
      </w:r>
      <w:r w:rsidRPr="008438C0">
        <w:rPr>
          <w:rFonts w:ascii="Times New Roman" w:hAnsi="Times New Roman"/>
          <w:i/>
          <w:iCs/>
          <w:noProof/>
        </w:rPr>
        <w:t>Progress in Neurobiology</w:t>
      </w:r>
      <w:r w:rsidRPr="008438C0">
        <w:rPr>
          <w:rFonts w:ascii="Times New Roman" w:hAnsi="Times New Roman"/>
          <w:noProof/>
        </w:rPr>
        <w:t>, 85(2), pp.148–175.</w:t>
      </w:r>
    </w:p>
    <w:p w14:paraId="41A6EFE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Wang, W. et al., 2012. </w:t>
      </w:r>
      <w:r w:rsidRPr="008438C0">
        <w:rPr>
          <w:rFonts w:ascii="Times New Roman" w:hAnsi="Times New Roman"/>
          <w:i/>
          <w:iCs/>
          <w:noProof/>
        </w:rPr>
        <w:t>Insulin-like growth factor 1 (IGF1) polymorphism is associated with Alzheimer’s disease in Han Chinese</w:t>
      </w:r>
      <w:r w:rsidRPr="008438C0">
        <w:rPr>
          <w:rFonts w:ascii="Times New Roman" w:hAnsi="Times New Roman"/>
          <w:noProof/>
        </w:rPr>
        <w:t>,</w:t>
      </w:r>
    </w:p>
    <w:p w14:paraId="3C4E69B4"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Wang, X.F. &amp; Cynader, M.S., 2001. Pyruvate released by astrocytes protects neurons from copper-catalyzed cysteine neurotoxicity.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21(10), pp.3322–31.</w:t>
      </w:r>
    </w:p>
    <w:p w14:paraId="2739F0BD"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Weingarten, M.D. et al., 1975. A protein factor essential for microtubule assembly. </w:t>
      </w:r>
      <w:r w:rsidRPr="008438C0">
        <w:rPr>
          <w:rFonts w:ascii="Times New Roman" w:hAnsi="Times New Roman"/>
          <w:i/>
          <w:iCs/>
          <w:noProof/>
        </w:rPr>
        <w:t>Proceedings of the National Academy of Sciences of the United States of America</w:t>
      </w:r>
      <w:r w:rsidRPr="008438C0">
        <w:rPr>
          <w:rFonts w:ascii="Times New Roman" w:hAnsi="Times New Roman"/>
          <w:noProof/>
        </w:rPr>
        <w:t>, 72(5), pp.1858–62.</w:t>
      </w:r>
    </w:p>
    <w:p w14:paraId="74D54E0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Whatley, S.A., Hall, C. &amp; Lim, L., 1981. Hypothalamic Neurons in Dissociated Cell Culture: The Mechanism of Increased Survival Times in the Presence of Non-Neuronal Cells. </w:t>
      </w:r>
      <w:r w:rsidRPr="008438C0">
        <w:rPr>
          <w:rFonts w:ascii="Times New Roman" w:hAnsi="Times New Roman"/>
          <w:i/>
          <w:iCs/>
          <w:noProof/>
        </w:rPr>
        <w:t>Journal of Neurochemistry</w:t>
      </w:r>
      <w:r w:rsidRPr="008438C0">
        <w:rPr>
          <w:rFonts w:ascii="Times New Roman" w:hAnsi="Times New Roman"/>
          <w:noProof/>
        </w:rPr>
        <w:t>, 36(6), pp.2052–2056.</w:t>
      </w:r>
    </w:p>
    <w:p w14:paraId="361FA52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Wilhelmsson, U. et al., 2004. Absence of glial fibrillary acidic protein and vimentin prevents hypertrophy of astrocytic processes and improves post-traumatic regeneration.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24(21), pp.5016–21.</w:t>
      </w:r>
    </w:p>
    <w:p w14:paraId="770ED88C"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Wilson, J.X. et al., 2000. Glutamate stimulates ascorbate transport by astrocytes. </w:t>
      </w:r>
      <w:r w:rsidRPr="008438C0">
        <w:rPr>
          <w:rFonts w:ascii="Times New Roman" w:hAnsi="Times New Roman"/>
          <w:i/>
          <w:iCs/>
          <w:noProof/>
        </w:rPr>
        <w:t>Brain Research</w:t>
      </w:r>
      <w:r w:rsidRPr="008438C0">
        <w:rPr>
          <w:rFonts w:ascii="Times New Roman" w:hAnsi="Times New Roman"/>
          <w:noProof/>
        </w:rPr>
        <w:t>, 858(1), pp.61–66.</w:t>
      </w:r>
    </w:p>
    <w:p w14:paraId="0F9672D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Winkler, E.A. et al., 2015. GLUT1 reductions exacerbate Alzheimer’s disease vasculo-neuronal dysfunction and degeneration. </w:t>
      </w:r>
      <w:r w:rsidRPr="008438C0">
        <w:rPr>
          <w:rFonts w:ascii="Times New Roman" w:hAnsi="Times New Roman"/>
          <w:i/>
          <w:iCs/>
          <w:noProof/>
        </w:rPr>
        <w:t>Nature neuroscience</w:t>
      </w:r>
      <w:r w:rsidRPr="008438C0">
        <w:rPr>
          <w:rFonts w:ascii="Times New Roman" w:hAnsi="Times New Roman"/>
          <w:noProof/>
        </w:rPr>
        <w:t>, 18(4), pp.521–30.</w:t>
      </w:r>
    </w:p>
    <w:p w14:paraId="19C05EE0"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Xia, D., Kelleher, R.J. &amp; Shen, J., 2016. Loss of Aβ43 Production Caused by Presenilin-1 Mutations in the Knockin Mouse Brain. </w:t>
      </w:r>
      <w:r w:rsidRPr="008438C0">
        <w:rPr>
          <w:rFonts w:ascii="Times New Roman" w:hAnsi="Times New Roman"/>
          <w:i/>
          <w:iCs/>
          <w:noProof/>
        </w:rPr>
        <w:t>Neuron</w:t>
      </w:r>
      <w:r w:rsidRPr="008438C0">
        <w:rPr>
          <w:rFonts w:ascii="Times New Roman" w:hAnsi="Times New Roman"/>
          <w:noProof/>
        </w:rPr>
        <w:t>, 90(2), pp.417–422.</w:t>
      </w:r>
    </w:p>
    <w:p w14:paraId="040476C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Xie, L. et al., 2002. Alzheimer’s beta-amyloid peptides compete for insulin binding to the insulin receptor.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22(10), p.RC221.</w:t>
      </w:r>
    </w:p>
    <w:p w14:paraId="3A4D0A4E"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Yadava, N. et al., 2002. Species-specific and mutant MWFE proteins. Their effect on the assembly of a functional mammalian mitochondrial complex I. </w:t>
      </w:r>
      <w:r w:rsidRPr="008438C0">
        <w:rPr>
          <w:rFonts w:ascii="Times New Roman" w:hAnsi="Times New Roman"/>
          <w:i/>
          <w:iCs/>
          <w:noProof/>
        </w:rPr>
        <w:t>The Journal of biological chemistry</w:t>
      </w:r>
      <w:r w:rsidRPr="008438C0">
        <w:rPr>
          <w:rFonts w:ascii="Times New Roman" w:hAnsi="Times New Roman"/>
          <w:noProof/>
        </w:rPr>
        <w:t>, 277(24), pp.21221–30.</w:t>
      </w:r>
    </w:p>
    <w:p w14:paraId="389128A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Yamanaka, K. et al., 2008. Astrocytes as determinants of disease progression in inherited amyotrophic lateral sclerosis. </w:t>
      </w:r>
      <w:r w:rsidRPr="008438C0">
        <w:rPr>
          <w:rFonts w:ascii="Times New Roman" w:hAnsi="Times New Roman"/>
          <w:i/>
          <w:iCs/>
          <w:noProof/>
        </w:rPr>
        <w:t>Nature neuroscience</w:t>
      </w:r>
      <w:r w:rsidRPr="008438C0">
        <w:rPr>
          <w:rFonts w:ascii="Times New Roman" w:hAnsi="Times New Roman"/>
          <w:noProof/>
        </w:rPr>
        <w:t>, 11(3), pp.251–3.</w:t>
      </w:r>
    </w:p>
    <w:p w14:paraId="33D1721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Yang, W. et al., 2012. Aquaporin-4 mediates astrocyte response to β-amyloid. </w:t>
      </w:r>
      <w:r w:rsidRPr="008438C0">
        <w:rPr>
          <w:rFonts w:ascii="Times New Roman" w:hAnsi="Times New Roman"/>
          <w:i/>
          <w:iCs/>
          <w:noProof/>
        </w:rPr>
        <w:t>Molecular and cellular neurosciences</w:t>
      </w:r>
      <w:r w:rsidRPr="008438C0">
        <w:rPr>
          <w:rFonts w:ascii="Times New Roman" w:hAnsi="Times New Roman"/>
          <w:noProof/>
        </w:rPr>
        <w:t>, 49(4), pp.406–14.</w:t>
      </w:r>
    </w:p>
    <w:p w14:paraId="0513045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Yang, Y. et al., 2016. Exendin-4 reduces tau hyperphosphorylation in type 2 diabetic rats via increasing brain insulin level. </w:t>
      </w:r>
      <w:r w:rsidRPr="008438C0">
        <w:rPr>
          <w:rFonts w:ascii="Times New Roman" w:hAnsi="Times New Roman"/>
          <w:i/>
          <w:iCs/>
          <w:noProof/>
        </w:rPr>
        <w:t>Molecular and cellular neurosciences</w:t>
      </w:r>
      <w:r w:rsidRPr="008438C0">
        <w:rPr>
          <w:rFonts w:ascii="Times New Roman" w:hAnsi="Times New Roman"/>
          <w:noProof/>
        </w:rPr>
        <w:t>, 70, pp.68–75.</w:t>
      </w:r>
    </w:p>
    <w:p w14:paraId="459A86F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Yang, Y. et al., 2009. Presynaptic Regulation of Astroglial Excitatory Neurotransmitter Transporter GLT1. </w:t>
      </w:r>
      <w:r w:rsidRPr="008438C0">
        <w:rPr>
          <w:rFonts w:ascii="Times New Roman" w:hAnsi="Times New Roman"/>
          <w:i/>
          <w:iCs/>
          <w:noProof/>
        </w:rPr>
        <w:t>Neuron</w:t>
      </w:r>
      <w:r w:rsidRPr="008438C0">
        <w:rPr>
          <w:rFonts w:ascii="Times New Roman" w:hAnsi="Times New Roman"/>
          <w:noProof/>
        </w:rPr>
        <w:t>, 61(6), pp.880–894.</w:t>
      </w:r>
    </w:p>
    <w:p w14:paraId="5437F018"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Yarchoan, M. et al., 2014. Abnormal serine phosphorylation of insulin receptor substrate 1 is associated with tau pathology in Alzheimer’s disease and tauopathies. </w:t>
      </w:r>
      <w:r w:rsidRPr="008438C0">
        <w:rPr>
          <w:rFonts w:ascii="Times New Roman" w:hAnsi="Times New Roman"/>
          <w:i/>
          <w:iCs/>
          <w:noProof/>
        </w:rPr>
        <w:t>Acta neuropathologica</w:t>
      </w:r>
      <w:r w:rsidRPr="008438C0">
        <w:rPr>
          <w:rFonts w:ascii="Times New Roman" w:hAnsi="Times New Roman"/>
          <w:noProof/>
        </w:rPr>
        <w:t>, 128(5), pp.679–89.</w:t>
      </w:r>
    </w:p>
    <w:p w14:paraId="01029E1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Yeh, C.-Y. et al., 2011. Early astrocytic atrophy in the entorhinal cortex of a triple transgenic animal model of Alzheimer’s disease. </w:t>
      </w:r>
      <w:r w:rsidRPr="008438C0">
        <w:rPr>
          <w:rFonts w:ascii="Times New Roman" w:hAnsi="Times New Roman"/>
          <w:i/>
          <w:iCs/>
          <w:noProof/>
        </w:rPr>
        <w:t>ASN neuro</w:t>
      </w:r>
      <w:r w:rsidRPr="008438C0">
        <w:rPr>
          <w:rFonts w:ascii="Times New Roman" w:hAnsi="Times New Roman"/>
          <w:noProof/>
        </w:rPr>
        <w:t>, 3(5), pp.271–9.</w:t>
      </w:r>
    </w:p>
    <w:p w14:paraId="5C76A16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Yeh, T.-H. et al., 2009. Microarray analyses reveal regional astrocyte heterogeneity with implications for neurofibromatosis type 1 (NF1)-regulated glial proliferation. </w:t>
      </w:r>
      <w:r w:rsidRPr="008438C0">
        <w:rPr>
          <w:rFonts w:ascii="Times New Roman" w:hAnsi="Times New Roman"/>
          <w:i/>
          <w:iCs/>
          <w:noProof/>
        </w:rPr>
        <w:t>Glia</w:t>
      </w:r>
      <w:r w:rsidRPr="008438C0">
        <w:rPr>
          <w:rFonts w:ascii="Times New Roman" w:hAnsi="Times New Roman"/>
          <w:noProof/>
        </w:rPr>
        <w:t>, 57(11), pp.1239–49.</w:t>
      </w:r>
    </w:p>
    <w:p w14:paraId="4E19F0B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Yi, J.-H. &amp; Hazell, A.S., 2006. Excitotoxic mechanisms and the role of astrocytic glutamate transporters in traumatic brain injury. </w:t>
      </w:r>
      <w:r w:rsidRPr="008438C0">
        <w:rPr>
          <w:rFonts w:ascii="Times New Roman" w:hAnsi="Times New Roman"/>
          <w:i/>
          <w:iCs/>
          <w:noProof/>
        </w:rPr>
        <w:t>Neurochemistry International</w:t>
      </w:r>
      <w:r w:rsidRPr="008438C0">
        <w:rPr>
          <w:rFonts w:ascii="Times New Roman" w:hAnsi="Times New Roman"/>
          <w:noProof/>
        </w:rPr>
        <w:t>, 48(5), pp.394–403.</w:t>
      </w:r>
    </w:p>
    <w:p w14:paraId="54345FB1"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Yiannopoulou, K.G. &amp; Papageorgiou, S.G., 2013. Current and future treatments for Alzheimer’s disease. </w:t>
      </w:r>
      <w:r w:rsidRPr="008438C0">
        <w:rPr>
          <w:rFonts w:ascii="Times New Roman" w:hAnsi="Times New Roman"/>
          <w:i/>
          <w:iCs/>
          <w:noProof/>
        </w:rPr>
        <w:t>Therapeutic advances in neurological disorders</w:t>
      </w:r>
      <w:r w:rsidRPr="008438C0">
        <w:rPr>
          <w:rFonts w:ascii="Times New Roman" w:hAnsi="Times New Roman"/>
          <w:noProof/>
        </w:rPr>
        <w:t>, 6(1), pp.19–33.</w:t>
      </w:r>
    </w:p>
    <w:p w14:paraId="7847E084"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Yoshino, Y. et al., 2015. Glucagon-like peptide-1 protects the murine hippocampus against stressors via Akt and ERK1/2 signaling. </w:t>
      </w:r>
      <w:r w:rsidRPr="008438C0">
        <w:rPr>
          <w:rFonts w:ascii="Times New Roman" w:hAnsi="Times New Roman"/>
          <w:i/>
          <w:iCs/>
          <w:noProof/>
        </w:rPr>
        <w:t>Biochemical and biophysical research communications</w:t>
      </w:r>
      <w:r w:rsidRPr="008438C0">
        <w:rPr>
          <w:rFonts w:ascii="Times New Roman" w:hAnsi="Times New Roman"/>
          <w:noProof/>
        </w:rPr>
        <w:t>, 458(2), pp.274–9.</w:t>
      </w:r>
    </w:p>
    <w:p w14:paraId="787D1246"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Yu, A.C.H. et al., 1983. Pyruvate Carboxylase Activity in Primary Cultures of Astrocytes and Neurons. </w:t>
      </w:r>
      <w:r w:rsidRPr="008438C0">
        <w:rPr>
          <w:rFonts w:ascii="Times New Roman" w:hAnsi="Times New Roman"/>
          <w:i/>
          <w:iCs/>
          <w:noProof/>
        </w:rPr>
        <w:t>Journal of Neurochemistry</w:t>
      </w:r>
      <w:r w:rsidRPr="008438C0">
        <w:rPr>
          <w:rFonts w:ascii="Times New Roman" w:hAnsi="Times New Roman"/>
          <w:noProof/>
        </w:rPr>
        <w:t>, 41(5), pp.1484–1487.</w:t>
      </w:r>
    </w:p>
    <w:p w14:paraId="7132FE0A"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Zamanian, J.L. et al., 2012. Genomic Analysis of Reactive Astrogliosis. </w:t>
      </w:r>
      <w:r w:rsidRPr="008438C0">
        <w:rPr>
          <w:rFonts w:ascii="Times New Roman" w:hAnsi="Times New Roman"/>
          <w:i/>
          <w:iCs/>
          <w:noProof/>
        </w:rPr>
        <w:t>Journal of Neuroscience</w:t>
      </w:r>
      <w:r w:rsidRPr="008438C0">
        <w:rPr>
          <w:rFonts w:ascii="Times New Roman" w:hAnsi="Times New Roman"/>
          <w:noProof/>
        </w:rPr>
        <w:t>, 32(18), pp.6391–6410.</w:t>
      </w:r>
    </w:p>
    <w:p w14:paraId="4C48B42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Zarse, K. et al., 2012. Impaired insulin/IGF1 signaling extends life span by promoting mitochondrial L-proline catabolism to induce a transient ROS signal. </w:t>
      </w:r>
      <w:r w:rsidRPr="008438C0">
        <w:rPr>
          <w:rFonts w:ascii="Times New Roman" w:hAnsi="Times New Roman"/>
          <w:i/>
          <w:iCs/>
          <w:noProof/>
        </w:rPr>
        <w:t>Cell metabolism</w:t>
      </w:r>
      <w:r w:rsidRPr="008438C0">
        <w:rPr>
          <w:rFonts w:ascii="Times New Roman" w:hAnsi="Times New Roman"/>
          <w:noProof/>
        </w:rPr>
        <w:t>, 15(4), pp.451–65.</w:t>
      </w:r>
    </w:p>
    <w:p w14:paraId="1C34130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Zhang, C. et al., 2012. Prediction of S-glutathionylated proteins progression in Alzheimer’s transgenic mouse model using principle component analysis. </w:t>
      </w:r>
      <w:r w:rsidRPr="008438C0">
        <w:rPr>
          <w:rFonts w:ascii="Times New Roman" w:hAnsi="Times New Roman"/>
          <w:i/>
          <w:iCs/>
          <w:noProof/>
        </w:rPr>
        <w:t>Journal of Alzheimer’s disease : JAD</w:t>
      </w:r>
      <w:r w:rsidRPr="008438C0">
        <w:rPr>
          <w:rFonts w:ascii="Times New Roman" w:hAnsi="Times New Roman"/>
          <w:noProof/>
        </w:rPr>
        <w:t>, 30(4), pp.919–34.</w:t>
      </w:r>
    </w:p>
    <w:p w14:paraId="14CA219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Zhang, L. et al., 2015. Modulation of Mitochondrial Complex I Activity Averts Cognitive Decline in Multiple Animal Models of Familial Alzheimer’s Disease. </w:t>
      </w:r>
      <w:r w:rsidRPr="008438C0">
        <w:rPr>
          <w:rFonts w:ascii="Times New Roman" w:hAnsi="Times New Roman"/>
          <w:i/>
          <w:iCs/>
          <w:noProof/>
        </w:rPr>
        <w:t>EBioMedicine</w:t>
      </w:r>
      <w:r w:rsidRPr="008438C0">
        <w:rPr>
          <w:rFonts w:ascii="Times New Roman" w:hAnsi="Times New Roman"/>
          <w:noProof/>
        </w:rPr>
        <w:t>, 2(4), pp.294–305.</w:t>
      </w:r>
    </w:p>
    <w:p w14:paraId="2976C2D2"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Zhang, Q. et al., 2015. Amyloid β oligomer-induced ERK1/2-dependent serine 636/639 phosphorylation of insulin receptor substrate-1 impairs insulin signaling and glycogen storage in human astrocytes. </w:t>
      </w:r>
      <w:r w:rsidRPr="008438C0">
        <w:rPr>
          <w:rFonts w:ascii="Times New Roman" w:hAnsi="Times New Roman"/>
          <w:i/>
          <w:iCs/>
          <w:noProof/>
        </w:rPr>
        <w:t>Gene</w:t>
      </w:r>
      <w:r w:rsidRPr="008438C0">
        <w:rPr>
          <w:rFonts w:ascii="Times New Roman" w:hAnsi="Times New Roman"/>
          <w:noProof/>
        </w:rPr>
        <w:t>, 561(1), pp.76–81.</w:t>
      </w:r>
    </w:p>
    <w:p w14:paraId="4C1CB187"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Zhang, Y. et al., 2014. An RNA-Sequencing Transcriptome and Splicing Database of Glia, Neurons, and Vascular Cells of the Cerebral Cortex.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34(36), pp.11929–47.</w:t>
      </w:r>
    </w:p>
    <w:p w14:paraId="03D36D93"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Zhang, Y. et al., 2016. Purification and Characterization of Progenitor and Mature Human Astrocytes Reveals Transcriptional and Functional Differences with Mouse. </w:t>
      </w:r>
      <w:r w:rsidRPr="008438C0">
        <w:rPr>
          <w:rFonts w:ascii="Times New Roman" w:hAnsi="Times New Roman"/>
          <w:i/>
          <w:iCs/>
          <w:noProof/>
        </w:rPr>
        <w:t>Neuron</w:t>
      </w:r>
      <w:r w:rsidRPr="008438C0">
        <w:rPr>
          <w:rFonts w:ascii="Times New Roman" w:hAnsi="Times New Roman"/>
          <w:noProof/>
        </w:rPr>
        <w:t>, 89(1), pp.37–53.</w:t>
      </w:r>
    </w:p>
    <w:p w14:paraId="611F5899"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Zhang, Y. &amp; Barres, B.A., 2010. Astrocyte heterogeneity: an underappreciated topic in neurobiology. </w:t>
      </w:r>
      <w:r w:rsidRPr="008438C0">
        <w:rPr>
          <w:rFonts w:ascii="Times New Roman" w:hAnsi="Times New Roman"/>
          <w:i/>
          <w:iCs/>
          <w:noProof/>
        </w:rPr>
        <w:t>Current opinion in neurobiology</w:t>
      </w:r>
      <w:r w:rsidRPr="008438C0">
        <w:rPr>
          <w:rFonts w:ascii="Times New Roman" w:hAnsi="Times New Roman"/>
          <w:noProof/>
        </w:rPr>
        <w:t>, 20(5), pp.588–94.</w:t>
      </w:r>
    </w:p>
    <w:p w14:paraId="0A96C844"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Zhao, L. et al., 2004. Insulin-degrading enzyme as a downstream target of insulin receptor signaling cascade: implications for Alzheimer’s disease intervention. </w:t>
      </w:r>
      <w:r w:rsidRPr="008438C0">
        <w:rPr>
          <w:rFonts w:ascii="Times New Roman" w:hAnsi="Times New Roman"/>
          <w:i/>
          <w:iCs/>
          <w:noProof/>
        </w:rPr>
        <w:t>The Journal of neuroscience : the official journal of the Society for Neuroscience</w:t>
      </w:r>
      <w:r w:rsidRPr="008438C0">
        <w:rPr>
          <w:rFonts w:ascii="Times New Roman" w:hAnsi="Times New Roman"/>
          <w:noProof/>
        </w:rPr>
        <w:t>, 24(49), pp.11120–6.</w:t>
      </w:r>
    </w:p>
    <w:p w14:paraId="558D94A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Zhao, W.-Q. &amp; Alkon, D.L., 2001. Role of insulin and insulin receptor in learning and memory. </w:t>
      </w:r>
      <w:r w:rsidRPr="008438C0">
        <w:rPr>
          <w:rFonts w:ascii="Times New Roman" w:hAnsi="Times New Roman"/>
          <w:i/>
          <w:iCs/>
          <w:noProof/>
        </w:rPr>
        <w:t>Molecular and Cellular Endocrinology</w:t>
      </w:r>
      <w:r w:rsidRPr="008438C0">
        <w:rPr>
          <w:rFonts w:ascii="Times New Roman" w:hAnsi="Times New Roman"/>
          <w:noProof/>
        </w:rPr>
        <w:t>, 177(1–2), pp.125–134.</w:t>
      </w:r>
    </w:p>
    <w:p w14:paraId="338C63C5" w14:textId="77777777" w:rsidR="008438C0" w:rsidRPr="008438C0" w:rsidRDefault="008438C0" w:rsidP="008438C0">
      <w:pPr>
        <w:widowControl w:val="0"/>
        <w:autoSpaceDE w:val="0"/>
        <w:autoSpaceDN w:val="0"/>
        <w:adjustRightInd w:val="0"/>
        <w:ind w:left="480" w:hanging="480"/>
        <w:rPr>
          <w:rFonts w:ascii="Times New Roman" w:hAnsi="Times New Roman"/>
          <w:noProof/>
        </w:rPr>
      </w:pPr>
      <w:r w:rsidRPr="008438C0">
        <w:rPr>
          <w:rFonts w:ascii="Times New Roman" w:hAnsi="Times New Roman"/>
          <w:noProof/>
        </w:rPr>
        <w:t xml:space="preserve">Zonta, M. et al., 2003. Neuron-to-astrocyte signaling is central to the dynamic control of brain microcirculation. </w:t>
      </w:r>
      <w:r w:rsidRPr="008438C0">
        <w:rPr>
          <w:rFonts w:ascii="Times New Roman" w:hAnsi="Times New Roman"/>
          <w:i/>
          <w:iCs/>
          <w:noProof/>
        </w:rPr>
        <w:t>Nature neuroscience</w:t>
      </w:r>
      <w:r w:rsidRPr="008438C0">
        <w:rPr>
          <w:rFonts w:ascii="Times New Roman" w:hAnsi="Times New Roman"/>
          <w:noProof/>
        </w:rPr>
        <w:t>, 6(1), pp.43–50.</w:t>
      </w:r>
    </w:p>
    <w:p w14:paraId="1FBA2958" w14:textId="4611518C" w:rsidR="00FC11D8" w:rsidRPr="00FC11D8" w:rsidRDefault="008438C0" w:rsidP="006C5A85">
      <w:pPr>
        <w:widowControl w:val="0"/>
        <w:autoSpaceDE w:val="0"/>
        <w:autoSpaceDN w:val="0"/>
        <w:adjustRightInd w:val="0"/>
        <w:ind w:left="480" w:hanging="480"/>
        <w:rPr>
          <w:rFonts w:ascii="Times New Roman" w:hAnsi="Times New Roman" w:cs="Times New Roman"/>
        </w:rPr>
      </w:pPr>
      <w:r>
        <w:rPr>
          <w:rFonts w:ascii="Times New Roman" w:hAnsi="Times New Roman" w:cs="Times New Roman"/>
        </w:rPr>
        <w:fldChar w:fldCharType="end"/>
      </w:r>
    </w:p>
    <w:sectPr w:rsidR="00FC11D8" w:rsidRPr="00FC11D8" w:rsidSect="00F13FED">
      <w:pgSz w:w="11900" w:h="16840"/>
      <w:pgMar w:top="1440" w:right="1134" w:bottom="1440" w:left="226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CDCA41" w14:textId="77777777" w:rsidR="00C865FA" w:rsidRDefault="00C865FA" w:rsidP="00347976">
      <w:r>
        <w:separator/>
      </w:r>
    </w:p>
  </w:endnote>
  <w:endnote w:type="continuationSeparator" w:id="0">
    <w:p w14:paraId="296020CD" w14:textId="77777777" w:rsidR="00C865FA" w:rsidRDefault="00C865FA" w:rsidP="003479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ＭＳ ゴシック">
    <w:panose1 w:val="00000000000000000000"/>
    <w:charset w:val="80"/>
    <w:family w:val="modern"/>
    <w:notTrueType/>
    <w:pitch w:val="fixed"/>
    <w:sig w:usb0="00000001" w:usb1="08070000" w:usb2="00000010" w:usb3="00000000" w:csb0="00020000" w:csb1="00000000"/>
  </w:font>
  <w:font w:name="Lucida Grande">
    <w:altName w:val="Arial"/>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00000003" w:usb1="00000000" w:usb2="00000000" w:usb3="00000000" w:csb0="00000001" w:csb1="00000000"/>
  </w:font>
  <w:font w:name="Times">
    <w:panose1 w:val="02000500000000000000"/>
    <w:charset w:val="4D"/>
    <w:family w:val="roman"/>
    <w:notTrueType/>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merican Typewriter">
    <w:panose1 w:val="02090604020004020304"/>
    <w:charset w:val="00"/>
    <w:family w:val="auto"/>
    <w:pitch w:val="variable"/>
    <w:sig w:usb0="A000006F" w:usb1="00000019" w:usb2="00000000" w:usb3="00000000" w:csb0="0000011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31B407" w14:textId="77777777" w:rsidR="00C865FA" w:rsidRDefault="00C865FA" w:rsidP="00F5455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99C6DEB" w14:textId="77777777" w:rsidR="00C865FA" w:rsidRDefault="00C865FA" w:rsidP="00895FEA">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AEC937" w14:textId="77777777" w:rsidR="00C865FA" w:rsidRDefault="00C865FA" w:rsidP="00F5455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762A1">
      <w:rPr>
        <w:rStyle w:val="PageNumber"/>
        <w:noProof/>
      </w:rPr>
      <w:t>1</w:t>
    </w:r>
    <w:r>
      <w:rPr>
        <w:rStyle w:val="PageNumber"/>
      </w:rPr>
      <w:fldChar w:fldCharType="end"/>
    </w:r>
  </w:p>
  <w:p w14:paraId="2ACF3EF3" w14:textId="77777777" w:rsidR="00C865FA" w:rsidRDefault="00C865FA" w:rsidP="00895FEA">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1B3E68" w14:textId="77777777" w:rsidR="00C865FA" w:rsidRDefault="00C865FA" w:rsidP="00347976">
      <w:r>
        <w:separator/>
      </w:r>
    </w:p>
  </w:footnote>
  <w:footnote w:type="continuationSeparator" w:id="0">
    <w:p w14:paraId="58AF608D" w14:textId="77777777" w:rsidR="00C865FA" w:rsidRDefault="00C865FA" w:rsidP="0034797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9B4CCD" w14:textId="77777777" w:rsidR="00C865FA" w:rsidRDefault="00C865FA" w:rsidP="000548D1">
    <w:pPr>
      <w:pStyle w:val="Header"/>
      <w:jc w:val="left"/>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ED6E8C" w14:textId="77777777" w:rsidR="00C865FA" w:rsidRDefault="00C865FA" w:rsidP="000548D1">
    <w:pPr>
      <w:pStyle w:val="Header"/>
      <w:jc w:val="left"/>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95DF2"/>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nsid w:val="0B9D297A"/>
    <w:multiLevelType w:val="multilevel"/>
    <w:tmpl w:val="B7EC7210"/>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nsid w:val="12A16285"/>
    <w:multiLevelType w:val="hybridMultilevel"/>
    <w:tmpl w:val="FDCC1874"/>
    <w:lvl w:ilvl="0" w:tplc="7B24B6B6">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53A0328"/>
    <w:multiLevelType w:val="hybridMultilevel"/>
    <w:tmpl w:val="6B10C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B373CC0"/>
    <w:multiLevelType w:val="hybridMultilevel"/>
    <w:tmpl w:val="8496E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0F04951"/>
    <w:multiLevelType w:val="hybridMultilevel"/>
    <w:tmpl w:val="BE347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3245FAE"/>
    <w:multiLevelType w:val="hybridMultilevel"/>
    <w:tmpl w:val="FCA03E10"/>
    <w:lvl w:ilvl="0" w:tplc="75C0C2BC">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7B1689A"/>
    <w:multiLevelType w:val="hybridMultilevel"/>
    <w:tmpl w:val="7172A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2B15F6A"/>
    <w:multiLevelType w:val="hybridMultilevel"/>
    <w:tmpl w:val="72523E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574152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55DE7AB2"/>
    <w:multiLevelType w:val="hybridMultilevel"/>
    <w:tmpl w:val="9F9A7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72E447F"/>
    <w:multiLevelType w:val="hybridMultilevel"/>
    <w:tmpl w:val="F6663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A3857A5"/>
    <w:multiLevelType w:val="hybridMultilevel"/>
    <w:tmpl w:val="79C88B9C"/>
    <w:lvl w:ilvl="0" w:tplc="1BEA6028">
      <w:start w:val="1"/>
      <w:numFmt w:val="bullet"/>
      <w:lvlText w:val="-"/>
      <w:lvlJc w:val="left"/>
      <w:pPr>
        <w:ind w:left="720" w:hanging="360"/>
      </w:pPr>
      <w:rPr>
        <w:rFonts w:ascii="Times New Roman" w:eastAsiaTheme="maj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BE33F32"/>
    <w:multiLevelType w:val="hybridMultilevel"/>
    <w:tmpl w:val="32BA6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E878E8"/>
    <w:multiLevelType w:val="hybridMultilevel"/>
    <w:tmpl w:val="0F4E958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ACE1046"/>
    <w:multiLevelType w:val="hybridMultilevel"/>
    <w:tmpl w:val="CE7A9842"/>
    <w:lvl w:ilvl="0" w:tplc="A950FE14">
      <w:start w:val="4"/>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CBA37E2"/>
    <w:multiLevelType w:val="hybridMultilevel"/>
    <w:tmpl w:val="E21CE6F6"/>
    <w:lvl w:ilvl="0" w:tplc="2128788A">
      <w:start w:val="1"/>
      <w:numFmt w:val="decimal"/>
      <w:lvlText w:val="%1)"/>
      <w:lvlJc w:val="left"/>
      <w:pPr>
        <w:ind w:left="600" w:hanging="360"/>
      </w:pPr>
      <w:rPr>
        <w:rFonts w:hint="default"/>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17">
    <w:nsid w:val="7DA44E41"/>
    <w:multiLevelType w:val="hybridMultilevel"/>
    <w:tmpl w:val="A872BB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5"/>
  </w:num>
  <w:num w:numId="3">
    <w:abstractNumId w:val="10"/>
  </w:num>
  <w:num w:numId="4">
    <w:abstractNumId w:val="2"/>
  </w:num>
  <w:num w:numId="5">
    <w:abstractNumId w:val="16"/>
  </w:num>
  <w:num w:numId="6">
    <w:abstractNumId w:val="6"/>
  </w:num>
  <w:num w:numId="7">
    <w:abstractNumId w:val="8"/>
  </w:num>
  <w:num w:numId="8">
    <w:abstractNumId w:val="15"/>
  </w:num>
  <w:num w:numId="9">
    <w:abstractNumId w:val="12"/>
  </w:num>
  <w:num w:numId="10">
    <w:abstractNumId w:val="1"/>
  </w:num>
  <w:num w:numId="11">
    <w:abstractNumId w:val="14"/>
  </w:num>
  <w:num w:numId="12">
    <w:abstractNumId w:val="17"/>
  </w:num>
  <w:num w:numId="13">
    <w:abstractNumId w:val="11"/>
  </w:num>
  <w:num w:numId="14">
    <w:abstractNumId w:val="3"/>
  </w:num>
  <w:num w:numId="15">
    <w:abstractNumId w:val="13"/>
  </w:num>
  <w:num w:numId="16">
    <w:abstractNumId w:val="7"/>
  </w:num>
  <w:num w:numId="17">
    <w:abstractNumId w:val="0"/>
  </w:num>
  <w:num w:numId="1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4"/>
  <w:hideSpellingErrors/>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5935"/>
    <w:rsid w:val="000007D8"/>
    <w:rsid w:val="00000FF1"/>
    <w:rsid w:val="000012FC"/>
    <w:rsid w:val="0000136A"/>
    <w:rsid w:val="00001690"/>
    <w:rsid w:val="000019E5"/>
    <w:rsid w:val="00002325"/>
    <w:rsid w:val="00002A38"/>
    <w:rsid w:val="00002C6B"/>
    <w:rsid w:val="000032E3"/>
    <w:rsid w:val="00003C48"/>
    <w:rsid w:val="00004828"/>
    <w:rsid w:val="00004888"/>
    <w:rsid w:val="00004C0A"/>
    <w:rsid w:val="00004C6C"/>
    <w:rsid w:val="00004CD5"/>
    <w:rsid w:val="00004E25"/>
    <w:rsid w:val="0000517C"/>
    <w:rsid w:val="0000565B"/>
    <w:rsid w:val="00005F27"/>
    <w:rsid w:val="00006454"/>
    <w:rsid w:val="000069C5"/>
    <w:rsid w:val="000079C5"/>
    <w:rsid w:val="00007E9D"/>
    <w:rsid w:val="0001008F"/>
    <w:rsid w:val="00010285"/>
    <w:rsid w:val="00010D66"/>
    <w:rsid w:val="00011261"/>
    <w:rsid w:val="00011425"/>
    <w:rsid w:val="00011FCC"/>
    <w:rsid w:val="0001214F"/>
    <w:rsid w:val="00012959"/>
    <w:rsid w:val="00012DA4"/>
    <w:rsid w:val="00012DF5"/>
    <w:rsid w:val="0001369D"/>
    <w:rsid w:val="000136DE"/>
    <w:rsid w:val="00013859"/>
    <w:rsid w:val="00013B0C"/>
    <w:rsid w:val="0001477D"/>
    <w:rsid w:val="0001479D"/>
    <w:rsid w:val="000150BC"/>
    <w:rsid w:val="000152ED"/>
    <w:rsid w:val="0001541C"/>
    <w:rsid w:val="000154B1"/>
    <w:rsid w:val="00015BDF"/>
    <w:rsid w:val="0001657A"/>
    <w:rsid w:val="00016A25"/>
    <w:rsid w:val="00016A69"/>
    <w:rsid w:val="00016C29"/>
    <w:rsid w:val="00016FAA"/>
    <w:rsid w:val="0001758F"/>
    <w:rsid w:val="00017716"/>
    <w:rsid w:val="00017EF3"/>
    <w:rsid w:val="000201A8"/>
    <w:rsid w:val="000206C4"/>
    <w:rsid w:val="00020BB1"/>
    <w:rsid w:val="000210FA"/>
    <w:rsid w:val="0002152F"/>
    <w:rsid w:val="0002245B"/>
    <w:rsid w:val="000226C6"/>
    <w:rsid w:val="00022BBE"/>
    <w:rsid w:val="00023636"/>
    <w:rsid w:val="00023A4E"/>
    <w:rsid w:val="00023D14"/>
    <w:rsid w:val="00023F8F"/>
    <w:rsid w:val="000248B9"/>
    <w:rsid w:val="00024DC4"/>
    <w:rsid w:val="00025058"/>
    <w:rsid w:val="00025B0C"/>
    <w:rsid w:val="00025B52"/>
    <w:rsid w:val="00025BA4"/>
    <w:rsid w:val="00025CDF"/>
    <w:rsid w:val="000264E9"/>
    <w:rsid w:val="000266D5"/>
    <w:rsid w:val="00026883"/>
    <w:rsid w:val="00026C4F"/>
    <w:rsid w:val="000273AF"/>
    <w:rsid w:val="000273B5"/>
    <w:rsid w:val="00027780"/>
    <w:rsid w:val="00027B94"/>
    <w:rsid w:val="00027C1C"/>
    <w:rsid w:val="00027C62"/>
    <w:rsid w:val="00027E47"/>
    <w:rsid w:val="00030017"/>
    <w:rsid w:val="000307BF"/>
    <w:rsid w:val="0003085D"/>
    <w:rsid w:val="00030D5F"/>
    <w:rsid w:val="000311B9"/>
    <w:rsid w:val="00031593"/>
    <w:rsid w:val="00031621"/>
    <w:rsid w:val="00031AB3"/>
    <w:rsid w:val="00031AE2"/>
    <w:rsid w:val="00031E7A"/>
    <w:rsid w:val="00031ECB"/>
    <w:rsid w:val="0003206C"/>
    <w:rsid w:val="0003268F"/>
    <w:rsid w:val="0003271F"/>
    <w:rsid w:val="00032D96"/>
    <w:rsid w:val="0003325D"/>
    <w:rsid w:val="00033E1B"/>
    <w:rsid w:val="00033E3A"/>
    <w:rsid w:val="00033FFA"/>
    <w:rsid w:val="0003436A"/>
    <w:rsid w:val="00034C2E"/>
    <w:rsid w:val="00034E01"/>
    <w:rsid w:val="00035002"/>
    <w:rsid w:val="00036442"/>
    <w:rsid w:val="00036FD9"/>
    <w:rsid w:val="000371B1"/>
    <w:rsid w:val="000373A6"/>
    <w:rsid w:val="0003743E"/>
    <w:rsid w:val="0003770B"/>
    <w:rsid w:val="00040A66"/>
    <w:rsid w:val="00040F74"/>
    <w:rsid w:val="000412C2"/>
    <w:rsid w:val="00041705"/>
    <w:rsid w:val="000417EB"/>
    <w:rsid w:val="00041828"/>
    <w:rsid w:val="00042C25"/>
    <w:rsid w:val="00042C69"/>
    <w:rsid w:val="00042FD3"/>
    <w:rsid w:val="00043505"/>
    <w:rsid w:val="00044A22"/>
    <w:rsid w:val="00044CE8"/>
    <w:rsid w:val="00045434"/>
    <w:rsid w:val="00045B8E"/>
    <w:rsid w:val="00045E0B"/>
    <w:rsid w:val="00046D2D"/>
    <w:rsid w:val="00047001"/>
    <w:rsid w:val="000475C2"/>
    <w:rsid w:val="00047A60"/>
    <w:rsid w:val="00047E0D"/>
    <w:rsid w:val="00050437"/>
    <w:rsid w:val="00050D13"/>
    <w:rsid w:val="00051E08"/>
    <w:rsid w:val="000520EC"/>
    <w:rsid w:val="000523C5"/>
    <w:rsid w:val="0005240F"/>
    <w:rsid w:val="000528B9"/>
    <w:rsid w:val="00052D49"/>
    <w:rsid w:val="00052F5A"/>
    <w:rsid w:val="00053120"/>
    <w:rsid w:val="000533F8"/>
    <w:rsid w:val="000534E2"/>
    <w:rsid w:val="00053A56"/>
    <w:rsid w:val="000548D1"/>
    <w:rsid w:val="00054DB7"/>
    <w:rsid w:val="00055CE9"/>
    <w:rsid w:val="0005697E"/>
    <w:rsid w:val="00056AD7"/>
    <w:rsid w:val="000570BF"/>
    <w:rsid w:val="00057C7B"/>
    <w:rsid w:val="0006030D"/>
    <w:rsid w:val="0006097D"/>
    <w:rsid w:val="00060A10"/>
    <w:rsid w:val="00060C64"/>
    <w:rsid w:val="0006115E"/>
    <w:rsid w:val="00061CF2"/>
    <w:rsid w:val="00061F18"/>
    <w:rsid w:val="00062138"/>
    <w:rsid w:val="00062456"/>
    <w:rsid w:val="00062638"/>
    <w:rsid w:val="00062C65"/>
    <w:rsid w:val="00062E8A"/>
    <w:rsid w:val="00062FCD"/>
    <w:rsid w:val="000639D5"/>
    <w:rsid w:val="00064E5E"/>
    <w:rsid w:val="00065A6D"/>
    <w:rsid w:val="00066050"/>
    <w:rsid w:val="000661DF"/>
    <w:rsid w:val="0006630D"/>
    <w:rsid w:val="00066B71"/>
    <w:rsid w:val="00067092"/>
    <w:rsid w:val="00067290"/>
    <w:rsid w:val="00067622"/>
    <w:rsid w:val="00067BA6"/>
    <w:rsid w:val="000703AA"/>
    <w:rsid w:val="00070602"/>
    <w:rsid w:val="0007199E"/>
    <w:rsid w:val="00071F1E"/>
    <w:rsid w:val="0007214D"/>
    <w:rsid w:val="00072603"/>
    <w:rsid w:val="000728C2"/>
    <w:rsid w:val="0007303C"/>
    <w:rsid w:val="00073138"/>
    <w:rsid w:val="000735A9"/>
    <w:rsid w:val="00074362"/>
    <w:rsid w:val="0007476F"/>
    <w:rsid w:val="00074C33"/>
    <w:rsid w:val="00074C92"/>
    <w:rsid w:val="000752FB"/>
    <w:rsid w:val="00075AEE"/>
    <w:rsid w:val="00075C52"/>
    <w:rsid w:val="00075E77"/>
    <w:rsid w:val="00075F4B"/>
    <w:rsid w:val="00076D0B"/>
    <w:rsid w:val="00076DB5"/>
    <w:rsid w:val="000772B2"/>
    <w:rsid w:val="000774A7"/>
    <w:rsid w:val="00077AB1"/>
    <w:rsid w:val="00077D27"/>
    <w:rsid w:val="00080288"/>
    <w:rsid w:val="0008036D"/>
    <w:rsid w:val="00080B35"/>
    <w:rsid w:val="00080ECD"/>
    <w:rsid w:val="00080F02"/>
    <w:rsid w:val="000811A4"/>
    <w:rsid w:val="000812FE"/>
    <w:rsid w:val="0008192D"/>
    <w:rsid w:val="00081B76"/>
    <w:rsid w:val="000825D1"/>
    <w:rsid w:val="00082BFE"/>
    <w:rsid w:val="000846C4"/>
    <w:rsid w:val="00084AAD"/>
    <w:rsid w:val="00085106"/>
    <w:rsid w:val="00085252"/>
    <w:rsid w:val="000854D4"/>
    <w:rsid w:val="0008567E"/>
    <w:rsid w:val="000858E1"/>
    <w:rsid w:val="0008661D"/>
    <w:rsid w:val="00086871"/>
    <w:rsid w:val="00087066"/>
    <w:rsid w:val="00087549"/>
    <w:rsid w:val="000875D9"/>
    <w:rsid w:val="00087643"/>
    <w:rsid w:val="000876A5"/>
    <w:rsid w:val="00087772"/>
    <w:rsid w:val="00087E15"/>
    <w:rsid w:val="000905CB"/>
    <w:rsid w:val="000905E0"/>
    <w:rsid w:val="000913FD"/>
    <w:rsid w:val="00091FFF"/>
    <w:rsid w:val="000920D7"/>
    <w:rsid w:val="00092360"/>
    <w:rsid w:val="00092786"/>
    <w:rsid w:val="00092831"/>
    <w:rsid w:val="000941F6"/>
    <w:rsid w:val="000947E3"/>
    <w:rsid w:val="00094811"/>
    <w:rsid w:val="00094935"/>
    <w:rsid w:val="00094DFA"/>
    <w:rsid w:val="00095220"/>
    <w:rsid w:val="00095511"/>
    <w:rsid w:val="000959B5"/>
    <w:rsid w:val="00096BCE"/>
    <w:rsid w:val="00096CF3"/>
    <w:rsid w:val="0009704C"/>
    <w:rsid w:val="00097496"/>
    <w:rsid w:val="00097832"/>
    <w:rsid w:val="00097DDF"/>
    <w:rsid w:val="000A0330"/>
    <w:rsid w:val="000A09EE"/>
    <w:rsid w:val="000A0A4E"/>
    <w:rsid w:val="000A0A83"/>
    <w:rsid w:val="000A16B1"/>
    <w:rsid w:val="000A1C4D"/>
    <w:rsid w:val="000A1D4B"/>
    <w:rsid w:val="000A1D8D"/>
    <w:rsid w:val="000A252E"/>
    <w:rsid w:val="000A25FB"/>
    <w:rsid w:val="000A2A6D"/>
    <w:rsid w:val="000A2D1D"/>
    <w:rsid w:val="000A2EF4"/>
    <w:rsid w:val="000A3550"/>
    <w:rsid w:val="000A366A"/>
    <w:rsid w:val="000A3682"/>
    <w:rsid w:val="000A3A98"/>
    <w:rsid w:val="000A3FFB"/>
    <w:rsid w:val="000A4043"/>
    <w:rsid w:val="000A4450"/>
    <w:rsid w:val="000A58FE"/>
    <w:rsid w:val="000A5C0A"/>
    <w:rsid w:val="000A6477"/>
    <w:rsid w:val="000A654D"/>
    <w:rsid w:val="000A7177"/>
    <w:rsid w:val="000B05FB"/>
    <w:rsid w:val="000B081C"/>
    <w:rsid w:val="000B084A"/>
    <w:rsid w:val="000B0874"/>
    <w:rsid w:val="000B0CBD"/>
    <w:rsid w:val="000B127E"/>
    <w:rsid w:val="000B161C"/>
    <w:rsid w:val="000B1B90"/>
    <w:rsid w:val="000B1C28"/>
    <w:rsid w:val="000B20D5"/>
    <w:rsid w:val="000B2168"/>
    <w:rsid w:val="000B24FA"/>
    <w:rsid w:val="000B3505"/>
    <w:rsid w:val="000B372D"/>
    <w:rsid w:val="000B37D6"/>
    <w:rsid w:val="000B3E9C"/>
    <w:rsid w:val="000B408C"/>
    <w:rsid w:val="000B4C21"/>
    <w:rsid w:val="000B5449"/>
    <w:rsid w:val="000B5A78"/>
    <w:rsid w:val="000B614F"/>
    <w:rsid w:val="000B694F"/>
    <w:rsid w:val="000B6F81"/>
    <w:rsid w:val="000B7D37"/>
    <w:rsid w:val="000C0135"/>
    <w:rsid w:val="000C033A"/>
    <w:rsid w:val="000C0B1C"/>
    <w:rsid w:val="000C0E9C"/>
    <w:rsid w:val="000C0F71"/>
    <w:rsid w:val="000C1785"/>
    <w:rsid w:val="000C23A8"/>
    <w:rsid w:val="000C30C3"/>
    <w:rsid w:val="000C32AC"/>
    <w:rsid w:val="000C3411"/>
    <w:rsid w:val="000C3876"/>
    <w:rsid w:val="000C3D39"/>
    <w:rsid w:val="000C3EB5"/>
    <w:rsid w:val="000C4CEB"/>
    <w:rsid w:val="000C4EBB"/>
    <w:rsid w:val="000C5351"/>
    <w:rsid w:val="000C73A0"/>
    <w:rsid w:val="000C7A89"/>
    <w:rsid w:val="000D0749"/>
    <w:rsid w:val="000D08D2"/>
    <w:rsid w:val="000D1346"/>
    <w:rsid w:val="000D1DD4"/>
    <w:rsid w:val="000D216B"/>
    <w:rsid w:val="000D24BC"/>
    <w:rsid w:val="000D28EE"/>
    <w:rsid w:val="000D29E0"/>
    <w:rsid w:val="000D2D16"/>
    <w:rsid w:val="000D3312"/>
    <w:rsid w:val="000D337D"/>
    <w:rsid w:val="000D361D"/>
    <w:rsid w:val="000D3B75"/>
    <w:rsid w:val="000D3D6C"/>
    <w:rsid w:val="000D43F4"/>
    <w:rsid w:val="000D4410"/>
    <w:rsid w:val="000D46A0"/>
    <w:rsid w:val="000D4FC1"/>
    <w:rsid w:val="000D57B9"/>
    <w:rsid w:val="000D5935"/>
    <w:rsid w:val="000D5E28"/>
    <w:rsid w:val="000D6007"/>
    <w:rsid w:val="000D601D"/>
    <w:rsid w:val="000D6AEF"/>
    <w:rsid w:val="000D6EE0"/>
    <w:rsid w:val="000D718C"/>
    <w:rsid w:val="000D7D9D"/>
    <w:rsid w:val="000D7E14"/>
    <w:rsid w:val="000E0268"/>
    <w:rsid w:val="000E09B8"/>
    <w:rsid w:val="000E10D6"/>
    <w:rsid w:val="000E2183"/>
    <w:rsid w:val="000E232E"/>
    <w:rsid w:val="000E259C"/>
    <w:rsid w:val="000E270B"/>
    <w:rsid w:val="000E307D"/>
    <w:rsid w:val="000E3EEC"/>
    <w:rsid w:val="000E4D5C"/>
    <w:rsid w:val="000E51AA"/>
    <w:rsid w:val="000E53CD"/>
    <w:rsid w:val="000E58D0"/>
    <w:rsid w:val="000E5C57"/>
    <w:rsid w:val="000E5CC3"/>
    <w:rsid w:val="000E6DF8"/>
    <w:rsid w:val="000E7073"/>
    <w:rsid w:val="000E7677"/>
    <w:rsid w:val="000F11A0"/>
    <w:rsid w:val="000F141C"/>
    <w:rsid w:val="000F1498"/>
    <w:rsid w:val="000F1992"/>
    <w:rsid w:val="000F1A2C"/>
    <w:rsid w:val="000F1AB5"/>
    <w:rsid w:val="000F2D7C"/>
    <w:rsid w:val="000F2FB3"/>
    <w:rsid w:val="000F3549"/>
    <w:rsid w:val="000F3897"/>
    <w:rsid w:val="000F554F"/>
    <w:rsid w:val="000F5A32"/>
    <w:rsid w:val="000F5B5D"/>
    <w:rsid w:val="000F5CE2"/>
    <w:rsid w:val="000F62BF"/>
    <w:rsid w:val="000F693D"/>
    <w:rsid w:val="000F72AD"/>
    <w:rsid w:val="000F7E1C"/>
    <w:rsid w:val="00100D18"/>
    <w:rsid w:val="00101552"/>
    <w:rsid w:val="00101A97"/>
    <w:rsid w:val="00101FCB"/>
    <w:rsid w:val="00102E41"/>
    <w:rsid w:val="001030D1"/>
    <w:rsid w:val="0010354C"/>
    <w:rsid w:val="00103AAC"/>
    <w:rsid w:val="00103B31"/>
    <w:rsid w:val="00103C39"/>
    <w:rsid w:val="00103C42"/>
    <w:rsid w:val="0010402F"/>
    <w:rsid w:val="001041A6"/>
    <w:rsid w:val="001042B7"/>
    <w:rsid w:val="001056F3"/>
    <w:rsid w:val="00105E25"/>
    <w:rsid w:val="00105E53"/>
    <w:rsid w:val="00105F23"/>
    <w:rsid w:val="0010655B"/>
    <w:rsid w:val="001066FD"/>
    <w:rsid w:val="00106952"/>
    <w:rsid w:val="00106CA9"/>
    <w:rsid w:val="00106F16"/>
    <w:rsid w:val="0010701D"/>
    <w:rsid w:val="00107106"/>
    <w:rsid w:val="001072E4"/>
    <w:rsid w:val="00107310"/>
    <w:rsid w:val="001074F3"/>
    <w:rsid w:val="00107DF3"/>
    <w:rsid w:val="0011041E"/>
    <w:rsid w:val="001104A9"/>
    <w:rsid w:val="0011068A"/>
    <w:rsid w:val="0011083A"/>
    <w:rsid w:val="0011257F"/>
    <w:rsid w:val="00112A6D"/>
    <w:rsid w:val="00112F41"/>
    <w:rsid w:val="00113C92"/>
    <w:rsid w:val="00114855"/>
    <w:rsid w:val="001154D5"/>
    <w:rsid w:val="0011567B"/>
    <w:rsid w:val="00115AC5"/>
    <w:rsid w:val="00115B2E"/>
    <w:rsid w:val="001161BF"/>
    <w:rsid w:val="0011699C"/>
    <w:rsid w:val="00116C1C"/>
    <w:rsid w:val="00116D11"/>
    <w:rsid w:val="00117FEC"/>
    <w:rsid w:val="00120200"/>
    <w:rsid w:val="001202E8"/>
    <w:rsid w:val="0012065D"/>
    <w:rsid w:val="00120796"/>
    <w:rsid w:val="00120C25"/>
    <w:rsid w:val="00120CA9"/>
    <w:rsid w:val="00121174"/>
    <w:rsid w:val="00122C02"/>
    <w:rsid w:val="00123345"/>
    <w:rsid w:val="00123DDE"/>
    <w:rsid w:val="00123E00"/>
    <w:rsid w:val="001245A1"/>
    <w:rsid w:val="00125030"/>
    <w:rsid w:val="0012504B"/>
    <w:rsid w:val="0012548E"/>
    <w:rsid w:val="0012556E"/>
    <w:rsid w:val="001256DF"/>
    <w:rsid w:val="001259AD"/>
    <w:rsid w:val="00125CA2"/>
    <w:rsid w:val="001266DA"/>
    <w:rsid w:val="00126840"/>
    <w:rsid w:val="00126C1A"/>
    <w:rsid w:val="00126E11"/>
    <w:rsid w:val="001270A1"/>
    <w:rsid w:val="00127615"/>
    <w:rsid w:val="001279B0"/>
    <w:rsid w:val="00127B1D"/>
    <w:rsid w:val="00127BB2"/>
    <w:rsid w:val="00130152"/>
    <w:rsid w:val="001303F3"/>
    <w:rsid w:val="00130946"/>
    <w:rsid w:val="00130995"/>
    <w:rsid w:val="00130C57"/>
    <w:rsid w:val="00130EE1"/>
    <w:rsid w:val="001315AA"/>
    <w:rsid w:val="0013165D"/>
    <w:rsid w:val="0013174B"/>
    <w:rsid w:val="00131B58"/>
    <w:rsid w:val="00131D15"/>
    <w:rsid w:val="00132072"/>
    <w:rsid w:val="001322AB"/>
    <w:rsid w:val="001326FB"/>
    <w:rsid w:val="00132784"/>
    <w:rsid w:val="0013287C"/>
    <w:rsid w:val="001334F2"/>
    <w:rsid w:val="00133A1E"/>
    <w:rsid w:val="00133E3B"/>
    <w:rsid w:val="001340AC"/>
    <w:rsid w:val="00134726"/>
    <w:rsid w:val="00134AE4"/>
    <w:rsid w:val="00135267"/>
    <w:rsid w:val="001354D0"/>
    <w:rsid w:val="00135589"/>
    <w:rsid w:val="00135983"/>
    <w:rsid w:val="00135A35"/>
    <w:rsid w:val="00135A5A"/>
    <w:rsid w:val="00135CEB"/>
    <w:rsid w:val="00136E6A"/>
    <w:rsid w:val="001371C6"/>
    <w:rsid w:val="0013738D"/>
    <w:rsid w:val="00137460"/>
    <w:rsid w:val="001402BC"/>
    <w:rsid w:val="00140647"/>
    <w:rsid w:val="0014092F"/>
    <w:rsid w:val="00140A59"/>
    <w:rsid w:val="00140AA6"/>
    <w:rsid w:val="00140D85"/>
    <w:rsid w:val="00140DB3"/>
    <w:rsid w:val="00140FE5"/>
    <w:rsid w:val="0014187F"/>
    <w:rsid w:val="00141B1C"/>
    <w:rsid w:val="00141ED9"/>
    <w:rsid w:val="0014233A"/>
    <w:rsid w:val="001429F6"/>
    <w:rsid w:val="00142C18"/>
    <w:rsid w:val="001433F4"/>
    <w:rsid w:val="00143B4E"/>
    <w:rsid w:val="00144013"/>
    <w:rsid w:val="001443E3"/>
    <w:rsid w:val="00144EFB"/>
    <w:rsid w:val="00144FA9"/>
    <w:rsid w:val="00145B40"/>
    <w:rsid w:val="00145EB8"/>
    <w:rsid w:val="00146328"/>
    <w:rsid w:val="00146EAF"/>
    <w:rsid w:val="00147735"/>
    <w:rsid w:val="0014776E"/>
    <w:rsid w:val="0015051F"/>
    <w:rsid w:val="00150EFA"/>
    <w:rsid w:val="00151CD8"/>
    <w:rsid w:val="0015223F"/>
    <w:rsid w:val="0015234C"/>
    <w:rsid w:val="00152714"/>
    <w:rsid w:val="00153112"/>
    <w:rsid w:val="00153424"/>
    <w:rsid w:val="00153A5F"/>
    <w:rsid w:val="0015405C"/>
    <w:rsid w:val="001544B3"/>
    <w:rsid w:val="00154A70"/>
    <w:rsid w:val="00154EC1"/>
    <w:rsid w:val="00154F6B"/>
    <w:rsid w:val="001550DD"/>
    <w:rsid w:val="00155555"/>
    <w:rsid w:val="0015587A"/>
    <w:rsid w:val="00155E69"/>
    <w:rsid w:val="0015676D"/>
    <w:rsid w:val="00157309"/>
    <w:rsid w:val="00157323"/>
    <w:rsid w:val="00160384"/>
    <w:rsid w:val="00161CF1"/>
    <w:rsid w:val="0016200A"/>
    <w:rsid w:val="00162262"/>
    <w:rsid w:val="001627E2"/>
    <w:rsid w:val="001628E4"/>
    <w:rsid w:val="001634DC"/>
    <w:rsid w:val="0016385C"/>
    <w:rsid w:val="00164454"/>
    <w:rsid w:val="001644BC"/>
    <w:rsid w:val="00164BC3"/>
    <w:rsid w:val="00165AF3"/>
    <w:rsid w:val="001665B3"/>
    <w:rsid w:val="001667EE"/>
    <w:rsid w:val="00167EE4"/>
    <w:rsid w:val="0017013C"/>
    <w:rsid w:val="001701E9"/>
    <w:rsid w:val="001704A3"/>
    <w:rsid w:val="001706A9"/>
    <w:rsid w:val="00170D9F"/>
    <w:rsid w:val="0017129B"/>
    <w:rsid w:val="00171609"/>
    <w:rsid w:val="00171ADD"/>
    <w:rsid w:val="001722C9"/>
    <w:rsid w:val="001724B0"/>
    <w:rsid w:val="0017286C"/>
    <w:rsid w:val="0017397B"/>
    <w:rsid w:val="00173B05"/>
    <w:rsid w:val="00173F2F"/>
    <w:rsid w:val="0017460C"/>
    <w:rsid w:val="00174BF8"/>
    <w:rsid w:val="001753BA"/>
    <w:rsid w:val="00175823"/>
    <w:rsid w:val="001762A1"/>
    <w:rsid w:val="00176A05"/>
    <w:rsid w:val="00176A4A"/>
    <w:rsid w:val="00176BC3"/>
    <w:rsid w:val="00176F2B"/>
    <w:rsid w:val="00177B8A"/>
    <w:rsid w:val="00177D4D"/>
    <w:rsid w:val="001800A7"/>
    <w:rsid w:val="0018042F"/>
    <w:rsid w:val="00180E26"/>
    <w:rsid w:val="001814CF"/>
    <w:rsid w:val="00181794"/>
    <w:rsid w:val="00181B08"/>
    <w:rsid w:val="00181E7B"/>
    <w:rsid w:val="00182018"/>
    <w:rsid w:val="00182246"/>
    <w:rsid w:val="00182C6F"/>
    <w:rsid w:val="00182EB8"/>
    <w:rsid w:val="00183A97"/>
    <w:rsid w:val="00184987"/>
    <w:rsid w:val="00184B59"/>
    <w:rsid w:val="0018574A"/>
    <w:rsid w:val="00185C42"/>
    <w:rsid w:val="001861B5"/>
    <w:rsid w:val="00186433"/>
    <w:rsid w:val="0018681C"/>
    <w:rsid w:val="00186D9C"/>
    <w:rsid w:val="0018736C"/>
    <w:rsid w:val="001873E1"/>
    <w:rsid w:val="00187E6B"/>
    <w:rsid w:val="00187EE4"/>
    <w:rsid w:val="00187F53"/>
    <w:rsid w:val="001903D5"/>
    <w:rsid w:val="00191278"/>
    <w:rsid w:val="0019142E"/>
    <w:rsid w:val="0019148D"/>
    <w:rsid w:val="001919D5"/>
    <w:rsid w:val="00191C16"/>
    <w:rsid w:val="00191EDF"/>
    <w:rsid w:val="001922D4"/>
    <w:rsid w:val="001923CE"/>
    <w:rsid w:val="001923E2"/>
    <w:rsid w:val="00192498"/>
    <w:rsid w:val="00192E95"/>
    <w:rsid w:val="001933B4"/>
    <w:rsid w:val="00193BF4"/>
    <w:rsid w:val="00193EEF"/>
    <w:rsid w:val="0019410D"/>
    <w:rsid w:val="0019442E"/>
    <w:rsid w:val="00194A3D"/>
    <w:rsid w:val="00194AC0"/>
    <w:rsid w:val="00194CB1"/>
    <w:rsid w:val="00194E9A"/>
    <w:rsid w:val="001950B5"/>
    <w:rsid w:val="00195996"/>
    <w:rsid w:val="00195B89"/>
    <w:rsid w:val="00196F20"/>
    <w:rsid w:val="001974D5"/>
    <w:rsid w:val="0019787A"/>
    <w:rsid w:val="001A01B5"/>
    <w:rsid w:val="001A15F4"/>
    <w:rsid w:val="001A1778"/>
    <w:rsid w:val="001A21C6"/>
    <w:rsid w:val="001A257D"/>
    <w:rsid w:val="001A258A"/>
    <w:rsid w:val="001A2A2A"/>
    <w:rsid w:val="001A2FDC"/>
    <w:rsid w:val="001A37D8"/>
    <w:rsid w:val="001A42DB"/>
    <w:rsid w:val="001A437B"/>
    <w:rsid w:val="001A51D3"/>
    <w:rsid w:val="001A5436"/>
    <w:rsid w:val="001A57AC"/>
    <w:rsid w:val="001A5A3E"/>
    <w:rsid w:val="001A5D1E"/>
    <w:rsid w:val="001A5FA5"/>
    <w:rsid w:val="001A601B"/>
    <w:rsid w:val="001A6606"/>
    <w:rsid w:val="001A66BD"/>
    <w:rsid w:val="001A7AF4"/>
    <w:rsid w:val="001A7C1C"/>
    <w:rsid w:val="001B0401"/>
    <w:rsid w:val="001B0537"/>
    <w:rsid w:val="001B066C"/>
    <w:rsid w:val="001B0AD9"/>
    <w:rsid w:val="001B0E39"/>
    <w:rsid w:val="001B1505"/>
    <w:rsid w:val="001B179C"/>
    <w:rsid w:val="001B180E"/>
    <w:rsid w:val="001B1D82"/>
    <w:rsid w:val="001B3647"/>
    <w:rsid w:val="001B3F08"/>
    <w:rsid w:val="001B516C"/>
    <w:rsid w:val="001B5AE9"/>
    <w:rsid w:val="001B5D44"/>
    <w:rsid w:val="001B6451"/>
    <w:rsid w:val="001B6BBD"/>
    <w:rsid w:val="001B6D21"/>
    <w:rsid w:val="001B6DEA"/>
    <w:rsid w:val="001B6EDB"/>
    <w:rsid w:val="001B7077"/>
    <w:rsid w:val="001B72D6"/>
    <w:rsid w:val="001B74C9"/>
    <w:rsid w:val="001B790C"/>
    <w:rsid w:val="001B7B9E"/>
    <w:rsid w:val="001C00BF"/>
    <w:rsid w:val="001C021C"/>
    <w:rsid w:val="001C0F2D"/>
    <w:rsid w:val="001C1669"/>
    <w:rsid w:val="001C1AFF"/>
    <w:rsid w:val="001C1B12"/>
    <w:rsid w:val="001C1BFB"/>
    <w:rsid w:val="001C1C81"/>
    <w:rsid w:val="001C2473"/>
    <w:rsid w:val="001C299F"/>
    <w:rsid w:val="001C304F"/>
    <w:rsid w:val="001C37DA"/>
    <w:rsid w:val="001C3D1E"/>
    <w:rsid w:val="001C4271"/>
    <w:rsid w:val="001C5246"/>
    <w:rsid w:val="001C5823"/>
    <w:rsid w:val="001C5CB3"/>
    <w:rsid w:val="001C5EBA"/>
    <w:rsid w:val="001C6756"/>
    <w:rsid w:val="001C6FE8"/>
    <w:rsid w:val="001C7093"/>
    <w:rsid w:val="001C738A"/>
    <w:rsid w:val="001C74FA"/>
    <w:rsid w:val="001C7712"/>
    <w:rsid w:val="001C7740"/>
    <w:rsid w:val="001C79E7"/>
    <w:rsid w:val="001C7ECF"/>
    <w:rsid w:val="001D0803"/>
    <w:rsid w:val="001D0ECC"/>
    <w:rsid w:val="001D120B"/>
    <w:rsid w:val="001D14DB"/>
    <w:rsid w:val="001D1703"/>
    <w:rsid w:val="001D1BE4"/>
    <w:rsid w:val="001D2456"/>
    <w:rsid w:val="001D3941"/>
    <w:rsid w:val="001D3FD3"/>
    <w:rsid w:val="001D4D81"/>
    <w:rsid w:val="001D5771"/>
    <w:rsid w:val="001D61ED"/>
    <w:rsid w:val="001D692A"/>
    <w:rsid w:val="001D7003"/>
    <w:rsid w:val="001D7611"/>
    <w:rsid w:val="001D7A9D"/>
    <w:rsid w:val="001D7D26"/>
    <w:rsid w:val="001E020D"/>
    <w:rsid w:val="001E030F"/>
    <w:rsid w:val="001E0867"/>
    <w:rsid w:val="001E0AF2"/>
    <w:rsid w:val="001E0D8F"/>
    <w:rsid w:val="001E0F3F"/>
    <w:rsid w:val="001E1141"/>
    <w:rsid w:val="001E1667"/>
    <w:rsid w:val="001E1D0F"/>
    <w:rsid w:val="001E1D96"/>
    <w:rsid w:val="001E2539"/>
    <w:rsid w:val="001E26F9"/>
    <w:rsid w:val="001E26FD"/>
    <w:rsid w:val="001E30F8"/>
    <w:rsid w:val="001E35AA"/>
    <w:rsid w:val="001E367E"/>
    <w:rsid w:val="001E3F77"/>
    <w:rsid w:val="001E4A10"/>
    <w:rsid w:val="001E512A"/>
    <w:rsid w:val="001E51A1"/>
    <w:rsid w:val="001E584D"/>
    <w:rsid w:val="001E5946"/>
    <w:rsid w:val="001E5947"/>
    <w:rsid w:val="001E5DFC"/>
    <w:rsid w:val="001E6067"/>
    <w:rsid w:val="001E6641"/>
    <w:rsid w:val="001E6937"/>
    <w:rsid w:val="001E6A4A"/>
    <w:rsid w:val="001E7030"/>
    <w:rsid w:val="001E730F"/>
    <w:rsid w:val="001E7623"/>
    <w:rsid w:val="001F038A"/>
    <w:rsid w:val="001F0B97"/>
    <w:rsid w:val="001F0E38"/>
    <w:rsid w:val="001F1778"/>
    <w:rsid w:val="001F1B59"/>
    <w:rsid w:val="001F1D25"/>
    <w:rsid w:val="001F2636"/>
    <w:rsid w:val="001F2B4B"/>
    <w:rsid w:val="001F2CE0"/>
    <w:rsid w:val="001F356C"/>
    <w:rsid w:val="001F36A1"/>
    <w:rsid w:val="001F3F17"/>
    <w:rsid w:val="001F4494"/>
    <w:rsid w:val="001F478E"/>
    <w:rsid w:val="001F4D82"/>
    <w:rsid w:val="001F4D94"/>
    <w:rsid w:val="001F5077"/>
    <w:rsid w:val="001F53FD"/>
    <w:rsid w:val="001F6E2C"/>
    <w:rsid w:val="001F71E2"/>
    <w:rsid w:val="001F7A64"/>
    <w:rsid w:val="00200201"/>
    <w:rsid w:val="00200C55"/>
    <w:rsid w:val="0020194A"/>
    <w:rsid w:val="00201C59"/>
    <w:rsid w:val="00202047"/>
    <w:rsid w:val="002020D2"/>
    <w:rsid w:val="002020DB"/>
    <w:rsid w:val="002025E0"/>
    <w:rsid w:val="002026B9"/>
    <w:rsid w:val="00202A78"/>
    <w:rsid w:val="00202DB3"/>
    <w:rsid w:val="00202F9B"/>
    <w:rsid w:val="00203A3A"/>
    <w:rsid w:val="00203DD0"/>
    <w:rsid w:val="00203F80"/>
    <w:rsid w:val="00204122"/>
    <w:rsid w:val="002044E0"/>
    <w:rsid w:val="0020472A"/>
    <w:rsid w:val="00205989"/>
    <w:rsid w:val="0020665D"/>
    <w:rsid w:val="00206AC5"/>
    <w:rsid w:val="00206FC1"/>
    <w:rsid w:val="00210587"/>
    <w:rsid w:val="00210D11"/>
    <w:rsid w:val="00211C42"/>
    <w:rsid w:val="00212952"/>
    <w:rsid w:val="002129CA"/>
    <w:rsid w:val="00212CB6"/>
    <w:rsid w:val="00212FE0"/>
    <w:rsid w:val="0021347D"/>
    <w:rsid w:val="00213532"/>
    <w:rsid w:val="00213772"/>
    <w:rsid w:val="00213B66"/>
    <w:rsid w:val="00213DB6"/>
    <w:rsid w:val="00214CF9"/>
    <w:rsid w:val="00214D54"/>
    <w:rsid w:val="00215F3F"/>
    <w:rsid w:val="0021604F"/>
    <w:rsid w:val="002164B7"/>
    <w:rsid w:val="00216949"/>
    <w:rsid w:val="002169E8"/>
    <w:rsid w:val="00216B28"/>
    <w:rsid w:val="002179B5"/>
    <w:rsid w:val="00220DCD"/>
    <w:rsid w:val="0022155C"/>
    <w:rsid w:val="00221E7D"/>
    <w:rsid w:val="00221FB2"/>
    <w:rsid w:val="00222046"/>
    <w:rsid w:val="0022209F"/>
    <w:rsid w:val="00222472"/>
    <w:rsid w:val="002228E9"/>
    <w:rsid w:val="00222A7D"/>
    <w:rsid w:val="00223239"/>
    <w:rsid w:val="0022342E"/>
    <w:rsid w:val="002237A9"/>
    <w:rsid w:val="00223CD8"/>
    <w:rsid w:val="00223D28"/>
    <w:rsid w:val="00224061"/>
    <w:rsid w:val="0022441D"/>
    <w:rsid w:val="00224BA1"/>
    <w:rsid w:val="00224D2D"/>
    <w:rsid w:val="00225C5C"/>
    <w:rsid w:val="00226102"/>
    <w:rsid w:val="00226BC2"/>
    <w:rsid w:val="00226CFE"/>
    <w:rsid w:val="00226FC3"/>
    <w:rsid w:val="002270F6"/>
    <w:rsid w:val="002271C3"/>
    <w:rsid w:val="002278F4"/>
    <w:rsid w:val="00227E4E"/>
    <w:rsid w:val="002301C9"/>
    <w:rsid w:val="00230328"/>
    <w:rsid w:val="00230C9A"/>
    <w:rsid w:val="00230E26"/>
    <w:rsid w:val="0023132C"/>
    <w:rsid w:val="0023157E"/>
    <w:rsid w:val="002315E1"/>
    <w:rsid w:val="0023170F"/>
    <w:rsid w:val="00231BEA"/>
    <w:rsid w:val="002321A1"/>
    <w:rsid w:val="00232FF0"/>
    <w:rsid w:val="002333D0"/>
    <w:rsid w:val="00233453"/>
    <w:rsid w:val="00233796"/>
    <w:rsid w:val="00233B94"/>
    <w:rsid w:val="00233F32"/>
    <w:rsid w:val="0023455E"/>
    <w:rsid w:val="00235872"/>
    <w:rsid w:val="0023655E"/>
    <w:rsid w:val="00236C78"/>
    <w:rsid w:val="00236FC5"/>
    <w:rsid w:val="00237166"/>
    <w:rsid w:val="002371F7"/>
    <w:rsid w:val="00237D9A"/>
    <w:rsid w:val="00237F15"/>
    <w:rsid w:val="0024008E"/>
    <w:rsid w:val="00240595"/>
    <w:rsid w:val="00240784"/>
    <w:rsid w:val="0024079C"/>
    <w:rsid w:val="002408F3"/>
    <w:rsid w:val="00240A85"/>
    <w:rsid w:val="002412F8"/>
    <w:rsid w:val="00241610"/>
    <w:rsid w:val="00242514"/>
    <w:rsid w:val="002435BD"/>
    <w:rsid w:val="00243911"/>
    <w:rsid w:val="00243F4C"/>
    <w:rsid w:val="002445D7"/>
    <w:rsid w:val="0024473D"/>
    <w:rsid w:val="0024516B"/>
    <w:rsid w:val="00246A5F"/>
    <w:rsid w:val="00246C42"/>
    <w:rsid w:val="00246C71"/>
    <w:rsid w:val="00247467"/>
    <w:rsid w:val="002479C4"/>
    <w:rsid w:val="00247A84"/>
    <w:rsid w:val="00247DC1"/>
    <w:rsid w:val="002500E2"/>
    <w:rsid w:val="00250E30"/>
    <w:rsid w:val="002510A6"/>
    <w:rsid w:val="00251C95"/>
    <w:rsid w:val="00252148"/>
    <w:rsid w:val="00252B57"/>
    <w:rsid w:val="00252FC2"/>
    <w:rsid w:val="00253037"/>
    <w:rsid w:val="00253039"/>
    <w:rsid w:val="0025397F"/>
    <w:rsid w:val="00253C4D"/>
    <w:rsid w:val="00253C5C"/>
    <w:rsid w:val="002540D9"/>
    <w:rsid w:val="00254375"/>
    <w:rsid w:val="00254670"/>
    <w:rsid w:val="00254C27"/>
    <w:rsid w:val="00255020"/>
    <w:rsid w:val="00255171"/>
    <w:rsid w:val="002551CE"/>
    <w:rsid w:val="002552F2"/>
    <w:rsid w:val="00255399"/>
    <w:rsid w:val="002567FE"/>
    <w:rsid w:val="00256FCC"/>
    <w:rsid w:val="002604C8"/>
    <w:rsid w:val="00260695"/>
    <w:rsid w:val="00260911"/>
    <w:rsid w:val="00260E03"/>
    <w:rsid w:val="00260FCA"/>
    <w:rsid w:val="00261223"/>
    <w:rsid w:val="00261349"/>
    <w:rsid w:val="0026142C"/>
    <w:rsid w:val="002618A8"/>
    <w:rsid w:val="0026204D"/>
    <w:rsid w:val="00262340"/>
    <w:rsid w:val="00262958"/>
    <w:rsid w:val="00262CCD"/>
    <w:rsid w:val="0026304E"/>
    <w:rsid w:val="00263716"/>
    <w:rsid w:val="00263D2D"/>
    <w:rsid w:val="002644E0"/>
    <w:rsid w:val="002646F5"/>
    <w:rsid w:val="00264789"/>
    <w:rsid w:val="002659AE"/>
    <w:rsid w:val="0026613E"/>
    <w:rsid w:val="00266321"/>
    <w:rsid w:val="00266657"/>
    <w:rsid w:val="0026667A"/>
    <w:rsid w:val="002670F7"/>
    <w:rsid w:val="00267214"/>
    <w:rsid w:val="00267782"/>
    <w:rsid w:val="0026791A"/>
    <w:rsid w:val="00267B99"/>
    <w:rsid w:val="00267C88"/>
    <w:rsid w:val="00267D0A"/>
    <w:rsid w:val="00270FC9"/>
    <w:rsid w:val="0027102E"/>
    <w:rsid w:val="0027191A"/>
    <w:rsid w:val="002719B7"/>
    <w:rsid w:val="0027218F"/>
    <w:rsid w:val="002728DE"/>
    <w:rsid w:val="002729CE"/>
    <w:rsid w:val="002729FD"/>
    <w:rsid w:val="002731AA"/>
    <w:rsid w:val="002734F7"/>
    <w:rsid w:val="00273628"/>
    <w:rsid w:val="00273A27"/>
    <w:rsid w:val="0027426A"/>
    <w:rsid w:val="002747FA"/>
    <w:rsid w:val="00274A4C"/>
    <w:rsid w:val="00274FF1"/>
    <w:rsid w:val="002752F0"/>
    <w:rsid w:val="00276613"/>
    <w:rsid w:val="00276BF4"/>
    <w:rsid w:val="00276D6B"/>
    <w:rsid w:val="00277058"/>
    <w:rsid w:val="002774FF"/>
    <w:rsid w:val="002802DF"/>
    <w:rsid w:val="00281391"/>
    <w:rsid w:val="00281523"/>
    <w:rsid w:val="00281614"/>
    <w:rsid w:val="00281765"/>
    <w:rsid w:val="002821DC"/>
    <w:rsid w:val="0028229A"/>
    <w:rsid w:val="00282443"/>
    <w:rsid w:val="002830A0"/>
    <w:rsid w:val="002846EA"/>
    <w:rsid w:val="002848BC"/>
    <w:rsid w:val="002848C2"/>
    <w:rsid w:val="00284B03"/>
    <w:rsid w:val="00284C48"/>
    <w:rsid w:val="00284D2D"/>
    <w:rsid w:val="00284E96"/>
    <w:rsid w:val="002850FF"/>
    <w:rsid w:val="002855B0"/>
    <w:rsid w:val="00285CBF"/>
    <w:rsid w:val="0028629B"/>
    <w:rsid w:val="00286686"/>
    <w:rsid w:val="00286705"/>
    <w:rsid w:val="00286F70"/>
    <w:rsid w:val="00286FC8"/>
    <w:rsid w:val="002871D9"/>
    <w:rsid w:val="002875B7"/>
    <w:rsid w:val="002875BB"/>
    <w:rsid w:val="00287815"/>
    <w:rsid w:val="002878F6"/>
    <w:rsid w:val="002906E1"/>
    <w:rsid w:val="00291436"/>
    <w:rsid w:val="00291787"/>
    <w:rsid w:val="00291E7F"/>
    <w:rsid w:val="002927E7"/>
    <w:rsid w:val="00292ACC"/>
    <w:rsid w:val="00292BEC"/>
    <w:rsid w:val="00292C2F"/>
    <w:rsid w:val="002941C5"/>
    <w:rsid w:val="002942E5"/>
    <w:rsid w:val="002947A7"/>
    <w:rsid w:val="00294EBC"/>
    <w:rsid w:val="00295258"/>
    <w:rsid w:val="00295370"/>
    <w:rsid w:val="0029577D"/>
    <w:rsid w:val="00295E08"/>
    <w:rsid w:val="00296C97"/>
    <w:rsid w:val="00297141"/>
    <w:rsid w:val="0029784B"/>
    <w:rsid w:val="00297C41"/>
    <w:rsid w:val="002A0EBD"/>
    <w:rsid w:val="002A18F3"/>
    <w:rsid w:val="002A2242"/>
    <w:rsid w:val="002A22EC"/>
    <w:rsid w:val="002A23F9"/>
    <w:rsid w:val="002A245B"/>
    <w:rsid w:val="002A2601"/>
    <w:rsid w:val="002A2B05"/>
    <w:rsid w:val="002A348F"/>
    <w:rsid w:val="002A3BF1"/>
    <w:rsid w:val="002A44F7"/>
    <w:rsid w:val="002A45F4"/>
    <w:rsid w:val="002A4865"/>
    <w:rsid w:val="002A48CC"/>
    <w:rsid w:val="002A4986"/>
    <w:rsid w:val="002A4F13"/>
    <w:rsid w:val="002A50A6"/>
    <w:rsid w:val="002A5A44"/>
    <w:rsid w:val="002A5C9D"/>
    <w:rsid w:val="002A676F"/>
    <w:rsid w:val="002A69CC"/>
    <w:rsid w:val="002A6C57"/>
    <w:rsid w:val="002A6E99"/>
    <w:rsid w:val="002A737C"/>
    <w:rsid w:val="002A7C33"/>
    <w:rsid w:val="002A7E74"/>
    <w:rsid w:val="002B1CBB"/>
    <w:rsid w:val="002B24D8"/>
    <w:rsid w:val="002B2FAF"/>
    <w:rsid w:val="002B303B"/>
    <w:rsid w:val="002B38F5"/>
    <w:rsid w:val="002B3C4A"/>
    <w:rsid w:val="002B3D29"/>
    <w:rsid w:val="002B3ED0"/>
    <w:rsid w:val="002B434D"/>
    <w:rsid w:val="002B45E3"/>
    <w:rsid w:val="002B4988"/>
    <w:rsid w:val="002B4B48"/>
    <w:rsid w:val="002B562E"/>
    <w:rsid w:val="002B5864"/>
    <w:rsid w:val="002B63B8"/>
    <w:rsid w:val="002B710D"/>
    <w:rsid w:val="002C0639"/>
    <w:rsid w:val="002C0EA0"/>
    <w:rsid w:val="002C11AB"/>
    <w:rsid w:val="002C127D"/>
    <w:rsid w:val="002C14EB"/>
    <w:rsid w:val="002C1C00"/>
    <w:rsid w:val="002C1CE4"/>
    <w:rsid w:val="002C1F24"/>
    <w:rsid w:val="002C2870"/>
    <w:rsid w:val="002C2D81"/>
    <w:rsid w:val="002C306D"/>
    <w:rsid w:val="002C349D"/>
    <w:rsid w:val="002C45EF"/>
    <w:rsid w:val="002C4D5C"/>
    <w:rsid w:val="002C5A17"/>
    <w:rsid w:val="002C61EA"/>
    <w:rsid w:val="002C6BA2"/>
    <w:rsid w:val="002C6D5A"/>
    <w:rsid w:val="002C76AE"/>
    <w:rsid w:val="002D0018"/>
    <w:rsid w:val="002D0408"/>
    <w:rsid w:val="002D0A3D"/>
    <w:rsid w:val="002D0DE5"/>
    <w:rsid w:val="002D1598"/>
    <w:rsid w:val="002D2974"/>
    <w:rsid w:val="002D310E"/>
    <w:rsid w:val="002D3776"/>
    <w:rsid w:val="002D3F57"/>
    <w:rsid w:val="002D4163"/>
    <w:rsid w:val="002D41A8"/>
    <w:rsid w:val="002D51FE"/>
    <w:rsid w:val="002D5210"/>
    <w:rsid w:val="002D5E3C"/>
    <w:rsid w:val="002D6320"/>
    <w:rsid w:val="002D6B5E"/>
    <w:rsid w:val="002D6DB4"/>
    <w:rsid w:val="002D6E8E"/>
    <w:rsid w:val="002D7C5A"/>
    <w:rsid w:val="002E0156"/>
    <w:rsid w:val="002E0825"/>
    <w:rsid w:val="002E08B1"/>
    <w:rsid w:val="002E08DC"/>
    <w:rsid w:val="002E0B7C"/>
    <w:rsid w:val="002E0CB3"/>
    <w:rsid w:val="002E0EE9"/>
    <w:rsid w:val="002E11A8"/>
    <w:rsid w:val="002E1476"/>
    <w:rsid w:val="002E1E4B"/>
    <w:rsid w:val="002E21ED"/>
    <w:rsid w:val="002E2220"/>
    <w:rsid w:val="002E268B"/>
    <w:rsid w:val="002E26D5"/>
    <w:rsid w:val="002E277D"/>
    <w:rsid w:val="002E2A28"/>
    <w:rsid w:val="002E2E2D"/>
    <w:rsid w:val="002E2EB0"/>
    <w:rsid w:val="002E2EC5"/>
    <w:rsid w:val="002E3190"/>
    <w:rsid w:val="002E388A"/>
    <w:rsid w:val="002E39E3"/>
    <w:rsid w:val="002E3C1A"/>
    <w:rsid w:val="002E43AA"/>
    <w:rsid w:val="002E440D"/>
    <w:rsid w:val="002E5B28"/>
    <w:rsid w:val="002E623C"/>
    <w:rsid w:val="002E6532"/>
    <w:rsid w:val="002E65DB"/>
    <w:rsid w:val="002E7342"/>
    <w:rsid w:val="002E7525"/>
    <w:rsid w:val="002E79CB"/>
    <w:rsid w:val="002E7CDE"/>
    <w:rsid w:val="002E7FD5"/>
    <w:rsid w:val="002F031C"/>
    <w:rsid w:val="002F0342"/>
    <w:rsid w:val="002F0A6D"/>
    <w:rsid w:val="002F1433"/>
    <w:rsid w:val="002F1937"/>
    <w:rsid w:val="002F1B86"/>
    <w:rsid w:val="002F1CA2"/>
    <w:rsid w:val="002F1FAE"/>
    <w:rsid w:val="002F21F0"/>
    <w:rsid w:val="002F2229"/>
    <w:rsid w:val="002F2351"/>
    <w:rsid w:val="002F2768"/>
    <w:rsid w:val="002F282C"/>
    <w:rsid w:val="002F29B6"/>
    <w:rsid w:val="002F2B09"/>
    <w:rsid w:val="002F2BC4"/>
    <w:rsid w:val="002F37E6"/>
    <w:rsid w:val="002F398C"/>
    <w:rsid w:val="002F39AB"/>
    <w:rsid w:val="002F3B70"/>
    <w:rsid w:val="002F43C0"/>
    <w:rsid w:val="002F487F"/>
    <w:rsid w:val="002F5473"/>
    <w:rsid w:val="002F5CD7"/>
    <w:rsid w:val="002F5D2D"/>
    <w:rsid w:val="002F705D"/>
    <w:rsid w:val="002F71B0"/>
    <w:rsid w:val="00300C52"/>
    <w:rsid w:val="00300DE8"/>
    <w:rsid w:val="00301623"/>
    <w:rsid w:val="00301CBC"/>
    <w:rsid w:val="003020D2"/>
    <w:rsid w:val="00302245"/>
    <w:rsid w:val="00302522"/>
    <w:rsid w:val="00303542"/>
    <w:rsid w:val="00303DE3"/>
    <w:rsid w:val="00303E90"/>
    <w:rsid w:val="003040A8"/>
    <w:rsid w:val="003041DD"/>
    <w:rsid w:val="00305E69"/>
    <w:rsid w:val="00306323"/>
    <w:rsid w:val="0030679C"/>
    <w:rsid w:val="00306D0C"/>
    <w:rsid w:val="0030772D"/>
    <w:rsid w:val="00307968"/>
    <w:rsid w:val="00307DEF"/>
    <w:rsid w:val="00307F02"/>
    <w:rsid w:val="00310CF3"/>
    <w:rsid w:val="00311101"/>
    <w:rsid w:val="003118A6"/>
    <w:rsid w:val="00312125"/>
    <w:rsid w:val="00312651"/>
    <w:rsid w:val="003136A3"/>
    <w:rsid w:val="003142B1"/>
    <w:rsid w:val="003149FB"/>
    <w:rsid w:val="00314C1E"/>
    <w:rsid w:val="00314D22"/>
    <w:rsid w:val="003150AD"/>
    <w:rsid w:val="003159EC"/>
    <w:rsid w:val="00315A5F"/>
    <w:rsid w:val="00315FF3"/>
    <w:rsid w:val="00316DA9"/>
    <w:rsid w:val="00317013"/>
    <w:rsid w:val="003171BA"/>
    <w:rsid w:val="00317574"/>
    <w:rsid w:val="00320449"/>
    <w:rsid w:val="00320560"/>
    <w:rsid w:val="00320803"/>
    <w:rsid w:val="003208BD"/>
    <w:rsid w:val="00321DEC"/>
    <w:rsid w:val="00321F59"/>
    <w:rsid w:val="00322702"/>
    <w:rsid w:val="003230C6"/>
    <w:rsid w:val="003233AC"/>
    <w:rsid w:val="00323542"/>
    <w:rsid w:val="00323E21"/>
    <w:rsid w:val="0032428B"/>
    <w:rsid w:val="003245DC"/>
    <w:rsid w:val="003247BF"/>
    <w:rsid w:val="00325066"/>
    <w:rsid w:val="003251C0"/>
    <w:rsid w:val="003256A1"/>
    <w:rsid w:val="00325972"/>
    <w:rsid w:val="003265B4"/>
    <w:rsid w:val="003266D9"/>
    <w:rsid w:val="003268E6"/>
    <w:rsid w:val="003269F8"/>
    <w:rsid w:val="0032709B"/>
    <w:rsid w:val="00327218"/>
    <w:rsid w:val="00327461"/>
    <w:rsid w:val="00330334"/>
    <w:rsid w:val="00330521"/>
    <w:rsid w:val="00330A6D"/>
    <w:rsid w:val="00330AFD"/>
    <w:rsid w:val="00330D53"/>
    <w:rsid w:val="00330F5A"/>
    <w:rsid w:val="003311F3"/>
    <w:rsid w:val="0033183A"/>
    <w:rsid w:val="003324B0"/>
    <w:rsid w:val="00333077"/>
    <w:rsid w:val="003337F3"/>
    <w:rsid w:val="00333883"/>
    <w:rsid w:val="00333C19"/>
    <w:rsid w:val="00334173"/>
    <w:rsid w:val="003343A6"/>
    <w:rsid w:val="003347B7"/>
    <w:rsid w:val="00334986"/>
    <w:rsid w:val="00335E48"/>
    <w:rsid w:val="00336331"/>
    <w:rsid w:val="0033694B"/>
    <w:rsid w:val="00336972"/>
    <w:rsid w:val="00336A39"/>
    <w:rsid w:val="00336E6E"/>
    <w:rsid w:val="003374B8"/>
    <w:rsid w:val="00337DDD"/>
    <w:rsid w:val="00340CB0"/>
    <w:rsid w:val="00340DF1"/>
    <w:rsid w:val="00341975"/>
    <w:rsid w:val="003419CD"/>
    <w:rsid w:val="00341CE5"/>
    <w:rsid w:val="00341EBF"/>
    <w:rsid w:val="0034218A"/>
    <w:rsid w:val="003422C7"/>
    <w:rsid w:val="0034253B"/>
    <w:rsid w:val="00342CDA"/>
    <w:rsid w:val="00343336"/>
    <w:rsid w:val="003433E1"/>
    <w:rsid w:val="003458F1"/>
    <w:rsid w:val="00345A0F"/>
    <w:rsid w:val="00345E24"/>
    <w:rsid w:val="003461F0"/>
    <w:rsid w:val="0034623C"/>
    <w:rsid w:val="00346ECB"/>
    <w:rsid w:val="00347260"/>
    <w:rsid w:val="00347976"/>
    <w:rsid w:val="00347C0A"/>
    <w:rsid w:val="00350421"/>
    <w:rsid w:val="00350834"/>
    <w:rsid w:val="00351557"/>
    <w:rsid w:val="0035158B"/>
    <w:rsid w:val="00351817"/>
    <w:rsid w:val="003532C4"/>
    <w:rsid w:val="00353303"/>
    <w:rsid w:val="0035352A"/>
    <w:rsid w:val="00354513"/>
    <w:rsid w:val="00354E19"/>
    <w:rsid w:val="00355582"/>
    <w:rsid w:val="00355850"/>
    <w:rsid w:val="00355939"/>
    <w:rsid w:val="00355BBD"/>
    <w:rsid w:val="00355BC2"/>
    <w:rsid w:val="003565BB"/>
    <w:rsid w:val="003565F5"/>
    <w:rsid w:val="003566F5"/>
    <w:rsid w:val="003567B7"/>
    <w:rsid w:val="00356B2E"/>
    <w:rsid w:val="003571F0"/>
    <w:rsid w:val="00357223"/>
    <w:rsid w:val="003577F6"/>
    <w:rsid w:val="00357E28"/>
    <w:rsid w:val="00357FA7"/>
    <w:rsid w:val="003607EE"/>
    <w:rsid w:val="0036130D"/>
    <w:rsid w:val="003614C3"/>
    <w:rsid w:val="00361B45"/>
    <w:rsid w:val="00361B8B"/>
    <w:rsid w:val="00361C75"/>
    <w:rsid w:val="00362ABE"/>
    <w:rsid w:val="00362B3B"/>
    <w:rsid w:val="00362DCA"/>
    <w:rsid w:val="003636B8"/>
    <w:rsid w:val="003646B7"/>
    <w:rsid w:val="00364713"/>
    <w:rsid w:val="00364868"/>
    <w:rsid w:val="00364896"/>
    <w:rsid w:val="0036506B"/>
    <w:rsid w:val="00365381"/>
    <w:rsid w:val="003658B2"/>
    <w:rsid w:val="003659A1"/>
    <w:rsid w:val="0036608C"/>
    <w:rsid w:val="003665A6"/>
    <w:rsid w:val="00367418"/>
    <w:rsid w:val="00367972"/>
    <w:rsid w:val="00367994"/>
    <w:rsid w:val="00370C0D"/>
    <w:rsid w:val="00370D4B"/>
    <w:rsid w:val="00371381"/>
    <w:rsid w:val="0037151D"/>
    <w:rsid w:val="00372836"/>
    <w:rsid w:val="00372F3F"/>
    <w:rsid w:val="00374959"/>
    <w:rsid w:val="00374B5D"/>
    <w:rsid w:val="00374B8F"/>
    <w:rsid w:val="00374F84"/>
    <w:rsid w:val="00376B6F"/>
    <w:rsid w:val="00376DFB"/>
    <w:rsid w:val="00376FD2"/>
    <w:rsid w:val="003770EC"/>
    <w:rsid w:val="00377445"/>
    <w:rsid w:val="003775C6"/>
    <w:rsid w:val="003776BA"/>
    <w:rsid w:val="003777CF"/>
    <w:rsid w:val="00377868"/>
    <w:rsid w:val="0037790C"/>
    <w:rsid w:val="00380165"/>
    <w:rsid w:val="003802F5"/>
    <w:rsid w:val="00380397"/>
    <w:rsid w:val="0038040A"/>
    <w:rsid w:val="003814B9"/>
    <w:rsid w:val="003823ED"/>
    <w:rsid w:val="003825CC"/>
    <w:rsid w:val="00382774"/>
    <w:rsid w:val="003829EA"/>
    <w:rsid w:val="00382AA6"/>
    <w:rsid w:val="00382E5A"/>
    <w:rsid w:val="00383249"/>
    <w:rsid w:val="003838E9"/>
    <w:rsid w:val="00384149"/>
    <w:rsid w:val="0038473F"/>
    <w:rsid w:val="00384920"/>
    <w:rsid w:val="00384C77"/>
    <w:rsid w:val="00384CFD"/>
    <w:rsid w:val="00385011"/>
    <w:rsid w:val="00385029"/>
    <w:rsid w:val="003854B1"/>
    <w:rsid w:val="003858EF"/>
    <w:rsid w:val="00385B0F"/>
    <w:rsid w:val="00385D3A"/>
    <w:rsid w:val="00385E26"/>
    <w:rsid w:val="00386279"/>
    <w:rsid w:val="003866B4"/>
    <w:rsid w:val="00387CCF"/>
    <w:rsid w:val="0039069B"/>
    <w:rsid w:val="003908A2"/>
    <w:rsid w:val="00391C1A"/>
    <w:rsid w:val="0039223C"/>
    <w:rsid w:val="0039346D"/>
    <w:rsid w:val="00393AED"/>
    <w:rsid w:val="003945B4"/>
    <w:rsid w:val="00394C9A"/>
    <w:rsid w:val="00394D0F"/>
    <w:rsid w:val="0039557A"/>
    <w:rsid w:val="00395AEA"/>
    <w:rsid w:val="00395B55"/>
    <w:rsid w:val="00395BCB"/>
    <w:rsid w:val="00395F2E"/>
    <w:rsid w:val="00396863"/>
    <w:rsid w:val="003969C9"/>
    <w:rsid w:val="0039715D"/>
    <w:rsid w:val="00397A44"/>
    <w:rsid w:val="00397FB9"/>
    <w:rsid w:val="003A0016"/>
    <w:rsid w:val="003A0259"/>
    <w:rsid w:val="003A0524"/>
    <w:rsid w:val="003A0599"/>
    <w:rsid w:val="003A0947"/>
    <w:rsid w:val="003A0972"/>
    <w:rsid w:val="003A09A6"/>
    <w:rsid w:val="003A0FD2"/>
    <w:rsid w:val="003A101E"/>
    <w:rsid w:val="003A1A08"/>
    <w:rsid w:val="003A1B0E"/>
    <w:rsid w:val="003A1E42"/>
    <w:rsid w:val="003A23E5"/>
    <w:rsid w:val="003A2434"/>
    <w:rsid w:val="003A2584"/>
    <w:rsid w:val="003A2C63"/>
    <w:rsid w:val="003A3204"/>
    <w:rsid w:val="003A3D87"/>
    <w:rsid w:val="003A4038"/>
    <w:rsid w:val="003A4559"/>
    <w:rsid w:val="003A4D06"/>
    <w:rsid w:val="003A4D75"/>
    <w:rsid w:val="003A53AB"/>
    <w:rsid w:val="003A57D6"/>
    <w:rsid w:val="003A5B9C"/>
    <w:rsid w:val="003A647A"/>
    <w:rsid w:val="003A6B43"/>
    <w:rsid w:val="003A7624"/>
    <w:rsid w:val="003B00A0"/>
    <w:rsid w:val="003B096D"/>
    <w:rsid w:val="003B0DF2"/>
    <w:rsid w:val="003B11A1"/>
    <w:rsid w:val="003B127B"/>
    <w:rsid w:val="003B12F5"/>
    <w:rsid w:val="003B1478"/>
    <w:rsid w:val="003B1C09"/>
    <w:rsid w:val="003B1F71"/>
    <w:rsid w:val="003B2549"/>
    <w:rsid w:val="003B2765"/>
    <w:rsid w:val="003B2C49"/>
    <w:rsid w:val="003B3C51"/>
    <w:rsid w:val="003B42C7"/>
    <w:rsid w:val="003B4CF5"/>
    <w:rsid w:val="003B4E8C"/>
    <w:rsid w:val="003B5710"/>
    <w:rsid w:val="003B61C9"/>
    <w:rsid w:val="003B6242"/>
    <w:rsid w:val="003B6439"/>
    <w:rsid w:val="003B6BCA"/>
    <w:rsid w:val="003B714D"/>
    <w:rsid w:val="003B7239"/>
    <w:rsid w:val="003B72A9"/>
    <w:rsid w:val="003B7858"/>
    <w:rsid w:val="003B7F0B"/>
    <w:rsid w:val="003B7FB0"/>
    <w:rsid w:val="003C01E2"/>
    <w:rsid w:val="003C05AD"/>
    <w:rsid w:val="003C0812"/>
    <w:rsid w:val="003C1118"/>
    <w:rsid w:val="003C35DF"/>
    <w:rsid w:val="003C3DDF"/>
    <w:rsid w:val="003C434C"/>
    <w:rsid w:val="003C4599"/>
    <w:rsid w:val="003C46D6"/>
    <w:rsid w:val="003C4D47"/>
    <w:rsid w:val="003C4DB9"/>
    <w:rsid w:val="003C4F55"/>
    <w:rsid w:val="003C5372"/>
    <w:rsid w:val="003C5B26"/>
    <w:rsid w:val="003C5D6F"/>
    <w:rsid w:val="003C5F88"/>
    <w:rsid w:val="003C669E"/>
    <w:rsid w:val="003C6C3E"/>
    <w:rsid w:val="003C6C49"/>
    <w:rsid w:val="003D03F6"/>
    <w:rsid w:val="003D03F7"/>
    <w:rsid w:val="003D0BB0"/>
    <w:rsid w:val="003D10C2"/>
    <w:rsid w:val="003D1264"/>
    <w:rsid w:val="003D1E5A"/>
    <w:rsid w:val="003D1F8E"/>
    <w:rsid w:val="003D28AB"/>
    <w:rsid w:val="003D2997"/>
    <w:rsid w:val="003D29D9"/>
    <w:rsid w:val="003D3570"/>
    <w:rsid w:val="003D3932"/>
    <w:rsid w:val="003D3ABB"/>
    <w:rsid w:val="003D3E3A"/>
    <w:rsid w:val="003D3E93"/>
    <w:rsid w:val="003D4A26"/>
    <w:rsid w:val="003D4CA6"/>
    <w:rsid w:val="003D5326"/>
    <w:rsid w:val="003D5544"/>
    <w:rsid w:val="003D5882"/>
    <w:rsid w:val="003D5E5E"/>
    <w:rsid w:val="003D5F46"/>
    <w:rsid w:val="003D623A"/>
    <w:rsid w:val="003D63AF"/>
    <w:rsid w:val="003D6D1E"/>
    <w:rsid w:val="003D70D8"/>
    <w:rsid w:val="003D75EE"/>
    <w:rsid w:val="003E034B"/>
    <w:rsid w:val="003E03FE"/>
    <w:rsid w:val="003E0431"/>
    <w:rsid w:val="003E0731"/>
    <w:rsid w:val="003E168F"/>
    <w:rsid w:val="003E16D6"/>
    <w:rsid w:val="003E2597"/>
    <w:rsid w:val="003E3D63"/>
    <w:rsid w:val="003E52AC"/>
    <w:rsid w:val="003E656E"/>
    <w:rsid w:val="003E717E"/>
    <w:rsid w:val="003E73D4"/>
    <w:rsid w:val="003E78AF"/>
    <w:rsid w:val="003E7BDB"/>
    <w:rsid w:val="003E7C7E"/>
    <w:rsid w:val="003E7C81"/>
    <w:rsid w:val="003F0271"/>
    <w:rsid w:val="003F0EE8"/>
    <w:rsid w:val="003F0F51"/>
    <w:rsid w:val="003F0F77"/>
    <w:rsid w:val="003F1074"/>
    <w:rsid w:val="003F126F"/>
    <w:rsid w:val="003F20F1"/>
    <w:rsid w:val="003F224D"/>
    <w:rsid w:val="003F2BEB"/>
    <w:rsid w:val="003F2FE9"/>
    <w:rsid w:val="003F3151"/>
    <w:rsid w:val="003F39E0"/>
    <w:rsid w:val="003F3BEE"/>
    <w:rsid w:val="003F419C"/>
    <w:rsid w:val="003F43BF"/>
    <w:rsid w:val="003F48F2"/>
    <w:rsid w:val="003F4EA8"/>
    <w:rsid w:val="003F5FE3"/>
    <w:rsid w:val="003F6DAD"/>
    <w:rsid w:val="003F6E02"/>
    <w:rsid w:val="003F74CD"/>
    <w:rsid w:val="003F7936"/>
    <w:rsid w:val="003F7D8C"/>
    <w:rsid w:val="004007B1"/>
    <w:rsid w:val="00400E3A"/>
    <w:rsid w:val="0040113C"/>
    <w:rsid w:val="00401292"/>
    <w:rsid w:val="004012C2"/>
    <w:rsid w:val="00401964"/>
    <w:rsid w:val="00402103"/>
    <w:rsid w:val="00402264"/>
    <w:rsid w:val="00402568"/>
    <w:rsid w:val="00403446"/>
    <w:rsid w:val="00404072"/>
    <w:rsid w:val="00404084"/>
    <w:rsid w:val="004040E2"/>
    <w:rsid w:val="00404629"/>
    <w:rsid w:val="00405877"/>
    <w:rsid w:val="00406C12"/>
    <w:rsid w:val="004079AF"/>
    <w:rsid w:val="00407C9D"/>
    <w:rsid w:val="00407CC6"/>
    <w:rsid w:val="00407CEA"/>
    <w:rsid w:val="00410A95"/>
    <w:rsid w:val="00411F15"/>
    <w:rsid w:val="0041246A"/>
    <w:rsid w:val="00412590"/>
    <w:rsid w:val="00412A68"/>
    <w:rsid w:val="00412D2B"/>
    <w:rsid w:val="004135EE"/>
    <w:rsid w:val="00413F4F"/>
    <w:rsid w:val="00413FE4"/>
    <w:rsid w:val="004144FD"/>
    <w:rsid w:val="004148EC"/>
    <w:rsid w:val="00415258"/>
    <w:rsid w:val="00415C48"/>
    <w:rsid w:val="0041601D"/>
    <w:rsid w:val="004164A0"/>
    <w:rsid w:val="004165E7"/>
    <w:rsid w:val="00416C82"/>
    <w:rsid w:val="00416D1F"/>
    <w:rsid w:val="00417010"/>
    <w:rsid w:val="004172AF"/>
    <w:rsid w:val="00417BB3"/>
    <w:rsid w:val="00417E71"/>
    <w:rsid w:val="00420400"/>
    <w:rsid w:val="004208EC"/>
    <w:rsid w:val="00420DD4"/>
    <w:rsid w:val="0042169F"/>
    <w:rsid w:val="004219BC"/>
    <w:rsid w:val="00421E5D"/>
    <w:rsid w:val="004223A9"/>
    <w:rsid w:val="00422658"/>
    <w:rsid w:val="00422CD7"/>
    <w:rsid w:val="00423215"/>
    <w:rsid w:val="004234B1"/>
    <w:rsid w:val="00423A2D"/>
    <w:rsid w:val="00423B6D"/>
    <w:rsid w:val="00423C67"/>
    <w:rsid w:val="00424166"/>
    <w:rsid w:val="00424230"/>
    <w:rsid w:val="0042460C"/>
    <w:rsid w:val="0042515C"/>
    <w:rsid w:val="0042570B"/>
    <w:rsid w:val="00426721"/>
    <w:rsid w:val="00426B6B"/>
    <w:rsid w:val="00426CBE"/>
    <w:rsid w:val="0042763B"/>
    <w:rsid w:val="00427E9C"/>
    <w:rsid w:val="00430606"/>
    <w:rsid w:val="0043060F"/>
    <w:rsid w:val="004309C6"/>
    <w:rsid w:val="00430D54"/>
    <w:rsid w:val="004311C4"/>
    <w:rsid w:val="00431430"/>
    <w:rsid w:val="00431472"/>
    <w:rsid w:val="00431936"/>
    <w:rsid w:val="00431979"/>
    <w:rsid w:val="004325A6"/>
    <w:rsid w:val="00432FCA"/>
    <w:rsid w:val="0043317E"/>
    <w:rsid w:val="00433232"/>
    <w:rsid w:val="004334B8"/>
    <w:rsid w:val="0043414A"/>
    <w:rsid w:val="004341A0"/>
    <w:rsid w:val="00434387"/>
    <w:rsid w:val="00434436"/>
    <w:rsid w:val="00434E1C"/>
    <w:rsid w:val="0043589B"/>
    <w:rsid w:val="00435A68"/>
    <w:rsid w:val="00436A04"/>
    <w:rsid w:val="00436A74"/>
    <w:rsid w:val="00436B6E"/>
    <w:rsid w:val="00437472"/>
    <w:rsid w:val="004400AA"/>
    <w:rsid w:val="0044024C"/>
    <w:rsid w:val="004402EF"/>
    <w:rsid w:val="00440429"/>
    <w:rsid w:val="00440697"/>
    <w:rsid w:val="004407D8"/>
    <w:rsid w:val="00440CFE"/>
    <w:rsid w:val="00441102"/>
    <w:rsid w:val="0044118A"/>
    <w:rsid w:val="00441290"/>
    <w:rsid w:val="0044157A"/>
    <w:rsid w:val="00441B8F"/>
    <w:rsid w:val="00441FB9"/>
    <w:rsid w:val="00442CEC"/>
    <w:rsid w:val="0044376B"/>
    <w:rsid w:val="0044395C"/>
    <w:rsid w:val="00444E16"/>
    <w:rsid w:val="004451E0"/>
    <w:rsid w:val="00445AC0"/>
    <w:rsid w:val="00445F6E"/>
    <w:rsid w:val="004463AB"/>
    <w:rsid w:val="004464FC"/>
    <w:rsid w:val="00446B0F"/>
    <w:rsid w:val="00446DEB"/>
    <w:rsid w:val="00447760"/>
    <w:rsid w:val="00447E4B"/>
    <w:rsid w:val="00447E76"/>
    <w:rsid w:val="00450C6F"/>
    <w:rsid w:val="00450E1F"/>
    <w:rsid w:val="00451753"/>
    <w:rsid w:val="00451968"/>
    <w:rsid w:val="00451CDA"/>
    <w:rsid w:val="00451CEE"/>
    <w:rsid w:val="004526BF"/>
    <w:rsid w:val="00452945"/>
    <w:rsid w:val="00453459"/>
    <w:rsid w:val="00454D06"/>
    <w:rsid w:val="00455434"/>
    <w:rsid w:val="00455514"/>
    <w:rsid w:val="004555D0"/>
    <w:rsid w:val="00455BEE"/>
    <w:rsid w:val="00455C50"/>
    <w:rsid w:val="00455C5F"/>
    <w:rsid w:val="00455FE9"/>
    <w:rsid w:val="004563A2"/>
    <w:rsid w:val="004564E6"/>
    <w:rsid w:val="004567C9"/>
    <w:rsid w:val="00457463"/>
    <w:rsid w:val="004575F2"/>
    <w:rsid w:val="004576E1"/>
    <w:rsid w:val="00457FD7"/>
    <w:rsid w:val="00460627"/>
    <w:rsid w:val="00460742"/>
    <w:rsid w:val="004609C0"/>
    <w:rsid w:val="00460AD5"/>
    <w:rsid w:val="004610E7"/>
    <w:rsid w:val="004628A5"/>
    <w:rsid w:val="0046373F"/>
    <w:rsid w:val="00464281"/>
    <w:rsid w:val="00464289"/>
    <w:rsid w:val="0046464D"/>
    <w:rsid w:val="0046471F"/>
    <w:rsid w:val="00464F85"/>
    <w:rsid w:val="00465850"/>
    <w:rsid w:val="004658FF"/>
    <w:rsid w:val="004659F6"/>
    <w:rsid w:val="00465B6E"/>
    <w:rsid w:val="00465D82"/>
    <w:rsid w:val="00466AE8"/>
    <w:rsid w:val="00466D22"/>
    <w:rsid w:val="004675C3"/>
    <w:rsid w:val="004679DE"/>
    <w:rsid w:val="00467F30"/>
    <w:rsid w:val="004704F9"/>
    <w:rsid w:val="00470FDB"/>
    <w:rsid w:val="004712CD"/>
    <w:rsid w:val="00471314"/>
    <w:rsid w:val="0047135D"/>
    <w:rsid w:val="004714EA"/>
    <w:rsid w:val="004716DF"/>
    <w:rsid w:val="004719A6"/>
    <w:rsid w:val="004720D3"/>
    <w:rsid w:val="004721FB"/>
    <w:rsid w:val="0047267C"/>
    <w:rsid w:val="00473076"/>
    <w:rsid w:val="0047367E"/>
    <w:rsid w:val="004746DA"/>
    <w:rsid w:val="00474C06"/>
    <w:rsid w:val="00474F2E"/>
    <w:rsid w:val="00475554"/>
    <w:rsid w:val="00475D42"/>
    <w:rsid w:val="00475EB4"/>
    <w:rsid w:val="00476CFB"/>
    <w:rsid w:val="00476F95"/>
    <w:rsid w:val="00477FF2"/>
    <w:rsid w:val="00481141"/>
    <w:rsid w:val="004811E6"/>
    <w:rsid w:val="00481CC6"/>
    <w:rsid w:val="00481FC2"/>
    <w:rsid w:val="0048249F"/>
    <w:rsid w:val="00483297"/>
    <w:rsid w:val="0048349E"/>
    <w:rsid w:val="0048369F"/>
    <w:rsid w:val="004839E2"/>
    <w:rsid w:val="00484F10"/>
    <w:rsid w:val="00485CC2"/>
    <w:rsid w:val="00486AF6"/>
    <w:rsid w:val="0048772A"/>
    <w:rsid w:val="0048799D"/>
    <w:rsid w:val="00487CF3"/>
    <w:rsid w:val="00487FD5"/>
    <w:rsid w:val="004906FB"/>
    <w:rsid w:val="00490AC8"/>
    <w:rsid w:val="00491B7D"/>
    <w:rsid w:val="00491E16"/>
    <w:rsid w:val="00492848"/>
    <w:rsid w:val="00493B68"/>
    <w:rsid w:val="00494814"/>
    <w:rsid w:val="00494AA6"/>
    <w:rsid w:val="00495235"/>
    <w:rsid w:val="004954DC"/>
    <w:rsid w:val="004955BF"/>
    <w:rsid w:val="004956E1"/>
    <w:rsid w:val="004956F5"/>
    <w:rsid w:val="00495C4E"/>
    <w:rsid w:val="00496020"/>
    <w:rsid w:val="0049626C"/>
    <w:rsid w:val="004975E3"/>
    <w:rsid w:val="00497925"/>
    <w:rsid w:val="00497ECB"/>
    <w:rsid w:val="004A0454"/>
    <w:rsid w:val="004A06B7"/>
    <w:rsid w:val="004A14F5"/>
    <w:rsid w:val="004A1A8C"/>
    <w:rsid w:val="004A21A3"/>
    <w:rsid w:val="004A24B9"/>
    <w:rsid w:val="004A2D74"/>
    <w:rsid w:val="004A33CB"/>
    <w:rsid w:val="004A3452"/>
    <w:rsid w:val="004A384D"/>
    <w:rsid w:val="004A40EB"/>
    <w:rsid w:val="004A4FF2"/>
    <w:rsid w:val="004A5709"/>
    <w:rsid w:val="004A5E95"/>
    <w:rsid w:val="004A6144"/>
    <w:rsid w:val="004A67E3"/>
    <w:rsid w:val="004A728B"/>
    <w:rsid w:val="004A750D"/>
    <w:rsid w:val="004A788E"/>
    <w:rsid w:val="004A7C6F"/>
    <w:rsid w:val="004A7DE4"/>
    <w:rsid w:val="004A7E78"/>
    <w:rsid w:val="004B001B"/>
    <w:rsid w:val="004B0282"/>
    <w:rsid w:val="004B02DD"/>
    <w:rsid w:val="004B07D1"/>
    <w:rsid w:val="004B08AF"/>
    <w:rsid w:val="004B09F0"/>
    <w:rsid w:val="004B16D6"/>
    <w:rsid w:val="004B1E39"/>
    <w:rsid w:val="004B2504"/>
    <w:rsid w:val="004B2641"/>
    <w:rsid w:val="004B2717"/>
    <w:rsid w:val="004B27F5"/>
    <w:rsid w:val="004B3179"/>
    <w:rsid w:val="004B349B"/>
    <w:rsid w:val="004B3E97"/>
    <w:rsid w:val="004B472F"/>
    <w:rsid w:val="004B4918"/>
    <w:rsid w:val="004B4946"/>
    <w:rsid w:val="004B5D64"/>
    <w:rsid w:val="004B5F88"/>
    <w:rsid w:val="004B61AA"/>
    <w:rsid w:val="004B6630"/>
    <w:rsid w:val="004B6D45"/>
    <w:rsid w:val="004B6FF6"/>
    <w:rsid w:val="004B706B"/>
    <w:rsid w:val="004B71E9"/>
    <w:rsid w:val="004B780A"/>
    <w:rsid w:val="004B7952"/>
    <w:rsid w:val="004C01BE"/>
    <w:rsid w:val="004C08AA"/>
    <w:rsid w:val="004C0CEB"/>
    <w:rsid w:val="004C0DEE"/>
    <w:rsid w:val="004C0E34"/>
    <w:rsid w:val="004C0FD4"/>
    <w:rsid w:val="004C12C8"/>
    <w:rsid w:val="004C14AA"/>
    <w:rsid w:val="004C1CF7"/>
    <w:rsid w:val="004C1D27"/>
    <w:rsid w:val="004C1E3C"/>
    <w:rsid w:val="004C3B41"/>
    <w:rsid w:val="004C3C59"/>
    <w:rsid w:val="004C427C"/>
    <w:rsid w:val="004C4E18"/>
    <w:rsid w:val="004C501D"/>
    <w:rsid w:val="004C5898"/>
    <w:rsid w:val="004C59BE"/>
    <w:rsid w:val="004C5FA6"/>
    <w:rsid w:val="004C6767"/>
    <w:rsid w:val="004C68FE"/>
    <w:rsid w:val="004C69B2"/>
    <w:rsid w:val="004C69E8"/>
    <w:rsid w:val="004C6BA4"/>
    <w:rsid w:val="004C70A5"/>
    <w:rsid w:val="004D0314"/>
    <w:rsid w:val="004D095B"/>
    <w:rsid w:val="004D0EBF"/>
    <w:rsid w:val="004D141B"/>
    <w:rsid w:val="004D1CBC"/>
    <w:rsid w:val="004D1D5B"/>
    <w:rsid w:val="004D1FE6"/>
    <w:rsid w:val="004D2291"/>
    <w:rsid w:val="004D240F"/>
    <w:rsid w:val="004D29E0"/>
    <w:rsid w:val="004D307A"/>
    <w:rsid w:val="004D350C"/>
    <w:rsid w:val="004D3521"/>
    <w:rsid w:val="004D3538"/>
    <w:rsid w:val="004D37A0"/>
    <w:rsid w:val="004D3F4E"/>
    <w:rsid w:val="004D41AB"/>
    <w:rsid w:val="004D435B"/>
    <w:rsid w:val="004D474F"/>
    <w:rsid w:val="004D4ADC"/>
    <w:rsid w:val="004D527F"/>
    <w:rsid w:val="004D5305"/>
    <w:rsid w:val="004D5967"/>
    <w:rsid w:val="004D61B4"/>
    <w:rsid w:val="004D62A8"/>
    <w:rsid w:val="004D62E7"/>
    <w:rsid w:val="004E03DF"/>
    <w:rsid w:val="004E095C"/>
    <w:rsid w:val="004E0A09"/>
    <w:rsid w:val="004E129B"/>
    <w:rsid w:val="004E12FF"/>
    <w:rsid w:val="004E2491"/>
    <w:rsid w:val="004E28F3"/>
    <w:rsid w:val="004E2B4A"/>
    <w:rsid w:val="004E352F"/>
    <w:rsid w:val="004E356C"/>
    <w:rsid w:val="004E3C02"/>
    <w:rsid w:val="004E3F13"/>
    <w:rsid w:val="004E4422"/>
    <w:rsid w:val="004E4742"/>
    <w:rsid w:val="004E48CF"/>
    <w:rsid w:val="004E4CE3"/>
    <w:rsid w:val="004E4FC8"/>
    <w:rsid w:val="004E668F"/>
    <w:rsid w:val="004E670F"/>
    <w:rsid w:val="004E6720"/>
    <w:rsid w:val="004E698B"/>
    <w:rsid w:val="004E6D6B"/>
    <w:rsid w:val="004E6FEA"/>
    <w:rsid w:val="004E7AD4"/>
    <w:rsid w:val="004F0157"/>
    <w:rsid w:val="004F0499"/>
    <w:rsid w:val="004F0D4E"/>
    <w:rsid w:val="004F0F41"/>
    <w:rsid w:val="004F1EA0"/>
    <w:rsid w:val="004F202D"/>
    <w:rsid w:val="004F2237"/>
    <w:rsid w:val="004F2749"/>
    <w:rsid w:val="004F2AAD"/>
    <w:rsid w:val="004F2C69"/>
    <w:rsid w:val="004F2DBC"/>
    <w:rsid w:val="004F2F36"/>
    <w:rsid w:val="004F3594"/>
    <w:rsid w:val="004F359F"/>
    <w:rsid w:val="004F379B"/>
    <w:rsid w:val="004F4014"/>
    <w:rsid w:val="004F417E"/>
    <w:rsid w:val="004F4216"/>
    <w:rsid w:val="004F427E"/>
    <w:rsid w:val="004F4420"/>
    <w:rsid w:val="004F447F"/>
    <w:rsid w:val="004F457C"/>
    <w:rsid w:val="004F582F"/>
    <w:rsid w:val="004F5886"/>
    <w:rsid w:val="004F6A9A"/>
    <w:rsid w:val="004F7419"/>
    <w:rsid w:val="00500124"/>
    <w:rsid w:val="0050067B"/>
    <w:rsid w:val="0050116E"/>
    <w:rsid w:val="00501720"/>
    <w:rsid w:val="00501A7A"/>
    <w:rsid w:val="00501AAC"/>
    <w:rsid w:val="00501E69"/>
    <w:rsid w:val="00502E21"/>
    <w:rsid w:val="0050399D"/>
    <w:rsid w:val="00503AF0"/>
    <w:rsid w:val="00503BBB"/>
    <w:rsid w:val="00503D4D"/>
    <w:rsid w:val="0050465D"/>
    <w:rsid w:val="00505285"/>
    <w:rsid w:val="00505FC8"/>
    <w:rsid w:val="005060F7"/>
    <w:rsid w:val="005072F7"/>
    <w:rsid w:val="0050741E"/>
    <w:rsid w:val="005078A4"/>
    <w:rsid w:val="00507D2B"/>
    <w:rsid w:val="00507E39"/>
    <w:rsid w:val="0051052B"/>
    <w:rsid w:val="00510CA6"/>
    <w:rsid w:val="0051109F"/>
    <w:rsid w:val="0051110C"/>
    <w:rsid w:val="00511D10"/>
    <w:rsid w:val="0051260D"/>
    <w:rsid w:val="00512A63"/>
    <w:rsid w:val="00512E68"/>
    <w:rsid w:val="00513377"/>
    <w:rsid w:val="005133C8"/>
    <w:rsid w:val="005133DE"/>
    <w:rsid w:val="00513842"/>
    <w:rsid w:val="005139A8"/>
    <w:rsid w:val="00513EB0"/>
    <w:rsid w:val="00514789"/>
    <w:rsid w:val="00514942"/>
    <w:rsid w:val="00515125"/>
    <w:rsid w:val="00515FA3"/>
    <w:rsid w:val="00516881"/>
    <w:rsid w:val="00516ECD"/>
    <w:rsid w:val="0051755C"/>
    <w:rsid w:val="00517AE8"/>
    <w:rsid w:val="00520E99"/>
    <w:rsid w:val="00521135"/>
    <w:rsid w:val="005214C7"/>
    <w:rsid w:val="00522774"/>
    <w:rsid w:val="0052282A"/>
    <w:rsid w:val="00522E31"/>
    <w:rsid w:val="0052369A"/>
    <w:rsid w:val="00523D62"/>
    <w:rsid w:val="0052430B"/>
    <w:rsid w:val="00524626"/>
    <w:rsid w:val="0052474A"/>
    <w:rsid w:val="00525667"/>
    <w:rsid w:val="00525763"/>
    <w:rsid w:val="005257C6"/>
    <w:rsid w:val="005259FE"/>
    <w:rsid w:val="0052605A"/>
    <w:rsid w:val="00526091"/>
    <w:rsid w:val="0052651A"/>
    <w:rsid w:val="00527343"/>
    <w:rsid w:val="005274F8"/>
    <w:rsid w:val="00527635"/>
    <w:rsid w:val="005279C2"/>
    <w:rsid w:val="0053035F"/>
    <w:rsid w:val="0053062A"/>
    <w:rsid w:val="00530CBD"/>
    <w:rsid w:val="00530CE5"/>
    <w:rsid w:val="00530F24"/>
    <w:rsid w:val="0053128D"/>
    <w:rsid w:val="005314DA"/>
    <w:rsid w:val="0053180D"/>
    <w:rsid w:val="00531CAD"/>
    <w:rsid w:val="005324F2"/>
    <w:rsid w:val="005326A3"/>
    <w:rsid w:val="00532881"/>
    <w:rsid w:val="005330FD"/>
    <w:rsid w:val="0053311B"/>
    <w:rsid w:val="00533350"/>
    <w:rsid w:val="0053340E"/>
    <w:rsid w:val="00533B5B"/>
    <w:rsid w:val="00533EBD"/>
    <w:rsid w:val="00534237"/>
    <w:rsid w:val="005345CC"/>
    <w:rsid w:val="00534847"/>
    <w:rsid w:val="00535052"/>
    <w:rsid w:val="0053545B"/>
    <w:rsid w:val="00535D8F"/>
    <w:rsid w:val="00535EC4"/>
    <w:rsid w:val="0053606E"/>
    <w:rsid w:val="005370BD"/>
    <w:rsid w:val="005378E3"/>
    <w:rsid w:val="005412C2"/>
    <w:rsid w:val="00541347"/>
    <w:rsid w:val="00541C38"/>
    <w:rsid w:val="00541E45"/>
    <w:rsid w:val="005422AC"/>
    <w:rsid w:val="00544ACD"/>
    <w:rsid w:val="00544D6F"/>
    <w:rsid w:val="00544DB3"/>
    <w:rsid w:val="0054516C"/>
    <w:rsid w:val="00545238"/>
    <w:rsid w:val="00545622"/>
    <w:rsid w:val="00546750"/>
    <w:rsid w:val="0054681F"/>
    <w:rsid w:val="00546C80"/>
    <w:rsid w:val="005474EF"/>
    <w:rsid w:val="005475B3"/>
    <w:rsid w:val="005479F8"/>
    <w:rsid w:val="00547EC0"/>
    <w:rsid w:val="00550A25"/>
    <w:rsid w:val="00550DC7"/>
    <w:rsid w:val="00551551"/>
    <w:rsid w:val="00551852"/>
    <w:rsid w:val="00551875"/>
    <w:rsid w:val="00552194"/>
    <w:rsid w:val="00552583"/>
    <w:rsid w:val="0055269C"/>
    <w:rsid w:val="00552BDF"/>
    <w:rsid w:val="00552D08"/>
    <w:rsid w:val="00553559"/>
    <w:rsid w:val="005535D7"/>
    <w:rsid w:val="0055379E"/>
    <w:rsid w:val="00553B1C"/>
    <w:rsid w:val="00553FA7"/>
    <w:rsid w:val="0055469B"/>
    <w:rsid w:val="0055498C"/>
    <w:rsid w:val="00554BB2"/>
    <w:rsid w:val="005554D1"/>
    <w:rsid w:val="005559F6"/>
    <w:rsid w:val="005567AD"/>
    <w:rsid w:val="00556949"/>
    <w:rsid w:val="0055695B"/>
    <w:rsid w:val="00556B02"/>
    <w:rsid w:val="005573DE"/>
    <w:rsid w:val="00560883"/>
    <w:rsid w:val="00560BE3"/>
    <w:rsid w:val="00560FBE"/>
    <w:rsid w:val="00561B4C"/>
    <w:rsid w:val="00561CD6"/>
    <w:rsid w:val="00561F40"/>
    <w:rsid w:val="0056204E"/>
    <w:rsid w:val="00562B41"/>
    <w:rsid w:val="00562D97"/>
    <w:rsid w:val="005631BE"/>
    <w:rsid w:val="005642C6"/>
    <w:rsid w:val="0056435E"/>
    <w:rsid w:val="005647AF"/>
    <w:rsid w:val="00564C41"/>
    <w:rsid w:val="00564E80"/>
    <w:rsid w:val="00564F47"/>
    <w:rsid w:val="00565492"/>
    <w:rsid w:val="005658DB"/>
    <w:rsid w:val="00566F63"/>
    <w:rsid w:val="00567209"/>
    <w:rsid w:val="0056749D"/>
    <w:rsid w:val="00567751"/>
    <w:rsid w:val="00567E9B"/>
    <w:rsid w:val="0057103B"/>
    <w:rsid w:val="005711F0"/>
    <w:rsid w:val="00571448"/>
    <w:rsid w:val="005717BA"/>
    <w:rsid w:val="00571C3F"/>
    <w:rsid w:val="00571D79"/>
    <w:rsid w:val="00572139"/>
    <w:rsid w:val="005724B6"/>
    <w:rsid w:val="005725DC"/>
    <w:rsid w:val="00572B20"/>
    <w:rsid w:val="00573271"/>
    <w:rsid w:val="00573578"/>
    <w:rsid w:val="005735EF"/>
    <w:rsid w:val="00573708"/>
    <w:rsid w:val="00573815"/>
    <w:rsid w:val="005742B8"/>
    <w:rsid w:val="00574452"/>
    <w:rsid w:val="00574505"/>
    <w:rsid w:val="00574F90"/>
    <w:rsid w:val="00575072"/>
    <w:rsid w:val="005753BA"/>
    <w:rsid w:val="0057556A"/>
    <w:rsid w:val="00575932"/>
    <w:rsid w:val="00576433"/>
    <w:rsid w:val="00576B0B"/>
    <w:rsid w:val="005771BF"/>
    <w:rsid w:val="005776FB"/>
    <w:rsid w:val="00577812"/>
    <w:rsid w:val="00577D8F"/>
    <w:rsid w:val="00577F9C"/>
    <w:rsid w:val="00580361"/>
    <w:rsid w:val="00581142"/>
    <w:rsid w:val="005813B8"/>
    <w:rsid w:val="005817F3"/>
    <w:rsid w:val="00581A9D"/>
    <w:rsid w:val="00582AF7"/>
    <w:rsid w:val="0058306C"/>
    <w:rsid w:val="005833C0"/>
    <w:rsid w:val="0058408A"/>
    <w:rsid w:val="005843B2"/>
    <w:rsid w:val="00584A6A"/>
    <w:rsid w:val="00585472"/>
    <w:rsid w:val="005857B9"/>
    <w:rsid w:val="0058597C"/>
    <w:rsid w:val="00585A6F"/>
    <w:rsid w:val="0058702D"/>
    <w:rsid w:val="00587369"/>
    <w:rsid w:val="005874FE"/>
    <w:rsid w:val="00587C2C"/>
    <w:rsid w:val="00587E7A"/>
    <w:rsid w:val="00587E8B"/>
    <w:rsid w:val="00590031"/>
    <w:rsid w:val="0059010A"/>
    <w:rsid w:val="00590215"/>
    <w:rsid w:val="0059021A"/>
    <w:rsid w:val="00590A11"/>
    <w:rsid w:val="00591436"/>
    <w:rsid w:val="005915DA"/>
    <w:rsid w:val="00591AA5"/>
    <w:rsid w:val="00592FD5"/>
    <w:rsid w:val="0059386B"/>
    <w:rsid w:val="00593AF3"/>
    <w:rsid w:val="00593B25"/>
    <w:rsid w:val="00593D29"/>
    <w:rsid w:val="00594415"/>
    <w:rsid w:val="00595449"/>
    <w:rsid w:val="00595582"/>
    <w:rsid w:val="00595B7A"/>
    <w:rsid w:val="00595F31"/>
    <w:rsid w:val="0059616F"/>
    <w:rsid w:val="005963D3"/>
    <w:rsid w:val="00596DF3"/>
    <w:rsid w:val="00597933"/>
    <w:rsid w:val="005979BD"/>
    <w:rsid w:val="005979EC"/>
    <w:rsid w:val="005A0A75"/>
    <w:rsid w:val="005A0F63"/>
    <w:rsid w:val="005A16BF"/>
    <w:rsid w:val="005A1D64"/>
    <w:rsid w:val="005A1EA5"/>
    <w:rsid w:val="005A29DD"/>
    <w:rsid w:val="005A2BE5"/>
    <w:rsid w:val="005A3091"/>
    <w:rsid w:val="005A3169"/>
    <w:rsid w:val="005A373F"/>
    <w:rsid w:val="005A3CFF"/>
    <w:rsid w:val="005A404F"/>
    <w:rsid w:val="005A4D8A"/>
    <w:rsid w:val="005A4F89"/>
    <w:rsid w:val="005A535B"/>
    <w:rsid w:val="005A5A97"/>
    <w:rsid w:val="005A6A12"/>
    <w:rsid w:val="005A6C4A"/>
    <w:rsid w:val="005A7BBF"/>
    <w:rsid w:val="005A7DB0"/>
    <w:rsid w:val="005B018D"/>
    <w:rsid w:val="005B0772"/>
    <w:rsid w:val="005B10AE"/>
    <w:rsid w:val="005B113C"/>
    <w:rsid w:val="005B122F"/>
    <w:rsid w:val="005B1976"/>
    <w:rsid w:val="005B1DA7"/>
    <w:rsid w:val="005B1E14"/>
    <w:rsid w:val="005B1F16"/>
    <w:rsid w:val="005B20BD"/>
    <w:rsid w:val="005B2755"/>
    <w:rsid w:val="005B2ABA"/>
    <w:rsid w:val="005B2C45"/>
    <w:rsid w:val="005B2FB1"/>
    <w:rsid w:val="005B3CE5"/>
    <w:rsid w:val="005B4A83"/>
    <w:rsid w:val="005B4F37"/>
    <w:rsid w:val="005B5198"/>
    <w:rsid w:val="005B5661"/>
    <w:rsid w:val="005B57FE"/>
    <w:rsid w:val="005B5803"/>
    <w:rsid w:val="005B5C03"/>
    <w:rsid w:val="005B5E5E"/>
    <w:rsid w:val="005B6472"/>
    <w:rsid w:val="005B682D"/>
    <w:rsid w:val="005B6A5B"/>
    <w:rsid w:val="005B7173"/>
    <w:rsid w:val="005B7406"/>
    <w:rsid w:val="005B74D7"/>
    <w:rsid w:val="005B76A1"/>
    <w:rsid w:val="005B7A18"/>
    <w:rsid w:val="005B7BBA"/>
    <w:rsid w:val="005C1C22"/>
    <w:rsid w:val="005C1F12"/>
    <w:rsid w:val="005C2045"/>
    <w:rsid w:val="005C235F"/>
    <w:rsid w:val="005C2397"/>
    <w:rsid w:val="005C25C7"/>
    <w:rsid w:val="005C32B1"/>
    <w:rsid w:val="005C3311"/>
    <w:rsid w:val="005C3AC0"/>
    <w:rsid w:val="005C3EBA"/>
    <w:rsid w:val="005C48A8"/>
    <w:rsid w:val="005C48C9"/>
    <w:rsid w:val="005C48D8"/>
    <w:rsid w:val="005C4DFB"/>
    <w:rsid w:val="005C4F14"/>
    <w:rsid w:val="005C551A"/>
    <w:rsid w:val="005C55C2"/>
    <w:rsid w:val="005C5E10"/>
    <w:rsid w:val="005C61CC"/>
    <w:rsid w:val="005C6765"/>
    <w:rsid w:val="005C6A38"/>
    <w:rsid w:val="005C714E"/>
    <w:rsid w:val="005C7D01"/>
    <w:rsid w:val="005D042D"/>
    <w:rsid w:val="005D0A51"/>
    <w:rsid w:val="005D1301"/>
    <w:rsid w:val="005D14B4"/>
    <w:rsid w:val="005D195C"/>
    <w:rsid w:val="005D1C25"/>
    <w:rsid w:val="005D1F47"/>
    <w:rsid w:val="005D2738"/>
    <w:rsid w:val="005D2C75"/>
    <w:rsid w:val="005D3432"/>
    <w:rsid w:val="005D3F3F"/>
    <w:rsid w:val="005D4426"/>
    <w:rsid w:val="005D4582"/>
    <w:rsid w:val="005D4BCA"/>
    <w:rsid w:val="005D4CCB"/>
    <w:rsid w:val="005D5128"/>
    <w:rsid w:val="005D545E"/>
    <w:rsid w:val="005D5653"/>
    <w:rsid w:val="005D5AA9"/>
    <w:rsid w:val="005D66F9"/>
    <w:rsid w:val="005D6D0A"/>
    <w:rsid w:val="005D73FC"/>
    <w:rsid w:val="005D76CE"/>
    <w:rsid w:val="005E1A04"/>
    <w:rsid w:val="005E26B8"/>
    <w:rsid w:val="005E2C03"/>
    <w:rsid w:val="005E2F37"/>
    <w:rsid w:val="005E329D"/>
    <w:rsid w:val="005E42D8"/>
    <w:rsid w:val="005E48FE"/>
    <w:rsid w:val="005E53D5"/>
    <w:rsid w:val="005E59B5"/>
    <w:rsid w:val="005E5BE7"/>
    <w:rsid w:val="005E5C11"/>
    <w:rsid w:val="005E5C4B"/>
    <w:rsid w:val="005E6195"/>
    <w:rsid w:val="005E62F7"/>
    <w:rsid w:val="005E6C15"/>
    <w:rsid w:val="005E6EA8"/>
    <w:rsid w:val="005E7D26"/>
    <w:rsid w:val="005F0761"/>
    <w:rsid w:val="005F149C"/>
    <w:rsid w:val="005F182A"/>
    <w:rsid w:val="005F1CB5"/>
    <w:rsid w:val="005F1E5E"/>
    <w:rsid w:val="005F3525"/>
    <w:rsid w:val="005F35AB"/>
    <w:rsid w:val="005F3CDD"/>
    <w:rsid w:val="005F46AF"/>
    <w:rsid w:val="005F49BB"/>
    <w:rsid w:val="005F4ABC"/>
    <w:rsid w:val="005F4D81"/>
    <w:rsid w:val="005F53FE"/>
    <w:rsid w:val="005F5682"/>
    <w:rsid w:val="005F57AB"/>
    <w:rsid w:val="005F5A28"/>
    <w:rsid w:val="005F5A3B"/>
    <w:rsid w:val="005F6086"/>
    <w:rsid w:val="005F67BD"/>
    <w:rsid w:val="005F6CC7"/>
    <w:rsid w:val="005F704D"/>
    <w:rsid w:val="006007E4"/>
    <w:rsid w:val="00600ACA"/>
    <w:rsid w:val="00601064"/>
    <w:rsid w:val="006019B7"/>
    <w:rsid w:val="00601B49"/>
    <w:rsid w:val="00601DFA"/>
    <w:rsid w:val="00602B11"/>
    <w:rsid w:val="006030E3"/>
    <w:rsid w:val="00603CD6"/>
    <w:rsid w:val="006042E8"/>
    <w:rsid w:val="006043FF"/>
    <w:rsid w:val="0060469E"/>
    <w:rsid w:val="00604AD8"/>
    <w:rsid w:val="006055ED"/>
    <w:rsid w:val="00605742"/>
    <w:rsid w:val="00605A13"/>
    <w:rsid w:val="006061B4"/>
    <w:rsid w:val="00610530"/>
    <w:rsid w:val="00610587"/>
    <w:rsid w:val="00610704"/>
    <w:rsid w:val="0061077F"/>
    <w:rsid w:val="00610887"/>
    <w:rsid w:val="00610ABE"/>
    <w:rsid w:val="0061102B"/>
    <w:rsid w:val="006113B6"/>
    <w:rsid w:val="00611833"/>
    <w:rsid w:val="00611CB4"/>
    <w:rsid w:val="00611E8B"/>
    <w:rsid w:val="0061217D"/>
    <w:rsid w:val="00612546"/>
    <w:rsid w:val="00612568"/>
    <w:rsid w:val="006129E0"/>
    <w:rsid w:val="00612B3A"/>
    <w:rsid w:val="00612D75"/>
    <w:rsid w:val="00614101"/>
    <w:rsid w:val="0061465C"/>
    <w:rsid w:val="006148EF"/>
    <w:rsid w:val="00614C0A"/>
    <w:rsid w:val="006152F0"/>
    <w:rsid w:val="00615655"/>
    <w:rsid w:val="00615CBD"/>
    <w:rsid w:val="00615D8A"/>
    <w:rsid w:val="00615F12"/>
    <w:rsid w:val="006160A5"/>
    <w:rsid w:val="00616660"/>
    <w:rsid w:val="0061686C"/>
    <w:rsid w:val="00617264"/>
    <w:rsid w:val="00617920"/>
    <w:rsid w:val="00617930"/>
    <w:rsid w:val="00620C9D"/>
    <w:rsid w:val="00620D28"/>
    <w:rsid w:val="0062151E"/>
    <w:rsid w:val="00621728"/>
    <w:rsid w:val="00621E16"/>
    <w:rsid w:val="00622011"/>
    <w:rsid w:val="0062211D"/>
    <w:rsid w:val="00622177"/>
    <w:rsid w:val="00622FF8"/>
    <w:rsid w:val="006234A9"/>
    <w:rsid w:val="006236FD"/>
    <w:rsid w:val="00623A75"/>
    <w:rsid w:val="00623BAB"/>
    <w:rsid w:val="00623BF5"/>
    <w:rsid w:val="0062454E"/>
    <w:rsid w:val="00624FAB"/>
    <w:rsid w:val="0062609A"/>
    <w:rsid w:val="006267CE"/>
    <w:rsid w:val="0062681A"/>
    <w:rsid w:val="00626BDA"/>
    <w:rsid w:val="00627340"/>
    <w:rsid w:val="006278FA"/>
    <w:rsid w:val="006300B5"/>
    <w:rsid w:val="00630142"/>
    <w:rsid w:val="006303C0"/>
    <w:rsid w:val="006305EA"/>
    <w:rsid w:val="00630A0B"/>
    <w:rsid w:val="0063109A"/>
    <w:rsid w:val="006319D9"/>
    <w:rsid w:val="006320C6"/>
    <w:rsid w:val="006327E1"/>
    <w:rsid w:val="00632DAF"/>
    <w:rsid w:val="0063310D"/>
    <w:rsid w:val="006331C7"/>
    <w:rsid w:val="0063333F"/>
    <w:rsid w:val="00633506"/>
    <w:rsid w:val="006339D9"/>
    <w:rsid w:val="006341CE"/>
    <w:rsid w:val="006352CD"/>
    <w:rsid w:val="006352EF"/>
    <w:rsid w:val="00635937"/>
    <w:rsid w:val="00636278"/>
    <w:rsid w:val="0063678D"/>
    <w:rsid w:val="00636AFC"/>
    <w:rsid w:val="00640C64"/>
    <w:rsid w:val="00640DAF"/>
    <w:rsid w:val="00641029"/>
    <w:rsid w:val="00641348"/>
    <w:rsid w:val="00641A0C"/>
    <w:rsid w:val="00641D2C"/>
    <w:rsid w:val="00642E9D"/>
    <w:rsid w:val="00643172"/>
    <w:rsid w:val="006431E7"/>
    <w:rsid w:val="00643620"/>
    <w:rsid w:val="006437EC"/>
    <w:rsid w:val="00643C12"/>
    <w:rsid w:val="00644038"/>
    <w:rsid w:val="0064416D"/>
    <w:rsid w:val="006443FA"/>
    <w:rsid w:val="006445D7"/>
    <w:rsid w:val="00644AE9"/>
    <w:rsid w:val="006450F0"/>
    <w:rsid w:val="0064624B"/>
    <w:rsid w:val="00646334"/>
    <w:rsid w:val="00646434"/>
    <w:rsid w:val="00646871"/>
    <w:rsid w:val="00646E28"/>
    <w:rsid w:val="006471A1"/>
    <w:rsid w:val="00647202"/>
    <w:rsid w:val="006473BF"/>
    <w:rsid w:val="00647534"/>
    <w:rsid w:val="006478F4"/>
    <w:rsid w:val="00647A24"/>
    <w:rsid w:val="00647C2E"/>
    <w:rsid w:val="0065071D"/>
    <w:rsid w:val="00650B56"/>
    <w:rsid w:val="00650BBF"/>
    <w:rsid w:val="00650BFF"/>
    <w:rsid w:val="00650CDF"/>
    <w:rsid w:val="006511CA"/>
    <w:rsid w:val="00651218"/>
    <w:rsid w:val="00651513"/>
    <w:rsid w:val="00651752"/>
    <w:rsid w:val="00651955"/>
    <w:rsid w:val="00651CC1"/>
    <w:rsid w:val="00651CFF"/>
    <w:rsid w:val="00651E03"/>
    <w:rsid w:val="0065206E"/>
    <w:rsid w:val="0065215A"/>
    <w:rsid w:val="00652FF0"/>
    <w:rsid w:val="00653914"/>
    <w:rsid w:val="00653A60"/>
    <w:rsid w:val="0065422C"/>
    <w:rsid w:val="006543C0"/>
    <w:rsid w:val="00654435"/>
    <w:rsid w:val="006544CE"/>
    <w:rsid w:val="0065456C"/>
    <w:rsid w:val="006546F7"/>
    <w:rsid w:val="006554FE"/>
    <w:rsid w:val="00655D94"/>
    <w:rsid w:val="006567B0"/>
    <w:rsid w:val="00656D4E"/>
    <w:rsid w:val="006572A7"/>
    <w:rsid w:val="006601E6"/>
    <w:rsid w:val="0066051F"/>
    <w:rsid w:val="0066073F"/>
    <w:rsid w:val="00660AE6"/>
    <w:rsid w:val="00660F81"/>
    <w:rsid w:val="0066140E"/>
    <w:rsid w:val="0066174F"/>
    <w:rsid w:val="00661A25"/>
    <w:rsid w:val="00661D3B"/>
    <w:rsid w:val="0066216A"/>
    <w:rsid w:val="00662AF1"/>
    <w:rsid w:val="0066353F"/>
    <w:rsid w:val="0066370A"/>
    <w:rsid w:val="00663AA2"/>
    <w:rsid w:val="006641AF"/>
    <w:rsid w:val="006642A0"/>
    <w:rsid w:val="006645E3"/>
    <w:rsid w:val="00664CBC"/>
    <w:rsid w:val="00664DE7"/>
    <w:rsid w:val="00664DFD"/>
    <w:rsid w:val="00665361"/>
    <w:rsid w:val="00665537"/>
    <w:rsid w:val="0066560F"/>
    <w:rsid w:val="00665646"/>
    <w:rsid w:val="00665ECE"/>
    <w:rsid w:val="00666C8B"/>
    <w:rsid w:val="00666E17"/>
    <w:rsid w:val="006672E5"/>
    <w:rsid w:val="00667426"/>
    <w:rsid w:val="006678AE"/>
    <w:rsid w:val="00667BAE"/>
    <w:rsid w:val="00667C25"/>
    <w:rsid w:val="0067017B"/>
    <w:rsid w:val="00670378"/>
    <w:rsid w:val="006704AA"/>
    <w:rsid w:val="006708B9"/>
    <w:rsid w:val="0067095B"/>
    <w:rsid w:val="00672DD1"/>
    <w:rsid w:val="00672E22"/>
    <w:rsid w:val="00672EE8"/>
    <w:rsid w:val="00673030"/>
    <w:rsid w:val="00673808"/>
    <w:rsid w:val="006746D9"/>
    <w:rsid w:val="00674E41"/>
    <w:rsid w:val="0067505D"/>
    <w:rsid w:val="006751C4"/>
    <w:rsid w:val="00675415"/>
    <w:rsid w:val="006755E0"/>
    <w:rsid w:val="00675EC5"/>
    <w:rsid w:val="006760AF"/>
    <w:rsid w:val="00676171"/>
    <w:rsid w:val="006761C4"/>
    <w:rsid w:val="006761FA"/>
    <w:rsid w:val="006762EF"/>
    <w:rsid w:val="0067652D"/>
    <w:rsid w:val="00676635"/>
    <w:rsid w:val="00676A91"/>
    <w:rsid w:val="00676FF7"/>
    <w:rsid w:val="006773FD"/>
    <w:rsid w:val="0067772D"/>
    <w:rsid w:val="00677AF6"/>
    <w:rsid w:val="006802CF"/>
    <w:rsid w:val="006805F3"/>
    <w:rsid w:val="00680BB4"/>
    <w:rsid w:val="00681942"/>
    <w:rsid w:val="00681D63"/>
    <w:rsid w:val="00681FB6"/>
    <w:rsid w:val="00682060"/>
    <w:rsid w:val="0068212B"/>
    <w:rsid w:val="0068345D"/>
    <w:rsid w:val="00684AB7"/>
    <w:rsid w:val="00684C9E"/>
    <w:rsid w:val="00685805"/>
    <w:rsid w:val="006859C7"/>
    <w:rsid w:val="006868BE"/>
    <w:rsid w:val="006869AC"/>
    <w:rsid w:val="00687069"/>
    <w:rsid w:val="00687381"/>
    <w:rsid w:val="00687EF0"/>
    <w:rsid w:val="00690668"/>
    <w:rsid w:val="006913AA"/>
    <w:rsid w:val="00691810"/>
    <w:rsid w:val="0069199E"/>
    <w:rsid w:val="00691A8E"/>
    <w:rsid w:val="0069207A"/>
    <w:rsid w:val="006920C8"/>
    <w:rsid w:val="0069240A"/>
    <w:rsid w:val="00692901"/>
    <w:rsid w:val="00693656"/>
    <w:rsid w:val="00693E69"/>
    <w:rsid w:val="006943D3"/>
    <w:rsid w:val="006944D0"/>
    <w:rsid w:val="00694A96"/>
    <w:rsid w:val="00694CCC"/>
    <w:rsid w:val="00694FD6"/>
    <w:rsid w:val="00695315"/>
    <w:rsid w:val="00695610"/>
    <w:rsid w:val="00695E4E"/>
    <w:rsid w:val="006965C1"/>
    <w:rsid w:val="00696A75"/>
    <w:rsid w:val="00696F34"/>
    <w:rsid w:val="00697410"/>
    <w:rsid w:val="006975C3"/>
    <w:rsid w:val="006A0286"/>
    <w:rsid w:val="006A0DFF"/>
    <w:rsid w:val="006A0EB3"/>
    <w:rsid w:val="006A0FA3"/>
    <w:rsid w:val="006A1975"/>
    <w:rsid w:val="006A2565"/>
    <w:rsid w:val="006A275D"/>
    <w:rsid w:val="006A298A"/>
    <w:rsid w:val="006A2DA2"/>
    <w:rsid w:val="006A2EE7"/>
    <w:rsid w:val="006A3505"/>
    <w:rsid w:val="006A36A7"/>
    <w:rsid w:val="006A393A"/>
    <w:rsid w:val="006A3ED2"/>
    <w:rsid w:val="006A463B"/>
    <w:rsid w:val="006A52BE"/>
    <w:rsid w:val="006A5E2D"/>
    <w:rsid w:val="006A63EB"/>
    <w:rsid w:val="006A6FAB"/>
    <w:rsid w:val="006A7256"/>
    <w:rsid w:val="006A7720"/>
    <w:rsid w:val="006A78C7"/>
    <w:rsid w:val="006A7A00"/>
    <w:rsid w:val="006B01EB"/>
    <w:rsid w:val="006B0915"/>
    <w:rsid w:val="006B123A"/>
    <w:rsid w:val="006B1A12"/>
    <w:rsid w:val="006B2356"/>
    <w:rsid w:val="006B2C78"/>
    <w:rsid w:val="006B2CEB"/>
    <w:rsid w:val="006B2E89"/>
    <w:rsid w:val="006B2EFE"/>
    <w:rsid w:val="006B331C"/>
    <w:rsid w:val="006B3367"/>
    <w:rsid w:val="006B3B71"/>
    <w:rsid w:val="006B3C3B"/>
    <w:rsid w:val="006B4030"/>
    <w:rsid w:val="006B49A8"/>
    <w:rsid w:val="006B4A56"/>
    <w:rsid w:val="006B5E9B"/>
    <w:rsid w:val="006B611A"/>
    <w:rsid w:val="006B639E"/>
    <w:rsid w:val="006B6D36"/>
    <w:rsid w:val="006B7D38"/>
    <w:rsid w:val="006B7D81"/>
    <w:rsid w:val="006C0119"/>
    <w:rsid w:val="006C097E"/>
    <w:rsid w:val="006C0A0E"/>
    <w:rsid w:val="006C146C"/>
    <w:rsid w:val="006C182A"/>
    <w:rsid w:val="006C1845"/>
    <w:rsid w:val="006C2F37"/>
    <w:rsid w:val="006C342D"/>
    <w:rsid w:val="006C3D09"/>
    <w:rsid w:val="006C450D"/>
    <w:rsid w:val="006C487D"/>
    <w:rsid w:val="006C4AD1"/>
    <w:rsid w:val="006C4C4D"/>
    <w:rsid w:val="006C4E2A"/>
    <w:rsid w:val="006C540A"/>
    <w:rsid w:val="006C5A85"/>
    <w:rsid w:val="006C5E8D"/>
    <w:rsid w:val="006C5EFA"/>
    <w:rsid w:val="006C6654"/>
    <w:rsid w:val="006C6785"/>
    <w:rsid w:val="006C682D"/>
    <w:rsid w:val="006C697F"/>
    <w:rsid w:val="006C6BAD"/>
    <w:rsid w:val="006C705E"/>
    <w:rsid w:val="006C7234"/>
    <w:rsid w:val="006C74C2"/>
    <w:rsid w:val="006C7B38"/>
    <w:rsid w:val="006C7C23"/>
    <w:rsid w:val="006D007A"/>
    <w:rsid w:val="006D0495"/>
    <w:rsid w:val="006D0D36"/>
    <w:rsid w:val="006D0E6D"/>
    <w:rsid w:val="006D0F19"/>
    <w:rsid w:val="006D10C7"/>
    <w:rsid w:val="006D165D"/>
    <w:rsid w:val="006D1719"/>
    <w:rsid w:val="006D2111"/>
    <w:rsid w:val="006D28FE"/>
    <w:rsid w:val="006D2E6E"/>
    <w:rsid w:val="006D31D4"/>
    <w:rsid w:val="006D3752"/>
    <w:rsid w:val="006D39E6"/>
    <w:rsid w:val="006D3C13"/>
    <w:rsid w:val="006D3E75"/>
    <w:rsid w:val="006D43FD"/>
    <w:rsid w:val="006D44A3"/>
    <w:rsid w:val="006D4801"/>
    <w:rsid w:val="006D490D"/>
    <w:rsid w:val="006D4A77"/>
    <w:rsid w:val="006D4ED4"/>
    <w:rsid w:val="006D4EFB"/>
    <w:rsid w:val="006D5766"/>
    <w:rsid w:val="006D584E"/>
    <w:rsid w:val="006D5AFC"/>
    <w:rsid w:val="006D5C95"/>
    <w:rsid w:val="006D62C0"/>
    <w:rsid w:val="006D64F7"/>
    <w:rsid w:val="006D724C"/>
    <w:rsid w:val="006D788B"/>
    <w:rsid w:val="006E0A42"/>
    <w:rsid w:val="006E0F3F"/>
    <w:rsid w:val="006E16D6"/>
    <w:rsid w:val="006E1916"/>
    <w:rsid w:val="006E1AEB"/>
    <w:rsid w:val="006E213E"/>
    <w:rsid w:val="006E2940"/>
    <w:rsid w:val="006E3732"/>
    <w:rsid w:val="006E3BFB"/>
    <w:rsid w:val="006E3EE2"/>
    <w:rsid w:val="006E40FE"/>
    <w:rsid w:val="006E46D7"/>
    <w:rsid w:val="006E4760"/>
    <w:rsid w:val="006E51F1"/>
    <w:rsid w:val="006E5243"/>
    <w:rsid w:val="006E5323"/>
    <w:rsid w:val="006E533E"/>
    <w:rsid w:val="006E6BCE"/>
    <w:rsid w:val="006E6E78"/>
    <w:rsid w:val="006E6ED4"/>
    <w:rsid w:val="006E6F37"/>
    <w:rsid w:val="006E7079"/>
    <w:rsid w:val="006F0513"/>
    <w:rsid w:val="006F0586"/>
    <w:rsid w:val="006F0942"/>
    <w:rsid w:val="006F26E9"/>
    <w:rsid w:val="006F2AE6"/>
    <w:rsid w:val="006F2F88"/>
    <w:rsid w:val="006F2FA7"/>
    <w:rsid w:val="006F3818"/>
    <w:rsid w:val="006F432D"/>
    <w:rsid w:val="006F474F"/>
    <w:rsid w:val="006F4920"/>
    <w:rsid w:val="006F4DBA"/>
    <w:rsid w:val="006F4F04"/>
    <w:rsid w:val="006F53F2"/>
    <w:rsid w:val="006F587D"/>
    <w:rsid w:val="006F5AB2"/>
    <w:rsid w:val="006F5CEC"/>
    <w:rsid w:val="006F5D6D"/>
    <w:rsid w:val="006F5F9C"/>
    <w:rsid w:val="006F681E"/>
    <w:rsid w:val="006F7273"/>
    <w:rsid w:val="006F770F"/>
    <w:rsid w:val="006F78D1"/>
    <w:rsid w:val="006F7E8E"/>
    <w:rsid w:val="007003B0"/>
    <w:rsid w:val="00700CBD"/>
    <w:rsid w:val="00700E5F"/>
    <w:rsid w:val="00701199"/>
    <w:rsid w:val="00701474"/>
    <w:rsid w:val="00701858"/>
    <w:rsid w:val="00701A28"/>
    <w:rsid w:val="00702722"/>
    <w:rsid w:val="007028AC"/>
    <w:rsid w:val="007028F4"/>
    <w:rsid w:val="0070337F"/>
    <w:rsid w:val="00703AB1"/>
    <w:rsid w:val="007043BD"/>
    <w:rsid w:val="0070440E"/>
    <w:rsid w:val="007045DC"/>
    <w:rsid w:val="00704638"/>
    <w:rsid w:val="00705081"/>
    <w:rsid w:val="0070581E"/>
    <w:rsid w:val="00705D66"/>
    <w:rsid w:val="00705FA5"/>
    <w:rsid w:val="0070683F"/>
    <w:rsid w:val="00706850"/>
    <w:rsid w:val="00706AA6"/>
    <w:rsid w:val="00707549"/>
    <w:rsid w:val="0070791C"/>
    <w:rsid w:val="00710359"/>
    <w:rsid w:val="0071076E"/>
    <w:rsid w:val="00710CA2"/>
    <w:rsid w:val="00710F5B"/>
    <w:rsid w:val="00710FF0"/>
    <w:rsid w:val="0071121C"/>
    <w:rsid w:val="00711A03"/>
    <w:rsid w:val="00712D08"/>
    <w:rsid w:val="00712FD1"/>
    <w:rsid w:val="0071319A"/>
    <w:rsid w:val="0071360B"/>
    <w:rsid w:val="00714054"/>
    <w:rsid w:val="007143F7"/>
    <w:rsid w:val="0071477A"/>
    <w:rsid w:val="00714ABF"/>
    <w:rsid w:val="00714CE9"/>
    <w:rsid w:val="00715BE4"/>
    <w:rsid w:val="00715C8D"/>
    <w:rsid w:val="00715D31"/>
    <w:rsid w:val="00715F83"/>
    <w:rsid w:val="0071616E"/>
    <w:rsid w:val="00716382"/>
    <w:rsid w:val="00716436"/>
    <w:rsid w:val="00716573"/>
    <w:rsid w:val="00717593"/>
    <w:rsid w:val="00717675"/>
    <w:rsid w:val="00717F61"/>
    <w:rsid w:val="007202F7"/>
    <w:rsid w:val="0072072A"/>
    <w:rsid w:val="00720E53"/>
    <w:rsid w:val="007218CB"/>
    <w:rsid w:val="00721BE1"/>
    <w:rsid w:val="00722323"/>
    <w:rsid w:val="00722686"/>
    <w:rsid w:val="00722AA5"/>
    <w:rsid w:val="00722DA4"/>
    <w:rsid w:val="007231C6"/>
    <w:rsid w:val="00723AA1"/>
    <w:rsid w:val="00723C14"/>
    <w:rsid w:val="00724B24"/>
    <w:rsid w:val="00724C76"/>
    <w:rsid w:val="00725313"/>
    <w:rsid w:val="007255B5"/>
    <w:rsid w:val="007268F6"/>
    <w:rsid w:val="0072691D"/>
    <w:rsid w:val="0072692F"/>
    <w:rsid w:val="00727955"/>
    <w:rsid w:val="00727FC7"/>
    <w:rsid w:val="00730575"/>
    <w:rsid w:val="00730624"/>
    <w:rsid w:val="00730BA7"/>
    <w:rsid w:val="00730C38"/>
    <w:rsid w:val="00730DE4"/>
    <w:rsid w:val="007329CB"/>
    <w:rsid w:val="00732E1D"/>
    <w:rsid w:val="00732E2C"/>
    <w:rsid w:val="0073320E"/>
    <w:rsid w:val="00733FFD"/>
    <w:rsid w:val="0073416B"/>
    <w:rsid w:val="00734B26"/>
    <w:rsid w:val="00734C16"/>
    <w:rsid w:val="007351BF"/>
    <w:rsid w:val="00735FFB"/>
    <w:rsid w:val="007360FC"/>
    <w:rsid w:val="0073631A"/>
    <w:rsid w:val="0073642B"/>
    <w:rsid w:val="007368FB"/>
    <w:rsid w:val="007369DA"/>
    <w:rsid w:val="00736E9F"/>
    <w:rsid w:val="007371D1"/>
    <w:rsid w:val="0073765B"/>
    <w:rsid w:val="00737D07"/>
    <w:rsid w:val="007400D8"/>
    <w:rsid w:val="007405C0"/>
    <w:rsid w:val="00740638"/>
    <w:rsid w:val="00740BFF"/>
    <w:rsid w:val="00741157"/>
    <w:rsid w:val="00741E3B"/>
    <w:rsid w:val="0074247E"/>
    <w:rsid w:val="00742EF6"/>
    <w:rsid w:val="007430FB"/>
    <w:rsid w:val="00743CF1"/>
    <w:rsid w:val="00743D52"/>
    <w:rsid w:val="00743D79"/>
    <w:rsid w:val="00744982"/>
    <w:rsid w:val="00744F46"/>
    <w:rsid w:val="00745012"/>
    <w:rsid w:val="00745166"/>
    <w:rsid w:val="007458F3"/>
    <w:rsid w:val="00745C61"/>
    <w:rsid w:val="00745E88"/>
    <w:rsid w:val="0074687F"/>
    <w:rsid w:val="00747329"/>
    <w:rsid w:val="0074790A"/>
    <w:rsid w:val="007500BF"/>
    <w:rsid w:val="007511C6"/>
    <w:rsid w:val="00751248"/>
    <w:rsid w:val="00751986"/>
    <w:rsid w:val="00751EFE"/>
    <w:rsid w:val="007521D1"/>
    <w:rsid w:val="00752CDA"/>
    <w:rsid w:val="00752E37"/>
    <w:rsid w:val="007539F0"/>
    <w:rsid w:val="00753C45"/>
    <w:rsid w:val="0075522C"/>
    <w:rsid w:val="0075557D"/>
    <w:rsid w:val="00755B62"/>
    <w:rsid w:val="007562AC"/>
    <w:rsid w:val="00756560"/>
    <w:rsid w:val="00756E88"/>
    <w:rsid w:val="00756EA1"/>
    <w:rsid w:val="00757195"/>
    <w:rsid w:val="007575A0"/>
    <w:rsid w:val="00760187"/>
    <w:rsid w:val="00760398"/>
    <w:rsid w:val="0076062F"/>
    <w:rsid w:val="0076065D"/>
    <w:rsid w:val="00761364"/>
    <w:rsid w:val="00761B8B"/>
    <w:rsid w:val="0076226A"/>
    <w:rsid w:val="00762B6C"/>
    <w:rsid w:val="00762BA1"/>
    <w:rsid w:val="00762CD8"/>
    <w:rsid w:val="00763331"/>
    <w:rsid w:val="00763D6E"/>
    <w:rsid w:val="00763FBB"/>
    <w:rsid w:val="00764CFF"/>
    <w:rsid w:val="00764D55"/>
    <w:rsid w:val="00764D93"/>
    <w:rsid w:val="00765CE0"/>
    <w:rsid w:val="00765FDA"/>
    <w:rsid w:val="00766326"/>
    <w:rsid w:val="00766567"/>
    <w:rsid w:val="00766A09"/>
    <w:rsid w:val="00767340"/>
    <w:rsid w:val="007677BF"/>
    <w:rsid w:val="00767AC9"/>
    <w:rsid w:val="0077077C"/>
    <w:rsid w:val="007707A3"/>
    <w:rsid w:val="0077086E"/>
    <w:rsid w:val="0077113D"/>
    <w:rsid w:val="00771293"/>
    <w:rsid w:val="00771757"/>
    <w:rsid w:val="007717AC"/>
    <w:rsid w:val="007719BE"/>
    <w:rsid w:val="00771DCA"/>
    <w:rsid w:val="007720C4"/>
    <w:rsid w:val="00773238"/>
    <w:rsid w:val="0077339B"/>
    <w:rsid w:val="00773590"/>
    <w:rsid w:val="00773A2C"/>
    <w:rsid w:val="00774020"/>
    <w:rsid w:val="00774252"/>
    <w:rsid w:val="0077447E"/>
    <w:rsid w:val="00774624"/>
    <w:rsid w:val="007757E3"/>
    <w:rsid w:val="00775EB3"/>
    <w:rsid w:val="0077604A"/>
    <w:rsid w:val="00776611"/>
    <w:rsid w:val="00776C05"/>
    <w:rsid w:val="0077728E"/>
    <w:rsid w:val="00777491"/>
    <w:rsid w:val="0078140D"/>
    <w:rsid w:val="00781632"/>
    <w:rsid w:val="007819E5"/>
    <w:rsid w:val="00781AE8"/>
    <w:rsid w:val="00781E20"/>
    <w:rsid w:val="0078258F"/>
    <w:rsid w:val="00782B08"/>
    <w:rsid w:val="00782D11"/>
    <w:rsid w:val="00783009"/>
    <w:rsid w:val="00783723"/>
    <w:rsid w:val="007838C0"/>
    <w:rsid w:val="00783EC1"/>
    <w:rsid w:val="0078405B"/>
    <w:rsid w:val="00784456"/>
    <w:rsid w:val="0078468A"/>
    <w:rsid w:val="00784805"/>
    <w:rsid w:val="00785340"/>
    <w:rsid w:val="00785586"/>
    <w:rsid w:val="007863EF"/>
    <w:rsid w:val="0078650E"/>
    <w:rsid w:val="0078692B"/>
    <w:rsid w:val="00786DA6"/>
    <w:rsid w:val="00787340"/>
    <w:rsid w:val="0078740D"/>
    <w:rsid w:val="00787653"/>
    <w:rsid w:val="00787E0E"/>
    <w:rsid w:val="00787FD3"/>
    <w:rsid w:val="00790199"/>
    <w:rsid w:val="00790767"/>
    <w:rsid w:val="0079098A"/>
    <w:rsid w:val="00790B0D"/>
    <w:rsid w:val="007914CA"/>
    <w:rsid w:val="0079176C"/>
    <w:rsid w:val="00791AE9"/>
    <w:rsid w:val="00791D22"/>
    <w:rsid w:val="0079261C"/>
    <w:rsid w:val="00792A21"/>
    <w:rsid w:val="00792CB8"/>
    <w:rsid w:val="00792F60"/>
    <w:rsid w:val="00792FCD"/>
    <w:rsid w:val="00793AFE"/>
    <w:rsid w:val="00793DA7"/>
    <w:rsid w:val="00795903"/>
    <w:rsid w:val="00795BBC"/>
    <w:rsid w:val="007968CA"/>
    <w:rsid w:val="007968F1"/>
    <w:rsid w:val="00796E7A"/>
    <w:rsid w:val="00797487"/>
    <w:rsid w:val="007975F4"/>
    <w:rsid w:val="00797FC9"/>
    <w:rsid w:val="007A02A4"/>
    <w:rsid w:val="007A08A2"/>
    <w:rsid w:val="007A0AB4"/>
    <w:rsid w:val="007A0B78"/>
    <w:rsid w:val="007A139E"/>
    <w:rsid w:val="007A1B14"/>
    <w:rsid w:val="007A1C31"/>
    <w:rsid w:val="007A2190"/>
    <w:rsid w:val="007A24AA"/>
    <w:rsid w:val="007A27BD"/>
    <w:rsid w:val="007A2989"/>
    <w:rsid w:val="007A2DF9"/>
    <w:rsid w:val="007A3054"/>
    <w:rsid w:val="007A3144"/>
    <w:rsid w:val="007A363E"/>
    <w:rsid w:val="007A4F50"/>
    <w:rsid w:val="007A4F62"/>
    <w:rsid w:val="007A52FA"/>
    <w:rsid w:val="007A5885"/>
    <w:rsid w:val="007A58CF"/>
    <w:rsid w:val="007A5966"/>
    <w:rsid w:val="007A5E3E"/>
    <w:rsid w:val="007A6C42"/>
    <w:rsid w:val="007A747B"/>
    <w:rsid w:val="007A7648"/>
    <w:rsid w:val="007A79F0"/>
    <w:rsid w:val="007B05B8"/>
    <w:rsid w:val="007B0FE6"/>
    <w:rsid w:val="007B18CE"/>
    <w:rsid w:val="007B24E6"/>
    <w:rsid w:val="007B2518"/>
    <w:rsid w:val="007B2E15"/>
    <w:rsid w:val="007B2E88"/>
    <w:rsid w:val="007B319A"/>
    <w:rsid w:val="007B334A"/>
    <w:rsid w:val="007B3F55"/>
    <w:rsid w:val="007B424C"/>
    <w:rsid w:val="007B4B31"/>
    <w:rsid w:val="007B54F3"/>
    <w:rsid w:val="007B566F"/>
    <w:rsid w:val="007B569C"/>
    <w:rsid w:val="007B5F3F"/>
    <w:rsid w:val="007B73D0"/>
    <w:rsid w:val="007B741C"/>
    <w:rsid w:val="007C013C"/>
    <w:rsid w:val="007C04C6"/>
    <w:rsid w:val="007C0DEB"/>
    <w:rsid w:val="007C1403"/>
    <w:rsid w:val="007C242F"/>
    <w:rsid w:val="007C2C0B"/>
    <w:rsid w:val="007C323C"/>
    <w:rsid w:val="007C3288"/>
    <w:rsid w:val="007C331C"/>
    <w:rsid w:val="007C34BA"/>
    <w:rsid w:val="007C3A1B"/>
    <w:rsid w:val="007C440F"/>
    <w:rsid w:val="007C502E"/>
    <w:rsid w:val="007C5065"/>
    <w:rsid w:val="007C50EB"/>
    <w:rsid w:val="007C5485"/>
    <w:rsid w:val="007C5589"/>
    <w:rsid w:val="007C56D7"/>
    <w:rsid w:val="007C57C3"/>
    <w:rsid w:val="007C5A9B"/>
    <w:rsid w:val="007C5EA5"/>
    <w:rsid w:val="007C62E4"/>
    <w:rsid w:val="007C63B7"/>
    <w:rsid w:val="007C64D2"/>
    <w:rsid w:val="007C64F9"/>
    <w:rsid w:val="007C67C5"/>
    <w:rsid w:val="007C6C3C"/>
    <w:rsid w:val="007C7431"/>
    <w:rsid w:val="007C7A8C"/>
    <w:rsid w:val="007C7D2C"/>
    <w:rsid w:val="007D025E"/>
    <w:rsid w:val="007D0691"/>
    <w:rsid w:val="007D080C"/>
    <w:rsid w:val="007D0B57"/>
    <w:rsid w:val="007D0BD2"/>
    <w:rsid w:val="007D0CFF"/>
    <w:rsid w:val="007D0EBE"/>
    <w:rsid w:val="007D12CF"/>
    <w:rsid w:val="007D21B3"/>
    <w:rsid w:val="007D2400"/>
    <w:rsid w:val="007D2B16"/>
    <w:rsid w:val="007D3A54"/>
    <w:rsid w:val="007D4012"/>
    <w:rsid w:val="007D4323"/>
    <w:rsid w:val="007D4918"/>
    <w:rsid w:val="007D4E76"/>
    <w:rsid w:val="007D5559"/>
    <w:rsid w:val="007D5B46"/>
    <w:rsid w:val="007D5C95"/>
    <w:rsid w:val="007D653F"/>
    <w:rsid w:val="007D6F3F"/>
    <w:rsid w:val="007D7B96"/>
    <w:rsid w:val="007E0923"/>
    <w:rsid w:val="007E1C85"/>
    <w:rsid w:val="007E1F1F"/>
    <w:rsid w:val="007E2115"/>
    <w:rsid w:val="007E2BCD"/>
    <w:rsid w:val="007E3443"/>
    <w:rsid w:val="007E363A"/>
    <w:rsid w:val="007E4199"/>
    <w:rsid w:val="007E41EC"/>
    <w:rsid w:val="007E441C"/>
    <w:rsid w:val="007E452E"/>
    <w:rsid w:val="007E48E0"/>
    <w:rsid w:val="007E4945"/>
    <w:rsid w:val="007E4FA3"/>
    <w:rsid w:val="007E5A49"/>
    <w:rsid w:val="007E5BA8"/>
    <w:rsid w:val="007E691D"/>
    <w:rsid w:val="007E7341"/>
    <w:rsid w:val="007E79C9"/>
    <w:rsid w:val="007E7DE1"/>
    <w:rsid w:val="007E7E27"/>
    <w:rsid w:val="007F0324"/>
    <w:rsid w:val="007F0405"/>
    <w:rsid w:val="007F1A7C"/>
    <w:rsid w:val="007F222D"/>
    <w:rsid w:val="007F2755"/>
    <w:rsid w:val="007F2935"/>
    <w:rsid w:val="007F2FA4"/>
    <w:rsid w:val="007F301F"/>
    <w:rsid w:val="007F3454"/>
    <w:rsid w:val="007F3C33"/>
    <w:rsid w:val="007F3D5E"/>
    <w:rsid w:val="007F3E3D"/>
    <w:rsid w:val="007F4154"/>
    <w:rsid w:val="007F4173"/>
    <w:rsid w:val="007F4776"/>
    <w:rsid w:val="007F4DEF"/>
    <w:rsid w:val="007F5038"/>
    <w:rsid w:val="007F51D2"/>
    <w:rsid w:val="007F550B"/>
    <w:rsid w:val="007F55D9"/>
    <w:rsid w:val="007F5A24"/>
    <w:rsid w:val="007F5B3A"/>
    <w:rsid w:val="007F5C51"/>
    <w:rsid w:val="007F5E18"/>
    <w:rsid w:val="007F60FE"/>
    <w:rsid w:val="007F6322"/>
    <w:rsid w:val="007F69E5"/>
    <w:rsid w:val="007F6AF5"/>
    <w:rsid w:val="007F79AD"/>
    <w:rsid w:val="007F7DDF"/>
    <w:rsid w:val="007F7F48"/>
    <w:rsid w:val="0080003E"/>
    <w:rsid w:val="008001A5"/>
    <w:rsid w:val="0080026E"/>
    <w:rsid w:val="00800362"/>
    <w:rsid w:val="008003B6"/>
    <w:rsid w:val="00800549"/>
    <w:rsid w:val="00800698"/>
    <w:rsid w:val="0080083F"/>
    <w:rsid w:val="00801964"/>
    <w:rsid w:val="00801A60"/>
    <w:rsid w:val="008020CF"/>
    <w:rsid w:val="0080218D"/>
    <w:rsid w:val="008027E4"/>
    <w:rsid w:val="00802D34"/>
    <w:rsid w:val="00802DA8"/>
    <w:rsid w:val="0080303B"/>
    <w:rsid w:val="00803A60"/>
    <w:rsid w:val="00803C52"/>
    <w:rsid w:val="00803CA9"/>
    <w:rsid w:val="00803EF5"/>
    <w:rsid w:val="00804352"/>
    <w:rsid w:val="008044B0"/>
    <w:rsid w:val="0080555C"/>
    <w:rsid w:val="00805948"/>
    <w:rsid w:val="00806084"/>
    <w:rsid w:val="00806875"/>
    <w:rsid w:val="00806D37"/>
    <w:rsid w:val="008073AB"/>
    <w:rsid w:val="008078F9"/>
    <w:rsid w:val="00807AB7"/>
    <w:rsid w:val="00807D31"/>
    <w:rsid w:val="00810A13"/>
    <w:rsid w:val="008113E9"/>
    <w:rsid w:val="00811637"/>
    <w:rsid w:val="0081191D"/>
    <w:rsid w:val="00812DDE"/>
    <w:rsid w:val="00812DE1"/>
    <w:rsid w:val="008130F0"/>
    <w:rsid w:val="008132D4"/>
    <w:rsid w:val="008136B7"/>
    <w:rsid w:val="0081383B"/>
    <w:rsid w:val="00813870"/>
    <w:rsid w:val="008138B5"/>
    <w:rsid w:val="00813AFC"/>
    <w:rsid w:val="00814426"/>
    <w:rsid w:val="008145FC"/>
    <w:rsid w:val="00814C24"/>
    <w:rsid w:val="0081541F"/>
    <w:rsid w:val="00815571"/>
    <w:rsid w:val="00815D07"/>
    <w:rsid w:val="00815D50"/>
    <w:rsid w:val="00815DFA"/>
    <w:rsid w:val="00816175"/>
    <w:rsid w:val="00816344"/>
    <w:rsid w:val="00816BBA"/>
    <w:rsid w:val="00816CE5"/>
    <w:rsid w:val="00817489"/>
    <w:rsid w:val="00817890"/>
    <w:rsid w:val="008179F0"/>
    <w:rsid w:val="00817EFD"/>
    <w:rsid w:val="00820131"/>
    <w:rsid w:val="008215F2"/>
    <w:rsid w:val="00821AB8"/>
    <w:rsid w:val="00822308"/>
    <w:rsid w:val="008230BA"/>
    <w:rsid w:val="008232BA"/>
    <w:rsid w:val="00823D8F"/>
    <w:rsid w:val="008241F1"/>
    <w:rsid w:val="00824E03"/>
    <w:rsid w:val="00825282"/>
    <w:rsid w:val="008254D8"/>
    <w:rsid w:val="00825A62"/>
    <w:rsid w:val="00825F11"/>
    <w:rsid w:val="008261AC"/>
    <w:rsid w:val="00826462"/>
    <w:rsid w:val="00826619"/>
    <w:rsid w:val="00827156"/>
    <w:rsid w:val="00827419"/>
    <w:rsid w:val="00827519"/>
    <w:rsid w:val="008277C1"/>
    <w:rsid w:val="008277EC"/>
    <w:rsid w:val="00827FCE"/>
    <w:rsid w:val="0083067F"/>
    <w:rsid w:val="00831119"/>
    <w:rsid w:val="00831284"/>
    <w:rsid w:val="008313CE"/>
    <w:rsid w:val="00831941"/>
    <w:rsid w:val="008322E3"/>
    <w:rsid w:val="008334DD"/>
    <w:rsid w:val="00833EC0"/>
    <w:rsid w:val="00833FC8"/>
    <w:rsid w:val="0083401F"/>
    <w:rsid w:val="008343FB"/>
    <w:rsid w:val="00834915"/>
    <w:rsid w:val="0083521E"/>
    <w:rsid w:val="008357BB"/>
    <w:rsid w:val="00835A02"/>
    <w:rsid w:val="00835CB7"/>
    <w:rsid w:val="0083644C"/>
    <w:rsid w:val="00836455"/>
    <w:rsid w:val="00836478"/>
    <w:rsid w:val="00836A2B"/>
    <w:rsid w:val="00836D6A"/>
    <w:rsid w:val="008370D5"/>
    <w:rsid w:val="008378BD"/>
    <w:rsid w:val="008378FF"/>
    <w:rsid w:val="00837E59"/>
    <w:rsid w:val="00837EE8"/>
    <w:rsid w:val="0084156F"/>
    <w:rsid w:val="008438C0"/>
    <w:rsid w:val="00843D87"/>
    <w:rsid w:val="00843FE9"/>
    <w:rsid w:val="00844384"/>
    <w:rsid w:val="0084455B"/>
    <w:rsid w:val="00844843"/>
    <w:rsid w:val="008448E5"/>
    <w:rsid w:val="00844F12"/>
    <w:rsid w:val="00844F5B"/>
    <w:rsid w:val="00845010"/>
    <w:rsid w:val="008451E8"/>
    <w:rsid w:val="00845C87"/>
    <w:rsid w:val="00846095"/>
    <w:rsid w:val="008464BE"/>
    <w:rsid w:val="0084672C"/>
    <w:rsid w:val="00846911"/>
    <w:rsid w:val="00846E76"/>
    <w:rsid w:val="00847B00"/>
    <w:rsid w:val="0085074F"/>
    <w:rsid w:val="0085099F"/>
    <w:rsid w:val="008519F8"/>
    <w:rsid w:val="00851D02"/>
    <w:rsid w:val="00851D6C"/>
    <w:rsid w:val="00851F8B"/>
    <w:rsid w:val="00852703"/>
    <w:rsid w:val="00852C24"/>
    <w:rsid w:val="00852E1B"/>
    <w:rsid w:val="00853C1A"/>
    <w:rsid w:val="008542AB"/>
    <w:rsid w:val="00854649"/>
    <w:rsid w:val="00854958"/>
    <w:rsid w:val="00854AAC"/>
    <w:rsid w:val="00855A1C"/>
    <w:rsid w:val="00855FA9"/>
    <w:rsid w:val="00856035"/>
    <w:rsid w:val="008561C6"/>
    <w:rsid w:val="00856B9C"/>
    <w:rsid w:val="00856E76"/>
    <w:rsid w:val="008570B4"/>
    <w:rsid w:val="00857175"/>
    <w:rsid w:val="008571DC"/>
    <w:rsid w:val="0085793B"/>
    <w:rsid w:val="00857A79"/>
    <w:rsid w:val="00857DC0"/>
    <w:rsid w:val="00857E9F"/>
    <w:rsid w:val="00857FC0"/>
    <w:rsid w:val="00860A3D"/>
    <w:rsid w:val="00860FFE"/>
    <w:rsid w:val="008611D5"/>
    <w:rsid w:val="0086131E"/>
    <w:rsid w:val="00861553"/>
    <w:rsid w:val="008616F9"/>
    <w:rsid w:val="00861C58"/>
    <w:rsid w:val="0086202F"/>
    <w:rsid w:val="0086203F"/>
    <w:rsid w:val="008625FD"/>
    <w:rsid w:val="00862AF9"/>
    <w:rsid w:val="008633CE"/>
    <w:rsid w:val="00863F26"/>
    <w:rsid w:val="008651CF"/>
    <w:rsid w:val="00865C05"/>
    <w:rsid w:val="0086602F"/>
    <w:rsid w:val="0086617B"/>
    <w:rsid w:val="00866588"/>
    <w:rsid w:val="00866E1B"/>
    <w:rsid w:val="0086705B"/>
    <w:rsid w:val="00867921"/>
    <w:rsid w:val="008702CA"/>
    <w:rsid w:val="0087067C"/>
    <w:rsid w:val="00870811"/>
    <w:rsid w:val="00870B92"/>
    <w:rsid w:val="00870C0D"/>
    <w:rsid w:val="00870F23"/>
    <w:rsid w:val="00871BD1"/>
    <w:rsid w:val="00872B86"/>
    <w:rsid w:val="00873709"/>
    <w:rsid w:val="008742DE"/>
    <w:rsid w:val="008744D6"/>
    <w:rsid w:val="00874657"/>
    <w:rsid w:val="008746CB"/>
    <w:rsid w:val="008749C7"/>
    <w:rsid w:val="00874F87"/>
    <w:rsid w:val="0087510A"/>
    <w:rsid w:val="0087548B"/>
    <w:rsid w:val="00875C23"/>
    <w:rsid w:val="00875F32"/>
    <w:rsid w:val="00876045"/>
    <w:rsid w:val="00876712"/>
    <w:rsid w:val="00876AEB"/>
    <w:rsid w:val="008776BB"/>
    <w:rsid w:val="0087775A"/>
    <w:rsid w:val="00880D94"/>
    <w:rsid w:val="00880F28"/>
    <w:rsid w:val="008812B5"/>
    <w:rsid w:val="008818A3"/>
    <w:rsid w:val="008818A9"/>
    <w:rsid w:val="008818DD"/>
    <w:rsid w:val="00881CDA"/>
    <w:rsid w:val="00882465"/>
    <w:rsid w:val="00882A6E"/>
    <w:rsid w:val="00882F98"/>
    <w:rsid w:val="00882F9B"/>
    <w:rsid w:val="0088328D"/>
    <w:rsid w:val="00883C40"/>
    <w:rsid w:val="00884452"/>
    <w:rsid w:val="008845E4"/>
    <w:rsid w:val="00884E48"/>
    <w:rsid w:val="00884FF5"/>
    <w:rsid w:val="008852D5"/>
    <w:rsid w:val="00885B17"/>
    <w:rsid w:val="00885DDF"/>
    <w:rsid w:val="00886330"/>
    <w:rsid w:val="008872CD"/>
    <w:rsid w:val="00890532"/>
    <w:rsid w:val="0089092D"/>
    <w:rsid w:val="00890E97"/>
    <w:rsid w:val="0089115E"/>
    <w:rsid w:val="00891504"/>
    <w:rsid w:val="008915C1"/>
    <w:rsid w:val="00891A42"/>
    <w:rsid w:val="00891F50"/>
    <w:rsid w:val="00892435"/>
    <w:rsid w:val="00892C52"/>
    <w:rsid w:val="00892EF7"/>
    <w:rsid w:val="00893703"/>
    <w:rsid w:val="00893BCB"/>
    <w:rsid w:val="00893FD3"/>
    <w:rsid w:val="0089408A"/>
    <w:rsid w:val="00894317"/>
    <w:rsid w:val="008949F0"/>
    <w:rsid w:val="00895CDF"/>
    <w:rsid w:val="00895FEA"/>
    <w:rsid w:val="008961C3"/>
    <w:rsid w:val="008962B0"/>
    <w:rsid w:val="0089659D"/>
    <w:rsid w:val="008966BB"/>
    <w:rsid w:val="00896778"/>
    <w:rsid w:val="008967B7"/>
    <w:rsid w:val="00896802"/>
    <w:rsid w:val="0089690F"/>
    <w:rsid w:val="00896933"/>
    <w:rsid w:val="00896B94"/>
    <w:rsid w:val="008977B5"/>
    <w:rsid w:val="008A0480"/>
    <w:rsid w:val="008A0586"/>
    <w:rsid w:val="008A0867"/>
    <w:rsid w:val="008A09DD"/>
    <w:rsid w:val="008A0C67"/>
    <w:rsid w:val="008A16C3"/>
    <w:rsid w:val="008A19DA"/>
    <w:rsid w:val="008A1AE5"/>
    <w:rsid w:val="008A2493"/>
    <w:rsid w:val="008A2CC2"/>
    <w:rsid w:val="008A2EE8"/>
    <w:rsid w:val="008A2FA9"/>
    <w:rsid w:val="008A3EAD"/>
    <w:rsid w:val="008A40D1"/>
    <w:rsid w:val="008A4ED5"/>
    <w:rsid w:val="008A5FC9"/>
    <w:rsid w:val="008A6172"/>
    <w:rsid w:val="008A793F"/>
    <w:rsid w:val="008A798D"/>
    <w:rsid w:val="008A7E94"/>
    <w:rsid w:val="008B0B70"/>
    <w:rsid w:val="008B0C46"/>
    <w:rsid w:val="008B1689"/>
    <w:rsid w:val="008B1A29"/>
    <w:rsid w:val="008B1CE1"/>
    <w:rsid w:val="008B1E23"/>
    <w:rsid w:val="008B3641"/>
    <w:rsid w:val="008B3651"/>
    <w:rsid w:val="008B38F2"/>
    <w:rsid w:val="008B39D1"/>
    <w:rsid w:val="008B3DAF"/>
    <w:rsid w:val="008B3EF1"/>
    <w:rsid w:val="008B41CD"/>
    <w:rsid w:val="008B49AD"/>
    <w:rsid w:val="008B52C1"/>
    <w:rsid w:val="008B5337"/>
    <w:rsid w:val="008B5930"/>
    <w:rsid w:val="008B5DBA"/>
    <w:rsid w:val="008B6072"/>
    <w:rsid w:val="008B622C"/>
    <w:rsid w:val="008B63EB"/>
    <w:rsid w:val="008B77BF"/>
    <w:rsid w:val="008B7976"/>
    <w:rsid w:val="008B7A2B"/>
    <w:rsid w:val="008C04FE"/>
    <w:rsid w:val="008C0ADD"/>
    <w:rsid w:val="008C0E71"/>
    <w:rsid w:val="008C10CE"/>
    <w:rsid w:val="008C159D"/>
    <w:rsid w:val="008C1F1E"/>
    <w:rsid w:val="008C2C59"/>
    <w:rsid w:val="008C3912"/>
    <w:rsid w:val="008C3B66"/>
    <w:rsid w:val="008C43C8"/>
    <w:rsid w:val="008C46CD"/>
    <w:rsid w:val="008C4AE6"/>
    <w:rsid w:val="008C4AED"/>
    <w:rsid w:val="008C5069"/>
    <w:rsid w:val="008C5C38"/>
    <w:rsid w:val="008C64B0"/>
    <w:rsid w:val="008C6552"/>
    <w:rsid w:val="008C76A2"/>
    <w:rsid w:val="008C7876"/>
    <w:rsid w:val="008C7B99"/>
    <w:rsid w:val="008D0853"/>
    <w:rsid w:val="008D0FB3"/>
    <w:rsid w:val="008D1251"/>
    <w:rsid w:val="008D1BD3"/>
    <w:rsid w:val="008D1D22"/>
    <w:rsid w:val="008D1E6F"/>
    <w:rsid w:val="008D1E9D"/>
    <w:rsid w:val="008D233F"/>
    <w:rsid w:val="008D2385"/>
    <w:rsid w:val="008D2463"/>
    <w:rsid w:val="008D309A"/>
    <w:rsid w:val="008D30B3"/>
    <w:rsid w:val="008D4836"/>
    <w:rsid w:val="008D490A"/>
    <w:rsid w:val="008D4E9F"/>
    <w:rsid w:val="008D5710"/>
    <w:rsid w:val="008D6144"/>
    <w:rsid w:val="008D6858"/>
    <w:rsid w:val="008D69D4"/>
    <w:rsid w:val="008D6B32"/>
    <w:rsid w:val="008D7256"/>
    <w:rsid w:val="008D76D0"/>
    <w:rsid w:val="008D77B2"/>
    <w:rsid w:val="008E0335"/>
    <w:rsid w:val="008E039E"/>
    <w:rsid w:val="008E0723"/>
    <w:rsid w:val="008E0C44"/>
    <w:rsid w:val="008E1C30"/>
    <w:rsid w:val="008E2342"/>
    <w:rsid w:val="008E2AF4"/>
    <w:rsid w:val="008E2DD1"/>
    <w:rsid w:val="008E3197"/>
    <w:rsid w:val="008E3664"/>
    <w:rsid w:val="008E3800"/>
    <w:rsid w:val="008E3AA4"/>
    <w:rsid w:val="008E3B2D"/>
    <w:rsid w:val="008E3B37"/>
    <w:rsid w:val="008E48B8"/>
    <w:rsid w:val="008E4ACC"/>
    <w:rsid w:val="008E4ACD"/>
    <w:rsid w:val="008E4B8E"/>
    <w:rsid w:val="008E4C27"/>
    <w:rsid w:val="008E4DCD"/>
    <w:rsid w:val="008E4EF8"/>
    <w:rsid w:val="008E55B6"/>
    <w:rsid w:val="008E5D13"/>
    <w:rsid w:val="008E5D77"/>
    <w:rsid w:val="008E5F5B"/>
    <w:rsid w:val="008E6890"/>
    <w:rsid w:val="008E6D40"/>
    <w:rsid w:val="008E74C0"/>
    <w:rsid w:val="008E7602"/>
    <w:rsid w:val="008E7C93"/>
    <w:rsid w:val="008F03A5"/>
    <w:rsid w:val="008F17D3"/>
    <w:rsid w:val="008F19DC"/>
    <w:rsid w:val="008F1DAF"/>
    <w:rsid w:val="008F22D4"/>
    <w:rsid w:val="008F3226"/>
    <w:rsid w:val="008F340B"/>
    <w:rsid w:val="008F4738"/>
    <w:rsid w:val="008F4909"/>
    <w:rsid w:val="008F4B0E"/>
    <w:rsid w:val="008F524A"/>
    <w:rsid w:val="008F5530"/>
    <w:rsid w:val="008F5816"/>
    <w:rsid w:val="008F5822"/>
    <w:rsid w:val="008F584C"/>
    <w:rsid w:val="008F5FC8"/>
    <w:rsid w:val="008F6DC9"/>
    <w:rsid w:val="008F7AC1"/>
    <w:rsid w:val="009004C9"/>
    <w:rsid w:val="00900814"/>
    <w:rsid w:val="0090099F"/>
    <w:rsid w:val="00900FEC"/>
    <w:rsid w:val="0090112F"/>
    <w:rsid w:val="009014F8"/>
    <w:rsid w:val="0090177A"/>
    <w:rsid w:val="009019CE"/>
    <w:rsid w:val="009025E7"/>
    <w:rsid w:val="009030B1"/>
    <w:rsid w:val="00903290"/>
    <w:rsid w:val="009032A6"/>
    <w:rsid w:val="009032EA"/>
    <w:rsid w:val="00903720"/>
    <w:rsid w:val="0090387D"/>
    <w:rsid w:val="00904093"/>
    <w:rsid w:val="0090413B"/>
    <w:rsid w:val="00904310"/>
    <w:rsid w:val="00904716"/>
    <w:rsid w:val="00904980"/>
    <w:rsid w:val="009049F5"/>
    <w:rsid w:val="00904AD1"/>
    <w:rsid w:val="009055D2"/>
    <w:rsid w:val="00905643"/>
    <w:rsid w:val="00905FE8"/>
    <w:rsid w:val="009061CC"/>
    <w:rsid w:val="00906CF3"/>
    <w:rsid w:val="009072F5"/>
    <w:rsid w:val="0090760B"/>
    <w:rsid w:val="00910078"/>
    <w:rsid w:val="009100D6"/>
    <w:rsid w:val="0091064B"/>
    <w:rsid w:val="00910D44"/>
    <w:rsid w:val="00911AFC"/>
    <w:rsid w:val="00911C84"/>
    <w:rsid w:val="00912260"/>
    <w:rsid w:val="0091237A"/>
    <w:rsid w:val="00913175"/>
    <w:rsid w:val="009131AD"/>
    <w:rsid w:val="00913809"/>
    <w:rsid w:val="00913FBE"/>
    <w:rsid w:val="00915317"/>
    <w:rsid w:val="00915400"/>
    <w:rsid w:val="00915416"/>
    <w:rsid w:val="0091547D"/>
    <w:rsid w:val="009154DE"/>
    <w:rsid w:val="00915794"/>
    <w:rsid w:val="00916E06"/>
    <w:rsid w:val="00917227"/>
    <w:rsid w:val="009175EC"/>
    <w:rsid w:val="00917642"/>
    <w:rsid w:val="00917960"/>
    <w:rsid w:val="009200B2"/>
    <w:rsid w:val="00920770"/>
    <w:rsid w:val="00920FD6"/>
    <w:rsid w:val="0092107B"/>
    <w:rsid w:val="00921583"/>
    <w:rsid w:val="00921866"/>
    <w:rsid w:val="00921DF0"/>
    <w:rsid w:val="00922674"/>
    <w:rsid w:val="00922974"/>
    <w:rsid w:val="00923AF9"/>
    <w:rsid w:val="00923BAA"/>
    <w:rsid w:val="00924311"/>
    <w:rsid w:val="009243E7"/>
    <w:rsid w:val="00924CEF"/>
    <w:rsid w:val="00924F87"/>
    <w:rsid w:val="0092503D"/>
    <w:rsid w:val="009250F1"/>
    <w:rsid w:val="00925359"/>
    <w:rsid w:val="00925748"/>
    <w:rsid w:val="00926750"/>
    <w:rsid w:val="009277B3"/>
    <w:rsid w:val="00927A2D"/>
    <w:rsid w:val="009307AE"/>
    <w:rsid w:val="009314E7"/>
    <w:rsid w:val="00931506"/>
    <w:rsid w:val="009316DB"/>
    <w:rsid w:val="00931C3C"/>
    <w:rsid w:val="00931D6D"/>
    <w:rsid w:val="0093210F"/>
    <w:rsid w:val="0093297A"/>
    <w:rsid w:val="00932D5B"/>
    <w:rsid w:val="00933163"/>
    <w:rsid w:val="0093328C"/>
    <w:rsid w:val="009334A5"/>
    <w:rsid w:val="0093397C"/>
    <w:rsid w:val="009352D4"/>
    <w:rsid w:val="009358D8"/>
    <w:rsid w:val="00935CCB"/>
    <w:rsid w:val="00935D44"/>
    <w:rsid w:val="0093680A"/>
    <w:rsid w:val="009369F8"/>
    <w:rsid w:val="00936C6C"/>
    <w:rsid w:val="00936E30"/>
    <w:rsid w:val="00936FB2"/>
    <w:rsid w:val="009405FE"/>
    <w:rsid w:val="009407F0"/>
    <w:rsid w:val="009414E7"/>
    <w:rsid w:val="00941508"/>
    <w:rsid w:val="00941C6D"/>
    <w:rsid w:val="00942A2C"/>
    <w:rsid w:val="00942AC8"/>
    <w:rsid w:val="00943191"/>
    <w:rsid w:val="009439BE"/>
    <w:rsid w:val="00943D43"/>
    <w:rsid w:val="00943E8E"/>
    <w:rsid w:val="00944591"/>
    <w:rsid w:val="0094468D"/>
    <w:rsid w:val="00944780"/>
    <w:rsid w:val="00944D0F"/>
    <w:rsid w:val="00944E2E"/>
    <w:rsid w:val="00945812"/>
    <w:rsid w:val="00945B05"/>
    <w:rsid w:val="00945BE5"/>
    <w:rsid w:val="00946493"/>
    <w:rsid w:val="009465E5"/>
    <w:rsid w:val="00946B27"/>
    <w:rsid w:val="00946F9A"/>
    <w:rsid w:val="0094724C"/>
    <w:rsid w:val="00947729"/>
    <w:rsid w:val="00950079"/>
    <w:rsid w:val="009500FD"/>
    <w:rsid w:val="00950270"/>
    <w:rsid w:val="00950812"/>
    <w:rsid w:val="00951877"/>
    <w:rsid w:val="00951F86"/>
    <w:rsid w:val="00952584"/>
    <w:rsid w:val="0095264A"/>
    <w:rsid w:val="0095283D"/>
    <w:rsid w:val="00952BDE"/>
    <w:rsid w:val="009530A5"/>
    <w:rsid w:val="00953510"/>
    <w:rsid w:val="00953E3D"/>
    <w:rsid w:val="00953EB9"/>
    <w:rsid w:val="009544BA"/>
    <w:rsid w:val="0095451C"/>
    <w:rsid w:val="00954779"/>
    <w:rsid w:val="00954BCF"/>
    <w:rsid w:val="00954D51"/>
    <w:rsid w:val="009555CD"/>
    <w:rsid w:val="00955A6D"/>
    <w:rsid w:val="00955F73"/>
    <w:rsid w:val="009569A7"/>
    <w:rsid w:val="00956F08"/>
    <w:rsid w:val="0095705B"/>
    <w:rsid w:val="00957080"/>
    <w:rsid w:val="00957244"/>
    <w:rsid w:val="0095753D"/>
    <w:rsid w:val="00960100"/>
    <w:rsid w:val="009601E7"/>
    <w:rsid w:val="0096033E"/>
    <w:rsid w:val="009610C2"/>
    <w:rsid w:val="0096151C"/>
    <w:rsid w:val="009617D6"/>
    <w:rsid w:val="00961F6E"/>
    <w:rsid w:val="009625AD"/>
    <w:rsid w:val="00962925"/>
    <w:rsid w:val="00962E52"/>
    <w:rsid w:val="00962EE3"/>
    <w:rsid w:val="009631DF"/>
    <w:rsid w:val="00964163"/>
    <w:rsid w:val="0096420B"/>
    <w:rsid w:val="0096512A"/>
    <w:rsid w:val="0096547E"/>
    <w:rsid w:val="00965537"/>
    <w:rsid w:val="00965A87"/>
    <w:rsid w:val="00965F3B"/>
    <w:rsid w:val="009663D5"/>
    <w:rsid w:val="009666F9"/>
    <w:rsid w:val="0096696B"/>
    <w:rsid w:val="00966AB6"/>
    <w:rsid w:val="0096707F"/>
    <w:rsid w:val="00967133"/>
    <w:rsid w:val="00967165"/>
    <w:rsid w:val="009674FD"/>
    <w:rsid w:val="00970704"/>
    <w:rsid w:val="00970C54"/>
    <w:rsid w:val="00970DFE"/>
    <w:rsid w:val="00970E6F"/>
    <w:rsid w:val="00970F4D"/>
    <w:rsid w:val="00971024"/>
    <w:rsid w:val="00971A10"/>
    <w:rsid w:val="00971EF7"/>
    <w:rsid w:val="00971F1B"/>
    <w:rsid w:val="00972275"/>
    <w:rsid w:val="00972C17"/>
    <w:rsid w:val="00973160"/>
    <w:rsid w:val="00973453"/>
    <w:rsid w:val="00974387"/>
    <w:rsid w:val="0097460D"/>
    <w:rsid w:val="00974A52"/>
    <w:rsid w:val="00975E53"/>
    <w:rsid w:val="009769CF"/>
    <w:rsid w:val="009806AD"/>
    <w:rsid w:val="0098077B"/>
    <w:rsid w:val="00980EBD"/>
    <w:rsid w:val="00981179"/>
    <w:rsid w:val="0098170A"/>
    <w:rsid w:val="00981E52"/>
    <w:rsid w:val="00982129"/>
    <w:rsid w:val="00982323"/>
    <w:rsid w:val="009824BA"/>
    <w:rsid w:val="00982ACD"/>
    <w:rsid w:val="00983088"/>
    <w:rsid w:val="00983764"/>
    <w:rsid w:val="009847A3"/>
    <w:rsid w:val="00984BB5"/>
    <w:rsid w:val="00984C7D"/>
    <w:rsid w:val="00985277"/>
    <w:rsid w:val="00985BB0"/>
    <w:rsid w:val="00985F88"/>
    <w:rsid w:val="0098621C"/>
    <w:rsid w:val="00987A40"/>
    <w:rsid w:val="009904F7"/>
    <w:rsid w:val="0099050D"/>
    <w:rsid w:val="009908E4"/>
    <w:rsid w:val="00990A79"/>
    <w:rsid w:val="00990CEF"/>
    <w:rsid w:val="00991419"/>
    <w:rsid w:val="009914E0"/>
    <w:rsid w:val="0099158A"/>
    <w:rsid w:val="00991650"/>
    <w:rsid w:val="009918A3"/>
    <w:rsid w:val="00991A68"/>
    <w:rsid w:val="009920E3"/>
    <w:rsid w:val="00992B89"/>
    <w:rsid w:val="00992E73"/>
    <w:rsid w:val="0099328E"/>
    <w:rsid w:val="00993D70"/>
    <w:rsid w:val="00994124"/>
    <w:rsid w:val="00994670"/>
    <w:rsid w:val="00995531"/>
    <w:rsid w:val="009956DA"/>
    <w:rsid w:val="009957F3"/>
    <w:rsid w:val="00995BB7"/>
    <w:rsid w:val="00995BC9"/>
    <w:rsid w:val="0099643C"/>
    <w:rsid w:val="009969E1"/>
    <w:rsid w:val="00996A61"/>
    <w:rsid w:val="00996AE7"/>
    <w:rsid w:val="009971EF"/>
    <w:rsid w:val="0099720A"/>
    <w:rsid w:val="009972E2"/>
    <w:rsid w:val="00997596"/>
    <w:rsid w:val="009975CF"/>
    <w:rsid w:val="009A07D9"/>
    <w:rsid w:val="009A0F27"/>
    <w:rsid w:val="009A1008"/>
    <w:rsid w:val="009A1D4C"/>
    <w:rsid w:val="009A1E8D"/>
    <w:rsid w:val="009A248D"/>
    <w:rsid w:val="009A2E4C"/>
    <w:rsid w:val="009A2EA6"/>
    <w:rsid w:val="009A312B"/>
    <w:rsid w:val="009A32E7"/>
    <w:rsid w:val="009A36E1"/>
    <w:rsid w:val="009A3719"/>
    <w:rsid w:val="009A3C06"/>
    <w:rsid w:val="009A438B"/>
    <w:rsid w:val="009A4FE6"/>
    <w:rsid w:val="009A50D2"/>
    <w:rsid w:val="009A52DC"/>
    <w:rsid w:val="009B01A8"/>
    <w:rsid w:val="009B01AC"/>
    <w:rsid w:val="009B04FB"/>
    <w:rsid w:val="009B0E9D"/>
    <w:rsid w:val="009B1069"/>
    <w:rsid w:val="009B19E5"/>
    <w:rsid w:val="009B1D43"/>
    <w:rsid w:val="009B1E6C"/>
    <w:rsid w:val="009B2049"/>
    <w:rsid w:val="009B2082"/>
    <w:rsid w:val="009B2637"/>
    <w:rsid w:val="009B2E40"/>
    <w:rsid w:val="009B371B"/>
    <w:rsid w:val="009B398F"/>
    <w:rsid w:val="009B3DAC"/>
    <w:rsid w:val="009B457F"/>
    <w:rsid w:val="009B4711"/>
    <w:rsid w:val="009B6025"/>
    <w:rsid w:val="009B64EE"/>
    <w:rsid w:val="009B685D"/>
    <w:rsid w:val="009B7982"/>
    <w:rsid w:val="009B7C71"/>
    <w:rsid w:val="009C019C"/>
    <w:rsid w:val="009C0258"/>
    <w:rsid w:val="009C05EF"/>
    <w:rsid w:val="009C071A"/>
    <w:rsid w:val="009C0812"/>
    <w:rsid w:val="009C0883"/>
    <w:rsid w:val="009C0EA5"/>
    <w:rsid w:val="009C15B6"/>
    <w:rsid w:val="009C2E47"/>
    <w:rsid w:val="009C2F2D"/>
    <w:rsid w:val="009C36B8"/>
    <w:rsid w:val="009C3A7B"/>
    <w:rsid w:val="009C43E5"/>
    <w:rsid w:val="009C596B"/>
    <w:rsid w:val="009C5AD0"/>
    <w:rsid w:val="009C6531"/>
    <w:rsid w:val="009C67BA"/>
    <w:rsid w:val="009C6827"/>
    <w:rsid w:val="009C689F"/>
    <w:rsid w:val="009C6B64"/>
    <w:rsid w:val="009C6C9B"/>
    <w:rsid w:val="009C6FBA"/>
    <w:rsid w:val="009D00B0"/>
    <w:rsid w:val="009D0773"/>
    <w:rsid w:val="009D0D0E"/>
    <w:rsid w:val="009D0DF8"/>
    <w:rsid w:val="009D0ED3"/>
    <w:rsid w:val="009D1747"/>
    <w:rsid w:val="009D1A18"/>
    <w:rsid w:val="009D1CF7"/>
    <w:rsid w:val="009D1E89"/>
    <w:rsid w:val="009D2368"/>
    <w:rsid w:val="009D2868"/>
    <w:rsid w:val="009D2975"/>
    <w:rsid w:val="009D2DF3"/>
    <w:rsid w:val="009D365C"/>
    <w:rsid w:val="009D4DB7"/>
    <w:rsid w:val="009D56D0"/>
    <w:rsid w:val="009D5DA7"/>
    <w:rsid w:val="009D5F9E"/>
    <w:rsid w:val="009D61B3"/>
    <w:rsid w:val="009D627D"/>
    <w:rsid w:val="009D6430"/>
    <w:rsid w:val="009D6626"/>
    <w:rsid w:val="009D6D74"/>
    <w:rsid w:val="009D7D48"/>
    <w:rsid w:val="009D7D8E"/>
    <w:rsid w:val="009E056B"/>
    <w:rsid w:val="009E10B0"/>
    <w:rsid w:val="009E19E2"/>
    <w:rsid w:val="009E1EA9"/>
    <w:rsid w:val="009E1F76"/>
    <w:rsid w:val="009E24E5"/>
    <w:rsid w:val="009E2533"/>
    <w:rsid w:val="009E2916"/>
    <w:rsid w:val="009E292B"/>
    <w:rsid w:val="009E2BA3"/>
    <w:rsid w:val="009E356D"/>
    <w:rsid w:val="009E47D4"/>
    <w:rsid w:val="009E5564"/>
    <w:rsid w:val="009E5749"/>
    <w:rsid w:val="009E5B8E"/>
    <w:rsid w:val="009E5E2D"/>
    <w:rsid w:val="009E5F8C"/>
    <w:rsid w:val="009E6CF1"/>
    <w:rsid w:val="009E6D3A"/>
    <w:rsid w:val="009E76BB"/>
    <w:rsid w:val="009F0E9C"/>
    <w:rsid w:val="009F0F56"/>
    <w:rsid w:val="009F14B0"/>
    <w:rsid w:val="009F1853"/>
    <w:rsid w:val="009F1FE1"/>
    <w:rsid w:val="009F258F"/>
    <w:rsid w:val="009F33F9"/>
    <w:rsid w:val="009F3941"/>
    <w:rsid w:val="009F39AB"/>
    <w:rsid w:val="009F3A20"/>
    <w:rsid w:val="009F3E9C"/>
    <w:rsid w:val="009F455E"/>
    <w:rsid w:val="009F498B"/>
    <w:rsid w:val="009F57CE"/>
    <w:rsid w:val="009F5917"/>
    <w:rsid w:val="009F5967"/>
    <w:rsid w:val="009F59D2"/>
    <w:rsid w:val="009F6BFC"/>
    <w:rsid w:val="009F729C"/>
    <w:rsid w:val="009F73CC"/>
    <w:rsid w:val="009F76AA"/>
    <w:rsid w:val="009F76F6"/>
    <w:rsid w:val="00A0000C"/>
    <w:rsid w:val="00A0027C"/>
    <w:rsid w:val="00A002CF"/>
    <w:rsid w:val="00A00480"/>
    <w:rsid w:val="00A00A12"/>
    <w:rsid w:val="00A00E5E"/>
    <w:rsid w:val="00A00F22"/>
    <w:rsid w:val="00A00F3B"/>
    <w:rsid w:val="00A012CB"/>
    <w:rsid w:val="00A0151D"/>
    <w:rsid w:val="00A01ACE"/>
    <w:rsid w:val="00A01B86"/>
    <w:rsid w:val="00A020A1"/>
    <w:rsid w:val="00A02247"/>
    <w:rsid w:val="00A02457"/>
    <w:rsid w:val="00A024D4"/>
    <w:rsid w:val="00A0261C"/>
    <w:rsid w:val="00A02CB7"/>
    <w:rsid w:val="00A02E60"/>
    <w:rsid w:val="00A03550"/>
    <w:rsid w:val="00A04704"/>
    <w:rsid w:val="00A05177"/>
    <w:rsid w:val="00A05A7D"/>
    <w:rsid w:val="00A05AE1"/>
    <w:rsid w:val="00A05BF8"/>
    <w:rsid w:val="00A0637F"/>
    <w:rsid w:val="00A0699D"/>
    <w:rsid w:val="00A06AFB"/>
    <w:rsid w:val="00A06D4C"/>
    <w:rsid w:val="00A06E16"/>
    <w:rsid w:val="00A06F1E"/>
    <w:rsid w:val="00A06F65"/>
    <w:rsid w:val="00A0712B"/>
    <w:rsid w:val="00A0754B"/>
    <w:rsid w:val="00A0789A"/>
    <w:rsid w:val="00A0797B"/>
    <w:rsid w:val="00A07B54"/>
    <w:rsid w:val="00A07FBA"/>
    <w:rsid w:val="00A105B7"/>
    <w:rsid w:val="00A1125E"/>
    <w:rsid w:val="00A11399"/>
    <w:rsid w:val="00A11733"/>
    <w:rsid w:val="00A11FD2"/>
    <w:rsid w:val="00A12833"/>
    <w:rsid w:val="00A12A02"/>
    <w:rsid w:val="00A12B99"/>
    <w:rsid w:val="00A12E70"/>
    <w:rsid w:val="00A13421"/>
    <w:rsid w:val="00A13DF2"/>
    <w:rsid w:val="00A15361"/>
    <w:rsid w:val="00A153E9"/>
    <w:rsid w:val="00A1567F"/>
    <w:rsid w:val="00A1603F"/>
    <w:rsid w:val="00A163A9"/>
    <w:rsid w:val="00A1651A"/>
    <w:rsid w:val="00A165EB"/>
    <w:rsid w:val="00A170D4"/>
    <w:rsid w:val="00A176FC"/>
    <w:rsid w:val="00A1779B"/>
    <w:rsid w:val="00A17B6E"/>
    <w:rsid w:val="00A17E96"/>
    <w:rsid w:val="00A20415"/>
    <w:rsid w:val="00A2066C"/>
    <w:rsid w:val="00A20B2B"/>
    <w:rsid w:val="00A21352"/>
    <w:rsid w:val="00A2165E"/>
    <w:rsid w:val="00A21DDC"/>
    <w:rsid w:val="00A22A46"/>
    <w:rsid w:val="00A2396E"/>
    <w:rsid w:val="00A23D39"/>
    <w:rsid w:val="00A24075"/>
    <w:rsid w:val="00A2447B"/>
    <w:rsid w:val="00A25221"/>
    <w:rsid w:val="00A25409"/>
    <w:rsid w:val="00A25631"/>
    <w:rsid w:val="00A258A0"/>
    <w:rsid w:val="00A260F5"/>
    <w:rsid w:val="00A261DA"/>
    <w:rsid w:val="00A26609"/>
    <w:rsid w:val="00A26AC4"/>
    <w:rsid w:val="00A30247"/>
    <w:rsid w:val="00A30BF3"/>
    <w:rsid w:val="00A3131B"/>
    <w:rsid w:val="00A319C4"/>
    <w:rsid w:val="00A31DBE"/>
    <w:rsid w:val="00A3210F"/>
    <w:rsid w:val="00A3233F"/>
    <w:rsid w:val="00A32B6D"/>
    <w:rsid w:val="00A33497"/>
    <w:rsid w:val="00A33F28"/>
    <w:rsid w:val="00A33FBF"/>
    <w:rsid w:val="00A3448E"/>
    <w:rsid w:val="00A34790"/>
    <w:rsid w:val="00A35C7B"/>
    <w:rsid w:val="00A35CFE"/>
    <w:rsid w:val="00A35E2A"/>
    <w:rsid w:val="00A36551"/>
    <w:rsid w:val="00A3658A"/>
    <w:rsid w:val="00A36804"/>
    <w:rsid w:val="00A36E02"/>
    <w:rsid w:val="00A36E26"/>
    <w:rsid w:val="00A3722E"/>
    <w:rsid w:val="00A379E2"/>
    <w:rsid w:val="00A40CCE"/>
    <w:rsid w:val="00A41190"/>
    <w:rsid w:val="00A41C37"/>
    <w:rsid w:val="00A4202F"/>
    <w:rsid w:val="00A4297D"/>
    <w:rsid w:val="00A42DEE"/>
    <w:rsid w:val="00A42E9F"/>
    <w:rsid w:val="00A42F12"/>
    <w:rsid w:val="00A431BE"/>
    <w:rsid w:val="00A43247"/>
    <w:rsid w:val="00A43751"/>
    <w:rsid w:val="00A44D81"/>
    <w:rsid w:val="00A44DAE"/>
    <w:rsid w:val="00A450C9"/>
    <w:rsid w:val="00A45317"/>
    <w:rsid w:val="00A45401"/>
    <w:rsid w:val="00A45879"/>
    <w:rsid w:val="00A458F9"/>
    <w:rsid w:val="00A46406"/>
    <w:rsid w:val="00A46494"/>
    <w:rsid w:val="00A46602"/>
    <w:rsid w:val="00A46A2D"/>
    <w:rsid w:val="00A47A01"/>
    <w:rsid w:val="00A50004"/>
    <w:rsid w:val="00A50137"/>
    <w:rsid w:val="00A50500"/>
    <w:rsid w:val="00A51A59"/>
    <w:rsid w:val="00A51CA2"/>
    <w:rsid w:val="00A51E78"/>
    <w:rsid w:val="00A52127"/>
    <w:rsid w:val="00A52A14"/>
    <w:rsid w:val="00A531D6"/>
    <w:rsid w:val="00A53580"/>
    <w:rsid w:val="00A53FE4"/>
    <w:rsid w:val="00A542E9"/>
    <w:rsid w:val="00A5440E"/>
    <w:rsid w:val="00A54B7D"/>
    <w:rsid w:val="00A55185"/>
    <w:rsid w:val="00A554C3"/>
    <w:rsid w:val="00A55609"/>
    <w:rsid w:val="00A55F50"/>
    <w:rsid w:val="00A5611B"/>
    <w:rsid w:val="00A5661D"/>
    <w:rsid w:val="00A56AC7"/>
    <w:rsid w:val="00A56C40"/>
    <w:rsid w:val="00A570B6"/>
    <w:rsid w:val="00A57A1F"/>
    <w:rsid w:val="00A57C4F"/>
    <w:rsid w:val="00A60089"/>
    <w:rsid w:val="00A60C16"/>
    <w:rsid w:val="00A60FD2"/>
    <w:rsid w:val="00A611A9"/>
    <w:rsid w:val="00A618E5"/>
    <w:rsid w:val="00A61B30"/>
    <w:rsid w:val="00A62092"/>
    <w:rsid w:val="00A621B6"/>
    <w:rsid w:val="00A62610"/>
    <w:rsid w:val="00A627CA"/>
    <w:rsid w:val="00A62CC2"/>
    <w:rsid w:val="00A632DB"/>
    <w:rsid w:val="00A64026"/>
    <w:rsid w:val="00A6430C"/>
    <w:rsid w:val="00A6433B"/>
    <w:rsid w:val="00A64762"/>
    <w:rsid w:val="00A64C18"/>
    <w:rsid w:val="00A64E53"/>
    <w:rsid w:val="00A65089"/>
    <w:rsid w:val="00A657AB"/>
    <w:rsid w:val="00A658F1"/>
    <w:rsid w:val="00A65A1F"/>
    <w:rsid w:val="00A65F77"/>
    <w:rsid w:val="00A660F4"/>
    <w:rsid w:val="00A66100"/>
    <w:rsid w:val="00A667FB"/>
    <w:rsid w:val="00A6705D"/>
    <w:rsid w:val="00A670C9"/>
    <w:rsid w:val="00A700B6"/>
    <w:rsid w:val="00A705C8"/>
    <w:rsid w:val="00A70A84"/>
    <w:rsid w:val="00A71409"/>
    <w:rsid w:val="00A7151E"/>
    <w:rsid w:val="00A71A34"/>
    <w:rsid w:val="00A71EEC"/>
    <w:rsid w:val="00A71F2B"/>
    <w:rsid w:val="00A72990"/>
    <w:rsid w:val="00A72E06"/>
    <w:rsid w:val="00A73089"/>
    <w:rsid w:val="00A735B8"/>
    <w:rsid w:val="00A7373E"/>
    <w:rsid w:val="00A73E4C"/>
    <w:rsid w:val="00A7401B"/>
    <w:rsid w:val="00A742B0"/>
    <w:rsid w:val="00A74AA1"/>
    <w:rsid w:val="00A750C8"/>
    <w:rsid w:val="00A75297"/>
    <w:rsid w:val="00A75A34"/>
    <w:rsid w:val="00A75B2C"/>
    <w:rsid w:val="00A763D4"/>
    <w:rsid w:val="00A766B1"/>
    <w:rsid w:val="00A769EE"/>
    <w:rsid w:val="00A7794D"/>
    <w:rsid w:val="00A77BC2"/>
    <w:rsid w:val="00A77D22"/>
    <w:rsid w:val="00A80195"/>
    <w:rsid w:val="00A80B1C"/>
    <w:rsid w:val="00A80FFB"/>
    <w:rsid w:val="00A81037"/>
    <w:rsid w:val="00A81571"/>
    <w:rsid w:val="00A81C1E"/>
    <w:rsid w:val="00A82798"/>
    <w:rsid w:val="00A82CE3"/>
    <w:rsid w:val="00A83395"/>
    <w:rsid w:val="00A83887"/>
    <w:rsid w:val="00A83DA2"/>
    <w:rsid w:val="00A83DFF"/>
    <w:rsid w:val="00A83E73"/>
    <w:rsid w:val="00A84115"/>
    <w:rsid w:val="00A84A48"/>
    <w:rsid w:val="00A8509A"/>
    <w:rsid w:val="00A855C8"/>
    <w:rsid w:val="00A8592A"/>
    <w:rsid w:val="00A86115"/>
    <w:rsid w:val="00A864DF"/>
    <w:rsid w:val="00A86EEE"/>
    <w:rsid w:val="00A87A3C"/>
    <w:rsid w:val="00A9007F"/>
    <w:rsid w:val="00A902F7"/>
    <w:rsid w:val="00A90392"/>
    <w:rsid w:val="00A9061A"/>
    <w:rsid w:val="00A9077B"/>
    <w:rsid w:val="00A90940"/>
    <w:rsid w:val="00A909DB"/>
    <w:rsid w:val="00A91F86"/>
    <w:rsid w:val="00A920A7"/>
    <w:rsid w:val="00A92358"/>
    <w:rsid w:val="00A9247A"/>
    <w:rsid w:val="00A92CF2"/>
    <w:rsid w:val="00A92FF0"/>
    <w:rsid w:val="00A938EC"/>
    <w:rsid w:val="00A93979"/>
    <w:rsid w:val="00A946E4"/>
    <w:rsid w:val="00A9481B"/>
    <w:rsid w:val="00A95212"/>
    <w:rsid w:val="00A95501"/>
    <w:rsid w:val="00A9598E"/>
    <w:rsid w:val="00A95BE7"/>
    <w:rsid w:val="00A95C51"/>
    <w:rsid w:val="00A9654C"/>
    <w:rsid w:val="00A96A8F"/>
    <w:rsid w:val="00A973F3"/>
    <w:rsid w:val="00A977BF"/>
    <w:rsid w:val="00AA0B32"/>
    <w:rsid w:val="00AA106F"/>
    <w:rsid w:val="00AA115C"/>
    <w:rsid w:val="00AA11CA"/>
    <w:rsid w:val="00AA1627"/>
    <w:rsid w:val="00AA1762"/>
    <w:rsid w:val="00AA1950"/>
    <w:rsid w:val="00AA1D01"/>
    <w:rsid w:val="00AA1F06"/>
    <w:rsid w:val="00AA21C2"/>
    <w:rsid w:val="00AA21C8"/>
    <w:rsid w:val="00AA2377"/>
    <w:rsid w:val="00AA23EB"/>
    <w:rsid w:val="00AA3450"/>
    <w:rsid w:val="00AA3CC3"/>
    <w:rsid w:val="00AA3E4D"/>
    <w:rsid w:val="00AA42B2"/>
    <w:rsid w:val="00AA4557"/>
    <w:rsid w:val="00AA55F8"/>
    <w:rsid w:val="00AA5796"/>
    <w:rsid w:val="00AA5ADB"/>
    <w:rsid w:val="00AA5D10"/>
    <w:rsid w:val="00AA5DCE"/>
    <w:rsid w:val="00AA604D"/>
    <w:rsid w:val="00AA7887"/>
    <w:rsid w:val="00AA7EE2"/>
    <w:rsid w:val="00AB0487"/>
    <w:rsid w:val="00AB06FB"/>
    <w:rsid w:val="00AB0EA4"/>
    <w:rsid w:val="00AB1419"/>
    <w:rsid w:val="00AB2492"/>
    <w:rsid w:val="00AB2599"/>
    <w:rsid w:val="00AB27B7"/>
    <w:rsid w:val="00AB2F63"/>
    <w:rsid w:val="00AB3BDC"/>
    <w:rsid w:val="00AB3C9F"/>
    <w:rsid w:val="00AB41C0"/>
    <w:rsid w:val="00AB45BD"/>
    <w:rsid w:val="00AB535B"/>
    <w:rsid w:val="00AB5776"/>
    <w:rsid w:val="00AB5A01"/>
    <w:rsid w:val="00AB5CE8"/>
    <w:rsid w:val="00AB6219"/>
    <w:rsid w:val="00AB6624"/>
    <w:rsid w:val="00AB6BC2"/>
    <w:rsid w:val="00AB6EAF"/>
    <w:rsid w:val="00AB765A"/>
    <w:rsid w:val="00AB774B"/>
    <w:rsid w:val="00AB782D"/>
    <w:rsid w:val="00AC011B"/>
    <w:rsid w:val="00AC0C6D"/>
    <w:rsid w:val="00AC1223"/>
    <w:rsid w:val="00AC142D"/>
    <w:rsid w:val="00AC1DE5"/>
    <w:rsid w:val="00AC2449"/>
    <w:rsid w:val="00AC25AD"/>
    <w:rsid w:val="00AC33CC"/>
    <w:rsid w:val="00AC37A5"/>
    <w:rsid w:val="00AC3C38"/>
    <w:rsid w:val="00AC403D"/>
    <w:rsid w:val="00AC429E"/>
    <w:rsid w:val="00AC441B"/>
    <w:rsid w:val="00AC49E0"/>
    <w:rsid w:val="00AC4BE6"/>
    <w:rsid w:val="00AC4C76"/>
    <w:rsid w:val="00AC53A4"/>
    <w:rsid w:val="00AC5742"/>
    <w:rsid w:val="00AC5872"/>
    <w:rsid w:val="00AC5DEC"/>
    <w:rsid w:val="00AC6C34"/>
    <w:rsid w:val="00AC74B0"/>
    <w:rsid w:val="00AC763D"/>
    <w:rsid w:val="00AC7BB4"/>
    <w:rsid w:val="00AD006A"/>
    <w:rsid w:val="00AD03FD"/>
    <w:rsid w:val="00AD08AD"/>
    <w:rsid w:val="00AD0DAB"/>
    <w:rsid w:val="00AD0F09"/>
    <w:rsid w:val="00AD152F"/>
    <w:rsid w:val="00AD1880"/>
    <w:rsid w:val="00AD1C05"/>
    <w:rsid w:val="00AD31B0"/>
    <w:rsid w:val="00AD3F52"/>
    <w:rsid w:val="00AD3FCD"/>
    <w:rsid w:val="00AD419E"/>
    <w:rsid w:val="00AD4510"/>
    <w:rsid w:val="00AD4C5E"/>
    <w:rsid w:val="00AD4DF6"/>
    <w:rsid w:val="00AD51E1"/>
    <w:rsid w:val="00AD551A"/>
    <w:rsid w:val="00AD5555"/>
    <w:rsid w:val="00AD5BE4"/>
    <w:rsid w:val="00AD5F99"/>
    <w:rsid w:val="00AD6D9D"/>
    <w:rsid w:val="00AD6DE8"/>
    <w:rsid w:val="00AD79AD"/>
    <w:rsid w:val="00AD7A37"/>
    <w:rsid w:val="00AD7BA2"/>
    <w:rsid w:val="00AE0042"/>
    <w:rsid w:val="00AE09A2"/>
    <w:rsid w:val="00AE09DE"/>
    <w:rsid w:val="00AE0CEC"/>
    <w:rsid w:val="00AE1321"/>
    <w:rsid w:val="00AE16EA"/>
    <w:rsid w:val="00AE176B"/>
    <w:rsid w:val="00AE1902"/>
    <w:rsid w:val="00AE1A74"/>
    <w:rsid w:val="00AE1BBC"/>
    <w:rsid w:val="00AE1F50"/>
    <w:rsid w:val="00AE27C3"/>
    <w:rsid w:val="00AE2BB8"/>
    <w:rsid w:val="00AE2EB0"/>
    <w:rsid w:val="00AE34F3"/>
    <w:rsid w:val="00AE376F"/>
    <w:rsid w:val="00AE37EC"/>
    <w:rsid w:val="00AE3E39"/>
    <w:rsid w:val="00AE5B33"/>
    <w:rsid w:val="00AE71AD"/>
    <w:rsid w:val="00AE7248"/>
    <w:rsid w:val="00AE7CAC"/>
    <w:rsid w:val="00AF0831"/>
    <w:rsid w:val="00AF1366"/>
    <w:rsid w:val="00AF142B"/>
    <w:rsid w:val="00AF1A13"/>
    <w:rsid w:val="00AF2301"/>
    <w:rsid w:val="00AF3C59"/>
    <w:rsid w:val="00AF3FF7"/>
    <w:rsid w:val="00AF4911"/>
    <w:rsid w:val="00AF4B65"/>
    <w:rsid w:val="00AF4DD4"/>
    <w:rsid w:val="00AF5369"/>
    <w:rsid w:val="00AF598A"/>
    <w:rsid w:val="00AF5B6E"/>
    <w:rsid w:val="00AF5C2A"/>
    <w:rsid w:val="00AF5CA3"/>
    <w:rsid w:val="00AF5D6E"/>
    <w:rsid w:val="00AF6CCE"/>
    <w:rsid w:val="00AF784B"/>
    <w:rsid w:val="00AF7D86"/>
    <w:rsid w:val="00B00622"/>
    <w:rsid w:val="00B0079E"/>
    <w:rsid w:val="00B00C25"/>
    <w:rsid w:val="00B01A52"/>
    <w:rsid w:val="00B03CB1"/>
    <w:rsid w:val="00B0488A"/>
    <w:rsid w:val="00B04BBD"/>
    <w:rsid w:val="00B04C8F"/>
    <w:rsid w:val="00B050E3"/>
    <w:rsid w:val="00B05194"/>
    <w:rsid w:val="00B05392"/>
    <w:rsid w:val="00B059AB"/>
    <w:rsid w:val="00B05CF8"/>
    <w:rsid w:val="00B06791"/>
    <w:rsid w:val="00B06AFE"/>
    <w:rsid w:val="00B06CAF"/>
    <w:rsid w:val="00B07212"/>
    <w:rsid w:val="00B078A0"/>
    <w:rsid w:val="00B1046F"/>
    <w:rsid w:val="00B10B5F"/>
    <w:rsid w:val="00B1145F"/>
    <w:rsid w:val="00B11498"/>
    <w:rsid w:val="00B11BF7"/>
    <w:rsid w:val="00B12360"/>
    <w:rsid w:val="00B1275D"/>
    <w:rsid w:val="00B12AC0"/>
    <w:rsid w:val="00B133D5"/>
    <w:rsid w:val="00B139E2"/>
    <w:rsid w:val="00B13E99"/>
    <w:rsid w:val="00B144D0"/>
    <w:rsid w:val="00B146F8"/>
    <w:rsid w:val="00B14738"/>
    <w:rsid w:val="00B1484B"/>
    <w:rsid w:val="00B15044"/>
    <w:rsid w:val="00B15196"/>
    <w:rsid w:val="00B1571A"/>
    <w:rsid w:val="00B15C71"/>
    <w:rsid w:val="00B161DA"/>
    <w:rsid w:val="00B1644B"/>
    <w:rsid w:val="00B165F5"/>
    <w:rsid w:val="00B170E6"/>
    <w:rsid w:val="00B202D5"/>
    <w:rsid w:val="00B205BB"/>
    <w:rsid w:val="00B20D26"/>
    <w:rsid w:val="00B213AE"/>
    <w:rsid w:val="00B21402"/>
    <w:rsid w:val="00B21703"/>
    <w:rsid w:val="00B21BF4"/>
    <w:rsid w:val="00B2200E"/>
    <w:rsid w:val="00B22052"/>
    <w:rsid w:val="00B2209A"/>
    <w:rsid w:val="00B227CA"/>
    <w:rsid w:val="00B22B01"/>
    <w:rsid w:val="00B22D12"/>
    <w:rsid w:val="00B23900"/>
    <w:rsid w:val="00B23C70"/>
    <w:rsid w:val="00B23DD6"/>
    <w:rsid w:val="00B23F28"/>
    <w:rsid w:val="00B24891"/>
    <w:rsid w:val="00B24A5E"/>
    <w:rsid w:val="00B24B1A"/>
    <w:rsid w:val="00B2685C"/>
    <w:rsid w:val="00B26B6D"/>
    <w:rsid w:val="00B2758B"/>
    <w:rsid w:val="00B2786B"/>
    <w:rsid w:val="00B279BD"/>
    <w:rsid w:val="00B27BE4"/>
    <w:rsid w:val="00B309ED"/>
    <w:rsid w:val="00B3159A"/>
    <w:rsid w:val="00B3195B"/>
    <w:rsid w:val="00B33E2C"/>
    <w:rsid w:val="00B3452E"/>
    <w:rsid w:val="00B345EC"/>
    <w:rsid w:val="00B3489A"/>
    <w:rsid w:val="00B3556B"/>
    <w:rsid w:val="00B35638"/>
    <w:rsid w:val="00B358BA"/>
    <w:rsid w:val="00B359C1"/>
    <w:rsid w:val="00B361F6"/>
    <w:rsid w:val="00B37674"/>
    <w:rsid w:val="00B377C2"/>
    <w:rsid w:val="00B3798E"/>
    <w:rsid w:val="00B400CF"/>
    <w:rsid w:val="00B40305"/>
    <w:rsid w:val="00B40424"/>
    <w:rsid w:val="00B40E42"/>
    <w:rsid w:val="00B4184C"/>
    <w:rsid w:val="00B41FB8"/>
    <w:rsid w:val="00B42098"/>
    <w:rsid w:val="00B422AE"/>
    <w:rsid w:val="00B425DA"/>
    <w:rsid w:val="00B42BBE"/>
    <w:rsid w:val="00B42EDF"/>
    <w:rsid w:val="00B4307D"/>
    <w:rsid w:val="00B4314D"/>
    <w:rsid w:val="00B43F00"/>
    <w:rsid w:val="00B443C8"/>
    <w:rsid w:val="00B459D0"/>
    <w:rsid w:val="00B45BDD"/>
    <w:rsid w:val="00B45C9C"/>
    <w:rsid w:val="00B4708E"/>
    <w:rsid w:val="00B4738E"/>
    <w:rsid w:val="00B47514"/>
    <w:rsid w:val="00B478CA"/>
    <w:rsid w:val="00B47A62"/>
    <w:rsid w:val="00B47B1B"/>
    <w:rsid w:val="00B47E4F"/>
    <w:rsid w:val="00B5006E"/>
    <w:rsid w:val="00B5086C"/>
    <w:rsid w:val="00B51BCF"/>
    <w:rsid w:val="00B51FA7"/>
    <w:rsid w:val="00B520CA"/>
    <w:rsid w:val="00B52265"/>
    <w:rsid w:val="00B5265C"/>
    <w:rsid w:val="00B52AA8"/>
    <w:rsid w:val="00B52CA9"/>
    <w:rsid w:val="00B53555"/>
    <w:rsid w:val="00B537D9"/>
    <w:rsid w:val="00B53BED"/>
    <w:rsid w:val="00B5423D"/>
    <w:rsid w:val="00B54B29"/>
    <w:rsid w:val="00B54CE5"/>
    <w:rsid w:val="00B54EB2"/>
    <w:rsid w:val="00B55408"/>
    <w:rsid w:val="00B554BC"/>
    <w:rsid w:val="00B556AC"/>
    <w:rsid w:val="00B55896"/>
    <w:rsid w:val="00B5596D"/>
    <w:rsid w:val="00B5644C"/>
    <w:rsid w:val="00B56AD4"/>
    <w:rsid w:val="00B56B59"/>
    <w:rsid w:val="00B57557"/>
    <w:rsid w:val="00B57C1E"/>
    <w:rsid w:val="00B60A40"/>
    <w:rsid w:val="00B60E0E"/>
    <w:rsid w:val="00B615EB"/>
    <w:rsid w:val="00B61A46"/>
    <w:rsid w:val="00B62188"/>
    <w:rsid w:val="00B624DD"/>
    <w:rsid w:val="00B62513"/>
    <w:rsid w:val="00B628B7"/>
    <w:rsid w:val="00B62FB1"/>
    <w:rsid w:val="00B6409F"/>
    <w:rsid w:val="00B64219"/>
    <w:rsid w:val="00B652C1"/>
    <w:rsid w:val="00B65303"/>
    <w:rsid w:val="00B659F1"/>
    <w:rsid w:val="00B65CCB"/>
    <w:rsid w:val="00B665FE"/>
    <w:rsid w:val="00B669A1"/>
    <w:rsid w:val="00B669BC"/>
    <w:rsid w:val="00B66C16"/>
    <w:rsid w:val="00B66F12"/>
    <w:rsid w:val="00B6728A"/>
    <w:rsid w:val="00B67960"/>
    <w:rsid w:val="00B67ACF"/>
    <w:rsid w:val="00B67BB9"/>
    <w:rsid w:val="00B67CA9"/>
    <w:rsid w:val="00B67D35"/>
    <w:rsid w:val="00B67FC9"/>
    <w:rsid w:val="00B70187"/>
    <w:rsid w:val="00B70E2A"/>
    <w:rsid w:val="00B717BF"/>
    <w:rsid w:val="00B73C4F"/>
    <w:rsid w:val="00B73F17"/>
    <w:rsid w:val="00B7415E"/>
    <w:rsid w:val="00B74582"/>
    <w:rsid w:val="00B74954"/>
    <w:rsid w:val="00B75126"/>
    <w:rsid w:val="00B752EA"/>
    <w:rsid w:val="00B75D0B"/>
    <w:rsid w:val="00B762E1"/>
    <w:rsid w:val="00B76AC3"/>
    <w:rsid w:val="00B76C1C"/>
    <w:rsid w:val="00B77ACC"/>
    <w:rsid w:val="00B8043D"/>
    <w:rsid w:val="00B80D03"/>
    <w:rsid w:val="00B813CA"/>
    <w:rsid w:val="00B81430"/>
    <w:rsid w:val="00B81591"/>
    <w:rsid w:val="00B81995"/>
    <w:rsid w:val="00B81EC5"/>
    <w:rsid w:val="00B826CA"/>
    <w:rsid w:val="00B82F9E"/>
    <w:rsid w:val="00B830B6"/>
    <w:rsid w:val="00B830E5"/>
    <w:rsid w:val="00B833FD"/>
    <w:rsid w:val="00B8355E"/>
    <w:rsid w:val="00B83E66"/>
    <w:rsid w:val="00B84254"/>
    <w:rsid w:val="00B847E5"/>
    <w:rsid w:val="00B848DF"/>
    <w:rsid w:val="00B84AFA"/>
    <w:rsid w:val="00B8525E"/>
    <w:rsid w:val="00B856C3"/>
    <w:rsid w:val="00B85A77"/>
    <w:rsid w:val="00B86349"/>
    <w:rsid w:val="00B8636B"/>
    <w:rsid w:val="00B8643E"/>
    <w:rsid w:val="00B86701"/>
    <w:rsid w:val="00B86760"/>
    <w:rsid w:val="00B86866"/>
    <w:rsid w:val="00B86A81"/>
    <w:rsid w:val="00B86B89"/>
    <w:rsid w:val="00B86C90"/>
    <w:rsid w:val="00B87321"/>
    <w:rsid w:val="00B8782A"/>
    <w:rsid w:val="00B87DAB"/>
    <w:rsid w:val="00B9011A"/>
    <w:rsid w:val="00B906CF"/>
    <w:rsid w:val="00B909EF"/>
    <w:rsid w:val="00B913B9"/>
    <w:rsid w:val="00B915F4"/>
    <w:rsid w:val="00B91648"/>
    <w:rsid w:val="00B91914"/>
    <w:rsid w:val="00B91D7F"/>
    <w:rsid w:val="00B92486"/>
    <w:rsid w:val="00B92D0A"/>
    <w:rsid w:val="00B92D16"/>
    <w:rsid w:val="00B93088"/>
    <w:rsid w:val="00B93716"/>
    <w:rsid w:val="00B93CAF"/>
    <w:rsid w:val="00B94B76"/>
    <w:rsid w:val="00B9515D"/>
    <w:rsid w:val="00B95F88"/>
    <w:rsid w:val="00B9753A"/>
    <w:rsid w:val="00B9757A"/>
    <w:rsid w:val="00B97A28"/>
    <w:rsid w:val="00B97ADC"/>
    <w:rsid w:val="00BA04DC"/>
    <w:rsid w:val="00BA0C83"/>
    <w:rsid w:val="00BA0E95"/>
    <w:rsid w:val="00BA1387"/>
    <w:rsid w:val="00BA1A7A"/>
    <w:rsid w:val="00BA1B54"/>
    <w:rsid w:val="00BA24A1"/>
    <w:rsid w:val="00BA2FB9"/>
    <w:rsid w:val="00BA4821"/>
    <w:rsid w:val="00BA4907"/>
    <w:rsid w:val="00BA4F3F"/>
    <w:rsid w:val="00BA51CF"/>
    <w:rsid w:val="00BA66E2"/>
    <w:rsid w:val="00BA676C"/>
    <w:rsid w:val="00BA6D4A"/>
    <w:rsid w:val="00BA72E4"/>
    <w:rsid w:val="00BA75E2"/>
    <w:rsid w:val="00BB00DB"/>
    <w:rsid w:val="00BB08D5"/>
    <w:rsid w:val="00BB0C54"/>
    <w:rsid w:val="00BB167B"/>
    <w:rsid w:val="00BB1DE5"/>
    <w:rsid w:val="00BB2974"/>
    <w:rsid w:val="00BB2A14"/>
    <w:rsid w:val="00BB32DF"/>
    <w:rsid w:val="00BB36F5"/>
    <w:rsid w:val="00BB3CCA"/>
    <w:rsid w:val="00BB3CED"/>
    <w:rsid w:val="00BB4262"/>
    <w:rsid w:val="00BB4583"/>
    <w:rsid w:val="00BB4721"/>
    <w:rsid w:val="00BB4CEC"/>
    <w:rsid w:val="00BB4E3E"/>
    <w:rsid w:val="00BB587E"/>
    <w:rsid w:val="00BB5ECA"/>
    <w:rsid w:val="00BB616F"/>
    <w:rsid w:val="00BB64A1"/>
    <w:rsid w:val="00BB7694"/>
    <w:rsid w:val="00BB775B"/>
    <w:rsid w:val="00BB7907"/>
    <w:rsid w:val="00BB7B16"/>
    <w:rsid w:val="00BB7C13"/>
    <w:rsid w:val="00BC0581"/>
    <w:rsid w:val="00BC0D0D"/>
    <w:rsid w:val="00BC1675"/>
    <w:rsid w:val="00BC17EB"/>
    <w:rsid w:val="00BC2476"/>
    <w:rsid w:val="00BC3406"/>
    <w:rsid w:val="00BC36AA"/>
    <w:rsid w:val="00BC36FB"/>
    <w:rsid w:val="00BC37DD"/>
    <w:rsid w:val="00BC3DB3"/>
    <w:rsid w:val="00BC3FF9"/>
    <w:rsid w:val="00BC4F4F"/>
    <w:rsid w:val="00BC59CA"/>
    <w:rsid w:val="00BC6607"/>
    <w:rsid w:val="00BC6724"/>
    <w:rsid w:val="00BC68E8"/>
    <w:rsid w:val="00BC795B"/>
    <w:rsid w:val="00BC79A8"/>
    <w:rsid w:val="00BC7AF1"/>
    <w:rsid w:val="00BC7D49"/>
    <w:rsid w:val="00BC7E4D"/>
    <w:rsid w:val="00BC7F42"/>
    <w:rsid w:val="00BD0202"/>
    <w:rsid w:val="00BD0851"/>
    <w:rsid w:val="00BD0907"/>
    <w:rsid w:val="00BD177F"/>
    <w:rsid w:val="00BD2081"/>
    <w:rsid w:val="00BD20E0"/>
    <w:rsid w:val="00BD34F1"/>
    <w:rsid w:val="00BD3885"/>
    <w:rsid w:val="00BD38AA"/>
    <w:rsid w:val="00BD40F4"/>
    <w:rsid w:val="00BD4409"/>
    <w:rsid w:val="00BD4474"/>
    <w:rsid w:val="00BD483A"/>
    <w:rsid w:val="00BD4FF2"/>
    <w:rsid w:val="00BD60B2"/>
    <w:rsid w:val="00BD63B1"/>
    <w:rsid w:val="00BD6709"/>
    <w:rsid w:val="00BD67D3"/>
    <w:rsid w:val="00BD6827"/>
    <w:rsid w:val="00BD716C"/>
    <w:rsid w:val="00BD74B4"/>
    <w:rsid w:val="00BD7D2F"/>
    <w:rsid w:val="00BD7D7D"/>
    <w:rsid w:val="00BE0149"/>
    <w:rsid w:val="00BE0CEA"/>
    <w:rsid w:val="00BE122D"/>
    <w:rsid w:val="00BE14EA"/>
    <w:rsid w:val="00BE1C9D"/>
    <w:rsid w:val="00BE36A4"/>
    <w:rsid w:val="00BE3782"/>
    <w:rsid w:val="00BE3B76"/>
    <w:rsid w:val="00BE4B6F"/>
    <w:rsid w:val="00BE4F7C"/>
    <w:rsid w:val="00BE4FE9"/>
    <w:rsid w:val="00BE5386"/>
    <w:rsid w:val="00BE7461"/>
    <w:rsid w:val="00BF035C"/>
    <w:rsid w:val="00BF060B"/>
    <w:rsid w:val="00BF0FB4"/>
    <w:rsid w:val="00BF1108"/>
    <w:rsid w:val="00BF1DD9"/>
    <w:rsid w:val="00BF304D"/>
    <w:rsid w:val="00BF332C"/>
    <w:rsid w:val="00BF38C1"/>
    <w:rsid w:val="00BF3D20"/>
    <w:rsid w:val="00BF3EAF"/>
    <w:rsid w:val="00BF46C3"/>
    <w:rsid w:val="00BF54EC"/>
    <w:rsid w:val="00BF5CBA"/>
    <w:rsid w:val="00BF6275"/>
    <w:rsid w:val="00BF7359"/>
    <w:rsid w:val="00BF736F"/>
    <w:rsid w:val="00BF75FE"/>
    <w:rsid w:val="00BF793F"/>
    <w:rsid w:val="00BF7FB1"/>
    <w:rsid w:val="00C000E3"/>
    <w:rsid w:val="00C00544"/>
    <w:rsid w:val="00C006CC"/>
    <w:rsid w:val="00C006E9"/>
    <w:rsid w:val="00C01054"/>
    <w:rsid w:val="00C01499"/>
    <w:rsid w:val="00C01877"/>
    <w:rsid w:val="00C01920"/>
    <w:rsid w:val="00C02233"/>
    <w:rsid w:val="00C024B9"/>
    <w:rsid w:val="00C024EF"/>
    <w:rsid w:val="00C02BA2"/>
    <w:rsid w:val="00C0351E"/>
    <w:rsid w:val="00C04B83"/>
    <w:rsid w:val="00C04ECF"/>
    <w:rsid w:val="00C0527B"/>
    <w:rsid w:val="00C05B02"/>
    <w:rsid w:val="00C06DD9"/>
    <w:rsid w:val="00C06EFA"/>
    <w:rsid w:val="00C07841"/>
    <w:rsid w:val="00C10269"/>
    <w:rsid w:val="00C10A7A"/>
    <w:rsid w:val="00C10DC7"/>
    <w:rsid w:val="00C1199E"/>
    <w:rsid w:val="00C11D76"/>
    <w:rsid w:val="00C12464"/>
    <w:rsid w:val="00C1262D"/>
    <w:rsid w:val="00C128C5"/>
    <w:rsid w:val="00C12D9C"/>
    <w:rsid w:val="00C12E6D"/>
    <w:rsid w:val="00C148FC"/>
    <w:rsid w:val="00C14AA7"/>
    <w:rsid w:val="00C14BDF"/>
    <w:rsid w:val="00C1519B"/>
    <w:rsid w:val="00C15306"/>
    <w:rsid w:val="00C1606D"/>
    <w:rsid w:val="00C16553"/>
    <w:rsid w:val="00C16818"/>
    <w:rsid w:val="00C16A7A"/>
    <w:rsid w:val="00C16ABD"/>
    <w:rsid w:val="00C1730D"/>
    <w:rsid w:val="00C17354"/>
    <w:rsid w:val="00C178F2"/>
    <w:rsid w:val="00C17AA9"/>
    <w:rsid w:val="00C20BAD"/>
    <w:rsid w:val="00C221E4"/>
    <w:rsid w:val="00C22282"/>
    <w:rsid w:val="00C22446"/>
    <w:rsid w:val="00C22494"/>
    <w:rsid w:val="00C2290F"/>
    <w:rsid w:val="00C22EA5"/>
    <w:rsid w:val="00C2331B"/>
    <w:rsid w:val="00C2382D"/>
    <w:rsid w:val="00C2399A"/>
    <w:rsid w:val="00C24003"/>
    <w:rsid w:val="00C2414B"/>
    <w:rsid w:val="00C24375"/>
    <w:rsid w:val="00C248CC"/>
    <w:rsid w:val="00C24EFD"/>
    <w:rsid w:val="00C2563C"/>
    <w:rsid w:val="00C25727"/>
    <w:rsid w:val="00C25FC7"/>
    <w:rsid w:val="00C2659B"/>
    <w:rsid w:val="00C266CC"/>
    <w:rsid w:val="00C26D25"/>
    <w:rsid w:val="00C26FE6"/>
    <w:rsid w:val="00C2764D"/>
    <w:rsid w:val="00C2771E"/>
    <w:rsid w:val="00C27BEB"/>
    <w:rsid w:val="00C300AF"/>
    <w:rsid w:val="00C30207"/>
    <w:rsid w:val="00C30636"/>
    <w:rsid w:val="00C30BF3"/>
    <w:rsid w:val="00C30C21"/>
    <w:rsid w:val="00C3183B"/>
    <w:rsid w:val="00C31901"/>
    <w:rsid w:val="00C3242C"/>
    <w:rsid w:val="00C325CF"/>
    <w:rsid w:val="00C32A1F"/>
    <w:rsid w:val="00C32C08"/>
    <w:rsid w:val="00C32D5D"/>
    <w:rsid w:val="00C32E13"/>
    <w:rsid w:val="00C33412"/>
    <w:rsid w:val="00C334E8"/>
    <w:rsid w:val="00C33962"/>
    <w:rsid w:val="00C33A2F"/>
    <w:rsid w:val="00C34231"/>
    <w:rsid w:val="00C346F5"/>
    <w:rsid w:val="00C34755"/>
    <w:rsid w:val="00C34A97"/>
    <w:rsid w:val="00C35BC9"/>
    <w:rsid w:val="00C35C24"/>
    <w:rsid w:val="00C35C7D"/>
    <w:rsid w:val="00C36195"/>
    <w:rsid w:val="00C36D54"/>
    <w:rsid w:val="00C371FC"/>
    <w:rsid w:val="00C4007B"/>
    <w:rsid w:val="00C402CC"/>
    <w:rsid w:val="00C40C4F"/>
    <w:rsid w:val="00C40D04"/>
    <w:rsid w:val="00C4121F"/>
    <w:rsid w:val="00C419D5"/>
    <w:rsid w:val="00C41BD8"/>
    <w:rsid w:val="00C429F0"/>
    <w:rsid w:val="00C42B3C"/>
    <w:rsid w:val="00C42C9D"/>
    <w:rsid w:val="00C4389C"/>
    <w:rsid w:val="00C44231"/>
    <w:rsid w:val="00C44398"/>
    <w:rsid w:val="00C44B74"/>
    <w:rsid w:val="00C45EF4"/>
    <w:rsid w:val="00C45FAA"/>
    <w:rsid w:val="00C46AF4"/>
    <w:rsid w:val="00C46B7E"/>
    <w:rsid w:val="00C4716D"/>
    <w:rsid w:val="00C471F9"/>
    <w:rsid w:val="00C47AA4"/>
    <w:rsid w:val="00C50023"/>
    <w:rsid w:val="00C50057"/>
    <w:rsid w:val="00C50185"/>
    <w:rsid w:val="00C50552"/>
    <w:rsid w:val="00C5084B"/>
    <w:rsid w:val="00C50FE1"/>
    <w:rsid w:val="00C51642"/>
    <w:rsid w:val="00C519FD"/>
    <w:rsid w:val="00C52089"/>
    <w:rsid w:val="00C520B9"/>
    <w:rsid w:val="00C52416"/>
    <w:rsid w:val="00C5258F"/>
    <w:rsid w:val="00C52E5C"/>
    <w:rsid w:val="00C5321E"/>
    <w:rsid w:val="00C53403"/>
    <w:rsid w:val="00C53743"/>
    <w:rsid w:val="00C537E4"/>
    <w:rsid w:val="00C540D0"/>
    <w:rsid w:val="00C541CE"/>
    <w:rsid w:val="00C546FC"/>
    <w:rsid w:val="00C54886"/>
    <w:rsid w:val="00C5559D"/>
    <w:rsid w:val="00C55CC5"/>
    <w:rsid w:val="00C56231"/>
    <w:rsid w:val="00C5709D"/>
    <w:rsid w:val="00C575D1"/>
    <w:rsid w:val="00C57D4C"/>
    <w:rsid w:val="00C57F13"/>
    <w:rsid w:val="00C608E9"/>
    <w:rsid w:val="00C60940"/>
    <w:rsid w:val="00C60E8E"/>
    <w:rsid w:val="00C619BE"/>
    <w:rsid w:val="00C61AD2"/>
    <w:rsid w:val="00C62371"/>
    <w:rsid w:val="00C624AD"/>
    <w:rsid w:val="00C624F8"/>
    <w:rsid w:val="00C627A2"/>
    <w:rsid w:val="00C628C8"/>
    <w:rsid w:val="00C62C8A"/>
    <w:rsid w:val="00C63161"/>
    <w:rsid w:val="00C63BC1"/>
    <w:rsid w:val="00C64AC8"/>
    <w:rsid w:val="00C64D35"/>
    <w:rsid w:val="00C652DF"/>
    <w:rsid w:val="00C65456"/>
    <w:rsid w:val="00C658F5"/>
    <w:rsid w:val="00C65C73"/>
    <w:rsid w:val="00C65E14"/>
    <w:rsid w:val="00C663FF"/>
    <w:rsid w:val="00C664B1"/>
    <w:rsid w:val="00C664C4"/>
    <w:rsid w:val="00C66A1C"/>
    <w:rsid w:val="00C66C5D"/>
    <w:rsid w:val="00C66E4D"/>
    <w:rsid w:val="00C670C4"/>
    <w:rsid w:val="00C671C6"/>
    <w:rsid w:val="00C67301"/>
    <w:rsid w:val="00C67F6A"/>
    <w:rsid w:val="00C707EB"/>
    <w:rsid w:val="00C70844"/>
    <w:rsid w:val="00C70B76"/>
    <w:rsid w:val="00C710F5"/>
    <w:rsid w:val="00C71138"/>
    <w:rsid w:val="00C71393"/>
    <w:rsid w:val="00C7150B"/>
    <w:rsid w:val="00C728BB"/>
    <w:rsid w:val="00C73DCE"/>
    <w:rsid w:val="00C74AF1"/>
    <w:rsid w:val="00C74B17"/>
    <w:rsid w:val="00C74E6B"/>
    <w:rsid w:val="00C7513F"/>
    <w:rsid w:val="00C75EAA"/>
    <w:rsid w:val="00C76900"/>
    <w:rsid w:val="00C76A54"/>
    <w:rsid w:val="00C76B53"/>
    <w:rsid w:val="00C7709F"/>
    <w:rsid w:val="00C7749E"/>
    <w:rsid w:val="00C77A5B"/>
    <w:rsid w:val="00C8016D"/>
    <w:rsid w:val="00C80184"/>
    <w:rsid w:val="00C814EC"/>
    <w:rsid w:val="00C81F0C"/>
    <w:rsid w:val="00C83541"/>
    <w:rsid w:val="00C8383B"/>
    <w:rsid w:val="00C83BF8"/>
    <w:rsid w:val="00C84087"/>
    <w:rsid w:val="00C841E4"/>
    <w:rsid w:val="00C84213"/>
    <w:rsid w:val="00C8482B"/>
    <w:rsid w:val="00C84C69"/>
    <w:rsid w:val="00C85344"/>
    <w:rsid w:val="00C858C0"/>
    <w:rsid w:val="00C865FA"/>
    <w:rsid w:val="00C8680C"/>
    <w:rsid w:val="00C86BBF"/>
    <w:rsid w:val="00C870C5"/>
    <w:rsid w:val="00C8735A"/>
    <w:rsid w:val="00C87474"/>
    <w:rsid w:val="00C87B8A"/>
    <w:rsid w:val="00C912D0"/>
    <w:rsid w:val="00C91B52"/>
    <w:rsid w:val="00C92231"/>
    <w:rsid w:val="00C9244A"/>
    <w:rsid w:val="00C92826"/>
    <w:rsid w:val="00C93B86"/>
    <w:rsid w:val="00C942D7"/>
    <w:rsid w:val="00C94ABD"/>
    <w:rsid w:val="00C94B58"/>
    <w:rsid w:val="00C94E9B"/>
    <w:rsid w:val="00C95030"/>
    <w:rsid w:val="00C95197"/>
    <w:rsid w:val="00C95FDB"/>
    <w:rsid w:val="00C96B80"/>
    <w:rsid w:val="00C96F00"/>
    <w:rsid w:val="00C973F4"/>
    <w:rsid w:val="00C97D14"/>
    <w:rsid w:val="00CA06ED"/>
    <w:rsid w:val="00CA0DB5"/>
    <w:rsid w:val="00CA1334"/>
    <w:rsid w:val="00CA1725"/>
    <w:rsid w:val="00CA2094"/>
    <w:rsid w:val="00CA2148"/>
    <w:rsid w:val="00CA25B0"/>
    <w:rsid w:val="00CA296D"/>
    <w:rsid w:val="00CA2976"/>
    <w:rsid w:val="00CA2BA2"/>
    <w:rsid w:val="00CA32B6"/>
    <w:rsid w:val="00CA3B19"/>
    <w:rsid w:val="00CA3BB6"/>
    <w:rsid w:val="00CA402A"/>
    <w:rsid w:val="00CA4275"/>
    <w:rsid w:val="00CA4C80"/>
    <w:rsid w:val="00CA4EB9"/>
    <w:rsid w:val="00CA4EDF"/>
    <w:rsid w:val="00CA5B64"/>
    <w:rsid w:val="00CA5D69"/>
    <w:rsid w:val="00CA6008"/>
    <w:rsid w:val="00CA63F4"/>
    <w:rsid w:val="00CA68EE"/>
    <w:rsid w:val="00CA6E35"/>
    <w:rsid w:val="00CA719B"/>
    <w:rsid w:val="00CA72D7"/>
    <w:rsid w:val="00CA7336"/>
    <w:rsid w:val="00CA7604"/>
    <w:rsid w:val="00CA79E6"/>
    <w:rsid w:val="00CB029F"/>
    <w:rsid w:val="00CB02CC"/>
    <w:rsid w:val="00CB0AF3"/>
    <w:rsid w:val="00CB120F"/>
    <w:rsid w:val="00CB1BAB"/>
    <w:rsid w:val="00CB1BBA"/>
    <w:rsid w:val="00CB1C76"/>
    <w:rsid w:val="00CB20B1"/>
    <w:rsid w:val="00CB2DF2"/>
    <w:rsid w:val="00CB31AD"/>
    <w:rsid w:val="00CB342E"/>
    <w:rsid w:val="00CB352B"/>
    <w:rsid w:val="00CB39D8"/>
    <w:rsid w:val="00CB3B19"/>
    <w:rsid w:val="00CB507C"/>
    <w:rsid w:val="00CB5A1F"/>
    <w:rsid w:val="00CB6045"/>
    <w:rsid w:val="00CB63DF"/>
    <w:rsid w:val="00CB67C0"/>
    <w:rsid w:val="00CB67D8"/>
    <w:rsid w:val="00CB6F33"/>
    <w:rsid w:val="00CB737D"/>
    <w:rsid w:val="00CB7828"/>
    <w:rsid w:val="00CB7B9E"/>
    <w:rsid w:val="00CC04C5"/>
    <w:rsid w:val="00CC13E2"/>
    <w:rsid w:val="00CC1566"/>
    <w:rsid w:val="00CC17CA"/>
    <w:rsid w:val="00CC1C2D"/>
    <w:rsid w:val="00CC1C39"/>
    <w:rsid w:val="00CC1CBA"/>
    <w:rsid w:val="00CC2E78"/>
    <w:rsid w:val="00CC3090"/>
    <w:rsid w:val="00CC34A5"/>
    <w:rsid w:val="00CC36BA"/>
    <w:rsid w:val="00CC3A7E"/>
    <w:rsid w:val="00CC3C37"/>
    <w:rsid w:val="00CC40C5"/>
    <w:rsid w:val="00CC43A7"/>
    <w:rsid w:val="00CC4A47"/>
    <w:rsid w:val="00CC4F62"/>
    <w:rsid w:val="00CC4FFD"/>
    <w:rsid w:val="00CC52FC"/>
    <w:rsid w:val="00CC5858"/>
    <w:rsid w:val="00CC58E4"/>
    <w:rsid w:val="00CC5CCF"/>
    <w:rsid w:val="00CC631D"/>
    <w:rsid w:val="00CC64F2"/>
    <w:rsid w:val="00CC66CE"/>
    <w:rsid w:val="00CC68A1"/>
    <w:rsid w:val="00CC69B8"/>
    <w:rsid w:val="00CC6FA8"/>
    <w:rsid w:val="00CC70E5"/>
    <w:rsid w:val="00CC7118"/>
    <w:rsid w:val="00CC71CA"/>
    <w:rsid w:val="00CC721B"/>
    <w:rsid w:val="00CC7CB4"/>
    <w:rsid w:val="00CC7E6D"/>
    <w:rsid w:val="00CD0C72"/>
    <w:rsid w:val="00CD0DF0"/>
    <w:rsid w:val="00CD23F9"/>
    <w:rsid w:val="00CD2960"/>
    <w:rsid w:val="00CD2AD0"/>
    <w:rsid w:val="00CD304E"/>
    <w:rsid w:val="00CD30AF"/>
    <w:rsid w:val="00CD3235"/>
    <w:rsid w:val="00CD3499"/>
    <w:rsid w:val="00CD3F56"/>
    <w:rsid w:val="00CD4DD7"/>
    <w:rsid w:val="00CD536A"/>
    <w:rsid w:val="00CD560B"/>
    <w:rsid w:val="00CD5A2E"/>
    <w:rsid w:val="00CD754C"/>
    <w:rsid w:val="00CD7700"/>
    <w:rsid w:val="00CD774A"/>
    <w:rsid w:val="00CE03A5"/>
    <w:rsid w:val="00CE0416"/>
    <w:rsid w:val="00CE09EE"/>
    <w:rsid w:val="00CE11F7"/>
    <w:rsid w:val="00CE281D"/>
    <w:rsid w:val="00CE2D67"/>
    <w:rsid w:val="00CE2F63"/>
    <w:rsid w:val="00CE37BA"/>
    <w:rsid w:val="00CE4069"/>
    <w:rsid w:val="00CE47C9"/>
    <w:rsid w:val="00CE4A32"/>
    <w:rsid w:val="00CE4B51"/>
    <w:rsid w:val="00CE4D9D"/>
    <w:rsid w:val="00CE5507"/>
    <w:rsid w:val="00CE56FB"/>
    <w:rsid w:val="00CE573C"/>
    <w:rsid w:val="00CE599B"/>
    <w:rsid w:val="00CE5A67"/>
    <w:rsid w:val="00CE5C35"/>
    <w:rsid w:val="00CE6790"/>
    <w:rsid w:val="00CE682C"/>
    <w:rsid w:val="00CE6BD8"/>
    <w:rsid w:val="00CE6C21"/>
    <w:rsid w:val="00CF0C95"/>
    <w:rsid w:val="00CF0DE6"/>
    <w:rsid w:val="00CF1513"/>
    <w:rsid w:val="00CF15B7"/>
    <w:rsid w:val="00CF15FD"/>
    <w:rsid w:val="00CF1B7D"/>
    <w:rsid w:val="00CF27AA"/>
    <w:rsid w:val="00CF2D5A"/>
    <w:rsid w:val="00CF39D1"/>
    <w:rsid w:val="00CF3BDB"/>
    <w:rsid w:val="00CF403F"/>
    <w:rsid w:val="00CF45B3"/>
    <w:rsid w:val="00CF4908"/>
    <w:rsid w:val="00CF491D"/>
    <w:rsid w:val="00CF4AA5"/>
    <w:rsid w:val="00CF589A"/>
    <w:rsid w:val="00CF60C3"/>
    <w:rsid w:val="00CF7183"/>
    <w:rsid w:val="00CF7288"/>
    <w:rsid w:val="00CF7E8D"/>
    <w:rsid w:val="00CF7F94"/>
    <w:rsid w:val="00D003F1"/>
    <w:rsid w:val="00D007BC"/>
    <w:rsid w:val="00D00979"/>
    <w:rsid w:val="00D0137C"/>
    <w:rsid w:val="00D01519"/>
    <w:rsid w:val="00D0227C"/>
    <w:rsid w:val="00D02DA7"/>
    <w:rsid w:val="00D0319E"/>
    <w:rsid w:val="00D03A33"/>
    <w:rsid w:val="00D03EB4"/>
    <w:rsid w:val="00D043D8"/>
    <w:rsid w:val="00D04BDD"/>
    <w:rsid w:val="00D04C9A"/>
    <w:rsid w:val="00D05DD2"/>
    <w:rsid w:val="00D06114"/>
    <w:rsid w:val="00D065D5"/>
    <w:rsid w:val="00D06A5B"/>
    <w:rsid w:val="00D06B57"/>
    <w:rsid w:val="00D079C1"/>
    <w:rsid w:val="00D1013E"/>
    <w:rsid w:val="00D10AE7"/>
    <w:rsid w:val="00D10B2B"/>
    <w:rsid w:val="00D10BDA"/>
    <w:rsid w:val="00D11425"/>
    <w:rsid w:val="00D1203F"/>
    <w:rsid w:val="00D12A1F"/>
    <w:rsid w:val="00D13D78"/>
    <w:rsid w:val="00D13E6F"/>
    <w:rsid w:val="00D1429B"/>
    <w:rsid w:val="00D144D6"/>
    <w:rsid w:val="00D15004"/>
    <w:rsid w:val="00D15378"/>
    <w:rsid w:val="00D1599A"/>
    <w:rsid w:val="00D15A06"/>
    <w:rsid w:val="00D15A79"/>
    <w:rsid w:val="00D161F0"/>
    <w:rsid w:val="00D16325"/>
    <w:rsid w:val="00D16527"/>
    <w:rsid w:val="00D16744"/>
    <w:rsid w:val="00D1677E"/>
    <w:rsid w:val="00D167CF"/>
    <w:rsid w:val="00D167D6"/>
    <w:rsid w:val="00D16875"/>
    <w:rsid w:val="00D1691B"/>
    <w:rsid w:val="00D16A26"/>
    <w:rsid w:val="00D16F56"/>
    <w:rsid w:val="00D1723C"/>
    <w:rsid w:val="00D17928"/>
    <w:rsid w:val="00D17D2E"/>
    <w:rsid w:val="00D2042B"/>
    <w:rsid w:val="00D20496"/>
    <w:rsid w:val="00D215D7"/>
    <w:rsid w:val="00D22140"/>
    <w:rsid w:val="00D22917"/>
    <w:rsid w:val="00D22A0F"/>
    <w:rsid w:val="00D231FD"/>
    <w:rsid w:val="00D2357B"/>
    <w:rsid w:val="00D23B5A"/>
    <w:rsid w:val="00D23D34"/>
    <w:rsid w:val="00D241DE"/>
    <w:rsid w:val="00D245A2"/>
    <w:rsid w:val="00D24D34"/>
    <w:rsid w:val="00D25685"/>
    <w:rsid w:val="00D26579"/>
    <w:rsid w:val="00D2739C"/>
    <w:rsid w:val="00D2776A"/>
    <w:rsid w:val="00D278B4"/>
    <w:rsid w:val="00D27E07"/>
    <w:rsid w:val="00D303A5"/>
    <w:rsid w:val="00D30783"/>
    <w:rsid w:val="00D31CCE"/>
    <w:rsid w:val="00D31D89"/>
    <w:rsid w:val="00D31E60"/>
    <w:rsid w:val="00D323BE"/>
    <w:rsid w:val="00D33426"/>
    <w:rsid w:val="00D33FB6"/>
    <w:rsid w:val="00D34305"/>
    <w:rsid w:val="00D34602"/>
    <w:rsid w:val="00D3477E"/>
    <w:rsid w:val="00D349CA"/>
    <w:rsid w:val="00D34AD0"/>
    <w:rsid w:val="00D34EBE"/>
    <w:rsid w:val="00D354DB"/>
    <w:rsid w:val="00D356E4"/>
    <w:rsid w:val="00D35836"/>
    <w:rsid w:val="00D35DA9"/>
    <w:rsid w:val="00D36025"/>
    <w:rsid w:val="00D363B8"/>
    <w:rsid w:val="00D364E8"/>
    <w:rsid w:val="00D368F9"/>
    <w:rsid w:val="00D36E93"/>
    <w:rsid w:val="00D37BD3"/>
    <w:rsid w:val="00D37DB2"/>
    <w:rsid w:val="00D40043"/>
    <w:rsid w:val="00D4006F"/>
    <w:rsid w:val="00D40298"/>
    <w:rsid w:val="00D40694"/>
    <w:rsid w:val="00D40B57"/>
    <w:rsid w:val="00D40C91"/>
    <w:rsid w:val="00D41678"/>
    <w:rsid w:val="00D417C8"/>
    <w:rsid w:val="00D41D1C"/>
    <w:rsid w:val="00D42329"/>
    <w:rsid w:val="00D4245C"/>
    <w:rsid w:val="00D424A0"/>
    <w:rsid w:val="00D42E3E"/>
    <w:rsid w:val="00D432DF"/>
    <w:rsid w:val="00D432F9"/>
    <w:rsid w:val="00D4402D"/>
    <w:rsid w:val="00D44045"/>
    <w:rsid w:val="00D4456B"/>
    <w:rsid w:val="00D449E1"/>
    <w:rsid w:val="00D44A98"/>
    <w:rsid w:val="00D44CAB"/>
    <w:rsid w:val="00D45CE7"/>
    <w:rsid w:val="00D460F7"/>
    <w:rsid w:val="00D4628B"/>
    <w:rsid w:val="00D46988"/>
    <w:rsid w:val="00D46DE4"/>
    <w:rsid w:val="00D4716A"/>
    <w:rsid w:val="00D471AC"/>
    <w:rsid w:val="00D475DC"/>
    <w:rsid w:val="00D47837"/>
    <w:rsid w:val="00D47960"/>
    <w:rsid w:val="00D47D96"/>
    <w:rsid w:val="00D504ED"/>
    <w:rsid w:val="00D505CD"/>
    <w:rsid w:val="00D506E7"/>
    <w:rsid w:val="00D51496"/>
    <w:rsid w:val="00D51651"/>
    <w:rsid w:val="00D51CD1"/>
    <w:rsid w:val="00D53531"/>
    <w:rsid w:val="00D53596"/>
    <w:rsid w:val="00D537BE"/>
    <w:rsid w:val="00D53AEE"/>
    <w:rsid w:val="00D53B0C"/>
    <w:rsid w:val="00D5417A"/>
    <w:rsid w:val="00D54390"/>
    <w:rsid w:val="00D54960"/>
    <w:rsid w:val="00D54AAD"/>
    <w:rsid w:val="00D54B9F"/>
    <w:rsid w:val="00D54E61"/>
    <w:rsid w:val="00D5573B"/>
    <w:rsid w:val="00D55B42"/>
    <w:rsid w:val="00D568D2"/>
    <w:rsid w:val="00D56A1C"/>
    <w:rsid w:val="00D57682"/>
    <w:rsid w:val="00D57E97"/>
    <w:rsid w:val="00D611BE"/>
    <w:rsid w:val="00D6150F"/>
    <w:rsid w:val="00D6169A"/>
    <w:rsid w:val="00D61920"/>
    <w:rsid w:val="00D61AF7"/>
    <w:rsid w:val="00D622F5"/>
    <w:rsid w:val="00D63068"/>
    <w:rsid w:val="00D63E89"/>
    <w:rsid w:val="00D65581"/>
    <w:rsid w:val="00D65B41"/>
    <w:rsid w:val="00D65E28"/>
    <w:rsid w:val="00D65F01"/>
    <w:rsid w:val="00D65F3C"/>
    <w:rsid w:val="00D65FD3"/>
    <w:rsid w:val="00D66063"/>
    <w:rsid w:val="00D664F1"/>
    <w:rsid w:val="00D66870"/>
    <w:rsid w:val="00D66CCC"/>
    <w:rsid w:val="00D67487"/>
    <w:rsid w:val="00D67893"/>
    <w:rsid w:val="00D67AC0"/>
    <w:rsid w:val="00D7006F"/>
    <w:rsid w:val="00D70074"/>
    <w:rsid w:val="00D70310"/>
    <w:rsid w:val="00D7037F"/>
    <w:rsid w:val="00D70514"/>
    <w:rsid w:val="00D7147D"/>
    <w:rsid w:val="00D7215B"/>
    <w:rsid w:val="00D72A3A"/>
    <w:rsid w:val="00D738D0"/>
    <w:rsid w:val="00D73EB0"/>
    <w:rsid w:val="00D7467E"/>
    <w:rsid w:val="00D74A90"/>
    <w:rsid w:val="00D74B84"/>
    <w:rsid w:val="00D756A5"/>
    <w:rsid w:val="00D759EF"/>
    <w:rsid w:val="00D75B1D"/>
    <w:rsid w:val="00D75C73"/>
    <w:rsid w:val="00D75D6C"/>
    <w:rsid w:val="00D77608"/>
    <w:rsid w:val="00D77ABE"/>
    <w:rsid w:val="00D77B6D"/>
    <w:rsid w:val="00D8010E"/>
    <w:rsid w:val="00D803E7"/>
    <w:rsid w:val="00D80668"/>
    <w:rsid w:val="00D80705"/>
    <w:rsid w:val="00D8081D"/>
    <w:rsid w:val="00D80C07"/>
    <w:rsid w:val="00D80CF6"/>
    <w:rsid w:val="00D812CA"/>
    <w:rsid w:val="00D81390"/>
    <w:rsid w:val="00D8181B"/>
    <w:rsid w:val="00D81BBE"/>
    <w:rsid w:val="00D81CE7"/>
    <w:rsid w:val="00D825FA"/>
    <w:rsid w:val="00D826DE"/>
    <w:rsid w:val="00D829F2"/>
    <w:rsid w:val="00D83180"/>
    <w:rsid w:val="00D834B5"/>
    <w:rsid w:val="00D83961"/>
    <w:rsid w:val="00D843FB"/>
    <w:rsid w:val="00D8447B"/>
    <w:rsid w:val="00D8483C"/>
    <w:rsid w:val="00D85567"/>
    <w:rsid w:val="00D856D0"/>
    <w:rsid w:val="00D85782"/>
    <w:rsid w:val="00D860B6"/>
    <w:rsid w:val="00D8680C"/>
    <w:rsid w:val="00D86D4B"/>
    <w:rsid w:val="00D873AC"/>
    <w:rsid w:val="00D8790A"/>
    <w:rsid w:val="00D87B31"/>
    <w:rsid w:val="00D90250"/>
    <w:rsid w:val="00D90543"/>
    <w:rsid w:val="00D90696"/>
    <w:rsid w:val="00D906F1"/>
    <w:rsid w:val="00D907F0"/>
    <w:rsid w:val="00D908EB"/>
    <w:rsid w:val="00D91294"/>
    <w:rsid w:val="00D9156C"/>
    <w:rsid w:val="00D91BE9"/>
    <w:rsid w:val="00D92E30"/>
    <w:rsid w:val="00D957E3"/>
    <w:rsid w:val="00D95ABF"/>
    <w:rsid w:val="00D95D1C"/>
    <w:rsid w:val="00D963DE"/>
    <w:rsid w:val="00D9643F"/>
    <w:rsid w:val="00D96D4E"/>
    <w:rsid w:val="00D96E85"/>
    <w:rsid w:val="00D97F5F"/>
    <w:rsid w:val="00DA0A33"/>
    <w:rsid w:val="00DA154D"/>
    <w:rsid w:val="00DA1798"/>
    <w:rsid w:val="00DA1AA0"/>
    <w:rsid w:val="00DA1E6D"/>
    <w:rsid w:val="00DA2737"/>
    <w:rsid w:val="00DA28E0"/>
    <w:rsid w:val="00DA2BE2"/>
    <w:rsid w:val="00DA3022"/>
    <w:rsid w:val="00DA3801"/>
    <w:rsid w:val="00DA397A"/>
    <w:rsid w:val="00DA3A10"/>
    <w:rsid w:val="00DA406A"/>
    <w:rsid w:val="00DA4237"/>
    <w:rsid w:val="00DA4702"/>
    <w:rsid w:val="00DA4845"/>
    <w:rsid w:val="00DA4B79"/>
    <w:rsid w:val="00DA4DEC"/>
    <w:rsid w:val="00DA5A91"/>
    <w:rsid w:val="00DA5F56"/>
    <w:rsid w:val="00DA6110"/>
    <w:rsid w:val="00DA6195"/>
    <w:rsid w:val="00DA6923"/>
    <w:rsid w:val="00DA7445"/>
    <w:rsid w:val="00DA7656"/>
    <w:rsid w:val="00DA7C59"/>
    <w:rsid w:val="00DA7F2D"/>
    <w:rsid w:val="00DA7F48"/>
    <w:rsid w:val="00DB014B"/>
    <w:rsid w:val="00DB0272"/>
    <w:rsid w:val="00DB079E"/>
    <w:rsid w:val="00DB0FB5"/>
    <w:rsid w:val="00DB1560"/>
    <w:rsid w:val="00DB1D04"/>
    <w:rsid w:val="00DB2144"/>
    <w:rsid w:val="00DB277C"/>
    <w:rsid w:val="00DB29CD"/>
    <w:rsid w:val="00DB2DC8"/>
    <w:rsid w:val="00DB3031"/>
    <w:rsid w:val="00DB441A"/>
    <w:rsid w:val="00DB461B"/>
    <w:rsid w:val="00DB5344"/>
    <w:rsid w:val="00DB5698"/>
    <w:rsid w:val="00DB5BDF"/>
    <w:rsid w:val="00DB6578"/>
    <w:rsid w:val="00DB66C2"/>
    <w:rsid w:val="00DB6869"/>
    <w:rsid w:val="00DB6FEB"/>
    <w:rsid w:val="00DB7026"/>
    <w:rsid w:val="00DB7536"/>
    <w:rsid w:val="00DB75DF"/>
    <w:rsid w:val="00DC030C"/>
    <w:rsid w:val="00DC05F2"/>
    <w:rsid w:val="00DC1843"/>
    <w:rsid w:val="00DC1BB6"/>
    <w:rsid w:val="00DC1DC5"/>
    <w:rsid w:val="00DC25BB"/>
    <w:rsid w:val="00DC2DFB"/>
    <w:rsid w:val="00DC3569"/>
    <w:rsid w:val="00DC3613"/>
    <w:rsid w:val="00DC3A14"/>
    <w:rsid w:val="00DC3BA7"/>
    <w:rsid w:val="00DC3BF8"/>
    <w:rsid w:val="00DC403B"/>
    <w:rsid w:val="00DC49E6"/>
    <w:rsid w:val="00DC4E40"/>
    <w:rsid w:val="00DC4EBE"/>
    <w:rsid w:val="00DC4FBB"/>
    <w:rsid w:val="00DC5C6E"/>
    <w:rsid w:val="00DC5F54"/>
    <w:rsid w:val="00DD02EA"/>
    <w:rsid w:val="00DD0DE1"/>
    <w:rsid w:val="00DD1138"/>
    <w:rsid w:val="00DD189A"/>
    <w:rsid w:val="00DD1A83"/>
    <w:rsid w:val="00DD2495"/>
    <w:rsid w:val="00DD2B3C"/>
    <w:rsid w:val="00DD2E8D"/>
    <w:rsid w:val="00DD370D"/>
    <w:rsid w:val="00DD43C2"/>
    <w:rsid w:val="00DD460E"/>
    <w:rsid w:val="00DD475A"/>
    <w:rsid w:val="00DD515A"/>
    <w:rsid w:val="00DD5177"/>
    <w:rsid w:val="00DD588B"/>
    <w:rsid w:val="00DD5E02"/>
    <w:rsid w:val="00DD5E24"/>
    <w:rsid w:val="00DD64FA"/>
    <w:rsid w:val="00DD65ED"/>
    <w:rsid w:val="00DD71BD"/>
    <w:rsid w:val="00DD767E"/>
    <w:rsid w:val="00DD78EF"/>
    <w:rsid w:val="00DD7A63"/>
    <w:rsid w:val="00DE041F"/>
    <w:rsid w:val="00DE117A"/>
    <w:rsid w:val="00DE133F"/>
    <w:rsid w:val="00DE1569"/>
    <w:rsid w:val="00DE1954"/>
    <w:rsid w:val="00DE1B48"/>
    <w:rsid w:val="00DE1D59"/>
    <w:rsid w:val="00DE1E5B"/>
    <w:rsid w:val="00DE215A"/>
    <w:rsid w:val="00DE25DD"/>
    <w:rsid w:val="00DE2E5C"/>
    <w:rsid w:val="00DE331D"/>
    <w:rsid w:val="00DE3839"/>
    <w:rsid w:val="00DE3B57"/>
    <w:rsid w:val="00DE3B94"/>
    <w:rsid w:val="00DE3CD7"/>
    <w:rsid w:val="00DE3DC9"/>
    <w:rsid w:val="00DE4557"/>
    <w:rsid w:val="00DE486A"/>
    <w:rsid w:val="00DE4D10"/>
    <w:rsid w:val="00DE547C"/>
    <w:rsid w:val="00DE5E39"/>
    <w:rsid w:val="00DE6556"/>
    <w:rsid w:val="00DE66FB"/>
    <w:rsid w:val="00DE6B76"/>
    <w:rsid w:val="00DE756D"/>
    <w:rsid w:val="00DE7C96"/>
    <w:rsid w:val="00DE7E38"/>
    <w:rsid w:val="00DE7F68"/>
    <w:rsid w:val="00DF03F9"/>
    <w:rsid w:val="00DF085F"/>
    <w:rsid w:val="00DF0866"/>
    <w:rsid w:val="00DF113C"/>
    <w:rsid w:val="00DF19FC"/>
    <w:rsid w:val="00DF1CD7"/>
    <w:rsid w:val="00DF1F5E"/>
    <w:rsid w:val="00DF28D2"/>
    <w:rsid w:val="00DF3131"/>
    <w:rsid w:val="00DF38B0"/>
    <w:rsid w:val="00DF4019"/>
    <w:rsid w:val="00DF4142"/>
    <w:rsid w:val="00DF50E7"/>
    <w:rsid w:val="00DF51A7"/>
    <w:rsid w:val="00DF5DD2"/>
    <w:rsid w:val="00DF607F"/>
    <w:rsid w:val="00DF6C1C"/>
    <w:rsid w:val="00DF6C94"/>
    <w:rsid w:val="00DF6CDF"/>
    <w:rsid w:val="00DF714E"/>
    <w:rsid w:val="00E00939"/>
    <w:rsid w:val="00E00EAC"/>
    <w:rsid w:val="00E01013"/>
    <w:rsid w:val="00E01021"/>
    <w:rsid w:val="00E0129C"/>
    <w:rsid w:val="00E018DF"/>
    <w:rsid w:val="00E01AAB"/>
    <w:rsid w:val="00E01D38"/>
    <w:rsid w:val="00E01EE8"/>
    <w:rsid w:val="00E0271C"/>
    <w:rsid w:val="00E02853"/>
    <w:rsid w:val="00E02DF2"/>
    <w:rsid w:val="00E02FBF"/>
    <w:rsid w:val="00E0302A"/>
    <w:rsid w:val="00E030E2"/>
    <w:rsid w:val="00E030EB"/>
    <w:rsid w:val="00E034AE"/>
    <w:rsid w:val="00E03712"/>
    <w:rsid w:val="00E04175"/>
    <w:rsid w:val="00E042A9"/>
    <w:rsid w:val="00E04456"/>
    <w:rsid w:val="00E053CB"/>
    <w:rsid w:val="00E0544D"/>
    <w:rsid w:val="00E057B6"/>
    <w:rsid w:val="00E0588E"/>
    <w:rsid w:val="00E066E0"/>
    <w:rsid w:val="00E06AF3"/>
    <w:rsid w:val="00E07A80"/>
    <w:rsid w:val="00E104B9"/>
    <w:rsid w:val="00E10A4C"/>
    <w:rsid w:val="00E10B51"/>
    <w:rsid w:val="00E10B5E"/>
    <w:rsid w:val="00E10FD6"/>
    <w:rsid w:val="00E110BB"/>
    <w:rsid w:val="00E11F77"/>
    <w:rsid w:val="00E1238A"/>
    <w:rsid w:val="00E124F1"/>
    <w:rsid w:val="00E12606"/>
    <w:rsid w:val="00E12609"/>
    <w:rsid w:val="00E12771"/>
    <w:rsid w:val="00E1514E"/>
    <w:rsid w:val="00E1541C"/>
    <w:rsid w:val="00E15692"/>
    <w:rsid w:val="00E15C65"/>
    <w:rsid w:val="00E15D06"/>
    <w:rsid w:val="00E15E05"/>
    <w:rsid w:val="00E15E38"/>
    <w:rsid w:val="00E16052"/>
    <w:rsid w:val="00E1655E"/>
    <w:rsid w:val="00E1694C"/>
    <w:rsid w:val="00E16A19"/>
    <w:rsid w:val="00E16D16"/>
    <w:rsid w:val="00E17BB0"/>
    <w:rsid w:val="00E206B6"/>
    <w:rsid w:val="00E20835"/>
    <w:rsid w:val="00E20C81"/>
    <w:rsid w:val="00E20FAF"/>
    <w:rsid w:val="00E212BA"/>
    <w:rsid w:val="00E2167E"/>
    <w:rsid w:val="00E2265C"/>
    <w:rsid w:val="00E226F0"/>
    <w:rsid w:val="00E23102"/>
    <w:rsid w:val="00E235E7"/>
    <w:rsid w:val="00E23A4A"/>
    <w:rsid w:val="00E246E7"/>
    <w:rsid w:val="00E2481E"/>
    <w:rsid w:val="00E24C30"/>
    <w:rsid w:val="00E24E9F"/>
    <w:rsid w:val="00E24F86"/>
    <w:rsid w:val="00E25D0A"/>
    <w:rsid w:val="00E25F68"/>
    <w:rsid w:val="00E25FCD"/>
    <w:rsid w:val="00E2602D"/>
    <w:rsid w:val="00E263CC"/>
    <w:rsid w:val="00E2640C"/>
    <w:rsid w:val="00E26809"/>
    <w:rsid w:val="00E26DC7"/>
    <w:rsid w:val="00E26EF5"/>
    <w:rsid w:val="00E273BF"/>
    <w:rsid w:val="00E279DF"/>
    <w:rsid w:val="00E27EDC"/>
    <w:rsid w:val="00E302CD"/>
    <w:rsid w:val="00E302F7"/>
    <w:rsid w:val="00E30A88"/>
    <w:rsid w:val="00E30C58"/>
    <w:rsid w:val="00E32089"/>
    <w:rsid w:val="00E322B8"/>
    <w:rsid w:val="00E3232D"/>
    <w:rsid w:val="00E32665"/>
    <w:rsid w:val="00E326FB"/>
    <w:rsid w:val="00E332B1"/>
    <w:rsid w:val="00E33A5B"/>
    <w:rsid w:val="00E33DD9"/>
    <w:rsid w:val="00E33F0D"/>
    <w:rsid w:val="00E33FED"/>
    <w:rsid w:val="00E33FFD"/>
    <w:rsid w:val="00E346C9"/>
    <w:rsid w:val="00E34F74"/>
    <w:rsid w:val="00E3519D"/>
    <w:rsid w:val="00E352EA"/>
    <w:rsid w:val="00E35539"/>
    <w:rsid w:val="00E358B6"/>
    <w:rsid w:val="00E35A9F"/>
    <w:rsid w:val="00E3665B"/>
    <w:rsid w:val="00E366EF"/>
    <w:rsid w:val="00E36700"/>
    <w:rsid w:val="00E3689D"/>
    <w:rsid w:val="00E40214"/>
    <w:rsid w:val="00E40653"/>
    <w:rsid w:val="00E4068C"/>
    <w:rsid w:val="00E40AC4"/>
    <w:rsid w:val="00E4104E"/>
    <w:rsid w:val="00E410C4"/>
    <w:rsid w:val="00E413D5"/>
    <w:rsid w:val="00E4156E"/>
    <w:rsid w:val="00E41BF1"/>
    <w:rsid w:val="00E4236E"/>
    <w:rsid w:val="00E4250A"/>
    <w:rsid w:val="00E42947"/>
    <w:rsid w:val="00E42993"/>
    <w:rsid w:val="00E42BBF"/>
    <w:rsid w:val="00E42DB6"/>
    <w:rsid w:val="00E42DDA"/>
    <w:rsid w:val="00E4320A"/>
    <w:rsid w:val="00E433D1"/>
    <w:rsid w:val="00E433FF"/>
    <w:rsid w:val="00E43F10"/>
    <w:rsid w:val="00E44904"/>
    <w:rsid w:val="00E44FD8"/>
    <w:rsid w:val="00E45BCC"/>
    <w:rsid w:val="00E45E62"/>
    <w:rsid w:val="00E46017"/>
    <w:rsid w:val="00E47194"/>
    <w:rsid w:val="00E4721B"/>
    <w:rsid w:val="00E47D41"/>
    <w:rsid w:val="00E47FFD"/>
    <w:rsid w:val="00E500A3"/>
    <w:rsid w:val="00E50193"/>
    <w:rsid w:val="00E50403"/>
    <w:rsid w:val="00E50600"/>
    <w:rsid w:val="00E5076D"/>
    <w:rsid w:val="00E508B2"/>
    <w:rsid w:val="00E5091A"/>
    <w:rsid w:val="00E510B9"/>
    <w:rsid w:val="00E51B30"/>
    <w:rsid w:val="00E52A9C"/>
    <w:rsid w:val="00E52EB6"/>
    <w:rsid w:val="00E537DF"/>
    <w:rsid w:val="00E54144"/>
    <w:rsid w:val="00E547BE"/>
    <w:rsid w:val="00E54DCC"/>
    <w:rsid w:val="00E55337"/>
    <w:rsid w:val="00E5567B"/>
    <w:rsid w:val="00E557FE"/>
    <w:rsid w:val="00E559A7"/>
    <w:rsid w:val="00E55A85"/>
    <w:rsid w:val="00E55CA1"/>
    <w:rsid w:val="00E56204"/>
    <w:rsid w:val="00E5662F"/>
    <w:rsid w:val="00E57265"/>
    <w:rsid w:val="00E57F6C"/>
    <w:rsid w:val="00E609B8"/>
    <w:rsid w:val="00E60CD6"/>
    <w:rsid w:val="00E61002"/>
    <w:rsid w:val="00E6142F"/>
    <w:rsid w:val="00E61E90"/>
    <w:rsid w:val="00E62489"/>
    <w:rsid w:val="00E62AF5"/>
    <w:rsid w:val="00E62C05"/>
    <w:rsid w:val="00E6343A"/>
    <w:rsid w:val="00E63C74"/>
    <w:rsid w:val="00E641A4"/>
    <w:rsid w:val="00E6496F"/>
    <w:rsid w:val="00E64C3D"/>
    <w:rsid w:val="00E64F4F"/>
    <w:rsid w:val="00E65561"/>
    <w:rsid w:val="00E655BA"/>
    <w:rsid w:val="00E65E9A"/>
    <w:rsid w:val="00E660AE"/>
    <w:rsid w:val="00E66673"/>
    <w:rsid w:val="00E66917"/>
    <w:rsid w:val="00E673C1"/>
    <w:rsid w:val="00E701CD"/>
    <w:rsid w:val="00E70230"/>
    <w:rsid w:val="00E705BC"/>
    <w:rsid w:val="00E70D62"/>
    <w:rsid w:val="00E71132"/>
    <w:rsid w:val="00E7113C"/>
    <w:rsid w:val="00E715A1"/>
    <w:rsid w:val="00E71759"/>
    <w:rsid w:val="00E7182D"/>
    <w:rsid w:val="00E7195D"/>
    <w:rsid w:val="00E71F8D"/>
    <w:rsid w:val="00E72064"/>
    <w:rsid w:val="00E7220A"/>
    <w:rsid w:val="00E7279D"/>
    <w:rsid w:val="00E72ACB"/>
    <w:rsid w:val="00E73015"/>
    <w:rsid w:val="00E731AF"/>
    <w:rsid w:val="00E7335D"/>
    <w:rsid w:val="00E7363B"/>
    <w:rsid w:val="00E73728"/>
    <w:rsid w:val="00E73D42"/>
    <w:rsid w:val="00E73E16"/>
    <w:rsid w:val="00E74037"/>
    <w:rsid w:val="00E74A04"/>
    <w:rsid w:val="00E74C74"/>
    <w:rsid w:val="00E74DD3"/>
    <w:rsid w:val="00E75145"/>
    <w:rsid w:val="00E75EEB"/>
    <w:rsid w:val="00E76320"/>
    <w:rsid w:val="00E7671A"/>
    <w:rsid w:val="00E76A2E"/>
    <w:rsid w:val="00E76BD3"/>
    <w:rsid w:val="00E773E4"/>
    <w:rsid w:val="00E7766E"/>
    <w:rsid w:val="00E77E80"/>
    <w:rsid w:val="00E80E28"/>
    <w:rsid w:val="00E81216"/>
    <w:rsid w:val="00E813E3"/>
    <w:rsid w:val="00E81753"/>
    <w:rsid w:val="00E818E3"/>
    <w:rsid w:val="00E81C8F"/>
    <w:rsid w:val="00E8201E"/>
    <w:rsid w:val="00E82636"/>
    <w:rsid w:val="00E82637"/>
    <w:rsid w:val="00E83889"/>
    <w:rsid w:val="00E83F64"/>
    <w:rsid w:val="00E841E1"/>
    <w:rsid w:val="00E84347"/>
    <w:rsid w:val="00E84879"/>
    <w:rsid w:val="00E84B34"/>
    <w:rsid w:val="00E84B66"/>
    <w:rsid w:val="00E84D82"/>
    <w:rsid w:val="00E850DD"/>
    <w:rsid w:val="00E85356"/>
    <w:rsid w:val="00E85AE4"/>
    <w:rsid w:val="00E85C71"/>
    <w:rsid w:val="00E85DF0"/>
    <w:rsid w:val="00E86058"/>
    <w:rsid w:val="00E86418"/>
    <w:rsid w:val="00E86889"/>
    <w:rsid w:val="00E86892"/>
    <w:rsid w:val="00E869DA"/>
    <w:rsid w:val="00E86F12"/>
    <w:rsid w:val="00E87614"/>
    <w:rsid w:val="00E87A97"/>
    <w:rsid w:val="00E9031E"/>
    <w:rsid w:val="00E90690"/>
    <w:rsid w:val="00E90888"/>
    <w:rsid w:val="00E90CAF"/>
    <w:rsid w:val="00E9109C"/>
    <w:rsid w:val="00E916BE"/>
    <w:rsid w:val="00E91710"/>
    <w:rsid w:val="00E9370B"/>
    <w:rsid w:val="00E944E9"/>
    <w:rsid w:val="00E94645"/>
    <w:rsid w:val="00E946CA"/>
    <w:rsid w:val="00E952E1"/>
    <w:rsid w:val="00E964B6"/>
    <w:rsid w:val="00E96744"/>
    <w:rsid w:val="00E96936"/>
    <w:rsid w:val="00E97348"/>
    <w:rsid w:val="00E97CBC"/>
    <w:rsid w:val="00E97F2E"/>
    <w:rsid w:val="00EA016B"/>
    <w:rsid w:val="00EA1B8D"/>
    <w:rsid w:val="00EA1DC9"/>
    <w:rsid w:val="00EA21B2"/>
    <w:rsid w:val="00EA2D3B"/>
    <w:rsid w:val="00EA32C8"/>
    <w:rsid w:val="00EA3331"/>
    <w:rsid w:val="00EA3423"/>
    <w:rsid w:val="00EA3754"/>
    <w:rsid w:val="00EA3B9C"/>
    <w:rsid w:val="00EA3E23"/>
    <w:rsid w:val="00EA5917"/>
    <w:rsid w:val="00EA5D05"/>
    <w:rsid w:val="00EA691D"/>
    <w:rsid w:val="00EA6D58"/>
    <w:rsid w:val="00EA7E74"/>
    <w:rsid w:val="00EA7F77"/>
    <w:rsid w:val="00EB01BE"/>
    <w:rsid w:val="00EB0384"/>
    <w:rsid w:val="00EB0C4E"/>
    <w:rsid w:val="00EB0D84"/>
    <w:rsid w:val="00EB1465"/>
    <w:rsid w:val="00EB18F1"/>
    <w:rsid w:val="00EB1C68"/>
    <w:rsid w:val="00EB22C2"/>
    <w:rsid w:val="00EB2769"/>
    <w:rsid w:val="00EB28D0"/>
    <w:rsid w:val="00EB38F3"/>
    <w:rsid w:val="00EB3B89"/>
    <w:rsid w:val="00EB4F0E"/>
    <w:rsid w:val="00EB5293"/>
    <w:rsid w:val="00EB58E8"/>
    <w:rsid w:val="00EB5EF9"/>
    <w:rsid w:val="00EB68AB"/>
    <w:rsid w:val="00EB6E05"/>
    <w:rsid w:val="00EB7052"/>
    <w:rsid w:val="00EB79A7"/>
    <w:rsid w:val="00EB7B7B"/>
    <w:rsid w:val="00EC00B5"/>
    <w:rsid w:val="00EC0A3B"/>
    <w:rsid w:val="00EC12F6"/>
    <w:rsid w:val="00EC1463"/>
    <w:rsid w:val="00EC1D05"/>
    <w:rsid w:val="00EC1EE6"/>
    <w:rsid w:val="00EC3891"/>
    <w:rsid w:val="00EC3C82"/>
    <w:rsid w:val="00EC3E8C"/>
    <w:rsid w:val="00EC43CC"/>
    <w:rsid w:val="00EC4597"/>
    <w:rsid w:val="00EC487C"/>
    <w:rsid w:val="00EC52BA"/>
    <w:rsid w:val="00EC54F6"/>
    <w:rsid w:val="00EC5A06"/>
    <w:rsid w:val="00EC63A7"/>
    <w:rsid w:val="00EC6404"/>
    <w:rsid w:val="00EC6BD9"/>
    <w:rsid w:val="00ED19BC"/>
    <w:rsid w:val="00ED1A87"/>
    <w:rsid w:val="00ED2398"/>
    <w:rsid w:val="00ED2BAD"/>
    <w:rsid w:val="00ED4363"/>
    <w:rsid w:val="00ED48B4"/>
    <w:rsid w:val="00ED5D2F"/>
    <w:rsid w:val="00ED6296"/>
    <w:rsid w:val="00ED63FC"/>
    <w:rsid w:val="00ED6775"/>
    <w:rsid w:val="00ED67B4"/>
    <w:rsid w:val="00ED684F"/>
    <w:rsid w:val="00ED6E5D"/>
    <w:rsid w:val="00ED7EEB"/>
    <w:rsid w:val="00EE02E2"/>
    <w:rsid w:val="00EE09C0"/>
    <w:rsid w:val="00EE150E"/>
    <w:rsid w:val="00EE22A5"/>
    <w:rsid w:val="00EE2AA5"/>
    <w:rsid w:val="00EE4416"/>
    <w:rsid w:val="00EE55FD"/>
    <w:rsid w:val="00EE5D50"/>
    <w:rsid w:val="00EE6F4C"/>
    <w:rsid w:val="00EE6FF9"/>
    <w:rsid w:val="00EE73B1"/>
    <w:rsid w:val="00EE73DB"/>
    <w:rsid w:val="00EE74EF"/>
    <w:rsid w:val="00EE7639"/>
    <w:rsid w:val="00EE7AA5"/>
    <w:rsid w:val="00EE7C72"/>
    <w:rsid w:val="00EF0255"/>
    <w:rsid w:val="00EF16F7"/>
    <w:rsid w:val="00EF1BE3"/>
    <w:rsid w:val="00EF27FE"/>
    <w:rsid w:val="00EF2AF4"/>
    <w:rsid w:val="00EF35D2"/>
    <w:rsid w:val="00EF3E44"/>
    <w:rsid w:val="00EF4F15"/>
    <w:rsid w:val="00EF5001"/>
    <w:rsid w:val="00EF5A08"/>
    <w:rsid w:val="00EF5B35"/>
    <w:rsid w:val="00EF5E99"/>
    <w:rsid w:val="00EF5EB1"/>
    <w:rsid w:val="00EF63E1"/>
    <w:rsid w:val="00EF64D5"/>
    <w:rsid w:val="00EF65E8"/>
    <w:rsid w:val="00EF742C"/>
    <w:rsid w:val="00EF7451"/>
    <w:rsid w:val="00EF7E74"/>
    <w:rsid w:val="00F00671"/>
    <w:rsid w:val="00F008EF"/>
    <w:rsid w:val="00F00905"/>
    <w:rsid w:val="00F00D71"/>
    <w:rsid w:val="00F00E0E"/>
    <w:rsid w:val="00F00EA1"/>
    <w:rsid w:val="00F01128"/>
    <w:rsid w:val="00F0151B"/>
    <w:rsid w:val="00F01A3C"/>
    <w:rsid w:val="00F01B73"/>
    <w:rsid w:val="00F02102"/>
    <w:rsid w:val="00F0230D"/>
    <w:rsid w:val="00F0295E"/>
    <w:rsid w:val="00F0363B"/>
    <w:rsid w:val="00F036AB"/>
    <w:rsid w:val="00F03708"/>
    <w:rsid w:val="00F038A8"/>
    <w:rsid w:val="00F03E18"/>
    <w:rsid w:val="00F03FF0"/>
    <w:rsid w:val="00F04003"/>
    <w:rsid w:val="00F0402F"/>
    <w:rsid w:val="00F0484B"/>
    <w:rsid w:val="00F04ACA"/>
    <w:rsid w:val="00F04F06"/>
    <w:rsid w:val="00F05A0F"/>
    <w:rsid w:val="00F05F3A"/>
    <w:rsid w:val="00F05FC7"/>
    <w:rsid w:val="00F0622D"/>
    <w:rsid w:val="00F06426"/>
    <w:rsid w:val="00F06D97"/>
    <w:rsid w:val="00F0729A"/>
    <w:rsid w:val="00F07992"/>
    <w:rsid w:val="00F104EF"/>
    <w:rsid w:val="00F1080D"/>
    <w:rsid w:val="00F11163"/>
    <w:rsid w:val="00F11741"/>
    <w:rsid w:val="00F11F02"/>
    <w:rsid w:val="00F12206"/>
    <w:rsid w:val="00F12755"/>
    <w:rsid w:val="00F12898"/>
    <w:rsid w:val="00F13A2A"/>
    <w:rsid w:val="00F13C1D"/>
    <w:rsid w:val="00F13FA9"/>
    <w:rsid w:val="00F13FED"/>
    <w:rsid w:val="00F1418C"/>
    <w:rsid w:val="00F14564"/>
    <w:rsid w:val="00F1491C"/>
    <w:rsid w:val="00F155A2"/>
    <w:rsid w:val="00F15682"/>
    <w:rsid w:val="00F15A5D"/>
    <w:rsid w:val="00F15C64"/>
    <w:rsid w:val="00F1646A"/>
    <w:rsid w:val="00F16C47"/>
    <w:rsid w:val="00F175D1"/>
    <w:rsid w:val="00F17762"/>
    <w:rsid w:val="00F17F8F"/>
    <w:rsid w:val="00F201FE"/>
    <w:rsid w:val="00F21037"/>
    <w:rsid w:val="00F21194"/>
    <w:rsid w:val="00F21457"/>
    <w:rsid w:val="00F21548"/>
    <w:rsid w:val="00F2230B"/>
    <w:rsid w:val="00F2241F"/>
    <w:rsid w:val="00F22588"/>
    <w:rsid w:val="00F22A77"/>
    <w:rsid w:val="00F23201"/>
    <w:rsid w:val="00F2409B"/>
    <w:rsid w:val="00F248B9"/>
    <w:rsid w:val="00F24B45"/>
    <w:rsid w:val="00F25299"/>
    <w:rsid w:val="00F252D6"/>
    <w:rsid w:val="00F25402"/>
    <w:rsid w:val="00F25BCE"/>
    <w:rsid w:val="00F26280"/>
    <w:rsid w:val="00F26E57"/>
    <w:rsid w:val="00F26F6D"/>
    <w:rsid w:val="00F279A3"/>
    <w:rsid w:val="00F27CFA"/>
    <w:rsid w:val="00F27FF7"/>
    <w:rsid w:val="00F30272"/>
    <w:rsid w:val="00F307A1"/>
    <w:rsid w:val="00F3102F"/>
    <w:rsid w:val="00F31786"/>
    <w:rsid w:val="00F317DC"/>
    <w:rsid w:val="00F31EB3"/>
    <w:rsid w:val="00F31ECE"/>
    <w:rsid w:val="00F32F0C"/>
    <w:rsid w:val="00F33693"/>
    <w:rsid w:val="00F3390B"/>
    <w:rsid w:val="00F33B1D"/>
    <w:rsid w:val="00F33FC7"/>
    <w:rsid w:val="00F34356"/>
    <w:rsid w:val="00F34528"/>
    <w:rsid w:val="00F34DA8"/>
    <w:rsid w:val="00F35191"/>
    <w:rsid w:val="00F358D5"/>
    <w:rsid w:val="00F3591E"/>
    <w:rsid w:val="00F3597A"/>
    <w:rsid w:val="00F35A14"/>
    <w:rsid w:val="00F36223"/>
    <w:rsid w:val="00F36564"/>
    <w:rsid w:val="00F36960"/>
    <w:rsid w:val="00F37105"/>
    <w:rsid w:val="00F373AB"/>
    <w:rsid w:val="00F377A9"/>
    <w:rsid w:val="00F37A59"/>
    <w:rsid w:val="00F37D55"/>
    <w:rsid w:val="00F4082C"/>
    <w:rsid w:val="00F41317"/>
    <w:rsid w:val="00F416F3"/>
    <w:rsid w:val="00F417A6"/>
    <w:rsid w:val="00F41941"/>
    <w:rsid w:val="00F41BEF"/>
    <w:rsid w:val="00F42672"/>
    <w:rsid w:val="00F427EA"/>
    <w:rsid w:val="00F42C8C"/>
    <w:rsid w:val="00F431FB"/>
    <w:rsid w:val="00F43272"/>
    <w:rsid w:val="00F450A3"/>
    <w:rsid w:val="00F45156"/>
    <w:rsid w:val="00F453E2"/>
    <w:rsid w:val="00F4553C"/>
    <w:rsid w:val="00F459E9"/>
    <w:rsid w:val="00F4604F"/>
    <w:rsid w:val="00F464FD"/>
    <w:rsid w:val="00F469B0"/>
    <w:rsid w:val="00F474AA"/>
    <w:rsid w:val="00F47A49"/>
    <w:rsid w:val="00F47AD3"/>
    <w:rsid w:val="00F47CD5"/>
    <w:rsid w:val="00F502E9"/>
    <w:rsid w:val="00F504B4"/>
    <w:rsid w:val="00F508B3"/>
    <w:rsid w:val="00F50E7C"/>
    <w:rsid w:val="00F519D7"/>
    <w:rsid w:val="00F51A0B"/>
    <w:rsid w:val="00F51B4B"/>
    <w:rsid w:val="00F524D9"/>
    <w:rsid w:val="00F526E9"/>
    <w:rsid w:val="00F52B68"/>
    <w:rsid w:val="00F52BD5"/>
    <w:rsid w:val="00F539C5"/>
    <w:rsid w:val="00F53D12"/>
    <w:rsid w:val="00F544E4"/>
    <w:rsid w:val="00F5450D"/>
    <w:rsid w:val="00F54557"/>
    <w:rsid w:val="00F54AD5"/>
    <w:rsid w:val="00F54B6C"/>
    <w:rsid w:val="00F550B7"/>
    <w:rsid w:val="00F553A5"/>
    <w:rsid w:val="00F554D0"/>
    <w:rsid w:val="00F556EA"/>
    <w:rsid w:val="00F55B08"/>
    <w:rsid w:val="00F55CFB"/>
    <w:rsid w:val="00F560FC"/>
    <w:rsid w:val="00F56532"/>
    <w:rsid w:val="00F5676D"/>
    <w:rsid w:val="00F56806"/>
    <w:rsid w:val="00F57E88"/>
    <w:rsid w:val="00F602B0"/>
    <w:rsid w:val="00F60318"/>
    <w:rsid w:val="00F603E6"/>
    <w:rsid w:val="00F6060A"/>
    <w:rsid w:val="00F6083D"/>
    <w:rsid w:val="00F60A0B"/>
    <w:rsid w:val="00F60B4E"/>
    <w:rsid w:val="00F61207"/>
    <w:rsid w:val="00F61471"/>
    <w:rsid w:val="00F61578"/>
    <w:rsid w:val="00F615B0"/>
    <w:rsid w:val="00F62EF4"/>
    <w:rsid w:val="00F635BB"/>
    <w:rsid w:val="00F635D9"/>
    <w:rsid w:val="00F63A4C"/>
    <w:rsid w:val="00F63F9D"/>
    <w:rsid w:val="00F642B6"/>
    <w:rsid w:val="00F654AB"/>
    <w:rsid w:val="00F65A64"/>
    <w:rsid w:val="00F65C3A"/>
    <w:rsid w:val="00F65FB4"/>
    <w:rsid w:val="00F66022"/>
    <w:rsid w:val="00F66030"/>
    <w:rsid w:val="00F66CAD"/>
    <w:rsid w:val="00F66CB3"/>
    <w:rsid w:val="00F66D5C"/>
    <w:rsid w:val="00F66F63"/>
    <w:rsid w:val="00F672FF"/>
    <w:rsid w:val="00F6753D"/>
    <w:rsid w:val="00F67BF4"/>
    <w:rsid w:val="00F70ED1"/>
    <w:rsid w:val="00F713D2"/>
    <w:rsid w:val="00F722D8"/>
    <w:rsid w:val="00F72958"/>
    <w:rsid w:val="00F72B09"/>
    <w:rsid w:val="00F7351A"/>
    <w:rsid w:val="00F73944"/>
    <w:rsid w:val="00F73C26"/>
    <w:rsid w:val="00F73D4F"/>
    <w:rsid w:val="00F73E4F"/>
    <w:rsid w:val="00F740CD"/>
    <w:rsid w:val="00F74AE7"/>
    <w:rsid w:val="00F75141"/>
    <w:rsid w:val="00F759E0"/>
    <w:rsid w:val="00F75A5E"/>
    <w:rsid w:val="00F76075"/>
    <w:rsid w:val="00F766DE"/>
    <w:rsid w:val="00F768CD"/>
    <w:rsid w:val="00F768E6"/>
    <w:rsid w:val="00F771FB"/>
    <w:rsid w:val="00F7734C"/>
    <w:rsid w:val="00F77620"/>
    <w:rsid w:val="00F77AC5"/>
    <w:rsid w:val="00F77F3F"/>
    <w:rsid w:val="00F81627"/>
    <w:rsid w:val="00F81F9E"/>
    <w:rsid w:val="00F82659"/>
    <w:rsid w:val="00F82B5E"/>
    <w:rsid w:val="00F82C40"/>
    <w:rsid w:val="00F83410"/>
    <w:rsid w:val="00F836E4"/>
    <w:rsid w:val="00F83CE8"/>
    <w:rsid w:val="00F83D64"/>
    <w:rsid w:val="00F84554"/>
    <w:rsid w:val="00F847E8"/>
    <w:rsid w:val="00F849F7"/>
    <w:rsid w:val="00F84B8A"/>
    <w:rsid w:val="00F84C0C"/>
    <w:rsid w:val="00F84E3F"/>
    <w:rsid w:val="00F858AE"/>
    <w:rsid w:val="00F85985"/>
    <w:rsid w:val="00F85E8E"/>
    <w:rsid w:val="00F87988"/>
    <w:rsid w:val="00F879FA"/>
    <w:rsid w:val="00F879FB"/>
    <w:rsid w:val="00F87A01"/>
    <w:rsid w:val="00F87A46"/>
    <w:rsid w:val="00F87DF1"/>
    <w:rsid w:val="00F91104"/>
    <w:rsid w:val="00F912D8"/>
    <w:rsid w:val="00F91530"/>
    <w:rsid w:val="00F9173A"/>
    <w:rsid w:val="00F92407"/>
    <w:rsid w:val="00F93482"/>
    <w:rsid w:val="00F93571"/>
    <w:rsid w:val="00F939BD"/>
    <w:rsid w:val="00F93E72"/>
    <w:rsid w:val="00F94933"/>
    <w:rsid w:val="00F967BD"/>
    <w:rsid w:val="00F96CA1"/>
    <w:rsid w:val="00F9724B"/>
    <w:rsid w:val="00F97922"/>
    <w:rsid w:val="00F97B29"/>
    <w:rsid w:val="00F97EAA"/>
    <w:rsid w:val="00FA05AB"/>
    <w:rsid w:val="00FA0B14"/>
    <w:rsid w:val="00FA0E24"/>
    <w:rsid w:val="00FA1F1B"/>
    <w:rsid w:val="00FA1F49"/>
    <w:rsid w:val="00FA2192"/>
    <w:rsid w:val="00FA243A"/>
    <w:rsid w:val="00FA2ABF"/>
    <w:rsid w:val="00FA2B5C"/>
    <w:rsid w:val="00FA2C0F"/>
    <w:rsid w:val="00FA2C2F"/>
    <w:rsid w:val="00FA3819"/>
    <w:rsid w:val="00FA383E"/>
    <w:rsid w:val="00FA40F6"/>
    <w:rsid w:val="00FA434C"/>
    <w:rsid w:val="00FA47FA"/>
    <w:rsid w:val="00FA58DC"/>
    <w:rsid w:val="00FA5B19"/>
    <w:rsid w:val="00FA5C3B"/>
    <w:rsid w:val="00FA662E"/>
    <w:rsid w:val="00FA66DE"/>
    <w:rsid w:val="00FA709B"/>
    <w:rsid w:val="00FA7378"/>
    <w:rsid w:val="00FA7AB3"/>
    <w:rsid w:val="00FA7C92"/>
    <w:rsid w:val="00FB089A"/>
    <w:rsid w:val="00FB13BD"/>
    <w:rsid w:val="00FB13DD"/>
    <w:rsid w:val="00FB1B50"/>
    <w:rsid w:val="00FB2318"/>
    <w:rsid w:val="00FB251C"/>
    <w:rsid w:val="00FB47F0"/>
    <w:rsid w:val="00FB4BBE"/>
    <w:rsid w:val="00FB516C"/>
    <w:rsid w:val="00FB5ACB"/>
    <w:rsid w:val="00FB5BF9"/>
    <w:rsid w:val="00FB5CE5"/>
    <w:rsid w:val="00FB5D66"/>
    <w:rsid w:val="00FB67C3"/>
    <w:rsid w:val="00FB680F"/>
    <w:rsid w:val="00FB7003"/>
    <w:rsid w:val="00FB7E89"/>
    <w:rsid w:val="00FC0049"/>
    <w:rsid w:val="00FC09CC"/>
    <w:rsid w:val="00FC0BD3"/>
    <w:rsid w:val="00FC0C6E"/>
    <w:rsid w:val="00FC0F10"/>
    <w:rsid w:val="00FC11D8"/>
    <w:rsid w:val="00FC131B"/>
    <w:rsid w:val="00FC14AE"/>
    <w:rsid w:val="00FC1595"/>
    <w:rsid w:val="00FC21F1"/>
    <w:rsid w:val="00FC2A18"/>
    <w:rsid w:val="00FC2AAE"/>
    <w:rsid w:val="00FC2E19"/>
    <w:rsid w:val="00FC2EEB"/>
    <w:rsid w:val="00FC2F64"/>
    <w:rsid w:val="00FC3275"/>
    <w:rsid w:val="00FC44BB"/>
    <w:rsid w:val="00FC45BB"/>
    <w:rsid w:val="00FC5299"/>
    <w:rsid w:val="00FC5C8D"/>
    <w:rsid w:val="00FC5E21"/>
    <w:rsid w:val="00FC5E5B"/>
    <w:rsid w:val="00FC7127"/>
    <w:rsid w:val="00FC7A38"/>
    <w:rsid w:val="00FD0405"/>
    <w:rsid w:val="00FD1079"/>
    <w:rsid w:val="00FD115E"/>
    <w:rsid w:val="00FD1BDE"/>
    <w:rsid w:val="00FD206B"/>
    <w:rsid w:val="00FD2103"/>
    <w:rsid w:val="00FD22BE"/>
    <w:rsid w:val="00FD2B6C"/>
    <w:rsid w:val="00FD31F4"/>
    <w:rsid w:val="00FD3DF7"/>
    <w:rsid w:val="00FD43BB"/>
    <w:rsid w:val="00FD52EE"/>
    <w:rsid w:val="00FD555F"/>
    <w:rsid w:val="00FD57ED"/>
    <w:rsid w:val="00FD6256"/>
    <w:rsid w:val="00FD6759"/>
    <w:rsid w:val="00FD68D8"/>
    <w:rsid w:val="00FD6BD5"/>
    <w:rsid w:val="00FD6CDD"/>
    <w:rsid w:val="00FD7464"/>
    <w:rsid w:val="00FE0DAE"/>
    <w:rsid w:val="00FE14C1"/>
    <w:rsid w:val="00FE1CE8"/>
    <w:rsid w:val="00FE1F4A"/>
    <w:rsid w:val="00FE2084"/>
    <w:rsid w:val="00FE210D"/>
    <w:rsid w:val="00FE2380"/>
    <w:rsid w:val="00FE283A"/>
    <w:rsid w:val="00FE400E"/>
    <w:rsid w:val="00FE41B0"/>
    <w:rsid w:val="00FE5063"/>
    <w:rsid w:val="00FE56BD"/>
    <w:rsid w:val="00FE59EA"/>
    <w:rsid w:val="00FE631C"/>
    <w:rsid w:val="00FE6573"/>
    <w:rsid w:val="00FE6B25"/>
    <w:rsid w:val="00FE7F1B"/>
    <w:rsid w:val="00FF0204"/>
    <w:rsid w:val="00FF0732"/>
    <w:rsid w:val="00FF08F6"/>
    <w:rsid w:val="00FF0B01"/>
    <w:rsid w:val="00FF181C"/>
    <w:rsid w:val="00FF1A8D"/>
    <w:rsid w:val="00FF217E"/>
    <w:rsid w:val="00FF2248"/>
    <w:rsid w:val="00FF2505"/>
    <w:rsid w:val="00FF2EEF"/>
    <w:rsid w:val="00FF31FF"/>
    <w:rsid w:val="00FF34A5"/>
    <w:rsid w:val="00FF3BFF"/>
    <w:rsid w:val="00FF40B7"/>
    <w:rsid w:val="00FF421C"/>
    <w:rsid w:val="00FF4599"/>
    <w:rsid w:val="00FF45C4"/>
    <w:rsid w:val="00FF4E6A"/>
    <w:rsid w:val="00FF4EED"/>
    <w:rsid w:val="00FF50C7"/>
    <w:rsid w:val="00FF5809"/>
    <w:rsid w:val="00FF5D11"/>
    <w:rsid w:val="00FF5F2A"/>
    <w:rsid w:val="00FF67E3"/>
    <w:rsid w:val="00FF6A16"/>
    <w:rsid w:val="00FF6B84"/>
    <w:rsid w:val="00FF7AD6"/>
    <w:rsid w:val="00FF7E8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85FA5F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019CE"/>
    <w:pPr>
      <w:keepNext/>
      <w:keepLines/>
      <w:spacing w:before="480" w:line="276" w:lineRule="auto"/>
      <w:outlineLvl w:val="0"/>
    </w:pPr>
    <w:rPr>
      <w:rFonts w:ascii="Times New Roman" w:eastAsiaTheme="majorEastAsia" w:hAnsi="Times New Roman" w:cs="Times New Roman"/>
      <w:b/>
      <w:bCs/>
      <w:sz w:val="36"/>
      <w:u w:val="single"/>
      <w:lang w:val="en-GB"/>
    </w:rPr>
  </w:style>
  <w:style w:type="paragraph" w:styleId="Heading2">
    <w:name w:val="heading 2"/>
    <w:basedOn w:val="Normal"/>
    <w:next w:val="Normal"/>
    <w:link w:val="Heading2Char"/>
    <w:uiPriority w:val="9"/>
    <w:unhideWhenUsed/>
    <w:qFormat/>
    <w:rsid w:val="001B1D82"/>
    <w:pPr>
      <w:keepNext/>
      <w:keepLines/>
      <w:spacing w:before="200" w:line="276" w:lineRule="auto"/>
      <w:outlineLvl w:val="1"/>
    </w:pPr>
    <w:rPr>
      <w:rFonts w:ascii="Times New Roman" w:eastAsiaTheme="majorEastAsia" w:hAnsi="Times New Roman" w:cs="Times New Roman"/>
      <w:b/>
      <w:bCs/>
      <w:sz w:val="28"/>
      <w:u w:color="000000"/>
    </w:rPr>
  </w:style>
  <w:style w:type="paragraph" w:styleId="Heading3">
    <w:name w:val="heading 3"/>
    <w:basedOn w:val="Normal"/>
    <w:next w:val="Normal"/>
    <w:link w:val="Heading3Char"/>
    <w:uiPriority w:val="9"/>
    <w:unhideWhenUsed/>
    <w:qFormat/>
    <w:rsid w:val="001B1D82"/>
    <w:pPr>
      <w:keepNext/>
      <w:keepLines/>
      <w:spacing w:before="200" w:line="276" w:lineRule="auto"/>
      <w:outlineLvl w:val="2"/>
    </w:pPr>
    <w:rPr>
      <w:rFonts w:ascii="Times New Roman" w:eastAsiaTheme="majorEastAsia" w:hAnsi="Times New Roman" w:cs="Times New Roman"/>
      <w:b/>
      <w:bCs/>
      <w:u w:color="4F81BD"/>
    </w:rPr>
  </w:style>
  <w:style w:type="paragraph" w:styleId="Heading4">
    <w:name w:val="heading 4"/>
    <w:basedOn w:val="Normal"/>
    <w:next w:val="Normal"/>
    <w:link w:val="Heading4Char"/>
    <w:uiPriority w:val="9"/>
    <w:unhideWhenUsed/>
    <w:qFormat/>
    <w:rsid w:val="009A1D4C"/>
    <w:pPr>
      <w:keepNext/>
      <w:keepLines/>
      <w:spacing w:before="200"/>
      <w:outlineLvl w:val="3"/>
    </w:pPr>
    <w:rPr>
      <w:rFonts w:ascii="Times New Roman" w:eastAsiaTheme="majorEastAsia" w:hAnsi="Times New Roman" w:cstheme="majorBidi"/>
      <w:b/>
      <w:bCs/>
      <w:i/>
      <w:iCs/>
      <w:color w:val="000000" w:themeColor="text1"/>
    </w:rPr>
  </w:style>
  <w:style w:type="paragraph" w:styleId="Heading5">
    <w:name w:val="heading 5"/>
    <w:basedOn w:val="Normal"/>
    <w:next w:val="Normal"/>
    <w:link w:val="Heading5Char"/>
    <w:uiPriority w:val="9"/>
    <w:unhideWhenUsed/>
    <w:qFormat/>
    <w:rsid w:val="006D584E"/>
    <w:pPr>
      <w:keepNext/>
      <w:keepLines/>
      <w:spacing w:before="200" w:line="360" w:lineRule="auto"/>
      <w:jc w:val="both"/>
      <w:outlineLvl w:val="4"/>
    </w:pPr>
    <w:rPr>
      <w:rFonts w:ascii="Times New Roman" w:eastAsiaTheme="majorEastAsia" w:hAnsi="Times New Roman" w:cstheme="majorBidi"/>
      <w:b/>
      <w:color w:val="000000" w:themeColor="text1"/>
    </w:rPr>
  </w:style>
  <w:style w:type="paragraph" w:styleId="Heading6">
    <w:name w:val="heading 6"/>
    <w:basedOn w:val="Normal"/>
    <w:next w:val="Normal"/>
    <w:link w:val="Heading6Char"/>
    <w:uiPriority w:val="9"/>
    <w:unhideWhenUsed/>
    <w:qFormat/>
    <w:rsid w:val="00A83395"/>
    <w:pPr>
      <w:keepNext/>
      <w:keepLines/>
      <w:spacing w:before="200"/>
      <w:outlineLvl w:val="5"/>
    </w:pPr>
    <w:rPr>
      <w:rFonts w:ascii="Times New Roman" w:eastAsiaTheme="majorEastAsia" w:hAnsi="Times New Roman" w:cstheme="majorBidi"/>
      <w:b/>
      <w:i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A257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A257D"/>
    <w:rPr>
      <w:rFonts w:ascii="Lucida Grande" w:hAnsi="Lucida Grande" w:cs="Lucida Grande"/>
      <w:sz w:val="18"/>
      <w:szCs w:val="18"/>
    </w:rPr>
  </w:style>
  <w:style w:type="character" w:customStyle="1" w:styleId="Heading1Char">
    <w:name w:val="Heading 1 Char"/>
    <w:basedOn w:val="DefaultParagraphFont"/>
    <w:link w:val="Heading1"/>
    <w:uiPriority w:val="9"/>
    <w:rsid w:val="009019CE"/>
    <w:rPr>
      <w:rFonts w:ascii="Times New Roman" w:eastAsiaTheme="majorEastAsia" w:hAnsi="Times New Roman" w:cs="Times New Roman"/>
      <w:b/>
      <w:bCs/>
      <w:sz w:val="36"/>
      <w:u w:val="single"/>
      <w:lang w:val="en-GB"/>
    </w:rPr>
  </w:style>
  <w:style w:type="character" w:customStyle="1" w:styleId="Heading2Char">
    <w:name w:val="Heading 2 Char"/>
    <w:basedOn w:val="DefaultParagraphFont"/>
    <w:link w:val="Heading2"/>
    <w:uiPriority w:val="9"/>
    <w:rsid w:val="001B1D82"/>
    <w:rPr>
      <w:rFonts w:ascii="Times New Roman" w:eastAsiaTheme="majorEastAsia" w:hAnsi="Times New Roman" w:cs="Times New Roman"/>
      <w:b/>
      <w:bCs/>
      <w:sz w:val="28"/>
      <w:u w:color="000000"/>
    </w:rPr>
  </w:style>
  <w:style w:type="character" w:customStyle="1" w:styleId="Heading3Char">
    <w:name w:val="Heading 3 Char"/>
    <w:basedOn w:val="DefaultParagraphFont"/>
    <w:link w:val="Heading3"/>
    <w:uiPriority w:val="9"/>
    <w:rsid w:val="001B1D82"/>
    <w:rPr>
      <w:rFonts w:ascii="Times New Roman" w:eastAsiaTheme="majorEastAsia" w:hAnsi="Times New Roman" w:cs="Times New Roman"/>
      <w:b/>
      <w:bCs/>
      <w:u w:color="4F81BD"/>
    </w:rPr>
  </w:style>
  <w:style w:type="table" w:styleId="TableGrid">
    <w:name w:val="Table Grid"/>
    <w:basedOn w:val="TableNormal"/>
    <w:uiPriority w:val="59"/>
    <w:rsid w:val="0085074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DefaultParagraphFont"/>
    <w:rsid w:val="0085074F"/>
  </w:style>
  <w:style w:type="paragraph" w:styleId="ListParagraph">
    <w:name w:val="List Paragraph"/>
    <w:basedOn w:val="Normal"/>
    <w:uiPriority w:val="34"/>
    <w:qFormat/>
    <w:rsid w:val="001270A1"/>
    <w:pPr>
      <w:spacing w:line="360" w:lineRule="auto"/>
      <w:ind w:left="720"/>
      <w:contextualSpacing/>
    </w:pPr>
    <w:rPr>
      <w:rFonts w:ascii="Arial" w:hAnsi="Arial"/>
      <w:lang w:val="en-GB" w:eastAsia="es-ES"/>
    </w:rPr>
  </w:style>
  <w:style w:type="paragraph" w:styleId="NormalWeb">
    <w:name w:val="Normal (Web)"/>
    <w:basedOn w:val="Normal"/>
    <w:uiPriority w:val="99"/>
    <w:semiHidden/>
    <w:unhideWhenUsed/>
    <w:rsid w:val="006F587D"/>
    <w:pPr>
      <w:spacing w:before="100" w:beforeAutospacing="1" w:after="100" w:afterAutospacing="1"/>
    </w:pPr>
    <w:rPr>
      <w:rFonts w:ascii="Times" w:hAnsi="Times" w:cs="Times New Roman"/>
      <w:sz w:val="20"/>
      <w:szCs w:val="20"/>
      <w:lang w:val="en-GB"/>
    </w:rPr>
  </w:style>
  <w:style w:type="paragraph" w:styleId="Header">
    <w:name w:val="header"/>
    <w:basedOn w:val="Normal"/>
    <w:link w:val="HeaderChar"/>
    <w:uiPriority w:val="99"/>
    <w:unhideWhenUsed/>
    <w:rsid w:val="00621E16"/>
    <w:pPr>
      <w:tabs>
        <w:tab w:val="center" w:pos="4320"/>
        <w:tab w:val="right" w:pos="8640"/>
      </w:tabs>
      <w:jc w:val="center"/>
    </w:pPr>
    <w:rPr>
      <w:rFonts w:ascii="Times New Roman" w:hAnsi="Times New Roman"/>
      <w:b/>
      <w:sz w:val="32"/>
    </w:rPr>
  </w:style>
  <w:style w:type="character" w:customStyle="1" w:styleId="HeaderChar">
    <w:name w:val="Header Char"/>
    <w:basedOn w:val="DefaultParagraphFont"/>
    <w:link w:val="Header"/>
    <w:uiPriority w:val="99"/>
    <w:rsid w:val="00621E16"/>
    <w:rPr>
      <w:rFonts w:ascii="Times New Roman" w:hAnsi="Times New Roman"/>
      <w:b/>
      <w:sz w:val="32"/>
    </w:rPr>
  </w:style>
  <w:style w:type="paragraph" w:styleId="Footer">
    <w:name w:val="footer"/>
    <w:basedOn w:val="Normal"/>
    <w:link w:val="FooterChar"/>
    <w:uiPriority w:val="99"/>
    <w:unhideWhenUsed/>
    <w:rsid w:val="00347976"/>
    <w:pPr>
      <w:tabs>
        <w:tab w:val="center" w:pos="4320"/>
        <w:tab w:val="right" w:pos="8640"/>
      </w:tabs>
    </w:pPr>
  </w:style>
  <w:style w:type="character" w:customStyle="1" w:styleId="FooterChar">
    <w:name w:val="Footer Char"/>
    <w:basedOn w:val="DefaultParagraphFont"/>
    <w:link w:val="Footer"/>
    <w:uiPriority w:val="99"/>
    <w:rsid w:val="00347976"/>
  </w:style>
  <w:style w:type="paragraph" w:styleId="TOCHeading">
    <w:name w:val="TOC Heading"/>
    <w:basedOn w:val="Heading1"/>
    <w:next w:val="Normal"/>
    <w:uiPriority w:val="39"/>
    <w:unhideWhenUsed/>
    <w:qFormat/>
    <w:rsid w:val="00B24B1A"/>
    <w:pPr>
      <w:outlineLvl w:val="9"/>
    </w:pPr>
    <w:rPr>
      <w:rFonts w:asciiTheme="majorHAnsi" w:hAnsiTheme="majorHAnsi"/>
      <w:color w:val="365F91" w:themeColor="accent1" w:themeShade="BF"/>
      <w:lang w:val="en-US"/>
    </w:rPr>
  </w:style>
  <w:style w:type="paragraph" w:styleId="TOC1">
    <w:name w:val="toc 1"/>
    <w:basedOn w:val="Normal"/>
    <w:next w:val="Normal"/>
    <w:autoRedefine/>
    <w:uiPriority w:val="39"/>
    <w:unhideWhenUsed/>
    <w:rsid w:val="00B24B1A"/>
    <w:pPr>
      <w:spacing w:before="120"/>
    </w:pPr>
    <w:rPr>
      <w:b/>
    </w:rPr>
  </w:style>
  <w:style w:type="paragraph" w:styleId="TOC2">
    <w:name w:val="toc 2"/>
    <w:basedOn w:val="Normal"/>
    <w:next w:val="Normal"/>
    <w:autoRedefine/>
    <w:uiPriority w:val="39"/>
    <w:unhideWhenUsed/>
    <w:rsid w:val="00B24B1A"/>
    <w:pPr>
      <w:ind w:left="240"/>
    </w:pPr>
    <w:rPr>
      <w:b/>
      <w:sz w:val="22"/>
      <w:szCs w:val="22"/>
    </w:rPr>
  </w:style>
  <w:style w:type="paragraph" w:styleId="TOC3">
    <w:name w:val="toc 3"/>
    <w:basedOn w:val="Normal"/>
    <w:next w:val="Normal"/>
    <w:autoRedefine/>
    <w:uiPriority w:val="39"/>
    <w:unhideWhenUsed/>
    <w:rsid w:val="00B24B1A"/>
    <w:pPr>
      <w:ind w:left="480"/>
    </w:pPr>
    <w:rPr>
      <w:sz w:val="22"/>
      <w:szCs w:val="22"/>
    </w:rPr>
  </w:style>
  <w:style w:type="paragraph" w:styleId="TOC4">
    <w:name w:val="toc 4"/>
    <w:basedOn w:val="Normal"/>
    <w:next w:val="Normal"/>
    <w:autoRedefine/>
    <w:uiPriority w:val="39"/>
    <w:unhideWhenUsed/>
    <w:rsid w:val="00B24B1A"/>
    <w:pPr>
      <w:ind w:left="720"/>
    </w:pPr>
    <w:rPr>
      <w:sz w:val="20"/>
      <w:szCs w:val="20"/>
    </w:rPr>
  </w:style>
  <w:style w:type="paragraph" w:styleId="TOC5">
    <w:name w:val="toc 5"/>
    <w:basedOn w:val="Normal"/>
    <w:next w:val="Normal"/>
    <w:autoRedefine/>
    <w:uiPriority w:val="39"/>
    <w:unhideWhenUsed/>
    <w:rsid w:val="00B24B1A"/>
    <w:pPr>
      <w:ind w:left="960"/>
    </w:pPr>
    <w:rPr>
      <w:sz w:val="20"/>
      <w:szCs w:val="20"/>
    </w:rPr>
  </w:style>
  <w:style w:type="paragraph" w:styleId="TOC6">
    <w:name w:val="toc 6"/>
    <w:basedOn w:val="Normal"/>
    <w:next w:val="Normal"/>
    <w:autoRedefine/>
    <w:uiPriority w:val="39"/>
    <w:unhideWhenUsed/>
    <w:rsid w:val="00B24B1A"/>
    <w:pPr>
      <w:ind w:left="1200"/>
    </w:pPr>
    <w:rPr>
      <w:sz w:val="20"/>
      <w:szCs w:val="20"/>
    </w:rPr>
  </w:style>
  <w:style w:type="paragraph" w:styleId="TOC7">
    <w:name w:val="toc 7"/>
    <w:basedOn w:val="Normal"/>
    <w:next w:val="Normal"/>
    <w:autoRedefine/>
    <w:uiPriority w:val="39"/>
    <w:unhideWhenUsed/>
    <w:rsid w:val="00B24B1A"/>
    <w:pPr>
      <w:ind w:left="1440"/>
    </w:pPr>
    <w:rPr>
      <w:sz w:val="20"/>
      <w:szCs w:val="20"/>
    </w:rPr>
  </w:style>
  <w:style w:type="paragraph" w:styleId="TOC8">
    <w:name w:val="toc 8"/>
    <w:basedOn w:val="Normal"/>
    <w:next w:val="Normal"/>
    <w:autoRedefine/>
    <w:uiPriority w:val="39"/>
    <w:unhideWhenUsed/>
    <w:rsid w:val="00B24B1A"/>
    <w:pPr>
      <w:ind w:left="1680"/>
    </w:pPr>
    <w:rPr>
      <w:sz w:val="20"/>
      <w:szCs w:val="20"/>
    </w:rPr>
  </w:style>
  <w:style w:type="paragraph" w:styleId="TOC9">
    <w:name w:val="toc 9"/>
    <w:basedOn w:val="Normal"/>
    <w:next w:val="Normal"/>
    <w:autoRedefine/>
    <w:uiPriority w:val="39"/>
    <w:unhideWhenUsed/>
    <w:rsid w:val="00B24B1A"/>
    <w:pPr>
      <w:ind w:left="1920"/>
    </w:pPr>
    <w:rPr>
      <w:sz w:val="20"/>
      <w:szCs w:val="20"/>
    </w:rPr>
  </w:style>
  <w:style w:type="character" w:styleId="Hyperlink">
    <w:name w:val="Hyperlink"/>
    <w:basedOn w:val="DefaultParagraphFont"/>
    <w:uiPriority w:val="99"/>
    <w:unhideWhenUsed/>
    <w:rsid w:val="002D0018"/>
    <w:rPr>
      <w:color w:val="0000FF" w:themeColor="hyperlink"/>
      <w:u w:val="single"/>
    </w:rPr>
  </w:style>
  <w:style w:type="paragraph" w:customStyle="1" w:styleId="Body">
    <w:name w:val="Body"/>
    <w:rsid w:val="00EF2AF4"/>
    <w:pPr>
      <w:pBdr>
        <w:top w:val="nil"/>
        <w:left w:val="nil"/>
        <w:bottom w:val="nil"/>
        <w:right w:val="nil"/>
        <w:between w:val="nil"/>
        <w:bar w:val="nil"/>
      </w:pBdr>
      <w:spacing w:after="200" w:line="276" w:lineRule="auto"/>
    </w:pPr>
    <w:rPr>
      <w:rFonts w:ascii="Cambria" w:eastAsia="Cambria" w:hAnsi="Cambria" w:cs="Cambria"/>
      <w:color w:val="000000"/>
      <w:sz w:val="22"/>
      <w:szCs w:val="22"/>
      <w:u w:color="000000"/>
      <w:bdr w:val="nil"/>
    </w:rPr>
  </w:style>
  <w:style w:type="character" w:customStyle="1" w:styleId="Heading4Char">
    <w:name w:val="Heading 4 Char"/>
    <w:basedOn w:val="DefaultParagraphFont"/>
    <w:link w:val="Heading4"/>
    <w:uiPriority w:val="9"/>
    <w:rsid w:val="009A1D4C"/>
    <w:rPr>
      <w:rFonts w:ascii="Times New Roman" w:eastAsiaTheme="majorEastAsia" w:hAnsi="Times New Roman" w:cstheme="majorBidi"/>
      <w:b/>
      <w:bCs/>
      <w:i/>
      <w:iCs/>
      <w:color w:val="000000" w:themeColor="text1"/>
    </w:rPr>
  </w:style>
  <w:style w:type="paragraph" w:styleId="NoSpacing">
    <w:name w:val="No Spacing"/>
    <w:uiPriority w:val="1"/>
    <w:qFormat/>
    <w:rsid w:val="0026667A"/>
    <w:rPr>
      <w:lang w:val="en-GB"/>
    </w:rPr>
  </w:style>
  <w:style w:type="character" w:customStyle="1" w:styleId="Heading5Char">
    <w:name w:val="Heading 5 Char"/>
    <w:basedOn w:val="DefaultParagraphFont"/>
    <w:link w:val="Heading5"/>
    <w:uiPriority w:val="9"/>
    <w:rsid w:val="006D584E"/>
    <w:rPr>
      <w:rFonts w:ascii="Times New Roman" w:eastAsiaTheme="majorEastAsia" w:hAnsi="Times New Roman" w:cstheme="majorBidi"/>
      <w:b/>
      <w:color w:val="000000" w:themeColor="text1"/>
    </w:rPr>
  </w:style>
  <w:style w:type="character" w:styleId="CommentReference">
    <w:name w:val="annotation reference"/>
    <w:basedOn w:val="DefaultParagraphFont"/>
    <w:uiPriority w:val="99"/>
    <w:semiHidden/>
    <w:unhideWhenUsed/>
    <w:rsid w:val="00060A10"/>
    <w:rPr>
      <w:sz w:val="16"/>
      <w:szCs w:val="16"/>
    </w:rPr>
  </w:style>
  <w:style w:type="paragraph" w:styleId="CommentText">
    <w:name w:val="annotation text"/>
    <w:basedOn w:val="Normal"/>
    <w:link w:val="CommentTextChar"/>
    <w:uiPriority w:val="99"/>
    <w:semiHidden/>
    <w:unhideWhenUsed/>
    <w:rsid w:val="00060A10"/>
    <w:rPr>
      <w:sz w:val="20"/>
      <w:szCs w:val="20"/>
    </w:rPr>
  </w:style>
  <w:style w:type="character" w:customStyle="1" w:styleId="CommentTextChar">
    <w:name w:val="Comment Text Char"/>
    <w:basedOn w:val="DefaultParagraphFont"/>
    <w:link w:val="CommentText"/>
    <w:uiPriority w:val="99"/>
    <w:semiHidden/>
    <w:rsid w:val="00060A10"/>
    <w:rPr>
      <w:sz w:val="20"/>
      <w:szCs w:val="20"/>
    </w:rPr>
  </w:style>
  <w:style w:type="paragraph" w:styleId="Revision">
    <w:name w:val="Revision"/>
    <w:hidden/>
    <w:uiPriority w:val="99"/>
    <w:semiHidden/>
    <w:rsid w:val="00060A10"/>
  </w:style>
  <w:style w:type="character" w:styleId="PageNumber">
    <w:name w:val="page number"/>
    <w:basedOn w:val="DefaultParagraphFont"/>
    <w:uiPriority w:val="99"/>
    <w:semiHidden/>
    <w:unhideWhenUsed/>
    <w:rsid w:val="00895FEA"/>
  </w:style>
  <w:style w:type="paragraph" w:styleId="Caption">
    <w:name w:val="caption"/>
    <w:basedOn w:val="Normal"/>
    <w:next w:val="Normal"/>
    <w:uiPriority w:val="35"/>
    <w:unhideWhenUsed/>
    <w:qFormat/>
    <w:rsid w:val="00C664C4"/>
    <w:pPr>
      <w:spacing w:after="200" w:line="360" w:lineRule="auto"/>
      <w:jc w:val="both"/>
    </w:pPr>
    <w:rPr>
      <w:rFonts w:ascii="Times New Roman" w:hAnsi="Times New Roman"/>
      <w:b/>
      <w:bCs/>
    </w:rPr>
  </w:style>
  <w:style w:type="paragraph" w:styleId="TableofFigures">
    <w:name w:val="table of figures"/>
    <w:basedOn w:val="Normal"/>
    <w:next w:val="Normal"/>
    <w:uiPriority w:val="99"/>
    <w:unhideWhenUsed/>
    <w:rsid w:val="00AE1BBC"/>
    <w:rPr>
      <w:rFonts w:ascii="Times New Roman" w:hAnsi="Times New Roman"/>
      <w:i/>
      <w:szCs w:val="20"/>
    </w:rPr>
  </w:style>
  <w:style w:type="character" w:customStyle="1" w:styleId="Heading6Char">
    <w:name w:val="Heading 6 Char"/>
    <w:basedOn w:val="DefaultParagraphFont"/>
    <w:link w:val="Heading6"/>
    <w:uiPriority w:val="9"/>
    <w:rsid w:val="00A83395"/>
    <w:rPr>
      <w:rFonts w:ascii="Times New Roman" w:eastAsiaTheme="majorEastAsia" w:hAnsi="Times New Roman" w:cstheme="majorBidi"/>
      <w:b/>
      <w:iCs/>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019CE"/>
    <w:pPr>
      <w:keepNext/>
      <w:keepLines/>
      <w:spacing w:before="480" w:line="276" w:lineRule="auto"/>
      <w:outlineLvl w:val="0"/>
    </w:pPr>
    <w:rPr>
      <w:rFonts w:ascii="Times New Roman" w:eastAsiaTheme="majorEastAsia" w:hAnsi="Times New Roman" w:cs="Times New Roman"/>
      <w:b/>
      <w:bCs/>
      <w:sz w:val="36"/>
      <w:u w:val="single"/>
      <w:lang w:val="en-GB"/>
    </w:rPr>
  </w:style>
  <w:style w:type="paragraph" w:styleId="Heading2">
    <w:name w:val="heading 2"/>
    <w:basedOn w:val="Normal"/>
    <w:next w:val="Normal"/>
    <w:link w:val="Heading2Char"/>
    <w:uiPriority w:val="9"/>
    <w:unhideWhenUsed/>
    <w:qFormat/>
    <w:rsid w:val="001B1D82"/>
    <w:pPr>
      <w:keepNext/>
      <w:keepLines/>
      <w:spacing w:before="200" w:line="276" w:lineRule="auto"/>
      <w:outlineLvl w:val="1"/>
    </w:pPr>
    <w:rPr>
      <w:rFonts w:ascii="Times New Roman" w:eastAsiaTheme="majorEastAsia" w:hAnsi="Times New Roman" w:cs="Times New Roman"/>
      <w:b/>
      <w:bCs/>
      <w:sz w:val="28"/>
      <w:u w:color="000000"/>
    </w:rPr>
  </w:style>
  <w:style w:type="paragraph" w:styleId="Heading3">
    <w:name w:val="heading 3"/>
    <w:basedOn w:val="Normal"/>
    <w:next w:val="Normal"/>
    <w:link w:val="Heading3Char"/>
    <w:uiPriority w:val="9"/>
    <w:unhideWhenUsed/>
    <w:qFormat/>
    <w:rsid w:val="001B1D82"/>
    <w:pPr>
      <w:keepNext/>
      <w:keepLines/>
      <w:spacing w:before="200" w:line="276" w:lineRule="auto"/>
      <w:outlineLvl w:val="2"/>
    </w:pPr>
    <w:rPr>
      <w:rFonts w:ascii="Times New Roman" w:eastAsiaTheme="majorEastAsia" w:hAnsi="Times New Roman" w:cs="Times New Roman"/>
      <w:b/>
      <w:bCs/>
      <w:u w:color="4F81BD"/>
    </w:rPr>
  </w:style>
  <w:style w:type="paragraph" w:styleId="Heading4">
    <w:name w:val="heading 4"/>
    <w:basedOn w:val="Normal"/>
    <w:next w:val="Normal"/>
    <w:link w:val="Heading4Char"/>
    <w:uiPriority w:val="9"/>
    <w:unhideWhenUsed/>
    <w:qFormat/>
    <w:rsid w:val="009A1D4C"/>
    <w:pPr>
      <w:keepNext/>
      <w:keepLines/>
      <w:spacing w:before="200"/>
      <w:outlineLvl w:val="3"/>
    </w:pPr>
    <w:rPr>
      <w:rFonts w:ascii="Times New Roman" w:eastAsiaTheme="majorEastAsia" w:hAnsi="Times New Roman" w:cstheme="majorBidi"/>
      <w:b/>
      <w:bCs/>
      <w:i/>
      <w:iCs/>
      <w:color w:val="000000" w:themeColor="text1"/>
    </w:rPr>
  </w:style>
  <w:style w:type="paragraph" w:styleId="Heading5">
    <w:name w:val="heading 5"/>
    <w:basedOn w:val="Normal"/>
    <w:next w:val="Normal"/>
    <w:link w:val="Heading5Char"/>
    <w:uiPriority w:val="9"/>
    <w:unhideWhenUsed/>
    <w:qFormat/>
    <w:rsid w:val="006D584E"/>
    <w:pPr>
      <w:keepNext/>
      <w:keepLines/>
      <w:spacing w:before="200" w:line="360" w:lineRule="auto"/>
      <w:jc w:val="both"/>
      <w:outlineLvl w:val="4"/>
    </w:pPr>
    <w:rPr>
      <w:rFonts w:ascii="Times New Roman" w:eastAsiaTheme="majorEastAsia" w:hAnsi="Times New Roman" w:cstheme="majorBidi"/>
      <w:b/>
      <w:color w:val="000000" w:themeColor="text1"/>
    </w:rPr>
  </w:style>
  <w:style w:type="paragraph" w:styleId="Heading6">
    <w:name w:val="heading 6"/>
    <w:basedOn w:val="Normal"/>
    <w:next w:val="Normal"/>
    <w:link w:val="Heading6Char"/>
    <w:uiPriority w:val="9"/>
    <w:unhideWhenUsed/>
    <w:qFormat/>
    <w:rsid w:val="00A83395"/>
    <w:pPr>
      <w:keepNext/>
      <w:keepLines/>
      <w:spacing w:before="200"/>
      <w:outlineLvl w:val="5"/>
    </w:pPr>
    <w:rPr>
      <w:rFonts w:ascii="Times New Roman" w:eastAsiaTheme="majorEastAsia" w:hAnsi="Times New Roman" w:cstheme="majorBidi"/>
      <w:b/>
      <w:i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A257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A257D"/>
    <w:rPr>
      <w:rFonts w:ascii="Lucida Grande" w:hAnsi="Lucida Grande" w:cs="Lucida Grande"/>
      <w:sz w:val="18"/>
      <w:szCs w:val="18"/>
    </w:rPr>
  </w:style>
  <w:style w:type="character" w:customStyle="1" w:styleId="Heading1Char">
    <w:name w:val="Heading 1 Char"/>
    <w:basedOn w:val="DefaultParagraphFont"/>
    <w:link w:val="Heading1"/>
    <w:uiPriority w:val="9"/>
    <w:rsid w:val="009019CE"/>
    <w:rPr>
      <w:rFonts w:ascii="Times New Roman" w:eastAsiaTheme="majorEastAsia" w:hAnsi="Times New Roman" w:cs="Times New Roman"/>
      <w:b/>
      <w:bCs/>
      <w:sz w:val="36"/>
      <w:u w:val="single"/>
      <w:lang w:val="en-GB"/>
    </w:rPr>
  </w:style>
  <w:style w:type="character" w:customStyle="1" w:styleId="Heading2Char">
    <w:name w:val="Heading 2 Char"/>
    <w:basedOn w:val="DefaultParagraphFont"/>
    <w:link w:val="Heading2"/>
    <w:uiPriority w:val="9"/>
    <w:rsid w:val="001B1D82"/>
    <w:rPr>
      <w:rFonts w:ascii="Times New Roman" w:eastAsiaTheme="majorEastAsia" w:hAnsi="Times New Roman" w:cs="Times New Roman"/>
      <w:b/>
      <w:bCs/>
      <w:sz w:val="28"/>
      <w:u w:color="000000"/>
    </w:rPr>
  </w:style>
  <w:style w:type="character" w:customStyle="1" w:styleId="Heading3Char">
    <w:name w:val="Heading 3 Char"/>
    <w:basedOn w:val="DefaultParagraphFont"/>
    <w:link w:val="Heading3"/>
    <w:uiPriority w:val="9"/>
    <w:rsid w:val="001B1D82"/>
    <w:rPr>
      <w:rFonts w:ascii="Times New Roman" w:eastAsiaTheme="majorEastAsia" w:hAnsi="Times New Roman" w:cs="Times New Roman"/>
      <w:b/>
      <w:bCs/>
      <w:u w:color="4F81BD"/>
    </w:rPr>
  </w:style>
  <w:style w:type="table" w:styleId="TableGrid">
    <w:name w:val="Table Grid"/>
    <w:basedOn w:val="TableNormal"/>
    <w:uiPriority w:val="59"/>
    <w:rsid w:val="0085074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DefaultParagraphFont"/>
    <w:rsid w:val="0085074F"/>
  </w:style>
  <w:style w:type="paragraph" w:styleId="ListParagraph">
    <w:name w:val="List Paragraph"/>
    <w:basedOn w:val="Normal"/>
    <w:uiPriority w:val="34"/>
    <w:qFormat/>
    <w:rsid w:val="001270A1"/>
    <w:pPr>
      <w:spacing w:line="360" w:lineRule="auto"/>
      <w:ind w:left="720"/>
      <w:contextualSpacing/>
    </w:pPr>
    <w:rPr>
      <w:rFonts w:ascii="Arial" w:hAnsi="Arial"/>
      <w:lang w:val="en-GB" w:eastAsia="es-ES"/>
    </w:rPr>
  </w:style>
  <w:style w:type="paragraph" w:styleId="NormalWeb">
    <w:name w:val="Normal (Web)"/>
    <w:basedOn w:val="Normal"/>
    <w:uiPriority w:val="99"/>
    <w:semiHidden/>
    <w:unhideWhenUsed/>
    <w:rsid w:val="006F587D"/>
    <w:pPr>
      <w:spacing w:before="100" w:beforeAutospacing="1" w:after="100" w:afterAutospacing="1"/>
    </w:pPr>
    <w:rPr>
      <w:rFonts w:ascii="Times" w:hAnsi="Times" w:cs="Times New Roman"/>
      <w:sz w:val="20"/>
      <w:szCs w:val="20"/>
      <w:lang w:val="en-GB"/>
    </w:rPr>
  </w:style>
  <w:style w:type="paragraph" w:styleId="Header">
    <w:name w:val="header"/>
    <w:basedOn w:val="Normal"/>
    <w:link w:val="HeaderChar"/>
    <w:uiPriority w:val="99"/>
    <w:unhideWhenUsed/>
    <w:rsid w:val="00621E16"/>
    <w:pPr>
      <w:tabs>
        <w:tab w:val="center" w:pos="4320"/>
        <w:tab w:val="right" w:pos="8640"/>
      </w:tabs>
      <w:jc w:val="center"/>
    </w:pPr>
    <w:rPr>
      <w:rFonts w:ascii="Times New Roman" w:hAnsi="Times New Roman"/>
      <w:b/>
      <w:sz w:val="32"/>
    </w:rPr>
  </w:style>
  <w:style w:type="character" w:customStyle="1" w:styleId="HeaderChar">
    <w:name w:val="Header Char"/>
    <w:basedOn w:val="DefaultParagraphFont"/>
    <w:link w:val="Header"/>
    <w:uiPriority w:val="99"/>
    <w:rsid w:val="00621E16"/>
    <w:rPr>
      <w:rFonts w:ascii="Times New Roman" w:hAnsi="Times New Roman"/>
      <w:b/>
      <w:sz w:val="32"/>
    </w:rPr>
  </w:style>
  <w:style w:type="paragraph" w:styleId="Footer">
    <w:name w:val="footer"/>
    <w:basedOn w:val="Normal"/>
    <w:link w:val="FooterChar"/>
    <w:uiPriority w:val="99"/>
    <w:unhideWhenUsed/>
    <w:rsid w:val="00347976"/>
    <w:pPr>
      <w:tabs>
        <w:tab w:val="center" w:pos="4320"/>
        <w:tab w:val="right" w:pos="8640"/>
      </w:tabs>
    </w:pPr>
  </w:style>
  <w:style w:type="character" w:customStyle="1" w:styleId="FooterChar">
    <w:name w:val="Footer Char"/>
    <w:basedOn w:val="DefaultParagraphFont"/>
    <w:link w:val="Footer"/>
    <w:uiPriority w:val="99"/>
    <w:rsid w:val="00347976"/>
  </w:style>
  <w:style w:type="paragraph" w:styleId="TOCHeading">
    <w:name w:val="TOC Heading"/>
    <w:basedOn w:val="Heading1"/>
    <w:next w:val="Normal"/>
    <w:uiPriority w:val="39"/>
    <w:unhideWhenUsed/>
    <w:qFormat/>
    <w:rsid w:val="00B24B1A"/>
    <w:pPr>
      <w:outlineLvl w:val="9"/>
    </w:pPr>
    <w:rPr>
      <w:rFonts w:asciiTheme="majorHAnsi" w:hAnsiTheme="majorHAnsi"/>
      <w:color w:val="365F91" w:themeColor="accent1" w:themeShade="BF"/>
      <w:lang w:val="en-US"/>
    </w:rPr>
  </w:style>
  <w:style w:type="paragraph" w:styleId="TOC1">
    <w:name w:val="toc 1"/>
    <w:basedOn w:val="Normal"/>
    <w:next w:val="Normal"/>
    <w:autoRedefine/>
    <w:uiPriority w:val="39"/>
    <w:unhideWhenUsed/>
    <w:rsid w:val="00B24B1A"/>
    <w:pPr>
      <w:spacing w:before="120"/>
    </w:pPr>
    <w:rPr>
      <w:b/>
    </w:rPr>
  </w:style>
  <w:style w:type="paragraph" w:styleId="TOC2">
    <w:name w:val="toc 2"/>
    <w:basedOn w:val="Normal"/>
    <w:next w:val="Normal"/>
    <w:autoRedefine/>
    <w:uiPriority w:val="39"/>
    <w:unhideWhenUsed/>
    <w:rsid w:val="00B24B1A"/>
    <w:pPr>
      <w:ind w:left="240"/>
    </w:pPr>
    <w:rPr>
      <w:b/>
      <w:sz w:val="22"/>
      <w:szCs w:val="22"/>
    </w:rPr>
  </w:style>
  <w:style w:type="paragraph" w:styleId="TOC3">
    <w:name w:val="toc 3"/>
    <w:basedOn w:val="Normal"/>
    <w:next w:val="Normal"/>
    <w:autoRedefine/>
    <w:uiPriority w:val="39"/>
    <w:unhideWhenUsed/>
    <w:rsid w:val="00B24B1A"/>
    <w:pPr>
      <w:ind w:left="480"/>
    </w:pPr>
    <w:rPr>
      <w:sz w:val="22"/>
      <w:szCs w:val="22"/>
    </w:rPr>
  </w:style>
  <w:style w:type="paragraph" w:styleId="TOC4">
    <w:name w:val="toc 4"/>
    <w:basedOn w:val="Normal"/>
    <w:next w:val="Normal"/>
    <w:autoRedefine/>
    <w:uiPriority w:val="39"/>
    <w:unhideWhenUsed/>
    <w:rsid w:val="00B24B1A"/>
    <w:pPr>
      <w:ind w:left="720"/>
    </w:pPr>
    <w:rPr>
      <w:sz w:val="20"/>
      <w:szCs w:val="20"/>
    </w:rPr>
  </w:style>
  <w:style w:type="paragraph" w:styleId="TOC5">
    <w:name w:val="toc 5"/>
    <w:basedOn w:val="Normal"/>
    <w:next w:val="Normal"/>
    <w:autoRedefine/>
    <w:uiPriority w:val="39"/>
    <w:unhideWhenUsed/>
    <w:rsid w:val="00B24B1A"/>
    <w:pPr>
      <w:ind w:left="960"/>
    </w:pPr>
    <w:rPr>
      <w:sz w:val="20"/>
      <w:szCs w:val="20"/>
    </w:rPr>
  </w:style>
  <w:style w:type="paragraph" w:styleId="TOC6">
    <w:name w:val="toc 6"/>
    <w:basedOn w:val="Normal"/>
    <w:next w:val="Normal"/>
    <w:autoRedefine/>
    <w:uiPriority w:val="39"/>
    <w:unhideWhenUsed/>
    <w:rsid w:val="00B24B1A"/>
    <w:pPr>
      <w:ind w:left="1200"/>
    </w:pPr>
    <w:rPr>
      <w:sz w:val="20"/>
      <w:szCs w:val="20"/>
    </w:rPr>
  </w:style>
  <w:style w:type="paragraph" w:styleId="TOC7">
    <w:name w:val="toc 7"/>
    <w:basedOn w:val="Normal"/>
    <w:next w:val="Normal"/>
    <w:autoRedefine/>
    <w:uiPriority w:val="39"/>
    <w:unhideWhenUsed/>
    <w:rsid w:val="00B24B1A"/>
    <w:pPr>
      <w:ind w:left="1440"/>
    </w:pPr>
    <w:rPr>
      <w:sz w:val="20"/>
      <w:szCs w:val="20"/>
    </w:rPr>
  </w:style>
  <w:style w:type="paragraph" w:styleId="TOC8">
    <w:name w:val="toc 8"/>
    <w:basedOn w:val="Normal"/>
    <w:next w:val="Normal"/>
    <w:autoRedefine/>
    <w:uiPriority w:val="39"/>
    <w:unhideWhenUsed/>
    <w:rsid w:val="00B24B1A"/>
    <w:pPr>
      <w:ind w:left="1680"/>
    </w:pPr>
    <w:rPr>
      <w:sz w:val="20"/>
      <w:szCs w:val="20"/>
    </w:rPr>
  </w:style>
  <w:style w:type="paragraph" w:styleId="TOC9">
    <w:name w:val="toc 9"/>
    <w:basedOn w:val="Normal"/>
    <w:next w:val="Normal"/>
    <w:autoRedefine/>
    <w:uiPriority w:val="39"/>
    <w:unhideWhenUsed/>
    <w:rsid w:val="00B24B1A"/>
    <w:pPr>
      <w:ind w:left="1920"/>
    </w:pPr>
    <w:rPr>
      <w:sz w:val="20"/>
      <w:szCs w:val="20"/>
    </w:rPr>
  </w:style>
  <w:style w:type="character" w:styleId="Hyperlink">
    <w:name w:val="Hyperlink"/>
    <w:basedOn w:val="DefaultParagraphFont"/>
    <w:uiPriority w:val="99"/>
    <w:unhideWhenUsed/>
    <w:rsid w:val="002D0018"/>
    <w:rPr>
      <w:color w:val="0000FF" w:themeColor="hyperlink"/>
      <w:u w:val="single"/>
    </w:rPr>
  </w:style>
  <w:style w:type="paragraph" w:customStyle="1" w:styleId="Body">
    <w:name w:val="Body"/>
    <w:rsid w:val="00EF2AF4"/>
    <w:pPr>
      <w:pBdr>
        <w:top w:val="nil"/>
        <w:left w:val="nil"/>
        <w:bottom w:val="nil"/>
        <w:right w:val="nil"/>
        <w:between w:val="nil"/>
        <w:bar w:val="nil"/>
      </w:pBdr>
      <w:spacing w:after="200" w:line="276" w:lineRule="auto"/>
    </w:pPr>
    <w:rPr>
      <w:rFonts w:ascii="Cambria" w:eastAsia="Cambria" w:hAnsi="Cambria" w:cs="Cambria"/>
      <w:color w:val="000000"/>
      <w:sz w:val="22"/>
      <w:szCs w:val="22"/>
      <w:u w:color="000000"/>
      <w:bdr w:val="nil"/>
    </w:rPr>
  </w:style>
  <w:style w:type="character" w:customStyle="1" w:styleId="Heading4Char">
    <w:name w:val="Heading 4 Char"/>
    <w:basedOn w:val="DefaultParagraphFont"/>
    <w:link w:val="Heading4"/>
    <w:uiPriority w:val="9"/>
    <w:rsid w:val="009A1D4C"/>
    <w:rPr>
      <w:rFonts w:ascii="Times New Roman" w:eastAsiaTheme="majorEastAsia" w:hAnsi="Times New Roman" w:cstheme="majorBidi"/>
      <w:b/>
      <w:bCs/>
      <w:i/>
      <w:iCs/>
      <w:color w:val="000000" w:themeColor="text1"/>
    </w:rPr>
  </w:style>
  <w:style w:type="paragraph" w:styleId="NoSpacing">
    <w:name w:val="No Spacing"/>
    <w:uiPriority w:val="1"/>
    <w:qFormat/>
    <w:rsid w:val="0026667A"/>
    <w:rPr>
      <w:lang w:val="en-GB"/>
    </w:rPr>
  </w:style>
  <w:style w:type="character" w:customStyle="1" w:styleId="Heading5Char">
    <w:name w:val="Heading 5 Char"/>
    <w:basedOn w:val="DefaultParagraphFont"/>
    <w:link w:val="Heading5"/>
    <w:uiPriority w:val="9"/>
    <w:rsid w:val="006D584E"/>
    <w:rPr>
      <w:rFonts w:ascii="Times New Roman" w:eastAsiaTheme="majorEastAsia" w:hAnsi="Times New Roman" w:cstheme="majorBidi"/>
      <w:b/>
      <w:color w:val="000000" w:themeColor="text1"/>
    </w:rPr>
  </w:style>
  <w:style w:type="character" w:styleId="CommentReference">
    <w:name w:val="annotation reference"/>
    <w:basedOn w:val="DefaultParagraphFont"/>
    <w:uiPriority w:val="99"/>
    <w:semiHidden/>
    <w:unhideWhenUsed/>
    <w:rsid w:val="00060A10"/>
    <w:rPr>
      <w:sz w:val="16"/>
      <w:szCs w:val="16"/>
    </w:rPr>
  </w:style>
  <w:style w:type="paragraph" w:styleId="CommentText">
    <w:name w:val="annotation text"/>
    <w:basedOn w:val="Normal"/>
    <w:link w:val="CommentTextChar"/>
    <w:uiPriority w:val="99"/>
    <w:semiHidden/>
    <w:unhideWhenUsed/>
    <w:rsid w:val="00060A10"/>
    <w:rPr>
      <w:sz w:val="20"/>
      <w:szCs w:val="20"/>
    </w:rPr>
  </w:style>
  <w:style w:type="character" w:customStyle="1" w:styleId="CommentTextChar">
    <w:name w:val="Comment Text Char"/>
    <w:basedOn w:val="DefaultParagraphFont"/>
    <w:link w:val="CommentText"/>
    <w:uiPriority w:val="99"/>
    <w:semiHidden/>
    <w:rsid w:val="00060A10"/>
    <w:rPr>
      <w:sz w:val="20"/>
      <w:szCs w:val="20"/>
    </w:rPr>
  </w:style>
  <w:style w:type="paragraph" w:styleId="Revision">
    <w:name w:val="Revision"/>
    <w:hidden/>
    <w:uiPriority w:val="99"/>
    <w:semiHidden/>
    <w:rsid w:val="00060A10"/>
  </w:style>
  <w:style w:type="character" w:styleId="PageNumber">
    <w:name w:val="page number"/>
    <w:basedOn w:val="DefaultParagraphFont"/>
    <w:uiPriority w:val="99"/>
    <w:semiHidden/>
    <w:unhideWhenUsed/>
    <w:rsid w:val="00895FEA"/>
  </w:style>
  <w:style w:type="paragraph" w:styleId="Caption">
    <w:name w:val="caption"/>
    <w:basedOn w:val="Normal"/>
    <w:next w:val="Normal"/>
    <w:uiPriority w:val="35"/>
    <w:unhideWhenUsed/>
    <w:qFormat/>
    <w:rsid w:val="00C664C4"/>
    <w:pPr>
      <w:spacing w:after="200" w:line="360" w:lineRule="auto"/>
      <w:jc w:val="both"/>
    </w:pPr>
    <w:rPr>
      <w:rFonts w:ascii="Times New Roman" w:hAnsi="Times New Roman"/>
      <w:b/>
      <w:bCs/>
    </w:rPr>
  </w:style>
  <w:style w:type="paragraph" w:styleId="TableofFigures">
    <w:name w:val="table of figures"/>
    <w:basedOn w:val="Normal"/>
    <w:next w:val="Normal"/>
    <w:uiPriority w:val="99"/>
    <w:unhideWhenUsed/>
    <w:rsid w:val="00AE1BBC"/>
    <w:rPr>
      <w:rFonts w:ascii="Times New Roman" w:hAnsi="Times New Roman"/>
      <w:i/>
      <w:szCs w:val="20"/>
    </w:rPr>
  </w:style>
  <w:style w:type="character" w:customStyle="1" w:styleId="Heading6Char">
    <w:name w:val="Heading 6 Char"/>
    <w:basedOn w:val="DefaultParagraphFont"/>
    <w:link w:val="Heading6"/>
    <w:uiPriority w:val="9"/>
    <w:rsid w:val="00A83395"/>
    <w:rPr>
      <w:rFonts w:ascii="Times New Roman" w:eastAsiaTheme="majorEastAsia" w:hAnsi="Times New Roman" w:cstheme="majorBidi"/>
      <w:b/>
      <w:iCs/>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6399">
      <w:bodyDiv w:val="1"/>
      <w:marLeft w:val="0"/>
      <w:marRight w:val="0"/>
      <w:marTop w:val="0"/>
      <w:marBottom w:val="0"/>
      <w:divBdr>
        <w:top w:val="none" w:sz="0" w:space="0" w:color="auto"/>
        <w:left w:val="none" w:sz="0" w:space="0" w:color="auto"/>
        <w:bottom w:val="none" w:sz="0" w:space="0" w:color="auto"/>
        <w:right w:val="none" w:sz="0" w:space="0" w:color="auto"/>
      </w:divBdr>
    </w:div>
    <w:div w:id="106437338">
      <w:bodyDiv w:val="1"/>
      <w:marLeft w:val="0"/>
      <w:marRight w:val="0"/>
      <w:marTop w:val="0"/>
      <w:marBottom w:val="0"/>
      <w:divBdr>
        <w:top w:val="none" w:sz="0" w:space="0" w:color="auto"/>
        <w:left w:val="none" w:sz="0" w:space="0" w:color="auto"/>
        <w:bottom w:val="none" w:sz="0" w:space="0" w:color="auto"/>
        <w:right w:val="none" w:sz="0" w:space="0" w:color="auto"/>
      </w:divBdr>
    </w:div>
    <w:div w:id="132138606">
      <w:bodyDiv w:val="1"/>
      <w:marLeft w:val="0"/>
      <w:marRight w:val="0"/>
      <w:marTop w:val="0"/>
      <w:marBottom w:val="0"/>
      <w:divBdr>
        <w:top w:val="none" w:sz="0" w:space="0" w:color="auto"/>
        <w:left w:val="none" w:sz="0" w:space="0" w:color="auto"/>
        <w:bottom w:val="none" w:sz="0" w:space="0" w:color="auto"/>
        <w:right w:val="none" w:sz="0" w:space="0" w:color="auto"/>
      </w:divBdr>
    </w:div>
    <w:div w:id="145823162">
      <w:bodyDiv w:val="1"/>
      <w:marLeft w:val="0"/>
      <w:marRight w:val="0"/>
      <w:marTop w:val="0"/>
      <w:marBottom w:val="0"/>
      <w:divBdr>
        <w:top w:val="none" w:sz="0" w:space="0" w:color="auto"/>
        <w:left w:val="none" w:sz="0" w:space="0" w:color="auto"/>
        <w:bottom w:val="none" w:sz="0" w:space="0" w:color="auto"/>
        <w:right w:val="none" w:sz="0" w:space="0" w:color="auto"/>
      </w:divBdr>
    </w:div>
    <w:div w:id="186526252">
      <w:bodyDiv w:val="1"/>
      <w:marLeft w:val="0"/>
      <w:marRight w:val="0"/>
      <w:marTop w:val="0"/>
      <w:marBottom w:val="0"/>
      <w:divBdr>
        <w:top w:val="none" w:sz="0" w:space="0" w:color="auto"/>
        <w:left w:val="none" w:sz="0" w:space="0" w:color="auto"/>
        <w:bottom w:val="none" w:sz="0" w:space="0" w:color="auto"/>
        <w:right w:val="none" w:sz="0" w:space="0" w:color="auto"/>
      </w:divBdr>
    </w:div>
    <w:div w:id="198400290">
      <w:bodyDiv w:val="1"/>
      <w:marLeft w:val="0"/>
      <w:marRight w:val="0"/>
      <w:marTop w:val="0"/>
      <w:marBottom w:val="0"/>
      <w:divBdr>
        <w:top w:val="none" w:sz="0" w:space="0" w:color="auto"/>
        <w:left w:val="none" w:sz="0" w:space="0" w:color="auto"/>
        <w:bottom w:val="none" w:sz="0" w:space="0" w:color="auto"/>
        <w:right w:val="none" w:sz="0" w:space="0" w:color="auto"/>
      </w:divBdr>
    </w:div>
    <w:div w:id="210072503">
      <w:bodyDiv w:val="1"/>
      <w:marLeft w:val="0"/>
      <w:marRight w:val="0"/>
      <w:marTop w:val="0"/>
      <w:marBottom w:val="0"/>
      <w:divBdr>
        <w:top w:val="none" w:sz="0" w:space="0" w:color="auto"/>
        <w:left w:val="none" w:sz="0" w:space="0" w:color="auto"/>
        <w:bottom w:val="none" w:sz="0" w:space="0" w:color="auto"/>
        <w:right w:val="none" w:sz="0" w:space="0" w:color="auto"/>
      </w:divBdr>
    </w:div>
    <w:div w:id="232787422">
      <w:bodyDiv w:val="1"/>
      <w:marLeft w:val="0"/>
      <w:marRight w:val="0"/>
      <w:marTop w:val="0"/>
      <w:marBottom w:val="0"/>
      <w:divBdr>
        <w:top w:val="none" w:sz="0" w:space="0" w:color="auto"/>
        <w:left w:val="none" w:sz="0" w:space="0" w:color="auto"/>
        <w:bottom w:val="none" w:sz="0" w:space="0" w:color="auto"/>
        <w:right w:val="none" w:sz="0" w:space="0" w:color="auto"/>
      </w:divBdr>
    </w:div>
    <w:div w:id="241985112">
      <w:bodyDiv w:val="1"/>
      <w:marLeft w:val="0"/>
      <w:marRight w:val="0"/>
      <w:marTop w:val="0"/>
      <w:marBottom w:val="0"/>
      <w:divBdr>
        <w:top w:val="none" w:sz="0" w:space="0" w:color="auto"/>
        <w:left w:val="none" w:sz="0" w:space="0" w:color="auto"/>
        <w:bottom w:val="none" w:sz="0" w:space="0" w:color="auto"/>
        <w:right w:val="none" w:sz="0" w:space="0" w:color="auto"/>
      </w:divBdr>
      <w:divsChild>
        <w:div w:id="109516371">
          <w:marLeft w:val="0"/>
          <w:marRight w:val="0"/>
          <w:marTop w:val="0"/>
          <w:marBottom w:val="0"/>
          <w:divBdr>
            <w:top w:val="none" w:sz="0" w:space="0" w:color="auto"/>
            <w:left w:val="none" w:sz="0" w:space="0" w:color="auto"/>
            <w:bottom w:val="none" w:sz="0" w:space="0" w:color="auto"/>
            <w:right w:val="none" w:sz="0" w:space="0" w:color="auto"/>
          </w:divBdr>
          <w:divsChild>
            <w:div w:id="1235703824">
              <w:marLeft w:val="0"/>
              <w:marRight w:val="0"/>
              <w:marTop w:val="0"/>
              <w:marBottom w:val="0"/>
              <w:divBdr>
                <w:top w:val="none" w:sz="0" w:space="0" w:color="auto"/>
                <w:left w:val="none" w:sz="0" w:space="0" w:color="auto"/>
                <w:bottom w:val="none" w:sz="0" w:space="0" w:color="auto"/>
                <w:right w:val="none" w:sz="0" w:space="0" w:color="auto"/>
              </w:divBdr>
              <w:divsChild>
                <w:div w:id="69623783">
                  <w:marLeft w:val="0"/>
                  <w:marRight w:val="0"/>
                  <w:marTop w:val="0"/>
                  <w:marBottom w:val="0"/>
                  <w:divBdr>
                    <w:top w:val="none" w:sz="0" w:space="0" w:color="auto"/>
                    <w:left w:val="none" w:sz="0" w:space="0" w:color="auto"/>
                    <w:bottom w:val="none" w:sz="0" w:space="0" w:color="auto"/>
                    <w:right w:val="none" w:sz="0" w:space="0" w:color="auto"/>
                  </w:divBdr>
                  <w:divsChild>
                    <w:div w:id="81398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964491">
      <w:bodyDiv w:val="1"/>
      <w:marLeft w:val="0"/>
      <w:marRight w:val="0"/>
      <w:marTop w:val="0"/>
      <w:marBottom w:val="0"/>
      <w:divBdr>
        <w:top w:val="none" w:sz="0" w:space="0" w:color="auto"/>
        <w:left w:val="none" w:sz="0" w:space="0" w:color="auto"/>
        <w:bottom w:val="none" w:sz="0" w:space="0" w:color="auto"/>
        <w:right w:val="none" w:sz="0" w:space="0" w:color="auto"/>
      </w:divBdr>
    </w:div>
    <w:div w:id="316030842">
      <w:bodyDiv w:val="1"/>
      <w:marLeft w:val="0"/>
      <w:marRight w:val="0"/>
      <w:marTop w:val="0"/>
      <w:marBottom w:val="0"/>
      <w:divBdr>
        <w:top w:val="none" w:sz="0" w:space="0" w:color="auto"/>
        <w:left w:val="none" w:sz="0" w:space="0" w:color="auto"/>
        <w:bottom w:val="none" w:sz="0" w:space="0" w:color="auto"/>
        <w:right w:val="none" w:sz="0" w:space="0" w:color="auto"/>
      </w:divBdr>
    </w:div>
    <w:div w:id="341399762">
      <w:bodyDiv w:val="1"/>
      <w:marLeft w:val="0"/>
      <w:marRight w:val="0"/>
      <w:marTop w:val="0"/>
      <w:marBottom w:val="0"/>
      <w:divBdr>
        <w:top w:val="none" w:sz="0" w:space="0" w:color="auto"/>
        <w:left w:val="none" w:sz="0" w:space="0" w:color="auto"/>
        <w:bottom w:val="none" w:sz="0" w:space="0" w:color="auto"/>
        <w:right w:val="none" w:sz="0" w:space="0" w:color="auto"/>
      </w:divBdr>
    </w:div>
    <w:div w:id="346562177">
      <w:bodyDiv w:val="1"/>
      <w:marLeft w:val="0"/>
      <w:marRight w:val="0"/>
      <w:marTop w:val="0"/>
      <w:marBottom w:val="0"/>
      <w:divBdr>
        <w:top w:val="none" w:sz="0" w:space="0" w:color="auto"/>
        <w:left w:val="none" w:sz="0" w:space="0" w:color="auto"/>
        <w:bottom w:val="none" w:sz="0" w:space="0" w:color="auto"/>
        <w:right w:val="none" w:sz="0" w:space="0" w:color="auto"/>
      </w:divBdr>
    </w:div>
    <w:div w:id="349645977">
      <w:bodyDiv w:val="1"/>
      <w:marLeft w:val="0"/>
      <w:marRight w:val="0"/>
      <w:marTop w:val="0"/>
      <w:marBottom w:val="0"/>
      <w:divBdr>
        <w:top w:val="none" w:sz="0" w:space="0" w:color="auto"/>
        <w:left w:val="none" w:sz="0" w:space="0" w:color="auto"/>
        <w:bottom w:val="none" w:sz="0" w:space="0" w:color="auto"/>
        <w:right w:val="none" w:sz="0" w:space="0" w:color="auto"/>
      </w:divBdr>
    </w:div>
    <w:div w:id="382682533">
      <w:bodyDiv w:val="1"/>
      <w:marLeft w:val="0"/>
      <w:marRight w:val="0"/>
      <w:marTop w:val="0"/>
      <w:marBottom w:val="0"/>
      <w:divBdr>
        <w:top w:val="none" w:sz="0" w:space="0" w:color="auto"/>
        <w:left w:val="none" w:sz="0" w:space="0" w:color="auto"/>
        <w:bottom w:val="none" w:sz="0" w:space="0" w:color="auto"/>
        <w:right w:val="none" w:sz="0" w:space="0" w:color="auto"/>
      </w:divBdr>
    </w:div>
    <w:div w:id="388458301">
      <w:bodyDiv w:val="1"/>
      <w:marLeft w:val="0"/>
      <w:marRight w:val="0"/>
      <w:marTop w:val="0"/>
      <w:marBottom w:val="0"/>
      <w:divBdr>
        <w:top w:val="none" w:sz="0" w:space="0" w:color="auto"/>
        <w:left w:val="none" w:sz="0" w:space="0" w:color="auto"/>
        <w:bottom w:val="none" w:sz="0" w:space="0" w:color="auto"/>
        <w:right w:val="none" w:sz="0" w:space="0" w:color="auto"/>
      </w:divBdr>
    </w:div>
    <w:div w:id="392583089">
      <w:bodyDiv w:val="1"/>
      <w:marLeft w:val="0"/>
      <w:marRight w:val="0"/>
      <w:marTop w:val="0"/>
      <w:marBottom w:val="0"/>
      <w:divBdr>
        <w:top w:val="none" w:sz="0" w:space="0" w:color="auto"/>
        <w:left w:val="none" w:sz="0" w:space="0" w:color="auto"/>
        <w:bottom w:val="none" w:sz="0" w:space="0" w:color="auto"/>
        <w:right w:val="none" w:sz="0" w:space="0" w:color="auto"/>
      </w:divBdr>
    </w:div>
    <w:div w:id="410666773">
      <w:bodyDiv w:val="1"/>
      <w:marLeft w:val="0"/>
      <w:marRight w:val="0"/>
      <w:marTop w:val="0"/>
      <w:marBottom w:val="0"/>
      <w:divBdr>
        <w:top w:val="none" w:sz="0" w:space="0" w:color="auto"/>
        <w:left w:val="none" w:sz="0" w:space="0" w:color="auto"/>
        <w:bottom w:val="none" w:sz="0" w:space="0" w:color="auto"/>
        <w:right w:val="none" w:sz="0" w:space="0" w:color="auto"/>
      </w:divBdr>
    </w:div>
    <w:div w:id="412624794">
      <w:bodyDiv w:val="1"/>
      <w:marLeft w:val="0"/>
      <w:marRight w:val="0"/>
      <w:marTop w:val="0"/>
      <w:marBottom w:val="0"/>
      <w:divBdr>
        <w:top w:val="none" w:sz="0" w:space="0" w:color="auto"/>
        <w:left w:val="none" w:sz="0" w:space="0" w:color="auto"/>
        <w:bottom w:val="none" w:sz="0" w:space="0" w:color="auto"/>
        <w:right w:val="none" w:sz="0" w:space="0" w:color="auto"/>
      </w:divBdr>
    </w:div>
    <w:div w:id="418330089">
      <w:bodyDiv w:val="1"/>
      <w:marLeft w:val="0"/>
      <w:marRight w:val="0"/>
      <w:marTop w:val="0"/>
      <w:marBottom w:val="0"/>
      <w:divBdr>
        <w:top w:val="none" w:sz="0" w:space="0" w:color="auto"/>
        <w:left w:val="none" w:sz="0" w:space="0" w:color="auto"/>
        <w:bottom w:val="none" w:sz="0" w:space="0" w:color="auto"/>
        <w:right w:val="none" w:sz="0" w:space="0" w:color="auto"/>
      </w:divBdr>
    </w:div>
    <w:div w:id="520825076">
      <w:bodyDiv w:val="1"/>
      <w:marLeft w:val="0"/>
      <w:marRight w:val="0"/>
      <w:marTop w:val="0"/>
      <w:marBottom w:val="0"/>
      <w:divBdr>
        <w:top w:val="none" w:sz="0" w:space="0" w:color="auto"/>
        <w:left w:val="none" w:sz="0" w:space="0" w:color="auto"/>
        <w:bottom w:val="none" w:sz="0" w:space="0" w:color="auto"/>
        <w:right w:val="none" w:sz="0" w:space="0" w:color="auto"/>
      </w:divBdr>
    </w:div>
    <w:div w:id="545874741">
      <w:bodyDiv w:val="1"/>
      <w:marLeft w:val="0"/>
      <w:marRight w:val="0"/>
      <w:marTop w:val="0"/>
      <w:marBottom w:val="0"/>
      <w:divBdr>
        <w:top w:val="none" w:sz="0" w:space="0" w:color="auto"/>
        <w:left w:val="none" w:sz="0" w:space="0" w:color="auto"/>
        <w:bottom w:val="none" w:sz="0" w:space="0" w:color="auto"/>
        <w:right w:val="none" w:sz="0" w:space="0" w:color="auto"/>
      </w:divBdr>
    </w:div>
    <w:div w:id="566764571">
      <w:bodyDiv w:val="1"/>
      <w:marLeft w:val="0"/>
      <w:marRight w:val="0"/>
      <w:marTop w:val="0"/>
      <w:marBottom w:val="0"/>
      <w:divBdr>
        <w:top w:val="none" w:sz="0" w:space="0" w:color="auto"/>
        <w:left w:val="none" w:sz="0" w:space="0" w:color="auto"/>
        <w:bottom w:val="none" w:sz="0" w:space="0" w:color="auto"/>
        <w:right w:val="none" w:sz="0" w:space="0" w:color="auto"/>
      </w:divBdr>
    </w:div>
    <w:div w:id="572355851">
      <w:bodyDiv w:val="1"/>
      <w:marLeft w:val="0"/>
      <w:marRight w:val="0"/>
      <w:marTop w:val="0"/>
      <w:marBottom w:val="0"/>
      <w:divBdr>
        <w:top w:val="none" w:sz="0" w:space="0" w:color="auto"/>
        <w:left w:val="none" w:sz="0" w:space="0" w:color="auto"/>
        <w:bottom w:val="none" w:sz="0" w:space="0" w:color="auto"/>
        <w:right w:val="none" w:sz="0" w:space="0" w:color="auto"/>
      </w:divBdr>
    </w:div>
    <w:div w:id="584535616">
      <w:bodyDiv w:val="1"/>
      <w:marLeft w:val="0"/>
      <w:marRight w:val="0"/>
      <w:marTop w:val="0"/>
      <w:marBottom w:val="0"/>
      <w:divBdr>
        <w:top w:val="none" w:sz="0" w:space="0" w:color="auto"/>
        <w:left w:val="none" w:sz="0" w:space="0" w:color="auto"/>
        <w:bottom w:val="none" w:sz="0" w:space="0" w:color="auto"/>
        <w:right w:val="none" w:sz="0" w:space="0" w:color="auto"/>
      </w:divBdr>
    </w:div>
    <w:div w:id="584799405">
      <w:bodyDiv w:val="1"/>
      <w:marLeft w:val="0"/>
      <w:marRight w:val="0"/>
      <w:marTop w:val="0"/>
      <w:marBottom w:val="0"/>
      <w:divBdr>
        <w:top w:val="none" w:sz="0" w:space="0" w:color="auto"/>
        <w:left w:val="none" w:sz="0" w:space="0" w:color="auto"/>
        <w:bottom w:val="none" w:sz="0" w:space="0" w:color="auto"/>
        <w:right w:val="none" w:sz="0" w:space="0" w:color="auto"/>
      </w:divBdr>
    </w:div>
    <w:div w:id="599726499">
      <w:bodyDiv w:val="1"/>
      <w:marLeft w:val="0"/>
      <w:marRight w:val="0"/>
      <w:marTop w:val="0"/>
      <w:marBottom w:val="0"/>
      <w:divBdr>
        <w:top w:val="none" w:sz="0" w:space="0" w:color="auto"/>
        <w:left w:val="none" w:sz="0" w:space="0" w:color="auto"/>
        <w:bottom w:val="none" w:sz="0" w:space="0" w:color="auto"/>
        <w:right w:val="none" w:sz="0" w:space="0" w:color="auto"/>
      </w:divBdr>
    </w:div>
    <w:div w:id="627589832">
      <w:bodyDiv w:val="1"/>
      <w:marLeft w:val="0"/>
      <w:marRight w:val="0"/>
      <w:marTop w:val="0"/>
      <w:marBottom w:val="0"/>
      <w:divBdr>
        <w:top w:val="none" w:sz="0" w:space="0" w:color="auto"/>
        <w:left w:val="none" w:sz="0" w:space="0" w:color="auto"/>
        <w:bottom w:val="none" w:sz="0" w:space="0" w:color="auto"/>
        <w:right w:val="none" w:sz="0" w:space="0" w:color="auto"/>
      </w:divBdr>
    </w:div>
    <w:div w:id="650330126">
      <w:bodyDiv w:val="1"/>
      <w:marLeft w:val="0"/>
      <w:marRight w:val="0"/>
      <w:marTop w:val="0"/>
      <w:marBottom w:val="0"/>
      <w:divBdr>
        <w:top w:val="none" w:sz="0" w:space="0" w:color="auto"/>
        <w:left w:val="none" w:sz="0" w:space="0" w:color="auto"/>
        <w:bottom w:val="none" w:sz="0" w:space="0" w:color="auto"/>
        <w:right w:val="none" w:sz="0" w:space="0" w:color="auto"/>
      </w:divBdr>
    </w:div>
    <w:div w:id="719599279">
      <w:bodyDiv w:val="1"/>
      <w:marLeft w:val="0"/>
      <w:marRight w:val="0"/>
      <w:marTop w:val="0"/>
      <w:marBottom w:val="0"/>
      <w:divBdr>
        <w:top w:val="none" w:sz="0" w:space="0" w:color="auto"/>
        <w:left w:val="none" w:sz="0" w:space="0" w:color="auto"/>
        <w:bottom w:val="none" w:sz="0" w:space="0" w:color="auto"/>
        <w:right w:val="none" w:sz="0" w:space="0" w:color="auto"/>
      </w:divBdr>
    </w:div>
    <w:div w:id="733234682">
      <w:bodyDiv w:val="1"/>
      <w:marLeft w:val="0"/>
      <w:marRight w:val="0"/>
      <w:marTop w:val="0"/>
      <w:marBottom w:val="0"/>
      <w:divBdr>
        <w:top w:val="none" w:sz="0" w:space="0" w:color="auto"/>
        <w:left w:val="none" w:sz="0" w:space="0" w:color="auto"/>
        <w:bottom w:val="none" w:sz="0" w:space="0" w:color="auto"/>
        <w:right w:val="none" w:sz="0" w:space="0" w:color="auto"/>
      </w:divBdr>
    </w:div>
    <w:div w:id="750546105">
      <w:bodyDiv w:val="1"/>
      <w:marLeft w:val="0"/>
      <w:marRight w:val="0"/>
      <w:marTop w:val="0"/>
      <w:marBottom w:val="0"/>
      <w:divBdr>
        <w:top w:val="none" w:sz="0" w:space="0" w:color="auto"/>
        <w:left w:val="none" w:sz="0" w:space="0" w:color="auto"/>
        <w:bottom w:val="none" w:sz="0" w:space="0" w:color="auto"/>
        <w:right w:val="none" w:sz="0" w:space="0" w:color="auto"/>
      </w:divBdr>
    </w:div>
    <w:div w:id="784423933">
      <w:bodyDiv w:val="1"/>
      <w:marLeft w:val="0"/>
      <w:marRight w:val="0"/>
      <w:marTop w:val="0"/>
      <w:marBottom w:val="0"/>
      <w:divBdr>
        <w:top w:val="none" w:sz="0" w:space="0" w:color="auto"/>
        <w:left w:val="none" w:sz="0" w:space="0" w:color="auto"/>
        <w:bottom w:val="none" w:sz="0" w:space="0" w:color="auto"/>
        <w:right w:val="none" w:sz="0" w:space="0" w:color="auto"/>
      </w:divBdr>
    </w:div>
    <w:div w:id="790826453">
      <w:bodyDiv w:val="1"/>
      <w:marLeft w:val="0"/>
      <w:marRight w:val="0"/>
      <w:marTop w:val="0"/>
      <w:marBottom w:val="0"/>
      <w:divBdr>
        <w:top w:val="none" w:sz="0" w:space="0" w:color="auto"/>
        <w:left w:val="none" w:sz="0" w:space="0" w:color="auto"/>
        <w:bottom w:val="none" w:sz="0" w:space="0" w:color="auto"/>
        <w:right w:val="none" w:sz="0" w:space="0" w:color="auto"/>
      </w:divBdr>
    </w:div>
    <w:div w:id="817921389">
      <w:bodyDiv w:val="1"/>
      <w:marLeft w:val="0"/>
      <w:marRight w:val="0"/>
      <w:marTop w:val="0"/>
      <w:marBottom w:val="0"/>
      <w:divBdr>
        <w:top w:val="none" w:sz="0" w:space="0" w:color="auto"/>
        <w:left w:val="none" w:sz="0" w:space="0" w:color="auto"/>
        <w:bottom w:val="none" w:sz="0" w:space="0" w:color="auto"/>
        <w:right w:val="none" w:sz="0" w:space="0" w:color="auto"/>
      </w:divBdr>
    </w:div>
    <w:div w:id="851530392">
      <w:bodyDiv w:val="1"/>
      <w:marLeft w:val="0"/>
      <w:marRight w:val="0"/>
      <w:marTop w:val="0"/>
      <w:marBottom w:val="0"/>
      <w:divBdr>
        <w:top w:val="none" w:sz="0" w:space="0" w:color="auto"/>
        <w:left w:val="none" w:sz="0" w:space="0" w:color="auto"/>
        <w:bottom w:val="none" w:sz="0" w:space="0" w:color="auto"/>
        <w:right w:val="none" w:sz="0" w:space="0" w:color="auto"/>
      </w:divBdr>
    </w:div>
    <w:div w:id="858129778">
      <w:bodyDiv w:val="1"/>
      <w:marLeft w:val="0"/>
      <w:marRight w:val="0"/>
      <w:marTop w:val="0"/>
      <w:marBottom w:val="0"/>
      <w:divBdr>
        <w:top w:val="none" w:sz="0" w:space="0" w:color="auto"/>
        <w:left w:val="none" w:sz="0" w:space="0" w:color="auto"/>
        <w:bottom w:val="none" w:sz="0" w:space="0" w:color="auto"/>
        <w:right w:val="none" w:sz="0" w:space="0" w:color="auto"/>
      </w:divBdr>
    </w:div>
    <w:div w:id="860699629">
      <w:bodyDiv w:val="1"/>
      <w:marLeft w:val="0"/>
      <w:marRight w:val="0"/>
      <w:marTop w:val="0"/>
      <w:marBottom w:val="0"/>
      <w:divBdr>
        <w:top w:val="none" w:sz="0" w:space="0" w:color="auto"/>
        <w:left w:val="none" w:sz="0" w:space="0" w:color="auto"/>
        <w:bottom w:val="none" w:sz="0" w:space="0" w:color="auto"/>
        <w:right w:val="none" w:sz="0" w:space="0" w:color="auto"/>
      </w:divBdr>
    </w:div>
    <w:div w:id="876088522">
      <w:bodyDiv w:val="1"/>
      <w:marLeft w:val="0"/>
      <w:marRight w:val="0"/>
      <w:marTop w:val="0"/>
      <w:marBottom w:val="0"/>
      <w:divBdr>
        <w:top w:val="none" w:sz="0" w:space="0" w:color="auto"/>
        <w:left w:val="none" w:sz="0" w:space="0" w:color="auto"/>
        <w:bottom w:val="none" w:sz="0" w:space="0" w:color="auto"/>
        <w:right w:val="none" w:sz="0" w:space="0" w:color="auto"/>
      </w:divBdr>
    </w:div>
    <w:div w:id="883371384">
      <w:bodyDiv w:val="1"/>
      <w:marLeft w:val="0"/>
      <w:marRight w:val="0"/>
      <w:marTop w:val="0"/>
      <w:marBottom w:val="0"/>
      <w:divBdr>
        <w:top w:val="none" w:sz="0" w:space="0" w:color="auto"/>
        <w:left w:val="none" w:sz="0" w:space="0" w:color="auto"/>
        <w:bottom w:val="none" w:sz="0" w:space="0" w:color="auto"/>
        <w:right w:val="none" w:sz="0" w:space="0" w:color="auto"/>
      </w:divBdr>
    </w:div>
    <w:div w:id="888999528">
      <w:bodyDiv w:val="1"/>
      <w:marLeft w:val="0"/>
      <w:marRight w:val="0"/>
      <w:marTop w:val="0"/>
      <w:marBottom w:val="0"/>
      <w:divBdr>
        <w:top w:val="none" w:sz="0" w:space="0" w:color="auto"/>
        <w:left w:val="none" w:sz="0" w:space="0" w:color="auto"/>
        <w:bottom w:val="none" w:sz="0" w:space="0" w:color="auto"/>
        <w:right w:val="none" w:sz="0" w:space="0" w:color="auto"/>
      </w:divBdr>
    </w:div>
    <w:div w:id="894586083">
      <w:bodyDiv w:val="1"/>
      <w:marLeft w:val="0"/>
      <w:marRight w:val="0"/>
      <w:marTop w:val="0"/>
      <w:marBottom w:val="0"/>
      <w:divBdr>
        <w:top w:val="none" w:sz="0" w:space="0" w:color="auto"/>
        <w:left w:val="none" w:sz="0" w:space="0" w:color="auto"/>
        <w:bottom w:val="none" w:sz="0" w:space="0" w:color="auto"/>
        <w:right w:val="none" w:sz="0" w:space="0" w:color="auto"/>
      </w:divBdr>
    </w:div>
    <w:div w:id="952589481">
      <w:bodyDiv w:val="1"/>
      <w:marLeft w:val="0"/>
      <w:marRight w:val="0"/>
      <w:marTop w:val="0"/>
      <w:marBottom w:val="0"/>
      <w:divBdr>
        <w:top w:val="none" w:sz="0" w:space="0" w:color="auto"/>
        <w:left w:val="none" w:sz="0" w:space="0" w:color="auto"/>
        <w:bottom w:val="none" w:sz="0" w:space="0" w:color="auto"/>
        <w:right w:val="none" w:sz="0" w:space="0" w:color="auto"/>
      </w:divBdr>
    </w:div>
    <w:div w:id="955990009">
      <w:bodyDiv w:val="1"/>
      <w:marLeft w:val="0"/>
      <w:marRight w:val="0"/>
      <w:marTop w:val="0"/>
      <w:marBottom w:val="0"/>
      <w:divBdr>
        <w:top w:val="none" w:sz="0" w:space="0" w:color="auto"/>
        <w:left w:val="none" w:sz="0" w:space="0" w:color="auto"/>
        <w:bottom w:val="none" w:sz="0" w:space="0" w:color="auto"/>
        <w:right w:val="none" w:sz="0" w:space="0" w:color="auto"/>
      </w:divBdr>
    </w:div>
    <w:div w:id="968971787">
      <w:bodyDiv w:val="1"/>
      <w:marLeft w:val="0"/>
      <w:marRight w:val="0"/>
      <w:marTop w:val="0"/>
      <w:marBottom w:val="0"/>
      <w:divBdr>
        <w:top w:val="none" w:sz="0" w:space="0" w:color="auto"/>
        <w:left w:val="none" w:sz="0" w:space="0" w:color="auto"/>
        <w:bottom w:val="none" w:sz="0" w:space="0" w:color="auto"/>
        <w:right w:val="none" w:sz="0" w:space="0" w:color="auto"/>
      </w:divBdr>
    </w:div>
    <w:div w:id="996767355">
      <w:bodyDiv w:val="1"/>
      <w:marLeft w:val="0"/>
      <w:marRight w:val="0"/>
      <w:marTop w:val="0"/>
      <w:marBottom w:val="0"/>
      <w:divBdr>
        <w:top w:val="none" w:sz="0" w:space="0" w:color="auto"/>
        <w:left w:val="none" w:sz="0" w:space="0" w:color="auto"/>
        <w:bottom w:val="none" w:sz="0" w:space="0" w:color="auto"/>
        <w:right w:val="none" w:sz="0" w:space="0" w:color="auto"/>
      </w:divBdr>
    </w:div>
    <w:div w:id="1023432976">
      <w:bodyDiv w:val="1"/>
      <w:marLeft w:val="0"/>
      <w:marRight w:val="0"/>
      <w:marTop w:val="0"/>
      <w:marBottom w:val="0"/>
      <w:divBdr>
        <w:top w:val="none" w:sz="0" w:space="0" w:color="auto"/>
        <w:left w:val="none" w:sz="0" w:space="0" w:color="auto"/>
        <w:bottom w:val="none" w:sz="0" w:space="0" w:color="auto"/>
        <w:right w:val="none" w:sz="0" w:space="0" w:color="auto"/>
      </w:divBdr>
    </w:div>
    <w:div w:id="1039354635">
      <w:bodyDiv w:val="1"/>
      <w:marLeft w:val="0"/>
      <w:marRight w:val="0"/>
      <w:marTop w:val="0"/>
      <w:marBottom w:val="0"/>
      <w:divBdr>
        <w:top w:val="none" w:sz="0" w:space="0" w:color="auto"/>
        <w:left w:val="none" w:sz="0" w:space="0" w:color="auto"/>
        <w:bottom w:val="none" w:sz="0" w:space="0" w:color="auto"/>
        <w:right w:val="none" w:sz="0" w:space="0" w:color="auto"/>
      </w:divBdr>
    </w:div>
    <w:div w:id="1087187551">
      <w:bodyDiv w:val="1"/>
      <w:marLeft w:val="0"/>
      <w:marRight w:val="0"/>
      <w:marTop w:val="0"/>
      <w:marBottom w:val="0"/>
      <w:divBdr>
        <w:top w:val="none" w:sz="0" w:space="0" w:color="auto"/>
        <w:left w:val="none" w:sz="0" w:space="0" w:color="auto"/>
        <w:bottom w:val="none" w:sz="0" w:space="0" w:color="auto"/>
        <w:right w:val="none" w:sz="0" w:space="0" w:color="auto"/>
      </w:divBdr>
    </w:div>
    <w:div w:id="1100880887">
      <w:bodyDiv w:val="1"/>
      <w:marLeft w:val="0"/>
      <w:marRight w:val="0"/>
      <w:marTop w:val="0"/>
      <w:marBottom w:val="0"/>
      <w:divBdr>
        <w:top w:val="none" w:sz="0" w:space="0" w:color="auto"/>
        <w:left w:val="none" w:sz="0" w:space="0" w:color="auto"/>
        <w:bottom w:val="none" w:sz="0" w:space="0" w:color="auto"/>
        <w:right w:val="none" w:sz="0" w:space="0" w:color="auto"/>
      </w:divBdr>
    </w:div>
    <w:div w:id="1110324169">
      <w:bodyDiv w:val="1"/>
      <w:marLeft w:val="0"/>
      <w:marRight w:val="0"/>
      <w:marTop w:val="0"/>
      <w:marBottom w:val="0"/>
      <w:divBdr>
        <w:top w:val="none" w:sz="0" w:space="0" w:color="auto"/>
        <w:left w:val="none" w:sz="0" w:space="0" w:color="auto"/>
        <w:bottom w:val="none" w:sz="0" w:space="0" w:color="auto"/>
        <w:right w:val="none" w:sz="0" w:space="0" w:color="auto"/>
      </w:divBdr>
    </w:div>
    <w:div w:id="1119488905">
      <w:bodyDiv w:val="1"/>
      <w:marLeft w:val="0"/>
      <w:marRight w:val="0"/>
      <w:marTop w:val="0"/>
      <w:marBottom w:val="0"/>
      <w:divBdr>
        <w:top w:val="none" w:sz="0" w:space="0" w:color="auto"/>
        <w:left w:val="none" w:sz="0" w:space="0" w:color="auto"/>
        <w:bottom w:val="none" w:sz="0" w:space="0" w:color="auto"/>
        <w:right w:val="none" w:sz="0" w:space="0" w:color="auto"/>
      </w:divBdr>
    </w:div>
    <w:div w:id="1163547717">
      <w:bodyDiv w:val="1"/>
      <w:marLeft w:val="0"/>
      <w:marRight w:val="0"/>
      <w:marTop w:val="0"/>
      <w:marBottom w:val="0"/>
      <w:divBdr>
        <w:top w:val="none" w:sz="0" w:space="0" w:color="auto"/>
        <w:left w:val="none" w:sz="0" w:space="0" w:color="auto"/>
        <w:bottom w:val="none" w:sz="0" w:space="0" w:color="auto"/>
        <w:right w:val="none" w:sz="0" w:space="0" w:color="auto"/>
      </w:divBdr>
    </w:div>
    <w:div w:id="1249459535">
      <w:bodyDiv w:val="1"/>
      <w:marLeft w:val="0"/>
      <w:marRight w:val="0"/>
      <w:marTop w:val="0"/>
      <w:marBottom w:val="0"/>
      <w:divBdr>
        <w:top w:val="none" w:sz="0" w:space="0" w:color="auto"/>
        <w:left w:val="none" w:sz="0" w:space="0" w:color="auto"/>
        <w:bottom w:val="none" w:sz="0" w:space="0" w:color="auto"/>
        <w:right w:val="none" w:sz="0" w:space="0" w:color="auto"/>
      </w:divBdr>
    </w:div>
    <w:div w:id="1254704987">
      <w:bodyDiv w:val="1"/>
      <w:marLeft w:val="0"/>
      <w:marRight w:val="0"/>
      <w:marTop w:val="0"/>
      <w:marBottom w:val="0"/>
      <w:divBdr>
        <w:top w:val="none" w:sz="0" w:space="0" w:color="auto"/>
        <w:left w:val="none" w:sz="0" w:space="0" w:color="auto"/>
        <w:bottom w:val="none" w:sz="0" w:space="0" w:color="auto"/>
        <w:right w:val="none" w:sz="0" w:space="0" w:color="auto"/>
      </w:divBdr>
    </w:div>
    <w:div w:id="1357929751">
      <w:bodyDiv w:val="1"/>
      <w:marLeft w:val="0"/>
      <w:marRight w:val="0"/>
      <w:marTop w:val="0"/>
      <w:marBottom w:val="0"/>
      <w:divBdr>
        <w:top w:val="none" w:sz="0" w:space="0" w:color="auto"/>
        <w:left w:val="none" w:sz="0" w:space="0" w:color="auto"/>
        <w:bottom w:val="none" w:sz="0" w:space="0" w:color="auto"/>
        <w:right w:val="none" w:sz="0" w:space="0" w:color="auto"/>
      </w:divBdr>
    </w:div>
    <w:div w:id="1359158553">
      <w:bodyDiv w:val="1"/>
      <w:marLeft w:val="0"/>
      <w:marRight w:val="0"/>
      <w:marTop w:val="0"/>
      <w:marBottom w:val="0"/>
      <w:divBdr>
        <w:top w:val="none" w:sz="0" w:space="0" w:color="auto"/>
        <w:left w:val="none" w:sz="0" w:space="0" w:color="auto"/>
        <w:bottom w:val="none" w:sz="0" w:space="0" w:color="auto"/>
        <w:right w:val="none" w:sz="0" w:space="0" w:color="auto"/>
      </w:divBdr>
    </w:div>
    <w:div w:id="1364941681">
      <w:bodyDiv w:val="1"/>
      <w:marLeft w:val="0"/>
      <w:marRight w:val="0"/>
      <w:marTop w:val="0"/>
      <w:marBottom w:val="0"/>
      <w:divBdr>
        <w:top w:val="none" w:sz="0" w:space="0" w:color="auto"/>
        <w:left w:val="none" w:sz="0" w:space="0" w:color="auto"/>
        <w:bottom w:val="none" w:sz="0" w:space="0" w:color="auto"/>
        <w:right w:val="none" w:sz="0" w:space="0" w:color="auto"/>
      </w:divBdr>
    </w:div>
    <w:div w:id="1382705540">
      <w:bodyDiv w:val="1"/>
      <w:marLeft w:val="0"/>
      <w:marRight w:val="0"/>
      <w:marTop w:val="0"/>
      <w:marBottom w:val="0"/>
      <w:divBdr>
        <w:top w:val="none" w:sz="0" w:space="0" w:color="auto"/>
        <w:left w:val="none" w:sz="0" w:space="0" w:color="auto"/>
        <w:bottom w:val="none" w:sz="0" w:space="0" w:color="auto"/>
        <w:right w:val="none" w:sz="0" w:space="0" w:color="auto"/>
      </w:divBdr>
    </w:div>
    <w:div w:id="1394885069">
      <w:bodyDiv w:val="1"/>
      <w:marLeft w:val="0"/>
      <w:marRight w:val="0"/>
      <w:marTop w:val="0"/>
      <w:marBottom w:val="0"/>
      <w:divBdr>
        <w:top w:val="none" w:sz="0" w:space="0" w:color="auto"/>
        <w:left w:val="none" w:sz="0" w:space="0" w:color="auto"/>
        <w:bottom w:val="none" w:sz="0" w:space="0" w:color="auto"/>
        <w:right w:val="none" w:sz="0" w:space="0" w:color="auto"/>
      </w:divBdr>
    </w:div>
    <w:div w:id="1415588258">
      <w:bodyDiv w:val="1"/>
      <w:marLeft w:val="0"/>
      <w:marRight w:val="0"/>
      <w:marTop w:val="0"/>
      <w:marBottom w:val="0"/>
      <w:divBdr>
        <w:top w:val="none" w:sz="0" w:space="0" w:color="auto"/>
        <w:left w:val="none" w:sz="0" w:space="0" w:color="auto"/>
        <w:bottom w:val="none" w:sz="0" w:space="0" w:color="auto"/>
        <w:right w:val="none" w:sz="0" w:space="0" w:color="auto"/>
      </w:divBdr>
    </w:div>
    <w:div w:id="1420253268">
      <w:bodyDiv w:val="1"/>
      <w:marLeft w:val="0"/>
      <w:marRight w:val="0"/>
      <w:marTop w:val="0"/>
      <w:marBottom w:val="0"/>
      <w:divBdr>
        <w:top w:val="none" w:sz="0" w:space="0" w:color="auto"/>
        <w:left w:val="none" w:sz="0" w:space="0" w:color="auto"/>
        <w:bottom w:val="none" w:sz="0" w:space="0" w:color="auto"/>
        <w:right w:val="none" w:sz="0" w:space="0" w:color="auto"/>
      </w:divBdr>
    </w:div>
    <w:div w:id="1450120594">
      <w:bodyDiv w:val="1"/>
      <w:marLeft w:val="0"/>
      <w:marRight w:val="0"/>
      <w:marTop w:val="0"/>
      <w:marBottom w:val="0"/>
      <w:divBdr>
        <w:top w:val="none" w:sz="0" w:space="0" w:color="auto"/>
        <w:left w:val="none" w:sz="0" w:space="0" w:color="auto"/>
        <w:bottom w:val="none" w:sz="0" w:space="0" w:color="auto"/>
        <w:right w:val="none" w:sz="0" w:space="0" w:color="auto"/>
      </w:divBdr>
    </w:div>
    <w:div w:id="1452553209">
      <w:bodyDiv w:val="1"/>
      <w:marLeft w:val="0"/>
      <w:marRight w:val="0"/>
      <w:marTop w:val="0"/>
      <w:marBottom w:val="0"/>
      <w:divBdr>
        <w:top w:val="none" w:sz="0" w:space="0" w:color="auto"/>
        <w:left w:val="none" w:sz="0" w:space="0" w:color="auto"/>
        <w:bottom w:val="none" w:sz="0" w:space="0" w:color="auto"/>
        <w:right w:val="none" w:sz="0" w:space="0" w:color="auto"/>
      </w:divBdr>
    </w:div>
    <w:div w:id="1477338707">
      <w:bodyDiv w:val="1"/>
      <w:marLeft w:val="0"/>
      <w:marRight w:val="0"/>
      <w:marTop w:val="0"/>
      <w:marBottom w:val="0"/>
      <w:divBdr>
        <w:top w:val="none" w:sz="0" w:space="0" w:color="auto"/>
        <w:left w:val="none" w:sz="0" w:space="0" w:color="auto"/>
        <w:bottom w:val="none" w:sz="0" w:space="0" w:color="auto"/>
        <w:right w:val="none" w:sz="0" w:space="0" w:color="auto"/>
      </w:divBdr>
    </w:div>
    <w:div w:id="1496609210">
      <w:bodyDiv w:val="1"/>
      <w:marLeft w:val="0"/>
      <w:marRight w:val="0"/>
      <w:marTop w:val="0"/>
      <w:marBottom w:val="0"/>
      <w:divBdr>
        <w:top w:val="none" w:sz="0" w:space="0" w:color="auto"/>
        <w:left w:val="none" w:sz="0" w:space="0" w:color="auto"/>
        <w:bottom w:val="none" w:sz="0" w:space="0" w:color="auto"/>
        <w:right w:val="none" w:sz="0" w:space="0" w:color="auto"/>
      </w:divBdr>
    </w:div>
    <w:div w:id="1562784946">
      <w:bodyDiv w:val="1"/>
      <w:marLeft w:val="0"/>
      <w:marRight w:val="0"/>
      <w:marTop w:val="0"/>
      <w:marBottom w:val="0"/>
      <w:divBdr>
        <w:top w:val="none" w:sz="0" w:space="0" w:color="auto"/>
        <w:left w:val="none" w:sz="0" w:space="0" w:color="auto"/>
        <w:bottom w:val="none" w:sz="0" w:space="0" w:color="auto"/>
        <w:right w:val="none" w:sz="0" w:space="0" w:color="auto"/>
      </w:divBdr>
    </w:div>
    <w:div w:id="1565949651">
      <w:bodyDiv w:val="1"/>
      <w:marLeft w:val="0"/>
      <w:marRight w:val="0"/>
      <w:marTop w:val="0"/>
      <w:marBottom w:val="0"/>
      <w:divBdr>
        <w:top w:val="none" w:sz="0" w:space="0" w:color="auto"/>
        <w:left w:val="none" w:sz="0" w:space="0" w:color="auto"/>
        <w:bottom w:val="none" w:sz="0" w:space="0" w:color="auto"/>
        <w:right w:val="none" w:sz="0" w:space="0" w:color="auto"/>
      </w:divBdr>
    </w:div>
    <w:div w:id="1576084801">
      <w:bodyDiv w:val="1"/>
      <w:marLeft w:val="0"/>
      <w:marRight w:val="0"/>
      <w:marTop w:val="0"/>
      <w:marBottom w:val="0"/>
      <w:divBdr>
        <w:top w:val="none" w:sz="0" w:space="0" w:color="auto"/>
        <w:left w:val="none" w:sz="0" w:space="0" w:color="auto"/>
        <w:bottom w:val="none" w:sz="0" w:space="0" w:color="auto"/>
        <w:right w:val="none" w:sz="0" w:space="0" w:color="auto"/>
      </w:divBdr>
    </w:div>
    <w:div w:id="1580751764">
      <w:bodyDiv w:val="1"/>
      <w:marLeft w:val="0"/>
      <w:marRight w:val="0"/>
      <w:marTop w:val="0"/>
      <w:marBottom w:val="0"/>
      <w:divBdr>
        <w:top w:val="none" w:sz="0" w:space="0" w:color="auto"/>
        <w:left w:val="none" w:sz="0" w:space="0" w:color="auto"/>
        <w:bottom w:val="none" w:sz="0" w:space="0" w:color="auto"/>
        <w:right w:val="none" w:sz="0" w:space="0" w:color="auto"/>
      </w:divBdr>
    </w:div>
    <w:div w:id="1583837639">
      <w:bodyDiv w:val="1"/>
      <w:marLeft w:val="0"/>
      <w:marRight w:val="0"/>
      <w:marTop w:val="0"/>
      <w:marBottom w:val="0"/>
      <w:divBdr>
        <w:top w:val="none" w:sz="0" w:space="0" w:color="auto"/>
        <w:left w:val="none" w:sz="0" w:space="0" w:color="auto"/>
        <w:bottom w:val="none" w:sz="0" w:space="0" w:color="auto"/>
        <w:right w:val="none" w:sz="0" w:space="0" w:color="auto"/>
      </w:divBdr>
    </w:div>
    <w:div w:id="1614436252">
      <w:bodyDiv w:val="1"/>
      <w:marLeft w:val="0"/>
      <w:marRight w:val="0"/>
      <w:marTop w:val="0"/>
      <w:marBottom w:val="0"/>
      <w:divBdr>
        <w:top w:val="none" w:sz="0" w:space="0" w:color="auto"/>
        <w:left w:val="none" w:sz="0" w:space="0" w:color="auto"/>
        <w:bottom w:val="none" w:sz="0" w:space="0" w:color="auto"/>
        <w:right w:val="none" w:sz="0" w:space="0" w:color="auto"/>
      </w:divBdr>
    </w:div>
    <w:div w:id="1616594004">
      <w:bodyDiv w:val="1"/>
      <w:marLeft w:val="0"/>
      <w:marRight w:val="0"/>
      <w:marTop w:val="0"/>
      <w:marBottom w:val="0"/>
      <w:divBdr>
        <w:top w:val="none" w:sz="0" w:space="0" w:color="auto"/>
        <w:left w:val="none" w:sz="0" w:space="0" w:color="auto"/>
        <w:bottom w:val="none" w:sz="0" w:space="0" w:color="auto"/>
        <w:right w:val="none" w:sz="0" w:space="0" w:color="auto"/>
      </w:divBdr>
    </w:div>
    <w:div w:id="1618412219">
      <w:bodyDiv w:val="1"/>
      <w:marLeft w:val="0"/>
      <w:marRight w:val="0"/>
      <w:marTop w:val="0"/>
      <w:marBottom w:val="0"/>
      <w:divBdr>
        <w:top w:val="none" w:sz="0" w:space="0" w:color="auto"/>
        <w:left w:val="none" w:sz="0" w:space="0" w:color="auto"/>
        <w:bottom w:val="none" w:sz="0" w:space="0" w:color="auto"/>
        <w:right w:val="none" w:sz="0" w:space="0" w:color="auto"/>
      </w:divBdr>
    </w:div>
    <w:div w:id="1687713682">
      <w:bodyDiv w:val="1"/>
      <w:marLeft w:val="0"/>
      <w:marRight w:val="0"/>
      <w:marTop w:val="0"/>
      <w:marBottom w:val="0"/>
      <w:divBdr>
        <w:top w:val="none" w:sz="0" w:space="0" w:color="auto"/>
        <w:left w:val="none" w:sz="0" w:space="0" w:color="auto"/>
        <w:bottom w:val="none" w:sz="0" w:space="0" w:color="auto"/>
        <w:right w:val="none" w:sz="0" w:space="0" w:color="auto"/>
      </w:divBdr>
    </w:div>
    <w:div w:id="1697854362">
      <w:bodyDiv w:val="1"/>
      <w:marLeft w:val="0"/>
      <w:marRight w:val="0"/>
      <w:marTop w:val="0"/>
      <w:marBottom w:val="0"/>
      <w:divBdr>
        <w:top w:val="none" w:sz="0" w:space="0" w:color="auto"/>
        <w:left w:val="none" w:sz="0" w:space="0" w:color="auto"/>
        <w:bottom w:val="none" w:sz="0" w:space="0" w:color="auto"/>
        <w:right w:val="none" w:sz="0" w:space="0" w:color="auto"/>
      </w:divBdr>
    </w:div>
    <w:div w:id="1751849503">
      <w:bodyDiv w:val="1"/>
      <w:marLeft w:val="0"/>
      <w:marRight w:val="0"/>
      <w:marTop w:val="0"/>
      <w:marBottom w:val="0"/>
      <w:divBdr>
        <w:top w:val="none" w:sz="0" w:space="0" w:color="auto"/>
        <w:left w:val="none" w:sz="0" w:space="0" w:color="auto"/>
        <w:bottom w:val="none" w:sz="0" w:space="0" w:color="auto"/>
        <w:right w:val="none" w:sz="0" w:space="0" w:color="auto"/>
      </w:divBdr>
    </w:div>
    <w:div w:id="1783573191">
      <w:bodyDiv w:val="1"/>
      <w:marLeft w:val="0"/>
      <w:marRight w:val="0"/>
      <w:marTop w:val="0"/>
      <w:marBottom w:val="0"/>
      <w:divBdr>
        <w:top w:val="none" w:sz="0" w:space="0" w:color="auto"/>
        <w:left w:val="none" w:sz="0" w:space="0" w:color="auto"/>
        <w:bottom w:val="none" w:sz="0" w:space="0" w:color="auto"/>
        <w:right w:val="none" w:sz="0" w:space="0" w:color="auto"/>
      </w:divBdr>
    </w:div>
    <w:div w:id="1793556428">
      <w:bodyDiv w:val="1"/>
      <w:marLeft w:val="0"/>
      <w:marRight w:val="0"/>
      <w:marTop w:val="0"/>
      <w:marBottom w:val="0"/>
      <w:divBdr>
        <w:top w:val="none" w:sz="0" w:space="0" w:color="auto"/>
        <w:left w:val="none" w:sz="0" w:space="0" w:color="auto"/>
        <w:bottom w:val="none" w:sz="0" w:space="0" w:color="auto"/>
        <w:right w:val="none" w:sz="0" w:space="0" w:color="auto"/>
      </w:divBdr>
    </w:div>
    <w:div w:id="1800151815">
      <w:bodyDiv w:val="1"/>
      <w:marLeft w:val="0"/>
      <w:marRight w:val="0"/>
      <w:marTop w:val="0"/>
      <w:marBottom w:val="0"/>
      <w:divBdr>
        <w:top w:val="none" w:sz="0" w:space="0" w:color="auto"/>
        <w:left w:val="none" w:sz="0" w:space="0" w:color="auto"/>
        <w:bottom w:val="none" w:sz="0" w:space="0" w:color="auto"/>
        <w:right w:val="none" w:sz="0" w:space="0" w:color="auto"/>
      </w:divBdr>
    </w:div>
    <w:div w:id="1801074455">
      <w:bodyDiv w:val="1"/>
      <w:marLeft w:val="0"/>
      <w:marRight w:val="0"/>
      <w:marTop w:val="0"/>
      <w:marBottom w:val="0"/>
      <w:divBdr>
        <w:top w:val="none" w:sz="0" w:space="0" w:color="auto"/>
        <w:left w:val="none" w:sz="0" w:space="0" w:color="auto"/>
        <w:bottom w:val="none" w:sz="0" w:space="0" w:color="auto"/>
        <w:right w:val="none" w:sz="0" w:space="0" w:color="auto"/>
      </w:divBdr>
    </w:div>
    <w:div w:id="1808813652">
      <w:bodyDiv w:val="1"/>
      <w:marLeft w:val="0"/>
      <w:marRight w:val="0"/>
      <w:marTop w:val="0"/>
      <w:marBottom w:val="0"/>
      <w:divBdr>
        <w:top w:val="none" w:sz="0" w:space="0" w:color="auto"/>
        <w:left w:val="none" w:sz="0" w:space="0" w:color="auto"/>
        <w:bottom w:val="none" w:sz="0" w:space="0" w:color="auto"/>
        <w:right w:val="none" w:sz="0" w:space="0" w:color="auto"/>
      </w:divBdr>
    </w:div>
    <w:div w:id="1820077793">
      <w:bodyDiv w:val="1"/>
      <w:marLeft w:val="0"/>
      <w:marRight w:val="0"/>
      <w:marTop w:val="0"/>
      <w:marBottom w:val="0"/>
      <w:divBdr>
        <w:top w:val="none" w:sz="0" w:space="0" w:color="auto"/>
        <w:left w:val="none" w:sz="0" w:space="0" w:color="auto"/>
        <w:bottom w:val="none" w:sz="0" w:space="0" w:color="auto"/>
        <w:right w:val="none" w:sz="0" w:space="0" w:color="auto"/>
      </w:divBdr>
    </w:div>
    <w:div w:id="1833762957">
      <w:bodyDiv w:val="1"/>
      <w:marLeft w:val="0"/>
      <w:marRight w:val="0"/>
      <w:marTop w:val="0"/>
      <w:marBottom w:val="0"/>
      <w:divBdr>
        <w:top w:val="none" w:sz="0" w:space="0" w:color="auto"/>
        <w:left w:val="none" w:sz="0" w:space="0" w:color="auto"/>
        <w:bottom w:val="none" w:sz="0" w:space="0" w:color="auto"/>
        <w:right w:val="none" w:sz="0" w:space="0" w:color="auto"/>
      </w:divBdr>
      <w:divsChild>
        <w:div w:id="1838575483">
          <w:marLeft w:val="0"/>
          <w:marRight w:val="0"/>
          <w:marTop w:val="0"/>
          <w:marBottom w:val="0"/>
          <w:divBdr>
            <w:top w:val="none" w:sz="0" w:space="0" w:color="auto"/>
            <w:left w:val="none" w:sz="0" w:space="0" w:color="auto"/>
            <w:bottom w:val="none" w:sz="0" w:space="0" w:color="auto"/>
            <w:right w:val="none" w:sz="0" w:space="0" w:color="auto"/>
          </w:divBdr>
          <w:divsChild>
            <w:div w:id="18355718">
              <w:marLeft w:val="0"/>
              <w:marRight w:val="0"/>
              <w:marTop w:val="0"/>
              <w:marBottom w:val="0"/>
              <w:divBdr>
                <w:top w:val="none" w:sz="0" w:space="0" w:color="auto"/>
                <w:left w:val="none" w:sz="0" w:space="0" w:color="auto"/>
                <w:bottom w:val="none" w:sz="0" w:space="0" w:color="auto"/>
                <w:right w:val="none" w:sz="0" w:space="0" w:color="auto"/>
              </w:divBdr>
              <w:divsChild>
                <w:div w:id="100397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5629692">
      <w:bodyDiv w:val="1"/>
      <w:marLeft w:val="0"/>
      <w:marRight w:val="0"/>
      <w:marTop w:val="0"/>
      <w:marBottom w:val="0"/>
      <w:divBdr>
        <w:top w:val="none" w:sz="0" w:space="0" w:color="auto"/>
        <w:left w:val="none" w:sz="0" w:space="0" w:color="auto"/>
        <w:bottom w:val="none" w:sz="0" w:space="0" w:color="auto"/>
        <w:right w:val="none" w:sz="0" w:space="0" w:color="auto"/>
      </w:divBdr>
    </w:div>
    <w:div w:id="1908303840">
      <w:bodyDiv w:val="1"/>
      <w:marLeft w:val="0"/>
      <w:marRight w:val="0"/>
      <w:marTop w:val="0"/>
      <w:marBottom w:val="0"/>
      <w:divBdr>
        <w:top w:val="none" w:sz="0" w:space="0" w:color="auto"/>
        <w:left w:val="none" w:sz="0" w:space="0" w:color="auto"/>
        <w:bottom w:val="none" w:sz="0" w:space="0" w:color="auto"/>
        <w:right w:val="none" w:sz="0" w:space="0" w:color="auto"/>
      </w:divBdr>
    </w:div>
    <w:div w:id="1942102621">
      <w:bodyDiv w:val="1"/>
      <w:marLeft w:val="0"/>
      <w:marRight w:val="0"/>
      <w:marTop w:val="0"/>
      <w:marBottom w:val="0"/>
      <w:divBdr>
        <w:top w:val="none" w:sz="0" w:space="0" w:color="auto"/>
        <w:left w:val="none" w:sz="0" w:space="0" w:color="auto"/>
        <w:bottom w:val="none" w:sz="0" w:space="0" w:color="auto"/>
        <w:right w:val="none" w:sz="0" w:space="0" w:color="auto"/>
      </w:divBdr>
    </w:div>
    <w:div w:id="1985624809">
      <w:bodyDiv w:val="1"/>
      <w:marLeft w:val="0"/>
      <w:marRight w:val="0"/>
      <w:marTop w:val="0"/>
      <w:marBottom w:val="0"/>
      <w:divBdr>
        <w:top w:val="none" w:sz="0" w:space="0" w:color="auto"/>
        <w:left w:val="none" w:sz="0" w:space="0" w:color="auto"/>
        <w:bottom w:val="none" w:sz="0" w:space="0" w:color="auto"/>
        <w:right w:val="none" w:sz="0" w:space="0" w:color="auto"/>
      </w:divBdr>
    </w:div>
    <w:div w:id="2006744116">
      <w:bodyDiv w:val="1"/>
      <w:marLeft w:val="0"/>
      <w:marRight w:val="0"/>
      <w:marTop w:val="0"/>
      <w:marBottom w:val="0"/>
      <w:divBdr>
        <w:top w:val="none" w:sz="0" w:space="0" w:color="auto"/>
        <w:left w:val="none" w:sz="0" w:space="0" w:color="auto"/>
        <w:bottom w:val="none" w:sz="0" w:space="0" w:color="auto"/>
        <w:right w:val="none" w:sz="0" w:space="0" w:color="auto"/>
      </w:divBdr>
    </w:div>
    <w:div w:id="2034106423">
      <w:bodyDiv w:val="1"/>
      <w:marLeft w:val="0"/>
      <w:marRight w:val="0"/>
      <w:marTop w:val="0"/>
      <w:marBottom w:val="0"/>
      <w:divBdr>
        <w:top w:val="none" w:sz="0" w:space="0" w:color="auto"/>
        <w:left w:val="none" w:sz="0" w:space="0" w:color="auto"/>
        <w:bottom w:val="none" w:sz="0" w:space="0" w:color="auto"/>
        <w:right w:val="none" w:sz="0" w:space="0" w:color="auto"/>
      </w:divBdr>
    </w:div>
    <w:div w:id="2071923261">
      <w:bodyDiv w:val="1"/>
      <w:marLeft w:val="0"/>
      <w:marRight w:val="0"/>
      <w:marTop w:val="0"/>
      <w:marBottom w:val="0"/>
      <w:divBdr>
        <w:top w:val="none" w:sz="0" w:space="0" w:color="auto"/>
        <w:left w:val="none" w:sz="0" w:space="0" w:color="auto"/>
        <w:bottom w:val="none" w:sz="0" w:space="0" w:color="auto"/>
        <w:right w:val="none" w:sz="0" w:space="0" w:color="auto"/>
      </w:divBdr>
    </w:div>
    <w:div w:id="211104694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header" Target="header1.xml"/><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header" Target="header2.xml"/><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60" Type="http://schemas.openxmlformats.org/officeDocument/2006/relationships/image" Target="media/image44.jpg"/><Relationship Id="rId61" Type="http://schemas.openxmlformats.org/officeDocument/2006/relationships/image" Target="media/image45.jpg"/><Relationship Id="rId62" Type="http://schemas.openxmlformats.org/officeDocument/2006/relationships/image" Target="media/image46.jpg"/><Relationship Id="rId63" Type="http://schemas.openxmlformats.org/officeDocument/2006/relationships/image" Target="media/image47.jpg"/><Relationship Id="rId64" Type="http://schemas.openxmlformats.org/officeDocument/2006/relationships/image" Target="media/image48.jpg"/><Relationship Id="rId65" Type="http://schemas.openxmlformats.org/officeDocument/2006/relationships/image" Target="media/image49.jpg"/><Relationship Id="rId66" Type="http://schemas.openxmlformats.org/officeDocument/2006/relationships/image" Target="media/image50.jpg"/><Relationship Id="rId67" Type="http://schemas.openxmlformats.org/officeDocument/2006/relationships/image" Target="media/image51.jpg"/><Relationship Id="rId68" Type="http://schemas.openxmlformats.org/officeDocument/2006/relationships/image" Target="media/image52.jpg"/><Relationship Id="rId69" Type="http://schemas.openxmlformats.org/officeDocument/2006/relationships/image" Target="media/image53.jpg"/><Relationship Id="rId40" Type="http://schemas.openxmlformats.org/officeDocument/2006/relationships/image" Target="media/image24.jpg"/><Relationship Id="rId41" Type="http://schemas.openxmlformats.org/officeDocument/2006/relationships/image" Target="media/image25.png"/><Relationship Id="rId42" Type="http://schemas.openxmlformats.org/officeDocument/2006/relationships/image" Target="media/image26.jpg"/><Relationship Id="rId90" Type="http://schemas.openxmlformats.org/officeDocument/2006/relationships/image" Target="media/image74.jpg"/><Relationship Id="rId91" Type="http://schemas.openxmlformats.org/officeDocument/2006/relationships/image" Target="media/image75.jpg"/><Relationship Id="rId92" Type="http://schemas.openxmlformats.org/officeDocument/2006/relationships/image" Target="media/image76.jpg"/><Relationship Id="rId93" Type="http://schemas.openxmlformats.org/officeDocument/2006/relationships/image" Target="media/image77.jpg"/><Relationship Id="rId94" Type="http://schemas.openxmlformats.org/officeDocument/2006/relationships/image" Target="media/image78.png"/><Relationship Id="rId95" Type="http://schemas.openxmlformats.org/officeDocument/2006/relationships/image" Target="media/image79.png"/><Relationship Id="rId96" Type="http://schemas.openxmlformats.org/officeDocument/2006/relationships/chart" Target="charts/chart1.xml"/><Relationship Id="rId101" Type="http://schemas.openxmlformats.org/officeDocument/2006/relationships/image" Target="media/image84.png"/><Relationship Id="rId102" Type="http://schemas.openxmlformats.org/officeDocument/2006/relationships/image" Target="media/image85.jpg"/><Relationship Id="rId103" Type="http://schemas.openxmlformats.org/officeDocument/2006/relationships/image" Target="media/image86.jpg"/><Relationship Id="rId104" Type="http://schemas.openxmlformats.org/officeDocument/2006/relationships/image" Target="media/image87.jpg"/><Relationship Id="rId105" Type="http://schemas.openxmlformats.org/officeDocument/2006/relationships/image" Target="media/image88.jpg"/><Relationship Id="rId106" Type="http://schemas.openxmlformats.org/officeDocument/2006/relationships/image" Target="media/image89.jpg"/><Relationship Id="rId107" Type="http://schemas.openxmlformats.org/officeDocument/2006/relationships/image" Target="media/image90.jpg"/><Relationship Id="rId108" Type="http://schemas.openxmlformats.org/officeDocument/2006/relationships/image" Target="media/image91.jpg"/><Relationship Id="rId109" Type="http://schemas.openxmlformats.org/officeDocument/2006/relationships/image" Target="media/image92.jpg"/><Relationship Id="rId97" Type="http://schemas.openxmlformats.org/officeDocument/2006/relationships/image" Target="media/image80.jpg"/><Relationship Id="rId98" Type="http://schemas.openxmlformats.org/officeDocument/2006/relationships/image" Target="media/image81.tif"/><Relationship Id="rId99" Type="http://schemas.openxmlformats.org/officeDocument/2006/relationships/image" Target="media/image82.tif"/><Relationship Id="rId43" Type="http://schemas.openxmlformats.org/officeDocument/2006/relationships/image" Target="media/image27.jpg"/><Relationship Id="rId44" Type="http://schemas.openxmlformats.org/officeDocument/2006/relationships/image" Target="media/image28.png"/><Relationship Id="rId45" Type="http://schemas.openxmlformats.org/officeDocument/2006/relationships/image" Target="media/image29.jpg"/><Relationship Id="rId46" Type="http://schemas.openxmlformats.org/officeDocument/2006/relationships/image" Target="media/image30.jpg"/><Relationship Id="rId47" Type="http://schemas.openxmlformats.org/officeDocument/2006/relationships/image" Target="media/image31.jpg"/><Relationship Id="rId48" Type="http://schemas.openxmlformats.org/officeDocument/2006/relationships/image" Target="media/image32.jpg"/><Relationship Id="rId49" Type="http://schemas.openxmlformats.org/officeDocument/2006/relationships/image" Target="media/image33.png"/><Relationship Id="rId100" Type="http://schemas.openxmlformats.org/officeDocument/2006/relationships/image" Target="media/image83.png"/><Relationship Id="rId20" Type="http://schemas.openxmlformats.org/officeDocument/2006/relationships/image" Target="media/image8.jpg"/><Relationship Id="rId21" Type="http://schemas.openxmlformats.org/officeDocument/2006/relationships/hyperlink" Target="https://david.ncifcrf.gov/" TargetMode="External"/><Relationship Id="rId22" Type="http://schemas.openxmlformats.org/officeDocument/2006/relationships/hyperlink" Target="http://impala.molgen.mpg.de/" TargetMode="External"/><Relationship Id="rId70" Type="http://schemas.openxmlformats.org/officeDocument/2006/relationships/image" Target="media/image54.jpg"/><Relationship Id="rId71" Type="http://schemas.openxmlformats.org/officeDocument/2006/relationships/image" Target="media/image55.jpg"/><Relationship Id="rId72" Type="http://schemas.openxmlformats.org/officeDocument/2006/relationships/image" Target="media/image56.emf"/><Relationship Id="rId73" Type="http://schemas.openxmlformats.org/officeDocument/2006/relationships/image" Target="media/image57.jpg"/><Relationship Id="rId74" Type="http://schemas.openxmlformats.org/officeDocument/2006/relationships/image" Target="media/image58.jpg"/><Relationship Id="rId75" Type="http://schemas.openxmlformats.org/officeDocument/2006/relationships/image" Target="media/image59.jpg"/><Relationship Id="rId76" Type="http://schemas.openxmlformats.org/officeDocument/2006/relationships/image" Target="media/image60.jpg"/><Relationship Id="rId77" Type="http://schemas.openxmlformats.org/officeDocument/2006/relationships/image" Target="media/image61.jpg"/><Relationship Id="rId78" Type="http://schemas.openxmlformats.org/officeDocument/2006/relationships/image" Target="media/image62.jpg"/><Relationship Id="rId79" Type="http://schemas.openxmlformats.org/officeDocument/2006/relationships/image" Target="media/image63.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hyperlink" Target="https://david.ncifcrf.gov/" TargetMode="External"/><Relationship Id="rId26" Type="http://schemas.openxmlformats.org/officeDocument/2006/relationships/hyperlink" Target="http://impala.molgen.mpg.de/" TargetMode="External"/><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50" Type="http://schemas.openxmlformats.org/officeDocument/2006/relationships/image" Target="media/image34.png"/><Relationship Id="rId51" Type="http://schemas.openxmlformats.org/officeDocument/2006/relationships/image" Target="media/image35.jpg"/><Relationship Id="rId52" Type="http://schemas.openxmlformats.org/officeDocument/2006/relationships/image" Target="media/image36.jpg"/><Relationship Id="rId53" Type="http://schemas.openxmlformats.org/officeDocument/2006/relationships/image" Target="media/image37.jpg"/><Relationship Id="rId54" Type="http://schemas.openxmlformats.org/officeDocument/2006/relationships/image" Target="media/image38.jpg"/><Relationship Id="rId55" Type="http://schemas.openxmlformats.org/officeDocument/2006/relationships/image" Target="media/image39.jpg"/><Relationship Id="rId56" Type="http://schemas.openxmlformats.org/officeDocument/2006/relationships/image" Target="media/image40.jpg"/><Relationship Id="rId57" Type="http://schemas.openxmlformats.org/officeDocument/2006/relationships/image" Target="media/image41.jpg"/><Relationship Id="rId58" Type="http://schemas.openxmlformats.org/officeDocument/2006/relationships/image" Target="media/image42.jpg"/><Relationship Id="rId59" Type="http://schemas.openxmlformats.org/officeDocument/2006/relationships/image" Target="media/image43.jpg"/><Relationship Id="rId110" Type="http://schemas.openxmlformats.org/officeDocument/2006/relationships/image" Target="media/image93.jpg"/><Relationship Id="rId111" Type="http://schemas.openxmlformats.org/officeDocument/2006/relationships/image" Target="media/image94.jpg"/><Relationship Id="rId112" Type="http://schemas.openxmlformats.org/officeDocument/2006/relationships/image" Target="media/image95.jpg"/><Relationship Id="rId113" Type="http://schemas.openxmlformats.org/officeDocument/2006/relationships/image" Target="media/image96.jpg"/><Relationship Id="rId114" Type="http://schemas.openxmlformats.org/officeDocument/2006/relationships/image" Target="media/image97.jpg"/><Relationship Id="rId115" Type="http://schemas.openxmlformats.org/officeDocument/2006/relationships/image" Target="media/image98.jpg"/><Relationship Id="rId116" Type="http://schemas.openxmlformats.org/officeDocument/2006/relationships/image" Target="media/image99.jpg"/><Relationship Id="rId117" Type="http://schemas.openxmlformats.org/officeDocument/2006/relationships/image" Target="media/image100.jpg"/><Relationship Id="rId118" Type="http://schemas.openxmlformats.org/officeDocument/2006/relationships/fontTable" Target="fontTable.xml"/><Relationship Id="rId119" Type="http://schemas.openxmlformats.org/officeDocument/2006/relationships/theme" Target="theme/theme1.xml"/><Relationship Id="rId30" Type="http://schemas.openxmlformats.org/officeDocument/2006/relationships/image" Target="media/image14.jp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 Id="rId36" Type="http://schemas.openxmlformats.org/officeDocument/2006/relationships/image" Target="media/image20.jpg"/><Relationship Id="rId37" Type="http://schemas.openxmlformats.org/officeDocument/2006/relationships/image" Target="media/image21.png"/><Relationship Id="rId38" Type="http://schemas.openxmlformats.org/officeDocument/2006/relationships/image" Target="media/image22.png"/><Relationship Id="rId39" Type="http://schemas.openxmlformats.org/officeDocument/2006/relationships/image" Target="media/image23.png"/><Relationship Id="rId80" Type="http://schemas.openxmlformats.org/officeDocument/2006/relationships/image" Target="media/image64.jpg"/><Relationship Id="rId81" Type="http://schemas.openxmlformats.org/officeDocument/2006/relationships/image" Target="media/image65.tiff"/><Relationship Id="rId82" Type="http://schemas.openxmlformats.org/officeDocument/2006/relationships/image" Target="media/image66.jpg"/><Relationship Id="rId83" Type="http://schemas.openxmlformats.org/officeDocument/2006/relationships/image" Target="media/image67.jpg"/><Relationship Id="rId84" Type="http://schemas.openxmlformats.org/officeDocument/2006/relationships/image" Target="media/image68.tiff"/><Relationship Id="rId85" Type="http://schemas.openxmlformats.org/officeDocument/2006/relationships/image" Target="media/image69.jpg"/><Relationship Id="rId86" Type="http://schemas.openxmlformats.org/officeDocument/2006/relationships/image" Target="media/image70.jpg"/><Relationship Id="rId87" Type="http://schemas.openxmlformats.org/officeDocument/2006/relationships/image" Target="media/image71.jpg"/><Relationship Id="rId88" Type="http://schemas.openxmlformats.org/officeDocument/2006/relationships/image" Target="media/image72.jpg"/><Relationship Id="rId89" Type="http://schemas.openxmlformats.org/officeDocument/2006/relationships/image" Target="media/image73.jpg"/></Relationships>
</file>

<file path=word/charts/_rels/chart1.xml.rels><?xml version="1.0" encoding="UTF-8" standalone="yes"?>
<Relationships xmlns="http://schemas.openxmlformats.org/package/2006/relationships"><Relationship Id="rId1" Type="http://schemas.openxmlformats.org/officeDocument/2006/relationships/oleObject" Target="Workbook9"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0"/>
    </mc:Choice>
    <mc:Fallback>
      <c:style val="20"/>
    </mc:Fallback>
  </mc:AlternateContent>
  <c:chart>
    <c:title>
      <c:tx>
        <c:rich>
          <a:bodyPr/>
          <a:lstStyle/>
          <a:p>
            <a:pPr>
              <a:defRPr sz="1100">
                <a:latin typeface="Times New Roman"/>
                <a:cs typeface="Times New Roman"/>
              </a:defRPr>
            </a:pPr>
            <a:r>
              <a:rPr lang="en-US" sz="1100">
                <a:latin typeface="Times New Roman"/>
                <a:cs typeface="Times New Roman"/>
              </a:rPr>
              <a:t>Positive</a:t>
            </a:r>
            <a:r>
              <a:rPr lang="en-US" sz="1100" baseline="0">
                <a:latin typeface="Times New Roman"/>
                <a:cs typeface="Times New Roman"/>
              </a:rPr>
              <a:t> versus negative </a:t>
            </a:r>
            <a:r>
              <a:rPr lang="en-US" sz="1100">
                <a:latin typeface="Times New Roman"/>
                <a:cs typeface="Times New Roman"/>
              </a:rPr>
              <a:t>AUC</a:t>
            </a:r>
          </a:p>
        </c:rich>
      </c:tx>
      <c:layout>
        <c:manualLayout>
          <c:xMode val="edge"/>
          <c:yMode val="edge"/>
          <c:x val="0.319167407010754"/>
          <c:y val="0.0730593607305936"/>
        </c:manualLayout>
      </c:layout>
      <c:overlay val="0"/>
    </c:title>
    <c:autoTitleDeleted val="0"/>
    <c:plotArea>
      <c:layout/>
      <c:lineChart>
        <c:grouping val="standard"/>
        <c:varyColors val="0"/>
        <c:ser>
          <c:idx val="0"/>
          <c:order val="0"/>
          <c:marker>
            <c:symbol val="none"/>
          </c:marker>
          <c:cat>
            <c:strRef>
              <c:f>Sheet1!$B$4:$B$9</c:f>
              <c:strCache>
                <c:ptCount val="6"/>
                <c:pt idx="0">
                  <c:v>c1</c:v>
                </c:pt>
                <c:pt idx="1">
                  <c:v>c2</c:v>
                </c:pt>
                <c:pt idx="2">
                  <c:v>c3</c:v>
                </c:pt>
                <c:pt idx="3">
                  <c:v>m1</c:v>
                </c:pt>
                <c:pt idx="4">
                  <c:v>m2</c:v>
                </c:pt>
                <c:pt idx="5">
                  <c:v>m3</c:v>
                </c:pt>
              </c:strCache>
            </c:strRef>
          </c:cat>
          <c:val>
            <c:numRef>
              <c:f>Sheet1!$C$4:$C$9</c:f>
              <c:numCache>
                <c:formatCode>General</c:formatCode>
                <c:ptCount val="6"/>
                <c:pt idx="0">
                  <c:v>0.84</c:v>
                </c:pt>
                <c:pt idx="1">
                  <c:v>0.84</c:v>
                </c:pt>
                <c:pt idx="2">
                  <c:v>0.81</c:v>
                </c:pt>
                <c:pt idx="3">
                  <c:v>0.86</c:v>
                </c:pt>
                <c:pt idx="4">
                  <c:v>0.85</c:v>
                </c:pt>
                <c:pt idx="5">
                  <c:v>0.77</c:v>
                </c:pt>
              </c:numCache>
            </c:numRef>
          </c:val>
          <c:smooth val="0"/>
        </c:ser>
        <c:dLbls>
          <c:showLegendKey val="0"/>
          <c:showVal val="0"/>
          <c:showCatName val="0"/>
          <c:showSerName val="0"/>
          <c:showPercent val="0"/>
          <c:showBubbleSize val="0"/>
        </c:dLbls>
        <c:marker val="1"/>
        <c:smooth val="0"/>
        <c:axId val="2103770264"/>
        <c:axId val="2103761720"/>
      </c:lineChart>
      <c:catAx>
        <c:axId val="2103770264"/>
        <c:scaling>
          <c:orientation val="minMax"/>
        </c:scaling>
        <c:delete val="0"/>
        <c:axPos val="b"/>
        <c:majorTickMark val="none"/>
        <c:minorTickMark val="none"/>
        <c:tickLblPos val="nextTo"/>
        <c:txPr>
          <a:bodyPr/>
          <a:lstStyle/>
          <a:p>
            <a:pPr>
              <a:defRPr b="1">
                <a:latin typeface="Times New Roman"/>
                <a:cs typeface="Times New Roman"/>
              </a:defRPr>
            </a:pPr>
            <a:endParaRPr lang="en-US"/>
          </a:p>
        </c:txPr>
        <c:crossAx val="2103761720"/>
        <c:crosses val="autoZero"/>
        <c:auto val="1"/>
        <c:lblAlgn val="ctr"/>
        <c:lblOffset val="100"/>
        <c:noMultiLvlLbl val="0"/>
      </c:catAx>
      <c:valAx>
        <c:axId val="2103761720"/>
        <c:scaling>
          <c:orientation val="minMax"/>
        </c:scaling>
        <c:delete val="0"/>
        <c:axPos val="l"/>
        <c:title>
          <c:tx>
            <c:rich>
              <a:bodyPr/>
              <a:lstStyle/>
              <a:p>
                <a:pPr>
                  <a:defRPr b="1">
                    <a:latin typeface="Times New Roman"/>
                    <a:cs typeface="Times New Roman"/>
                  </a:defRPr>
                </a:pPr>
                <a:r>
                  <a:rPr lang="en-US" b="1">
                    <a:latin typeface="Times New Roman"/>
                    <a:cs typeface="Times New Roman"/>
                  </a:rPr>
                  <a:t>Area Under Curve (AUC)</a:t>
                </a:r>
              </a:p>
            </c:rich>
          </c:tx>
          <c:overlay val="0"/>
        </c:title>
        <c:numFmt formatCode="General" sourceLinked="1"/>
        <c:majorTickMark val="none"/>
        <c:minorTickMark val="none"/>
        <c:tickLblPos val="nextTo"/>
        <c:crossAx val="2103770264"/>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A2107F-098B-B64A-85F3-B22261141E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81</Pages>
  <Words>465087</Words>
  <Characters>2650999</Characters>
  <Application>Microsoft Macintosh Word</Application>
  <DocSecurity>0</DocSecurity>
  <Lines>22091</Lines>
  <Paragraphs>6219</Paragraphs>
  <ScaleCrop>false</ScaleCrop>
  <Company/>
  <LinksUpToDate>false</LinksUpToDate>
  <CharactersWithSpaces>3109867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Ratcliffe</dc:creator>
  <cp:keywords/>
  <dc:description/>
  <cp:lastModifiedBy>Laura Ratcliffe</cp:lastModifiedBy>
  <cp:revision>2</cp:revision>
  <cp:lastPrinted>2016-08-24T11:05:00Z</cp:lastPrinted>
  <dcterms:created xsi:type="dcterms:W3CDTF">2017-01-18T22:13:00Z</dcterms:created>
  <dcterms:modified xsi:type="dcterms:W3CDTF">2017-01-18T22:13:00Z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http://csl.mendeley.com/styles/24495941/harvardnoweb-2</vt:lpwstr>
  </property>
  <property fmtid="{D5CDD505-2E9C-101B-9397-08002B2CF9AE}" pid="4" name="Mendeley Recent Style Id 0_1">
    <vt:lpwstr>http://www.zotero.org/styles/acs-chemical-neuroscience</vt:lpwstr>
  </property>
  <property fmtid="{D5CDD505-2E9C-101B-9397-08002B2CF9AE}" pid="5" name="Mendeley Recent Style Name 0_1">
    <vt:lpwstr>ACS Chemical Neuroscience</vt:lpwstr>
  </property>
  <property fmtid="{D5CDD505-2E9C-101B-9397-08002B2CF9AE}" pid="6" name="Mendeley Recent Style Id 1_1">
    <vt:lpwstr>http://www.zotero.org/styles/american-medical-association</vt:lpwstr>
  </property>
  <property fmtid="{D5CDD505-2E9C-101B-9397-08002B2CF9AE}" pid="7" name="Mendeley Recent Style Name 1_1">
    <vt:lpwstr>American Medical Association</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6th edition</vt:lpwstr>
  </property>
  <property fmtid="{D5CDD505-2E9C-101B-9397-08002B2CF9AE}" pid="10" name="Mendeley Recent Style Id 3_1">
    <vt:lpwstr>http://www.zotero.org/styles/developmental-neuroscience</vt:lpwstr>
  </property>
  <property fmtid="{D5CDD505-2E9C-101B-9397-08002B2CF9AE}" pid="11" name="Mendeley Recent Style Name 3_1">
    <vt:lpwstr>Developmental Neuroscience</vt:lpwstr>
  </property>
  <property fmtid="{D5CDD505-2E9C-101B-9397-08002B2CF9AE}" pid="12" name="Mendeley Recent Style Id 4_1">
    <vt:lpwstr>http://www.zotero.org/styles/harvard1</vt:lpwstr>
  </property>
  <property fmtid="{D5CDD505-2E9C-101B-9397-08002B2CF9AE}" pid="13" name="Mendeley Recent Style Name 4_1">
    <vt:lpwstr>Harvard Reference format 1 (author-date)</vt:lpwstr>
  </property>
  <property fmtid="{D5CDD505-2E9C-101B-9397-08002B2CF9AE}" pid="14" name="Mendeley Recent Style Id 5_1">
    <vt:lpwstr>http://csl.mendeley.com/styles/24495941/harvardnoweb-2</vt:lpwstr>
  </property>
  <property fmtid="{D5CDD505-2E9C-101B-9397-08002B2CF9AE}" pid="15" name="Mendeley Recent Style Name 5_1">
    <vt:lpwstr>Harvard Reference format 1 (author-date) - Laura Ratcliffe</vt:lpwstr>
  </property>
  <property fmtid="{D5CDD505-2E9C-101B-9397-08002B2CF9AE}" pid="16" name="Mendeley Recent Style Id 6_1">
    <vt:lpwstr>http://csl.mendeley.com/styles/24495941/harvardnoweb</vt:lpwstr>
  </property>
  <property fmtid="{D5CDD505-2E9C-101B-9397-08002B2CF9AE}" pid="17" name="Mendeley Recent Style Name 6_1">
    <vt:lpwstr>Harvard Reference format 1 (author-date) - Laura Ratcliffe</vt:lpwstr>
  </property>
  <property fmtid="{D5CDD505-2E9C-101B-9397-08002B2CF9AE}" pid="18" name="Mendeley Recent Style Id 7_1">
    <vt:lpwstr>http://www.zotero.org/styles/nature</vt:lpwstr>
  </property>
  <property fmtid="{D5CDD505-2E9C-101B-9397-08002B2CF9AE}" pid="19" name="Mendeley Recent Style Name 7_1">
    <vt:lpwstr>Nature</vt:lpwstr>
  </property>
  <property fmtid="{D5CDD505-2E9C-101B-9397-08002B2CF9AE}" pid="20" name="Mendeley Recent Style Id 8_1">
    <vt:lpwstr>http://www.zotero.org/styles/neuroscience</vt:lpwstr>
  </property>
  <property fmtid="{D5CDD505-2E9C-101B-9397-08002B2CF9AE}" pid="21" name="Mendeley Recent Style Name 8_1">
    <vt:lpwstr>Neuroscience</vt:lpwstr>
  </property>
  <property fmtid="{D5CDD505-2E9C-101B-9397-08002B2CF9AE}" pid="22" name="Mendeley Recent Style Id 9_1">
    <vt:lpwstr>http://www.zotero.org/styles/vancouver</vt:lpwstr>
  </property>
  <property fmtid="{D5CDD505-2E9C-101B-9397-08002B2CF9AE}" pid="23" name="Mendeley Recent Style Name 9_1">
    <vt:lpwstr>Vancouver</vt:lpwstr>
  </property>
  <property fmtid="{D5CDD505-2E9C-101B-9397-08002B2CF9AE}" pid="24" name="Mendeley Unique User Id_1">
    <vt:lpwstr>c6de5b7e-24d8-37e7-9c18-48140773edee</vt:lpwstr>
  </property>
</Properties>
</file>